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wmf" ContentType="image/x-wmf"/>
  <Default Extension="emf" ContentType="image/x-emf"/>
  <Default Extension="bmp" ContentType="image/bmp"/>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rPr>
          <w:rFonts w:eastAsia="黑体"/>
          <w:b/>
          <w:color w:val="auto"/>
          <w:sz w:val="28"/>
          <w:szCs w:val="28"/>
        </w:rPr>
      </w:pPr>
      <w:bookmarkStart w:id="0" w:name="_Toc450814782"/>
      <w:bookmarkStart w:id="1" w:name="_Toc112725707"/>
      <w:bookmarkStart w:id="2" w:name="_Toc406091913"/>
      <w:bookmarkStart w:id="3" w:name="_Toc483263286"/>
    </w:p>
    <w:p>
      <w:pPr>
        <w:rPr>
          <w:rFonts w:eastAsia="黑体"/>
          <w:b/>
          <w:color w:val="auto"/>
          <w:sz w:val="28"/>
          <w:szCs w:val="28"/>
        </w:rPr>
      </w:pPr>
    </w:p>
    <w:p>
      <w:pPr>
        <w:jc w:val="center"/>
        <w:rPr>
          <w:rFonts w:eastAsia="黑体"/>
          <w:b/>
          <w:color w:val="auto"/>
          <w:sz w:val="52"/>
        </w:rPr>
      </w:pPr>
    </w:p>
    <w:p>
      <w:pPr>
        <w:jc w:val="center"/>
        <w:rPr>
          <w:rFonts w:eastAsia="黑体"/>
          <w:b/>
          <w:color w:val="auto"/>
          <w:sz w:val="52"/>
        </w:rPr>
      </w:pPr>
    </w:p>
    <w:p>
      <w:pPr>
        <w:jc w:val="center"/>
        <w:rPr>
          <w:rFonts w:eastAsia="文鼎CS中宋"/>
          <w:b/>
          <w:color w:val="auto"/>
          <w:sz w:val="56"/>
        </w:rPr>
      </w:pPr>
      <w:bookmarkStart w:id="4" w:name="_Hlk23157418"/>
      <w:bookmarkStart w:id="5" w:name="_Hlk25071469"/>
      <w:r>
        <w:rPr>
          <w:rFonts w:hint="eastAsia" w:eastAsia="文鼎CS中宋"/>
          <w:b/>
          <w:color w:val="auto"/>
          <w:sz w:val="56"/>
        </w:rPr>
        <w:t>兴宁市静脉产业园项目</w:t>
      </w:r>
    </w:p>
    <w:p>
      <w:pPr>
        <w:rPr>
          <w:rFonts w:eastAsia="文鼎CS中宋"/>
          <w:b/>
          <w:color w:val="auto"/>
          <w:sz w:val="56"/>
        </w:rPr>
      </w:pPr>
      <w:r>
        <w:rPr>
          <w:rFonts w:hint="eastAsia" w:eastAsia="文鼎CS中宋"/>
          <w:b/>
          <w:color w:val="auto"/>
          <w:sz w:val="52"/>
        </w:rPr>
        <w:t>（餐厨垃圾处理厂和建筑垃圾消纳场</w:t>
      </w:r>
      <w:r>
        <w:rPr>
          <w:rFonts w:hint="eastAsia" w:eastAsia="文鼎CS中宋"/>
          <w:b/>
          <w:color w:val="auto"/>
          <w:sz w:val="56"/>
        </w:rPr>
        <w:t>）</w:t>
      </w:r>
    </w:p>
    <w:p>
      <w:pPr>
        <w:jc w:val="center"/>
        <w:rPr>
          <w:rFonts w:ascii="文鼎CS中黑" w:eastAsia="文鼎CS中黑"/>
          <w:b/>
          <w:color w:val="auto"/>
          <w:sz w:val="64"/>
          <w:szCs w:val="64"/>
        </w:rPr>
      </w:pPr>
      <w:r>
        <w:rPr>
          <w:rFonts w:hint="eastAsia" w:ascii="文鼎CS中黑" w:eastAsia="文鼎CS中黑"/>
          <w:b/>
          <w:color w:val="auto"/>
          <w:sz w:val="64"/>
          <w:szCs w:val="64"/>
        </w:rPr>
        <w:t>环境影响报告书</w:t>
      </w:r>
    </w:p>
    <w:bookmarkEnd w:id="4"/>
    <w:p>
      <w:pPr>
        <w:jc w:val="center"/>
        <w:rPr>
          <w:rFonts w:eastAsia="文鼎CS中宋"/>
          <w:b/>
          <w:color w:val="auto"/>
          <w:sz w:val="28"/>
        </w:rPr>
      </w:pPr>
    </w:p>
    <w:p>
      <w:pPr>
        <w:jc w:val="center"/>
        <w:rPr>
          <w:rFonts w:eastAsia="文鼎CS中宋"/>
          <w:b/>
          <w:color w:val="auto"/>
          <w:sz w:val="28"/>
        </w:rPr>
      </w:pPr>
    </w:p>
    <w:p>
      <w:pPr>
        <w:jc w:val="center"/>
        <w:rPr>
          <w:rFonts w:eastAsia="文鼎CS中宋"/>
          <w:b/>
          <w:color w:val="auto"/>
          <w:sz w:val="28"/>
        </w:rPr>
      </w:pPr>
    </w:p>
    <w:p>
      <w:pPr>
        <w:jc w:val="center"/>
        <w:rPr>
          <w:rFonts w:eastAsia="文鼎CS中宋"/>
          <w:b/>
          <w:color w:val="auto"/>
          <w:sz w:val="28"/>
        </w:rPr>
      </w:pPr>
    </w:p>
    <w:p>
      <w:pPr>
        <w:jc w:val="center"/>
        <w:rPr>
          <w:rFonts w:eastAsia="文鼎CS中宋"/>
          <w:b/>
          <w:color w:val="auto"/>
          <w:sz w:val="28"/>
        </w:rPr>
      </w:pPr>
    </w:p>
    <w:p>
      <w:pPr>
        <w:jc w:val="center"/>
        <w:rPr>
          <w:rFonts w:eastAsia="文鼎CS中宋"/>
          <w:b/>
          <w:color w:val="auto"/>
          <w:sz w:val="28"/>
        </w:rPr>
      </w:pPr>
    </w:p>
    <w:p>
      <w:pPr>
        <w:jc w:val="center"/>
        <w:rPr>
          <w:rFonts w:eastAsia="文鼎CS中宋"/>
          <w:b/>
          <w:color w:val="auto"/>
          <w:sz w:val="28"/>
        </w:rPr>
      </w:pPr>
    </w:p>
    <w:p>
      <w:pPr>
        <w:jc w:val="center"/>
        <w:rPr>
          <w:rFonts w:eastAsia="文鼎CS中宋"/>
          <w:b/>
          <w:color w:val="auto"/>
          <w:sz w:val="28"/>
        </w:rPr>
      </w:pPr>
    </w:p>
    <w:p>
      <w:pPr>
        <w:jc w:val="center"/>
        <w:rPr>
          <w:rFonts w:eastAsia="文鼎CS中宋"/>
          <w:b/>
          <w:color w:val="auto"/>
          <w:sz w:val="28"/>
        </w:rPr>
      </w:pPr>
    </w:p>
    <w:p>
      <w:pPr>
        <w:jc w:val="center"/>
        <w:rPr>
          <w:rFonts w:eastAsia="文鼎CS中宋"/>
          <w:b/>
          <w:color w:val="auto"/>
          <w:sz w:val="28"/>
        </w:rPr>
      </w:pPr>
    </w:p>
    <w:p>
      <w:pPr>
        <w:jc w:val="center"/>
        <w:rPr>
          <w:rFonts w:eastAsia="文鼎CS中宋"/>
          <w:b/>
          <w:color w:val="auto"/>
          <w:sz w:val="28"/>
        </w:rPr>
      </w:pPr>
    </w:p>
    <w:p>
      <w:pPr>
        <w:jc w:val="center"/>
        <w:rPr>
          <w:rFonts w:eastAsia="文鼎CS中宋"/>
          <w:b/>
          <w:color w:val="auto"/>
          <w:sz w:val="28"/>
        </w:rPr>
      </w:pPr>
    </w:p>
    <w:p>
      <w:pPr>
        <w:jc w:val="center"/>
        <w:rPr>
          <w:rFonts w:eastAsia="文鼎CS中宋"/>
          <w:b/>
          <w:color w:val="auto"/>
          <w:sz w:val="28"/>
        </w:rPr>
      </w:pPr>
    </w:p>
    <w:p>
      <w:pPr>
        <w:jc w:val="center"/>
        <w:rPr>
          <w:rFonts w:eastAsia="文鼎CS中宋"/>
          <w:b/>
          <w:color w:val="auto"/>
          <w:sz w:val="28"/>
        </w:rPr>
      </w:pPr>
    </w:p>
    <w:p>
      <w:pPr>
        <w:jc w:val="center"/>
        <w:rPr>
          <w:rFonts w:eastAsia="文鼎CS中宋"/>
          <w:b/>
          <w:color w:val="auto"/>
          <w:sz w:val="28"/>
        </w:rPr>
      </w:pPr>
    </w:p>
    <w:p>
      <w:pPr>
        <w:jc w:val="center"/>
        <w:rPr>
          <w:rFonts w:eastAsia="文鼎CS中宋"/>
          <w:b/>
          <w:color w:val="auto"/>
          <w:sz w:val="28"/>
        </w:rPr>
      </w:pPr>
    </w:p>
    <w:p>
      <w:pPr>
        <w:jc w:val="center"/>
        <w:rPr>
          <w:rFonts w:eastAsia="文鼎CS中宋"/>
          <w:b/>
          <w:color w:val="auto"/>
          <w:sz w:val="36"/>
          <w:szCs w:val="36"/>
        </w:rPr>
      </w:pPr>
    </w:p>
    <w:p>
      <w:pPr>
        <w:jc w:val="center"/>
        <w:rPr>
          <w:rFonts w:eastAsia="文鼎CS中宋"/>
          <w:b/>
          <w:color w:val="auto"/>
          <w:sz w:val="36"/>
          <w:szCs w:val="36"/>
        </w:rPr>
      </w:pPr>
    </w:p>
    <w:p>
      <w:pPr>
        <w:jc w:val="center"/>
        <w:rPr>
          <w:rFonts w:eastAsia="文鼎CS中宋"/>
          <w:b/>
          <w:color w:val="auto"/>
          <w:sz w:val="36"/>
          <w:szCs w:val="36"/>
        </w:rPr>
      </w:pPr>
      <w:bookmarkStart w:id="6" w:name="_Hlk23157447"/>
      <w:r>
        <w:rPr>
          <w:rFonts w:eastAsia="文鼎CS中宋"/>
          <w:b/>
          <w:color w:val="auto"/>
          <w:sz w:val="36"/>
          <w:szCs w:val="36"/>
        </w:rPr>
        <w:t>建设单位：兴宁市城市管理和综合执法局</w:t>
      </w:r>
    </w:p>
    <w:p>
      <w:pPr>
        <w:jc w:val="center"/>
        <w:rPr>
          <w:rFonts w:eastAsia="文鼎CS中宋"/>
          <w:b/>
          <w:color w:val="auto"/>
          <w:sz w:val="36"/>
          <w:szCs w:val="36"/>
        </w:rPr>
      </w:pPr>
      <w:r>
        <w:rPr>
          <w:rFonts w:eastAsia="文鼎CS中宋"/>
          <w:b/>
          <w:color w:val="auto"/>
          <w:sz w:val="36"/>
          <w:szCs w:val="36"/>
        </w:rPr>
        <w:t>评价单位：南京国环科技股份有限公司</w:t>
      </w:r>
    </w:p>
    <w:p>
      <w:pPr>
        <w:jc w:val="center"/>
        <w:rPr>
          <w:rFonts w:eastAsia="文鼎CS中宋"/>
          <w:b/>
          <w:color w:val="auto"/>
          <w:sz w:val="36"/>
          <w:szCs w:val="36"/>
        </w:rPr>
        <w:sectPr>
          <w:headerReference r:id="rId4" w:type="first"/>
          <w:footerReference r:id="rId6" w:type="first"/>
          <w:headerReference r:id="rId3" w:type="default"/>
          <w:footerReference r:id="rId5" w:type="default"/>
          <w:pgSz w:w="11906" w:h="16838"/>
          <w:pgMar w:top="1418" w:right="1418" w:bottom="1418" w:left="1418" w:header="851" w:footer="992" w:gutter="0"/>
          <w:pgNumType w:fmt="upperRoman"/>
          <w:cols w:space="425" w:num="1"/>
          <w:titlePg/>
          <w:docGrid w:type="lines" w:linePitch="326" w:charSpace="0"/>
        </w:sectPr>
      </w:pPr>
      <w:r>
        <w:rPr>
          <w:rFonts w:eastAsia="文鼎CS中宋"/>
          <w:b/>
          <w:color w:val="auto"/>
          <w:sz w:val="36"/>
          <w:szCs w:val="36"/>
        </w:rPr>
        <w:t>20</w:t>
      </w:r>
      <w:r>
        <w:rPr>
          <w:rFonts w:hint="eastAsia" w:eastAsia="文鼎CS中宋"/>
          <w:b/>
          <w:color w:val="auto"/>
          <w:sz w:val="36"/>
          <w:szCs w:val="36"/>
        </w:rPr>
        <w:t>20</w:t>
      </w:r>
      <w:r>
        <w:rPr>
          <w:rFonts w:eastAsia="文鼎CS中宋"/>
          <w:b/>
          <w:color w:val="auto"/>
          <w:sz w:val="36"/>
          <w:szCs w:val="36"/>
        </w:rPr>
        <w:t>年</w:t>
      </w:r>
      <w:r>
        <w:rPr>
          <w:rFonts w:hint="eastAsia" w:eastAsia="文鼎CS中宋"/>
          <w:b/>
          <w:color w:val="auto"/>
          <w:sz w:val="36"/>
          <w:szCs w:val="36"/>
          <w:lang w:val="en-US" w:eastAsia="zh-CN"/>
        </w:rPr>
        <w:t>6</w:t>
      </w:r>
      <w:r>
        <w:rPr>
          <w:rFonts w:eastAsia="文鼎CS中宋"/>
          <w:b/>
          <w:color w:val="auto"/>
          <w:sz w:val="36"/>
          <w:szCs w:val="36"/>
        </w:rPr>
        <w:t>月</w:t>
      </w:r>
      <w:bookmarkEnd w:id="5"/>
    </w:p>
    <w:p>
      <w:pPr>
        <w:jc w:val="center"/>
        <w:rPr>
          <w:color w:val="auto"/>
        </w:rPr>
      </w:pPr>
      <w:r>
        <w:rPr>
          <w:color w:val="auto"/>
        </w:rPr>
        <w:drawing>
          <wp:inline distT="0" distB="0" distL="114300" distR="114300">
            <wp:extent cx="5409565" cy="7704455"/>
            <wp:effectExtent l="0" t="0" r="635" b="10795"/>
            <wp:docPr id="2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6"/>
                    <pic:cNvPicPr>
                      <a:picLocks noChangeAspect="1"/>
                    </pic:cNvPicPr>
                  </pic:nvPicPr>
                  <pic:blipFill>
                    <a:blip r:embed="rId25"/>
                    <a:stretch>
                      <a:fillRect/>
                    </a:stretch>
                  </pic:blipFill>
                  <pic:spPr>
                    <a:xfrm>
                      <a:off x="0" y="0"/>
                      <a:ext cx="5409565" cy="7704455"/>
                    </a:xfrm>
                    <a:prstGeom prst="rect">
                      <a:avLst/>
                    </a:prstGeom>
                    <a:noFill/>
                    <a:ln w="9525">
                      <a:noFill/>
                      <a:miter/>
                    </a:ln>
                  </pic:spPr>
                </pic:pic>
              </a:graphicData>
            </a:graphic>
          </wp:inline>
        </w:drawing>
      </w:r>
    </w:p>
    <w:p>
      <w:pPr>
        <w:jc w:val="center"/>
        <w:rPr>
          <w:color w:val="auto"/>
        </w:rPr>
      </w:pPr>
      <w:r>
        <w:rPr>
          <w:color w:val="auto"/>
        </w:rPr>
        <w:drawing>
          <wp:inline distT="0" distB="0" distL="114300" distR="114300">
            <wp:extent cx="5380990" cy="7742555"/>
            <wp:effectExtent l="0" t="0" r="10160" b="10795"/>
            <wp:docPr id="15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7"/>
                    <pic:cNvPicPr>
                      <a:picLocks noChangeAspect="1"/>
                    </pic:cNvPicPr>
                  </pic:nvPicPr>
                  <pic:blipFill>
                    <a:blip r:embed="rId26"/>
                    <a:stretch>
                      <a:fillRect/>
                    </a:stretch>
                  </pic:blipFill>
                  <pic:spPr>
                    <a:xfrm>
                      <a:off x="0" y="0"/>
                      <a:ext cx="5380990" cy="7742555"/>
                    </a:xfrm>
                    <a:prstGeom prst="rect">
                      <a:avLst/>
                    </a:prstGeom>
                    <a:noFill/>
                    <a:ln w="9525">
                      <a:noFill/>
                      <a:miter/>
                    </a:ln>
                  </pic:spPr>
                </pic:pic>
              </a:graphicData>
            </a:graphic>
          </wp:inline>
        </w:drawing>
      </w:r>
    </w:p>
    <w:p>
      <w:pPr>
        <w:jc w:val="center"/>
        <w:rPr>
          <w:color w:val="auto"/>
        </w:rPr>
      </w:pPr>
    </w:p>
    <w:p>
      <w:pPr>
        <w:jc w:val="center"/>
        <w:rPr>
          <w:color w:val="auto"/>
        </w:rPr>
      </w:pPr>
      <w:r>
        <w:rPr>
          <w:color w:val="auto"/>
        </w:rPr>
        <w:drawing>
          <wp:inline distT="0" distB="0" distL="114300" distR="114300">
            <wp:extent cx="5756910" cy="7934960"/>
            <wp:effectExtent l="0" t="0" r="15240" b="8890"/>
            <wp:docPr id="15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8"/>
                    <pic:cNvPicPr>
                      <a:picLocks noChangeAspect="1"/>
                    </pic:cNvPicPr>
                  </pic:nvPicPr>
                  <pic:blipFill>
                    <a:blip r:embed="rId27"/>
                    <a:stretch>
                      <a:fillRect/>
                    </a:stretch>
                  </pic:blipFill>
                  <pic:spPr>
                    <a:xfrm>
                      <a:off x="0" y="0"/>
                      <a:ext cx="5756910" cy="7934960"/>
                    </a:xfrm>
                    <a:prstGeom prst="rect">
                      <a:avLst/>
                    </a:prstGeom>
                    <a:noFill/>
                    <a:ln w="9525">
                      <a:noFill/>
                      <a:miter/>
                    </a:ln>
                  </pic:spPr>
                </pic:pic>
              </a:graphicData>
            </a:graphic>
          </wp:inline>
        </w:drawing>
      </w:r>
      <w:r>
        <w:rPr>
          <w:color w:val="auto"/>
        </w:rPr>
        <w:drawing>
          <wp:inline distT="0" distB="0" distL="114300" distR="114300">
            <wp:extent cx="5057140" cy="5666740"/>
            <wp:effectExtent l="0" t="0" r="10160" b="10160"/>
            <wp:docPr id="15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9"/>
                    <pic:cNvPicPr>
                      <a:picLocks noChangeAspect="1"/>
                    </pic:cNvPicPr>
                  </pic:nvPicPr>
                  <pic:blipFill>
                    <a:blip r:embed="rId28"/>
                    <a:stretch>
                      <a:fillRect/>
                    </a:stretch>
                  </pic:blipFill>
                  <pic:spPr>
                    <a:xfrm>
                      <a:off x="0" y="0"/>
                      <a:ext cx="5057140" cy="5666740"/>
                    </a:xfrm>
                    <a:prstGeom prst="rect">
                      <a:avLst/>
                    </a:prstGeom>
                    <a:noFill/>
                    <a:ln w="9525">
                      <a:noFill/>
                      <a:miter/>
                    </a:ln>
                  </pic:spPr>
                </pic:pic>
              </a:graphicData>
            </a:graphic>
          </wp:inline>
        </w:drawing>
      </w:r>
      <w:r>
        <w:rPr>
          <w:color w:val="auto"/>
        </w:rPr>
        <w:drawing>
          <wp:inline distT="0" distB="0" distL="114300" distR="114300">
            <wp:extent cx="5752465" cy="4328795"/>
            <wp:effectExtent l="0" t="0" r="635" b="14605"/>
            <wp:docPr id="15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0"/>
                    <pic:cNvPicPr>
                      <a:picLocks noChangeAspect="1"/>
                    </pic:cNvPicPr>
                  </pic:nvPicPr>
                  <pic:blipFill>
                    <a:blip r:embed="rId29"/>
                    <a:stretch>
                      <a:fillRect/>
                    </a:stretch>
                  </pic:blipFill>
                  <pic:spPr>
                    <a:xfrm>
                      <a:off x="0" y="0"/>
                      <a:ext cx="5752465" cy="4328795"/>
                    </a:xfrm>
                    <a:prstGeom prst="rect">
                      <a:avLst/>
                    </a:prstGeom>
                    <a:noFill/>
                    <a:ln w="9525">
                      <a:noFill/>
                      <a:miter/>
                    </a:ln>
                  </pic:spPr>
                </pic:pic>
              </a:graphicData>
            </a:graphic>
          </wp:inline>
        </w:drawing>
      </w:r>
      <w:r>
        <w:rPr>
          <w:color w:val="auto"/>
        </w:rPr>
        <w:drawing>
          <wp:inline distT="0" distB="0" distL="114300" distR="114300">
            <wp:extent cx="5409565" cy="7790180"/>
            <wp:effectExtent l="0" t="0" r="635" b="1270"/>
            <wp:docPr id="15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1"/>
                    <pic:cNvPicPr>
                      <a:picLocks noChangeAspect="1"/>
                    </pic:cNvPicPr>
                  </pic:nvPicPr>
                  <pic:blipFill>
                    <a:blip r:embed="rId30"/>
                    <a:stretch>
                      <a:fillRect/>
                    </a:stretch>
                  </pic:blipFill>
                  <pic:spPr>
                    <a:xfrm>
                      <a:off x="0" y="0"/>
                      <a:ext cx="5409565" cy="7790180"/>
                    </a:xfrm>
                    <a:prstGeom prst="rect">
                      <a:avLst/>
                    </a:prstGeom>
                    <a:noFill/>
                    <a:ln w="9525">
                      <a:noFill/>
                      <a:miter/>
                    </a:ln>
                  </pic:spPr>
                </pic:pic>
              </a:graphicData>
            </a:graphic>
          </wp:inline>
        </w:drawing>
      </w:r>
      <w:r>
        <w:rPr>
          <w:color w:val="auto"/>
        </w:rPr>
        <w:drawing>
          <wp:inline distT="0" distB="0" distL="114300" distR="114300">
            <wp:extent cx="5476240" cy="7590790"/>
            <wp:effectExtent l="0" t="0" r="10160" b="10160"/>
            <wp:docPr id="15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2"/>
                    <pic:cNvPicPr>
                      <a:picLocks noChangeAspect="1"/>
                    </pic:cNvPicPr>
                  </pic:nvPicPr>
                  <pic:blipFill>
                    <a:blip r:embed="rId31"/>
                    <a:stretch>
                      <a:fillRect/>
                    </a:stretch>
                  </pic:blipFill>
                  <pic:spPr>
                    <a:xfrm>
                      <a:off x="0" y="0"/>
                      <a:ext cx="5476240" cy="7590790"/>
                    </a:xfrm>
                    <a:prstGeom prst="rect">
                      <a:avLst/>
                    </a:prstGeom>
                    <a:noFill/>
                    <a:ln w="9525">
                      <a:noFill/>
                      <a:miter/>
                    </a:ln>
                  </pic:spPr>
                </pic:pic>
              </a:graphicData>
            </a:graphic>
          </wp:inline>
        </w:drawing>
      </w:r>
    </w:p>
    <w:p>
      <w:pPr>
        <w:jc w:val="center"/>
        <w:rPr>
          <w:color w:val="auto"/>
        </w:rPr>
      </w:pPr>
    </w:p>
    <w:p>
      <w:pPr>
        <w:jc w:val="center"/>
        <w:rPr>
          <w:color w:val="auto"/>
        </w:rPr>
        <w:sectPr>
          <w:footerReference r:id="rId8" w:type="first"/>
          <w:footerReference r:id="rId7" w:type="default"/>
          <w:pgSz w:w="11906" w:h="16838"/>
          <w:pgMar w:top="1418" w:right="1418" w:bottom="1418" w:left="1418" w:header="851" w:footer="992" w:gutter="0"/>
          <w:pgNumType w:fmt="upperRoman" w:start="1"/>
          <w:cols w:space="425" w:num="1"/>
          <w:titlePg/>
          <w:docGrid w:type="lines" w:linePitch="326" w:charSpace="0"/>
        </w:sectPr>
      </w:pPr>
      <w:r>
        <w:rPr>
          <w:color w:val="auto"/>
        </w:rPr>
        <w:drawing>
          <wp:inline distT="0" distB="0" distL="114300" distR="114300">
            <wp:extent cx="5133340" cy="7409815"/>
            <wp:effectExtent l="0" t="0" r="10160" b="635"/>
            <wp:docPr id="15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23"/>
                    <pic:cNvPicPr>
                      <a:picLocks noChangeAspect="1"/>
                    </pic:cNvPicPr>
                  </pic:nvPicPr>
                  <pic:blipFill>
                    <a:blip r:embed="rId32"/>
                    <a:stretch>
                      <a:fillRect/>
                    </a:stretch>
                  </pic:blipFill>
                  <pic:spPr>
                    <a:xfrm>
                      <a:off x="0" y="0"/>
                      <a:ext cx="5133340" cy="7409815"/>
                    </a:xfrm>
                    <a:prstGeom prst="rect">
                      <a:avLst/>
                    </a:prstGeom>
                    <a:noFill/>
                    <a:ln w="9525">
                      <a:noFill/>
                      <a:miter/>
                    </a:ln>
                  </pic:spPr>
                </pic:pic>
              </a:graphicData>
            </a:graphic>
          </wp:inline>
        </w:drawing>
      </w:r>
    </w:p>
    <w:bookmarkEnd w:id="6"/>
    <w:p>
      <w:pPr>
        <w:spacing w:line="276" w:lineRule="auto"/>
        <w:jc w:val="center"/>
        <w:rPr>
          <w:rFonts w:ascii="Times New Roman" w:hAnsi="Times New Roman" w:eastAsia="宋体" w:cs="Times New Roman"/>
          <w:color w:val="auto"/>
          <w:kern w:val="2"/>
          <w:sz w:val="24"/>
          <w:szCs w:val="24"/>
          <w:lang w:val="en-US" w:eastAsia="zh-CN" w:bidi="ar-SA"/>
        </w:rPr>
      </w:pPr>
      <w:r>
        <w:rPr>
          <w:b/>
          <w:color w:val="auto"/>
          <w:sz w:val="30"/>
          <w:szCs w:val="30"/>
        </w:rPr>
        <w:t>目  录</w:t>
      </w:r>
      <w:r>
        <w:rPr>
          <w:color w:val="auto"/>
        </w:rPr>
        <w:fldChar w:fldCharType="begin"/>
      </w:r>
      <w:r>
        <w:rPr>
          <w:color w:val="auto"/>
        </w:rPr>
        <w:instrText xml:space="preserve"> TOC \o "1-3" \h \z \u </w:instrText>
      </w:r>
      <w:r>
        <w:rPr>
          <w:color w:val="auto"/>
        </w:rPr>
        <w:fldChar w:fldCharType="separate"/>
      </w:r>
    </w:p>
    <w:p>
      <w:pPr>
        <w:pStyle w:val="32"/>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_Toc14380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w:t>
      </w:r>
      <w:r>
        <w:rPr>
          <w:rFonts w:hint="default" w:ascii="Times New Roman" w:hAnsi="Times New Roman" w:eastAsia="宋体" w:cs="Times New Roman"/>
          <w:bCs/>
          <w:i w:val="0"/>
          <w:iCs w:val="0"/>
          <w:color w:val="auto"/>
          <w:kern w:val="44"/>
          <w:sz w:val="21"/>
          <w:szCs w:val="40"/>
          <w:lang w:val="en-US" w:eastAsia="zh-CN" w:bidi="ar-SA"/>
        </w:rPr>
        <w:t xml:space="preserve"> </w:t>
      </w:r>
      <w:r>
        <w:rPr>
          <w:rFonts w:hint="default" w:ascii="Times New Roman" w:hAnsi="Times New Roman" w:eastAsia="宋体" w:cs="Times New Roman"/>
          <w:i w:val="0"/>
          <w:iCs w:val="0"/>
          <w:color w:val="auto"/>
          <w:kern w:val="2"/>
          <w:sz w:val="21"/>
          <w:szCs w:val="40"/>
          <w:lang w:val="en-US" w:eastAsia="zh-CN" w:bidi="ar-SA"/>
        </w:rPr>
        <w:t>概述</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_Toc14380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i w:val="0"/>
          <w:iCs w:val="0"/>
          <w:color w:val="auto"/>
          <w:kern w:val="44"/>
          <w:sz w:val="21"/>
          <w:szCs w:val="40"/>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_Toc15624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w:t>
      </w:r>
      <w:r>
        <w:rPr>
          <w:rFonts w:hint="default" w:ascii="Times New Roman" w:hAnsi="Times New Roman" w:eastAsia="宋体" w:cs="Times New Roman"/>
          <w:bCs w:val="0"/>
          <w:i w:val="0"/>
          <w:iCs w:val="0"/>
          <w:snapToGrid w:val="0"/>
          <w:color w:val="auto"/>
          <w:kern w:val="0"/>
          <w:sz w:val="21"/>
          <w:szCs w:val="28"/>
          <w:lang w:val="zh-CN" w:eastAsia="zh-CN" w:bidi="ar-SA"/>
        </w:rPr>
        <w:t xml:space="preserve">.1 </w:t>
      </w:r>
      <w:r>
        <w:rPr>
          <w:rFonts w:hint="default" w:ascii="Times New Roman" w:hAnsi="Times New Roman" w:eastAsia="宋体" w:cs="Times New Roman"/>
          <w:i w:val="0"/>
          <w:iCs w:val="0"/>
          <w:color w:val="auto"/>
          <w:kern w:val="2"/>
          <w:sz w:val="21"/>
          <w:szCs w:val="28"/>
          <w:lang w:val="en-US" w:eastAsia="zh-CN" w:bidi="ar-SA"/>
        </w:rPr>
        <w:t>项目由来</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_Toc15624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val="0"/>
          <w:i w:val="0"/>
          <w:iCs w:val="0"/>
          <w:snapToGrid w:val="0"/>
          <w:color w:val="auto"/>
          <w:kern w:val="0"/>
          <w:sz w:val="21"/>
          <w:szCs w:val="28"/>
          <w:lang w:val="zh-CN"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_Toc240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w:t>
      </w:r>
      <w:r>
        <w:rPr>
          <w:rFonts w:hint="default" w:ascii="Times New Roman" w:hAnsi="Times New Roman" w:eastAsia="宋体" w:cs="Times New Roman"/>
          <w:bCs w:val="0"/>
          <w:i w:val="0"/>
          <w:iCs w:val="0"/>
          <w:snapToGrid w:val="0"/>
          <w:color w:val="auto"/>
          <w:kern w:val="0"/>
          <w:sz w:val="21"/>
          <w:szCs w:val="28"/>
          <w:lang w:val="zh-CN" w:eastAsia="zh-CN" w:bidi="ar-SA"/>
        </w:rPr>
        <w:t xml:space="preserve">.2 </w:t>
      </w:r>
      <w:r>
        <w:rPr>
          <w:rFonts w:hint="default" w:ascii="Times New Roman" w:hAnsi="Times New Roman" w:eastAsia="宋体" w:cs="Times New Roman"/>
          <w:i w:val="0"/>
          <w:iCs w:val="0"/>
          <w:color w:val="auto"/>
          <w:kern w:val="2"/>
          <w:sz w:val="21"/>
          <w:szCs w:val="28"/>
          <w:lang w:val="en-US" w:eastAsia="zh-CN" w:bidi="ar-SA"/>
        </w:rPr>
        <w:t>环评工作程序</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_Toc240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val="0"/>
          <w:i w:val="0"/>
          <w:iCs w:val="0"/>
          <w:snapToGrid w:val="0"/>
          <w:color w:val="auto"/>
          <w:kern w:val="0"/>
          <w:sz w:val="21"/>
          <w:szCs w:val="28"/>
          <w:lang w:val="zh-CN"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_Toc368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w:t>
      </w:r>
      <w:r>
        <w:rPr>
          <w:rFonts w:hint="default" w:ascii="Times New Roman" w:hAnsi="Times New Roman" w:eastAsia="宋体" w:cs="Times New Roman"/>
          <w:bCs w:val="0"/>
          <w:i w:val="0"/>
          <w:iCs w:val="0"/>
          <w:snapToGrid w:val="0"/>
          <w:color w:val="auto"/>
          <w:kern w:val="0"/>
          <w:sz w:val="21"/>
          <w:szCs w:val="28"/>
          <w:lang w:val="zh-CN" w:eastAsia="zh-CN" w:bidi="ar-SA"/>
        </w:rPr>
        <w:t xml:space="preserve">.3 </w:t>
      </w:r>
      <w:r>
        <w:rPr>
          <w:rFonts w:hint="default" w:ascii="Times New Roman" w:hAnsi="Times New Roman" w:eastAsia="宋体" w:cs="Times New Roman"/>
          <w:i w:val="0"/>
          <w:iCs w:val="0"/>
          <w:color w:val="auto"/>
          <w:kern w:val="2"/>
          <w:sz w:val="21"/>
          <w:szCs w:val="28"/>
          <w:lang w:val="en-US" w:eastAsia="zh-CN" w:bidi="ar-SA"/>
        </w:rPr>
        <w:t>判断相关情况分析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_Toc368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val="0"/>
          <w:i w:val="0"/>
          <w:iCs w:val="0"/>
          <w:snapToGrid w:val="0"/>
          <w:color w:val="auto"/>
          <w:kern w:val="0"/>
          <w:sz w:val="21"/>
          <w:szCs w:val="28"/>
          <w:lang w:val="zh-CN"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_Toc4152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1.3.1 产业政策符合性分析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_Toc4152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_Toc5179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1.3.2 规划相符性分析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_Toc5179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_Toc5004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1.3.3 相关环保政策相符性分析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_Toc5004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_Toc24121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1.3.4 选址合理性</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_Toc24121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18</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_Toc9285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highlight w:val="none"/>
          <w:lang w:val="en-US" w:eastAsia="zh-CN" w:bidi="ar-SA"/>
        </w:rPr>
        <w:t>1.3.5 项目平面布局合理性分析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_Toc9285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_Toc8219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w:t>
      </w:r>
      <w:r>
        <w:rPr>
          <w:rFonts w:hint="default" w:ascii="Times New Roman" w:hAnsi="Times New Roman" w:eastAsia="宋体" w:cs="Times New Roman"/>
          <w:bCs w:val="0"/>
          <w:i w:val="0"/>
          <w:iCs w:val="0"/>
          <w:snapToGrid w:val="0"/>
          <w:color w:val="auto"/>
          <w:kern w:val="0"/>
          <w:sz w:val="21"/>
          <w:szCs w:val="28"/>
          <w:lang w:val="zh-CN" w:eastAsia="zh-CN" w:bidi="ar-SA"/>
        </w:rPr>
        <w:t xml:space="preserve">.4 </w:t>
      </w:r>
      <w:r>
        <w:rPr>
          <w:rFonts w:hint="default" w:ascii="Times New Roman" w:hAnsi="Times New Roman" w:eastAsia="宋体" w:cs="Times New Roman"/>
          <w:i w:val="0"/>
          <w:iCs w:val="0"/>
          <w:color w:val="auto"/>
          <w:kern w:val="2"/>
          <w:sz w:val="21"/>
          <w:szCs w:val="28"/>
          <w:lang w:val="en-US" w:eastAsia="zh-CN" w:bidi="ar-SA"/>
        </w:rPr>
        <w:t>关注的主要环境问题及其环境影响</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_Toc8219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23</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val="0"/>
          <w:i w:val="0"/>
          <w:iCs w:val="0"/>
          <w:snapToGrid w:val="0"/>
          <w:color w:val="auto"/>
          <w:kern w:val="0"/>
          <w:sz w:val="21"/>
          <w:szCs w:val="28"/>
          <w:lang w:val="zh-CN"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_Toc16924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w:t>
      </w:r>
      <w:r>
        <w:rPr>
          <w:rFonts w:hint="default" w:ascii="Times New Roman" w:hAnsi="Times New Roman" w:eastAsia="宋体" w:cs="Times New Roman"/>
          <w:bCs w:val="0"/>
          <w:i w:val="0"/>
          <w:iCs w:val="0"/>
          <w:snapToGrid w:val="0"/>
          <w:color w:val="auto"/>
          <w:kern w:val="0"/>
          <w:sz w:val="21"/>
          <w:szCs w:val="28"/>
          <w:lang w:val="zh-CN" w:eastAsia="zh-CN" w:bidi="ar-SA"/>
        </w:rPr>
        <w:t xml:space="preserve">.5 </w:t>
      </w:r>
      <w:r>
        <w:rPr>
          <w:rFonts w:hint="default" w:ascii="Times New Roman" w:hAnsi="Times New Roman" w:eastAsia="宋体" w:cs="Times New Roman"/>
          <w:i w:val="0"/>
          <w:iCs w:val="0"/>
          <w:color w:val="auto"/>
          <w:kern w:val="2"/>
          <w:sz w:val="21"/>
          <w:szCs w:val="28"/>
          <w:lang w:val="en-US" w:eastAsia="zh-CN" w:bidi="ar-SA"/>
        </w:rPr>
        <w:t>环境影响评价结论</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_Toc16924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23</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val="0"/>
          <w:i w:val="0"/>
          <w:iCs w:val="0"/>
          <w:snapToGrid w:val="0"/>
          <w:color w:val="auto"/>
          <w:kern w:val="0"/>
          <w:sz w:val="21"/>
          <w:szCs w:val="28"/>
          <w:lang w:val="zh-CN" w:eastAsia="zh-CN" w:bidi="ar-SA"/>
        </w:rPr>
        <w:fldChar w:fldCharType="end"/>
      </w:r>
    </w:p>
    <w:p>
      <w:pPr>
        <w:pStyle w:val="32"/>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_Toc23866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w:t>
      </w:r>
      <w:r>
        <w:rPr>
          <w:rFonts w:hint="default" w:ascii="Times New Roman" w:hAnsi="Times New Roman" w:eastAsia="宋体" w:cs="Times New Roman"/>
          <w:bCs/>
          <w:i w:val="0"/>
          <w:iCs w:val="0"/>
          <w:color w:val="auto"/>
          <w:kern w:val="44"/>
          <w:sz w:val="21"/>
          <w:szCs w:val="40"/>
          <w:lang w:val="en-US" w:eastAsia="zh-CN" w:bidi="ar-SA"/>
        </w:rPr>
        <w:t xml:space="preserve"> </w:t>
      </w:r>
      <w:r>
        <w:rPr>
          <w:rFonts w:hint="default" w:ascii="Times New Roman" w:hAnsi="Times New Roman" w:eastAsia="宋体" w:cs="Times New Roman"/>
          <w:i w:val="0"/>
          <w:iCs w:val="0"/>
          <w:color w:val="auto"/>
          <w:kern w:val="2"/>
          <w:sz w:val="21"/>
          <w:szCs w:val="40"/>
          <w:lang w:val="en-US" w:eastAsia="zh-CN" w:bidi="ar-SA"/>
        </w:rPr>
        <w:t>总则</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_Toc23866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24</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i w:val="0"/>
          <w:iCs w:val="0"/>
          <w:color w:val="auto"/>
          <w:kern w:val="44"/>
          <w:sz w:val="21"/>
          <w:szCs w:val="40"/>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_Toc876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w:t>
      </w:r>
      <w:r>
        <w:rPr>
          <w:rFonts w:hint="default" w:ascii="Times New Roman" w:hAnsi="Times New Roman" w:eastAsia="宋体" w:cs="Times New Roman"/>
          <w:bCs w:val="0"/>
          <w:i w:val="0"/>
          <w:iCs w:val="0"/>
          <w:snapToGrid w:val="0"/>
          <w:color w:val="auto"/>
          <w:kern w:val="0"/>
          <w:sz w:val="21"/>
          <w:szCs w:val="28"/>
          <w:lang w:val="zh-CN" w:eastAsia="zh-CN" w:bidi="ar-SA"/>
        </w:rPr>
        <w:t xml:space="preserve">.1 </w:t>
      </w:r>
      <w:r>
        <w:rPr>
          <w:rFonts w:hint="default" w:ascii="Times New Roman" w:hAnsi="Times New Roman" w:eastAsia="宋体" w:cs="Times New Roman"/>
          <w:i w:val="0"/>
          <w:iCs w:val="0"/>
          <w:color w:val="auto"/>
          <w:kern w:val="2"/>
          <w:sz w:val="21"/>
          <w:szCs w:val="28"/>
          <w:lang w:val="en-US" w:eastAsia="zh-CN" w:bidi="ar-SA"/>
        </w:rPr>
        <w:t>编制依据</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_Toc876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24</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val="0"/>
          <w:i w:val="0"/>
          <w:iCs w:val="0"/>
          <w:snapToGrid w:val="0"/>
          <w:color w:val="auto"/>
          <w:kern w:val="0"/>
          <w:sz w:val="21"/>
          <w:szCs w:val="28"/>
          <w:lang w:val="zh-CN"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_Toc31080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2.1.1国家法律、法规及政策</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_Toc31080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24</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_Toc12334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2.1.2地方法律、法规及政策</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_Toc12334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26</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_Toc2653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2.1.3技术导则和规范</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_Toc2653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28</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_Toc26173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2.1.4行业技术标准、规范</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_Toc26173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29</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_Toc8580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2.1.5其他资料</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_Toc8580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_Toc6252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w:t>
      </w:r>
      <w:r>
        <w:rPr>
          <w:rFonts w:hint="default" w:ascii="Times New Roman" w:hAnsi="Times New Roman" w:eastAsia="宋体" w:cs="Times New Roman"/>
          <w:bCs w:val="0"/>
          <w:i w:val="0"/>
          <w:iCs w:val="0"/>
          <w:snapToGrid w:val="0"/>
          <w:color w:val="auto"/>
          <w:kern w:val="0"/>
          <w:sz w:val="21"/>
          <w:szCs w:val="28"/>
          <w:lang w:val="zh-CN" w:eastAsia="zh-CN" w:bidi="ar-SA"/>
        </w:rPr>
        <w:t xml:space="preserve">.2 </w:t>
      </w:r>
      <w:r>
        <w:rPr>
          <w:rFonts w:hint="default" w:ascii="Times New Roman" w:hAnsi="Times New Roman" w:eastAsia="宋体" w:cs="Times New Roman"/>
          <w:i w:val="0"/>
          <w:iCs w:val="0"/>
          <w:color w:val="auto"/>
          <w:kern w:val="2"/>
          <w:sz w:val="21"/>
          <w:szCs w:val="28"/>
          <w:lang w:val="en-US" w:eastAsia="zh-CN" w:bidi="ar-SA"/>
        </w:rPr>
        <w:t>评价目的</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_Toc6252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val="0"/>
          <w:i w:val="0"/>
          <w:iCs w:val="0"/>
          <w:snapToGrid w:val="0"/>
          <w:color w:val="auto"/>
          <w:kern w:val="0"/>
          <w:sz w:val="21"/>
          <w:szCs w:val="28"/>
          <w:lang w:val="zh-CN"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_Toc14640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w:t>
      </w:r>
      <w:r>
        <w:rPr>
          <w:rFonts w:hint="default" w:ascii="Times New Roman" w:hAnsi="Times New Roman" w:eastAsia="宋体" w:cs="Times New Roman"/>
          <w:bCs w:val="0"/>
          <w:i w:val="0"/>
          <w:iCs w:val="0"/>
          <w:snapToGrid w:val="0"/>
          <w:color w:val="auto"/>
          <w:kern w:val="0"/>
          <w:sz w:val="21"/>
          <w:szCs w:val="28"/>
          <w:lang w:val="zh-CN" w:eastAsia="zh-CN" w:bidi="ar-SA"/>
        </w:rPr>
        <w:t xml:space="preserve">.3 </w:t>
      </w:r>
      <w:r>
        <w:rPr>
          <w:rFonts w:hint="default" w:ascii="Times New Roman" w:hAnsi="Times New Roman" w:eastAsia="宋体" w:cs="Times New Roman"/>
          <w:i w:val="0"/>
          <w:iCs w:val="0"/>
          <w:color w:val="auto"/>
          <w:kern w:val="2"/>
          <w:sz w:val="21"/>
          <w:szCs w:val="28"/>
          <w:lang w:val="en-US" w:eastAsia="zh-CN" w:bidi="ar-SA"/>
        </w:rPr>
        <w:t>评价原则</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_Toc14640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val="0"/>
          <w:i w:val="0"/>
          <w:iCs w:val="0"/>
          <w:snapToGrid w:val="0"/>
          <w:color w:val="auto"/>
          <w:kern w:val="0"/>
          <w:sz w:val="21"/>
          <w:szCs w:val="28"/>
          <w:lang w:val="zh-CN"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_Toc1889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w:t>
      </w:r>
      <w:r>
        <w:rPr>
          <w:rFonts w:hint="default" w:ascii="Times New Roman" w:hAnsi="Times New Roman" w:eastAsia="宋体" w:cs="Times New Roman"/>
          <w:bCs w:val="0"/>
          <w:i w:val="0"/>
          <w:iCs w:val="0"/>
          <w:snapToGrid w:val="0"/>
          <w:color w:val="auto"/>
          <w:kern w:val="0"/>
          <w:sz w:val="21"/>
          <w:szCs w:val="28"/>
          <w:lang w:val="zh-CN" w:eastAsia="zh-CN" w:bidi="ar-SA"/>
        </w:rPr>
        <w:t xml:space="preserve">.4 </w:t>
      </w:r>
      <w:r>
        <w:rPr>
          <w:rFonts w:hint="default" w:ascii="Times New Roman" w:hAnsi="Times New Roman" w:eastAsia="宋体" w:cs="Times New Roman"/>
          <w:i w:val="0"/>
          <w:iCs w:val="0"/>
          <w:color w:val="auto"/>
          <w:kern w:val="2"/>
          <w:sz w:val="21"/>
          <w:szCs w:val="28"/>
          <w:lang w:val="en-US" w:eastAsia="zh-CN" w:bidi="ar-SA"/>
        </w:rPr>
        <w:t>环境功能区划</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_Toc1889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val="0"/>
          <w:i w:val="0"/>
          <w:iCs w:val="0"/>
          <w:snapToGrid w:val="0"/>
          <w:color w:val="auto"/>
          <w:kern w:val="0"/>
          <w:sz w:val="21"/>
          <w:szCs w:val="28"/>
          <w:lang w:val="zh-CN"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_Toc2180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2.4.1环境空气功能区划</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_Toc2180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_Toc2661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2.4.2地表水环境功能区划</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_Toc2661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_Toc23445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2.4.3声环境功能区划</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_Toc23445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_Toc28542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2.4.4地下水环境功能区划</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_Toc28542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32</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_Toc14727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2.4.5生态环境功能区划</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_Toc14727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32</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_Toc13712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2.4.6环境功能属性</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_Toc13712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32</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_Toc12475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w:t>
      </w:r>
      <w:r>
        <w:rPr>
          <w:rFonts w:hint="default" w:ascii="Times New Roman" w:hAnsi="Times New Roman" w:eastAsia="宋体" w:cs="Times New Roman"/>
          <w:bCs w:val="0"/>
          <w:i w:val="0"/>
          <w:iCs w:val="0"/>
          <w:snapToGrid w:val="0"/>
          <w:color w:val="auto"/>
          <w:kern w:val="0"/>
          <w:sz w:val="21"/>
          <w:szCs w:val="28"/>
          <w:lang w:val="zh-CN" w:eastAsia="zh-CN" w:bidi="ar-SA"/>
        </w:rPr>
        <w:t xml:space="preserve">.5 </w:t>
      </w:r>
      <w:r>
        <w:rPr>
          <w:rFonts w:hint="default" w:ascii="Times New Roman" w:hAnsi="Times New Roman" w:eastAsia="宋体" w:cs="Times New Roman"/>
          <w:i w:val="0"/>
          <w:iCs w:val="0"/>
          <w:color w:val="auto"/>
          <w:kern w:val="2"/>
          <w:sz w:val="21"/>
          <w:szCs w:val="28"/>
          <w:lang w:val="en-US" w:eastAsia="zh-CN" w:bidi="ar-SA"/>
        </w:rPr>
        <w:t>环境影响识别与评价因子筛选</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_Toc12475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val="0"/>
          <w:i w:val="0"/>
          <w:iCs w:val="0"/>
          <w:snapToGrid w:val="0"/>
          <w:color w:val="auto"/>
          <w:kern w:val="0"/>
          <w:sz w:val="21"/>
          <w:szCs w:val="28"/>
          <w:lang w:val="zh-CN"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_Toc14427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2.5.1主要环境影响识别</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_Toc14427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_Toc8518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2.5.2主要评价因子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_Toc8518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_Toc25997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w:t>
      </w:r>
      <w:r>
        <w:rPr>
          <w:rFonts w:hint="default" w:ascii="Times New Roman" w:hAnsi="Times New Roman" w:eastAsia="宋体" w:cs="Times New Roman"/>
          <w:bCs w:val="0"/>
          <w:i w:val="0"/>
          <w:iCs w:val="0"/>
          <w:snapToGrid w:val="0"/>
          <w:color w:val="auto"/>
          <w:kern w:val="0"/>
          <w:sz w:val="21"/>
          <w:szCs w:val="28"/>
          <w:lang w:val="zh-CN" w:eastAsia="zh-CN" w:bidi="ar-SA"/>
        </w:rPr>
        <w:t xml:space="preserve">.6 </w:t>
      </w:r>
      <w:r>
        <w:rPr>
          <w:rFonts w:hint="default" w:ascii="Times New Roman" w:hAnsi="Times New Roman" w:eastAsia="宋体" w:cs="Times New Roman"/>
          <w:i w:val="0"/>
          <w:iCs w:val="0"/>
          <w:color w:val="auto"/>
          <w:kern w:val="2"/>
          <w:sz w:val="21"/>
          <w:szCs w:val="28"/>
          <w:lang w:val="en-US" w:eastAsia="zh-CN" w:bidi="ar-SA"/>
        </w:rPr>
        <w:t>评价工作等级</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_Toc25997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41</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val="0"/>
          <w:i w:val="0"/>
          <w:iCs w:val="0"/>
          <w:snapToGrid w:val="0"/>
          <w:color w:val="auto"/>
          <w:kern w:val="0"/>
          <w:sz w:val="21"/>
          <w:szCs w:val="28"/>
          <w:lang w:val="zh-CN"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_Toc24652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2.6.1大气环境影响评价工作等级</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_Toc24652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41</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_Toc2885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2.6.2地表水环境影响评价工作等级</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_Toc2885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44</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_Toc8941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2.6.3声环境影响评价工作等级</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_Toc8941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45</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_Toc5039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2.6.4地下水环境影响评价工作等级</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_Toc5039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46</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_Toc21992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2.6.5生态环境影响评价工作等级</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_Toc21992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47</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_Toc24241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2.6.6土壤环境影响评价工作等级</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_Toc24241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47</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_Toc28458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2.6.7环境风险评价工作等级</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_Toc28458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48</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_Toc12728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w:t>
      </w:r>
      <w:r>
        <w:rPr>
          <w:rFonts w:hint="default" w:ascii="Times New Roman" w:hAnsi="Times New Roman" w:eastAsia="宋体" w:cs="Times New Roman"/>
          <w:bCs w:val="0"/>
          <w:i w:val="0"/>
          <w:iCs w:val="0"/>
          <w:snapToGrid w:val="0"/>
          <w:color w:val="auto"/>
          <w:kern w:val="0"/>
          <w:sz w:val="21"/>
          <w:szCs w:val="28"/>
          <w:lang w:val="zh-CN" w:eastAsia="zh-CN" w:bidi="ar-SA"/>
        </w:rPr>
        <w:t xml:space="preserve">.7 </w:t>
      </w:r>
      <w:r>
        <w:rPr>
          <w:rFonts w:hint="default" w:ascii="Times New Roman" w:hAnsi="Times New Roman" w:eastAsia="宋体" w:cs="Times New Roman"/>
          <w:i w:val="0"/>
          <w:iCs w:val="0"/>
          <w:color w:val="auto"/>
          <w:kern w:val="2"/>
          <w:sz w:val="21"/>
          <w:szCs w:val="28"/>
          <w:lang w:val="en-US" w:eastAsia="zh-CN" w:bidi="ar-SA"/>
        </w:rPr>
        <w:t>评价范围</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_Toc12728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49</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val="0"/>
          <w:i w:val="0"/>
          <w:iCs w:val="0"/>
          <w:snapToGrid w:val="0"/>
          <w:color w:val="auto"/>
          <w:kern w:val="0"/>
          <w:sz w:val="21"/>
          <w:szCs w:val="28"/>
          <w:lang w:val="zh-CN"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_Toc28883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2.7.1环境空气影响评价范围</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_Toc28883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49</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_Toc14114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2.7.2地表水环境影响评价范围</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_Toc14114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49</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_Toc20867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2.7.3噪声环境影响评价范围</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_Toc20867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49</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_Toc4579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2.7.4地下水环境影响评价范围</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_Toc4579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49</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_Toc23530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2.7.5生态环境影响评价范围</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_Toc23530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49</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_Toc28493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2.7.6土壤环境影响评价范围</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_Toc28493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49</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_Toc26604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2.7.7环境风险评价范围</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_Toc26604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49</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_Toc4136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w:t>
      </w:r>
      <w:r>
        <w:rPr>
          <w:rFonts w:hint="default" w:ascii="Times New Roman" w:hAnsi="Times New Roman" w:eastAsia="宋体" w:cs="Times New Roman"/>
          <w:bCs w:val="0"/>
          <w:i w:val="0"/>
          <w:iCs w:val="0"/>
          <w:snapToGrid w:val="0"/>
          <w:color w:val="auto"/>
          <w:kern w:val="0"/>
          <w:sz w:val="21"/>
          <w:szCs w:val="28"/>
          <w:lang w:val="zh-CN" w:eastAsia="zh-CN" w:bidi="ar-SA"/>
        </w:rPr>
        <w:t xml:space="preserve">.8 </w:t>
      </w:r>
      <w:r>
        <w:rPr>
          <w:rFonts w:hint="default" w:ascii="Times New Roman" w:hAnsi="Times New Roman" w:eastAsia="宋体" w:cs="Times New Roman"/>
          <w:i w:val="0"/>
          <w:iCs w:val="0"/>
          <w:color w:val="auto"/>
          <w:kern w:val="2"/>
          <w:sz w:val="21"/>
          <w:szCs w:val="28"/>
          <w:lang w:val="en-US" w:eastAsia="zh-CN" w:bidi="ar-SA"/>
        </w:rPr>
        <w:t>评价标准</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_Toc4136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50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val="0"/>
          <w:i w:val="0"/>
          <w:iCs w:val="0"/>
          <w:snapToGrid w:val="0"/>
          <w:color w:val="auto"/>
          <w:kern w:val="0"/>
          <w:sz w:val="21"/>
          <w:szCs w:val="28"/>
          <w:lang w:val="zh-CN"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_Toc8668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2.8.1环境质量标准</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_Toc8668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50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_Toc19323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2.8.2污染物排放标准</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_Toc19323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54</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_Toc30873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w:t>
      </w:r>
      <w:r>
        <w:rPr>
          <w:rFonts w:hint="default" w:ascii="Times New Roman" w:hAnsi="Times New Roman" w:eastAsia="宋体" w:cs="Times New Roman"/>
          <w:bCs w:val="0"/>
          <w:i w:val="0"/>
          <w:iCs w:val="0"/>
          <w:snapToGrid w:val="0"/>
          <w:color w:val="auto"/>
          <w:kern w:val="0"/>
          <w:sz w:val="21"/>
          <w:szCs w:val="28"/>
          <w:lang w:val="zh-CN" w:eastAsia="zh-CN" w:bidi="ar-SA"/>
        </w:rPr>
        <w:t xml:space="preserve">.9 </w:t>
      </w:r>
      <w:r>
        <w:rPr>
          <w:rFonts w:hint="default" w:ascii="Times New Roman" w:hAnsi="Times New Roman" w:eastAsia="宋体" w:cs="Times New Roman"/>
          <w:i w:val="0"/>
          <w:iCs w:val="0"/>
          <w:color w:val="auto"/>
          <w:kern w:val="2"/>
          <w:sz w:val="21"/>
          <w:szCs w:val="28"/>
          <w:lang w:val="en-US" w:eastAsia="zh-CN" w:bidi="ar-SA"/>
        </w:rPr>
        <w:t>污染控制与环境保护目标</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_Toc30873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56</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val="0"/>
          <w:i w:val="0"/>
          <w:iCs w:val="0"/>
          <w:snapToGrid w:val="0"/>
          <w:color w:val="auto"/>
          <w:kern w:val="0"/>
          <w:sz w:val="21"/>
          <w:szCs w:val="28"/>
          <w:lang w:val="zh-CN"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_Toc24763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2.9.1污染控制目标</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_Toc24763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56</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_Toc20886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2.9.2环境保护目标</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_Toc20886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57</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2"/>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_Toc23600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w:t>
      </w:r>
      <w:r>
        <w:rPr>
          <w:rFonts w:hint="default" w:ascii="Times New Roman" w:hAnsi="Times New Roman" w:eastAsia="宋体" w:cs="Times New Roman"/>
          <w:bCs/>
          <w:i w:val="0"/>
          <w:iCs w:val="0"/>
          <w:color w:val="auto"/>
          <w:kern w:val="44"/>
          <w:sz w:val="21"/>
          <w:szCs w:val="40"/>
          <w:lang w:val="en-US" w:eastAsia="zh-CN" w:bidi="ar-SA"/>
        </w:rPr>
        <w:t xml:space="preserve"> </w:t>
      </w:r>
      <w:r>
        <w:rPr>
          <w:rFonts w:hint="default" w:ascii="Times New Roman" w:hAnsi="Times New Roman" w:eastAsia="宋体" w:cs="Times New Roman"/>
          <w:i w:val="0"/>
          <w:iCs w:val="0"/>
          <w:color w:val="auto"/>
          <w:kern w:val="2"/>
          <w:sz w:val="21"/>
          <w:szCs w:val="40"/>
          <w:lang w:val="en-US" w:eastAsia="zh-CN" w:bidi="ar-SA"/>
        </w:rPr>
        <w:t>工程分析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_Toc23600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61</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i w:val="0"/>
          <w:iCs w:val="0"/>
          <w:color w:val="auto"/>
          <w:kern w:val="44"/>
          <w:sz w:val="21"/>
          <w:szCs w:val="40"/>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_Toc23057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3.1工程项目概况及工程分析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_Toc23057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61</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_Toc10198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3.1.1项目概况</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_Toc10198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61</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_Toc18175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3.1.2项目工程组成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_Toc18175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63</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_Toc29706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3.1.3公辅工程</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_Toc29706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73</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_Toc16056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3.1.4工程主要生产设备</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_Toc16056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74</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_Toc27622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3.1.5主要原辅材料及能源消耗情况</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_Toc27622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74</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_Toc13547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3.1.6兴宁市餐厨垃圾处理规模的确定</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_Toc13547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75</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_Toc2910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3.1.7兴宁市建筑垃圾处理规模的确定</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_Toc2910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78</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_Toc18926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3.1.8 收运方案及入场要求</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_Toc18926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81</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_Toc1336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3.1.9平衡分析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_Toc1336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86</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_Toc30811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3.1.10工艺流程</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_Toc30811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87</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_Toc21020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3.1.11主要产污环节</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_Toc21020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104</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_Toc1233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3.2施工期污染源分析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_Toc1233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105</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_Toc24695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3.3运营期污染源分析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_Toc24695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107</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_Toc5927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3.3.1污染源强（餐厨垃圾处理厂）</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_Toc5927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107</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_Toc26462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3.3.2污染源强（建筑垃圾消纳场）</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_Toc26462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120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_Toc26192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3.4非正常工况下主要大气污染物排放量</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_Toc26192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126</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_Toc30055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3.5拟建项目污染物排放量汇总</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_Toc30055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126</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_Toc21582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3.6总量控制</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_Toc21582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127</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_Toc17214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3.7清洁生产评价</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_Toc17214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127</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2"/>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_Toc751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w:t>
      </w:r>
      <w:r>
        <w:rPr>
          <w:rFonts w:hint="default" w:ascii="Times New Roman" w:hAnsi="Times New Roman" w:eastAsia="宋体" w:cs="Times New Roman"/>
          <w:bCs/>
          <w:i w:val="0"/>
          <w:iCs w:val="0"/>
          <w:color w:val="auto"/>
          <w:kern w:val="44"/>
          <w:sz w:val="21"/>
          <w:szCs w:val="40"/>
          <w:lang w:val="en-US" w:eastAsia="zh-CN" w:bidi="ar-SA"/>
        </w:rPr>
        <w:t xml:space="preserve"> </w:t>
      </w:r>
      <w:r>
        <w:rPr>
          <w:rFonts w:hint="default" w:ascii="Times New Roman" w:hAnsi="Times New Roman" w:eastAsia="宋体" w:cs="Times New Roman"/>
          <w:i w:val="0"/>
          <w:iCs w:val="0"/>
          <w:color w:val="auto"/>
          <w:kern w:val="2"/>
          <w:sz w:val="21"/>
          <w:szCs w:val="40"/>
          <w:lang w:val="en-US" w:eastAsia="zh-CN" w:bidi="ar-SA"/>
        </w:rPr>
        <w:t>环境现状调查与评价</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_Toc751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130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i w:val="0"/>
          <w:iCs w:val="0"/>
          <w:color w:val="auto"/>
          <w:kern w:val="44"/>
          <w:sz w:val="21"/>
          <w:szCs w:val="40"/>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_Toc20491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4.1自然环境现状调查与评价</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_Toc20491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130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_Toc28446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4.1.1地理位置</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_Toc28446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130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_Toc15841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4.1.2地形地貌</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_Toc15841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130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_Toc20496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4.1.3气象与气候</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_Toc20496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131</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_Toc22223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4.1.4河流水文</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_Toc22223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132</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_Toc8347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4.1.5土壤植被</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_Toc8347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132</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_Toc10059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4.1.6自然资源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_Toc10059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137</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_Toc11377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4.1.7项目周围污染源情况</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_Toc11377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137</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_Toc16647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4.2地表水环境质量现状监测与评价</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_Toc16647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138</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_Toc2080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4.2.1地表水例行监测断面环境质量现状</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_Toc2080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138</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_Toc4472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4.2.2地表水</w:t>
      </w:r>
      <w:r>
        <w:rPr>
          <w:rFonts w:hint="default" w:ascii="Times New Roman" w:hAnsi="Times New Roman" w:eastAsia="宋体" w:cs="Times New Roman"/>
          <w:bCs/>
          <w:i w:val="0"/>
          <w:iCs w:val="0"/>
          <w:color w:val="auto"/>
          <w:kern w:val="2"/>
          <w:sz w:val="21"/>
          <w:szCs w:val="28"/>
          <w:lang w:val="en-US" w:eastAsia="zh-CN" w:bidi="ar-SA"/>
        </w:rPr>
        <w:t>引用监测断面环境质量现状</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_Toc4472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138</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_Toc20983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4.3环境空气质量现状监测与评价</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_Toc20983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156</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_Toc20888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4.3.1</w:t>
      </w:r>
      <w:r>
        <w:rPr>
          <w:rFonts w:hint="default" w:ascii="Times New Roman" w:hAnsi="Times New Roman" w:eastAsia="宋体" w:cs="Times New Roman"/>
          <w:bCs/>
          <w:i w:val="0"/>
          <w:iCs w:val="0"/>
          <w:color w:val="auto"/>
          <w:kern w:val="2"/>
          <w:sz w:val="21"/>
          <w:szCs w:val="28"/>
          <w:lang w:val="en-US" w:eastAsia="zh-CN" w:bidi="ar-SA"/>
        </w:rPr>
        <w:t>项目所在区域环境空气质量达标判定</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_Toc20888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156</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_Toc19273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4.3.2环境空气质量现状引用监测</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_Toc19273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157</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_Toc168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4.4声环境质量现状监测与评价</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_Toc168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161</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_Toc5290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4.4.1引用监测点布设</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_Toc5290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161</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_Toc10741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4.4.2引用监测时间及频次</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_Toc10741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162</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_Toc27919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4.4.3引用监测分析方法</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_Toc27919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162</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_Toc30202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4.4.4评价标准</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_Toc30202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162</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_Toc4864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4.4.5评价方法</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_Toc4864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162</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_Toc18766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4.4.6监测结果与评价</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_Toc18766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163</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_Toc8245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4.5地下水环境质量现状监测与评价</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_Toc8245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164</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_Toc2108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4.5.1引用监测点布设</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_Toc2108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164</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_Toc15198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4.5.2引用监测项目</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_Toc15198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165</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_Toc3076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4.5.3引用监测采样时间及频次</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_Toc3076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165</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_Toc6372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4.5.4引用监测分析方法</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_Toc6372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165</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_Toc32514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4.5.5评价标准及方法</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_Toc32514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168</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_Toc19164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4.5.5.1评价标准</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_Toc19164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168</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_Toc16223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4.5.5.2评价方法</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_Toc16223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168</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_Toc8594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4.5.6监测结果与评价</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_Toc8594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169</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_Toc9205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4.6土壤环境质量现状监测与评价</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_Toc9205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174</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_Toc10569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4.6.1引用监测点布设</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_Toc10569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174</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_Toc7555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4.6.2引用监测项目</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_Toc7555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174</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_Toc30504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4.6.3引用采样及频次</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_Toc30504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175</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_Toc15982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4.6.4引用监测分析方法</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_Toc15982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175</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_Toc18031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4.6.5评价标准</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_Toc18031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180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_Toc17824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4.6.6监测结果与评价</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_Toc17824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180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_Toc12387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4.7生态环境质量现状调查与评价</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_Toc12387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184</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_Toc27972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0"/>
          <w:sz w:val="21"/>
          <w:szCs w:val="28"/>
          <w:lang w:val="zh-CN" w:eastAsia="zh-CN" w:bidi="ar-SA"/>
        </w:rPr>
        <w:t>4.7.1生态环境现状调查</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_Toc27972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184</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_Toc23703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4.7.1.1植物资源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_Toc23703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184</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_Toc1130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4.7.1.2主要群落类型及结构</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_Toc1130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185</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_Toc13434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0"/>
          <w:sz w:val="21"/>
          <w:szCs w:val="28"/>
          <w:lang w:val="zh-CN" w:eastAsia="zh-CN" w:bidi="ar-SA"/>
        </w:rPr>
        <w:t>4.7.2景观生态现状调查</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_Toc13434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186</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_Toc21218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0"/>
          <w:sz w:val="21"/>
          <w:szCs w:val="28"/>
          <w:lang w:val="zh-CN" w:eastAsia="zh-CN" w:bidi="ar-SA"/>
        </w:rPr>
        <w:t>4.7.3动物种群数量及分布</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_Toc21218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186</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2"/>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_Toc15440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40"/>
          <w:lang w:val="en-US" w:eastAsia="zh-CN" w:bidi="ar-SA"/>
        </w:rPr>
        <w:t>5环境影响评价</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_Toc15440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188</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_Toc201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5.1施工期环境影响分析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_Toc201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188</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_Toc1282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5.1.1工程施工概况</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_Toc1282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188</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_Toc18332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5.1.2施工期环境污染特征</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_Toc18332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188</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_Toc1389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5.1.3施工期环境影响分析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_Toc1389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188</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_Toc8401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5.2营运期环境影响预测与评价</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_Toc8401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195</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_Toc24335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GB" w:eastAsia="zh-CN" w:bidi="ar-SA"/>
        </w:rPr>
        <w:t>5.2.1大气</w:t>
      </w:r>
      <w:r>
        <w:rPr>
          <w:rFonts w:hint="default" w:ascii="Times New Roman" w:hAnsi="Times New Roman" w:eastAsia="宋体" w:cs="Times New Roman"/>
          <w:i w:val="0"/>
          <w:iCs w:val="0"/>
          <w:color w:val="auto"/>
          <w:kern w:val="2"/>
          <w:sz w:val="21"/>
          <w:szCs w:val="28"/>
          <w:lang w:val="en-US" w:eastAsia="zh-CN" w:bidi="ar-SA"/>
        </w:rPr>
        <w:t>环境影响分析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_Toc24335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195</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_Toc1603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5.2.2水环境影响分析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_Toc1603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200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_Toc29005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5.2.3地下水环境影响分析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_Toc29005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203</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_Toc15092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5.2.4噪声环境影响分析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_Toc15092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215</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_Toc30621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5.2.5固体废物环境影响分析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_Toc30621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216</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_Toc1782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5.2.6土壤环境影响分析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_Toc1782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219</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_Toc4703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5.2.7垃圾收运过程中环境影响分析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_Toc4703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221</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_Toc26486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5.2.8环境风险评价</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_Toc26486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225</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_Toc22318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5.2.9生态环境影响分析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_Toc22318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235</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_Toc31804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5.2.10 建筑垃圾消纳场封场期环境影响分析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_Toc31804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237</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2"/>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_Toc11492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6</w:t>
      </w:r>
      <w:r>
        <w:rPr>
          <w:rFonts w:hint="default" w:ascii="Times New Roman" w:hAnsi="Times New Roman" w:eastAsia="宋体" w:cs="Times New Roman"/>
          <w:bCs/>
          <w:i w:val="0"/>
          <w:iCs w:val="0"/>
          <w:color w:val="auto"/>
          <w:kern w:val="44"/>
          <w:sz w:val="21"/>
          <w:szCs w:val="40"/>
          <w:lang w:val="en-US" w:eastAsia="zh-CN" w:bidi="ar-SA"/>
        </w:rPr>
        <w:t xml:space="preserve"> </w:t>
      </w:r>
      <w:r>
        <w:rPr>
          <w:rFonts w:hint="default" w:ascii="Times New Roman" w:hAnsi="Times New Roman" w:eastAsia="宋体" w:cs="Times New Roman"/>
          <w:i w:val="0"/>
          <w:iCs w:val="0"/>
          <w:color w:val="auto"/>
          <w:kern w:val="2"/>
          <w:sz w:val="21"/>
          <w:szCs w:val="40"/>
          <w:lang w:val="en-US" w:eastAsia="zh-CN" w:bidi="ar-SA"/>
        </w:rPr>
        <w:t>污染防治措施及技术经济可行性论证</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_Toc11492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240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i w:val="0"/>
          <w:iCs w:val="0"/>
          <w:color w:val="auto"/>
          <w:kern w:val="44"/>
          <w:sz w:val="21"/>
          <w:szCs w:val="40"/>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_Toc1570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6</w:t>
      </w:r>
      <w:r>
        <w:rPr>
          <w:rFonts w:hint="default" w:ascii="Times New Roman" w:hAnsi="Times New Roman" w:eastAsia="宋体" w:cs="Times New Roman"/>
          <w:bCs/>
          <w:i w:val="0"/>
          <w:iCs w:val="0"/>
          <w:snapToGrid w:val="0"/>
          <w:color w:val="auto"/>
          <w:kern w:val="0"/>
          <w:sz w:val="21"/>
          <w:szCs w:val="28"/>
          <w:lang w:val="zh-CN" w:eastAsia="zh-CN" w:bidi="ar-SA"/>
        </w:rPr>
        <w:t xml:space="preserve">.1 </w:t>
      </w:r>
      <w:r>
        <w:rPr>
          <w:rFonts w:hint="default" w:ascii="Times New Roman" w:hAnsi="Times New Roman" w:eastAsia="宋体" w:cs="Times New Roman"/>
          <w:bCs/>
          <w:i w:val="0"/>
          <w:iCs w:val="0"/>
          <w:color w:val="auto"/>
          <w:kern w:val="2"/>
          <w:sz w:val="21"/>
          <w:szCs w:val="28"/>
          <w:lang w:val="en-US" w:eastAsia="zh-CN" w:bidi="ar-SA"/>
        </w:rPr>
        <w:t>施工期污染防治措施</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_Toc1570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240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i w:val="0"/>
          <w:iCs w:val="0"/>
          <w:snapToGrid w:val="0"/>
          <w:color w:val="auto"/>
          <w:kern w:val="0"/>
          <w:sz w:val="21"/>
          <w:szCs w:val="28"/>
          <w:lang w:val="zh-CN"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_Toc6324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6</w:t>
      </w:r>
      <w:r>
        <w:rPr>
          <w:rFonts w:hint="default" w:ascii="Times New Roman" w:hAnsi="Times New Roman" w:eastAsia="宋体" w:cs="Times New Roman"/>
          <w:bCs/>
          <w:i w:val="0"/>
          <w:iCs w:val="0"/>
          <w:color w:val="auto"/>
          <w:kern w:val="2"/>
          <w:sz w:val="21"/>
          <w:szCs w:val="36"/>
          <w:lang w:val="zh-CN" w:eastAsia="zh-CN" w:bidi="ar-SA"/>
        </w:rPr>
        <w:t xml:space="preserve">.1.1 </w:t>
      </w:r>
      <w:r>
        <w:rPr>
          <w:rFonts w:hint="default" w:ascii="Times New Roman" w:hAnsi="Times New Roman" w:eastAsia="宋体" w:cs="Times New Roman"/>
          <w:i w:val="0"/>
          <w:iCs w:val="0"/>
          <w:color w:val="auto"/>
          <w:kern w:val="2"/>
          <w:sz w:val="21"/>
          <w:szCs w:val="28"/>
          <w:lang w:val="en-US" w:eastAsia="zh-CN" w:bidi="ar-SA"/>
        </w:rPr>
        <w:t>施工扬尘污染防治措施</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_Toc6324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240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i w:val="0"/>
          <w:iCs w:val="0"/>
          <w:color w:val="auto"/>
          <w:kern w:val="2"/>
          <w:sz w:val="21"/>
          <w:szCs w:val="36"/>
          <w:lang w:val="zh-CN"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_Toc9808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6</w:t>
      </w:r>
      <w:r>
        <w:rPr>
          <w:rFonts w:hint="default" w:ascii="Times New Roman" w:hAnsi="Times New Roman" w:eastAsia="宋体" w:cs="Times New Roman"/>
          <w:bCs/>
          <w:i w:val="0"/>
          <w:iCs w:val="0"/>
          <w:color w:val="auto"/>
          <w:kern w:val="2"/>
          <w:sz w:val="21"/>
          <w:szCs w:val="36"/>
          <w:lang w:val="zh-CN" w:eastAsia="zh-CN" w:bidi="ar-SA"/>
        </w:rPr>
        <w:t xml:space="preserve">.1.2 </w:t>
      </w:r>
      <w:r>
        <w:rPr>
          <w:rFonts w:hint="default" w:ascii="Times New Roman" w:hAnsi="Times New Roman" w:eastAsia="宋体" w:cs="Times New Roman"/>
          <w:i w:val="0"/>
          <w:iCs w:val="0"/>
          <w:color w:val="auto"/>
          <w:kern w:val="2"/>
          <w:sz w:val="21"/>
          <w:szCs w:val="28"/>
          <w:lang w:val="en-US" w:eastAsia="zh-CN" w:bidi="ar-SA"/>
        </w:rPr>
        <w:t>施工噪声和振动防治措施</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_Toc9808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243</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i w:val="0"/>
          <w:iCs w:val="0"/>
          <w:color w:val="auto"/>
          <w:kern w:val="2"/>
          <w:sz w:val="21"/>
          <w:szCs w:val="36"/>
          <w:lang w:val="zh-CN"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_Toc3319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6</w:t>
      </w:r>
      <w:r>
        <w:rPr>
          <w:rFonts w:hint="default" w:ascii="Times New Roman" w:hAnsi="Times New Roman" w:eastAsia="宋体" w:cs="Times New Roman"/>
          <w:bCs/>
          <w:i w:val="0"/>
          <w:iCs w:val="0"/>
          <w:color w:val="auto"/>
          <w:kern w:val="2"/>
          <w:sz w:val="21"/>
          <w:szCs w:val="36"/>
          <w:lang w:val="zh-CN" w:eastAsia="zh-CN" w:bidi="ar-SA"/>
        </w:rPr>
        <w:t xml:space="preserve">.1.3 </w:t>
      </w:r>
      <w:r>
        <w:rPr>
          <w:rFonts w:hint="default" w:ascii="Times New Roman" w:hAnsi="Times New Roman" w:eastAsia="宋体" w:cs="Times New Roman"/>
          <w:i w:val="0"/>
          <w:iCs w:val="0"/>
          <w:color w:val="auto"/>
          <w:kern w:val="2"/>
          <w:sz w:val="21"/>
          <w:szCs w:val="28"/>
          <w:lang w:val="en-US" w:eastAsia="zh-CN" w:bidi="ar-SA"/>
        </w:rPr>
        <w:t>施工污水防治措施</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_Toc3319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243</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i w:val="0"/>
          <w:iCs w:val="0"/>
          <w:color w:val="auto"/>
          <w:kern w:val="2"/>
          <w:sz w:val="21"/>
          <w:szCs w:val="36"/>
          <w:lang w:val="zh-CN"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_Toc19516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6</w:t>
      </w:r>
      <w:r>
        <w:rPr>
          <w:rFonts w:hint="default" w:ascii="Times New Roman" w:hAnsi="Times New Roman" w:eastAsia="宋体" w:cs="Times New Roman"/>
          <w:bCs/>
          <w:i w:val="0"/>
          <w:iCs w:val="0"/>
          <w:color w:val="auto"/>
          <w:kern w:val="2"/>
          <w:sz w:val="21"/>
          <w:szCs w:val="36"/>
          <w:lang w:val="zh-CN" w:eastAsia="zh-CN" w:bidi="ar-SA"/>
        </w:rPr>
        <w:t xml:space="preserve">.1.4 </w:t>
      </w:r>
      <w:r>
        <w:rPr>
          <w:rFonts w:hint="default" w:ascii="Times New Roman" w:hAnsi="Times New Roman" w:eastAsia="宋体" w:cs="Times New Roman"/>
          <w:i w:val="0"/>
          <w:iCs w:val="0"/>
          <w:color w:val="auto"/>
          <w:kern w:val="2"/>
          <w:sz w:val="21"/>
          <w:szCs w:val="28"/>
          <w:lang w:val="en-US" w:eastAsia="zh-CN" w:bidi="ar-SA"/>
        </w:rPr>
        <w:t>施工垃圾防治措施</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_Toc19516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244</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i w:val="0"/>
          <w:iCs w:val="0"/>
          <w:color w:val="auto"/>
          <w:kern w:val="2"/>
          <w:sz w:val="21"/>
          <w:szCs w:val="36"/>
          <w:lang w:val="zh-CN"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_Toc4016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6</w:t>
      </w:r>
      <w:r>
        <w:rPr>
          <w:rFonts w:hint="default" w:ascii="Times New Roman" w:hAnsi="Times New Roman" w:eastAsia="宋体" w:cs="Times New Roman"/>
          <w:bCs/>
          <w:i w:val="0"/>
          <w:iCs w:val="0"/>
          <w:color w:val="auto"/>
          <w:kern w:val="2"/>
          <w:sz w:val="21"/>
          <w:szCs w:val="36"/>
          <w:lang w:val="zh-CN" w:eastAsia="zh-CN" w:bidi="ar-SA"/>
        </w:rPr>
        <w:t xml:space="preserve">.1.5 </w:t>
      </w:r>
      <w:r>
        <w:rPr>
          <w:rFonts w:hint="default" w:ascii="Times New Roman" w:hAnsi="Times New Roman" w:eastAsia="宋体" w:cs="Times New Roman"/>
          <w:i w:val="0"/>
          <w:iCs w:val="0"/>
          <w:color w:val="auto"/>
          <w:kern w:val="2"/>
          <w:sz w:val="21"/>
          <w:szCs w:val="28"/>
          <w:lang w:val="en-US" w:eastAsia="zh-CN" w:bidi="ar-SA"/>
        </w:rPr>
        <w:t>施工生态防治措施</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_Toc4016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244</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i w:val="0"/>
          <w:iCs w:val="0"/>
          <w:color w:val="auto"/>
          <w:kern w:val="2"/>
          <w:sz w:val="21"/>
          <w:szCs w:val="36"/>
          <w:lang w:val="zh-CN"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_Toc28860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6</w:t>
      </w:r>
      <w:r>
        <w:rPr>
          <w:rFonts w:hint="default" w:ascii="Times New Roman" w:hAnsi="Times New Roman" w:eastAsia="宋体" w:cs="Times New Roman"/>
          <w:bCs/>
          <w:i w:val="0"/>
          <w:iCs w:val="0"/>
          <w:color w:val="auto"/>
          <w:kern w:val="2"/>
          <w:sz w:val="21"/>
          <w:szCs w:val="36"/>
          <w:lang w:val="zh-CN" w:eastAsia="zh-CN" w:bidi="ar-SA"/>
        </w:rPr>
        <w:t xml:space="preserve">.1.6 </w:t>
      </w:r>
      <w:r>
        <w:rPr>
          <w:rFonts w:hint="default" w:ascii="Times New Roman" w:hAnsi="Times New Roman" w:eastAsia="宋体" w:cs="Times New Roman"/>
          <w:i w:val="0"/>
          <w:iCs w:val="0"/>
          <w:color w:val="auto"/>
          <w:kern w:val="2"/>
          <w:sz w:val="21"/>
          <w:szCs w:val="28"/>
          <w:lang w:val="en-US" w:eastAsia="zh-CN" w:bidi="ar-SA"/>
        </w:rPr>
        <w:t>施工监理</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_Toc28860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245</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i w:val="0"/>
          <w:iCs w:val="0"/>
          <w:color w:val="auto"/>
          <w:kern w:val="2"/>
          <w:sz w:val="21"/>
          <w:szCs w:val="36"/>
          <w:lang w:val="zh-CN"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_Toc32203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6</w:t>
      </w:r>
      <w:r>
        <w:rPr>
          <w:rFonts w:hint="default" w:ascii="Times New Roman" w:hAnsi="Times New Roman" w:eastAsia="宋体" w:cs="Times New Roman"/>
          <w:bCs/>
          <w:i w:val="0"/>
          <w:iCs w:val="0"/>
          <w:snapToGrid w:val="0"/>
          <w:color w:val="auto"/>
          <w:kern w:val="0"/>
          <w:sz w:val="21"/>
          <w:szCs w:val="28"/>
          <w:lang w:val="zh-CN" w:eastAsia="zh-CN" w:bidi="ar-SA"/>
        </w:rPr>
        <w:t xml:space="preserve">.2 </w:t>
      </w:r>
      <w:r>
        <w:rPr>
          <w:rFonts w:hint="default" w:ascii="Times New Roman" w:hAnsi="Times New Roman" w:eastAsia="宋体" w:cs="Times New Roman"/>
          <w:bCs/>
          <w:i w:val="0"/>
          <w:iCs w:val="0"/>
          <w:color w:val="auto"/>
          <w:kern w:val="2"/>
          <w:sz w:val="21"/>
          <w:szCs w:val="28"/>
          <w:lang w:val="en-US" w:eastAsia="zh-CN" w:bidi="ar-SA"/>
        </w:rPr>
        <w:t>营运期污染防治措施</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_Toc32203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247</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i w:val="0"/>
          <w:iCs w:val="0"/>
          <w:snapToGrid w:val="0"/>
          <w:color w:val="auto"/>
          <w:kern w:val="0"/>
          <w:sz w:val="21"/>
          <w:szCs w:val="28"/>
          <w:lang w:val="zh-CN"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_Toc28342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6</w:t>
      </w:r>
      <w:r>
        <w:rPr>
          <w:rFonts w:hint="default" w:ascii="Times New Roman" w:hAnsi="Times New Roman" w:eastAsia="宋体" w:cs="Times New Roman"/>
          <w:bCs/>
          <w:i w:val="0"/>
          <w:iCs w:val="0"/>
          <w:color w:val="auto"/>
          <w:kern w:val="2"/>
          <w:sz w:val="21"/>
          <w:szCs w:val="36"/>
          <w:lang w:val="zh-CN" w:eastAsia="zh-CN" w:bidi="ar-SA"/>
        </w:rPr>
        <w:t xml:space="preserve">.2.1 </w:t>
      </w:r>
      <w:r>
        <w:rPr>
          <w:rFonts w:hint="default" w:ascii="Times New Roman" w:hAnsi="Times New Roman" w:eastAsia="宋体" w:cs="Times New Roman"/>
          <w:i w:val="0"/>
          <w:iCs w:val="0"/>
          <w:color w:val="auto"/>
          <w:kern w:val="2"/>
          <w:sz w:val="21"/>
          <w:szCs w:val="28"/>
          <w:lang w:val="en-US" w:eastAsia="zh-CN" w:bidi="ar-SA"/>
        </w:rPr>
        <w:t>废气治理措施</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_Toc28342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247</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i w:val="0"/>
          <w:iCs w:val="0"/>
          <w:color w:val="auto"/>
          <w:kern w:val="2"/>
          <w:sz w:val="21"/>
          <w:szCs w:val="36"/>
          <w:lang w:val="zh-CN"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_Toc6556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6</w:t>
      </w:r>
      <w:r>
        <w:rPr>
          <w:rFonts w:hint="default" w:ascii="Times New Roman" w:hAnsi="Times New Roman" w:eastAsia="宋体" w:cs="Times New Roman"/>
          <w:bCs/>
          <w:i w:val="0"/>
          <w:iCs w:val="0"/>
          <w:color w:val="auto"/>
          <w:kern w:val="2"/>
          <w:sz w:val="21"/>
          <w:szCs w:val="36"/>
          <w:lang w:val="zh-CN" w:eastAsia="zh-CN" w:bidi="ar-SA"/>
        </w:rPr>
        <w:t xml:space="preserve">.2.2 </w:t>
      </w:r>
      <w:r>
        <w:rPr>
          <w:rFonts w:hint="default" w:ascii="Times New Roman" w:hAnsi="Times New Roman" w:eastAsia="宋体" w:cs="Times New Roman"/>
          <w:i w:val="0"/>
          <w:iCs w:val="0"/>
          <w:color w:val="auto"/>
          <w:kern w:val="2"/>
          <w:sz w:val="21"/>
          <w:szCs w:val="28"/>
          <w:lang w:val="en-US" w:eastAsia="zh-CN" w:bidi="ar-SA"/>
        </w:rPr>
        <w:t>废水治理措施</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_Toc6556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263</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i w:val="0"/>
          <w:iCs w:val="0"/>
          <w:color w:val="auto"/>
          <w:kern w:val="2"/>
          <w:sz w:val="21"/>
          <w:szCs w:val="36"/>
          <w:lang w:val="zh-CN"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_Toc3625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6</w:t>
      </w:r>
      <w:r>
        <w:rPr>
          <w:rFonts w:hint="default" w:ascii="Times New Roman" w:hAnsi="Times New Roman" w:eastAsia="宋体" w:cs="Times New Roman"/>
          <w:bCs/>
          <w:i w:val="0"/>
          <w:iCs w:val="0"/>
          <w:color w:val="auto"/>
          <w:kern w:val="2"/>
          <w:sz w:val="21"/>
          <w:szCs w:val="36"/>
          <w:lang w:val="zh-CN" w:eastAsia="zh-CN" w:bidi="ar-SA"/>
        </w:rPr>
        <w:t xml:space="preserve">.2.3 </w:t>
      </w:r>
      <w:r>
        <w:rPr>
          <w:rFonts w:hint="default" w:ascii="Times New Roman" w:hAnsi="Times New Roman" w:eastAsia="宋体" w:cs="Times New Roman"/>
          <w:i w:val="0"/>
          <w:iCs w:val="0"/>
          <w:color w:val="auto"/>
          <w:kern w:val="2"/>
          <w:sz w:val="21"/>
          <w:szCs w:val="28"/>
          <w:lang w:val="en-US" w:eastAsia="zh-CN" w:bidi="ar-SA"/>
        </w:rPr>
        <w:t>噪声治理措施</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_Toc3625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276</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i w:val="0"/>
          <w:iCs w:val="0"/>
          <w:color w:val="auto"/>
          <w:kern w:val="2"/>
          <w:sz w:val="21"/>
          <w:szCs w:val="36"/>
          <w:lang w:val="zh-CN"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_Toc17973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6</w:t>
      </w:r>
      <w:r>
        <w:rPr>
          <w:rFonts w:hint="default" w:ascii="Times New Roman" w:hAnsi="Times New Roman" w:eastAsia="宋体" w:cs="Times New Roman"/>
          <w:bCs/>
          <w:i w:val="0"/>
          <w:iCs w:val="0"/>
          <w:color w:val="auto"/>
          <w:kern w:val="2"/>
          <w:sz w:val="21"/>
          <w:szCs w:val="36"/>
          <w:lang w:val="zh-CN" w:eastAsia="zh-CN" w:bidi="ar-SA"/>
        </w:rPr>
        <w:t xml:space="preserve">.2.4 </w:t>
      </w:r>
      <w:r>
        <w:rPr>
          <w:rFonts w:hint="default" w:ascii="Times New Roman" w:hAnsi="Times New Roman" w:eastAsia="宋体" w:cs="Times New Roman"/>
          <w:i w:val="0"/>
          <w:iCs w:val="0"/>
          <w:color w:val="auto"/>
          <w:kern w:val="2"/>
          <w:sz w:val="21"/>
          <w:szCs w:val="28"/>
          <w:lang w:val="en-US" w:eastAsia="zh-CN" w:bidi="ar-SA"/>
        </w:rPr>
        <w:t>固废污染治理措施</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_Toc17973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279</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i w:val="0"/>
          <w:iCs w:val="0"/>
          <w:color w:val="auto"/>
          <w:kern w:val="2"/>
          <w:sz w:val="21"/>
          <w:szCs w:val="36"/>
          <w:lang w:val="zh-CN"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_Toc15526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6</w:t>
      </w:r>
      <w:r>
        <w:rPr>
          <w:rFonts w:hint="default" w:ascii="Times New Roman" w:hAnsi="Times New Roman" w:eastAsia="宋体" w:cs="Times New Roman"/>
          <w:bCs/>
          <w:i w:val="0"/>
          <w:iCs w:val="0"/>
          <w:color w:val="auto"/>
          <w:kern w:val="2"/>
          <w:sz w:val="21"/>
          <w:szCs w:val="36"/>
          <w:lang w:val="zh-CN" w:eastAsia="zh-CN" w:bidi="ar-SA"/>
        </w:rPr>
        <w:t xml:space="preserve">.2.5 </w:t>
      </w:r>
      <w:r>
        <w:rPr>
          <w:rFonts w:hint="default" w:ascii="Times New Roman" w:hAnsi="Times New Roman" w:eastAsia="宋体" w:cs="Times New Roman"/>
          <w:i w:val="0"/>
          <w:iCs w:val="0"/>
          <w:color w:val="auto"/>
          <w:kern w:val="2"/>
          <w:sz w:val="21"/>
          <w:szCs w:val="28"/>
          <w:lang w:val="en-US" w:eastAsia="zh-CN" w:bidi="ar-SA"/>
        </w:rPr>
        <w:t>地下水染控制措施</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_Toc15526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282</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i w:val="0"/>
          <w:iCs w:val="0"/>
          <w:color w:val="auto"/>
          <w:kern w:val="2"/>
          <w:sz w:val="21"/>
          <w:szCs w:val="36"/>
          <w:lang w:val="zh-CN"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_Toc7815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6</w:t>
      </w:r>
      <w:r>
        <w:rPr>
          <w:rFonts w:hint="default" w:ascii="Times New Roman" w:hAnsi="Times New Roman" w:eastAsia="宋体" w:cs="Times New Roman"/>
          <w:bCs/>
          <w:i w:val="0"/>
          <w:iCs w:val="0"/>
          <w:color w:val="auto"/>
          <w:kern w:val="2"/>
          <w:sz w:val="21"/>
          <w:szCs w:val="36"/>
          <w:lang w:val="zh-CN" w:eastAsia="zh-CN" w:bidi="ar-SA"/>
        </w:rPr>
        <w:t xml:space="preserve">.2.6 </w:t>
      </w:r>
      <w:r>
        <w:rPr>
          <w:rFonts w:hint="default" w:ascii="Times New Roman" w:hAnsi="Times New Roman" w:eastAsia="宋体" w:cs="Times New Roman"/>
          <w:i w:val="0"/>
          <w:iCs w:val="0"/>
          <w:color w:val="auto"/>
          <w:kern w:val="2"/>
          <w:sz w:val="21"/>
          <w:szCs w:val="28"/>
          <w:lang w:val="en-US" w:eastAsia="zh-CN" w:bidi="ar-SA"/>
        </w:rPr>
        <w:t>土壤染控制措施</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_Toc7815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288</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i w:val="0"/>
          <w:iCs w:val="0"/>
          <w:color w:val="auto"/>
          <w:kern w:val="2"/>
          <w:sz w:val="21"/>
          <w:szCs w:val="36"/>
          <w:lang w:val="zh-CN"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_Toc1654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6</w:t>
      </w:r>
      <w:r>
        <w:rPr>
          <w:rFonts w:hint="default" w:ascii="Times New Roman" w:hAnsi="Times New Roman" w:eastAsia="宋体" w:cs="Times New Roman"/>
          <w:bCs/>
          <w:i w:val="0"/>
          <w:iCs w:val="0"/>
          <w:color w:val="auto"/>
          <w:kern w:val="2"/>
          <w:sz w:val="21"/>
          <w:szCs w:val="36"/>
          <w:lang w:val="zh-CN" w:eastAsia="zh-CN" w:bidi="ar-SA"/>
        </w:rPr>
        <w:t xml:space="preserve">.2.7 </w:t>
      </w:r>
      <w:r>
        <w:rPr>
          <w:rFonts w:hint="default" w:ascii="Times New Roman" w:hAnsi="Times New Roman" w:eastAsia="宋体" w:cs="Times New Roman"/>
          <w:i w:val="0"/>
          <w:iCs w:val="0"/>
          <w:color w:val="auto"/>
          <w:kern w:val="2"/>
          <w:sz w:val="21"/>
          <w:szCs w:val="28"/>
          <w:lang w:val="en-US" w:eastAsia="zh-CN" w:bidi="ar-SA"/>
        </w:rPr>
        <w:t>环境风险管理</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_Toc1654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289</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bCs/>
          <w:i w:val="0"/>
          <w:iCs w:val="0"/>
          <w:color w:val="auto"/>
          <w:kern w:val="2"/>
          <w:sz w:val="21"/>
          <w:szCs w:val="36"/>
          <w:lang w:val="zh-CN"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_Toc20074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6.2.8环境风险应急预案</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_Toc20074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293</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_Toc15864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6.2.9运营期、封场后生态恢复措施</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_Toc15864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295</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_Toc1279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6.2.10项目</w:t>
      </w:r>
      <w:r>
        <w:rPr>
          <w:rFonts w:hint="default" w:ascii="Times New Roman" w:hAnsi="Times New Roman" w:cs="Times New Roman" w:eastAsiaTheme="minorEastAsia"/>
          <w:i w:val="0"/>
          <w:iCs w:val="0"/>
          <w:color w:val="auto"/>
          <w:kern w:val="2"/>
          <w:sz w:val="21"/>
          <w:szCs w:val="28"/>
          <w:lang w:val="en-US" w:eastAsia="zh-CN" w:bidi="ar-SA"/>
        </w:rPr>
        <w:t>“三同时”</w:t>
      </w:r>
      <w:r>
        <w:rPr>
          <w:rFonts w:hint="default" w:ascii="Times New Roman" w:hAnsi="Times New Roman" w:eastAsia="宋体" w:cs="Times New Roman"/>
          <w:i w:val="0"/>
          <w:iCs w:val="0"/>
          <w:color w:val="auto"/>
          <w:kern w:val="2"/>
          <w:sz w:val="21"/>
          <w:szCs w:val="28"/>
          <w:lang w:val="en-US" w:eastAsia="zh-CN" w:bidi="ar-SA"/>
        </w:rPr>
        <w:t>验收一览表</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_Toc1279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297</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2"/>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_Toc27399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7 环境影响经济损益分析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_Toc27399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300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_Toc21257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7.1环境影响经济损益分析的目的和内容</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_Toc21257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300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_Toc10848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7.2环保投资</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_Toc10848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300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_Toc7475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7.3社会环境效益</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_Toc7475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301</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_Toc9568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7.4经济效益分析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_Toc9568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302</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_Toc18780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7.5环境经济损益分析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_Toc18780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303</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2"/>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_Toc19603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8 环境管理与监测计划</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_Toc19603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304</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_Toc18265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8.1环境管理要求</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_Toc18265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304</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_Toc5106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8.2环境管理机构的设置及人员配备</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_Toc5106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304</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_Toc22747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8.3施工期环境管理和环境监理</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_Toc22747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305</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_Toc9655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8.3.1环境管理</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_Toc9655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305</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_Toc22862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8.3.2环境监理</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_Toc22862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306</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_Toc26932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8.3.3施工期环境监测计划</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_Toc26932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308</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_Toc3569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8.4污染物排放清单及管理要求</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_Toc3569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309</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_Toc25880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8.5营运期环境管理和监测计划</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_Toc25880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311</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_Toc1916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8.5.1环境管理</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_Toc1916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311</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_Toc246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8.5.2餐厨垃圾环境监测计划</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_Toc246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311</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_Toc10755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8.5.3建筑垃圾消纳场环境监测计划</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_Toc10755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312</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_Toc2076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8.5.4环境质量监测计划</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_Toc2076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312</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_Toc21761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8.5.5环境风险监测计划</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_Toc21761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313</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_Toc8179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8.6排污口规范化管理</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_Toc8179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314</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_Toc13487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8.7环境管理制度</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_Toc13487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315</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2"/>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_Toc13945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9 评价结论</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_Toc13945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316</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_Toc20238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9.1基本情况</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_Toc20238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316</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_Toc20901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9.2判断相关情况分析</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_Toc20901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317</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_Toc12881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9.3环境现状评价结论</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_Toc12881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318</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_Toc11941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9.4环境影响评价结论</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_Toc11941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320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_Toc6028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9.4.1水环境</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_Toc6028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320</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_Toc22621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9.4.2大气环境</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_Toc22621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321</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_Toc9164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9.4.3声环境</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_Toc9164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321</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_Toc22159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9.4.4固体废物</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_Toc22159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321</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_Toc774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9.4.5土壤环境</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_Toc774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322</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_Toc25490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9.4.6地下水环境</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_Toc25490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322</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23"/>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_Toc13191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9.4.7环境风险</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_Toc13191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322</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_Toc17548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9.5</w:t>
      </w:r>
      <w:r>
        <w:rPr>
          <w:rFonts w:hint="default" w:ascii="Times New Roman" w:hAnsi="Times New Roman" w:eastAsia="宋体" w:cs="Times New Roman"/>
          <w:i w:val="0"/>
          <w:iCs w:val="0"/>
          <w:color w:val="auto"/>
          <w:kern w:val="2"/>
          <w:sz w:val="21"/>
          <w:szCs w:val="32"/>
          <w:lang w:val="en-US" w:eastAsia="zh-CN" w:bidi="ar-SA"/>
        </w:rPr>
        <w:t>公众意见采纳情况</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_Toc17548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322</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_Toc19907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9.6环境影响经济损益分析结论</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_Toc19907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323</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_Toc121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9.7总量控制</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_Toc121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323</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pStyle w:val="39"/>
        <w:tabs>
          <w:tab w:val="right" w:leader="dot" w:pos="9070"/>
        </w:tabs>
        <w:rPr>
          <w:rFonts w:hint="default" w:ascii="Times New Roman" w:hAnsi="Times New Roman" w:eastAsia="宋体" w:cs="Times New Roman"/>
          <w:i w:val="0"/>
          <w:iCs w:val="0"/>
          <w:color w:val="auto"/>
          <w:kern w:val="2"/>
          <w:sz w:val="21"/>
          <w:szCs w:val="28"/>
          <w:lang w:val="en-US" w:eastAsia="zh-CN" w:bidi="ar-SA"/>
        </w:rPr>
      </w:pP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HYPERLINK \l _Toc13237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bCs/>
          <w:i w:val="0"/>
          <w:iCs w:val="0"/>
          <w:color w:val="auto"/>
          <w:kern w:val="2"/>
          <w:sz w:val="21"/>
          <w:szCs w:val="28"/>
          <w:lang w:val="en-US" w:eastAsia="zh-CN" w:bidi="ar-SA"/>
        </w:rPr>
        <w:t>9.8综合结论</w:t>
      </w:r>
      <w:r>
        <w:rPr>
          <w:rFonts w:hint="default" w:ascii="Times New Roman" w:hAnsi="Times New Roman" w:eastAsia="宋体" w:cs="Times New Roman"/>
          <w:i w:val="0"/>
          <w:iCs w:val="0"/>
          <w:color w:val="auto"/>
          <w:kern w:val="2"/>
          <w:sz w:val="21"/>
          <w:szCs w:val="28"/>
          <w:lang w:val="en-US" w:eastAsia="zh-CN" w:bidi="ar-SA"/>
        </w:rPr>
        <w:tab/>
      </w:r>
      <w:r>
        <w:rPr>
          <w:rFonts w:hint="default" w:ascii="Times New Roman" w:hAnsi="Times New Roman" w:eastAsia="宋体" w:cs="Times New Roman"/>
          <w:i w:val="0"/>
          <w:iCs w:val="0"/>
          <w:color w:val="auto"/>
          <w:kern w:val="2"/>
          <w:sz w:val="21"/>
          <w:szCs w:val="28"/>
          <w:lang w:val="en-US" w:eastAsia="zh-CN" w:bidi="ar-SA"/>
        </w:rPr>
        <w:fldChar w:fldCharType="begin"/>
      </w:r>
      <w:r>
        <w:rPr>
          <w:rFonts w:hint="default" w:ascii="Times New Roman" w:hAnsi="Times New Roman" w:eastAsia="宋体" w:cs="Times New Roman"/>
          <w:i w:val="0"/>
          <w:iCs w:val="0"/>
          <w:color w:val="auto"/>
          <w:kern w:val="2"/>
          <w:sz w:val="21"/>
          <w:szCs w:val="28"/>
          <w:lang w:val="en-US" w:eastAsia="zh-CN" w:bidi="ar-SA"/>
        </w:rPr>
        <w:instrText xml:space="preserve"> PAGEREF _Toc13237 </w:instrText>
      </w:r>
      <w:r>
        <w:rPr>
          <w:rFonts w:hint="default" w:ascii="Times New Roman" w:hAnsi="Times New Roman" w:eastAsia="宋体" w:cs="Times New Roman"/>
          <w:i w:val="0"/>
          <w:iCs w:val="0"/>
          <w:color w:val="auto"/>
          <w:kern w:val="2"/>
          <w:sz w:val="21"/>
          <w:szCs w:val="28"/>
          <w:lang w:val="en-US" w:eastAsia="zh-CN" w:bidi="ar-SA"/>
        </w:rPr>
        <w:fldChar w:fldCharType="separate"/>
      </w:r>
      <w:r>
        <w:rPr>
          <w:rFonts w:hint="default" w:ascii="Times New Roman" w:hAnsi="Times New Roman" w:eastAsia="宋体" w:cs="Times New Roman"/>
          <w:i w:val="0"/>
          <w:iCs w:val="0"/>
          <w:color w:val="auto"/>
          <w:kern w:val="2"/>
          <w:sz w:val="21"/>
          <w:szCs w:val="28"/>
          <w:lang w:val="en-US" w:eastAsia="zh-CN" w:bidi="ar-SA"/>
        </w:rPr>
        <w:t>323</w:t>
      </w:r>
      <w:r>
        <w:rPr>
          <w:rFonts w:hint="default" w:ascii="Times New Roman" w:hAnsi="Times New Roman" w:eastAsia="宋体" w:cs="Times New Roman"/>
          <w:i w:val="0"/>
          <w:iCs w:val="0"/>
          <w:color w:val="auto"/>
          <w:kern w:val="2"/>
          <w:sz w:val="21"/>
          <w:szCs w:val="28"/>
          <w:lang w:val="en-US" w:eastAsia="zh-CN" w:bidi="ar-SA"/>
        </w:rPr>
        <w:fldChar w:fldCharType="end"/>
      </w:r>
      <w:r>
        <w:rPr>
          <w:rFonts w:hint="default" w:ascii="Times New Roman" w:hAnsi="Times New Roman" w:eastAsia="宋体" w:cs="Times New Roman"/>
          <w:i w:val="0"/>
          <w:iCs w:val="0"/>
          <w:color w:val="auto"/>
          <w:kern w:val="2"/>
          <w:sz w:val="21"/>
          <w:szCs w:val="28"/>
          <w:lang w:val="en-US" w:eastAsia="zh-CN" w:bidi="ar-SA"/>
        </w:rPr>
        <w:fldChar w:fldCharType="end"/>
      </w:r>
    </w:p>
    <w:p>
      <w:pPr>
        <w:spacing w:line="276" w:lineRule="auto"/>
        <w:jc w:val="center"/>
        <w:rPr>
          <w:rStyle w:val="50"/>
          <w:color w:val="auto"/>
        </w:rPr>
      </w:pPr>
      <w:r>
        <w:rPr>
          <w:color w:val="auto"/>
        </w:rPr>
        <w:fldChar w:fldCharType="end"/>
      </w:r>
    </w:p>
    <w:p>
      <w:pPr>
        <w:rPr>
          <w:b/>
          <w:color w:val="auto"/>
        </w:rPr>
      </w:pPr>
      <w:r>
        <w:rPr>
          <w:b/>
          <w:color w:val="auto"/>
        </w:rPr>
        <w:t>附件：</w:t>
      </w:r>
    </w:p>
    <w:p>
      <w:pPr>
        <w:spacing w:line="360" w:lineRule="auto"/>
        <w:ind w:firstLine="482"/>
        <w:jc w:val="both"/>
        <w:rPr>
          <w:color w:val="auto"/>
        </w:rPr>
      </w:pPr>
      <w:bookmarkStart w:id="7" w:name="_Hlk23157477"/>
      <w:r>
        <w:rPr>
          <w:color w:val="auto"/>
        </w:rPr>
        <w:t>附件1：环评委托书；</w:t>
      </w:r>
    </w:p>
    <w:p>
      <w:pPr>
        <w:spacing w:line="360" w:lineRule="auto"/>
        <w:ind w:firstLine="482"/>
        <w:jc w:val="both"/>
        <w:rPr>
          <w:color w:val="auto"/>
        </w:rPr>
      </w:pPr>
      <w:r>
        <w:rPr>
          <w:color w:val="auto"/>
        </w:rPr>
        <w:t>附件2：统一社会信用代码证；</w:t>
      </w:r>
    </w:p>
    <w:p>
      <w:pPr>
        <w:spacing w:line="360" w:lineRule="auto"/>
        <w:ind w:firstLine="482"/>
        <w:jc w:val="both"/>
        <w:rPr>
          <w:color w:val="auto"/>
        </w:rPr>
      </w:pPr>
      <w:r>
        <w:rPr>
          <w:color w:val="auto"/>
        </w:rPr>
        <w:t>附件3：</w:t>
      </w:r>
      <w:r>
        <w:rPr>
          <w:rFonts w:hint="eastAsia"/>
          <w:color w:val="auto"/>
        </w:rPr>
        <w:t>建设</w:t>
      </w:r>
      <w:r>
        <w:rPr>
          <w:color w:val="auto"/>
        </w:rPr>
        <w:t>项目选址意见书；</w:t>
      </w:r>
    </w:p>
    <w:p>
      <w:pPr>
        <w:spacing w:line="360" w:lineRule="auto"/>
        <w:ind w:firstLine="482"/>
        <w:jc w:val="both"/>
        <w:rPr>
          <w:color w:val="auto"/>
        </w:rPr>
      </w:pPr>
      <w:r>
        <w:rPr>
          <w:color w:val="auto"/>
        </w:rPr>
        <w:t>附件4：关于对兴宁市静脉产业园项目的用地预审意见；</w:t>
      </w:r>
    </w:p>
    <w:p>
      <w:pPr>
        <w:spacing w:line="360" w:lineRule="auto"/>
        <w:ind w:firstLine="482"/>
        <w:jc w:val="both"/>
        <w:rPr>
          <w:color w:val="auto"/>
        </w:rPr>
      </w:pPr>
      <w:r>
        <w:rPr>
          <w:color w:val="auto"/>
        </w:rPr>
        <w:t>附件5：使用林地审核同意书；</w:t>
      </w:r>
    </w:p>
    <w:p>
      <w:pPr>
        <w:spacing w:line="360" w:lineRule="auto"/>
        <w:ind w:firstLine="482"/>
        <w:jc w:val="both"/>
        <w:rPr>
          <w:color w:val="auto"/>
        </w:rPr>
      </w:pPr>
      <w:r>
        <w:rPr>
          <w:color w:val="auto"/>
        </w:rPr>
        <w:t>附件6：关于《申请办理兴宁市静脉产业园项目环保预审意见》的环保意见；</w:t>
      </w:r>
    </w:p>
    <w:p>
      <w:pPr>
        <w:spacing w:line="360" w:lineRule="auto"/>
        <w:ind w:firstLine="482"/>
        <w:jc w:val="both"/>
        <w:rPr>
          <w:color w:val="auto"/>
        </w:rPr>
      </w:pPr>
      <w:r>
        <w:rPr>
          <w:color w:val="auto"/>
        </w:rPr>
        <w:t>附件7：兴宁市发展和改革局关于兴宁市静脉产业园项目建议书的批复；</w:t>
      </w:r>
    </w:p>
    <w:p>
      <w:pPr>
        <w:spacing w:line="360" w:lineRule="auto"/>
        <w:ind w:firstLine="482"/>
        <w:jc w:val="both"/>
        <w:rPr>
          <w:color w:val="auto"/>
        </w:rPr>
      </w:pPr>
      <w:r>
        <w:rPr>
          <w:color w:val="auto"/>
        </w:rPr>
        <w:t>附件8：关于调整</w:t>
      </w:r>
      <w:r>
        <w:rPr>
          <w:rFonts w:asciiTheme="minorEastAsia" w:hAnsiTheme="minorEastAsia" w:eastAsiaTheme="minorEastAsia"/>
          <w:color w:val="auto"/>
        </w:rPr>
        <w:t>“十三五”</w:t>
      </w:r>
      <w:r>
        <w:rPr>
          <w:color w:val="auto"/>
        </w:rPr>
        <w:t>规划期生活垃圾处理设施建设项目的申请；</w:t>
      </w:r>
    </w:p>
    <w:bookmarkEnd w:id="7"/>
    <w:p>
      <w:pPr>
        <w:spacing w:line="360" w:lineRule="auto"/>
        <w:ind w:firstLine="480"/>
        <w:rPr>
          <w:color w:val="auto"/>
        </w:rPr>
      </w:pPr>
      <w:r>
        <w:rPr>
          <w:color w:val="auto"/>
        </w:rPr>
        <w:t>附件9：兴宁市发展和改革局关于兴宁市静脉产业园项目</w:t>
      </w:r>
      <w:r>
        <w:rPr>
          <w:rFonts w:hint="eastAsia"/>
          <w:color w:val="auto"/>
        </w:rPr>
        <w:t>可行性研究报告</w:t>
      </w:r>
      <w:r>
        <w:rPr>
          <w:color w:val="auto"/>
        </w:rPr>
        <w:t>的批复；</w:t>
      </w:r>
    </w:p>
    <w:p>
      <w:pPr>
        <w:spacing w:line="360" w:lineRule="auto"/>
        <w:ind w:firstLine="480"/>
        <w:rPr>
          <w:color w:val="auto"/>
        </w:rPr>
      </w:pPr>
      <w:r>
        <w:rPr>
          <w:color w:val="auto"/>
        </w:rPr>
        <w:t>附件10：环境质量现状监测报告；</w:t>
      </w:r>
    </w:p>
    <w:p>
      <w:pPr>
        <w:spacing w:line="360" w:lineRule="auto"/>
        <w:ind w:firstLine="480"/>
        <w:rPr>
          <w:color w:val="auto"/>
        </w:rPr>
      </w:pPr>
      <w:r>
        <w:rPr>
          <w:rFonts w:hint="eastAsia"/>
          <w:color w:val="auto"/>
        </w:rPr>
        <w:t>附件1</w:t>
      </w:r>
      <w:r>
        <w:rPr>
          <w:color w:val="auto"/>
        </w:rPr>
        <w:t>1</w:t>
      </w:r>
      <w:r>
        <w:rPr>
          <w:rFonts w:hint="eastAsia"/>
          <w:color w:val="auto"/>
        </w:rPr>
        <w:t>：兴宁市环境保护局关于兴宁市静脉产业园P</w:t>
      </w:r>
      <w:r>
        <w:rPr>
          <w:color w:val="auto"/>
        </w:rPr>
        <w:t>PP</w:t>
      </w:r>
      <w:r>
        <w:rPr>
          <w:rFonts w:hint="eastAsia"/>
          <w:color w:val="auto"/>
        </w:rPr>
        <w:t>项目环境影响评价执行标准的函；</w:t>
      </w:r>
    </w:p>
    <w:p>
      <w:pPr>
        <w:spacing w:line="360" w:lineRule="auto"/>
        <w:ind w:firstLine="480"/>
        <w:rPr>
          <w:rFonts w:hint="eastAsia"/>
          <w:color w:val="auto"/>
        </w:rPr>
      </w:pPr>
      <w:r>
        <w:rPr>
          <w:rFonts w:hint="eastAsia"/>
          <w:color w:val="auto"/>
        </w:rPr>
        <w:t>附件1</w:t>
      </w:r>
      <w:r>
        <w:rPr>
          <w:color w:val="auto"/>
        </w:rPr>
        <w:t>2</w:t>
      </w:r>
      <w:r>
        <w:rPr>
          <w:rFonts w:hint="eastAsia"/>
          <w:color w:val="auto"/>
        </w:rPr>
        <w:t>：梅州市生态环境局关于兴宁市静脉产业园P</w:t>
      </w:r>
      <w:r>
        <w:rPr>
          <w:color w:val="auto"/>
        </w:rPr>
        <w:t>PP</w:t>
      </w:r>
      <w:r>
        <w:rPr>
          <w:rFonts w:hint="eastAsia"/>
          <w:color w:val="auto"/>
        </w:rPr>
        <w:t>项目环境影响报告书的批复；</w:t>
      </w:r>
    </w:p>
    <w:p>
      <w:pPr>
        <w:spacing w:line="360" w:lineRule="auto"/>
        <w:ind w:firstLine="480"/>
        <w:rPr>
          <w:rFonts w:hint="eastAsia"/>
          <w:color w:val="auto"/>
          <w:lang w:eastAsia="zh-CN"/>
        </w:rPr>
      </w:pPr>
      <w:r>
        <w:rPr>
          <w:rFonts w:hint="eastAsia"/>
          <w:color w:val="auto"/>
        </w:rPr>
        <w:t>附件</w:t>
      </w:r>
      <w:r>
        <w:rPr>
          <w:rFonts w:hint="eastAsia"/>
          <w:color w:val="auto"/>
          <w:lang w:val="en-US" w:eastAsia="zh-CN"/>
        </w:rPr>
        <w:t>13</w:t>
      </w:r>
      <w:r>
        <w:rPr>
          <w:rFonts w:hint="eastAsia"/>
          <w:color w:val="auto"/>
        </w:rPr>
        <w:t>：</w:t>
      </w:r>
      <w:r>
        <w:rPr>
          <w:rFonts w:hint="eastAsia"/>
          <w:color w:val="auto"/>
          <w:lang w:eastAsia="zh-CN"/>
        </w:rPr>
        <w:t>引用曾坑水库监测报告</w:t>
      </w:r>
    </w:p>
    <w:p>
      <w:pPr>
        <w:spacing w:line="360" w:lineRule="auto"/>
        <w:ind w:firstLine="480"/>
        <w:rPr>
          <w:rFonts w:hint="eastAsia"/>
          <w:color w:val="auto"/>
          <w:lang w:eastAsia="zh-CN"/>
        </w:rPr>
      </w:pPr>
      <w:r>
        <w:rPr>
          <w:color w:val="auto"/>
        </w:rPr>
        <w:t>附件1</w:t>
      </w:r>
      <w:r>
        <w:rPr>
          <w:rFonts w:hint="eastAsia"/>
          <w:color w:val="auto"/>
          <w:lang w:val="en-US" w:eastAsia="zh-CN"/>
        </w:rPr>
        <w:t>4</w:t>
      </w:r>
      <w:r>
        <w:rPr>
          <w:color w:val="auto"/>
        </w:rPr>
        <w:t>：</w:t>
      </w:r>
      <w:r>
        <w:rPr>
          <w:rFonts w:hint="eastAsia"/>
          <w:color w:val="auto"/>
        </w:rPr>
        <w:t>广州安芮洁环保科技有限公司餐厨垃圾黑水虻处理项目</w:t>
      </w:r>
      <w:r>
        <w:rPr>
          <w:rFonts w:hint="eastAsia"/>
          <w:color w:val="auto"/>
          <w:lang w:eastAsia="zh-CN"/>
        </w:rPr>
        <w:t>监测报告</w:t>
      </w:r>
    </w:p>
    <w:p>
      <w:pPr>
        <w:spacing w:line="360" w:lineRule="auto"/>
        <w:ind w:firstLine="480"/>
        <w:rPr>
          <w:rFonts w:hint="eastAsia"/>
          <w:color w:val="auto"/>
          <w:lang w:eastAsia="zh-CN"/>
        </w:rPr>
      </w:pPr>
      <w:r>
        <w:rPr>
          <w:color w:val="auto"/>
        </w:rPr>
        <w:t>附件1</w:t>
      </w:r>
      <w:r>
        <w:rPr>
          <w:rFonts w:hint="eastAsia"/>
          <w:color w:val="auto"/>
          <w:lang w:val="en-US" w:eastAsia="zh-CN"/>
        </w:rPr>
        <w:t>5</w:t>
      </w:r>
      <w:r>
        <w:rPr>
          <w:color w:val="auto"/>
        </w:rPr>
        <w:t>：</w:t>
      </w:r>
      <w:r>
        <w:rPr>
          <w:rFonts w:hint="eastAsia"/>
          <w:color w:val="auto"/>
        </w:rPr>
        <w:t>兴宁市静脉产业园项目（餐厨垃圾处理厂和建筑垃圾消纳场</w:t>
      </w:r>
      <w:r>
        <w:rPr>
          <w:rFonts w:hint="eastAsia"/>
          <w:color w:val="auto"/>
          <w:lang w:eastAsia="zh-CN"/>
        </w:rPr>
        <w:t>）专家评审会意见</w:t>
      </w:r>
    </w:p>
    <w:p>
      <w:pPr>
        <w:spacing w:line="360" w:lineRule="auto"/>
        <w:ind w:firstLine="480"/>
        <w:rPr>
          <w:rFonts w:hint="eastAsia"/>
          <w:color w:val="auto"/>
          <w:lang w:eastAsia="zh-CN"/>
        </w:rPr>
      </w:pPr>
      <w:r>
        <w:rPr>
          <w:rFonts w:hint="eastAsia"/>
          <w:color w:val="auto"/>
          <w:lang w:eastAsia="zh-CN"/>
        </w:rPr>
        <w:t>附件</w:t>
      </w:r>
      <w:r>
        <w:rPr>
          <w:rFonts w:hint="eastAsia"/>
          <w:color w:val="auto"/>
          <w:lang w:val="en-US" w:eastAsia="zh-CN"/>
        </w:rPr>
        <w:t>16：</w:t>
      </w:r>
      <w:r>
        <w:rPr>
          <w:rFonts w:hint="eastAsia"/>
          <w:color w:val="auto"/>
        </w:rPr>
        <w:t>兴宁市静脉产业园项目（餐厨垃圾处理厂和建筑垃圾消纳场</w:t>
      </w:r>
      <w:r>
        <w:rPr>
          <w:rFonts w:hint="eastAsia"/>
          <w:color w:val="auto"/>
          <w:lang w:eastAsia="zh-CN"/>
        </w:rPr>
        <w:t>）专家意见会意见修改回应单</w:t>
      </w:r>
    </w:p>
    <w:p>
      <w:pPr>
        <w:spacing w:line="360" w:lineRule="auto"/>
        <w:ind w:firstLine="480"/>
        <w:rPr>
          <w:color w:val="auto"/>
        </w:rPr>
      </w:pPr>
      <w:r>
        <w:rPr>
          <w:rFonts w:hint="eastAsia"/>
          <w:color w:val="auto"/>
          <w:lang w:eastAsia="zh-CN"/>
        </w:rPr>
        <w:t>附件</w:t>
      </w:r>
      <w:r>
        <w:rPr>
          <w:rFonts w:hint="eastAsia"/>
          <w:color w:val="auto"/>
          <w:lang w:val="en-US" w:eastAsia="zh-CN"/>
        </w:rPr>
        <w:t>17：</w:t>
      </w:r>
      <w:r>
        <w:rPr>
          <w:color w:val="auto"/>
        </w:rPr>
        <w:t>环评审批基础信息表。</w:t>
      </w:r>
    </w:p>
    <w:p>
      <w:pPr>
        <w:spacing w:line="360" w:lineRule="auto"/>
        <w:ind w:firstLine="480"/>
        <w:rPr>
          <w:color w:val="auto"/>
        </w:rPr>
      </w:pPr>
    </w:p>
    <w:p>
      <w:pPr>
        <w:spacing w:line="360" w:lineRule="auto"/>
        <w:ind w:firstLine="480"/>
        <w:rPr>
          <w:color w:val="auto"/>
        </w:rPr>
        <w:sectPr>
          <w:footerReference r:id="rId9" w:type="default"/>
          <w:pgSz w:w="11906" w:h="16838"/>
          <w:pgMar w:top="1418" w:right="1418" w:bottom="1418" w:left="1418" w:header="992" w:footer="992" w:gutter="0"/>
          <w:pgNumType w:fmt="upperRoman" w:start="1"/>
          <w:cols w:space="425" w:num="1"/>
          <w:docGrid w:type="lines" w:linePitch="326" w:charSpace="0"/>
        </w:sectPr>
      </w:pPr>
    </w:p>
    <w:p>
      <w:pPr>
        <w:pStyle w:val="2"/>
        <w:spacing w:before="0" w:after="0" w:line="360" w:lineRule="auto"/>
        <w:rPr>
          <w:color w:val="auto"/>
          <w:sz w:val="36"/>
          <w:szCs w:val="36"/>
        </w:rPr>
      </w:pPr>
      <w:bookmarkStart w:id="8" w:name="_Toc23263139"/>
      <w:bookmarkStart w:id="9" w:name="_Toc14380"/>
      <w:bookmarkStart w:id="10" w:name="_Toc24136680"/>
      <w:bookmarkStart w:id="11" w:name="_Toc14943298"/>
      <w:r>
        <w:rPr>
          <w:color w:val="auto"/>
          <w:sz w:val="36"/>
          <w:szCs w:val="36"/>
        </w:rPr>
        <w:t>概述</w:t>
      </w:r>
      <w:bookmarkEnd w:id="8"/>
      <w:bookmarkEnd w:id="9"/>
      <w:bookmarkEnd w:id="10"/>
    </w:p>
    <w:p>
      <w:pPr>
        <w:pStyle w:val="3"/>
        <w:rPr>
          <w:rFonts w:ascii="Times New Roman"/>
          <w:color w:val="auto"/>
        </w:rPr>
      </w:pPr>
      <w:bookmarkStart w:id="12" w:name="_Toc24136681"/>
      <w:bookmarkStart w:id="13" w:name="_Toc15624"/>
      <w:bookmarkStart w:id="14" w:name="_Toc23263140"/>
      <w:r>
        <w:rPr>
          <w:rFonts w:ascii="Times New Roman"/>
          <w:color w:val="auto"/>
        </w:rPr>
        <w:t>项目由来</w:t>
      </w:r>
      <w:bookmarkEnd w:id="11"/>
      <w:bookmarkEnd w:id="12"/>
      <w:bookmarkEnd w:id="13"/>
      <w:bookmarkEnd w:id="14"/>
    </w:p>
    <w:p>
      <w:pPr>
        <w:spacing w:line="360" w:lineRule="auto"/>
        <w:ind w:firstLine="480"/>
        <w:jc w:val="both"/>
        <w:rPr>
          <w:color w:val="auto"/>
        </w:rPr>
      </w:pPr>
      <w:r>
        <w:rPr>
          <w:bCs/>
          <w:color w:val="auto"/>
        </w:rPr>
        <w:t>兴宁市静脉产业园</w:t>
      </w:r>
      <w:r>
        <w:rPr>
          <w:rFonts w:hint="eastAsia"/>
          <w:bCs/>
          <w:color w:val="auto"/>
        </w:rPr>
        <w:t>P</w:t>
      </w:r>
      <w:r>
        <w:rPr>
          <w:bCs/>
          <w:color w:val="auto"/>
        </w:rPr>
        <w:t>PP项目</w:t>
      </w:r>
      <w:r>
        <w:rPr>
          <w:rFonts w:hint="eastAsia"/>
          <w:bCs/>
          <w:color w:val="auto"/>
        </w:rPr>
        <w:t>（又称</w:t>
      </w:r>
      <w:r>
        <w:rPr>
          <w:rFonts w:hint="eastAsia"/>
          <w:color w:val="auto"/>
        </w:rPr>
        <w:t>在建项目）</w:t>
      </w:r>
      <w:r>
        <w:rPr>
          <w:color w:val="auto"/>
        </w:rPr>
        <w:t>位于兴宁市新陂镇，</w:t>
      </w:r>
      <w:r>
        <w:rPr>
          <w:rFonts w:hint="eastAsia"/>
          <w:color w:val="auto"/>
        </w:rPr>
        <w:t>项目分两期建设，其中一期建设内容为：</w:t>
      </w:r>
      <w:r>
        <w:rPr>
          <w:color w:val="auto"/>
        </w:rPr>
        <w:t>生活垃圾焚烧</w:t>
      </w:r>
      <w:r>
        <w:rPr>
          <w:rFonts w:hint="eastAsia"/>
          <w:color w:val="auto"/>
        </w:rPr>
        <w:t>发电厂日处理垃圾7</w:t>
      </w:r>
      <w:r>
        <w:rPr>
          <w:color w:val="auto"/>
        </w:rPr>
        <w:t>00吨（规划预留</w:t>
      </w:r>
      <w:r>
        <w:rPr>
          <w:rFonts w:hint="eastAsia"/>
          <w:color w:val="auto"/>
        </w:rPr>
        <w:t>扩建规模</w:t>
      </w:r>
      <w:r>
        <w:rPr>
          <w:color w:val="auto"/>
        </w:rPr>
        <w:t>500吨/日）</w:t>
      </w:r>
      <w:r>
        <w:rPr>
          <w:rFonts w:hint="eastAsia"/>
          <w:color w:val="auto"/>
        </w:rPr>
        <w:t>、</w:t>
      </w:r>
      <w:r>
        <w:rPr>
          <w:color w:val="auto"/>
        </w:rPr>
        <w:t>污泥处理厂</w:t>
      </w:r>
      <w:r>
        <w:rPr>
          <w:rFonts w:hint="eastAsia"/>
          <w:color w:val="auto"/>
        </w:rPr>
        <w:t>日处理规模</w:t>
      </w:r>
      <w:r>
        <w:rPr>
          <w:color w:val="auto"/>
        </w:rPr>
        <w:t>为25吨（规划预留</w:t>
      </w:r>
      <w:r>
        <w:rPr>
          <w:rFonts w:hint="eastAsia"/>
          <w:color w:val="auto"/>
        </w:rPr>
        <w:t>扩建规模</w:t>
      </w:r>
      <w:r>
        <w:rPr>
          <w:color w:val="auto"/>
        </w:rPr>
        <w:t>25吨/日）</w:t>
      </w:r>
      <w:r>
        <w:rPr>
          <w:rFonts w:hint="eastAsia"/>
          <w:color w:val="auto"/>
        </w:rPr>
        <w:t>、</w:t>
      </w:r>
      <w:r>
        <w:rPr>
          <w:color w:val="auto"/>
        </w:rPr>
        <w:t>粪便处理厂</w:t>
      </w:r>
      <w:r>
        <w:rPr>
          <w:rFonts w:hint="eastAsia"/>
          <w:color w:val="auto"/>
        </w:rPr>
        <w:t>日处理</w:t>
      </w:r>
      <w:r>
        <w:rPr>
          <w:color w:val="auto"/>
        </w:rPr>
        <w:t>规模为5吨（规划预留</w:t>
      </w:r>
      <w:r>
        <w:rPr>
          <w:rFonts w:hint="eastAsia"/>
          <w:color w:val="auto"/>
        </w:rPr>
        <w:t>扩建规模</w:t>
      </w:r>
      <w:r>
        <w:rPr>
          <w:color w:val="auto"/>
        </w:rPr>
        <w:t>15吨/日）。</w:t>
      </w:r>
      <w:r>
        <w:rPr>
          <w:rFonts w:hint="eastAsia"/>
          <w:color w:val="auto"/>
        </w:rPr>
        <w:t>同时，园区</w:t>
      </w:r>
      <w:r>
        <w:rPr>
          <w:color w:val="auto"/>
        </w:rPr>
        <w:t>配套建设</w:t>
      </w:r>
      <w:r>
        <w:rPr>
          <w:rFonts w:hint="eastAsia"/>
          <w:color w:val="auto"/>
        </w:rPr>
        <w:t>综合管理</w:t>
      </w:r>
      <w:r>
        <w:rPr>
          <w:color w:val="auto"/>
        </w:rPr>
        <w:t>区、污水处理厂（</w:t>
      </w:r>
      <w:r>
        <w:rPr>
          <w:rFonts w:hint="eastAsia"/>
          <w:color w:val="auto"/>
        </w:rPr>
        <w:t>处理园区垃圾渗滤液、各类生产废水、生活污水、污泥废水、粪便废水等，规模</w:t>
      </w:r>
      <w:r>
        <w:rPr>
          <w:color w:val="auto"/>
        </w:rPr>
        <w:t>600吨/日）</w:t>
      </w:r>
      <w:r>
        <w:rPr>
          <w:rFonts w:hint="eastAsia"/>
          <w:color w:val="auto"/>
        </w:rPr>
        <w:t>、</w:t>
      </w:r>
      <w:r>
        <w:rPr>
          <w:color w:val="auto"/>
        </w:rPr>
        <w:t>生活垃圾卫生填埋</w:t>
      </w:r>
      <w:r>
        <w:rPr>
          <w:rFonts w:hint="eastAsia"/>
          <w:color w:val="auto"/>
        </w:rPr>
        <w:t>区（即固化飞灰填埋区，库容6</w:t>
      </w:r>
      <w:r>
        <w:rPr>
          <w:color w:val="auto"/>
        </w:rPr>
        <w:t>5</w:t>
      </w:r>
      <w:r>
        <w:rPr>
          <w:rFonts w:hint="eastAsia"/>
          <w:color w:val="auto"/>
        </w:rPr>
        <w:t>万m</w:t>
      </w:r>
      <w:r>
        <w:rPr>
          <w:color w:val="auto"/>
          <w:vertAlign w:val="superscript"/>
        </w:rPr>
        <w:t>3</w:t>
      </w:r>
      <w:r>
        <w:rPr>
          <w:rFonts w:hint="eastAsia"/>
          <w:color w:val="auto"/>
        </w:rPr>
        <w:t>）、炉渣综合利用中心，随一期工程一次性建成。</w:t>
      </w:r>
      <w:r>
        <w:rPr>
          <w:color w:val="auto"/>
        </w:rPr>
        <w:t>此外，</w:t>
      </w:r>
      <w:r>
        <w:rPr>
          <w:rFonts w:hint="eastAsia"/>
          <w:color w:val="auto"/>
        </w:rPr>
        <w:t>园区</w:t>
      </w:r>
      <w:r>
        <w:rPr>
          <w:color w:val="auto"/>
        </w:rPr>
        <w:t>为餐厨垃圾处理厂</w:t>
      </w:r>
      <w:r>
        <w:rPr>
          <w:rFonts w:hint="eastAsia"/>
          <w:color w:val="auto"/>
        </w:rPr>
        <w:t>（总处理规模2</w:t>
      </w:r>
      <w:r>
        <w:rPr>
          <w:color w:val="auto"/>
        </w:rPr>
        <w:t>5</w:t>
      </w:r>
      <w:r>
        <w:rPr>
          <w:rFonts w:hint="eastAsia"/>
          <w:color w:val="auto"/>
        </w:rPr>
        <w:t>t</w:t>
      </w:r>
      <w:r>
        <w:rPr>
          <w:color w:val="auto"/>
        </w:rPr>
        <w:t>/</w:t>
      </w:r>
      <w:r>
        <w:rPr>
          <w:rFonts w:hint="eastAsia"/>
          <w:color w:val="auto"/>
        </w:rPr>
        <w:t>d）</w:t>
      </w:r>
      <w:r>
        <w:rPr>
          <w:color w:val="auto"/>
        </w:rPr>
        <w:t>、建筑垃圾消纳场</w:t>
      </w:r>
      <w:r>
        <w:rPr>
          <w:rFonts w:hint="eastAsia"/>
          <w:color w:val="auto"/>
        </w:rPr>
        <w:t>（总处理规模2</w:t>
      </w:r>
      <w:r>
        <w:rPr>
          <w:color w:val="auto"/>
        </w:rPr>
        <w:t>00</w:t>
      </w:r>
      <w:r>
        <w:rPr>
          <w:rFonts w:hint="eastAsia"/>
          <w:color w:val="auto"/>
        </w:rPr>
        <w:t>m</w:t>
      </w:r>
      <w:r>
        <w:rPr>
          <w:color w:val="auto"/>
          <w:vertAlign w:val="superscript"/>
        </w:rPr>
        <w:t>3</w:t>
      </w:r>
      <w:r>
        <w:rPr>
          <w:rFonts w:hint="eastAsia"/>
          <w:color w:val="auto"/>
        </w:rPr>
        <w:t>/d）</w:t>
      </w:r>
      <w:r>
        <w:rPr>
          <w:color w:val="auto"/>
        </w:rPr>
        <w:t>预留用地</w:t>
      </w:r>
      <w:r>
        <w:rPr>
          <w:rFonts w:hint="eastAsia"/>
          <w:color w:val="auto"/>
        </w:rPr>
        <w:t>。</w:t>
      </w:r>
    </w:p>
    <w:p>
      <w:pPr>
        <w:spacing w:line="360" w:lineRule="auto"/>
        <w:ind w:firstLine="480" w:firstLineChars="200"/>
        <w:rPr>
          <w:color w:val="auto"/>
        </w:rPr>
      </w:pPr>
      <w:r>
        <w:rPr>
          <w:bCs/>
          <w:color w:val="auto"/>
        </w:rPr>
        <w:t>兴宁市静脉产业园</w:t>
      </w:r>
      <w:r>
        <w:rPr>
          <w:rFonts w:hint="eastAsia"/>
          <w:bCs/>
          <w:color w:val="auto"/>
        </w:rPr>
        <w:t>P</w:t>
      </w:r>
      <w:r>
        <w:rPr>
          <w:bCs/>
          <w:color w:val="auto"/>
        </w:rPr>
        <w:t>PP项目</w:t>
      </w:r>
      <w:r>
        <w:rPr>
          <w:rFonts w:hint="eastAsia"/>
          <w:color w:val="auto"/>
        </w:rPr>
        <w:t>已于2019年12月26日通过梅州市生态环境局审批，审批文号：梅市环审[2019]22号（详见附件12），该项目目前正在施工中。</w:t>
      </w:r>
    </w:p>
    <w:p>
      <w:pPr>
        <w:spacing w:line="360" w:lineRule="auto"/>
        <w:ind w:firstLine="480"/>
        <w:jc w:val="both"/>
        <w:rPr>
          <w:color w:val="auto"/>
        </w:rPr>
      </w:pPr>
      <w:r>
        <w:rPr>
          <w:rFonts w:hint="eastAsia"/>
          <w:color w:val="auto"/>
        </w:rPr>
        <w:t>但随着兴宁人口和经济的发展，其所产生的固体废物从种类及数量上将产生持续的增长和变化，餐厨垃圾是城市日常生活中产生的最为普遍的废弃物，具有含水率高，油脂、盐分含量高、易腐烂发臭，不便于普通垃圾车运输等特点。目前兴宁市餐厨垃圾基本处于无专项管理状态，除了由私人收购及回收利用之外，大部分餐厨垃圾与生活垃圾混合进行处理。目前也没有建成餐厨垃圾收运系统。采用科学手段收集处理餐厨垃圾，保证收运系统正常化运行，是实现餐厨垃圾资源化、无害化处理的前提条件。</w:t>
      </w:r>
    </w:p>
    <w:p>
      <w:pPr>
        <w:spacing w:line="360" w:lineRule="auto"/>
        <w:ind w:firstLine="480"/>
        <w:rPr>
          <w:color w:val="auto"/>
        </w:rPr>
      </w:pPr>
      <w:r>
        <w:rPr>
          <w:rFonts w:hint="eastAsia"/>
          <w:color w:val="auto"/>
        </w:rPr>
        <w:t>同时随着兴宁市经济社会建设快速发展，尤其是城市化进程不断推进，大型建设工地日益增多的背景下，兴宁市产生的建筑垃圾已经达到了一定规模。但目前兴宁市尚未建设有大型的建筑垃圾消纳场，产生的大量建筑垃圾仅能运往南部新城消化或用于土方平衡，资源化程度低同时严重浪费了土地资源。建筑垃圾收运、受纳以责任主体自行处理为主，非法排放建筑垃圾现象有所发生。</w:t>
      </w:r>
    </w:p>
    <w:p>
      <w:pPr>
        <w:spacing w:line="360" w:lineRule="auto"/>
        <w:ind w:firstLine="480"/>
        <w:rPr>
          <w:color w:val="auto"/>
        </w:rPr>
      </w:pPr>
      <w:r>
        <w:rPr>
          <w:rFonts w:hint="eastAsia"/>
          <w:color w:val="auto"/>
        </w:rPr>
        <w:t>由此可见，加快餐厨垃圾和建筑垃圾的规范管理是非常必要和紧迫的工作，为此，</w:t>
      </w:r>
      <w:r>
        <w:rPr>
          <w:rFonts w:hint="eastAsia"/>
          <w:bCs/>
          <w:color w:val="auto"/>
        </w:rPr>
        <w:t>建设单位拟投资9626万元在兴宁市静脉产业园的预留用地内建设兴宁市静脉产业园项目（餐厨垃圾处理厂和建筑垃圾消纳场）（又称本项目），本项目是</w:t>
      </w:r>
      <w:r>
        <w:rPr>
          <w:bCs/>
          <w:color w:val="auto"/>
        </w:rPr>
        <w:t>兴宁市静脉产业园</w:t>
      </w:r>
      <w:r>
        <w:rPr>
          <w:rFonts w:hint="eastAsia"/>
          <w:bCs/>
          <w:color w:val="auto"/>
        </w:rPr>
        <w:t>项目的子项目，建设内容为</w:t>
      </w:r>
      <w:r>
        <w:rPr>
          <w:rFonts w:hint="eastAsia"/>
          <w:color w:val="auto"/>
        </w:rPr>
        <w:t>总处理规模2</w:t>
      </w:r>
      <w:r>
        <w:rPr>
          <w:color w:val="auto"/>
        </w:rPr>
        <w:t>5</w:t>
      </w:r>
      <w:r>
        <w:rPr>
          <w:rFonts w:hint="eastAsia"/>
          <w:color w:val="auto"/>
        </w:rPr>
        <w:t>t</w:t>
      </w:r>
      <w:r>
        <w:rPr>
          <w:color w:val="auto"/>
        </w:rPr>
        <w:t>/</w:t>
      </w:r>
      <w:r>
        <w:rPr>
          <w:rFonts w:hint="eastAsia"/>
          <w:color w:val="auto"/>
        </w:rPr>
        <w:t>d的</w:t>
      </w:r>
      <w:r>
        <w:rPr>
          <w:color w:val="auto"/>
        </w:rPr>
        <w:t>餐厨垃圾处理厂</w:t>
      </w:r>
      <w:r>
        <w:rPr>
          <w:rFonts w:hint="eastAsia"/>
          <w:color w:val="auto"/>
        </w:rPr>
        <w:t>以及总处理规模2</w:t>
      </w:r>
      <w:r>
        <w:rPr>
          <w:color w:val="auto"/>
        </w:rPr>
        <w:t>00</w:t>
      </w:r>
      <w:r>
        <w:rPr>
          <w:rFonts w:hint="eastAsia"/>
          <w:color w:val="auto"/>
        </w:rPr>
        <w:t>m</w:t>
      </w:r>
      <w:r>
        <w:rPr>
          <w:color w:val="auto"/>
          <w:vertAlign w:val="superscript"/>
        </w:rPr>
        <w:t>3</w:t>
      </w:r>
      <w:r>
        <w:rPr>
          <w:rFonts w:hint="eastAsia"/>
          <w:color w:val="auto"/>
        </w:rPr>
        <w:t>/d</w:t>
      </w:r>
      <w:r>
        <w:rPr>
          <w:color w:val="auto"/>
        </w:rPr>
        <w:t>建筑垃圾消纳场</w:t>
      </w:r>
      <w:r>
        <w:rPr>
          <w:rFonts w:hint="eastAsia"/>
          <w:color w:val="auto"/>
        </w:rPr>
        <w:t>，</w:t>
      </w:r>
      <w:r>
        <w:rPr>
          <w:rFonts w:hint="eastAsia"/>
          <w:bCs/>
          <w:color w:val="auto"/>
        </w:rPr>
        <w:t>项目产生的固渣等依托</w:t>
      </w:r>
      <w:r>
        <w:rPr>
          <w:bCs/>
          <w:color w:val="auto"/>
        </w:rPr>
        <w:t>兴宁市静脉产业园</w:t>
      </w:r>
      <w:r>
        <w:rPr>
          <w:rFonts w:hint="eastAsia"/>
          <w:bCs/>
          <w:color w:val="auto"/>
        </w:rPr>
        <w:t>项目在建的生活垃圾焚烧炉进行焚烧，餐厨垃圾生产废水依托在建的渗滤液处理站处理后全部回用，填埋场淋溶液经配套建设的机械加速沉淀池沉淀处理后回用，供水管网等依托</w:t>
      </w:r>
      <w:r>
        <w:rPr>
          <w:bCs/>
          <w:color w:val="auto"/>
        </w:rPr>
        <w:t>兴宁市静脉产业园</w:t>
      </w:r>
      <w:r>
        <w:rPr>
          <w:rFonts w:hint="eastAsia"/>
          <w:bCs/>
          <w:color w:val="auto"/>
        </w:rPr>
        <w:t>项目在建的公用工程。</w:t>
      </w:r>
    </w:p>
    <w:p>
      <w:pPr>
        <w:spacing w:line="360" w:lineRule="auto"/>
        <w:ind w:firstLine="480"/>
        <w:jc w:val="both"/>
        <w:rPr>
          <w:color w:val="auto"/>
        </w:rPr>
      </w:pPr>
      <w:r>
        <w:rPr>
          <w:color w:val="auto"/>
        </w:rPr>
        <w:t>根据《中华人民共和国环境保护法》（2015年1月1日）、《中华人民共和国环境影响评价法》（2018年12月29日）、国务院令第682号《建设项目环境保护管理条例》等有关要求，本项目的建设必须执行环境影响评价制度。根据《建设项目环境影响评价分类管理名录》（2018年4月28日），本项目</w:t>
      </w:r>
      <w:r>
        <w:rPr>
          <w:rFonts w:hint="eastAsia"/>
          <w:color w:val="auto"/>
        </w:rPr>
        <w:t>中的餐厨垃圾处理</w:t>
      </w:r>
      <w:r>
        <w:rPr>
          <w:color w:val="auto"/>
        </w:rPr>
        <w:t>项目属于</w:t>
      </w:r>
      <w:r>
        <w:rPr>
          <w:rFonts w:asciiTheme="minorEastAsia" w:hAnsiTheme="minorEastAsia" w:eastAsiaTheme="minorEastAsia"/>
          <w:color w:val="auto"/>
        </w:rPr>
        <w:t>“三十</w:t>
      </w:r>
      <w:r>
        <w:rPr>
          <w:rFonts w:hint="eastAsia" w:asciiTheme="minorEastAsia" w:hAnsiTheme="minorEastAsia" w:eastAsiaTheme="minorEastAsia"/>
          <w:color w:val="auto"/>
        </w:rPr>
        <w:t>五、公共设施管理业</w:t>
      </w:r>
      <w:r>
        <w:rPr>
          <w:rFonts w:asciiTheme="minorEastAsia" w:hAnsiTheme="minorEastAsia" w:eastAsiaTheme="minorEastAsia"/>
          <w:color w:val="auto"/>
        </w:rPr>
        <w:t>”</w:t>
      </w:r>
      <w:r>
        <w:rPr>
          <w:color w:val="auto"/>
        </w:rPr>
        <w:t>中的</w:t>
      </w:r>
      <w:r>
        <w:rPr>
          <w:rFonts w:asciiTheme="minorEastAsia" w:hAnsiTheme="minorEastAsia" w:eastAsiaTheme="minorEastAsia"/>
          <w:color w:val="auto"/>
        </w:rPr>
        <w:t>“</w:t>
      </w:r>
      <w:r>
        <w:rPr>
          <w:rFonts w:hint="eastAsia" w:asciiTheme="minorEastAsia" w:hAnsiTheme="minorEastAsia" w:eastAsiaTheme="minorEastAsia"/>
          <w:color w:val="auto"/>
        </w:rPr>
        <w:t>城镇生活垃圾（含餐厨废弃物）集中处置</w:t>
      </w:r>
      <w:r>
        <w:rPr>
          <w:rFonts w:asciiTheme="minorEastAsia" w:hAnsiTheme="minorEastAsia" w:eastAsiaTheme="minorEastAsia"/>
          <w:color w:val="auto"/>
        </w:rPr>
        <w:t>”中的“</w:t>
      </w:r>
      <w:r>
        <w:rPr>
          <w:rFonts w:hint="eastAsia" w:asciiTheme="minorEastAsia" w:hAnsiTheme="minorEastAsia" w:eastAsiaTheme="minorEastAsia"/>
          <w:color w:val="auto"/>
        </w:rPr>
        <w:t>全部</w:t>
      </w:r>
      <w:r>
        <w:rPr>
          <w:rFonts w:asciiTheme="minorEastAsia" w:hAnsiTheme="minorEastAsia" w:eastAsiaTheme="minorEastAsia"/>
          <w:color w:val="auto"/>
        </w:rPr>
        <w:t>”</w:t>
      </w:r>
      <w:r>
        <w:rPr>
          <w:color w:val="auto"/>
        </w:rPr>
        <w:t>，应当编制环境影响报告书</w:t>
      </w:r>
      <w:r>
        <w:rPr>
          <w:rFonts w:hint="eastAsia"/>
          <w:color w:val="auto"/>
        </w:rPr>
        <w:t>；建筑垃圾消纳场</w:t>
      </w:r>
      <w:r>
        <w:rPr>
          <w:color w:val="auto"/>
        </w:rPr>
        <w:t>属于</w:t>
      </w:r>
      <w:r>
        <w:rPr>
          <w:rFonts w:asciiTheme="minorEastAsia" w:hAnsiTheme="minorEastAsia" w:eastAsiaTheme="minorEastAsia"/>
          <w:color w:val="auto"/>
        </w:rPr>
        <w:t>“三十</w:t>
      </w:r>
      <w:r>
        <w:rPr>
          <w:rFonts w:hint="eastAsia" w:asciiTheme="minorEastAsia" w:hAnsiTheme="minorEastAsia" w:eastAsiaTheme="minorEastAsia"/>
          <w:color w:val="auto"/>
        </w:rPr>
        <w:t>四、环境治理</w:t>
      </w:r>
      <w:r>
        <w:rPr>
          <w:rFonts w:asciiTheme="minorEastAsia" w:hAnsiTheme="minorEastAsia" w:eastAsiaTheme="minorEastAsia"/>
          <w:color w:val="auto"/>
        </w:rPr>
        <w:t>业”</w:t>
      </w:r>
      <w:r>
        <w:rPr>
          <w:color w:val="auto"/>
        </w:rPr>
        <w:t>中的</w:t>
      </w:r>
      <w:r>
        <w:rPr>
          <w:rFonts w:asciiTheme="minorEastAsia" w:hAnsiTheme="minorEastAsia" w:eastAsiaTheme="minorEastAsia"/>
          <w:color w:val="auto"/>
        </w:rPr>
        <w:t>“</w:t>
      </w:r>
      <w:r>
        <w:rPr>
          <w:rFonts w:eastAsiaTheme="minorEastAsia"/>
          <w:color w:val="auto"/>
        </w:rPr>
        <w:t>101</w:t>
      </w:r>
      <w:r>
        <w:rPr>
          <w:rFonts w:hint="eastAsia" w:asciiTheme="minorEastAsia" w:hAnsiTheme="minorEastAsia" w:eastAsiaTheme="minorEastAsia"/>
          <w:color w:val="auto"/>
        </w:rPr>
        <w:t>一般工业固体废物（含污泥）处置及综合利用</w:t>
      </w:r>
      <w:r>
        <w:rPr>
          <w:rFonts w:asciiTheme="minorEastAsia" w:hAnsiTheme="minorEastAsia" w:eastAsiaTheme="minorEastAsia"/>
          <w:color w:val="auto"/>
        </w:rPr>
        <w:t>”中的“</w:t>
      </w:r>
      <w:r>
        <w:rPr>
          <w:rFonts w:hint="eastAsia" w:asciiTheme="minorEastAsia" w:hAnsiTheme="minorEastAsia" w:eastAsiaTheme="minorEastAsia"/>
          <w:color w:val="auto"/>
        </w:rPr>
        <w:t>采取填埋和焚烧方式的</w:t>
      </w:r>
      <w:r>
        <w:rPr>
          <w:rFonts w:asciiTheme="minorEastAsia" w:hAnsiTheme="minorEastAsia" w:eastAsiaTheme="minorEastAsia"/>
          <w:color w:val="auto"/>
        </w:rPr>
        <w:t>”</w:t>
      </w:r>
      <w:r>
        <w:rPr>
          <w:color w:val="auto"/>
        </w:rPr>
        <w:t>，应当编制环境影响报告书</w:t>
      </w:r>
      <w:r>
        <w:rPr>
          <w:rFonts w:hint="eastAsia"/>
          <w:color w:val="auto"/>
        </w:rPr>
        <w:t>。</w:t>
      </w:r>
      <w:r>
        <w:rPr>
          <w:color w:val="auto"/>
        </w:rPr>
        <w:t>为此，</w:t>
      </w:r>
      <w:r>
        <w:rPr>
          <w:rFonts w:hint="eastAsia"/>
          <w:color w:val="auto"/>
        </w:rPr>
        <w:t>兴宁市城市管理和综合执法局</w:t>
      </w:r>
      <w:r>
        <w:rPr>
          <w:color w:val="auto"/>
        </w:rPr>
        <w:t>于2019年8月委托</w:t>
      </w:r>
      <w:r>
        <w:rPr>
          <w:rFonts w:hint="eastAsia"/>
          <w:color w:val="auto"/>
        </w:rPr>
        <w:t>南京国环科技股份</w:t>
      </w:r>
      <w:r>
        <w:rPr>
          <w:color w:val="auto"/>
        </w:rPr>
        <w:t>有限公司编制《</w:t>
      </w:r>
      <w:r>
        <w:rPr>
          <w:rFonts w:hint="eastAsia"/>
          <w:bCs/>
          <w:color w:val="auto"/>
        </w:rPr>
        <w:t>兴宁市静脉产业园项目（餐厨垃圾处理厂和建筑垃圾消纳场）</w:t>
      </w:r>
      <w:r>
        <w:rPr>
          <w:color w:val="auto"/>
        </w:rPr>
        <w:t>环境影响报告书》。环评单位在接受委托后，立即收集了相关资料，对本项目</w:t>
      </w:r>
      <w:r>
        <w:rPr>
          <w:rFonts w:hint="eastAsia"/>
          <w:color w:val="auto"/>
        </w:rPr>
        <w:t>拟建</w:t>
      </w:r>
      <w:r>
        <w:rPr>
          <w:color w:val="auto"/>
        </w:rPr>
        <w:t>现场开展现场踏勘、调查，并开展必要的环境现状监测，经过资料整理和模式运算，对该项目</w:t>
      </w:r>
      <w:r>
        <w:rPr>
          <w:rFonts w:hint="eastAsia"/>
          <w:color w:val="auto"/>
        </w:rPr>
        <w:t>运营过程</w:t>
      </w:r>
      <w:r>
        <w:rPr>
          <w:color w:val="auto"/>
        </w:rPr>
        <w:t>所造成的环境影响进行预测和评价，提出减少环境影响应采取的措施，在此基础上编制了《</w:t>
      </w:r>
      <w:r>
        <w:rPr>
          <w:rFonts w:hint="eastAsia"/>
          <w:bCs/>
          <w:color w:val="auto"/>
        </w:rPr>
        <w:t>兴宁市静脉产业园项目（餐厨垃圾处理厂和建筑垃圾消纳场）</w:t>
      </w:r>
      <w:r>
        <w:rPr>
          <w:color w:val="auto"/>
        </w:rPr>
        <w:t>环境影响报告书》</w:t>
      </w:r>
      <w:r>
        <w:rPr>
          <w:rFonts w:hint="eastAsia"/>
          <w:color w:val="auto"/>
          <w:lang w:eastAsia="zh-CN"/>
        </w:rPr>
        <w:t>（送审稿）</w:t>
      </w:r>
      <w:r>
        <w:rPr>
          <w:color w:val="auto"/>
        </w:rPr>
        <w:t>。</w:t>
      </w:r>
    </w:p>
    <w:p>
      <w:pPr>
        <w:spacing w:line="360" w:lineRule="auto"/>
        <w:ind w:firstLine="482"/>
        <w:rPr>
          <w:rFonts w:eastAsiaTheme="minorEastAsia"/>
          <w:color w:val="auto"/>
        </w:rPr>
      </w:pPr>
      <w:r>
        <w:rPr>
          <w:rFonts w:hint="eastAsia"/>
          <w:color w:val="auto"/>
        </w:rPr>
        <w:t>20</w:t>
      </w:r>
      <w:r>
        <w:rPr>
          <w:rFonts w:hint="eastAsia"/>
          <w:color w:val="auto"/>
          <w:lang w:val="en-US" w:eastAsia="zh-CN"/>
        </w:rPr>
        <w:t>20</w:t>
      </w:r>
      <w:r>
        <w:rPr>
          <w:rFonts w:hint="eastAsia"/>
          <w:color w:val="auto"/>
        </w:rPr>
        <w:t>年</w:t>
      </w:r>
      <w:r>
        <w:rPr>
          <w:rFonts w:hint="eastAsia"/>
          <w:color w:val="auto"/>
          <w:lang w:val="en-US" w:eastAsia="zh-CN"/>
        </w:rPr>
        <w:t>5</w:t>
      </w:r>
      <w:r>
        <w:rPr>
          <w:rFonts w:hint="eastAsia"/>
          <w:color w:val="auto"/>
        </w:rPr>
        <w:t>月</w:t>
      </w:r>
      <w:r>
        <w:rPr>
          <w:rFonts w:hint="eastAsia"/>
          <w:color w:val="auto"/>
          <w:lang w:val="en-US" w:eastAsia="zh-CN"/>
        </w:rPr>
        <w:t>10</w:t>
      </w:r>
      <w:r>
        <w:rPr>
          <w:rFonts w:hint="eastAsia"/>
          <w:color w:val="auto"/>
        </w:rPr>
        <w:t>日，梅州市环境技术中心在梅州市主持召开了《</w:t>
      </w:r>
      <w:r>
        <w:rPr>
          <w:rFonts w:hint="eastAsia"/>
          <w:bCs/>
          <w:color w:val="auto"/>
        </w:rPr>
        <w:t>兴宁市静脉产业园项目（餐厨垃圾处理厂和建筑垃圾消纳场）</w:t>
      </w:r>
      <w:r>
        <w:rPr>
          <w:rFonts w:hint="eastAsia"/>
          <w:color w:val="auto"/>
        </w:rPr>
        <w:t>环境影响报告书》专家评审会后，</w:t>
      </w:r>
      <w:r>
        <w:rPr>
          <w:color w:val="auto"/>
        </w:rPr>
        <w:t>环评单位根据评审会的专家评审意见修改完成《</w:t>
      </w:r>
      <w:r>
        <w:rPr>
          <w:rFonts w:hint="eastAsia"/>
          <w:bCs/>
          <w:color w:val="auto"/>
        </w:rPr>
        <w:t>兴宁市静脉产业园项目（餐厨垃圾处理厂和建筑垃圾消纳场）</w:t>
      </w:r>
      <w:r>
        <w:rPr>
          <w:rFonts w:hint="eastAsia"/>
          <w:color w:val="auto"/>
        </w:rPr>
        <w:t>环境影响报告书</w:t>
      </w:r>
      <w:r>
        <w:rPr>
          <w:color w:val="auto"/>
        </w:rPr>
        <w:t>（报批稿）》，供建设单位呈报环保主管部门审批。</w:t>
      </w:r>
    </w:p>
    <w:p>
      <w:pPr>
        <w:pStyle w:val="3"/>
        <w:rPr>
          <w:rFonts w:ascii="Times New Roman"/>
          <w:color w:val="auto"/>
        </w:rPr>
      </w:pPr>
      <w:bookmarkStart w:id="15" w:name="_Toc23263141"/>
      <w:bookmarkStart w:id="16" w:name="_Toc24136682"/>
      <w:bookmarkStart w:id="17" w:name="_Toc14943299"/>
      <w:bookmarkStart w:id="18" w:name="_Toc240"/>
      <w:r>
        <w:rPr>
          <w:rFonts w:ascii="Times New Roman"/>
          <w:color w:val="auto"/>
        </w:rPr>
        <w:t>环评工作程序</w:t>
      </w:r>
      <w:bookmarkEnd w:id="15"/>
      <w:bookmarkEnd w:id="16"/>
      <w:bookmarkEnd w:id="17"/>
      <w:bookmarkEnd w:id="18"/>
    </w:p>
    <w:p>
      <w:pPr>
        <w:spacing w:line="360" w:lineRule="auto"/>
        <w:ind w:firstLine="480"/>
        <w:jc w:val="both"/>
        <w:rPr>
          <w:color w:val="auto"/>
        </w:rPr>
      </w:pPr>
      <w:r>
        <w:rPr>
          <w:color w:val="auto"/>
        </w:rPr>
        <w:t>分析判定建设项目选址、规模、性质和工艺路线等与国家和地方有关环境保护法律法规、标准、政策、规范、相关规划、规划环境影响评价结论及审查意见的符合性，并与生态保护红线、环境质量底线、资源利用上线和环境准入负面清单进行对照，作为开展环境影响评价工作的前提和基础。</w:t>
      </w:r>
    </w:p>
    <w:p>
      <w:pPr>
        <w:spacing w:line="360" w:lineRule="auto"/>
        <w:ind w:firstLine="480"/>
        <w:jc w:val="both"/>
        <w:rPr>
          <w:color w:val="auto"/>
        </w:rPr>
      </w:pPr>
      <w:r>
        <w:rPr>
          <w:color w:val="auto"/>
        </w:rPr>
        <w:t>按照《建设项目环境影响评价技术导则 总纲》（HJ2.1-2016）的要求，本次建设项目环评的工作分为三个阶段，即调查分析和工作方案制定阶段，分析论证和预测评价阶段，环境影响报告书编制阶段，具体程序流程见下图。</w:t>
      </w:r>
    </w:p>
    <w:p>
      <w:pPr>
        <w:jc w:val="center"/>
        <w:rPr>
          <w:b/>
          <w:color w:val="auto"/>
        </w:rPr>
      </w:pPr>
      <w:r>
        <w:rPr>
          <w:color w:val="auto"/>
          <w:sz w:val="24"/>
        </w:rPr>
        <mc:AlternateContent>
          <mc:Choice Requires="wps">
            <w:drawing>
              <wp:anchor distT="0" distB="0" distL="114300" distR="114300" simplePos="0" relativeHeight="253210624" behindDoc="0" locked="0" layoutInCell="1" allowOverlap="1">
                <wp:simplePos x="0" y="0"/>
                <wp:positionH relativeFrom="column">
                  <wp:posOffset>3275965</wp:posOffset>
                </wp:positionH>
                <wp:positionV relativeFrom="paragraph">
                  <wp:posOffset>5203190</wp:posOffset>
                </wp:positionV>
                <wp:extent cx="309880" cy="182880"/>
                <wp:effectExtent l="0" t="0" r="13970" b="7620"/>
                <wp:wrapNone/>
                <wp:docPr id="4" name="矩形 4"/>
                <wp:cNvGraphicFramePr/>
                <a:graphic xmlns:a="http://schemas.openxmlformats.org/drawingml/2006/main">
                  <a:graphicData uri="http://schemas.microsoft.com/office/word/2010/wordprocessingShape">
                    <wps:wsp>
                      <wps:cNvSpPr/>
                      <wps:spPr>
                        <a:xfrm>
                          <a:off x="4161155" y="6414135"/>
                          <a:ext cx="309880" cy="1828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7.95pt;margin-top:409.7pt;height:14.4pt;width:24.4pt;z-index:253210624;v-text-anchor:middle;mso-width-relative:page;mso-height-relative:page;" fillcolor="#FFFFFF [3212]" filled="t" stroked="f" coordsize="21600,21600" o:gfxdata="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VqR+1dcAAAALAQAADwAAAAAA&#10;AAABACAAAAAiAAAAZHJzL2Rvd25yZXYueG1sUEsBAhQAFAAAAAgAh07iQIiXLxFNAgAAcQQAAA4A&#10;AAAAAAAAAQAgAAAAJgEAAGRycy9lMm9Eb2MueG1sUEsFBgAAAAAGAAYAWQEAAOUFAAAAAA==&#10;">
                <v:fill on="t" focussize="0,0"/>
                <v:stroke on="f" weight="2pt"/>
                <v:imagedata o:title=""/>
                <o:lock v:ext="edit" aspectratio="f"/>
              </v:rect>
            </w:pict>
          </mc:Fallback>
        </mc:AlternateContent>
      </w:r>
      <w:r>
        <w:rPr>
          <w:color w:val="auto"/>
        </w:rPr>
        <w:drawing>
          <wp:inline distT="0" distB="0" distL="0" distR="0">
            <wp:extent cx="4483100" cy="5686425"/>
            <wp:effectExtent l="0" t="0" r="0" b="0"/>
            <wp:docPr id="8" name="图片 58" descr="说明: C:\Users\Owner\Documents\Tencent Files\592775042\Image\C2C\C5@74(([P({}I01N[FIIMM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8" descr="说明: C:\Users\Owner\Documents\Tencent Files\592775042\Image\C2C\C5@74(([P({}I01N[FIIMMN.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4485551" cy="5689222"/>
                    </a:xfrm>
                    <a:prstGeom prst="rect">
                      <a:avLst/>
                    </a:prstGeom>
                    <a:noFill/>
                    <a:ln>
                      <a:noFill/>
                    </a:ln>
                  </pic:spPr>
                </pic:pic>
              </a:graphicData>
            </a:graphic>
          </wp:inline>
        </w:drawing>
      </w:r>
    </w:p>
    <w:p>
      <w:pPr>
        <w:jc w:val="center"/>
        <w:rPr>
          <w:b/>
          <w:color w:val="auto"/>
        </w:rPr>
      </w:pPr>
      <w:r>
        <w:rPr>
          <w:b/>
          <w:color w:val="auto"/>
        </w:rPr>
        <w:t xml:space="preserve">图 </w:t>
      </w:r>
      <w:r>
        <w:rPr>
          <w:b/>
          <w:color w:val="auto"/>
        </w:rPr>
        <w:fldChar w:fldCharType="begin"/>
      </w:r>
      <w:r>
        <w:rPr>
          <w:b/>
          <w:color w:val="auto"/>
        </w:rPr>
        <w:instrText xml:space="preserve"> STYLEREF 2 \s </w:instrText>
      </w:r>
      <w:r>
        <w:rPr>
          <w:b/>
          <w:color w:val="auto"/>
        </w:rPr>
        <w:fldChar w:fldCharType="separate"/>
      </w:r>
      <w:r>
        <w:rPr>
          <w:b/>
          <w:color w:val="auto"/>
        </w:rPr>
        <w:t>1.2</w:t>
      </w:r>
      <w:r>
        <w:rPr>
          <w:b/>
          <w:color w:val="auto"/>
        </w:rPr>
        <w:fldChar w:fldCharType="end"/>
      </w:r>
      <w:r>
        <w:rPr>
          <w:b/>
          <w:color w:val="auto"/>
        </w:rPr>
        <w:noBreakHyphen/>
      </w:r>
      <w:r>
        <w:rPr>
          <w:b/>
          <w:color w:val="auto"/>
        </w:rPr>
        <w:fldChar w:fldCharType="begin"/>
      </w:r>
      <w:r>
        <w:rPr>
          <w:b/>
          <w:color w:val="auto"/>
        </w:rPr>
        <w:instrText xml:space="preserve"> SEQ 图 \* ARABIC \s 2 </w:instrText>
      </w:r>
      <w:r>
        <w:rPr>
          <w:b/>
          <w:color w:val="auto"/>
        </w:rPr>
        <w:fldChar w:fldCharType="separate"/>
      </w:r>
      <w:r>
        <w:rPr>
          <w:b/>
          <w:color w:val="auto"/>
        </w:rPr>
        <w:t>1</w:t>
      </w:r>
      <w:r>
        <w:rPr>
          <w:b/>
          <w:color w:val="auto"/>
        </w:rPr>
        <w:fldChar w:fldCharType="end"/>
      </w:r>
      <w:r>
        <w:rPr>
          <w:b/>
          <w:color w:val="auto"/>
        </w:rPr>
        <w:t xml:space="preserve"> 环评工作程序流程图</w:t>
      </w:r>
    </w:p>
    <w:p>
      <w:pPr>
        <w:pStyle w:val="3"/>
        <w:rPr>
          <w:rFonts w:ascii="Times New Roman"/>
          <w:color w:val="auto"/>
        </w:rPr>
      </w:pPr>
      <w:bookmarkStart w:id="19" w:name="_Toc23263142"/>
      <w:bookmarkStart w:id="20" w:name="_Toc14943300"/>
      <w:bookmarkStart w:id="21" w:name="_Toc24136683"/>
      <w:bookmarkStart w:id="22" w:name="_Toc368"/>
      <w:r>
        <w:rPr>
          <w:rFonts w:ascii="Times New Roman"/>
          <w:color w:val="auto"/>
        </w:rPr>
        <w:t>判断相关情况分析</w:t>
      </w:r>
      <w:bookmarkEnd w:id="19"/>
      <w:bookmarkEnd w:id="20"/>
      <w:bookmarkEnd w:id="21"/>
      <w:bookmarkEnd w:id="22"/>
    </w:p>
    <w:p>
      <w:pPr>
        <w:pStyle w:val="298"/>
        <w:spacing w:before="42" w:after="42"/>
        <w:rPr>
          <w:color w:val="auto"/>
        </w:rPr>
      </w:pPr>
      <w:bookmarkStart w:id="23" w:name="_Toc4152"/>
      <w:bookmarkStart w:id="24" w:name="_Toc14946780"/>
      <w:bookmarkStart w:id="25" w:name="_Toc24136684"/>
      <w:bookmarkStart w:id="26" w:name="_Toc15912072"/>
      <w:r>
        <w:rPr>
          <w:color w:val="auto"/>
        </w:rPr>
        <w:t>1.3.1 产业政策符合性分析</w:t>
      </w:r>
      <w:bookmarkEnd w:id="23"/>
      <w:bookmarkEnd w:id="24"/>
      <w:bookmarkEnd w:id="25"/>
      <w:bookmarkEnd w:id="26"/>
    </w:p>
    <w:p>
      <w:pPr>
        <w:spacing w:line="360" w:lineRule="auto"/>
        <w:ind w:firstLine="480"/>
        <w:jc w:val="both"/>
        <w:rPr>
          <w:color w:val="auto"/>
        </w:rPr>
      </w:pPr>
      <w:r>
        <w:rPr>
          <w:color w:val="auto"/>
        </w:rPr>
        <w:t>对照</w:t>
      </w:r>
      <w:bookmarkStart w:id="27" w:name="_Hlk24555768"/>
      <w:r>
        <w:rPr>
          <w:color w:val="auto"/>
        </w:rPr>
        <w:t>《产业结构调整指导目录》（（201</w:t>
      </w:r>
      <w:r>
        <w:rPr>
          <w:rFonts w:hint="eastAsia"/>
          <w:color w:val="auto"/>
        </w:rPr>
        <w:t>9年本</w:t>
      </w:r>
      <w:r>
        <w:rPr>
          <w:color w:val="auto"/>
        </w:rPr>
        <w:t>），本项目属于</w:t>
      </w:r>
      <w:r>
        <w:rPr>
          <w:rFonts w:hint="eastAsia"/>
          <w:color w:val="auto"/>
        </w:rPr>
        <w:t>“</w:t>
      </w:r>
      <w:r>
        <w:rPr>
          <w:color w:val="auto"/>
        </w:rPr>
        <w:t>鼓励类</w:t>
      </w:r>
      <w:r>
        <w:rPr>
          <w:rFonts w:hint="eastAsia"/>
          <w:color w:val="auto"/>
        </w:rPr>
        <w:t>”</w:t>
      </w:r>
      <w:r>
        <w:rPr>
          <w:color w:val="auto"/>
        </w:rPr>
        <w:t>中第</w:t>
      </w:r>
      <w:r>
        <w:rPr>
          <w:rFonts w:hint="eastAsia"/>
          <w:color w:val="auto"/>
        </w:rPr>
        <w:t>四十三</w:t>
      </w:r>
      <w:r>
        <w:rPr>
          <w:color w:val="auto"/>
        </w:rPr>
        <w:t>类</w:t>
      </w:r>
      <w:r>
        <w:rPr>
          <w:rFonts w:asciiTheme="minorEastAsia" w:hAnsiTheme="minorEastAsia" w:eastAsiaTheme="minorEastAsia"/>
          <w:color w:val="auto"/>
        </w:rPr>
        <w:t>“环境保护与资源节约综合利用”</w:t>
      </w:r>
      <w:r>
        <w:rPr>
          <w:color w:val="auto"/>
        </w:rPr>
        <w:t>中第20条</w:t>
      </w:r>
      <w:r>
        <w:rPr>
          <w:rFonts w:asciiTheme="minorEastAsia" w:hAnsiTheme="minorEastAsia" w:eastAsiaTheme="minorEastAsia"/>
          <w:color w:val="auto"/>
        </w:rPr>
        <w:t>“</w:t>
      </w:r>
      <w:r>
        <w:rPr>
          <w:rFonts w:hint="eastAsia" w:asciiTheme="minorEastAsia" w:hAnsiTheme="minorEastAsia" w:eastAsiaTheme="minorEastAsia"/>
          <w:color w:val="auto"/>
        </w:rPr>
        <w:t>城镇垃圾、农村生活垃圾、农村生活污水、污泥及其他固体废弃物减量化、资源化、无害化处理和综合利用工程</w:t>
      </w:r>
      <w:r>
        <w:rPr>
          <w:rFonts w:asciiTheme="minorEastAsia" w:hAnsiTheme="minorEastAsia" w:eastAsiaTheme="minorEastAsia"/>
          <w:color w:val="auto"/>
        </w:rPr>
        <w:t>”</w:t>
      </w:r>
      <w:r>
        <w:rPr>
          <w:color w:val="auto"/>
        </w:rPr>
        <w:t>。本项目内使用设备不属于该</w:t>
      </w:r>
      <w:r>
        <w:rPr>
          <w:rFonts w:hint="eastAsia"/>
          <w:color w:val="auto"/>
        </w:rPr>
        <w:t>《目录》</w:t>
      </w:r>
      <w:r>
        <w:rPr>
          <w:color w:val="auto"/>
        </w:rPr>
        <w:t>中</w:t>
      </w:r>
      <w:r>
        <w:rPr>
          <w:rFonts w:hint="eastAsia"/>
          <w:color w:val="auto"/>
        </w:rPr>
        <w:t>“</w:t>
      </w:r>
      <w:r>
        <w:rPr>
          <w:color w:val="auto"/>
        </w:rPr>
        <w:t>限制类</w:t>
      </w:r>
      <w:r>
        <w:rPr>
          <w:rFonts w:hint="eastAsia"/>
          <w:color w:val="auto"/>
        </w:rPr>
        <w:t>”</w:t>
      </w:r>
      <w:r>
        <w:rPr>
          <w:color w:val="auto"/>
        </w:rPr>
        <w:t>、</w:t>
      </w:r>
      <w:r>
        <w:rPr>
          <w:rFonts w:hint="eastAsia"/>
          <w:color w:val="auto"/>
        </w:rPr>
        <w:t>“</w:t>
      </w:r>
      <w:r>
        <w:rPr>
          <w:color w:val="auto"/>
        </w:rPr>
        <w:t>淘汰类</w:t>
      </w:r>
      <w:r>
        <w:rPr>
          <w:rFonts w:hint="eastAsia"/>
          <w:color w:val="auto"/>
        </w:rPr>
        <w:t>”</w:t>
      </w:r>
      <w:r>
        <w:rPr>
          <w:color w:val="auto"/>
        </w:rPr>
        <w:t>产品。</w:t>
      </w:r>
    </w:p>
    <w:bookmarkEnd w:id="27"/>
    <w:p>
      <w:pPr>
        <w:spacing w:line="360" w:lineRule="auto"/>
        <w:ind w:firstLine="480"/>
        <w:jc w:val="both"/>
        <w:rPr>
          <w:color w:val="auto"/>
        </w:rPr>
      </w:pPr>
      <w:bookmarkStart w:id="28" w:name="_Hlk24555782"/>
      <w:r>
        <w:rPr>
          <w:rFonts w:hint="eastAsia"/>
          <w:color w:val="auto"/>
        </w:rPr>
        <w:t>对照《市场准入负面清单（201</w:t>
      </w:r>
      <w:r>
        <w:rPr>
          <w:rFonts w:hint="eastAsia"/>
          <w:color w:val="auto"/>
          <w:lang w:val="en-US" w:eastAsia="zh-CN"/>
        </w:rPr>
        <w:t>9</w:t>
      </w:r>
      <w:r>
        <w:rPr>
          <w:rFonts w:hint="eastAsia"/>
          <w:color w:val="auto"/>
        </w:rPr>
        <w:t>年本）》，未获得许可或资质条件，不得从事污染物监测、贮存、处置等经营业务，许可准入需获得从事城市生活垃圾经营性清扫、收集、运输、处理服务审批。禁止在人口集中地区和其他依法需要特殊保护的区域内焚烧沥青、 油毡、橡胶、塑料、皮革、垃圾以及其他产生有毒有害烟尘和恶臭气体的物质。</w:t>
      </w:r>
    </w:p>
    <w:bookmarkEnd w:id="28"/>
    <w:p>
      <w:pPr>
        <w:spacing w:line="360" w:lineRule="auto"/>
        <w:ind w:firstLine="480"/>
        <w:jc w:val="both"/>
        <w:rPr>
          <w:color w:val="auto"/>
        </w:rPr>
      </w:pPr>
      <w:bookmarkStart w:id="29" w:name="_Hlk24555803"/>
      <w:r>
        <w:rPr>
          <w:rFonts w:hint="eastAsia"/>
          <w:color w:val="auto"/>
        </w:rPr>
        <w:t>本项目由兴宁市城市管理和综合执法局建设，项目范围无须特殊保护的区域，符合许可准入条件。</w:t>
      </w:r>
    </w:p>
    <w:bookmarkEnd w:id="29"/>
    <w:p>
      <w:pPr>
        <w:pStyle w:val="298"/>
        <w:spacing w:before="42" w:after="42"/>
        <w:rPr>
          <w:color w:val="auto"/>
        </w:rPr>
      </w:pPr>
      <w:bookmarkStart w:id="30" w:name="_Toc15912073"/>
      <w:bookmarkStart w:id="31" w:name="_Toc24136685"/>
      <w:bookmarkStart w:id="32" w:name="_Toc14946781"/>
      <w:bookmarkStart w:id="33" w:name="_Toc5179"/>
      <w:r>
        <w:rPr>
          <w:color w:val="auto"/>
        </w:rPr>
        <w:t>1.3.2 规划相符性分析</w:t>
      </w:r>
      <w:bookmarkEnd w:id="30"/>
      <w:bookmarkEnd w:id="31"/>
      <w:bookmarkEnd w:id="32"/>
      <w:bookmarkEnd w:id="33"/>
    </w:p>
    <w:p>
      <w:pPr>
        <w:pStyle w:val="301"/>
        <w:rPr>
          <w:b/>
          <w:color w:val="auto"/>
        </w:rPr>
      </w:pPr>
      <w:r>
        <w:rPr>
          <w:b/>
          <w:color w:val="auto"/>
        </w:rPr>
        <w:t>1.3.2.1与《国民经济和社会发展第十三个五年规划纲要》相符性分析</w:t>
      </w:r>
    </w:p>
    <w:p>
      <w:pPr>
        <w:spacing w:line="360" w:lineRule="auto"/>
        <w:ind w:firstLine="480"/>
        <w:rPr>
          <w:color w:val="auto"/>
        </w:rPr>
      </w:pPr>
      <w:r>
        <w:rPr>
          <w:color w:val="auto"/>
        </w:rPr>
        <w:t>《国民经济和社会发展第十三个五年规划纲要》指出：环境治理是</w:t>
      </w:r>
      <w:r>
        <w:rPr>
          <w:rFonts w:asciiTheme="minorEastAsia" w:hAnsiTheme="minorEastAsia" w:eastAsiaTheme="minorEastAsia"/>
          <w:color w:val="auto"/>
        </w:rPr>
        <w:t>“十三五”</w:t>
      </w:r>
      <w:r>
        <w:rPr>
          <w:color w:val="auto"/>
        </w:rPr>
        <w:t>规划实施的重要内容，指明</w:t>
      </w:r>
      <w:r>
        <w:rPr>
          <w:rFonts w:asciiTheme="minorEastAsia" w:hAnsiTheme="minorEastAsia" w:eastAsiaTheme="minorEastAsia"/>
          <w:color w:val="auto"/>
        </w:rPr>
        <w:t>“创新环境治理理念和方式，实行最严格的环境保护制度，强化排污者主体责任，形成政府、企业、公众共治的环境治理体系，实现环境质量总体改善”</w:t>
      </w:r>
      <w:r>
        <w:rPr>
          <w:color w:val="auto"/>
        </w:rPr>
        <w:t xml:space="preserve">。 </w:t>
      </w:r>
    </w:p>
    <w:p>
      <w:pPr>
        <w:spacing w:line="360" w:lineRule="auto"/>
        <w:ind w:firstLine="480"/>
        <w:rPr>
          <w:color w:val="auto"/>
        </w:rPr>
      </w:pPr>
      <w:r>
        <w:rPr>
          <w:color w:val="auto"/>
        </w:rPr>
        <w:t>本项目建设与《国民经济和社会发展第十三个五年规划纲要》的环境治理精神相一致，通过先进工艺技术实现</w:t>
      </w:r>
      <w:r>
        <w:rPr>
          <w:rFonts w:hint="eastAsia"/>
          <w:color w:val="auto"/>
        </w:rPr>
        <w:t>餐厨</w:t>
      </w:r>
      <w:r>
        <w:rPr>
          <w:color w:val="auto"/>
        </w:rPr>
        <w:t>垃圾</w:t>
      </w:r>
      <w:r>
        <w:rPr>
          <w:rFonts w:hint="eastAsia"/>
          <w:color w:val="auto"/>
        </w:rPr>
        <w:t>和建筑垃圾</w:t>
      </w:r>
      <w:r>
        <w:rPr>
          <w:color w:val="auto"/>
        </w:rPr>
        <w:t>无害化处理目标。本项目的建设加快了</w:t>
      </w:r>
      <w:r>
        <w:rPr>
          <w:rFonts w:hint="eastAsia"/>
          <w:color w:val="auto"/>
        </w:rPr>
        <w:t>兴宁市餐厨</w:t>
      </w:r>
      <w:r>
        <w:rPr>
          <w:color w:val="auto"/>
        </w:rPr>
        <w:t>垃圾</w:t>
      </w:r>
      <w:r>
        <w:rPr>
          <w:rFonts w:hint="eastAsia"/>
          <w:color w:val="auto"/>
        </w:rPr>
        <w:t>和建筑垃圾</w:t>
      </w:r>
      <w:r>
        <w:rPr>
          <w:color w:val="auto"/>
        </w:rPr>
        <w:t>收运系统（包括城区、乡镇及农村地区）的建设，提高了垃圾无害化处理率，符合规划要求。</w:t>
      </w:r>
    </w:p>
    <w:p>
      <w:pPr>
        <w:pStyle w:val="301"/>
        <w:rPr>
          <w:b/>
          <w:color w:val="auto"/>
        </w:rPr>
      </w:pPr>
      <w:r>
        <w:rPr>
          <w:b/>
          <w:color w:val="auto"/>
        </w:rPr>
        <w:t>1.3.2.</w:t>
      </w:r>
      <w:r>
        <w:rPr>
          <w:b/>
          <w:color w:val="auto"/>
          <w:lang w:eastAsia="zh-CN"/>
        </w:rPr>
        <w:t>2</w:t>
      </w:r>
      <w:r>
        <w:rPr>
          <w:b/>
          <w:color w:val="auto"/>
        </w:rPr>
        <w:t>与《住房城乡建设事业</w:t>
      </w:r>
      <w:r>
        <w:rPr>
          <w:rFonts w:asciiTheme="minorEastAsia" w:hAnsiTheme="minorEastAsia" w:eastAsiaTheme="minorEastAsia"/>
          <w:b/>
          <w:color w:val="auto"/>
        </w:rPr>
        <w:t>“十三五”</w:t>
      </w:r>
      <w:r>
        <w:rPr>
          <w:b/>
          <w:color w:val="auto"/>
        </w:rPr>
        <w:t>规划纲要》相符性分析</w:t>
      </w:r>
    </w:p>
    <w:p>
      <w:pPr>
        <w:spacing w:line="360" w:lineRule="auto"/>
        <w:ind w:firstLine="480"/>
        <w:jc w:val="both"/>
        <w:rPr>
          <w:color w:val="auto"/>
        </w:rPr>
      </w:pPr>
      <w:r>
        <w:rPr>
          <w:color w:val="auto"/>
        </w:rPr>
        <w:t>《住房城乡建设事业</w:t>
      </w:r>
      <w:r>
        <w:rPr>
          <w:rFonts w:asciiTheme="minorEastAsia" w:hAnsiTheme="minorEastAsia" w:eastAsiaTheme="minorEastAsia"/>
          <w:color w:val="auto"/>
        </w:rPr>
        <w:t>“十三五”</w:t>
      </w:r>
      <w:r>
        <w:rPr>
          <w:color w:val="auto"/>
        </w:rPr>
        <w:t>规划纲要》指出：为贯彻落实到2020年全面建成小康社会的奋斗目标以及党中央、国务院对住房城乡建设事业改革发展的决策部署，综合考虑未来发展趋势和条件，今后五年的主要发展目标之一是：城镇市政基础设施更加完善，建设和运营水平进一步提高，城市生态空间格局持续优化，城市生活垃圾无害化处理率达到95%，力争将城市生活垃圾回收利用率提高到35%以上，城市道路机械化清扫率达到60%。另外，农村人居环境明显改善，小城镇建设加快发展，</w:t>
      </w:r>
      <w:r>
        <w:rPr>
          <w:bCs/>
          <w:color w:val="auto"/>
        </w:rPr>
        <w:t>深入推进农村生活垃圾治理，基本实现全面治理的目标，统筹开展农村工业垃圾、农业生产垃圾治理工作</w:t>
      </w:r>
      <w:r>
        <w:rPr>
          <w:color w:val="auto"/>
        </w:rPr>
        <w:t>。</w:t>
      </w:r>
    </w:p>
    <w:p>
      <w:pPr>
        <w:spacing w:line="360" w:lineRule="auto"/>
        <w:ind w:firstLine="480"/>
        <w:jc w:val="both"/>
        <w:rPr>
          <w:color w:val="auto"/>
        </w:rPr>
      </w:pPr>
      <w:r>
        <w:rPr>
          <w:color w:val="auto"/>
        </w:rPr>
        <w:t>本项目的建设，可有效提高</w:t>
      </w:r>
      <w:r>
        <w:rPr>
          <w:rFonts w:hint="eastAsia"/>
          <w:color w:val="auto"/>
        </w:rPr>
        <w:t>兴宁市</w:t>
      </w:r>
      <w:r>
        <w:rPr>
          <w:color w:val="auto"/>
        </w:rPr>
        <w:t>城区、各乡镇及农村地区的</w:t>
      </w:r>
      <w:r>
        <w:rPr>
          <w:rFonts w:hint="eastAsia"/>
          <w:color w:val="auto"/>
        </w:rPr>
        <w:t>餐厨</w:t>
      </w:r>
      <w:r>
        <w:rPr>
          <w:color w:val="auto"/>
        </w:rPr>
        <w:t>垃圾</w:t>
      </w:r>
      <w:r>
        <w:rPr>
          <w:rFonts w:hint="eastAsia"/>
          <w:color w:val="auto"/>
        </w:rPr>
        <w:t>和建筑垃圾</w:t>
      </w:r>
      <w:r>
        <w:rPr>
          <w:color w:val="auto"/>
        </w:rPr>
        <w:t>无害化处理率，有效改善农村人居环境，加快小城镇建设发展，深入推进农村</w:t>
      </w:r>
      <w:r>
        <w:rPr>
          <w:rFonts w:hint="eastAsia"/>
          <w:color w:val="auto"/>
        </w:rPr>
        <w:t>餐厨</w:t>
      </w:r>
      <w:r>
        <w:rPr>
          <w:color w:val="auto"/>
        </w:rPr>
        <w:t>垃圾</w:t>
      </w:r>
      <w:r>
        <w:rPr>
          <w:rFonts w:hint="eastAsia"/>
          <w:color w:val="auto"/>
        </w:rPr>
        <w:t>和建筑垃圾</w:t>
      </w:r>
      <w:r>
        <w:rPr>
          <w:color w:val="auto"/>
        </w:rPr>
        <w:t>治理，基本实现全面治理的目标，与住房城乡建设规划目标相符。</w:t>
      </w:r>
    </w:p>
    <w:p>
      <w:pPr>
        <w:pStyle w:val="301"/>
        <w:rPr>
          <w:b/>
          <w:color w:val="auto"/>
        </w:rPr>
      </w:pPr>
      <w:r>
        <w:rPr>
          <w:b/>
          <w:color w:val="auto"/>
        </w:rPr>
        <w:t>1.3.2.</w:t>
      </w:r>
      <w:r>
        <w:rPr>
          <w:b/>
          <w:color w:val="auto"/>
          <w:lang w:eastAsia="zh-CN"/>
        </w:rPr>
        <w:t>3</w:t>
      </w:r>
      <w:r>
        <w:rPr>
          <w:b/>
          <w:color w:val="auto"/>
        </w:rPr>
        <w:t>与《广东省环境保护规划纲要（2006-2020年）》相符性分析</w:t>
      </w:r>
    </w:p>
    <w:p>
      <w:pPr>
        <w:spacing w:line="360" w:lineRule="auto"/>
        <w:ind w:firstLine="480"/>
        <w:jc w:val="both"/>
        <w:rPr>
          <w:color w:val="auto"/>
        </w:rPr>
      </w:pPr>
      <w:r>
        <w:rPr>
          <w:color w:val="auto"/>
        </w:rPr>
        <w:t>《广东省环境保护规划纲要（2006～2020）》将广东省的陆域生态控制区划分为严格控制区、有限开发区、集约利用区三个类别；</w:t>
      </w:r>
      <w:r>
        <w:rPr>
          <w:rFonts w:asciiTheme="minorEastAsia" w:hAnsiTheme="minorEastAsia" w:eastAsiaTheme="minorEastAsia"/>
          <w:color w:val="auto"/>
        </w:rPr>
        <w:t>“陆域及近岸海域严格控制区内禁止所有与环境保护和生态建设无关的开发活动。陆域严格控制区内要开展天然林保护和生态公益林建设，有效保护原生生态系统、珍稀濒危动植物物种及其生境”</w:t>
      </w:r>
      <w:r>
        <w:rPr>
          <w:color w:val="auto"/>
        </w:rPr>
        <w:t>。</w:t>
      </w:r>
    </w:p>
    <w:p>
      <w:pPr>
        <w:spacing w:line="360" w:lineRule="auto"/>
        <w:ind w:firstLine="480"/>
        <w:jc w:val="both"/>
        <w:rPr>
          <w:color w:val="auto"/>
        </w:rPr>
      </w:pPr>
      <w:r>
        <w:rPr>
          <w:color w:val="auto"/>
        </w:rPr>
        <w:t>本项目选址位于集约利用区内，不涉及严格控制区。本项目采取切实有效的污染控制措施来减少对环境的影响，本项目的实施有利于提高区域的固体废物无害化处理水平，促进农村面源污染治理工作，符合集约利用区相关要求。</w:t>
      </w:r>
    </w:p>
    <w:p>
      <w:pPr>
        <w:spacing w:line="360" w:lineRule="auto"/>
        <w:ind w:firstLine="480"/>
        <w:jc w:val="both"/>
        <w:rPr>
          <w:color w:val="auto"/>
        </w:rPr>
      </w:pPr>
      <w:r>
        <w:rPr>
          <w:color w:val="auto"/>
        </w:rPr>
        <w:t>根据《广东省环境保护规划纲要（2006-2020）年）》，本项目占地以</w:t>
      </w:r>
      <w:r>
        <w:rPr>
          <w:rFonts w:asciiTheme="minorEastAsia" w:hAnsiTheme="minorEastAsia" w:eastAsiaTheme="minorEastAsia"/>
          <w:color w:val="auto"/>
        </w:rPr>
        <w:t>“集约利用地”（其中主要为农业利用亚区）为主，不占用“有限开发区”和“严格控制区”</w:t>
      </w:r>
      <w:r>
        <w:rPr>
          <w:color w:val="auto"/>
        </w:rPr>
        <w:t>。因此，本项目符合《广东省环境保护规划纲要(2006-2020年)》要求。</w:t>
      </w:r>
    </w:p>
    <w:p>
      <w:pPr>
        <w:pStyle w:val="301"/>
        <w:rPr>
          <w:b/>
          <w:color w:val="auto"/>
        </w:rPr>
      </w:pPr>
      <w:r>
        <w:rPr>
          <w:b/>
          <w:color w:val="auto"/>
        </w:rPr>
        <w:t>1.3.2.</w:t>
      </w:r>
      <w:r>
        <w:rPr>
          <w:b/>
          <w:color w:val="auto"/>
          <w:lang w:eastAsia="zh-CN"/>
        </w:rPr>
        <w:t>4</w:t>
      </w:r>
      <w:r>
        <w:rPr>
          <w:b/>
          <w:color w:val="auto"/>
        </w:rPr>
        <w:t>与</w:t>
      </w:r>
      <w:r>
        <w:rPr>
          <w:rFonts w:hint="eastAsia"/>
          <w:b/>
          <w:color w:val="auto"/>
        </w:rPr>
        <w:t>《广东省打䊨蓝天保卫战实施方案（</w:t>
      </w:r>
      <w:r>
        <w:rPr>
          <w:b/>
          <w:color w:val="auto"/>
        </w:rPr>
        <w:t>2018-2020</w:t>
      </w:r>
      <w:r>
        <w:rPr>
          <w:rFonts w:hint="eastAsia"/>
          <w:b/>
          <w:color w:val="auto"/>
        </w:rPr>
        <w:t>年）》</w:t>
      </w:r>
      <w:r>
        <w:rPr>
          <w:b/>
          <w:color w:val="auto"/>
        </w:rPr>
        <w:t>相符性分析</w:t>
      </w:r>
    </w:p>
    <w:p>
      <w:pPr>
        <w:spacing w:line="360" w:lineRule="auto"/>
        <w:ind w:firstLine="480"/>
        <w:rPr>
          <w:color w:val="auto"/>
        </w:rPr>
      </w:pPr>
      <w:r>
        <w:rPr>
          <w:rFonts w:hint="eastAsia"/>
          <w:color w:val="auto"/>
        </w:rPr>
        <w:t>《广东省打䊨蓝天保卫战实施方案（</w:t>
      </w:r>
      <w:r>
        <w:rPr>
          <w:color w:val="auto"/>
        </w:rPr>
        <w:t>2018-2020</w:t>
      </w:r>
      <w:r>
        <w:rPr>
          <w:rFonts w:hint="eastAsia"/>
          <w:color w:val="auto"/>
        </w:rPr>
        <w:t>年）》</w:t>
      </w:r>
      <w:r>
        <w:rPr>
          <w:color w:val="auto"/>
        </w:rPr>
        <w:t>指出：</w:t>
      </w:r>
      <w:r>
        <w:rPr>
          <w:rFonts w:hint="eastAsia"/>
          <w:color w:val="auto"/>
        </w:rPr>
        <w:t>“修订高耗能、高污染和资源型行业准入标准，环境空气质量未达标城市应制定更严格的产业准入门槛。”、 “有序发展水电，安全高效发展核电，优化风能、太阳能开发布局，因地制宜发展生物质能、地热能等。”</w:t>
      </w:r>
    </w:p>
    <w:p>
      <w:pPr>
        <w:spacing w:line="360" w:lineRule="auto"/>
        <w:ind w:firstLine="480"/>
        <w:rPr>
          <w:color w:val="auto"/>
        </w:rPr>
      </w:pPr>
      <w:r>
        <w:rPr>
          <w:color w:val="auto"/>
        </w:rPr>
        <w:t>本项目通过</w:t>
      </w:r>
      <w:r>
        <w:rPr>
          <w:rFonts w:hint="eastAsia"/>
          <w:color w:val="auto"/>
        </w:rPr>
        <w:t>脱水</w:t>
      </w:r>
      <w:r>
        <w:rPr>
          <w:color w:val="auto"/>
        </w:rPr>
        <w:t>焚烧发电方式处理处置</w:t>
      </w:r>
      <w:r>
        <w:rPr>
          <w:rFonts w:hint="eastAsia"/>
          <w:color w:val="auto"/>
        </w:rPr>
        <w:t>餐厨垃圾，通过填埋方式处置建筑垃圾，提高城市餐厨垃圾和建筑垃圾处理减量化、资源化和无害化水平，项目属于固体废物综合利用与资源化再生产业，同时根据4</w:t>
      </w:r>
      <w:r>
        <w:rPr>
          <w:color w:val="auto"/>
        </w:rPr>
        <w:t>.3</w:t>
      </w:r>
      <w:r>
        <w:rPr>
          <w:rFonts w:hint="eastAsia"/>
          <w:color w:val="auto"/>
        </w:rPr>
        <w:t>节分析，</w:t>
      </w:r>
      <w:r>
        <w:rPr>
          <w:color w:val="auto"/>
          <w:szCs w:val="22"/>
        </w:rPr>
        <w:t>项目</w:t>
      </w:r>
      <w:r>
        <w:rPr>
          <w:rFonts w:hint="eastAsia"/>
          <w:color w:val="auto"/>
          <w:szCs w:val="22"/>
        </w:rPr>
        <w:t>所属区域</w:t>
      </w:r>
      <w:r>
        <w:rPr>
          <w:color w:val="auto"/>
          <w:szCs w:val="22"/>
        </w:rPr>
        <w:t>2018年环境空气质量</w:t>
      </w:r>
      <w:r>
        <w:rPr>
          <w:rFonts w:hint="eastAsia"/>
          <w:color w:val="auto"/>
          <w:szCs w:val="22"/>
        </w:rPr>
        <w:t>现状为</w:t>
      </w:r>
      <w:r>
        <w:rPr>
          <w:color w:val="auto"/>
          <w:szCs w:val="22"/>
        </w:rPr>
        <w:t>达标区</w:t>
      </w:r>
      <w:r>
        <w:rPr>
          <w:rFonts w:hint="eastAsia"/>
          <w:color w:val="auto"/>
        </w:rPr>
        <w:t>，不属于该方案中的禁止和严控行业清单。因此，项目的建设符合《广东省打䊨蓝天保卫战实施方案（</w:t>
      </w:r>
      <w:r>
        <w:rPr>
          <w:color w:val="auto"/>
        </w:rPr>
        <w:t>2018-2020</w:t>
      </w:r>
      <w:r>
        <w:rPr>
          <w:rFonts w:hint="eastAsia"/>
          <w:color w:val="auto"/>
        </w:rPr>
        <w:t>年）》</w:t>
      </w:r>
      <w:r>
        <w:rPr>
          <w:color w:val="auto"/>
        </w:rPr>
        <w:t>。</w:t>
      </w:r>
    </w:p>
    <w:p>
      <w:pPr>
        <w:pStyle w:val="301"/>
        <w:rPr>
          <w:b/>
          <w:color w:val="auto"/>
        </w:rPr>
      </w:pPr>
      <w:r>
        <w:rPr>
          <w:b/>
          <w:color w:val="auto"/>
        </w:rPr>
        <w:t>1.3.2.</w:t>
      </w:r>
      <w:r>
        <w:rPr>
          <w:b/>
          <w:color w:val="auto"/>
          <w:lang w:eastAsia="zh-CN"/>
        </w:rPr>
        <w:t>5</w:t>
      </w:r>
      <w:r>
        <w:rPr>
          <w:b/>
          <w:color w:val="auto"/>
        </w:rPr>
        <w:t>与</w:t>
      </w:r>
      <w:r>
        <w:rPr>
          <w:rFonts w:hint="eastAsia"/>
          <w:b/>
          <w:color w:val="auto"/>
        </w:rPr>
        <w:t>《广东省打好污染防治攻坚战三年行动计划（2018—2020年）》</w:t>
      </w:r>
      <w:r>
        <w:rPr>
          <w:b/>
          <w:color w:val="auto"/>
        </w:rPr>
        <w:t>相符性分析</w:t>
      </w:r>
    </w:p>
    <w:p>
      <w:pPr>
        <w:spacing w:line="360" w:lineRule="auto"/>
        <w:ind w:firstLine="480" w:firstLineChars="200"/>
        <w:jc w:val="both"/>
        <w:rPr>
          <w:bCs/>
          <w:color w:val="auto"/>
        </w:rPr>
      </w:pPr>
      <w:r>
        <w:rPr>
          <w:rFonts w:hint="eastAsia"/>
          <w:bCs/>
          <w:color w:val="auto"/>
        </w:rPr>
        <w:t>《广东省打好污染防治攻坚战三年行动计划（2018—2020年）》要求“加强固体废物综合管理”，主要包括6项工作：推进固体废物进口管理制度改革、加快危险废物处置设施建设、加强一般工业固体废物资源化利用、推进生活垃圾无害化处理和分类回收、强化生活污水处理厂污泥全过程监管、严厉打击非法转移倾倒固体废物行为。</w:t>
      </w:r>
    </w:p>
    <w:p>
      <w:pPr>
        <w:spacing w:line="360" w:lineRule="auto"/>
        <w:ind w:firstLine="480" w:firstLineChars="200"/>
        <w:jc w:val="both"/>
        <w:rPr>
          <w:bCs/>
          <w:color w:val="auto"/>
        </w:rPr>
      </w:pPr>
      <w:r>
        <w:rPr>
          <w:rFonts w:hint="eastAsia"/>
          <w:bCs/>
          <w:color w:val="auto"/>
        </w:rPr>
        <w:t>同时《行动计划》还指出：到2</w:t>
      </w:r>
      <w:r>
        <w:rPr>
          <w:bCs/>
          <w:color w:val="auto"/>
        </w:rPr>
        <w:t>020</w:t>
      </w:r>
      <w:r>
        <w:rPr>
          <w:rFonts w:hint="eastAsia"/>
          <w:bCs/>
          <w:color w:val="auto"/>
        </w:rPr>
        <w:t>年，城市生活垃圾无害化处理率达到9</w:t>
      </w:r>
      <w:r>
        <w:rPr>
          <w:bCs/>
          <w:color w:val="auto"/>
        </w:rPr>
        <w:t>8</w:t>
      </w:r>
      <w:r>
        <w:rPr>
          <w:rFonts w:hint="eastAsia"/>
          <w:bCs/>
          <w:color w:val="auto"/>
        </w:rPr>
        <w:t>%以上，全省工业固体废物资源化利用率达到7</w:t>
      </w:r>
      <w:r>
        <w:rPr>
          <w:bCs/>
          <w:color w:val="auto"/>
        </w:rPr>
        <w:t>5</w:t>
      </w:r>
      <w:r>
        <w:rPr>
          <w:rFonts w:hint="eastAsia"/>
          <w:bCs/>
          <w:color w:val="auto"/>
        </w:rPr>
        <w:t>%以上。</w:t>
      </w:r>
    </w:p>
    <w:p>
      <w:pPr>
        <w:spacing w:line="360" w:lineRule="auto"/>
        <w:ind w:firstLine="480" w:firstLineChars="200"/>
        <w:jc w:val="both"/>
        <w:rPr>
          <w:bCs/>
          <w:color w:val="auto"/>
        </w:rPr>
      </w:pPr>
      <w:r>
        <w:rPr>
          <w:color w:val="auto"/>
        </w:rPr>
        <w:t>本项目通过</w:t>
      </w:r>
      <w:r>
        <w:rPr>
          <w:rFonts w:hint="eastAsia"/>
          <w:color w:val="auto"/>
        </w:rPr>
        <w:t>餐厨</w:t>
      </w:r>
      <w:r>
        <w:rPr>
          <w:color w:val="auto"/>
        </w:rPr>
        <w:t>垃圾</w:t>
      </w:r>
      <w:r>
        <w:rPr>
          <w:rFonts w:hint="eastAsia"/>
          <w:color w:val="auto"/>
        </w:rPr>
        <w:t>脱水</w:t>
      </w:r>
      <w:r>
        <w:rPr>
          <w:color w:val="auto"/>
        </w:rPr>
        <w:t>焚烧发电</w:t>
      </w:r>
      <w:r>
        <w:rPr>
          <w:rFonts w:hint="eastAsia"/>
          <w:color w:val="auto"/>
        </w:rPr>
        <w:t>和建筑垃圾填埋</w:t>
      </w:r>
      <w:r>
        <w:rPr>
          <w:color w:val="auto"/>
        </w:rPr>
        <w:t>的方式对垃圾进行无害化处理</w:t>
      </w:r>
      <w:r>
        <w:rPr>
          <w:rFonts w:hint="eastAsia"/>
          <w:color w:val="auto"/>
        </w:rPr>
        <w:t>。因此，本项目的建设与</w:t>
      </w:r>
      <w:r>
        <w:rPr>
          <w:rFonts w:hint="eastAsia"/>
          <w:bCs/>
          <w:color w:val="auto"/>
        </w:rPr>
        <w:t>《广东省打好污染防治攻坚战三年行动计划（2018—2020年）》是相符的。</w:t>
      </w:r>
    </w:p>
    <w:p>
      <w:pPr>
        <w:pStyle w:val="301"/>
        <w:rPr>
          <w:b/>
          <w:color w:val="auto"/>
        </w:rPr>
      </w:pPr>
      <w:r>
        <w:rPr>
          <w:b/>
          <w:color w:val="auto"/>
        </w:rPr>
        <w:t>1.3.2.</w:t>
      </w:r>
      <w:r>
        <w:rPr>
          <w:b/>
          <w:color w:val="auto"/>
          <w:lang w:eastAsia="zh-CN"/>
        </w:rPr>
        <w:t>6</w:t>
      </w:r>
      <w:r>
        <w:rPr>
          <w:b/>
          <w:color w:val="auto"/>
        </w:rPr>
        <w:t>与</w:t>
      </w:r>
      <w:r>
        <w:rPr>
          <w:rFonts w:hint="eastAsia"/>
          <w:b/>
          <w:color w:val="auto"/>
        </w:rPr>
        <w:t>《</w:t>
      </w:r>
      <w:r>
        <w:rPr>
          <w:rFonts w:hint="eastAsia"/>
          <w:b/>
          <w:bCs/>
          <w:color w:val="auto"/>
          <w:shd w:val="clear" w:color="auto" w:fill="FFFFFF"/>
        </w:rPr>
        <w:t>广东省环境保护厅关于固体废物污染防治三年行动计划（2018—2020年）</w:t>
      </w:r>
      <w:r>
        <w:rPr>
          <w:rFonts w:hint="eastAsia"/>
          <w:b/>
          <w:color w:val="auto"/>
        </w:rPr>
        <w:t>》</w:t>
      </w:r>
      <w:r>
        <w:rPr>
          <w:b/>
          <w:color w:val="auto"/>
        </w:rPr>
        <w:t>相符性分析</w:t>
      </w:r>
    </w:p>
    <w:p>
      <w:pPr>
        <w:spacing w:line="360" w:lineRule="auto"/>
        <w:ind w:firstLine="480" w:firstLineChars="200"/>
        <w:jc w:val="both"/>
        <w:rPr>
          <w:color w:val="auto"/>
        </w:rPr>
      </w:pPr>
      <w:r>
        <w:rPr>
          <w:rFonts w:hint="eastAsia"/>
          <w:bCs/>
          <w:color w:val="auto"/>
        </w:rPr>
        <w:t>《广东省环境保护厅关于固体废物污染防治三年行动计划（2018—2020年）》指出：</w:t>
      </w:r>
      <w:r>
        <w:rPr>
          <w:rFonts w:hint="eastAsia"/>
          <w:color w:val="auto"/>
        </w:rPr>
        <w:t>统筹优化全省固体废物处理处置设施建设，突出区域服务功能，切实加快推进设施建设步伐。各地级以上市要将固体废物集中处理处置设施作为城市基础设施，切实履行组织建设和保障运行的法定职责。确保到2020年全省城市生活垃圾无害化处理率达到98%以上。完善农村垃圾收运处理设施设备配套，到2020年末95%以上的农村生活垃圾得到有效处理。</w:t>
      </w:r>
    </w:p>
    <w:p>
      <w:pPr>
        <w:spacing w:line="360" w:lineRule="auto"/>
        <w:ind w:firstLine="480" w:firstLineChars="200"/>
        <w:jc w:val="both"/>
        <w:rPr>
          <w:rFonts w:hint="eastAsia"/>
          <w:bCs/>
          <w:color w:val="auto"/>
        </w:rPr>
      </w:pPr>
      <w:r>
        <w:rPr>
          <w:color w:val="auto"/>
        </w:rPr>
        <w:t>本项目通过</w:t>
      </w:r>
      <w:r>
        <w:rPr>
          <w:rFonts w:hint="eastAsia"/>
          <w:color w:val="auto"/>
        </w:rPr>
        <w:t>餐厨</w:t>
      </w:r>
      <w:r>
        <w:rPr>
          <w:color w:val="auto"/>
        </w:rPr>
        <w:t>垃圾</w:t>
      </w:r>
      <w:r>
        <w:rPr>
          <w:rFonts w:hint="eastAsia"/>
          <w:color w:val="auto"/>
        </w:rPr>
        <w:t>脱水</w:t>
      </w:r>
      <w:r>
        <w:rPr>
          <w:color w:val="auto"/>
        </w:rPr>
        <w:t>焚烧发电</w:t>
      </w:r>
      <w:r>
        <w:rPr>
          <w:rFonts w:hint="eastAsia"/>
          <w:color w:val="auto"/>
        </w:rPr>
        <w:t>和建筑垃圾填埋</w:t>
      </w:r>
      <w:r>
        <w:rPr>
          <w:color w:val="auto"/>
        </w:rPr>
        <w:t>的方式对垃圾进行无害化处理</w:t>
      </w:r>
      <w:r>
        <w:rPr>
          <w:rFonts w:hint="eastAsia"/>
          <w:color w:val="auto"/>
        </w:rPr>
        <w:t>。因此，本项目的建设与</w:t>
      </w:r>
      <w:r>
        <w:rPr>
          <w:rFonts w:hint="eastAsia"/>
          <w:bCs/>
          <w:color w:val="auto"/>
        </w:rPr>
        <w:t>《广东省环境保护厅关于固体废物污染防治三年行动计划（2018—2020年）》是相符的。</w:t>
      </w:r>
    </w:p>
    <w:p>
      <w:pPr>
        <w:pStyle w:val="301"/>
        <w:pageBreakBefore w:val="0"/>
        <w:kinsoku/>
        <w:wordWrap/>
        <w:overflowPunct/>
        <w:topLinePunct w:val="0"/>
        <w:autoSpaceDE/>
        <w:autoSpaceDN/>
        <w:bidi w:val="0"/>
        <w:spacing w:before="0" w:after="0" w:line="360" w:lineRule="auto"/>
        <w:ind w:left="0" w:leftChars="0" w:right="0" w:rightChars="0"/>
        <w:textAlignment w:val="auto"/>
        <w:rPr>
          <w:rFonts w:hint="eastAsia"/>
          <w:b/>
          <w:color w:val="auto"/>
        </w:rPr>
      </w:pPr>
      <w:r>
        <w:rPr>
          <w:b/>
          <w:color w:val="auto"/>
        </w:rPr>
        <w:t>1.3.2.</w:t>
      </w:r>
      <w:r>
        <w:rPr>
          <w:rFonts w:hint="eastAsia"/>
          <w:b/>
          <w:color w:val="auto"/>
          <w:lang w:val="en-US" w:eastAsia="zh-CN"/>
        </w:rPr>
        <w:t>7</w:t>
      </w:r>
      <w:r>
        <w:rPr>
          <w:b/>
          <w:color w:val="auto"/>
        </w:rPr>
        <w:t>与</w:t>
      </w:r>
      <w:r>
        <w:rPr>
          <w:rFonts w:hint="eastAsia"/>
          <w:b/>
          <w:color w:val="auto"/>
        </w:rPr>
        <w:t>《广东省环境保护厅关于印发韩江流域水质保护规划（2017-2025 年）的通</w:t>
      </w:r>
    </w:p>
    <w:p>
      <w:pPr>
        <w:pStyle w:val="20"/>
        <w:pageBreakBefore w:val="0"/>
        <w:kinsoku/>
        <w:wordWrap/>
        <w:overflowPunct/>
        <w:topLinePunct w:val="0"/>
        <w:autoSpaceDE/>
        <w:autoSpaceDN/>
        <w:bidi w:val="0"/>
        <w:spacing w:after="0" w:line="360" w:lineRule="auto"/>
        <w:ind w:left="0" w:leftChars="0" w:right="0" w:rightChars="0"/>
        <w:textAlignment w:val="auto"/>
        <w:rPr>
          <w:rFonts w:hint="eastAsia" w:ascii="Times New Roman" w:hAnsi="Times New Roman" w:eastAsia="宋体" w:cs="Times New Roman"/>
          <w:b/>
          <w:color w:val="auto"/>
          <w:kern w:val="2"/>
          <w:sz w:val="24"/>
          <w:szCs w:val="28"/>
          <w:lang w:val="zh-CN" w:eastAsia="zh-CN" w:bidi="ar-SA"/>
        </w:rPr>
      </w:pPr>
      <w:r>
        <w:rPr>
          <w:rFonts w:hint="eastAsia" w:ascii="Times New Roman" w:hAnsi="Times New Roman" w:eastAsia="宋体" w:cs="Times New Roman"/>
          <w:b/>
          <w:color w:val="auto"/>
          <w:kern w:val="2"/>
          <w:sz w:val="24"/>
          <w:szCs w:val="28"/>
          <w:lang w:val="zh-CN" w:eastAsia="zh-CN" w:bidi="ar-SA"/>
        </w:rPr>
        <w:t>知》（粤环发〔2017〕4 号）相符性分析</w:t>
      </w:r>
    </w:p>
    <w:p>
      <w:pPr>
        <w:pageBreakBefore w:val="0"/>
        <w:kinsoku/>
        <w:wordWrap/>
        <w:overflowPunct/>
        <w:topLinePunct w:val="0"/>
        <w:autoSpaceDE/>
        <w:autoSpaceDN/>
        <w:bidi w:val="0"/>
        <w:spacing w:line="360" w:lineRule="auto"/>
        <w:ind w:left="0" w:leftChars="0" w:right="0" w:rightChars="0" w:firstLine="480" w:firstLineChars="200"/>
        <w:jc w:val="both"/>
        <w:textAlignment w:val="auto"/>
        <w:rPr>
          <w:rFonts w:hint="eastAsia"/>
          <w:bCs/>
          <w:color w:val="auto"/>
          <w:lang w:eastAsia="zh-CN"/>
        </w:rPr>
      </w:pPr>
      <w:r>
        <w:rPr>
          <w:rFonts w:hint="eastAsia"/>
          <w:bCs/>
          <w:color w:val="auto"/>
        </w:rPr>
        <w:t>《广东省环境保护厅关于印发韩江流域水质保护规划（2017-2025 年）</w:t>
      </w:r>
      <w:r>
        <w:rPr>
          <w:rFonts w:hint="eastAsia"/>
          <w:bCs/>
          <w:color w:val="auto"/>
          <w:lang w:eastAsia="zh-CN"/>
        </w:rPr>
        <w:t>中产业准入指出：</w:t>
      </w:r>
      <w:r>
        <w:rPr>
          <w:rFonts w:hint="eastAsia"/>
          <w:bCs/>
          <w:color w:val="auto"/>
        </w:rPr>
        <w:t>加大对化学制</w:t>
      </w:r>
      <w:r>
        <w:rPr>
          <w:rFonts w:hint="eastAsia"/>
          <w:bCs/>
          <w:color w:val="auto"/>
          <w:lang w:eastAsia="zh-CN"/>
        </w:rPr>
        <w:t>浆</w:t>
      </w:r>
      <w:r>
        <w:rPr>
          <w:rFonts w:hint="eastAsia"/>
          <w:bCs/>
          <w:color w:val="auto"/>
        </w:rPr>
        <w:t>、印</w:t>
      </w:r>
      <w:r>
        <w:rPr>
          <w:rFonts w:hint="eastAsia"/>
          <w:bCs/>
          <w:color w:val="auto"/>
          <w:lang w:eastAsia="zh-CN"/>
        </w:rPr>
        <w:t>染</w:t>
      </w:r>
      <w:r>
        <w:rPr>
          <w:rFonts w:hint="eastAsia"/>
          <w:bCs/>
          <w:color w:val="auto"/>
        </w:rPr>
        <w:t>、鞣</w:t>
      </w:r>
      <w:r>
        <w:rPr>
          <w:rFonts w:hint="eastAsia"/>
          <w:bCs/>
          <w:color w:val="auto"/>
          <w:lang w:eastAsia="zh-CN"/>
        </w:rPr>
        <w:t>革</w:t>
      </w:r>
      <w:r>
        <w:rPr>
          <w:rFonts w:hint="eastAsia"/>
          <w:bCs/>
          <w:color w:val="auto"/>
        </w:rPr>
        <w:t>、重化工、电镀、有</w:t>
      </w:r>
      <w:r>
        <w:rPr>
          <w:rFonts w:hint="eastAsia"/>
          <w:bCs/>
          <w:color w:val="auto"/>
          <w:lang w:eastAsia="zh-CN"/>
        </w:rPr>
        <w:t>色</w:t>
      </w:r>
      <w:r>
        <w:rPr>
          <w:rFonts w:hint="eastAsia"/>
          <w:bCs/>
          <w:color w:val="auto"/>
        </w:rPr>
        <w:t>、冶</w:t>
      </w:r>
      <w:r>
        <w:rPr>
          <w:rFonts w:hint="eastAsia"/>
          <w:bCs/>
          <w:color w:val="auto"/>
          <w:lang w:eastAsia="zh-CN"/>
        </w:rPr>
        <w:t>炼</w:t>
      </w:r>
      <w:r>
        <w:rPr>
          <w:rFonts w:hint="eastAsia"/>
          <w:bCs/>
          <w:color w:val="auto"/>
        </w:rPr>
        <w:t>、</w:t>
      </w:r>
      <w:r>
        <w:rPr>
          <w:rFonts w:hint="eastAsia"/>
          <w:bCs/>
          <w:color w:val="auto"/>
          <w:lang w:eastAsia="zh-CN"/>
        </w:rPr>
        <w:t>农</w:t>
      </w:r>
      <w:r>
        <w:rPr>
          <w:rFonts w:hint="eastAsia"/>
          <w:bCs/>
          <w:color w:val="auto"/>
        </w:rPr>
        <w:t>药、铬盐、</w:t>
      </w:r>
      <w:r>
        <w:rPr>
          <w:rFonts w:hint="eastAsia"/>
          <w:bCs/>
          <w:color w:val="auto"/>
          <w:lang w:eastAsia="zh-CN"/>
        </w:rPr>
        <w:t>钛白</w:t>
      </w:r>
      <w:r>
        <w:rPr>
          <w:rFonts w:hint="eastAsia"/>
          <w:bCs/>
          <w:color w:val="auto"/>
        </w:rPr>
        <w:t>粉、</w:t>
      </w:r>
      <w:r>
        <w:rPr>
          <w:rFonts w:hint="eastAsia"/>
          <w:bCs/>
          <w:color w:val="auto"/>
          <w:lang w:eastAsia="zh-CN"/>
        </w:rPr>
        <w:t>氟</w:t>
      </w:r>
      <w:r>
        <w:rPr>
          <w:rFonts w:hint="eastAsia"/>
          <w:bCs/>
          <w:color w:val="auto"/>
        </w:rPr>
        <w:t>制冷剂生产项目</w:t>
      </w:r>
      <w:r>
        <w:rPr>
          <w:rFonts w:hint="eastAsia"/>
          <w:bCs/>
          <w:color w:val="auto"/>
          <w:lang w:eastAsia="zh-CN"/>
        </w:rPr>
        <w:t>等</w:t>
      </w:r>
      <w:r>
        <w:rPr>
          <w:rFonts w:hint="eastAsia"/>
          <w:bCs/>
          <w:color w:val="auto"/>
        </w:rPr>
        <w:t>的建设</w:t>
      </w:r>
      <w:r>
        <w:rPr>
          <w:rFonts w:hint="eastAsia"/>
          <w:bCs/>
          <w:color w:val="auto"/>
          <w:lang w:eastAsia="zh-CN"/>
        </w:rPr>
        <w:t>限制</w:t>
      </w:r>
      <w:r>
        <w:rPr>
          <w:rFonts w:hint="eastAsia"/>
          <w:bCs/>
          <w:color w:val="auto"/>
        </w:rPr>
        <w:t>；停止审批向河流排</w:t>
      </w:r>
      <w:r>
        <w:rPr>
          <w:rFonts w:hint="eastAsia"/>
          <w:bCs/>
          <w:color w:val="auto"/>
          <w:lang w:eastAsia="zh-CN"/>
        </w:rPr>
        <w:t>放</w:t>
      </w:r>
      <w:r>
        <w:rPr>
          <w:rFonts w:hint="eastAsia"/>
          <w:bCs/>
          <w:color w:val="auto"/>
        </w:rPr>
        <w:t>汞、镉、六价铬</w:t>
      </w:r>
      <w:r>
        <w:rPr>
          <w:rFonts w:hint="eastAsia"/>
          <w:bCs/>
          <w:color w:val="auto"/>
          <w:lang w:eastAsia="zh-CN"/>
        </w:rPr>
        <w:t>等</w:t>
      </w:r>
      <w:r>
        <w:rPr>
          <w:rFonts w:hint="eastAsia"/>
          <w:bCs/>
          <w:color w:val="auto"/>
        </w:rPr>
        <w:t>一类水污</w:t>
      </w:r>
      <w:r>
        <w:rPr>
          <w:rFonts w:hint="eastAsia"/>
          <w:bCs/>
          <w:color w:val="auto"/>
          <w:lang w:eastAsia="zh-CN"/>
        </w:rPr>
        <w:t>染</w:t>
      </w:r>
      <w:r>
        <w:rPr>
          <w:rFonts w:hint="eastAsia"/>
          <w:bCs/>
          <w:color w:val="auto"/>
        </w:rPr>
        <w:t>物或</w:t>
      </w:r>
      <w:r>
        <w:rPr>
          <w:rFonts w:hint="eastAsia"/>
          <w:bCs/>
          <w:color w:val="auto"/>
          <w:lang w:eastAsia="zh-CN"/>
        </w:rPr>
        <w:t>持</w:t>
      </w:r>
      <w:r>
        <w:rPr>
          <w:rFonts w:hint="eastAsia"/>
          <w:bCs/>
          <w:color w:val="auto"/>
        </w:rPr>
        <w:t>久</w:t>
      </w:r>
      <w:r>
        <w:rPr>
          <w:rFonts w:hint="eastAsia"/>
          <w:bCs/>
          <w:color w:val="auto"/>
          <w:lang w:eastAsia="zh-CN"/>
        </w:rPr>
        <w:t>性有机污染物的项目；</w:t>
      </w:r>
      <w:r>
        <w:rPr>
          <w:rFonts w:hint="eastAsia"/>
          <w:bCs/>
          <w:color w:val="auto"/>
        </w:rPr>
        <w:t>依法</w:t>
      </w:r>
      <w:r>
        <w:rPr>
          <w:rFonts w:hint="eastAsia"/>
          <w:bCs/>
          <w:color w:val="auto"/>
          <w:lang w:eastAsia="zh-CN"/>
        </w:rPr>
        <w:t>关</w:t>
      </w:r>
      <w:r>
        <w:rPr>
          <w:rFonts w:hint="eastAsia"/>
          <w:bCs/>
          <w:color w:val="auto"/>
        </w:rPr>
        <w:t>停</w:t>
      </w:r>
      <w:r>
        <w:rPr>
          <w:rFonts w:hint="eastAsia"/>
          <w:bCs/>
          <w:color w:val="auto"/>
          <w:lang w:eastAsia="zh-CN"/>
        </w:rPr>
        <w:t>韩</w:t>
      </w:r>
      <w:r>
        <w:rPr>
          <w:rFonts w:hint="eastAsia"/>
          <w:bCs/>
          <w:color w:val="auto"/>
        </w:rPr>
        <w:t>江</w:t>
      </w:r>
      <w:r>
        <w:rPr>
          <w:rFonts w:hint="eastAsia"/>
          <w:bCs/>
          <w:color w:val="auto"/>
          <w:lang w:eastAsia="zh-CN"/>
        </w:rPr>
        <w:t>流域</w:t>
      </w:r>
      <w:r>
        <w:rPr>
          <w:rFonts w:hint="eastAsia"/>
          <w:bCs/>
          <w:color w:val="auto"/>
        </w:rPr>
        <w:t>内造纸、印</w:t>
      </w:r>
      <w:r>
        <w:rPr>
          <w:rFonts w:hint="eastAsia"/>
          <w:bCs/>
          <w:color w:val="auto"/>
          <w:lang w:eastAsia="zh-CN"/>
        </w:rPr>
        <w:t>染</w:t>
      </w:r>
      <w:r>
        <w:rPr>
          <w:rFonts w:hint="eastAsia"/>
          <w:bCs/>
          <w:color w:val="auto"/>
        </w:rPr>
        <w:t>、电镀、水洗选矿</w:t>
      </w:r>
      <w:r>
        <w:rPr>
          <w:rFonts w:hint="eastAsia"/>
          <w:bCs/>
          <w:color w:val="auto"/>
          <w:lang w:eastAsia="zh-CN"/>
        </w:rPr>
        <w:t>等</w:t>
      </w:r>
      <w:r>
        <w:rPr>
          <w:rFonts w:hint="eastAsia"/>
          <w:bCs/>
          <w:color w:val="auto"/>
        </w:rPr>
        <w:t>高水</w:t>
      </w:r>
      <w:r>
        <w:rPr>
          <w:rFonts w:hint="eastAsia"/>
          <w:bCs/>
          <w:color w:val="auto"/>
          <w:lang w:eastAsia="zh-CN"/>
        </w:rPr>
        <w:t>耗</w:t>
      </w:r>
      <w:r>
        <w:rPr>
          <w:rFonts w:hint="eastAsia"/>
          <w:bCs/>
          <w:color w:val="auto"/>
        </w:rPr>
        <w:t>、高</w:t>
      </w:r>
      <w:r>
        <w:rPr>
          <w:rFonts w:hint="eastAsia"/>
          <w:bCs/>
          <w:color w:val="auto"/>
          <w:lang w:eastAsia="zh-CN"/>
        </w:rPr>
        <w:t>污染</w:t>
      </w:r>
      <w:r>
        <w:rPr>
          <w:rFonts w:hint="eastAsia"/>
          <w:bCs/>
          <w:color w:val="auto"/>
        </w:rPr>
        <w:t>、</w:t>
      </w:r>
      <w:r>
        <w:rPr>
          <w:rFonts w:hint="eastAsia"/>
          <w:bCs/>
          <w:color w:val="auto"/>
          <w:lang w:eastAsia="zh-CN"/>
        </w:rPr>
        <w:t>低效益的水污染企业（零排放除外）以及向水体排放</w:t>
      </w:r>
      <w:r>
        <w:rPr>
          <w:rFonts w:hint="eastAsia"/>
          <w:bCs/>
          <w:color w:val="auto"/>
        </w:rPr>
        <w:t>一类水污</w:t>
      </w:r>
      <w:r>
        <w:rPr>
          <w:rFonts w:hint="eastAsia"/>
          <w:bCs/>
          <w:color w:val="auto"/>
          <w:lang w:eastAsia="zh-CN"/>
        </w:rPr>
        <w:t>染</w:t>
      </w:r>
      <w:r>
        <w:rPr>
          <w:rFonts w:hint="eastAsia"/>
          <w:bCs/>
          <w:color w:val="auto"/>
        </w:rPr>
        <w:t>物或</w:t>
      </w:r>
      <w:r>
        <w:rPr>
          <w:rFonts w:hint="eastAsia"/>
          <w:bCs/>
          <w:color w:val="auto"/>
          <w:lang w:eastAsia="zh-CN"/>
        </w:rPr>
        <w:t>持</w:t>
      </w:r>
      <w:r>
        <w:rPr>
          <w:rFonts w:hint="eastAsia"/>
          <w:bCs/>
          <w:color w:val="auto"/>
        </w:rPr>
        <w:t>久性有</w:t>
      </w:r>
      <w:r>
        <w:rPr>
          <w:rFonts w:hint="eastAsia"/>
          <w:bCs/>
          <w:color w:val="auto"/>
          <w:lang w:eastAsia="zh-CN"/>
        </w:rPr>
        <w:t>机</w:t>
      </w:r>
      <w:r>
        <w:rPr>
          <w:rFonts w:hint="eastAsia"/>
          <w:bCs/>
          <w:color w:val="auto"/>
        </w:rPr>
        <w:t>污</w:t>
      </w:r>
      <w:r>
        <w:rPr>
          <w:rFonts w:hint="eastAsia"/>
          <w:bCs/>
          <w:color w:val="auto"/>
          <w:lang w:eastAsia="zh-CN"/>
        </w:rPr>
        <w:t>染</w:t>
      </w:r>
      <w:r>
        <w:rPr>
          <w:rFonts w:hint="eastAsia"/>
          <w:bCs/>
          <w:color w:val="auto"/>
        </w:rPr>
        <w:t>物的企业，</w:t>
      </w:r>
      <w:r>
        <w:rPr>
          <w:rFonts w:hint="eastAsia"/>
          <w:bCs/>
          <w:color w:val="auto"/>
          <w:lang w:eastAsia="zh-CN"/>
        </w:rPr>
        <w:t>依法对超标或超总量排放污染物的企业实施限制生产、停产整治等措施。</w:t>
      </w:r>
    </w:p>
    <w:p>
      <w:pPr>
        <w:spacing w:line="360" w:lineRule="auto"/>
        <w:ind w:firstLine="480" w:firstLineChars="200"/>
        <w:jc w:val="both"/>
        <w:rPr>
          <w:rFonts w:hint="eastAsia" w:eastAsia="宋体"/>
          <w:bCs/>
          <w:color w:val="auto"/>
          <w:lang w:eastAsia="zh-CN"/>
        </w:rPr>
      </w:pPr>
      <w:r>
        <w:rPr>
          <w:rFonts w:hint="eastAsia"/>
          <w:bCs/>
          <w:color w:val="auto"/>
          <w:lang w:eastAsia="zh-CN"/>
        </w:rPr>
        <w:t>本项目不属于产业准入中的限制项目，不排放汞、镉、六价铬等一类水污染物或持久性有机污染物，项目与</w:t>
      </w:r>
      <w:r>
        <w:rPr>
          <w:rFonts w:hint="eastAsia"/>
          <w:bCs/>
          <w:color w:val="auto"/>
        </w:rPr>
        <w:t>《广东省环境保护厅关于印发韩江流域水质保护规划（2017-2025 年）</w:t>
      </w:r>
      <w:r>
        <w:rPr>
          <w:rFonts w:hint="eastAsia"/>
          <w:bCs/>
          <w:color w:val="auto"/>
          <w:lang w:eastAsia="zh-CN"/>
        </w:rPr>
        <w:t>相符。</w:t>
      </w:r>
    </w:p>
    <w:p>
      <w:pPr>
        <w:pStyle w:val="301"/>
        <w:rPr>
          <w:rFonts w:hint="eastAsia"/>
          <w:b/>
          <w:bCs/>
          <w:color w:val="auto"/>
        </w:rPr>
      </w:pPr>
      <w:r>
        <w:rPr>
          <w:b/>
          <w:bCs/>
          <w:color w:val="auto"/>
        </w:rPr>
        <w:t>1.3.2.</w:t>
      </w:r>
      <w:r>
        <w:rPr>
          <w:rFonts w:hint="eastAsia"/>
          <w:b/>
          <w:bCs/>
          <w:color w:val="auto"/>
          <w:lang w:val="en-US" w:eastAsia="zh-CN"/>
        </w:rPr>
        <w:t>8</w:t>
      </w:r>
      <w:r>
        <w:rPr>
          <w:b/>
          <w:bCs/>
          <w:color w:val="auto"/>
        </w:rPr>
        <w:t>与</w:t>
      </w:r>
      <w:r>
        <w:rPr>
          <w:rFonts w:hint="eastAsia"/>
          <w:b/>
          <w:bCs/>
          <w:color w:val="auto"/>
        </w:rPr>
        <w:t>《广东省韩江流域水质保护条例》（201</w:t>
      </w:r>
      <w:r>
        <w:rPr>
          <w:rFonts w:hint="eastAsia"/>
          <w:b/>
          <w:bCs/>
          <w:color w:val="auto"/>
          <w:lang w:val="en-US" w:eastAsia="zh-CN"/>
        </w:rPr>
        <w:t>8</w:t>
      </w:r>
      <w:r>
        <w:rPr>
          <w:rFonts w:hint="eastAsia"/>
          <w:b/>
          <w:bCs/>
          <w:color w:val="auto"/>
        </w:rPr>
        <w:t>年修正）</w:t>
      </w:r>
      <w:r>
        <w:rPr>
          <w:rFonts w:hint="eastAsia"/>
          <w:b/>
          <w:bCs/>
          <w:color w:val="auto"/>
          <w:lang w:eastAsia="zh-CN"/>
        </w:rPr>
        <w:t>相符性分析</w:t>
      </w:r>
    </w:p>
    <w:p>
      <w:pPr>
        <w:spacing w:line="360" w:lineRule="auto"/>
        <w:ind w:firstLine="480"/>
        <w:jc w:val="both"/>
        <w:rPr>
          <w:rFonts w:hint="default"/>
          <w:b w:val="0"/>
          <w:bCs w:val="0"/>
          <w:color w:val="auto"/>
          <w:lang w:val="en-US" w:eastAsia="zh-CN"/>
        </w:rPr>
      </w:pPr>
      <w:r>
        <w:rPr>
          <w:rFonts w:hint="eastAsia"/>
          <w:b w:val="0"/>
          <w:bCs w:val="0"/>
          <w:color w:val="auto"/>
          <w:lang w:val="en-US" w:eastAsia="zh-CN"/>
        </w:rPr>
        <w:t>《广东省韩江流域水质保护条例》（2018年修正）第十八条-流域内禁止在饮用水水源保护区建油、煤码头或者从事造船、修船、拆船作业以及法律、法规禁止的其他行为；第十九条-流域内从事生产、装卸、贮存运输有毒有害物品，必须采取防止污染环境的措施，必须遵守国家有关危险货物运输管理的规定；第二十条流域内禁止毁林开荒、破坏植被、砍伐非更新性水源林和护岸林、全垦炼山造成以及在二十五度以上陡坡开垦。 流域内禁止滥采河沙、禁止使用炸药、毒药捕杀鱼类；第二十一条流域内从事矿产资源勘查、开采活动，必须采取有效措施防止水土流失，保证生态环境；第二十二条流域内禁止向水体排放、倾倒工业废渣、城镇垃圾或者其他废弃物等污染物；禁止在离干流、一级支流、二级支流两岸最高水位线水平外延五百米范围内新建废弃物堆放场和处理场。</w:t>
      </w:r>
    </w:p>
    <w:p>
      <w:pPr>
        <w:spacing w:line="360" w:lineRule="auto"/>
        <w:ind w:firstLine="480"/>
        <w:jc w:val="both"/>
        <w:rPr>
          <w:rFonts w:hint="eastAsia"/>
          <w:b w:val="0"/>
          <w:bCs w:val="0"/>
          <w:color w:val="auto"/>
          <w:lang w:val="en-US" w:eastAsia="zh-CN"/>
        </w:rPr>
      </w:pPr>
      <w:r>
        <w:rPr>
          <w:rFonts w:hint="eastAsia"/>
          <w:b w:val="0"/>
          <w:bCs w:val="0"/>
          <w:color w:val="auto"/>
          <w:lang w:val="en-US" w:eastAsia="zh-CN"/>
        </w:rPr>
        <w:t xml:space="preserve"> 本项目不属于条例第十八条、十九条的禁止建设类别，项目不在韩江流域内毁林开荒、破坏植被、砍伐非更新性水源林和护岸林。项目不直接向水体排放和倾倒工业废渣、城镇垃圾或者其他废弃物等污染物，项目新建的建筑垃圾消纳场不在干流、一级支流、二级支流两岸最高水位线水平外延五百米范围内，因此，项目与《广东省韩江流域水质保护条例》（2018年修正）相符。</w:t>
      </w:r>
    </w:p>
    <w:p>
      <w:pPr>
        <w:pStyle w:val="301"/>
        <w:rPr>
          <w:b/>
          <w:color w:val="auto"/>
        </w:rPr>
      </w:pPr>
      <w:r>
        <w:rPr>
          <w:b/>
          <w:color w:val="auto"/>
        </w:rPr>
        <w:t>1.3.2.</w:t>
      </w:r>
      <w:r>
        <w:rPr>
          <w:rFonts w:hint="eastAsia"/>
          <w:b/>
          <w:color w:val="auto"/>
          <w:lang w:val="en-US" w:eastAsia="zh-CN"/>
        </w:rPr>
        <w:t>9</w:t>
      </w:r>
      <w:r>
        <w:rPr>
          <w:b/>
          <w:color w:val="auto"/>
        </w:rPr>
        <w:t>与《梅州市城市总体规划</w:t>
      </w:r>
      <w:r>
        <w:rPr>
          <w:rFonts w:hint="eastAsia"/>
          <w:b/>
          <w:color w:val="auto"/>
          <w:lang w:eastAsia="zh-CN"/>
        </w:rPr>
        <w:t>（</w:t>
      </w:r>
      <w:r>
        <w:rPr>
          <w:b/>
          <w:color w:val="auto"/>
        </w:rPr>
        <w:t>2015-2030</w:t>
      </w:r>
      <w:r>
        <w:rPr>
          <w:rFonts w:hint="eastAsia"/>
          <w:b/>
          <w:color w:val="auto"/>
          <w:lang w:eastAsia="zh-CN"/>
        </w:rPr>
        <w:t>）</w:t>
      </w:r>
      <w:r>
        <w:rPr>
          <w:b/>
          <w:color w:val="auto"/>
        </w:rPr>
        <w:t>》相符性分析</w:t>
      </w:r>
    </w:p>
    <w:p>
      <w:pPr>
        <w:spacing w:line="360" w:lineRule="auto"/>
        <w:ind w:firstLine="480"/>
        <w:rPr>
          <w:color w:val="auto"/>
        </w:rPr>
      </w:pPr>
      <w:r>
        <w:rPr>
          <w:color w:val="auto"/>
        </w:rPr>
        <w:t>《梅州市城市总体规划</w:t>
      </w:r>
      <w:r>
        <w:rPr>
          <w:rFonts w:hint="eastAsia"/>
          <w:color w:val="auto"/>
        </w:rPr>
        <w:t>（</w:t>
      </w:r>
      <w:r>
        <w:rPr>
          <w:color w:val="auto"/>
        </w:rPr>
        <w:t>2015-2030</w:t>
      </w:r>
      <w:r>
        <w:rPr>
          <w:rFonts w:hint="eastAsia"/>
          <w:color w:val="auto"/>
        </w:rPr>
        <w:t>）</w:t>
      </w:r>
      <w:r>
        <w:rPr>
          <w:color w:val="auto"/>
        </w:rPr>
        <w:t>》指出：坚持绿色低碳发展，生态建设和环境保护取得显著成效，2030年城镇生活污水、</w:t>
      </w:r>
      <w:r>
        <w:rPr>
          <w:bCs/>
          <w:color w:val="auto"/>
        </w:rPr>
        <w:t>生活垃圾无害化处理率均达到100</w:t>
      </w:r>
      <w:r>
        <w:rPr>
          <w:rFonts w:hint="eastAsia"/>
          <w:bCs/>
          <w:color w:val="auto"/>
        </w:rPr>
        <w:t>%</w:t>
      </w:r>
      <w:r>
        <w:rPr>
          <w:color w:val="auto"/>
        </w:rPr>
        <w:t>。</w:t>
      </w:r>
      <w:r>
        <w:rPr>
          <w:rFonts w:hint="eastAsia"/>
          <w:color w:val="auto"/>
        </w:rPr>
        <w:t>建立固废分类收集和回收利用系统，实现固废减量化、资源化、无害化。</w:t>
      </w:r>
    </w:p>
    <w:p>
      <w:pPr>
        <w:spacing w:line="360" w:lineRule="auto"/>
        <w:ind w:firstLine="480"/>
        <w:jc w:val="both"/>
        <w:rPr>
          <w:color w:val="auto"/>
        </w:rPr>
      </w:pPr>
      <w:r>
        <w:rPr>
          <w:color w:val="auto"/>
        </w:rPr>
        <w:t>本项目通过</w:t>
      </w:r>
      <w:r>
        <w:rPr>
          <w:rFonts w:hint="eastAsia"/>
          <w:color w:val="auto"/>
        </w:rPr>
        <w:t>餐厨</w:t>
      </w:r>
      <w:r>
        <w:rPr>
          <w:color w:val="auto"/>
        </w:rPr>
        <w:t>垃圾</w:t>
      </w:r>
      <w:r>
        <w:rPr>
          <w:rFonts w:hint="eastAsia"/>
          <w:color w:val="auto"/>
        </w:rPr>
        <w:t>脱水</w:t>
      </w:r>
      <w:r>
        <w:rPr>
          <w:color w:val="auto"/>
        </w:rPr>
        <w:t>焚烧发电</w:t>
      </w:r>
      <w:r>
        <w:rPr>
          <w:rFonts w:hint="eastAsia"/>
          <w:color w:val="auto"/>
        </w:rPr>
        <w:t>和建筑垃圾填埋</w:t>
      </w:r>
      <w:r>
        <w:rPr>
          <w:color w:val="auto"/>
        </w:rPr>
        <w:t>的方式对垃圾进行无害化处理，</w:t>
      </w:r>
      <w:r>
        <w:rPr>
          <w:rFonts w:hint="eastAsia"/>
          <w:color w:val="auto"/>
        </w:rPr>
        <w:t>本项目的建设</w:t>
      </w:r>
      <w:r>
        <w:rPr>
          <w:color w:val="auto"/>
        </w:rPr>
        <w:t>符合《梅州市城市总体规划</w:t>
      </w:r>
      <w:r>
        <w:rPr>
          <w:rFonts w:hint="eastAsia"/>
          <w:color w:val="auto"/>
        </w:rPr>
        <w:t>（</w:t>
      </w:r>
      <w:r>
        <w:rPr>
          <w:color w:val="auto"/>
        </w:rPr>
        <w:t>2015-2030</w:t>
      </w:r>
      <w:r>
        <w:rPr>
          <w:rFonts w:hint="eastAsia"/>
          <w:color w:val="auto"/>
        </w:rPr>
        <w:t>）</w:t>
      </w:r>
      <w:r>
        <w:rPr>
          <w:color w:val="auto"/>
        </w:rPr>
        <w:t>》。</w:t>
      </w:r>
    </w:p>
    <w:p>
      <w:pPr>
        <w:pStyle w:val="301"/>
        <w:rPr>
          <w:b/>
          <w:color w:val="auto"/>
        </w:rPr>
      </w:pPr>
      <w:r>
        <w:rPr>
          <w:b/>
          <w:color w:val="auto"/>
        </w:rPr>
        <w:t>1.3.2.</w:t>
      </w:r>
      <w:r>
        <w:rPr>
          <w:rFonts w:hint="eastAsia"/>
          <w:b/>
          <w:color w:val="auto"/>
          <w:lang w:val="en-US" w:eastAsia="zh-CN"/>
        </w:rPr>
        <w:t>10</w:t>
      </w:r>
      <w:r>
        <w:rPr>
          <w:b/>
          <w:color w:val="auto"/>
        </w:rPr>
        <w:t>与《梅州市环境保护</w:t>
      </w:r>
      <w:r>
        <w:rPr>
          <w:rFonts w:asciiTheme="minorEastAsia" w:hAnsiTheme="minorEastAsia" w:eastAsiaTheme="minorEastAsia"/>
          <w:b/>
          <w:color w:val="auto"/>
        </w:rPr>
        <w:t>“十三五”</w:t>
      </w:r>
      <w:r>
        <w:rPr>
          <w:b/>
          <w:color w:val="auto"/>
        </w:rPr>
        <w:t>规划》相符性分析</w:t>
      </w:r>
    </w:p>
    <w:p>
      <w:pPr>
        <w:spacing w:line="360" w:lineRule="auto"/>
        <w:ind w:firstLine="480"/>
        <w:jc w:val="both"/>
        <w:rPr>
          <w:color w:val="auto"/>
        </w:rPr>
      </w:pPr>
      <w:r>
        <w:rPr>
          <w:color w:val="auto"/>
        </w:rPr>
        <w:t>《梅州市环境保护</w:t>
      </w:r>
      <w:r>
        <w:rPr>
          <w:rFonts w:asciiTheme="minorEastAsia" w:hAnsiTheme="minorEastAsia" w:eastAsiaTheme="minorEastAsia"/>
          <w:color w:val="auto"/>
        </w:rPr>
        <w:t>“十三五”</w:t>
      </w:r>
      <w:r>
        <w:rPr>
          <w:color w:val="auto"/>
        </w:rPr>
        <w:t>规划》指出：</w:t>
      </w:r>
      <w:r>
        <w:rPr>
          <w:bCs/>
          <w:color w:val="auto"/>
        </w:rPr>
        <w:t>加快生活垃圾无害化处理设施、密闭化收运系统和分类化收集系统的建设，提高生活垃圾无害化、减量化、资源化处理水平。</w:t>
      </w:r>
      <w:r>
        <w:rPr>
          <w:color w:val="auto"/>
        </w:rPr>
        <w:t>逐步开展垃圾分类收集，建立完善的环卫配套设施，实现生活垃圾减量化、资源化、无害化处理。</w:t>
      </w:r>
    </w:p>
    <w:p>
      <w:pPr>
        <w:spacing w:line="360" w:lineRule="auto"/>
        <w:ind w:firstLine="480"/>
        <w:jc w:val="both"/>
        <w:rPr>
          <w:color w:val="auto"/>
        </w:rPr>
      </w:pPr>
      <w:r>
        <w:rPr>
          <w:color w:val="auto"/>
        </w:rPr>
        <w:t>各县（市、区）全面推行</w:t>
      </w:r>
      <w:r>
        <w:rPr>
          <w:rFonts w:asciiTheme="minorEastAsia" w:hAnsiTheme="minorEastAsia" w:eastAsiaTheme="minorEastAsia"/>
          <w:color w:val="auto"/>
        </w:rPr>
        <w:t>“户收集、村集中、镇转运、县统筹处理”</w:t>
      </w:r>
      <w:r>
        <w:rPr>
          <w:color w:val="auto"/>
        </w:rPr>
        <w:t>的农村生活垃圾收运处理模式，通过</w:t>
      </w:r>
      <w:r>
        <w:rPr>
          <w:rFonts w:asciiTheme="minorEastAsia" w:hAnsiTheme="minorEastAsia" w:eastAsiaTheme="minorEastAsia"/>
          <w:color w:val="auto"/>
        </w:rPr>
        <w:t>“一县一厂、一镇一站、一村一点”建设，完善农村生活垃圾基础设施建设，实现农村生活垃圾收集处理全覆盖。完善生活垃圾收集运输系统，进一步完善垃圾转运站建设，对现有垃圾转运站进行改扩建，提高规</w:t>
      </w:r>
      <w:r>
        <w:rPr>
          <w:color w:val="auto"/>
        </w:rPr>
        <w:t>范收集转运能力，实现环卫作业机械化和运输密闭化，减少生活垃圾在收集、转运中造成二次污染。到2020年，城镇生活垃圾无害化处理率达98%以上，所有垃圾填埋场的渗滤液得到有效处理。</w:t>
      </w:r>
    </w:p>
    <w:p>
      <w:pPr>
        <w:spacing w:line="360" w:lineRule="auto"/>
        <w:ind w:firstLine="480"/>
        <w:rPr>
          <w:color w:val="auto"/>
        </w:rPr>
      </w:pPr>
      <w:r>
        <w:rPr>
          <w:color w:val="auto"/>
        </w:rPr>
        <w:t>本项目通过</w:t>
      </w:r>
      <w:r>
        <w:rPr>
          <w:rFonts w:hint="eastAsia"/>
          <w:color w:val="auto"/>
        </w:rPr>
        <w:t>餐厨</w:t>
      </w:r>
      <w:r>
        <w:rPr>
          <w:color w:val="auto"/>
        </w:rPr>
        <w:t>垃圾</w:t>
      </w:r>
      <w:r>
        <w:rPr>
          <w:rFonts w:hint="eastAsia"/>
          <w:color w:val="auto"/>
        </w:rPr>
        <w:t>脱水</w:t>
      </w:r>
      <w:r>
        <w:rPr>
          <w:color w:val="auto"/>
        </w:rPr>
        <w:t>焚烧发电</w:t>
      </w:r>
      <w:r>
        <w:rPr>
          <w:rFonts w:hint="eastAsia"/>
          <w:color w:val="auto"/>
        </w:rPr>
        <w:t>和建筑垃圾填埋</w:t>
      </w:r>
      <w:r>
        <w:rPr>
          <w:color w:val="auto"/>
        </w:rPr>
        <w:t>的方式对垃圾进行无害化处理，同时提高了城市生活垃圾处理减量化、资源化和无害化水平。同时，有效地推进了城市建成区的垃圾处理全覆盖，加强了农村生活垃圾的收集和处理，有利于实现城乡统筹、建设美丽乡村，符合《梅州市环境保护</w:t>
      </w:r>
      <w:r>
        <w:rPr>
          <w:rFonts w:asciiTheme="minorEastAsia" w:hAnsiTheme="minorEastAsia" w:eastAsiaTheme="minorEastAsia"/>
          <w:color w:val="auto"/>
        </w:rPr>
        <w:t>“十三五”</w:t>
      </w:r>
      <w:r>
        <w:rPr>
          <w:color w:val="auto"/>
        </w:rPr>
        <w:t>规划》。</w:t>
      </w:r>
    </w:p>
    <w:p>
      <w:pPr>
        <w:pStyle w:val="301"/>
        <w:rPr>
          <w:b/>
          <w:color w:val="auto"/>
        </w:rPr>
      </w:pPr>
      <w:r>
        <w:rPr>
          <w:b/>
          <w:color w:val="auto"/>
        </w:rPr>
        <w:t>1.3.2.</w:t>
      </w:r>
      <w:r>
        <w:rPr>
          <w:rFonts w:hint="eastAsia"/>
          <w:b/>
          <w:color w:val="auto"/>
          <w:lang w:val="en-US" w:eastAsia="zh-CN"/>
        </w:rPr>
        <w:t>11</w:t>
      </w:r>
      <w:r>
        <w:rPr>
          <w:b/>
          <w:color w:val="auto"/>
        </w:rPr>
        <w:t>与《梅州市环境卫生专项规划（2005—2020）》相符性分析</w:t>
      </w:r>
    </w:p>
    <w:p>
      <w:pPr>
        <w:spacing w:line="360" w:lineRule="auto"/>
        <w:ind w:firstLine="480"/>
        <w:jc w:val="both"/>
        <w:rPr>
          <w:b/>
          <w:color w:val="auto"/>
        </w:rPr>
      </w:pPr>
      <w:r>
        <w:rPr>
          <w:color w:val="auto"/>
        </w:rPr>
        <w:t>《梅州市环境卫生专项规划（2005—2020）》指出：垃圾处理设施规划原则为：</w:t>
      </w:r>
      <w:r>
        <w:rPr>
          <w:bCs/>
          <w:color w:val="auto"/>
        </w:rPr>
        <w:t>以垃圾卫生填埋为主，安全焚烧为辅，实现垃圾处理减量化、资源化、无害化，最终形成卫生填埋、安全焚烧及综合利用互为补充的处理模式。</w:t>
      </w:r>
    </w:p>
    <w:p>
      <w:pPr>
        <w:spacing w:line="360" w:lineRule="auto"/>
        <w:ind w:firstLine="480"/>
        <w:rPr>
          <w:color w:val="auto"/>
        </w:rPr>
      </w:pPr>
      <w:r>
        <w:rPr>
          <w:color w:val="auto"/>
        </w:rPr>
        <w:t>本项目通过</w:t>
      </w:r>
      <w:r>
        <w:rPr>
          <w:rFonts w:hint="eastAsia"/>
          <w:color w:val="auto"/>
        </w:rPr>
        <w:t>餐厨</w:t>
      </w:r>
      <w:r>
        <w:rPr>
          <w:color w:val="auto"/>
        </w:rPr>
        <w:t>垃圾</w:t>
      </w:r>
      <w:r>
        <w:rPr>
          <w:rFonts w:hint="eastAsia"/>
          <w:color w:val="auto"/>
        </w:rPr>
        <w:t>脱水</w:t>
      </w:r>
      <w:r>
        <w:rPr>
          <w:color w:val="auto"/>
        </w:rPr>
        <w:t>焚烧发电</w:t>
      </w:r>
      <w:r>
        <w:rPr>
          <w:rFonts w:hint="eastAsia"/>
          <w:color w:val="auto"/>
        </w:rPr>
        <w:t>和建筑垃圾填埋</w:t>
      </w:r>
      <w:r>
        <w:rPr>
          <w:color w:val="auto"/>
        </w:rPr>
        <w:t>的方式对垃圾进行无害化处理，提高城市垃圾处理减量化、资源化和无害化水平，符合《梅州市环境卫生专项规划（2005—2020）》。</w:t>
      </w:r>
    </w:p>
    <w:p>
      <w:pPr>
        <w:keepNext/>
        <w:spacing w:line="360" w:lineRule="auto"/>
        <w:outlineLvl w:val="3"/>
        <w:rPr>
          <w:b/>
          <w:bCs/>
          <w:color w:val="auto"/>
          <w:szCs w:val="28"/>
        </w:rPr>
      </w:pPr>
      <w:r>
        <w:rPr>
          <w:b/>
          <w:bCs/>
          <w:color w:val="auto"/>
          <w:szCs w:val="28"/>
        </w:rPr>
        <w:t>1.3.2.1</w:t>
      </w:r>
      <w:r>
        <w:rPr>
          <w:rFonts w:hint="eastAsia"/>
          <w:b/>
          <w:bCs/>
          <w:color w:val="auto"/>
          <w:szCs w:val="28"/>
          <w:lang w:val="en-US" w:eastAsia="zh-CN"/>
        </w:rPr>
        <w:t>2</w:t>
      </w:r>
      <w:r>
        <w:rPr>
          <w:b/>
          <w:bCs/>
          <w:color w:val="auto"/>
          <w:szCs w:val="28"/>
        </w:rPr>
        <w:t>与《</w:t>
      </w:r>
      <w:r>
        <w:rPr>
          <w:rFonts w:hint="eastAsia"/>
          <w:b/>
          <w:bCs/>
          <w:color w:val="auto"/>
          <w:szCs w:val="28"/>
        </w:rPr>
        <w:t>广东省</w:t>
      </w:r>
      <w:r>
        <w:rPr>
          <w:b/>
          <w:bCs/>
          <w:color w:val="auto"/>
          <w:szCs w:val="28"/>
        </w:rPr>
        <w:t>梅州市土地利用总体规划（2006-2020）》相符性分析</w:t>
      </w:r>
    </w:p>
    <w:p>
      <w:pPr>
        <w:pStyle w:val="77"/>
        <w:ind w:firstLine="480"/>
        <w:rPr>
          <w:color w:val="auto"/>
        </w:rPr>
      </w:pPr>
      <w:r>
        <w:rPr>
          <w:color w:val="auto"/>
        </w:rPr>
        <w:t>根据《广东省梅州市土地利用总体规划（2006-2020年）》，将全市土地划分为允许建设区、有条件建设区、限制建设区和禁止建设区四类管制区</w:t>
      </w:r>
      <w:r>
        <w:rPr>
          <w:rFonts w:hint="eastAsia"/>
          <w:color w:val="auto"/>
        </w:rPr>
        <w:t>。</w:t>
      </w:r>
    </w:p>
    <w:p>
      <w:pPr>
        <w:pStyle w:val="77"/>
        <w:ind w:firstLine="480"/>
        <w:jc w:val="both"/>
        <w:rPr>
          <w:color w:val="auto"/>
        </w:rPr>
      </w:pPr>
      <w:r>
        <w:rPr>
          <w:color w:val="auto"/>
        </w:rPr>
        <w:t>本项目位于</w:t>
      </w:r>
      <w:r>
        <w:rPr>
          <w:rFonts w:hint="eastAsia"/>
          <w:color w:val="auto"/>
        </w:rPr>
        <w:t>兴宁市区</w:t>
      </w:r>
      <w:r>
        <w:rPr>
          <w:color w:val="auto"/>
        </w:rPr>
        <w:t>，属于允许建设区，为城镇村建设用地区，符合《广东省梅州市土地利用总体规划（2006-2020年）》。项目取得了广东省林业厅于2018年12月26日出具的《使用林地审核同意书》</w:t>
      </w:r>
      <w:r>
        <w:rPr>
          <w:rFonts w:hint="eastAsia"/>
          <w:color w:val="auto"/>
        </w:rPr>
        <w:t>（</w:t>
      </w:r>
      <w:r>
        <w:rPr>
          <w:color w:val="auto"/>
        </w:rPr>
        <w:t>粤林地许准</w:t>
      </w:r>
      <w:r>
        <w:rPr>
          <w:rFonts w:hint="eastAsia"/>
          <w:color w:val="auto"/>
        </w:rPr>
        <w:t>【2</w:t>
      </w:r>
      <w:r>
        <w:rPr>
          <w:color w:val="auto"/>
        </w:rPr>
        <w:t>018</w:t>
      </w:r>
      <w:r>
        <w:rPr>
          <w:rFonts w:hint="eastAsia"/>
          <w:color w:val="auto"/>
        </w:rPr>
        <w:t>】1</w:t>
      </w:r>
      <w:r>
        <w:rPr>
          <w:color w:val="auto"/>
        </w:rPr>
        <w:t>332号</w:t>
      </w:r>
      <w:r>
        <w:rPr>
          <w:rFonts w:hint="eastAsia"/>
          <w:color w:val="auto"/>
        </w:rPr>
        <w:t>）</w:t>
      </w:r>
      <w:r>
        <w:rPr>
          <w:color w:val="auto"/>
        </w:rPr>
        <w:t>和2019年2月28日出具的《使用林地审核同意书》</w:t>
      </w:r>
      <w:r>
        <w:rPr>
          <w:rFonts w:hint="eastAsia"/>
          <w:color w:val="auto"/>
        </w:rPr>
        <w:t>（</w:t>
      </w:r>
      <w:r>
        <w:rPr>
          <w:color w:val="auto"/>
        </w:rPr>
        <w:t>粤林地许准</w:t>
      </w:r>
      <w:r>
        <w:rPr>
          <w:rFonts w:hint="eastAsia"/>
          <w:color w:val="auto"/>
        </w:rPr>
        <w:t>【2</w:t>
      </w:r>
      <w:r>
        <w:rPr>
          <w:color w:val="auto"/>
        </w:rPr>
        <w:t>019</w:t>
      </w:r>
      <w:r>
        <w:rPr>
          <w:rFonts w:hint="eastAsia"/>
          <w:color w:val="auto"/>
        </w:rPr>
        <w:t>】</w:t>
      </w:r>
      <w:r>
        <w:rPr>
          <w:color w:val="auto"/>
        </w:rPr>
        <w:t>201号</w:t>
      </w:r>
      <w:r>
        <w:rPr>
          <w:rFonts w:hint="eastAsia"/>
          <w:color w:val="auto"/>
        </w:rPr>
        <w:t>）</w:t>
      </w:r>
      <w:r>
        <w:rPr>
          <w:color w:val="auto"/>
        </w:rPr>
        <w:t>；取得了</w:t>
      </w:r>
      <w:r>
        <w:rPr>
          <w:rFonts w:hint="eastAsia"/>
          <w:color w:val="auto"/>
        </w:rPr>
        <w:t>兴宁市自然资源局</w:t>
      </w:r>
      <w:r>
        <w:rPr>
          <w:color w:val="auto"/>
        </w:rPr>
        <w:t>于2019年4月12日出具的《关于</w:t>
      </w:r>
      <w:r>
        <w:rPr>
          <w:rFonts w:hint="eastAsia"/>
          <w:color w:val="auto"/>
        </w:rPr>
        <w:t>对兴宁市静脉产业园项目的用地预审意见</w:t>
      </w:r>
      <w:r>
        <w:rPr>
          <w:color w:val="auto"/>
        </w:rPr>
        <w:t>》</w:t>
      </w:r>
      <w:r>
        <w:rPr>
          <w:rFonts w:hint="eastAsia"/>
          <w:color w:val="auto"/>
        </w:rPr>
        <w:t>（兴自然资（预）函【2</w:t>
      </w:r>
      <w:r>
        <w:rPr>
          <w:color w:val="auto"/>
        </w:rPr>
        <w:t>019</w:t>
      </w:r>
      <w:r>
        <w:rPr>
          <w:rFonts w:hint="eastAsia"/>
          <w:color w:val="auto"/>
        </w:rPr>
        <w:t>】</w:t>
      </w:r>
      <w:r>
        <w:rPr>
          <w:color w:val="auto"/>
        </w:rPr>
        <w:t>1</w:t>
      </w:r>
      <w:r>
        <w:rPr>
          <w:rFonts w:hint="eastAsia"/>
          <w:color w:val="auto"/>
        </w:rPr>
        <w:t>号）</w:t>
      </w:r>
      <w:r>
        <w:rPr>
          <w:color w:val="auto"/>
        </w:rPr>
        <w:t>，明确了项目选址建设符合</w:t>
      </w:r>
      <w:r>
        <w:rPr>
          <w:rFonts w:hint="eastAsia"/>
          <w:color w:val="auto"/>
        </w:rPr>
        <w:t>兴宁市土地利用</w:t>
      </w:r>
      <w:r>
        <w:rPr>
          <w:color w:val="auto"/>
        </w:rPr>
        <w:t>总体规划，该局原则上同意</w:t>
      </w:r>
      <w:r>
        <w:rPr>
          <w:rFonts w:hint="eastAsia"/>
          <w:color w:val="auto"/>
        </w:rPr>
        <w:t>项目用地预审</w:t>
      </w:r>
      <w:r>
        <w:rPr>
          <w:color w:val="auto"/>
        </w:rPr>
        <w:t>；取得了</w:t>
      </w:r>
      <w:r>
        <w:rPr>
          <w:rFonts w:hint="eastAsia"/>
          <w:color w:val="auto"/>
        </w:rPr>
        <w:t>兴宁市自然资源局</w:t>
      </w:r>
      <w:r>
        <w:rPr>
          <w:color w:val="auto"/>
        </w:rPr>
        <w:t>于2019年4月25日出具的《</w:t>
      </w:r>
      <w:r>
        <w:rPr>
          <w:rFonts w:hint="eastAsia"/>
          <w:color w:val="auto"/>
        </w:rPr>
        <w:t>建设项目选址意见书</w:t>
      </w:r>
      <w:r>
        <w:rPr>
          <w:color w:val="auto"/>
        </w:rPr>
        <w:t>》（</w:t>
      </w:r>
      <w:r>
        <w:rPr>
          <w:rFonts w:hint="eastAsia"/>
          <w:color w:val="auto"/>
        </w:rPr>
        <w:t>选字第镇址2</w:t>
      </w:r>
      <w:r>
        <w:rPr>
          <w:color w:val="auto"/>
        </w:rPr>
        <w:t>019</w:t>
      </w:r>
      <w:r>
        <w:rPr>
          <w:rFonts w:hint="eastAsia"/>
          <w:color w:val="auto"/>
        </w:rPr>
        <w:t>（0</w:t>
      </w:r>
      <w:r>
        <w:rPr>
          <w:color w:val="auto"/>
        </w:rPr>
        <w:t>02</w:t>
      </w:r>
      <w:r>
        <w:rPr>
          <w:rFonts w:hint="eastAsia"/>
          <w:color w:val="auto"/>
        </w:rPr>
        <w:t>）号</w:t>
      </w:r>
      <w:r>
        <w:rPr>
          <w:color w:val="auto"/>
        </w:rPr>
        <w:t>），明确了</w:t>
      </w:r>
      <w:r>
        <w:rPr>
          <w:rFonts w:hint="eastAsia"/>
          <w:color w:val="auto"/>
        </w:rPr>
        <w:t>本项目建设符合城乡规划要求</w:t>
      </w:r>
      <w:r>
        <w:rPr>
          <w:color w:val="auto"/>
        </w:rPr>
        <w:t>；取得了</w:t>
      </w:r>
      <w:r>
        <w:rPr>
          <w:rFonts w:hint="eastAsia"/>
          <w:color w:val="auto"/>
        </w:rPr>
        <w:t>兴宁市</w:t>
      </w:r>
      <w:r>
        <w:rPr>
          <w:color w:val="auto"/>
        </w:rPr>
        <w:t>环境保护局于2019年3月7日出具的《关于</w:t>
      </w:r>
      <w:r>
        <w:rPr>
          <w:rFonts w:hint="eastAsia"/>
          <w:color w:val="auto"/>
        </w:rPr>
        <w:t>&lt;申请办理兴宁市静脉产业园项目环保预审意见&gt;的环保</w:t>
      </w:r>
      <w:r>
        <w:rPr>
          <w:color w:val="auto"/>
        </w:rPr>
        <w:t>意见》，明确了</w:t>
      </w:r>
      <w:r>
        <w:rPr>
          <w:rFonts w:hint="eastAsia"/>
          <w:color w:val="auto"/>
        </w:rPr>
        <w:t>从环境保护角度，兴宁市</w:t>
      </w:r>
      <w:r>
        <w:rPr>
          <w:color w:val="auto"/>
        </w:rPr>
        <w:t>环境保护局</w:t>
      </w:r>
      <w:r>
        <w:rPr>
          <w:rFonts w:hint="eastAsia"/>
          <w:color w:val="auto"/>
        </w:rPr>
        <w:t>原则同意本项目的建设</w:t>
      </w:r>
      <w:r>
        <w:rPr>
          <w:color w:val="auto"/>
        </w:rPr>
        <w:t>。综上可知，本项目的选址符合土地规划及相关政府文件的要求。</w:t>
      </w:r>
    </w:p>
    <w:p>
      <w:pPr>
        <w:keepNext/>
        <w:outlineLvl w:val="3"/>
        <w:rPr>
          <w:b/>
          <w:bCs/>
          <w:color w:val="auto"/>
          <w:szCs w:val="28"/>
        </w:rPr>
      </w:pPr>
      <w:r>
        <w:rPr>
          <w:b/>
          <w:bCs/>
          <w:color w:val="auto"/>
          <w:szCs w:val="28"/>
        </w:rPr>
        <w:t>1.3.2.1</w:t>
      </w:r>
      <w:r>
        <w:rPr>
          <w:rFonts w:hint="eastAsia"/>
          <w:b/>
          <w:bCs/>
          <w:color w:val="auto"/>
          <w:szCs w:val="28"/>
          <w:lang w:val="en-US" w:eastAsia="zh-CN"/>
        </w:rPr>
        <w:t>3</w:t>
      </w:r>
      <w:r>
        <w:rPr>
          <w:b/>
          <w:bCs/>
          <w:color w:val="auto"/>
          <w:szCs w:val="28"/>
        </w:rPr>
        <w:t>与《梅州市环境保护规划纲要（2007-2020）》相符性</w:t>
      </w:r>
    </w:p>
    <w:p>
      <w:pPr>
        <w:spacing w:line="360" w:lineRule="auto"/>
        <w:ind w:firstLine="480"/>
        <w:jc w:val="both"/>
        <w:rPr>
          <w:rFonts w:asciiTheme="minorEastAsia" w:hAnsiTheme="minorEastAsia" w:eastAsiaTheme="minorEastAsia"/>
          <w:color w:val="auto"/>
        </w:rPr>
      </w:pPr>
      <w:r>
        <w:rPr>
          <w:color w:val="auto"/>
        </w:rPr>
        <w:t>按照《梅州市环境保护规划纲要（2007-2020）》的要求，梅州市将按照</w:t>
      </w:r>
      <w:r>
        <w:rPr>
          <w:rFonts w:asciiTheme="minorEastAsia" w:hAnsiTheme="minorEastAsia" w:eastAsiaTheme="minorEastAsia"/>
          <w:color w:val="auto"/>
        </w:rPr>
        <w:t>“优化结构、合理布局，节约资源、保护环境，以人为本、协调发展，统筹兼顾、纵横衔接，分类规划、分区控制”的原则积极促进全市经济发展和环境保护的协调进步。</w:t>
      </w:r>
    </w:p>
    <w:p>
      <w:pPr>
        <w:spacing w:line="360" w:lineRule="auto"/>
        <w:ind w:firstLine="480"/>
        <w:jc w:val="both"/>
        <w:rPr>
          <w:color w:val="auto"/>
        </w:rPr>
      </w:pPr>
      <w:r>
        <w:rPr>
          <w:rFonts w:asciiTheme="minorEastAsia" w:hAnsiTheme="minorEastAsia" w:eastAsiaTheme="minorEastAsia"/>
          <w:color w:val="auto"/>
        </w:rPr>
        <w:t>本项目属于梅</w:t>
      </w:r>
      <w:r>
        <w:rPr>
          <w:color w:val="auto"/>
        </w:rPr>
        <w:t>州市</w:t>
      </w:r>
      <w:r>
        <w:rPr>
          <w:rFonts w:asciiTheme="minorEastAsia" w:hAnsiTheme="minorEastAsia" w:eastAsiaTheme="minorEastAsia"/>
          <w:color w:val="auto"/>
        </w:rPr>
        <w:t>“固体废物综合利用与资源化再生产业”</w:t>
      </w:r>
      <w:r>
        <w:rPr>
          <w:color w:val="auto"/>
        </w:rPr>
        <w:t>，项目建成后对于区域环境起到优化作用，促进地区经济发展，本项目用地不涉及大气环境一类区、饮用水源地、自然保护区等敏感区。因此，本项目的建设符合《梅州市环境保护规划纲要》（2007-2020）的要求。</w:t>
      </w:r>
    </w:p>
    <w:p>
      <w:pPr>
        <w:pStyle w:val="301"/>
        <w:rPr>
          <w:b/>
          <w:color w:val="auto"/>
        </w:rPr>
      </w:pPr>
      <w:r>
        <w:rPr>
          <w:b/>
          <w:color w:val="auto"/>
        </w:rPr>
        <w:t>1.3.2.1</w:t>
      </w:r>
      <w:r>
        <w:rPr>
          <w:rFonts w:hint="eastAsia"/>
          <w:b/>
          <w:color w:val="auto"/>
          <w:lang w:val="en-US" w:eastAsia="zh-CN"/>
        </w:rPr>
        <w:t>4</w:t>
      </w:r>
      <w:r>
        <w:rPr>
          <w:b/>
          <w:color w:val="auto"/>
        </w:rPr>
        <w:t>与</w:t>
      </w:r>
      <w:r>
        <w:rPr>
          <w:rFonts w:hint="eastAsia"/>
          <w:b/>
          <w:color w:val="auto"/>
          <w:lang w:val="en-US"/>
        </w:rPr>
        <w:t>《梅州市打好污染防治攻坚战三年行动计划（2018-2020）》</w:t>
      </w:r>
      <w:r>
        <w:rPr>
          <w:b/>
          <w:color w:val="auto"/>
        </w:rPr>
        <w:t>相符性分析</w:t>
      </w:r>
    </w:p>
    <w:p>
      <w:pPr>
        <w:spacing w:line="360" w:lineRule="auto"/>
        <w:ind w:firstLine="480" w:firstLineChars="200"/>
        <w:rPr>
          <w:bCs/>
          <w:color w:val="auto"/>
        </w:rPr>
      </w:pPr>
      <w:r>
        <w:rPr>
          <w:rFonts w:hint="eastAsia"/>
          <w:bCs/>
          <w:color w:val="auto"/>
        </w:rPr>
        <w:t>《梅州市打好污染防治攻坚战三年行动计划（2018-2020）》提出：到2</w:t>
      </w:r>
      <w:r>
        <w:rPr>
          <w:bCs/>
          <w:color w:val="auto"/>
        </w:rPr>
        <w:t>020</w:t>
      </w:r>
      <w:r>
        <w:rPr>
          <w:rFonts w:hint="eastAsia"/>
          <w:bCs/>
          <w:color w:val="auto"/>
        </w:rPr>
        <w:t>年，城市生活垃圾无害化处理率达到1</w:t>
      </w:r>
      <w:r>
        <w:rPr>
          <w:bCs/>
          <w:color w:val="auto"/>
        </w:rPr>
        <w:t>00</w:t>
      </w:r>
      <w:r>
        <w:rPr>
          <w:rFonts w:hint="eastAsia"/>
          <w:bCs/>
          <w:color w:val="auto"/>
        </w:rPr>
        <w:t>%，乡村保洁覆盖面达到1</w:t>
      </w:r>
      <w:r>
        <w:rPr>
          <w:bCs/>
          <w:color w:val="auto"/>
        </w:rPr>
        <w:t>00</w:t>
      </w:r>
      <w:r>
        <w:rPr>
          <w:rFonts w:hint="eastAsia"/>
          <w:bCs/>
          <w:color w:val="auto"/>
        </w:rPr>
        <w:t>%，农村生活垃圾有效处理率达到9</w:t>
      </w:r>
      <w:r>
        <w:rPr>
          <w:bCs/>
          <w:color w:val="auto"/>
        </w:rPr>
        <w:t>5</w:t>
      </w:r>
      <w:r>
        <w:rPr>
          <w:rFonts w:hint="eastAsia"/>
          <w:bCs/>
          <w:color w:val="auto"/>
        </w:rPr>
        <w:t>%以上，全市工业危险废物安全处置率达到1</w:t>
      </w:r>
      <w:r>
        <w:rPr>
          <w:bCs/>
          <w:color w:val="auto"/>
        </w:rPr>
        <w:t>00</w:t>
      </w:r>
      <w:r>
        <w:rPr>
          <w:rFonts w:hint="eastAsia"/>
          <w:bCs/>
          <w:color w:val="auto"/>
        </w:rPr>
        <w:t>%，城市生活污水处理厂污泥无害化处置率达到1</w:t>
      </w:r>
      <w:r>
        <w:rPr>
          <w:bCs/>
          <w:color w:val="auto"/>
        </w:rPr>
        <w:t>00</w:t>
      </w:r>
      <w:r>
        <w:rPr>
          <w:rFonts w:hint="eastAsia"/>
          <w:bCs/>
          <w:color w:val="auto"/>
        </w:rPr>
        <w:t>%。</w:t>
      </w:r>
    </w:p>
    <w:p>
      <w:pPr>
        <w:spacing w:line="360" w:lineRule="auto"/>
        <w:ind w:firstLine="480" w:firstLineChars="200"/>
        <w:rPr>
          <w:bCs/>
          <w:color w:val="auto"/>
        </w:rPr>
      </w:pPr>
      <w:r>
        <w:rPr>
          <w:rFonts w:hint="eastAsia"/>
          <w:bCs/>
          <w:color w:val="auto"/>
        </w:rPr>
        <w:t>《行动计划》还提出：推动一般工业固废处置项目建设，逐推动粉煤灰、脱硫石膏等全利用，逐步形成再生资源回收、加工、利用的产业链条；差别化推进城镇和农村生活垃圾分类工作，加快建立分类投放、分类收集、分类运输、分类处理的生活垃圾处理系统，到2</w:t>
      </w:r>
      <w:r>
        <w:rPr>
          <w:bCs/>
          <w:color w:val="auto"/>
        </w:rPr>
        <w:t>020</w:t>
      </w:r>
      <w:r>
        <w:rPr>
          <w:rFonts w:hint="eastAsia"/>
          <w:bCs/>
          <w:color w:val="auto"/>
        </w:rPr>
        <w:t>年年底，梅州城市生活垃圾回收利用率达3</w:t>
      </w:r>
      <w:r>
        <w:rPr>
          <w:bCs/>
          <w:color w:val="auto"/>
        </w:rPr>
        <w:t>5</w:t>
      </w:r>
      <w:r>
        <w:rPr>
          <w:rFonts w:hint="eastAsia"/>
          <w:bCs/>
          <w:color w:val="auto"/>
        </w:rPr>
        <w:t>%以上。</w:t>
      </w:r>
    </w:p>
    <w:p>
      <w:pPr>
        <w:spacing w:line="360" w:lineRule="auto"/>
        <w:ind w:firstLine="480" w:firstLineChars="200"/>
        <w:jc w:val="both"/>
        <w:rPr>
          <w:bCs/>
          <w:color w:val="auto"/>
        </w:rPr>
      </w:pPr>
      <w:r>
        <w:rPr>
          <w:color w:val="auto"/>
        </w:rPr>
        <w:t>本项目通过</w:t>
      </w:r>
      <w:r>
        <w:rPr>
          <w:rFonts w:hint="eastAsia"/>
          <w:color w:val="auto"/>
        </w:rPr>
        <w:t>餐厨</w:t>
      </w:r>
      <w:r>
        <w:rPr>
          <w:color w:val="auto"/>
        </w:rPr>
        <w:t>垃圾</w:t>
      </w:r>
      <w:r>
        <w:rPr>
          <w:rFonts w:hint="eastAsia"/>
          <w:color w:val="auto"/>
        </w:rPr>
        <w:t>脱水</w:t>
      </w:r>
      <w:r>
        <w:rPr>
          <w:color w:val="auto"/>
        </w:rPr>
        <w:t>焚烧发电</w:t>
      </w:r>
      <w:r>
        <w:rPr>
          <w:rFonts w:hint="eastAsia"/>
          <w:color w:val="auto"/>
        </w:rPr>
        <w:t>和建筑垃圾填埋</w:t>
      </w:r>
      <w:r>
        <w:rPr>
          <w:color w:val="auto"/>
        </w:rPr>
        <w:t>的方式对垃圾进行无害化处理</w:t>
      </w:r>
      <w:r>
        <w:rPr>
          <w:rFonts w:hint="eastAsia"/>
          <w:color w:val="auto"/>
        </w:rPr>
        <w:t>。因此，本项目的建设与</w:t>
      </w:r>
      <w:r>
        <w:rPr>
          <w:rFonts w:hint="eastAsia"/>
          <w:bCs/>
          <w:color w:val="auto"/>
        </w:rPr>
        <w:t>《梅州市打好污染防治攻坚战三年行动计划（2018-2020）》是相符的。</w:t>
      </w:r>
    </w:p>
    <w:p>
      <w:pPr>
        <w:pStyle w:val="301"/>
        <w:rPr>
          <w:b/>
          <w:color w:val="auto"/>
        </w:rPr>
      </w:pPr>
      <w:r>
        <w:rPr>
          <w:b/>
          <w:color w:val="auto"/>
        </w:rPr>
        <w:t>1.3.2.</w:t>
      </w:r>
      <w:r>
        <w:rPr>
          <w:rFonts w:hint="eastAsia"/>
          <w:b/>
          <w:color w:val="auto"/>
          <w:lang w:eastAsia="zh-CN"/>
        </w:rPr>
        <w:t>1</w:t>
      </w:r>
      <w:r>
        <w:rPr>
          <w:rFonts w:hint="eastAsia"/>
          <w:b/>
          <w:color w:val="auto"/>
          <w:lang w:val="en-US" w:eastAsia="zh-CN"/>
        </w:rPr>
        <w:t>5</w:t>
      </w:r>
      <w:r>
        <w:rPr>
          <w:b/>
          <w:color w:val="auto"/>
        </w:rPr>
        <w:t>与《</w:t>
      </w:r>
      <w:r>
        <w:rPr>
          <w:rFonts w:hint="eastAsia"/>
          <w:b/>
          <w:color w:val="auto"/>
          <w:lang w:eastAsia="zh-CN"/>
        </w:rPr>
        <w:t>兴宁市城市</w:t>
      </w:r>
      <w:r>
        <w:rPr>
          <w:b/>
          <w:color w:val="auto"/>
        </w:rPr>
        <w:t>总体规划（2010-2020）》相符性分析</w:t>
      </w:r>
    </w:p>
    <w:p>
      <w:pPr>
        <w:spacing w:line="360" w:lineRule="auto"/>
        <w:ind w:firstLine="480"/>
        <w:jc w:val="both"/>
        <w:rPr>
          <w:color w:val="auto"/>
        </w:rPr>
      </w:pPr>
      <w:r>
        <w:rPr>
          <w:color w:val="auto"/>
        </w:rPr>
        <w:t>《</w:t>
      </w:r>
      <w:r>
        <w:rPr>
          <w:bCs/>
          <w:color w:val="auto"/>
        </w:rPr>
        <w:t>兴宁市城市总体规划（2010-2020）</w:t>
      </w:r>
      <w:r>
        <w:rPr>
          <w:color w:val="auto"/>
        </w:rPr>
        <w:t>》指出：</w:t>
      </w:r>
      <w:r>
        <w:rPr>
          <w:rFonts w:hint="eastAsia"/>
          <w:color w:val="auto"/>
        </w:rPr>
        <w:t>推广清洁生产技术，减少工业固体废弃物排放，并对可回收利用的废弃物，进行综合利用，提供资源利用率</w:t>
      </w:r>
      <w:r>
        <w:rPr>
          <w:color w:val="auto"/>
        </w:rPr>
        <w:t>。</w:t>
      </w:r>
      <w:r>
        <w:rPr>
          <w:rFonts w:hint="eastAsia"/>
          <w:color w:val="auto"/>
        </w:rPr>
        <w:t>建立完善的生活垃圾收集、清运和处理系统，加快垃圾处理场规划和建设，避免造成二次污染。</w:t>
      </w:r>
    </w:p>
    <w:p>
      <w:pPr>
        <w:spacing w:line="360" w:lineRule="auto"/>
        <w:ind w:firstLine="480"/>
        <w:jc w:val="both"/>
        <w:rPr>
          <w:color w:val="auto"/>
        </w:rPr>
      </w:pPr>
      <w:r>
        <w:rPr>
          <w:color w:val="auto"/>
        </w:rPr>
        <w:t>本项目通过</w:t>
      </w:r>
      <w:r>
        <w:rPr>
          <w:rFonts w:hint="eastAsia"/>
          <w:color w:val="auto"/>
        </w:rPr>
        <w:t>餐厨</w:t>
      </w:r>
      <w:r>
        <w:rPr>
          <w:color w:val="auto"/>
        </w:rPr>
        <w:t>垃圾</w:t>
      </w:r>
      <w:r>
        <w:rPr>
          <w:rFonts w:hint="eastAsia"/>
          <w:color w:val="auto"/>
        </w:rPr>
        <w:t>脱水</w:t>
      </w:r>
      <w:r>
        <w:rPr>
          <w:color w:val="auto"/>
        </w:rPr>
        <w:t>焚烧发电</w:t>
      </w:r>
      <w:r>
        <w:rPr>
          <w:rFonts w:hint="eastAsia"/>
          <w:color w:val="auto"/>
        </w:rPr>
        <w:t>和建筑垃圾填埋</w:t>
      </w:r>
      <w:r>
        <w:rPr>
          <w:color w:val="auto"/>
        </w:rPr>
        <w:t>的方式对垃圾进行无害化处理，提升</w:t>
      </w:r>
      <w:r>
        <w:rPr>
          <w:rFonts w:hint="eastAsia"/>
          <w:color w:val="auto"/>
        </w:rPr>
        <w:t>兴宁市</w:t>
      </w:r>
      <w:r>
        <w:rPr>
          <w:color w:val="auto"/>
        </w:rPr>
        <w:t>生态环境质量，符合《</w:t>
      </w:r>
      <w:r>
        <w:rPr>
          <w:bCs/>
          <w:color w:val="auto"/>
        </w:rPr>
        <w:t>兴宁市城市总体规划（2010-2020）</w:t>
      </w:r>
      <w:r>
        <w:rPr>
          <w:color w:val="auto"/>
        </w:rPr>
        <w:t>》。</w:t>
      </w:r>
    </w:p>
    <w:p>
      <w:pPr>
        <w:pStyle w:val="301"/>
        <w:rPr>
          <w:b/>
          <w:color w:val="auto"/>
        </w:rPr>
      </w:pPr>
      <w:r>
        <w:rPr>
          <w:b/>
          <w:color w:val="auto"/>
        </w:rPr>
        <w:t>1.3.2.</w:t>
      </w:r>
      <w:r>
        <w:rPr>
          <w:rFonts w:hint="eastAsia"/>
          <w:b/>
          <w:color w:val="auto"/>
          <w:lang w:eastAsia="zh-CN"/>
        </w:rPr>
        <w:t>1</w:t>
      </w:r>
      <w:r>
        <w:rPr>
          <w:rFonts w:hint="eastAsia"/>
          <w:b/>
          <w:color w:val="auto"/>
          <w:lang w:val="en-US" w:eastAsia="zh-CN"/>
        </w:rPr>
        <w:t>6</w:t>
      </w:r>
      <w:r>
        <w:rPr>
          <w:b/>
          <w:color w:val="auto"/>
        </w:rPr>
        <w:t>与《</w:t>
      </w:r>
      <w:r>
        <w:rPr>
          <w:rFonts w:hint="eastAsia"/>
          <w:b/>
          <w:color w:val="auto"/>
          <w:lang w:eastAsia="zh-CN"/>
        </w:rPr>
        <w:t>兴宁市</w:t>
      </w:r>
      <w:r>
        <w:rPr>
          <w:b/>
          <w:color w:val="auto"/>
        </w:rPr>
        <w:t>环境保护</w:t>
      </w:r>
      <w:r>
        <w:rPr>
          <w:rFonts w:hint="eastAsia"/>
          <w:b/>
          <w:color w:val="auto"/>
          <w:lang w:eastAsia="zh-CN"/>
        </w:rPr>
        <w:t>“十三五”</w:t>
      </w:r>
      <w:r>
        <w:rPr>
          <w:b/>
          <w:color w:val="auto"/>
        </w:rPr>
        <w:t>规划》相符性分析</w:t>
      </w:r>
    </w:p>
    <w:p>
      <w:pPr>
        <w:spacing w:line="360" w:lineRule="auto"/>
        <w:ind w:firstLine="480"/>
        <w:jc w:val="both"/>
        <w:rPr>
          <w:color w:val="auto"/>
        </w:rPr>
      </w:pPr>
      <w:r>
        <w:rPr>
          <w:color w:val="auto"/>
        </w:rPr>
        <w:t>《</w:t>
      </w:r>
      <w:r>
        <w:rPr>
          <w:bCs/>
          <w:color w:val="auto"/>
        </w:rPr>
        <w:t>兴宁市环境保护</w:t>
      </w:r>
      <w:r>
        <w:rPr>
          <w:rFonts w:hint="eastAsia"/>
          <w:bCs/>
          <w:color w:val="auto"/>
        </w:rPr>
        <w:t>“十三五”</w:t>
      </w:r>
      <w:r>
        <w:rPr>
          <w:bCs/>
          <w:color w:val="auto"/>
        </w:rPr>
        <w:t>规划</w:t>
      </w:r>
      <w:r>
        <w:rPr>
          <w:color w:val="auto"/>
        </w:rPr>
        <w:t>》指出：</w:t>
      </w:r>
      <w:r>
        <w:rPr>
          <w:rFonts w:hint="eastAsia"/>
          <w:color w:val="auto"/>
        </w:rPr>
        <w:t>工业固体废物的污染防治应突出资源化、减量化和无害化。加快生活垃圾无害化处理设施、密闭化收运系统和分类化收集系统的建设，提高生活垃圾无害化、减量化、资源化处理水平</w:t>
      </w:r>
      <w:r>
        <w:rPr>
          <w:color w:val="auto"/>
        </w:rPr>
        <w:t>。</w:t>
      </w:r>
      <w:r>
        <w:rPr>
          <w:rFonts w:hint="eastAsia"/>
          <w:color w:val="auto"/>
        </w:rPr>
        <w:t>逐步开展垃圾分类收集，建立完善的环卫配套设施，实现生活垃圾减量化、资源化、无害化处理。到2</w:t>
      </w:r>
      <w:r>
        <w:rPr>
          <w:color w:val="auto"/>
        </w:rPr>
        <w:t>020</w:t>
      </w:r>
      <w:r>
        <w:rPr>
          <w:rFonts w:hint="eastAsia"/>
          <w:color w:val="auto"/>
        </w:rPr>
        <w:t>年，城镇生活垃圾无害化处理率达9</w:t>
      </w:r>
      <w:r>
        <w:rPr>
          <w:color w:val="auto"/>
        </w:rPr>
        <w:t>8</w:t>
      </w:r>
      <w:r>
        <w:rPr>
          <w:rFonts w:hint="eastAsia"/>
          <w:color w:val="auto"/>
        </w:rPr>
        <w:t>%以上，所有垃圾填埋场的渗滤液得到有效处理。</w:t>
      </w:r>
    </w:p>
    <w:p>
      <w:pPr>
        <w:spacing w:line="360" w:lineRule="auto"/>
        <w:ind w:firstLine="480"/>
        <w:jc w:val="both"/>
        <w:rPr>
          <w:color w:val="auto"/>
        </w:rPr>
      </w:pPr>
      <w:r>
        <w:rPr>
          <w:color w:val="auto"/>
        </w:rPr>
        <w:t>本项目通过</w:t>
      </w:r>
      <w:r>
        <w:rPr>
          <w:rFonts w:hint="eastAsia"/>
          <w:color w:val="auto"/>
        </w:rPr>
        <w:t>餐厨</w:t>
      </w:r>
      <w:r>
        <w:rPr>
          <w:color w:val="auto"/>
        </w:rPr>
        <w:t>垃圾</w:t>
      </w:r>
      <w:r>
        <w:rPr>
          <w:rFonts w:hint="eastAsia"/>
          <w:color w:val="auto"/>
        </w:rPr>
        <w:t>脱水</w:t>
      </w:r>
      <w:r>
        <w:rPr>
          <w:color w:val="auto"/>
        </w:rPr>
        <w:t>焚烧发电</w:t>
      </w:r>
      <w:r>
        <w:rPr>
          <w:rFonts w:hint="eastAsia"/>
          <w:color w:val="auto"/>
        </w:rPr>
        <w:t>和建筑垃圾填埋</w:t>
      </w:r>
      <w:r>
        <w:rPr>
          <w:color w:val="auto"/>
        </w:rPr>
        <w:t>的方式对垃圾进行无害化处理，具有明显的无害化、减量化和资源化处理效果，有利于实现十三五无害化处理目标；有效地推进了城市建成区的垃圾处理全覆盖，加强了农村</w:t>
      </w:r>
      <w:r>
        <w:rPr>
          <w:rFonts w:hint="eastAsia"/>
          <w:color w:val="auto"/>
        </w:rPr>
        <w:t>餐厨垃圾和建筑</w:t>
      </w:r>
      <w:r>
        <w:rPr>
          <w:color w:val="auto"/>
        </w:rPr>
        <w:t>垃圾的收集和处理，有利于实现城乡统筹、建设美丽乡村，符合规划要求。</w:t>
      </w:r>
    </w:p>
    <w:p>
      <w:pPr>
        <w:pStyle w:val="298"/>
        <w:rPr>
          <w:color w:val="auto"/>
        </w:rPr>
      </w:pPr>
      <w:bookmarkStart w:id="34" w:name="_Toc15912074"/>
      <w:bookmarkStart w:id="35" w:name="_Toc24136686"/>
      <w:bookmarkStart w:id="36" w:name="_Toc14946782"/>
      <w:bookmarkStart w:id="37" w:name="_Toc5004"/>
      <w:r>
        <w:rPr>
          <w:color w:val="auto"/>
        </w:rPr>
        <w:t>1.3.3 相关环保政策相符性分析</w:t>
      </w:r>
      <w:bookmarkEnd w:id="34"/>
      <w:bookmarkEnd w:id="35"/>
      <w:bookmarkEnd w:id="36"/>
      <w:bookmarkEnd w:id="37"/>
    </w:p>
    <w:p>
      <w:pPr>
        <w:pStyle w:val="326"/>
        <w:ind w:firstLine="482"/>
        <w:rPr>
          <w:rFonts w:ascii="Times New Roman" w:hAnsi="Times New Roman"/>
          <w:b/>
          <w:color w:val="auto"/>
          <w:sz w:val="24"/>
          <w:szCs w:val="24"/>
        </w:rPr>
      </w:pPr>
      <w:bookmarkStart w:id="38" w:name="_Hlk24555839"/>
      <w:r>
        <w:rPr>
          <w:rFonts w:ascii="Times New Roman" w:hAnsi="Times New Roman"/>
          <w:b/>
          <w:color w:val="auto"/>
          <w:sz w:val="24"/>
          <w:szCs w:val="24"/>
        </w:rPr>
        <w:t>1.3.</w:t>
      </w:r>
      <w:r>
        <w:rPr>
          <w:rFonts w:ascii="Times New Roman" w:hAnsi="Times New Roman"/>
          <w:b/>
          <w:color w:val="auto"/>
          <w:sz w:val="24"/>
          <w:szCs w:val="24"/>
          <w:lang w:eastAsia="zh-CN"/>
        </w:rPr>
        <w:t>3</w:t>
      </w:r>
      <w:r>
        <w:rPr>
          <w:rFonts w:ascii="Times New Roman" w:hAnsi="Times New Roman"/>
          <w:b/>
          <w:color w:val="auto"/>
          <w:sz w:val="24"/>
          <w:szCs w:val="24"/>
        </w:rPr>
        <w:t>.</w:t>
      </w:r>
      <w:r>
        <w:rPr>
          <w:rFonts w:ascii="Times New Roman" w:hAnsi="Times New Roman"/>
          <w:b/>
          <w:color w:val="auto"/>
          <w:sz w:val="24"/>
          <w:szCs w:val="24"/>
          <w:lang w:eastAsia="zh-CN"/>
        </w:rPr>
        <w:t>1</w:t>
      </w:r>
      <w:r>
        <w:rPr>
          <w:rFonts w:ascii="Times New Roman" w:hAnsi="Times New Roman"/>
          <w:b/>
          <w:color w:val="auto"/>
          <w:sz w:val="24"/>
          <w:szCs w:val="24"/>
        </w:rPr>
        <w:t>与</w:t>
      </w:r>
      <w:r>
        <w:rPr>
          <w:rFonts w:ascii="Times New Roman" w:hAnsi="Times New Roman"/>
          <w:b/>
          <w:color w:val="auto"/>
          <w:sz w:val="24"/>
          <w:szCs w:val="24"/>
          <w:lang w:eastAsia="zh-CN"/>
        </w:rPr>
        <w:t>《</w:t>
      </w:r>
      <w:r>
        <w:rPr>
          <w:rFonts w:ascii="Times New Roman" w:hAnsi="Times New Roman"/>
          <w:b/>
          <w:color w:val="auto"/>
          <w:sz w:val="24"/>
          <w:szCs w:val="24"/>
        </w:rPr>
        <w:t>餐厨垃圾处理技术规范》（CJJ184-2012）</w:t>
      </w:r>
      <w:r>
        <w:rPr>
          <w:rFonts w:ascii="Times New Roman" w:hAnsi="Times New Roman"/>
          <w:b/>
          <w:color w:val="auto"/>
          <w:sz w:val="24"/>
          <w:szCs w:val="24"/>
          <w:lang w:eastAsia="zh-CN"/>
        </w:rPr>
        <w:t>以及《建筑垃圾处理技术规范》（CJJ 134-2009）</w:t>
      </w:r>
      <w:r>
        <w:rPr>
          <w:rFonts w:ascii="Times New Roman" w:hAnsi="Times New Roman"/>
          <w:b/>
          <w:color w:val="auto"/>
          <w:sz w:val="24"/>
          <w:szCs w:val="24"/>
        </w:rPr>
        <w:t>相符性分析</w:t>
      </w:r>
    </w:p>
    <w:p>
      <w:pPr>
        <w:spacing w:line="360" w:lineRule="auto"/>
        <w:ind w:firstLine="480"/>
        <w:jc w:val="both"/>
        <w:rPr>
          <w:color w:val="auto"/>
        </w:rPr>
      </w:pPr>
      <w:r>
        <w:rPr>
          <w:rFonts w:hint="eastAsia"/>
          <w:color w:val="auto"/>
        </w:rPr>
        <w:t>餐厨垃圾处理厂符合</w:t>
      </w:r>
      <w:r>
        <w:rPr>
          <w:color w:val="auto"/>
        </w:rPr>
        <w:t>《餐厨垃圾处理技术规范》（CJJ184-2012）</w:t>
      </w:r>
      <w:r>
        <w:rPr>
          <w:rFonts w:hint="eastAsia"/>
          <w:color w:val="auto"/>
        </w:rPr>
        <w:t>中的要求。</w:t>
      </w:r>
    </w:p>
    <w:p>
      <w:pPr>
        <w:spacing w:line="360" w:lineRule="auto"/>
        <w:ind w:firstLine="480"/>
        <w:jc w:val="both"/>
        <w:rPr>
          <w:color w:val="auto"/>
        </w:rPr>
      </w:pPr>
      <w:r>
        <w:rPr>
          <w:rFonts w:hint="eastAsia"/>
          <w:color w:val="auto"/>
        </w:rPr>
        <w:t>建筑垃圾消纳场</w:t>
      </w:r>
      <w:r>
        <w:rPr>
          <w:color w:val="auto"/>
        </w:rPr>
        <w:t>符合《</w:t>
      </w:r>
      <w:r>
        <w:rPr>
          <w:rFonts w:hint="eastAsia"/>
          <w:color w:val="auto"/>
        </w:rPr>
        <w:t>建筑垃圾处理技术规范</w:t>
      </w:r>
      <w:r>
        <w:rPr>
          <w:color w:val="auto"/>
        </w:rPr>
        <w:t>》（</w:t>
      </w:r>
      <w:r>
        <w:rPr>
          <w:rFonts w:hint="eastAsia"/>
          <w:color w:val="auto"/>
        </w:rPr>
        <w:t>CJJ 134-2009</w:t>
      </w:r>
      <w:r>
        <w:rPr>
          <w:color w:val="auto"/>
        </w:rPr>
        <w:t>）及</w:t>
      </w:r>
      <w:r>
        <w:rPr>
          <w:rFonts w:hint="eastAsia"/>
          <w:color w:val="auto"/>
        </w:rPr>
        <w:t>《一般工业固体废物贮存、处置场污染控制标准》 (GB 18599-2001)中</w:t>
      </w:r>
      <w:r>
        <w:rPr>
          <w:color w:val="auto"/>
        </w:rPr>
        <w:fldChar w:fldCharType="begin"/>
      </w:r>
      <w:r>
        <w:rPr>
          <w:color w:val="auto"/>
        </w:rPr>
        <w:instrText xml:space="preserve"> </w:instrText>
      </w:r>
      <w:r>
        <w:rPr>
          <w:rFonts w:hint="eastAsia"/>
          <w:color w:val="auto"/>
        </w:rPr>
        <w:instrText xml:space="preserve">= 1 \* ROMAN</w:instrText>
      </w:r>
      <w:r>
        <w:rPr>
          <w:color w:val="auto"/>
        </w:rPr>
        <w:instrText xml:space="preserve"> </w:instrText>
      </w:r>
      <w:r>
        <w:rPr>
          <w:color w:val="auto"/>
        </w:rPr>
        <w:fldChar w:fldCharType="separate"/>
      </w:r>
      <w:r>
        <w:rPr>
          <w:color w:val="auto"/>
        </w:rPr>
        <w:t>I</w:t>
      </w:r>
      <w:r>
        <w:rPr>
          <w:color w:val="auto"/>
        </w:rPr>
        <w:fldChar w:fldCharType="end"/>
      </w:r>
      <w:r>
        <w:rPr>
          <w:rFonts w:hint="eastAsia"/>
          <w:color w:val="auto"/>
        </w:rPr>
        <w:t>类工业固体废物及其修改单</w:t>
      </w:r>
      <w:r>
        <w:rPr>
          <w:color w:val="auto"/>
        </w:rPr>
        <w:t>的要求。</w:t>
      </w:r>
    </w:p>
    <w:bookmarkEnd w:id="38"/>
    <w:p>
      <w:pPr>
        <w:spacing w:line="360" w:lineRule="auto"/>
        <w:ind w:firstLine="480"/>
        <w:jc w:val="both"/>
        <w:rPr>
          <w:color w:val="auto"/>
        </w:rPr>
      </w:pPr>
      <w:r>
        <w:rPr>
          <w:rFonts w:hint="eastAsia"/>
          <w:color w:val="auto"/>
        </w:rPr>
        <w:t>餐厨垃圾处理厂和建筑垃圾消纳场</w:t>
      </w:r>
      <w:r>
        <w:rPr>
          <w:color w:val="auto"/>
        </w:rPr>
        <w:t>与相关环保政策符合性分析详见表1.3-</w:t>
      </w:r>
      <w:r>
        <w:rPr>
          <w:rFonts w:hint="eastAsia"/>
          <w:color w:val="auto"/>
        </w:rPr>
        <w:t>1</w:t>
      </w:r>
      <w:r>
        <w:rPr>
          <w:color w:val="auto"/>
        </w:rPr>
        <w:t>和表1.3-</w:t>
      </w:r>
      <w:r>
        <w:rPr>
          <w:rFonts w:hint="eastAsia"/>
          <w:color w:val="auto"/>
        </w:rPr>
        <w:t>2</w:t>
      </w:r>
      <w:r>
        <w:rPr>
          <w:color w:val="auto"/>
        </w:rPr>
        <w:t>。</w:t>
      </w:r>
    </w:p>
    <w:p>
      <w:pPr>
        <w:ind w:firstLine="480"/>
        <w:rPr>
          <w:color w:val="auto"/>
        </w:rPr>
        <w:sectPr>
          <w:footerReference r:id="rId10" w:type="default"/>
          <w:pgSz w:w="11906" w:h="16838"/>
          <w:pgMar w:top="1418" w:right="1418" w:bottom="1418" w:left="1418" w:header="851" w:footer="992" w:gutter="0"/>
          <w:pgNumType w:fmt="decimal" w:start="1"/>
          <w:cols w:space="425" w:num="1"/>
          <w:docGrid w:type="lines" w:linePitch="326" w:charSpace="0"/>
        </w:sectPr>
      </w:pPr>
    </w:p>
    <w:p>
      <w:pPr>
        <w:jc w:val="center"/>
        <w:rPr>
          <w:b/>
          <w:bCs/>
          <w:color w:val="auto"/>
        </w:rPr>
      </w:pPr>
      <w:r>
        <w:rPr>
          <w:b/>
          <w:bCs/>
          <w:color w:val="auto"/>
        </w:rPr>
        <w:t xml:space="preserve">表 </w:t>
      </w:r>
      <w:r>
        <w:rPr>
          <w:b/>
          <w:bCs/>
          <w:color w:val="auto"/>
        </w:rPr>
        <w:fldChar w:fldCharType="begin"/>
      </w:r>
      <w:r>
        <w:rPr>
          <w:b/>
          <w:bCs/>
          <w:color w:val="auto"/>
        </w:rPr>
        <w:instrText xml:space="preserve"> STYLEREF 2 \s </w:instrText>
      </w:r>
      <w:r>
        <w:rPr>
          <w:b/>
          <w:bCs/>
          <w:color w:val="auto"/>
        </w:rPr>
        <w:fldChar w:fldCharType="separate"/>
      </w:r>
      <w:r>
        <w:rPr>
          <w:b/>
          <w:bCs/>
          <w:color w:val="auto"/>
        </w:rPr>
        <w:t>1.3</w:t>
      </w:r>
      <w:r>
        <w:rPr>
          <w:b/>
          <w:bCs/>
          <w:color w:val="auto"/>
        </w:rPr>
        <w:fldChar w:fldCharType="end"/>
      </w:r>
      <w:r>
        <w:rPr>
          <w:b/>
          <w:bCs/>
          <w:color w:val="auto"/>
        </w:rPr>
        <w:noBreakHyphen/>
      </w:r>
      <w:r>
        <w:rPr>
          <w:rFonts w:hint="eastAsia"/>
          <w:b/>
          <w:bCs/>
          <w:color w:val="auto"/>
        </w:rPr>
        <w:t>1</w:t>
      </w:r>
      <w:r>
        <w:rPr>
          <w:b/>
          <w:bCs/>
          <w:color w:val="auto"/>
        </w:rPr>
        <w:t xml:space="preserve"> </w:t>
      </w:r>
      <w:r>
        <w:rPr>
          <w:rFonts w:hint="eastAsia"/>
          <w:b/>
          <w:bCs/>
          <w:color w:val="auto"/>
        </w:rPr>
        <w:t>餐厨垃圾与《餐厨垃圾处理技术规范》（CJJ184-2012）相符性分析</w:t>
      </w:r>
    </w:p>
    <w:tbl>
      <w:tblPr>
        <w:tblStyle w:val="53"/>
        <w:tblW w:w="1421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8"/>
        <w:gridCol w:w="1160"/>
        <w:gridCol w:w="6950"/>
        <w:gridCol w:w="4140"/>
        <w:gridCol w:w="7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1228" w:type="dxa"/>
            <w:vAlign w:val="center"/>
          </w:tcPr>
          <w:p>
            <w:pPr>
              <w:jc w:val="center"/>
              <w:rPr>
                <w:b/>
                <w:color w:val="auto"/>
                <w:sz w:val="21"/>
                <w:szCs w:val="21"/>
              </w:rPr>
            </w:pPr>
            <w:r>
              <w:rPr>
                <w:b/>
                <w:color w:val="auto"/>
                <w:sz w:val="21"/>
                <w:szCs w:val="21"/>
              </w:rPr>
              <w:t>规范</w:t>
            </w:r>
          </w:p>
          <w:p>
            <w:pPr>
              <w:jc w:val="center"/>
              <w:rPr>
                <w:b/>
                <w:color w:val="auto"/>
                <w:sz w:val="21"/>
                <w:szCs w:val="21"/>
              </w:rPr>
            </w:pPr>
            <w:r>
              <w:rPr>
                <w:b/>
                <w:color w:val="auto"/>
                <w:sz w:val="21"/>
                <w:szCs w:val="21"/>
              </w:rPr>
              <w:t>条款</w:t>
            </w:r>
          </w:p>
        </w:tc>
        <w:tc>
          <w:tcPr>
            <w:tcW w:w="8110" w:type="dxa"/>
            <w:gridSpan w:val="2"/>
            <w:vAlign w:val="center"/>
          </w:tcPr>
          <w:p>
            <w:pPr>
              <w:jc w:val="center"/>
              <w:rPr>
                <w:b/>
                <w:color w:val="auto"/>
                <w:sz w:val="21"/>
                <w:szCs w:val="21"/>
              </w:rPr>
            </w:pPr>
            <w:r>
              <w:rPr>
                <w:b/>
                <w:color w:val="auto"/>
                <w:sz w:val="21"/>
                <w:szCs w:val="21"/>
              </w:rPr>
              <w:t>规范要求</w:t>
            </w:r>
          </w:p>
        </w:tc>
        <w:tc>
          <w:tcPr>
            <w:tcW w:w="4140" w:type="dxa"/>
            <w:vAlign w:val="center"/>
          </w:tcPr>
          <w:p>
            <w:pPr>
              <w:jc w:val="center"/>
              <w:rPr>
                <w:b/>
                <w:color w:val="auto"/>
                <w:sz w:val="21"/>
                <w:szCs w:val="21"/>
              </w:rPr>
            </w:pPr>
            <w:r>
              <w:rPr>
                <w:b/>
                <w:color w:val="auto"/>
                <w:sz w:val="21"/>
                <w:szCs w:val="21"/>
              </w:rPr>
              <w:t>本项目情况</w:t>
            </w:r>
          </w:p>
        </w:tc>
        <w:tc>
          <w:tcPr>
            <w:tcW w:w="740" w:type="dxa"/>
            <w:vAlign w:val="center"/>
          </w:tcPr>
          <w:p>
            <w:pPr>
              <w:jc w:val="center"/>
              <w:rPr>
                <w:b/>
                <w:color w:val="auto"/>
                <w:sz w:val="21"/>
                <w:szCs w:val="21"/>
              </w:rPr>
            </w:pPr>
            <w:r>
              <w:rPr>
                <w:b/>
                <w:color w:val="auto"/>
                <w:sz w:val="21"/>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restart"/>
            <w:vAlign w:val="center"/>
          </w:tcPr>
          <w:p>
            <w:pPr>
              <w:jc w:val="center"/>
              <w:rPr>
                <w:bCs/>
                <w:color w:val="auto"/>
                <w:sz w:val="21"/>
                <w:szCs w:val="21"/>
              </w:rPr>
            </w:pPr>
            <w:r>
              <w:rPr>
                <w:bCs/>
                <w:color w:val="auto"/>
                <w:sz w:val="21"/>
                <w:szCs w:val="21"/>
              </w:rPr>
              <w:t>餐厨垃圾的收集与运输</w:t>
            </w:r>
          </w:p>
        </w:tc>
        <w:tc>
          <w:tcPr>
            <w:tcW w:w="8110" w:type="dxa"/>
            <w:gridSpan w:val="2"/>
            <w:vAlign w:val="center"/>
          </w:tcPr>
          <w:p>
            <w:pPr>
              <w:rPr>
                <w:bCs/>
                <w:color w:val="auto"/>
                <w:sz w:val="21"/>
                <w:szCs w:val="21"/>
              </w:rPr>
            </w:pPr>
            <w:r>
              <w:rPr>
                <w:bCs/>
                <w:color w:val="auto"/>
                <w:sz w:val="21"/>
                <w:szCs w:val="21"/>
              </w:rPr>
              <w:t>餐饮垃圾的产生者应对产生的餐饮垃圾进行单独存放和收集，餐饮垃圾的收运者应对餐饮垃圾实施单独收运，收运中不得混入有害垃圾和其他垃圾</w:t>
            </w:r>
          </w:p>
        </w:tc>
        <w:tc>
          <w:tcPr>
            <w:tcW w:w="4140" w:type="dxa"/>
            <w:vMerge w:val="restart"/>
            <w:vAlign w:val="center"/>
          </w:tcPr>
          <w:p>
            <w:pPr>
              <w:rPr>
                <w:bCs/>
                <w:color w:val="auto"/>
                <w:sz w:val="21"/>
                <w:szCs w:val="21"/>
              </w:rPr>
            </w:pPr>
            <w:r>
              <w:rPr>
                <w:bCs/>
                <w:color w:val="auto"/>
                <w:sz w:val="21"/>
                <w:szCs w:val="21"/>
              </w:rPr>
              <w:t>餐厨垃圾产生后，由餐饮单位将其收入120L和240L垃圾收集筒，在环卫部门规定的时间内放置指定收集点。本项目采用密闭式运输车，车身设有挂筒设施，将垃圾标准筒提升至车厢顶部，再通过翻料机将垃圾倒入车厢内，垃圾在车厢内北推板机挤压，压缩后存放罐体中。运输过程中全程密闭。运输至处理厂卸料区后，密封后盖，推料机将垃圾推出。车上所用操作为液压自动控制。</w:t>
            </w:r>
          </w:p>
          <w:p>
            <w:pPr>
              <w:rPr>
                <w:bCs/>
                <w:color w:val="auto"/>
                <w:sz w:val="21"/>
                <w:szCs w:val="21"/>
              </w:rPr>
            </w:pPr>
          </w:p>
        </w:tc>
        <w:tc>
          <w:tcPr>
            <w:tcW w:w="740" w:type="dxa"/>
            <w:vMerge w:val="restart"/>
            <w:vAlign w:val="center"/>
          </w:tcPr>
          <w:p>
            <w:pPr>
              <w:rPr>
                <w:bCs/>
                <w:color w:val="auto"/>
                <w:sz w:val="21"/>
                <w:szCs w:val="21"/>
              </w:rPr>
            </w:pPr>
            <w:r>
              <w:rPr>
                <w:bCs/>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8110" w:type="dxa"/>
            <w:gridSpan w:val="2"/>
            <w:vAlign w:val="center"/>
          </w:tcPr>
          <w:p>
            <w:pPr>
              <w:rPr>
                <w:bCs/>
                <w:color w:val="auto"/>
                <w:sz w:val="21"/>
                <w:szCs w:val="21"/>
              </w:rPr>
            </w:pPr>
            <w:r>
              <w:rPr>
                <w:bCs/>
                <w:color w:val="auto"/>
                <w:sz w:val="21"/>
                <w:szCs w:val="21"/>
              </w:rPr>
              <w:t>餐饮垃圾不得随意倾倒、堆放，不得排入雨水管道、污水排水管道、河道、公共厕所和生活垃圾收集设施中</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8110" w:type="dxa"/>
            <w:gridSpan w:val="2"/>
            <w:vAlign w:val="center"/>
          </w:tcPr>
          <w:p>
            <w:pPr>
              <w:rPr>
                <w:bCs/>
                <w:color w:val="auto"/>
                <w:sz w:val="21"/>
                <w:szCs w:val="21"/>
              </w:rPr>
            </w:pPr>
            <w:r>
              <w:rPr>
                <w:bCs/>
                <w:color w:val="auto"/>
                <w:sz w:val="21"/>
                <w:szCs w:val="21"/>
              </w:rPr>
              <w:t>对餐饮单位的餐饮垃圾应实行产量和成分登记制度，并宜采取定时、定点的收集方式收集</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8110" w:type="dxa"/>
            <w:gridSpan w:val="2"/>
            <w:vAlign w:val="center"/>
          </w:tcPr>
          <w:p>
            <w:pPr>
              <w:rPr>
                <w:bCs/>
                <w:color w:val="auto"/>
                <w:sz w:val="21"/>
                <w:szCs w:val="21"/>
              </w:rPr>
            </w:pPr>
            <w:r>
              <w:rPr>
                <w:bCs/>
                <w:color w:val="auto"/>
                <w:sz w:val="21"/>
                <w:szCs w:val="21"/>
              </w:rPr>
              <w:t>煎炸废油应单独收集和运输，不宜与餐饮垃圾混合收集</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8110" w:type="dxa"/>
            <w:gridSpan w:val="2"/>
            <w:vAlign w:val="center"/>
          </w:tcPr>
          <w:p>
            <w:pPr>
              <w:rPr>
                <w:bCs/>
                <w:color w:val="auto"/>
                <w:sz w:val="21"/>
                <w:szCs w:val="21"/>
              </w:rPr>
            </w:pPr>
            <w:r>
              <w:rPr>
                <w:bCs/>
                <w:color w:val="auto"/>
                <w:sz w:val="21"/>
                <w:szCs w:val="21"/>
              </w:rPr>
              <w:t>厨余垃圾宜实施分类是收集和分类运输</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8110" w:type="dxa"/>
            <w:gridSpan w:val="2"/>
            <w:vAlign w:val="center"/>
          </w:tcPr>
          <w:p>
            <w:pPr>
              <w:rPr>
                <w:bCs/>
                <w:color w:val="auto"/>
                <w:sz w:val="21"/>
                <w:szCs w:val="21"/>
              </w:rPr>
            </w:pPr>
            <w:r>
              <w:rPr>
                <w:bCs/>
                <w:color w:val="auto"/>
                <w:sz w:val="21"/>
                <w:szCs w:val="21"/>
              </w:rPr>
              <w:t>餐厨垃圾应采用密闭、防腐专用容器盛装，采用密闭式专用收集车进行收集，专用收集车的装载机构应与参与垃圾盛装容器相匹配</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8110" w:type="dxa"/>
            <w:gridSpan w:val="2"/>
            <w:vAlign w:val="center"/>
          </w:tcPr>
          <w:p>
            <w:pPr>
              <w:rPr>
                <w:bCs/>
                <w:color w:val="auto"/>
                <w:sz w:val="21"/>
                <w:szCs w:val="21"/>
              </w:rPr>
            </w:pPr>
            <w:r>
              <w:rPr>
                <w:bCs/>
                <w:color w:val="auto"/>
                <w:sz w:val="21"/>
                <w:szCs w:val="21"/>
              </w:rPr>
              <w:t>餐厨垃圾运输车辆在任何路面条件下不得泄露和遗洒</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8110" w:type="dxa"/>
            <w:gridSpan w:val="2"/>
            <w:vAlign w:val="center"/>
          </w:tcPr>
          <w:p>
            <w:pPr>
              <w:rPr>
                <w:bCs/>
                <w:color w:val="auto"/>
                <w:sz w:val="21"/>
                <w:szCs w:val="21"/>
              </w:rPr>
            </w:pPr>
            <w:r>
              <w:rPr>
                <w:bCs/>
                <w:color w:val="auto"/>
                <w:sz w:val="21"/>
                <w:szCs w:val="21"/>
              </w:rPr>
              <w:t>餐厨垃圾宜直接从收集点运输至处理厂。产生量大、集中处理且运距较远时，可设餐厨垃圾转运站，转运站应采用非暴露式转运工艺</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8110" w:type="dxa"/>
            <w:gridSpan w:val="2"/>
            <w:vAlign w:val="center"/>
          </w:tcPr>
          <w:p>
            <w:pPr>
              <w:rPr>
                <w:bCs/>
                <w:color w:val="auto"/>
                <w:sz w:val="21"/>
                <w:szCs w:val="21"/>
              </w:rPr>
            </w:pPr>
            <w:r>
              <w:rPr>
                <w:bCs/>
                <w:color w:val="auto"/>
                <w:sz w:val="21"/>
                <w:szCs w:val="21"/>
              </w:rPr>
              <w:t>运输路线应避开交通拥挤路段，运输时间应避开交通高峰时段</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8110" w:type="dxa"/>
            <w:gridSpan w:val="2"/>
            <w:vAlign w:val="center"/>
          </w:tcPr>
          <w:p>
            <w:pPr>
              <w:rPr>
                <w:bCs/>
                <w:color w:val="auto"/>
                <w:sz w:val="21"/>
                <w:szCs w:val="21"/>
              </w:rPr>
            </w:pPr>
            <w:r>
              <w:rPr>
                <w:bCs/>
                <w:color w:val="auto"/>
                <w:sz w:val="21"/>
                <w:szCs w:val="21"/>
              </w:rPr>
              <w:t>餐厨垃圾运输车装、卸料宜为机械操作</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restart"/>
            <w:vAlign w:val="center"/>
          </w:tcPr>
          <w:p>
            <w:pPr>
              <w:jc w:val="center"/>
              <w:rPr>
                <w:bCs/>
                <w:color w:val="auto"/>
                <w:sz w:val="21"/>
                <w:szCs w:val="21"/>
              </w:rPr>
            </w:pPr>
            <w:r>
              <w:rPr>
                <w:bCs/>
                <w:color w:val="auto"/>
                <w:sz w:val="21"/>
                <w:szCs w:val="21"/>
              </w:rPr>
              <w:t>厂址选址</w:t>
            </w:r>
          </w:p>
        </w:tc>
        <w:tc>
          <w:tcPr>
            <w:tcW w:w="8110" w:type="dxa"/>
            <w:gridSpan w:val="2"/>
            <w:vAlign w:val="center"/>
          </w:tcPr>
          <w:p>
            <w:pPr>
              <w:rPr>
                <w:bCs/>
                <w:color w:val="auto"/>
                <w:sz w:val="21"/>
                <w:szCs w:val="21"/>
              </w:rPr>
            </w:pPr>
            <w:r>
              <w:rPr>
                <w:bCs/>
                <w:color w:val="auto"/>
                <w:sz w:val="21"/>
                <w:szCs w:val="21"/>
              </w:rPr>
              <w:t>餐厨垃圾处理厂的选址应符合当地城市总体规划，区域环境规划，城市环境卫生专业规划及相关规划的要求</w:t>
            </w:r>
          </w:p>
        </w:tc>
        <w:tc>
          <w:tcPr>
            <w:tcW w:w="4140" w:type="dxa"/>
            <w:vMerge w:val="restart"/>
            <w:vAlign w:val="center"/>
          </w:tcPr>
          <w:p>
            <w:pPr>
              <w:rPr>
                <w:bCs/>
                <w:color w:val="auto"/>
                <w:sz w:val="21"/>
                <w:szCs w:val="21"/>
              </w:rPr>
            </w:pPr>
            <w:r>
              <w:rPr>
                <w:bCs/>
                <w:color w:val="auto"/>
                <w:sz w:val="21"/>
                <w:szCs w:val="21"/>
              </w:rPr>
              <w:t>项目选址位于</w:t>
            </w:r>
            <w:r>
              <w:rPr>
                <w:rFonts w:hint="eastAsia"/>
                <w:bCs/>
                <w:color w:val="auto"/>
                <w:sz w:val="21"/>
                <w:szCs w:val="21"/>
              </w:rPr>
              <w:t>兴宁市静脉产业园</w:t>
            </w:r>
            <w:r>
              <w:rPr>
                <w:bCs/>
                <w:color w:val="auto"/>
                <w:sz w:val="21"/>
                <w:szCs w:val="21"/>
              </w:rPr>
              <w:t>内，选址符合相关规划要求</w:t>
            </w:r>
            <w:r>
              <w:rPr>
                <w:rFonts w:hint="eastAsia"/>
                <w:bCs/>
                <w:color w:val="auto"/>
                <w:sz w:val="21"/>
                <w:szCs w:val="21"/>
              </w:rPr>
              <w:t>；</w:t>
            </w:r>
          </w:p>
          <w:p>
            <w:pPr>
              <w:rPr>
                <w:bCs/>
                <w:color w:val="auto"/>
                <w:sz w:val="21"/>
                <w:szCs w:val="21"/>
              </w:rPr>
            </w:pPr>
            <w:r>
              <w:rPr>
                <w:bCs/>
                <w:color w:val="auto"/>
                <w:sz w:val="21"/>
                <w:szCs w:val="21"/>
              </w:rPr>
              <w:t>项目主要收集</w:t>
            </w:r>
            <w:r>
              <w:rPr>
                <w:rFonts w:hint="eastAsia"/>
                <w:bCs/>
                <w:color w:val="auto"/>
                <w:sz w:val="21"/>
                <w:szCs w:val="21"/>
              </w:rPr>
              <w:t>兴宁市</w:t>
            </w:r>
            <w:r>
              <w:rPr>
                <w:bCs/>
                <w:color w:val="auto"/>
                <w:sz w:val="21"/>
                <w:szCs w:val="21"/>
              </w:rPr>
              <w:t>餐厨废弃物，处理规模考虑了垃圾收集运输能力</w:t>
            </w:r>
            <w:r>
              <w:rPr>
                <w:rFonts w:hint="eastAsia"/>
                <w:bCs/>
                <w:color w:val="auto"/>
                <w:sz w:val="21"/>
                <w:szCs w:val="21"/>
              </w:rPr>
              <w:t>；</w:t>
            </w:r>
          </w:p>
          <w:p>
            <w:pPr>
              <w:rPr>
                <w:bCs/>
                <w:color w:val="auto"/>
                <w:sz w:val="21"/>
                <w:szCs w:val="21"/>
              </w:rPr>
            </w:pPr>
            <w:r>
              <w:rPr>
                <w:bCs/>
                <w:color w:val="auto"/>
                <w:sz w:val="21"/>
                <w:szCs w:val="21"/>
              </w:rPr>
              <w:t>项目周边环境、地质符合相关要求</w:t>
            </w:r>
            <w:r>
              <w:rPr>
                <w:rFonts w:hint="eastAsia"/>
                <w:bCs/>
                <w:color w:val="auto"/>
                <w:sz w:val="21"/>
                <w:szCs w:val="21"/>
              </w:rPr>
              <w:t>。</w:t>
            </w:r>
          </w:p>
        </w:tc>
        <w:tc>
          <w:tcPr>
            <w:tcW w:w="740" w:type="dxa"/>
            <w:vMerge w:val="restart"/>
            <w:vAlign w:val="center"/>
          </w:tcPr>
          <w:p>
            <w:pPr>
              <w:rPr>
                <w:bCs/>
                <w:color w:val="auto"/>
                <w:sz w:val="21"/>
                <w:szCs w:val="21"/>
              </w:rPr>
            </w:pPr>
            <w:r>
              <w:rPr>
                <w:bCs/>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8110" w:type="dxa"/>
            <w:gridSpan w:val="2"/>
            <w:vAlign w:val="center"/>
          </w:tcPr>
          <w:p>
            <w:pPr>
              <w:rPr>
                <w:bCs/>
                <w:color w:val="auto"/>
                <w:sz w:val="21"/>
                <w:szCs w:val="21"/>
              </w:rPr>
            </w:pPr>
            <w:r>
              <w:rPr>
                <w:bCs/>
                <w:color w:val="auto"/>
                <w:sz w:val="21"/>
                <w:szCs w:val="21"/>
              </w:rPr>
              <w:t>厂址选择应综合考虑餐厨垃圾处理厂的服务区域、服务单位、垃圾收集运输能力、运输距离、预留发展等因素</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8110" w:type="dxa"/>
            <w:gridSpan w:val="2"/>
            <w:vAlign w:val="center"/>
          </w:tcPr>
          <w:p>
            <w:pPr>
              <w:rPr>
                <w:bCs/>
                <w:color w:val="auto"/>
                <w:sz w:val="21"/>
                <w:szCs w:val="21"/>
              </w:rPr>
            </w:pPr>
            <w:r>
              <w:rPr>
                <w:bCs/>
                <w:color w:val="auto"/>
                <w:sz w:val="21"/>
                <w:szCs w:val="21"/>
              </w:rPr>
              <w:t>餐厨垃圾处理设施宜与其他固体废物处理设施和污水处理设施同址建设</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8110" w:type="dxa"/>
            <w:gridSpan w:val="2"/>
            <w:vAlign w:val="center"/>
          </w:tcPr>
          <w:p>
            <w:pPr>
              <w:rPr>
                <w:bCs/>
                <w:color w:val="auto"/>
                <w:sz w:val="21"/>
                <w:szCs w:val="21"/>
              </w:rPr>
            </w:pPr>
            <w:r>
              <w:rPr>
                <w:bCs/>
                <w:color w:val="auto"/>
                <w:sz w:val="21"/>
                <w:szCs w:val="21"/>
              </w:rPr>
              <w:t>厂址工程地质与水文地质条件应满足处理设置建设和运行的要求；应有良好的交通、电力、给水和排水条件；应避开环境敏感区、洪泛区、重点文物保护区等</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restart"/>
            <w:vAlign w:val="center"/>
          </w:tcPr>
          <w:p>
            <w:pPr>
              <w:jc w:val="center"/>
              <w:rPr>
                <w:bCs/>
                <w:color w:val="auto"/>
                <w:sz w:val="21"/>
                <w:szCs w:val="21"/>
              </w:rPr>
            </w:pPr>
            <w:r>
              <w:rPr>
                <w:bCs/>
                <w:color w:val="auto"/>
                <w:sz w:val="21"/>
                <w:szCs w:val="21"/>
              </w:rPr>
              <w:t>总体工艺设计</w:t>
            </w:r>
          </w:p>
        </w:tc>
        <w:tc>
          <w:tcPr>
            <w:tcW w:w="8110" w:type="dxa"/>
            <w:gridSpan w:val="2"/>
            <w:vAlign w:val="center"/>
          </w:tcPr>
          <w:p>
            <w:pPr>
              <w:rPr>
                <w:bCs/>
                <w:color w:val="auto"/>
                <w:sz w:val="21"/>
                <w:szCs w:val="21"/>
              </w:rPr>
            </w:pPr>
            <w:r>
              <w:rPr>
                <w:bCs/>
                <w:color w:val="auto"/>
                <w:sz w:val="21"/>
                <w:szCs w:val="21"/>
              </w:rPr>
              <w:t>餐厨垃圾处理主体工艺的选择应符合：技术成熟、设备可靠；资源化程度高、二次污染及能耗小；符合无害化处理要求</w:t>
            </w:r>
          </w:p>
        </w:tc>
        <w:tc>
          <w:tcPr>
            <w:tcW w:w="4140" w:type="dxa"/>
            <w:vMerge w:val="restart"/>
            <w:vAlign w:val="center"/>
          </w:tcPr>
          <w:p>
            <w:pPr>
              <w:rPr>
                <w:bCs/>
                <w:color w:val="auto"/>
                <w:sz w:val="21"/>
                <w:szCs w:val="21"/>
              </w:rPr>
            </w:pPr>
            <w:r>
              <w:rPr>
                <w:rFonts w:hint="eastAsia"/>
                <w:bCs/>
                <w:color w:val="auto"/>
                <w:sz w:val="21"/>
                <w:szCs w:val="21"/>
              </w:rPr>
              <w:t>餐厨垃圾</w:t>
            </w:r>
            <w:r>
              <w:rPr>
                <w:bCs/>
                <w:color w:val="auto"/>
                <w:sz w:val="21"/>
                <w:szCs w:val="21"/>
              </w:rPr>
              <w:t>采用</w:t>
            </w:r>
            <w:r>
              <w:rPr>
                <w:rFonts w:hint="eastAsia"/>
                <w:bCs/>
                <w:color w:val="auto"/>
                <w:sz w:val="21"/>
                <w:szCs w:val="21"/>
              </w:rPr>
              <w:t>压榨脱水+餐厨残渣焚烧处理技术处理</w:t>
            </w:r>
            <w:r>
              <w:rPr>
                <w:bCs/>
                <w:color w:val="auto"/>
                <w:sz w:val="21"/>
                <w:szCs w:val="21"/>
              </w:rPr>
              <w:t>，项目各生产单元符合总体工艺设计要求</w:t>
            </w:r>
          </w:p>
        </w:tc>
        <w:tc>
          <w:tcPr>
            <w:tcW w:w="740" w:type="dxa"/>
            <w:vMerge w:val="restart"/>
            <w:vAlign w:val="center"/>
          </w:tcPr>
          <w:p>
            <w:pPr>
              <w:rPr>
                <w:bCs/>
                <w:color w:val="auto"/>
                <w:sz w:val="21"/>
                <w:szCs w:val="21"/>
              </w:rPr>
            </w:pPr>
            <w:r>
              <w:rPr>
                <w:bCs/>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8110" w:type="dxa"/>
            <w:gridSpan w:val="2"/>
            <w:vAlign w:val="center"/>
          </w:tcPr>
          <w:p>
            <w:pPr>
              <w:rPr>
                <w:bCs/>
                <w:color w:val="auto"/>
                <w:sz w:val="21"/>
                <w:szCs w:val="21"/>
              </w:rPr>
            </w:pPr>
            <w:r>
              <w:rPr>
                <w:bCs/>
                <w:color w:val="auto"/>
                <w:sz w:val="21"/>
                <w:szCs w:val="21"/>
              </w:rPr>
              <w:t>生产线工艺流程的设计应满足餐厨垃圾资源化、无害无处理的需要，做到工艺完善、流程合理、环保达标，各中间环节和单体设备应可靠</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8110" w:type="dxa"/>
            <w:gridSpan w:val="2"/>
            <w:vAlign w:val="center"/>
          </w:tcPr>
          <w:p>
            <w:pPr>
              <w:rPr>
                <w:bCs/>
                <w:color w:val="auto"/>
                <w:sz w:val="21"/>
                <w:szCs w:val="21"/>
              </w:rPr>
            </w:pPr>
            <w:r>
              <w:rPr>
                <w:bCs/>
                <w:color w:val="auto"/>
                <w:sz w:val="21"/>
                <w:szCs w:val="21"/>
              </w:rPr>
              <w:t>餐厨垃圾处理车间设备布置应符合下列规定：物质流顺畅，各工段不相互干扰；应留有足够的设备检修空间；进料和预处理工段应与主处理工段分开；应有利于车间全面通风的气流组织优化和环境维护</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restart"/>
            <w:vAlign w:val="center"/>
          </w:tcPr>
          <w:p>
            <w:pPr>
              <w:jc w:val="center"/>
              <w:rPr>
                <w:bCs/>
                <w:color w:val="auto"/>
                <w:sz w:val="21"/>
                <w:szCs w:val="21"/>
              </w:rPr>
            </w:pPr>
            <w:r>
              <w:rPr>
                <w:bCs/>
                <w:color w:val="auto"/>
                <w:sz w:val="21"/>
                <w:szCs w:val="21"/>
              </w:rPr>
              <w:t>总图设计</w:t>
            </w:r>
          </w:p>
        </w:tc>
        <w:tc>
          <w:tcPr>
            <w:tcW w:w="8110" w:type="dxa"/>
            <w:gridSpan w:val="2"/>
            <w:vAlign w:val="center"/>
          </w:tcPr>
          <w:p>
            <w:pPr>
              <w:rPr>
                <w:bCs/>
                <w:color w:val="auto"/>
                <w:sz w:val="21"/>
                <w:szCs w:val="21"/>
              </w:rPr>
            </w:pPr>
            <w:r>
              <w:rPr>
                <w:bCs/>
                <w:color w:val="auto"/>
                <w:sz w:val="21"/>
                <w:szCs w:val="21"/>
              </w:rPr>
              <w:t>餐厨垃圾处理厂总图布置应满足餐厨垃圾处理工艺流程的要求，各工序衔接顺畅，平面和竖向布置合理，建构筑物间距符合安全要求</w:t>
            </w:r>
          </w:p>
        </w:tc>
        <w:tc>
          <w:tcPr>
            <w:tcW w:w="4140" w:type="dxa"/>
            <w:vMerge w:val="restart"/>
            <w:vAlign w:val="center"/>
          </w:tcPr>
          <w:p>
            <w:pPr>
              <w:rPr>
                <w:bCs/>
                <w:color w:val="auto"/>
                <w:sz w:val="21"/>
                <w:szCs w:val="21"/>
              </w:rPr>
            </w:pPr>
            <w:r>
              <w:rPr>
                <w:bCs/>
                <w:color w:val="auto"/>
                <w:sz w:val="21"/>
                <w:szCs w:val="21"/>
              </w:rPr>
              <w:t>项目总图平面布置合理，厂区设置一个主出入口，</w:t>
            </w:r>
            <w:r>
              <w:rPr>
                <w:rFonts w:hint="eastAsia"/>
                <w:bCs/>
                <w:color w:val="auto"/>
                <w:sz w:val="21"/>
                <w:szCs w:val="21"/>
              </w:rPr>
              <w:t>办公场所依托园区内在建的兴宁市静脉产业园PPP项目</w:t>
            </w:r>
            <w:r>
              <w:rPr>
                <w:bCs/>
                <w:color w:val="auto"/>
                <w:sz w:val="21"/>
                <w:szCs w:val="21"/>
              </w:rPr>
              <w:t>，进场车辆通畅，用地已符合规划和国土部门要求。</w:t>
            </w:r>
          </w:p>
        </w:tc>
        <w:tc>
          <w:tcPr>
            <w:tcW w:w="740" w:type="dxa"/>
            <w:vMerge w:val="restart"/>
            <w:vAlign w:val="center"/>
          </w:tcPr>
          <w:p>
            <w:pPr>
              <w:rPr>
                <w:bCs/>
                <w:color w:val="auto"/>
                <w:sz w:val="21"/>
                <w:szCs w:val="21"/>
              </w:rPr>
            </w:pPr>
            <w:r>
              <w:rPr>
                <w:bCs/>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8110" w:type="dxa"/>
            <w:gridSpan w:val="2"/>
            <w:vAlign w:val="center"/>
          </w:tcPr>
          <w:p>
            <w:pPr>
              <w:rPr>
                <w:bCs/>
                <w:color w:val="auto"/>
                <w:sz w:val="21"/>
                <w:szCs w:val="21"/>
              </w:rPr>
            </w:pPr>
            <w:r>
              <w:rPr>
                <w:bCs/>
                <w:color w:val="auto"/>
                <w:sz w:val="21"/>
                <w:szCs w:val="21"/>
              </w:rPr>
              <w:t>餐厨垃圾处理厂各项用地指标应符合国家有关规定及当地土地、规划等行政主管部门的要求</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8110" w:type="dxa"/>
            <w:gridSpan w:val="2"/>
            <w:vAlign w:val="center"/>
          </w:tcPr>
          <w:p>
            <w:pPr>
              <w:rPr>
                <w:bCs/>
                <w:color w:val="auto"/>
                <w:sz w:val="21"/>
                <w:szCs w:val="21"/>
              </w:rPr>
            </w:pPr>
            <w:r>
              <w:rPr>
                <w:bCs/>
                <w:color w:val="auto"/>
                <w:sz w:val="21"/>
                <w:szCs w:val="21"/>
              </w:rPr>
              <w:t>厂区的道路的设置，应满足交通运输和消防的需求，并应于厂区竖向设计、绿化及管线敷设相协调</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8110" w:type="dxa"/>
            <w:gridSpan w:val="2"/>
            <w:vAlign w:val="center"/>
          </w:tcPr>
          <w:p>
            <w:pPr>
              <w:rPr>
                <w:bCs/>
                <w:color w:val="auto"/>
                <w:sz w:val="21"/>
                <w:szCs w:val="21"/>
              </w:rPr>
            </w:pPr>
            <w:r>
              <w:rPr>
                <w:bCs/>
                <w:color w:val="auto"/>
                <w:sz w:val="21"/>
                <w:szCs w:val="21"/>
              </w:rPr>
              <w:t>当处理工艺中有沼气产生时，沼气产生、储存、输送等环节及相关区域的设备、设施应符合国家现行相应防爆标准要求</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restart"/>
            <w:vAlign w:val="center"/>
          </w:tcPr>
          <w:p>
            <w:pPr>
              <w:jc w:val="center"/>
              <w:rPr>
                <w:bCs/>
                <w:color w:val="auto"/>
                <w:sz w:val="21"/>
                <w:szCs w:val="21"/>
              </w:rPr>
            </w:pPr>
            <w:r>
              <w:rPr>
                <w:bCs/>
                <w:color w:val="auto"/>
                <w:sz w:val="21"/>
                <w:szCs w:val="21"/>
              </w:rPr>
              <w:t>餐厨垃圾计量、接受与输送</w:t>
            </w:r>
          </w:p>
        </w:tc>
        <w:tc>
          <w:tcPr>
            <w:tcW w:w="8110" w:type="dxa"/>
            <w:gridSpan w:val="2"/>
            <w:vAlign w:val="center"/>
          </w:tcPr>
          <w:p>
            <w:pPr>
              <w:rPr>
                <w:bCs/>
                <w:color w:val="auto"/>
                <w:sz w:val="21"/>
                <w:szCs w:val="21"/>
              </w:rPr>
            </w:pPr>
            <w:r>
              <w:rPr>
                <w:bCs/>
                <w:color w:val="auto"/>
                <w:sz w:val="21"/>
                <w:szCs w:val="21"/>
              </w:rPr>
              <w:t>餐厨垃圾处理厂应设置计量设施，计量设施应具有称重、记录、打印与数据处理、传输功能</w:t>
            </w:r>
          </w:p>
        </w:tc>
        <w:tc>
          <w:tcPr>
            <w:tcW w:w="4140" w:type="dxa"/>
            <w:vMerge w:val="restart"/>
            <w:vAlign w:val="center"/>
          </w:tcPr>
          <w:p>
            <w:pPr>
              <w:rPr>
                <w:bCs/>
                <w:color w:val="auto"/>
                <w:sz w:val="21"/>
                <w:szCs w:val="21"/>
              </w:rPr>
            </w:pPr>
            <w:r>
              <w:rPr>
                <w:bCs/>
                <w:color w:val="auto"/>
                <w:sz w:val="21"/>
                <w:szCs w:val="21"/>
              </w:rPr>
              <w:t>项目设有计量设施，厂区来</w:t>
            </w:r>
            <w:r>
              <w:rPr>
                <w:rFonts w:hint="eastAsia"/>
                <w:bCs/>
                <w:color w:val="auto"/>
                <w:sz w:val="21"/>
                <w:szCs w:val="21"/>
              </w:rPr>
              <w:t>料</w:t>
            </w:r>
            <w:r>
              <w:rPr>
                <w:bCs/>
                <w:color w:val="auto"/>
                <w:sz w:val="21"/>
                <w:szCs w:val="21"/>
              </w:rPr>
              <w:t>卸料区封闭建设，卸料建设有排风罩，通风换气次数为</w:t>
            </w:r>
            <w:r>
              <w:rPr>
                <w:rFonts w:hint="eastAsia"/>
                <w:bCs/>
                <w:color w:val="auto"/>
                <w:sz w:val="21"/>
                <w:szCs w:val="21"/>
              </w:rPr>
              <w:t>3</w:t>
            </w:r>
            <w:r>
              <w:rPr>
                <w:bCs/>
                <w:color w:val="auto"/>
                <w:sz w:val="21"/>
                <w:szCs w:val="21"/>
              </w:rPr>
              <w:t>次/h。卸料间地面和设备设有冲洗设备和废水排放系统，统一进入</w:t>
            </w:r>
            <w:r>
              <w:rPr>
                <w:rFonts w:hint="eastAsia"/>
                <w:bCs/>
                <w:color w:val="auto"/>
                <w:sz w:val="21"/>
                <w:szCs w:val="21"/>
              </w:rPr>
              <w:t>园区内在建的渗滤液</w:t>
            </w:r>
            <w:r>
              <w:rPr>
                <w:bCs/>
                <w:color w:val="auto"/>
                <w:sz w:val="21"/>
                <w:szCs w:val="21"/>
              </w:rPr>
              <w:t>处理站，项目采用螺旋进料，变频控制</w:t>
            </w:r>
          </w:p>
        </w:tc>
        <w:tc>
          <w:tcPr>
            <w:tcW w:w="740" w:type="dxa"/>
            <w:vMerge w:val="restart"/>
            <w:vAlign w:val="center"/>
          </w:tcPr>
          <w:p>
            <w:pPr>
              <w:rPr>
                <w:bCs/>
                <w:color w:val="auto"/>
                <w:sz w:val="21"/>
                <w:szCs w:val="21"/>
              </w:rPr>
            </w:pPr>
            <w:r>
              <w:rPr>
                <w:bCs/>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8110" w:type="dxa"/>
            <w:gridSpan w:val="2"/>
            <w:vAlign w:val="center"/>
          </w:tcPr>
          <w:p>
            <w:pPr>
              <w:rPr>
                <w:bCs/>
                <w:color w:val="auto"/>
                <w:sz w:val="21"/>
                <w:szCs w:val="21"/>
              </w:rPr>
            </w:pPr>
            <w:r>
              <w:rPr>
                <w:bCs/>
                <w:color w:val="auto"/>
                <w:sz w:val="21"/>
                <w:szCs w:val="21"/>
              </w:rPr>
              <w:t>餐厨垃圾卸料间应封闭，垃圾车卸料平台尺寸应满足最大餐厨垃圾收集车卸料作业</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8110" w:type="dxa"/>
            <w:gridSpan w:val="2"/>
            <w:vAlign w:val="center"/>
          </w:tcPr>
          <w:p>
            <w:pPr>
              <w:rPr>
                <w:bCs/>
                <w:color w:val="auto"/>
                <w:sz w:val="21"/>
                <w:szCs w:val="21"/>
              </w:rPr>
            </w:pPr>
            <w:r>
              <w:rPr>
                <w:bCs/>
                <w:color w:val="auto"/>
                <w:sz w:val="21"/>
                <w:szCs w:val="21"/>
              </w:rPr>
              <w:t>卸料间受料槽应设置局部排风罩，排风罩设计风量应满足卸料时控制臭味外逸的需要，卸料间的通风换气次数不应小于3次/小时</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8110" w:type="dxa"/>
            <w:gridSpan w:val="2"/>
            <w:vAlign w:val="center"/>
          </w:tcPr>
          <w:p>
            <w:pPr>
              <w:rPr>
                <w:bCs/>
                <w:color w:val="auto"/>
                <w:sz w:val="21"/>
                <w:szCs w:val="21"/>
              </w:rPr>
            </w:pPr>
            <w:r>
              <w:rPr>
                <w:bCs/>
                <w:color w:val="auto"/>
                <w:sz w:val="21"/>
                <w:szCs w:val="21"/>
              </w:rPr>
              <w:t>宜设置餐厨垃圾暂存、缓冲容器，缓冲容器的容积应与餐厨垃圾处理工艺和处理规模相协调，应具有防臭气散发的设施</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8110" w:type="dxa"/>
            <w:gridSpan w:val="2"/>
            <w:vAlign w:val="center"/>
          </w:tcPr>
          <w:p>
            <w:pPr>
              <w:rPr>
                <w:bCs/>
                <w:color w:val="auto"/>
                <w:sz w:val="21"/>
                <w:szCs w:val="21"/>
              </w:rPr>
            </w:pPr>
            <w:r>
              <w:rPr>
                <w:bCs/>
                <w:color w:val="auto"/>
                <w:sz w:val="21"/>
                <w:szCs w:val="21"/>
              </w:rPr>
              <w:t>餐厨垃圾卸料间应设置地面和设备冲洗设施及冲洗水排放系统</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8110" w:type="dxa"/>
            <w:gridSpan w:val="2"/>
            <w:vAlign w:val="center"/>
          </w:tcPr>
          <w:p>
            <w:pPr>
              <w:rPr>
                <w:bCs/>
                <w:color w:val="auto"/>
                <w:sz w:val="21"/>
                <w:szCs w:val="21"/>
              </w:rPr>
            </w:pPr>
            <w:r>
              <w:rPr>
                <w:bCs/>
                <w:color w:val="auto"/>
                <w:sz w:val="21"/>
                <w:szCs w:val="21"/>
              </w:rPr>
              <w:t>餐厨垃圾输送和卸料倒料过程中应避免飞溅和逸洒</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8110" w:type="dxa"/>
            <w:gridSpan w:val="2"/>
            <w:vAlign w:val="center"/>
          </w:tcPr>
          <w:p>
            <w:pPr>
              <w:rPr>
                <w:bCs/>
                <w:color w:val="auto"/>
                <w:sz w:val="21"/>
                <w:szCs w:val="21"/>
              </w:rPr>
            </w:pPr>
            <w:r>
              <w:rPr>
                <w:bCs/>
                <w:color w:val="auto"/>
                <w:sz w:val="21"/>
                <w:szCs w:val="21"/>
              </w:rPr>
              <w:t>采用螺旋输送机输送餐厨垃圾时，应符合下列规定：螺旋输送机的转速应能调节；螺旋输送机应具有防硬物卡死的功能；应具有自清洗功能</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restart"/>
            <w:vAlign w:val="center"/>
          </w:tcPr>
          <w:p>
            <w:pPr>
              <w:jc w:val="center"/>
              <w:rPr>
                <w:bCs/>
                <w:color w:val="auto"/>
                <w:sz w:val="21"/>
                <w:szCs w:val="21"/>
              </w:rPr>
            </w:pPr>
            <w:r>
              <w:rPr>
                <w:bCs/>
                <w:color w:val="auto"/>
                <w:sz w:val="21"/>
                <w:szCs w:val="21"/>
              </w:rPr>
              <w:t>餐厨垃圾处理工艺</w:t>
            </w:r>
          </w:p>
        </w:tc>
        <w:tc>
          <w:tcPr>
            <w:tcW w:w="1160" w:type="dxa"/>
            <w:vMerge w:val="restart"/>
            <w:vAlign w:val="center"/>
          </w:tcPr>
          <w:p>
            <w:pPr>
              <w:jc w:val="center"/>
              <w:rPr>
                <w:bCs/>
                <w:color w:val="auto"/>
                <w:sz w:val="21"/>
                <w:szCs w:val="21"/>
              </w:rPr>
            </w:pPr>
            <w:r>
              <w:rPr>
                <w:bCs/>
                <w:color w:val="auto"/>
                <w:sz w:val="21"/>
                <w:szCs w:val="21"/>
              </w:rPr>
              <w:t>预</w:t>
            </w:r>
          </w:p>
          <w:p>
            <w:pPr>
              <w:jc w:val="center"/>
              <w:rPr>
                <w:bCs/>
                <w:color w:val="auto"/>
                <w:sz w:val="21"/>
                <w:szCs w:val="21"/>
              </w:rPr>
            </w:pPr>
            <w:r>
              <w:rPr>
                <w:bCs/>
                <w:color w:val="auto"/>
                <w:sz w:val="21"/>
                <w:szCs w:val="21"/>
              </w:rPr>
              <w:t>处</w:t>
            </w:r>
          </w:p>
          <w:p>
            <w:pPr>
              <w:jc w:val="center"/>
              <w:rPr>
                <w:bCs/>
                <w:color w:val="auto"/>
                <w:sz w:val="21"/>
                <w:szCs w:val="21"/>
              </w:rPr>
            </w:pPr>
            <w:r>
              <w:rPr>
                <w:bCs/>
                <w:color w:val="auto"/>
                <w:sz w:val="21"/>
                <w:szCs w:val="21"/>
              </w:rPr>
              <w:t>理</w:t>
            </w:r>
          </w:p>
        </w:tc>
        <w:tc>
          <w:tcPr>
            <w:tcW w:w="6950" w:type="dxa"/>
            <w:vAlign w:val="center"/>
          </w:tcPr>
          <w:p>
            <w:pPr>
              <w:rPr>
                <w:bCs/>
                <w:color w:val="auto"/>
                <w:sz w:val="21"/>
                <w:szCs w:val="21"/>
              </w:rPr>
            </w:pPr>
            <w:r>
              <w:rPr>
                <w:bCs/>
                <w:color w:val="auto"/>
                <w:sz w:val="21"/>
                <w:szCs w:val="21"/>
              </w:rPr>
              <w:t>餐厨垃圾的分选应符合下列规定：餐厨垃圾预处理系统应配备分选设备将餐厨垃圾中混杂的不可降解物有效去除，餐厨垃圾分选系统可根据需要选配破袋、大件垃圾分选、风力分选、重力分选、磁选等设施与设备；分选出的不可降解物应进行回收利用或无害化处理；分选后的餐厨垃圾中不可降解杂物含量应小于5%</w:t>
            </w:r>
          </w:p>
        </w:tc>
        <w:tc>
          <w:tcPr>
            <w:tcW w:w="4140" w:type="dxa"/>
            <w:vMerge w:val="restart"/>
            <w:vAlign w:val="center"/>
          </w:tcPr>
          <w:p>
            <w:pPr>
              <w:rPr>
                <w:bCs/>
                <w:color w:val="auto"/>
                <w:sz w:val="21"/>
                <w:szCs w:val="21"/>
              </w:rPr>
            </w:pPr>
            <w:r>
              <w:rPr>
                <w:rFonts w:hint="eastAsia"/>
                <w:bCs/>
                <w:color w:val="auto"/>
                <w:sz w:val="21"/>
                <w:szCs w:val="21"/>
              </w:rPr>
              <w:t>项目不设置餐厨垃圾</w:t>
            </w:r>
            <w:r>
              <w:rPr>
                <w:bCs/>
                <w:color w:val="auto"/>
                <w:sz w:val="21"/>
                <w:szCs w:val="21"/>
              </w:rPr>
              <w:t>的</w:t>
            </w:r>
            <w:r>
              <w:rPr>
                <w:rFonts w:hint="eastAsia"/>
                <w:bCs/>
                <w:color w:val="auto"/>
                <w:sz w:val="21"/>
                <w:szCs w:val="21"/>
              </w:rPr>
              <w:t>分选工序</w:t>
            </w:r>
            <w:r>
              <w:rPr>
                <w:bCs/>
                <w:color w:val="auto"/>
                <w:sz w:val="21"/>
                <w:szCs w:val="21"/>
              </w:rPr>
              <w:t>，项目主要功能是对餐厨废弃物进行破碎、</w:t>
            </w:r>
            <w:r>
              <w:rPr>
                <w:rFonts w:hint="eastAsia"/>
                <w:bCs/>
                <w:color w:val="auto"/>
                <w:sz w:val="21"/>
                <w:szCs w:val="21"/>
              </w:rPr>
              <w:t>脱水</w:t>
            </w:r>
            <w:r>
              <w:rPr>
                <w:bCs/>
                <w:color w:val="auto"/>
                <w:sz w:val="21"/>
                <w:szCs w:val="21"/>
              </w:rPr>
              <w:t>、除油；</w:t>
            </w:r>
            <w:r>
              <w:rPr>
                <w:rFonts w:hint="eastAsia"/>
                <w:bCs/>
                <w:color w:val="auto"/>
                <w:sz w:val="21"/>
                <w:szCs w:val="21"/>
              </w:rPr>
              <w:t>项目</w:t>
            </w:r>
            <w:r>
              <w:rPr>
                <w:bCs/>
                <w:color w:val="auto"/>
                <w:sz w:val="21"/>
                <w:szCs w:val="21"/>
              </w:rPr>
              <w:t>破碎设备具有防卡功能，防止坚硬粗大物破坏设备；破碎设备便于清洗，停止运转后</w:t>
            </w:r>
            <w:r>
              <w:rPr>
                <w:rFonts w:hint="eastAsia"/>
                <w:bCs/>
                <w:color w:val="auto"/>
                <w:sz w:val="21"/>
                <w:szCs w:val="21"/>
              </w:rPr>
              <w:t>可</w:t>
            </w:r>
            <w:r>
              <w:rPr>
                <w:bCs/>
                <w:color w:val="auto"/>
                <w:sz w:val="21"/>
                <w:szCs w:val="21"/>
              </w:rPr>
              <w:t>及时清洗项目</w:t>
            </w:r>
            <w:r>
              <w:rPr>
                <w:rFonts w:hint="eastAsia"/>
                <w:bCs/>
                <w:color w:val="auto"/>
                <w:sz w:val="21"/>
                <w:szCs w:val="21"/>
              </w:rPr>
              <w:t>；</w:t>
            </w:r>
            <w:r>
              <w:rPr>
                <w:bCs/>
                <w:color w:val="auto"/>
                <w:sz w:val="21"/>
                <w:szCs w:val="21"/>
              </w:rPr>
              <w:t>配有油水分离工艺，油脂分离收集效率大于90%，分离出的油脂作为工业粗油脂外售</w:t>
            </w:r>
            <w:r>
              <w:rPr>
                <w:rFonts w:hint="eastAsia"/>
                <w:bCs/>
                <w:color w:val="auto"/>
                <w:sz w:val="21"/>
                <w:szCs w:val="21"/>
              </w:rPr>
              <w:t>；</w:t>
            </w:r>
            <w:r>
              <w:rPr>
                <w:bCs/>
                <w:color w:val="auto"/>
                <w:sz w:val="21"/>
                <w:szCs w:val="21"/>
              </w:rPr>
              <w:t xml:space="preserve"> </w:t>
            </w:r>
          </w:p>
          <w:p>
            <w:pPr>
              <w:rPr>
                <w:bCs/>
                <w:color w:val="auto"/>
                <w:sz w:val="21"/>
                <w:szCs w:val="21"/>
              </w:rPr>
            </w:pPr>
          </w:p>
        </w:tc>
        <w:tc>
          <w:tcPr>
            <w:tcW w:w="740" w:type="dxa"/>
            <w:vMerge w:val="restart"/>
            <w:vAlign w:val="center"/>
          </w:tcPr>
          <w:p>
            <w:pPr>
              <w:rPr>
                <w:bCs/>
                <w:color w:val="auto"/>
                <w:sz w:val="21"/>
                <w:szCs w:val="21"/>
              </w:rPr>
            </w:pPr>
            <w:r>
              <w:rPr>
                <w:bCs/>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1160" w:type="dxa"/>
            <w:vMerge w:val="continue"/>
            <w:vAlign w:val="center"/>
          </w:tcPr>
          <w:p>
            <w:pPr>
              <w:rPr>
                <w:bCs/>
                <w:color w:val="auto"/>
                <w:sz w:val="21"/>
                <w:szCs w:val="21"/>
              </w:rPr>
            </w:pPr>
          </w:p>
        </w:tc>
        <w:tc>
          <w:tcPr>
            <w:tcW w:w="6950" w:type="dxa"/>
            <w:vAlign w:val="center"/>
          </w:tcPr>
          <w:p>
            <w:pPr>
              <w:rPr>
                <w:bCs/>
                <w:color w:val="auto"/>
                <w:sz w:val="21"/>
                <w:szCs w:val="21"/>
              </w:rPr>
            </w:pPr>
            <w:r>
              <w:rPr>
                <w:bCs/>
                <w:color w:val="auto"/>
                <w:sz w:val="21"/>
                <w:szCs w:val="21"/>
              </w:rPr>
              <w:t>餐厨垃圾的破碎应符合下列规定：餐厨垃圾破碎工艺应根据处于垃圾输送工艺和处理工艺的要求确定；破碎设备应具有防卡功能，防止坚硬粗大物破坏设备；破碎设备应便于清洗，停止运转后及时清洗</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1160" w:type="dxa"/>
            <w:vMerge w:val="continue"/>
            <w:vAlign w:val="center"/>
          </w:tcPr>
          <w:p>
            <w:pPr>
              <w:rPr>
                <w:bCs/>
                <w:color w:val="auto"/>
                <w:sz w:val="21"/>
                <w:szCs w:val="21"/>
              </w:rPr>
            </w:pPr>
          </w:p>
        </w:tc>
        <w:tc>
          <w:tcPr>
            <w:tcW w:w="6950" w:type="dxa"/>
            <w:vAlign w:val="center"/>
          </w:tcPr>
          <w:p>
            <w:pPr>
              <w:rPr>
                <w:bCs/>
                <w:color w:val="auto"/>
                <w:sz w:val="21"/>
                <w:szCs w:val="21"/>
              </w:rPr>
            </w:pPr>
            <w:r>
              <w:rPr>
                <w:bCs/>
                <w:color w:val="auto"/>
                <w:sz w:val="21"/>
                <w:szCs w:val="21"/>
              </w:rPr>
              <w:t>泔水油的分离应符合下列规定：应根据餐厨垃圾处理主体工艺的要求确定油脂分离及油脂分离工艺；餐厨垃圾液相油脂分离收集率应大于90%；餐厨垃圾液相油脂进行妥善处理和利用</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1160" w:type="dxa"/>
            <w:vMerge w:val="restart"/>
            <w:vAlign w:val="center"/>
          </w:tcPr>
          <w:p>
            <w:pPr>
              <w:jc w:val="center"/>
              <w:rPr>
                <w:bCs/>
                <w:color w:val="auto"/>
                <w:sz w:val="21"/>
                <w:szCs w:val="21"/>
              </w:rPr>
            </w:pPr>
            <w:r>
              <w:rPr>
                <w:bCs/>
                <w:color w:val="auto"/>
                <w:sz w:val="21"/>
                <w:szCs w:val="21"/>
              </w:rPr>
              <w:t>厌氧消化工艺</w:t>
            </w:r>
          </w:p>
        </w:tc>
        <w:tc>
          <w:tcPr>
            <w:tcW w:w="6950" w:type="dxa"/>
            <w:vAlign w:val="center"/>
          </w:tcPr>
          <w:p>
            <w:pPr>
              <w:rPr>
                <w:bCs/>
                <w:color w:val="auto"/>
                <w:sz w:val="21"/>
                <w:szCs w:val="21"/>
              </w:rPr>
            </w:pPr>
            <w:r>
              <w:rPr>
                <w:bCs/>
                <w:color w:val="auto"/>
                <w:sz w:val="21"/>
                <w:szCs w:val="21"/>
              </w:rPr>
              <w:t>厌氧消化前餐厨垃圾破碎粒度应小于10mm，并应混合均匀</w:t>
            </w:r>
          </w:p>
        </w:tc>
        <w:tc>
          <w:tcPr>
            <w:tcW w:w="4140" w:type="dxa"/>
            <w:vMerge w:val="restart"/>
            <w:vAlign w:val="center"/>
          </w:tcPr>
          <w:p>
            <w:pPr>
              <w:rPr>
                <w:rFonts w:hint="eastAsia"/>
                <w:bCs/>
                <w:color w:val="auto"/>
                <w:sz w:val="21"/>
                <w:szCs w:val="21"/>
                <w:lang w:eastAsia="zh-CN"/>
              </w:rPr>
            </w:pPr>
            <w:r>
              <w:rPr>
                <w:rFonts w:hint="eastAsia"/>
                <w:bCs/>
                <w:color w:val="auto"/>
                <w:sz w:val="21"/>
                <w:szCs w:val="21"/>
              </w:rPr>
              <w:t>餐厨垃圾</w:t>
            </w:r>
            <w:r>
              <w:rPr>
                <w:bCs/>
                <w:color w:val="auto"/>
                <w:sz w:val="21"/>
                <w:szCs w:val="21"/>
              </w:rPr>
              <w:t>采用</w:t>
            </w:r>
            <w:r>
              <w:rPr>
                <w:rFonts w:hint="eastAsia"/>
                <w:bCs/>
                <w:color w:val="auto"/>
                <w:sz w:val="21"/>
                <w:szCs w:val="21"/>
              </w:rPr>
              <w:t>压榨脱水+餐厨残渣焚烧处理技术处理</w:t>
            </w:r>
            <w:r>
              <w:rPr>
                <w:bCs/>
                <w:color w:val="auto"/>
                <w:sz w:val="21"/>
                <w:szCs w:val="21"/>
              </w:rPr>
              <w:t>。</w:t>
            </w:r>
            <w:r>
              <w:rPr>
                <w:rFonts w:hint="eastAsia"/>
                <w:bCs/>
                <w:color w:val="auto"/>
                <w:sz w:val="21"/>
                <w:szCs w:val="21"/>
              </w:rPr>
              <w:t>残渣依托园内正在建设的</w:t>
            </w:r>
            <w:r>
              <w:rPr>
                <w:bCs/>
                <w:color w:val="auto"/>
                <w:sz w:val="21"/>
                <w:szCs w:val="21"/>
              </w:rPr>
              <w:t>垃圾焚烧发电厂</w:t>
            </w:r>
            <w:r>
              <w:rPr>
                <w:rFonts w:hint="eastAsia"/>
                <w:bCs/>
                <w:color w:val="auto"/>
                <w:sz w:val="21"/>
                <w:szCs w:val="21"/>
              </w:rPr>
              <w:t>进行焚烧处理，</w:t>
            </w:r>
            <w:r>
              <w:rPr>
                <w:rFonts w:hint="eastAsia"/>
                <w:bCs/>
                <w:color w:val="auto"/>
                <w:sz w:val="21"/>
                <w:szCs w:val="21"/>
                <w:lang w:eastAsia="zh-CN"/>
              </w:rPr>
              <w:t>由于本项目处理规模较小（</w:t>
            </w:r>
            <w:r>
              <w:rPr>
                <w:rFonts w:hint="eastAsia"/>
                <w:bCs/>
                <w:color w:val="auto"/>
                <w:sz w:val="21"/>
                <w:szCs w:val="21"/>
                <w:lang w:val="en-US" w:eastAsia="zh-CN"/>
              </w:rPr>
              <w:t>25t/d</w:t>
            </w:r>
            <w:r>
              <w:rPr>
                <w:rFonts w:hint="eastAsia"/>
                <w:bCs/>
                <w:color w:val="auto"/>
                <w:sz w:val="21"/>
                <w:szCs w:val="21"/>
                <w:lang w:eastAsia="zh-CN"/>
              </w:rPr>
              <w:t>），不适宜设置</w:t>
            </w:r>
            <w:r>
              <w:rPr>
                <w:rFonts w:hint="eastAsia"/>
                <w:bCs/>
                <w:color w:val="auto"/>
                <w:sz w:val="21"/>
                <w:szCs w:val="21"/>
              </w:rPr>
              <w:t>厌氧工艺</w:t>
            </w:r>
            <w:r>
              <w:rPr>
                <w:rFonts w:hint="eastAsia"/>
                <w:bCs/>
                <w:color w:val="auto"/>
                <w:sz w:val="21"/>
                <w:szCs w:val="21"/>
                <w:lang w:val="en-US" w:eastAsia="zh-CN"/>
              </w:rPr>
              <w:t>(厌氧工艺</w:t>
            </w:r>
            <w:r>
              <w:rPr>
                <w:rFonts w:hint="eastAsia"/>
                <w:bCs/>
                <w:color w:val="auto"/>
                <w:sz w:val="21"/>
                <w:szCs w:val="21"/>
                <w:lang w:eastAsia="zh-CN"/>
              </w:rPr>
              <w:t>适合于200t/d 及以上规模的项目），同时园区内在建生活垃圾焚烧厂，经脱水处理的固渣通过掺烧方式进焚烧炉焚烧，从而实现“减量化、资源化”的作用。</w:t>
            </w:r>
          </w:p>
          <w:p>
            <w:pPr>
              <w:rPr>
                <w:rFonts w:hint="eastAsia"/>
                <w:bCs/>
                <w:color w:val="auto"/>
                <w:sz w:val="21"/>
                <w:szCs w:val="21"/>
                <w:lang w:eastAsia="zh-CN"/>
              </w:rPr>
            </w:pPr>
          </w:p>
        </w:tc>
        <w:tc>
          <w:tcPr>
            <w:tcW w:w="740" w:type="dxa"/>
            <w:vMerge w:val="restart"/>
            <w:vAlign w:val="center"/>
          </w:tcPr>
          <w:p>
            <w:pPr>
              <w:rPr>
                <w:bCs/>
                <w:color w:val="auto"/>
                <w:sz w:val="21"/>
                <w:szCs w:val="21"/>
              </w:rPr>
            </w:pPr>
            <w:r>
              <w:rPr>
                <w:bCs/>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1160" w:type="dxa"/>
            <w:vMerge w:val="continue"/>
            <w:vAlign w:val="center"/>
          </w:tcPr>
          <w:p>
            <w:pPr>
              <w:jc w:val="center"/>
              <w:rPr>
                <w:bCs/>
                <w:color w:val="auto"/>
                <w:sz w:val="21"/>
                <w:szCs w:val="21"/>
              </w:rPr>
            </w:pPr>
          </w:p>
        </w:tc>
        <w:tc>
          <w:tcPr>
            <w:tcW w:w="6950" w:type="dxa"/>
            <w:vAlign w:val="center"/>
          </w:tcPr>
          <w:p>
            <w:pPr>
              <w:rPr>
                <w:bCs/>
                <w:color w:val="auto"/>
                <w:sz w:val="21"/>
                <w:szCs w:val="21"/>
              </w:rPr>
            </w:pPr>
            <w:r>
              <w:rPr>
                <w:bCs/>
                <w:color w:val="auto"/>
                <w:sz w:val="21"/>
                <w:szCs w:val="21"/>
              </w:rPr>
              <w:t>餐厨垃圾厌氧消化的工艺应很据餐厨垃圾的特性、当地的条件经过技术经济比较后确定</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1160" w:type="dxa"/>
            <w:vMerge w:val="continue"/>
            <w:vAlign w:val="center"/>
          </w:tcPr>
          <w:p>
            <w:pPr>
              <w:jc w:val="center"/>
              <w:rPr>
                <w:bCs/>
                <w:color w:val="auto"/>
                <w:sz w:val="21"/>
                <w:szCs w:val="21"/>
              </w:rPr>
            </w:pPr>
          </w:p>
        </w:tc>
        <w:tc>
          <w:tcPr>
            <w:tcW w:w="6950" w:type="dxa"/>
            <w:vAlign w:val="center"/>
          </w:tcPr>
          <w:p>
            <w:pPr>
              <w:rPr>
                <w:bCs/>
                <w:color w:val="auto"/>
                <w:sz w:val="21"/>
                <w:szCs w:val="21"/>
              </w:rPr>
            </w:pPr>
            <w:r>
              <w:rPr>
                <w:bCs/>
                <w:color w:val="auto"/>
                <w:sz w:val="21"/>
                <w:szCs w:val="21"/>
              </w:rPr>
              <w:t>湿式工艺的消化物料含固率宜为8%～18%，物料消化停留时间不宜低于15分钟</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1160" w:type="dxa"/>
            <w:vMerge w:val="continue"/>
            <w:vAlign w:val="center"/>
          </w:tcPr>
          <w:p>
            <w:pPr>
              <w:jc w:val="center"/>
              <w:rPr>
                <w:bCs/>
                <w:color w:val="auto"/>
                <w:sz w:val="21"/>
                <w:szCs w:val="21"/>
              </w:rPr>
            </w:pPr>
          </w:p>
        </w:tc>
        <w:tc>
          <w:tcPr>
            <w:tcW w:w="6950" w:type="dxa"/>
            <w:vAlign w:val="center"/>
          </w:tcPr>
          <w:p>
            <w:pPr>
              <w:rPr>
                <w:bCs/>
                <w:color w:val="auto"/>
                <w:sz w:val="21"/>
                <w:szCs w:val="21"/>
              </w:rPr>
            </w:pPr>
            <w:r>
              <w:rPr>
                <w:bCs/>
                <w:color w:val="auto"/>
                <w:sz w:val="21"/>
                <w:szCs w:val="21"/>
              </w:rPr>
              <w:t>消化物料碳氮比（C/N）宜控制在（25～30）:1，pH宜控制在6.5～7.8；度以30℃～40℃为宜。厌氧消化系统应能对物料温度进行控制，物料温度上下波动不宜大于2℃</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1160" w:type="dxa"/>
            <w:vMerge w:val="continue"/>
            <w:vAlign w:val="center"/>
          </w:tcPr>
          <w:p>
            <w:pPr>
              <w:jc w:val="center"/>
              <w:rPr>
                <w:bCs/>
                <w:color w:val="auto"/>
                <w:sz w:val="21"/>
                <w:szCs w:val="21"/>
              </w:rPr>
            </w:pPr>
          </w:p>
        </w:tc>
        <w:tc>
          <w:tcPr>
            <w:tcW w:w="6950" w:type="dxa"/>
            <w:vAlign w:val="center"/>
          </w:tcPr>
          <w:p>
            <w:pPr>
              <w:rPr>
                <w:bCs/>
                <w:color w:val="auto"/>
                <w:sz w:val="21"/>
                <w:szCs w:val="21"/>
              </w:rPr>
            </w:pPr>
            <w:r>
              <w:rPr>
                <w:bCs/>
                <w:color w:val="auto"/>
                <w:sz w:val="21"/>
                <w:szCs w:val="21"/>
              </w:rPr>
              <w:t>对厌氧产生的沼气应进行有效利用或处理，不得直接排入大气</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1160" w:type="dxa"/>
            <w:vMerge w:val="continue"/>
            <w:vAlign w:val="center"/>
          </w:tcPr>
          <w:p>
            <w:pPr>
              <w:jc w:val="center"/>
              <w:rPr>
                <w:bCs/>
                <w:color w:val="auto"/>
                <w:sz w:val="21"/>
                <w:szCs w:val="21"/>
              </w:rPr>
            </w:pPr>
          </w:p>
        </w:tc>
        <w:tc>
          <w:tcPr>
            <w:tcW w:w="6950" w:type="dxa"/>
            <w:vAlign w:val="center"/>
          </w:tcPr>
          <w:p>
            <w:pPr>
              <w:rPr>
                <w:bCs/>
                <w:color w:val="auto"/>
                <w:sz w:val="21"/>
                <w:szCs w:val="21"/>
              </w:rPr>
            </w:pPr>
            <w:r>
              <w:rPr>
                <w:bCs/>
                <w:color w:val="auto"/>
                <w:sz w:val="21"/>
                <w:szCs w:val="21"/>
              </w:rPr>
              <w:t>工艺中产生的沼液和残渣应得到妥善处理，不得对环境造成污染</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1160" w:type="dxa"/>
            <w:vMerge w:val="restart"/>
            <w:vAlign w:val="center"/>
          </w:tcPr>
          <w:p>
            <w:pPr>
              <w:jc w:val="center"/>
              <w:rPr>
                <w:bCs/>
                <w:color w:val="auto"/>
                <w:sz w:val="21"/>
                <w:szCs w:val="21"/>
              </w:rPr>
            </w:pPr>
            <w:r>
              <w:rPr>
                <w:bCs/>
                <w:color w:val="auto"/>
                <w:sz w:val="21"/>
                <w:szCs w:val="21"/>
              </w:rPr>
              <w:t>环境保护与监测</w:t>
            </w:r>
          </w:p>
        </w:tc>
        <w:tc>
          <w:tcPr>
            <w:tcW w:w="6950" w:type="dxa"/>
            <w:vAlign w:val="center"/>
          </w:tcPr>
          <w:p>
            <w:pPr>
              <w:rPr>
                <w:bCs/>
                <w:color w:val="auto"/>
                <w:sz w:val="21"/>
                <w:szCs w:val="21"/>
              </w:rPr>
            </w:pPr>
            <w:r>
              <w:rPr>
                <w:bCs/>
                <w:color w:val="auto"/>
                <w:sz w:val="21"/>
                <w:szCs w:val="21"/>
              </w:rPr>
              <w:t>餐厨垃圾的输送、处理各环节应做到密闭，并应设置臭味收集、处理设施，不能密闭的部位应设置局部排风除臭装置</w:t>
            </w:r>
          </w:p>
        </w:tc>
        <w:tc>
          <w:tcPr>
            <w:tcW w:w="4140" w:type="dxa"/>
            <w:vMerge w:val="restart"/>
            <w:vAlign w:val="center"/>
          </w:tcPr>
          <w:p>
            <w:pPr>
              <w:rPr>
                <w:bCs/>
                <w:color w:val="auto"/>
                <w:sz w:val="21"/>
                <w:szCs w:val="21"/>
              </w:rPr>
            </w:pPr>
            <w:r>
              <w:rPr>
                <w:bCs/>
                <w:color w:val="auto"/>
                <w:sz w:val="21"/>
                <w:szCs w:val="21"/>
              </w:rPr>
              <w:t>项目</w:t>
            </w:r>
            <w:r>
              <w:rPr>
                <w:rFonts w:hint="eastAsia"/>
                <w:bCs/>
                <w:color w:val="auto"/>
                <w:sz w:val="21"/>
                <w:szCs w:val="21"/>
              </w:rPr>
              <w:t>卸料斗、破碎机、脱水机、油水分离机等设备产生的恶臭经密闭局部抽吸，同时对整体车间进行抽气收集</w:t>
            </w:r>
            <w:r>
              <w:rPr>
                <w:bCs/>
                <w:color w:val="auto"/>
                <w:sz w:val="21"/>
                <w:szCs w:val="21"/>
              </w:rPr>
              <w:t>，厂区设臭气处理系统，恶臭气体经</w:t>
            </w:r>
            <w:r>
              <w:rPr>
                <w:rFonts w:hint="eastAsia" w:eastAsiaTheme="minorEastAsia"/>
                <w:color w:val="auto"/>
                <w:sz w:val="21"/>
                <w:szCs w:val="21"/>
              </w:rPr>
              <w:t>化学洗涤塔+光催化氧化+植物液喷淋</w:t>
            </w:r>
            <w:r>
              <w:rPr>
                <w:bCs/>
                <w:color w:val="auto"/>
                <w:sz w:val="21"/>
                <w:szCs w:val="21"/>
              </w:rPr>
              <w:t>处理后</w:t>
            </w:r>
            <w:r>
              <w:rPr>
                <w:rFonts w:hint="eastAsia"/>
                <w:bCs/>
                <w:color w:val="auto"/>
                <w:sz w:val="21"/>
                <w:szCs w:val="21"/>
              </w:rPr>
              <w:t>引至15m高</w:t>
            </w:r>
            <w:r>
              <w:rPr>
                <w:bCs/>
                <w:color w:val="auto"/>
                <w:sz w:val="21"/>
                <w:szCs w:val="21"/>
              </w:rPr>
              <w:t>排放；拟建项目恶臭气体浓度符合《恶臭污染物排放标准》（GB14554-93）相关要求</w:t>
            </w:r>
          </w:p>
        </w:tc>
        <w:tc>
          <w:tcPr>
            <w:tcW w:w="740" w:type="dxa"/>
            <w:vMerge w:val="restart"/>
            <w:vAlign w:val="center"/>
          </w:tcPr>
          <w:p>
            <w:pPr>
              <w:rPr>
                <w:bCs/>
                <w:color w:val="auto"/>
                <w:sz w:val="21"/>
                <w:szCs w:val="21"/>
              </w:rPr>
            </w:pPr>
            <w:r>
              <w:rPr>
                <w:bCs/>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1160" w:type="dxa"/>
            <w:vMerge w:val="continue"/>
            <w:vAlign w:val="center"/>
          </w:tcPr>
          <w:p>
            <w:pPr>
              <w:rPr>
                <w:bCs/>
                <w:color w:val="auto"/>
                <w:sz w:val="21"/>
                <w:szCs w:val="21"/>
              </w:rPr>
            </w:pPr>
          </w:p>
        </w:tc>
        <w:tc>
          <w:tcPr>
            <w:tcW w:w="6950" w:type="dxa"/>
            <w:vAlign w:val="center"/>
          </w:tcPr>
          <w:p>
            <w:pPr>
              <w:rPr>
                <w:bCs/>
                <w:color w:val="auto"/>
                <w:sz w:val="21"/>
                <w:szCs w:val="21"/>
              </w:rPr>
            </w:pPr>
            <w:r>
              <w:rPr>
                <w:bCs/>
                <w:color w:val="auto"/>
                <w:sz w:val="21"/>
                <w:szCs w:val="21"/>
              </w:rPr>
              <w:t>车间内粉尘及有害气体浓度应符合现行国家标准《工业企业设计卫生标准》GBZ1的有关规定，集中排放气体和厂界大气的恶臭气体浓度应符合现行国家标准《恶臭污染物排放标准》GB14554的有关规定</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1160" w:type="dxa"/>
            <w:vMerge w:val="continue"/>
            <w:vAlign w:val="center"/>
          </w:tcPr>
          <w:p>
            <w:pPr>
              <w:rPr>
                <w:bCs/>
                <w:color w:val="auto"/>
                <w:sz w:val="21"/>
                <w:szCs w:val="21"/>
              </w:rPr>
            </w:pPr>
          </w:p>
        </w:tc>
        <w:tc>
          <w:tcPr>
            <w:tcW w:w="6950" w:type="dxa"/>
            <w:vAlign w:val="center"/>
          </w:tcPr>
          <w:p>
            <w:pPr>
              <w:rPr>
                <w:bCs/>
                <w:color w:val="auto"/>
                <w:sz w:val="21"/>
                <w:szCs w:val="21"/>
              </w:rPr>
            </w:pPr>
            <w:r>
              <w:rPr>
                <w:bCs/>
                <w:color w:val="auto"/>
                <w:sz w:val="21"/>
                <w:szCs w:val="21"/>
              </w:rPr>
              <w:t>餐厨垃圾处理过程中产生的污水应得到有效收集和妥善处理，不得污染环境</w:t>
            </w:r>
          </w:p>
        </w:tc>
        <w:tc>
          <w:tcPr>
            <w:tcW w:w="4140" w:type="dxa"/>
            <w:vAlign w:val="center"/>
          </w:tcPr>
          <w:p>
            <w:pPr>
              <w:rPr>
                <w:bCs/>
                <w:color w:val="auto"/>
                <w:sz w:val="21"/>
                <w:szCs w:val="21"/>
              </w:rPr>
            </w:pPr>
            <w:r>
              <w:rPr>
                <w:bCs/>
                <w:color w:val="auto"/>
                <w:sz w:val="21"/>
                <w:szCs w:val="21"/>
              </w:rPr>
              <w:t>餐厨垃圾处理过程中产生的污水</w:t>
            </w:r>
            <w:r>
              <w:rPr>
                <w:rFonts w:hint="eastAsia"/>
                <w:bCs/>
                <w:color w:val="auto"/>
                <w:sz w:val="21"/>
                <w:szCs w:val="21"/>
              </w:rPr>
              <w:t>经收集后通过专门的管道引至园区内在建的渗滤液处理站处理</w:t>
            </w:r>
          </w:p>
        </w:tc>
        <w:tc>
          <w:tcPr>
            <w:tcW w:w="740" w:type="dxa"/>
            <w:vAlign w:val="center"/>
          </w:tcPr>
          <w:p>
            <w:pPr>
              <w:rPr>
                <w:bCs/>
                <w:color w:val="auto"/>
                <w:sz w:val="21"/>
                <w:szCs w:val="21"/>
              </w:rPr>
            </w:pPr>
            <w:r>
              <w:rPr>
                <w:bCs/>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1160" w:type="dxa"/>
            <w:vMerge w:val="continue"/>
            <w:vAlign w:val="center"/>
          </w:tcPr>
          <w:p>
            <w:pPr>
              <w:rPr>
                <w:bCs/>
                <w:color w:val="auto"/>
                <w:sz w:val="21"/>
                <w:szCs w:val="21"/>
              </w:rPr>
            </w:pPr>
          </w:p>
        </w:tc>
        <w:tc>
          <w:tcPr>
            <w:tcW w:w="6950" w:type="dxa"/>
            <w:vAlign w:val="center"/>
          </w:tcPr>
          <w:p>
            <w:pPr>
              <w:rPr>
                <w:bCs/>
                <w:color w:val="auto"/>
                <w:sz w:val="21"/>
                <w:szCs w:val="21"/>
              </w:rPr>
            </w:pPr>
            <w:r>
              <w:rPr>
                <w:bCs/>
                <w:color w:val="auto"/>
                <w:sz w:val="21"/>
                <w:szCs w:val="21"/>
              </w:rPr>
              <w:t>餐厨垃圾处理过程中产生的废渣应得到无害化处理</w:t>
            </w:r>
          </w:p>
        </w:tc>
        <w:tc>
          <w:tcPr>
            <w:tcW w:w="4140" w:type="dxa"/>
            <w:vAlign w:val="center"/>
          </w:tcPr>
          <w:p>
            <w:pPr>
              <w:rPr>
                <w:bCs/>
                <w:color w:val="auto"/>
                <w:sz w:val="21"/>
                <w:szCs w:val="21"/>
              </w:rPr>
            </w:pPr>
            <w:r>
              <w:rPr>
                <w:bCs/>
                <w:color w:val="auto"/>
                <w:sz w:val="21"/>
                <w:szCs w:val="21"/>
              </w:rPr>
              <w:t>餐厨废弃物处置中</w:t>
            </w:r>
            <w:r>
              <w:rPr>
                <w:rFonts w:hint="eastAsia"/>
                <w:bCs/>
                <w:color w:val="auto"/>
                <w:sz w:val="21"/>
                <w:szCs w:val="21"/>
              </w:rPr>
              <w:t>产生</w:t>
            </w:r>
            <w:r>
              <w:rPr>
                <w:bCs/>
                <w:color w:val="auto"/>
                <w:sz w:val="21"/>
                <w:szCs w:val="21"/>
              </w:rPr>
              <w:t>的废渣</w:t>
            </w:r>
            <w:r>
              <w:rPr>
                <w:rFonts w:hint="eastAsia"/>
                <w:bCs/>
                <w:color w:val="auto"/>
                <w:sz w:val="21"/>
                <w:szCs w:val="21"/>
              </w:rPr>
              <w:t>依托园区内在建的垃圾焚烧发电厂进行焚烧处理</w:t>
            </w:r>
          </w:p>
        </w:tc>
        <w:tc>
          <w:tcPr>
            <w:tcW w:w="740" w:type="dxa"/>
            <w:vAlign w:val="center"/>
          </w:tcPr>
          <w:p>
            <w:pPr>
              <w:rPr>
                <w:bCs/>
                <w:color w:val="auto"/>
                <w:sz w:val="21"/>
                <w:szCs w:val="21"/>
              </w:rPr>
            </w:pPr>
            <w:r>
              <w:rPr>
                <w:bCs/>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1160" w:type="dxa"/>
            <w:vMerge w:val="continue"/>
            <w:vAlign w:val="center"/>
          </w:tcPr>
          <w:p>
            <w:pPr>
              <w:rPr>
                <w:bCs/>
                <w:color w:val="auto"/>
                <w:sz w:val="21"/>
                <w:szCs w:val="21"/>
              </w:rPr>
            </w:pPr>
          </w:p>
        </w:tc>
        <w:tc>
          <w:tcPr>
            <w:tcW w:w="6950" w:type="dxa"/>
            <w:vAlign w:val="center"/>
          </w:tcPr>
          <w:p>
            <w:pPr>
              <w:rPr>
                <w:bCs/>
                <w:color w:val="auto"/>
                <w:sz w:val="21"/>
                <w:szCs w:val="21"/>
              </w:rPr>
            </w:pPr>
            <w:r>
              <w:rPr>
                <w:bCs/>
                <w:color w:val="auto"/>
                <w:sz w:val="21"/>
                <w:szCs w:val="21"/>
              </w:rPr>
              <w:t>噪声大的设备应采取隔声、吸声、降噪等措施。作业区的噪声应符合现行国家标准《工业企业设计卫生标准》GBZ1的规定，厂界噪声应符合《工业企业厂界环境噪声排放标准》（GB12348-2008）的规定</w:t>
            </w:r>
          </w:p>
        </w:tc>
        <w:tc>
          <w:tcPr>
            <w:tcW w:w="4140" w:type="dxa"/>
            <w:vAlign w:val="center"/>
          </w:tcPr>
          <w:p>
            <w:pPr>
              <w:rPr>
                <w:bCs/>
                <w:color w:val="auto"/>
                <w:sz w:val="21"/>
                <w:szCs w:val="21"/>
              </w:rPr>
            </w:pPr>
            <w:r>
              <w:rPr>
                <w:bCs/>
                <w:color w:val="auto"/>
                <w:sz w:val="21"/>
                <w:szCs w:val="21"/>
              </w:rPr>
              <w:t>项目厂界噪声排放满足《工业企业厂界环境噪声排放标准》（GB12348-2008）</w:t>
            </w:r>
            <w:r>
              <w:rPr>
                <w:rFonts w:hint="eastAsia"/>
                <w:bCs/>
                <w:color w:val="auto"/>
                <w:sz w:val="21"/>
                <w:szCs w:val="21"/>
              </w:rPr>
              <w:t>2</w:t>
            </w:r>
            <w:r>
              <w:rPr>
                <w:bCs/>
                <w:color w:val="auto"/>
                <w:sz w:val="21"/>
                <w:szCs w:val="21"/>
              </w:rPr>
              <w:t>类标准要求</w:t>
            </w:r>
          </w:p>
        </w:tc>
        <w:tc>
          <w:tcPr>
            <w:tcW w:w="740" w:type="dxa"/>
            <w:vAlign w:val="center"/>
          </w:tcPr>
          <w:p>
            <w:pPr>
              <w:rPr>
                <w:bCs/>
                <w:color w:val="auto"/>
                <w:sz w:val="21"/>
                <w:szCs w:val="21"/>
              </w:rPr>
            </w:pPr>
            <w:r>
              <w:rPr>
                <w:bCs/>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1160" w:type="dxa"/>
            <w:vMerge w:val="continue"/>
            <w:vAlign w:val="center"/>
          </w:tcPr>
          <w:p>
            <w:pPr>
              <w:rPr>
                <w:bCs/>
                <w:color w:val="auto"/>
                <w:sz w:val="21"/>
                <w:szCs w:val="21"/>
              </w:rPr>
            </w:pPr>
          </w:p>
        </w:tc>
        <w:tc>
          <w:tcPr>
            <w:tcW w:w="6950" w:type="dxa"/>
            <w:vAlign w:val="center"/>
          </w:tcPr>
          <w:p>
            <w:pPr>
              <w:rPr>
                <w:bCs/>
                <w:color w:val="auto"/>
                <w:sz w:val="21"/>
                <w:szCs w:val="21"/>
              </w:rPr>
            </w:pPr>
            <w:r>
              <w:rPr>
                <w:bCs/>
                <w:color w:val="auto"/>
                <w:sz w:val="21"/>
                <w:szCs w:val="21"/>
              </w:rPr>
              <w:t>餐厨垃圾处理厂应具备常规的监测设施和设备，并应定期对工作场所和厂界进行环境监测</w:t>
            </w:r>
          </w:p>
        </w:tc>
        <w:tc>
          <w:tcPr>
            <w:tcW w:w="4140" w:type="dxa"/>
            <w:vMerge w:val="restart"/>
            <w:vAlign w:val="center"/>
          </w:tcPr>
          <w:p>
            <w:pPr>
              <w:rPr>
                <w:bCs/>
                <w:color w:val="auto"/>
                <w:sz w:val="21"/>
                <w:szCs w:val="21"/>
              </w:rPr>
            </w:pPr>
            <w:r>
              <w:rPr>
                <w:bCs/>
                <w:color w:val="auto"/>
                <w:sz w:val="21"/>
                <w:szCs w:val="21"/>
              </w:rPr>
              <w:t>项目设置完整的环境监测计划和系统</w:t>
            </w:r>
          </w:p>
        </w:tc>
        <w:tc>
          <w:tcPr>
            <w:tcW w:w="740" w:type="dxa"/>
            <w:vMerge w:val="restart"/>
            <w:vAlign w:val="center"/>
          </w:tcPr>
          <w:p>
            <w:pPr>
              <w:rPr>
                <w:bCs/>
                <w:color w:val="auto"/>
                <w:sz w:val="21"/>
                <w:szCs w:val="21"/>
              </w:rPr>
            </w:pPr>
            <w:r>
              <w:rPr>
                <w:bCs/>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1160" w:type="dxa"/>
            <w:vMerge w:val="continue"/>
            <w:vAlign w:val="center"/>
          </w:tcPr>
          <w:p>
            <w:pPr>
              <w:rPr>
                <w:bCs/>
                <w:color w:val="auto"/>
                <w:sz w:val="21"/>
                <w:szCs w:val="21"/>
              </w:rPr>
            </w:pPr>
          </w:p>
        </w:tc>
        <w:tc>
          <w:tcPr>
            <w:tcW w:w="6950" w:type="dxa"/>
            <w:vAlign w:val="center"/>
          </w:tcPr>
          <w:p>
            <w:pPr>
              <w:rPr>
                <w:bCs/>
                <w:color w:val="auto"/>
                <w:sz w:val="21"/>
                <w:szCs w:val="21"/>
              </w:rPr>
            </w:pPr>
            <w:r>
              <w:rPr>
                <w:bCs/>
                <w:color w:val="auto"/>
                <w:sz w:val="21"/>
                <w:szCs w:val="21"/>
              </w:rPr>
              <w:t>餐厨垃圾处理厂工作场所环境监测内容应包括：噪声、粉尘、有害气体（H</w:t>
            </w:r>
            <w:r>
              <w:rPr>
                <w:bCs/>
                <w:color w:val="auto"/>
                <w:sz w:val="21"/>
                <w:szCs w:val="21"/>
                <w:vertAlign w:val="subscript"/>
              </w:rPr>
              <w:t>2</w:t>
            </w:r>
            <w:r>
              <w:rPr>
                <w:bCs/>
                <w:color w:val="auto"/>
                <w:sz w:val="21"/>
                <w:szCs w:val="21"/>
              </w:rPr>
              <w:t>S、NH</w:t>
            </w:r>
            <w:r>
              <w:rPr>
                <w:bCs/>
                <w:color w:val="auto"/>
                <w:sz w:val="21"/>
                <w:szCs w:val="21"/>
                <w:vertAlign w:val="subscript"/>
              </w:rPr>
              <w:t>3</w:t>
            </w:r>
            <w:r>
              <w:rPr>
                <w:bCs/>
                <w:color w:val="auto"/>
                <w:sz w:val="21"/>
                <w:szCs w:val="21"/>
              </w:rPr>
              <w:t>等）、空气中细菌总数、苍蝇密度等。排气口监测内容包括：粉尘、有害气体（H</w:t>
            </w:r>
            <w:r>
              <w:rPr>
                <w:bCs/>
                <w:color w:val="auto"/>
                <w:sz w:val="21"/>
                <w:szCs w:val="21"/>
                <w:vertAlign w:val="subscript"/>
              </w:rPr>
              <w:t>2</w:t>
            </w:r>
            <w:r>
              <w:rPr>
                <w:bCs/>
                <w:color w:val="auto"/>
                <w:sz w:val="21"/>
                <w:szCs w:val="21"/>
              </w:rPr>
              <w:t>S、SO</w:t>
            </w:r>
            <w:r>
              <w:rPr>
                <w:bCs/>
                <w:color w:val="auto"/>
                <w:sz w:val="21"/>
                <w:szCs w:val="21"/>
                <w:vertAlign w:val="subscript"/>
              </w:rPr>
              <w:t>2</w:t>
            </w:r>
            <w:r>
              <w:rPr>
                <w:bCs/>
                <w:color w:val="auto"/>
                <w:sz w:val="21"/>
                <w:szCs w:val="21"/>
              </w:rPr>
              <w:t>、NH</w:t>
            </w:r>
            <w:r>
              <w:rPr>
                <w:bCs/>
                <w:color w:val="auto"/>
                <w:sz w:val="21"/>
                <w:szCs w:val="21"/>
                <w:vertAlign w:val="subscript"/>
              </w:rPr>
              <w:t>3</w:t>
            </w:r>
            <w:r>
              <w:rPr>
                <w:bCs/>
                <w:color w:val="auto"/>
                <w:sz w:val="21"/>
                <w:szCs w:val="21"/>
              </w:rPr>
              <w:t>等）。厂界环境监测内容应包括：噪声、总悬浮颗粒物TSP、有害气体（H</w:t>
            </w:r>
            <w:r>
              <w:rPr>
                <w:bCs/>
                <w:color w:val="auto"/>
                <w:sz w:val="21"/>
                <w:szCs w:val="21"/>
                <w:vertAlign w:val="subscript"/>
              </w:rPr>
              <w:t>2</w:t>
            </w:r>
            <w:r>
              <w:rPr>
                <w:bCs/>
                <w:color w:val="auto"/>
                <w:sz w:val="21"/>
                <w:szCs w:val="21"/>
              </w:rPr>
              <w:t>S、SO</w:t>
            </w:r>
            <w:r>
              <w:rPr>
                <w:bCs/>
                <w:color w:val="auto"/>
                <w:sz w:val="21"/>
                <w:szCs w:val="21"/>
                <w:vertAlign w:val="subscript"/>
              </w:rPr>
              <w:t>2</w:t>
            </w:r>
            <w:r>
              <w:rPr>
                <w:bCs/>
                <w:color w:val="auto"/>
                <w:sz w:val="21"/>
                <w:szCs w:val="21"/>
              </w:rPr>
              <w:t>、NH</w:t>
            </w:r>
            <w:r>
              <w:rPr>
                <w:bCs/>
                <w:color w:val="auto"/>
                <w:sz w:val="21"/>
                <w:szCs w:val="21"/>
                <w:vertAlign w:val="subscript"/>
              </w:rPr>
              <w:t>3</w:t>
            </w:r>
            <w:r>
              <w:rPr>
                <w:bCs/>
                <w:color w:val="auto"/>
                <w:sz w:val="21"/>
                <w:szCs w:val="21"/>
              </w:rPr>
              <w:t>等）、苍蝇密度、排放污水水质指标（BOD</w:t>
            </w:r>
            <w:r>
              <w:rPr>
                <w:bCs/>
                <w:color w:val="auto"/>
                <w:sz w:val="21"/>
                <w:szCs w:val="21"/>
                <w:vertAlign w:val="subscript"/>
              </w:rPr>
              <w:t>5</w:t>
            </w:r>
            <w:r>
              <w:rPr>
                <w:bCs/>
                <w:color w:val="auto"/>
                <w:sz w:val="21"/>
                <w:szCs w:val="21"/>
              </w:rPr>
              <w:t>、CODcr、氨氮等）</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1160" w:type="dxa"/>
            <w:vMerge w:val="restart"/>
            <w:vAlign w:val="center"/>
          </w:tcPr>
          <w:p>
            <w:pPr>
              <w:jc w:val="center"/>
              <w:rPr>
                <w:bCs/>
                <w:color w:val="auto"/>
                <w:sz w:val="21"/>
                <w:szCs w:val="21"/>
              </w:rPr>
            </w:pPr>
            <w:r>
              <w:rPr>
                <w:bCs/>
                <w:color w:val="auto"/>
                <w:sz w:val="21"/>
                <w:szCs w:val="21"/>
              </w:rPr>
              <w:t>采暖、通风与空调</w:t>
            </w:r>
          </w:p>
        </w:tc>
        <w:tc>
          <w:tcPr>
            <w:tcW w:w="6950" w:type="dxa"/>
            <w:vAlign w:val="center"/>
          </w:tcPr>
          <w:p>
            <w:pPr>
              <w:rPr>
                <w:bCs/>
                <w:color w:val="auto"/>
                <w:sz w:val="21"/>
                <w:szCs w:val="21"/>
              </w:rPr>
            </w:pPr>
            <w:r>
              <w:rPr>
                <w:bCs/>
                <w:color w:val="auto"/>
                <w:sz w:val="21"/>
                <w:szCs w:val="21"/>
              </w:rPr>
              <w:t>各建筑物的采暖、空调及通风设计应符合现行国家标准《采暖通风与空气调节设计规范》GBJ19的有关规定</w:t>
            </w:r>
          </w:p>
        </w:tc>
        <w:tc>
          <w:tcPr>
            <w:tcW w:w="4140" w:type="dxa"/>
            <w:vMerge w:val="restart"/>
            <w:vAlign w:val="center"/>
          </w:tcPr>
          <w:p>
            <w:pPr>
              <w:rPr>
                <w:bCs/>
                <w:color w:val="auto"/>
                <w:sz w:val="21"/>
                <w:szCs w:val="21"/>
              </w:rPr>
            </w:pPr>
            <w:r>
              <w:rPr>
                <w:bCs/>
                <w:color w:val="auto"/>
                <w:sz w:val="21"/>
                <w:szCs w:val="21"/>
              </w:rPr>
              <w:t>项目采暖及通风系统符合相关要求</w:t>
            </w:r>
            <w:r>
              <w:rPr>
                <w:rFonts w:hint="eastAsia"/>
                <w:bCs/>
                <w:color w:val="auto"/>
                <w:sz w:val="21"/>
                <w:szCs w:val="21"/>
              </w:rPr>
              <w:t>；</w:t>
            </w:r>
          </w:p>
          <w:p>
            <w:pPr>
              <w:rPr>
                <w:bCs/>
                <w:color w:val="auto"/>
                <w:sz w:val="21"/>
                <w:szCs w:val="21"/>
              </w:rPr>
            </w:pPr>
            <w:r>
              <w:rPr>
                <w:bCs/>
                <w:color w:val="auto"/>
                <w:sz w:val="21"/>
                <w:szCs w:val="21"/>
              </w:rPr>
              <w:t>产生臭气统一收集</w:t>
            </w:r>
            <w:r>
              <w:rPr>
                <w:rFonts w:hint="eastAsia"/>
                <w:bCs/>
                <w:color w:val="auto"/>
                <w:sz w:val="21"/>
                <w:szCs w:val="21"/>
              </w:rPr>
              <w:t>后</w:t>
            </w:r>
            <w:r>
              <w:rPr>
                <w:bCs/>
                <w:color w:val="auto"/>
                <w:sz w:val="21"/>
                <w:szCs w:val="21"/>
              </w:rPr>
              <w:t>经</w:t>
            </w:r>
            <w:r>
              <w:rPr>
                <w:rFonts w:hint="eastAsia" w:eastAsiaTheme="minorEastAsia"/>
                <w:color w:val="auto"/>
                <w:sz w:val="21"/>
                <w:szCs w:val="21"/>
              </w:rPr>
              <w:t>化学洗涤塔+光催化氧化+植物液喷淋</w:t>
            </w:r>
            <w:r>
              <w:rPr>
                <w:bCs/>
                <w:color w:val="auto"/>
                <w:sz w:val="21"/>
                <w:szCs w:val="21"/>
              </w:rPr>
              <w:t>处理后</w:t>
            </w:r>
            <w:r>
              <w:rPr>
                <w:rFonts w:hint="eastAsia"/>
                <w:bCs/>
                <w:color w:val="auto"/>
                <w:sz w:val="21"/>
                <w:szCs w:val="21"/>
              </w:rPr>
              <w:t>引至15m高</w:t>
            </w:r>
            <w:r>
              <w:rPr>
                <w:bCs/>
                <w:color w:val="auto"/>
                <w:sz w:val="21"/>
                <w:szCs w:val="21"/>
              </w:rPr>
              <w:t>排放</w:t>
            </w:r>
          </w:p>
        </w:tc>
        <w:tc>
          <w:tcPr>
            <w:tcW w:w="740" w:type="dxa"/>
            <w:vMerge w:val="restart"/>
            <w:vAlign w:val="center"/>
          </w:tcPr>
          <w:p>
            <w:pPr>
              <w:rPr>
                <w:bCs/>
                <w:color w:val="auto"/>
                <w:sz w:val="21"/>
                <w:szCs w:val="21"/>
              </w:rPr>
            </w:pPr>
            <w:r>
              <w:rPr>
                <w:bCs/>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Merge w:val="continue"/>
            <w:vAlign w:val="center"/>
          </w:tcPr>
          <w:p>
            <w:pPr>
              <w:jc w:val="center"/>
              <w:rPr>
                <w:bCs/>
                <w:color w:val="auto"/>
                <w:sz w:val="21"/>
                <w:szCs w:val="21"/>
              </w:rPr>
            </w:pPr>
          </w:p>
        </w:tc>
        <w:tc>
          <w:tcPr>
            <w:tcW w:w="1160" w:type="dxa"/>
            <w:vMerge w:val="continue"/>
            <w:vAlign w:val="center"/>
          </w:tcPr>
          <w:p>
            <w:pPr>
              <w:rPr>
                <w:bCs/>
                <w:color w:val="auto"/>
                <w:sz w:val="21"/>
                <w:szCs w:val="21"/>
              </w:rPr>
            </w:pPr>
          </w:p>
        </w:tc>
        <w:tc>
          <w:tcPr>
            <w:tcW w:w="6950" w:type="dxa"/>
            <w:vAlign w:val="center"/>
          </w:tcPr>
          <w:p>
            <w:pPr>
              <w:rPr>
                <w:bCs/>
                <w:color w:val="auto"/>
                <w:sz w:val="21"/>
                <w:szCs w:val="21"/>
              </w:rPr>
            </w:pPr>
            <w:r>
              <w:rPr>
                <w:bCs/>
                <w:color w:val="auto"/>
                <w:sz w:val="21"/>
                <w:szCs w:val="21"/>
              </w:rPr>
              <w:t>易产生挥发气体和臭味的部位应设置通风除臭设施。散发少量挥发性气体和恶臭的部位或房间，可采用全面通风工艺，全面通风换气次数不宜小于3次/h。散发较多挥发性气体和臭味的部位或房间，应采用局部机械排风除臭的通风工艺</w:t>
            </w:r>
          </w:p>
        </w:tc>
        <w:tc>
          <w:tcPr>
            <w:tcW w:w="4140" w:type="dxa"/>
            <w:vMerge w:val="continue"/>
            <w:vAlign w:val="center"/>
          </w:tcPr>
          <w:p>
            <w:pPr>
              <w:rPr>
                <w:bCs/>
                <w:color w:val="auto"/>
                <w:sz w:val="21"/>
                <w:szCs w:val="21"/>
              </w:rPr>
            </w:pPr>
          </w:p>
        </w:tc>
        <w:tc>
          <w:tcPr>
            <w:tcW w:w="740" w:type="dxa"/>
            <w:vMerge w:val="continue"/>
            <w:vAlign w:val="center"/>
          </w:tcPr>
          <w:p>
            <w:pPr>
              <w:rPr>
                <w:bCs/>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28" w:type="dxa"/>
            <w:vAlign w:val="center"/>
          </w:tcPr>
          <w:p>
            <w:pPr>
              <w:jc w:val="center"/>
              <w:rPr>
                <w:bCs/>
                <w:color w:val="auto"/>
                <w:sz w:val="21"/>
                <w:szCs w:val="21"/>
              </w:rPr>
            </w:pPr>
            <w:r>
              <w:rPr>
                <w:bCs/>
                <w:color w:val="auto"/>
                <w:sz w:val="21"/>
                <w:szCs w:val="21"/>
              </w:rPr>
              <w:t>工程竣工及验收</w:t>
            </w:r>
          </w:p>
        </w:tc>
        <w:tc>
          <w:tcPr>
            <w:tcW w:w="8110" w:type="dxa"/>
            <w:gridSpan w:val="2"/>
            <w:vAlign w:val="center"/>
          </w:tcPr>
          <w:p>
            <w:pPr>
              <w:rPr>
                <w:bCs/>
                <w:color w:val="auto"/>
                <w:sz w:val="21"/>
                <w:szCs w:val="21"/>
              </w:rPr>
            </w:pPr>
            <w:r>
              <w:rPr>
                <w:bCs/>
                <w:color w:val="auto"/>
                <w:sz w:val="21"/>
                <w:szCs w:val="21"/>
              </w:rPr>
              <w:t>餐厨垃圾处理厂竣工验收前，严禁处理生产线投入使用</w:t>
            </w:r>
          </w:p>
        </w:tc>
        <w:tc>
          <w:tcPr>
            <w:tcW w:w="4140" w:type="dxa"/>
            <w:vAlign w:val="center"/>
          </w:tcPr>
          <w:p>
            <w:pPr>
              <w:rPr>
                <w:bCs/>
                <w:color w:val="auto"/>
                <w:sz w:val="21"/>
                <w:szCs w:val="21"/>
              </w:rPr>
            </w:pPr>
            <w:r>
              <w:rPr>
                <w:bCs/>
                <w:color w:val="auto"/>
                <w:sz w:val="21"/>
                <w:szCs w:val="21"/>
              </w:rPr>
              <w:t>要求项目建成后申请竣工验收，验收合格后才能投入使用</w:t>
            </w:r>
          </w:p>
        </w:tc>
        <w:tc>
          <w:tcPr>
            <w:tcW w:w="740" w:type="dxa"/>
            <w:vAlign w:val="center"/>
          </w:tcPr>
          <w:p>
            <w:pPr>
              <w:rPr>
                <w:bCs/>
                <w:color w:val="auto"/>
                <w:sz w:val="21"/>
                <w:szCs w:val="21"/>
              </w:rPr>
            </w:pPr>
            <w:r>
              <w:rPr>
                <w:bCs/>
                <w:color w:val="auto"/>
                <w:sz w:val="21"/>
                <w:szCs w:val="21"/>
              </w:rPr>
              <w:t>符合</w:t>
            </w:r>
          </w:p>
        </w:tc>
      </w:tr>
    </w:tbl>
    <w:p>
      <w:pPr>
        <w:jc w:val="center"/>
        <w:rPr>
          <w:b/>
          <w:bCs/>
          <w:color w:val="auto"/>
        </w:rPr>
      </w:pPr>
    </w:p>
    <w:p>
      <w:pPr>
        <w:jc w:val="center"/>
        <w:rPr>
          <w:b/>
          <w:bCs/>
          <w:color w:val="auto"/>
        </w:rPr>
      </w:pPr>
      <w:r>
        <w:rPr>
          <w:b/>
          <w:bCs/>
          <w:color w:val="auto"/>
        </w:rPr>
        <w:t xml:space="preserve">表 </w:t>
      </w:r>
      <w:r>
        <w:rPr>
          <w:b/>
          <w:bCs/>
          <w:color w:val="auto"/>
        </w:rPr>
        <w:fldChar w:fldCharType="begin"/>
      </w:r>
      <w:r>
        <w:rPr>
          <w:b/>
          <w:bCs/>
          <w:color w:val="auto"/>
        </w:rPr>
        <w:instrText xml:space="preserve"> STYLEREF 2 \s </w:instrText>
      </w:r>
      <w:r>
        <w:rPr>
          <w:b/>
          <w:bCs/>
          <w:color w:val="auto"/>
        </w:rPr>
        <w:fldChar w:fldCharType="separate"/>
      </w:r>
      <w:r>
        <w:rPr>
          <w:b/>
          <w:bCs/>
          <w:color w:val="auto"/>
        </w:rPr>
        <w:t>1.3</w:t>
      </w:r>
      <w:r>
        <w:rPr>
          <w:b/>
          <w:bCs/>
          <w:color w:val="auto"/>
        </w:rPr>
        <w:fldChar w:fldCharType="end"/>
      </w:r>
      <w:r>
        <w:rPr>
          <w:b/>
          <w:bCs/>
          <w:color w:val="auto"/>
        </w:rPr>
        <w:noBreakHyphen/>
      </w:r>
      <w:r>
        <w:rPr>
          <w:rFonts w:hint="eastAsia"/>
          <w:b/>
          <w:bCs/>
          <w:color w:val="auto"/>
        </w:rPr>
        <w:t>2</w:t>
      </w:r>
      <w:r>
        <w:rPr>
          <w:rFonts w:eastAsiaTheme="minorEastAsia"/>
          <w:b/>
          <w:bCs/>
          <w:color w:val="auto"/>
        </w:rPr>
        <w:t xml:space="preserve">  </w:t>
      </w:r>
      <w:r>
        <w:rPr>
          <w:rFonts w:hint="eastAsia" w:ascii="宋体" w:cs="宋体"/>
          <w:b/>
          <w:bCs/>
          <w:color w:val="auto"/>
        </w:rPr>
        <w:t>建筑垃圾消纳场与相关环保政策相符性分析</w:t>
      </w:r>
    </w:p>
    <w:tbl>
      <w:tblPr>
        <w:tblStyle w:val="53"/>
        <w:tblW w:w="142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10"/>
        <w:gridCol w:w="5539"/>
        <w:gridCol w:w="5326"/>
        <w:gridCol w:w="6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2710" w:type="dxa"/>
            <w:tcBorders>
              <w:top w:val="single" w:color="auto" w:sz="12" w:space="0"/>
              <w:left w:val="nil"/>
            </w:tcBorders>
            <w:shd w:val="clear" w:color="auto" w:fill="auto"/>
            <w:vAlign w:val="center"/>
          </w:tcPr>
          <w:p>
            <w:pPr>
              <w:widowControl/>
              <w:jc w:val="center"/>
              <w:rPr>
                <w:b/>
                <w:color w:val="auto"/>
                <w:kern w:val="0"/>
                <w:sz w:val="21"/>
                <w:szCs w:val="21"/>
              </w:rPr>
            </w:pPr>
            <w:r>
              <w:rPr>
                <w:b/>
                <w:color w:val="auto"/>
                <w:kern w:val="0"/>
                <w:sz w:val="21"/>
                <w:szCs w:val="21"/>
              </w:rPr>
              <w:t>环保政策</w:t>
            </w:r>
          </w:p>
        </w:tc>
        <w:tc>
          <w:tcPr>
            <w:tcW w:w="5539" w:type="dxa"/>
            <w:tcBorders>
              <w:top w:val="single" w:color="auto" w:sz="12" w:space="0"/>
            </w:tcBorders>
            <w:shd w:val="clear" w:color="auto" w:fill="auto"/>
            <w:vAlign w:val="center"/>
          </w:tcPr>
          <w:p>
            <w:pPr>
              <w:widowControl/>
              <w:jc w:val="center"/>
              <w:rPr>
                <w:b/>
                <w:color w:val="auto"/>
                <w:kern w:val="0"/>
                <w:sz w:val="21"/>
                <w:szCs w:val="21"/>
              </w:rPr>
            </w:pPr>
            <w:r>
              <w:rPr>
                <w:b/>
                <w:color w:val="auto"/>
                <w:kern w:val="0"/>
                <w:sz w:val="21"/>
                <w:szCs w:val="21"/>
              </w:rPr>
              <w:t>相关要求</w:t>
            </w:r>
          </w:p>
        </w:tc>
        <w:tc>
          <w:tcPr>
            <w:tcW w:w="5326" w:type="dxa"/>
            <w:tcBorders>
              <w:top w:val="single" w:color="auto" w:sz="12" w:space="0"/>
              <w:right w:val="nil"/>
            </w:tcBorders>
            <w:shd w:val="clear" w:color="auto" w:fill="auto"/>
            <w:vAlign w:val="center"/>
          </w:tcPr>
          <w:p>
            <w:pPr>
              <w:widowControl/>
              <w:jc w:val="center"/>
              <w:rPr>
                <w:b/>
                <w:color w:val="auto"/>
                <w:kern w:val="0"/>
                <w:sz w:val="21"/>
                <w:szCs w:val="21"/>
              </w:rPr>
            </w:pPr>
            <w:r>
              <w:rPr>
                <w:b/>
                <w:color w:val="auto"/>
                <w:kern w:val="0"/>
                <w:sz w:val="21"/>
                <w:szCs w:val="21"/>
              </w:rPr>
              <w:t>项目情况</w:t>
            </w:r>
          </w:p>
        </w:tc>
        <w:tc>
          <w:tcPr>
            <w:tcW w:w="643" w:type="dxa"/>
            <w:tcBorders>
              <w:top w:val="single" w:color="auto" w:sz="12" w:space="0"/>
              <w:right w:val="nil"/>
            </w:tcBorders>
            <w:shd w:val="clear" w:color="auto" w:fill="auto"/>
            <w:vAlign w:val="center"/>
          </w:tcPr>
          <w:p>
            <w:pPr>
              <w:widowControl/>
              <w:jc w:val="center"/>
              <w:rPr>
                <w:b/>
                <w:color w:val="auto"/>
                <w:kern w:val="0"/>
                <w:sz w:val="21"/>
                <w:szCs w:val="21"/>
              </w:rPr>
            </w:pPr>
            <w:r>
              <w:rPr>
                <w:b/>
                <w:color w:val="auto"/>
                <w:kern w:val="0"/>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10" w:type="dxa"/>
            <w:vMerge w:val="restart"/>
            <w:tcBorders>
              <w:left w:val="nil"/>
            </w:tcBorders>
            <w:shd w:val="clear" w:color="auto" w:fill="auto"/>
            <w:vAlign w:val="center"/>
          </w:tcPr>
          <w:p>
            <w:pPr>
              <w:widowControl/>
              <w:jc w:val="center"/>
              <w:rPr>
                <w:color w:val="auto"/>
                <w:kern w:val="0"/>
                <w:sz w:val="21"/>
                <w:szCs w:val="21"/>
              </w:rPr>
            </w:pPr>
            <w:r>
              <w:rPr>
                <w:color w:val="auto"/>
                <w:sz w:val="21"/>
                <w:szCs w:val="21"/>
              </w:rPr>
              <w:t>《</w:t>
            </w:r>
            <w:r>
              <w:rPr>
                <w:rFonts w:hint="eastAsia"/>
                <w:color w:val="auto"/>
                <w:sz w:val="21"/>
                <w:szCs w:val="21"/>
              </w:rPr>
              <w:t>建筑垃圾处理技术规范</w:t>
            </w:r>
            <w:r>
              <w:rPr>
                <w:color w:val="auto"/>
                <w:sz w:val="21"/>
                <w:szCs w:val="21"/>
              </w:rPr>
              <w:t>》（</w:t>
            </w:r>
            <w:r>
              <w:rPr>
                <w:rFonts w:hint="eastAsia"/>
                <w:color w:val="auto"/>
                <w:sz w:val="21"/>
                <w:szCs w:val="21"/>
              </w:rPr>
              <w:t>CJJ 134-2009</w:t>
            </w:r>
            <w:r>
              <w:rPr>
                <w:color w:val="auto"/>
                <w:sz w:val="21"/>
                <w:szCs w:val="21"/>
              </w:rPr>
              <w:t>）</w:t>
            </w:r>
            <w:r>
              <w:rPr>
                <w:rFonts w:hint="eastAsia"/>
                <w:color w:val="auto"/>
                <w:kern w:val="0"/>
                <w:sz w:val="21"/>
                <w:szCs w:val="21"/>
              </w:rPr>
              <w:t>规划要求</w:t>
            </w:r>
          </w:p>
        </w:tc>
        <w:tc>
          <w:tcPr>
            <w:tcW w:w="5539" w:type="dxa"/>
            <w:shd w:val="clear" w:color="auto" w:fill="auto"/>
            <w:vAlign w:val="center"/>
          </w:tcPr>
          <w:p>
            <w:pPr>
              <w:widowControl/>
              <w:rPr>
                <w:color w:val="auto"/>
                <w:kern w:val="0"/>
                <w:sz w:val="21"/>
                <w:szCs w:val="21"/>
              </w:rPr>
            </w:pPr>
            <w:r>
              <w:rPr>
                <w:rFonts w:hint="eastAsia"/>
                <w:color w:val="auto"/>
                <w:kern w:val="0"/>
                <w:sz w:val="21"/>
                <w:szCs w:val="21"/>
              </w:rPr>
              <w:t>建筑垃圾填埋场选址严禁设在下列地区：</w:t>
            </w:r>
          </w:p>
          <w:p>
            <w:pPr>
              <w:widowControl/>
              <w:rPr>
                <w:color w:val="auto"/>
                <w:kern w:val="0"/>
                <w:sz w:val="21"/>
                <w:szCs w:val="21"/>
              </w:rPr>
            </w:pPr>
            <w:r>
              <w:rPr>
                <w:color w:val="auto"/>
                <w:kern w:val="0"/>
                <w:sz w:val="21"/>
                <w:szCs w:val="21"/>
              </w:rPr>
              <w:fldChar w:fldCharType="begin"/>
            </w:r>
            <w:r>
              <w:rPr>
                <w:color w:val="auto"/>
                <w:kern w:val="0"/>
                <w:sz w:val="21"/>
                <w:szCs w:val="21"/>
              </w:rPr>
              <w:instrText xml:space="preserve"> </w:instrText>
            </w:r>
            <w:r>
              <w:rPr>
                <w:rFonts w:hint="eastAsia"/>
                <w:color w:val="auto"/>
                <w:kern w:val="0"/>
                <w:sz w:val="21"/>
                <w:szCs w:val="21"/>
              </w:rPr>
              <w:instrText xml:space="preserve">= 1 \* GB3</w:instrText>
            </w:r>
            <w:r>
              <w:rPr>
                <w:color w:val="auto"/>
                <w:kern w:val="0"/>
                <w:sz w:val="21"/>
                <w:szCs w:val="21"/>
              </w:rPr>
              <w:instrText xml:space="preserve"> </w:instrText>
            </w:r>
            <w:r>
              <w:rPr>
                <w:color w:val="auto"/>
                <w:kern w:val="0"/>
                <w:sz w:val="21"/>
                <w:szCs w:val="21"/>
              </w:rPr>
              <w:fldChar w:fldCharType="separate"/>
            </w:r>
            <w:r>
              <w:rPr>
                <w:rFonts w:hint="eastAsia"/>
                <w:color w:val="auto"/>
                <w:kern w:val="0"/>
                <w:sz w:val="21"/>
                <w:szCs w:val="21"/>
              </w:rPr>
              <w:t>①</w:t>
            </w:r>
            <w:r>
              <w:rPr>
                <w:color w:val="auto"/>
                <w:kern w:val="0"/>
                <w:sz w:val="21"/>
                <w:szCs w:val="21"/>
              </w:rPr>
              <w:fldChar w:fldCharType="end"/>
            </w:r>
            <w:r>
              <w:rPr>
                <w:rFonts w:hint="eastAsia"/>
                <w:color w:val="auto"/>
                <w:kern w:val="0"/>
                <w:sz w:val="21"/>
                <w:szCs w:val="21"/>
              </w:rPr>
              <w:t>地下水集中供水水源地及补给区；</w:t>
            </w:r>
          </w:p>
          <w:p>
            <w:pPr>
              <w:widowControl/>
              <w:rPr>
                <w:color w:val="auto"/>
                <w:kern w:val="0"/>
                <w:sz w:val="21"/>
                <w:szCs w:val="21"/>
              </w:rPr>
            </w:pPr>
            <w:r>
              <w:rPr>
                <w:color w:val="auto"/>
                <w:kern w:val="0"/>
                <w:sz w:val="21"/>
                <w:szCs w:val="21"/>
              </w:rPr>
              <w:fldChar w:fldCharType="begin"/>
            </w:r>
            <w:r>
              <w:rPr>
                <w:color w:val="auto"/>
                <w:kern w:val="0"/>
                <w:sz w:val="21"/>
                <w:szCs w:val="21"/>
              </w:rPr>
              <w:instrText xml:space="preserve"> </w:instrText>
            </w:r>
            <w:r>
              <w:rPr>
                <w:rFonts w:hint="eastAsia"/>
                <w:color w:val="auto"/>
                <w:kern w:val="0"/>
                <w:sz w:val="21"/>
                <w:szCs w:val="21"/>
              </w:rPr>
              <w:instrText xml:space="preserve">= 2 \* GB3</w:instrText>
            </w:r>
            <w:r>
              <w:rPr>
                <w:color w:val="auto"/>
                <w:kern w:val="0"/>
                <w:sz w:val="21"/>
                <w:szCs w:val="21"/>
              </w:rPr>
              <w:instrText xml:space="preserve"> </w:instrText>
            </w:r>
            <w:r>
              <w:rPr>
                <w:color w:val="auto"/>
                <w:kern w:val="0"/>
                <w:sz w:val="21"/>
                <w:szCs w:val="21"/>
              </w:rPr>
              <w:fldChar w:fldCharType="separate"/>
            </w:r>
            <w:r>
              <w:rPr>
                <w:rFonts w:hint="eastAsia"/>
                <w:color w:val="auto"/>
                <w:kern w:val="0"/>
                <w:sz w:val="21"/>
                <w:szCs w:val="21"/>
              </w:rPr>
              <w:t>②</w:t>
            </w:r>
            <w:r>
              <w:rPr>
                <w:color w:val="auto"/>
                <w:kern w:val="0"/>
                <w:sz w:val="21"/>
                <w:szCs w:val="21"/>
              </w:rPr>
              <w:fldChar w:fldCharType="end"/>
            </w:r>
            <w:r>
              <w:rPr>
                <w:rFonts w:hint="eastAsia"/>
                <w:color w:val="auto"/>
                <w:kern w:val="0"/>
                <w:sz w:val="21"/>
                <w:szCs w:val="21"/>
              </w:rPr>
              <w:t>洪泛区和泄洪道；</w:t>
            </w:r>
          </w:p>
          <w:p>
            <w:pPr>
              <w:widowControl/>
              <w:rPr>
                <w:color w:val="auto"/>
                <w:kern w:val="0"/>
                <w:sz w:val="21"/>
                <w:szCs w:val="21"/>
              </w:rPr>
            </w:pPr>
            <w:r>
              <w:rPr>
                <w:color w:val="auto"/>
                <w:kern w:val="0"/>
                <w:sz w:val="21"/>
                <w:szCs w:val="21"/>
              </w:rPr>
              <w:fldChar w:fldCharType="begin"/>
            </w:r>
            <w:r>
              <w:rPr>
                <w:color w:val="auto"/>
                <w:kern w:val="0"/>
                <w:sz w:val="21"/>
                <w:szCs w:val="21"/>
              </w:rPr>
              <w:instrText xml:space="preserve"> </w:instrText>
            </w:r>
            <w:r>
              <w:rPr>
                <w:rFonts w:hint="eastAsia"/>
                <w:color w:val="auto"/>
                <w:kern w:val="0"/>
                <w:sz w:val="21"/>
                <w:szCs w:val="21"/>
              </w:rPr>
              <w:instrText xml:space="preserve">= 3 \* GB3</w:instrText>
            </w:r>
            <w:r>
              <w:rPr>
                <w:color w:val="auto"/>
                <w:kern w:val="0"/>
                <w:sz w:val="21"/>
                <w:szCs w:val="21"/>
              </w:rPr>
              <w:instrText xml:space="preserve"> </w:instrText>
            </w:r>
            <w:r>
              <w:rPr>
                <w:color w:val="auto"/>
                <w:kern w:val="0"/>
                <w:sz w:val="21"/>
                <w:szCs w:val="21"/>
              </w:rPr>
              <w:fldChar w:fldCharType="separate"/>
            </w:r>
            <w:r>
              <w:rPr>
                <w:rFonts w:hint="eastAsia"/>
                <w:color w:val="auto"/>
                <w:kern w:val="0"/>
                <w:sz w:val="21"/>
                <w:szCs w:val="21"/>
              </w:rPr>
              <w:t>③</w:t>
            </w:r>
            <w:r>
              <w:rPr>
                <w:color w:val="auto"/>
                <w:kern w:val="0"/>
                <w:sz w:val="21"/>
                <w:szCs w:val="21"/>
              </w:rPr>
              <w:fldChar w:fldCharType="end"/>
            </w:r>
            <w:r>
              <w:rPr>
                <w:rFonts w:hint="eastAsia"/>
                <w:color w:val="auto"/>
                <w:kern w:val="0"/>
                <w:sz w:val="21"/>
                <w:szCs w:val="21"/>
              </w:rPr>
              <w:t>活动的坍塌地带，尚未开采的地下蕴矿区、灰岩坑及岩洞区。</w:t>
            </w:r>
          </w:p>
        </w:tc>
        <w:tc>
          <w:tcPr>
            <w:tcW w:w="5326" w:type="dxa"/>
            <w:tcBorders>
              <w:right w:val="nil"/>
            </w:tcBorders>
            <w:shd w:val="clear" w:color="auto" w:fill="auto"/>
            <w:vAlign w:val="center"/>
          </w:tcPr>
          <w:p>
            <w:pPr>
              <w:widowControl/>
              <w:rPr>
                <w:color w:val="auto"/>
                <w:kern w:val="0"/>
                <w:sz w:val="21"/>
                <w:szCs w:val="21"/>
              </w:rPr>
            </w:pPr>
            <w:r>
              <w:rPr>
                <w:color w:val="auto"/>
                <w:kern w:val="0"/>
                <w:sz w:val="21"/>
                <w:szCs w:val="21"/>
              </w:rPr>
              <w:t>本项目选址均不在以上敏感区域内</w:t>
            </w:r>
            <w:r>
              <w:rPr>
                <w:rFonts w:hint="eastAsia"/>
                <w:color w:val="auto"/>
                <w:kern w:val="0"/>
                <w:sz w:val="21"/>
                <w:szCs w:val="21"/>
              </w:rPr>
              <w:t>。</w:t>
            </w:r>
          </w:p>
        </w:tc>
        <w:tc>
          <w:tcPr>
            <w:tcW w:w="643" w:type="dxa"/>
            <w:tcBorders>
              <w:right w:val="nil"/>
            </w:tcBorders>
            <w:shd w:val="clear" w:color="auto" w:fill="auto"/>
            <w:vAlign w:val="center"/>
          </w:tcPr>
          <w:p>
            <w:pPr>
              <w:widowControl/>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10" w:type="dxa"/>
            <w:vMerge w:val="continue"/>
            <w:tcBorders>
              <w:left w:val="nil"/>
            </w:tcBorders>
            <w:shd w:val="clear" w:color="auto" w:fill="auto"/>
            <w:vAlign w:val="center"/>
          </w:tcPr>
          <w:p>
            <w:pPr>
              <w:widowControl/>
              <w:jc w:val="center"/>
              <w:rPr>
                <w:color w:val="auto"/>
                <w:kern w:val="0"/>
                <w:sz w:val="21"/>
                <w:szCs w:val="21"/>
              </w:rPr>
            </w:pPr>
          </w:p>
        </w:tc>
        <w:tc>
          <w:tcPr>
            <w:tcW w:w="5539" w:type="dxa"/>
            <w:shd w:val="clear" w:color="auto" w:fill="auto"/>
            <w:vAlign w:val="center"/>
          </w:tcPr>
          <w:p>
            <w:pPr>
              <w:widowControl/>
              <w:rPr>
                <w:color w:val="auto"/>
                <w:kern w:val="0"/>
                <w:sz w:val="21"/>
                <w:szCs w:val="21"/>
              </w:rPr>
            </w:pPr>
            <w:r>
              <w:rPr>
                <w:rFonts w:hint="eastAsia"/>
                <w:color w:val="auto"/>
                <w:kern w:val="0"/>
                <w:sz w:val="21"/>
                <w:szCs w:val="21"/>
              </w:rPr>
              <w:t>建筑垃圾填埋场选址不应设在下列地区：</w:t>
            </w:r>
          </w:p>
          <w:p>
            <w:pPr>
              <w:widowControl/>
              <w:rPr>
                <w:color w:val="auto"/>
                <w:kern w:val="0"/>
                <w:sz w:val="21"/>
                <w:szCs w:val="21"/>
              </w:rPr>
            </w:pPr>
            <w:r>
              <w:rPr>
                <w:color w:val="auto"/>
                <w:kern w:val="0"/>
                <w:sz w:val="21"/>
                <w:szCs w:val="21"/>
              </w:rPr>
              <w:fldChar w:fldCharType="begin"/>
            </w:r>
            <w:r>
              <w:rPr>
                <w:color w:val="auto"/>
                <w:kern w:val="0"/>
                <w:sz w:val="21"/>
                <w:szCs w:val="21"/>
              </w:rPr>
              <w:instrText xml:space="preserve"> </w:instrText>
            </w:r>
            <w:r>
              <w:rPr>
                <w:rFonts w:hint="eastAsia"/>
                <w:color w:val="auto"/>
                <w:kern w:val="0"/>
                <w:sz w:val="21"/>
                <w:szCs w:val="21"/>
              </w:rPr>
              <w:instrText xml:space="preserve">= 1 \* GB3</w:instrText>
            </w:r>
            <w:r>
              <w:rPr>
                <w:color w:val="auto"/>
                <w:kern w:val="0"/>
                <w:sz w:val="21"/>
                <w:szCs w:val="21"/>
              </w:rPr>
              <w:instrText xml:space="preserve"> </w:instrText>
            </w:r>
            <w:r>
              <w:rPr>
                <w:color w:val="auto"/>
                <w:kern w:val="0"/>
                <w:sz w:val="21"/>
                <w:szCs w:val="21"/>
              </w:rPr>
              <w:fldChar w:fldCharType="separate"/>
            </w:r>
            <w:r>
              <w:rPr>
                <w:rFonts w:hint="eastAsia"/>
                <w:color w:val="auto"/>
                <w:kern w:val="0"/>
                <w:sz w:val="21"/>
                <w:szCs w:val="21"/>
              </w:rPr>
              <w:t>①</w:t>
            </w:r>
            <w:r>
              <w:rPr>
                <w:color w:val="auto"/>
                <w:kern w:val="0"/>
                <w:sz w:val="21"/>
                <w:szCs w:val="21"/>
              </w:rPr>
              <w:fldChar w:fldCharType="end"/>
            </w:r>
            <w:r>
              <w:rPr>
                <w:rFonts w:hint="eastAsia"/>
                <w:color w:val="auto"/>
                <w:kern w:val="0"/>
                <w:sz w:val="21"/>
                <w:szCs w:val="21"/>
              </w:rPr>
              <w:t>珍贵动植物保护区和国家、地方自然保护区；</w:t>
            </w:r>
          </w:p>
          <w:p>
            <w:pPr>
              <w:widowControl/>
              <w:rPr>
                <w:color w:val="auto"/>
                <w:kern w:val="0"/>
                <w:sz w:val="21"/>
                <w:szCs w:val="21"/>
              </w:rPr>
            </w:pPr>
            <w:r>
              <w:rPr>
                <w:color w:val="auto"/>
                <w:kern w:val="0"/>
                <w:sz w:val="21"/>
                <w:szCs w:val="21"/>
              </w:rPr>
              <w:fldChar w:fldCharType="begin"/>
            </w:r>
            <w:r>
              <w:rPr>
                <w:color w:val="auto"/>
                <w:kern w:val="0"/>
                <w:sz w:val="21"/>
                <w:szCs w:val="21"/>
              </w:rPr>
              <w:instrText xml:space="preserve"> </w:instrText>
            </w:r>
            <w:r>
              <w:rPr>
                <w:rFonts w:hint="eastAsia"/>
                <w:color w:val="auto"/>
                <w:kern w:val="0"/>
                <w:sz w:val="21"/>
                <w:szCs w:val="21"/>
              </w:rPr>
              <w:instrText xml:space="preserve">= 2 \* GB3</w:instrText>
            </w:r>
            <w:r>
              <w:rPr>
                <w:color w:val="auto"/>
                <w:kern w:val="0"/>
                <w:sz w:val="21"/>
                <w:szCs w:val="21"/>
              </w:rPr>
              <w:instrText xml:space="preserve"> </w:instrText>
            </w:r>
            <w:r>
              <w:rPr>
                <w:color w:val="auto"/>
                <w:kern w:val="0"/>
                <w:sz w:val="21"/>
                <w:szCs w:val="21"/>
              </w:rPr>
              <w:fldChar w:fldCharType="separate"/>
            </w:r>
            <w:r>
              <w:rPr>
                <w:rFonts w:hint="eastAsia"/>
                <w:color w:val="auto"/>
                <w:kern w:val="0"/>
                <w:sz w:val="21"/>
                <w:szCs w:val="21"/>
              </w:rPr>
              <w:t>②</w:t>
            </w:r>
            <w:r>
              <w:rPr>
                <w:color w:val="auto"/>
                <w:kern w:val="0"/>
                <w:sz w:val="21"/>
                <w:szCs w:val="21"/>
              </w:rPr>
              <w:fldChar w:fldCharType="end"/>
            </w:r>
            <w:r>
              <w:rPr>
                <w:rFonts w:hint="eastAsia"/>
                <w:color w:val="auto"/>
                <w:kern w:val="0"/>
                <w:sz w:val="21"/>
                <w:szCs w:val="21"/>
              </w:rPr>
              <w:t>文物古迹区、考古学、历史学、生物学、研究考察区；</w:t>
            </w:r>
          </w:p>
          <w:p>
            <w:pPr>
              <w:widowControl/>
              <w:rPr>
                <w:color w:val="auto"/>
                <w:kern w:val="0"/>
                <w:sz w:val="21"/>
                <w:szCs w:val="21"/>
              </w:rPr>
            </w:pPr>
            <w:r>
              <w:rPr>
                <w:color w:val="auto"/>
                <w:kern w:val="0"/>
                <w:sz w:val="21"/>
                <w:szCs w:val="21"/>
              </w:rPr>
              <w:fldChar w:fldCharType="begin"/>
            </w:r>
            <w:r>
              <w:rPr>
                <w:color w:val="auto"/>
                <w:kern w:val="0"/>
                <w:sz w:val="21"/>
                <w:szCs w:val="21"/>
              </w:rPr>
              <w:instrText xml:space="preserve"> </w:instrText>
            </w:r>
            <w:r>
              <w:rPr>
                <w:rFonts w:hint="eastAsia"/>
                <w:color w:val="auto"/>
                <w:kern w:val="0"/>
                <w:sz w:val="21"/>
                <w:szCs w:val="21"/>
              </w:rPr>
              <w:instrText xml:space="preserve">= 3 \* GB3</w:instrText>
            </w:r>
            <w:r>
              <w:rPr>
                <w:color w:val="auto"/>
                <w:kern w:val="0"/>
                <w:sz w:val="21"/>
                <w:szCs w:val="21"/>
              </w:rPr>
              <w:instrText xml:space="preserve"> </w:instrText>
            </w:r>
            <w:r>
              <w:rPr>
                <w:color w:val="auto"/>
                <w:kern w:val="0"/>
                <w:sz w:val="21"/>
                <w:szCs w:val="21"/>
              </w:rPr>
              <w:fldChar w:fldCharType="separate"/>
            </w:r>
            <w:r>
              <w:rPr>
                <w:rFonts w:hint="eastAsia"/>
                <w:color w:val="auto"/>
                <w:kern w:val="0"/>
                <w:sz w:val="21"/>
                <w:szCs w:val="21"/>
              </w:rPr>
              <w:t>③</w:t>
            </w:r>
            <w:r>
              <w:rPr>
                <w:color w:val="auto"/>
                <w:kern w:val="0"/>
                <w:sz w:val="21"/>
                <w:szCs w:val="21"/>
              </w:rPr>
              <w:fldChar w:fldCharType="end"/>
            </w:r>
            <w:r>
              <w:rPr>
                <w:rFonts w:hint="eastAsia"/>
                <w:color w:val="auto"/>
                <w:kern w:val="0"/>
                <w:sz w:val="21"/>
                <w:szCs w:val="21"/>
              </w:rPr>
              <w:t>军事要地、基地、军工基地和国家保密地区。</w:t>
            </w:r>
          </w:p>
        </w:tc>
        <w:tc>
          <w:tcPr>
            <w:tcW w:w="5326" w:type="dxa"/>
            <w:tcBorders>
              <w:right w:val="nil"/>
            </w:tcBorders>
            <w:shd w:val="clear" w:color="auto" w:fill="auto"/>
            <w:vAlign w:val="center"/>
          </w:tcPr>
          <w:p>
            <w:pPr>
              <w:widowControl/>
              <w:jc w:val="both"/>
              <w:rPr>
                <w:color w:val="auto"/>
                <w:kern w:val="0"/>
                <w:sz w:val="21"/>
                <w:szCs w:val="21"/>
              </w:rPr>
            </w:pPr>
            <w:r>
              <w:rPr>
                <w:color w:val="auto"/>
                <w:kern w:val="0"/>
                <w:sz w:val="21"/>
                <w:szCs w:val="21"/>
              </w:rPr>
              <w:t>本项目选址均不在以上敏感区域内</w:t>
            </w:r>
            <w:r>
              <w:rPr>
                <w:rFonts w:hint="eastAsia"/>
                <w:color w:val="auto"/>
                <w:kern w:val="0"/>
                <w:sz w:val="21"/>
                <w:szCs w:val="21"/>
              </w:rPr>
              <w:t>。</w:t>
            </w:r>
            <w:r>
              <w:rPr>
                <w:color w:val="auto"/>
                <w:kern w:val="0"/>
                <w:sz w:val="21"/>
                <w:szCs w:val="21"/>
              </w:rPr>
              <w:t>。</w:t>
            </w:r>
          </w:p>
        </w:tc>
        <w:tc>
          <w:tcPr>
            <w:tcW w:w="643" w:type="dxa"/>
            <w:tcBorders>
              <w:right w:val="nil"/>
            </w:tcBorders>
            <w:shd w:val="clear" w:color="auto" w:fill="auto"/>
            <w:vAlign w:val="center"/>
          </w:tcPr>
          <w:p>
            <w:pPr>
              <w:widowControl/>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10" w:type="dxa"/>
            <w:vMerge w:val="restart"/>
            <w:tcBorders>
              <w:left w:val="nil"/>
            </w:tcBorders>
            <w:shd w:val="clear" w:color="auto" w:fill="auto"/>
            <w:vAlign w:val="center"/>
          </w:tcPr>
          <w:p>
            <w:pPr>
              <w:widowControl/>
              <w:jc w:val="center"/>
              <w:rPr>
                <w:color w:val="auto"/>
                <w:kern w:val="0"/>
                <w:sz w:val="21"/>
                <w:szCs w:val="21"/>
              </w:rPr>
            </w:pPr>
            <w:r>
              <w:rPr>
                <w:rFonts w:hint="eastAsia"/>
                <w:color w:val="auto"/>
                <w:kern w:val="0"/>
                <w:sz w:val="21"/>
                <w:szCs w:val="21"/>
              </w:rPr>
              <w:t>《一般工业固体废物贮存、处置场污染控制标准》 (GB 18599-2001)中I类工业固体废物及其修改单要求</w:t>
            </w:r>
          </w:p>
        </w:tc>
        <w:tc>
          <w:tcPr>
            <w:tcW w:w="5539" w:type="dxa"/>
            <w:shd w:val="clear" w:color="auto" w:fill="auto"/>
            <w:vAlign w:val="center"/>
          </w:tcPr>
          <w:p>
            <w:pPr>
              <w:widowControl/>
              <w:rPr>
                <w:color w:val="auto"/>
                <w:kern w:val="0"/>
                <w:sz w:val="21"/>
                <w:szCs w:val="21"/>
              </w:rPr>
            </w:pPr>
            <w:r>
              <w:rPr>
                <w:rFonts w:hint="eastAsia"/>
                <w:color w:val="auto"/>
                <w:kern w:val="0"/>
                <w:sz w:val="21"/>
                <w:szCs w:val="21"/>
              </w:rPr>
              <w:t>应依据环境影响评价结论确定场址的位置及其与周围人群的距离</w:t>
            </w:r>
          </w:p>
        </w:tc>
        <w:tc>
          <w:tcPr>
            <w:tcW w:w="5326" w:type="dxa"/>
            <w:tcBorders>
              <w:right w:val="nil"/>
            </w:tcBorders>
            <w:shd w:val="clear" w:color="auto" w:fill="auto"/>
            <w:vAlign w:val="center"/>
          </w:tcPr>
          <w:p>
            <w:pPr>
              <w:widowControl/>
              <w:rPr>
                <w:color w:val="auto"/>
                <w:kern w:val="0"/>
                <w:sz w:val="21"/>
                <w:szCs w:val="21"/>
              </w:rPr>
            </w:pPr>
            <w:r>
              <w:rPr>
                <w:rFonts w:hint="eastAsia"/>
                <w:color w:val="auto"/>
                <w:kern w:val="0"/>
                <w:sz w:val="21"/>
                <w:szCs w:val="21"/>
              </w:rPr>
              <w:t>本项目位于兴宁市新陂镇茅塘村兴宁市静脉产业园内，根据工程分析以及环境影响分析，本项目不需设置大气环境防护距离，项目的餐厨处理车间需设置100m的卫生防护距离，同时建筑垃圾消纳场需设置50m的卫生防护距离，项目卫生环境防护距离没有长期居住的人群</w:t>
            </w:r>
          </w:p>
        </w:tc>
        <w:tc>
          <w:tcPr>
            <w:tcW w:w="643" w:type="dxa"/>
            <w:tcBorders>
              <w:right w:val="nil"/>
            </w:tcBorders>
            <w:shd w:val="clear" w:color="auto" w:fill="auto"/>
            <w:vAlign w:val="center"/>
          </w:tcPr>
          <w:p>
            <w:pPr>
              <w:widowControl/>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10" w:type="dxa"/>
            <w:vMerge w:val="continue"/>
            <w:tcBorders>
              <w:left w:val="nil"/>
            </w:tcBorders>
            <w:shd w:val="clear" w:color="auto" w:fill="auto"/>
            <w:vAlign w:val="center"/>
          </w:tcPr>
          <w:p>
            <w:pPr>
              <w:widowControl/>
              <w:jc w:val="center"/>
              <w:rPr>
                <w:color w:val="auto"/>
                <w:kern w:val="0"/>
                <w:sz w:val="21"/>
                <w:szCs w:val="21"/>
              </w:rPr>
            </w:pPr>
          </w:p>
        </w:tc>
        <w:tc>
          <w:tcPr>
            <w:tcW w:w="5539" w:type="dxa"/>
            <w:shd w:val="clear" w:color="auto" w:fill="auto"/>
            <w:vAlign w:val="center"/>
          </w:tcPr>
          <w:p>
            <w:pPr>
              <w:widowControl/>
              <w:rPr>
                <w:color w:val="auto"/>
                <w:kern w:val="0"/>
                <w:sz w:val="21"/>
                <w:szCs w:val="21"/>
              </w:rPr>
            </w:pPr>
            <w:r>
              <w:rPr>
                <w:rFonts w:hint="eastAsia"/>
                <w:color w:val="auto"/>
                <w:kern w:val="0"/>
                <w:sz w:val="21"/>
                <w:szCs w:val="21"/>
              </w:rPr>
              <w:t>选址应处于满足承载力要求的地基上，以避免地基下沉的影响，特别是不均匀或局部下沉的影响</w:t>
            </w:r>
          </w:p>
        </w:tc>
        <w:tc>
          <w:tcPr>
            <w:tcW w:w="5326" w:type="dxa"/>
            <w:tcBorders>
              <w:right w:val="nil"/>
            </w:tcBorders>
            <w:shd w:val="clear" w:color="auto" w:fill="auto"/>
            <w:vAlign w:val="center"/>
          </w:tcPr>
          <w:p>
            <w:pPr>
              <w:widowControl/>
              <w:rPr>
                <w:color w:val="auto"/>
                <w:kern w:val="0"/>
                <w:sz w:val="21"/>
                <w:szCs w:val="21"/>
              </w:rPr>
            </w:pPr>
            <w:r>
              <w:rPr>
                <w:rFonts w:hint="eastAsia"/>
                <w:color w:val="auto"/>
                <w:kern w:val="0"/>
                <w:sz w:val="21"/>
                <w:szCs w:val="21"/>
              </w:rPr>
              <w:t>根据建设单位提供资料，项目地基稳定，天然基础层满足承载力要求。</w:t>
            </w:r>
          </w:p>
        </w:tc>
        <w:tc>
          <w:tcPr>
            <w:tcW w:w="643" w:type="dxa"/>
            <w:tcBorders>
              <w:right w:val="nil"/>
            </w:tcBorders>
            <w:shd w:val="clear" w:color="auto" w:fill="auto"/>
            <w:vAlign w:val="center"/>
          </w:tcPr>
          <w:p>
            <w:pPr>
              <w:widowControl/>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10" w:type="dxa"/>
            <w:vMerge w:val="continue"/>
            <w:tcBorders>
              <w:left w:val="nil"/>
            </w:tcBorders>
            <w:shd w:val="clear" w:color="auto" w:fill="auto"/>
            <w:vAlign w:val="center"/>
          </w:tcPr>
          <w:p>
            <w:pPr>
              <w:widowControl/>
              <w:jc w:val="center"/>
              <w:rPr>
                <w:color w:val="auto"/>
                <w:kern w:val="0"/>
                <w:sz w:val="21"/>
                <w:szCs w:val="21"/>
              </w:rPr>
            </w:pPr>
          </w:p>
        </w:tc>
        <w:tc>
          <w:tcPr>
            <w:tcW w:w="5539" w:type="dxa"/>
            <w:shd w:val="clear" w:color="auto" w:fill="auto"/>
            <w:vAlign w:val="center"/>
          </w:tcPr>
          <w:p>
            <w:pPr>
              <w:widowControl/>
              <w:rPr>
                <w:color w:val="auto"/>
                <w:kern w:val="0"/>
                <w:sz w:val="21"/>
                <w:szCs w:val="21"/>
              </w:rPr>
            </w:pPr>
            <w:r>
              <w:rPr>
                <w:rFonts w:hint="eastAsia"/>
                <w:color w:val="auto"/>
                <w:kern w:val="0"/>
                <w:sz w:val="21"/>
                <w:szCs w:val="21"/>
              </w:rPr>
              <w:t>应避开断层、断层破碎层、溶洞区，以及天然滑坡或泥石流影响区。</w:t>
            </w:r>
          </w:p>
        </w:tc>
        <w:tc>
          <w:tcPr>
            <w:tcW w:w="5326" w:type="dxa"/>
            <w:tcBorders>
              <w:right w:val="nil"/>
            </w:tcBorders>
            <w:shd w:val="clear" w:color="auto" w:fill="auto"/>
            <w:vAlign w:val="center"/>
          </w:tcPr>
          <w:p>
            <w:pPr>
              <w:widowControl/>
              <w:rPr>
                <w:color w:val="auto"/>
                <w:kern w:val="0"/>
                <w:sz w:val="21"/>
                <w:szCs w:val="21"/>
              </w:rPr>
            </w:pPr>
            <w:r>
              <w:rPr>
                <w:rFonts w:hint="eastAsia"/>
                <w:color w:val="auto"/>
                <w:kern w:val="0"/>
                <w:sz w:val="21"/>
                <w:szCs w:val="21"/>
              </w:rPr>
              <w:t>根据建设单位提供资料，项目区场址处未发现断层、断层破碎层、溶洞区，以及天然滑坡或泥石流影响区</w:t>
            </w:r>
          </w:p>
        </w:tc>
        <w:tc>
          <w:tcPr>
            <w:tcW w:w="643" w:type="dxa"/>
            <w:tcBorders>
              <w:right w:val="nil"/>
            </w:tcBorders>
            <w:shd w:val="clear" w:color="auto" w:fill="auto"/>
            <w:vAlign w:val="center"/>
          </w:tcPr>
          <w:p>
            <w:pPr>
              <w:widowControl/>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10" w:type="dxa"/>
            <w:vMerge w:val="continue"/>
            <w:tcBorders>
              <w:left w:val="nil"/>
            </w:tcBorders>
            <w:shd w:val="clear" w:color="auto" w:fill="auto"/>
            <w:vAlign w:val="center"/>
          </w:tcPr>
          <w:p>
            <w:pPr>
              <w:widowControl/>
              <w:jc w:val="center"/>
              <w:rPr>
                <w:color w:val="auto"/>
                <w:kern w:val="0"/>
                <w:sz w:val="21"/>
                <w:szCs w:val="21"/>
              </w:rPr>
            </w:pPr>
          </w:p>
        </w:tc>
        <w:tc>
          <w:tcPr>
            <w:tcW w:w="5539" w:type="dxa"/>
            <w:shd w:val="clear" w:color="auto" w:fill="auto"/>
            <w:vAlign w:val="center"/>
          </w:tcPr>
          <w:p>
            <w:pPr>
              <w:widowControl/>
              <w:rPr>
                <w:color w:val="auto"/>
                <w:kern w:val="0"/>
                <w:sz w:val="21"/>
                <w:szCs w:val="21"/>
              </w:rPr>
            </w:pPr>
            <w:r>
              <w:rPr>
                <w:rFonts w:hint="eastAsia"/>
                <w:color w:val="auto"/>
                <w:kern w:val="0"/>
                <w:sz w:val="21"/>
                <w:szCs w:val="21"/>
              </w:rPr>
              <w:t>禁止选在江河、湖泊、水库最高水位线以下的滩地和洪泛区。</w:t>
            </w:r>
          </w:p>
          <w:p>
            <w:pPr>
              <w:widowControl/>
              <w:rPr>
                <w:color w:val="auto"/>
                <w:kern w:val="0"/>
                <w:sz w:val="21"/>
                <w:szCs w:val="21"/>
              </w:rPr>
            </w:pPr>
          </w:p>
        </w:tc>
        <w:tc>
          <w:tcPr>
            <w:tcW w:w="5326" w:type="dxa"/>
            <w:tcBorders>
              <w:right w:val="nil"/>
            </w:tcBorders>
            <w:shd w:val="clear" w:color="auto" w:fill="auto"/>
            <w:vAlign w:val="center"/>
          </w:tcPr>
          <w:p>
            <w:pPr>
              <w:widowControl/>
              <w:jc w:val="center"/>
              <w:rPr>
                <w:color w:val="auto"/>
                <w:kern w:val="0"/>
                <w:sz w:val="21"/>
                <w:szCs w:val="21"/>
              </w:rPr>
            </w:pPr>
            <w:r>
              <w:rPr>
                <w:rFonts w:hint="eastAsia"/>
                <w:color w:val="auto"/>
                <w:kern w:val="0"/>
                <w:sz w:val="21"/>
                <w:szCs w:val="21"/>
              </w:rPr>
              <w:t>场址不属于江河、湖泊、水库最高水位线以下的滩地和洪泛区</w:t>
            </w:r>
          </w:p>
        </w:tc>
        <w:tc>
          <w:tcPr>
            <w:tcW w:w="643" w:type="dxa"/>
            <w:tcBorders>
              <w:right w:val="nil"/>
            </w:tcBorders>
            <w:shd w:val="clear" w:color="auto" w:fill="auto"/>
            <w:vAlign w:val="center"/>
          </w:tcPr>
          <w:p>
            <w:pPr>
              <w:widowControl/>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10" w:type="dxa"/>
            <w:vMerge w:val="continue"/>
            <w:tcBorders>
              <w:left w:val="nil"/>
            </w:tcBorders>
            <w:shd w:val="clear" w:color="auto" w:fill="auto"/>
            <w:vAlign w:val="center"/>
          </w:tcPr>
          <w:p>
            <w:pPr>
              <w:widowControl/>
              <w:jc w:val="center"/>
              <w:rPr>
                <w:color w:val="auto"/>
                <w:kern w:val="0"/>
                <w:sz w:val="21"/>
                <w:szCs w:val="21"/>
              </w:rPr>
            </w:pPr>
          </w:p>
        </w:tc>
        <w:tc>
          <w:tcPr>
            <w:tcW w:w="5539" w:type="dxa"/>
            <w:shd w:val="clear" w:color="auto" w:fill="auto"/>
            <w:vAlign w:val="center"/>
          </w:tcPr>
          <w:p>
            <w:pPr>
              <w:widowControl/>
              <w:rPr>
                <w:color w:val="auto"/>
                <w:kern w:val="0"/>
                <w:sz w:val="21"/>
                <w:szCs w:val="21"/>
              </w:rPr>
            </w:pPr>
            <w:r>
              <w:rPr>
                <w:rFonts w:hint="eastAsia"/>
                <w:color w:val="auto"/>
                <w:kern w:val="0"/>
                <w:sz w:val="21"/>
                <w:szCs w:val="21"/>
              </w:rPr>
              <w:t>禁止选在自然保护区、风景名胜区和其他需要特别保护的区域</w:t>
            </w:r>
          </w:p>
        </w:tc>
        <w:tc>
          <w:tcPr>
            <w:tcW w:w="5326" w:type="dxa"/>
            <w:tcBorders>
              <w:right w:val="nil"/>
            </w:tcBorders>
            <w:shd w:val="clear" w:color="auto" w:fill="auto"/>
            <w:vAlign w:val="center"/>
          </w:tcPr>
          <w:p>
            <w:pPr>
              <w:widowControl/>
              <w:jc w:val="center"/>
              <w:rPr>
                <w:color w:val="auto"/>
                <w:kern w:val="0"/>
                <w:sz w:val="21"/>
                <w:szCs w:val="21"/>
              </w:rPr>
            </w:pPr>
            <w:r>
              <w:rPr>
                <w:rFonts w:hint="eastAsia"/>
                <w:color w:val="auto"/>
                <w:kern w:val="0"/>
                <w:sz w:val="21"/>
                <w:szCs w:val="21"/>
              </w:rPr>
              <w:t>场址不在自然保护区、风景名胜区和其他需要特别保护的区域</w:t>
            </w:r>
          </w:p>
        </w:tc>
        <w:tc>
          <w:tcPr>
            <w:tcW w:w="643" w:type="dxa"/>
            <w:tcBorders>
              <w:right w:val="nil"/>
            </w:tcBorders>
            <w:shd w:val="clear" w:color="auto" w:fill="auto"/>
            <w:vAlign w:val="center"/>
          </w:tcPr>
          <w:p>
            <w:pPr>
              <w:widowControl/>
              <w:jc w:val="center"/>
              <w:rPr>
                <w:color w:val="auto"/>
                <w:kern w:val="0"/>
                <w:sz w:val="21"/>
                <w:szCs w:val="21"/>
              </w:rPr>
            </w:pPr>
          </w:p>
        </w:tc>
      </w:tr>
    </w:tbl>
    <w:p>
      <w:pPr>
        <w:spacing w:line="360" w:lineRule="auto"/>
        <w:ind w:firstLine="480"/>
        <w:rPr>
          <w:color w:val="auto"/>
        </w:rPr>
        <w:sectPr>
          <w:pgSz w:w="16838" w:h="11906" w:orient="landscape"/>
          <w:pgMar w:top="1418" w:right="1418" w:bottom="1418" w:left="1418" w:header="851" w:footer="992" w:gutter="0"/>
          <w:pgNumType w:fmt="decimal"/>
          <w:cols w:space="425" w:num="1"/>
          <w:docGrid w:type="linesAndChars" w:linePitch="326" w:charSpace="0"/>
        </w:sectPr>
      </w:pPr>
    </w:p>
    <w:p>
      <w:pPr>
        <w:spacing w:line="360" w:lineRule="auto"/>
        <w:rPr>
          <w:b/>
          <w:bCs/>
          <w:color w:val="auto"/>
        </w:rPr>
      </w:pPr>
      <w:bookmarkStart w:id="39" w:name="_Toc24136687"/>
      <w:bookmarkStart w:id="40" w:name="_Toc15912076"/>
      <w:bookmarkStart w:id="41" w:name="_Toc14946784"/>
      <w:r>
        <w:rPr>
          <w:b/>
          <w:bCs/>
          <w:color w:val="auto"/>
        </w:rPr>
        <w:t>1.3.3.2</w:t>
      </w:r>
      <w:r>
        <w:rPr>
          <w:rFonts w:hint="eastAsia"/>
          <w:b/>
          <w:bCs/>
          <w:color w:val="auto"/>
        </w:rPr>
        <w:t>与《关于以改善环境质量为核心加强环境影响评价管理的通知》（环境保护</w:t>
      </w:r>
    </w:p>
    <w:p>
      <w:pPr>
        <w:spacing w:line="360" w:lineRule="auto"/>
        <w:rPr>
          <w:b/>
          <w:bCs/>
          <w:color w:val="auto"/>
        </w:rPr>
      </w:pPr>
      <w:r>
        <w:rPr>
          <w:rFonts w:hint="eastAsia"/>
          <w:b/>
          <w:bCs/>
          <w:color w:val="auto"/>
        </w:rPr>
        <w:t>部文件 环评[2016]150 号）的相符性分析</w:t>
      </w:r>
    </w:p>
    <w:p>
      <w:pPr>
        <w:pStyle w:val="326"/>
        <w:ind w:firstLine="480"/>
        <w:rPr>
          <w:rFonts w:ascii="Times New Roman" w:hAnsi="Times New Roman"/>
          <w:color w:val="auto"/>
          <w:sz w:val="24"/>
          <w:szCs w:val="24"/>
          <w:lang w:eastAsia="zh-CN"/>
        </w:rPr>
      </w:pPr>
      <w:r>
        <w:rPr>
          <w:rFonts w:ascii="Times New Roman" w:hAnsi="Times New Roman"/>
          <w:color w:val="auto"/>
          <w:sz w:val="24"/>
          <w:szCs w:val="24"/>
        </w:rPr>
        <w:t>2016 年环境保护部发布了《关于以改善环境质量为核心加强环境影响评价管理的通知》（环境保护部文件环环评[2016]150 号），文件中主要要求切实加强环境影响评价管理，落实“ 三线一单”约束和“ 三挂钩”机制。根据该文件要求，本项目能符合该文件的相关要求，本项目建设与该文件的相符性分析如下</w:t>
      </w:r>
      <w:r>
        <w:rPr>
          <w:rFonts w:ascii="Times New Roman" w:hAnsi="Times New Roman"/>
          <w:color w:val="auto"/>
          <w:sz w:val="24"/>
          <w:szCs w:val="24"/>
          <w:lang w:eastAsia="zh-CN"/>
        </w:rPr>
        <w:t>：</w:t>
      </w:r>
    </w:p>
    <w:p>
      <w:pPr>
        <w:pStyle w:val="326"/>
        <w:ind w:firstLine="482"/>
        <w:rPr>
          <w:rFonts w:ascii="Times New Roman" w:hAnsi="Times New Roman"/>
          <w:b/>
          <w:color w:val="auto"/>
          <w:sz w:val="24"/>
          <w:szCs w:val="24"/>
          <w:lang w:eastAsia="zh-CN"/>
        </w:rPr>
      </w:pPr>
      <w:r>
        <w:rPr>
          <w:rFonts w:ascii="Times New Roman" w:hAnsi="Times New Roman"/>
          <w:b/>
          <w:color w:val="auto"/>
          <w:sz w:val="24"/>
          <w:szCs w:val="24"/>
          <w:lang w:eastAsia="zh-CN"/>
        </w:rPr>
        <w:t>表 1.3-3   本项目建设与环境保护部文件</w:t>
      </w:r>
      <w:r>
        <w:rPr>
          <w:rFonts w:hint="eastAsia" w:ascii="Times New Roman" w:hAnsi="Times New Roman"/>
          <w:b/>
          <w:color w:val="auto"/>
          <w:sz w:val="24"/>
          <w:szCs w:val="24"/>
          <w:lang w:eastAsia="zh-CN"/>
        </w:rPr>
        <w:t>环</w:t>
      </w:r>
      <w:r>
        <w:rPr>
          <w:rFonts w:ascii="Times New Roman" w:hAnsi="Times New Roman"/>
          <w:b/>
          <w:color w:val="auto"/>
          <w:sz w:val="24"/>
          <w:szCs w:val="24"/>
          <w:lang w:eastAsia="zh-CN"/>
        </w:rPr>
        <w:t>环评[2016]150 号文件相符性分析</w:t>
      </w:r>
    </w:p>
    <w:tbl>
      <w:tblPr>
        <w:tblStyle w:val="54"/>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9"/>
        <w:gridCol w:w="5231"/>
        <w:gridCol w:w="30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59" w:type="dxa"/>
          </w:tcPr>
          <w:p>
            <w:pPr>
              <w:pStyle w:val="326"/>
              <w:ind w:firstLine="0" w:firstLineChars="0"/>
              <w:jc w:val="center"/>
              <w:rPr>
                <w:rFonts w:ascii="Times New Roman" w:hAnsi="Times New Roman"/>
                <w:b/>
                <w:color w:val="auto"/>
                <w:sz w:val="21"/>
                <w:szCs w:val="21"/>
                <w:lang w:eastAsia="zh-CN"/>
              </w:rPr>
            </w:pPr>
            <w:r>
              <w:rPr>
                <w:rFonts w:hint="eastAsia" w:ascii="Times New Roman" w:hAnsi="Times New Roman"/>
                <w:b/>
                <w:color w:val="auto"/>
                <w:sz w:val="21"/>
                <w:szCs w:val="21"/>
                <w:lang w:eastAsia="zh-CN"/>
              </w:rPr>
              <w:t>序号</w:t>
            </w:r>
          </w:p>
        </w:tc>
        <w:tc>
          <w:tcPr>
            <w:tcW w:w="5231" w:type="dxa"/>
          </w:tcPr>
          <w:p>
            <w:pPr>
              <w:pStyle w:val="326"/>
              <w:ind w:firstLine="0" w:firstLineChars="0"/>
              <w:jc w:val="center"/>
              <w:rPr>
                <w:rFonts w:ascii="Times New Roman" w:hAnsi="Times New Roman"/>
                <w:b/>
                <w:color w:val="auto"/>
                <w:sz w:val="21"/>
                <w:szCs w:val="21"/>
                <w:lang w:eastAsia="zh-CN"/>
              </w:rPr>
            </w:pPr>
            <w:r>
              <w:rPr>
                <w:rFonts w:hint="eastAsia" w:ascii="Times New Roman" w:hAnsi="Times New Roman"/>
                <w:b/>
                <w:color w:val="auto"/>
                <w:sz w:val="21"/>
                <w:szCs w:val="21"/>
                <w:lang w:eastAsia="zh-CN"/>
              </w:rPr>
              <w:t>内容</w:t>
            </w:r>
          </w:p>
        </w:tc>
        <w:tc>
          <w:tcPr>
            <w:tcW w:w="3096" w:type="dxa"/>
          </w:tcPr>
          <w:p>
            <w:pPr>
              <w:pStyle w:val="326"/>
              <w:ind w:firstLine="0" w:firstLineChars="0"/>
              <w:jc w:val="center"/>
              <w:rPr>
                <w:rFonts w:ascii="Times New Roman" w:hAnsi="Times New Roman"/>
                <w:b/>
                <w:color w:val="auto"/>
                <w:sz w:val="21"/>
                <w:szCs w:val="21"/>
                <w:lang w:eastAsia="zh-CN"/>
              </w:rPr>
            </w:pPr>
            <w:r>
              <w:rPr>
                <w:rFonts w:hint="eastAsia" w:ascii="Times New Roman" w:hAnsi="Times New Roman"/>
                <w:b/>
                <w:color w:val="auto"/>
                <w:sz w:val="21"/>
                <w:szCs w:val="21"/>
                <w:lang w:eastAsia="zh-CN"/>
              </w:rPr>
              <w:t>本项目相符性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59" w:type="dxa"/>
            <w:vAlign w:val="center"/>
          </w:tcPr>
          <w:p>
            <w:pPr>
              <w:pStyle w:val="326"/>
              <w:ind w:firstLine="0" w:firstLineChars="0"/>
              <w:jc w:val="center"/>
              <w:rPr>
                <w:rFonts w:ascii="Times New Roman" w:hAnsi="Times New Roman"/>
                <w:color w:val="auto"/>
                <w:sz w:val="21"/>
                <w:szCs w:val="21"/>
                <w:lang w:eastAsia="zh-CN"/>
              </w:rPr>
            </w:pPr>
            <w:r>
              <w:rPr>
                <w:rFonts w:hint="eastAsia" w:ascii="Times New Roman" w:hAnsi="Times New Roman"/>
                <w:color w:val="auto"/>
                <w:sz w:val="21"/>
                <w:szCs w:val="21"/>
                <w:lang w:eastAsia="zh-CN"/>
              </w:rPr>
              <w:t>1</w:t>
            </w:r>
          </w:p>
        </w:tc>
        <w:tc>
          <w:tcPr>
            <w:tcW w:w="5231" w:type="dxa"/>
          </w:tcPr>
          <w:p>
            <w:pPr>
              <w:pStyle w:val="326"/>
              <w:spacing w:line="240" w:lineRule="auto"/>
              <w:jc w:val="both"/>
              <w:rPr>
                <w:rFonts w:ascii="Times New Roman" w:hAnsi="Times New Roman"/>
                <w:color w:val="auto"/>
                <w:sz w:val="21"/>
                <w:szCs w:val="21"/>
                <w:lang w:eastAsia="zh-CN"/>
              </w:rPr>
            </w:pPr>
            <w:r>
              <w:rPr>
                <w:rFonts w:hint="eastAsia" w:ascii="Times New Roman" w:hAnsi="Times New Roman"/>
                <w:color w:val="auto"/>
                <w:sz w:val="21"/>
                <w:szCs w:val="21"/>
                <w:lang w:eastAsia="zh-CN"/>
              </w:rPr>
              <w:t>生态保护红线是生态空间范围内具有特殊重要生态功能必须实行强制性严格保护的区域。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p>
        </w:tc>
        <w:tc>
          <w:tcPr>
            <w:tcW w:w="3096" w:type="dxa"/>
            <w:vAlign w:val="center"/>
          </w:tcPr>
          <w:p>
            <w:pPr>
              <w:pStyle w:val="326"/>
              <w:spacing w:line="240" w:lineRule="auto"/>
              <w:ind w:firstLine="0" w:firstLineChars="0"/>
              <w:jc w:val="both"/>
              <w:rPr>
                <w:rFonts w:ascii="Times New Roman" w:hAnsi="Times New Roman"/>
                <w:color w:val="auto"/>
                <w:sz w:val="21"/>
                <w:szCs w:val="21"/>
                <w:lang w:eastAsia="zh-CN"/>
              </w:rPr>
            </w:pPr>
            <w:r>
              <w:rPr>
                <w:rFonts w:hint="eastAsia" w:ascii="Times New Roman" w:hAnsi="Times New Roman"/>
                <w:color w:val="auto"/>
                <w:sz w:val="21"/>
                <w:szCs w:val="21"/>
                <w:lang w:eastAsia="zh-CN"/>
              </w:rPr>
              <w:t>符合。项目选址不在相关生态保护红线内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59" w:type="dxa"/>
            <w:vAlign w:val="center"/>
          </w:tcPr>
          <w:p>
            <w:pPr>
              <w:pStyle w:val="326"/>
              <w:ind w:firstLine="0" w:firstLineChars="0"/>
              <w:jc w:val="center"/>
              <w:rPr>
                <w:rFonts w:ascii="Times New Roman" w:hAnsi="Times New Roman"/>
                <w:color w:val="auto"/>
                <w:sz w:val="21"/>
                <w:szCs w:val="21"/>
                <w:lang w:eastAsia="zh-CN"/>
              </w:rPr>
            </w:pPr>
            <w:r>
              <w:rPr>
                <w:rFonts w:hint="eastAsia" w:ascii="Times New Roman" w:hAnsi="Times New Roman"/>
                <w:color w:val="auto"/>
                <w:sz w:val="21"/>
                <w:szCs w:val="21"/>
                <w:lang w:eastAsia="zh-CN"/>
              </w:rPr>
              <w:t>2</w:t>
            </w:r>
          </w:p>
        </w:tc>
        <w:tc>
          <w:tcPr>
            <w:tcW w:w="5231" w:type="dxa"/>
          </w:tcPr>
          <w:p>
            <w:pPr>
              <w:pStyle w:val="326"/>
              <w:spacing w:line="240" w:lineRule="auto"/>
              <w:jc w:val="both"/>
              <w:rPr>
                <w:rFonts w:ascii="Times New Roman" w:hAnsi="Times New Roman"/>
                <w:color w:val="auto"/>
                <w:sz w:val="21"/>
                <w:szCs w:val="21"/>
                <w:lang w:eastAsia="zh-CN"/>
              </w:rPr>
            </w:pPr>
            <w:r>
              <w:rPr>
                <w:rFonts w:hint="eastAsia" w:ascii="Times New Roman" w:hAnsi="Times New Roman"/>
                <w:color w:val="auto"/>
                <w:sz w:val="21"/>
                <w:szCs w:val="21"/>
                <w:lang w:eastAsia="zh-CN"/>
              </w:rP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tc>
        <w:tc>
          <w:tcPr>
            <w:tcW w:w="3096" w:type="dxa"/>
            <w:vAlign w:val="center"/>
          </w:tcPr>
          <w:p>
            <w:pPr>
              <w:pStyle w:val="326"/>
              <w:spacing w:line="240" w:lineRule="auto"/>
              <w:ind w:firstLine="0" w:firstLineChars="0"/>
              <w:jc w:val="both"/>
              <w:rPr>
                <w:rFonts w:ascii="Times New Roman" w:hAnsi="Times New Roman"/>
                <w:color w:val="auto"/>
                <w:sz w:val="21"/>
                <w:szCs w:val="21"/>
                <w:lang w:eastAsia="zh-CN"/>
              </w:rPr>
            </w:pPr>
            <w:r>
              <w:rPr>
                <w:rFonts w:hint="eastAsia" w:ascii="Times New Roman" w:hAnsi="Times New Roman"/>
                <w:color w:val="auto"/>
                <w:sz w:val="21"/>
                <w:szCs w:val="21"/>
                <w:lang w:eastAsia="zh-CN"/>
              </w:rPr>
              <w:t>符合。本项目污染物排放和总量控制符合区域环境管理要求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59" w:type="dxa"/>
            <w:vAlign w:val="center"/>
          </w:tcPr>
          <w:p>
            <w:pPr>
              <w:pStyle w:val="326"/>
              <w:ind w:firstLine="0" w:firstLineChars="0"/>
              <w:jc w:val="center"/>
              <w:rPr>
                <w:rFonts w:ascii="Times New Roman" w:hAnsi="Times New Roman"/>
                <w:color w:val="auto"/>
                <w:sz w:val="21"/>
                <w:szCs w:val="21"/>
                <w:lang w:eastAsia="zh-CN"/>
              </w:rPr>
            </w:pPr>
            <w:r>
              <w:rPr>
                <w:rFonts w:hint="eastAsia" w:ascii="Times New Roman" w:hAnsi="Times New Roman"/>
                <w:color w:val="auto"/>
                <w:sz w:val="21"/>
                <w:szCs w:val="21"/>
                <w:lang w:eastAsia="zh-CN"/>
              </w:rPr>
              <w:t>3</w:t>
            </w:r>
          </w:p>
        </w:tc>
        <w:tc>
          <w:tcPr>
            <w:tcW w:w="5231" w:type="dxa"/>
          </w:tcPr>
          <w:p>
            <w:pPr>
              <w:pStyle w:val="326"/>
              <w:spacing w:line="240" w:lineRule="auto"/>
              <w:jc w:val="both"/>
              <w:rPr>
                <w:rFonts w:ascii="Times New Roman" w:hAnsi="Times New Roman"/>
                <w:color w:val="auto"/>
                <w:sz w:val="21"/>
                <w:szCs w:val="21"/>
                <w:lang w:eastAsia="zh-CN"/>
              </w:rPr>
            </w:pPr>
            <w:r>
              <w:rPr>
                <w:rFonts w:hint="eastAsia" w:ascii="Times New Roman" w:hAnsi="Times New Roman"/>
                <w:color w:val="auto"/>
                <w:sz w:val="21"/>
                <w:szCs w:val="21"/>
                <w:lang w:eastAsia="zh-CN"/>
              </w:rPr>
              <w:t>资源是环境的载体，资源利用上线是各地区能源、水、土地等资源消耗不得突破的“天花板”。 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tc>
        <w:tc>
          <w:tcPr>
            <w:tcW w:w="3096" w:type="dxa"/>
          </w:tcPr>
          <w:p>
            <w:pPr>
              <w:pStyle w:val="326"/>
              <w:spacing w:line="240" w:lineRule="auto"/>
              <w:ind w:firstLine="0" w:firstLineChars="0"/>
              <w:jc w:val="both"/>
              <w:rPr>
                <w:rFonts w:ascii="Times New Roman" w:hAnsi="Times New Roman"/>
                <w:color w:val="auto"/>
                <w:sz w:val="21"/>
                <w:szCs w:val="21"/>
                <w:lang w:eastAsia="zh-CN"/>
              </w:rPr>
            </w:pPr>
            <w:r>
              <w:rPr>
                <w:rFonts w:hint="eastAsia" w:ascii="Times New Roman" w:hAnsi="Times New Roman"/>
                <w:color w:val="auto"/>
                <w:sz w:val="21"/>
                <w:szCs w:val="21"/>
                <w:lang w:eastAsia="zh-CN"/>
              </w:rPr>
              <w:t>本项目在现有在建项目预留用地建设，不新增占地；本项目用水与在建项目一致，其生产用水来自曾坑水库和污水处理设施产生的中水供给；能源主要依托在建项目的生活垃圾焚烧发电供给。项目建设土地不涉及基本农田，土地资源消耗符合要求。 因此，项目资源利用满足要求。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59" w:type="dxa"/>
            <w:vAlign w:val="center"/>
          </w:tcPr>
          <w:p>
            <w:pPr>
              <w:pStyle w:val="326"/>
              <w:ind w:firstLine="0" w:firstLineChars="0"/>
              <w:jc w:val="center"/>
              <w:rPr>
                <w:rFonts w:ascii="Times New Roman" w:hAnsi="Times New Roman"/>
                <w:color w:val="auto"/>
                <w:sz w:val="21"/>
                <w:szCs w:val="21"/>
                <w:lang w:eastAsia="zh-CN"/>
              </w:rPr>
            </w:pPr>
            <w:r>
              <w:rPr>
                <w:rFonts w:hint="eastAsia" w:ascii="Times New Roman" w:hAnsi="Times New Roman"/>
                <w:color w:val="auto"/>
                <w:sz w:val="21"/>
                <w:szCs w:val="21"/>
                <w:lang w:eastAsia="zh-CN"/>
              </w:rPr>
              <w:t>4</w:t>
            </w:r>
          </w:p>
        </w:tc>
        <w:tc>
          <w:tcPr>
            <w:tcW w:w="5231" w:type="dxa"/>
          </w:tcPr>
          <w:p>
            <w:pPr>
              <w:pStyle w:val="326"/>
              <w:spacing w:line="240" w:lineRule="auto"/>
              <w:jc w:val="both"/>
              <w:rPr>
                <w:rFonts w:ascii="Times New Roman" w:hAnsi="Times New Roman"/>
                <w:color w:val="auto"/>
                <w:sz w:val="21"/>
                <w:szCs w:val="21"/>
                <w:lang w:eastAsia="zh-CN"/>
              </w:rPr>
            </w:pPr>
            <w:r>
              <w:rPr>
                <w:rFonts w:hint="eastAsia" w:ascii="Times New Roman" w:hAnsi="Times New Roman"/>
                <w:color w:val="auto"/>
                <w:sz w:val="21"/>
                <w:szCs w:val="21"/>
                <w:lang w:eastAsia="zh-CN"/>
              </w:rPr>
              <w:t>环境准入负面清单是基于生态保护红线、 环境质量底线和资源利用上线，以清单方式列出的禁止、限制等差别化环境准入条件和要求。要在规划环评清单式管理试点的基础上，从布局选址、资源利用效率、资源配置方式等方面入手，制定环境准入负面清单，充分发挥负面清单对产</w:t>
            </w:r>
          </w:p>
          <w:p>
            <w:pPr>
              <w:pStyle w:val="326"/>
              <w:spacing w:line="240" w:lineRule="auto"/>
              <w:ind w:firstLine="0" w:firstLineChars="0"/>
              <w:jc w:val="both"/>
              <w:rPr>
                <w:rFonts w:ascii="Times New Roman" w:hAnsi="Times New Roman"/>
                <w:color w:val="auto"/>
                <w:sz w:val="21"/>
                <w:szCs w:val="21"/>
                <w:lang w:eastAsia="zh-CN"/>
              </w:rPr>
            </w:pPr>
            <w:r>
              <w:rPr>
                <w:rFonts w:hint="eastAsia" w:ascii="Times New Roman" w:hAnsi="Times New Roman"/>
                <w:color w:val="auto"/>
                <w:sz w:val="21"/>
                <w:szCs w:val="21"/>
                <w:lang w:eastAsia="zh-CN"/>
              </w:rPr>
              <w:t>业发展和项目准入的指导和约束作用。</w:t>
            </w:r>
          </w:p>
        </w:tc>
        <w:tc>
          <w:tcPr>
            <w:tcW w:w="3096" w:type="dxa"/>
          </w:tcPr>
          <w:p>
            <w:pPr>
              <w:pStyle w:val="326"/>
              <w:spacing w:line="240" w:lineRule="auto"/>
              <w:ind w:firstLine="0" w:firstLineChars="0"/>
              <w:jc w:val="both"/>
              <w:rPr>
                <w:rFonts w:ascii="Times New Roman" w:hAnsi="Times New Roman"/>
                <w:color w:val="auto"/>
                <w:sz w:val="21"/>
                <w:szCs w:val="21"/>
                <w:lang w:eastAsia="zh-CN"/>
              </w:rPr>
            </w:pPr>
            <w:r>
              <w:rPr>
                <w:rFonts w:hint="eastAsia" w:ascii="Times New Roman" w:hAnsi="Times New Roman"/>
                <w:color w:val="auto"/>
                <w:sz w:val="21"/>
                <w:szCs w:val="21"/>
                <w:lang w:eastAsia="zh-CN"/>
              </w:rPr>
              <w:t>符合。根据《梅州市环境保护局关于发布梅州市建设项目环境影响评价文件审批负面清单的通知》（梅市环字[2016]35 号），本项目未列入“负面清单”。因此本项目应为环境准入允许类别。</w:t>
            </w:r>
          </w:p>
        </w:tc>
      </w:tr>
    </w:tbl>
    <w:p>
      <w:pPr>
        <w:pStyle w:val="298"/>
        <w:rPr>
          <w:color w:val="auto"/>
        </w:rPr>
      </w:pPr>
      <w:bookmarkStart w:id="42" w:name="_Toc24121"/>
      <w:r>
        <w:rPr>
          <w:color w:val="auto"/>
        </w:rPr>
        <w:t>1.3.</w:t>
      </w:r>
      <w:r>
        <w:rPr>
          <w:color w:val="auto"/>
          <w:lang w:eastAsia="zh-CN"/>
        </w:rPr>
        <w:t>4</w:t>
      </w:r>
      <w:r>
        <w:rPr>
          <w:color w:val="auto"/>
        </w:rPr>
        <w:t xml:space="preserve"> 选址合理性</w:t>
      </w:r>
      <w:bookmarkEnd w:id="39"/>
      <w:bookmarkEnd w:id="40"/>
      <w:bookmarkEnd w:id="41"/>
      <w:bookmarkEnd w:id="42"/>
    </w:p>
    <w:p>
      <w:pPr>
        <w:spacing w:line="360" w:lineRule="auto"/>
        <w:ind w:firstLine="480" w:firstLineChars="200"/>
        <w:jc w:val="both"/>
        <w:rPr>
          <w:rFonts w:eastAsiaTheme="minorEastAsia"/>
          <w:color w:val="auto"/>
        </w:rPr>
      </w:pPr>
      <w:bookmarkStart w:id="43" w:name="_Hlk24555964"/>
      <w:r>
        <w:rPr>
          <w:rFonts w:hint="eastAsia" w:eastAsiaTheme="minorEastAsia"/>
          <w:color w:val="auto"/>
        </w:rPr>
        <w:t>根据2</w:t>
      </w:r>
      <w:r>
        <w:rPr>
          <w:rFonts w:eastAsiaTheme="minorEastAsia"/>
          <w:color w:val="auto"/>
        </w:rPr>
        <w:t>017</w:t>
      </w:r>
      <w:r>
        <w:rPr>
          <w:rFonts w:hint="eastAsia" w:eastAsiaTheme="minorEastAsia"/>
          <w:color w:val="auto"/>
        </w:rPr>
        <w:t>年9月公布的《广东省兴宁市土地利用总体规划（2010-2020年）调整完善方案》（粤国土资规划调复【2</w:t>
      </w:r>
      <w:r>
        <w:rPr>
          <w:rFonts w:eastAsiaTheme="minorEastAsia"/>
          <w:color w:val="auto"/>
        </w:rPr>
        <w:t>017</w:t>
      </w:r>
      <w:r>
        <w:rPr>
          <w:rFonts w:hint="eastAsia" w:eastAsiaTheme="minorEastAsia"/>
          <w:color w:val="auto"/>
        </w:rPr>
        <w:t>】</w:t>
      </w:r>
      <w:r>
        <w:rPr>
          <w:rFonts w:eastAsiaTheme="minorEastAsia"/>
          <w:color w:val="auto"/>
        </w:rPr>
        <w:t>9</w:t>
      </w:r>
      <w:r>
        <w:rPr>
          <w:rFonts w:hint="eastAsia" w:eastAsiaTheme="minorEastAsia"/>
          <w:color w:val="auto"/>
        </w:rPr>
        <w:t>号），本项目用地为建设用地，详见图</w:t>
      </w:r>
      <w:r>
        <w:rPr>
          <w:rFonts w:eastAsiaTheme="minorEastAsia"/>
          <w:color w:val="auto"/>
        </w:rPr>
        <w:t>1.3</w:t>
      </w:r>
      <w:r>
        <w:rPr>
          <w:rFonts w:hint="eastAsia" w:eastAsiaTheme="minorEastAsia"/>
          <w:color w:val="auto"/>
        </w:rPr>
        <w:t>-</w:t>
      </w:r>
      <w:r>
        <w:rPr>
          <w:rFonts w:eastAsiaTheme="minorEastAsia"/>
          <w:color w:val="auto"/>
        </w:rPr>
        <w:t>1</w:t>
      </w:r>
      <w:r>
        <w:rPr>
          <w:rFonts w:hint="eastAsia" w:eastAsiaTheme="minorEastAsia"/>
          <w:color w:val="auto"/>
        </w:rPr>
        <w:t>。</w:t>
      </w:r>
    </w:p>
    <w:p>
      <w:pPr>
        <w:spacing w:line="360" w:lineRule="auto"/>
        <w:ind w:firstLine="480" w:firstLineChars="200"/>
        <w:jc w:val="both"/>
        <w:rPr>
          <w:rFonts w:eastAsiaTheme="minorEastAsia"/>
          <w:color w:val="auto"/>
        </w:rPr>
      </w:pPr>
      <w:r>
        <w:rPr>
          <w:rFonts w:eastAsiaTheme="minorEastAsia"/>
          <w:color w:val="auto"/>
        </w:rPr>
        <w:t>本项目位于兴宁市</w:t>
      </w:r>
      <w:r>
        <w:rPr>
          <w:rFonts w:hint="eastAsia" w:eastAsiaTheme="minorEastAsia"/>
          <w:color w:val="auto"/>
        </w:rPr>
        <w:t>新陂镇</w:t>
      </w:r>
      <w:r>
        <w:rPr>
          <w:rFonts w:eastAsiaTheme="minorEastAsia"/>
          <w:color w:val="auto"/>
        </w:rPr>
        <w:t>，</w:t>
      </w:r>
      <w:r>
        <w:rPr>
          <w:rFonts w:hint="eastAsia" w:eastAsiaTheme="minorEastAsia"/>
          <w:color w:val="auto"/>
        </w:rPr>
        <w:t>根据</w:t>
      </w:r>
      <w:r>
        <w:rPr>
          <w:rFonts w:eastAsiaTheme="minorEastAsia"/>
          <w:color w:val="auto"/>
        </w:rPr>
        <w:t>《广东省梅州市土地利用总体规划（2006-2020年）》</w:t>
      </w:r>
      <w:r>
        <w:rPr>
          <w:rFonts w:hint="eastAsia" w:eastAsiaTheme="minorEastAsia"/>
          <w:color w:val="auto"/>
        </w:rPr>
        <w:t>，项目所在地</w:t>
      </w:r>
      <w:r>
        <w:rPr>
          <w:rFonts w:eastAsiaTheme="minorEastAsia"/>
          <w:color w:val="auto"/>
        </w:rPr>
        <w:t>属于允许建设区，为城镇村建设用地区，符合《广东省梅州市土地利用总体规划（2006-2020年）》。</w:t>
      </w:r>
      <w:r>
        <w:rPr>
          <w:rFonts w:hint="eastAsia" w:eastAsiaTheme="minorEastAsia"/>
          <w:color w:val="auto"/>
        </w:rPr>
        <w:t>同时，根据</w:t>
      </w:r>
      <w:r>
        <w:rPr>
          <w:color w:val="auto"/>
        </w:rPr>
        <w:t>《梅州市城市总体规划</w:t>
      </w:r>
      <w:r>
        <w:rPr>
          <w:rFonts w:hint="eastAsia"/>
          <w:color w:val="auto"/>
        </w:rPr>
        <w:t>（</w:t>
      </w:r>
      <w:r>
        <w:rPr>
          <w:color w:val="auto"/>
        </w:rPr>
        <w:t>2015-2030</w:t>
      </w:r>
      <w:r>
        <w:rPr>
          <w:rFonts w:hint="eastAsia"/>
          <w:color w:val="auto"/>
        </w:rPr>
        <w:t>）</w:t>
      </w:r>
      <w:r>
        <w:rPr>
          <w:color w:val="auto"/>
        </w:rPr>
        <w:t>》</w:t>
      </w:r>
      <w:r>
        <w:rPr>
          <w:rFonts w:hint="eastAsia"/>
          <w:color w:val="auto"/>
        </w:rPr>
        <w:t>，本项目选址地为农林用地</w:t>
      </w:r>
      <w:r>
        <w:rPr>
          <w:rFonts w:hint="eastAsia" w:eastAsiaTheme="minorEastAsia"/>
          <w:color w:val="auto"/>
        </w:rPr>
        <w:t>，</w:t>
      </w:r>
      <w:r>
        <w:rPr>
          <w:rFonts w:eastAsiaTheme="minorEastAsia"/>
          <w:color w:val="auto"/>
        </w:rPr>
        <w:t>项目</w:t>
      </w:r>
      <w:r>
        <w:rPr>
          <w:rFonts w:hint="eastAsia" w:eastAsiaTheme="minorEastAsia"/>
          <w:color w:val="auto"/>
        </w:rPr>
        <w:t>已</w:t>
      </w:r>
      <w:r>
        <w:rPr>
          <w:rFonts w:eastAsiaTheme="minorEastAsia"/>
          <w:color w:val="auto"/>
        </w:rPr>
        <w:t>取得了广东省林业厅于2018年12月26日出具的《使用林地审核同意书》（粤林地许准</w:t>
      </w:r>
      <w:r>
        <w:rPr>
          <w:rFonts w:hint="eastAsia" w:eastAsiaTheme="minorEastAsia"/>
          <w:color w:val="auto"/>
        </w:rPr>
        <w:t>【2</w:t>
      </w:r>
      <w:r>
        <w:rPr>
          <w:rFonts w:eastAsiaTheme="minorEastAsia"/>
          <w:color w:val="auto"/>
        </w:rPr>
        <w:t>018</w:t>
      </w:r>
      <w:r>
        <w:rPr>
          <w:rFonts w:hint="eastAsia" w:eastAsiaTheme="minorEastAsia"/>
          <w:color w:val="auto"/>
        </w:rPr>
        <w:t>】</w:t>
      </w:r>
      <w:r>
        <w:rPr>
          <w:rFonts w:eastAsiaTheme="minorEastAsia"/>
          <w:color w:val="auto"/>
        </w:rPr>
        <w:t>1332号）和2019年2月28日出具的《使用林地审核同意书》（粤林地许准</w:t>
      </w:r>
      <w:r>
        <w:rPr>
          <w:rFonts w:hint="eastAsia" w:eastAsiaTheme="minorEastAsia"/>
          <w:color w:val="auto"/>
        </w:rPr>
        <w:t>【2</w:t>
      </w:r>
      <w:r>
        <w:rPr>
          <w:rFonts w:eastAsiaTheme="minorEastAsia"/>
          <w:color w:val="auto"/>
        </w:rPr>
        <w:t>019</w:t>
      </w:r>
      <w:r>
        <w:rPr>
          <w:rFonts w:hint="eastAsia" w:eastAsiaTheme="minorEastAsia"/>
          <w:color w:val="auto"/>
        </w:rPr>
        <w:t>】</w:t>
      </w:r>
      <w:r>
        <w:rPr>
          <w:rFonts w:eastAsiaTheme="minorEastAsia"/>
          <w:color w:val="auto"/>
        </w:rPr>
        <w:t>201号）；取得了兴宁市自然资源局于2019年4月12日出具的《关于对兴宁市静脉产业园项目的用地预审意见》（兴自然资（预）函</w:t>
      </w:r>
      <w:r>
        <w:rPr>
          <w:rFonts w:hint="eastAsia" w:eastAsiaTheme="minorEastAsia"/>
          <w:color w:val="auto"/>
        </w:rPr>
        <w:t>【2</w:t>
      </w:r>
      <w:r>
        <w:rPr>
          <w:rFonts w:eastAsiaTheme="minorEastAsia"/>
          <w:color w:val="auto"/>
        </w:rPr>
        <w:t>019</w:t>
      </w:r>
      <w:r>
        <w:rPr>
          <w:rFonts w:hint="eastAsia" w:eastAsiaTheme="minorEastAsia"/>
          <w:color w:val="auto"/>
        </w:rPr>
        <w:t>】</w:t>
      </w:r>
      <w:r>
        <w:rPr>
          <w:rFonts w:eastAsiaTheme="minorEastAsia"/>
          <w:color w:val="auto"/>
        </w:rPr>
        <w:t>1号），明确了项目选址建设符合兴宁市土地利用总体规划，该局原则上同意项目用地预审；取得了兴宁市自然资源局于2019年4月25日出具的《建设项目选址意见书》（选字第镇址2019（002）号），明确了本项目建设符合城乡规划要求；取得了兴宁市环境保护局于2019年3月7日出具的《关于&lt;申请办理兴宁市静脉产业园项目环保预审意见&gt;的环保意见》，明确了从环境保护角度，兴宁市环境保护局原则同意本项目的建设。综上可知，本项目的选址符合</w:t>
      </w:r>
      <w:r>
        <w:rPr>
          <w:rFonts w:hint="eastAsia" w:eastAsiaTheme="minorEastAsia"/>
          <w:color w:val="auto"/>
        </w:rPr>
        <w:t>相关</w:t>
      </w:r>
      <w:r>
        <w:rPr>
          <w:rFonts w:eastAsiaTheme="minorEastAsia"/>
          <w:color w:val="auto"/>
        </w:rPr>
        <w:t>规划及相关政府文件的要求。</w:t>
      </w:r>
    </w:p>
    <w:bookmarkEnd w:id="43"/>
    <w:p>
      <w:pPr>
        <w:spacing w:line="360" w:lineRule="auto"/>
        <w:ind w:firstLine="600" w:firstLineChars="250"/>
        <w:jc w:val="both"/>
        <w:rPr>
          <w:rFonts w:eastAsiaTheme="minorEastAsia"/>
          <w:color w:val="auto"/>
        </w:rPr>
      </w:pPr>
      <w:r>
        <w:rPr>
          <w:rFonts w:eastAsiaTheme="minorEastAsia"/>
          <w:color w:val="auto"/>
        </w:rPr>
        <w:t>本项目生产废水经废水处理设施处理达到回用水标准后回用；一般固废及危险废物全部进行安全处置；废气经处理达标后排放，不会对区域空气环境产生明显影响；排放的噪声经采取降噪措施后满足排放标准的要求。</w:t>
      </w:r>
    </w:p>
    <w:p>
      <w:pPr>
        <w:spacing w:line="360" w:lineRule="auto"/>
        <w:ind w:firstLine="480" w:firstLineChars="200"/>
        <w:jc w:val="both"/>
        <w:rPr>
          <w:rFonts w:eastAsiaTheme="minorEastAsia"/>
          <w:color w:val="auto"/>
        </w:rPr>
      </w:pPr>
      <w:r>
        <w:rPr>
          <w:rFonts w:eastAsiaTheme="minorEastAsia"/>
          <w:color w:val="auto"/>
        </w:rPr>
        <w:t>综上所述，本项目选址总体上是可行的。</w:t>
      </w:r>
    </w:p>
    <w:p>
      <w:pPr>
        <w:spacing w:line="360" w:lineRule="auto"/>
        <w:jc w:val="both"/>
        <w:rPr>
          <w:rFonts w:eastAsiaTheme="minorEastAsia"/>
          <w:color w:val="auto"/>
        </w:rPr>
      </w:pPr>
    </w:p>
    <w:p>
      <w:pPr>
        <w:spacing w:line="360" w:lineRule="auto"/>
        <w:jc w:val="both"/>
        <w:rPr>
          <w:rFonts w:eastAsiaTheme="minorEastAsia"/>
          <w:color w:val="auto"/>
        </w:rPr>
      </w:pPr>
    </w:p>
    <w:p>
      <w:pPr>
        <w:spacing w:line="360" w:lineRule="auto"/>
        <w:jc w:val="both"/>
        <w:rPr>
          <w:rFonts w:eastAsiaTheme="minorEastAsia"/>
          <w:color w:val="auto"/>
        </w:rPr>
      </w:pPr>
    </w:p>
    <w:p>
      <w:pPr>
        <w:spacing w:line="360" w:lineRule="auto"/>
        <w:jc w:val="both"/>
        <w:rPr>
          <w:rFonts w:eastAsiaTheme="minorEastAsia"/>
          <w:color w:val="auto"/>
        </w:rPr>
      </w:pPr>
    </w:p>
    <w:p>
      <w:pPr>
        <w:spacing w:line="360" w:lineRule="auto"/>
        <w:jc w:val="both"/>
        <w:rPr>
          <w:rFonts w:eastAsiaTheme="minorEastAsia"/>
          <w:color w:val="auto"/>
        </w:rPr>
      </w:pPr>
    </w:p>
    <w:p>
      <w:pPr>
        <w:spacing w:line="360" w:lineRule="auto"/>
        <w:jc w:val="both"/>
        <w:rPr>
          <w:rFonts w:eastAsiaTheme="minorEastAsia"/>
          <w:color w:val="auto"/>
        </w:rPr>
      </w:pPr>
    </w:p>
    <w:p>
      <w:pPr>
        <w:spacing w:line="360" w:lineRule="auto"/>
        <w:jc w:val="both"/>
        <w:rPr>
          <w:rFonts w:eastAsiaTheme="minorEastAsia"/>
          <w:color w:val="auto"/>
        </w:rPr>
      </w:pPr>
      <w:r>
        <w:rPr>
          <w:rFonts w:ascii="宋体" w:hAnsi="宋体" w:cs="宋体"/>
          <w:color w:val="auto"/>
          <w:kern w:val="0"/>
        </w:rPr>
        <mc:AlternateContent>
          <mc:Choice Requires="wps">
            <w:drawing>
              <wp:anchor distT="0" distB="0" distL="114300" distR="114300" simplePos="0" relativeHeight="251771904" behindDoc="0" locked="0" layoutInCell="1" allowOverlap="1">
                <wp:simplePos x="0" y="0"/>
                <wp:positionH relativeFrom="column">
                  <wp:posOffset>2475865</wp:posOffset>
                </wp:positionH>
                <wp:positionV relativeFrom="paragraph">
                  <wp:posOffset>4590415</wp:posOffset>
                </wp:positionV>
                <wp:extent cx="1391285" cy="385445"/>
                <wp:effectExtent l="0" t="0" r="19050" b="33655"/>
                <wp:wrapNone/>
                <wp:docPr id="59" name="直接连接符 59"/>
                <wp:cNvGraphicFramePr/>
                <a:graphic xmlns:a="http://schemas.openxmlformats.org/drawingml/2006/main">
                  <a:graphicData uri="http://schemas.microsoft.com/office/word/2010/wordprocessingShape">
                    <wps:wsp>
                      <wps:cNvCnPr/>
                      <wps:spPr>
                        <a:xfrm flipV="1">
                          <a:off x="0" y="0"/>
                          <a:ext cx="1390968" cy="385762"/>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194.95pt;margin-top:361.45pt;height:30.35pt;width:109.55pt;z-index:251771904;mso-width-relative:page;mso-height-relative:page;" filled="f" stroked="t" coordsize="21600,21600" o:gfxdata="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mWc4LNgAAAAL&#10;AQAADwAAAAAAAAABACAAAAAiAAAAZHJzL2Rvd25yZXYueG1sUEsBAhQAFAAAAAgAh07iQGCN7zbj&#10;AQAAlgMAAA4AAAAAAAAAAQAgAAAAJwEAAGRycy9lMm9Eb2MueG1sUEsFBgAAAAAGAAYAWQEAAHwF&#10;AAAAAA==&#10;">
                <v:fill on="f" focussize="0,0"/>
                <v:stroke color="#000000 [3200]" joinstyle="round"/>
                <v:imagedata o:title=""/>
                <o:lock v:ext="edit" aspectratio="f"/>
              </v:line>
            </w:pict>
          </mc:Fallback>
        </mc:AlternateContent>
      </w:r>
      <w:r>
        <w:rPr>
          <w:rFonts w:ascii="宋体" w:hAnsi="宋体" w:cs="宋体"/>
          <w:color w:val="auto"/>
          <w:kern w:val="0"/>
        </w:rPr>
        <mc:AlternateContent>
          <mc:Choice Requires="wps">
            <w:drawing>
              <wp:anchor distT="0" distB="0" distL="114300" distR="114300" simplePos="0" relativeHeight="251770880" behindDoc="0" locked="0" layoutInCell="1" allowOverlap="1">
                <wp:simplePos x="0" y="0"/>
                <wp:positionH relativeFrom="column">
                  <wp:posOffset>847090</wp:posOffset>
                </wp:positionH>
                <wp:positionV relativeFrom="paragraph">
                  <wp:posOffset>4590415</wp:posOffset>
                </wp:positionV>
                <wp:extent cx="242570" cy="385445"/>
                <wp:effectExtent l="0" t="0" r="24130" b="14605"/>
                <wp:wrapNone/>
                <wp:docPr id="58" name="直接连接符 58"/>
                <wp:cNvGraphicFramePr/>
                <a:graphic xmlns:a="http://schemas.openxmlformats.org/drawingml/2006/main">
                  <a:graphicData uri="http://schemas.microsoft.com/office/word/2010/wordprocessingShape">
                    <wps:wsp>
                      <wps:cNvCnPr/>
                      <wps:spPr>
                        <a:xfrm flipH="1" flipV="1">
                          <a:off x="0" y="0"/>
                          <a:ext cx="242887" cy="385762"/>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x y;margin-left:66.7pt;margin-top:361.45pt;height:30.35pt;width:19.1pt;z-index:251770880;mso-width-relative:page;mso-height-relative:page;" filled="f" stroked="t" coordsize="21600,21600" o:gfxdata="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LwiPj/VAAAA&#10;CwEAAA8AAAAAAAAAAQAgAAAAIgAAAGRycy9kb3ducmV2LnhtbFBLAQIUABQAAAAIAIdO4kBp7y2w&#10;5wEAAJ8DAAAOAAAAAAAAAAEAIAAAACQBAABkcnMvZTJvRG9jLnhtbFBLBQYAAAAABgAGAFkBAAB9&#10;BQAAAAA=&#10;">
                <v:fill on="f" focussize="0,0"/>
                <v:stroke color="#000000 [3200]" joinstyle="round"/>
                <v:imagedata o:title=""/>
                <o:lock v:ext="edit" aspectratio="f"/>
              </v:line>
            </w:pict>
          </mc:Fallback>
        </mc:AlternateContent>
      </w:r>
      <w:r>
        <w:rPr>
          <w:rFonts w:ascii="宋体" w:hAnsi="宋体" w:cs="宋体"/>
          <w:color w:val="auto"/>
          <w:kern w:val="0"/>
        </w:rPr>
        <mc:AlternateContent>
          <mc:Choice Requires="wps">
            <w:drawing>
              <wp:anchor distT="0" distB="0" distL="114300" distR="114300" simplePos="0" relativeHeight="251769856" behindDoc="0" locked="0" layoutInCell="1" allowOverlap="1">
                <wp:simplePos x="0" y="0"/>
                <wp:positionH relativeFrom="column">
                  <wp:posOffset>1090295</wp:posOffset>
                </wp:positionH>
                <wp:positionV relativeFrom="paragraph">
                  <wp:posOffset>4976495</wp:posOffset>
                </wp:positionV>
                <wp:extent cx="1386205" cy="1119505"/>
                <wp:effectExtent l="0" t="0" r="24130" b="24130"/>
                <wp:wrapNone/>
                <wp:docPr id="55" name="矩形 55"/>
                <wp:cNvGraphicFramePr/>
                <a:graphic xmlns:a="http://schemas.openxmlformats.org/drawingml/2006/main">
                  <a:graphicData uri="http://schemas.microsoft.com/office/word/2010/wordprocessingShape">
                    <wps:wsp>
                      <wps:cNvSpPr/>
                      <wps:spPr>
                        <a:xfrm>
                          <a:off x="0" y="0"/>
                          <a:ext cx="1385888" cy="1119188"/>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5.85pt;margin-top:391.85pt;height:88.15pt;width:109.15pt;z-index:251769856;v-text-anchor:middle;mso-width-relative:page;mso-height-relative:page;" filled="f" stroked="t" coordsize="21600,21600" o:gfxdata="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QOvGpdcAAAALAQAADwAAAAAAAAABACAAAAAiAAAA&#10;ZHJzL2Rvd25yZXYueG1sUEsBAhQAFAAAAAgAh07iQGdBNElBAgAAaAQAAA4AAAAAAAAAAQAgAAAA&#10;JgEAAGRycy9lMm9Eb2MueG1sUEsFBgAAAAAGAAYAWQEAANkFAAAAAA==&#10;">
                <v:fill on="f" focussize="0,0"/>
                <v:stroke weight="0.25pt" color="#000000 [3213]" joinstyle="round"/>
                <v:imagedata o:title=""/>
                <o:lock v:ext="edit" aspectratio="f"/>
              </v:rect>
            </w:pict>
          </mc:Fallback>
        </mc:AlternateContent>
      </w:r>
      <w:r>
        <w:rPr>
          <w:rFonts w:ascii="宋体" w:hAnsi="宋体" w:cs="宋体"/>
          <w:color w:val="auto"/>
          <w:kern w:val="0"/>
        </w:rPr>
        <mc:AlternateContent>
          <mc:Choice Requires="wps">
            <w:drawing>
              <wp:anchor distT="0" distB="0" distL="114300" distR="114300" simplePos="0" relativeHeight="251768832" behindDoc="0" locked="0" layoutInCell="1" allowOverlap="1">
                <wp:simplePos x="0" y="0"/>
                <wp:positionH relativeFrom="column">
                  <wp:posOffset>1656080</wp:posOffset>
                </wp:positionH>
                <wp:positionV relativeFrom="paragraph">
                  <wp:posOffset>3507740</wp:posOffset>
                </wp:positionV>
                <wp:extent cx="636905" cy="250190"/>
                <wp:effectExtent l="0" t="247650" r="201295" b="16510"/>
                <wp:wrapNone/>
                <wp:docPr id="54" name="对话气泡: 矩形 1348"/>
                <wp:cNvGraphicFramePr/>
                <a:graphic xmlns:a="http://schemas.openxmlformats.org/drawingml/2006/main">
                  <a:graphicData uri="http://schemas.microsoft.com/office/word/2010/wordprocessingShape">
                    <wps:wsp>
                      <wps:cNvSpPr>
                        <a:spLocks noChangeArrowheads="1"/>
                      </wps:cNvSpPr>
                      <wps:spPr bwMode="auto">
                        <a:xfrm>
                          <a:off x="0" y="0"/>
                          <a:ext cx="636905" cy="250190"/>
                        </a:xfrm>
                        <a:prstGeom prst="wedgeRectCallout">
                          <a:avLst>
                            <a:gd name="adj1" fmla="val 72035"/>
                            <a:gd name="adj2" fmla="val -132740"/>
                          </a:avLst>
                        </a:prstGeom>
                        <a:noFill/>
                        <a:ln w="19050">
                          <a:solidFill>
                            <a:srgbClr val="FF0000"/>
                          </a:solidFill>
                          <a:miter lim="800000"/>
                        </a:ln>
                      </wps:spPr>
                      <wps:txbx>
                        <w:txbxContent>
                          <w:p>
                            <w:pPr>
                              <w:rPr>
                                <w:color w:val="FF0000"/>
                                <w:sz w:val="21"/>
                                <w:szCs w:val="21"/>
                              </w:rPr>
                            </w:pPr>
                            <w:r>
                              <w:rPr>
                                <w:color w:val="0000FF"/>
                                <w:sz w:val="21"/>
                                <w:szCs w:val="21"/>
                              </w:rPr>
                              <w:t xml:space="preserve"> </w:t>
                            </w:r>
                            <w:r>
                              <w:rPr>
                                <w:rFonts w:hint="eastAsia"/>
                                <w:color w:val="FF0000"/>
                                <w:sz w:val="21"/>
                                <w:szCs w:val="21"/>
                              </w:rPr>
                              <w:t>项目位置</w:t>
                            </w:r>
                          </w:p>
                        </w:txbxContent>
                      </wps:txbx>
                      <wps:bodyPr rot="0" vert="horz" wrap="square" lIns="0" tIns="0" rIns="0" bIns="0" anchor="ctr" anchorCtr="0" upright="1">
                        <a:noAutofit/>
                      </wps:bodyPr>
                    </wps:wsp>
                  </a:graphicData>
                </a:graphic>
              </wp:anchor>
            </w:drawing>
          </mc:Choice>
          <mc:Fallback>
            <w:pict>
              <v:shape id="对话气泡: 矩形 1348" o:spid="_x0000_s1026" o:spt="61" type="#_x0000_t61" style="position:absolute;left:0pt;margin-left:130.4pt;margin-top:276.2pt;height:19.7pt;width:50.15pt;z-index:251768832;v-text-anchor:middle;mso-width-relative:page;mso-height-relative:page;" filled="f" stroked="t" coordsize="21600,21600" o:gfxdata="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f4K&#10;sNsAAAALAQAADwAAAAAAAAABACAAAAAiAAAAZHJzL2Rvd25yZXYueG1sUEsBAhQAFAAAAAgAh07i&#10;QGhtj/dYAgAAZgQAAA4AAAAAAAAAAQAgAAAAKgEAAGRycy9lMm9Eb2MueG1sUEsFBgAAAAAGAAYA&#10;WQEAAPQFAAAAAA==&#10;" adj="26360,-17872">
                <v:fill on="f" focussize="0,0"/>
                <v:stroke weight="1.5pt" color="#FF0000" miterlimit="8" joinstyle="miter"/>
                <v:imagedata o:title=""/>
                <o:lock v:ext="edit" aspectratio="f"/>
                <v:textbox inset="0mm,0mm,0mm,0mm">
                  <w:txbxContent>
                    <w:p>
                      <w:pPr>
                        <w:rPr>
                          <w:color w:val="FF0000"/>
                          <w:sz w:val="21"/>
                          <w:szCs w:val="21"/>
                        </w:rPr>
                      </w:pPr>
                      <w:r>
                        <w:rPr>
                          <w:color w:val="0000FF"/>
                          <w:sz w:val="21"/>
                          <w:szCs w:val="21"/>
                        </w:rPr>
                        <w:t xml:space="preserve"> </w:t>
                      </w:r>
                      <w:r>
                        <w:rPr>
                          <w:rFonts w:hint="eastAsia"/>
                          <w:color w:val="FF0000"/>
                          <w:sz w:val="21"/>
                          <w:szCs w:val="21"/>
                        </w:rPr>
                        <w:t>项目位置</w:t>
                      </w:r>
                    </w:p>
                  </w:txbxContent>
                </v:textbox>
              </v:shape>
            </w:pict>
          </mc:Fallback>
        </mc:AlternateContent>
      </w:r>
      <w:r>
        <w:rPr>
          <w:color w:val="auto"/>
        </w:rPr>
        <w:drawing>
          <wp:anchor distT="0" distB="0" distL="114300" distR="114300" simplePos="0" relativeHeight="251766784" behindDoc="0" locked="0" layoutInCell="1" allowOverlap="1">
            <wp:simplePos x="0" y="0"/>
            <wp:positionH relativeFrom="column">
              <wp:posOffset>846455</wp:posOffset>
            </wp:positionH>
            <wp:positionV relativeFrom="paragraph">
              <wp:posOffset>1874520</wp:posOffset>
            </wp:positionV>
            <wp:extent cx="3019425" cy="2715895"/>
            <wp:effectExtent l="19050" t="19050" r="9525" b="27940"/>
            <wp:wrapNone/>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3019425" cy="2715796"/>
                    </a:xfrm>
                    <a:prstGeom prst="rect">
                      <a:avLst/>
                    </a:prstGeom>
                    <a:ln>
                      <a:solidFill>
                        <a:schemeClr val="tx1"/>
                      </a:solidFill>
                    </a:ln>
                  </pic:spPr>
                </pic:pic>
              </a:graphicData>
            </a:graphic>
          </wp:anchor>
        </w:drawing>
      </w:r>
      <w:r>
        <w:rPr>
          <w:rFonts w:ascii="宋体" w:hAnsi="宋体" w:cs="宋体"/>
          <w:color w:val="auto"/>
          <w:kern w:val="0"/>
        </w:rPr>
        <mc:AlternateContent>
          <mc:Choice Requires="wps">
            <w:drawing>
              <wp:anchor distT="0" distB="0" distL="114300" distR="114300" simplePos="0" relativeHeight="251685888" behindDoc="0" locked="0" layoutInCell="1" allowOverlap="1">
                <wp:simplePos x="0" y="0"/>
                <wp:positionH relativeFrom="column">
                  <wp:posOffset>1218565</wp:posOffset>
                </wp:positionH>
                <wp:positionV relativeFrom="paragraph">
                  <wp:posOffset>5651500</wp:posOffset>
                </wp:positionV>
                <wp:extent cx="636905" cy="250190"/>
                <wp:effectExtent l="0" t="247650" r="201295" b="16510"/>
                <wp:wrapNone/>
                <wp:docPr id="1348" name="对话气泡: 矩形 1348"/>
                <wp:cNvGraphicFramePr/>
                <a:graphic xmlns:a="http://schemas.openxmlformats.org/drawingml/2006/main">
                  <a:graphicData uri="http://schemas.microsoft.com/office/word/2010/wordprocessingShape">
                    <wps:wsp>
                      <wps:cNvSpPr>
                        <a:spLocks noChangeArrowheads="1"/>
                      </wps:cNvSpPr>
                      <wps:spPr bwMode="auto">
                        <a:xfrm>
                          <a:off x="0" y="0"/>
                          <a:ext cx="636905" cy="250190"/>
                        </a:xfrm>
                        <a:prstGeom prst="wedgeRectCallout">
                          <a:avLst>
                            <a:gd name="adj1" fmla="val 72035"/>
                            <a:gd name="adj2" fmla="val -132740"/>
                          </a:avLst>
                        </a:prstGeom>
                        <a:noFill/>
                        <a:ln w="19050">
                          <a:solidFill>
                            <a:srgbClr val="FF0000"/>
                          </a:solidFill>
                          <a:miter lim="800000"/>
                        </a:ln>
                      </wps:spPr>
                      <wps:txbx>
                        <w:txbxContent>
                          <w:p>
                            <w:pPr>
                              <w:rPr>
                                <w:color w:val="FF0000"/>
                                <w:sz w:val="21"/>
                                <w:szCs w:val="21"/>
                              </w:rPr>
                            </w:pPr>
                            <w:r>
                              <w:rPr>
                                <w:color w:val="0000FF"/>
                                <w:sz w:val="21"/>
                                <w:szCs w:val="21"/>
                              </w:rPr>
                              <w:t xml:space="preserve"> </w:t>
                            </w:r>
                            <w:r>
                              <w:rPr>
                                <w:rFonts w:hint="eastAsia"/>
                                <w:color w:val="FF0000"/>
                                <w:sz w:val="21"/>
                                <w:szCs w:val="21"/>
                              </w:rPr>
                              <w:t>项目位置</w:t>
                            </w:r>
                          </w:p>
                        </w:txbxContent>
                      </wps:txbx>
                      <wps:bodyPr rot="0" vert="horz" wrap="square" lIns="0" tIns="0" rIns="0" bIns="0" anchor="ctr" anchorCtr="0" upright="1">
                        <a:noAutofit/>
                      </wps:bodyPr>
                    </wps:wsp>
                  </a:graphicData>
                </a:graphic>
              </wp:anchor>
            </w:drawing>
          </mc:Choice>
          <mc:Fallback>
            <w:pict>
              <v:shape id="对话气泡: 矩形 1348" o:spid="_x0000_s1026" o:spt="61" type="#_x0000_t61" style="position:absolute;left:0pt;margin-left:95.95pt;margin-top:445pt;height:19.7pt;width:50.15pt;z-index:251685888;v-text-anchor:middle;mso-width-relative:page;mso-height-relative:page;" filled="f" stroked="t" coordsize="21600,21600" o:gfxdata="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asLrb2QAA&#10;AAsBAAAPAAAAAAAAAAEAIAAAACIAAABkcnMvZG93bnJldi54bWxQSwECFAAUAAAACACHTuJAnuKZ&#10;flYCAABoBAAADgAAAAAAAAABACAAAAAoAQAAZHJzL2Uyb0RvYy54bWxQSwUGAAAAAAYABgBZAQAA&#10;8AUAAAAA&#10;" adj="26360,-17872">
                <v:fill on="f" focussize="0,0"/>
                <v:stroke weight="1.5pt" color="#FF0000" miterlimit="8" joinstyle="miter"/>
                <v:imagedata o:title=""/>
                <o:lock v:ext="edit" aspectratio="f"/>
                <v:textbox inset="0mm,0mm,0mm,0mm">
                  <w:txbxContent>
                    <w:p>
                      <w:pPr>
                        <w:rPr>
                          <w:color w:val="FF0000"/>
                          <w:sz w:val="21"/>
                          <w:szCs w:val="21"/>
                        </w:rPr>
                      </w:pPr>
                      <w:r>
                        <w:rPr>
                          <w:color w:val="0000FF"/>
                          <w:sz w:val="21"/>
                          <w:szCs w:val="21"/>
                        </w:rPr>
                        <w:t xml:space="preserve"> </w:t>
                      </w:r>
                      <w:r>
                        <w:rPr>
                          <w:rFonts w:hint="eastAsia"/>
                          <w:color w:val="FF0000"/>
                          <w:sz w:val="21"/>
                          <w:szCs w:val="21"/>
                        </w:rPr>
                        <w:t>项目位置</w:t>
                      </w:r>
                    </w:p>
                  </w:txbxContent>
                </v:textbox>
              </v:shape>
            </w:pict>
          </mc:Fallback>
        </mc:AlternateContent>
      </w:r>
      <w:r>
        <w:rPr>
          <w:color w:val="auto"/>
        </w:rPr>
        <w:drawing>
          <wp:inline distT="0" distB="0" distL="0" distR="0">
            <wp:extent cx="5759450" cy="8136890"/>
            <wp:effectExtent l="0" t="0" r="0" b="0"/>
            <wp:docPr id="1344" name="图片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图片 1344"/>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9450" cy="8136890"/>
                    </a:xfrm>
                    <a:prstGeom prst="rect">
                      <a:avLst/>
                    </a:prstGeom>
                  </pic:spPr>
                </pic:pic>
              </a:graphicData>
            </a:graphic>
          </wp:inline>
        </w:drawing>
      </w:r>
    </w:p>
    <w:p>
      <w:pPr>
        <w:spacing w:line="360" w:lineRule="auto"/>
        <w:jc w:val="center"/>
        <w:rPr>
          <w:rFonts w:eastAsiaTheme="minorEastAsia"/>
          <w:b/>
          <w:bCs/>
          <w:color w:val="auto"/>
        </w:rPr>
      </w:pPr>
      <w:r>
        <w:rPr>
          <w:rFonts w:hint="eastAsia" w:eastAsiaTheme="minorEastAsia"/>
          <w:b/>
          <w:bCs/>
          <w:color w:val="auto"/>
        </w:rPr>
        <w:t>图1</w:t>
      </w:r>
      <w:r>
        <w:rPr>
          <w:rFonts w:eastAsiaTheme="minorEastAsia"/>
          <w:b/>
          <w:bCs/>
          <w:color w:val="auto"/>
        </w:rPr>
        <w:t>.3</w:t>
      </w:r>
      <w:r>
        <w:rPr>
          <w:rFonts w:hint="eastAsia" w:eastAsiaTheme="minorEastAsia"/>
          <w:b/>
          <w:bCs/>
          <w:color w:val="auto"/>
        </w:rPr>
        <w:t>-</w:t>
      </w:r>
      <w:r>
        <w:rPr>
          <w:rFonts w:eastAsiaTheme="minorEastAsia"/>
          <w:b/>
          <w:bCs/>
          <w:color w:val="auto"/>
        </w:rPr>
        <w:t xml:space="preserve">1  </w:t>
      </w:r>
      <w:r>
        <w:rPr>
          <w:rFonts w:hint="eastAsia" w:eastAsiaTheme="minorEastAsia"/>
          <w:b/>
          <w:bCs/>
          <w:color w:val="auto"/>
        </w:rPr>
        <w:t>土地利用现状图</w:t>
      </w:r>
    </w:p>
    <w:p>
      <w:pPr>
        <w:spacing w:line="360" w:lineRule="auto"/>
        <w:jc w:val="both"/>
        <w:rPr>
          <w:rFonts w:eastAsiaTheme="minorEastAsia"/>
          <w:color w:val="auto"/>
        </w:rPr>
      </w:pPr>
    </w:p>
    <w:p>
      <w:pPr>
        <w:pStyle w:val="298"/>
        <w:spacing w:line="360" w:lineRule="auto"/>
        <w:rPr>
          <w:color w:val="auto"/>
          <w:highlight w:val="none"/>
        </w:rPr>
      </w:pPr>
      <w:bookmarkStart w:id="44" w:name="_Toc14946785"/>
      <w:bookmarkStart w:id="45" w:name="_Toc15912077"/>
      <w:bookmarkStart w:id="46" w:name="_Toc24136688"/>
      <w:bookmarkStart w:id="47" w:name="_Toc9285"/>
      <w:r>
        <w:rPr>
          <w:color w:val="auto"/>
          <w:highlight w:val="none"/>
        </w:rPr>
        <w:t>1.3.</w:t>
      </w:r>
      <w:r>
        <w:rPr>
          <w:color w:val="auto"/>
          <w:highlight w:val="none"/>
          <w:lang w:eastAsia="zh-CN"/>
        </w:rPr>
        <w:t>5</w:t>
      </w:r>
      <w:r>
        <w:rPr>
          <w:color w:val="auto"/>
          <w:highlight w:val="none"/>
        </w:rPr>
        <w:t xml:space="preserve"> 项目平面布局合理性分析</w:t>
      </w:r>
      <w:bookmarkEnd w:id="44"/>
      <w:bookmarkEnd w:id="45"/>
      <w:bookmarkEnd w:id="46"/>
      <w:bookmarkEnd w:id="47"/>
    </w:p>
    <w:p>
      <w:pPr>
        <w:pStyle w:val="77"/>
        <w:ind w:firstLine="480"/>
        <w:jc w:val="both"/>
        <w:rPr>
          <w:color w:val="auto"/>
          <w:highlight w:val="none"/>
        </w:rPr>
      </w:pPr>
      <w:r>
        <w:rPr>
          <w:rFonts w:hint="eastAsia"/>
          <w:color w:val="auto"/>
          <w:highlight w:val="none"/>
        </w:rPr>
        <w:t>本项目作为</w:t>
      </w:r>
      <w:r>
        <w:rPr>
          <w:bCs/>
          <w:color w:val="auto"/>
          <w:highlight w:val="none"/>
        </w:rPr>
        <w:t>兴宁市静脉产业园</w:t>
      </w:r>
      <w:r>
        <w:rPr>
          <w:rFonts w:hint="eastAsia"/>
          <w:bCs/>
          <w:color w:val="auto"/>
          <w:highlight w:val="none"/>
        </w:rPr>
        <w:t>项目的子项目，位于</w:t>
      </w:r>
      <w:r>
        <w:rPr>
          <w:bCs/>
          <w:color w:val="auto"/>
          <w:highlight w:val="none"/>
        </w:rPr>
        <w:t>兴宁市静脉产业园</w:t>
      </w:r>
      <w:r>
        <w:rPr>
          <w:rFonts w:hint="eastAsia"/>
          <w:bCs/>
          <w:color w:val="auto"/>
          <w:highlight w:val="none"/>
        </w:rPr>
        <w:t>项目红线范围内的</w:t>
      </w:r>
      <w:r>
        <w:rPr>
          <w:rFonts w:hint="eastAsia"/>
          <w:bCs/>
          <w:color w:val="auto"/>
          <w:highlight w:val="none"/>
          <w:lang w:eastAsia="zh-CN"/>
        </w:rPr>
        <w:t>西侧和西北</w:t>
      </w:r>
      <w:r>
        <w:rPr>
          <w:rFonts w:hint="eastAsia"/>
          <w:color w:val="auto"/>
          <w:highlight w:val="none"/>
        </w:rPr>
        <w:t>侧，</w:t>
      </w:r>
      <w:r>
        <w:rPr>
          <w:bCs/>
          <w:color w:val="auto"/>
          <w:highlight w:val="none"/>
        </w:rPr>
        <w:t>兴宁市静脉产业园</w:t>
      </w:r>
      <w:r>
        <w:rPr>
          <w:rFonts w:hint="eastAsia"/>
          <w:bCs/>
          <w:color w:val="auto"/>
          <w:highlight w:val="none"/>
        </w:rPr>
        <w:t>项目（简称园内项目）北侧</w:t>
      </w:r>
      <w:r>
        <w:rPr>
          <w:rFonts w:hint="eastAsia"/>
          <w:color w:val="auto"/>
          <w:highlight w:val="none"/>
        </w:rPr>
        <w:t>为人流出入口、</w:t>
      </w:r>
      <w:r>
        <w:rPr>
          <w:rFonts w:hint="eastAsia"/>
          <w:color w:val="auto"/>
          <w:highlight w:val="none"/>
          <w:lang w:eastAsia="zh-CN"/>
        </w:rPr>
        <w:t>南</w:t>
      </w:r>
      <w:r>
        <w:rPr>
          <w:rFonts w:hint="eastAsia"/>
          <w:color w:val="auto"/>
          <w:highlight w:val="none"/>
        </w:rPr>
        <w:t>侧为物流出入口，实现人流及物流分离。</w:t>
      </w:r>
      <w:r>
        <w:rPr>
          <w:rFonts w:hint="eastAsia"/>
          <w:bCs/>
          <w:color w:val="auto"/>
          <w:highlight w:val="none"/>
        </w:rPr>
        <w:t>园内项目</w:t>
      </w:r>
      <w:r>
        <w:rPr>
          <w:rFonts w:hint="eastAsia"/>
          <w:color w:val="auto"/>
          <w:highlight w:val="none"/>
        </w:rPr>
        <w:t>场址自东向西面的倾斜，山坡坡度较平缓，小于</w:t>
      </w:r>
      <w:r>
        <w:rPr>
          <w:color w:val="auto"/>
          <w:highlight w:val="none"/>
        </w:rPr>
        <w:t>30</w:t>
      </w:r>
      <w:r>
        <w:rPr>
          <w:rFonts w:hint="eastAsia"/>
          <w:color w:val="auto"/>
          <w:highlight w:val="none"/>
        </w:rPr>
        <w:t>度，高程在</w:t>
      </w:r>
      <w:r>
        <w:rPr>
          <w:color w:val="auto"/>
          <w:highlight w:val="none"/>
        </w:rPr>
        <w:t>160-220m</w:t>
      </w:r>
      <w:r>
        <w:rPr>
          <w:rFonts w:hint="eastAsia"/>
          <w:color w:val="auto"/>
          <w:highlight w:val="none"/>
        </w:rPr>
        <w:t>之间，地形高差小于</w:t>
      </w:r>
      <w:r>
        <w:rPr>
          <w:color w:val="auto"/>
          <w:highlight w:val="none"/>
        </w:rPr>
        <w:t>100m</w:t>
      </w:r>
      <w:r>
        <w:rPr>
          <w:rFonts w:hint="eastAsia"/>
          <w:color w:val="auto"/>
          <w:highlight w:val="none"/>
        </w:rPr>
        <w:t>，整个红线范围内地势采用平坡式布置形式，连续式平土方式。园内各个项目布设情况如下：</w:t>
      </w:r>
    </w:p>
    <w:p>
      <w:pPr>
        <w:tabs>
          <w:tab w:val="left" w:pos="1199"/>
        </w:tabs>
        <w:spacing w:line="360" w:lineRule="auto"/>
        <w:ind w:firstLine="480" w:firstLineChars="200"/>
        <w:jc w:val="both"/>
        <w:rPr>
          <w:color w:val="auto"/>
          <w:highlight w:val="none"/>
        </w:rPr>
      </w:pPr>
      <w:r>
        <w:rPr>
          <w:rFonts w:hint="eastAsia"/>
          <w:color w:val="auto"/>
          <w:highlight w:val="none"/>
        </w:rPr>
        <w:t>1、配套办公生活区：该区域布置在园区</w:t>
      </w:r>
      <w:r>
        <w:rPr>
          <w:rFonts w:hint="eastAsia"/>
          <w:color w:val="auto"/>
          <w:highlight w:val="none"/>
          <w:lang w:eastAsia="zh-CN"/>
        </w:rPr>
        <w:t>中</w:t>
      </w:r>
      <w:r>
        <w:rPr>
          <w:rFonts w:hint="eastAsia"/>
          <w:color w:val="auto"/>
          <w:highlight w:val="none"/>
        </w:rPr>
        <w:t>侧，位于主导风向上风向同时靠近人流出入口，便于人员进出，同时选址有现状水塘，可利用自然景观，提升厂前区环境。</w:t>
      </w:r>
    </w:p>
    <w:p>
      <w:pPr>
        <w:tabs>
          <w:tab w:val="left" w:pos="1199"/>
        </w:tabs>
        <w:autoSpaceDE w:val="0"/>
        <w:autoSpaceDN w:val="0"/>
        <w:spacing w:line="360" w:lineRule="auto"/>
        <w:ind w:firstLine="480" w:firstLineChars="200"/>
        <w:jc w:val="both"/>
        <w:rPr>
          <w:color w:val="auto"/>
          <w:highlight w:val="none"/>
        </w:rPr>
      </w:pPr>
      <w:r>
        <w:rPr>
          <w:rFonts w:hint="eastAsia"/>
          <w:color w:val="auto"/>
          <w:highlight w:val="none"/>
        </w:rPr>
        <w:t>2、垃圾焚烧发电厂：发电厂为园区的核心，其主厂房为本园区形象最佳的建筑，将其布置在配套办公生活区南侧，靠近厂前区，同时将主立面朝向人流道路，展现企业形象。</w:t>
      </w:r>
    </w:p>
    <w:p>
      <w:pPr>
        <w:tabs>
          <w:tab w:val="left" w:pos="1199"/>
        </w:tabs>
        <w:autoSpaceDE w:val="0"/>
        <w:autoSpaceDN w:val="0"/>
        <w:spacing w:line="360" w:lineRule="auto"/>
        <w:ind w:firstLine="480" w:firstLineChars="200"/>
        <w:jc w:val="both"/>
        <w:rPr>
          <w:color w:val="auto"/>
          <w:highlight w:val="none"/>
        </w:rPr>
      </w:pPr>
      <w:r>
        <w:rPr>
          <w:rFonts w:hint="eastAsia"/>
          <w:color w:val="auto"/>
          <w:highlight w:val="none"/>
        </w:rPr>
        <w:t>3、粪便预处理车间、污</w:t>
      </w:r>
      <w:r>
        <w:rPr>
          <w:rFonts w:hint="eastAsia"/>
          <w:color w:val="auto"/>
          <w:highlight w:val="none"/>
          <w:lang w:eastAsia="zh-CN"/>
        </w:rPr>
        <w:t>泥</w:t>
      </w:r>
      <w:r>
        <w:rPr>
          <w:rFonts w:hint="eastAsia"/>
          <w:color w:val="auto"/>
          <w:highlight w:val="none"/>
        </w:rPr>
        <w:t>处理厂：两个园区环境较差，粪便预处理车间布置</w:t>
      </w:r>
      <w:r>
        <w:rPr>
          <w:rFonts w:hint="eastAsia"/>
          <w:color w:val="auto"/>
          <w:highlight w:val="none"/>
          <w:lang w:eastAsia="zh-CN"/>
        </w:rPr>
        <w:t>和</w:t>
      </w:r>
      <w:r>
        <w:rPr>
          <w:rFonts w:hint="eastAsia"/>
          <w:color w:val="auto"/>
          <w:highlight w:val="none"/>
        </w:rPr>
        <w:t>污</w:t>
      </w:r>
      <w:r>
        <w:rPr>
          <w:rFonts w:hint="eastAsia"/>
          <w:color w:val="auto"/>
          <w:highlight w:val="none"/>
          <w:lang w:eastAsia="zh-CN"/>
        </w:rPr>
        <w:t>泥</w:t>
      </w:r>
      <w:r>
        <w:rPr>
          <w:rFonts w:hint="eastAsia"/>
          <w:color w:val="auto"/>
          <w:highlight w:val="none"/>
        </w:rPr>
        <w:t>处理厂布置在</w:t>
      </w:r>
      <w:r>
        <w:rPr>
          <w:rFonts w:hint="eastAsia"/>
          <w:color w:val="auto"/>
          <w:highlight w:val="none"/>
          <w:lang w:eastAsia="zh-CN"/>
        </w:rPr>
        <w:t>生活垃圾焚烧</w:t>
      </w:r>
      <w:r>
        <w:rPr>
          <w:rFonts w:hint="eastAsia"/>
          <w:color w:val="auto"/>
          <w:highlight w:val="none"/>
        </w:rPr>
        <w:t>主厂房</w:t>
      </w:r>
      <w:r>
        <w:rPr>
          <w:rFonts w:hint="eastAsia"/>
          <w:color w:val="auto"/>
          <w:highlight w:val="none"/>
          <w:lang w:eastAsia="zh-CN"/>
        </w:rPr>
        <w:t>内</w:t>
      </w:r>
      <w:r>
        <w:rPr>
          <w:rFonts w:hint="eastAsia"/>
          <w:color w:val="auto"/>
          <w:highlight w:val="none"/>
        </w:rPr>
        <w:t>，隔离其与厂前区。</w:t>
      </w:r>
    </w:p>
    <w:p>
      <w:pPr>
        <w:tabs>
          <w:tab w:val="left" w:pos="1199"/>
        </w:tabs>
        <w:autoSpaceDE w:val="0"/>
        <w:autoSpaceDN w:val="0"/>
        <w:spacing w:line="360" w:lineRule="auto"/>
        <w:ind w:firstLine="480" w:firstLineChars="200"/>
        <w:jc w:val="both"/>
        <w:rPr>
          <w:color w:val="auto"/>
          <w:highlight w:val="none"/>
        </w:rPr>
      </w:pPr>
      <w:r>
        <w:rPr>
          <w:rFonts w:hint="eastAsia"/>
          <w:color w:val="auto"/>
          <w:highlight w:val="none"/>
        </w:rPr>
        <w:t>4、生活垃圾卫生填埋场：填埋场位于产业园北侧，飞灰在此固化养护达标后，可就近进入填埋场填埋。</w:t>
      </w:r>
      <w:r>
        <w:rPr>
          <w:color w:val="auto"/>
          <w:highlight w:val="none"/>
        </w:rPr>
        <w:t xml:space="preserve"> </w:t>
      </w:r>
    </w:p>
    <w:p>
      <w:pPr>
        <w:tabs>
          <w:tab w:val="left" w:pos="1199"/>
        </w:tabs>
        <w:autoSpaceDE w:val="0"/>
        <w:autoSpaceDN w:val="0"/>
        <w:spacing w:line="360" w:lineRule="auto"/>
        <w:ind w:firstLine="480" w:firstLineChars="200"/>
        <w:jc w:val="both"/>
        <w:rPr>
          <w:color w:val="auto"/>
          <w:highlight w:val="none"/>
        </w:rPr>
      </w:pPr>
      <w:r>
        <w:rPr>
          <w:rFonts w:hint="eastAsia"/>
          <w:color w:val="auto"/>
          <w:highlight w:val="none"/>
        </w:rPr>
        <w:t>5、餐厨垃圾处理厂和建筑垃圾消纳场（即本</w:t>
      </w:r>
      <w:r>
        <w:rPr>
          <w:rFonts w:hint="eastAsia"/>
          <w:color w:val="auto"/>
          <w:highlight w:val="none"/>
          <w:lang w:eastAsia="zh-CN"/>
        </w:rPr>
        <w:t>项目</w:t>
      </w:r>
      <w:r>
        <w:rPr>
          <w:rFonts w:hint="eastAsia"/>
          <w:color w:val="auto"/>
          <w:highlight w:val="none"/>
        </w:rPr>
        <w:t>）：位于园区的</w:t>
      </w:r>
      <w:r>
        <w:rPr>
          <w:rFonts w:hint="eastAsia"/>
          <w:bCs/>
          <w:color w:val="auto"/>
          <w:highlight w:val="none"/>
          <w:lang w:eastAsia="zh-CN"/>
        </w:rPr>
        <w:t>西侧和西北</w:t>
      </w:r>
      <w:r>
        <w:rPr>
          <w:rFonts w:hint="eastAsia"/>
          <w:color w:val="auto"/>
          <w:highlight w:val="none"/>
        </w:rPr>
        <w:t>侧，均为作业生产区，不设综合管理区，其中餐厨垃圾处理厂主要包括接料区、破碎区、脱水区、油水分离区等功能区域，过程中产生的脱水残渣和除油残渣通过园区内的道路运至</w:t>
      </w:r>
      <w:r>
        <w:rPr>
          <w:rFonts w:hint="eastAsia"/>
          <w:color w:val="auto"/>
          <w:highlight w:val="none"/>
          <w:lang w:eastAsia="zh-CN"/>
        </w:rPr>
        <w:t>东</w:t>
      </w:r>
      <w:r>
        <w:rPr>
          <w:rFonts w:hint="eastAsia"/>
          <w:color w:val="auto"/>
          <w:highlight w:val="none"/>
        </w:rPr>
        <w:t>侧的垃圾焚烧发电厂焚烧发电。建筑垃圾消纳场的填埋作业区采取水平分区压实，淋溶液调节池及废水处理池位于建筑垃圾消纳场的</w:t>
      </w:r>
      <w:r>
        <w:rPr>
          <w:rFonts w:hint="eastAsia"/>
          <w:color w:val="auto"/>
          <w:highlight w:val="none"/>
          <w:lang w:eastAsia="zh-CN"/>
        </w:rPr>
        <w:t>西</w:t>
      </w:r>
      <w:r>
        <w:rPr>
          <w:rFonts w:hint="eastAsia"/>
          <w:color w:val="auto"/>
          <w:highlight w:val="none"/>
        </w:rPr>
        <w:t>侧。</w:t>
      </w:r>
    </w:p>
    <w:p>
      <w:pPr>
        <w:spacing w:line="360" w:lineRule="auto"/>
        <w:ind w:firstLine="464" w:firstLineChars="200"/>
        <w:jc w:val="both"/>
        <w:rPr>
          <w:color w:val="auto"/>
          <w:spacing w:val="-4"/>
        </w:rPr>
      </w:pPr>
      <w:r>
        <w:rPr>
          <w:color w:val="auto"/>
          <w:spacing w:val="-4"/>
          <w:highlight w:val="none"/>
        </w:rPr>
        <w:t>根据</w:t>
      </w:r>
      <w:r>
        <w:rPr>
          <w:rFonts w:asciiTheme="minorEastAsia" w:hAnsiTheme="minorEastAsia" w:eastAsiaTheme="minorEastAsia"/>
          <w:color w:val="auto"/>
          <w:spacing w:val="-4"/>
          <w:highlight w:val="none"/>
        </w:rPr>
        <w:t>“整体设计，可持续发展”</w:t>
      </w:r>
      <w:r>
        <w:rPr>
          <w:color w:val="auto"/>
          <w:spacing w:val="-4"/>
          <w:highlight w:val="none"/>
        </w:rPr>
        <w:t>的原则。主要建构筑物总平面布置主要考虑满足工艺流程，方便生产的要求，同时根据现有场地</w:t>
      </w:r>
      <w:r>
        <w:rPr>
          <w:color w:val="auto"/>
          <w:spacing w:val="-4"/>
        </w:rPr>
        <w:t>及周边道路情况，首先确定生产区的位置，然后围绕生产区布置为其服务的辅助设施，使交通运输线路和各种管线通顺短捷，避免迂回交叉。</w:t>
      </w:r>
    </w:p>
    <w:p>
      <w:pPr>
        <w:spacing w:line="360" w:lineRule="auto"/>
        <w:ind w:firstLine="480" w:firstLineChars="200"/>
        <w:jc w:val="both"/>
        <w:rPr>
          <w:color w:val="auto"/>
        </w:rPr>
        <w:sectPr>
          <w:pgSz w:w="11906" w:h="16838"/>
          <w:pgMar w:top="1418" w:right="1418" w:bottom="1418" w:left="1418" w:header="851" w:footer="992" w:gutter="0"/>
          <w:pgNumType w:fmt="decimal"/>
          <w:cols w:space="425" w:num="1"/>
          <w:docGrid w:type="lines" w:linePitch="326" w:charSpace="0"/>
        </w:sectPr>
      </w:pPr>
      <w:r>
        <w:rPr>
          <w:color w:val="auto"/>
        </w:rPr>
        <w:t>总的来说，</w:t>
      </w:r>
      <w:r>
        <w:rPr>
          <w:rFonts w:hint="eastAsia"/>
          <w:color w:val="auto"/>
        </w:rPr>
        <w:t>园区内</w:t>
      </w:r>
      <w:r>
        <w:rPr>
          <w:color w:val="auto"/>
        </w:rPr>
        <w:t>总图布置设计合理，功能分区明确，交通组织便利，且</w:t>
      </w:r>
      <w:r>
        <w:rPr>
          <w:rFonts w:hint="eastAsia"/>
          <w:color w:val="auto"/>
        </w:rPr>
        <w:t>本项目的餐厨垃圾和建筑垃圾平面布置</w:t>
      </w:r>
      <w:r>
        <w:rPr>
          <w:color w:val="auto"/>
        </w:rPr>
        <w:t>已从环保角度进行优化，最大限度地有利于环境保护工作的开展。落实项目提出的各项环保措施，故</w:t>
      </w:r>
      <w:r>
        <w:rPr>
          <w:rFonts w:hint="eastAsia"/>
          <w:color w:val="auto"/>
        </w:rPr>
        <w:t>本项目</w:t>
      </w:r>
      <w:r>
        <w:rPr>
          <w:color w:val="auto"/>
        </w:rPr>
        <w:t>布置从环保角度可行。</w:t>
      </w:r>
    </w:p>
    <w:p>
      <w:pPr>
        <w:spacing w:line="360" w:lineRule="auto"/>
        <w:ind w:firstLine="480" w:firstLineChars="200"/>
        <w:jc w:val="center"/>
        <w:rPr>
          <w:color w:val="auto"/>
        </w:rPr>
      </w:pPr>
      <w:r>
        <w:rPr>
          <w:color w:val="auto"/>
          <w:sz w:val="24"/>
        </w:rPr>
        <mc:AlternateContent>
          <mc:Choice Requires="wps">
            <w:drawing>
              <wp:anchor distT="0" distB="0" distL="114300" distR="114300" simplePos="0" relativeHeight="254850048" behindDoc="0" locked="0" layoutInCell="1" allowOverlap="1">
                <wp:simplePos x="0" y="0"/>
                <wp:positionH relativeFrom="column">
                  <wp:posOffset>6099175</wp:posOffset>
                </wp:positionH>
                <wp:positionV relativeFrom="paragraph">
                  <wp:posOffset>4459605</wp:posOffset>
                </wp:positionV>
                <wp:extent cx="551180" cy="793750"/>
                <wp:effectExtent l="12700" t="0" r="26670" b="12700"/>
                <wp:wrapNone/>
                <wp:docPr id="61" name="矩形 61"/>
                <wp:cNvGraphicFramePr/>
                <a:graphic xmlns:a="http://schemas.openxmlformats.org/drawingml/2006/main">
                  <a:graphicData uri="http://schemas.microsoft.com/office/word/2010/wordprocessingShape">
                    <wps:wsp>
                      <wps:cNvSpPr/>
                      <wps:spPr>
                        <a:xfrm>
                          <a:off x="6894830" y="5137785"/>
                          <a:ext cx="551180" cy="79375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0.25pt;margin-top:351.15pt;height:62.5pt;width:43.4pt;z-index:254850048;v-text-anchor:middle;mso-width-relative:page;mso-height-relative:page;" filled="f" stroked="t" coordsize="21600,21600" o:gfxdata="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KcSZB2QAAAAwBAAAP&#10;AAAAAAAAAAEAIAAAACIAAABkcnMvZG93bnJldi54bWxQSwECFAAUAAAACACHTuJAWg5z1lACAABz&#10;BAAADgAAAAAAAAABACAAAAAoAQAAZHJzL2Uyb0RvYy54bWxQSwUGAAAAAAYABgBZAQAA6gUAAAAA&#10;">
                <v:fill on="f" focussize="0,0"/>
                <v:stroke weight="2pt" color="#FFFF00 [3204]" joinstyle="round"/>
                <v:imagedata o:title=""/>
                <o:lock v:ext="edit" aspectratio="f"/>
              </v:rect>
            </w:pict>
          </mc:Fallback>
        </mc:AlternateContent>
      </w:r>
      <w:r>
        <w:rPr>
          <w:color w:val="auto"/>
        </w:rPr>
        <mc:AlternateContent>
          <mc:Choice Requires="wps">
            <w:drawing>
              <wp:anchor distT="0" distB="0" distL="114300" distR="114300" simplePos="0" relativeHeight="254849024" behindDoc="0" locked="0" layoutInCell="1" allowOverlap="1">
                <wp:simplePos x="0" y="0"/>
                <wp:positionH relativeFrom="column">
                  <wp:posOffset>10788650</wp:posOffset>
                </wp:positionH>
                <wp:positionV relativeFrom="paragraph">
                  <wp:posOffset>1661160</wp:posOffset>
                </wp:positionV>
                <wp:extent cx="1210945" cy="557530"/>
                <wp:effectExtent l="948690" t="5080" r="12065" b="713740"/>
                <wp:wrapNone/>
                <wp:docPr id="60" name="矩形标注 60"/>
                <wp:cNvGraphicFramePr/>
                <a:graphic xmlns:a="http://schemas.openxmlformats.org/drawingml/2006/main">
                  <a:graphicData uri="http://schemas.microsoft.com/office/word/2010/wordprocessingShape">
                    <wps:wsp>
                      <wps:cNvSpPr/>
                      <wps:spPr>
                        <a:xfrm>
                          <a:off x="0" y="0"/>
                          <a:ext cx="1210945" cy="557530"/>
                        </a:xfrm>
                        <a:prstGeom prst="wedgeRectCallout">
                          <a:avLst>
                            <a:gd name="adj1" fmla="val -127975"/>
                            <a:gd name="adj2" fmla="val 176195"/>
                          </a:avLst>
                        </a:prstGeom>
                        <a:noFill/>
                        <a:ln w="3175"/>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color w:val="000000" w:themeColor="text1"/>
                                <w14:textFill>
                                  <w14:solidFill>
                                    <w14:schemeClr w14:val="tx1"/>
                                  </w14:solidFill>
                                </w14:textFill>
                              </w:rPr>
                            </w:pPr>
                            <w:r>
                              <w:rPr>
                                <w:rFonts w:hint="eastAsia"/>
                                <w:b/>
                                <w:color w:val="000000" w:themeColor="text1"/>
                                <w:lang w:eastAsia="zh-CN"/>
                                <w14:textFill>
                                  <w14:solidFill>
                                    <w14:schemeClr w14:val="tx1"/>
                                  </w14:solidFill>
                                </w14:textFill>
                              </w:rPr>
                              <w:t>飞灰填埋场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849.5pt;margin-top:130.8pt;height:43.9pt;width:95.35pt;z-index:254849024;v-text-anchor:middle;mso-width-relative:page;mso-height-relative:page;" filled="f" stroked="t" coordsize="21600,21600" o:gfxdata="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A9SbuD&#10;2QAAAA0BAAAPAAAAAAAAAAEAIAAAACIAAABkcnMvZG93bnJldi54bWxQSwECFAAUAAAACACHTuJA&#10;TWtkiJICAAD5BAAADgAAAAAAAAABACAAAAAoAQAAZHJzL2Uyb0RvYy54bWxQSwUGAAAAAAYABgBZ&#10;AQAALAYAAAAA&#10;" adj="-16843,48858">
                <v:fill on="f" focussize="0,0"/>
                <v:stroke weight="0.25pt" color="#385D8A [3204]" joinstyle="round"/>
                <v:imagedata o:title=""/>
                <o:lock v:ext="edit" aspectratio="f"/>
                <v:textbox>
                  <w:txbxContent>
                    <w:p>
                      <w:pPr>
                        <w:jc w:val="center"/>
                        <w:rPr>
                          <w:b/>
                          <w:color w:val="000000" w:themeColor="text1"/>
                          <w14:textFill>
                            <w14:solidFill>
                              <w14:schemeClr w14:val="tx1"/>
                            </w14:solidFill>
                          </w14:textFill>
                        </w:rPr>
                      </w:pPr>
                      <w:r>
                        <w:rPr>
                          <w:rFonts w:hint="eastAsia"/>
                          <w:b/>
                          <w:color w:val="000000" w:themeColor="text1"/>
                          <w:lang w:eastAsia="zh-CN"/>
                          <w14:textFill>
                            <w14:solidFill>
                              <w14:schemeClr w14:val="tx1"/>
                            </w14:solidFill>
                          </w14:textFill>
                        </w:rPr>
                        <w:t>飞灰填埋场</w:t>
                      </w:r>
                    </w:p>
                  </w:txbxContent>
                </v:textbox>
              </v:shape>
            </w:pict>
          </mc:Fallback>
        </mc:AlternateContent>
      </w:r>
      <w:r>
        <w:rPr>
          <w:color w:val="auto"/>
        </w:rPr>
        <mc:AlternateContent>
          <mc:Choice Requires="wps">
            <w:drawing>
              <wp:anchor distT="0" distB="0" distL="114300" distR="114300" simplePos="0" relativeHeight="251731968" behindDoc="0" locked="0" layoutInCell="1" allowOverlap="1">
                <wp:simplePos x="0" y="0"/>
                <wp:positionH relativeFrom="column">
                  <wp:posOffset>10099675</wp:posOffset>
                </wp:positionH>
                <wp:positionV relativeFrom="paragraph">
                  <wp:posOffset>737870</wp:posOffset>
                </wp:positionV>
                <wp:extent cx="1210945" cy="427355"/>
                <wp:effectExtent l="742315" t="12700" r="27940" b="417195"/>
                <wp:wrapNone/>
                <wp:docPr id="32" name="矩形标注 32"/>
                <wp:cNvGraphicFramePr/>
                <a:graphic xmlns:a="http://schemas.openxmlformats.org/drawingml/2006/main">
                  <a:graphicData uri="http://schemas.microsoft.com/office/word/2010/wordprocessingShape">
                    <wps:wsp>
                      <wps:cNvSpPr/>
                      <wps:spPr>
                        <a:xfrm>
                          <a:off x="0" y="0"/>
                          <a:ext cx="1210945" cy="427355"/>
                        </a:xfrm>
                        <a:prstGeom prst="wedgeRectCallout">
                          <a:avLst>
                            <a:gd name="adj1" fmla="val -110251"/>
                            <a:gd name="adj2" fmla="val 140490"/>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园区红线图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795.25pt;margin-top:58.1pt;height:33.65pt;width:95.35pt;z-index:251731968;v-text-anchor:middle;mso-width-relative:page;mso-height-relative:page;" filled="f" stroked="t" coordsize="21600,21600" o:gfxdata="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BXl&#10;RzvZAAAADQEAAA8AAAAAAAAAAQAgAAAAIgAAAGRycy9kb3ducmV2LnhtbFBLAQIUABQAAAAIAIdO&#10;4kAknFtflAIAAPoEAAAOAAAAAAAAAAEAIAAAACgBAABkcnMvZTJvRG9jLnhtbFBLBQYAAAAABgAG&#10;AFkBAAAuBgAAAAA=&#10;" adj="-13014,41146">
                <v:fill on="f" focussize="0,0"/>
                <v:stroke weight="2pt" color="#385D8A [3204]" joinstyle="round"/>
                <v:imagedata o:title=""/>
                <o:lock v:ext="edit" aspectratio="f"/>
                <v:textbox>
                  <w:txbxContent>
                    <w:p>
                      <w:pPr>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园区红线图</w:t>
                      </w:r>
                    </w:p>
                  </w:txbxContent>
                </v:textbox>
              </v:shape>
            </w:pict>
          </mc:Fallback>
        </mc:AlternateContent>
      </w:r>
      <w:r>
        <w:rPr>
          <w:color w:val="auto"/>
        </w:rPr>
        <w:drawing>
          <wp:inline distT="0" distB="0" distL="114300" distR="114300">
            <wp:extent cx="11405235" cy="8064500"/>
            <wp:effectExtent l="0" t="0" r="5715" b="12700"/>
            <wp:docPr id="11" name="图片 11" descr="兴宁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兴宁平面布置图"/>
                    <pic:cNvPicPr>
                      <a:picLocks noChangeAspect="1"/>
                    </pic:cNvPicPr>
                  </pic:nvPicPr>
                  <pic:blipFill>
                    <a:blip r:embed="rId36"/>
                    <a:stretch>
                      <a:fillRect/>
                    </a:stretch>
                  </pic:blipFill>
                  <pic:spPr>
                    <a:xfrm>
                      <a:off x="0" y="0"/>
                      <a:ext cx="11405235" cy="8064500"/>
                    </a:xfrm>
                    <a:prstGeom prst="rect">
                      <a:avLst/>
                    </a:prstGeom>
                  </pic:spPr>
                </pic:pic>
              </a:graphicData>
            </a:graphic>
          </wp:inline>
        </w:drawing>
      </w:r>
      <w:r>
        <w:rPr>
          <w:color w:val="auto"/>
        </w:rPr>
        <mc:AlternateContent>
          <mc:Choice Requires="wps">
            <w:drawing>
              <wp:anchor distT="0" distB="0" distL="114300" distR="114300" simplePos="0" relativeHeight="251734016" behindDoc="0" locked="0" layoutInCell="1" allowOverlap="1">
                <wp:simplePos x="0" y="0"/>
                <wp:positionH relativeFrom="column">
                  <wp:posOffset>4765040</wp:posOffset>
                </wp:positionH>
                <wp:positionV relativeFrom="paragraph">
                  <wp:posOffset>2859405</wp:posOffset>
                </wp:positionV>
                <wp:extent cx="1210945" cy="558165"/>
                <wp:effectExtent l="4445" t="4445" r="270510" b="1247140"/>
                <wp:wrapNone/>
                <wp:docPr id="33" name="矩形标注 33"/>
                <wp:cNvGraphicFramePr/>
                <a:graphic xmlns:a="http://schemas.openxmlformats.org/drawingml/2006/main">
                  <a:graphicData uri="http://schemas.microsoft.com/office/word/2010/wordprocessingShape">
                    <wps:wsp>
                      <wps:cNvSpPr/>
                      <wps:spPr>
                        <a:xfrm>
                          <a:off x="0" y="0"/>
                          <a:ext cx="1210945" cy="558165"/>
                        </a:xfrm>
                        <a:prstGeom prst="wedgeRectCallout">
                          <a:avLst>
                            <a:gd name="adj1" fmla="val 71552"/>
                            <a:gd name="adj2" fmla="val 269340"/>
                          </a:avLst>
                        </a:prstGeom>
                        <a:noFill/>
                        <a:ln w="3175"/>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餐厨垃圾项目红线图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75.2pt;margin-top:225.15pt;height:43.95pt;width:95.35pt;z-index:251734016;v-text-anchor:middle;mso-width-relative:page;mso-height-relative:page;" filled="f" stroked="t" coordsize="21600,21600" o:gfxdata="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y/Sf&#10;s9wAAAALAQAADwAAAAAAAAABACAAAAAiAAAAZHJzL2Rvd25yZXYueG1sUEsBAhQAFAAAAAgAh07i&#10;QBiDEBmQAgAA9wQAAA4AAAAAAAAAAQAgAAAAKwEAAGRycy9lMm9Eb2MueG1sUEsFBgAAAAAGAAYA&#10;WQEAAC0GAAAAAA==&#10;" adj="26255,68977">
                <v:fill on="f" focussize="0,0"/>
                <v:stroke weight="0.25pt" color="#385D8A [3204]" joinstyle="round"/>
                <v:imagedata o:title=""/>
                <o:lock v:ext="edit" aspectratio="f"/>
                <v:textbox>
                  <w:txbxContent>
                    <w:p>
                      <w:pPr>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餐厨垃圾项目红线图</w:t>
                      </w:r>
                    </w:p>
                  </w:txbxContent>
                </v:textbox>
              </v:shape>
            </w:pict>
          </mc:Fallback>
        </mc:AlternateContent>
      </w:r>
      <w:r>
        <w:rPr>
          <w:color w:val="auto"/>
          <w:sz w:val="24"/>
        </w:rPr>
        <mc:AlternateContent>
          <mc:Choice Requires="wps">
            <w:drawing>
              <wp:anchor distT="0" distB="0" distL="114300" distR="114300" simplePos="0" relativeHeight="254770176" behindDoc="0" locked="0" layoutInCell="1" allowOverlap="1">
                <wp:simplePos x="0" y="0"/>
                <wp:positionH relativeFrom="column">
                  <wp:posOffset>9247505</wp:posOffset>
                </wp:positionH>
                <wp:positionV relativeFrom="paragraph">
                  <wp:posOffset>4675505</wp:posOffset>
                </wp:positionV>
                <wp:extent cx="718820" cy="1196340"/>
                <wp:effectExtent l="12700" t="0" r="30480" b="29210"/>
                <wp:wrapNone/>
                <wp:docPr id="49" name="矩形 49"/>
                <wp:cNvGraphicFramePr/>
                <a:graphic xmlns:a="http://schemas.openxmlformats.org/drawingml/2006/main">
                  <a:graphicData uri="http://schemas.microsoft.com/office/word/2010/wordprocessingShape">
                    <wps:wsp>
                      <wps:cNvSpPr/>
                      <wps:spPr>
                        <a:xfrm>
                          <a:off x="0" y="0"/>
                          <a:ext cx="718820" cy="119634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28.15pt;margin-top:368.15pt;height:94.2pt;width:56.6pt;z-index:254770176;v-text-anchor:middle;mso-width-relative:page;mso-height-relative:page;" filled="f" stroked="t" coordsize="21600,21600" o:gfxdata="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AWefyPaAAAADQEAAA8AAAAAAAAAAQAg&#10;AAAAIgAAAGRycy9kb3ducmV2LnhtbFBLAQIUABQAAAAIAIdO4kDMOEavRQIAAGgEAAAOAAAAAAAA&#10;AAEAIAAAACkBAABkcnMvZTJvRG9jLnhtbFBLBQYAAAAABgAGAFkBAADgBQAAAAA=&#10;">
                <v:fill on="f" focussize="0,0"/>
                <v:stroke weight="2pt" color="#00B0F0 [3204]" joinstyle="round"/>
                <v:imagedata o:title=""/>
                <o:lock v:ext="edit" aspectratio="f"/>
              </v:rect>
            </w:pict>
          </mc:Fallback>
        </mc:AlternateContent>
      </w:r>
      <w:r>
        <w:rPr>
          <w:color w:val="auto"/>
        </w:rPr>
        <mc:AlternateContent>
          <mc:Choice Requires="wps">
            <w:drawing>
              <wp:anchor distT="0" distB="0" distL="114300" distR="114300" simplePos="0" relativeHeight="251738112" behindDoc="0" locked="0" layoutInCell="1" allowOverlap="1">
                <wp:simplePos x="0" y="0"/>
                <wp:positionH relativeFrom="column">
                  <wp:posOffset>9776460</wp:posOffset>
                </wp:positionH>
                <wp:positionV relativeFrom="paragraph">
                  <wp:posOffset>6448425</wp:posOffset>
                </wp:positionV>
                <wp:extent cx="1210945" cy="557530"/>
                <wp:effectExtent l="264160" t="710565" r="10795" b="8255"/>
                <wp:wrapNone/>
                <wp:docPr id="41" name="矩形标注 41"/>
                <wp:cNvGraphicFramePr/>
                <a:graphic xmlns:a="http://schemas.openxmlformats.org/drawingml/2006/main">
                  <a:graphicData uri="http://schemas.microsoft.com/office/word/2010/wordprocessingShape">
                    <wps:wsp>
                      <wps:cNvSpPr/>
                      <wps:spPr>
                        <a:xfrm>
                          <a:off x="0" y="0"/>
                          <a:ext cx="1210945" cy="557530"/>
                        </a:xfrm>
                        <a:prstGeom prst="wedgeRectCallout">
                          <a:avLst>
                            <a:gd name="adj1" fmla="val -71447"/>
                            <a:gd name="adj2" fmla="val -176651"/>
                          </a:avLst>
                        </a:prstGeom>
                        <a:noFill/>
                        <a:ln w="3175"/>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生活垃圾焚烧主厂房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769.8pt;margin-top:507.75pt;height:43.9pt;width:95.35pt;z-index:251738112;v-text-anchor:middle;mso-width-relative:page;mso-height-relative:page;" filled="f" stroked="t" coordsize="21600,21600" o:gfxdata="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Mg4YLLZ&#10;AAAADwEAAA8AAAAAAAAAAQAgAAAAIgAAAGRycy9kb3ducmV2LnhtbFBLAQIUABQAAAAIAIdO4kCT&#10;PxdXkQIAAPkEAAAOAAAAAAAAAAEAIAAAACgBAABkcnMvZTJvRG9jLnhtbFBLBQYAAAAABgAGAFkB&#10;AAArBgAAAAA=&#10;" adj="-4633,-27357">
                <v:fill on="f" focussize="0,0"/>
                <v:stroke weight="0.25pt" color="#385D8A [3204]" joinstyle="round"/>
                <v:imagedata o:title=""/>
                <o:lock v:ext="edit" aspectratio="f"/>
                <v:textbox>
                  <w:txbxContent>
                    <w:p>
                      <w:pPr>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生活垃圾焚烧主厂房</w:t>
                      </w:r>
                    </w:p>
                  </w:txbxContent>
                </v:textbox>
              </v:shape>
            </w:pict>
          </mc:Fallback>
        </mc:AlternateContent>
      </w:r>
      <w:r>
        <w:rPr>
          <w:color w:val="auto"/>
        </w:rPr>
        <mc:AlternateContent>
          <mc:Choice Requires="wps">
            <w:drawing>
              <wp:anchor distT="0" distB="0" distL="114300" distR="114300" simplePos="0" relativeHeight="251736064" behindDoc="0" locked="0" layoutInCell="1" allowOverlap="1">
                <wp:simplePos x="0" y="0"/>
                <wp:positionH relativeFrom="column">
                  <wp:posOffset>5111750</wp:posOffset>
                </wp:positionH>
                <wp:positionV relativeFrom="paragraph">
                  <wp:posOffset>1847215</wp:posOffset>
                </wp:positionV>
                <wp:extent cx="1210945" cy="557530"/>
                <wp:effectExtent l="4445" t="4445" r="1242060" b="733425"/>
                <wp:wrapNone/>
                <wp:docPr id="34" name="矩形标注 34"/>
                <wp:cNvGraphicFramePr/>
                <a:graphic xmlns:a="http://schemas.openxmlformats.org/drawingml/2006/main">
                  <a:graphicData uri="http://schemas.microsoft.com/office/word/2010/wordprocessingShape">
                    <wps:wsp>
                      <wps:cNvSpPr/>
                      <wps:spPr>
                        <a:xfrm>
                          <a:off x="0" y="0"/>
                          <a:ext cx="1210945" cy="557530"/>
                        </a:xfrm>
                        <a:prstGeom prst="wedgeRectCallout">
                          <a:avLst>
                            <a:gd name="adj1" fmla="val 150786"/>
                            <a:gd name="adj2" fmla="val 178132"/>
                          </a:avLst>
                        </a:prstGeom>
                        <a:noFill/>
                        <a:ln w="3175"/>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建筑垃圾项目红线图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02.5pt;margin-top:145.45pt;height:43.9pt;width:95.35pt;z-index:251736064;v-text-anchor:middle;mso-width-relative:page;mso-height-relative:page;" filled="f" stroked="t" coordsize="21600,21600" o:gfxdata="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INgT4La&#10;AAAACwEAAA8AAAAAAAAAAQAgAAAAIgAAAGRycy9kb3ducmV2LnhtbFBLAQIUABQAAAAIAIdO4kBj&#10;I7J3kAIAAPgEAAAOAAAAAAAAAAEAIAAAACkBAABkcnMvZTJvRG9jLnhtbFBLBQYAAAAABgAGAFkB&#10;AAArBgAAAAA=&#10;" adj="43370,49277">
                <v:fill on="f" focussize="0,0"/>
                <v:stroke weight="0.25pt" color="#385D8A [3204]" joinstyle="round"/>
                <v:imagedata o:title=""/>
                <o:lock v:ext="edit" aspectratio="f"/>
                <v:textbox>
                  <w:txbxContent>
                    <w:p>
                      <w:pPr>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建筑垃圾项目红线图</w:t>
                      </w:r>
                    </w:p>
                  </w:txbxContent>
                </v:textbox>
              </v:shape>
            </w:pict>
          </mc:Fallback>
        </mc:AlternateContent>
      </w:r>
      <w:r>
        <w:rPr>
          <w:color w:val="auto"/>
          <w:sz w:val="24"/>
        </w:rPr>
        <mc:AlternateContent>
          <mc:Choice Requires="wps">
            <w:drawing>
              <wp:anchor distT="0" distB="0" distL="114300" distR="114300" simplePos="0" relativeHeight="253213696" behindDoc="0" locked="0" layoutInCell="1" allowOverlap="1">
                <wp:simplePos x="0" y="0"/>
                <wp:positionH relativeFrom="column">
                  <wp:posOffset>10629900</wp:posOffset>
                </wp:positionH>
                <wp:positionV relativeFrom="paragraph">
                  <wp:posOffset>4777105</wp:posOffset>
                </wp:positionV>
                <wp:extent cx="370205" cy="539750"/>
                <wp:effectExtent l="12700" t="0" r="17145" b="19050"/>
                <wp:wrapNone/>
                <wp:docPr id="48" name="矩形 48"/>
                <wp:cNvGraphicFramePr/>
                <a:graphic xmlns:a="http://schemas.openxmlformats.org/drawingml/2006/main">
                  <a:graphicData uri="http://schemas.microsoft.com/office/word/2010/wordprocessingShape">
                    <wps:wsp>
                      <wps:cNvSpPr/>
                      <wps:spPr>
                        <a:xfrm>
                          <a:off x="11530330" y="5677535"/>
                          <a:ext cx="370205" cy="53975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37pt;margin-top:376.15pt;height:42.5pt;width:29.15pt;z-index:253213696;v-text-anchor:middle;mso-width-relative:page;mso-height-relative:page;" filled="f" stroked="t" coordsize="21600,21600" o:gfxdata="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F/HHlHZAAAADQEA&#10;AA8AAAAAAAAAAQAgAAAAIgAAAGRycy9kb3ducmV2LnhtbFBLAQIUABQAAAAIAIdO4kBWkQGKUgIA&#10;AHQEAAAOAAAAAAAAAAEAIAAAACgBAABkcnMvZTJvRG9jLnhtbFBLBQYAAAAABgAGAFkBAADsBQAA&#10;AAA=&#10;">
                <v:fill on="f" focussize="0,0"/>
                <v:stroke weight="2pt" color="#00B0F0 [3204]" joinstyle="round"/>
                <v:imagedata o:title=""/>
                <o:lock v:ext="edit" aspectratio="f"/>
              </v:rect>
            </w:pict>
          </mc:Fallback>
        </mc:AlternateContent>
      </w:r>
      <w:r>
        <w:rPr>
          <w:color w:val="auto"/>
        </w:rPr>
        <mc:AlternateContent>
          <mc:Choice Requires="wps">
            <w:drawing>
              <wp:anchor distT="0" distB="0" distL="114300" distR="114300" simplePos="0" relativeHeight="251740160" behindDoc="0" locked="0" layoutInCell="1" allowOverlap="1">
                <wp:simplePos x="0" y="0"/>
                <wp:positionH relativeFrom="column">
                  <wp:posOffset>11675110</wp:posOffset>
                </wp:positionH>
                <wp:positionV relativeFrom="paragraph">
                  <wp:posOffset>6901180</wp:posOffset>
                </wp:positionV>
                <wp:extent cx="1210945" cy="557530"/>
                <wp:effectExtent l="806450" t="1709420" r="20955" b="19050"/>
                <wp:wrapNone/>
                <wp:docPr id="43" name="矩形标注 43"/>
                <wp:cNvGraphicFramePr/>
                <a:graphic xmlns:a="http://schemas.openxmlformats.org/drawingml/2006/main">
                  <a:graphicData uri="http://schemas.microsoft.com/office/word/2010/wordprocessingShape">
                    <wps:wsp>
                      <wps:cNvSpPr/>
                      <wps:spPr>
                        <a:xfrm>
                          <a:off x="0" y="0"/>
                          <a:ext cx="1210945" cy="557530"/>
                        </a:xfrm>
                        <a:prstGeom prst="wedgeRectCallout">
                          <a:avLst>
                            <a:gd name="adj1" fmla="val -116229"/>
                            <a:gd name="adj2" fmla="val -355808"/>
                          </a:avLst>
                        </a:prstGeom>
                        <a:noFill/>
                        <a:ln w="3175"/>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color w:val="000000" w:themeColor="text1"/>
                                <w:lang w:eastAsia="zh-CN"/>
                                <w14:textFill>
                                  <w14:solidFill>
                                    <w14:schemeClr w14:val="tx1"/>
                                  </w14:solidFill>
                                </w14:textFill>
                              </w:rPr>
                            </w:pPr>
                            <w:r>
                              <w:rPr>
                                <w:rFonts w:hint="eastAsia"/>
                                <w:b/>
                                <w:color w:val="000000" w:themeColor="text1"/>
                                <w:lang w:eastAsia="zh-CN"/>
                                <w14:textFill>
                                  <w14:solidFill>
                                    <w14:schemeClr w14:val="tx1"/>
                                  </w14:solidFill>
                                </w14:textFill>
                              </w:rPr>
                              <w:t>渗滤液处理站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919.3pt;margin-top:543.4pt;height:43.9pt;width:95.35pt;z-index:251740160;v-text-anchor:middle;mso-width-relative:page;mso-height-relative:page;" filled="f" stroked="t" coordsize="21600,21600" o:gfxdata="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F4M&#10;eYzbAAAADwEAAA8AAAAAAAAAAQAgAAAAIgAAAGRycy9kb3ducmV2LnhtbFBLAQIUABQAAAAIAIdO&#10;4kCZzB9dkgIAAPoEAAAOAAAAAAAAAAEAIAAAACoBAABkcnMvZTJvRG9jLnhtbFBLBQYAAAAABgAG&#10;AFkBAAAuBgAAAAA=&#10;" adj="-14305,-66055">
                <v:fill on="f" focussize="0,0"/>
                <v:stroke weight="0.25pt" color="#385D8A [3204]" joinstyle="round"/>
                <v:imagedata o:title=""/>
                <o:lock v:ext="edit" aspectratio="f"/>
                <v:textbox>
                  <w:txbxContent>
                    <w:p>
                      <w:pPr>
                        <w:jc w:val="center"/>
                        <w:rPr>
                          <w:rFonts w:hint="eastAsia" w:eastAsia="宋体"/>
                          <w:b/>
                          <w:color w:val="000000" w:themeColor="text1"/>
                          <w:lang w:eastAsia="zh-CN"/>
                          <w14:textFill>
                            <w14:solidFill>
                              <w14:schemeClr w14:val="tx1"/>
                            </w14:solidFill>
                          </w14:textFill>
                        </w:rPr>
                      </w:pPr>
                      <w:r>
                        <w:rPr>
                          <w:rFonts w:hint="eastAsia"/>
                          <w:b/>
                          <w:color w:val="000000" w:themeColor="text1"/>
                          <w:lang w:eastAsia="zh-CN"/>
                          <w14:textFill>
                            <w14:solidFill>
                              <w14:schemeClr w14:val="tx1"/>
                            </w14:solidFill>
                          </w14:textFill>
                        </w:rPr>
                        <w:t>渗滤液处理站</w:t>
                      </w:r>
                    </w:p>
                  </w:txbxContent>
                </v:textbox>
              </v:shape>
            </w:pict>
          </mc:Fallback>
        </mc:AlternateContent>
      </w:r>
    </w:p>
    <w:p>
      <w:pPr>
        <w:spacing w:line="360" w:lineRule="auto"/>
        <w:jc w:val="center"/>
        <w:rPr>
          <w:b/>
          <w:color w:val="auto"/>
          <w:highlight w:val="none"/>
        </w:rPr>
      </w:pPr>
      <w:r>
        <w:rPr>
          <w:b/>
          <w:color w:val="auto"/>
          <w:highlight w:val="none"/>
        </w:rPr>
        <w:t>图1.3-</w:t>
      </w:r>
      <w:r>
        <w:rPr>
          <w:rFonts w:hint="eastAsia"/>
          <w:b/>
          <w:color w:val="auto"/>
          <w:highlight w:val="none"/>
        </w:rPr>
        <w:t>2</w:t>
      </w:r>
      <w:r>
        <w:rPr>
          <w:b/>
          <w:color w:val="auto"/>
          <w:highlight w:val="none"/>
        </w:rPr>
        <w:t xml:space="preserve"> 项目所在地与园区位置关系图</w:t>
      </w:r>
    </w:p>
    <w:p>
      <w:pPr>
        <w:spacing w:line="360" w:lineRule="auto"/>
        <w:jc w:val="center"/>
        <w:rPr>
          <w:b/>
          <w:color w:val="auto"/>
          <w:highlight w:val="none"/>
        </w:rPr>
      </w:pPr>
    </w:p>
    <w:tbl>
      <w:tblPr>
        <w:tblStyle w:val="54"/>
        <w:tblW w:w="2119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98"/>
        <w:gridCol w:w="5298"/>
        <w:gridCol w:w="5299"/>
        <w:gridCol w:w="52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298" w:type="dxa"/>
            <w:vAlign w:val="center"/>
          </w:tcPr>
          <w:p>
            <w:pPr>
              <w:spacing w:line="360" w:lineRule="auto"/>
              <w:jc w:val="center"/>
              <w:rPr>
                <w:rFonts w:hint="eastAsia" w:eastAsia="宋体"/>
                <w:b/>
                <w:color w:val="auto"/>
                <w:highlight w:val="none"/>
                <w:vertAlign w:val="baseline"/>
                <w:lang w:eastAsia="zh-CN"/>
              </w:rPr>
            </w:pPr>
            <w:r>
              <w:rPr>
                <w:rFonts w:hint="eastAsia" w:eastAsia="宋体"/>
                <w:b/>
                <w:color w:val="auto"/>
                <w:highlight w:val="none"/>
                <w:vertAlign w:val="baseline"/>
                <w:lang w:eastAsia="zh-CN"/>
              </w:rPr>
              <w:drawing>
                <wp:inline distT="0" distB="0" distL="114300" distR="114300">
                  <wp:extent cx="3044825" cy="2283460"/>
                  <wp:effectExtent l="0" t="0" r="3175" b="2540"/>
                  <wp:docPr id="12" name="图片 12" descr="项目内西北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项目内西北面2"/>
                          <pic:cNvPicPr>
                            <a:picLocks noChangeAspect="1"/>
                          </pic:cNvPicPr>
                        </pic:nvPicPr>
                        <pic:blipFill>
                          <a:blip r:embed="rId37"/>
                          <a:stretch>
                            <a:fillRect/>
                          </a:stretch>
                        </pic:blipFill>
                        <pic:spPr>
                          <a:xfrm>
                            <a:off x="0" y="0"/>
                            <a:ext cx="3044825" cy="2283460"/>
                          </a:xfrm>
                          <a:prstGeom prst="rect">
                            <a:avLst/>
                          </a:prstGeom>
                        </pic:spPr>
                      </pic:pic>
                    </a:graphicData>
                  </a:graphic>
                </wp:inline>
              </w:drawing>
            </w:r>
          </w:p>
        </w:tc>
        <w:tc>
          <w:tcPr>
            <w:tcW w:w="5298" w:type="dxa"/>
            <w:vAlign w:val="center"/>
          </w:tcPr>
          <w:p>
            <w:pPr>
              <w:spacing w:line="360" w:lineRule="auto"/>
              <w:jc w:val="center"/>
              <w:rPr>
                <w:rFonts w:hint="eastAsia" w:eastAsia="宋体"/>
                <w:b/>
                <w:color w:val="auto"/>
                <w:highlight w:val="none"/>
                <w:vertAlign w:val="baseline"/>
                <w:lang w:eastAsia="zh-CN"/>
              </w:rPr>
            </w:pPr>
            <w:r>
              <w:rPr>
                <w:rFonts w:hint="eastAsia" w:eastAsia="宋体"/>
                <w:b/>
                <w:color w:val="auto"/>
                <w:highlight w:val="none"/>
                <w:vertAlign w:val="baseline"/>
                <w:lang w:eastAsia="zh-CN"/>
              </w:rPr>
              <w:drawing>
                <wp:inline distT="0" distB="0" distL="114300" distR="114300">
                  <wp:extent cx="3129915" cy="2347595"/>
                  <wp:effectExtent l="0" t="0" r="13335" b="14605"/>
                  <wp:docPr id="13" name="图片 13" descr="项目内北面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项目内北面8"/>
                          <pic:cNvPicPr>
                            <a:picLocks noChangeAspect="1"/>
                          </pic:cNvPicPr>
                        </pic:nvPicPr>
                        <pic:blipFill>
                          <a:blip r:embed="rId38"/>
                          <a:stretch>
                            <a:fillRect/>
                          </a:stretch>
                        </pic:blipFill>
                        <pic:spPr>
                          <a:xfrm>
                            <a:off x="0" y="0"/>
                            <a:ext cx="3129915" cy="2347595"/>
                          </a:xfrm>
                          <a:prstGeom prst="rect">
                            <a:avLst/>
                          </a:prstGeom>
                        </pic:spPr>
                      </pic:pic>
                    </a:graphicData>
                  </a:graphic>
                </wp:inline>
              </w:drawing>
            </w:r>
          </w:p>
        </w:tc>
        <w:tc>
          <w:tcPr>
            <w:tcW w:w="5299" w:type="dxa"/>
            <w:vAlign w:val="center"/>
          </w:tcPr>
          <w:p>
            <w:pPr>
              <w:spacing w:line="360" w:lineRule="auto"/>
              <w:jc w:val="center"/>
              <w:rPr>
                <w:rFonts w:hint="eastAsia" w:eastAsia="宋体"/>
                <w:b/>
                <w:color w:val="auto"/>
                <w:highlight w:val="none"/>
                <w:vertAlign w:val="baseline"/>
                <w:lang w:eastAsia="zh-CN"/>
              </w:rPr>
            </w:pPr>
            <w:r>
              <w:rPr>
                <w:rFonts w:hint="eastAsia" w:eastAsia="宋体"/>
                <w:b/>
                <w:color w:val="auto"/>
                <w:highlight w:val="none"/>
                <w:vertAlign w:val="baseline"/>
                <w:lang w:eastAsia="zh-CN"/>
              </w:rPr>
              <w:drawing>
                <wp:inline distT="0" distB="0" distL="114300" distR="114300">
                  <wp:extent cx="3191510" cy="2393315"/>
                  <wp:effectExtent l="0" t="0" r="8890" b="6985"/>
                  <wp:docPr id="17" name="图片 17" descr="项目外南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项目外南面"/>
                          <pic:cNvPicPr>
                            <a:picLocks noChangeAspect="1"/>
                          </pic:cNvPicPr>
                        </pic:nvPicPr>
                        <pic:blipFill>
                          <a:blip r:embed="rId39"/>
                          <a:stretch>
                            <a:fillRect/>
                          </a:stretch>
                        </pic:blipFill>
                        <pic:spPr>
                          <a:xfrm>
                            <a:off x="0" y="0"/>
                            <a:ext cx="3191510" cy="2393315"/>
                          </a:xfrm>
                          <a:prstGeom prst="rect">
                            <a:avLst/>
                          </a:prstGeom>
                        </pic:spPr>
                      </pic:pic>
                    </a:graphicData>
                  </a:graphic>
                </wp:inline>
              </w:drawing>
            </w:r>
          </w:p>
        </w:tc>
        <w:tc>
          <w:tcPr>
            <w:tcW w:w="5299" w:type="dxa"/>
            <w:vAlign w:val="center"/>
          </w:tcPr>
          <w:p>
            <w:pPr>
              <w:spacing w:line="360" w:lineRule="auto"/>
              <w:jc w:val="center"/>
              <w:rPr>
                <w:b/>
                <w:color w:val="auto"/>
                <w:highlight w:val="none"/>
                <w:vertAlign w:val="baseline"/>
              </w:rPr>
            </w:pPr>
            <w:r>
              <w:rPr>
                <w:rFonts w:hint="eastAsia" w:eastAsia="宋体"/>
                <w:b/>
                <w:color w:val="auto"/>
                <w:highlight w:val="none"/>
                <w:vertAlign w:val="baseline"/>
                <w:lang w:eastAsia="zh-CN"/>
              </w:rPr>
              <w:drawing>
                <wp:inline distT="0" distB="0" distL="114300" distR="114300">
                  <wp:extent cx="3225800" cy="2419350"/>
                  <wp:effectExtent l="0" t="0" r="12700" b="0"/>
                  <wp:docPr id="31" name="图片 31" descr="2d53f3338d68c39de19d81aa64377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d53f3338d68c39de19d81aa64377d9"/>
                          <pic:cNvPicPr>
                            <a:picLocks noChangeAspect="1"/>
                          </pic:cNvPicPr>
                        </pic:nvPicPr>
                        <pic:blipFill>
                          <a:blip r:embed="rId40"/>
                          <a:stretch>
                            <a:fillRect/>
                          </a:stretch>
                        </pic:blipFill>
                        <pic:spPr>
                          <a:xfrm>
                            <a:off x="0" y="0"/>
                            <a:ext cx="3225800" cy="2419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298" w:type="dxa"/>
            <w:vAlign w:val="center"/>
          </w:tcPr>
          <w:p>
            <w:pPr>
              <w:spacing w:line="360" w:lineRule="auto"/>
              <w:jc w:val="center"/>
              <w:rPr>
                <w:rFonts w:hint="eastAsia" w:eastAsia="宋体"/>
                <w:b/>
                <w:color w:val="auto"/>
                <w:highlight w:val="none"/>
                <w:vertAlign w:val="baseline"/>
                <w:lang w:val="en-US" w:eastAsia="zh-CN"/>
              </w:rPr>
            </w:pPr>
            <w:r>
              <w:rPr>
                <w:rFonts w:hint="eastAsia"/>
                <w:b/>
                <w:color w:val="auto"/>
                <w:sz w:val="21"/>
                <w:szCs w:val="21"/>
                <w:highlight w:val="none"/>
                <w:vertAlign w:val="baseline"/>
                <w:lang w:val="en-US" w:eastAsia="zh-CN"/>
              </w:rPr>
              <w:t>餐厨垃圾处理厂西面</w:t>
            </w:r>
          </w:p>
        </w:tc>
        <w:tc>
          <w:tcPr>
            <w:tcW w:w="5298" w:type="dxa"/>
            <w:vAlign w:val="center"/>
          </w:tcPr>
          <w:p>
            <w:pPr>
              <w:spacing w:line="360" w:lineRule="auto"/>
              <w:jc w:val="center"/>
              <w:rPr>
                <w:rFonts w:hint="eastAsia"/>
                <w:b/>
                <w:color w:val="auto"/>
                <w:highlight w:val="none"/>
                <w:vertAlign w:val="baseline"/>
                <w:lang w:eastAsia="zh-CN"/>
              </w:rPr>
            </w:pPr>
            <w:r>
              <w:rPr>
                <w:rFonts w:hint="eastAsia"/>
                <w:b/>
                <w:color w:val="auto"/>
                <w:highlight w:val="none"/>
                <w:vertAlign w:val="baseline"/>
                <w:lang w:eastAsia="zh-CN"/>
              </w:rPr>
              <w:t>餐厨垃圾处理厂北面</w:t>
            </w:r>
          </w:p>
          <w:p>
            <w:pPr>
              <w:spacing w:line="360" w:lineRule="auto"/>
              <w:jc w:val="center"/>
              <w:rPr>
                <w:rFonts w:hint="eastAsia" w:eastAsia="宋体"/>
                <w:b/>
                <w:color w:val="auto"/>
                <w:highlight w:val="none"/>
                <w:vertAlign w:val="baseline"/>
                <w:lang w:eastAsia="zh-CN"/>
              </w:rPr>
            </w:pPr>
            <w:r>
              <w:rPr>
                <w:rFonts w:hint="eastAsia"/>
                <w:b/>
                <w:color w:val="auto"/>
                <w:highlight w:val="none"/>
                <w:vertAlign w:val="baseline"/>
                <w:lang w:eastAsia="zh-CN"/>
              </w:rPr>
              <w:t>（园区红线范围内，为景观水塘）</w:t>
            </w:r>
          </w:p>
        </w:tc>
        <w:tc>
          <w:tcPr>
            <w:tcW w:w="5299" w:type="dxa"/>
            <w:vAlign w:val="center"/>
          </w:tcPr>
          <w:p>
            <w:pPr>
              <w:spacing w:line="360" w:lineRule="auto"/>
              <w:jc w:val="center"/>
              <w:rPr>
                <w:rFonts w:hint="eastAsia" w:eastAsia="宋体"/>
                <w:b/>
                <w:color w:val="auto"/>
                <w:highlight w:val="none"/>
                <w:vertAlign w:val="baseline"/>
                <w:lang w:eastAsia="zh-CN"/>
              </w:rPr>
            </w:pPr>
            <w:r>
              <w:rPr>
                <w:rFonts w:hint="eastAsia"/>
                <w:b/>
                <w:color w:val="auto"/>
                <w:highlight w:val="none"/>
                <w:vertAlign w:val="baseline"/>
                <w:lang w:eastAsia="zh-CN"/>
              </w:rPr>
              <w:t>建筑垃圾消纳场北面</w:t>
            </w:r>
          </w:p>
        </w:tc>
        <w:tc>
          <w:tcPr>
            <w:tcW w:w="5299" w:type="dxa"/>
            <w:vAlign w:val="center"/>
          </w:tcPr>
          <w:p>
            <w:pPr>
              <w:spacing w:line="360" w:lineRule="auto"/>
              <w:jc w:val="center"/>
              <w:rPr>
                <w:b/>
                <w:color w:val="auto"/>
                <w:highlight w:val="none"/>
                <w:vertAlign w:val="baseline"/>
              </w:rPr>
            </w:pPr>
            <w:r>
              <w:rPr>
                <w:rFonts w:hint="eastAsia"/>
                <w:b/>
                <w:color w:val="auto"/>
                <w:highlight w:val="none"/>
                <w:vertAlign w:val="baseline"/>
                <w:lang w:eastAsia="zh-CN"/>
              </w:rPr>
              <w:t>建筑垃圾消纳场南面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298" w:type="dxa"/>
            <w:vAlign w:val="center"/>
          </w:tcPr>
          <w:p>
            <w:pPr>
              <w:spacing w:line="360" w:lineRule="auto"/>
              <w:jc w:val="center"/>
              <w:rPr>
                <w:rFonts w:hint="eastAsia" w:eastAsia="宋体"/>
                <w:b/>
                <w:color w:val="auto"/>
                <w:highlight w:val="none"/>
                <w:vertAlign w:val="baseline"/>
                <w:lang w:eastAsia="zh-CN"/>
              </w:rPr>
            </w:pPr>
            <w:r>
              <w:rPr>
                <w:rFonts w:hint="eastAsia" w:eastAsia="宋体"/>
                <w:b/>
                <w:color w:val="auto"/>
                <w:highlight w:val="none"/>
                <w:vertAlign w:val="baseline"/>
                <w:lang w:eastAsia="zh-CN"/>
              </w:rPr>
              <w:drawing>
                <wp:inline distT="0" distB="0" distL="114300" distR="114300">
                  <wp:extent cx="3225800" cy="2419350"/>
                  <wp:effectExtent l="0" t="0" r="12700" b="0"/>
                  <wp:docPr id="16" name="图片 16" descr="e53c097166ba4a67974e6adb6734c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e53c097166ba4a67974e6adb6734c45"/>
                          <pic:cNvPicPr>
                            <a:picLocks noChangeAspect="1"/>
                          </pic:cNvPicPr>
                        </pic:nvPicPr>
                        <pic:blipFill>
                          <a:blip r:embed="rId41"/>
                          <a:stretch>
                            <a:fillRect/>
                          </a:stretch>
                        </pic:blipFill>
                        <pic:spPr>
                          <a:xfrm>
                            <a:off x="0" y="0"/>
                            <a:ext cx="3225800" cy="2419350"/>
                          </a:xfrm>
                          <a:prstGeom prst="rect">
                            <a:avLst/>
                          </a:prstGeom>
                        </pic:spPr>
                      </pic:pic>
                    </a:graphicData>
                  </a:graphic>
                </wp:inline>
              </w:drawing>
            </w:r>
          </w:p>
        </w:tc>
        <w:tc>
          <w:tcPr>
            <w:tcW w:w="5298" w:type="dxa"/>
            <w:vAlign w:val="center"/>
          </w:tcPr>
          <w:p>
            <w:pPr>
              <w:spacing w:line="360" w:lineRule="auto"/>
              <w:jc w:val="center"/>
              <w:rPr>
                <w:rFonts w:hint="eastAsia" w:eastAsia="宋体"/>
                <w:b/>
                <w:color w:val="auto"/>
                <w:highlight w:val="none"/>
                <w:vertAlign w:val="baseline"/>
                <w:lang w:eastAsia="zh-CN"/>
              </w:rPr>
            </w:pPr>
            <w:r>
              <w:rPr>
                <w:rFonts w:hint="eastAsia" w:eastAsia="宋体"/>
                <w:b/>
                <w:color w:val="auto"/>
                <w:highlight w:val="none"/>
                <w:vertAlign w:val="baseline"/>
                <w:lang w:eastAsia="zh-CN"/>
              </w:rPr>
              <w:drawing>
                <wp:inline distT="0" distB="0" distL="114300" distR="114300">
                  <wp:extent cx="3225800" cy="2419350"/>
                  <wp:effectExtent l="0" t="0" r="12700" b="0"/>
                  <wp:docPr id="15" name="图片 15" descr="2d53f3338d68c39de19d81aa64377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d53f3338d68c39de19d81aa64377d9"/>
                          <pic:cNvPicPr>
                            <a:picLocks noChangeAspect="1"/>
                          </pic:cNvPicPr>
                        </pic:nvPicPr>
                        <pic:blipFill>
                          <a:blip r:embed="rId40"/>
                          <a:stretch>
                            <a:fillRect/>
                          </a:stretch>
                        </pic:blipFill>
                        <pic:spPr>
                          <a:xfrm>
                            <a:off x="0" y="0"/>
                            <a:ext cx="3225800" cy="2419350"/>
                          </a:xfrm>
                          <a:prstGeom prst="rect">
                            <a:avLst/>
                          </a:prstGeom>
                        </pic:spPr>
                      </pic:pic>
                    </a:graphicData>
                  </a:graphic>
                </wp:inline>
              </w:drawing>
            </w:r>
          </w:p>
        </w:tc>
        <w:tc>
          <w:tcPr>
            <w:tcW w:w="5299" w:type="dxa"/>
            <w:textDirection w:val="lrTb"/>
            <w:vAlign w:val="center"/>
          </w:tcPr>
          <w:p>
            <w:pPr>
              <w:spacing w:line="360" w:lineRule="auto"/>
              <w:jc w:val="center"/>
              <w:rPr>
                <w:rFonts w:hint="eastAsia" w:eastAsia="宋体"/>
                <w:b/>
                <w:color w:val="auto"/>
                <w:highlight w:val="none"/>
                <w:vertAlign w:val="baseline"/>
                <w:lang w:eastAsia="zh-CN"/>
              </w:rPr>
            </w:pPr>
            <w:r>
              <w:rPr>
                <w:rFonts w:hint="eastAsia" w:eastAsia="宋体"/>
                <w:b/>
                <w:color w:val="auto"/>
                <w:highlight w:val="none"/>
                <w:vertAlign w:val="baseline"/>
                <w:lang w:eastAsia="zh-CN"/>
              </w:rPr>
              <w:drawing>
                <wp:inline distT="0" distB="0" distL="114300" distR="114300">
                  <wp:extent cx="3129915" cy="2347595"/>
                  <wp:effectExtent l="0" t="0" r="13335" b="14605"/>
                  <wp:docPr id="44" name="图片 44" descr="项目内北面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项目内北面8"/>
                          <pic:cNvPicPr>
                            <a:picLocks noChangeAspect="1"/>
                          </pic:cNvPicPr>
                        </pic:nvPicPr>
                        <pic:blipFill>
                          <a:blip r:embed="rId38"/>
                          <a:stretch>
                            <a:fillRect/>
                          </a:stretch>
                        </pic:blipFill>
                        <pic:spPr>
                          <a:xfrm>
                            <a:off x="0" y="0"/>
                            <a:ext cx="3129915" cy="2347595"/>
                          </a:xfrm>
                          <a:prstGeom prst="rect">
                            <a:avLst/>
                          </a:prstGeom>
                        </pic:spPr>
                      </pic:pic>
                    </a:graphicData>
                  </a:graphic>
                </wp:inline>
              </w:drawing>
            </w:r>
          </w:p>
        </w:tc>
        <w:tc>
          <w:tcPr>
            <w:tcW w:w="5299" w:type="dxa"/>
            <w:vAlign w:val="center"/>
          </w:tcPr>
          <w:p>
            <w:pPr>
              <w:spacing w:line="360" w:lineRule="auto"/>
              <w:jc w:val="center"/>
              <w:rPr>
                <w:rFonts w:hint="eastAsia" w:eastAsia="宋体"/>
                <w:b/>
                <w:color w:val="auto"/>
                <w:highlight w:val="none"/>
                <w:vertAlign w:val="baseline"/>
                <w:lang w:eastAsia="zh-CN"/>
              </w:rPr>
            </w:pPr>
            <w:r>
              <w:rPr>
                <w:rFonts w:hint="eastAsia" w:eastAsia="宋体"/>
                <w:b/>
                <w:color w:val="auto"/>
                <w:highlight w:val="none"/>
                <w:vertAlign w:val="baseline"/>
                <w:lang w:eastAsia="zh-CN"/>
              </w:rPr>
              <w:drawing>
                <wp:inline distT="0" distB="0" distL="114300" distR="114300">
                  <wp:extent cx="3191510" cy="2393315"/>
                  <wp:effectExtent l="0" t="0" r="8890" b="6985"/>
                  <wp:docPr id="50" name="图片 50" descr="项目约中部位置的植被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项目约中部位置的植被1"/>
                          <pic:cNvPicPr>
                            <a:picLocks noChangeAspect="1"/>
                          </pic:cNvPicPr>
                        </pic:nvPicPr>
                        <pic:blipFill>
                          <a:blip r:embed="rId42"/>
                          <a:stretch>
                            <a:fillRect/>
                          </a:stretch>
                        </pic:blipFill>
                        <pic:spPr>
                          <a:xfrm>
                            <a:off x="0" y="0"/>
                            <a:ext cx="3191510" cy="23933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298" w:type="dxa"/>
            <w:vAlign w:val="center"/>
          </w:tcPr>
          <w:p>
            <w:pPr>
              <w:spacing w:line="360" w:lineRule="auto"/>
              <w:jc w:val="center"/>
              <w:rPr>
                <w:b/>
                <w:color w:val="auto"/>
                <w:highlight w:val="none"/>
                <w:vertAlign w:val="baseline"/>
              </w:rPr>
            </w:pPr>
            <w:r>
              <w:rPr>
                <w:rFonts w:hint="eastAsia"/>
                <w:b/>
                <w:color w:val="auto"/>
                <w:sz w:val="21"/>
                <w:szCs w:val="21"/>
                <w:highlight w:val="none"/>
                <w:vertAlign w:val="baseline"/>
                <w:lang w:val="en-US" w:eastAsia="zh-CN"/>
              </w:rPr>
              <w:t>餐厨垃圾处理厂南面</w:t>
            </w:r>
          </w:p>
        </w:tc>
        <w:tc>
          <w:tcPr>
            <w:tcW w:w="5298" w:type="dxa"/>
            <w:vAlign w:val="center"/>
          </w:tcPr>
          <w:p>
            <w:pPr>
              <w:spacing w:line="360" w:lineRule="auto"/>
              <w:jc w:val="center"/>
              <w:rPr>
                <w:rFonts w:hint="eastAsia" w:eastAsia="宋体"/>
                <w:b/>
                <w:color w:val="auto"/>
                <w:highlight w:val="none"/>
                <w:vertAlign w:val="baseline"/>
                <w:lang w:eastAsia="zh-CN"/>
              </w:rPr>
            </w:pPr>
            <w:r>
              <w:rPr>
                <w:rFonts w:hint="eastAsia"/>
                <w:b/>
                <w:color w:val="auto"/>
                <w:sz w:val="21"/>
                <w:szCs w:val="21"/>
                <w:highlight w:val="none"/>
                <w:vertAlign w:val="baseline"/>
                <w:lang w:val="en-US" w:eastAsia="zh-CN"/>
              </w:rPr>
              <w:t>餐厨垃圾处理厂东面</w:t>
            </w:r>
          </w:p>
        </w:tc>
        <w:tc>
          <w:tcPr>
            <w:tcW w:w="5299" w:type="dxa"/>
            <w:textDirection w:val="lrTb"/>
            <w:vAlign w:val="center"/>
          </w:tcPr>
          <w:p>
            <w:pPr>
              <w:spacing w:line="360" w:lineRule="auto"/>
              <w:jc w:val="center"/>
              <w:rPr>
                <w:rFonts w:hint="eastAsia"/>
                <w:b/>
                <w:color w:val="auto"/>
                <w:highlight w:val="none"/>
                <w:vertAlign w:val="baseline"/>
                <w:lang w:eastAsia="zh-CN"/>
              </w:rPr>
            </w:pPr>
            <w:r>
              <w:rPr>
                <w:rFonts w:hint="eastAsia"/>
                <w:b/>
                <w:color w:val="auto"/>
                <w:highlight w:val="none"/>
                <w:vertAlign w:val="baseline"/>
                <w:lang w:eastAsia="zh-CN"/>
              </w:rPr>
              <w:t>餐厨垃圾处理厂西面</w:t>
            </w:r>
          </w:p>
          <w:p>
            <w:pPr>
              <w:spacing w:line="360" w:lineRule="auto"/>
              <w:jc w:val="center"/>
              <w:rPr>
                <w:b/>
                <w:color w:val="auto"/>
                <w:highlight w:val="none"/>
                <w:vertAlign w:val="baseline"/>
              </w:rPr>
            </w:pPr>
            <w:r>
              <w:rPr>
                <w:rFonts w:hint="eastAsia"/>
                <w:b/>
                <w:color w:val="auto"/>
                <w:highlight w:val="none"/>
                <w:vertAlign w:val="baseline"/>
                <w:lang w:eastAsia="zh-CN"/>
              </w:rPr>
              <w:t>（园区红线范围内，为景观水塘）</w:t>
            </w:r>
          </w:p>
        </w:tc>
        <w:tc>
          <w:tcPr>
            <w:tcW w:w="5299" w:type="dxa"/>
            <w:vAlign w:val="center"/>
          </w:tcPr>
          <w:p>
            <w:pPr>
              <w:spacing w:line="360" w:lineRule="auto"/>
              <w:jc w:val="center"/>
              <w:rPr>
                <w:b/>
                <w:color w:val="auto"/>
                <w:highlight w:val="none"/>
                <w:vertAlign w:val="baseline"/>
              </w:rPr>
            </w:pPr>
            <w:r>
              <w:rPr>
                <w:rFonts w:hint="eastAsia"/>
                <w:b/>
                <w:color w:val="auto"/>
                <w:highlight w:val="none"/>
                <w:vertAlign w:val="baseline"/>
                <w:lang w:eastAsia="zh-CN"/>
              </w:rPr>
              <w:t>建筑垃圾消纳场东面</w:t>
            </w:r>
          </w:p>
        </w:tc>
      </w:tr>
    </w:tbl>
    <w:p>
      <w:pPr>
        <w:spacing w:line="360" w:lineRule="auto"/>
        <w:jc w:val="center"/>
        <w:rPr>
          <w:rFonts w:hint="eastAsia" w:eastAsia="宋体"/>
          <w:b/>
          <w:color w:val="auto"/>
          <w:highlight w:val="none"/>
          <w:lang w:eastAsia="zh-CN"/>
        </w:rPr>
      </w:pPr>
      <w:r>
        <w:rPr>
          <w:rFonts w:hint="eastAsia"/>
          <w:b/>
          <w:color w:val="auto"/>
          <w:highlight w:val="none"/>
          <w:lang w:eastAsia="zh-CN"/>
        </w:rPr>
        <w:t>图</w:t>
      </w:r>
      <w:r>
        <w:rPr>
          <w:rFonts w:hint="eastAsia"/>
          <w:b/>
          <w:color w:val="auto"/>
          <w:highlight w:val="none"/>
          <w:lang w:val="en-US" w:eastAsia="zh-CN"/>
        </w:rPr>
        <w:t>1.3-3 项目四至图</w:t>
      </w:r>
    </w:p>
    <w:p>
      <w:pPr>
        <w:spacing w:line="360" w:lineRule="auto"/>
        <w:jc w:val="center"/>
        <w:rPr>
          <w:b/>
          <w:color w:val="auto"/>
          <w:highlight w:val="none"/>
        </w:rPr>
        <w:sectPr>
          <w:pgSz w:w="23814" w:h="16839" w:orient="landscape"/>
          <w:pgMar w:top="1418" w:right="1418" w:bottom="1418" w:left="1418" w:header="851" w:footer="992" w:gutter="0"/>
          <w:pgNumType w:fmt="decimal"/>
          <w:cols w:space="425" w:num="1"/>
          <w:docGrid w:type="lines" w:linePitch="326" w:charSpace="0"/>
        </w:sectPr>
      </w:pPr>
    </w:p>
    <w:p>
      <w:pPr>
        <w:pStyle w:val="3"/>
        <w:rPr>
          <w:rFonts w:ascii="Times New Roman"/>
          <w:color w:val="auto"/>
        </w:rPr>
      </w:pPr>
      <w:bookmarkStart w:id="48" w:name="_Toc23263143"/>
      <w:bookmarkStart w:id="49" w:name="_Toc24136689"/>
      <w:bookmarkStart w:id="50" w:name="_Toc14943301"/>
      <w:bookmarkStart w:id="51" w:name="_Toc8219"/>
      <w:r>
        <w:rPr>
          <w:rFonts w:ascii="Times New Roman"/>
          <w:color w:val="auto"/>
        </w:rPr>
        <w:t>关注的主要环境问题及其环境影响</w:t>
      </w:r>
      <w:bookmarkEnd w:id="48"/>
      <w:bookmarkEnd w:id="49"/>
      <w:bookmarkEnd w:id="50"/>
      <w:bookmarkEnd w:id="51"/>
    </w:p>
    <w:p>
      <w:pPr>
        <w:autoSpaceDE w:val="0"/>
        <w:autoSpaceDN w:val="0"/>
        <w:adjustRightInd w:val="0"/>
        <w:spacing w:line="360" w:lineRule="auto"/>
        <w:ind w:firstLine="480" w:firstLineChars="200"/>
        <w:jc w:val="both"/>
        <w:rPr>
          <w:color w:val="auto"/>
          <w:kern w:val="0"/>
        </w:rPr>
      </w:pPr>
      <w:r>
        <w:rPr>
          <w:color w:val="auto"/>
          <w:kern w:val="0"/>
        </w:rPr>
        <w:t>（1）</w:t>
      </w:r>
      <w:r>
        <w:rPr>
          <w:rFonts w:hint="eastAsia"/>
          <w:color w:val="auto"/>
          <w:kern w:val="0"/>
        </w:rPr>
        <w:t>餐厨垃圾项目产生的餐厨废水</w:t>
      </w:r>
      <w:r>
        <w:rPr>
          <w:color w:val="auto"/>
          <w:spacing w:val="2"/>
          <w:kern w:val="0"/>
        </w:rPr>
        <w:t>、</w:t>
      </w:r>
      <w:r>
        <w:rPr>
          <w:rFonts w:hint="eastAsia"/>
          <w:color w:val="auto"/>
          <w:spacing w:val="2"/>
          <w:kern w:val="0"/>
        </w:rPr>
        <w:t>除臭系统废水、车间车辆</w:t>
      </w:r>
      <w:r>
        <w:rPr>
          <w:rFonts w:hint="eastAsia"/>
          <w:color w:val="auto"/>
          <w:spacing w:val="2"/>
          <w:kern w:val="0"/>
          <w:lang w:eastAsia="zh-CN"/>
        </w:rPr>
        <w:t>、</w:t>
      </w:r>
      <w:r>
        <w:rPr>
          <w:rFonts w:hint="eastAsia"/>
          <w:color w:val="auto"/>
          <w:spacing w:val="2"/>
          <w:kern w:val="0"/>
        </w:rPr>
        <w:t>地面冲洗废水</w:t>
      </w:r>
      <w:r>
        <w:rPr>
          <w:rFonts w:hint="eastAsia"/>
          <w:color w:val="auto"/>
          <w:spacing w:val="2"/>
          <w:kern w:val="0"/>
          <w:lang w:eastAsia="zh-CN"/>
        </w:rPr>
        <w:t>和初期雨水</w:t>
      </w:r>
      <w:r>
        <w:rPr>
          <w:rFonts w:hint="eastAsia"/>
          <w:color w:val="auto"/>
        </w:rPr>
        <w:t>依托园区内在建的渗漏液处理站</w:t>
      </w:r>
      <w:r>
        <w:rPr>
          <w:color w:val="auto"/>
          <w:kern w:val="0"/>
        </w:rPr>
        <w:t>采用</w:t>
      </w:r>
      <w:r>
        <w:rPr>
          <w:rFonts w:asciiTheme="minorEastAsia" w:hAnsiTheme="minorEastAsia" w:eastAsiaTheme="minorEastAsia"/>
          <w:color w:val="auto"/>
          <w:kern w:val="0"/>
        </w:rPr>
        <w:t>“</w:t>
      </w:r>
      <w:r>
        <w:rPr>
          <w:rFonts w:eastAsiaTheme="minorEastAsia"/>
          <w:color w:val="auto"/>
          <w:kern w:val="0"/>
        </w:rPr>
        <w:t>预处理+ UASB厌氧反应器+MBR生化处理系统+NF纳滤膜系统+RO反渗透系统+DTRO</w:t>
      </w:r>
      <w:r>
        <w:rPr>
          <w:rFonts w:asciiTheme="minorEastAsia" w:hAnsiTheme="minorEastAsia" w:eastAsiaTheme="minorEastAsia"/>
          <w:color w:val="auto"/>
          <w:kern w:val="0"/>
        </w:rPr>
        <w:t>”处理</w:t>
      </w:r>
      <w:r>
        <w:rPr>
          <w:color w:val="auto"/>
          <w:kern w:val="0"/>
        </w:rPr>
        <w:t>工艺处理后全部回用，不外排</w:t>
      </w:r>
      <w:r>
        <w:rPr>
          <w:rFonts w:hint="eastAsia"/>
          <w:color w:val="auto"/>
          <w:kern w:val="0"/>
        </w:rPr>
        <w:t>；建筑垃圾消纳场产生的</w:t>
      </w:r>
      <w:r>
        <w:rPr>
          <w:bCs/>
          <w:color w:val="auto"/>
          <w:spacing w:val="2"/>
        </w:rPr>
        <w:t>洗车废水</w:t>
      </w:r>
      <w:r>
        <w:rPr>
          <w:rFonts w:hint="eastAsia"/>
          <w:bCs/>
          <w:color w:val="auto"/>
          <w:spacing w:val="2"/>
        </w:rPr>
        <w:t>和</w:t>
      </w:r>
      <w:r>
        <w:rPr>
          <w:bCs/>
          <w:color w:val="auto"/>
          <w:spacing w:val="2"/>
        </w:rPr>
        <w:t>填埋区</w:t>
      </w:r>
      <w:r>
        <w:rPr>
          <w:rFonts w:hint="eastAsia"/>
          <w:bCs/>
          <w:color w:val="auto"/>
          <w:spacing w:val="2"/>
        </w:rPr>
        <w:t>淋溶液经收集后采用“机械加速澄清池沉淀+过滤”处理工艺处理后全部回用，不外排</w:t>
      </w:r>
      <w:r>
        <w:rPr>
          <w:rFonts w:hint="eastAsia"/>
          <w:color w:val="auto"/>
          <w:kern w:val="0"/>
        </w:rPr>
        <w:t>。本项目</w:t>
      </w:r>
      <w:r>
        <w:rPr>
          <w:color w:val="auto"/>
          <w:kern w:val="0"/>
        </w:rPr>
        <w:t>重点关注废水回用的可行性。</w:t>
      </w:r>
    </w:p>
    <w:p>
      <w:pPr>
        <w:autoSpaceDE w:val="0"/>
        <w:autoSpaceDN w:val="0"/>
        <w:adjustRightInd w:val="0"/>
        <w:spacing w:line="360" w:lineRule="auto"/>
        <w:ind w:firstLine="480"/>
        <w:jc w:val="both"/>
        <w:rPr>
          <w:color w:val="auto"/>
        </w:rPr>
      </w:pPr>
      <w:r>
        <w:rPr>
          <w:color w:val="auto"/>
        </w:rPr>
        <w:t>（2）本项目特征废气为</w:t>
      </w:r>
      <w:r>
        <w:rPr>
          <w:rFonts w:hint="eastAsia"/>
          <w:color w:val="auto"/>
        </w:rPr>
        <w:t>恶臭气体</w:t>
      </w:r>
      <w:r>
        <w:rPr>
          <w:color w:val="auto"/>
        </w:rPr>
        <w:t>，主要污染物</w:t>
      </w:r>
      <w:r>
        <w:rPr>
          <w:rFonts w:hint="eastAsia"/>
          <w:color w:val="auto"/>
        </w:rPr>
        <w:t>氨气、硫化氢</w:t>
      </w:r>
      <w:r>
        <w:rPr>
          <w:color w:val="auto"/>
        </w:rPr>
        <w:t>等。</w:t>
      </w:r>
      <w:r>
        <w:rPr>
          <w:rFonts w:hint="eastAsia"/>
          <w:color w:val="auto"/>
        </w:rPr>
        <w:t>恶臭气体</w:t>
      </w:r>
      <w:r>
        <w:rPr>
          <w:color w:val="auto"/>
        </w:rPr>
        <w:t>处理工艺为</w:t>
      </w:r>
      <w:r>
        <w:rPr>
          <w:rFonts w:hint="eastAsia"/>
          <w:color w:val="auto"/>
        </w:rPr>
        <w:t>“化学洗涤塔+光催化氧化+植物液喷淋”</w:t>
      </w:r>
      <w:r>
        <w:rPr>
          <w:color w:val="auto"/>
        </w:rPr>
        <w:t>，经净化系统处理后的</w:t>
      </w:r>
      <w:r>
        <w:rPr>
          <w:rFonts w:hint="eastAsia"/>
          <w:color w:val="auto"/>
        </w:rPr>
        <w:t>恶臭气体</w:t>
      </w:r>
      <w:r>
        <w:rPr>
          <w:color w:val="auto"/>
        </w:rPr>
        <w:t>通过</w:t>
      </w:r>
      <w:r>
        <w:rPr>
          <w:rFonts w:hint="eastAsia"/>
          <w:color w:val="auto"/>
        </w:rPr>
        <w:t>一根15</w:t>
      </w:r>
      <w:r>
        <w:rPr>
          <w:color w:val="auto"/>
        </w:rPr>
        <w:t>m高</w:t>
      </w:r>
      <w:r>
        <w:rPr>
          <w:rFonts w:hint="eastAsia"/>
          <w:color w:val="auto"/>
        </w:rPr>
        <w:t>排气筒</w:t>
      </w:r>
      <w:r>
        <w:rPr>
          <w:color w:val="auto"/>
        </w:rPr>
        <w:t>排入大气。需重点关注</w:t>
      </w:r>
      <w:r>
        <w:rPr>
          <w:rFonts w:hint="eastAsia"/>
          <w:color w:val="auto"/>
        </w:rPr>
        <w:t>恶臭气体</w:t>
      </w:r>
      <w:r>
        <w:rPr>
          <w:color w:val="auto"/>
        </w:rPr>
        <w:t>处理措施的技术经济可行性。</w:t>
      </w:r>
    </w:p>
    <w:p>
      <w:pPr>
        <w:autoSpaceDE w:val="0"/>
        <w:autoSpaceDN w:val="0"/>
        <w:adjustRightInd w:val="0"/>
        <w:spacing w:line="360" w:lineRule="auto"/>
        <w:ind w:firstLine="480"/>
        <w:jc w:val="both"/>
        <w:rPr>
          <w:color w:val="auto"/>
        </w:rPr>
      </w:pPr>
      <w:r>
        <w:rPr>
          <w:color w:val="auto"/>
        </w:rPr>
        <w:t>（3）关注各类固废（</w:t>
      </w:r>
      <w:r>
        <w:rPr>
          <w:rFonts w:hint="eastAsia"/>
          <w:color w:val="auto"/>
        </w:rPr>
        <w:t>脱水残渣、除油残渣、粗油脂、废催化剂、废机油、沉淀池沉沙</w:t>
      </w:r>
      <w:r>
        <w:rPr>
          <w:color w:val="auto"/>
        </w:rPr>
        <w:t>）处理处置的合法合规性。根据《建设项目危险废物环境影响评价指南》（环保部公告2017年第43号）对本项目的固体废物污染进行判定及影响分析。</w:t>
      </w:r>
    </w:p>
    <w:p>
      <w:pPr>
        <w:pStyle w:val="3"/>
        <w:rPr>
          <w:rFonts w:ascii="Times New Roman"/>
          <w:color w:val="auto"/>
        </w:rPr>
      </w:pPr>
      <w:bookmarkStart w:id="52" w:name="_Toc23263144"/>
      <w:bookmarkStart w:id="53" w:name="_Toc14943302"/>
      <w:bookmarkStart w:id="54" w:name="_Toc16924"/>
      <w:bookmarkStart w:id="55" w:name="_Toc24136690"/>
      <w:r>
        <w:rPr>
          <w:rFonts w:ascii="Times New Roman"/>
          <w:color w:val="auto"/>
        </w:rPr>
        <w:t>环境影响评价结论</w:t>
      </w:r>
      <w:bookmarkEnd w:id="52"/>
      <w:bookmarkEnd w:id="53"/>
      <w:bookmarkEnd w:id="54"/>
      <w:bookmarkEnd w:id="55"/>
    </w:p>
    <w:p>
      <w:pPr>
        <w:spacing w:line="360" w:lineRule="auto"/>
        <w:ind w:firstLine="480"/>
        <w:jc w:val="both"/>
        <w:rPr>
          <w:color w:val="auto"/>
        </w:rPr>
      </w:pPr>
      <w:r>
        <w:rPr>
          <w:color w:val="auto"/>
        </w:rPr>
        <w:t>本报告对项目地址及其周围地区进行了环境质量现状监测、调查与评价</w:t>
      </w:r>
      <w:r>
        <w:rPr>
          <w:rFonts w:hint="eastAsia"/>
          <w:color w:val="auto"/>
        </w:rPr>
        <w:t>，</w:t>
      </w:r>
      <w:r>
        <w:rPr>
          <w:color w:val="auto"/>
        </w:rPr>
        <w:t>对项目的排污负荷进行了估算，对外排污染物对周围环境可能产生的影响进行预测，并提出了相应的污染防治措施及对策；对项目的风险影响进行了定性与定量分析，提出了风险事故防范与应急措施。</w:t>
      </w:r>
    </w:p>
    <w:p>
      <w:pPr>
        <w:spacing w:line="360" w:lineRule="auto"/>
        <w:ind w:firstLine="480"/>
        <w:jc w:val="both"/>
        <w:rPr>
          <w:color w:val="auto"/>
        </w:rPr>
      </w:pPr>
      <w:r>
        <w:rPr>
          <w:rFonts w:hint="eastAsia" w:ascii="宋体" w:cs="宋体"/>
          <w:color w:val="auto"/>
          <w:kern w:val="0"/>
        </w:rPr>
        <w:t>综上所述，本项目建设符合国家产业政策，项目选址符合相关规划，建设单位必须认真贯彻并遵守有关的环保法律法规</w:t>
      </w:r>
      <w:r>
        <w:rPr>
          <w:rFonts w:hint="eastAsia"/>
          <w:color w:val="auto"/>
        </w:rPr>
        <w:t>。</w:t>
      </w:r>
      <w:r>
        <w:rPr>
          <w:color w:val="auto"/>
        </w:rPr>
        <w:t>建设单位必须严格遵守</w:t>
      </w:r>
      <w:r>
        <w:rPr>
          <w:rFonts w:asciiTheme="minorEastAsia" w:hAnsiTheme="minorEastAsia" w:eastAsiaTheme="minorEastAsia"/>
          <w:color w:val="auto"/>
        </w:rPr>
        <w:t>“三同时”的</w:t>
      </w:r>
      <w:r>
        <w:rPr>
          <w:color w:val="auto"/>
        </w:rPr>
        <w:t>管理规定，</w:t>
      </w:r>
      <w:r>
        <w:rPr>
          <w:rFonts w:hint="eastAsia"/>
          <w:color w:val="auto"/>
        </w:rPr>
        <w:t>完成</w:t>
      </w:r>
      <w:r>
        <w:rPr>
          <w:color w:val="auto"/>
        </w:rPr>
        <w:t>各项报建手续</w:t>
      </w:r>
      <w:r>
        <w:rPr>
          <w:rFonts w:hint="eastAsia"/>
          <w:color w:val="auto"/>
        </w:rPr>
        <w:t>的前提下</w:t>
      </w:r>
      <w:r>
        <w:rPr>
          <w:color w:val="auto"/>
        </w:rPr>
        <w:t>，落实本评价报告中所提出的环保措施，确保环保处理设施正常使用和运行，做到达标排放，真正实现环境保护与经济建设的可持续协调发展。项目运营中要确实做到废气稳定达标排放，使项目建成后对环境影响减少到最低限度；加强风险事故的预防和管理，认真执行防泄漏、防火的规范和各项措施，严格执行</w:t>
      </w:r>
      <w:r>
        <w:rPr>
          <w:rFonts w:asciiTheme="minorEastAsia" w:hAnsiTheme="minorEastAsia" w:eastAsiaTheme="minorEastAsia"/>
          <w:color w:val="auto"/>
        </w:rPr>
        <w:t>减小事故危害的措施、应急计划</w:t>
      </w:r>
      <w:r>
        <w:rPr>
          <w:color w:val="auto"/>
        </w:rPr>
        <w:t>，避免污染环境。在完成以上工作程序和落实各项环保措施的基础上，从环境保护角度而言，本项目的建设是可行的。</w:t>
      </w:r>
    </w:p>
    <w:p>
      <w:pPr>
        <w:ind w:firstLine="480"/>
        <w:rPr>
          <w:color w:val="auto"/>
        </w:rPr>
      </w:pPr>
    </w:p>
    <w:p>
      <w:pPr>
        <w:ind w:firstLine="480"/>
        <w:rPr>
          <w:color w:val="auto"/>
        </w:rPr>
        <w:sectPr>
          <w:pgSz w:w="11906" w:h="16838"/>
          <w:pgMar w:top="1418" w:right="1418" w:bottom="1418" w:left="1418" w:header="851" w:footer="992" w:gutter="0"/>
          <w:pgNumType w:fmt="decimal"/>
          <w:cols w:space="425" w:num="1"/>
          <w:docGrid w:type="lines" w:linePitch="326" w:charSpace="0"/>
        </w:sectPr>
      </w:pPr>
    </w:p>
    <w:p>
      <w:pPr>
        <w:pStyle w:val="2"/>
        <w:spacing w:line="360" w:lineRule="auto"/>
        <w:rPr>
          <w:color w:val="auto"/>
          <w:sz w:val="36"/>
          <w:szCs w:val="36"/>
        </w:rPr>
      </w:pPr>
      <w:bookmarkStart w:id="56" w:name="_Toc23263145"/>
      <w:bookmarkStart w:id="57" w:name="_Toc23866"/>
      <w:bookmarkStart w:id="58" w:name="_Toc24136699"/>
      <w:bookmarkStart w:id="59" w:name="_Toc14943303"/>
      <w:r>
        <w:rPr>
          <w:color w:val="auto"/>
          <w:sz w:val="36"/>
          <w:szCs w:val="36"/>
        </w:rPr>
        <w:t>总则</w:t>
      </w:r>
      <w:bookmarkEnd w:id="56"/>
      <w:bookmarkEnd w:id="57"/>
      <w:bookmarkEnd w:id="58"/>
      <w:bookmarkEnd w:id="59"/>
    </w:p>
    <w:p>
      <w:pPr>
        <w:pStyle w:val="3"/>
        <w:rPr>
          <w:rFonts w:ascii="Times New Roman"/>
          <w:color w:val="auto"/>
        </w:rPr>
      </w:pPr>
      <w:bookmarkStart w:id="60" w:name="_Toc23263146"/>
      <w:bookmarkStart w:id="61" w:name="_Toc876"/>
      <w:bookmarkStart w:id="62" w:name="_Toc14943304"/>
      <w:bookmarkStart w:id="63" w:name="_Toc24136700"/>
      <w:r>
        <w:rPr>
          <w:rFonts w:ascii="Times New Roman"/>
          <w:color w:val="auto"/>
        </w:rPr>
        <w:t>编制依据</w:t>
      </w:r>
      <w:bookmarkEnd w:id="60"/>
      <w:bookmarkEnd w:id="61"/>
      <w:bookmarkEnd w:id="62"/>
      <w:bookmarkEnd w:id="63"/>
    </w:p>
    <w:p>
      <w:pPr>
        <w:pStyle w:val="298"/>
        <w:rPr>
          <w:color w:val="auto"/>
        </w:rPr>
      </w:pPr>
      <w:bookmarkStart w:id="64" w:name="_Toc14946797"/>
      <w:bookmarkStart w:id="65" w:name="_Toc24136701"/>
      <w:bookmarkStart w:id="66" w:name="_Toc15912089"/>
      <w:bookmarkStart w:id="67" w:name="_Toc31080"/>
      <w:r>
        <w:rPr>
          <w:color w:val="auto"/>
        </w:rPr>
        <w:t>2.1.1国家法律、法规及政策</w:t>
      </w:r>
      <w:bookmarkEnd w:id="64"/>
      <w:bookmarkEnd w:id="65"/>
      <w:bookmarkEnd w:id="66"/>
      <w:bookmarkEnd w:id="67"/>
    </w:p>
    <w:p>
      <w:pPr>
        <w:spacing w:line="360" w:lineRule="auto"/>
        <w:ind w:firstLine="480"/>
        <w:jc w:val="both"/>
        <w:rPr>
          <w:color w:val="auto"/>
        </w:rPr>
      </w:pPr>
      <w:r>
        <w:rPr>
          <w:color w:val="auto"/>
        </w:rPr>
        <w:t>（1）《中华人民共和国环境保护法》（2015年1月1日起施行）；</w:t>
      </w:r>
    </w:p>
    <w:p>
      <w:pPr>
        <w:spacing w:line="360" w:lineRule="auto"/>
        <w:ind w:firstLine="480"/>
        <w:jc w:val="both"/>
        <w:rPr>
          <w:color w:val="auto"/>
        </w:rPr>
      </w:pPr>
      <w:r>
        <w:rPr>
          <w:color w:val="auto"/>
        </w:rPr>
        <w:t>（2）《中华人民共和国环境影响评价法》（2018年12月29日起施行）；</w:t>
      </w:r>
    </w:p>
    <w:p>
      <w:pPr>
        <w:spacing w:line="360" w:lineRule="auto"/>
        <w:ind w:firstLine="480"/>
        <w:jc w:val="both"/>
        <w:rPr>
          <w:color w:val="auto"/>
        </w:rPr>
      </w:pPr>
      <w:r>
        <w:rPr>
          <w:color w:val="auto"/>
        </w:rPr>
        <w:t>（3）《中华人民共和国水污染防治法》（2018年1月1日起施行）；</w:t>
      </w:r>
    </w:p>
    <w:p>
      <w:pPr>
        <w:spacing w:line="360" w:lineRule="auto"/>
        <w:ind w:firstLine="480"/>
        <w:jc w:val="both"/>
        <w:rPr>
          <w:color w:val="auto"/>
        </w:rPr>
      </w:pPr>
      <w:r>
        <w:rPr>
          <w:color w:val="auto"/>
        </w:rPr>
        <w:t>（4）《中华人民共和国大气污染防治法》（2018年10月26日修订）；</w:t>
      </w:r>
    </w:p>
    <w:p>
      <w:pPr>
        <w:spacing w:line="360" w:lineRule="auto"/>
        <w:ind w:firstLine="480"/>
        <w:jc w:val="both"/>
        <w:rPr>
          <w:color w:val="auto"/>
        </w:rPr>
      </w:pPr>
      <w:r>
        <w:rPr>
          <w:color w:val="auto"/>
        </w:rPr>
        <w:t>（5）《中华人民共和国固体废物污染环境防治法》（2016年11月7日修订）；</w:t>
      </w:r>
    </w:p>
    <w:p>
      <w:pPr>
        <w:spacing w:line="360" w:lineRule="auto"/>
        <w:ind w:firstLine="480"/>
        <w:jc w:val="both"/>
        <w:rPr>
          <w:color w:val="auto"/>
        </w:rPr>
      </w:pPr>
      <w:r>
        <w:rPr>
          <w:color w:val="auto"/>
        </w:rPr>
        <w:t>（6）《中华人民共和国环境噪声污染防治法》（2018年12月29日修订）；</w:t>
      </w:r>
    </w:p>
    <w:p>
      <w:pPr>
        <w:spacing w:line="360" w:lineRule="auto"/>
        <w:ind w:firstLine="480"/>
        <w:jc w:val="both"/>
        <w:rPr>
          <w:color w:val="auto"/>
        </w:rPr>
      </w:pPr>
      <w:r>
        <w:rPr>
          <w:color w:val="auto"/>
        </w:rPr>
        <w:t>（7）《中华人民共和国土壤污染防治法》（2018 年 8 月 31 日）；</w:t>
      </w:r>
    </w:p>
    <w:p>
      <w:pPr>
        <w:spacing w:line="360" w:lineRule="auto"/>
        <w:ind w:firstLine="480"/>
        <w:jc w:val="both"/>
        <w:rPr>
          <w:color w:val="auto"/>
        </w:rPr>
      </w:pPr>
      <w:r>
        <w:rPr>
          <w:color w:val="auto"/>
        </w:rPr>
        <w:t>（8）《中华人民共和国清洁生产促进法》（2012年7月1日起施行）；</w:t>
      </w:r>
    </w:p>
    <w:p>
      <w:pPr>
        <w:spacing w:line="360" w:lineRule="auto"/>
        <w:ind w:firstLine="480"/>
        <w:jc w:val="both"/>
        <w:rPr>
          <w:color w:val="auto"/>
        </w:rPr>
      </w:pPr>
      <w:r>
        <w:rPr>
          <w:color w:val="auto"/>
        </w:rPr>
        <w:t>（9）《中华人民共和国节约能源法》（2016年7月2日修订）；</w:t>
      </w:r>
    </w:p>
    <w:p>
      <w:pPr>
        <w:spacing w:line="360" w:lineRule="auto"/>
        <w:ind w:firstLine="480"/>
        <w:jc w:val="both"/>
        <w:rPr>
          <w:color w:val="auto"/>
        </w:rPr>
      </w:pPr>
      <w:r>
        <w:rPr>
          <w:color w:val="auto"/>
        </w:rPr>
        <w:t>（10）《国务院关于进一步加强环境保护工作的决定》（国发</w:t>
      </w:r>
      <w:r>
        <w:rPr>
          <w:rFonts w:hint="eastAsia"/>
          <w:color w:val="auto"/>
        </w:rPr>
        <w:t>【2</w:t>
      </w:r>
      <w:r>
        <w:rPr>
          <w:color w:val="auto"/>
        </w:rPr>
        <w:t>005</w:t>
      </w:r>
      <w:r>
        <w:rPr>
          <w:rFonts w:hint="eastAsia"/>
          <w:color w:val="auto"/>
        </w:rPr>
        <w:t>】</w:t>
      </w:r>
      <w:r>
        <w:rPr>
          <w:color w:val="auto"/>
        </w:rPr>
        <w:t>39号）；</w:t>
      </w:r>
    </w:p>
    <w:p>
      <w:pPr>
        <w:spacing w:line="360" w:lineRule="auto"/>
        <w:ind w:firstLine="480"/>
        <w:jc w:val="both"/>
        <w:rPr>
          <w:color w:val="auto"/>
        </w:rPr>
      </w:pPr>
      <w:r>
        <w:rPr>
          <w:color w:val="auto"/>
        </w:rPr>
        <w:t>（11）《国务院关于印发大气污染防治行动计划的通知》（国发</w:t>
      </w:r>
      <w:r>
        <w:rPr>
          <w:rFonts w:hint="eastAsia"/>
          <w:color w:val="auto"/>
        </w:rPr>
        <w:t>【2</w:t>
      </w:r>
      <w:r>
        <w:rPr>
          <w:color w:val="auto"/>
        </w:rPr>
        <w:t>013</w:t>
      </w:r>
      <w:r>
        <w:rPr>
          <w:rFonts w:hint="eastAsia"/>
          <w:color w:val="auto"/>
        </w:rPr>
        <w:t>】</w:t>
      </w:r>
      <w:r>
        <w:rPr>
          <w:color w:val="auto"/>
        </w:rPr>
        <w:t>37号）；</w:t>
      </w:r>
    </w:p>
    <w:p>
      <w:pPr>
        <w:spacing w:line="360" w:lineRule="auto"/>
        <w:ind w:firstLine="480"/>
        <w:jc w:val="both"/>
        <w:rPr>
          <w:color w:val="auto"/>
        </w:rPr>
      </w:pPr>
      <w:r>
        <w:rPr>
          <w:rFonts w:hint="eastAsia"/>
          <w:color w:val="auto"/>
        </w:rPr>
        <w:t>（12）《国务院关于印发水污染防治行动计划的通知》（国发【2</w:t>
      </w:r>
      <w:r>
        <w:rPr>
          <w:color w:val="auto"/>
        </w:rPr>
        <w:t>015</w:t>
      </w:r>
      <w:r>
        <w:rPr>
          <w:rFonts w:hint="eastAsia"/>
          <w:color w:val="auto"/>
        </w:rPr>
        <w:t>】17号）；</w:t>
      </w:r>
    </w:p>
    <w:p>
      <w:pPr>
        <w:spacing w:line="360" w:lineRule="auto"/>
        <w:ind w:firstLine="480"/>
        <w:jc w:val="both"/>
        <w:rPr>
          <w:color w:val="auto"/>
        </w:rPr>
      </w:pPr>
      <w:r>
        <w:rPr>
          <w:rFonts w:hint="eastAsia"/>
          <w:color w:val="auto"/>
        </w:rPr>
        <w:t>（13）《国务院关于印发土壤污染防治行动计划的通知》（国发【2</w:t>
      </w:r>
      <w:r>
        <w:rPr>
          <w:color w:val="auto"/>
        </w:rPr>
        <w:t>016</w:t>
      </w:r>
      <w:r>
        <w:rPr>
          <w:rFonts w:hint="eastAsia"/>
          <w:color w:val="auto"/>
        </w:rPr>
        <w:t>】31号）；</w:t>
      </w:r>
    </w:p>
    <w:p>
      <w:pPr>
        <w:spacing w:line="360" w:lineRule="auto"/>
        <w:ind w:firstLine="480"/>
        <w:jc w:val="both"/>
        <w:rPr>
          <w:color w:val="auto"/>
        </w:rPr>
      </w:pPr>
      <w:r>
        <w:rPr>
          <w:color w:val="auto"/>
        </w:rPr>
        <w:t>（1</w:t>
      </w:r>
      <w:r>
        <w:rPr>
          <w:rFonts w:hint="eastAsia"/>
          <w:color w:val="auto"/>
        </w:rPr>
        <w:t>4</w:t>
      </w:r>
      <w:r>
        <w:rPr>
          <w:color w:val="auto"/>
        </w:rPr>
        <w:t>）《建设项目环境影响评价分类管理名录》（2018年4月28日起施行）；</w:t>
      </w:r>
    </w:p>
    <w:p>
      <w:pPr>
        <w:spacing w:line="360" w:lineRule="auto"/>
        <w:ind w:firstLine="480"/>
        <w:jc w:val="both"/>
        <w:rPr>
          <w:color w:val="auto"/>
        </w:rPr>
      </w:pPr>
      <w:r>
        <w:rPr>
          <w:color w:val="auto"/>
        </w:rPr>
        <w:t>（1</w:t>
      </w:r>
      <w:r>
        <w:rPr>
          <w:rFonts w:hint="eastAsia"/>
          <w:color w:val="auto"/>
        </w:rPr>
        <w:t>5</w:t>
      </w:r>
      <w:r>
        <w:rPr>
          <w:color w:val="auto"/>
        </w:rPr>
        <w:t>）关于修改《建设项目环境影响评价分类管理名录》部分内容的决定（生态环境部令第1号）；</w:t>
      </w:r>
    </w:p>
    <w:p>
      <w:pPr>
        <w:spacing w:line="360" w:lineRule="auto"/>
        <w:ind w:firstLine="480"/>
        <w:jc w:val="both"/>
        <w:rPr>
          <w:color w:val="auto"/>
        </w:rPr>
      </w:pPr>
      <w:r>
        <w:rPr>
          <w:color w:val="auto"/>
        </w:rPr>
        <w:t>（16）</w:t>
      </w:r>
      <w:r>
        <w:rPr>
          <w:rFonts w:hint="eastAsia"/>
          <w:color w:val="auto"/>
        </w:rPr>
        <w:t>《生态环境部审批环境影响评价文件的建设项目目录（2019年本）》（生态环境部公告 2019年第8号）</w:t>
      </w:r>
      <w:r>
        <w:rPr>
          <w:color w:val="auto"/>
        </w:rPr>
        <w:t>；</w:t>
      </w:r>
    </w:p>
    <w:p>
      <w:pPr>
        <w:spacing w:line="360" w:lineRule="auto"/>
        <w:ind w:firstLine="480"/>
        <w:jc w:val="both"/>
        <w:rPr>
          <w:color w:val="auto"/>
        </w:rPr>
      </w:pPr>
      <w:r>
        <w:rPr>
          <w:color w:val="auto"/>
        </w:rPr>
        <w:t>（17）《中共中央国务院关于加快推进生态文明建设的意见》（国务院公报2015年第14号）；</w:t>
      </w:r>
    </w:p>
    <w:p>
      <w:pPr>
        <w:spacing w:line="360" w:lineRule="auto"/>
        <w:ind w:firstLine="480"/>
        <w:jc w:val="both"/>
        <w:rPr>
          <w:color w:val="auto"/>
        </w:rPr>
      </w:pPr>
      <w:r>
        <w:rPr>
          <w:color w:val="auto"/>
        </w:rPr>
        <w:t>（18）《</w:t>
      </w:r>
      <w:r>
        <w:rPr>
          <w:rFonts w:asciiTheme="minorEastAsia" w:hAnsiTheme="minorEastAsia" w:eastAsiaTheme="minorEastAsia"/>
          <w:color w:val="auto"/>
        </w:rPr>
        <w:t>“十三五”</w:t>
      </w:r>
      <w:r>
        <w:rPr>
          <w:color w:val="auto"/>
        </w:rPr>
        <w:t>生态环境保护规划》（国发</w:t>
      </w:r>
      <w:r>
        <w:rPr>
          <w:rFonts w:hint="eastAsia"/>
          <w:color w:val="auto"/>
        </w:rPr>
        <w:t>【2</w:t>
      </w:r>
      <w:r>
        <w:rPr>
          <w:color w:val="auto"/>
        </w:rPr>
        <w:t>016</w:t>
      </w:r>
      <w:r>
        <w:rPr>
          <w:rFonts w:hint="eastAsia"/>
          <w:color w:val="auto"/>
        </w:rPr>
        <w:t>】</w:t>
      </w:r>
      <w:r>
        <w:rPr>
          <w:color w:val="auto"/>
        </w:rPr>
        <w:t>65号）；</w:t>
      </w:r>
    </w:p>
    <w:p>
      <w:pPr>
        <w:spacing w:line="360" w:lineRule="auto"/>
        <w:ind w:firstLine="480"/>
        <w:jc w:val="both"/>
        <w:rPr>
          <w:color w:val="auto"/>
        </w:rPr>
      </w:pPr>
      <w:r>
        <w:rPr>
          <w:color w:val="auto"/>
        </w:rPr>
        <w:t>（19）《关于以改善环境质量为核心加强环境影响评价管理的通知》（环环评</w:t>
      </w:r>
      <w:r>
        <w:rPr>
          <w:rFonts w:hint="eastAsia"/>
          <w:color w:val="auto"/>
        </w:rPr>
        <w:t>【2</w:t>
      </w:r>
      <w:r>
        <w:rPr>
          <w:color w:val="auto"/>
        </w:rPr>
        <w:t>016</w:t>
      </w:r>
      <w:r>
        <w:rPr>
          <w:rFonts w:hint="eastAsia"/>
          <w:color w:val="auto"/>
        </w:rPr>
        <w:t>】</w:t>
      </w:r>
      <w:r>
        <w:rPr>
          <w:color w:val="auto"/>
        </w:rPr>
        <w:t>150号）；</w:t>
      </w:r>
    </w:p>
    <w:p>
      <w:pPr>
        <w:spacing w:line="360" w:lineRule="auto"/>
        <w:ind w:firstLine="480"/>
        <w:jc w:val="both"/>
        <w:rPr>
          <w:color w:val="auto"/>
        </w:rPr>
      </w:pPr>
      <w:r>
        <w:rPr>
          <w:color w:val="auto"/>
        </w:rPr>
        <w:t>（</w:t>
      </w:r>
      <w:r>
        <w:rPr>
          <w:rFonts w:hint="eastAsia"/>
          <w:color w:val="auto"/>
        </w:rPr>
        <w:t>2</w:t>
      </w:r>
      <w:r>
        <w:rPr>
          <w:color w:val="auto"/>
        </w:rPr>
        <w:t>0）《关于落实&lt;水污染防治行动计划&gt;实施区域差别化环境准入的指导意见》（环环评</w:t>
      </w:r>
      <w:r>
        <w:rPr>
          <w:rFonts w:hint="eastAsia"/>
          <w:color w:val="auto"/>
        </w:rPr>
        <w:t>【2</w:t>
      </w:r>
      <w:r>
        <w:rPr>
          <w:color w:val="auto"/>
        </w:rPr>
        <w:t>016</w:t>
      </w:r>
      <w:r>
        <w:rPr>
          <w:rFonts w:hint="eastAsia"/>
          <w:color w:val="auto"/>
        </w:rPr>
        <w:t>】</w:t>
      </w:r>
      <w:r>
        <w:rPr>
          <w:color w:val="auto"/>
        </w:rPr>
        <w:t>190号）；</w:t>
      </w:r>
    </w:p>
    <w:p>
      <w:pPr>
        <w:spacing w:line="360" w:lineRule="auto"/>
        <w:ind w:firstLine="480"/>
        <w:jc w:val="both"/>
        <w:rPr>
          <w:color w:val="auto"/>
        </w:rPr>
      </w:pPr>
      <w:r>
        <w:rPr>
          <w:color w:val="auto"/>
        </w:rPr>
        <w:t>（21）《关于落实大气污染防治行动计划严格环境影响评价准入的通知》（环办</w:t>
      </w:r>
      <w:r>
        <w:rPr>
          <w:rFonts w:hint="eastAsia"/>
          <w:color w:val="auto"/>
        </w:rPr>
        <w:t>【2</w:t>
      </w:r>
      <w:r>
        <w:rPr>
          <w:color w:val="auto"/>
        </w:rPr>
        <w:t>014</w:t>
      </w:r>
      <w:r>
        <w:rPr>
          <w:rFonts w:hint="eastAsia"/>
          <w:color w:val="auto"/>
        </w:rPr>
        <w:t>】</w:t>
      </w:r>
      <w:r>
        <w:rPr>
          <w:color w:val="auto"/>
        </w:rPr>
        <w:t>30号）</w:t>
      </w:r>
      <w:r>
        <w:rPr>
          <w:rFonts w:hint="eastAsia" w:ascii="宋体" w:hAnsi="宋体" w:cs="宋体"/>
          <w:color w:val="auto"/>
        </w:rPr>
        <w:t>；</w:t>
      </w:r>
    </w:p>
    <w:p>
      <w:pPr>
        <w:spacing w:line="360" w:lineRule="auto"/>
        <w:ind w:firstLine="480"/>
        <w:jc w:val="both"/>
        <w:rPr>
          <w:color w:val="auto"/>
        </w:rPr>
      </w:pPr>
      <w:r>
        <w:rPr>
          <w:color w:val="auto"/>
        </w:rPr>
        <w:t>（22）国务院办公厅关于印发《控制污染物排放许可制实施方案》的通知(国办发</w:t>
      </w:r>
      <w:r>
        <w:rPr>
          <w:rFonts w:hint="eastAsia"/>
          <w:color w:val="auto"/>
        </w:rPr>
        <w:t>【2</w:t>
      </w:r>
      <w:r>
        <w:rPr>
          <w:color w:val="auto"/>
        </w:rPr>
        <w:t>016</w:t>
      </w:r>
      <w:r>
        <w:rPr>
          <w:rFonts w:hint="eastAsia"/>
          <w:color w:val="auto"/>
        </w:rPr>
        <w:t>】</w:t>
      </w:r>
      <w:r>
        <w:rPr>
          <w:color w:val="auto"/>
        </w:rPr>
        <w:t>81号);</w:t>
      </w:r>
    </w:p>
    <w:p>
      <w:pPr>
        <w:spacing w:line="360" w:lineRule="auto"/>
        <w:ind w:firstLine="480"/>
        <w:jc w:val="both"/>
        <w:rPr>
          <w:color w:val="auto"/>
        </w:rPr>
      </w:pPr>
      <w:r>
        <w:rPr>
          <w:color w:val="auto"/>
        </w:rPr>
        <w:t>（23）关于印发《排污许可证管理暂行规定》的通知(环水体</w:t>
      </w:r>
      <w:r>
        <w:rPr>
          <w:rFonts w:hint="eastAsia"/>
          <w:color w:val="auto"/>
        </w:rPr>
        <w:t>【2</w:t>
      </w:r>
      <w:r>
        <w:rPr>
          <w:color w:val="auto"/>
        </w:rPr>
        <w:t>016</w:t>
      </w:r>
      <w:r>
        <w:rPr>
          <w:rFonts w:hint="eastAsia"/>
          <w:color w:val="auto"/>
        </w:rPr>
        <w:t>】</w:t>
      </w:r>
      <w:r>
        <w:rPr>
          <w:color w:val="auto"/>
        </w:rPr>
        <w:t>186号)；</w:t>
      </w:r>
    </w:p>
    <w:p>
      <w:pPr>
        <w:spacing w:line="360" w:lineRule="auto"/>
        <w:ind w:firstLine="480"/>
        <w:jc w:val="both"/>
        <w:rPr>
          <w:color w:val="auto"/>
        </w:rPr>
      </w:pPr>
      <w:r>
        <w:rPr>
          <w:color w:val="auto"/>
        </w:rPr>
        <w:t>（24）《排污许可管理办法（试行）》（环境保护部令第48号）;</w:t>
      </w:r>
    </w:p>
    <w:p>
      <w:pPr>
        <w:spacing w:line="360" w:lineRule="auto"/>
        <w:ind w:firstLine="480"/>
        <w:jc w:val="both"/>
        <w:rPr>
          <w:color w:val="auto"/>
        </w:rPr>
      </w:pPr>
      <w:r>
        <w:rPr>
          <w:rFonts w:hint="eastAsia"/>
          <w:color w:val="auto"/>
        </w:rPr>
        <w:t>（2</w:t>
      </w:r>
      <w:r>
        <w:rPr>
          <w:color w:val="auto"/>
        </w:rPr>
        <w:t>5</w:t>
      </w:r>
      <w:r>
        <w:rPr>
          <w:rFonts w:hint="eastAsia"/>
          <w:color w:val="auto"/>
        </w:rPr>
        <w:t>）《关于做好环境影响评价制度与排污许可证制衔接相关工作的通知》（环办环评2017年84号）；</w:t>
      </w:r>
    </w:p>
    <w:p>
      <w:pPr>
        <w:spacing w:line="360" w:lineRule="auto"/>
        <w:ind w:firstLine="480"/>
        <w:jc w:val="both"/>
        <w:rPr>
          <w:color w:val="auto"/>
        </w:rPr>
      </w:pPr>
      <w:r>
        <w:rPr>
          <w:color w:val="auto"/>
        </w:rPr>
        <w:t>（26）《建设项目竣工环境保护验收暂行办法》（国环规环评</w:t>
      </w:r>
      <w:r>
        <w:rPr>
          <w:rFonts w:hint="eastAsia"/>
          <w:color w:val="auto"/>
        </w:rPr>
        <w:t>【2</w:t>
      </w:r>
      <w:r>
        <w:rPr>
          <w:color w:val="auto"/>
        </w:rPr>
        <w:t>017</w:t>
      </w:r>
      <w:r>
        <w:rPr>
          <w:rFonts w:hint="eastAsia"/>
          <w:color w:val="auto"/>
        </w:rPr>
        <w:t>】</w:t>
      </w:r>
      <w:r>
        <w:rPr>
          <w:color w:val="auto"/>
        </w:rPr>
        <w:t>4号）；</w:t>
      </w:r>
    </w:p>
    <w:p>
      <w:pPr>
        <w:spacing w:line="360" w:lineRule="auto"/>
        <w:ind w:firstLine="480"/>
        <w:jc w:val="both"/>
        <w:rPr>
          <w:color w:val="auto"/>
        </w:rPr>
      </w:pPr>
      <w:r>
        <w:rPr>
          <w:color w:val="auto"/>
        </w:rPr>
        <w:t>（27）《建设项目环境保护事中事后监督管理办法（试行）》（环发</w:t>
      </w:r>
      <w:r>
        <w:rPr>
          <w:rFonts w:hint="eastAsia"/>
          <w:color w:val="auto"/>
        </w:rPr>
        <w:t>【2</w:t>
      </w:r>
      <w:r>
        <w:rPr>
          <w:color w:val="auto"/>
        </w:rPr>
        <w:t>015</w:t>
      </w:r>
      <w:r>
        <w:rPr>
          <w:rFonts w:hint="eastAsia"/>
          <w:color w:val="auto"/>
        </w:rPr>
        <w:t>】</w:t>
      </w:r>
      <w:r>
        <w:rPr>
          <w:color w:val="auto"/>
        </w:rPr>
        <w:t>163号）；</w:t>
      </w:r>
    </w:p>
    <w:p>
      <w:pPr>
        <w:spacing w:line="360" w:lineRule="auto"/>
        <w:ind w:firstLine="480"/>
        <w:jc w:val="both"/>
        <w:rPr>
          <w:color w:val="auto"/>
        </w:rPr>
      </w:pPr>
      <w:r>
        <w:rPr>
          <w:color w:val="auto"/>
        </w:rPr>
        <w:t xml:space="preserve">（28）《关于加强建设项目环境影响评价事中事后监管的实施意见》（环环评 </w:t>
      </w:r>
      <w:r>
        <w:rPr>
          <w:rFonts w:hint="eastAsia"/>
          <w:color w:val="auto"/>
        </w:rPr>
        <w:t>【2</w:t>
      </w:r>
      <w:r>
        <w:rPr>
          <w:color w:val="auto"/>
        </w:rPr>
        <w:t>018</w:t>
      </w:r>
      <w:r>
        <w:rPr>
          <w:rFonts w:hint="eastAsia"/>
          <w:color w:val="auto"/>
        </w:rPr>
        <w:t>】</w:t>
      </w:r>
      <w:r>
        <w:rPr>
          <w:color w:val="auto"/>
        </w:rPr>
        <w:t>11号）；</w:t>
      </w:r>
    </w:p>
    <w:p>
      <w:pPr>
        <w:spacing w:line="360" w:lineRule="auto"/>
        <w:ind w:firstLine="480"/>
        <w:jc w:val="both"/>
        <w:rPr>
          <w:color w:val="auto"/>
        </w:rPr>
      </w:pPr>
      <w:r>
        <w:rPr>
          <w:color w:val="auto"/>
        </w:rPr>
        <w:t>（29）《关于进一步加强环境影响评价管理防范环境风险的通知》（环发</w:t>
      </w:r>
      <w:r>
        <w:rPr>
          <w:rFonts w:hint="eastAsia"/>
          <w:color w:val="auto"/>
        </w:rPr>
        <w:t>【2</w:t>
      </w:r>
      <w:r>
        <w:rPr>
          <w:color w:val="auto"/>
        </w:rPr>
        <w:t>012</w:t>
      </w:r>
      <w:r>
        <w:rPr>
          <w:rFonts w:hint="eastAsia"/>
          <w:color w:val="auto"/>
        </w:rPr>
        <w:t>】</w:t>
      </w:r>
      <w:r>
        <w:rPr>
          <w:color w:val="auto"/>
        </w:rPr>
        <w:t>77号）；</w:t>
      </w:r>
    </w:p>
    <w:p>
      <w:pPr>
        <w:spacing w:line="360" w:lineRule="auto"/>
        <w:ind w:firstLine="480"/>
        <w:jc w:val="both"/>
        <w:rPr>
          <w:color w:val="auto"/>
        </w:rPr>
      </w:pPr>
      <w:r>
        <w:rPr>
          <w:color w:val="auto"/>
        </w:rPr>
        <w:t>（</w:t>
      </w:r>
      <w:r>
        <w:rPr>
          <w:rFonts w:hint="eastAsia"/>
          <w:color w:val="auto"/>
        </w:rPr>
        <w:t>3</w:t>
      </w:r>
      <w:r>
        <w:rPr>
          <w:color w:val="auto"/>
        </w:rPr>
        <w:t>0）《关于切实加强风险防范严格环境影响评价管理的通知》（环发</w:t>
      </w:r>
      <w:r>
        <w:rPr>
          <w:rFonts w:hint="eastAsia"/>
          <w:color w:val="auto"/>
        </w:rPr>
        <w:t>【2</w:t>
      </w:r>
      <w:r>
        <w:rPr>
          <w:color w:val="auto"/>
        </w:rPr>
        <w:t>012</w:t>
      </w:r>
      <w:r>
        <w:rPr>
          <w:rFonts w:hint="eastAsia"/>
          <w:color w:val="auto"/>
        </w:rPr>
        <w:t>】</w:t>
      </w:r>
      <w:r>
        <w:rPr>
          <w:color w:val="auto"/>
        </w:rPr>
        <w:t>98号）；</w:t>
      </w:r>
    </w:p>
    <w:p>
      <w:pPr>
        <w:spacing w:line="360" w:lineRule="auto"/>
        <w:ind w:firstLine="480"/>
        <w:jc w:val="both"/>
        <w:rPr>
          <w:color w:val="auto"/>
        </w:rPr>
      </w:pPr>
      <w:r>
        <w:rPr>
          <w:color w:val="auto"/>
        </w:rPr>
        <w:t>（</w:t>
      </w:r>
      <w:r>
        <w:rPr>
          <w:rFonts w:hint="eastAsia"/>
          <w:color w:val="auto"/>
        </w:rPr>
        <w:t>3</w:t>
      </w:r>
      <w:r>
        <w:rPr>
          <w:color w:val="auto"/>
        </w:rPr>
        <w:t>1）《国务院关于落实科学发展观加强环境保护的决定》（国发</w:t>
      </w:r>
      <w:r>
        <w:rPr>
          <w:rFonts w:hint="eastAsia"/>
          <w:color w:val="auto"/>
        </w:rPr>
        <w:t>【2</w:t>
      </w:r>
      <w:r>
        <w:rPr>
          <w:color w:val="auto"/>
        </w:rPr>
        <w:t>005</w:t>
      </w:r>
      <w:r>
        <w:rPr>
          <w:rFonts w:hint="eastAsia"/>
          <w:color w:val="auto"/>
        </w:rPr>
        <w:t>】</w:t>
      </w:r>
      <w:r>
        <w:rPr>
          <w:color w:val="auto"/>
        </w:rPr>
        <w:t>39号）；</w:t>
      </w:r>
    </w:p>
    <w:p>
      <w:pPr>
        <w:spacing w:line="360" w:lineRule="auto"/>
        <w:ind w:firstLine="480"/>
        <w:jc w:val="both"/>
        <w:rPr>
          <w:color w:val="auto"/>
        </w:rPr>
      </w:pPr>
      <w:r>
        <w:rPr>
          <w:color w:val="auto"/>
        </w:rPr>
        <w:t>（</w:t>
      </w:r>
      <w:r>
        <w:rPr>
          <w:rFonts w:hint="eastAsia"/>
          <w:color w:val="auto"/>
        </w:rPr>
        <w:t>3</w:t>
      </w:r>
      <w:r>
        <w:rPr>
          <w:color w:val="auto"/>
        </w:rPr>
        <w:t>2）《</w:t>
      </w:r>
      <w:r>
        <w:rPr>
          <w:rFonts w:asciiTheme="minorEastAsia" w:hAnsiTheme="minorEastAsia" w:eastAsiaTheme="minorEastAsia"/>
          <w:color w:val="auto"/>
        </w:rPr>
        <w:t>“十三五”节</w:t>
      </w:r>
      <w:r>
        <w:rPr>
          <w:color w:val="auto"/>
        </w:rPr>
        <w:t>能减排综合工作方案》（2016年12月20日起施行）；</w:t>
      </w:r>
    </w:p>
    <w:p>
      <w:pPr>
        <w:spacing w:line="360" w:lineRule="auto"/>
        <w:ind w:firstLine="480"/>
        <w:jc w:val="both"/>
        <w:rPr>
          <w:color w:val="auto"/>
        </w:rPr>
      </w:pPr>
      <w:r>
        <w:rPr>
          <w:color w:val="auto"/>
        </w:rPr>
        <w:t>（33）《国务院关于印发节能减排综合性工作方案的通知》（国发</w:t>
      </w:r>
      <w:r>
        <w:rPr>
          <w:rFonts w:hint="eastAsia"/>
          <w:color w:val="auto"/>
        </w:rPr>
        <w:t>【2</w:t>
      </w:r>
      <w:r>
        <w:rPr>
          <w:color w:val="auto"/>
        </w:rPr>
        <w:t>007</w:t>
      </w:r>
      <w:r>
        <w:rPr>
          <w:rFonts w:hint="eastAsia"/>
          <w:color w:val="auto"/>
        </w:rPr>
        <w:t>】</w:t>
      </w:r>
      <w:r>
        <w:rPr>
          <w:color w:val="auto"/>
        </w:rPr>
        <w:t>15号）；</w:t>
      </w:r>
    </w:p>
    <w:p>
      <w:pPr>
        <w:spacing w:line="360" w:lineRule="auto"/>
        <w:ind w:firstLine="480"/>
        <w:jc w:val="both"/>
        <w:rPr>
          <w:color w:val="auto"/>
        </w:rPr>
      </w:pPr>
      <w:r>
        <w:rPr>
          <w:color w:val="auto"/>
        </w:rPr>
        <w:t>（34）《建设项目环境保护管理条例》（中华人民共和国国务院令第682号，2017年10月1日起施行）；</w:t>
      </w:r>
    </w:p>
    <w:p>
      <w:pPr>
        <w:spacing w:line="360" w:lineRule="auto"/>
        <w:ind w:firstLine="480"/>
        <w:jc w:val="both"/>
        <w:rPr>
          <w:color w:val="auto"/>
        </w:rPr>
      </w:pPr>
      <w:r>
        <w:rPr>
          <w:color w:val="auto"/>
        </w:rPr>
        <w:t>（35）关于印发《建设项目环境影响评价信息公开机制方案》的通知（环发</w:t>
      </w:r>
      <w:r>
        <w:rPr>
          <w:rFonts w:hint="eastAsia"/>
          <w:color w:val="auto"/>
        </w:rPr>
        <w:t>【2</w:t>
      </w:r>
      <w:r>
        <w:rPr>
          <w:color w:val="auto"/>
        </w:rPr>
        <w:t>015</w:t>
      </w:r>
      <w:r>
        <w:rPr>
          <w:rFonts w:hint="eastAsia"/>
          <w:color w:val="auto"/>
        </w:rPr>
        <w:t>】</w:t>
      </w:r>
      <w:r>
        <w:rPr>
          <w:color w:val="auto"/>
        </w:rPr>
        <w:t>162号）；</w:t>
      </w:r>
    </w:p>
    <w:p>
      <w:pPr>
        <w:spacing w:line="360" w:lineRule="auto"/>
        <w:ind w:firstLine="480"/>
        <w:jc w:val="both"/>
        <w:rPr>
          <w:color w:val="auto"/>
        </w:rPr>
      </w:pPr>
      <w:r>
        <w:rPr>
          <w:color w:val="auto"/>
        </w:rPr>
        <w:t>（36）《建设项目环境影响评价政府信息公开指南（试行）》（环办</w:t>
      </w:r>
      <w:r>
        <w:rPr>
          <w:rFonts w:hint="eastAsia"/>
          <w:color w:val="auto"/>
        </w:rPr>
        <w:t>【2</w:t>
      </w:r>
      <w:r>
        <w:rPr>
          <w:color w:val="auto"/>
        </w:rPr>
        <w:t>013</w:t>
      </w:r>
      <w:r>
        <w:rPr>
          <w:rFonts w:hint="eastAsia"/>
          <w:color w:val="auto"/>
        </w:rPr>
        <w:t>】</w:t>
      </w:r>
      <w:r>
        <w:rPr>
          <w:color w:val="auto"/>
        </w:rPr>
        <w:t>103号）；</w:t>
      </w:r>
    </w:p>
    <w:p>
      <w:pPr>
        <w:spacing w:line="360" w:lineRule="auto"/>
        <w:ind w:firstLine="480"/>
        <w:jc w:val="both"/>
        <w:rPr>
          <w:color w:val="auto"/>
        </w:rPr>
      </w:pPr>
      <w:r>
        <w:rPr>
          <w:color w:val="auto"/>
        </w:rPr>
        <w:t>（37）《环境信息公开办法（试行）》（国家环境保护总局令第35号）；</w:t>
      </w:r>
    </w:p>
    <w:p>
      <w:pPr>
        <w:spacing w:line="360" w:lineRule="auto"/>
        <w:ind w:firstLine="480"/>
        <w:jc w:val="both"/>
        <w:rPr>
          <w:color w:val="auto"/>
        </w:rPr>
      </w:pPr>
      <w:r>
        <w:rPr>
          <w:color w:val="auto"/>
        </w:rPr>
        <w:t>（38）《企业事业单位环境信息公开办法》（环境保护部令第31号）;</w:t>
      </w:r>
    </w:p>
    <w:p>
      <w:pPr>
        <w:spacing w:line="360" w:lineRule="auto"/>
        <w:ind w:firstLine="480"/>
        <w:jc w:val="both"/>
        <w:rPr>
          <w:color w:val="auto"/>
        </w:rPr>
      </w:pPr>
      <w:r>
        <w:rPr>
          <w:color w:val="auto"/>
        </w:rPr>
        <w:t>（39）</w:t>
      </w:r>
      <w:r>
        <w:rPr>
          <w:color w:val="auto"/>
          <w:spacing w:val="8"/>
        </w:rPr>
        <w:t>《清洁生产审核办法》（</w:t>
      </w:r>
      <w:r>
        <w:rPr>
          <w:color w:val="auto"/>
        </w:rPr>
        <w:t>2016年7月1日起施行）；</w:t>
      </w:r>
    </w:p>
    <w:p>
      <w:pPr>
        <w:spacing w:line="360" w:lineRule="auto"/>
        <w:ind w:firstLine="480"/>
        <w:jc w:val="both"/>
        <w:rPr>
          <w:color w:val="auto"/>
        </w:rPr>
      </w:pPr>
      <w:r>
        <w:rPr>
          <w:color w:val="auto"/>
        </w:rPr>
        <w:t>（</w:t>
      </w:r>
      <w:r>
        <w:rPr>
          <w:rFonts w:hint="eastAsia"/>
          <w:color w:val="auto"/>
        </w:rPr>
        <w:t>4</w:t>
      </w:r>
      <w:r>
        <w:rPr>
          <w:color w:val="auto"/>
        </w:rPr>
        <w:t>0）《产业结构调整指导目录（201</w:t>
      </w:r>
      <w:r>
        <w:rPr>
          <w:rFonts w:hint="eastAsia"/>
          <w:color w:val="auto"/>
        </w:rPr>
        <w:t>9年本</w:t>
      </w:r>
      <w:r>
        <w:rPr>
          <w:color w:val="auto"/>
        </w:rPr>
        <w:t>）；</w:t>
      </w:r>
    </w:p>
    <w:p>
      <w:pPr>
        <w:spacing w:line="360" w:lineRule="auto"/>
        <w:ind w:firstLine="480"/>
        <w:jc w:val="both"/>
        <w:rPr>
          <w:color w:val="auto"/>
        </w:rPr>
      </w:pPr>
      <w:r>
        <w:rPr>
          <w:color w:val="auto"/>
        </w:rPr>
        <w:t>（</w:t>
      </w:r>
      <w:r>
        <w:rPr>
          <w:rFonts w:hint="eastAsia"/>
          <w:color w:val="auto"/>
        </w:rPr>
        <w:t>4</w:t>
      </w:r>
      <w:r>
        <w:rPr>
          <w:color w:val="auto"/>
        </w:rPr>
        <w:t>1）《国家危险废物名录》（2016年8月1日起施行）；</w:t>
      </w:r>
    </w:p>
    <w:p>
      <w:pPr>
        <w:spacing w:line="360" w:lineRule="auto"/>
        <w:ind w:firstLine="480"/>
        <w:jc w:val="both"/>
        <w:rPr>
          <w:color w:val="auto"/>
        </w:rPr>
      </w:pPr>
      <w:r>
        <w:rPr>
          <w:color w:val="auto"/>
        </w:rPr>
        <w:t>（42）《危险废物污染防治技术政策》（环发</w:t>
      </w:r>
      <w:r>
        <w:rPr>
          <w:rFonts w:hint="eastAsia"/>
          <w:color w:val="auto"/>
        </w:rPr>
        <w:t>【2</w:t>
      </w:r>
      <w:r>
        <w:rPr>
          <w:color w:val="auto"/>
        </w:rPr>
        <w:t>001</w:t>
      </w:r>
      <w:r>
        <w:rPr>
          <w:rFonts w:hint="eastAsia"/>
          <w:color w:val="auto"/>
        </w:rPr>
        <w:t>】</w:t>
      </w:r>
      <w:r>
        <w:rPr>
          <w:color w:val="auto"/>
        </w:rPr>
        <w:t>199号）；</w:t>
      </w:r>
    </w:p>
    <w:p>
      <w:pPr>
        <w:spacing w:line="360" w:lineRule="auto"/>
        <w:ind w:firstLine="480"/>
        <w:jc w:val="both"/>
        <w:rPr>
          <w:color w:val="auto"/>
        </w:rPr>
      </w:pPr>
      <w:r>
        <w:rPr>
          <w:color w:val="auto"/>
        </w:rPr>
        <w:t>（43）《危险废物转移联单管理办法》(1999年10月1日起施行)；</w:t>
      </w:r>
    </w:p>
    <w:p>
      <w:pPr>
        <w:spacing w:line="360" w:lineRule="auto"/>
        <w:ind w:firstLine="480"/>
        <w:jc w:val="both"/>
        <w:rPr>
          <w:color w:val="auto"/>
        </w:rPr>
      </w:pPr>
      <w:r>
        <w:rPr>
          <w:color w:val="auto"/>
        </w:rPr>
        <w:t>（44）《环境保护公众参与办法》（环境保护部令第35号，2015年9月1日起施行）；</w:t>
      </w:r>
    </w:p>
    <w:p>
      <w:pPr>
        <w:spacing w:line="360" w:lineRule="auto"/>
        <w:ind w:firstLine="480"/>
        <w:jc w:val="both"/>
        <w:rPr>
          <w:color w:val="auto"/>
        </w:rPr>
      </w:pPr>
      <w:r>
        <w:rPr>
          <w:color w:val="auto"/>
        </w:rPr>
        <w:t>（45）《环境影响评价公众参与办法》（生态环境部令第4号，2018年7月16日）；</w:t>
      </w:r>
    </w:p>
    <w:p>
      <w:pPr>
        <w:spacing w:line="360" w:lineRule="auto"/>
        <w:ind w:firstLine="480"/>
        <w:jc w:val="both"/>
        <w:rPr>
          <w:color w:val="auto"/>
        </w:rPr>
      </w:pPr>
      <w:r>
        <w:rPr>
          <w:color w:val="auto"/>
        </w:rPr>
        <w:t>（46）《关于发布《环境影响评价公众参与办法》配套文件的公告》（生态环境部公告2018年第48号，2018年10月12日）</w:t>
      </w:r>
      <w:r>
        <w:rPr>
          <w:rFonts w:hint="eastAsia"/>
          <w:color w:val="auto"/>
        </w:rPr>
        <w:t>；</w:t>
      </w:r>
    </w:p>
    <w:p>
      <w:pPr>
        <w:spacing w:line="360" w:lineRule="auto"/>
        <w:ind w:firstLine="480"/>
        <w:jc w:val="both"/>
        <w:rPr>
          <w:color w:val="auto"/>
        </w:rPr>
      </w:pPr>
      <w:r>
        <w:rPr>
          <w:rFonts w:hint="eastAsia"/>
          <w:color w:val="auto"/>
        </w:rPr>
        <w:t>（4</w:t>
      </w:r>
      <w:r>
        <w:rPr>
          <w:color w:val="auto"/>
        </w:rPr>
        <w:t>7</w:t>
      </w:r>
      <w:r>
        <w:rPr>
          <w:rFonts w:hint="eastAsia"/>
          <w:color w:val="auto"/>
        </w:rPr>
        <w:t>）《市场准入负面清单（201</w:t>
      </w:r>
      <w:r>
        <w:rPr>
          <w:rFonts w:hint="eastAsia"/>
          <w:color w:val="auto"/>
          <w:lang w:val="en-US" w:eastAsia="zh-CN"/>
        </w:rPr>
        <w:t>9</w:t>
      </w:r>
      <w:r>
        <w:rPr>
          <w:rFonts w:hint="eastAsia"/>
          <w:color w:val="auto"/>
        </w:rPr>
        <w:t>年本）》；</w:t>
      </w:r>
    </w:p>
    <w:p>
      <w:pPr>
        <w:spacing w:line="360" w:lineRule="auto"/>
        <w:ind w:firstLine="480"/>
        <w:jc w:val="both"/>
        <w:rPr>
          <w:color w:val="auto"/>
        </w:rPr>
      </w:pPr>
      <w:r>
        <w:rPr>
          <w:rFonts w:hint="eastAsia"/>
          <w:color w:val="auto"/>
        </w:rPr>
        <w:t>（</w:t>
      </w:r>
      <w:r>
        <w:rPr>
          <w:color w:val="auto"/>
        </w:rPr>
        <w:t>48</w:t>
      </w:r>
      <w:r>
        <w:rPr>
          <w:rFonts w:hint="eastAsia"/>
          <w:color w:val="auto"/>
        </w:rPr>
        <w:t>）《2018年国家先进污染防治技术目录（大气污染防治领域）》；</w:t>
      </w:r>
    </w:p>
    <w:p>
      <w:pPr>
        <w:spacing w:line="360" w:lineRule="auto"/>
        <w:ind w:firstLine="480"/>
        <w:jc w:val="both"/>
        <w:rPr>
          <w:color w:val="auto"/>
        </w:rPr>
      </w:pPr>
      <w:r>
        <w:rPr>
          <w:rFonts w:hint="eastAsia"/>
          <w:color w:val="auto"/>
        </w:rPr>
        <w:t>（</w:t>
      </w:r>
      <w:r>
        <w:rPr>
          <w:color w:val="auto"/>
        </w:rPr>
        <w:t>49</w:t>
      </w:r>
      <w:r>
        <w:rPr>
          <w:rFonts w:hint="eastAsia"/>
          <w:color w:val="auto"/>
        </w:rPr>
        <w:t>）《排污单位自行监测技术指南 总则》（HJ819-2017）；</w:t>
      </w:r>
    </w:p>
    <w:p>
      <w:pPr>
        <w:spacing w:line="360" w:lineRule="auto"/>
        <w:ind w:firstLine="600" w:firstLineChars="250"/>
        <w:jc w:val="both"/>
        <w:rPr>
          <w:color w:val="auto"/>
        </w:rPr>
      </w:pPr>
      <w:r>
        <w:rPr>
          <w:color w:val="auto"/>
        </w:rPr>
        <w:t>(50)</w:t>
      </w:r>
      <w:r>
        <w:rPr>
          <w:rFonts w:hint="eastAsia"/>
          <w:color w:val="auto"/>
        </w:rPr>
        <w:t>《排污许可证申请与核发技术规范 总则》（HJ942-2018）。</w:t>
      </w:r>
    </w:p>
    <w:p>
      <w:pPr>
        <w:pStyle w:val="298"/>
        <w:rPr>
          <w:color w:val="auto"/>
        </w:rPr>
      </w:pPr>
      <w:bookmarkStart w:id="68" w:name="_Toc12334"/>
      <w:bookmarkStart w:id="69" w:name="_Toc15912090"/>
      <w:bookmarkStart w:id="70" w:name="_Toc24136702"/>
      <w:bookmarkStart w:id="71" w:name="_Toc14946798"/>
      <w:r>
        <w:rPr>
          <w:color w:val="auto"/>
        </w:rPr>
        <w:t>2.1.2地方法律、法规及政策</w:t>
      </w:r>
      <w:bookmarkEnd w:id="68"/>
      <w:bookmarkEnd w:id="69"/>
      <w:bookmarkEnd w:id="70"/>
      <w:bookmarkEnd w:id="71"/>
    </w:p>
    <w:p>
      <w:pPr>
        <w:spacing w:line="360" w:lineRule="auto"/>
        <w:ind w:firstLine="480"/>
        <w:jc w:val="both"/>
        <w:rPr>
          <w:color w:val="auto"/>
        </w:rPr>
      </w:pPr>
      <w:r>
        <w:rPr>
          <w:color w:val="auto"/>
        </w:rPr>
        <w:t>（1）《广东省环境保护条例》（2018年11月29日修订）；</w:t>
      </w:r>
    </w:p>
    <w:p>
      <w:pPr>
        <w:spacing w:line="360" w:lineRule="auto"/>
        <w:ind w:firstLine="480"/>
        <w:jc w:val="both"/>
        <w:rPr>
          <w:color w:val="auto"/>
        </w:rPr>
      </w:pPr>
      <w:r>
        <w:rPr>
          <w:rFonts w:hint="eastAsia"/>
          <w:color w:val="auto"/>
        </w:rPr>
        <w:t>（2）《广东省饮用水源水质保护条例》（2018年11月29日修正）；</w:t>
      </w:r>
    </w:p>
    <w:p>
      <w:pPr>
        <w:spacing w:line="360" w:lineRule="auto"/>
        <w:ind w:firstLine="480"/>
        <w:jc w:val="both"/>
        <w:rPr>
          <w:color w:val="auto"/>
        </w:rPr>
      </w:pPr>
      <w:r>
        <w:rPr>
          <w:rFonts w:hint="eastAsia"/>
          <w:color w:val="auto"/>
        </w:rPr>
        <w:t>（3）《广东省大气污染防治条例》（2019年3月1日起施行）；</w:t>
      </w:r>
    </w:p>
    <w:p>
      <w:pPr>
        <w:spacing w:line="360" w:lineRule="auto"/>
        <w:ind w:firstLine="480"/>
        <w:jc w:val="both"/>
        <w:rPr>
          <w:color w:val="auto"/>
        </w:rPr>
      </w:pPr>
      <w:r>
        <w:rPr>
          <w:rFonts w:hint="eastAsia"/>
          <w:color w:val="auto"/>
        </w:rPr>
        <w:t>（4）《广东省实施《中华人民共和国环境噪声污染防治法》办法》（2018年11月29日第三次修正）；</w:t>
      </w:r>
    </w:p>
    <w:p>
      <w:pPr>
        <w:spacing w:line="360" w:lineRule="auto"/>
        <w:ind w:firstLine="480"/>
        <w:jc w:val="both"/>
        <w:rPr>
          <w:color w:val="auto"/>
        </w:rPr>
      </w:pPr>
      <w:r>
        <w:rPr>
          <w:color w:val="auto"/>
        </w:rPr>
        <w:t>（</w:t>
      </w:r>
      <w:r>
        <w:rPr>
          <w:rFonts w:hint="eastAsia"/>
          <w:color w:val="auto"/>
        </w:rPr>
        <w:t>5</w:t>
      </w:r>
      <w:r>
        <w:rPr>
          <w:color w:val="auto"/>
        </w:rPr>
        <w:t>）《广东省环境保护</w:t>
      </w:r>
      <w:r>
        <w:rPr>
          <w:rFonts w:asciiTheme="minorEastAsia" w:hAnsiTheme="minorEastAsia" w:eastAsiaTheme="minorEastAsia"/>
          <w:color w:val="auto"/>
        </w:rPr>
        <w:t>“十三五”</w:t>
      </w:r>
      <w:r>
        <w:rPr>
          <w:color w:val="auto"/>
        </w:rPr>
        <w:t>规划》（粤环</w:t>
      </w:r>
      <w:r>
        <w:rPr>
          <w:rFonts w:hint="eastAsia"/>
          <w:color w:val="auto"/>
        </w:rPr>
        <w:t>【2</w:t>
      </w:r>
      <w:r>
        <w:rPr>
          <w:color w:val="auto"/>
        </w:rPr>
        <w:t>016</w:t>
      </w:r>
      <w:r>
        <w:rPr>
          <w:rFonts w:hint="eastAsia"/>
          <w:color w:val="auto"/>
        </w:rPr>
        <w:t>】</w:t>
      </w:r>
      <w:r>
        <w:rPr>
          <w:color w:val="auto"/>
        </w:rPr>
        <w:t>51号）；</w:t>
      </w:r>
    </w:p>
    <w:p>
      <w:pPr>
        <w:spacing w:line="360" w:lineRule="auto"/>
        <w:ind w:firstLine="480"/>
        <w:jc w:val="both"/>
        <w:rPr>
          <w:color w:val="auto"/>
        </w:rPr>
      </w:pPr>
      <w:r>
        <w:rPr>
          <w:color w:val="auto"/>
        </w:rPr>
        <w:t>（</w:t>
      </w:r>
      <w:r>
        <w:rPr>
          <w:rFonts w:hint="eastAsia"/>
          <w:color w:val="auto"/>
        </w:rPr>
        <w:t>6</w:t>
      </w:r>
      <w:r>
        <w:rPr>
          <w:color w:val="auto"/>
        </w:rPr>
        <w:t>）《广东省人民政府进一步加强环境保护工作的决定》（粤环</w:t>
      </w:r>
      <w:r>
        <w:rPr>
          <w:rFonts w:hint="eastAsia"/>
          <w:color w:val="auto"/>
        </w:rPr>
        <w:t>【2</w:t>
      </w:r>
      <w:r>
        <w:rPr>
          <w:color w:val="auto"/>
        </w:rPr>
        <w:t>002</w:t>
      </w:r>
      <w:r>
        <w:rPr>
          <w:rFonts w:hint="eastAsia"/>
          <w:color w:val="auto"/>
        </w:rPr>
        <w:t>】</w:t>
      </w:r>
      <w:r>
        <w:rPr>
          <w:color w:val="auto"/>
        </w:rPr>
        <w:t>71号）；</w:t>
      </w:r>
    </w:p>
    <w:p>
      <w:pPr>
        <w:spacing w:line="360" w:lineRule="auto"/>
        <w:ind w:firstLine="480"/>
        <w:jc w:val="both"/>
        <w:rPr>
          <w:color w:val="auto"/>
        </w:rPr>
      </w:pPr>
      <w:r>
        <w:rPr>
          <w:color w:val="auto"/>
        </w:rPr>
        <w:t>（</w:t>
      </w:r>
      <w:r>
        <w:rPr>
          <w:rFonts w:hint="eastAsia"/>
          <w:color w:val="auto"/>
        </w:rPr>
        <w:t>7</w:t>
      </w:r>
      <w:r>
        <w:rPr>
          <w:color w:val="auto"/>
        </w:rPr>
        <w:t>）《广东省环境保护规划纲要》（2006-2020年）；</w:t>
      </w:r>
    </w:p>
    <w:p>
      <w:pPr>
        <w:spacing w:line="360" w:lineRule="auto"/>
        <w:ind w:firstLine="480"/>
        <w:jc w:val="both"/>
        <w:rPr>
          <w:color w:val="auto"/>
        </w:rPr>
      </w:pPr>
      <w:r>
        <w:rPr>
          <w:color w:val="auto"/>
        </w:rPr>
        <w:t>（</w:t>
      </w:r>
      <w:r>
        <w:rPr>
          <w:rFonts w:hint="eastAsia"/>
          <w:color w:val="auto"/>
        </w:rPr>
        <w:t>8</w:t>
      </w:r>
      <w:r>
        <w:rPr>
          <w:color w:val="auto"/>
        </w:rPr>
        <w:t>）《广东省建设项目环境影响评价文件分级审批办法》（粤府</w:t>
      </w:r>
      <w:r>
        <w:rPr>
          <w:rFonts w:hint="eastAsia"/>
          <w:color w:val="auto"/>
        </w:rPr>
        <w:t>【2</w:t>
      </w:r>
      <w:r>
        <w:rPr>
          <w:color w:val="auto"/>
        </w:rPr>
        <w:t>019</w:t>
      </w:r>
      <w:r>
        <w:rPr>
          <w:rFonts w:hint="eastAsia"/>
          <w:color w:val="auto"/>
        </w:rPr>
        <w:t>】</w:t>
      </w:r>
      <w:r>
        <w:rPr>
          <w:color w:val="auto"/>
        </w:rPr>
        <w:t>6号）；</w:t>
      </w:r>
    </w:p>
    <w:p>
      <w:pPr>
        <w:spacing w:line="360" w:lineRule="auto"/>
        <w:ind w:firstLine="480"/>
        <w:jc w:val="both"/>
        <w:rPr>
          <w:color w:val="auto"/>
        </w:rPr>
      </w:pPr>
      <w:r>
        <w:rPr>
          <w:color w:val="auto"/>
        </w:rPr>
        <w:t>（</w:t>
      </w:r>
      <w:r>
        <w:rPr>
          <w:rFonts w:hint="eastAsia"/>
          <w:color w:val="auto"/>
        </w:rPr>
        <w:t>9</w:t>
      </w:r>
      <w:r>
        <w:rPr>
          <w:color w:val="auto"/>
        </w:rPr>
        <w:t>）《广东省环境保护厅建设项目环境影响评价文件审批程序规定》（2015年12月1日起施行）；</w:t>
      </w:r>
    </w:p>
    <w:p>
      <w:pPr>
        <w:spacing w:line="360" w:lineRule="auto"/>
        <w:ind w:firstLine="480"/>
        <w:jc w:val="both"/>
        <w:rPr>
          <w:color w:val="auto"/>
        </w:rPr>
      </w:pPr>
      <w:r>
        <w:rPr>
          <w:color w:val="auto"/>
        </w:rPr>
        <w:t>（</w:t>
      </w:r>
      <w:r>
        <w:rPr>
          <w:rFonts w:hint="eastAsia"/>
          <w:color w:val="auto"/>
        </w:rPr>
        <w:t>10</w:t>
      </w:r>
      <w:r>
        <w:rPr>
          <w:color w:val="auto"/>
        </w:rPr>
        <w:t>）《关于促进我省产业结构调整的实施意见》（粤府</w:t>
      </w:r>
      <w:r>
        <w:rPr>
          <w:rFonts w:hint="eastAsia"/>
          <w:color w:val="auto"/>
        </w:rPr>
        <w:t>【2</w:t>
      </w:r>
      <w:r>
        <w:rPr>
          <w:color w:val="auto"/>
        </w:rPr>
        <w:t>007</w:t>
      </w:r>
      <w:r>
        <w:rPr>
          <w:rFonts w:hint="eastAsia"/>
          <w:color w:val="auto"/>
        </w:rPr>
        <w:t>】</w:t>
      </w:r>
      <w:r>
        <w:rPr>
          <w:color w:val="auto"/>
        </w:rPr>
        <w:t>61号）；</w:t>
      </w:r>
    </w:p>
    <w:p>
      <w:pPr>
        <w:spacing w:line="360" w:lineRule="auto"/>
        <w:ind w:firstLine="480"/>
        <w:jc w:val="both"/>
        <w:rPr>
          <w:color w:val="auto"/>
        </w:rPr>
      </w:pPr>
      <w:r>
        <w:rPr>
          <w:color w:val="auto"/>
        </w:rPr>
        <w:t>（</w:t>
      </w:r>
      <w:r>
        <w:rPr>
          <w:rFonts w:hint="eastAsia"/>
          <w:color w:val="auto"/>
        </w:rPr>
        <w:t>11</w:t>
      </w:r>
      <w:r>
        <w:rPr>
          <w:color w:val="auto"/>
        </w:rPr>
        <w:t>）《广东省主体功能区规划》（粤府</w:t>
      </w:r>
      <w:r>
        <w:rPr>
          <w:rFonts w:hint="eastAsia"/>
          <w:color w:val="auto"/>
        </w:rPr>
        <w:t>【2</w:t>
      </w:r>
      <w:r>
        <w:rPr>
          <w:color w:val="auto"/>
        </w:rPr>
        <w:t>012</w:t>
      </w:r>
      <w:r>
        <w:rPr>
          <w:rFonts w:hint="eastAsia"/>
          <w:color w:val="auto"/>
        </w:rPr>
        <w:t>】</w:t>
      </w:r>
      <w:r>
        <w:rPr>
          <w:color w:val="auto"/>
        </w:rPr>
        <w:t>120号）；</w:t>
      </w:r>
    </w:p>
    <w:p>
      <w:pPr>
        <w:spacing w:line="360" w:lineRule="auto"/>
        <w:ind w:firstLine="480"/>
        <w:jc w:val="both"/>
        <w:rPr>
          <w:color w:val="auto"/>
        </w:rPr>
      </w:pPr>
      <w:r>
        <w:rPr>
          <w:color w:val="auto"/>
        </w:rPr>
        <w:t>（1</w:t>
      </w:r>
      <w:r>
        <w:rPr>
          <w:rFonts w:hint="eastAsia"/>
          <w:color w:val="auto"/>
        </w:rPr>
        <w:t>2</w:t>
      </w:r>
      <w:r>
        <w:rPr>
          <w:color w:val="auto"/>
        </w:rPr>
        <w:t>）《广东省用水定额》（DB44T1461-2014）；</w:t>
      </w:r>
    </w:p>
    <w:p>
      <w:pPr>
        <w:spacing w:line="360" w:lineRule="auto"/>
        <w:ind w:firstLine="480"/>
        <w:jc w:val="both"/>
        <w:rPr>
          <w:color w:val="auto"/>
        </w:rPr>
      </w:pPr>
      <w:r>
        <w:rPr>
          <w:color w:val="auto"/>
        </w:rPr>
        <w:t>（1</w:t>
      </w:r>
      <w:r>
        <w:rPr>
          <w:rFonts w:hint="eastAsia"/>
          <w:color w:val="auto"/>
        </w:rPr>
        <w:t>3</w:t>
      </w:r>
      <w:r>
        <w:rPr>
          <w:color w:val="auto"/>
        </w:rPr>
        <w:t>）关于转发环境保护部《建设项目主要污染物排放总量指标审核及管理暂行办法》的通知（粤环</w:t>
      </w:r>
      <w:r>
        <w:rPr>
          <w:rFonts w:hint="eastAsia"/>
          <w:color w:val="auto"/>
        </w:rPr>
        <w:t>【2</w:t>
      </w:r>
      <w:r>
        <w:rPr>
          <w:color w:val="auto"/>
        </w:rPr>
        <w:t>015</w:t>
      </w:r>
      <w:r>
        <w:rPr>
          <w:rFonts w:hint="eastAsia"/>
          <w:color w:val="auto"/>
        </w:rPr>
        <w:t>】</w:t>
      </w:r>
      <w:r>
        <w:rPr>
          <w:color w:val="auto"/>
        </w:rPr>
        <w:t>45号）；</w:t>
      </w:r>
    </w:p>
    <w:p>
      <w:pPr>
        <w:spacing w:line="360" w:lineRule="auto"/>
        <w:ind w:firstLine="480"/>
        <w:jc w:val="both"/>
        <w:rPr>
          <w:color w:val="auto"/>
        </w:rPr>
      </w:pPr>
      <w:r>
        <w:rPr>
          <w:color w:val="auto"/>
        </w:rPr>
        <w:t>（1</w:t>
      </w:r>
      <w:r>
        <w:rPr>
          <w:rFonts w:hint="eastAsia"/>
          <w:color w:val="auto"/>
        </w:rPr>
        <w:t>4</w:t>
      </w:r>
      <w:r>
        <w:rPr>
          <w:color w:val="auto"/>
        </w:rPr>
        <w:t>）《广东省地表水环境功能区划》（粤环</w:t>
      </w:r>
      <w:r>
        <w:rPr>
          <w:rFonts w:hint="eastAsia"/>
          <w:color w:val="auto"/>
        </w:rPr>
        <w:t>【2</w:t>
      </w:r>
      <w:r>
        <w:rPr>
          <w:color w:val="auto"/>
        </w:rPr>
        <w:t>011</w:t>
      </w:r>
      <w:r>
        <w:rPr>
          <w:rFonts w:hint="eastAsia"/>
          <w:color w:val="auto"/>
        </w:rPr>
        <w:t>】</w:t>
      </w:r>
      <w:r>
        <w:rPr>
          <w:color w:val="auto"/>
        </w:rPr>
        <w:t>14号）；</w:t>
      </w:r>
    </w:p>
    <w:p>
      <w:pPr>
        <w:spacing w:line="360" w:lineRule="auto"/>
        <w:ind w:firstLine="480"/>
        <w:jc w:val="both"/>
        <w:rPr>
          <w:color w:val="auto"/>
        </w:rPr>
      </w:pPr>
      <w:r>
        <w:rPr>
          <w:color w:val="auto"/>
        </w:rPr>
        <w:t>（1</w:t>
      </w:r>
      <w:r>
        <w:rPr>
          <w:rFonts w:hint="eastAsia"/>
          <w:color w:val="auto"/>
        </w:rPr>
        <w:t>5</w:t>
      </w:r>
      <w:r>
        <w:rPr>
          <w:color w:val="auto"/>
        </w:rPr>
        <w:t>）《关于印发广东省地下水功能区划的通知》（粤水资源</w:t>
      </w:r>
      <w:r>
        <w:rPr>
          <w:rFonts w:hint="eastAsia"/>
          <w:color w:val="auto"/>
        </w:rPr>
        <w:t>【2</w:t>
      </w:r>
      <w:r>
        <w:rPr>
          <w:color w:val="auto"/>
        </w:rPr>
        <w:t>009</w:t>
      </w:r>
      <w:r>
        <w:rPr>
          <w:rFonts w:hint="eastAsia"/>
          <w:color w:val="auto"/>
        </w:rPr>
        <w:t>】</w:t>
      </w:r>
      <w:r>
        <w:rPr>
          <w:color w:val="auto"/>
        </w:rPr>
        <w:t>19号）；</w:t>
      </w:r>
    </w:p>
    <w:p>
      <w:pPr>
        <w:spacing w:line="360" w:lineRule="auto"/>
        <w:ind w:firstLine="480"/>
        <w:jc w:val="both"/>
        <w:rPr>
          <w:color w:val="auto"/>
        </w:rPr>
      </w:pPr>
      <w:r>
        <w:rPr>
          <w:color w:val="auto"/>
        </w:rPr>
        <w:t>（1</w:t>
      </w:r>
      <w:r>
        <w:rPr>
          <w:rFonts w:hint="eastAsia"/>
          <w:color w:val="auto"/>
        </w:rPr>
        <w:t>6</w:t>
      </w:r>
      <w:r>
        <w:rPr>
          <w:color w:val="auto"/>
        </w:rPr>
        <w:t>）《关于进一步明确固体废物管理有关问题的通知》（粤环</w:t>
      </w:r>
      <w:r>
        <w:rPr>
          <w:rFonts w:hint="eastAsia"/>
          <w:color w:val="auto"/>
        </w:rPr>
        <w:t>【2</w:t>
      </w:r>
      <w:r>
        <w:rPr>
          <w:color w:val="auto"/>
        </w:rPr>
        <w:t>008</w:t>
      </w:r>
      <w:r>
        <w:rPr>
          <w:rFonts w:hint="eastAsia"/>
          <w:color w:val="auto"/>
        </w:rPr>
        <w:t>】</w:t>
      </w:r>
      <w:r>
        <w:rPr>
          <w:color w:val="auto"/>
        </w:rPr>
        <w:t>117号）；</w:t>
      </w:r>
    </w:p>
    <w:p>
      <w:pPr>
        <w:spacing w:line="360" w:lineRule="auto"/>
        <w:ind w:firstLine="480"/>
        <w:jc w:val="both"/>
        <w:rPr>
          <w:color w:val="auto"/>
        </w:rPr>
      </w:pPr>
      <w:r>
        <w:rPr>
          <w:color w:val="auto"/>
        </w:rPr>
        <w:t>（1</w:t>
      </w:r>
      <w:r>
        <w:rPr>
          <w:rFonts w:hint="eastAsia"/>
          <w:color w:val="auto"/>
        </w:rPr>
        <w:t>7</w:t>
      </w:r>
      <w:r>
        <w:rPr>
          <w:color w:val="auto"/>
        </w:rPr>
        <w:t>）《广东省固体废物污染环境防治条例》（2018年11月29日修订）；</w:t>
      </w:r>
    </w:p>
    <w:p>
      <w:pPr>
        <w:spacing w:line="360" w:lineRule="auto"/>
        <w:ind w:firstLine="480"/>
        <w:jc w:val="both"/>
        <w:rPr>
          <w:color w:val="auto"/>
        </w:rPr>
      </w:pPr>
      <w:r>
        <w:rPr>
          <w:color w:val="auto"/>
        </w:rPr>
        <w:t>（1</w:t>
      </w:r>
      <w:r>
        <w:rPr>
          <w:rFonts w:hint="eastAsia"/>
          <w:color w:val="auto"/>
        </w:rPr>
        <w:t>8</w:t>
      </w:r>
      <w:r>
        <w:rPr>
          <w:color w:val="auto"/>
        </w:rPr>
        <w:t>）《广东省&lt;实施危险废物转移联单管理办法&gt;规定》(粤环</w:t>
      </w:r>
      <w:r>
        <w:rPr>
          <w:rFonts w:hint="eastAsia"/>
          <w:color w:val="auto"/>
        </w:rPr>
        <w:t>【</w:t>
      </w:r>
      <w:r>
        <w:rPr>
          <w:color w:val="auto"/>
        </w:rPr>
        <w:t>1997</w:t>
      </w:r>
      <w:r>
        <w:rPr>
          <w:rFonts w:hint="eastAsia"/>
          <w:color w:val="auto"/>
        </w:rPr>
        <w:t>】</w:t>
      </w:r>
      <w:r>
        <w:rPr>
          <w:color w:val="auto"/>
        </w:rPr>
        <w:t>177号)；</w:t>
      </w:r>
    </w:p>
    <w:p>
      <w:pPr>
        <w:spacing w:line="360" w:lineRule="auto"/>
        <w:ind w:firstLine="480"/>
        <w:jc w:val="both"/>
        <w:rPr>
          <w:color w:val="auto"/>
        </w:rPr>
      </w:pPr>
      <w:r>
        <w:rPr>
          <w:color w:val="auto"/>
        </w:rPr>
        <w:t>（1</w:t>
      </w:r>
      <w:r>
        <w:rPr>
          <w:rFonts w:hint="eastAsia"/>
          <w:color w:val="auto"/>
        </w:rPr>
        <w:t>9</w:t>
      </w:r>
      <w:r>
        <w:rPr>
          <w:color w:val="auto"/>
        </w:rPr>
        <w:t>）《广东省城乡生活垃圾处理条例》；</w:t>
      </w:r>
    </w:p>
    <w:p>
      <w:pPr>
        <w:spacing w:line="360" w:lineRule="auto"/>
        <w:ind w:firstLine="480"/>
        <w:jc w:val="both"/>
        <w:rPr>
          <w:color w:val="auto"/>
        </w:rPr>
      </w:pPr>
      <w:r>
        <w:rPr>
          <w:color w:val="auto"/>
        </w:rPr>
        <w:t>（</w:t>
      </w:r>
      <w:r>
        <w:rPr>
          <w:rFonts w:hint="eastAsia"/>
          <w:color w:val="auto"/>
        </w:rPr>
        <w:t>20</w:t>
      </w:r>
      <w:r>
        <w:rPr>
          <w:color w:val="auto"/>
        </w:rPr>
        <w:t>）《关于发布广东省环境保护厅审批环境影响评价报告书（表）的建设项目名录（2019年本）的通知》（粤环</w:t>
      </w:r>
      <w:r>
        <w:rPr>
          <w:rFonts w:hint="eastAsia"/>
          <w:color w:val="auto"/>
        </w:rPr>
        <w:t>【2</w:t>
      </w:r>
      <w:r>
        <w:rPr>
          <w:color w:val="auto"/>
        </w:rPr>
        <w:t>019</w:t>
      </w:r>
      <w:r>
        <w:rPr>
          <w:rFonts w:hint="eastAsia"/>
          <w:color w:val="auto"/>
        </w:rPr>
        <w:t>】</w:t>
      </w:r>
      <w:r>
        <w:rPr>
          <w:color w:val="auto"/>
        </w:rPr>
        <w:t>24号）；</w:t>
      </w:r>
    </w:p>
    <w:p>
      <w:pPr>
        <w:spacing w:line="360" w:lineRule="auto"/>
        <w:ind w:firstLine="480"/>
        <w:jc w:val="both"/>
        <w:rPr>
          <w:color w:val="auto"/>
        </w:rPr>
      </w:pPr>
      <w:r>
        <w:rPr>
          <w:rFonts w:hint="eastAsia"/>
          <w:color w:val="auto"/>
        </w:rPr>
        <w:t>（21）《广东省环境保护厅关于印发固体废物污染防治三年行动计划（2018-2020年）的通知》（粤环发【2</w:t>
      </w:r>
      <w:r>
        <w:rPr>
          <w:color w:val="auto"/>
        </w:rPr>
        <w:t>018</w:t>
      </w:r>
      <w:r>
        <w:rPr>
          <w:rFonts w:hint="eastAsia"/>
          <w:color w:val="auto"/>
        </w:rPr>
        <w:t>】5号，2018年4月27日）；</w:t>
      </w:r>
    </w:p>
    <w:p>
      <w:pPr>
        <w:spacing w:line="360" w:lineRule="auto"/>
        <w:ind w:firstLine="480"/>
        <w:jc w:val="both"/>
        <w:rPr>
          <w:color w:val="auto"/>
        </w:rPr>
      </w:pPr>
      <w:r>
        <w:rPr>
          <w:rFonts w:hint="eastAsia"/>
          <w:color w:val="auto"/>
        </w:rPr>
        <w:t>（22）《广东省人民政府关于印发广东省水污染防治行动计划实施方案的通知》（粤府【2</w:t>
      </w:r>
      <w:r>
        <w:rPr>
          <w:color w:val="auto"/>
        </w:rPr>
        <w:t>015</w:t>
      </w:r>
      <w:r>
        <w:rPr>
          <w:rFonts w:hint="eastAsia"/>
          <w:color w:val="auto"/>
        </w:rPr>
        <w:t>】131号）；</w:t>
      </w:r>
    </w:p>
    <w:p>
      <w:pPr>
        <w:spacing w:line="360" w:lineRule="auto"/>
        <w:ind w:firstLine="480"/>
        <w:jc w:val="both"/>
        <w:rPr>
          <w:color w:val="auto"/>
        </w:rPr>
      </w:pPr>
      <w:r>
        <w:rPr>
          <w:rFonts w:hint="eastAsia"/>
          <w:color w:val="auto"/>
        </w:rPr>
        <w:t>（23）《关于印发南粤水更清行动计划（修订本）（2017—2020年）的通知》(粤环【2</w:t>
      </w:r>
      <w:r>
        <w:rPr>
          <w:color w:val="auto"/>
        </w:rPr>
        <w:t>017</w:t>
      </w:r>
      <w:r>
        <w:rPr>
          <w:rFonts w:hint="eastAsia"/>
          <w:color w:val="auto"/>
        </w:rPr>
        <w:t>】28号)；</w:t>
      </w:r>
    </w:p>
    <w:p>
      <w:pPr>
        <w:spacing w:line="360" w:lineRule="auto"/>
        <w:ind w:firstLine="480"/>
        <w:jc w:val="both"/>
        <w:rPr>
          <w:color w:val="auto"/>
        </w:rPr>
      </w:pPr>
      <w:r>
        <w:rPr>
          <w:rFonts w:hint="eastAsia"/>
          <w:color w:val="auto"/>
        </w:rPr>
        <w:t>（24）《广东省人民政府关于印发广东省土壤污染防治行动计划实施方案的通知》(粤府【2</w:t>
      </w:r>
      <w:r>
        <w:rPr>
          <w:color w:val="auto"/>
        </w:rPr>
        <w:t>016</w:t>
      </w:r>
      <w:r>
        <w:rPr>
          <w:rFonts w:hint="eastAsia"/>
          <w:color w:val="auto"/>
        </w:rPr>
        <w:t>】145号)；</w:t>
      </w:r>
    </w:p>
    <w:p>
      <w:pPr>
        <w:spacing w:line="360" w:lineRule="auto"/>
        <w:ind w:firstLine="480"/>
        <w:jc w:val="both"/>
        <w:rPr>
          <w:color w:val="auto"/>
        </w:rPr>
      </w:pPr>
      <w:r>
        <w:rPr>
          <w:rFonts w:hint="eastAsia"/>
          <w:color w:val="auto"/>
        </w:rPr>
        <w:t>（25）《广东省人民政府关于印发《广东省打赢蓝天保卫战实施方案（2018—2020年）的通知》（粤府【2</w:t>
      </w:r>
      <w:r>
        <w:rPr>
          <w:color w:val="auto"/>
        </w:rPr>
        <w:t>018</w:t>
      </w:r>
      <w:r>
        <w:rPr>
          <w:rFonts w:hint="eastAsia"/>
          <w:color w:val="auto"/>
        </w:rPr>
        <w:t>】128号）；</w:t>
      </w:r>
    </w:p>
    <w:p>
      <w:pPr>
        <w:spacing w:line="360" w:lineRule="auto"/>
        <w:ind w:firstLine="480"/>
        <w:jc w:val="both"/>
        <w:rPr>
          <w:rFonts w:hint="eastAsia"/>
          <w:color w:val="auto"/>
        </w:rPr>
      </w:pPr>
      <w:r>
        <w:rPr>
          <w:rFonts w:hint="eastAsia"/>
          <w:color w:val="auto"/>
        </w:rPr>
        <w:t>（26）《广东省环境保护厅关于印发广东省重金属污染综合防治“十三五”规划的通知》（粤环发【2</w:t>
      </w:r>
      <w:r>
        <w:rPr>
          <w:color w:val="auto"/>
        </w:rPr>
        <w:t>017</w:t>
      </w:r>
      <w:r>
        <w:rPr>
          <w:rFonts w:hint="eastAsia"/>
          <w:color w:val="auto"/>
        </w:rPr>
        <w:t>】2号）；</w:t>
      </w:r>
    </w:p>
    <w:p>
      <w:pPr>
        <w:spacing w:line="360" w:lineRule="auto"/>
        <w:ind w:firstLine="480"/>
        <w:jc w:val="both"/>
        <w:rPr>
          <w:rFonts w:hint="eastAsia"/>
          <w:color w:val="auto"/>
        </w:rPr>
      </w:pPr>
      <w:r>
        <w:rPr>
          <w:rFonts w:hint="eastAsia"/>
          <w:color w:val="auto"/>
          <w:lang w:eastAsia="zh-CN"/>
        </w:rPr>
        <w:t>（</w:t>
      </w:r>
      <w:r>
        <w:rPr>
          <w:rFonts w:hint="eastAsia"/>
          <w:color w:val="auto"/>
          <w:lang w:val="en-US" w:eastAsia="zh-CN"/>
        </w:rPr>
        <w:t>27</w:t>
      </w:r>
      <w:r>
        <w:rPr>
          <w:rFonts w:hint="eastAsia"/>
          <w:color w:val="auto"/>
          <w:lang w:eastAsia="zh-CN"/>
        </w:rPr>
        <w:t>）</w:t>
      </w:r>
      <w:r>
        <w:rPr>
          <w:rFonts w:hint="eastAsia"/>
          <w:color w:val="auto"/>
        </w:rPr>
        <w:t>《广东省环境保护厅关于印发韩江流域水质保护规划（2017-2025 年）的通</w:t>
      </w:r>
    </w:p>
    <w:p>
      <w:pPr>
        <w:spacing w:line="360" w:lineRule="auto"/>
        <w:jc w:val="both"/>
        <w:rPr>
          <w:rFonts w:hint="eastAsia"/>
          <w:color w:val="auto"/>
        </w:rPr>
      </w:pPr>
      <w:r>
        <w:rPr>
          <w:rFonts w:hint="eastAsia"/>
          <w:color w:val="auto"/>
        </w:rPr>
        <w:t>知》（粤环发〔2017〕4 号）；</w:t>
      </w:r>
    </w:p>
    <w:p>
      <w:pPr>
        <w:spacing w:line="360" w:lineRule="auto"/>
        <w:ind w:firstLine="480" w:firstLineChars="200"/>
        <w:jc w:val="both"/>
        <w:rPr>
          <w:rFonts w:hint="eastAsia" w:eastAsia="宋体"/>
          <w:color w:val="auto"/>
          <w:lang w:eastAsia="zh-CN"/>
        </w:rPr>
      </w:pPr>
      <w:r>
        <w:rPr>
          <w:rFonts w:hint="eastAsia"/>
          <w:color w:val="auto"/>
          <w:lang w:eastAsia="zh-CN"/>
        </w:rPr>
        <w:t>（</w:t>
      </w:r>
      <w:r>
        <w:rPr>
          <w:rFonts w:hint="eastAsia"/>
          <w:color w:val="auto"/>
          <w:lang w:val="en-US" w:eastAsia="zh-CN"/>
        </w:rPr>
        <w:t>28</w:t>
      </w:r>
      <w:r>
        <w:rPr>
          <w:rFonts w:hint="eastAsia"/>
          <w:color w:val="auto"/>
          <w:lang w:eastAsia="zh-CN"/>
        </w:rPr>
        <w:t>）</w:t>
      </w:r>
      <w:r>
        <w:rPr>
          <w:rFonts w:hint="eastAsia"/>
          <w:color w:val="auto"/>
        </w:rPr>
        <w:t>《广东省韩江流域水质保护条例》（201</w:t>
      </w:r>
      <w:r>
        <w:rPr>
          <w:rFonts w:hint="eastAsia"/>
          <w:color w:val="auto"/>
          <w:lang w:val="en-US" w:eastAsia="zh-CN"/>
        </w:rPr>
        <w:t>8</w:t>
      </w:r>
      <w:r>
        <w:rPr>
          <w:rFonts w:hint="eastAsia"/>
          <w:color w:val="auto"/>
        </w:rPr>
        <w:t>年修正）</w:t>
      </w:r>
      <w:r>
        <w:rPr>
          <w:rFonts w:hint="eastAsia"/>
          <w:color w:val="auto"/>
          <w:lang w:eastAsia="zh-CN"/>
        </w:rPr>
        <w:t>；</w:t>
      </w:r>
    </w:p>
    <w:p>
      <w:pPr>
        <w:spacing w:line="360" w:lineRule="auto"/>
        <w:ind w:firstLine="480"/>
        <w:jc w:val="both"/>
        <w:rPr>
          <w:color w:val="auto"/>
        </w:rPr>
      </w:pPr>
      <w:r>
        <w:rPr>
          <w:rFonts w:hint="eastAsia"/>
          <w:color w:val="auto"/>
        </w:rPr>
        <w:t>（2</w:t>
      </w:r>
      <w:r>
        <w:rPr>
          <w:rFonts w:hint="eastAsia"/>
          <w:color w:val="auto"/>
          <w:lang w:val="en-US" w:eastAsia="zh-CN"/>
        </w:rPr>
        <w:t>9</w:t>
      </w:r>
      <w:r>
        <w:rPr>
          <w:rFonts w:hint="eastAsia"/>
          <w:color w:val="auto"/>
        </w:rPr>
        <w:t>）《广东省大气污染防治条例》（2019年3月1日实施）;</w:t>
      </w:r>
    </w:p>
    <w:p>
      <w:pPr>
        <w:spacing w:line="360" w:lineRule="auto"/>
        <w:ind w:firstLine="480"/>
        <w:jc w:val="both"/>
        <w:rPr>
          <w:color w:val="auto"/>
        </w:rPr>
      </w:pPr>
      <w:r>
        <w:rPr>
          <w:color w:val="auto"/>
        </w:rPr>
        <w:t>（</w:t>
      </w:r>
      <w:r>
        <w:rPr>
          <w:rFonts w:hint="eastAsia"/>
          <w:color w:val="auto"/>
          <w:lang w:val="en-US" w:eastAsia="zh-CN"/>
        </w:rPr>
        <w:t>30</w:t>
      </w:r>
      <w:r>
        <w:rPr>
          <w:color w:val="auto"/>
        </w:rPr>
        <w:t>）《梅州市饮用水水源地环境保护专项规划》（2007~2020年）；</w:t>
      </w:r>
    </w:p>
    <w:p>
      <w:pPr>
        <w:spacing w:line="360" w:lineRule="auto"/>
        <w:ind w:firstLine="480"/>
        <w:jc w:val="both"/>
        <w:rPr>
          <w:color w:val="auto"/>
        </w:rPr>
      </w:pPr>
      <w:r>
        <w:rPr>
          <w:color w:val="auto"/>
        </w:rPr>
        <w:t>（</w:t>
      </w:r>
      <w:r>
        <w:rPr>
          <w:rFonts w:hint="eastAsia"/>
          <w:color w:val="auto"/>
          <w:lang w:val="en-US" w:eastAsia="zh-CN"/>
        </w:rPr>
        <w:t>31</w:t>
      </w:r>
      <w:r>
        <w:rPr>
          <w:color w:val="auto"/>
        </w:rPr>
        <w:t>）《梅州市环境保护规划纲要》（2007~2020年）；</w:t>
      </w:r>
    </w:p>
    <w:p>
      <w:pPr>
        <w:spacing w:line="360" w:lineRule="auto"/>
        <w:ind w:firstLine="480"/>
        <w:jc w:val="both"/>
        <w:rPr>
          <w:color w:val="auto"/>
        </w:rPr>
      </w:pPr>
      <w:r>
        <w:rPr>
          <w:color w:val="auto"/>
        </w:rPr>
        <w:t>（3</w:t>
      </w:r>
      <w:r>
        <w:rPr>
          <w:rFonts w:hint="eastAsia"/>
          <w:color w:val="auto"/>
          <w:lang w:val="en-US" w:eastAsia="zh-CN"/>
        </w:rPr>
        <w:t>2</w:t>
      </w:r>
      <w:r>
        <w:rPr>
          <w:color w:val="auto"/>
        </w:rPr>
        <w:t>）《广东省梅州市土地利用总体规划》（2006~2020年）；</w:t>
      </w:r>
    </w:p>
    <w:p>
      <w:pPr>
        <w:spacing w:line="360" w:lineRule="auto"/>
        <w:ind w:firstLine="480"/>
        <w:rPr>
          <w:color w:val="auto"/>
        </w:rPr>
      </w:pPr>
      <w:r>
        <w:rPr>
          <w:color w:val="auto"/>
        </w:rPr>
        <w:t>（</w:t>
      </w:r>
      <w:r>
        <w:rPr>
          <w:rFonts w:hint="eastAsia"/>
          <w:color w:val="auto"/>
        </w:rPr>
        <w:t>3</w:t>
      </w:r>
      <w:r>
        <w:rPr>
          <w:rFonts w:hint="eastAsia"/>
          <w:color w:val="auto"/>
          <w:lang w:val="en-US" w:eastAsia="zh-CN"/>
        </w:rPr>
        <w:t>3</w:t>
      </w:r>
      <w:r>
        <w:rPr>
          <w:color w:val="auto"/>
        </w:rPr>
        <w:t>）《梅州市城市总体规划（2015-2030）》；</w:t>
      </w:r>
    </w:p>
    <w:p>
      <w:pPr>
        <w:spacing w:line="360" w:lineRule="auto"/>
        <w:ind w:firstLine="480"/>
        <w:rPr>
          <w:color w:val="auto"/>
        </w:rPr>
      </w:pPr>
      <w:r>
        <w:rPr>
          <w:color w:val="auto"/>
        </w:rPr>
        <w:t>（</w:t>
      </w:r>
      <w:r>
        <w:rPr>
          <w:rFonts w:hint="eastAsia"/>
          <w:color w:val="auto"/>
        </w:rPr>
        <w:t>3</w:t>
      </w:r>
      <w:r>
        <w:rPr>
          <w:rFonts w:hint="eastAsia"/>
          <w:color w:val="auto"/>
          <w:lang w:val="en-US" w:eastAsia="zh-CN"/>
        </w:rPr>
        <w:t>4</w:t>
      </w:r>
      <w:r>
        <w:rPr>
          <w:color w:val="auto"/>
        </w:rPr>
        <w:t>）《梅州市土地利用总体规划》（2010-2020）；</w:t>
      </w:r>
    </w:p>
    <w:p>
      <w:pPr>
        <w:spacing w:line="360" w:lineRule="auto"/>
        <w:ind w:firstLine="480"/>
        <w:rPr>
          <w:color w:val="auto"/>
        </w:rPr>
      </w:pPr>
      <w:r>
        <w:rPr>
          <w:color w:val="auto"/>
        </w:rPr>
        <w:t>（</w:t>
      </w:r>
      <w:r>
        <w:rPr>
          <w:rFonts w:hint="eastAsia"/>
          <w:color w:val="auto"/>
        </w:rPr>
        <w:t>3</w:t>
      </w:r>
      <w:r>
        <w:rPr>
          <w:rFonts w:hint="eastAsia"/>
          <w:color w:val="auto"/>
          <w:lang w:val="en-US" w:eastAsia="zh-CN"/>
        </w:rPr>
        <w:t>5</w:t>
      </w:r>
      <w:r>
        <w:rPr>
          <w:color w:val="auto"/>
        </w:rPr>
        <w:t>）《梅州市环境保护</w:t>
      </w:r>
      <w:r>
        <w:rPr>
          <w:rFonts w:asciiTheme="minorEastAsia" w:hAnsiTheme="minorEastAsia" w:eastAsiaTheme="minorEastAsia"/>
          <w:color w:val="auto"/>
        </w:rPr>
        <w:t>“十三五”</w:t>
      </w:r>
      <w:r>
        <w:rPr>
          <w:color w:val="auto"/>
        </w:rPr>
        <w:t>规划》；</w:t>
      </w:r>
    </w:p>
    <w:p>
      <w:pPr>
        <w:spacing w:line="360" w:lineRule="auto"/>
        <w:ind w:firstLine="480"/>
        <w:rPr>
          <w:color w:val="auto"/>
        </w:rPr>
      </w:pPr>
      <w:r>
        <w:rPr>
          <w:color w:val="auto"/>
        </w:rPr>
        <w:t>（3</w:t>
      </w:r>
      <w:r>
        <w:rPr>
          <w:rFonts w:hint="eastAsia"/>
          <w:color w:val="auto"/>
          <w:lang w:val="en-US" w:eastAsia="zh-CN"/>
        </w:rPr>
        <w:t>6</w:t>
      </w:r>
      <w:r>
        <w:rPr>
          <w:color w:val="auto"/>
        </w:rPr>
        <w:t>）《梅州市固体废物污染防治规划研究报告》；</w:t>
      </w:r>
    </w:p>
    <w:p>
      <w:pPr>
        <w:spacing w:line="360" w:lineRule="auto"/>
        <w:ind w:firstLine="480"/>
        <w:rPr>
          <w:color w:val="auto"/>
        </w:rPr>
      </w:pPr>
      <w:r>
        <w:rPr>
          <w:color w:val="auto"/>
        </w:rPr>
        <w:t>（3</w:t>
      </w:r>
      <w:r>
        <w:rPr>
          <w:rFonts w:hint="eastAsia"/>
          <w:color w:val="auto"/>
          <w:lang w:val="en-US" w:eastAsia="zh-CN"/>
        </w:rPr>
        <w:t>7</w:t>
      </w:r>
      <w:r>
        <w:rPr>
          <w:color w:val="auto"/>
        </w:rPr>
        <w:t>）《</w:t>
      </w:r>
      <w:r>
        <w:rPr>
          <w:bCs/>
          <w:color w:val="auto"/>
        </w:rPr>
        <w:t>兴宁市城市总体规划（2010-2020）</w:t>
      </w:r>
      <w:r>
        <w:rPr>
          <w:color w:val="auto"/>
        </w:rPr>
        <w:t>》；</w:t>
      </w:r>
    </w:p>
    <w:p>
      <w:pPr>
        <w:spacing w:line="360" w:lineRule="auto"/>
        <w:ind w:firstLine="480"/>
        <w:rPr>
          <w:color w:val="auto"/>
        </w:rPr>
      </w:pPr>
      <w:r>
        <w:rPr>
          <w:color w:val="auto"/>
        </w:rPr>
        <w:t>（3</w:t>
      </w:r>
      <w:r>
        <w:rPr>
          <w:rFonts w:hint="eastAsia"/>
          <w:color w:val="auto"/>
          <w:lang w:val="en-US" w:eastAsia="zh-CN"/>
        </w:rPr>
        <w:t>8</w:t>
      </w:r>
      <w:r>
        <w:rPr>
          <w:color w:val="auto"/>
        </w:rPr>
        <w:t>）《</w:t>
      </w:r>
      <w:r>
        <w:rPr>
          <w:bCs/>
          <w:color w:val="auto"/>
        </w:rPr>
        <w:t>兴宁市环境保护</w:t>
      </w:r>
      <w:r>
        <w:rPr>
          <w:rFonts w:hint="eastAsia"/>
          <w:bCs/>
          <w:color w:val="auto"/>
        </w:rPr>
        <w:t>“十三五”</w:t>
      </w:r>
      <w:r>
        <w:rPr>
          <w:bCs/>
          <w:color w:val="auto"/>
        </w:rPr>
        <w:t>规划</w:t>
      </w:r>
      <w:r>
        <w:rPr>
          <w:color w:val="auto"/>
        </w:rPr>
        <w:t>》；</w:t>
      </w:r>
    </w:p>
    <w:p>
      <w:pPr>
        <w:spacing w:line="360" w:lineRule="auto"/>
        <w:ind w:firstLine="480"/>
        <w:rPr>
          <w:color w:val="auto"/>
        </w:rPr>
      </w:pPr>
      <w:r>
        <w:rPr>
          <w:color w:val="auto"/>
        </w:rPr>
        <w:t>（3</w:t>
      </w:r>
      <w:r>
        <w:rPr>
          <w:rFonts w:hint="eastAsia"/>
          <w:color w:val="auto"/>
          <w:lang w:val="en-US" w:eastAsia="zh-CN"/>
        </w:rPr>
        <w:t>9</w:t>
      </w:r>
      <w:r>
        <w:rPr>
          <w:color w:val="auto"/>
        </w:rPr>
        <w:t>）《</w:t>
      </w:r>
      <w:r>
        <w:rPr>
          <w:bCs/>
          <w:color w:val="auto"/>
        </w:rPr>
        <w:t>广东省兴宁市土地利用总体规划（2010-2020年）调整完善方案</w:t>
      </w:r>
      <w:r>
        <w:rPr>
          <w:color w:val="auto"/>
        </w:rPr>
        <w:t>》。</w:t>
      </w:r>
    </w:p>
    <w:p>
      <w:pPr>
        <w:pStyle w:val="298"/>
        <w:rPr>
          <w:color w:val="auto"/>
        </w:rPr>
      </w:pPr>
      <w:bookmarkStart w:id="72" w:name="_Toc14946799"/>
      <w:bookmarkStart w:id="73" w:name="_Toc24136703"/>
      <w:bookmarkStart w:id="74" w:name="_Toc2653"/>
      <w:bookmarkStart w:id="75" w:name="_Toc15912091"/>
      <w:r>
        <w:rPr>
          <w:color w:val="auto"/>
        </w:rPr>
        <w:t>2.1.3技术导则和规范</w:t>
      </w:r>
      <w:bookmarkEnd w:id="72"/>
      <w:bookmarkEnd w:id="73"/>
      <w:bookmarkEnd w:id="74"/>
      <w:bookmarkEnd w:id="75"/>
    </w:p>
    <w:p>
      <w:pPr>
        <w:spacing w:line="360" w:lineRule="auto"/>
        <w:ind w:firstLine="480"/>
        <w:rPr>
          <w:color w:val="auto"/>
        </w:rPr>
      </w:pPr>
      <w:r>
        <w:rPr>
          <w:color w:val="auto"/>
        </w:rPr>
        <w:t>（1）《建设项目环境影响评价技术导则 总纲》（HJ 2.1-2016）；</w:t>
      </w:r>
    </w:p>
    <w:p>
      <w:pPr>
        <w:spacing w:line="360" w:lineRule="auto"/>
        <w:ind w:firstLine="480"/>
        <w:rPr>
          <w:color w:val="auto"/>
        </w:rPr>
      </w:pPr>
      <w:r>
        <w:rPr>
          <w:color w:val="auto"/>
        </w:rPr>
        <w:t>（2）《环境影响评价技术导则 大气环境》（HJ2.2-2018）；</w:t>
      </w:r>
    </w:p>
    <w:p>
      <w:pPr>
        <w:spacing w:line="360" w:lineRule="auto"/>
        <w:ind w:firstLine="480"/>
        <w:rPr>
          <w:color w:val="auto"/>
        </w:rPr>
      </w:pPr>
      <w:r>
        <w:rPr>
          <w:color w:val="auto"/>
        </w:rPr>
        <w:t>（3）《环境影响评价技术导则 地表水环境》（HJ2.3-2018）；</w:t>
      </w:r>
    </w:p>
    <w:p>
      <w:pPr>
        <w:spacing w:line="360" w:lineRule="auto"/>
        <w:ind w:firstLine="480"/>
        <w:rPr>
          <w:color w:val="auto"/>
        </w:rPr>
      </w:pPr>
      <w:r>
        <w:rPr>
          <w:color w:val="auto"/>
        </w:rPr>
        <w:t>（4）《环境影响评价技术导则 地下水环境》（HJ610-2016）；</w:t>
      </w:r>
    </w:p>
    <w:p>
      <w:pPr>
        <w:spacing w:line="360" w:lineRule="auto"/>
        <w:ind w:firstLine="480"/>
        <w:rPr>
          <w:color w:val="auto"/>
        </w:rPr>
      </w:pPr>
      <w:r>
        <w:rPr>
          <w:color w:val="auto"/>
        </w:rPr>
        <w:t>（5）《环境影响评价技术导则 声环境》（HJ2.4-2009）；</w:t>
      </w:r>
    </w:p>
    <w:p>
      <w:pPr>
        <w:spacing w:line="360" w:lineRule="auto"/>
        <w:ind w:firstLine="480"/>
        <w:rPr>
          <w:color w:val="auto"/>
        </w:rPr>
      </w:pPr>
      <w:r>
        <w:rPr>
          <w:color w:val="auto"/>
        </w:rPr>
        <w:t>（6）《环境影响评价技术导则 土壤环境（试行）》（HJ964-2018）；</w:t>
      </w:r>
    </w:p>
    <w:p>
      <w:pPr>
        <w:spacing w:line="360" w:lineRule="auto"/>
        <w:ind w:firstLine="480"/>
        <w:rPr>
          <w:color w:val="auto"/>
        </w:rPr>
      </w:pPr>
      <w:r>
        <w:rPr>
          <w:color w:val="auto"/>
        </w:rPr>
        <w:t>（7）《环境影响评价技术导则 生态影响》（HJ19-2011）；</w:t>
      </w:r>
    </w:p>
    <w:p>
      <w:pPr>
        <w:spacing w:line="360" w:lineRule="auto"/>
        <w:ind w:firstLine="480"/>
        <w:rPr>
          <w:color w:val="auto"/>
        </w:rPr>
      </w:pPr>
      <w:r>
        <w:rPr>
          <w:color w:val="auto"/>
        </w:rPr>
        <w:t>（8）《建设项目环境风险评价技术导则》（HJ169-2018）；</w:t>
      </w:r>
    </w:p>
    <w:p>
      <w:pPr>
        <w:spacing w:line="360" w:lineRule="auto"/>
        <w:ind w:firstLine="480"/>
        <w:rPr>
          <w:color w:val="auto"/>
        </w:rPr>
      </w:pPr>
      <w:r>
        <w:rPr>
          <w:color w:val="auto"/>
        </w:rPr>
        <w:t>（9）《环境噪声与振动控制工程技术导则》（HJ 2034-2013）；</w:t>
      </w:r>
    </w:p>
    <w:p>
      <w:pPr>
        <w:spacing w:line="360" w:lineRule="auto"/>
        <w:ind w:firstLine="480"/>
        <w:rPr>
          <w:color w:val="auto"/>
        </w:rPr>
      </w:pPr>
      <w:r>
        <w:rPr>
          <w:color w:val="auto"/>
        </w:rPr>
        <w:t>（10）《固体废物处理处置工程技术导则》（HJ 2035-2013）；</w:t>
      </w:r>
    </w:p>
    <w:p>
      <w:pPr>
        <w:spacing w:line="360" w:lineRule="auto"/>
        <w:ind w:firstLine="480"/>
        <w:rPr>
          <w:color w:val="auto"/>
        </w:rPr>
      </w:pPr>
      <w:r>
        <w:rPr>
          <w:color w:val="auto"/>
        </w:rPr>
        <w:t>（11）《地表水和污水监测技术规范》（HJ/T 91-2002）；</w:t>
      </w:r>
    </w:p>
    <w:p>
      <w:pPr>
        <w:spacing w:line="360" w:lineRule="auto"/>
        <w:ind w:firstLine="480"/>
        <w:rPr>
          <w:color w:val="auto"/>
        </w:rPr>
      </w:pPr>
      <w:r>
        <w:rPr>
          <w:color w:val="auto"/>
        </w:rPr>
        <w:t>（12）《地下水环境监测技术规范》（H/T164-2004）；</w:t>
      </w:r>
    </w:p>
    <w:p>
      <w:pPr>
        <w:spacing w:line="360" w:lineRule="auto"/>
        <w:ind w:firstLine="480"/>
        <w:rPr>
          <w:color w:val="auto"/>
        </w:rPr>
      </w:pPr>
      <w:r>
        <w:rPr>
          <w:color w:val="auto"/>
        </w:rPr>
        <w:t>（13）《土壤环境监测技术规范》（HJ/T166-2004）；</w:t>
      </w:r>
    </w:p>
    <w:p>
      <w:pPr>
        <w:spacing w:line="360" w:lineRule="auto"/>
        <w:ind w:firstLine="480"/>
        <w:rPr>
          <w:color w:val="auto"/>
        </w:rPr>
      </w:pPr>
      <w:r>
        <w:rPr>
          <w:color w:val="auto"/>
        </w:rPr>
        <w:t>（14）《大气污染治理工程技术导则》，（HJ 2000-2010），公告2010年第94号；</w:t>
      </w:r>
    </w:p>
    <w:p>
      <w:pPr>
        <w:spacing w:line="360" w:lineRule="auto"/>
        <w:ind w:firstLine="480"/>
        <w:rPr>
          <w:color w:val="auto"/>
        </w:rPr>
      </w:pPr>
      <w:r>
        <w:rPr>
          <w:color w:val="auto"/>
        </w:rPr>
        <w:t>（15）《水污染治理工程技术导则》（HJ 2015-2012），2012-06-01实施；</w:t>
      </w:r>
    </w:p>
    <w:p>
      <w:pPr>
        <w:spacing w:line="360" w:lineRule="auto"/>
        <w:ind w:firstLine="480"/>
        <w:jc w:val="both"/>
        <w:rPr>
          <w:color w:val="auto"/>
        </w:rPr>
      </w:pPr>
      <w:r>
        <w:rPr>
          <w:color w:val="auto"/>
        </w:rPr>
        <w:t>（16）《空气和废气监测分析方法》（第四版，2003）；</w:t>
      </w:r>
    </w:p>
    <w:p>
      <w:pPr>
        <w:spacing w:line="360" w:lineRule="auto"/>
        <w:ind w:firstLine="480"/>
        <w:jc w:val="both"/>
        <w:rPr>
          <w:color w:val="auto"/>
        </w:rPr>
      </w:pPr>
      <w:r>
        <w:rPr>
          <w:color w:val="auto"/>
        </w:rPr>
        <w:t>（17）《制定水污染物排放标准的技术原则与方法》（GB /T3839-98）；</w:t>
      </w:r>
    </w:p>
    <w:p>
      <w:pPr>
        <w:spacing w:line="360" w:lineRule="auto"/>
        <w:ind w:firstLine="480"/>
        <w:jc w:val="both"/>
        <w:rPr>
          <w:color w:val="auto"/>
        </w:rPr>
      </w:pPr>
      <w:r>
        <w:rPr>
          <w:color w:val="auto"/>
        </w:rPr>
        <w:t>（18）《水和废水监测分析方法》（第四版增补版，2006.3）；</w:t>
      </w:r>
    </w:p>
    <w:p>
      <w:pPr>
        <w:spacing w:line="360" w:lineRule="auto"/>
        <w:ind w:firstLine="480"/>
        <w:jc w:val="both"/>
        <w:rPr>
          <w:color w:val="auto"/>
        </w:rPr>
      </w:pPr>
      <w:r>
        <w:rPr>
          <w:color w:val="auto"/>
        </w:rPr>
        <w:t>（19）《水污染物排放总量监测技术规范》（HJ/T 92-2002）；</w:t>
      </w:r>
    </w:p>
    <w:p>
      <w:pPr>
        <w:spacing w:line="360" w:lineRule="auto"/>
        <w:ind w:firstLine="480"/>
        <w:jc w:val="both"/>
        <w:rPr>
          <w:color w:val="auto"/>
        </w:rPr>
      </w:pPr>
      <w:r>
        <w:rPr>
          <w:color w:val="auto"/>
        </w:rPr>
        <w:t>（20）《一般工业固体废物贮存、处置场污染控制标准》（GB18599-2001）；</w:t>
      </w:r>
    </w:p>
    <w:p>
      <w:pPr>
        <w:spacing w:line="360" w:lineRule="auto"/>
        <w:ind w:firstLine="480"/>
        <w:jc w:val="both"/>
        <w:rPr>
          <w:color w:val="auto"/>
        </w:rPr>
      </w:pPr>
      <w:r>
        <w:rPr>
          <w:color w:val="auto"/>
        </w:rPr>
        <w:t>（21）《危险废物贮存污染控制标准》（GB18597-2001）；</w:t>
      </w:r>
    </w:p>
    <w:p>
      <w:pPr>
        <w:spacing w:line="360" w:lineRule="auto"/>
        <w:ind w:firstLine="480"/>
        <w:jc w:val="both"/>
        <w:rPr>
          <w:color w:val="auto"/>
        </w:rPr>
      </w:pPr>
      <w:r>
        <w:rPr>
          <w:color w:val="auto"/>
        </w:rPr>
        <w:t>（22）</w:t>
      </w:r>
      <w:r>
        <w:rPr>
          <w:color w:val="auto"/>
        </w:rPr>
        <w:tab/>
      </w:r>
      <w:r>
        <w:rPr>
          <w:color w:val="auto"/>
        </w:rPr>
        <w:t>《关于发布&lt;一般工业固体废物贮存、处置场污染控制标准&gt;（GB18599-2001）等3项国家污染物控制标准修改单的公告》（国家环保部公告2013年第36号）；</w:t>
      </w:r>
    </w:p>
    <w:p>
      <w:pPr>
        <w:spacing w:line="360" w:lineRule="auto"/>
        <w:ind w:firstLine="480"/>
        <w:jc w:val="both"/>
        <w:rPr>
          <w:color w:val="auto"/>
        </w:rPr>
      </w:pPr>
      <w:r>
        <w:rPr>
          <w:color w:val="auto"/>
        </w:rPr>
        <w:t>（23）《危险废物污染防治技术政策》，环发</w:t>
      </w:r>
      <w:r>
        <w:rPr>
          <w:rFonts w:hint="eastAsia"/>
          <w:color w:val="auto"/>
        </w:rPr>
        <w:t>【2</w:t>
      </w:r>
      <w:r>
        <w:rPr>
          <w:color w:val="auto"/>
        </w:rPr>
        <w:t>001</w:t>
      </w:r>
      <w:r>
        <w:rPr>
          <w:rFonts w:hint="eastAsia"/>
          <w:color w:val="auto"/>
        </w:rPr>
        <w:t>】</w:t>
      </w:r>
      <w:r>
        <w:rPr>
          <w:color w:val="auto"/>
        </w:rPr>
        <w:t>199号，2001年12月17日；</w:t>
      </w:r>
    </w:p>
    <w:p>
      <w:pPr>
        <w:spacing w:line="360" w:lineRule="auto"/>
        <w:ind w:firstLine="480"/>
        <w:jc w:val="both"/>
        <w:rPr>
          <w:color w:val="auto"/>
        </w:rPr>
      </w:pPr>
      <w:r>
        <w:rPr>
          <w:color w:val="auto"/>
        </w:rPr>
        <w:t>（24）《建设项目危险废物环境影响评价指南》，公告2017</w:t>
      </w:r>
      <w:r>
        <w:rPr>
          <w:rFonts w:hint="eastAsia"/>
          <w:color w:val="auto"/>
        </w:rPr>
        <w:t>【</w:t>
      </w:r>
      <w:r>
        <w:rPr>
          <w:color w:val="auto"/>
        </w:rPr>
        <w:t>43</w:t>
      </w:r>
      <w:r>
        <w:rPr>
          <w:rFonts w:hint="eastAsia"/>
          <w:color w:val="auto"/>
        </w:rPr>
        <w:t>】</w:t>
      </w:r>
      <w:r>
        <w:rPr>
          <w:color w:val="auto"/>
        </w:rPr>
        <w:t>号，2017年10月1日起施行。</w:t>
      </w:r>
    </w:p>
    <w:p>
      <w:pPr>
        <w:spacing w:line="360" w:lineRule="auto"/>
        <w:ind w:firstLine="480"/>
        <w:jc w:val="both"/>
        <w:rPr>
          <w:color w:val="auto"/>
        </w:rPr>
      </w:pPr>
      <w:r>
        <w:rPr>
          <w:color w:val="auto"/>
        </w:rPr>
        <w:t>（25）《污染源源强核算技术指南 准则》（HJ884-2018）</w:t>
      </w:r>
      <w:r>
        <w:rPr>
          <w:rFonts w:hint="eastAsia"/>
          <w:color w:val="auto"/>
        </w:rPr>
        <w:t>。</w:t>
      </w:r>
    </w:p>
    <w:p>
      <w:pPr>
        <w:pStyle w:val="298"/>
        <w:rPr>
          <w:color w:val="auto"/>
        </w:rPr>
      </w:pPr>
      <w:bookmarkStart w:id="76" w:name="_Toc26173"/>
      <w:bookmarkStart w:id="77" w:name="_Toc24136704"/>
      <w:bookmarkStart w:id="78" w:name="_Toc14946800"/>
      <w:bookmarkStart w:id="79" w:name="_Toc15912092"/>
      <w:r>
        <w:rPr>
          <w:color w:val="auto"/>
        </w:rPr>
        <w:t>2.1.4行业技术标准、规范</w:t>
      </w:r>
      <w:bookmarkEnd w:id="76"/>
      <w:bookmarkEnd w:id="77"/>
      <w:bookmarkEnd w:id="78"/>
      <w:bookmarkEnd w:id="79"/>
    </w:p>
    <w:p>
      <w:pPr>
        <w:spacing w:line="360" w:lineRule="auto"/>
        <w:ind w:firstLine="480"/>
        <w:jc w:val="both"/>
        <w:rPr>
          <w:color w:val="auto"/>
        </w:rPr>
      </w:pPr>
      <w:r>
        <w:rPr>
          <w:color w:val="auto"/>
        </w:rPr>
        <w:t>（1</w:t>
      </w:r>
      <w:r>
        <w:rPr>
          <w:rFonts w:hint="eastAsia"/>
          <w:color w:val="auto"/>
        </w:rPr>
        <w:t>）《餐厨垃圾处理技术规范》（CJJ184-2012）</w:t>
      </w:r>
      <w:r>
        <w:rPr>
          <w:color w:val="auto"/>
        </w:rPr>
        <w:t>；</w:t>
      </w:r>
    </w:p>
    <w:p>
      <w:pPr>
        <w:spacing w:line="360" w:lineRule="auto"/>
        <w:ind w:firstLine="480"/>
        <w:jc w:val="both"/>
        <w:rPr>
          <w:color w:val="auto"/>
        </w:rPr>
      </w:pPr>
      <w:r>
        <w:rPr>
          <w:rFonts w:hint="eastAsia"/>
          <w:color w:val="auto"/>
        </w:rPr>
        <w:t>（2）《建筑垃圾处理技术规范》（CJJ 134-2009）；</w:t>
      </w:r>
    </w:p>
    <w:p>
      <w:pPr>
        <w:spacing w:line="360" w:lineRule="auto"/>
        <w:ind w:firstLine="480"/>
        <w:jc w:val="both"/>
        <w:rPr>
          <w:color w:val="auto"/>
        </w:rPr>
      </w:pPr>
      <w:r>
        <w:rPr>
          <w:color w:val="auto"/>
        </w:rPr>
        <w:t>（3</w:t>
      </w:r>
      <w:r>
        <w:rPr>
          <w:rFonts w:hint="eastAsia"/>
          <w:color w:val="auto"/>
        </w:rPr>
        <w:t>）</w:t>
      </w:r>
      <w:r>
        <w:rPr>
          <w:color w:val="auto"/>
        </w:rPr>
        <w:t>《生活垃圾渗沥液处理技术规范》（CJJ150-2010）；</w:t>
      </w:r>
    </w:p>
    <w:p>
      <w:pPr>
        <w:spacing w:line="360" w:lineRule="auto"/>
        <w:ind w:firstLine="480"/>
        <w:rPr>
          <w:color w:val="auto"/>
        </w:rPr>
      </w:pPr>
      <w:r>
        <w:rPr>
          <w:color w:val="auto"/>
        </w:rPr>
        <w:t>（</w:t>
      </w:r>
      <w:r>
        <w:rPr>
          <w:rFonts w:hint="eastAsia"/>
          <w:color w:val="auto"/>
        </w:rPr>
        <w:t>4</w:t>
      </w:r>
      <w:r>
        <w:rPr>
          <w:color w:val="auto"/>
        </w:rPr>
        <w:t>）《工业循环冷却水处理设计规范》（GB50050-2017）；</w:t>
      </w:r>
    </w:p>
    <w:p>
      <w:pPr>
        <w:spacing w:line="360" w:lineRule="auto"/>
        <w:ind w:firstLine="480"/>
        <w:rPr>
          <w:color w:val="auto"/>
        </w:rPr>
      </w:pPr>
      <w:r>
        <w:rPr>
          <w:color w:val="auto"/>
        </w:rPr>
        <w:t>（</w:t>
      </w:r>
      <w:r>
        <w:rPr>
          <w:rFonts w:hint="eastAsia"/>
          <w:color w:val="auto"/>
        </w:rPr>
        <w:t>5）</w:t>
      </w:r>
      <w:r>
        <w:rPr>
          <w:color w:val="auto"/>
        </w:rPr>
        <w:t>《城市环境卫生设施规划</w:t>
      </w:r>
      <w:r>
        <w:rPr>
          <w:rFonts w:hint="eastAsia"/>
          <w:color w:val="auto"/>
        </w:rPr>
        <w:t>标准</w:t>
      </w:r>
      <w:r>
        <w:rPr>
          <w:color w:val="auto"/>
        </w:rPr>
        <w:t>》（</w:t>
      </w:r>
      <w:r>
        <w:rPr>
          <w:rFonts w:hint="eastAsia"/>
          <w:color w:val="auto"/>
        </w:rPr>
        <w:t>GB/T50337-2018</w:t>
      </w:r>
      <w:r>
        <w:rPr>
          <w:color w:val="auto"/>
        </w:rPr>
        <w:t>）；</w:t>
      </w:r>
    </w:p>
    <w:p>
      <w:pPr>
        <w:spacing w:line="360" w:lineRule="auto"/>
        <w:ind w:firstLine="480"/>
        <w:rPr>
          <w:color w:val="auto"/>
        </w:rPr>
      </w:pPr>
      <w:r>
        <w:rPr>
          <w:color w:val="auto"/>
        </w:rPr>
        <w:t>（</w:t>
      </w:r>
      <w:r>
        <w:rPr>
          <w:rFonts w:hint="eastAsia"/>
          <w:color w:val="auto"/>
        </w:rPr>
        <w:t>6）</w:t>
      </w:r>
      <w:r>
        <w:rPr>
          <w:color w:val="auto"/>
        </w:rPr>
        <w:t>《环境卫生设施设置标准》（CJJ27-2012）；</w:t>
      </w:r>
    </w:p>
    <w:p>
      <w:pPr>
        <w:spacing w:line="360" w:lineRule="auto"/>
        <w:ind w:firstLine="480"/>
        <w:rPr>
          <w:color w:val="auto"/>
        </w:rPr>
      </w:pPr>
      <w:r>
        <w:rPr>
          <w:color w:val="auto"/>
        </w:rPr>
        <w:t>（</w:t>
      </w:r>
      <w:r>
        <w:rPr>
          <w:rFonts w:hint="eastAsia"/>
          <w:color w:val="auto"/>
        </w:rPr>
        <w:t>7）《危险废物鉴别标准 通则》（GB 5085.7-2019）</w:t>
      </w:r>
      <w:r>
        <w:rPr>
          <w:color w:val="auto"/>
        </w:rPr>
        <w:t>；</w:t>
      </w:r>
    </w:p>
    <w:p>
      <w:pPr>
        <w:spacing w:line="360" w:lineRule="auto"/>
        <w:ind w:firstLine="480"/>
        <w:rPr>
          <w:color w:val="auto"/>
        </w:rPr>
      </w:pPr>
      <w:r>
        <w:rPr>
          <w:color w:val="auto"/>
        </w:rPr>
        <w:t>（</w:t>
      </w:r>
      <w:r>
        <w:rPr>
          <w:rFonts w:hint="eastAsia"/>
          <w:color w:val="auto"/>
        </w:rPr>
        <w:t>8</w:t>
      </w:r>
      <w:r>
        <w:rPr>
          <w:color w:val="auto"/>
        </w:rPr>
        <w:t>）《危险废物鉴别标准浸出毒性鉴别》（GB5085.3-2007）；</w:t>
      </w:r>
    </w:p>
    <w:p>
      <w:pPr>
        <w:spacing w:line="360" w:lineRule="auto"/>
        <w:ind w:firstLine="480"/>
        <w:rPr>
          <w:color w:val="auto"/>
        </w:rPr>
      </w:pPr>
      <w:r>
        <w:rPr>
          <w:color w:val="auto"/>
        </w:rPr>
        <w:t>（</w:t>
      </w:r>
      <w:r>
        <w:rPr>
          <w:rFonts w:hint="eastAsia"/>
          <w:color w:val="auto"/>
        </w:rPr>
        <w:t>9</w:t>
      </w:r>
      <w:r>
        <w:rPr>
          <w:color w:val="auto"/>
        </w:rPr>
        <w:t>）《危险废物收集贮存运输技术规范》 (HJ 2025-2012)；</w:t>
      </w:r>
    </w:p>
    <w:p>
      <w:pPr>
        <w:spacing w:line="360" w:lineRule="auto"/>
        <w:ind w:firstLine="480" w:firstLineChars="200"/>
        <w:rPr>
          <w:color w:val="auto"/>
        </w:rPr>
      </w:pPr>
      <w:r>
        <w:rPr>
          <w:rFonts w:hint="eastAsia"/>
          <w:color w:val="auto"/>
        </w:rPr>
        <w:t>（10）</w:t>
      </w:r>
      <w:r>
        <w:rPr>
          <w:color w:val="auto"/>
        </w:rPr>
        <w:t>《工业循环水冷却设计规范》（GB/T50102-2014）；</w:t>
      </w:r>
    </w:p>
    <w:p>
      <w:pPr>
        <w:spacing w:line="360" w:lineRule="auto"/>
        <w:ind w:firstLine="480"/>
        <w:rPr>
          <w:color w:val="auto"/>
        </w:rPr>
      </w:pPr>
      <w:r>
        <w:rPr>
          <w:color w:val="auto"/>
        </w:rPr>
        <w:t>（</w:t>
      </w:r>
      <w:r>
        <w:rPr>
          <w:rFonts w:hint="eastAsia"/>
          <w:color w:val="auto"/>
        </w:rPr>
        <w:t>11</w:t>
      </w:r>
      <w:r>
        <w:rPr>
          <w:color w:val="auto"/>
        </w:rPr>
        <w:t>）《排污单位自行监测技术指南 总则》（HJ 819-2017）</w:t>
      </w:r>
      <w:r>
        <w:rPr>
          <w:rFonts w:hint="eastAsia"/>
          <w:color w:val="auto"/>
        </w:rPr>
        <w:t>；</w:t>
      </w:r>
    </w:p>
    <w:p>
      <w:pPr>
        <w:spacing w:line="360" w:lineRule="auto"/>
        <w:ind w:firstLine="480"/>
        <w:jc w:val="both"/>
        <w:rPr>
          <w:color w:val="auto"/>
        </w:rPr>
      </w:pPr>
      <w:r>
        <w:rPr>
          <w:rFonts w:hint="eastAsia"/>
          <w:color w:val="auto"/>
        </w:rPr>
        <w:t>（12）《饮食业环境保护技术规范》（HJ554-2010）；</w:t>
      </w:r>
    </w:p>
    <w:p>
      <w:pPr>
        <w:spacing w:line="360" w:lineRule="auto"/>
        <w:ind w:firstLine="480"/>
        <w:jc w:val="both"/>
        <w:rPr>
          <w:color w:val="auto"/>
        </w:rPr>
      </w:pPr>
      <w:r>
        <w:rPr>
          <w:rFonts w:hint="eastAsia"/>
          <w:color w:val="auto"/>
        </w:rPr>
        <w:t>（13）《餐厨废弃物处理技术规范》（CJJ184-2012）。</w:t>
      </w:r>
    </w:p>
    <w:p>
      <w:pPr>
        <w:spacing w:line="360" w:lineRule="auto"/>
        <w:ind w:firstLine="480"/>
        <w:jc w:val="both"/>
        <w:rPr>
          <w:color w:val="auto"/>
        </w:rPr>
      </w:pPr>
      <w:r>
        <w:rPr>
          <w:rFonts w:hint="eastAsia"/>
          <w:color w:val="auto"/>
        </w:rPr>
        <w:t>（14）《餐厨废弃物资源利用技术要求》（征求意见稿）（20074595-T-333）；</w:t>
      </w:r>
    </w:p>
    <w:p>
      <w:pPr>
        <w:spacing w:line="360" w:lineRule="auto"/>
        <w:ind w:firstLine="480"/>
        <w:jc w:val="both"/>
        <w:rPr>
          <w:color w:val="auto"/>
        </w:rPr>
      </w:pPr>
      <w:r>
        <w:rPr>
          <w:rFonts w:hint="eastAsia"/>
          <w:color w:val="auto"/>
        </w:rPr>
        <w:t>（15）《餐厨废油资源回收和深加工技术标准》；</w:t>
      </w:r>
    </w:p>
    <w:p>
      <w:pPr>
        <w:spacing w:line="360" w:lineRule="auto"/>
        <w:ind w:firstLine="480"/>
        <w:jc w:val="both"/>
        <w:rPr>
          <w:color w:val="auto"/>
        </w:rPr>
      </w:pPr>
      <w:r>
        <w:rPr>
          <w:rFonts w:hint="eastAsia"/>
          <w:color w:val="auto"/>
        </w:rPr>
        <w:t>（16）《餐厨废弃物油水自动分离设备》（CJ∕T 478-2015）；</w:t>
      </w:r>
    </w:p>
    <w:p>
      <w:pPr>
        <w:spacing w:line="360" w:lineRule="auto"/>
        <w:ind w:firstLine="480"/>
        <w:jc w:val="both"/>
        <w:rPr>
          <w:color w:val="auto"/>
        </w:rPr>
      </w:pPr>
      <w:r>
        <w:rPr>
          <w:rFonts w:hint="eastAsia"/>
          <w:color w:val="auto"/>
        </w:rPr>
        <w:t>（17）《关于促进生产过程协同资源化处理城市及业废弃物工作的意见》（发改环资 【2</w:t>
      </w:r>
      <w:r>
        <w:rPr>
          <w:color w:val="auto"/>
        </w:rPr>
        <w:t>014</w:t>
      </w:r>
      <w:r>
        <w:rPr>
          <w:rFonts w:hint="eastAsia"/>
          <w:color w:val="auto"/>
        </w:rPr>
        <w:t>】884号）。</w:t>
      </w:r>
    </w:p>
    <w:p>
      <w:pPr>
        <w:pStyle w:val="298"/>
        <w:rPr>
          <w:color w:val="auto"/>
        </w:rPr>
      </w:pPr>
      <w:bookmarkStart w:id="80" w:name="_Toc24136705"/>
      <w:bookmarkStart w:id="81" w:name="_Toc14946801"/>
      <w:bookmarkStart w:id="82" w:name="_Toc15912093"/>
      <w:bookmarkStart w:id="83" w:name="_Toc8580"/>
      <w:r>
        <w:rPr>
          <w:color w:val="auto"/>
        </w:rPr>
        <w:t>2.1.5其他资料</w:t>
      </w:r>
      <w:bookmarkEnd w:id="80"/>
      <w:bookmarkEnd w:id="81"/>
      <w:bookmarkEnd w:id="82"/>
      <w:bookmarkEnd w:id="83"/>
    </w:p>
    <w:p>
      <w:pPr>
        <w:spacing w:line="360" w:lineRule="auto"/>
        <w:ind w:firstLine="480"/>
        <w:rPr>
          <w:color w:val="auto"/>
        </w:rPr>
      </w:pPr>
      <w:r>
        <w:rPr>
          <w:color w:val="auto"/>
        </w:rPr>
        <w:t>（1）环境影响评价委托书；</w:t>
      </w:r>
    </w:p>
    <w:p>
      <w:pPr>
        <w:spacing w:line="360" w:lineRule="auto"/>
        <w:ind w:firstLine="480"/>
        <w:rPr>
          <w:color w:val="auto"/>
        </w:rPr>
      </w:pPr>
      <w:r>
        <w:rPr>
          <w:color w:val="auto"/>
        </w:rPr>
        <w:t>（2）</w:t>
      </w:r>
      <w:r>
        <w:rPr>
          <w:rFonts w:hint="eastAsia"/>
          <w:color w:val="auto"/>
        </w:rPr>
        <w:t>兴宁市静脉产业园</w:t>
      </w:r>
      <w:r>
        <w:rPr>
          <w:color w:val="auto"/>
        </w:rPr>
        <w:t>可行性研究报告；</w:t>
      </w:r>
    </w:p>
    <w:p>
      <w:pPr>
        <w:spacing w:line="360" w:lineRule="auto"/>
        <w:ind w:firstLine="480"/>
        <w:rPr>
          <w:color w:val="auto"/>
        </w:rPr>
      </w:pPr>
      <w:r>
        <w:rPr>
          <w:color w:val="auto"/>
        </w:rPr>
        <w:t>（3）</w:t>
      </w:r>
      <w:r>
        <w:rPr>
          <w:rFonts w:hint="eastAsia"/>
          <w:color w:val="auto"/>
        </w:rPr>
        <w:t>兴宁市静脉产业园</w:t>
      </w:r>
      <w:r>
        <w:rPr>
          <w:color w:val="auto"/>
        </w:rPr>
        <w:t>项目</w:t>
      </w:r>
      <w:r>
        <w:rPr>
          <w:rFonts w:hint="eastAsia"/>
          <w:color w:val="auto"/>
        </w:rPr>
        <w:t>规划</w:t>
      </w:r>
      <w:r>
        <w:rPr>
          <w:color w:val="auto"/>
        </w:rPr>
        <w:t>选址报告；</w:t>
      </w:r>
    </w:p>
    <w:p>
      <w:pPr>
        <w:spacing w:line="360" w:lineRule="auto"/>
        <w:rPr>
          <w:rFonts w:hint="eastAsia"/>
          <w:color w:val="auto"/>
          <w:lang w:eastAsia="zh-CN"/>
        </w:rPr>
      </w:pPr>
      <w:r>
        <w:rPr>
          <w:rFonts w:hint="eastAsia"/>
          <w:color w:val="auto"/>
          <w:lang w:val="en-US" w:eastAsia="zh-CN"/>
        </w:rPr>
        <w:t xml:space="preserve">    </w:t>
      </w:r>
      <w:r>
        <w:rPr>
          <w:rFonts w:hint="eastAsia"/>
          <w:color w:val="auto"/>
          <w:lang w:eastAsia="zh-CN"/>
        </w:rPr>
        <w:t>（</w:t>
      </w:r>
      <w:r>
        <w:rPr>
          <w:rFonts w:hint="eastAsia"/>
          <w:color w:val="auto"/>
          <w:lang w:val="en-US" w:eastAsia="zh-CN"/>
        </w:rPr>
        <w:t>3</w:t>
      </w:r>
      <w:r>
        <w:rPr>
          <w:rFonts w:hint="eastAsia"/>
          <w:color w:val="auto"/>
          <w:lang w:eastAsia="zh-CN"/>
        </w:rPr>
        <w:t>）《兴宁市静脉产业园项目（一期工程）详勘工程岩 土 工 程 勘 察 报 告（详细勘察阶段）》；</w:t>
      </w:r>
    </w:p>
    <w:p>
      <w:pPr>
        <w:spacing w:line="360" w:lineRule="auto"/>
        <w:ind w:firstLine="480"/>
        <w:rPr>
          <w:color w:val="auto"/>
        </w:rPr>
      </w:pPr>
      <w:r>
        <w:rPr>
          <w:color w:val="auto"/>
        </w:rPr>
        <w:t>（</w:t>
      </w:r>
      <w:r>
        <w:rPr>
          <w:rFonts w:hint="eastAsia"/>
          <w:color w:val="auto"/>
          <w:lang w:val="en-US" w:eastAsia="zh-CN"/>
        </w:rPr>
        <w:t>4</w:t>
      </w:r>
      <w:r>
        <w:rPr>
          <w:color w:val="auto"/>
        </w:rPr>
        <w:t>）环评过程中所需要的其他资料。</w:t>
      </w:r>
    </w:p>
    <w:p>
      <w:pPr>
        <w:pStyle w:val="3"/>
        <w:rPr>
          <w:rFonts w:ascii="Times New Roman"/>
          <w:color w:val="auto"/>
        </w:rPr>
      </w:pPr>
      <w:bookmarkStart w:id="84" w:name="_Toc14943305"/>
      <w:bookmarkStart w:id="85" w:name="_Toc23263147"/>
      <w:bookmarkStart w:id="86" w:name="_Toc6252"/>
      <w:bookmarkStart w:id="87" w:name="_Toc24136706"/>
      <w:r>
        <w:rPr>
          <w:rFonts w:ascii="Times New Roman"/>
          <w:color w:val="auto"/>
        </w:rPr>
        <w:t>评价目的</w:t>
      </w:r>
      <w:bookmarkEnd w:id="84"/>
      <w:bookmarkEnd w:id="85"/>
      <w:bookmarkEnd w:id="86"/>
      <w:bookmarkEnd w:id="87"/>
    </w:p>
    <w:p>
      <w:pPr>
        <w:spacing w:line="360" w:lineRule="auto"/>
        <w:ind w:firstLine="480"/>
        <w:rPr>
          <w:color w:val="auto"/>
        </w:rPr>
      </w:pPr>
      <w:r>
        <w:rPr>
          <w:color w:val="auto"/>
        </w:rPr>
        <w:t>（1）了解项目所在区域的环境质量现状；分析项目工程特点和污染源特征，评价项目建设对周围环境的影响程度及范围；</w:t>
      </w:r>
    </w:p>
    <w:p>
      <w:pPr>
        <w:spacing w:line="360" w:lineRule="auto"/>
        <w:ind w:firstLine="480"/>
        <w:rPr>
          <w:color w:val="auto"/>
        </w:rPr>
      </w:pPr>
      <w:r>
        <w:rPr>
          <w:color w:val="auto"/>
        </w:rPr>
        <w:t>（2）评价项目环保设施和污染防治措施的技术经济可行性；</w:t>
      </w:r>
    </w:p>
    <w:p>
      <w:pPr>
        <w:spacing w:line="360" w:lineRule="auto"/>
        <w:ind w:firstLine="480"/>
        <w:rPr>
          <w:color w:val="auto"/>
        </w:rPr>
      </w:pPr>
      <w:r>
        <w:rPr>
          <w:color w:val="auto"/>
        </w:rPr>
        <w:t>（3）根据工程分析结果和影响预测结果提出项目的环境保护对策和必须达到的环境要求，使其实施后对环境的影响降到最低程度，从环境保护角度论证项目的可行性；</w:t>
      </w:r>
    </w:p>
    <w:p>
      <w:pPr>
        <w:spacing w:line="360" w:lineRule="auto"/>
        <w:ind w:firstLine="480"/>
        <w:rPr>
          <w:color w:val="auto"/>
        </w:rPr>
      </w:pPr>
      <w:r>
        <w:rPr>
          <w:color w:val="auto"/>
        </w:rPr>
        <w:t>（4）为项目的建设提供依据，为</w:t>
      </w:r>
      <w:r>
        <w:rPr>
          <w:rFonts w:hint="eastAsia"/>
          <w:color w:val="auto"/>
        </w:rPr>
        <w:t>生态</w:t>
      </w:r>
      <w:r>
        <w:rPr>
          <w:color w:val="auto"/>
        </w:rPr>
        <w:t>环境行政主管部门决策提供技术支持。</w:t>
      </w:r>
    </w:p>
    <w:p>
      <w:pPr>
        <w:pStyle w:val="3"/>
        <w:rPr>
          <w:rFonts w:ascii="Times New Roman"/>
          <w:color w:val="auto"/>
        </w:rPr>
      </w:pPr>
      <w:bookmarkStart w:id="88" w:name="_Toc23263148"/>
      <w:bookmarkStart w:id="89" w:name="_Toc14943306"/>
      <w:bookmarkStart w:id="90" w:name="_Toc24136707"/>
      <w:bookmarkStart w:id="91" w:name="_Toc14640"/>
      <w:r>
        <w:rPr>
          <w:rFonts w:ascii="Times New Roman"/>
          <w:color w:val="auto"/>
        </w:rPr>
        <w:t>评价原则</w:t>
      </w:r>
      <w:bookmarkEnd w:id="88"/>
      <w:bookmarkEnd w:id="89"/>
      <w:bookmarkEnd w:id="90"/>
      <w:bookmarkEnd w:id="91"/>
    </w:p>
    <w:p>
      <w:pPr>
        <w:spacing w:line="360" w:lineRule="auto"/>
        <w:ind w:firstLine="480"/>
        <w:rPr>
          <w:color w:val="auto"/>
        </w:rPr>
      </w:pPr>
      <w:r>
        <w:rPr>
          <w:color w:val="auto"/>
        </w:rPr>
        <w:t>突出环境影响评价的源头预防作用，坚持保护和改善环境质量。</w:t>
      </w:r>
    </w:p>
    <w:p>
      <w:pPr>
        <w:spacing w:line="360" w:lineRule="auto"/>
        <w:ind w:firstLine="480"/>
        <w:rPr>
          <w:color w:val="auto"/>
        </w:rPr>
      </w:pPr>
      <w:r>
        <w:rPr>
          <w:color w:val="auto"/>
        </w:rPr>
        <w:t>（1）依法评价</w:t>
      </w:r>
    </w:p>
    <w:p>
      <w:pPr>
        <w:spacing w:line="360" w:lineRule="auto"/>
        <w:ind w:firstLine="480"/>
        <w:rPr>
          <w:color w:val="auto"/>
        </w:rPr>
      </w:pPr>
      <w:r>
        <w:rPr>
          <w:color w:val="auto"/>
        </w:rPr>
        <w:t>环境影响评价过程中贯彻执行我国环境保护相关法律法规、标准、政策，优化项目建设，服务环境管理。</w:t>
      </w:r>
    </w:p>
    <w:p>
      <w:pPr>
        <w:spacing w:line="360" w:lineRule="auto"/>
        <w:ind w:firstLine="480"/>
        <w:rPr>
          <w:color w:val="auto"/>
        </w:rPr>
      </w:pPr>
      <w:r>
        <w:rPr>
          <w:color w:val="auto"/>
        </w:rPr>
        <w:t>（2）科学评价</w:t>
      </w:r>
    </w:p>
    <w:p>
      <w:pPr>
        <w:spacing w:line="360" w:lineRule="auto"/>
        <w:ind w:firstLine="480"/>
        <w:rPr>
          <w:color w:val="auto"/>
        </w:rPr>
      </w:pPr>
      <w:r>
        <w:rPr>
          <w:color w:val="auto"/>
        </w:rPr>
        <w:t>规范环境影响评价方法，科学分析项目建设对环境质量的影响。</w:t>
      </w:r>
    </w:p>
    <w:p>
      <w:pPr>
        <w:spacing w:line="360" w:lineRule="auto"/>
        <w:ind w:firstLine="480"/>
        <w:rPr>
          <w:color w:val="auto"/>
        </w:rPr>
      </w:pPr>
      <w:r>
        <w:rPr>
          <w:color w:val="auto"/>
        </w:rPr>
        <w:t>（3）突出重点</w:t>
      </w:r>
    </w:p>
    <w:p>
      <w:pPr>
        <w:spacing w:line="360" w:lineRule="auto"/>
        <w:ind w:firstLine="480"/>
        <w:rPr>
          <w:color w:val="auto"/>
        </w:rPr>
      </w:pPr>
      <w:r>
        <w:rPr>
          <w:color w:val="auto"/>
        </w:rPr>
        <w:t>根据项目的工程内容及其特征，明确与环境要素间的作用效应关系，根据规划环境影响评价结论和审查意见，充分利用符合时效的数据资料及成果，对项目主要环境影响予以重点分析和评价。</w:t>
      </w:r>
    </w:p>
    <w:p>
      <w:pPr>
        <w:pStyle w:val="3"/>
        <w:rPr>
          <w:rFonts w:ascii="Times New Roman"/>
          <w:color w:val="auto"/>
        </w:rPr>
      </w:pPr>
      <w:bookmarkStart w:id="92" w:name="_Toc23263149"/>
      <w:bookmarkStart w:id="93" w:name="_Toc24136708"/>
      <w:bookmarkStart w:id="94" w:name="_Toc14943307"/>
      <w:bookmarkStart w:id="95" w:name="_Toc1889"/>
      <w:r>
        <w:rPr>
          <w:rFonts w:ascii="Times New Roman"/>
          <w:color w:val="auto"/>
        </w:rPr>
        <w:t>环境功能区划</w:t>
      </w:r>
      <w:bookmarkEnd w:id="92"/>
      <w:bookmarkEnd w:id="93"/>
      <w:bookmarkEnd w:id="94"/>
      <w:bookmarkEnd w:id="95"/>
    </w:p>
    <w:p>
      <w:pPr>
        <w:pStyle w:val="298"/>
        <w:rPr>
          <w:color w:val="auto"/>
        </w:rPr>
      </w:pPr>
      <w:bookmarkStart w:id="96" w:name="_Toc2180"/>
      <w:bookmarkStart w:id="97" w:name="_Toc24136709"/>
      <w:bookmarkStart w:id="98" w:name="_Toc15912097"/>
      <w:bookmarkStart w:id="99" w:name="_Toc14946805"/>
      <w:r>
        <w:rPr>
          <w:color w:val="auto"/>
        </w:rPr>
        <w:t>2.4.1环境空气功能区划</w:t>
      </w:r>
      <w:bookmarkEnd w:id="96"/>
      <w:bookmarkEnd w:id="97"/>
      <w:bookmarkEnd w:id="98"/>
      <w:bookmarkEnd w:id="99"/>
    </w:p>
    <w:p>
      <w:pPr>
        <w:spacing w:line="360" w:lineRule="auto"/>
        <w:ind w:firstLine="480"/>
        <w:rPr>
          <w:color w:val="auto"/>
        </w:rPr>
      </w:pPr>
      <w:r>
        <w:rPr>
          <w:color w:val="auto"/>
        </w:rPr>
        <w:t>本项目位于</w:t>
      </w:r>
      <w:r>
        <w:rPr>
          <w:rFonts w:hint="eastAsia"/>
          <w:color w:val="auto"/>
        </w:rPr>
        <w:t>兴宁市新陂镇</w:t>
      </w:r>
      <w:r>
        <w:rPr>
          <w:color w:val="auto"/>
        </w:rPr>
        <w:t>，根据《梅州市环境保护规划纲要（2007~2020年）》，项目区域大气环境质量功能区划属二类区，执行《环境空气质量标准》（GB3095-2012及2018年修改单）二级标准</w:t>
      </w:r>
      <w:r>
        <w:rPr>
          <w:rFonts w:hint="eastAsia"/>
          <w:color w:val="auto"/>
        </w:rPr>
        <w:t>。距离本项约</w:t>
      </w:r>
      <w:r>
        <w:rPr>
          <w:rFonts w:hint="eastAsia"/>
          <w:color w:val="auto"/>
          <w:lang w:val="en-US" w:eastAsia="zh-CN"/>
        </w:rPr>
        <w:t>3.2</w:t>
      </w:r>
      <w:r>
        <w:rPr>
          <w:color w:val="auto"/>
        </w:rPr>
        <w:t>km</w:t>
      </w:r>
      <w:r>
        <w:rPr>
          <w:rFonts w:hint="eastAsia"/>
          <w:color w:val="auto"/>
        </w:rPr>
        <w:t>的神光山市级自然保护区和</w:t>
      </w:r>
      <w:r>
        <w:rPr>
          <w:rFonts w:hint="eastAsia"/>
          <w:color w:val="auto"/>
          <w:lang w:eastAsia="zh-CN"/>
        </w:rPr>
        <w:t>距离本项目约</w:t>
      </w:r>
      <w:r>
        <w:rPr>
          <w:rFonts w:hint="eastAsia"/>
          <w:color w:val="auto"/>
          <w:lang w:val="en-US" w:eastAsia="zh-CN"/>
        </w:rPr>
        <w:t>3.5km的</w:t>
      </w:r>
      <w:r>
        <w:rPr>
          <w:rFonts w:hint="eastAsia"/>
          <w:color w:val="auto"/>
        </w:rPr>
        <w:t>神光山国家森林公园为大气环境功能一类区，执行《</w:t>
      </w:r>
      <w:r>
        <w:rPr>
          <w:color w:val="auto"/>
        </w:rPr>
        <w:t>环境空气质量标准》（GB3095-2012及2018年修改单）</w:t>
      </w:r>
      <w:r>
        <w:rPr>
          <w:rFonts w:hint="eastAsia"/>
          <w:color w:val="auto"/>
        </w:rPr>
        <w:t>一</w:t>
      </w:r>
      <w:r>
        <w:rPr>
          <w:color w:val="auto"/>
        </w:rPr>
        <w:t>级标准</w:t>
      </w:r>
      <w:r>
        <w:rPr>
          <w:rFonts w:hint="eastAsia"/>
          <w:color w:val="auto"/>
        </w:rPr>
        <w:t>。</w:t>
      </w:r>
      <w:r>
        <w:rPr>
          <w:color w:val="auto"/>
        </w:rPr>
        <w:t>环境空气功能区划见图2.4-1。</w:t>
      </w:r>
    </w:p>
    <w:p>
      <w:pPr>
        <w:pStyle w:val="298"/>
        <w:rPr>
          <w:color w:val="auto"/>
        </w:rPr>
      </w:pPr>
      <w:bookmarkStart w:id="100" w:name="_Toc2661"/>
      <w:bookmarkStart w:id="101" w:name="_Toc15912098"/>
      <w:bookmarkStart w:id="102" w:name="_Toc14946806"/>
      <w:bookmarkStart w:id="103" w:name="_Toc24136710"/>
      <w:r>
        <w:rPr>
          <w:color w:val="auto"/>
        </w:rPr>
        <w:t>2.4.2地表水环境功能区划</w:t>
      </w:r>
      <w:bookmarkEnd w:id="100"/>
      <w:bookmarkEnd w:id="101"/>
      <w:bookmarkEnd w:id="102"/>
      <w:bookmarkEnd w:id="103"/>
    </w:p>
    <w:p>
      <w:pPr>
        <w:spacing w:line="360" w:lineRule="auto"/>
        <w:ind w:firstLine="480"/>
        <w:jc w:val="both"/>
        <w:rPr>
          <w:color w:val="auto"/>
        </w:rPr>
      </w:pPr>
      <w:r>
        <w:rPr>
          <w:color w:val="auto"/>
        </w:rPr>
        <w:t>本项目位于</w:t>
      </w:r>
      <w:r>
        <w:rPr>
          <w:rFonts w:hint="eastAsia"/>
          <w:color w:val="auto"/>
        </w:rPr>
        <w:t>兴宁市新陂镇</w:t>
      </w:r>
      <w:r>
        <w:rPr>
          <w:color w:val="auto"/>
        </w:rPr>
        <w:t>，</w:t>
      </w:r>
      <w:r>
        <w:rPr>
          <w:rFonts w:hint="eastAsia"/>
          <w:color w:val="auto"/>
        </w:rPr>
        <w:t>项目附近水体为曾坑河及曾坑水库，曾坑河最终汇入宁江。</w:t>
      </w:r>
      <w:r>
        <w:rPr>
          <w:color w:val="auto"/>
        </w:rPr>
        <w:t>根据《关于同意实施广东省地表水环境功能区划的批复》（粤府函</w:t>
      </w:r>
      <w:r>
        <w:rPr>
          <w:rFonts w:hint="eastAsia"/>
          <w:color w:val="auto"/>
        </w:rPr>
        <w:t>【2</w:t>
      </w:r>
      <w:r>
        <w:rPr>
          <w:color w:val="auto"/>
        </w:rPr>
        <w:t>011</w:t>
      </w:r>
      <w:r>
        <w:rPr>
          <w:rFonts w:hint="eastAsia"/>
          <w:color w:val="auto"/>
        </w:rPr>
        <w:t>】</w:t>
      </w:r>
      <w:r>
        <w:rPr>
          <w:color w:val="auto"/>
        </w:rPr>
        <w:t>29号）和《关于印发&lt;广东省地表水环境功能区划&gt;的通知》（粤环</w:t>
      </w:r>
      <w:r>
        <w:rPr>
          <w:rFonts w:hint="eastAsia"/>
          <w:color w:val="auto"/>
        </w:rPr>
        <w:t>【2</w:t>
      </w:r>
      <w:r>
        <w:rPr>
          <w:color w:val="auto"/>
        </w:rPr>
        <w:t>011</w:t>
      </w:r>
      <w:r>
        <w:rPr>
          <w:rFonts w:hint="eastAsia"/>
          <w:color w:val="auto"/>
        </w:rPr>
        <w:t>】</w:t>
      </w:r>
      <w:r>
        <w:rPr>
          <w:color w:val="auto"/>
        </w:rPr>
        <w:t>14号），</w:t>
      </w:r>
      <w:r>
        <w:rPr>
          <w:rFonts w:hint="eastAsia"/>
          <w:color w:val="auto"/>
        </w:rPr>
        <w:t>宁</w:t>
      </w:r>
      <w:r>
        <w:rPr>
          <w:color w:val="auto"/>
        </w:rPr>
        <w:t>江在项目选址段（</w:t>
      </w:r>
      <w:r>
        <w:rPr>
          <w:rFonts w:hint="eastAsia"/>
          <w:color w:val="auto"/>
        </w:rPr>
        <w:t>望江桥闸</w:t>
      </w:r>
      <w:r>
        <w:rPr>
          <w:color w:val="auto"/>
        </w:rPr>
        <w:t>~</w:t>
      </w:r>
      <w:r>
        <w:rPr>
          <w:rFonts w:hint="eastAsia"/>
          <w:color w:val="auto"/>
        </w:rPr>
        <w:t>兴宁水口段</w:t>
      </w:r>
      <w:r>
        <w:rPr>
          <w:color w:val="auto"/>
        </w:rPr>
        <w:t>）为</w:t>
      </w:r>
      <w:r>
        <w:rPr>
          <w:rFonts w:hint="eastAsia"/>
          <w:color w:val="auto"/>
        </w:rPr>
        <w:t>饮用</w:t>
      </w:r>
      <w:r>
        <w:rPr>
          <w:color w:val="auto"/>
        </w:rPr>
        <w:t>农业用水功能，</w:t>
      </w:r>
      <w:r>
        <w:rPr>
          <w:rFonts w:hint="eastAsia"/>
          <w:color w:val="auto"/>
        </w:rPr>
        <w:t>为I</w:t>
      </w:r>
      <w:r>
        <w:rPr>
          <w:color w:val="auto"/>
        </w:rPr>
        <w:t>II</w:t>
      </w:r>
      <w:r>
        <w:rPr>
          <w:rFonts w:hint="eastAsia"/>
          <w:color w:val="auto"/>
        </w:rPr>
        <w:t>类区，</w:t>
      </w:r>
      <w:r>
        <w:rPr>
          <w:color w:val="auto"/>
        </w:rPr>
        <w:t>水质执行《地表水环境质量标准》（GB3838-2002）III类标准</w:t>
      </w:r>
      <w:r>
        <w:rPr>
          <w:rFonts w:hint="eastAsia"/>
          <w:color w:val="auto"/>
        </w:rPr>
        <w:t>。根据兴宁市环境保护局《关于兴宁市静脉产业园P</w:t>
      </w:r>
      <w:r>
        <w:rPr>
          <w:color w:val="auto"/>
        </w:rPr>
        <w:t>PP</w:t>
      </w:r>
      <w:r>
        <w:rPr>
          <w:rFonts w:hint="eastAsia"/>
          <w:color w:val="auto"/>
        </w:rPr>
        <w:t>项目环境影响评价执行标准的函》，项目附近水体曾坑河</w:t>
      </w:r>
      <w:r>
        <w:rPr>
          <w:color w:val="auto"/>
        </w:rPr>
        <w:t>执行《地表水环境质量标准》（GB3838-2002）IV类标准</w:t>
      </w:r>
      <w:r>
        <w:rPr>
          <w:rFonts w:hint="eastAsia"/>
          <w:color w:val="auto"/>
        </w:rPr>
        <w:t>，曾坑水库</w:t>
      </w:r>
      <w:r>
        <w:rPr>
          <w:color w:val="auto"/>
        </w:rPr>
        <w:t>水环境质量执行《地表水环境质量标准》（GB3838-2002）III类标准</w:t>
      </w:r>
      <w:r>
        <w:rPr>
          <w:rFonts w:hint="eastAsia"/>
          <w:color w:val="auto"/>
        </w:rPr>
        <w:t>。项目西侧有一排水渠，沿铁路向东北汇入曾坑河，本项目废水不进入水渠。在排水渠西侧有一农灌渠向东北汇入曾坑河，曾坑河向东约</w:t>
      </w:r>
      <w:r>
        <w:rPr>
          <w:color w:val="auto"/>
        </w:rPr>
        <w:t>5.5km</w:t>
      </w:r>
      <w:r>
        <w:rPr>
          <w:rFonts w:hint="eastAsia"/>
          <w:color w:val="auto"/>
        </w:rPr>
        <w:t>汇入宁江。</w:t>
      </w:r>
      <w:r>
        <w:rPr>
          <w:color w:val="auto"/>
        </w:rPr>
        <w:t>项目地表水环境功能区划见图2.4-2，周边水系图见图2.4-3。</w:t>
      </w:r>
    </w:p>
    <w:p>
      <w:pPr>
        <w:spacing w:line="360" w:lineRule="auto"/>
        <w:ind w:firstLine="480"/>
        <w:jc w:val="both"/>
        <w:rPr>
          <w:color w:val="auto"/>
        </w:rPr>
      </w:pPr>
      <w:r>
        <w:rPr>
          <w:color w:val="auto"/>
        </w:rPr>
        <w:t>根据《梅州市饮用水水源地环境保护专项规划》（2007~2020年）</w:t>
      </w:r>
      <w:r>
        <w:rPr>
          <w:rFonts w:hint="eastAsia"/>
          <w:color w:val="auto"/>
        </w:rPr>
        <w:t>、</w:t>
      </w:r>
      <w:r>
        <w:rPr>
          <w:color w:val="auto"/>
        </w:rPr>
        <w:t>《关于同意梅州市31个建制镇引用水源保护区划分方案的函》（粤环函</w:t>
      </w:r>
      <w:r>
        <w:rPr>
          <w:rFonts w:hint="eastAsia"/>
          <w:color w:val="auto"/>
        </w:rPr>
        <w:t>【2</w:t>
      </w:r>
      <w:r>
        <w:rPr>
          <w:color w:val="auto"/>
        </w:rPr>
        <w:t>002</w:t>
      </w:r>
      <w:r>
        <w:rPr>
          <w:rFonts w:hint="eastAsia"/>
          <w:color w:val="auto"/>
        </w:rPr>
        <w:t>】</w:t>
      </w:r>
      <w:r>
        <w:rPr>
          <w:color w:val="auto"/>
        </w:rPr>
        <w:t>102号）</w:t>
      </w:r>
      <w:r>
        <w:rPr>
          <w:rFonts w:hint="eastAsia"/>
          <w:color w:val="auto"/>
        </w:rPr>
        <w:t>和《广东省人民政府关于调整梅州市部分饮用水水源保护区的批复》</w:t>
      </w:r>
      <w:r>
        <w:rPr>
          <w:color w:val="auto"/>
        </w:rPr>
        <w:t>（粤</w:t>
      </w:r>
      <w:r>
        <w:rPr>
          <w:rFonts w:hint="eastAsia"/>
          <w:color w:val="auto"/>
        </w:rPr>
        <w:t>府</w:t>
      </w:r>
      <w:r>
        <w:rPr>
          <w:color w:val="auto"/>
        </w:rPr>
        <w:t>函</w:t>
      </w:r>
      <w:r>
        <w:rPr>
          <w:rFonts w:hint="eastAsia"/>
          <w:color w:val="auto"/>
        </w:rPr>
        <w:t>【2</w:t>
      </w:r>
      <w:r>
        <w:rPr>
          <w:color w:val="auto"/>
        </w:rPr>
        <w:t>002</w:t>
      </w:r>
      <w:r>
        <w:rPr>
          <w:rFonts w:hint="eastAsia"/>
          <w:color w:val="auto"/>
        </w:rPr>
        <w:t>】4</w:t>
      </w:r>
      <w:r>
        <w:rPr>
          <w:color w:val="auto"/>
        </w:rPr>
        <w:t>28号），项目所在区域不属于饮用水水源保护区范围内。项目所在区域饮用水源保护区划见图2.4-4。</w:t>
      </w:r>
    </w:p>
    <w:p>
      <w:pPr>
        <w:pStyle w:val="298"/>
        <w:rPr>
          <w:color w:val="auto"/>
        </w:rPr>
      </w:pPr>
      <w:bookmarkStart w:id="104" w:name="_Toc23445"/>
      <w:bookmarkStart w:id="105" w:name="_Toc15912099"/>
      <w:bookmarkStart w:id="106" w:name="_Toc24136711"/>
      <w:bookmarkStart w:id="107" w:name="_Toc14946807"/>
      <w:r>
        <w:rPr>
          <w:color w:val="auto"/>
        </w:rPr>
        <w:t>2.4.3声环境功能区划</w:t>
      </w:r>
      <w:bookmarkEnd w:id="104"/>
      <w:bookmarkEnd w:id="105"/>
      <w:bookmarkEnd w:id="106"/>
      <w:bookmarkEnd w:id="107"/>
    </w:p>
    <w:p>
      <w:pPr>
        <w:spacing w:line="360" w:lineRule="auto"/>
        <w:ind w:firstLine="480"/>
        <w:jc w:val="both"/>
        <w:rPr>
          <w:color w:val="auto"/>
        </w:rPr>
      </w:pPr>
      <w:r>
        <w:rPr>
          <w:rFonts w:hint="eastAsia"/>
          <w:color w:val="auto"/>
        </w:rPr>
        <w:t>根据</w:t>
      </w:r>
      <w:r>
        <w:rPr>
          <w:color w:val="auto"/>
        </w:rPr>
        <w:t>《梅州市环境保护规划纲要（2007~2020年）》，本项目所在区属2类功能区，执行《声环境质量标准》（GB 3096-2008）所规定的2类区标准（昼间：60dB，夜间：50dB）。</w:t>
      </w:r>
    </w:p>
    <w:p>
      <w:pPr>
        <w:pStyle w:val="298"/>
        <w:rPr>
          <w:color w:val="auto"/>
        </w:rPr>
      </w:pPr>
      <w:bookmarkStart w:id="108" w:name="_Toc28542"/>
      <w:bookmarkStart w:id="109" w:name="_Toc24136712"/>
      <w:bookmarkStart w:id="110" w:name="_Toc15912100"/>
      <w:bookmarkStart w:id="111" w:name="_Toc14946808"/>
      <w:r>
        <w:rPr>
          <w:color w:val="auto"/>
        </w:rPr>
        <w:t>2.4.4地下水环境功能区划</w:t>
      </w:r>
      <w:bookmarkEnd w:id="108"/>
      <w:bookmarkEnd w:id="109"/>
      <w:bookmarkEnd w:id="110"/>
      <w:bookmarkEnd w:id="111"/>
    </w:p>
    <w:p>
      <w:pPr>
        <w:spacing w:line="360" w:lineRule="auto"/>
        <w:ind w:firstLine="480"/>
        <w:jc w:val="both"/>
        <w:rPr>
          <w:color w:val="auto"/>
          <w:lang w:val="zh-CN"/>
        </w:rPr>
      </w:pPr>
      <w:r>
        <w:rPr>
          <w:color w:val="auto"/>
          <w:lang w:val="zh-CN"/>
        </w:rPr>
        <w:t>根据《广东省地下水功能区划》（粤办函</w:t>
      </w:r>
      <w:r>
        <w:rPr>
          <w:rFonts w:hint="eastAsia"/>
          <w:color w:val="auto"/>
        </w:rPr>
        <w:t>【2</w:t>
      </w:r>
      <w:r>
        <w:rPr>
          <w:color w:val="auto"/>
        </w:rPr>
        <w:t>009</w:t>
      </w:r>
      <w:r>
        <w:rPr>
          <w:rFonts w:hint="eastAsia"/>
          <w:color w:val="auto"/>
        </w:rPr>
        <w:t>】</w:t>
      </w:r>
      <w:r>
        <w:rPr>
          <w:color w:val="auto"/>
          <w:lang w:val="zh-CN"/>
        </w:rPr>
        <w:t>459号），项目所在区域地下水</w:t>
      </w:r>
      <w:r>
        <w:rPr>
          <w:rFonts w:asciiTheme="minorEastAsia" w:hAnsiTheme="minorEastAsia" w:eastAsiaTheme="minorEastAsia"/>
          <w:color w:val="auto"/>
          <w:lang w:val="zh-CN"/>
        </w:rPr>
        <w:t>属于“</w:t>
      </w:r>
      <w:r>
        <w:rPr>
          <w:rFonts w:hint="eastAsia"/>
          <w:color w:val="auto"/>
        </w:rPr>
        <w:t>韩江及粤东诸河梅州兴宁地下水水源涵养区（</w:t>
      </w:r>
      <w:r>
        <w:rPr>
          <w:color w:val="auto"/>
        </w:rPr>
        <w:t>H084414002T06</w:t>
      </w:r>
      <w:r>
        <w:rPr>
          <w:rFonts w:hint="eastAsia"/>
          <w:color w:val="auto"/>
        </w:rPr>
        <w:t>）</w:t>
      </w:r>
      <w:r>
        <w:rPr>
          <w:rFonts w:asciiTheme="minorEastAsia" w:hAnsiTheme="minorEastAsia" w:eastAsiaTheme="minorEastAsia"/>
          <w:color w:val="auto"/>
          <w:lang w:val="zh-CN"/>
        </w:rPr>
        <w:t>”</w:t>
      </w:r>
      <w:r>
        <w:rPr>
          <w:color w:val="auto"/>
          <w:lang w:val="zh-CN"/>
        </w:rPr>
        <w:t>。水质保护目标为III类，执行《地下水质量标准》（GB/T 14848-2017）III类水质标准，具体地下水环境功能区划见图2.4-5。</w:t>
      </w:r>
    </w:p>
    <w:p>
      <w:pPr>
        <w:pStyle w:val="298"/>
        <w:rPr>
          <w:color w:val="auto"/>
        </w:rPr>
      </w:pPr>
      <w:bookmarkStart w:id="112" w:name="_Toc14946809"/>
      <w:bookmarkStart w:id="113" w:name="_Toc14727"/>
      <w:bookmarkStart w:id="114" w:name="_Toc15912101"/>
      <w:bookmarkStart w:id="115" w:name="_Toc24136713"/>
      <w:r>
        <w:rPr>
          <w:color w:val="auto"/>
        </w:rPr>
        <w:t>2.4.5生态环境功能区划</w:t>
      </w:r>
      <w:bookmarkEnd w:id="112"/>
      <w:bookmarkEnd w:id="113"/>
      <w:bookmarkEnd w:id="114"/>
      <w:bookmarkEnd w:id="115"/>
    </w:p>
    <w:p>
      <w:pPr>
        <w:spacing w:line="360" w:lineRule="auto"/>
        <w:ind w:firstLine="480"/>
        <w:jc w:val="both"/>
        <w:rPr>
          <w:color w:val="auto"/>
        </w:rPr>
      </w:pPr>
      <w:r>
        <w:rPr>
          <w:color w:val="auto"/>
        </w:rPr>
        <w:t>根据《广东省环境保护规划纲要（2006-2020）》中的广东省生态功能区划，项目所在地属于集约利用区（农业利用亚区），本项目与广东省陆域生态功能控制区划关系详见图2.4-6。</w:t>
      </w:r>
    </w:p>
    <w:p>
      <w:pPr>
        <w:pStyle w:val="298"/>
        <w:rPr>
          <w:color w:val="auto"/>
        </w:rPr>
      </w:pPr>
      <w:bookmarkStart w:id="116" w:name="_Toc24136714"/>
      <w:bookmarkStart w:id="117" w:name="_Toc15912102"/>
      <w:bookmarkStart w:id="118" w:name="_Toc14946810"/>
      <w:bookmarkStart w:id="119" w:name="_Toc13712"/>
      <w:r>
        <w:rPr>
          <w:color w:val="auto"/>
        </w:rPr>
        <w:t>2.4.6环境功能属性</w:t>
      </w:r>
      <w:bookmarkEnd w:id="116"/>
      <w:bookmarkEnd w:id="117"/>
      <w:bookmarkEnd w:id="118"/>
      <w:bookmarkEnd w:id="119"/>
    </w:p>
    <w:p>
      <w:pPr>
        <w:spacing w:line="360" w:lineRule="auto"/>
        <w:ind w:firstLine="480"/>
        <w:rPr>
          <w:color w:val="auto"/>
        </w:rPr>
      </w:pPr>
      <w:r>
        <w:rPr>
          <w:color w:val="auto"/>
        </w:rPr>
        <w:t>建设项目所属环境功能属性见表2.4-1。</w:t>
      </w:r>
    </w:p>
    <w:p>
      <w:pPr>
        <w:pStyle w:val="5"/>
        <w:spacing w:line="360" w:lineRule="auto"/>
        <w:ind w:firstLine="482"/>
        <w:jc w:val="center"/>
        <w:rPr>
          <w:b/>
          <w:color w:val="auto"/>
        </w:rPr>
      </w:pPr>
      <w:r>
        <w:rPr>
          <w:b/>
          <w:color w:val="auto"/>
        </w:rPr>
        <w:t>表2.4-1  项目选址环境功能属性</w:t>
      </w:r>
    </w:p>
    <w:tbl>
      <w:tblPr>
        <w:tblStyle w:val="53"/>
        <w:tblW w:w="8903"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627"/>
        <w:gridCol w:w="2409"/>
        <w:gridCol w:w="586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tblHeader/>
          <w:jc w:val="center"/>
        </w:trPr>
        <w:tc>
          <w:tcPr>
            <w:tcW w:w="627" w:type="dxa"/>
            <w:tcBorders>
              <w:top w:val="single" w:color="auto" w:sz="18" w:space="0"/>
              <w:left w:val="nil"/>
              <w:bottom w:val="single" w:color="auto" w:sz="6" w:space="0"/>
              <w:right w:val="single" w:color="auto" w:sz="6" w:space="0"/>
            </w:tcBorders>
            <w:vAlign w:val="center"/>
          </w:tcPr>
          <w:p>
            <w:pPr>
              <w:jc w:val="center"/>
              <w:rPr>
                <w:b/>
                <w:color w:val="auto"/>
                <w:sz w:val="21"/>
                <w:szCs w:val="21"/>
              </w:rPr>
            </w:pPr>
            <w:r>
              <w:rPr>
                <w:b/>
                <w:color w:val="auto"/>
                <w:sz w:val="21"/>
                <w:szCs w:val="21"/>
              </w:rPr>
              <w:t>编号</w:t>
            </w:r>
          </w:p>
        </w:tc>
        <w:tc>
          <w:tcPr>
            <w:tcW w:w="2409" w:type="dxa"/>
            <w:tcBorders>
              <w:top w:val="single" w:color="auto" w:sz="18" w:space="0"/>
              <w:left w:val="single" w:color="auto" w:sz="6" w:space="0"/>
              <w:bottom w:val="single" w:color="auto" w:sz="6" w:space="0"/>
              <w:right w:val="single" w:color="auto" w:sz="6" w:space="0"/>
            </w:tcBorders>
            <w:vAlign w:val="center"/>
          </w:tcPr>
          <w:p>
            <w:pPr>
              <w:jc w:val="center"/>
              <w:rPr>
                <w:b/>
                <w:color w:val="auto"/>
                <w:sz w:val="21"/>
                <w:szCs w:val="21"/>
              </w:rPr>
            </w:pPr>
            <w:r>
              <w:rPr>
                <w:b/>
                <w:color w:val="auto"/>
                <w:sz w:val="21"/>
                <w:szCs w:val="21"/>
              </w:rPr>
              <w:t>项目</w:t>
            </w:r>
          </w:p>
        </w:tc>
        <w:tc>
          <w:tcPr>
            <w:tcW w:w="5867" w:type="dxa"/>
            <w:tcBorders>
              <w:top w:val="single" w:color="auto" w:sz="18" w:space="0"/>
              <w:left w:val="single" w:color="auto" w:sz="6" w:space="0"/>
              <w:bottom w:val="single" w:color="auto" w:sz="6" w:space="0"/>
              <w:right w:val="nil"/>
            </w:tcBorders>
            <w:vAlign w:val="center"/>
          </w:tcPr>
          <w:p>
            <w:pPr>
              <w:jc w:val="center"/>
              <w:rPr>
                <w:b/>
                <w:color w:val="auto"/>
                <w:sz w:val="21"/>
                <w:szCs w:val="21"/>
              </w:rPr>
            </w:pPr>
            <w:r>
              <w:rPr>
                <w:b/>
                <w:color w:val="auto"/>
                <w:sz w:val="21"/>
                <w:szCs w:val="21"/>
              </w:rPr>
              <w:t>类别</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627" w:type="dxa"/>
            <w:tcBorders>
              <w:top w:val="single" w:color="auto" w:sz="6" w:space="0"/>
              <w:left w:val="nil"/>
              <w:bottom w:val="single" w:color="auto" w:sz="6" w:space="0"/>
              <w:right w:val="single" w:color="auto" w:sz="6" w:space="0"/>
            </w:tcBorders>
            <w:vAlign w:val="center"/>
          </w:tcPr>
          <w:p>
            <w:pPr>
              <w:jc w:val="center"/>
              <w:rPr>
                <w:color w:val="auto"/>
                <w:sz w:val="21"/>
                <w:szCs w:val="21"/>
              </w:rPr>
            </w:pPr>
            <w:r>
              <w:rPr>
                <w:color w:val="auto"/>
                <w:sz w:val="21"/>
                <w:szCs w:val="21"/>
              </w:rPr>
              <w:t>1</w:t>
            </w:r>
          </w:p>
        </w:tc>
        <w:tc>
          <w:tcPr>
            <w:tcW w:w="2409" w:type="dxa"/>
            <w:tcBorders>
              <w:top w:val="single" w:color="auto" w:sz="6" w:space="0"/>
              <w:left w:val="single" w:color="auto" w:sz="6" w:space="0"/>
              <w:bottom w:val="single" w:color="auto" w:sz="6" w:space="0"/>
              <w:right w:val="single" w:color="auto" w:sz="6" w:space="0"/>
            </w:tcBorders>
            <w:vAlign w:val="center"/>
          </w:tcPr>
          <w:p>
            <w:pPr>
              <w:jc w:val="center"/>
              <w:rPr>
                <w:color w:val="auto"/>
                <w:sz w:val="21"/>
                <w:szCs w:val="21"/>
              </w:rPr>
            </w:pPr>
            <w:r>
              <w:rPr>
                <w:color w:val="auto"/>
                <w:sz w:val="21"/>
                <w:szCs w:val="21"/>
              </w:rPr>
              <w:t>水环境功能区</w:t>
            </w:r>
          </w:p>
        </w:tc>
        <w:tc>
          <w:tcPr>
            <w:tcW w:w="5867"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rFonts w:hint="eastAsia"/>
                <w:color w:val="auto"/>
                <w:sz w:val="21"/>
                <w:szCs w:val="21"/>
              </w:rPr>
              <w:t>项目附近水体为曾坑河及曾坑水库，曾坑河最终汇入宁江。</w:t>
            </w:r>
            <w:r>
              <w:rPr>
                <w:color w:val="auto"/>
                <w:sz w:val="21"/>
                <w:szCs w:val="21"/>
              </w:rPr>
              <w:t>根据《关于同意实施广东省地表水环境功能区划的批复》（粤府函</w:t>
            </w:r>
            <w:r>
              <w:rPr>
                <w:rFonts w:hint="eastAsia"/>
                <w:color w:val="auto"/>
                <w:sz w:val="21"/>
                <w:szCs w:val="21"/>
              </w:rPr>
              <w:t>【2</w:t>
            </w:r>
            <w:r>
              <w:rPr>
                <w:color w:val="auto"/>
                <w:sz w:val="21"/>
                <w:szCs w:val="21"/>
              </w:rPr>
              <w:t>011</w:t>
            </w:r>
            <w:r>
              <w:rPr>
                <w:rFonts w:hint="eastAsia"/>
                <w:color w:val="auto"/>
                <w:sz w:val="21"/>
                <w:szCs w:val="21"/>
              </w:rPr>
              <w:t>】</w:t>
            </w:r>
            <w:r>
              <w:rPr>
                <w:color w:val="auto"/>
                <w:sz w:val="21"/>
                <w:szCs w:val="21"/>
              </w:rPr>
              <w:t>29号）和《关于印发&lt;广东省地表水环境功能区划&gt;的通知》（粤环</w:t>
            </w:r>
            <w:r>
              <w:rPr>
                <w:rFonts w:hint="eastAsia"/>
                <w:color w:val="auto"/>
                <w:sz w:val="21"/>
                <w:szCs w:val="21"/>
              </w:rPr>
              <w:t>【2</w:t>
            </w:r>
            <w:r>
              <w:rPr>
                <w:color w:val="auto"/>
                <w:sz w:val="21"/>
                <w:szCs w:val="21"/>
              </w:rPr>
              <w:t>011</w:t>
            </w:r>
            <w:r>
              <w:rPr>
                <w:rFonts w:hint="eastAsia"/>
                <w:color w:val="auto"/>
                <w:sz w:val="21"/>
                <w:szCs w:val="21"/>
              </w:rPr>
              <w:t>】</w:t>
            </w:r>
            <w:r>
              <w:rPr>
                <w:color w:val="auto"/>
                <w:sz w:val="21"/>
                <w:szCs w:val="21"/>
              </w:rPr>
              <w:t>14号），</w:t>
            </w:r>
            <w:r>
              <w:rPr>
                <w:rFonts w:hint="eastAsia"/>
                <w:color w:val="auto"/>
                <w:sz w:val="21"/>
                <w:szCs w:val="21"/>
              </w:rPr>
              <w:t>宁</w:t>
            </w:r>
            <w:r>
              <w:rPr>
                <w:color w:val="auto"/>
                <w:sz w:val="21"/>
                <w:szCs w:val="21"/>
              </w:rPr>
              <w:t>江在项目选址段（</w:t>
            </w:r>
            <w:r>
              <w:rPr>
                <w:rFonts w:hint="eastAsia"/>
                <w:color w:val="auto"/>
                <w:sz w:val="21"/>
                <w:szCs w:val="21"/>
              </w:rPr>
              <w:t>望江桥闸</w:t>
            </w:r>
            <w:r>
              <w:rPr>
                <w:color w:val="auto"/>
                <w:sz w:val="21"/>
                <w:szCs w:val="21"/>
              </w:rPr>
              <w:t>~</w:t>
            </w:r>
            <w:r>
              <w:rPr>
                <w:rFonts w:hint="eastAsia"/>
                <w:color w:val="auto"/>
                <w:sz w:val="21"/>
                <w:szCs w:val="21"/>
              </w:rPr>
              <w:t>兴宁水口段</w:t>
            </w:r>
            <w:r>
              <w:rPr>
                <w:color w:val="auto"/>
                <w:sz w:val="21"/>
                <w:szCs w:val="21"/>
              </w:rPr>
              <w:t>）为</w:t>
            </w:r>
            <w:r>
              <w:rPr>
                <w:rFonts w:hint="eastAsia"/>
                <w:color w:val="auto"/>
                <w:sz w:val="21"/>
                <w:szCs w:val="21"/>
              </w:rPr>
              <w:t>饮用</w:t>
            </w:r>
            <w:r>
              <w:rPr>
                <w:color w:val="auto"/>
                <w:sz w:val="21"/>
                <w:szCs w:val="21"/>
              </w:rPr>
              <w:t>农业用水功能，</w:t>
            </w:r>
            <w:r>
              <w:rPr>
                <w:rFonts w:hint="eastAsia"/>
                <w:color w:val="auto"/>
                <w:sz w:val="21"/>
                <w:szCs w:val="21"/>
              </w:rPr>
              <w:t>为I</w:t>
            </w:r>
            <w:r>
              <w:rPr>
                <w:color w:val="auto"/>
                <w:sz w:val="21"/>
                <w:szCs w:val="21"/>
              </w:rPr>
              <w:t>II</w:t>
            </w:r>
            <w:r>
              <w:rPr>
                <w:rFonts w:hint="eastAsia"/>
                <w:color w:val="auto"/>
                <w:sz w:val="21"/>
                <w:szCs w:val="21"/>
              </w:rPr>
              <w:t>类区，</w:t>
            </w:r>
            <w:r>
              <w:rPr>
                <w:color w:val="auto"/>
                <w:sz w:val="21"/>
                <w:szCs w:val="21"/>
              </w:rPr>
              <w:t>水质执行《地表水环境质量标准》（GB3838-2002）</w:t>
            </w:r>
            <w:r>
              <w:rPr>
                <w:rFonts w:hint="eastAsia"/>
                <w:color w:val="auto"/>
                <w:sz w:val="21"/>
                <w:szCs w:val="21"/>
              </w:rPr>
              <w:t>I</w:t>
            </w:r>
            <w:r>
              <w:rPr>
                <w:color w:val="auto"/>
                <w:sz w:val="21"/>
                <w:szCs w:val="21"/>
              </w:rPr>
              <w:t>II类标准</w:t>
            </w:r>
            <w:r>
              <w:rPr>
                <w:rFonts w:hint="eastAsia"/>
                <w:color w:val="auto"/>
                <w:sz w:val="21"/>
                <w:szCs w:val="21"/>
              </w:rPr>
              <w:t>。根据兴宁市环境保护局《关于兴宁市静脉产业园P</w:t>
            </w:r>
            <w:r>
              <w:rPr>
                <w:color w:val="auto"/>
                <w:sz w:val="21"/>
                <w:szCs w:val="21"/>
              </w:rPr>
              <w:t>PP</w:t>
            </w:r>
            <w:r>
              <w:rPr>
                <w:rFonts w:hint="eastAsia"/>
                <w:color w:val="auto"/>
                <w:sz w:val="21"/>
                <w:szCs w:val="21"/>
              </w:rPr>
              <w:t>项目环境影响评价执行标准的函》，项目附近水体曾坑河</w:t>
            </w:r>
            <w:r>
              <w:rPr>
                <w:color w:val="auto"/>
                <w:sz w:val="21"/>
                <w:szCs w:val="21"/>
              </w:rPr>
              <w:t>执行《地表水环境质量标准》（GB3838-2002）IV类标准</w:t>
            </w:r>
            <w:r>
              <w:rPr>
                <w:rFonts w:hint="eastAsia"/>
                <w:color w:val="auto"/>
                <w:sz w:val="21"/>
                <w:szCs w:val="21"/>
              </w:rPr>
              <w:t>，曾坑水库</w:t>
            </w:r>
            <w:r>
              <w:rPr>
                <w:color w:val="auto"/>
                <w:sz w:val="21"/>
                <w:szCs w:val="21"/>
              </w:rPr>
              <w:t>水环境质量执行《地表水环境质量标准》（GB3838-2002）III类标准</w:t>
            </w: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627" w:type="dxa"/>
            <w:tcBorders>
              <w:top w:val="single" w:color="auto" w:sz="6" w:space="0"/>
              <w:left w:val="nil"/>
              <w:bottom w:val="single" w:color="auto" w:sz="6" w:space="0"/>
              <w:right w:val="single" w:color="auto" w:sz="6" w:space="0"/>
            </w:tcBorders>
            <w:vAlign w:val="center"/>
          </w:tcPr>
          <w:p>
            <w:pPr>
              <w:jc w:val="center"/>
              <w:rPr>
                <w:color w:val="auto"/>
                <w:sz w:val="21"/>
                <w:szCs w:val="21"/>
              </w:rPr>
            </w:pPr>
            <w:r>
              <w:rPr>
                <w:color w:val="auto"/>
                <w:sz w:val="21"/>
                <w:szCs w:val="21"/>
              </w:rPr>
              <w:t>2</w:t>
            </w:r>
          </w:p>
        </w:tc>
        <w:tc>
          <w:tcPr>
            <w:tcW w:w="2409" w:type="dxa"/>
            <w:tcBorders>
              <w:top w:val="single" w:color="auto" w:sz="6" w:space="0"/>
              <w:left w:val="single" w:color="auto" w:sz="6" w:space="0"/>
              <w:bottom w:val="single" w:color="auto" w:sz="6" w:space="0"/>
              <w:right w:val="single" w:color="auto" w:sz="6" w:space="0"/>
            </w:tcBorders>
            <w:vAlign w:val="center"/>
          </w:tcPr>
          <w:p>
            <w:pPr>
              <w:jc w:val="center"/>
              <w:rPr>
                <w:color w:val="auto"/>
                <w:sz w:val="21"/>
                <w:szCs w:val="21"/>
              </w:rPr>
            </w:pPr>
            <w:r>
              <w:rPr>
                <w:color w:val="auto"/>
                <w:sz w:val="21"/>
                <w:szCs w:val="21"/>
              </w:rPr>
              <w:t>环境空气质量功能区</w:t>
            </w:r>
          </w:p>
        </w:tc>
        <w:tc>
          <w:tcPr>
            <w:tcW w:w="5867" w:type="dxa"/>
            <w:tcBorders>
              <w:top w:val="single" w:color="auto" w:sz="6" w:space="0"/>
              <w:left w:val="single" w:color="auto" w:sz="6" w:space="0"/>
              <w:bottom w:val="single" w:color="auto" w:sz="6" w:space="0"/>
              <w:right w:val="nil"/>
            </w:tcBorders>
            <w:vAlign w:val="center"/>
          </w:tcPr>
          <w:p>
            <w:pPr>
              <w:jc w:val="center"/>
              <w:rPr>
                <w:color w:val="auto"/>
                <w:sz w:val="21"/>
                <w:szCs w:val="21"/>
              </w:rPr>
            </w:pPr>
            <w:r>
              <w:rPr>
                <w:color w:val="auto"/>
                <w:sz w:val="21"/>
                <w:szCs w:val="21"/>
              </w:rPr>
              <w:t>二类功能区，执行《环境空气质量标准》（GB3095-2012）及其2018年修改单的二级标准</w:t>
            </w:r>
            <w:r>
              <w:rPr>
                <w:rFonts w:hint="eastAsia"/>
                <w:color w:val="auto"/>
                <w:sz w:val="21"/>
                <w:szCs w:val="21"/>
              </w:rPr>
              <w:t>；神光山国家森林公园为大气环境功能一类区，执行《</w:t>
            </w:r>
            <w:r>
              <w:rPr>
                <w:color w:val="auto"/>
                <w:sz w:val="21"/>
                <w:szCs w:val="21"/>
              </w:rPr>
              <w:t>环境空气质量标准》（GB3095-2012及2018年修改单）</w:t>
            </w:r>
            <w:r>
              <w:rPr>
                <w:rFonts w:hint="eastAsia"/>
                <w:color w:val="auto"/>
                <w:sz w:val="21"/>
                <w:szCs w:val="21"/>
              </w:rPr>
              <w:t>一</w:t>
            </w:r>
            <w:r>
              <w:rPr>
                <w:color w:val="auto"/>
                <w:sz w:val="21"/>
                <w:szCs w:val="21"/>
              </w:rPr>
              <w:t>级标准</w:t>
            </w: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627" w:type="dxa"/>
            <w:tcBorders>
              <w:top w:val="single" w:color="auto" w:sz="6" w:space="0"/>
              <w:left w:val="nil"/>
              <w:bottom w:val="single" w:color="auto" w:sz="6" w:space="0"/>
              <w:right w:val="single" w:color="auto" w:sz="6" w:space="0"/>
            </w:tcBorders>
            <w:vAlign w:val="center"/>
          </w:tcPr>
          <w:p>
            <w:pPr>
              <w:jc w:val="center"/>
              <w:rPr>
                <w:color w:val="auto"/>
                <w:sz w:val="21"/>
                <w:szCs w:val="21"/>
              </w:rPr>
            </w:pPr>
            <w:r>
              <w:rPr>
                <w:color w:val="auto"/>
                <w:sz w:val="21"/>
                <w:szCs w:val="21"/>
              </w:rPr>
              <w:t>3</w:t>
            </w:r>
          </w:p>
        </w:tc>
        <w:tc>
          <w:tcPr>
            <w:tcW w:w="2409" w:type="dxa"/>
            <w:tcBorders>
              <w:top w:val="single" w:color="auto" w:sz="6" w:space="0"/>
              <w:left w:val="single" w:color="auto" w:sz="6" w:space="0"/>
              <w:bottom w:val="single" w:color="auto" w:sz="6" w:space="0"/>
              <w:right w:val="single" w:color="auto" w:sz="6" w:space="0"/>
            </w:tcBorders>
            <w:vAlign w:val="center"/>
          </w:tcPr>
          <w:p>
            <w:pPr>
              <w:jc w:val="center"/>
              <w:rPr>
                <w:color w:val="auto"/>
                <w:sz w:val="21"/>
                <w:szCs w:val="21"/>
              </w:rPr>
            </w:pPr>
            <w:r>
              <w:rPr>
                <w:color w:val="auto"/>
                <w:sz w:val="21"/>
                <w:szCs w:val="21"/>
              </w:rPr>
              <w:t>声环境功能区</w:t>
            </w:r>
          </w:p>
        </w:tc>
        <w:tc>
          <w:tcPr>
            <w:tcW w:w="5867" w:type="dxa"/>
            <w:tcBorders>
              <w:top w:val="single" w:color="auto" w:sz="6" w:space="0"/>
              <w:left w:val="single" w:color="auto" w:sz="6" w:space="0"/>
              <w:bottom w:val="single" w:color="auto" w:sz="6" w:space="0"/>
              <w:right w:val="nil"/>
            </w:tcBorders>
            <w:vAlign w:val="center"/>
          </w:tcPr>
          <w:p>
            <w:pPr>
              <w:jc w:val="center"/>
              <w:rPr>
                <w:color w:val="auto"/>
                <w:sz w:val="21"/>
                <w:szCs w:val="21"/>
              </w:rPr>
            </w:pPr>
            <w:r>
              <w:rPr>
                <w:color w:val="auto"/>
                <w:sz w:val="21"/>
                <w:szCs w:val="21"/>
              </w:rPr>
              <w:t>项目所在区域属于2类区，执行《声环境质量标准》（GB3096-2008）中的2类标准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627" w:type="dxa"/>
            <w:tcBorders>
              <w:top w:val="single" w:color="auto" w:sz="6" w:space="0"/>
              <w:left w:val="nil"/>
              <w:bottom w:val="single" w:color="auto" w:sz="6" w:space="0"/>
              <w:right w:val="single" w:color="auto" w:sz="6" w:space="0"/>
            </w:tcBorders>
            <w:vAlign w:val="center"/>
          </w:tcPr>
          <w:p>
            <w:pPr>
              <w:jc w:val="center"/>
              <w:rPr>
                <w:color w:val="auto"/>
                <w:sz w:val="21"/>
                <w:szCs w:val="21"/>
              </w:rPr>
            </w:pPr>
            <w:r>
              <w:rPr>
                <w:color w:val="auto"/>
                <w:sz w:val="21"/>
                <w:szCs w:val="21"/>
              </w:rPr>
              <w:t>4</w:t>
            </w:r>
          </w:p>
        </w:tc>
        <w:tc>
          <w:tcPr>
            <w:tcW w:w="2409" w:type="dxa"/>
            <w:tcBorders>
              <w:top w:val="single" w:color="auto" w:sz="6" w:space="0"/>
              <w:left w:val="single" w:color="auto" w:sz="6" w:space="0"/>
              <w:bottom w:val="single" w:color="auto" w:sz="6" w:space="0"/>
              <w:right w:val="single" w:color="auto" w:sz="6" w:space="0"/>
            </w:tcBorders>
            <w:vAlign w:val="center"/>
          </w:tcPr>
          <w:p>
            <w:pPr>
              <w:jc w:val="center"/>
              <w:rPr>
                <w:color w:val="auto"/>
                <w:sz w:val="21"/>
                <w:szCs w:val="21"/>
              </w:rPr>
            </w:pPr>
            <w:r>
              <w:rPr>
                <w:color w:val="auto"/>
                <w:sz w:val="21"/>
                <w:szCs w:val="21"/>
              </w:rPr>
              <w:t>地下水环境功能区</w:t>
            </w:r>
          </w:p>
        </w:tc>
        <w:tc>
          <w:tcPr>
            <w:tcW w:w="5867" w:type="dxa"/>
            <w:tcBorders>
              <w:top w:val="single" w:color="auto" w:sz="6" w:space="0"/>
              <w:left w:val="single" w:color="auto" w:sz="6" w:space="0"/>
              <w:bottom w:val="single" w:color="auto" w:sz="6" w:space="0"/>
              <w:right w:val="nil"/>
            </w:tcBorders>
            <w:vAlign w:val="center"/>
          </w:tcPr>
          <w:p>
            <w:pPr>
              <w:jc w:val="center"/>
              <w:rPr>
                <w:color w:val="auto"/>
                <w:sz w:val="21"/>
                <w:szCs w:val="21"/>
              </w:rPr>
            </w:pPr>
            <w:r>
              <w:rPr>
                <w:color w:val="auto"/>
                <w:sz w:val="21"/>
                <w:szCs w:val="21"/>
              </w:rPr>
              <w:t>地下水属于</w:t>
            </w:r>
            <w:r>
              <w:rPr>
                <w:rFonts w:hint="eastAsia"/>
                <w:color w:val="auto"/>
                <w:sz w:val="21"/>
                <w:szCs w:val="21"/>
              </w:rPr>
              <w:t>韩江及粤东诸河梅州兴宁地下水水源涵养区（</w:t>
            </w:r>
            <w:r>
              <w:rPr>
                <w:color w:val="auto"/>
                <w:sz w:val="21"/>
                <w:szCs w:val="21"/>
              </w:rPr>
              <w:t>H084414002T06</w:t>
            </w:r>
            <w:r>
              <w:rPr>
                <w:rFonts w:hint="eastAsia"/>
                <w:color w:val="auto"/>
                <w:sz w:val="21"/>
                <w:szCs w:val="21"/>
              </w:rPr>
              <w:t>）</w:t>
            </w:r>
            <w:r>
              <w:rPr>
                <w:color w:val="auto"/>
                <w:sz w:val="21"/>
                <w:szCs w:val="21"/>
              </w:rPr>
              <w:t>，水质目标为III类，执行《地下水质量标准》（GB/T 14848-2017）III类水质标准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627" w:type="dxa"/>
            <w:tcBorders>
              <w:top w:val="single" w:color="auto" w:sz="6" w:space="0"/>
              <w:left w:val="nil"/>
              <w:bottom w:val="single" w:color="auto" w:sz="6" w:space="0"/>
              <w:right w:val="single" w:color="auto" w:sz="6" w:space="0"/>
            </w:tcBorders>
            <w:vAlign w:val="center"/>
          </w:tcPr>
          <w:p>
            <w:pPr>
              <w:jc w:val="center"/>
              <w:rPr>
                <w:color w:val="auto"/>
                <w:sz w:val="21"/>
                <w:szCs w:val="21"/>
              </w:rPr>
            </w:pPr>
            <w:r>
              <w:rPr>
                <w:color w:val="auto"/>
                <w:sz w:val="21"/>
                <w:szCs w:val="21"/>
              </w:rPr>
              <w:t>5</w:t>
            </w:r>
          </w:p>
        </w:tc>
        <w:tc>
          <w:tcPr>
            <w:tcW w:w="2409" w:type="dxa"/>
            <w:tcBorders>
              <w:top w:val="single" w:color="auto" w:sz="6" w:space="0"/>
              <w:left w:val="single" w:color="auto" w:sz="6" w:space="0"/>
              <w:bottom w:val="single" w:color="auto" w:sz="6" w:space="0"/>
              <w:right w:val="single" w:color="auto" w:sz="6" w:space="0"/>
            </w:tcBorders>
            <w:vAlign w:val="center"/>
          </w:tcPr>
          <w:p>
            <w:pPr>
              <w:pStyle w:val="69"/>
              <w:spacing w:line="240" w:lineRule="auto"/>
              <w:jc w:val="center"/>
              <w:rPr>
                <w:rFonts w:ascii="Times New Roman" w:hAnsi="Times New Roman" w:eastAsia="宋体"/>
                <w:color w:val="auto"/>
                <w:sz w:val="21"/>
                <w:szCs w:val="21"/>
              </w:rPr>
            </w:pPr>
            <w:r>
              <w:rPr>
                <w:rFonts w:ascii="Times New Roman" w:hAnsi="Times New Roman" w:eastAsia="宋体"/>
                <w:color w:val="auto"/>
                <w:kern w:val="0"/>
                <w:sz w:val="21"/>
                <w:szCs w:val="21"/>
              </w:rPr>
              <w:t>是否</w:t>
            </w:r>
            <w:r>
              <w:rPr>
                <w:rFonts w:ascii="Times New Roman" w:hAnsi="Times New Roman" w:eastAsia="宋体"/>
                <w:color w:val="auto"/>
                <w:sz w:val="21"/>
                <w:szCs w:val="21"/>
              </w:rPr>
              <w:t>基本农田保护区</w:t>
            </w:r>
          </w:p>
        </w:tc>
        <w:tc>
          <w:tcPr>
            <w:tcW w:w="5867" w:type="dxa"/>
            <w:tcBorders>
              <w:top w:val="single" w:color="auto" w:sz="6" w:space="0"/>
              <w:left w:val="single" w:color="auto" w:sz="6" w:space="0"/>
              <w:bottom w:val="single" w:color="auto" w:sz="6" w:space="0"/>
              <w:right w:val="nil"/>
            </w:tcBorders>
            <w:vAlign w:val="center"/>
          </w:tcPr>
          <w:p>
            <w:pPr>
              <w:pStyle w:val="69"/>
              <w:spacing w:line="240" w:lineRule="auto"/>
              <w:jc w:val="center"/>
              <w:rPr>
                <w:rFonts w:ascii="Times New Roman" w:hAnsi="Times New Roman" w:eastAsia="宋体"/>
                <w:color w:val="auto"/>
                <w:sz w:val="21"/>
                <w:szCs w:val="21"/>
              </w:rPr>
            </w:pPr>
            <w:r>
              <w:rPr>
                <w:rFonts w:hint="eastAsia" w:ascii="Times New Roman" w:hAnsi="Times New Roman" w:eastAsia="宋体"/>
                <w:color w:val="auto"/>
                <w:sz w:val="21"/>
                <w:szCs w:val="21"/>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627" w:type="dxa"/>
            <w:tcBorders>
              <w:top w:val="single" w:color="auto" w:sz="6" w:space="0"/>
              <w:left w:val="nil"/>
              <w:bottom w:val="single" w:color="auto" w:sz="6" w:space="0"/>
              <w:right w:val="single" w:color="auto" w:sz="6" w:space="0"/>
            </w:tcBorders>
            <w:vAlign w:val="center"/>
          </w:tcPr>
          <w:p>
            <w:pPr>
              <w:jc w:val="center"/>
              <w:rPr>
                <w:color w:val="auto"/>
                <w:sz w:val="21"/>
                <w:szCs w:val="21"/>
              </w:rPr>
            </w:pPr>
            <w:r>
              <w:rPr>
                <w:color w:val="auto"/>
                <w:sz w:val="21"/>
                <w:szCs w:val="21"/>
              </w:rPr>
              <w:t>6</w:t>
            </w:r>
          </w:p>
        </w:tc>
        <w:tc>
          <w:tcPr>
            <w:tcW w:w="2409" w:type="dxa"/>
            <w:tcBorders>
              <w:top w:val="single" w:color="auto" w:sz="6" w:space="0"/>
              <w:left w:val="single" w:color="auto" w:sz="6" w:space="0"/>
              <w:bottom w:val="single" w:color="auto" w:sz="6" w:space="0"/>
              <w:right w:val="single" w:color="auto" w:sz="6" w:space="0"/>
            </w:tcBorders>
            <w:vAlign w:val="center"/>
          </w:tcPr>
          <w:p>
            <w:pPr>
              <w:pStyle w:val="69"/>
              <w:spacing w:line="240" w:lineRule="auto"/>
              <w:jc w:val="center"/>
              <w:rPr>
                <w:rFonts w:ascii="Times New Roman" w:hAnsi="Times New Roman" w:eastAsia="宋体"/>
                <w:color w:val="auto"/>
                <w:kern w:val="0"/>
                <w:sz w:val="21"/>
                <w:szCs w:val="21"/>
              </w:rPr>
            </w:pPr>
            <w:r>
              <w:rPr>
                <w:rFonts w:ascii="Times New Roman" w:hAnsi="Times New Roman" w:eastAsia="宋体"/>
                <w:color w:val="auto"/>
                <w:kern w:val="0"/>
                <w:sz w:val="21"/>
                <w:szCs w:val="21"/>
              </w:rPr>
              <w:t>是否自然保护区</w:t>
            </w:r>
          </w:p>
        </w:tc>
        <w:tc>
          <w:tcPr>
            <w:tcW w:w="5867" w:type="dxa"/>
            <w:tcBorders>
              <w:top w:val="single" w:color="auto" w:sz="6" w:space="0"/>
              <w:left w:val="single" w:color="auto" w:sz="6" w:space="0"/>
              <w:bottom w:val="single" w:color="auto" w:sz="6" w:space="0"/>
              <w:right w:val="nil"/>
            </w:tcBorders>
            <w:vAlign w:val="center"/>
          </w:tcPr>
          <w:p>
            <w:pPr>
              <w:pStyle w:val="69"/>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627" w:type="dxa"/>
            <w:tcBorders>
              <w:top w:val="single" w:color="auto" w:sz="6" w:space="0"/>
              <w:left w:val="nil"/>
              <w:bottom w:val="single" w:color="auto" w:sz="6" w:space="0"/>
              <w:right w:val="single" w:color="auto" w:sz="6" w:space="0"/>
            </w:tcBorders>
            <w:vAlign w:val="center"/>
          </w:tcPr>
          <w:p>
            <w:pPr>
              <w:jc w:val="center"/>
              <w:rPr>
                <w:color w:val="auto"/>
                <w:sz w:val="21"/>
                <w:szCs w:val="21"/>
              </w:rPr>
            </w:pPr>
            <w:r>
              <w:rPr>
                <w:color w:val="auto"/>
                <w:sz w:val="21"/>
                <w:szCs w:val="21"/>
              </w:rPr>
              <w:t>7</w:t>
            </w:r>
          </w:p>
        </w:tc>
        <w:tc>
          <w:tcPr>
            <w:tcW w:w="2409" w:type="dxa"/>
            <w:tcBorders>
              <w:top w:val="single" w:color="auto" w:sz="6" w:space="0"/>
              <w:left w:val="single" w:color="auto" w:sz="6" w:space="0"/>
              <w:bottom w:val="single" w:color="auto" w:sz="6" w:space="0"/>
              <w:right w:val="single" w:color="auto" w:sz="6" w:space="0"/>
            </w:tcBorders>
            <w:vAlign w:val="center"/>
          </w:tcPr>
          <w:p>
            <w:pPr>
              <w:pStyle w:val="69"/>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是否风景名胜保护区</w:t>
            </w:r>
          </w:p>
        </w:tc>
        <w:tc>
          <w:tcPr>
            <w:tcW w:w="5867" w:type="dxa"/>
            <w:tcBorders>
              <w:top w:val="single" w:color="auto" w:sz="6" w:space="0"/>
              <w:left w:val="single" w:color="auto" w:sz="6" w:space="0"/>
              <w:bottom w:val="single" w:color="auto" w:sz="6" w:space="0"/>
              <w:right w:val="nil"/>
            </w:tcBorders>
            <w:vAlign w:val="center"/>
          </w:tcPr>
          <w:p>
            <w:pPr>
              <w:pStyle w:val="69"/>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627" w:type="dxa"/>
            <w:tcBorders>
              <w:top w:val="single" w:color="auto" w:sz="6" w:space="0"/>
              <w:left w:val="nil"/>
              <w:bottom w:val="single" w:color="auto" w:sz="6" w:space="0"/>
              <w:right w:val="single" w:color="auto" w:sz="6" w:space="0"/>
            </w:tcBorders>
            <w:vAlign w:val="center"/>
          </w:tcPr>
          <w:p>
            <w:pPr>
              <w:jc w:val="center"/>
              <w:rPr>
                <w:color w:val="auto"/>
                <w:sz w:val="21"/>
                <w:szCs w:val="21"/>
              </w:rPr>
            </w:pPr>
            <w:r>
              <w:rPr>
                <w:color w:val="auto"/>
                <w:sz w:val="21"/>
                <w:szCs w:val="21"/>
              </w:rPr>
              <w:t>8</w:t>
            </w:r>
          </w:p>
        </w:tc>
        <w:tc>
          <w:tcPr>
            <w:tcW w:w="2409" w:type="dxa"/>
            <w:tcBorders>
              <w:top w:val="single" w:color="auto" w:sz="6" w:space="0"/>
              <w:left w:val="single" w:color="auto" w:sz="6" w:space="0"/>
              <w:bottom w:val="single" w:color="auto" w:sz="6" w:space="0"/>
              <w:right w:val="single" w:color="auto" w:sz="6" w:space="0"/>
            </w:tcBorders>
            <w:vAlign w:val="center"/>
          </w:tcPr>
          <w:p>
            <w:pPr>
              <w:pStyle w:val="69"/>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是否水库库区</w:t>
            </w:r>
          </w:p>
        </w:tc>
        <w:tc>
          <w:tcPr>
            <w:tcW w:w="5867" w:type="dxa"/>
            <w:tcBorders>
              <w:top w:val="single" w:color="auto" w:sz="6" w:space="0"/>
              <w:left w:val="single" w:color="auto" w:sz="6" w:space="0"/>
              <w:bottom w:val="single" w:color="auto" w:sz="6" w:space="0"/>
              <w:right w:val="nil"/>
            </w:tcBorders>
            <w:vAlign w:val="center"/>
          </w:tcPr>
          <w:p>
            <w:pPr>
              <w:pStyle w:val="69"/>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627" w:type="dxa"/>
            <w:tcBorders>
              <w:top w:val="single" w:color="auto" w:sz="6" w:space="0"/>
              <w:left w:val="nil"/>
              <w:bottom w:val="single" w:color="auto" w:sz="18" w:space="0"/>
              <w:right w:val="single" w:color="auto" w:sz="6" w:space="0"/>
            </w:tcBorders>
            <w:vAlign w:val="center"/>
          </w:tcPr>
          <w:p>
            <w:pPr>
              <w:jc w:val="center"/>
              <w:rPr>
                <w:color w:val="auto"/>
                <w:sz w:val="21"/>
                <w:szCs w:val="21"/>
              </w:rPr>
            </w:pPr>
            <w:r>
              <w:rPr>
                <w:color w:val="auto"/>
                <w:sz w:val="21"/>
                <w:szCs w:val="21"/>
              </w:rPr>
              <w:t>9</w:t>
            </w:r>
          </w:p>
        </w:tc>
        <w:tc>
          <w:tcPr>
            <w:tcW w:w="2409" w:type="dxa"/>
            <w:tcBorders>
              <w:top w:val="single" w:color="auto" w:sz="6" w:space="0"/>
              <w:left w:val="single" w:color="auto" w:sz="6" w:space="0"/>
              <w:bottom w:val="single" w:color="auto" w:sz="18" w:space="0"/>
              <w:right w:val="single" w:color="auto" w:sz="6" w:space="0"/>
            </w:tcBorders>
            <w:vAlign w:val="center"/>
          </w:tcPr>
          <w:p>
            <w:pPr>
              <w:pStyle w:val="69"/>
              <w:spacing w:line="240" w:lineRule="auto"/>
              <w:jc w:val="center"/>
              <w:rPr>
                <w:rFonts w:ascii="Times New Roman" w:hAnsi="Times New Roman" w:eastAsia="宋体"/>
                <w:color w:val="auto"/>
                <w:sz w:val="21"/>
                <w:szCs w:val="21"/>
              </w:rPr>
            </w:pPr>
            <w:r>
              <w:rPr>
                <w:rFonts w:ascii="Times New Roman" w:hAnsi="Times New Roman" w:eastAsia="宋体"/>
                <w:color w:val="auto"/>
                <w:sz w:val="21"/>
                <w:szCs w:val="21"/>
              </w:rPr>
              <w:t>是否污水处理厂集水范围</w:t>
            </w:r>
          </w:p>
        </w:tc>
        <w:tc>
          <w:tcPr>
            <w:tcW w:w="5867" w:type="dxa"/>
            <w:tcBorders>
              <w:top w:val="single" w:color="auto" w:sz="6" w:space="0"/>
              <w:left w:val="single" w:color="auto" w:sz="6" w:space="0"/>
              <w:bottom w:val="single" w:color="auto" w:sz="18" w:space="0"/>
              <w:right w:val="nil"/>
            </w:tcBorders>
            <w:vAlign w:val="center"/>
          </w:tcPr>
          <w:p>
            <w:pPr>
              <w:pStyle w:val="69"/>
              <w:spacing w:line="240" w:lineRule="auto"/>
              <w:jc w:val="center"/>
              <w:rPr>
                <w:rFonts w:ascii="Times New Roman" w:hAnsi="Times New Roman" w:eastAsia="宋体"/>
                <w:color w:val="auto"/>
                <w:sz w:val="21"/>
                <w:szCs w:val="21"/>
              </w:rPr>
            </w:pPr>
            <w:r>
              <w:rPr>
                <w:rFonts w:hint="eastAsia" w:ascii="Times New Roman" w:hAnsi="Times New Roman" w:eastAsia="宋体"/>
                <w:color w:val="auto"/>
                <w:sz w:val="21"/>
                <w:szCs w:val="21"/>
              </w:rPr>
              <w:t>否</w:t>
            </w:r>
          </w:p>
        </w:tc>
      </w:tr>
    </w:tbl>
    <w:p>
      <w:pPr>
        <w:jc w:val="center"/>
        <w:rPr>
          <w:color w:val="auto"/>
        </w:rPr>
      </w:pPr>
      <w:r>
        <w:rPr>
          <w:color w:val="auto"/>
        </w:rPr>
        <w:drawing>
          <wp:anchor distT="0" distB="0" distL="114300" distR="114300" simplePos="0" relativeHeight="251667456" behindDoc="0" locked="0" layoutInCell="1" allowOverlap="1">
            <wp:simplePos x="0" y="0"/>
            <wp:positionH relativeFrom="column">
              <wp:posOffset>4361180</wp:posOffset>
            </wp:positionH>
            <wp:positionV relativeFrom="paragraph">
              <wp:posOffset>99695</wp:posOffset>
            </wp:positionV>
            <wp:extent cx="1072515" cy="871220"/>
            <wp:effectExtent l="0" t="0" r="0" b="5080"/>
            <wp:wrapNone/>
            <wp:docPr id="1247" name="图片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图片 1247"/>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072515" cy="871220"/>
                    </a:xfrm>
                    <a:prstGeom prst="rect">
                      <a:avLst/>
                    </a:prstGeom>
                  </pic:spPr>
                </pic:pic>
              </a:graphicData>
            </a:graphic>
          </wp:anchor>
        </w:drawing>
      </w:r>
      <w:r>
        <w:rPr>
          <w:color w:val="auto"/>
        </w:rPr>
        <mc:AlternateContent>
          <mc:Choice Requires="wps">
            <w:drawing>
              <wp:anchor distT="0" distB="0" distL="114300" distR="114300" simplePos="0" relativeHeight="251616256" behindDoc="0" locked="0" layoutInCell="1" allowOverlap="1">
                <wp:simplePos x="0" y="0"/>
                <wp:positionH relativeFrom="column">
                  <wp:posOffset>716280</wp:posOffset>
                </wp:positionH>
                <wp:positionV relativeFrom="paragraph">
                  <wp:posOffset>5156200</wp:posOffset>
                </wp:positionV>
                <wp:extent cx="1043305" cy="274955"/>
                <wp:effectExtent l="0" t="323850" r="194945" b="10795"/>
                <wp:wrapNone/>
                <wp:docPr id="1139" name="矩形标注 1139"/>
                <wp:cNvGraphicFramePr/>
                <a:graphic xmlns:a="http://schemas.openxmlformats.org/drawingml/2006/main">
                  <a:graphicData uri="http://schemas.microsoft.com/office/word/2010/wordprocessingShape">
                    <wps:wsp>
                      <wps:cNvSpPr/>
                      <wps:spPr>
                        <a:xfrm>
                          <a:off x="0" y="0"/>
                          <a:ext cx="1043305" cy="274955"/>
                        </a:xfrm>
                        <a:prstGeom prst="wedgeRectCallout">
                          <a:avLst>
                            <a:gd name="adj1" fmla="val 65590"/>
                            <a:gd name="adj2" fmla="val -166720"/>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rPr>
                                <w:color w:val="FF0000"/>
                              </w:rPr>
                            </w:pPr>
                            <w:r>
                              <w:rPr>
                                <w:rFonts w:hint="eastAsia"/>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6.4pt;margin-top:406pt;height:21.65pt;width:82.15pt;z-index:251616256;v-text-anchor:middle;mso-width-relative:page;mso-height-relative:page;" filled="f" stroked="t" coordsize="21600,21600" o:gfxdata="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GTJj1zaAAAACwEAAA8AAAAA&#10;AAAAAQAgAAAAIgAAAGRycy9kb3ducmV2LnhtbFBLAQIUABQAAAAIAIdO4kAtV4g8hAIAANsEAAAO&#10;AAAAAAAAAAEAIAAAACkBAABkcnMvZTJvRG9jLnhtbFBLBQYAAAAABgAGAFkBAAAfBgAAAAA=&#10;" adj="24967,-25212">
                <v:fill on="f" focussize="0,0"/>
                <v:stroke weight="0.5pt" color="#FF0000 [3204]" joinstyle="round"/>
                <v:imagedata o:title=""/>
                <o:lock v:ext="edit" aspectratio="f"/>
                <v:textbox>
                  <w:txbxContent>
                    <w:p>
                      <w:pPr>
                        <w:rPr>
                          <w:color w:val="FF0000"/>
                        </w:rPr>
                      </w:pPr>
                      <w:r>
                        <w:rPr>
                          <w:rFonts w:hint="eastAsia"/>
                          <w:color w:val="FF0000"/>
                        </w:rPr>
                        <w:t>项目所在地</w:t>
                      </w:r>
                    </w:p>
                  </w:txbxContent>
                </v:textbox>
              </v:shape>
            </w:pict>
          </mc:Fallback>
        </mc:AlternateContent>
      </w:r>
      <w:r>
        <w:rPr>
          <w:color w:val="auto"/>
        </w:rPr>
        <mc:AlternateContent>
          <mc:Choice Requires="wps">
            <w:drawing>
              <wp:anchor distT="0" distB="0" distL="114300" distR="114300" simplePos="0" relativeHeight="251610112" behindDoc="0" locked="0" layoutInCell="1" allowOverlap="1">
                <wp:simplePos x="0" y="0"/>
                <wp:positionH relativeFrom="column">
                  <wp:posOffset>1895475</wp:posOffset>
                </wp:positionH>
                <wp:positionV relativeFrom="paragraph">
                  <wp:posOffset>4744085</wp:posOffset>
                </wp:positionV>
                <wp:extent cx="128270" cy="119380"/>
                <wp:effectExtent l="38100" t="19050" r="43180" b="33020"/>
                <wp:wrapNone/>
                <wp:docPr id="407" name="五角星 27"/>
                <wp:cNvGraphicFramePr/>
                <a:graphic xmlns:a="http://schemas.openxmlformats.org/drawingml/2006/main">
                  <a:graphicData uri="http://schemas.microsoft.com/office/word/2010/wordprocessingShape">
                    <wps:wsp>
                      <wps:cNvSpPr/>
                      <wps:spPr>
                        <a:xfrm>
                          <a:off x="0" y="0"/>
                          <a:ext cx="128270" cy="119380"/>
                        </a:xfrm>
                        <a:prstGeom prst="star5">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27" o:spid="_x0000_s1026" style="position:absolute;left:0pt;margin-left:149.25pt;margin-top:373.55pt;height:9.4pt;width:10.1pt;z-index:251610112;v-text-anchor:middle;mso-width-relative:page;mso-height-relative:page;" fillcolor="#FF0000" filled="t" stroked="t" coordsize="128270,119380" o:gfxdata="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K0naTbZAAAA&#10;CwEAAA8AAAAAAAAAAQAgAAAAIgAAAGRycy9kb3ducmV2LnhtbFBLAQIUABQAAAAIAIdO4kBN7eVb&#10;VQIAAKMEAAAOAAAAAAAAAAEAIAAAACgBAABkcnMvZTJvRG9jLnhtbFBLBQYAAAAABgAGAFkBAADv&#10;BQAAAAA=&#10;" path="m0,45598l48995,45599,64135,0,79274,45599,128269,45598,88631,73780,103772,119379,64135,91197,24497,119379,39638,73780xe">
                <v:path o:connectlocs="64135,0;0,45598;24497,119379;103772,119379;128269,45598" o:connectangles="16200000,10800000,5400000,5400000,0"/>
                <v:fill on="t" focussize="0,0"/>
                <v:stroke weight="2pt" color="#FF0000" joinstyle="round"/>
                <v:imagedata o:title=""/>
                <o:lock v:ext="edit" aspectratio="f"/>
              </v:shape>
            </w:pict>
          </mc:Fallback>
        </mc:AlternateContent>
      </w:r>
      <w:r>
        <w:rPr>
          <w:rFonts w:hint="eastAsia"/>
          <w:b/>
          <w:color w:val="auto"/>
        </w:rPr>
        <w:drawing>
          <wp:inline distT="0" distB="0" distL="0" distR="0">
            <wp:extent cx="5153025" cy="7305675"/>
            <wp:effectExtent l="0" t="0" r="9525" b="952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153025" cy="7305675"/>
                    </a:xfrm>
                    <a:prstGeom prst="rect">
                      <a:avLst/>
                    </a:prstGeom>
                    <a:noFill/>
                    <a:ln>
                      <a:noFill/>
                    </a:ln>
                    <a:effectLst/>
                  </pic:spPr>
                </pic:pic>
              </a:graphicData>
            </a:graphic>
          </wp:inline>
        </w:drawing>
      </w:r>
    </w:p>
    <w:p>
      <w:pPr>
        <w:jc w:val="center"/>
        <w:rPr>
          <w:b/>
          <w:bCs/>
          <w:color w:val="auto"/>
        </w:rPr>
      </w:pPr>
      <w:r>
        <w:rPr>
          <w:b/>
          <w:bCs/>
          <w:color w:val="auto"/>
        </w:rPr>
        <w:t>图</w:t>
      </w:r>
      <w:r>
        <w:rPr>
          <w:rFonts w:hint="eastAsia"/>
          <w:b/>
          <w:bCs/>
          <w:color w:val="auto"/>
        </w:rPr>
        <w:t>2</w:t>
      </w:r>
      <w:r>
        <w:rPr>
          <w:b/>
          <w:bCs/>
          <w:color w:val="auto"/>
        </w:rPr>
        <w:t>.4</w:t>
      </w:r>
      <w:r>
        <w:rPr>
          <w:rFonts w:hint="eastAsia"/>
          <w:b/>
          <w:bCs/>
          <w:color w:val="auto"/>
        </w:rPr>
        <w:t>-</w:t>
      </w:r>
      <w:r>
        <w:rPr>
          <w:b/>
          <w:bCs/>
          <w:color w:val="auto"/>
        </w:rPr>
        <w:t>1</w:t>
      </w:r>
      <w:r>
        <w:rPr>
          <w:rFonts w:hint="eastAsia"/>
          <w:b/>
          <w:bCs/>
          <w:color w:val="auto"/>
        </w:rPr>
        <w:t>（1）</w:t>
      </w:r>
      <w:r>
        <w:rPr>
          <w:b/>
          <w:bCs/>
          <w:color w:val="auto"/>
        </w:rPr>
        <w:t xml:space="preserve">  </w:t>
      </w:r>
      <w:r>
        <w:rPr>
          <w:rFonts w:hint="eastAsia"/>
          <w:b/>
          <w:bCs/>
          <w:color w:val="auto"/>
        </w:rPr>
        <w:t>兴宁市环境空气</w:t>
      </w:r>
      <w:r>
        <w:rPr>
          <w:b/>
          <w:bCs/>
          <w:color w:val="auto"/>
        </w:rPr>
        <w:t>功能区划图</w:t>
      </w:r>
    </w:p>
    <w:p>
      <w:pPr>
        <w:jc w:val="center"/>
        <w:rPr>
          <w:b/>
          <w:bCs/>
          <w:color w:val="auto"/>
        </w:rPr>
      </w:pPr>
    </w:p>
    <w:p>
      <w:pPr>
        <w:jc w:val="center"/>
        <w:rPr>
          <w:b/>
          <w:bCs/>
          <w:color w:val="auto"/>
        </w:rPr>
      </w:pPr>
    </w:p>
    <w:p>
      <w:pPr>
        <w:jc w:val="center"/>
        <w:rPr>
          <w:b/>
          <w:bCs/>
          <w:color w:val="auto"/>
        </w:rPr>
      </w:pPr>
    </w:p>
    <w:p>
      <w:pPr>
        <w:jc w:val="center"/>
        <w:rPr>
          <w:b/>
          <w:bCs/>
          <w:color w:val="auto"/>
        </w:rPr>
      </w:pPr>
    </w:p>
    <w:p>
      <w:pPr>
        <w:jc w:val="center"/>
        <w:rPr>
          <w:b/>
          <w:bCs/>
          <w:color w:val="auto"/>
        </w:rPr>
      </w:pPr>
    </w:p>
    <w:p>
      <w:pPr>
        <w:jc w:val="center"/>
        <w:rPr>
          <w:b/>
          <w:bCs/>
          <w:color w:val="auto"/>
        </w:rPr>
      </w:pPr>
    </w:p>
    <w:p>
      <w:pPr>
        <w:jc w:val="center"/>
        <w:rPr>
          <w:b/>
          <w:bCs/>
          <w:color w:val="auto"/>
        </w:rPr>
      </w:pPr>
      <w:r>
        <w:rPr>
          <w:color w:val="auto"/>
        </w:rPr>
        <w:drawing>
          <wp:inline distT="0" distB="0" distL="0" distR="0">
            <wp:extent cx="5759450" cy="7596505"/>
            <wp:effectExtent l="0" t="0" r="12700" b="4445"/>
            <wp:docPr id="1142" name="图片 15" descr="说明: C:\Users\Owner\AppData\Local\Temp\156349777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图片 15" descr="说明: C:\Users\Owner\AppData\Local\Temp\1563497775(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759450" cy="7596505"/>
                    </a:xfrm>
                    <a:prstGeom prst="rect">
                      <a:avLst/>
                    </a:prstGeom>
                    <a:noFill/>
                    <a:ln>
                      <a:noFill/>
                    </a:ln>
                  </pic:spPr>
                </pic:pic>
              </a:graphicData>
            </a:graphic>
          </wp:inline>
        </w:drawing>
      </w:r>
      <w:r>
        <w:rPr>
          <w:color w:val="auto"/>
        </w:rPr>
        <mc:AlternateContent>
          <mc:Choice Requires="wps">
            <w:drawing>
              <wp:anchor distT="0" distB="0" distL="114300" distR="114300" simplePos="0" relativeHeight="251655168" behindDoc="0" locked="0" layoutInCell="1" allowOverlap="1">
                <wp:simplePos x="0" y="0"/>
                <wp:positionH relativeFrom="column">
                  <wp:posOffset>2719070</wp:posOffset>
                </wp:positionH>
                <wp:positionV relativeFrom="paragraph">
                  <wp:posOffset>233045</wp:posOffset>
                </wp:positionV>
                <wp:extent cx="1043305" cy="274955"/>
                <wp:effectExtent l="0" t="0" r="23495" b="315595"/>
                <wp:wrapNone/>
                <wp:docPr id="394" name="矩形标注 1139"/>
                <wp:cNvGraphicFramePr/>
                <a:graphic xmlns:a="http://schemas.openxmlformats.org/drawingml/2006/main">
                  <a:graphicData uri="http://schemas.microsoft.com/office/word/2010/wordprocessingShape">
                    <wps:wsp>
                      <wps:cNvSpPr/>
                      <wps:spPr>
                        <a:xfrm>
                          <a:off x="0" y="0"/>
                          <a:ext cx="1043305" cy="274955"/>
                        </a:xfrm>
                        <a:prstGeom prst="wedgeRectCallout">
                          <a:avLst>
                            <a:gd name="adj1" fmla="val -46705"/>
                            <a:gd name="adj2" fmla="val 162380"/>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rPr>
                                <w:color w:val="FF0000"/>
                              </w:rPr>
                            </w:pPr>
                            <w:r>
                              <w:rPr>
                                <w:rFonts w:hint="eastAsia"/>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1139" o:spid="_x0000_s1026" o:spt="61" type="#_x0000_t61" style="position:absolute;left:0pt;margin-left:214.1pt;margin-top:18.35pt;height:21.65pt;width:82.15pt;z-index:251655168;v-text-anchor:middle;mso-width-relative:page;mso-height-relative:page;" filled="f" stroked="t" coordsize="21600,21600" o:gfxdata="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O7SQMNgAAAAJAQAADwAA&#10;AAAAAAABACAAAAAiAAAAZHJzL2Rvd25yZXYueG1sUEsBAhQAFAAAAAgAh07iQGWAxYuIAgAA2gQA&#10;AA4AAAAAAAAAAQAgAAAAJwEAAGRycy9lMm9Eb2MueG1sUEsFBgAAAAAGAAYAWQEAACEGAAAAAA==&#10;" adj="712,45874">
                <v:fill on="f" focussize="0,0"/>
                <v:stroke weight="0.5pt" color="#FF0000 [3204]" joinstyle="round"/>
                <v:imagedata o:title=""/>
                <o:lock v:ext="edit" aspectratio="f"/>
                <v:textbox>
                  <w:txbxContent>
                    <w:p>
                      <w:pPr>
                        <w:rPr>
                          <w:color w:val="FF0000"/>
                        </w:rPr>
                      </w:pPr>
                      <w:r>
                        <w:rPr>
                          <w:rFonts w:hint="eastAsia"/>
                          <w:color w:val="FF0000"/>
                        </w:rPr>
                        <w:t>项目所在地</w:t>
                      </w:r>
                    </w:p>
                  </w:txbxContent>
                </v:textbox>
              </v:shape>
            </w:pict>
          </mc:Fallback>
        </mc:AlternateContent>
      </w:r>
      <w:r>
        <w:rPr>
          <w:color w:val="auto"/>
        </w:rPr>
        <mc:AlternateContent>
          <mc:Choice Requires="wps">
            <w:drawing>
              <wp:anchor distT="0" distB="0" distL="114300" distR="114300" simplePos="0" relativeHeight="251653120" behindDoc="0" locked="0" layoutInCell="1" allowOverlap="1">
                <wp:simplePos x="0" y="0"/>
                <wp:positionH relativeFrom="column">
                  <wp:posOffset>2661920</wp:posOffset>
                </wp:positionH>
                <wp:positionV relativeFrom="paragraph">
                  <wp:posOffset>795020</wp:posOffset>
                </wp:positionV>
                <wp:extent cx="128270" cy="119380"/>
                <wp:effectExtent l="38100" t="19050" r="43180" b="33020"/>
                <wp:wrapNone/>
                <wp:docPr id="240" name="五角星 27"/>
                <wp:cNvGraphicFramePr/>
                <a:graphic xmlns:a="http://schemas.openxmlformats.org/drawingml/2006/main">
                  <a:graphicData uri="http://schemas.microsoft.com/office/word/2010/wordprocessingShape">
                    <wps:wsp>
                      <wps:cNvSpPr/>
                      <wps:spPr>
                        <a:xfrm>
                          <a:off x="0" y="0"/>
                          <a:ext cx="128270" cy="119380"/>
                        </a:xfrm>
                        <a:prstGeom prst="star5">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27" o:spid="_x0000_s1026" style="position:absolute;left:0pt;margin-left:209.6pt;margin-top:62.6pt;height:9.4pt;width:10.1pt;z-index:251653120;v-text-anchor:middle;mso-width-relative:page;mso-height-relative:page;" fillcolor="#FF0000" filled="t" stroked="t" coordsize="128270,119380" o:gfxdata="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DmFUPfXAAAACwEA&#10;AA8AAAAAAAAAAQAgAAAAIgAAAGRycy9kb3ducmV2LnhtbFBLAQIUABQAAAAIAIdO4kC/tkVwVAIA&#10;AKMEAAAOAAAAAAAAAAEAIAAAACYBAABkcnMvZTJvRG9jLnhtbFBLBQYAAAAABgAGAFkBAADsBQAA&#10;AAA=&#10;" path="m0,45598l48995,45599,64135,0,79274,45599,128269,45598,88631,73780,103772,119379,64135,91197,24497,119379,39638,73780xe">
                <v:path o:connectlocs="64135,0;0,45598;24497,119379;103772,119379;128269,45598" o:connectangles="16200000,10800000,5400000,5400000,0"/>
                <v:fill on="t" focussize="0,0"/>
                <v:stroke weight="2pt" color="#FF0000" joinstyle="round"/>
                <v:imagedata o:title=""/>
                <o:lock v:ext="edit" aspectratio="f"/>
              </v:shape>
            </w:pict>
          </mc:Fallback>
        </mc:AlternateContent>
      </w:r>
    </w:p>
    <w:p>
      <w:pPr>
        <w:jc w:val="center"/>
        <w:rPr>
          <w:b/>
          <w:bCs/>
          <w:color w:val="auto"/>
        </w:rPr>
      </w:pPr>
      <w:r>
        <w:rPr>
          <w:b/>
          <w:bCs/>
          <w:color w:val="auto"/>
        </w:rPr>
        <w:t>图</w:t>
      </w:r>
      <w:r>
        <w:rPr>
          <w:rFonts w:hint="eastAsia"/>
          <w:b/>
          <w:bCs/>
          <w:color w:val="auto"/>
        </w:rPr>
        <w:t>2</w:t>
      </w:r>
      <w:r>
        <w:rPr>
          <w:b/>
          <w:bCs/>
          <w:color w:val="auto"/>
        </w:rPr>
        <w:t>.4</w:t>
      </w:r>
      <w:r>
        <w:rPr>
          <w:rFonts w:hint="eastAsia"/>
          <w:b/>
          <w:bCs/>
          <w:color w:val="auto"/>
        </w:rPr>
        <w:t>-</w:t>
      </w:r>
      <w:r>
        <w:rPr>
          <w:b/>
          <w:bCs/>
          <w:color w:val="auto"/>
        </w:rPr>
        <w:t>1</w:t>
      </w:r>
      <w:r>
        <w:rPr>
          <w:rFonts w:hint="eastAsia"/>
          <w:b/>
          <w:bCs/>
          <w:color w:val="auto"/>
        </w:rPr>
        <w:t>（</w:t>
      </w:r>
      <w:r>
        <w:rPr>
          <w:b/>
          <w:bCs/>
          <w:color w:val="auto"/>
        </w:rPr>
        <w:t>2</w:t>
      </w:r>
      <w:r>
        <w:rPr>
          <w:rFonts w:hint="eastAsia"/>
          <w:b/>
          <w:bCs/>
          <w:color w:val="auto"/>
        </w:rPr>
        <w:t xml:space="preserve">） </w:t>
      </w:r>
      <w:r>
        <w:rPr>
          <w:b/>
          <w:bCs/>
          <w:color w:val="auto"/>
        </w:rPr>
        <w:t xml:space="preserve"> </w:t>
      </w:r>
      <w:r>
        <w:rPr>
          <w:rFonts w:hint="eastAsia"/>
          <w:b/>
          <w:bCs/>
          <w:color w:val="auto"/>
        </w:rPr>
        <w:t>五华县环境空气</w:t>
      </w:r>
      <w:r>
        <w:rPr>
          <w:b/>
          <w:bCs/>
          <w:color w:val="auto"/>
        </w:rPr>
        <w:t>功能区划图</w:t>
      </w:r>
    </w:p>
    <w:p>
      <w:pPr>
        <w:jc w:val="center"/>
        <w:rPr>
          <w:color w:val="auto"/>
        </w:rPr>
      </w:pPr>
      <w:r>
        <w:rPr>
          <w:color w:val="auto"/>
        </w:rPr>
        <w:drawing>
          <wp:anchor distT="0" distB="0" distL="114300" distR="114300" simplePos="0" relativeHeight="251669504" behindDoc="0" locked="0" layoutInCell="1" allowOverlap="1">
            <wp:simplePos x="0" y="0"/>
            <wp:positionH relativeFrom="column">
              <wp:posOffset>4352290</wp:posOffset>
            </wp:positionH>
            <wp:positionV relativeFrom="paragraph">
              <wp:posOffset>99695</wp:posOffset>
            </wp:positionV>
            <wp:extent cx="1072515" cy="871220"/>
            <wp:effectExtent l="0" t="0" r="0" b="5080"/>
            <wp:wrapNone/>
            <wp:docPr id="1268" name="图片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图片 1268"/>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072515" cy="871220"/>
                    </a:xfrm>
                    <a:prstGeom prst="rect">
                      <a:avLst/>
                    </a:prstGeom>
                  </pic:spPr>
                </pic:pic>
              </a:graphicData>
            </a:graphic>
          </wp:anchor>
        </w:drawing>
      </w:r>
      <w:r>
        <w:rPr>
          <w:color w:val="auto"/>
        </w:rPr>
        <mc:AlternateContent>
          <mc:Choice Requires="wps">
            <w:drawing>
              <wp:anchor distT="0" distB="0" distL="114300" distR="114300" simplePos="0" relativeHeight="251618304" behindDoc="0" locked="0" layoutInCell="1" allowOverlap="1">
                <wp:simplePos x="0" y="0"/>
                <wp:positionH relativeFrom="column">
                  <wp:posOffset>880745</wp:posOffset>
                </wp:positionH>
                <wp:positionV relativeFrom="paragraph">
                  <wp:posOffset>4928870</wp:posOffset>
                </wp:positionV>
                <wp:extent cx="1043305" cy="274955"/>
                <wp:effectExtent l="0" t="133350" r="23495" b="10795"/>
                <wp:wrapNone/>
                <wp:docPr id="1141" name="矩形标注 1141"/>
                <wp:cNvGraphicFramePr/>
                <a:graphic xmlns:a="http://schemas.openxmlformats.org/drawingml/2006/main">
                  <a:graphicData uri="http://schemas.microsoft.com/office/word/2010/wordprocessingShape">
                    <wps:wsp>
                      <wps:cNvSpPr/>
                      <wps:spPr>
                        <a:xfrm>
                          <a:off x="0" y="0"/>
                          <a:ext cx="1043305" cy="274955"/>
                        </a:xfrm>
                        <a:prstGeom prst="wedgeRectCallout">
                          <a:avLst>
                            <a:gd name="adj1" fmla="val 36944"/>
                            <a:gd name="adj2" fmla="val -96587"/>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rPr>
                                <w:color w:val="FF0000"/>
                              </w:rPr>
                            </w:pPr>
                            <w:r>
                              <w:rPr>
                                <w:rFonts w:hint="eastAsia"/>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69.35pt;margin-top:388.1pt;height:21.65pt;width:82.15pt;z-index:251618304;v-text-anchor:middle;mso-width-relative:page;mso-height-relative:page;" filled="f" stroked="t" coordsize="21600,21600" o:gfxdata="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KVeMY/ZAAAACwEAAA8AAAAA&#10;AAAAAQAgAAAAIgAAAGRycy9kb3ducmV2LnhtbFBLAQIUABQAAAAIAIdO4kCYd9GBhQIAANoEAAAO&#10;AAAAAAAAAAEAIAAAACgBAABkcnMvZTJvRG9jLnhtbFBLBQYAAAAABgAGAFkBAAAfBgAAAAA=&#10;" adj="18780,-10063">
                <v:fill on="f" focussize="0,0"/>
                <v:stroke weight="0.5pt" color="#FF0000 [3204]" joinstyle="round"/>
                <v:imagedata o:title=""/>
                <o:lock v:ext="edit" aspectratio="f"/>
                <v:textbox>
                  <w:txbxContent>
                    <w:p>
                      <w:pPr>
                        <w:rPr>
                          <w:color w:val="FF0000"/>
                        </w:rPr>
                      </w:pPr>
                      <w:r>
                        <w:rPr>
                          <w:rFonts w:hint="eastAsia"/>
                          <w:color w:val="FF0000"/>
                        </w:rPr>
                        <w:t>项目所在地</w:t>
                      </w:r>
                    </w:p>
                  </w:txbxContent>
                </v:textbox>
              </v:shape>
            </w:pict>
          </mc:Fallback>
        </mc:AlternateContent>
      </w:r>
      <w:r>
        <w:rPr>
          <w:color w:val="auto"/>
        </w:rPr>
        <mc:AlternateContent>
          <mc:Choice Requires="wps">
            <w:drawing>
              <wp:anchor distT="0" distB="0" distL="114300" distR="114300" simplePos="0" relativeHeight="251614208" behindDoc="0" locked="0" layoutInCell="1" allowOverlap="1">
                <wp:simplePos x="0" y="0"/>
                <wp:positionH relativeFrom="column">
                  <wp:posOffset>1769110</wp:posOffset>
                </wp:positionH>
                <wp:positionV relativeFrom="paragraph">
                  <wp:posOffset>4665980</wp:posOffset>
                </wp:positionV>
                <wp:extent cx="128270" cy="119380"/>
                <wp:effectExtent l="38100" t="19050" r="43180" b="33020"/>
                <wp:wrapNone/>
                <wp:docPr id="241" name="五角星 241"/>
                <wp:cNvGraphicFramePr/>
                <a:graphic xmlns:a="http://schemas.openxmlformats.org/drawingml/2006/main">
                  <a:graphicData uri="http://schemas.microsoft.com/office/word/2010/wordprocessingShape">
                    <wps:wsp>
                      <wps:cNvSpPr/>
                      <wps:spPr>
                        <a:xfrm>
                          <a:off x="0" y="0"/>
                          <a:ext cx="128270" cy="119380"/>
                        </a:xfrm>
                        <a:prstGeom prst="star5">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39.3pt;margin-top:367.4pt;height:9.4pt;width:10.1pt;z-index:251614208;v-text-anchor:middle;mso-width-relative:page;mso-height-relative:page;" fillcolor="#FF0000" filled="t" stroked="t" coordsize="128270,119380" o:gfxdata="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muMrdgAAAAL&#10;AQAADwAAAAAAAAABACAAAAAiAAAAZHJzL2Rvd25yZXYueG1sUEsBAhQAFAAAAAgAh07iQDj0E2ZV&#10;AgAApAQAAA4AAAAAAAAAAQAgAAAAJwEAAGRycy9lMm9Eb2MueG1sUEsFBgAAAAAGAAYAWQEAAO4F&#10;AAAAAA==&#10;" path="m0,45598l48995,45599,64135,0,79274,45599,128269,45598,88631,73780,103772,119379,64135,91197,24497,119379,39638,73780xe">
                <v:path o:connectlocs="64135,0;0,45598;24497,119379;103772,119379;128269,45598" o:connectangles="16200000,10800000,5400000,5400000,0"/>
                <v:fill on="t" focussize="0,0"/>
                <v:stroke weight="2pt" color="#FF0000" joinstyle="round"/>
                <v:imagedata o:title=""/>
                <o:lock v:ext="edit" aspectratio="f"/>
              </v:shape>
            </w:pict>
          </mc:Fallback>
        </mc:AlternateContent>
      </w:r>
      <w:r>
        <w:rPr>
          <w:rFonts w:hint="eastAsia"/>
          <w:color w:val="auto"/>
        </w:rPr>
        <w:drawing>
          <wp:inline distT="0" distB="0" distL="0" distR="0">
            <wp:extent cx="5219700" cy="8029575"/>
            <wp:effectExtent l="0" t="0" r="0" b="952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219700" cy="8029575"/>
                    </a:xfrm>
                    <a:prstGeom prst="rect">
                      <a:avLst/>
                    </a:prstGeom>
                    <a:noFill/>
                    <a:ln>
                      <a:noFill/>
                    </a:ln>
                    <a:effectLst/>
                  </pic:spPr>
                </pic:pic>
              </a:graphicData>
            </a:graphic>
          </wp:inline>
        </w:drawing>
      </w:r>
    </w:p>
    <w:p>
      <w:pPr>
        <w:jc w:val="center"/>
        <w:rPr>
          <w:b/>
          <w:bCs/>
          <w:color w:val="auto"/>
        </w:rPr>
      </w:pPr>
      <w:r>
        <w:rPr>
          <w:b/>
          <w:bCs/>
          <w:color w:val="auto"/>
        </w:rPr>
        <mc:AlternateContent>
          <mc:Choice Requires="wps">
            <w:drawing>
              <wp:anchor distT="0" distB="0" distL="114300" distR="114300" simplePos="0" relativeHeight="251612160" behindDoc="0" locked="0" layoutInCell="1" allowOverlap="1">
                <wp:simplePos x="0" y="0"/>
                <wp:positionH relativeFrom="column">
                  <wp:posOffset>2762250</wp:posOffset>
                </wp:positionH>
                <wp:positionV relativeFrom="paragraph">
                  <wp:posOffset>4091305</wp:posOffset>
                </wp:positionV>
                <wp:extent cx="174625" cy="147955"/>
                <wp:effectExtent l="38100" t="38100" r="34925" b="42545"/>
                <wp:wrapNone/>
                <wp:docPr id="402" name="五角星 28"/>
                <wp:cNvGraphicFramePr/>
                <a:graphic xmlns:a="http://schemas.openxmlformats.org/drawingml/2006/main">
                  <a:graphicData uri="http://schemas.microsoft.com/office/word/2010/wordprocessingShape">
                    <wps:wsp>
                      <wps:cNvSpPr/>
                      <wps:spPr>
                        <a:xfrm>
                          <a:off x="0" y="0"/>
                          <a:ext cx="174625" cy="147955"/>
                        </a:xfrm>
                        <a:prstGeom prst="star5">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28" o:spid="_x0000_s1026" style="position:absolute;left:0pt;margin-left:217.5pt;margin-top:322.15pt;height:11.65pt;width:13.75pt;z-index:251612160;v-text-anchor:middle;mso-width-relative:page;mso-height-relative:page;" fillcolor="#FF0000" filled="t" stroked="t" coordsize="174625,147955" o:gfxdata="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JVjfmLZAAAA&#10;CwEAAA8AAAAAAAAAAQAgAAAAIgAAAGRycy9kb3ducmV2LnhtbFBLAQIUABQAAAAIAIdO4kBJIQCQ&#10;VQIAAKMEAAAOAAAAAAAAAAEAIAAAACgBAABkcnMvZTJvRG9jLnhtbFBLBQYAAAAABgAGAFkBAADv&#10;BQAAAAA=&#10;" path="m0,56513l66701,56514,87312,0,107923,56514,174624,56513,120662,91440,141274,147954,87312,113026,33350,147954,53962,91440xe">
                <v:path o:connectlocs="87312,0;0,56513;33350,147954;141274,147954;174624,56513" o:connectangles="16200000,10800000,5400000,5400000,0"/>
                <v:fill on="t" focussize="0,0"/>
                <v:stroke weight="2pt" color="#FF0000" joinstyle="round"/>
                <v:imagedata o:title=""/>
                <o:lock v:ext="edit" aspectratio="f"/>
              </v:shape>
            </w:pict>
          </mc:Fallback>
        </mc:AlternateContent>
      </w:r>
      <w:r>
        <w:rPr>
          <w:b/>
          <w:bCs/>
          <w:color w:val="auto"/>
        </w:rPr>
        <mc:AlternateContent>
          <mc:Choice Requires="wps">
            <w:drawing>
              <wp:anchor distT="0" distB="0" distL="114300" distR="114300" simplePos="0" relativeHeight="251608064" behindDoc="0" locked="0" layoutInCell="1" allowOverlap="1">
                <wp:simplePos x="0" y="0"/>
                <wp:positionH relativeFrom="column">
                  <wp:posOffset>2400300</wp:posOffset>
                </wp:positionH>
                <wp:positionV relativeFrom="paragraph">
                  <wp:posOffset>3770630</wp:posOffset>
                </wp:positionV>
                <wp:extent cx="892175" cy="292100"/>
                <wp:effectExtent l="0" t="0" r="0" b="0"/>
                <wp:wrapNone/>
                <wp:docPr id="226" name="文本框 226"/>
                <wp:cNvGraphicFramePr/>
                <a:graphic xmlns:a="http://schemas.openxmlformats.org/drawingml/2006/main">
                  <a:graphicData uri="http://schemas.microsoft.com/office/word/2010/wordprocessingShape">
                    <wps:wsp>
                      <wps:cNvSpPr txBox="1"/>
                      <wps:spPr>
                        <a:xfrm>
                          <a:off x="0" y="0"/>
                          <a:ext cx="892175" cy="292100"/>
                        </a:xfrm>
                        <a:prstGeom prst="rect">
                          <a:avLst/>
                        </a:prstGeom>
                        <a:noFill/>
                        <a:ln w="6350">
                          <a:noFill/>
                        </a:ln>
                        <a:effectLst/>
                      </wps:spPr>
                      <wps:txbx>
                        <w:txbxContent>
                          <w:p>
                            <w:pPr>
                              <w:rPr>
                                <w:b/>
                                <w:sz w:val="21"/>
                                <w:szCs w:val="21"/>
                              </w:rPr>
                            </w:pPr>
                            <w:r>
                              <w:rPr>
                                <w:rFonts w:hint="eastAsia"/>
                                <w:b/>
                                <w:sz w:val="21"/>
                                <w:szCs w:val="21"/>
                              </w:rPr>
                              <w:t>项目所在地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9pt;margin-top:296.9pt;height:23pt;width:70.25pt;z-index:251608064;mso-width-relative:page;mso-height-relative:page;" filled="f" stroked="f" coordsize="21600,21600" o:gfxdata="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5vm1P3AAAAAsBAAAPAAAAAAAAAAEAIAAAACIAAABkcnMvZG93bnJldi54bWxQSwECFAAU&#10;AAAACACHTuJAkonfDCYCAAApBAAADgAAAAAAAAABACAAAAArAQAAZHJzL2Uyb0RvYy54bWxQSwUG&#10;AAAAAAYABgBZAQAAwwUAAAAA&#10;">
                <v:fill on="f" focussize="0,0"/>
                <v:stroke on="f" weight="0.5pt"/>
                <v:imagedata o:title=""/>
                <o:lock v:ext="edit" aspectratio="f"/>
                <v:textbox>
                  <w:txbxContent>
                    <w:p>
                      <w:pPr>
                        <w:rPr>
                          <w:b/>
                          <w:sz w:val="21"/>
                          <w:szCs w:val="21"/>
                        </w:rPr>
                      </w:pPr>
                      <w:r>
                        <w:rPr>
                          <w:rFonts w:hint="eastAsia"/>
                          <w:b/>
                          <w:sz w:val="21"/>
                          <w:szCs w:val="21"/>
                        </w:rPr>
                        <w:t>项目所在地</w:t>
                      </w:r>
                    </w:p>
                  </w:txbxContent>
                </v:textbox>
              </v:shape>
            </w:pict>
          </mc:Fallback>
        </mc:AlternateContent>
      </w:r>
      <w:r>
        <w:rPr>
          <w:b/>
          <w:bCs/>
          <w:color w:val="auto"/>
        </w:rPr>
        <w:t>图2.4</w:t>
      </w:r>
      <w:r>
        <w:rPr>
          <w:rFonts w:hint="eastAsia"/>
          <w:b/>
          <w:bCs/>
          <w:color w:val="auto"/>
        </w:rPr>
        <w:t>-</w:t>
      </w:r>
      <w:r>
        <w:rPr>
          <w:b/>
          <w:bCs/>
          <w:color w:val="auto"/>
        </w:rPr>
        <w:t>2  地表水环境功能区划图</w:t>
      </w:r>
    </w:p>
    <w:p>
      <w:pPr>
        <w:spacing w:line="360" w:lineRule="auto"/>
        <w:jc w:val="center"/>
        <w:rPr>
          <w:color w:val="auto"/>
        </w:rPr>
      </w:pPr>
    </w:p>
    <w:p>
      <w:pPr>
        <w:jc w:val="center"/>
        <w:rPr>
          <w:b/>
          <w:bCs/>
          <w:color w:val="auto"/>
        </w:rPr>
      </w:pPr>
      <w:r>
        <w:rPr>
          <w:color w:val="auto"/>
        </w:rPr>
        <mc:AlternateContent>
          <mc:Choice Requires="wps">
            <w:drawing>
              <wp:anchor distT="0" distB="0" distL="114300" distR="114300" simplePos="0" relativeHeight="251626496" behindDoc="0" locked="0" layoutInCell="1" allowOverlap="1">
                <wp:simplePos x="0" y="0"/>
                <wp:positionH relativeFrom="column">
                  <wp:posOffset>880745</wp:posOffset>
                </wp:positionH>
                <wp:positionV relativeFrom="paragraph">
                  <wp:posOffset>1585595</wp:posOffset>
                </wp:positionV>
                <wp:extent cx="1043305" cy="274955"/>
                <wp:effectExtent l="0" t="247650" r="23495" b="10795"/>
                <wp:wrapNone/>
                <wp:docPr id="81" name="矩形标注 1141"/>
                <wp:cNvGraphicFramePr/>
                <a:graphic xmlns:a="http://schemas.openxmlformats.org/drawingml/2006/main">
                  <a:graphicData uri="http://schemas.microsoft.com/office/word/2010/wordprocessingShape">
                    <wps:wsp>
                      <wps:cNvSpPr/>
                      <wps:spPr>
                        <a:xfrm>
                          <a:off x="0" y="0"/>
                          <a:ext cx="1043305" cy="274955"/>
                        </a:xfrm>
                        <a:prstGeom prst="wedgeRectCallout">
                          <a:avLst>
                            <a:gd name="adj1" fmla="val -16921"/>
                            <a:gd name="adj2" fmla="val -141622"/>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rPr>
                                <w:color w:val="FF0000"/>
                              </w:rPr>
                            </w:pPr>
                            <w:r>
                              <w:rPr>
                                <w:rFonts w:hint="eastAsia"/>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1141" o:spid="_x0000_s1026" o:spt="61" type="#_x0000_t61" style="position:absolute;left:0pt;margin-left:69.35pt;margin-top:124.85pt;height:21.65pt;width:82.15pt;z-index:251626496;v-text-anchor:middle;mso-width-relative:page;mso-height-relative:page;" filled="f" stroked="t" coordsize="21600,21600" o:gfxdata="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LZc3MnWAAAACwEAAA8AAAAAAAAA&#10;AQAgAAAAIgAAAGRycy9kb3ducmV2LnhtbFBLAQIUABQAAAAIAIdO4kASY7+3hQIAANoEAAAOAAAA&#10;AAAAAAEAIAAAACUBAABkcnMvZTJvRG9jLnhtbFBLBQYAAAAABgAGAFkBAAAcBgAAAAA=&#10;" adj="7145,-19790">
                <v:fill on="f" focussize="0,0"/>
                <v:stroke weight="0.5pt" color="#FF0000 [3204]" joinstyle="round"/>
                <v:imagedata o:title=""/>
                <o:lock v:ext="edit" aspectratio="f"/>
                <v:textbox>
                  <w:txbxContent>
                    <w:p>
                      <w:pPr>
                        <w:rPr>
                          <w:color w:val="FF0000"/>
                        </w:rPr>
                      </w:pPr>
                      <w:r>
                        <w:rPr>
                          <w:rFonts w:hint="eastAsia"/>
                          <w:color w:val="FF0000"/>
                        </w:rPr>
                        <w:t>项目所在地</w:t>
                      </w:r>
                    </w:p>
                  </w:txbxContent>
                </v:textbox>
              </v:shape>
            </w:pict>
          </mc:Fallback>
        </mc:AlternateContent>
      </w:r>
      <w:r>
        <w:rPr>
          <w:color w:val="auto"/>
        </w:rPr>
        <mc:AlternateContent>
          <mc:Choice Requires="wps">
            <w:drawing>
              <wp:anchor distT="0" distB="0" distL="114300" distR="114300" simplePos="0" relativeHeight="251624448" behindDoc="0" locked="0" layoutInCell="1" allowOverlap="1">
                <wp:simplePos x="0" y="0"/>
                <wp:positionH relativeFrom="column">
                  <wp:posOffset>1156970</wp:posOffset>
                </wp:positionH>
                <wp:positionV relativeFrom="paragraph">
                  <wp:posOffset>1204595</wp:posOffset>
                </wp:positionV>
                <wp:extent cx="128270" cy="119380"/>
                <wp:effectExtent l="38100" t="19050" r="43180" b="33020"/>
                <wp:wrapNone/>
                <wp:docPr id="80" name="五角星 241"/>
                <wp:cNvGraphicFramePr/>
                <a:graphic xmlns:a="http://schemas.openxmlformats.org/drawingml/2006/main">
                  <a:graphicData uri="http://schemas.microsoft.com/office/word/2010/wordprocessingShape">
                    <wps:wsp>
                      <wps:cNvSpPr/>
                      <wps:spPr>
                        <a:xfrm>
                          <a:off x="0" y="0"/>
                          <a:ext cx="128270" cy="119380"/>
                        </a:xfrm>
                        <a:prstGeom prst="star5">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241" o:spid="_x0000_s1026" style="position:absolute;left:0pt;margin-left:91.1pt;margin-top:94.85pt;height:9.4pt;width:10.1pt;z-index:251624448;v-text-anchor:middle;mso-width-relative:page;mso-height-relative:page;" fillcolor="#FF0000" filled="t" stroked="t" coordsize="128270,119380" o:gfxdata="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4zy2TNcAAAALAQAA&#10;DwAAAAAAAAABACAAAAAiAAAAZHJzL2Rvd25yZXYueG1sUEsBAhQAFAAAAAgAh07iQJ9f8yJTAgAA&#10;owQAAA4AAAAAAAAAAQAgAAAAJgEAAGRycy9lMm9Eb2MueG1sUEsFBgAAAAAGAAYAWQEAAOsFAAAA&#10;AA==&#10;" path="m0,45598l48995,45599,64135,0,79274,45599,128269,45598,88631,73780,103772,119379,64135,91197,24497,119379,39638,73780xe">
                <v:path o:connectlocs="64135,0;0,45598;24497,119379;103772,119379;128269,45598" o:connectangles="16200000,10800000,5400000,5400000,0"/>
                <v:fill on="t" focussize="0,0"/>
                <v:stroke weight="2pt" color="#FF0000" joinstyle="round"/>
                <v:imagedata o:title=""/>
                <o:lock v:ext="edit" aspectratio="f"/>
              </v:shape>
            </w:pict>
          </mc:Fallback>
        </mc:AlternateContent>
      </w:r>
      <w:r>
        <w:rPr>
          <w:color w:val="auto"/>
        </w:rPr>
        <w:t xml:space="preserve"> </w:t>
      </w:r>
      <w:r>
        <w:rPr>
          <w:color w:val="auto"/>
        </w:rPr>
        <mc:AlternateContent>
          <mc:Choice Requires="wps">
            <w:drawing>
              <wp:anchor distT="0" distB="0" distL="114300" distR="114300" simplePos="0" relativeHeight="251692032" behindDoc="0" locked="0" layoutInCell="1" allowOverlap="1">
                <wp:simplePos x="0" y="0"/>
                <wp:positionH relativeFrom="column">
                  <wp:posOffset>1223645</wp:posOffset>
                </wp:positionH>
                <wp:positionV relativeFrom="paragraph">
                  <wp:posOffset>2585720</wp:posOffset>
                </wp:positionV>
                <wp:extent cx="1043305" cy="274955"/>
                <wp:effectExtent l="0" t="266700" r="23495" b="10795"/>
                <wp:wrapNone/>
                <wp:docPr id="1307" name="矩形标注 1141"/>
                <wp:cNvGraphicFramePr/>
                <a:graphic xmlns:a="http://schemas.openxmlformats.org/drawingml/2006/main">
                  <a:graphicData uri="http://schemas.microsoft.com/office/word/2010/wordprocessingShape">
                    <wps:wsp>
                      <wps:cNvSpPr/>
                      <wps:spPr>
                        <a:xfrm>
                          <a:off x="0" y="0"/>
                          <a:ext cx="1043305" cy="274955"/>
                        </a:xfrm>
                        <a:prstGeom prst="wedgeRectCallout">
                          <a:avLst>
                            <a:gd name="adj1" fmla="val -34267"/>
                            <a:gd name="adj2" fmla="val -145086"/>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rPr>
                                <w:color w:val="FF0000"/>
                              </w:rPr>
                            </w:pPr>
                            <w:r>
                              <w:rPr>
                                <w:rFonts w:hint="eastAsia"/>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1141" o:spid="_x0000_s1026" o:spt="61" type="#_x0000_t61" style="position:absolute;left:0pt;margin-left:96.35pt;margin-top:203.6pt;height:21.65pt;width:82.15pt;z-index:251692032;v-text-anchor:middle;mso-width-relative:page;mso-height-relative:page;" filled="f" stroked="t" coordsize="21600,21600" o:gfxdata="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AcJzCjZAAAACwEAAA8A&#10;AAAAAAAAAQAgAAAAIgAAAGRycy9kb3ducmV2LnhtbFBLAQIUABQAAAAIAIdO4kAdT8DhiAIAANwE&#10;AAAOAAAAAAAAAAEAIAAAACgBAABkcnMvZTJvRG9jLnhtbFBLBQYAAAAABgAGAFkBAAAiBgAAAAA=&#10;" adj="3398,-20539">
                <v:fill on="f" focussize="0,0"/>
                <v:stroke weight="0.5pt" color="#FF0000 [3204]" joinstyle="round"/>
                <v:imagedata o:title=""/>
                <o:lock v:ext="edit" aspectratio="f"/>
                <v:textbox>
                  <w:txbxContent>
                    <w:p>
                      <w:pPr>
                        <w:rPr>
                          <w:color w:val="FF0000"/>
                        </w:rPr>
                      </w:pPr>
                      <w:r>
                        <w:rPr>
                          <w:rFonts w:hint="eastAsia"/>
                          <w:color w:val="FF0000"/>
                        </w:rPr>
                        <w:t>项目所在地</w:t>
                      </w:r>
                    </w:p>
                  </w:txbxContent>
                </v:textbox>
              </v:shape>
            </w:pict>
          </mc:Fallback>
        </mc:AlternateContent>
      </w:r>
      <w:r>
        <w:rPr>
          <w:color w:val="auto"/>
        </w:rPr>
        <mc:AlternateContent>
          <mc:Choice Requires="wps">
            <w:drawing>
              <wp:anchor distT="0" distB="0" distL="114300" distR="114300" simplePos="0" relativeHeight="251687936" behindDoc="0" locked="0" layoutInCell="1" allowOverlap="1">
                <wp:simplePos x="0" y="0"/>
                <wp:positionH relativeFrom="column">
                  <wp:posOffset>1299845</wp:posOffset>
                </wp:positionH>
                <wp:positionV relativeFrom="paragraph">
                  <wp:posOffset>2185670</wp:posOffset>
                </wp:positionV>
                <wp:extent cx="128270" cy="119380"/>
                <wp:effectExtent l="38100" t="19050" r="43180" b="33020"/>
                <wp:wrapNone/>
                <wp:docPr id="1305" name="五角星 241"/>
                <wp:cNvGraphicFramePr/>
                <a:graphic xmlns:a="http://schemas.openxmlformats.org/drawingml/2006/main">
                  <a:graphicData uri="http://schemas.microsoft.com/office/word/2010/wordprocessingShape">
                    <wps:wsp>
                      <wps:cNvSpPr/>
                      <wps:spPr>
                        <a:xfrm>
                          <a:off x="0" y="0"/>
                          <a:ext cx="128270" cy="119380"/>
                        </a:xfrm>
                        <a:prstGeom prst="star5">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241" o:spid="_x0000_s1026" style="position:absolute;left:0pt;margin-left:102.35pt;margin-top:172.1pt;height:9.4pt;width:10.1pt;z-index:251687936;v-text-anchor:middle;mso-width-relative:page;mso-height-relative:page;" fillcolor="#FF0000" filled="t" stroked="t" coordsize="128270,119380" o:gfxdata="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EWDJDvYAAAA&#10;CwEAAA8AAAAAAAAAAQAgAAAAIgAAAGRycy9kb3ducmV2LnhtbFBLAQIUABQAAAAIAIdO4kDT4Fd4&#10;VgIAAKUEAAAOAAAAAAAAAAEAIAAAACcBAABkcnMvZTJvRG9jLnhtbFBLBQYAAAAABgAGAFkBAADv&#10;BQAAAAA=&#10;" path="m0,45598l48995,45599,64135,0,79274,45599,128269,45598,88631,73780,103772,119379,64135,91197,24497,119379,39638,73780xe">
                <v:path o:connectlocs="64135,0;0,45598;24497,119379;103772,119379;128269,45598" o:connectangles="16200000,10800000,5400000,5400000,0"/>
                <v:fill on="t" focussize="0,0"/>
                <v:stroke weight="2pt" color="#FF0000" joinstyle="round"/>
                <v:imagedata o:title=""/>
                <o:lock v:ext="edit" aspectratio="f"/>
              </v:shape>
            </w:pict>
          </mc:Fallback>
        </mc:AlternateContent>
      </w:r>
    </w:p>
    <w:p>
      <w:pPr>
        <w:spacing w:line="360" w:lineRule="auto"/>
        <w:ind w:firstLine="480"/>
        <w:jc w:val="center"/>
        <w:rPr>
          <w:rFonts w:hint="eastAsia" w:eastAsia="宋体"/>
          <w:color w:val="auto"/>
          <w:lang w:eastAsia="zh-CN"/>
        </w:rPr>
      </w:pPr>
      <w:r>
        <w:rPr>
          <w:color w:val="auto"/>
        </w:rPr>
        <w:drawing>
          <wp:anchor distT="0" distB="0" distL="114300" distR="114300" simplePos="0" relativeHeight="251671552" behindDoc="0" locked="0" layoutInCell="1" allowOverlap="1">
            <wp:simplePos x="0" y="0"/>
            <wp:positionH relativeFrom="column">
              <wp:posOffset>5243830</wp:posOffset>
            </wp:positionH>
            <wp:positionV relativeFrom="paragraph">
              <wp:posOffset>570230</wp:posOffset>
            </wp:positionV>
            <wp:extent cx="609600" cy="495300"/>
            <wp:effectExtent l="0" t="0" r="0" b="0"/>
            <wp:wrapNone/>
            <wp:docPr id="1270" name="图片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图片 1270"/>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09738" cy="495300"/>
                    </a:xfrm>
                    <a:prstGeom prst="rect">
                      <a:avLst/>
                    </a:prstGeom>
                  </pic:spPr>
                </pic:pic>
              </a:graphicData>
            </a:graphic>
          </wp:anchor>
        </w:drawing>
      </w:r>
      <w:r>
        <w:rPr>
          <w:color w:val="auto"/>
          <w:sz w:val="24"/>
        </w:rPr>
        <mc:AlternateContent>
          <mc:Choice Requires="wps">
            <w:drawing>
              <wp:anchor distT="0" distB="0" distL="114300" distR="114300" simplePos="0" relativeHeight="253116416" behindDoc="0" locked="0" layoutInCell="1" allowOverlap="1">
                <wp:simplePos x="0" y="0"/>
                <wp:positionH relativeFrom="column">
                  <wp:posOffset>939165</wp:posOffset>
                </wp:positionH>
                <wp:positionV relativeFrom="paragraph">
                  <wp:posOffset>4652010</wp:posOffset>
                </wp:positionV>
                <wp:extent cx="476250" cy="1322070"/>
                <wp:effectExtent l="4445" t="1905" r="14605" b="9525"/>
                <wp:wrapNone/>
                <wp:docPr id="103" name="直接连接符 103"/>
                <wp:cNvGraphicFramePr/>
                <a:graphic xmlns:a="http://schemas.openxmlformats.org/drawingml/2006/main">
                  <a:graphicData uri="http://schemas.microsoft.com/office/word/2010/wordprocessingShape">
                    <wps:wsp>
                      <wps:cNvCnPr/>
                      <wps:spPr>
                        <a:xfrm flipH="1" flipV="1">
                          <a:off x="1839595" y="5552440"/>
                          <a:ext cx="476250" cy="13220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x y;margin-left:73.95pt;margin-top:366.3pt;height:104.1pt;width:37.5pt;z-index:253116416;mso-width-relative:page;mso-height-relative:page;" filled="f" stroked="t" coordsize="21600,21600" o:gfxdata="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bG+b8dUAAAALAQAADwAAAAAAAAABACAAAAAiAAAAZHJzL2Rvd25yZXYueG1sUEsBAhQA&#10;FAAAAAgAh07iQHKHvq31AQAArgMAAA4AAAAAAAAAAQAgAAAAJAEAAGRycy9lMm9Eb2MueG1sUEsF&#10;BgAAAAAGAAYAWQEAAIsFAAAAAA==&#10;">
                <v:fill on="f" focussize="0,0"/>
                <v:stroke color="#000000 [3200]" joinstyle="round"/>
                <v:imagedata o:title=""/>
                <o:lock v:ext="edit" aspectratio="f"/>
              </v:line>
            </w:pict>
          </mc:Fallback>
        </mc:AlternateContent>
      </w:r>
      <w:r>
        <w:rPr>
          <w:color w:val="auto"/>
          <w:sz w:val="24"/>
        </w:rPr>
        <mc:AlternateContent>
          <mc:Choice Requires="wps">
            <w:drawing>
              <wp:anchor distT="0" distB="0" distL="114300" distR="114300" simplePos="0" relativeHeight="253115392" behindDoc="0" locked="0" layoutInCell="1" allowOverlap="1">
                <wp:simplePos x="0" y="0"/>
                <wp:positionH relativeFrom="column">
                  <wp:posOffset>3129915</wp:posOffset>
                </wp:positionH>
                <wp:positionV relativeFrom="paragraph">
                  <wp:posOffset>4674235</wp:posOffset>
                </wp:positionV>
                <wp:extent cx="1159510" cy="1299845"/>
                <wp:effectExtent l="3810" t="3175" r="17780" b="11430"/>
                <wp:wrapNone/>
                <wp:docPr id="102" name="直接连接符 102"/>
                <wp:cNvGraphicFramePr/>
                <a:graphic xmlns:a="http://schemas.openxmlformats.org/drawingml/2006/main">
                  <a:graphicData uri="http://schemas.microsoft.com/office/word/2010/wordprocessingShape">
                    <wps:wsp>
                      <wps:cNvCnPr/>
                      <wps:spPr>
                        <a:xfrm flipV="1">
                          <a:off x="4030345" y="5574665"/>
                          <a:ext cx="1159510" cy="12998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246.45pt;margin-top:368.05pt;height:102.35pt;width:91.3pt;z-index:253115392;mso-width-relative:page;mso-height-relative:page;" filled="f" stroked="t" coordsize="21600,21600" o:gfxdata="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BR2QgjaAAAACwEAAA8AAAAAAAAAAQAgAAAAIgAAAGRycy9kb3ducmV2LnhtbFBLAQIU&#10;ABQAAAAIAIdO4kAVDZiJ8QEAAKUDAAAOAAAAAAAAAAEAIAAAACkBAABkcnMvZTJvRG9jLnhtbFBL&#10;BQYAAAAABgAGAFkBAACMBQAAAAA=&#10;">
                <v:fill on="f" focussize="0,0"/>
                <v:stroke color="#000000 [3200]" joinstyle="round"/>
                <v:imagedata o:title=""/>
                <o:lock v:ext="edit" aspectratio="f"/>
              </v:line>
            </w:pict>
          </mc:Fallback>
        </mc:AlternateContent>
      </w:r>
      <w:r>
        <w:rPr>
          <w:color w:val="auto"/>
        </w:rPr>
        <mc:AlternateContent>
          <mc:Choice Requires="wps">
            <w:drawing>
              <wp:anchor distT="0" distB="0" distL="114300" distR="114300" simplePos="0" relativeHeight="253113344" behindDoc="0" locked="0" layoutInCell="1" allowOverlap="1">
                <wp:simplePos x="0" y="0"/>
                <wp:positionH relativeFrom="column">
                  <wp:posOffset>2643505</wp:posOffset>
                </wp:positionH>
                <wp:positionV relativeFrom="paragraph">
                  <wp:posOffset>3853180</wp:posOffset>
                </wp:positionV>
                <wp:extent cx="1043305" cy="274955"/>
                <wp:effectExtent l="4445" t="266065" r="19050" b="11430"/>
                <wp:wrapNone/>
                <wp:docPr id="94" name="矩形标注 1141"/>
                <wp:cNvGraphicFramePr/>
                <a:graphic xmlns:a="http://schemas.openxmlformats.org/drawingml/2006/main">
                  <a:graphicData uri="http://schemas.microsoft.com/office/word/2010/wordprocessingShape">
                    <wps:wsp>
                      <wps:cNvSpPr/>
                      <wps:spPr>
                        <a:xfrm>
                          <a:off x="0" y="0"/>
                          <a:ext cx="1043305" cy="274955"/>
                        </a:xfrm>
                        <a:prstGeom prst="wedgeRectCallout">
                          <a:avLst>
                            <a:gd name="adj1" fmla="val -34267"/>
                            <a:gd name="adj2" fmla="val -145086"/>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rPr>
                                <w:color w:val="FF0000"/>
                              </w:rPr>
                            </w:pPr>
                            <w:r>
                              <w:rPr>
                                <w:rFonts w:hint="eastAsia"/>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1141" o:spid="_x0000_s1026" o:spt="61" type="#_x0000_t61" style="position:absolute;left:0pt;margin-left:208.15pt;margin-top:303.4pt;height:21.65pt;width:82.15pt;z-index:253113344;v-text-anchor:middle;mso-width-relative:page;mso-height-relative:page;" filled="f" stroked="t" coordsize="21600,21600" o:gfxdata="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CQKTt22QAAAAsBAAAPAAAA&#10;AAAAAAEAIAAAACIAAABkcnMvZG93bnJldi54bWxQSwECFAAUAAAACACHTuJAf6uv74YCAADaBAAA&#10;DgAAAAAAAAABACAAAAAoAQAAZHJzL2Uyb0RvYy54bWxQSwUGAAAAAAYABgBZAQAAIAYAAAAA&#10;" adj="3398,-20539">
                <v:fill on="f" focussize="0,0"/>
                <v:stroke weight="0.5pt" color="#FF0000 [3204]" joinstyle="round"/>
                <v:imagedata o:title=""/>
                <o:lock v:ext="edit" aspectratio="f"/>
                <v:textbox>
                  <w:txbxContent>
                    <w:p>
                      <w:pPr>
                        <w:rPr>
                          <w:color w:val="FF0000"/>
                        </w:rPr>
                      </w:pPr>
                      <w:r>
                        <w:rPr>
                          <w:rFonts w:hint="eastAsia"/>
                          <w:color w:val="FF0000"/>
                        </w:rPr>
                        <w:t>项目所在地</w:t>
                      </w:r>
                    </w:p>
                  </w:txbxContent>
                </v:textbox>
              </v:shape>
            </w:pict>
          </mc:Fallback>
        </mc:AlternateContent>
      </w:r>
      <w:r>
        <w:rPr>
          <w:color w:val="auto"/>
        </w:rPr>
        <mc:AlternateContent>
          <mc:Choice Requires="wps">
            <w:drawing>
              <wp:anchor distT="0" distB="0" distL="114300" distR="114300" simplePos="0" relativeHeight="252616704" behindDoc="0" locked="0" layoutInCell="1" allowOverlap="1">
                <wp:simplePos x="0" y="0"/>
                <wp:positionH relativeFrom="column">
                  <wp:posOffset>2784475</wp:posOffset>
                </wp:positionH>
                <wp:positionV relativeFrom="paragraph">
                  <wp:posOffset>3490595</wp:posOffset>
                </wp:positionV>
                <wp:extent cx="76200" cy="76200"/>
                <wp:effectExtent l="3810" t="0" r="15240" b="19050"/>
                <wp:wrapNone/>
                <wp:docPr id="93" name="五角星 241"/>
                <wp:cNvGraphicFramePr/>
                <a:graphic xmlns:a="http://schemas.openxmlformats.org/drawingml/2006/main">
                  <a:graphicData uri="http://schemas.microsoft.com/office/word/2010/wordprocessingShape">
                    <wps:wsp>
                      <wps:cNvSpPr/>
                      <wps:spPr>
                        <a:xfrm>
                          <a:off x="0" y="0"/>
                          <a:ext cx="76200" cy="76200"/>
                        </a:xfrm>
                        <a:prstGeom prst="star5">
                          <a:avLst>
                            <a:gd name="adj" fmla="val 0"/>
                            <a:gd name="hf" fmla="val 105146"/>
                            <a:gd name="vf" fmla="val 110557"/>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241" o:spid="_x0000_s1026" style="position:absolute;left:0pt;margin-left:219.25pt;margin-top:274.85pt;height:6pt;width:6pt;z-index:252616704;v-text-anchor:middle;mso-width-relative:page;mso-height-relative:page;" fillcolor="#FF0000" filled="t" stroked="t" coordsize="76200,76200" o:gfxdata="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B4j0SnYAAAACwEAAA8AAAAAAAAAAQAgAAAAIgAA&#10;AGRycy9kb3ducmV2LnhtbFBLAQIUABQAAAAIAIdO4kBlxdM3egIAAA8FAAAOAAAAAAAAAAEAIAAA&#10;ACcBAABkcnMvZTJvRG9jLnhtbFBLBQYAAAAABgAGAFkBAAATBgAAAAA=&#10;" path="m0,29105l38100,42122,38100,0,38100,42122,76199,29105,38100,42122,61647,76199,38100,42122,14552,76199,38100,42122xe">
                <v:path o:connectlocs="38100,0;0,29105;14552,76199;61647,76199;76199,29105" o:connectangles="16200000,10800000,5400000,5400000,0"/>
                <v:fill on="t" focussize="0,0"/>
                <v:stroke weight="2pt" color="#FF0000" joinstyle="round"/>
                <v:imagedata o:title=""/>
                <o:lock v:ext="edit" aspectratio="f"/>
              </v:shape>
            </w:pict>
          </mc:Fallback>
        </mc:AlternateContent>
      </w:r>
      <w:r>
        <w:rPr>
          <w:color w:val="auto"/>
        </w:rPr>
        <w:drawing>
          <wp:anchor distT="0" distB="0" distL="114300" distR="114300" simplePos="0" relativeHeight="252154880" behindDoc="0" locked="0" layoutInCell="1" allowOverlap="1">
            <wp:simplePos x="0" y="0"/>
            <wp:positionH relativeFrom="column">
              <wp:posOffset>957580</wp:posOffset>
            </wp:positionH>
            <wp:positionV relativeFrom="paragraph">
              <wp:posOffset>2209800</wp:posOffset>
            </wp:positionV>
            <wp:extent cx="3336925" cy="2446655"/>
            <wp:effectExtent l="9525" t="9525" r="25400" b="20320"/>
            <wp:wrapNone/>
            <wp:docPr id="9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5"/>
                    <pic:cNvPicPr>
                      <a:picLocks noChangeAspect="1"/>
                    </pic:cNvPicPr>
                  </pic:nvPicPr>
                  <pic:blipFill>
                    <a:blip r:embed="rId48"/>
                    <a:stretch>
                      <a:fillRect/>
                    </a:stretch>
                  </pic:blipFill>
                  <pic:spPr>
                    <a:xfrm>
                      <a:off x="0" y="0"/>
                      <a:ext cx="3336925" cy="2446655"/>
                    </a:xfrm>
                    <a:prstGeom prst="rect">
                      <a:avLst/>
                    </a:prstGeom>
                    <a:noFill/>
                    <a:ln w="9525">
                      <a:solidFill>
                        <a:schemeClr val="tx1"/>
                      </a:solidFill>
                      <a:miter/>
                    </a:ln>
                  </pic:spPr>
                </pic:pic>
              </a:graphicData>
            </a:graphic>
          </wp:anchor>
        </w:drawing>
      </w:r>
      <w:r>
        <w:rPr>
          <w:color w:val="auto"/>
          <w:sz w:val="24"/>
        </w:rPr>
        <mc:AlternateContent>
          <mc:Choice Requires="wps">
            <w:drawing>
              <wp:anchor distT="0" distB="0" distL="114300" distR="114300" simplePos="0" relativeHeight="253114368" behindDoc="0" locked="0" layoutInCell="1" allowOverlap="1">
                <wp:simplePos x="0" y="0"/>
                <wp:positionH relativeFrom="column">
                  <wp:posOffset>1421130</wp:posOffset>
                </wp:positionH>
                <wp:positionV relativeFrom="paragraph">
                  <wp:posOffset>4785995</wp:posOffset>
                </wp:positionV>
                <wp:extent cx="1703070" cy="1193800"/>
                <wp:effectExtent l="6350" t="6350" r="24130" b="19050"/>
                <wp:wrapNone/>
                <wp:docPr id="95" name="矩形 95"/>
                <wp:cNvGraphicFramePr/>
                <a:graphic xmlns:a="http://schemas.openxmlformats.org/drawingml/2006/main">
                  <a:graphicData uri="http://schemas.microsoft.com/office/word/2010/wordprocessingShape">
                    <wps:wsp>
                      <wps:cNvSpPr/>
                      <wps:spPr>
                        <a:xfrm>
                          <a:off x="2321560" y="5686425"/>
                          <a:ext cx="1703070" cy="11938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1.9pt;margin-top:376.85pt;height:94pt;width:134.1pt;z-index:253114368;v-text-anchor:middle;mso-width-relative:page;mso-height-relative:page;" filled="f" stroked="t" coordsize="21600,21600" o:gfxdata="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AkocmPaAAAACwEA&#10;AA8AAAAAAAAAAQAgAAAAIgAAAGRycy9kb3ducmV2LnhtbFBLAQIUABQAAAAIAIdO4kAALZ8xUQIA&#10;AHUEAAAOAAAAAAAAAAEAIAAAACkBAABkcnMvZTJvRG9jLnhtbFBLBQYAAAAABgAGAFkBAADsBQAA&#10;AAA=&#10;">
                <v:fill on="f" focussize="0,0"/>
                <v:stroke weight="1pt" color="#000000 [3213]" joinstyle="round"/>
                <v:imagedata o:title=""/>
                <o:lock v:ext="edit" aspectratio="f"/>
              </v:rect>
            </w:pict>
          </mc:Fallback>
        </mc:AlternateContent>
      </w:r>
      <w:r>
        <w:rPr>
          <w:color w:val="auto"/>
        </w:rPr>
        <mc:AlternateContent>
          <mc:Choice Requires="wps">
            <w:drawing>
              <wp:anchor distT="0" distB="0" distL="114300" distR="114300" simplePos="0" relativeHeight="252153856" behindDoc="0" locked="0" layoutInCell="1" allowOverlap="1">
                <wp:simplePos x="0" y="0"/>
                <wp:positionH relativeFrom="column">
                  <wp:posOffset>1852295</wp:posOffset>
                </wp:positionH>
                <wp:positionV relativeFrom="paragraph">
                  <wp:posOffset>5504180</wp:posOffset>
                </wp:positionV>
                <wp:extent cx="1043305" cy="274955"/>
                <wp:effectExtent l="4445" t="266065" r="19050" b="11430"/>
                <wp:wrapNone/>
                <wp:docPr id="90" name="矩形标注 1141"/>
                <wp:cNvGraphicFramePr/>
                <a:graphic xmlns:a="http://schemas.openxmlformats.org/drawingml/2006/main">
                  <a:graphicData uri="http://schemas.microsoft.com/office/word/2010/wordprocessingShape">
                    <wps:wsp>
                      <wps:cNvSpPr/>
                      <wps:spPr>
                        <a:xfrm>
                          <a:off x="0" y="0"/>
                          <a:ext cx="1043305" cy="274955"/>
                        </a:xfrm>
                        <a:prstGeom prst="wedgeRectCallout">
                          <a:avLst>
                            <a:gd name="adj1" fmla="val -34267"/>
                            <a:gd name="adj2" fmla="val -145086"/>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rPr>
                                <w:color w:val="FF0000"/>
                              </w:rPr>
                            </w:pPr>
                            <w:r>
                              <w:rPr>
                                <w:rFonts w:hint="eastAsia"/>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1141" o:spid="_x0000_s1026" o:spt="61" type="#_x0000_t61" style="position:absolute;left:0pt;margin-left:145.85pt;margin-top:433.4pt;height:21.65pt;width:82.15pt;z-index:252153856;v-text-anchor:middle;mso-width-relative:page;mso-height-relative:page;" filled="f" stroked="t" coordsize="21600,21600" o:gfxdata="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AifT/G2QAAAAsBAAAPAAAA&#10;AAAAAAEAIAAAACIAAABkcnMvZG93bnJldi54bWxQSwECFAAUAAAACACHTuJAezQLzYYCAADaBAAA&#10;DgAAAAAAAAABACAAAAAoAQAAZHJzL2Uyb0RvYy54bWxQSwUGAAAAAAYABgBZAQAAIAYAAAAA&#10;" adj="3398,-20539">
                <v:fill on="f" focussize="0,0"/>
                <v:stroke weight="0.5pt" color="#FF0000 [3204]" joinstyle="round"/>
                <v:imagedata o:title=""/>
                <o:lock v:ext="edit" aspectratio="f"/>
                <v:textbox>
                  <w:txbxContent>
                    <w:p>
                      <w:pPr>
                        <w:rPr>
                          <w:color w:val="FF0000"/>
                        </w:rPr>
                      </w:pPr>
                      <w:r>
                        <w:rPr>
                          <w:rFonts w:hint="eastAsia"/>
                          <w:color w:val="FF0000"/>
                        </w:rPr>
                        <w:t>项目所在地</w:t>
                      </w:r>
                    </w:p>
                  </w:txbxContent>
                </v:textbox>
              </v:shape>
            </w:pict>
          </mc:Fallback>
        </mc:AlternateContent>
      </w:r>
      <w:r>
        <w:rPr>
          <w:color w:val="auto"/>
        </w:rPr>
        <mc:AlternateContent>
          <mc:Choice Requires="wps">
            <w:drawing>
              <wp:anchor distT="0" distB="0" distL="114300" distR="114300" simplePos="0" relativeHeight="252119040" behindDoc="0" locked="0" layoutInCell="1" allowOverlap="1">
                <wp:simplePos x="0" y="0"/>
                <wp:positionH relativeFrom="column">
                  <wp:posOffset>1981835</wp:posOffset>
                </wp:positionH>
                <wp:positionV relativeFrom="paragraph">
                  <wp:posOffset>5147945</wp:posOffset>
                </wp:positionV>
                <wp:extent cx="76200" cy="76200"/>
                <wp:effectExtent l="3810" t="0" r="15240" b="19050"/>
                <wp:wrapNone/>
                <wp:docPr id="87" name="五角星 241"/>
                <wp:cNvGraphicFramePr/>
                <a:graphic xmlns:a="http://schemas.openxmlformats.org/drawingml/2006/main">
                  <a:graphicData uri="http://schemas.microsoft.com/office/word/2010/wordprocessingShape">
                    <wps:wsp>
                      <wps:cNvSpPr/>
                      <wps:spPr>
                        <a:xfrm>
                          <a:off x="0" y="0"/>
                          <a:ext cx="76200" cy="76200"/>
                        </a:xfrm>
                        <a:prstGeom prst="star5">
                          <a:avLst>
                            <a:gd name="adj" fmla="val 0"/>
                            <a:gd name="hf" fmla="val 105146"/>
                            <a:gd name="vf" fmla="val 110557"/>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241" o:spid="_x0000_s1026" style="position:absolute;left:0pt;margin-left:156.05pt;margin-top:405.35pt;height:6pt;width:6pt;z-index:252119040;v-text-anchor:middle;mso-width-relative:page;mso-height-relative:page;" fillcolor="#FF0000" filled="t" stroked="t" coordsize="76200,76200" o:gfxdata="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dFtiUNcAAAALAQAADwAAAAAAAAABACAAAAAiAAAA&#10;ZHJzL2Rvd25yZXYueG1sUEsBAhQAFAAAAAgAh07iQA1EQ3Z6AgAADwUAAA4AAAAAAAAAAQAgAAAA&#10;JgEAAGRycy9lMm9Eb2MueG1sUEsFBgAAAAAGAAYAWQEAABIGAAAAAA==&#10;" path="m0,29105l38100,42122,38100,0,38100,42122,76199,29105,38100,42122,61647,76199,38100,42122,14552,76199,38100,42122xe">
                <v:path o:connectlocs="38100,0;0,29105;14552,76199;61647,76199;76199,29105" o:connectangles="16200000,10800000,5400000,5400000,0"/>
                <v:fill on="t" focussize="0,0"/>
                <v:stroke weight="2pt" color="#FF0000" joinstyle="round"/>
                <v:imagedata o:title=""/>
                <o:lock v:ext="edit" aspectratio="f"/>
              </v:shape>
            </w:pict>
          </mc:Fallback>
        </mc:AlternateContent>
      </w:r>
      <w:r>
        <w:rPr>
          <w:rFonts w:hint="eastAsia" w:eastAsia="宋体"/>
          <w:color w:val="auto"/>
          <w:lang w:eastAsia="zh-CN"/>
        </w:rPr>
        <w:drawing>
          <wp:inline distT="0" distB="0" distL="114300" distR="114300">
            <wp:extent cx="5723890" cy="8091170"/>
            <wp:effectExtent l="0" t="0" r="10160" b="5080"/>
            <wp:docPr id="83" name="图片 83" descr="水系图-Model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水系图-Model - 副本"/>
                    <pic:cNvPicPr>
                      <a:picLocks noChangeAspect="1"/>
                    </pic:cNvPicPr>
                  </pic:nvPicPr>
                  <pic:blipFill>
                    <a:blip r:embed="rId49"/>
                    <a:stretch>
                      <a:fillRect/>
                    </a:stretch>
                  </pic:blipFill>
                  <pic:spPr>
                    <a:xfrm>
                      <a:off x="0" y="0"/>
                      <a:ext cx="5723890" cy="8091170"/>
                    </a:xfrm>
                    <a:prstGeom prst="rect">
                      <a:avLst/>
                    </a:prstGeom>
                  </pic:spPr>
                </pic:pic>
              </a:graphicData>
            </a:graphic>
          </wp:inline>
        </w:drawing>
      </w:r>
    </w:p>
    <w:p>
      <w:pPr>
        <w:jc w:val="center"/>
        <w:rPr>
          <w:b/>
          <w:bCs/>
          <w:color w:val="auto"/>
        </w:rPr>
      </w:pPr>
      <w:r>
        <w:rPr>
          <w:b/>
          <w:bCs/>
          <w:color w:val="auto"/>
        </w:rPr>
        <w:t>图2.4</w:t>
      </w:r>
      <w:r>
        <w:rPr>
          <w:rFonts w:hint="eastAsia"/>
          <w:b/>
          <w:bCs/>
          <w:color w:val="auto"/>
        </w:rPr>
        <w:t>-</w:t>
      </w:r>
      <w:r>
        <w:rPr>
          <w:b/>
          <w:bCs/>
          <w:color w:val="auto"/>
        </w:rPr>
        <w:t>3  项目周边水系图</w:t>
      </w:r>
    </w:p>
    <w:p>
      <w:pPr>
        <w:jc w:val="center"/>
        <w:rPr>
          <w:color w:val="auto"/>
        </w:rPr>
      </w:pPr>
      <w:r>
        <w:rPr>
          <w:color w:val="auto"/>
        </w:rPr>
        <w:drawing>
          <wp:anchor distT="0" distB="0" distL="114300" distR="114300" simplePos="0" relativeHeight="251679744" behindDoc="0" locked="0" layoutInCell="1" allowOverlap="1">
            <wp:simplePos x="0" y="0"/>
            <wp:positionH relativeFrom="column">
              <wp:posOffset>4347210</wp:posOffset>
            </wp:positionH>
            <wp:positionV relativeFrom="paragraph">
              <wp:posOffset>128270</wp:posOffset>
            </wp:positionV>
            <wp:extent cx="1072515" cy="871220"/>
            <wp:effectExtent l="0" t="0" r="0" b="5080"/>
            <wp:wrapNone/>
            <wp:docPr id="1271" name="图片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图片 127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072515" cy="871220"/>
                    </a:xfrm>
                    <a:prstGeom prst="rect">
                      <a:avLst/>
                    </a:prstGeom>
                  </pic:spPr>
                </pic:pic>
              </a:graphicData>
            </a:graphic>
          </wp:anchor>
        </w:drawing>
      </w:r>
      <w:r>
        <w:rPr>
          <w:color w:val="auto"/>
        </w:rPr>
        <mc:AlternateContent>
          <mc:Choice Requires="wps">
            <w:drawing>
              <wp:anchor distT="0" distB="0" distL="114300" distR="114300" simplePos="0" relativeHeight="251630592" behindDoc="0" locked="0" layoutInCell="1" allowOverlap="1">
                <wp:simplePos x="0" y="0"/>
                <wp:positionH relativeFrom="column">
                  <wp:posOffset>1290320</wp:posOffset>
                </wp:positionH>
                <wp:positionV relativeFrom="paragraph">
                  <wp:posOffset>5309870</wp:posOffset>
                </wp:positionV>
                <wp:extent cx="1043305" cy="274955"/>
                <wp:effectExtent l="0" t="457200" r="23495" b="10795"/>
                <wp:wrapNone/>
                <wp:docPr id="86" name="矩形标注 1141"/>
                <wp:cNvGraphicFramePr/>
                <a:graphic xmlns:a="http://schemas.openxmlformats.org/drawingml/2006/main">
                  <a:graphicData uri="http://schemas.microsoft.com/office/word/2010/wordprocessingShape">
                    <wps:wsp>
                      <wps:cNvSpPr/>
                      <wps:spPr>
                        <a:xfrm>
                          <a:off x="0" y="0"/>
                          <a:ext cx="1043305" cy="274955"/>
                        </a:xfrm>
                        <a:prstGeom prst="wedgeRectCallout">
                          <a:avLst>
                            <a:gd name="adj1" fmla="val 3164"/>
                            <a:gd name="adj2" fmla="val -221299"/>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rPr>
                                <w:color w:val="FF0000"/>
                              </w:rPr>
                            </w:pPr>
                            <w:r>
                              <w:rPr>
                                <w:rFonts w:hint="eastAsia"/>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1141" o:spid="_x0000_s1026" o:spt="61" type="#_x0000_t61" style="position:absolute;left:0pt;margin-left:101.6pt;margin-top:418.1pt;height:21.65pt;width:82.15pt;z-index:251630592;v-text-anchor:middle;mso-width-relative:page;mso-height-relative:page;" filled="f" stroked="t" coordsize="21600,21600" o:gfxdata="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6XS0n1wAAAAsBAAAPAAAAAAAA&#10;AAEAIAAAACIAAABkcnMvZG93bnJldi54bWxQSwECFAAUAAAACACHTuJAf6z55YUCAADYBAAADgAA&#10;AAAAAAABACAAAAAmAQAAZHJzL2Uyb0RvYy54bWxQSwUGAAAAAAYABgBZAQAAHQYAAAAA&#10;" adj="11483,-37001">
                <v:fill on="f" focussize="0,0"/>
                <v:stroke weight="0.5pt" color="#FF0000 [3204]" joinstyle="round"/>
                <v:imagedata o:title=""/>
                <o:lock v:ext="edit" aspectratio="f"/>
                <v:textbox>
                  <w:txbxContent>
                    <w:p>
                      <w:pPr>
                        <w:rPr>
                          <w:color w:val="FF0000"/>
                        </w:rPr>
                      </w:pPr>
                      <w:r>
                        <w:rPr>
                          <w:rFonts w:hint="eastAsia"/>
                          <w:color w:val="FF0000"/>
                        </w:rPr>
                        <w:t>项目所在地</w:t>
                      </w:r>
                    </w:p>
                  </w:txbxContent>
                </v:textbox>
              </v:shape>
            </w:pict>
          </mc:Fallback>
        </mc:AlternateContent>
      </w:r>
      <w:r>
        <w:rPr>
          <w:color w:val="auto"/>
        </w:rPr>
        <mc:AlternateContent>
          <mc:Choice Requires="wps">
            <w:drawing>
              <wp:anchor distT="0" distB="0" distL="114300" distR="114300" simplePos="0" relativeHeight="251628544" behindDoc="0" locked="0" layoutInCell="1" allowOverlap="1">
                <wp:simplePos x="0" y="0"/>
                <wp:positionH relativeFrom="column">
                  <wp:posOffset>1795145</wp:posOffset>
                </wp:positionH>
                <wp:positionV relativeFrom="paragraph">
                  <wp:posOffset>4700270</wp:posOffset>
                </wp:positionV>
                <wp:extent cx="128270" cy="119380"/>
                <wp:effectExtent l="38100" t="19050" r="43180" b="33020"/>
                <wp:wrapNone/>
                <wp:docPr id="85" name="五角星 241"/>
                <wp:cNvGraphicFramePr/>
                <a:graphic xmlns:a="http://schemas.openxmlformats.org/drawingml/2006/main">
                  <a:graphicData uri="http://schemas.microsoft.com/office/word/2010/wordprocessingShape">
                    <wps:wsp>
                      <wps:cNvSpPr/>
                      <wps:spPr>
                        <a:xfrm>
                          <a:off x="0" y="0"/>
                          <a:ext cx="128270" cy="119380"/>
                        </a:xfrm>
                        <a:prstGeom prst="star5">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241" o:spid="_x0000_s1026" style="position:absolute;left:0pt;margin-left:141.35pt;margin-top:370.1pt;height:9.4pt;width:10.1pt;z-index:251628544;v-text-anchor:middle;mso-width-relative:page;mso-height-relative:page;" fillcolor="#FF0000" filled="t" stroked="t" coordsize="128270,119380" o:gfxdata="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OovYb3YAAAA&#10;CwEAAA8AAAAAAAAAAQAgAAAAIgAAAGRycy9kb3ducmV2LnhtbFBLAQIUABQAAAAIAIdO4kC1N0IF&#10;VgIAAKMEAAAOAAAAAAAAAAEAIAAAACcBAABkcnMvZTJvRG9jLnhtbFBLBQYAAAAABgAGAFkBAADv&#10;BQAAAAA=&#10;" path="m0,45598l48995,45599,64135,0,79274,45599,128269,45598,88631,73780,103772,119379,64135,91197,24497,119379,39638,73780xe">
                <v:path o:connectlocs="64135,0;0,45598;24497,119379;103772,119379;128269,45598" o:connectangles="16200000,10800000,5400000,5400000,0"/>
                <v:fill on="t" focussize="0,0"/>
                <v:stroke weight="2pt" color="#FF0000" joinstyle="round"/>
                <v:imagedata o:title=""/>
                <o:lock v:ext="edit" aspectratio="f"/>
              </v:shape>
            </w:pict>
          </mc:Fallback>
        </mc:AlternateContent>
      </w:r>
      <w:r>
        <w:rPr>
          <w:rFonts w:hint="eastAsia"/>
          <w:color w:val="auto"/>
        </w:rPr>
        <w:drawing>
          <wp:inline distT="0" distB="0" distL="0" distR="0">
            <wp:extent cx="5181600" cy="7439025"/>
            <wp:effectExtent l="0" t="0" r="0" b="952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181600" cy="7439025"/>
                    </a:xfrm>
                    <a:prstGeom prst="rect">
                      <a:avLst/>
                    </a:prstGeom>
                    <a:noFill/>
                    <a:ln>
                      <a:noFill/>
                    </a:ln>
                    <a:effectLst/>
                  </pic:spPr>
                </pic:pic>
              </a:graphicData>
            </a:graphic>
          </wp:inline>
        </w:drawing>
      </w:r>
      <w:r>
        <w:rPr>
          <w:color w:val="auto"/>
        </w:rPr>
        <mc:AlternateContent>
          <mc:Choice Requires="wps">
            <w:drawing>
              <wp:anchor distT="0" distB="0" distL="114300" distR="114300" simplePos="0" relativeHeight="251620352" behindDoc="0" locked="0" layoutInCell="1" allowOverlap="1">
                <wp:simplePos x="0" y="0"/>
                <wp:positionH relativeFrom="column">
                  <wp:posOffset>2726055</wp:posOffset>
                </wp:positionH>
                <wp:positionV relativeFrom="paragraph">
                  <wp:posOffset>4184015</wp:posOffset>
                </wp:positionV>
                <wp:extent cx="57785" cy="52070"/>
                <wp:effectExtent l="0" t="0" r="18415" b="24765"/>
                <wp:wrapNone/>
                <wp:docPr id="229" name="椭圆 229"/>
                <wp:cNvGraphicFramePr/>
                <a:graphic xmlns:a="http://schemas.openxmlformats.org/drawingml/2006/main">
                  <a:graphicData uri="http://schemas.microsoft.com/office/word/2010/wordprocessingShape">
                    <wps:wsp>
                      <wps:cNvSpPr/>
                      <wps:spPr>
                        <a:xfrm>
                          <a:off x="0" y="0"/>
                          <a:ext cx="57892" cy="51758"/>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14.65pt;margin-top:329.45pt;height:4.1pt;width:4.55pt;z-index:251620352;v-text-anchor:middle;mso-width-relative:page;mso-height-relative:page;" fillcolor="#FF0000" filled="t" stroked="t" coordsize="21600,21600" o:gfxdata="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Odo7cNgAAAALAQAADwAAAAAAAAABACAA&#10;AAAiAAAAZHJzL2Rvd25yZXYueG1sUEsBAhQAFAAAAAgAh07iQBPfltRGAgAAkwQAAA4AAAAAAAAA&#10;AQAgAAAAJwEAAGRycy9lMm9Eb2MueG1sUEsFBgAAAAAGAAYAWQEAAN8FAAAAAA==&#10;">
                <v:fill on="t" focussize="0,0"/>
                <v:stroke weight="2pt" color="#FF0000 [3204]" joinstyle="round"/>
                <v:imagedata o:title=""/>
                <o:lock v:ext="edit" aspectratio="f"/>
              </v:shape>
            </w:pict>
          </mc:Fallback>
        </mc:AlternateContent>
      </w:r>
    </w:p>
    <w:p>
      <w:pPr>
        <w:spacing w:line="360" w:lineRule="auto"/>
        <w:jc w:val="center"/>
        <w:rPr>
          <w:color w:val="auto"/>
        </w:rPr>
      </w:pPr>
      <w:r>
        <w:rPr>
          <w:b/>
          <w:color w:val="auto"/>
        </w:rPr>
        <w:t xml:space="preserve">图 </w:t>
      </w:r>
      <w:r>
        <w:rPr>
          <w:b/>
          <w:color w:val="auto"/>
        </w:rPr>
        <w:fldChar w:fldCharType="begin"/>
      </w:r>
      <w:r>
        <w:rPr>
          <w:b/>
          <w:color w:val="auto"/>
        </w:rPr>
        <w:instrText xml:space="preserve"> STYLEREF 2 \s </w:instrText>
      </w:r>
      <w:r>
        <w:rPr>
          <w:b/>
          <w:color w:val="auto"/>
        </w:rPr>
        <w:fldChar w:fldCharType="separate"/>
      </w:r>
      <w:r>
        <w:rPr>
          <w:b/>
          <w:color w:val="auto"/>
        </w:rPr>
        <w:t>2.4</w:t>
      </w:r>
      <w:r>
        <w:rPr>
          <w:b/>
          <w:color w:val="auto"/>
        </w:rPr>
        <w:fldChar w:fldCharType="end"/>
      </w:r>
      <w:r>
        <w:rPr>
          <w:b/>
          <w:color w:val="auto"/>
        </w:rPr>
        <w:noBreakHyphen/>
      </w:r>
      <w:r>
        <w:rPr>
          <w:b/>
          <w:color w:val="auto"/>
        </w:rPr>
        <w:t>4  项目所在地饮用水源保护区划图</w:t>
      </w:r>
    </w:p>
    <w:p>
      <w:pPr>
        <w:spacing w:line="360" w:lineRule="auto"/>
        <w:jc w:val="center"/>
        <w:rPr>
          <w:b/>
          <w:color w:val="auto"/>
        </w:rPr>
      </w:pPr>
    </w:p>
    <w:p>
      <w:pPr>
        <w:spacing w:line="360" w:lineRule="auto"/>
        <w:jc w:val="center"/>
        <w:rPr>
          <w:b/>
          <w:color w:val="auto"/>
        </w:rPr>
      </w:pPr>
    </w:p>
    <w:p>
      <w:pPr>
        <w:spacing w:line="360" w:lineRule="auto"/>
        <w:jc w:val="center"/>
        <w:rPr>
          <w:b/>
          <w:color w:val="auto"/>
        </w:rPr>
      </w:pPr>
    </w:p>
    <w:p>
      <w:pPr>
        <w:spacing w:line="360" w:lineRule="auto"/>
        <w:jc w:val="center"/>
        <w:rPr>
          <w:b/>
          <w:color w:val="auto"/>
        </w:rPr>
      </w:pPr>
      <w:r>
        <w:rPr>
          <w:color w:val="auto"/>
        </w:rPr>
        <w:drawing>
          <wp:anchor distT="0" distB="0" distL="114300" distR="114300" simplePos="0" relativeHeight="251683840" behindDoc="0" locked="0" layoutInCell="1" allowOverlap="1">
            <wp:simplePos x="0" y="0"/>
            <wp:positionH relativeFrom="column">
              <wp:posOffset>4621530</wp:posOffset>
            </wp:positionH>
            <wp:positionV relativeFrom="paragraph">
              <wp:posOffset>76200</wp:posOffset>
            </wp:positionV>
            <wp:extent cx="1072515" cy="871220"/>
            <wp:effectExtent l="0" t="0" r="0" b="5080"/>
            <wp:wrapNone/>
            <wp:docPr id="1275" name="图片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图片 1275"/>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072515" cy="871220"/>
                    </a:xfrm>
                    <a:prstGeom prst="rect">
                      <a:avLst/>
                    </a:prstGeom>
                  </pic:spPr>
                </pic:pic>
              </a:graphicData>
            </a:graphic>
          </wp:anchor>
        </w:drawing>
      </w:r>
      <w:r>
        <w:rPr>
          <w:color w:val="auto"/>
          <w:szCs w:val="21"/>
        </w:rPr>
        <w:drawing>
          <wp:anchor distT="0" distB="0" distL="114300" distR="114300" simplePos="0" relativeHeight="251632640" behindDoc="0" locked="0" layoutInCell="1" allowOverlap="1">
            <wp:simplePos x="0" y="0"/>
            <wp:positionH relativeFrom="column">
              <wp:posOffset>3030855</wp:posOffset>
            </wp:positionH>
            <wp:positionV relativeFrom="paragraph">
              <wp:posOffset>4857115</wp:posOffset>
            </wp:positionV>
            <wp:extent cx="2690495" cy="1043940"/>
            <wp:effectExtent l="0" t="0" r="0" b="3810"/>
            <wp:wrapNone/>
            <wp:docPr id="139" name="图片 139" descr="广东省浅层地下水功能区划图及水文地质单元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广东省浅层地下水功能区划图及水文地质单元_页面_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2690495" cy="1043940"/>
                    </a:xfrm>
                    <a:prstGeom prst="rect">
                      <a:avLst/>
                    </a:prstGeom>
                    <a:noFill/>
                    <a:ln>
                      <a:noFill/>
                    </a:ln>
                    <a:effectLst/>
                  </pic:spPr>
                </pic:pic>
              </a:graphicData>
            </a:graphic>
          </wp:anchor>
        </w:drawing>
      </w:r>
      <w:r>
        <w:rPr>
          <w:color w:val="auto"/>
        </w:rPr>
        <mc:AlternateContent>
          <mc:Choice Requires="wps">
            <w:drawing>
              <wp:anchor distT="0" distB="0" distL="114300" distR="114300" simplePos="0" relativeHeight="251636736" behindDoc="0" locked="0" layoutInCell="1" allowOverlap="1">
                <wp:simplePos x="0" y="0"/>
                <wp:positionH relativeFrom="column">
                  <wp:posOffset>1252220</wp:posOffset>
                </wp:positionH>
                <wp:positionV relativeFrom="paragraph">
                  <wp:posOffset>4052570</wp:posOffset>
                </wp:positionV>
                <wp:extent cx="1043305" cy="274955"/>
                <wp:effectExtent l="0" t="342900" r="23495" b="10795"/>
                <wp:wrapNone/>
                <wp:docPr id="149" name="矩形标注 1141"/>
                <wp:cNvGraphicFramePr/>
                <a:graphic xmlns:a="http://schemas.openxmlformats.org/drawingml/2006/main">
                  <a:graphicData uri="http://schemas.microsoft.com/office/word/2010/wordprocessingShape">
                    <wps:wsp>
                      <wps:cNvSpPr/>
                      <wps:spPr>
                        <a:xfrm>
                          <a:off x="0" y="0"/>
                          <a:ext cx="1043305" cy="274955"/>
                        </a:xfrm>
                        <a:prstGeom prst="wedgeRectCallout">
                          <a:avLst>
                            <a:gd name="adj1" fmla="val 44247"/>
                            <a:gd name="adj2" fmla="val -176264"/>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FF0000"/>
                              </w:rPr>
                            </w:pPr>
                            <w:r>
                              <w:rPr>
                                <w:rFonts w:hint="eastAsia"/>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1141" o:spid="_x0000_s1026" o:spt="61" type="#_x0000_t61" style="position:absolute;left:0pt;margin-left:98.6pt;margin-top:319.1pt;height:21.65pt;width:82.15pt;z-index:251636736;v-text-anchor:middle;mso-width-relative:page;mso-height-relative:page;" filled="f" stroked="t" coordsize="21600,21600" o:gfxdata="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cuoC390AAAALAQAA&#10;DwAAAAAAAAABACAAAAAiAAAAZHJzL2Rvd25yZXYueG1sUEsBAhQAFAAAAAgAh07iQJURpcSGAgAA&#10;2gQAAA4AAAAAAAAAAQAgAAAALAEAAGRycy9lMm9Eb2MueG1sUEsFBgAAAAAGAAYAWQEAACQGAAAA&#10;AA==&#10;" adj="20357,-27273">
                <v:fill on="f" focussize="0,0"/>
                <v:stroke weight="0.5pt" color="#FF0000 [3204]" joinstyle="round"/>
                <v:imagedata o:title=""/>
                <o:lock v:ext="edit" aspectratio="f"/>
                <v:textbox>
                  <w:txbxContent>
                    <w:p>
                      <w:pPr>
                        <w:jc w:val="center"/>
                        <w:rPr>
                          <w:color w:val="FF0000"/>
                        </w:rPr>
                      </w:pPr>
                      <w:r>
                        <w:rPr>
                          <w:rFonts w:hint="eastAsia"/>
                          <w:color w:val="FF0000"/>
                        </w:rPr>
                        <w:t>项目所在地</w:t>
                      </w:r>
                    </w:p>
                  </w:txbxContent>
                </v:textbox>
              </v:shape>
            </w:pict>
          </mc:Fallback>
        </mc:AlternateContent>
      </w:r>
      <w:r>
        <w:rPr>
          <w:color w:val="auto"/>
        </w:rPr>
        <mc:AlternateContent>
          <mc:Choice Requires="wps">
            <w:drawing>
              <wp:anchor distT="0" distB="0" distL="114300" distR="114300" simplePos="0" relativeHeight="251634688" behindDoc="0" locked="0" layoutInCell="1" allowOverlap="1">
                <wp:simplePos x="0" y="0"/>
                <wp:positionH relativeFrom="column">
                  <wp:posOffset>2147570</wp:posOffset>
                </wp:positionH>
                <wp:positionV relativeFrom="paragraph">
                  <wp:posOffset>3585845</wp:posOffset>
                </wp:positionV>
                <wp:extent cx="128270" cy="119380"/>
                <wp:effectExtent l="38100" t="19050" r="43180" b="33020"/>
                <wp:wrapNone/>
                <wp:docPr id="148" name="五角星 241"/>
                <wp:cNvGraphicFramePr/>
                <a:graphic xmlns:a="http://schemas.openxmlformats.org/drawingml/2006/main">
                  <a:graphicData uri="http://schemas.microsoft.com/office/word/2010/wordprocessingShape">
                    <wps:wsp>
                      <wps:cNvSpPr/>
                      <wps:spPr>
                        <a:xfrm>
                          <a:off x="0" y="0"/>
                          <a:ext cx="128270" cy="119380"/>
                        </a:xfrm>
                        <a:prstGeom prst="star5">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241" o:spid="_x0000_s1026" style="position:absolute;left:0pt;margin-left:169.1pt;margin-top:282.35pt;height:9.4pt;width:10.1pt;z-index:251634688;v-text-anchor:middle;mso-width-relative:page;mso-height-relative:page;" fillcolor="#FF0000" filled="t" stroked="t" coordsize="128270,119380" o:gfxdata="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KD9SdvYAAAA&#10;CwEAAA8AAAAAAAAAAQAgAAAAIgAAAGRycy9kb3ducmV2LnhtbFBLAQIUABQAAAAIAIdO4kDk/zCZ&#10;VgIAAKQEAAAOAAAAAAAAAAEAIAAAACcBAABkcnMvZTJvRG9jLnhtbFBLBQYAAAAABgAGAFkBAADv&#10;BQAAAAA=&#10;" path="m0,45598l48995,45599,64135,0,79274,45599,128269,45598,88631,73780,103772,119379,64135,91197,24497,119379,39638,73780xe">
                <v:path o:connectlocs="64135,0;0,45598;24497,119379;103772,119379;128269,45598" o:connectangles="16200000,10800000,5400000,5400000,0"/>
                <v:fill on="t" focussize="0,0"/>
                <v:stroke weight="2pt" color="#FF0000" joinstyle="round"/>
                <v:imagedata o:title=""/>
                <o:lock v:ext="edit" aspectratio="f"/>
              </v:shape>
            </w:pict>
          </mc:Fallback>
        </mc:AlternateContent>
      </w:r>
      <w:r>
        <w:rPr>
          <w:color w:val="auto"/>
          <w:szCs w:val="21"/>
        </w:rPr>
        <w:drawing>
          <wp:inline distT="0" distB="0" distL="0" distR="0">
            <wp:extent cx="5648325" cy="5838825"/>
            <wp:effectExtent l="19050" t="19050" r="28575" b="2857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648325" cy="5838825"/>
                    </a:xfrm>
                    <a:prstGeom prst="rect">
                      <a:avLst/>
                    </a:prstGeom>
                    <a:noFill/>
                    <a:ln w="9525" cmpd="sng">
                      <a:solidFill>
                        <a:srgbClr val="000000"/>
                      </a:solidFill>
                      <a:miter lim="800000"/>
                      <a:headEnd/>
                      <a:tailEnd/>
                    </a:ln>
                    <a:effectLst/>
                  </pic:spPr>
                </pic:pic>
              </a:graphicData>
            </a:graphic>
          </wp:inline>
        </w:drawing>
      </w:r>
    </w:p>
    <w:p>
      <w:pPr>
        <w:spacing w:line="360" w:lineRule="auto"/>
        <w:jc w:val="center"/>
        <w:rPr>
          <w:b/>
          <w:color w:val="auto"/>
        </w:rPr>
      </w:pPr>
      <w:r>
        <w:rPr>
          <w:b/>
          <w:color w:val="auto"/>
        </w:rPr>
        <w:t xml:space="preserve">图 </w:t>
      </w:r>
      <w:r>
        <w:rPr>
          <w:b/>
          <w:color w:val="auto"/>
        </w:rPr>
        <w:fldChar w:fldCharType="begin"/>
      </w:r>
      <w:r>
        <w:rPr>
          <w:b/>
          <w:color w:val="auto"/>
        </w:rPr>
        <w:instrText xml:space="preserve"> STYLEREF 2 \s </w:instrText>
      </w:r>
      <w:r>
        <w:rPr>
          <w:b/>
          <w:color w:val="auto"/>
        </w:rPr>
        <w:fldChar w:fldCharType="separate"/>
      </w:r>
      <w:r>
        <w:rPr>
          <w:b/>
          <w:color w:val="auto"/>
        </w:rPr>
        <w:t>2.4</w:t>
      </w:r>
      <w:r>
        <w:rPr>
          <w:b/>
          <w:color w:val="auto"/>
        </w:rPr>
        <w:fldChar w:fldCharType="end"/>
      </w:r>
      <w:r>
        <w:rPr>
          <w:b/>
          <w:color w:val="auto"/>
        </w:rPr>
        <w:noBreakHyphen/>
      </w:r>
      <w:r>
        <w:rPr>
          <w:b/>
          <w:color w:val="auto"/>
        </w:rPr>
        <w:t>5  项目地下水环境功能区划图</w:t>
      </w:r>
    </w:p>
    <w:p>
      <w:pPr>
        <w:spacing w:line="360" w:lineRule="auto"/>
        <w:jc w:val="center"/>
        <w:rPr>
          <w:b/>
          <w:color w:val="auto"/>
        </w:rPr>
      </w:pPr>
    </w:p>
    <w:p>
      <w:pPr>
        <w:spacing w:line="360" w:lineRule="auto"/>
        <w:jc w:val="center"/>
        <w:rPr>
          <w:b/>
          <w:color w:val="auto"/>
        </w:rPr>
      </w:pPr>
    </w:p>
    <w:p>
      <w:pPr>
        <w:spacing w:line="360" w:lineRule="auto"/>
        <w:jc w:val="center"/>
        <w:rPr>
          <w:b/>
          <w:color w:val="auto"/>
        </w:rPr>
      </w:pPr>
    </w:p>
    <w:p>
      <w:pPr>
        <w:spacing w:line="360" w:lineRule="auto"/>
        <w:jc w:val="center"/>
        <w:rPr>
          <w:b/>
          <w:color w:val="auto"/>
        </w:rPr>
      </w:pPr>
    </w:p>
    <w:p>
      <w:pPr>
        <w:spacing w:line="360" w:lineRule="auto"/>
        <w:jc w:val="center"/>
        <w:rPr>
          <w:b/>
          <w:color w:val="auto"/>
        </w:rPr>
      </w:pPr>
    </w:p>
    <w:p>
      <w:pPr>
        <w:spacing w:line="360" w:lineRule="auto"/>
        <w:jc w:val="center"/>
        <w:rPr>
          <w:b/>
          <w:color w:val="auto"/>
        </w:rPr>
      </w:pPr>
    </w:p>
    <w:p>
      <w:pPr>
        <w:spacing w:line="360" w:lineRule="auto"/>
        <w:jc w:val="center"/>
        <w:rPr>
          <w:b/>
          <w:color w:val="auto"/>
        </w:rPr>
      </w:pPr>
    </w:p>
    <w:p>
      <w:pPr>
        <w:spacing w:line="360" w:lineRule="auto"/>
        <w:jc w:val="center"/>
        <w:rPr>
          <w:b/>
          <w:color w:val="auto"/>
        </w:rPr>
      </w:pPr>
    </w:p>
    <w:p>
      <w:pPr>
        <w:spacing w:line="360" w:lineRule="auto"/>
        <w:jc w:val="center"/>
        <w:rPr>
          <w:b/>
          <w:color w:val="auto"/>
        </w:rPr>
        <w:sectPr>
          <w:pgSz w:w="11906" w:h="16838"/>
          <w:pgMar w:top="1418" w:right="1418" w:bottom="1418" w:left="1418" w:header="851" w:footer="992" w:gutter="0"/>
          <w:pgNumType w:fmt="decimal"/>
          <w:cols w:space="425" w:num="1"/>
          <w:docGrid w:type="lines" w:linePitch="326" w:charSpace="0"/>
        </w:sectPr>
      </w:pPr>
    </w:p>
    <w:p>
      <w:pPr>
        <w:jc w:val="center"/>
        <w:rPr>
          <w:color w:val="auto"/>
        </w:rPr>
      </w:pPr>
      <w:r>
        <w:rPr>
          <w:color w:val="auto"/>
        </w:rPr>
        <mc:AlternateContent>
          <mc:Choice Requires="wps">
            <w:drawing>
              <wp:anchor distT="0" distB="0" distL="114300" distR="114300" simplePos="0" relativeHeight="251663360" behindDoc="0" locked="0" layoutInCell="1" allowOverlap="1">
                <wp:simplePos x="0" y="0"/>
                <wp:positionH relativeFrom="column">
                  <wp:posOffset>4874895</wp:posOffset>
                </wp:positionH>
                <wp:positionV relativeFrom="paragraph">
                  <wp:posOffset>3335655</wp:posOffset>
                </wp:positionV>
                <wp:extent cx="1043305" cy="274955"/>
                <wp:effectExtent l="0" t="133350" r="23495" b="10795"/>
                <wp:wrapNone/>
                <wp:docPr id="1296" name="矩形标注 1141"/>
                <wp:cNvGraphicFramePr/>
                <a:graphic xmlns:a="http://schemas.openxmlformats.org/drawingml/2006/main">
                  <a:graphicData uri="http://schemas.microsoft.com/office/word/2010/wordprocessingShape">
                    <wps:wsp>
                      <wps:cNvSpPr/>
                      <wps:spPr>
                        <a:xfrm>
                          <a:off x="0" y="0"/>
                          <a:ext cx="1043305" cy="274955"/>
                        </a:xfrm>
                        <a:prstGeom prst="wedgeRectCallout">
                          <a:avLst>
                            <a:gd name="adj1" fmla="val 5791"/>
                            <a:gd name="adj2" fmla="val -94820"/>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FF0000"/>
                              </w:rPr>
                            </w:pPr>
                            <w:r>
                              <w:rPr>
                                <w:rFonts w:hint="eastAsia"/>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1141" o:spid="_x0000_s1026" o:spt="61" type="#_x0000_t61" style="position:absolute;left:0pt;margin-left:383.85pt;margin-top:262.65pt;height:21.65pt;width:82.15pt;z-index:251663360;v-text-anchor:middle;mso-width-relative:page;mso-height-relative:page;" filled="f" stroked="t" coordsize="21600,21600" o:gfxdata="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JTXfIjdAAAACwEA&#10;AA8AAAAAAAAAAQAgAAAAIgAAAGRycy9kb3ducmV2LnhtbFBLAQIUABQAAAAIAIdO4kANogVphwIA&#10;ANkEAAAOAAAAAAAAAAEAIAAAACwBAABkcnMvZTJvRG9jLnhtbFBLBQYAAAAABgAGAFkBAAAlBgAA&#10;AAA=&#10;" adj="12051,-9681">
                <v:fill on="f" focussize="0,0"/>
                <v:stroke weight="0.5pt" color="#FF0000 [3204]" joinstyle="round"/>
                <v:imagedata o:title=""/>
                <o:lock v:ext="edit" aspectratio="f"/>
                <v:textbox>
                  <w:txbxContent>
                    <w:p>
                      <w:pPr>
                        <w:jc w:val="center"/>
                        <w:rPr>
                          <w:color w:val="FF0000"/>
                        </w:rPr>
                      </w:pPr>
                      <w:r>
                        <w:rPr>
                          <w:rFonts w:hint="eastAsia"/>
                          <w:color w:val="FF0000"/>
                        </w:rPr>
                        <w:t>项目所在地</w:t>
                      </w:r>
                    </w:p>
                  </w:txbxContent>
                </v:textbox>
              </v:shape>
            </w:pict>
          </mc:Fallback>
        </mc:AlternateContent>
      </w:r>
      <w:r>
        <w:rPr>
          <w:color w:val="auto"/>
        </w:rPr>
        <mc:AlternateContent>
          <mc:Choice Requires="wps">
            <w:drawing>
              <wp:anchor distT="0" distB="0" distL="114300" distR="114300" simplePos="0" relativeHeight="251651072" behindDoc="0" locked="0" layoutInCell="1" allowOverlap="1">
                <wp:simplePos x="0" y="0"/>
                <wp:positionH relativeFrom="column">
                  <wp:posOffset>6279515</wp:posOffset>
                </wp:positionH>
                <wp:positionV relativeFrom="paragraph">
                  <wp:posOffset>1638935</wp:posOffset>
                </wp:positionV>
                <wp:extent cx="95250" cy="88265"/>
                <wp:effectExtent l="19050" t="38100" r="38100" b="45085"/>
                <wp:wrapNone/>
                <wp:docPr id="1138" name="五角星 241"/>
                <wp:cNvGraphicFramePr/>
                <a:graphic xmlns:a="http://schemas.openxmlformats.org/drawingml/2006/main">
                  <a:graphicData uri="http://schemas.microsoft.com/office/word/2010/wordprocessingShape">
                    <wps:wsp>
                      <wps:cNvSpPr/>
                      <wps:spPr>
                        <a:xfrm>
                          <a:off x="0" y="0"/>
                          <a:ext cx="95250" cy="88265"/>
                        </a:xfrm>
                        <a:prstGeom prst="star5">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241" o:spid="_x0000_s1026" style="position:absolute;left:0pt;margin-left:494.45pt;margin-top:129.05pt;height:6.95pt;width:7.5pt;z-index:251651072;v-text-anchor:middle;mso-width-relative:page;mso-height-relative:page;" fillcolor="#FF0000" filled="t" stroked="t" coordsize="95250,88265" o:gfxdata="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iW1G7tcAAAAMAQAA&#10;DwAAAAAAAAABACAAAAAiAAAAZHJzL2Rvd25yZXYueG1sUEsBAhQAFAAAAAgAh07iQGP+BHBTAgAA&#10;owQAAA4AAAAAAAAAAQAgAAAAJgEAAGRycy9lMm9Eb2MueG1sUEsFBgAAAAAGAAYAWQEAAOsFAAAA&#10;AA==&#10;" path="m0,33714l36382,33714,47625,0,58867,33714,95249,33714,65815,54550,77058,88264,47625,67427,18191,88264,29434,54550xe">
                <v:path o:connectlocs="47625,0;0,33714;18191,88264;77058,88264;95249,33714" o:connectangles="16200000,10800000,5400000,5400000,0"/>
                <v:fill on="t" focussize="0,0"/>
                <v:stroke weight="2pt" color="#FF0000" joinstyle="round"/>
                <v:imagedata o:title=""/>
                <o:lock v:ext="edit" aspectratio="f"/>
              </v:shape>
            </w:pict>
          </mc:Fallback>
        </mc:AlternateContent>
      </w:r>
      <w:r>
        <w:rPr>
          <w:color w:val="auto"/>
        </w:rPr>
        <mc:AlternateContent>
          <mc:Choice Requires="wps">
            <w:drawing>
              <wp:anchor distT="0" distB="0" distL="114300" distR="114300" simplePos="0" relativeHeight="251659264" behindDoc="0" locked="0" layoutInCell="1" allowOverlap="1">
                <wp:simplePos x="0" y="0"/>
                <wp:positionH relativeFrom="column">
                  <wp:posOffset>5371465</wp:posOffset>
                </wp:positionH>
                <wp:positionV relativeFrom="paragraph">
                  <wp:posOffset>3122930</wp:posOffset>
                </wp:positionV>
                <wp:extent cx="95250" cy="88265"/>
                <wp:effectExtent l="19050" t="38100" r="38100" b="45085"/>
                <wp:wrapNone/>
                <wp:docPr id="1295" name="五角星 241"/>
                <wp:cNvGraphicFramePr/>
                <a:graphic xmlns:a="http://schemas.openxmlformats.org/drawingml/2006/main">
                  <a:graphicData uri="http://schemas.microsoft.com/office/word/2010/wordprocessingShape">
                    <wps:wsp>
                      <wps:cNvSpPr/>
                      <wps:spPr>
                        <a:xfrm>
                          <a:off x="0" y="0"/>
                          <a:ext cx="95250" cy="88265"/>
                        </a:xfrm>
                        <a:prstGeom prst="star5">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241" o:spid="_x0000_s1026" style="position:absolute;left:0pt;margin-left:422.95pt;margin-top:245.9pt;height:6.95pt;width:7.5pt;z-index:251659264;v-text-anchor:middle;mso-width-relative:page;mso-height-relative:page;" fillcolor="#FF0000" filled="t" stroked="t" coordsize="95250,88265" o:gfxdata="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MV1FTDYAAAACwEA&#10;AA8AAAAAAAAAAQAgAAAAIgAAAGRycy9kb3ducmV2LnhtbFBLAQIUABQAAAAIAIdO4kAhTlmaUwIA&#10;AKMEAAAOAAAAAAAAAAEAIAAAACcBAABkcnMvZTJvRG9jLnhtbFBLBQYAAAAABgAGAFkBAADsBQAA&#10;AAA=&#10;" path="m0,33714l36382,33714,47625,0,58867,33714,95249,33714,65815,54550,77058,88264,47625,67427,18191,88264,29434,54550xe">
                <v:path o:connectlocs="47625,0;0,33714;18191,88264;77058,88264;95249,33714" o:connectangles="16200000,10800000,5400000,5400000,0"/>
                <v:fill on="t" focussize="0,0"/>
                <v:stroke weight="2pt" color="#FF0000" joinstyle="round"/>
                <v:imagedata o:title=""/>
                <o:lock v:ext="edit" aspectratio="f"/>
              </v:shape>
            </w:pict>
          </mc:Fallback>
        </mc:AlternateContent>
      </w:r>
      <w:r>
        <w:rPr>
          <w:color w:val="auto"/>
        </w:rPr>
        <mc:AlternateContent>
          <mc:Choice Requires="wps">
            <w:drawing>
              <wp:anchor distT="0" distB="0" distL="114300" distR="114300" simplePos="0" relativeHeight="251646976" behindDoc="0" locked="0" layoutInCell="1" allowOverlap="1">
                <wp:simplePos x="0" y="0"/>
                <wp:positionH relativeFrom="column">
                  <wp:posOffset>4681220</wp:posOffset>
                </wp:positionH>
                <wp:positionV relativeFrom="paragraph">
                  <wp:posOffset>2766695</wp:posOffset>
                </wp:positionV>
                <wp:extent cx="1043305" cy="274955"/>
                <wp:effectExtent l="0" t="0" r="23495" b="144145"/>
                <wp:wrapNone/>
                <wp:docPr id="157" name="矩形标注 1141"/>
                <wp:cNvGraphicFramePr/>
                <a:graphic xmlns:a="http://schemas.openxmlformats.org/drawingml/2006/main">
                  <a:graphicData uri="http://schemas.microsoft.com/office/word/2010/wordprocessingShape">
                    <wps:wsp>
                      <wps:cNvSpPr/>
                      <wps:spPr>
                        <a:xfrm>
                          <a:off x="0" y="0"/>
                          <a:ext cx="1043305" cy="274955"/>
                        </a:xfrm>
                        <a:prstGeom prst="wedgeRectCallout">
                          <a:avLst>
                            <a:gd name="adj1" fmla="val 20510"/>
                            <a:gd name="adj2" fmla="val 97408"/>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FF0000"/>
                              </w:rPr>
                            </w:pPr>
                            <w:r>
                              <w:rPr>
                                <w:rFonts w:hint="eastAsia"/>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1141" o:spid="_x0000_s1026" o:spt="61" type="#_x0000_t61" style="position:absolute;left:0pt;margin-left:368.6pt;margin-top:217.85pt;height:21.65pt;width:82.15pt;z-index:251646976;v-text-anchor:middle;mso-width-relative:page;mso-height-relative:page;" filled="f" stroked="t" coordsize="21600,21600" o:gfxdata="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C1TKxU2wAAAAsBAAAPAAAA&#10;AAAAAAEAIAAAACIAAABkcnMvZG93bnJldi54bWxQSwECFAAUAAAACACHTuJAGpVP34QCAADYBAAA&#10;DgAAAAAAAAABACAAAAAqAQAAZHJzL2Uyb0RvYy54bWxQSwUGAAAAAAYABgBZAQAAIAYAAAAA&#10;" adj="15230,31840">
                <v:fill on="f" focussize="0,0"/>
                <v:stroke weight="0.5pt" color="#FF0000 [3204]" joinstyle="round"/>
                <v:imagedata o:title=""/>
                <o:lock v:ext="edit" aspectratio="f"/>
                <v:textbox>
                  <w:txbxContent>
                    <w:p>
                      <w:pPr>
                        <w:jc w:val="center"/>
                        <w:rPr>
                          <w:color w:val="FF0000"/>
                        </w:rPr>
                      </w:pPr>
                      <w:r>
                        <w:rPr>
                          <w:rFonts w:hint="eastAsia"/>
                          <w:color w:val="FF0000"/>
                        </w:rPr>
                        <w:t>项目所在地</w:t>
                      </w:r>
                    </w:p>
                  </w:txbxContent>
                </v:textbox>
              </v:shape>
            </w:pict>
          </mc:Fallback>
        </mc:AlternateContent>
      </w:r>
      <w:r>
        <w:rPr>
          <w:color w:val="auto"/>
        </w:rPr>
        <mc:AlternateContent>
          <mc:Choice Requires="wps">
            <w:drawing>
              <wp:anchor distT="0" distB="0" distL="114300" distR="114300" simplePos="0" relativeHeight="251644928" behindDoc="0" locked="0" layoutInCell="1" allowOverlap="1">
                <wp:simplePos x="0" y="0"/>
                <wp:positionH relativeFrom="column">
                  <wp:posOffset>5395595</wp:posOffset>
                </wp:positionH>
                <wp:positionV relativeFrom="paragraph">
                  <wp:posOffset>3157220</wp:posOffset>
                </wp:positionV>
                <wp:extent cx="95250" cy="88265"/>
                <wp:effectExtent l="19050" t="38100" r="38100" b="45085"/>
                <wp:wrapNone/>
                <wp:docPr id="154" name="五角星 241"/>
                <wp:cNvGraphicFramePr/>
                <a:graphic xmlns:a="http://schemas.openxmlformats.org/drawingml/2006/main">
                  <a:graphicData uri="http://schemas.microsoft.com/office/word/2010/wordprocessingShape">
                    <wps:wsp>
                      <wps:cNvSpPr/>
                      <wps:spPr>
                        <a:xfrm>
                          <a:off x="0" y="0"/>
                          <a:ext cx="95250" cy="88265"/>
                        </a:xfrm>
                        <a:prstGeom prst="star5">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241" o:spid="_x0000_s1026" style="position:absolute;left:0pt;margin-left:424.85pt;margin-top:248.6pt;height:6.95pt;width:7.5pt;z-index:251644928;v-text-anchor:middle;mso-width-relative:page;mso-height-relative:page;" fillcolor="#FF0000" filled="t" stroked="t" coordsize="95250,88265" o:gfxdata="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n5LGu1wAAAAsBAAAP&#10;AAAAAAAAAAEAIAAAACIAAABkcnMvZG93bnJldi54bWxQSwECFAAUAAAACACHTuJAzDThYVICAACi&#10;BAAADgAAAAAAAAABACAAAAAmAQAAZHJzL2Uyb0RvYy54bWxQSwUGAAAAAAYABgBZAQAA6gUAAAAA&#10;" path="m0,33714l36382,33714,47625,0,58867,33714,95249,33714,65815,54550,77058,88264,47625,67427,18191,88264,29434,54550xe">
                <v:path o:connectlocs="47625,0;0,33714;18191,88264;77058,88264;95249,33714" o:connectangles="16200000,10800000,5400000,5400000,0"/>
                <v:fill on="t" focussize="0,0"/>
                <v:stroke weight="2pt" color="#FF0000" joinstyle="round"/>
                <v:imagedata o:title=""/>
                <o:lock v:ext="edit" aspectratio="f"/>
              </v:shape>
            </w:pict>
          </mc:Fallback>
        </mc:AlternateContent>
      </w:r>
      <w:r>
        <w:rPr>
          <w:color w:val="auto"/>
        </w:rPr>
        <w:drawing>
          <wp:anchor distT="0" distB="0" distL="114300" distR="114300" simplePos="0" relativeHeight="251649024" behindDoc="0" locked="0" layoutInCell="1" allowOverlap="1">
            <wp:simplePos x="0" y="0"/>
            <wp:positionH relativeFrom="column">
              <wp:posOffset>4566920</wp:posOffset>
            </wp:positionH>
            <wp:positionV relativeFrom="paragraph">
              <wp:posOffset>2647950</wp:posOffset>
            </wp:positionV>
            <wp:extent cx="1992630" cy="1720215"/>
            <wp:effectExtent l="19050" t="19050" r="26670" b="13335"/>
            <wp:wrapNone/>
            <wp:docPr id="395" name="图片 239" descr="说明: C:\Users\Owner\AppData\Local\Temp\15629033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239" descr="说明: C:\Users\Owner\AppData\Local\Temp\1562903302(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1992630" cy="1720215"/>
                    </a:xfrm>
                    <a:prstGeom prst="rect">
                      <a:avLst/>
                    </a:prstGeom>
                    <a:noFill/>
                    <a:ln w="9525">
                      <a:solidFill>
                        <a:srgbClr val="000000"/>
                      </a:solidFill>
                      <a:miter lim="800000"/>
                      <a:headEnd/>
                      <a:tailEnd/>
                    </a:ln>
                  </pic:spPr>
                </pic:pic>
              </a:graphicData>
            </a:graphic>
          </wp:anchor>
        </w:drawing>
      </w:r>
      <w:r>
        <w:rPr>
          <w:color w:val="auto"/>
        </w:rPr>
        <mc:AlternateContent>
          <mc:Choice Requires="wps">
            <w:drawing>
              <wp:anchor distT="0" distB="0" distL="114300" distR="114300" simplePos="0" relativeHeight="251640832" behindDoc="0" locked="0" layoutInCell="1" allowOverlap="1">
                <wp:simplePos x="0" y="0"/>
                <wp:positionH relativeFrom="column">
                  <wp:posOffset>5735320</wp:posOffset>
                </wp:positionH>
                <wp:positionV relativeFrom="paragraph">
                  <wp:posOffset>2090420</wp:posOffset>
                </wp:positionV>
                <wp:extent cx="165100" cy="557530"/>
                <wp:effectExtent l="57150" t="0" r="25400" b="52070"/>
                <wp:wrapNone/>
                <wp:docPr id="129" name="直接箭头连接符 129"/>
                <wp:cNvGraphicFramePr/>
                <a:graphic xmlns:a="http://schemas.openxmlformats.org/drawingml/2006/main">
                  <a:graphicData uri="http://schemas.microsoft.com/office/word/2010/wordprocessingShape">
                    <wps:wsp>
                      <wps:cNvCnPr/>
                      <wps:spPr>
                        <a:xfrm flipH="1">
                          <a:off x="0" y="0"/>
                          <a:ext cx="165100" cy="55753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_x0000_s1026" o:spid="_x0000_s1026" o:spt="32" type="#_x0000_t32" style="position:absolute;left:0pt;flip:x;margin-left:451.6pt;margin-top:164.6pt;height:43.9pt;width:13pt;z-index:251640832;mso-width-relative:page;mso-height-relative:page;" filled="f" stroked="t" coordsize="21600,21600" o:gfxdata="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MZPD03YAAAACwEAAA8AAAAAAAAAAQAgAAAAIgAAAGRycy9kb3ducmV2&#10;LnhtbFBLAQIUABQAAAAIAIdO4kApmats/AEAAK0DAAAOAAAAAAAAAAEAIAAAACcBAABkcnMvZTJv&#10;RG9jLnhtbFBLBQYAAAAABgAGAFkBAACVBQAAAAA=&#10;">
                <v:fill on="f" focussize="0,0"/>
                <v:stroke color="#000000" joinstyle="round" endarrow="open"/>
                <v:imagedata o:title=""/>
                <o:lock v:ext="edit" aspectratio="f"/>
              </v:shape>
            </w:pict>
          </mc:Fallback>
        </mc:AlternateContent>
      </w:r>
      <w:r>
        <w:rPr>
          <w:color w:val="auto"/>
        </w:rPr>
        <mc:AlternateContent>
          <mc:Choice Requires="wps">
            <w:drawing>
              <wp:anchor distT="0" distB="0" distL="114300" distR="114300" simplePos="0" relativeHeight="251638784" behindDoc="0" locked="0" layoutInCell="1" allowOverlap="1">
                <wp:simplePos x="0" y="0"/>
                <wp:positionH relativeFrom="column">
                  <wp:posOffset>5900420</wp:posOffset>
                </wp:positionH>
                <wp:positionV relativeFrom="paragraph">
                  <wp:posOffset>1309370</wp:posOffset>
                </wp:positionV>
                <wp:extent cx="897255" cy="776605"/>
                <wp:effectExtent l="0" t="0" r="17145" b="23495"/>
                <wp:wrapNone/>
                <wp:docPr id="115" name="矩形 115"/>
                <wp:cNvGraphicFramePr/>
                <a:graphic xmlns:a="http://schemas.openxmlformats.org/drawingml/2006/main">
                  <a:graphicData uri="http://schemas.microsoft.com/office/word/2010/wordprocessingShape">
                    <wps:wsp>
                      <wps:cNvSpPr/>
                      <wps:spPr>
                        <a:xfrm>
                          <a:off x="0" y="0"/>
                          <a:ext cx="897255" cy="776605"/>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4.6pt;margin-top:103.1pt;height:61.15pt;width:70.65pt;z-index:251638784;v-text-anchor:middle;mso-width-relative:page;mso-height-relative:page;" filled="f" stroked="t" coordsize="21600,21600" o:gfxdata="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e5vXH2gAA&#10;AAwBAAAPAAAAAAAAAAEAIAAAACIAAABkcnMvZG93bnJldi54bWxQSwECFAAUAAAACACHTuJAS6eU&#10;/1UCAACLBAAADgAAAAAAAAABACAAAAApAQAAZHJzL2Uyb0RvYy54bWxQSwUGAAAAAAYABgBZAQAA&#10;8AUAAAAA&#10;">
                <v:fill on="f" focussize="0,0"/>
                <v:stroke weight="1pt" color="#000000" joinstyle="round"/>
                <v:imagedata o:title=""/>
                <o:lock v:ext="edit" aspectratio="f"/>
              </v:rect>
            </w:pict>
          </mc:Fallback>
        </mc:AlternateContent>
      </w:r>
      <w:r>
        <w:rPr>
          <w:color w:val="auto"/>
        </w:rPr>
        <w:t xml:space="preserve"> </w:t>
      </w:r>
      <w:r>
        <w:rPr>
          <w:color w:val="auto"/>
        </w:rPr>
        <w:drawing>
          <wp:inline distT="0" distB="0" distL="0" distR="0">
            <wp:extent cx="7648575" cy="5238750"/>
            <wp:effectExtent l="0" t="0" r="9525" b="0"/>
            <wp:docPr id="92" name="图片 37" descr="说明: 广东省生态分级控制"/>
            <wp:cNvGraphicFramePr/>
            <a:graphic xmlns:a="http://schemas.openxmlformats.org/drawingml/2006/main">
              <a:graphicData uri="http://schemas.openxmlformats.org/drawingml/2006/picture">
                <pic:pic xmlns:pic="http://schemas.openxmlformats.org/drawingml/2006/picture">
                  <pic:nvPicPr>
                    <pic:cNvPr id="92" name="图片 37" descr="说明: 广东省生态分级控制"/>
                    <pic:cNvPicPr/>
                  </pic:nvPicPr>
                  <pic:blipFill>
                    <a:blip r:embed="rId54">
                      <a:extLst>
                        <a:ext uri="{28A0092B-C50C-407E-A947-70E740481C1C}">
                          <a14:useLocalDpi xmlns:a14="http://schemas.microsoft.com/office/drawing/2010/main" val="0"/>
                        </a:ext>
                      </a:extLst>
                    </a:blip>
                    <a:srcRect/>
                    <a:stretch>
                      <a:fillRect/>
                    </a:stretch>
                  </pic:blipFill>
                  <pic:spPr>
                    <a:xfrm>
                      <a:off x="0" y="0"/>
                      <a:ext cx="7648575" cy="5238750"/>
                    </a:xfrm>
                    <a:prstGeom prst="rect">
                      <a:avLst/>
                    </a:prstGeom>
                    <a:noFill/>
                    <a:ln>
                      <a:noFill/>
                    </a:ln>
                  </pic:spPr>
                </pic:pic>
              </a:graphicData>
            </a:graphic>
          </wp:inline>
        </w:drawing>
      </w:r>
    </w:p>
    <w:p>
      <w:pPr>
        <w:spacing w:line="360" w:lineRule="auto"/>
        <w:jc w:val="center"/>
        <w:rPr>
          <w:b/>
          <w:color w:val="auto"/>
        </w:rPr>
        <w:sectPr>
          <w:pgSz w:w="16838" w:h="11906" w:orient="landscape"/>
          <w:pgMar w:top="1418" w:right="1418" w:bottom="1418" w:left="1418" w:header="851" w:footer="992" w:gutter="0"/>
          <w:pgNumType w:fmt="decimal"/>
          <w:cols w:space="425" w:num="1"/>
          <w:docGrid w:type="lines" w:linePitch="326" w:charSpace="0"/>
        </w:sectPr>
      </w:pPr>
      <w:r>
        <w:rPr>
          <w:b/>
          <w:color w:val="auto"/>
        </w:rPr>
        <w:t xml:space="preserve">图 </w:t>
      </w:r>
      <w:r>
        <w:rPr>
          <w:b/>
          <w:color w:val="auto"/>
        </w:rPr>
        <w:fldChar w:fldCharType="begin"/>
      </w:r>
      <w:r>
        <w:rPr>
          <w:b/>
          <w:color w:val="auto"/>
        </w:rPr>
        <w:instrText xml:space="preserve"> STYLEREF 2 \s </w:instrText>
      </w:r>
      <w:r>
        <w:rPr>
          <w:b/>
          <w:color w:val="auto"/>
        </w:rPr>
        <w:fldChar w:fldCharType="separate"/>
      </w:r>
      <w:r>
        <w:rPr>
          <w:b/>
          <w:color w:val="auto"/>
        </w:rPr>
        <w:t>2.4</w:t>
      </w:r>
      <w:r>
        <w:rPr>
          <w:b/>
          <w:color w:val="auto"/>
        </w:rPr>
        <w:fldChar w:fldCharType="end"/>
      </w:r>
      <w:r>
        <w:rPr>
          <w:b/>
          <w:color w:val="auto"/>
        </w:rPr>
        <w:noBreakHyphen/>
      </w:r>
      <w:r>
        <w:rPr>
          <w:b/>
          <w:color w:val="auto"/>
        </w:rPr>
        <w:t xml:space="preserve">6  </w:t>
      </w:r>
      <w:r>
        <w:rPr>
          <w:rFonts w:hint="eastAsia"/>
          <w:b/>
          <w:color w:val="auto"/>
        </w:rPr>
        <w:t>广东省陆域生态功能控制分区图</w:t>
      </w:r>
    </w:p>
    <w:p>
      <w:pPr>
        <w:pStyle w:val="3"/>
        <w:rPr>
          <w:rFonts w:ascii="Times New Roman"/>
          <w:color w:val="auto"/>
        </w:rPr>
      </w:pPr>
      <w:bookmarkStart w:id="120" w:name="_Toc2328121"/>
      <w:bookmarkStart w:id="121" w:name="_Toc23263150"/>
      <w:bookmarkStart w:id="122" w:name="_Toc14943308"/>
      <w:bookmarkStart w:id="123" w:name="_Toc12475"/>
      <w:bookmarkStart w:id="124" w:name="_Toc24136715"/>
      <w:r>
        <w:rPr>
          <w:rFonts w:ascii="Times New Roman"/>
          <w:color w:val="auto"/>
        </w:rPr>
        <w:t>环境影响识别与评价因子筛选</w:t>
      </w:r>
      <w:bookmarkEnd w:id="120"/>
      <w:bookmarkEnd w:id="121"/>
      <w:bookmarkEnd w:id="122"/>
      <w:bookmarkEnd w:id="123"/>
      <w:bookmarkEnd w:id="124"/>
    </w:p>
    <w:p>
      <w:pPr>
        <w:keepNext/>
        <w:spacing w:before="163" w:beforeLines="50" w:after="163" w:afterLines="50"/>
        <w:outlineLvl w:val="2"/>
        <w:rPr>
          <w:b/>
          <w:bCs/>
          <w:color w:val="auto"/>
          <w:szCs w:val="26"/>
        </w:rPr>
      </w:pPr>
      <w:bookmarkStart w:id="125" w:name="_Toc14427"/>
      <w:bookmarkStart w:id="126" w:name="_Toc24136716"/>
      <w:bookmarkStart w:id="127" w:name="_Toc15912104"/>
      <w:bookmarkStart w:id="128" w:name="_Toc14946812"/>
      <w:r>
        <w:rPr>
          <w:b/>
          <w:bCs/>
          <w:color w:val="auto"/>
          <w:szCs w:val="26"/>
        </w:rPr>
        <w:t>2.5.1主要环境影响识别</w:t>
      </w:r>
      <w:bookmarkEnd w:id="125"/>
      <w:bookmarkEnd w:id="126"/>
      <w:bookmarkEnd w:id="127"/>
      <w:bookmarkEnd w:id="128"/>
    </w:p>
    <w:p>
      <w:pPr>
        <w:spacing w:line="360" w:lineRule="auto"/>
        <w:ind w:firstLine="480"/>
        <w:jc w:val="both"/>
        <w:rPr>
          <w:color w:val="auto"/>
        </w:rPr>
      </w:pPr>
      <w:r>
        <w:rPr>
          <w:color w:val="auto"/>
        </w:rPr>
        <w:t>根据本项目的工程特点，通过分析识别环境因素，见下表，并依据污染物排放量的大小等，筛选本次评价的各项评价因子。</w:t>
      </w:r>
    </w:p>
    <w:p>
      <w:pPr>
        <w:jc w:val="center"/>
        <w:rPr>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2.5</w:t>
      </w:r>
      <w:r>
        <w:rPr>
          <w:b/>
          <w:color w:val="auto"/>
        </w:rPr>
        <w:fldChar w:fldCharType="end"/>
      </w:r>
      <w:r>
        <w:rPr>
          <w:b/>
          <w:color w:val="auto"/>
        </w:rPr>
        <w:noBreakHyphen/>
      </w:r>
      <w:r>
        <w:rPr>
          <w:b/>
          <w:color w:val="auto"/>
        </w:rPr>
        <w:fldChar w:fldCharType="begin"/>
      </w:r>
      <w:r>
        <w:rPr>
          <w:b/>
          <w:color w:val="auto"/>
        </w:rPr>
        <w:instrText xml:space="preserve"> SEQ 表 \* ARABIC \s 2 </w:instrText>
      </w:r>
      <w:r>
        <w:rPr>
          <w:b/>
          <w:color w:val="auto"/>
        </w:rPr>
        <w:fldChar w:fldCharType="separate"/>
      </w:r>
      <w:r>
        <w:rPr>
          <w:b/>
          <w:color w:val="auto"/>
        </w:rPr>
        <w:t>1</w:t>
      </w:r>
      <w:r>
        <w:rPr>
          <w:b/>
          <w:color w:val="auto"/>
        </w:rPr>
        <w:fldChar w:fldCharType="end"/>
      </w:r>
      <w:r>
        <w:rPr>
          <w:b/>
          <w:color w:val="auto"/>
        </w:rPr>
        <w:t xml:space="preserve">  环境影响因子识别表</w:t>
      </w:r>
    </w:p>
    <w:tbl>
      <w:tblPr>
        <w:tblStyle w:val="53"/>
        <w:tblW w:w="9286" w:type="dxa"/>
        <w:jc w:val="center"/>
        <w:tblInd w:w="0" w:type="dxa"/>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12"/>
        <w:gridCol w:w="833"/>
        <w:gridCol w:w="831"/>
        <w:gridCol w:w="833"/>
        <w:gridCol w:w="831"/>
        <w:gridCol w:w="831"/>
        <w:gridCol w:w="831"/>
        <w:gridCol w:w="831"/>
        <w:gridCol w:w="685"/>
        <w:gridCol w:w="831"/>
        <w:gridCol w:w="837"/>
      </w:tblGrid>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112" w:type="dxa"/>
            <w:vMerge w:val="restart"/>
            <w:tcBorders>
              <w:top w:val="single" w:color="auto" w:sz="12" w:space="0"/>
            </w:tcBorders>
            <w:vAlign w:val="center"/>
          </w:tcPr>
          <w:p>
            <w:pPr>
              <w:jc w:val="center"/>
              <w:rPr>
                <w:b/>
                <w:color w:val="auto"/>
                <w:sz w:val="21"/>
              </w:rPr>
            </w:pPr>
            <w:r>
              <w:rPr>
                <w:b/>
                <w:color w:val="auto"/>
                <w:sz w:val="21"/>
              </w:rPr>
              <w:t>影响因子</w:t>
            </w:r>
          </w:p>
        </w:tc>
        <w:tc>
          <w:tcPr>
            <w:tcW w:w="2497" w:type="dxa"/>
            <w:gridSpan w:val="3"/>
            <w:tcBorders>
              <w:top w:val="single" w:color="auto" w:sz="12" w:space="0"/>
            </w:tcBorders>
            <w:vAlign w:val="center"/>
          </w:tcPr>
          <w:p>
            <w:pPr>
              <w:jc w:val="center"/>
              <w:rPr>
                <w:b/>
                <w:color w:val="auto"/>
                <w:sz w:val="21"/>
              </w:rPr>
            </w:pPr>
            <w:r>
              <w:rPr>
                <w:b/>
                <w:color w:val="auto"/>
                <w:sz w:val="21"/>
              </w:rPr>
              <w:t>建设施工期</w:t>
            </w:r>
          </w:p>
        </w:tc>
        <w:tc>
          <w:tcPr>
            <w:tcW w:w="5677" w:type="dxa"/>
            <w:gridSpan w:val="7"/>
            <w:tcBorders>
              <w:top w:val="single" w:color="auto" w:sz="12" w:space="0"/>
            </w:tcBorders>
            <w:vAlign w:val="center"/>
          </w:tcPr>
          <w:p>
            <w:pPr>
              <w:jc w:val="center"/>
              <w:rPr>
                <w:b/>
                <w:color w:val="auto"/>
                <w:sz w:val="21"/>
              </w:rPr>
            </w:pPr>
            <w:r>
              <w:rPr>
                <w:b/>
                <w:color w:val="auto"/>
                <w:sz w:val="21"/>
              </w:rPr>
              <w:t>营运期</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112" w:type="dxa"/>
            <w:vMerge w:val="continue"/>
            <w:vAlign w:val="center"/>
          </w:tcPr>
          <w:p>
            <w:pPr>
              <w:jc w:val="center"/>
              <w:rPr>
                <w:bCs/>
                <w:color w:val="auto"/>
                <w:sz w:val="21"/>
              </w:rPr>
            </w:pPr>
          </w:p>
        </w:tc>
        <w:tc>
          <w:tcPr>
            <w:tcW w:w="833" w:type="dxa"/>
            <w:vAlign w:val="center"/>
          </w:tcPr>
          <w:p>
            <w:pPr>
              <w:jc w:val="center"/>
              <w:rPr>
                <w:color w:val="auto"/>
                <w:sz w:val="21"/>
              </w:rPr>
            </w:pPr>
            <w:r>
              <w:rPr>
                <w:color w:val="auto"/>
                <w:sz w:val="21"/>
              </w:rPr>
              <w:t>土建工程</w:t>
            </w:r>
          </w:p>
        </w:tc>
        <w:tc>
          <w:tcPr>
            <w:tcW w:w="831" w:type="dxa"/>
            <w:vAlign w:val="center"/>
          </w:tcPr>
          <w:p>
            <w:pPr>
              <w:jc w:val="center"/>
              <w:rPr>
                <w:color w:val="auto"/>
                <w:sz w:val="21"/>
              </w:rPr>
            </w:pPr>
            <w:r>
              <w:rPr>
                <w:color w:val="auto"/>
                <w:sz w:val="21"/>
              </w:rPr>
              <w:t>安装工程</w:t>
            </w:r>
          </w:p>
        </w:tc>
        <w:tc>
          <w:tcPr>
            <w:tcW w:w="833" w:type="dxa"/>
            <w:vAlign w:val="center"/>
          </w:tcPr>
          <w:p>
            <w:pPr>
              <w:jc w:val="center"/>
              <w:rPr>
                <w:color w:val="auto"/>
                <w:sz w:val="21"/>
              </w:rPr>
            </w:pPr>
            <w:r>
              <w:rPr>
                <w:color w:val="auto"/>
                <w:sz w:val="21"/>
              </w:rPr>
              <w:t>设备运输</w:t>
            </w:r>
          </w:p>
        </w:tc>
        <w:tc>
          <w:tcPr>
            <w:tcW w:w="831" w:type="dxa"/>
            <w:vAlign w:val="center"/>
          </w:tcPr>
          <w:p>
            <w:pPr>
              <w:jc w:val="center"/>
              <w:rPr>
                <w:color w:val="auto"/>
                <w:sz w:val="21"/>
              </w:rPr>
            </w:pPr>
            <w:r>
              <w:rPr>
                <w:color w:val="auto"/>
                <w:sz w:val="21"/>
              </w:rPr>
              <w:t>废水排放</w:t>
            </w:r>
          </w:p>
        </w:tc>
        <w:tc>
          <w:tcPr>
            <w:tcW w:w="831" w:type="dxa"/>
            <w:vAlign w:val="center"/>
          </w:tcPr>
          <w:p>
            <w:pPr>
              <w:jc w:val="center"/>
              <w:rPr>
                <w:color w:val="auto"/>
                <w:sz w:val="21"/>
              </w:rPr>
            </w:pPr>
            <w:r>
              <w:rPr>
                <w:color w:val="auto"/>
                <w:sz w:val="21"/>
              </w:rPr>
              <w:t>废气排放</w:t>
            </w:r>
          </w:p>
        </w:tc>
        <w:tc>
          <w:tcPr>
            <w:tcW w:w="831" w:type="dxa"/>
            <w:vAlign w:val="center"/>
          </w:tcPr>
          <w:p>
            <w:pPr>
              <w:jc w:val="center"/>
              <w:rPr>
                <w:color w:val="auto"/>
                <w:sz w:val="21"/>
              </w:rPr>
            </w:pPr>
            <w:r>
              <w:rPr>
                <w:color w:val="auto"/>
                <w:sz w:val="21"/>
              </w:rPr>
              <w:t>固废排放</w:t>
            </w:r>
          </w:p>
        </w:tc>
        <w:tc>
          <w:tcPr>
            <w:tcW w:w="831" w:type="dxa"/>
            <w:vAlign w:val="center"/>
          </w:tcPr>
          <w:p>
            <w:pPr>
              <w:jc w:val="center"/>
              <w:rPr>
                <w:color w:val="auto"/>
                <w:sz w:val="21"/>
              </w:rPr>
            </w:pPr>
            <w:r>
              <w:rPr>
                <w:color w:val="auto"/>
                <w:sz w:val="21"/>
              </w:rPr>
              <w:t>噪声排放</w:t>
            </w:r>
          </w:p>
        </w:tc>
        <w:tc>
          <w:tcPr>
            <w:tcW w:w="685" w:type="dxa"/>
            <w:vAlign w:val="center"/>
          </w:tcPr>
          <w:p>
            <w:pPr>
              <w:jc w:val="center"/>
              <w:rPr>
                <w:color w:val="auto"/>
                <w:sz w:val="21"/>
              </w:rPr>
            </w:pPr>
            <w:r>
              <w:rPr>
                <w:color w:val="auto"/>
                <w:sz w:val="21"/>
              </w:rPr>
              <w:t>绿化</w:t>
            </w:r>
          </w:p>
        </w:tc>
        <w:tc>
          <w:tcPr>
            <w:tcW w:w="831" w:type="dxa"/>
            <w:vAlign w:val="center"/>
          </w:tcPr>
          <w:p>
            <w:pPr>
              <w:jc w:val="center"/>
              <w:rPr>
                <w:color w:val="auto"/>
                <w:sz w:val="21"/>
              </w:rPr>
            </w:pPr>
            <w:r>
              <w:rPr>
                <w:color w:val="auto"/>
                <w:sz w:val="21"/>
              </w:rPr>
              <w:t>垃圾处置</w:t>
            </w:r>
          </w:p>
        </w:tc>
        <w:tc>
          <w:tcPr>
            <w:tcW w:w="837" w:type="dxa"/>
            <w:vAlign w:val="center"/>
          </w:tcPr>
          <w:p>
            <w:pPr>
              <w:jc w:val="center"/>
              <w:rPr>
                <w:color w:val="auto"/>
                <w:sz w:val="21"/>
              </w:rPr>
            </w:pPr>
            <w:r>
              <w:rPr>
                <w:color w:val="auto"/>
                <w:sz w:val="21"/>
              </w:rPr>
              <w:t>车辆运输</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112" w:type="dxa"/>
            <w:vAlign w:val="center"/>
          </w:tcPr>
          <w:p>
            <w:pPr>
              <w:jc w:val="center"/>
              <w:rPr>
                <w:color w:val="auto"/>
                <w:sz w:val="21"/>
              </w:rPr>
            </w:pPr>
            <w:r>
              <w:rPr>
                <w:color w:val="auto"/>
                <w:sz w:val="21"/>
              </w:rPr>
              <w:t>地表水</w:t>
            </w:r>
          </w:p>
        </w:tc>
        <w:tc>
          <w:tcPr>
            <w:tcW w:w="833" w:type="dxa"/>
            <w:vAlign w:val="center"/>
          </w:tcPr>
          <w:p>
            <w:pPr>
              <w:jc w:val="center"/>
              <w:rPr>
                <w:color w:val="auto"/>
                <w:sz w:val="21"/>
              </w:rPr>
            </w:pPr>
            <w:r>
              <w:rPr>
                <w:color w:val="auto"/>
                <w:sz w:val="21"/>
              </w:rPr>
              <w:t>-1SP</w:t>
            </w:r>
          </w:p>
        </w:tc>
        <w:tc>
          <w:tcPr>
            <w:tcW w:w="831" w:type="dxa"/>
            <w:vAlign w:val="center"/>
          </w:tcPr>
          <w:p>
            <w:pPr>
              <w:jc w:val="center"/>
              <w:rPr>
                <w:color w:val="auto"/>
                <w:sz w:val="21"/>
              </w:rPr>
            </w:pPr>
          </w:p>
        </w:tc>
        <w:tc>
          <w:tcPr>
            <w:tcW w:w="833" w:type="dxa"/>
            <w:vAlign w:val="center"/>
          </w:tcPr>
          <w:p>
            <w:pPr>
              <w:jc w:val="center"/>
              <w:rPr>
                <w:color w:val="auto"/>
                <w:sz w:val="21"/>
              </w:rPr>
            </w:pPr>
          </w:p>
        </w:tc>
        <w:tc>
          <w:tcPr>
            <w:tcW w:w="831" w:type="dxa"/>
            <w:vAlign w:val="center"/>
          </w:tcPr>
          <w:p>
            <w:pPr>
              <w:jc w:val="center"/>
              <w:rPr>
                <w:color w:val="auto"/>
                <w:sz w:val="21"/>
              </w:rPr>
            </w:pPr>
            <w:r>
              <w:rPr>
                <w:color w:val="auto"/>
                <w:sz w:val="21"/>
              </w:rPr>
              <w:t>-1LP</w:t>
            </w:r>
          </w:p>
        </w:tc>
        <w:tc>
          <w:tcPr>
            <w:tcW w:w="831" w:type="dxa"/>
            <w:vAlign w:val="center"/>
          </w:tcPr>
          <w:p>
            <w:pPr>
              <w:jc w:val="center"/>
              <w:rPr>
                <w:color w:val="auto"/>
                <w:sz w:val="21"/>
              </w:rPr>
            </w:pPr>
          </w:p>
        </w:tc>
        <w:tc>
          <w:tcPr>
            <w:tcW w:w="831" w:type="dxa"/>
            <w:vAlign w:val="center"/>
          </w:tcPr>
          <w:p>
            <w:pPr>
              <w:jc w:val="center"/>
              <w:rPr>
                <w:color w:val="auto"/>
                <w:sz w:val="21"/>
              </w:rPr>
            </w:pPr>
          </w:p>
        </w:tc>
        <w:tc>
          <w:tcPr>
            <w:tcW w:w="831" w:type="dxa"/>
            <w:vAlign w:val="center"/>
          </w:tcPr>
          <w:p>
            <w:pPr>
              <w:jc w:val="center"/>
              <w:rPr>
                <w:color w:val="auto"/>
                <w:sz w:val="21"/>
              </w:rPr>
            </w:pPr>
          </w:p>
        </w:tc>
        <w:tc>
          <w:tcPr>
            <w:tcW w:w="685" w:type="dxa"/>
            <w:vAlign w:val="center"/>
          </w:tcPr>
          <w:p>
            <w:pPr>
              <w:jc w:val="center"/>
              <w:rPr>
                <w:color w:val="auto"/>
                <w:sz w:val="21"/>
              </w:rPr>
            </w:pPr>
            <w:r>
              <w:rPr>
                <w:color w:val="auto"/>
                <w:sz w:val="21"/>
              </w:rPr>
              <w:t>+1LP</w:t>
            </w:r>
          </w:p>
        </w:tc>
        <w:tc>
          <w:tcPr>
            <w:tcW w:w="831" w:type="dxa"/>
            <w:vAlign w:val="center"/>
          </w:tcPr>
          <w:p>
            <w:pPr>
              <w:jc w:val="center"/>
              <w:rPr>
                <w:color w:val="auto"/>
                <w:sz w:val="21"/>
              </w:rPr>
            </w:pPr>
            <w:r>
              <w:rPr>
                <w:color w:val="auto"/>
                <w:sz w:val="21"/>
              </w:rPr>
              <w:t>+2LP</w:t>
            </w:r>
          </w:p>
        </w:tc>
        <w:tc>
          <w:tcPr>
            <w:tcW w:w="837" w:type="dxa"/>
            <w:vAlign w:val="center"/>
          </w:tcPr>
          <w:p>
            <w:pPr>
              <w:jc w:val="center"/>
              <w:rPr>
                <w:color w:val="auto"/>
                <w:sz w:val="21"/>
              </w:rPr>
            </w:pPr>
            <w:r>
              <w:rPr>
                <w:color w:val="auto"/>
                <w:sz w:val="21"/>
              </w:rPr>
              <w:t>-1LP</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112" w:type="dxa"/>
            <w:vAlign w:val="center"/>
          </w:tcPr>
          <w:p>
            <w:pPr>
              <w:jc w:val="center"/>
              <w:rPr>
                <w:bCs/>
                <w:color w:val="auto"/>
                <w:sz w:val="21"/>
              </w:rPr>
            </w:pPr>
            <w:r>
              <w:rPr>
                <w:color w:val="auto"/>
                <w:sz w:val="21"/>
              </w:rPr>
              <w:t>地下水</w:t>
            </w:r>
          </w:p>
        </w:tc>
        <w:tc>
          <w:tcPr>
            <w:tcW w:w="833" w:type="dxa"/>
            <w:vAlign w:val="center"/>
          </w:tcPr>
          <w:p>
            <w:pPr>
              <w:jc w:val="center"/>
              <w:rPr>
                <w:color w:val="auto"/>
                <w:sz w:val="21"/>
              </w:rPr>
            </w:pPr>
            <w:r>
              <w:rPr>
                <w:color w:val="auto"/>
                <w:sz w:val="21"/>
              </w:rPr>
              <w:t>-1SP</w:t>
            </w:r>
          </w:p>
        </w:tc>
        <w:tc>
          <w:tcPr>
            <w:tcW w:w="831" w:type="dxa"/>
            <w:vAlign w:val="center"/>
          </w:tcPr>
          <w:p>
            <w:pPr>
              <w:jc w:val="center"/>
              <w:rPr>
                <w:color w:val="auto"/>
                <w:sz w:val="21"/>
              </w:rPr>
            </w:pPr>
          </w:p>
        </w:tc>
        <w:tc>
          <w:tcPr>
            <w:tcW w:w="833" w:type="dxa"/>
            <w:vAlign w:val="center"/>
          </w:tcPr>
          <w:p>
            <w:pPr>
              <w:jc w:val="center"/>
              <w:rPr>
                <w:color w:val="auto"/>
                <w:sz w:val="21"/>
              </w:rPr>
            </w:pPr>
          </w:p>
        </w:tc>
        <w:tc>
          <w:tcPr>
            <w:tcW w:w="831" w:type="dxa"/>
            <w:vAlign w:val="center"/>
          </w:tcPr>
          <w:p>
            <w:pPr>
              <w:jc w:val="center"/>
              <w:rPr>
                <w:color w:val="auto"/>
                <w:sz w:val="21"/>
              </w:rPr>
            </w:pPr>
            <w:r>
              <w:rPr>
                <w:color w:val="auto"/>
                <w:sz w:val="21"/>
              </w:rPr>
              <w:t>-1LP</w:t>
            </w:r>
          </w:p>
        </w:tc>
        <w:tc>
          <w:tcPr>
            <w:tcW w:w="831" w:type="dxa"/>
            <w:vAlign w:val="center"/>
          </w:tcPr>
          <w:p>
            <w:pPr>
              <w:jc w:val="center"/>
              <w:rPr>
                <w:color w:val="auto"/>
                <w:sz w:val="21"/>
              </w:rPr>
            </w:pPr>
          </w:p>
        </w:tc>
        <w:tc>
          <w:tcPr>
            <w:tcW w:w="831" w:type="dxa"/>
            <w:vAlign w:val="center"/>
          </w:tcPr>
          <w:p>
            <w:pPr>
              <w:jc w:val="center"/>
              <w:rPr>
                <w:color w:val="auto"/>
                <w:sz w:val="21"/>
              </w:rPr>
            </w:pPr>
          </w:p>
        </w:tc>
        <w:tc>
          <w:tcPr>
            <w:tcW w:w="831" w:type="dxa"/>
            <w:vAlign w:val="center"/>
          </w:tcPr>
          <w:p>
            <w:pPr>
              <w:jc w:val="center"/>
              <w:rPr>
                <w:color w:val="auto"/>
                <w:sz w:val="21"/>
              </w:rPr>
            </w:pPr>
          </w:p>
        </w:tc>
        <w:tc>
          <w:tcPr>
            <w:tcW w:w="685" w:type="dxa"/>
            <w:vAlign w:val="center"/>
          </w:tcPr>
          <w:p>
            <w:pPr>
              <w:jc w:val="center"/>
              <w:rPr>
                <w:color w:val="auto"/>
                <w:sz w:val="21"/>
              </w:rPr>
            </w:pPr>
            <w:r>
              <w:rPr>
                <w:color w:val="auto"/>
                <w:sz w:val="21"/>
              </w:rPr>
              <w:t>+1LP</w:t>
            </w:r>
          </w:p>
        </w:tc>
        <w:tc>
          <w:tcPr>
            <w:tcW w:w="831" w:type="dxa"/>
            <w:vAlign w:val="center"/>
          </w:tcPr>
          <w:p>
            <w:pPr>
              <w:jc w:val="center"/>
              <w:rPr>
                <w:color w:val="auto"/>
                <w:sz w:val="21"/>
              </w:rPr>
            </w:pPr>
            <w:r>
              <w:rPr>
                <w:color w:val="auto"/>
                <w:sz w:val="21"/>
              </w:rPr>
              <w:t>+2LP</w:t>
            </w:r>
          </w:p>
        </w:tc>
        <w:tc>
          <w:tcPr>
            <w:tcW w:w="837" w:type="dxa"/>
            <w:vAlign w:val="center"/>
          </w:tcPr>
          <w:p>
            <w:pPr>
              <w:jc w:val="center"/>
              <w:rPr>
                <w:color w:val="auto"/>
                <w:sz w:val="21"/>
              </w:rPr>
            </w:pP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112" w:type="dxa"/>
            <w:vAlign w:val="center"/>
          </w:tcPr>
          <w:p>
            <w:pPr>
              <w:jc w:val="center"/>
              <w:rPr>
                <w:bCs/>
                <w:color w:val="auto"/>
                <w:sz w:val="21"/>
              </w:rPr>
            </w:pPr>
            <w:r>
              <w:rPr>
                <w:bCs/>
                <w:color w:val="auto"/>
                <w:sz w:val="21"/>
              </w:rPr>
              <w:t>环境空气</w:t>
            </w:r>
          </w:p>
        </w:tc>
        <w:tc>
          <w:tcPr>
            <w:tcW w:w="833" w:type="dxa"/>
            <w:vAlign w:val="center"/>
          </w:tcPr>
          <w:p>
            <w:pPr>
              <w:jc w:val="center"/>
              <w:rPr>
                <w:color w:val="auto"/>
                <w:sz w:val="21"/>
              </w:rPr>
            </w:pPr>
            <w:r>
              <w:rPr>
                <w:color w:val="auto"/>
                <w:sz w:val="21"/>
              </w:rPr>
              <w:t>-2SP</w:t>
            </w:r>
          </w:p>
        </w:tc>
        <w:tc>
          <w:tcPr>
            <w:tcW w:w="831" w:type="dxa"/>
            <w:vAlign w:val="center"/>
          </w:tcPr>
          <w:p>
            <w:pPr>
              <w:jc w:val="center"/>
              <w:rPr>
                <w:color w:val="auto"/>
                <w:sz w:val="21"/>
              </w:rPr>
            </w:pPr>
          </w:p>
        </w:tc>
        <w:tc>
          <w:tcPr>
            <w:tcW w:w="833" w:type="dxa"/>
            <w:vAlign w:val="center"/>
          </w:tcPr>
          <w:p>
            <w:pPr>
              <w:jc w:val="center"/>
              <w:rPr>
                <w:color w:val="auto"/>
                <w:sz w:val="21"/>
              </w:rPr>
            </w:pPr>
            <w:r>
              <w:rPr>
                <w:color w:val="auto"/>
                <w:sz w:val="21"/>
              </w:rPr>
              <w:t>-1SP</w:t>
            </w:r>
          </w:p>
        </w:tc>
        <w:tc>
          <w:tcPr>
            <w:tcW w:w="831" w:type="dxa"/>
            <w:vAlign w:val="center"/>
          </w:tcPr>
          <w:p>
            <w:pPr>
              <w:jc w:val="center"/>
              <w:rPr>
                <w:color w:val="auto"/>
                <w:sz w:val="21"/>
              </w:rPr>
            </w:pPr>
          </w:p>
        </w:tc>
        <w:tc>
          <w:tcPr>
            <w:tcW w:w="831" w:type="dxa"/>
            <w:vAlign w:val="center"/>
          </w:tcPr>
          <w:p>
            <w:pPr>
              <w:jc w:val="center"/>
              <w:rPr>
                <w:color w:val="auto"/>
                <w:sz w:val="21"/>
              </w:rPr>
            </w:pPr>
            <w:r>
              <w:rPr>
                <w:color w:val="auto"/>
                <w:sz w:val="21"/>
              </w:rPr>
              <w:t>-2LP</w:t>
            </w:r>
          </w:p>
        </w:tc>
        <w:tc>
          <w:tcPr>
            <w:tcW w:w="831" w:type="dxa"/>
            <w:vAlign w:val="center"/>
          </w:tcPr>
          <w:p>
            <w:pPr>
              <w:jc w:val="center"/>
              <w:rPr>
                <w:color w:val="auto"/>
                <w:sz w:val="21"/>
              </w:rPr>
            </w:pPr>
          </w:p>
        </w:tc>
        <w:tc>
          <w:tcPr>
            <w:tcW w:w="831" w:type="dxa"/>
            <w:vAlign w:val="center"/>
          </w:tcPr>
          <w:p>
            <w:pPr>
              <w:jc w:val="center"/>
              <w:rPr>
                <w:color w:val="auto"/>
                <w:sz w:val="21"/>
              </w:rPr>
            </w:pPr>
          </w:p>
        </w:tc>
        <w:tc>
          <w:tcPr>
            <w:tcW w:w="685" w:type="dxa"/>
            <w:vAlign w:val="center"/>
          </w:tcPr>
          <w:p>
            <w:pPr>
              <w:jc w:val="center"/>
              <w:rPr>
                <w:color w:val="auto"/>
                <w:sz w:val="21"/>
              </w:rPr>
            </w:pPr>
            <w:r>
              <w:rPr>
                <w:color w:val="auto"/>
                <w:sz w:val="21"/>
              </w:rPr>
              <w:t>+1LP</w:t>
            </w:r>
          </w:p>
        </w:tc>
        <w:tc>
          <w:tcPr>
            <w:tcW w:w="831" w:type="dxa"/>
            <w:vAlign w:val="center"/>
          </w:tcPr>
          <w:p>
            <w:pPr>
              <w:jc w:val="center"/>
              <w:rPr>
                <w:color w:val="auto"/>
                <w:sz w:val="21"/>
              </w:rPr>
            </w:pPr>
            <w:r>
              <w:rPr>
                <w:color w:val="auto"/>
                <w:sz w:val="21"/>
              </w:rPr>
              <w:t>+2LP</w:t>
            </w:r>
          </w:p>
        </w:tc>
        <w:tc>
          <w:tcPr>
            <w:tcW w:w="837" w:type="dxa"/>
            <w:vAlign w:val="center"/>
          </w:tcPr>
          <w:p>
            <w:pPr>
              <w:jc w:val="center"/>
              <w:rPr>
                <w:color w:val="auto"/>
                <w:sz w:val="21"/>
              </w:rPr>
            </w:pPr>
            <w:r>
              <w:rPr>
                <w:color w:val="auto"/>
                <w:sz w:val="21"/>
              </w:rPr>
              <w:t>-1LP</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112" w:type="dxa"/>
            <w:vAlign w:val="center"/>
          </w:tcPr>
          <w:p>
            <w:pPr>
              <w:jc w:val="center"/>
              <w:rPr>
                <w:bCs/>
                <w:color w:val="auto"/>
                <w:sz w:val="21"/>
              </w:rPr>
            </w:pPr>
            <w:r>
              <w:rPr>
                <w:bCs/>
                <w:color w:val="auto"/>
                <w:sz w:val="21"/>
              </w:rPr>
              <w:t>声环境</w:t>
            </w:r>
          </w:p>
        </w:tc>
        <w:tc>
          <w:tcPr>
            <w:tcW w:w="833" w:type="dxa"/>
            <w:vAlign w:val="center"/>
          </w:tcPr>
          <w:p>
            <w:pPr>
              <w:jc w:val="center"/>
              <w:rPr>
                <w:color w:val="auto"/>
                <w:sz w:val="21"/>
              </w:rPr>
            </w:pPr>
            <w:r>
              <w:rPr>
                <w:color w:val="auto"/>
                <w:sz w:val="21"/>
              </w:rPr>
              <w:t>-2SP</w:t>
            </w:r>
          </w:p>
        </w:tc>
        <w:tc>
          <w:tcPr>
            <w:tcW w:w="831" w:type="dxa"/>
            <w:vAlign w:val="center"/>
          </w:tcPr>
          <w:p>
            <w:pPr>
              <w:jc w:val="center"/>
              <w:rPr>
                <w:color w:val="auto"/>
                <w:sz w:val="21"/>
              </w:rPr>
            </w:pPr>
            <w:r>
              <w:rPr>
                <w:color w:val="auto"/>
                <w:sz w:val="21"/>
              </w:rPr>
              <w:t>-1SP</w:t>
            </w:r>
          </w:p>
        </w:tc>
        <w:tc>
          <w:tcPr>
            <w:tcW w:w="833" w:type="dxa"/>
            <w:vAlign w:val="center"/>
          </w:tcPr>
          <w:p>
            <w:pPr>
              <w:jc w:val="center"/>
              <w:rPr>
                <w:color w:val="auto"/>
                <w:sz w:val="21"/>
              </w:rPr>
            </w:pPr>
            <w:r>
              <w:rPr>
                <w:color w:val="auto"/>
                <w:sz w:val="21"/>
              </w:rPr>
              <w:t>-2SP</w:t>
            </w:r>
          </w:p>
        </w:tc>
        <w:tc>
          <w:tcPr>
            <w:tcW w:w="831" w:type="dxa"/>
            <w:vAlign w:val="center"/>
          </w:tcPr>
          <w:p>
            <w:pPr>
              <w:jc w:val="center"/>
              <w:rPr>
                <w:color w:val="auto"/>
                <w:sz w:val="21"/>
              </w:rPr>
            </w:pPr>
          </w:p>
        </w:tc>
        <w:tc>
          <w:tcPr>
            <w:tcW w:w="831" w:type="dxa"/>
            <w:vAlign w:val="center"/>
          </w:tcPr>
          <w:p>
            <w:pPr>
              <w:jc w:val="center"/>
              <w:rPr>
                <w:color w:val="auto"/>
                <w:sz w:val="21"/>
              </w:rPr>
            </w:pPr>
          </w:p>
        </w:tc>
        <w:tc>
          <w:tcPr>
            <w:tcW w:w="831" w:type="dxa"/>
            <w:vAlign w:val="center"/>
          </w:tcPr>
          <w:p>
            <w:pPr>
              <w:jc w:val="center"/>
              <w:rPr>
                <w:color w:val="auto"/>
                <w:sz w:val="21"/>
              </w:rPr>
            </w:pPr>
          </w:p>
        </w:tc>
        <w:tc>
          <w:tcPr>
            <w:tcW w:w="831" w:type="dxa"/>
            <w:vAlign w:val="center"/>
          </w:tcPr>
          <w:p>
            <w:pPr>
              <w:jc w:val="center"/>
              <w:rPr>
                <w:color w:val="auto"/>
                <w:sz w:val="21"/>
              </w:rPr>
            </w:pPr>
          </w:p>
        </w:tc>
        <w:tc>
          <w:tcPr>
            <w:tcW w:w="685" w:type="dxa"/>
            <w:vAlign w:val="center"/>
          </w:tcPr>
          <w:p>
            <w:pPr>
              <w:jc w:val="center"/>
              <w:rPr>
                <w:color w:val="auto"/>
                <w:sz w:val="21"/>
              </w:rPr>
            </w:pPr>
            <w:r>
              <w:rPr>
                <w:color w:val="auto"/>
                <w:sz w:val="21"/>
              </w:rPr>
              <w:t>+1LP</w:t>
            </w:r>
          </w:p>
        </w:tc>
        <w:tc>
          <w:tcPr>
            <w:tcW w:w="831" w:type="dxa"/>
            <w:vAlign w:val="center"/>
          </w:tcPr>
          <w:p>
            <w:pPr>
              <w:jc w:val="center"/>
              <w:rPr>
                <w:color w:val="auto"/>
                <w:sz w:val="21"/>
              </w:rPr>
            </w:pPr>
          </w:p>
        </w:tc>
        <w:tc>
          <w:tcPr>
            <w:tcW w:w="837" w:type="dxa"/>
            <w:vAlign w:val="center"/>
          </w:tcPr>
          <w:p>
            <w:pPr>
              <w:jc w:val="center"/>
              <w:rPr>
                <w:color w:val="auto"/>
                <w:sz w:val="21"/>
              </w:rPr>
            </w:pPr>
            <w:r>
              <w:rPr>
                <w:color w:val="auto"/>
                <w:sz w:val="21"/>
              </w:rPr>
              <w:t>-2LP</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112" w:type="dxa"/>
            <w:vAlign w:val="center"/>
          </w:tcPr>
          <w:p>
            <w:pPr>
              <w:jc w:val="center"/>
              <w:rPr>
                <w:bCs/>
                <w:color w:val="auto"/>
                <w:sz w:val="21"/>
              </w:rPr>
            </w:pPr>
            <w:r>
              <w:rPr>
                <w:bCs/>
                <w:color w:val="auto"/>
                <w:sz w:val="21"/>
              </w:rPr>
              <w:t>土壤</w:t>
            </w:r>
          </w:p>
        </w:tc>
        <w:tc>
          <w:tcPr>
            <w:tcW w:w="833" w:type="dxa"/>
            <w:vAlign w:val="center"/>
          </w:tcPr>
          <w:p>
            <w:pPr>
              <w:jc w:val="center"/>
              <w:rPr>
                <w:color w:val="auto"/>
                <w:sz w:val="21"/>
              </w:rPr>
            </w:pPr>
            <w:r>
              <w:rPr>
                <w:color w:val="auto"/>
                <w:sz w:val="21"/>
              </w:rPr>
              <w:t>-1LP</w:t>
            </w:r>
          </w:p>
        </w:tc>
        <w:tc>
          <w:tcPr>
            <w:tcW w:w="831" w:type="dxa"/>
            <w:vAlign w:val="center"/>
          </w:tcPr>
          <w:p>
            <w:pPr>
              <w:jc w:val="center"/>
              <w:rPr>
                <w:color w:val="auto"/>
                <w:sz w:val="21"/>
              </w:rPr>
            </w:pPr>
          </w:p>
        </w:tc>
        <w:tc>
          <w:tcPr>
            <w:tcW w:w="833" w:type="dxa"/>
            <w:vAlign w:val="center"/>
          </w:tcPr>
          <w:p>
            <w:pPr>
              <w:jc w:val="center"/>
              <w:rPr>
                <w:color w:val="auto"/>
                <w:sz w:val="21"/>
              </w:rPr>
            </w:pPr>
          </w:p>
        </w:tc>
        <w:tc>
          <w:tcPr>
            <w:tcW w:w="831" w:type="dxa"/>
            <w:vAlign w:val="center"/>
          </w:tcPr>
          <w:p>
            <w:pPr>
              <w:jc w:val="center"/>
              <w:rPr>
                <w:color w:val="auto"/>
                <w:sz w:val="21"/>
              </w:rPr>
            </w:pPr>
          </w:p>
        </w:tc>
        <w:tc>
          <w:tcPr>
            <w:tcW w:w="831" w:type="dxa"/>
            <w:vAlign w:val="center"/>
          </w:tcPr>
          <w:p>
            <w:pPr>
              <w:jc w:val="center"/>
              <w:rPr>
                <w:color w:val="auto"/>
                <w:sz w:val="21"/>
              </w:rPr>
            </w:pPr>
            <w:r>
              <w:rPr>
                <w:color w:val="auto"/>
                <w:sz w:val="21"/>
              </w:rPr>
              <w:t>-1LP</w:t>
            </w:r>
          </w:p>
        </w:tc>
        <w:tc>
          <w:tcPr>
            <w:tcW w:w="831" w:type="dxa"/>
            <w:vAlign w:val="center"/>
          </w:tcPr>
          <w:p>
            <w:pPr>
              <w:jc w:val="center"/>
              <w:rPr>
                <w:color w:val="auto"/>
                <w:sz w:val="21"/>
              </w:rPr>
            </w:pPr>
            <w:r>
              <w:rPr>
                <w:color w:val="auto"/>
                <w:sz w:val="21"/>
              </w:rPr>
              <w:t>-1LP</w:t>
            </w:r>
          </w:p>
        </w:tc>
        <w:tc>
          <w:tcPr>
            <w:tcW w:w="831" w:type="dxa"/>
            <w:vAlign w:val="center"/>
          </w:tcPr>
          <w:p>
            <w:pPr>
              <w:jc w:val="center"/>
              <w:rPr>
                <w:color w:val="auto"/>
                <w:sz w:val="21"/>
              </w:rPr>
            </w:pPr>
            <w:r>
              <w:rPr>
                <w:color w:val="auto"/>
                <w:sz w:val="21"/>
              </w:rPr>
              <w:t>-1LP</w:t>
            </w:r>
          </w:p>
        </w:tc>
        <w:tc>
          <w:tcPr>
            <w:tcW w:w="685" w:type="dxa"/>
            <w:vAlign w:val="center"/>
          </w:tcPr>
          <w:p>
            <w:pPr>
              <w:jc w:val="center"/>
              <w:rPr>
                <w:color w:val="auto"/>
                <w:sz w:val="21"/>
              </w:rPr>
            </w:pPr>
          </w:p>
        </w:tc>
        <w:tc>
          <w:tcPr>
            <w:tcW w:w="831" w:type="dxa"/>
            <w:vAlign w:val="center"/>
          </w:tcPr>
          <w:p>
            <w:pPr>
              <w:jc w:val="center"/>
              <w:rPr>
                <w:color w:val="auto"/>
                <w:sz w:val="21"/>
              </w:rPr>
            </w:pPr>
            <w:r>
              <w:rPr>
                <w:color w:val="auto"/>
                <w:sz w:val="21"/>
              </w:rPr>
              <w:t>+3LP</w:t>
            </w:r>
          </w:p>
        </w:tc>
        <w:tc>
          <w:tcPr>
            <w:tcW w:w="837" w:type="dxa"/>
            <w:vAlign w:val="center"/>
          </w:tcPr>
          <w:p>
            <w:pPr>
              <w:jc w:val="center"/>
              <w:rPr>
                <w:color w:val="auto"/>
                <w:sz w:val="21"/>
              </w:rPr>
            </w:pP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112" w:type="dxa"/>
            <w:vAlign w:val="center"/>
          </w:tcPr>
          <w:p>
            <w:pPr>
              <w:jc w:val="center"/>
              <w:rPr>
                <w:bCs/>
                <w:color w:val="auto"/>
                <w:sz w:val="21"/>
              </w:rPr>
            </w:pPr>
            <w:r>
              <w:rPr>
                <w:bCs/>
                <w:color w:val="auto"/>
                <w:sz w:val="21"/>
              </w:rPr>
              <w:t>植被</w:t>
            </w:r>
          </w:p>
        </w:tc>
        <w:tc>
          <w:tcPr>
            <w:tcW w:w="833" w:type="dxa"/>
            <w:vAlign w:val="center"/>
          </w:tcPr>
          <w:p>
            <w:pPr>
              <w:jc w:val="center"/>
              <w:rPr>
                <w:color w:val="auto"/>
                <w:sz w:val="21"/>
              </w:rPr>
            </w:pPr>
            <w:r>
              <w:rPr>
                <w:color w:val="auto"/>
                <w:sz w:val="21"/>
              </w:rPr>
              <w:t>-2LP</w:t>
            </w:r>
          </w:p>
        </w:tc>
        <w:tc>
          <w:tcPr>
            <w:tcW w:w="831" w:type="dxa"/>
            <w:vAlign w:val="center"/>
          </w:tcPr>
          <w:p>
            <w:pPr>
              <w:jc w:val="center"/>
              <w:rPr>
                <w:color w:val="auto"/>
                <w:sz w:val="21"/>
              </w:rPr>
            </w:pPr>
          </w:p>
        </w:tc>
        <w:tc>
          <w:tcPr>
            <w:tcW w:w="833" w:type="dxa"/>
            <w:vAlign w:val="center"/>
          </w:tcPr>
          <w:p>
            <w:pPr>
              <w:jc w:val="center"/>
              <w:rPr>
                <w:color w:val="auto"/>
                <w:sz w:val="21"/>
              </w:rPr>
            </w:pPr>
          </w:p>
        </w:tc>
        <w:tc>
          <w:tcPr>
            <w:tcW w:w="831" w:type="dxa"/>
            <w:vAlign w:val="center"/>
          </w:tcPr>
          <w:p>
            <w:pPr>
              <w:jc w:val="center"/>
              <w:rPr>
                <w:color w:val="auto"/>
                <w:sz w:val="21"/>
              </w:rPr>
            </w:pPr>
          </w:p>
        </w:tc>
        <w:tc>
          <w:tcPr>
            <w:tcW w:w="831" w:type="dxa"/>
            <w:vAlign w:val="center"/>
          </w:tcPr>
          <w:p>
            <w:pPr>
              <w:jc w:val="center"/>
              <w:rPr>
                <w:color w:val="auto"/>
                <w:sz w:val="21"/>
              </w:rPr>
            </w:pPr>
          </w:p>
        </w:tc>
        <w:tc>
          <w:tcPr>
            <w:tcW w:w="831" w:type="dxa"/>
            <w:vAlign w:val="center"/>
          </w:tcPr>
          <w:p>
            <w:pPr>
              <w:jc w:val="center"/>
              <w:rPr>
                <w:color w:val="auto"/>
                <w:sz w:val="21"/>
              </w:rPr>
            </w:pPr>
            <w:r>
              <w:rPr>
                <w:color w:val="auto"/>
                <w:sz w:val="21"/>
              </w:rPr>
              <w:t>-1LP</w:t>
            </w:r>
          </w:p>
        </w:tc>
        <w:tc>
          <w:tcPr>
            <w:tcW w:w="831" w:type="dxa"/>
            <w:vAlign w:val="center"/>
          </w:tcPr>
          <w:p>
            <w:pPr>
              <w:jc w:val="center"/>
              <w:rPr>
                <w:color w:val="auto"/>
                <w:sz w:val="21"/>
              </w:rPr>
            </w:pPr>
          </w:p>
        </w:tc>
        <w:tc>
          <w:tcPr>
            <w:tcW w:w="685" w:type="dxa"/>
            <w:vAlign w:val="center"/>
          </w:tcPr>
          <w:p>
            <w:pPr>
              <w:jc w:val="center"/>
              <w:rPr>
                <w:color w:val="auto"/>
                <w:sz w:val="21"/>
              </w:rPr>
            </w:pPr>
            <w:r>
              <w:rPr>
                <w:color w:val="auto"/>
                <w:sz w:val="21"/>
              </w:rPr>
              <w:t>+1LP</w:t>
            </w:r>
          </w:p>
        </w:tc>
        <w:tc>
          <w:tcPr>
            <w:tcW w:w="831" w:type="dxa"/>
            <w:vAlign w:val="center"/>
          </w:tcPr>
          <w:p>
            <w:pPr>
              <w:jc w:val="center"/>
              <w:rPr>
                <w:color w:val="auto"/>
                <w:sz w:val="21"/>
              </w:rPr>
            </w:pPr>
            <w:r>
              <w:rPr>
                <w:color w:val="auto"/>
                <w:sz w:val="21"/>
              </w:rPr>
              <w:t>+1LP</w:t>
            </w:r>
          </w:p>
        </w:tc>
        <w:tc>
          <w:tcPr>
            <w:tcW w:w="837" w:type="dxa"/>
            <w:vAlign w:val="center"/>
          </w:tcPr>
          <w:p>
            <w:pPr>
              <w:jc w:val="center"/>
              <w:rPr>
                <w:color w:val="auto"/>
                <w:sz w:val="21"/>
              </w:rPr>
            </w:pP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112" w:type="dxa"/>
            <w:vAlign w:val="center"/>
          </w:tcPr>
          <w:p>
            <w:pPr>
              <w:jc w:val="center"/>
              <w:rPr>
                <w:bCs/>
                <w:color w:val="auto"/>
                <w:sz w:val="21"/>
              </w:rPr>
            </w:pPr>
            <w:r>
              <w:rPr>
                <w:bCs/>
                <w:color w:val="auto"/>
                <w:sz w:val="21"/>
              </w:rPr>
              <w:t>人群健康</w:t>
            </w:r>
          </w:p>
        </w:tc>
        <w:tc>
          <w:tcPr>
            <w:tcW w:w="833" w:type="dxa"/>
            <w:vAlign w:val="center"/>
          </w:tcPr>
          <w:p>
            <w:pPr>
              <w:jc w:val="center"/>
              <w:rPr>
                <w:color w:val="auto"/>
                <w:sz w:val="21"/>
              </w:rPr>
            </w:pPr>
            <w:r>
              <w:rPr>
                <w:color w:val="auto"/>
                <w:sz w:val="21"/>
              </w:rPr>
              <w:t>-1SP</w:t>
            </w:r>
          </w:p>
        </w:tc>
        <w:tc>
          <w:tcPr>
            <w:tcW w:w="831" w:type="dxa"/>
            <w:vAlign w:val="center"/>
          </w:tcPr>
          <w:p>
            <w:pPr>
              <w:jc w:val="center"/>
              <w:rPr>
                <w:color w:val="auto"/>
                <w:sz w:val="21"/>
              </w:rPr>
            </w:pPr>
          </w:p>
        </w:tc>
        <w:tc>
          <w:tcPr>
            <w:tcW w:w="833" w:type="dxa"/>
            <w:vAlign w:val="center"/>
          </w:tcPr>
          <w:p>
            <w:pPr>
              <w:jc w:val="center"/>
              <w:rPr>
                <w:color w:val="auto"/>
                <w:sz w:val="21"/>
              </w:rPr>
            </w:pPr>
          </w:p>
        </w:tc>
        <w:tc>
          <w:tcPr>
            <w:tcW w:w="831" w:type="dxa"/>
            <w:vAlign w:val="center"/>
          </w:tcPr>
          <w:p>
            <w:pPr>
              <w:jc w:val="center"/>
              <w:rPr>
                <w:color w:val="auto"/>
                <w:sz w:val="21"/>
              </w:rPr>
            </w:pPr>
          </w:p>
        </w:tc>
        <w:tc>
          <w:tcPr>
            <w:tcW w:w="831" w:type="dxa"/>
            <w:vAlign w:val="center"/>
          </w:tcPr>
          <w:p>
            <w:pPr>
              <w:jc w:val="center"/>
              <w:rPr>
                <w:color w:val="auto"/>
                <w:sz w:val="21"/>
              </w:rPr>
            </w:pPr>
            <w:r>
              <w:rPr>
                <w:color w:val="auto"/>
                <w:sz w:val="21"/>
              </w:rPr>
              <w:t>-1LP</w:t>
            </w:r>
          </w:p>
        </w:tc>
        <w:tc>
          <w:tcPr>
            <w:tcW w:w="831" w:type="dxa"/>
            <w:vAlign w:val="center"/>
          </w:tcPr>
          <w:p>
            <w:pPr>
              <w:jc w:val="center"/>
              <w:rPr>
                <w:color w:val="auto"/>
                <w:sz w:val="21"/>
              </w:rPr>
            </w:pPr>
            <w:r>
              <w:rPr>
                <w:color w:val="auto"/>
                <w:sz w:val="21"/>
              </w:rPr>
              <w:t>-1LP</w:t>
            </w:r>
          </w:p>
        </w:tc>
        <w:tc>
          <w:tcPr>
            <w:tcW w:w="831" w:type="dxa"/>
            <w:vAlign w:val="center"/>
          </w:tcPr>
          <w:p>
            <w:pPr>
              <w:jc w:val="center"/>
              <w:rPr>
                <w:color w:val="auto"/>
                <w:sz w:val="21"/>
              </w:rPr>
            </w:pPr>
            <w:r>
              <w:rPr>
                <w:color w:val="auto"/>
                <w:sz w:val="21"/>
              </w:rPr>
              <w:t>-1LP</w:t>
            </w:r>
          </w:p>
        </w:tc>
        <w:tc>
          <w:tcPr>
            <w:tcW w:w="685" w:type="dxa"/>
            <w:vAlign w:val="center"/>
          </w:tcPr>
          <w:p>
            <w:pPr>
              <w:jc w:val="center"/>
              <w:rPr>
                <w:color w:val="auto"/>
                <w:sz w:val="21"/>
              </w:rPr>
            </w:pPr>
            <w:r>
              <w:rPr>
                <w:color w:val="auto"/>
                <w:sz w:val="21"/>
              </w:rPr>
              <w:t>+1LP</w:t>
            </w:r>
          </w:p>
        </w:tc>
        <w:tc>
          <w:tcPr>
            <w:tcW w:w="831" w:type="dxa"/>
            <w:vAlign w:val="center"/>
          </w:tcPr>
          <w:p>
            <w:pPr>
              <w:jc w:val="center"/>
              <w:rPr>
                <w:color w:val="auto"/>
                <w:sz w:val="21"/>
              </w:rPr>
            </w:pPr>
            <w:r>
              <w:rPr>
                <w:color w:val="auto"/>
                <w:sz w:val="21"/>
              </w:rPr>
              <w:t>+2LP</w:t>
            </w:r>
          </w:p>
        </w:tc>
        <w:tc>
          <w:tcPr>
            <w:tcW w:w="837" w:type="dxa"/>
            <w:vAlign w:val="center"/>
          </w:tcPr>
          <w:p>
            <w:pPr>
              <w:jc w:val="center"/>
              <w:rPr>
                <w:color w:val="auto"/>
                <w:sz w:val="21"/>
              </w:rPr>
            </w:pP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9286" w:type="dxa"/>
            <w:gridSpan w:val="11"/>
            <w:tcBorders>
              <w:bottom w:val="single" w:color="auto" w:sz="12" w:space="0"/>
            </w:tcBorders>
            <w:vAlign w:val="center"/>
          </w:tcPr>
          <w:p>
            <w:pPr>
              <w:jc w:val="center"/>
              <w:rPr>
                <w:color w:val="auto"/>
                <w:sz w:val="21"/>
              </w:rPr>
            </w:pPr>
            <w:r>
              <w:rPr>
                <w:color w:val="auto"/>
                <w:sz w:val="21"/>
              </w:rPr>
              <w:t>备注：影响程度： 1—轻微； 2—一般； 3—显著    影响范围； P—局部； W—大范围影响时段：</w:t>
            </w:r>
          </w:p>
          <w:p>
            <w:pPr>
              <w:jc w:val="center"/>
              <w:rPr>
                <w:color w:val="auto"/>
                <w:sz w:val="21"/>
              </w:rPr>
            </w:pPr>
            <w:r>
              <w:rPr>
                <w:color w:val="auto"/>
                <w:sz w:val="21"/>
              </w:rPr>
              <w:t>S—短期；L—长期 影响性质： +—有利 - —不利</w:t>
            </w:r>
          </w:p>
        </w:tc>
      </w:tr>
    </w:tbl>
    <w:p>
      <w:pPr>
        <w:keepNext/>
        <w:spacing w:before="163" w:beforeLines="50" w:after="163" w:afterLines="50"/>
        <w:outlineLvl w:val="2"/>
        <w:rPr>
          <w:b/>
          <w:bCs/>
          <w:color w:val="auto"/>
          <w:szCs w:val="26"/>
        </w:rPr>
      </w:pPr>
      <w:bookmarkStart w:id="129" w:name="_Toc24136717"/>
      <w:bookmarkStart w:id="130" w:name="_Toc8518"/>
      <w:bookmarkStart w:id="131" w:name="_Toc14946813"/>
      <w:bookmarkStart w:id="132" w:name="_Toc15912105"/>
      <w:r>
        <w:rPr>
          <w:b/>
          <w:bCs/>
          <w:color w:val="auto"/>
          <w:szCs w:val="26"/>
        </w:rPr>
        <w:t>2.5.2主要评价因子</w:t>
      </w:r>
      <w:bookmarkEnd w:id="129"/>
      <w:bookmarkEnd w:id="130"/>
      <w:bookmarkEnd w:id="131"/>
      <w:bookmarkEnd w:id="132"/>
    </w:p>
    <w:p>
      <w:pPr>
        <w:spacing w:line="360" w:lineRule="auto"/>
        <w:ind w:firstLine="480"/>
        <w:rPr>
          <w:color w:val="auto"/>
        </w:rPr>
      </w:pPr>
      <w:r>
        <w:rPr>
          <w:color w:val="auto"/>
        </w:rPr>
        <w:t>本项目环境评价因子见下表。</w:t>
      </w:r>
    </w:p>
    <w:p>
      <w:pPr>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2.5</w:t>
      </w:r>
      <w:r>
        <w:rPr>
          <w:b/>
          <w:color w:val="auto"/>
        </w:rPr>
        <w:fldChar w:fldCharType="end"/>
      </w:r>
      <w:r>
        <w:rPr>
          <w:b/>
          <w:color w:val="auto"/>
        </w:rPr>
        <w:noBreakHyphen/>
      </w:r>
      <w:r>
        <w:rPr>
          <w:b/>
          <w:color w:val="auto"/>
        </w:rPr>
        <w:fldChar w:fldCharType="begin"/>
      </w:r>
      <w:r>
        <w:rPr>
          <w:b/>
          <w:color w:val="auto"/>
        </w:rPr>
        <w:instrText xml:space="preserve"> SEQ 表 \* ARABIC \s 2 </w:instrText>
      </w:r>
      <w:r>
        <w:rPr>
          <w:b/>
          <w:color w:val="auto"/>
        </w:rPr>
        <w:fldChar w:fldCharType="separate"/>
      </w:r>
      <w:r>
        <w:rPr>
          <w:b/>
          <w:color w:val="auto"/>
        </w:rPr>
        <w:t>2</w:t>
      </w:r>
      <w:r>
        <w:rPr>
          <w:b/>
          <w:color w:val="auto"/>
        </w:rPr>
        <w:fldChar w:fldCharType="end"/>
      </w:r>
      <w:r>
        <w:rPr>
          <w:b/>
          <w:color w:val="auto"/>
        </w:rPr>
        <w:t xml:space="preserve">   环境评价因子</w:t>
      </w:r>
    </w:p>
    <w:tbl>
      <w:tblPr>
        <w:tblStyle w:val="53"/>
        <w:tblW w:w="9286" w:type="dxa"/>
        <w:jc w:val="center"/>
        <w:tblInd w:w="0" w:type="dxa"/>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27"/>
        <w:gridCol w:w="674"/>
        <w:gridCol w:w="3969"/>
        <w:gridCol w:w="2693"/>
        <w:gridCol w:w="1523"/>
      </w:tblGrid>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427" w:type="dxa"/>
            <w:tcBorders>
              <w:top w:val="single" w:color="auto" w:sz="12" w:space="0"/>
            </w:tcBorders>
            <w:vAlign w:val="center"/>
          </w:tcPr>
          <w:p>
            <w:pPr>
              <w:adjustRightInd w:val="0"/>
              <w:snapToGrid w:val="0"/>
              <w:jc w:val="center"/>
              <w:rPr>
                <w:b/>
                <w:color w:val="auto"/>
                <w:sz w:val="21"/>
                <w:szCs w:val="21"/>
              </w:rPr>
            </w:pPr>
            <w:r>
              <w:rPr>
                <w:b/>
                <w:color w:val="auto"/>
                <w:sz w:val="21"/>
                <w:szCs w:val="21"/>
              </w:rPr>
              <w:t>时段</w:t>
            </w:r>
          </w:p>
        </w:tc>
        <w:tc>
          <w:tcPr>
            <w:tcW w:w="674" w:type="dxa"/>
            <w:tcBorders>
              <w:top w:val="single" w:color="auto" w:sz="12" w:space="0"/>
            </w:tcBorders>
            <w:vAlign w:val="center"/>
          </w:tcPr>
          <w:p>
            <w:pPr>
              <w:adjustRightInd w:val="0"/>
              <w:snapToGrid w:val="0"/>
              <w:jc w:val="center"/>
              <w:rPr>
                <w:b/>
                <w:color w:val="auto"/>
                <w:sz w:val="21"/>
                <w:szCs w:val="21"/>
              </w:rPr>
            </w:pPr>
            <w:r>
              <w:rPr>
                <w:b/>
                <w:color w:val="auto"/>
                <w:sz w:val="21"/>
                <w:szCs w:val="21"/>
              </w:rPr>
              <w:t>项目</w:t>
            </w:r>
          </w:p>
        </w:tc>
        <w:tc>
          <w:tcPr>
            <w:tcW w:w="3969" w:type="dxa"/>
            <w:tcBorders>
              <w:top w:val="single" w:color="auto" w:sz="12" w:space="0"/>
            </w:tcBorders>
            <w:vAlign w:val="center"/>
          </w:tcPr>
          <w:p>
            <w:pPr>
              <w:adjustRightInd w:val="0"/>
              <w:snapToGrid w:val="0"/>
              <w:jc w:val="center"/>
              <w:rPr>
                <w:b/>
                <w:color w:val="auto"/>
                <w:sz w:val="21"/>
                <w:szCs w:val="21"/>
              </w:rPr>
            </w:pPr>
            <w:r>
              <w:rPr>
                <w:b/>
                <w:color w:val="auto"/>
                <w:sz w:val="21"/>
                <w:szCs w:val="21"/>
              </w:rPr>
              <w:t>现状评价因子</w:t>
            </w:r>
          </w:p>
        </w:tc>
        <w:tc>
          <w:tcPr>
            <w:tcW w:w="2693" w:type="dxa"/>
            <w:tcBorders>
              <w:top w:val="single" w:color="auto" w:sz="12" w:space="0"/>
            </w:tcBorders>
            <w:vAlign w:val="center"/>
          </w:tcPr>
          <w:p>
            <w:pPr>
              <w:adjustRightInd w:val="0"/>
              <w:snapToGrid w:val="0"/>
              <w:jc w:val="center"/>
              <w:rPr>
                <w:b/>
                <w:color w:val="auto"/>
                <w:sz w:val="21"/>
                <w:szCs w:val="21"/>
              </w:rPr>
            </w:pPr>
            <w:r>
              <w:rPr>
                <w:b/>
                <w:color w:val="auto"/>
                <w:sz w:val="21"/>
                <w:szCs w:val="21"/>
              </w:rPr>
              <w:t>影响评价（分析）因子</w:t>
            </w:r>
          </w:p>
        </w:tc>
        <w:tc>
          <w:tcPr>
            <w:tcW w:w="1523" w:type="dxa"/>
            <w:tcBorders>
              <w:top w:val="single" w:color="auto" w:sz="12" w:space="0"/>
            </w:tcBorders>
            <w:vAlign w:val="center"/>
          </w:tcPr>
          <w:p>
            <w:pPr>
              <w:adjustRightInd w:val="0"/>
              <w:snapToGrid w:val="0"/>
              <w:jc w:val="center"/>
              <w:rPr>
                <w:b/>
                <w:color w:val="auto"/>
                <w:sz w:val="21"/>
                <w:szCs w:val="21"/>
              </w:rPr>
            </w:pPr>
            <w:r>
              <w:rPr>
                <w:b/>
                <w:color w:val="auto"/>
                <w:sz w:val="21"/>
                <w:szCs w:val="21"/>
              </w:rPr>
              <w:t>总量控制因子</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427" w:type="dxa"/>
            <w:vMerge w:val="restart"/>
            <w:vAlign w:val="center"/>
          </w:tcPr>
          <w:p>
            <w:pPr>
              <w:adjustRightInd w:val="0"/>
              <w:snapToGrid w:val="0"/>
              <w:jc w:val="center"/>
              <w:rPr>
                <w:color w:val="auto"/>
                <w:sz w:val="21"/>
                <w:szCs w:val="21"/>
              </w:rPr>
            </w:pPr>
            <w:r>
              <w:rPr>
                <w:color w:val="auto"/>
                <w:sz w:val="21"/>
                <w:szCs w:val="21"/>
              </w:rPr>
              <w:t>施工期</w:t>
            </w:r>
          </w:p>
        </w:tc>
        <w:tc>
          <w:tcPr>
            <w:tcW w:w="674" w:type="dxa"/>
            <w:vAlign w:val="center"/>
          </w:tcPr>
          <w:p>
            <w:pPr>
              <w:adjustRightInd w:val="0"/>
              <w:snapToGrid w:val="0"/>
              <w:jc w:val="center"/>
              <w:rPr>
                <w:color w:val="auto"/>
                <w:sz w:val="21"/>
                <w:szCs w:val="21"/>
              </w:rPr>
            </w:pPr>
            <w:r>
              <w:rPr>
                <w:color w:val="auto"/>
                <w:sz w:val="21"/>
                <w:szCs w:val="21"/>
              </w:rPr>
              <w:t>废气</w:t>
            </w:r>
          </w:p>
        </w:tc>
        <w:tc>
          <w:tcPr>
            <w:tcW w:w="3969" w:type="dxa"/>
            <w:vAlign w:val="center"/>
          </w:tcPr>
          <w:p>
            <w:pPr>
              <w:adjustRightInd w:val="0"/>
              <w:snapToGrid w:val="0"/>
              <w:jc w:val="center"/>
              <w:rPr>
                <w:color w:val="auto"/>
                <w:sz w:val="21"/>
                <w:szCs w:val="21"/>
              </w:rPr>
            </w:pPr>
            <w:r>
              <w:rPr>
                <w:color w:val="auto"/>
                <w:sz w:val="21"/>
                <w:szCs w:val="21"/>
              </w:rPr>
              <w:t>/</w:t>
            </w:r>
          </w:p>
        </w:tc>
        <w:tc>
          <w:tcPr>
            <w:tcW w:w="2693" w:type="dxa"/>
            <w:vAlign w:val="center"/>
          </w:tcPr>
          <w:p>
            <w:pPr>
              <w:adjustRightInd w:val="0"/>
              <w:snapToGrid w:val="0"/>
              <w:jc w:val="center"/>
              <w:rPr>
                <w:color w:val="auto"/>
                <w:sz w:val="21"/>
                <w:szCs w:val="21"/>
              </w:rPr>
            </w:pPr>
            <w:r>
              <w:rPr>
                <w:color w:val="auto"/>
                <w:sz w:val="21"/>
                <w:szCs w:val="21"/>
              </w:rPr>
              <w:t>TSP、CO、NOx</w:t>
            </w:r>
          </w:p>
        </w:tc>
        <w:tc>
          <w:tcPr>
            <w:tcW w:w="1523" w:type="dxa"/>
            <w:vAlign w:val="center"/>
          </w:tcPr>
          <w:p>
            <w:pPr>
              <w:adjustRightInd w:val="0"/>
              <w:snapToGrid w:val="0"/>
              <w:jc w:val="center"/>
              <w:rPr>
                <w:color w:val="auto"/>
                <w:sz w:val="21"/>
                <w:szCs w:val="21"/>
              </w:rPr>
            </w:pPr>
            <w:r>
              <w:rPr>
                <w:color w:val="auto"/>
                <w:sz w:val="21"/>
                <w:szCs w:val="21"/>
              </w:rPr>
              <w:t>/</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427" w:type="dxa"/>
            <w:vMerge w:val="continue"/>
            <w:vAlign w:val="center"/>
          </w:tcPr>
          <w:p>
            <w:pPr>
              <w:adjustRightInd w:val="0"/>
              <w:snapToGrid w:val="0"/>
              <w:jc w:val="center"/>
              <w:rPr>
                <w:color w:val="auto"/>
                <w:sz w:val="21"/>
                <w:szCs w:val="21"/>
              </w:rPr>
            </w:pPr>
          </w:p>
        </w:tc>
        <w:tc>
          <w:tcPr>
            <w:tcW w:w="674" w:type="dxa"/>
            <w:vAlign w:val="center"/>
          </w:tcPr>
          <w:p>
            <w:pPr>
              <w:adjustRightInd w:val="0"/>
              <w:snapToGrid w:val="0"/>
              <w:jc w:val="center"/>
              <w:rPr>
                <w:color w:val="auto"/>
                <w:sz w:val="21"/>
                <w:szCs w:val="21"/>
              </w:rPr>
            </w:pPr>
            <w:r>
              <w:rPr>
                <w:color w:val="auto"/>
                <w:sz w:val="21"/>
                <w:szCs w:val="21"/>
              </w:rPr>
              <w:t>废水</w:t>
            </w:r>
          </w:p>
        </w:tc>
        <w:tc>
          <w:tcPr>
            <w:tcW w:w="3969" w:type="dxa"/>
            <w:vAlign w:val="center"/>
          </w:tcPr>
          <w:p>
            <w:pPr>
              <w:adjustRightInd w:val="0"/>
              <w:snapToGrid w:val="0"/>
              <w:jc w:val="center"/>
              <w:rPr>
                <w:color w:val="auto"/>
                <w:sz w:val="21"/>
                <w:szCs w:val="21"/>
              </w:rPr>
            </w:pPr>
            <w:r>
              <w:rPr>
                <w:color w:val="auto"/>
                <w:sz w:val="21"/>
                <w:szCs w:val="21"/>
              </w:rPr>
              <w:t>/</w:t>
            </w:r>
          </w:p>
        </w:tc>
        <w:tc>
          <w:tcPr>
            <w:tcW w:w="2693" w:type="dxa"/>
            <w:vAlign w:val="center"/>
          </w:tcPr>
          <w:p>
            <w:pPr>
              <w:adjustRightInd w:val="0"/>
              <w:snapToGrid w:val="0"/>
              <w:jc w:val="center"/>
              <w:rPr>
                <w:color w:val="auto"/>
                <w:sz w:val="21"/>
                <w:szCs w:val="21"/>
              </w:rPr>
            </w:pPr>
            <w:r>
              <w:rPr>
                <w:color w:val="auto"/>
                <w:sz w:val="21"/>
                <w:szCs w:val="21"/>
              </w:rPr>
              <w:t>COD、BOD</w:t>
            </w:r>
            <w:r>
              <w:rPr>
                <w:color w:val="auto"/>
                <w:sz w:val="21"/>
                <w:szCs w:val="21"/>
                <w:vertAlign w:val="subscript"/>
              </w:rPr>
              <w:t>5</w:t>
            </w:r>
            <w:r>
              <w:rPr>
                <w:color w:val="auto"/>
                <w:sz w:val="21"/>
                <w:szCs w:val="21"/>
              </w:rPr>
              <w:t>、NH</w:t>
            </w:r>
            <w:r>
              <w:rPr>
                <w:color w:val="auto"/>
                <w:sz w:val="21"/>
                <w:szCs w:val="21"/>
                <w:vertAlign w:val="subscript"/>
              </w:rPr>
              <w:t>3</w:t>
            </w:r>
            <w:r>
              <w:rPr>
                <w:color w:val="auto"/>
                <w:sz w:val="21"/>
                <w:szCs w:val="21"/>
              </w:rPr>
              <w:t>-N、SS</w:t>
            </w:r>
          </w:p>
        </w:tc>
        <w:tc>
          <w:tcPr>
            <w:tcW w:w="1523" w:type="dxa"/>
            <w:vAlign w:val="center"/>
          </w:tcPr>
          <w:p>
            <w:pPr>
              <w:adjustRightInd w:val="0"/>
              <w:snapToGrid w:val="0"/>
              <w:jc w:val="center"/>
              <w:rPr>
                <w:color w:val="auto"/>
                <w:sz w:val="21"/>
                <w:szCs w:val="21"/>
              </w:rPr>
            </w:pPr>
            <w:r>
              <w:rPr>
                <w:color w:val="auto"/>
                <w:sz w:val="21"/>
                <w:szCs w:val="21"/>
              </w:rPr>
              <w:t>/</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427" w:type="dxa"/>
            <w:vMerge w:val="continue"/>
            <w:vAlign w:val="center"/>
          </w:tcPr>
          <w:p>
            <w:pPr>
              <w:adjustRightInd w:val="0"/>
              <w:snapToGrid w:val="0"/>
              <w:jc w:val="center"/>
              <w:rPr>
                <w:color w:val="auto"/>
                <w:sz w:val="21"/>
                <w:szCs w:val="21"/>
              </w:rPr>
            </w:pPr>
          </w:p>
        </w:tc>
        <w:tc>
          <w:tcPr>
            <w:tcW w:w="674" w:type="dxa"/>
            <w:vAlign w:val="center"/>
          </w:tcPr>
          <w:p>
            <w:pPr>
              <w:adjustRightInd w:val="0"/>
              <w:snapToGrid w:val="0"/>
              <w:jc w:val="center"/>
              <w:rPr>
                <w:color w:val="auto"/>
                <w:sz w:val="21"/>
                <w:szCs w:val="21"/>
              </w:rPr>
            </w:pPr>
            <w:r>
              <w:rPr>
                <w:color w:val="auto"/>
                <w:sz w:val="21"/>
                <w:szCs w:val="21"/>
              </w:rPr>
              <w:t>噪声</w:t>
            </w:r>
          </w:p>
        </w:tc>
        <w:tc>
          <w:tcPr>
            <w:tcW w:w="3969" w:type="dxa"/>
            <w:vAlign w:val="center"/>
          </w:tcPr>
          <w:p>
            <w:pPr>
              <w:adjustRightInd w:val="0"/>
              <w:snapToGrid w:val="0"/>
              <w:jc w:val="center"/>
              <w:rPr>
                <w:color w:val="auto"/>
                <w:sz w:val="21"/>
                <w:szCs w:val="21"/>
              </w:rPr>
            </w:pPr>
            <w:r>
              <w:rPr>
                <w:color w:val="auto"/>
                <w:sz w:val="21"/>
                <w:szCs w:val="21"/>
              </w:rPr>
              <w:t>/</w:t>
            </w:r>
          </w:p>
        </w:tc>
        <w:tc>
          <w:tcPr>
            <w:tcW w:w="2693" w:type="dxa"/>
            <w:vAlign w:val="center"/>
          </w:tcPr>
          <w:p>
            <w:pPr>
              <w:adjustRightInd w:val="0"/>
              <w:snapToGrid w:val="0"/>
              <w:jc w:val="center"/>
              <w:rPr>
                <w:color w:val="auto"/>
                <w:sz w:val="21"/>
                <w:szCs w:val="21"/>
              </w:rPr>
            </w:pPr>
            <w:r>
              <w:rPr>
                <w:color w:val="auto"/>
                <w:sz w:val="21"/>
                <w:szCs w:val="21"/>
              </w:rPr>
              <w:t>等效声级Leq</w:t>
            </w:r>
          </w:p>
        </w:tc>
        <w:tc>
          <w:tcPr>
            <w:tcW w:w="1523" w:type="dxa"/>
            <w:vAlign w:val="center"/>
          </w:tcPr>
          <w:p>
            <w:pPr>
              <w:adjustRightInd w:val="0"/>
              <w:snapToGrid w:val="0"/>
              <w:jc w:val="center"/>
              <w:rPr>
                <w:color w:val="auto"/>
                <w:sz w:val="21"/>
                <w:szCs w:val="21"/>
              </w:rPr>
            </w:pPr>
            <w:r>
              <w:rPr>
                <w:color w:val="auto"/>
                <w:sz w:val="21"/>
                <w:szCs w:val="21"/>
              </w:rPr>
              <w:t>/</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427" w:type="dxa"/>
            <w:vMerge w:val="continue"/>
            <w:vAlign w:val="center"/>
          </w:tcPr>
          <w:p>
            <w:pPr>
              <w:adjustRightInd w:val="0"/>
              <w:snapToGrid w:val="0"/>
              <w:jc w:val="center"/>
              <w:rPr>
                <w:color w:val="auto"/>
                <w:sz w:val="21"/>
                <w:szCs w:val="21"/>
              </w:rPr>
            </w:pPr>
          </w:p>
        </w:tc>
        <w:tc>
          <w:tcPr>
            <w:tcW w:w="674" w:type="dxa"/>
            <w:vAlign w:val="center"/>
          </w:tcPr>
          <w:p>
            <w:pPr>
              <w:adjustRightInd w:val="0"/>
              <w:snapToGrid w:val="0"/>
              <w:jc w:val="center"/>
              <w:rPr>
                <w:color w:val="auto"/>
                <w:sz w:val="21"/>
                <w:szCs w:val="21"/>
              </w:rPr>
            </w:pPr>
            <w:r>
              <w:rPr>
                <w:color w:val="auto"/>
                <w:sz w:val="21"/>
                <w:szCs w:val="21"/>
              </w:rPr>
              <w:t>固废</w:t>
            </w:r>
          </w:p>
        </w:tc>
        <w:tc>
          <w:tcPr>
            <w:tcW w:w="3969" w:type="dxa"/>
            <w:vAlign w:val="center"/>
          </w:tcPr>
          <w:p>
            <w:pPr>
              <w:adjustRightInd w:val="0"/>
              <w:snapToGrid w:val="0"/>
              <w:jc w:val="center"/>
              <w:rPr>
                <w:color w:val="auto"/>
                <w:sz w:val="21"/>
                <w:szCs w:val="21"/>
              </w:rPr>
            </w:pPr>
            <w:r>
              <w:rPr>
                <w:color w:val="auto"/>
                <w:sz w:val="21"/>
                <w:szCs w:val="21"/>
              </w:rPr>
              <w:t>/</w:t>
            </w:r>
          </w:p>
        </w:tc>
        <w:tc>
          <w:tcPr>
            <w:tcW w:w="2693" w:type="dxa"/>
            <w:vAlign w:val="center"/>
          </w:tcPr>
          <w:p>
            <w:pPr>
              <w:adjustRightInd w:val="0"/>
              <w:snapToGrid w:val="0"/>
              <w:jc w:val="center"/>
              <w:rPr>
                <w:color w:val="auto"/>
                <w:sz w:val="21"/>
                <w:szCs w:val="21"/>
              </w:rPr>
            </w:pPr>
            <w:r>
              <w:rPr>
                <w:color w:val="auto"/>
                <w:sz w:val="21"/>
                <w:szCs w:val="21"/>
              </w:rPr>
              <w:t>建筑垃圾、生活垃圾</w:t>
            </w:r>
          </w:p>
        </w:tc>
        <w:tc>
          <w:tcPr>
            <w:tcW w:w="1523" w:type="dxa"/>
            <w:vAlign w:val="center"/>
          </w:tcPr>
          <w:p>
            <w:pPr>
              <w:adjustRightInd w:val="0"/>
              <w:snapToGrid w:val="0"/>
              <w:jc w:val="center"/>
              <w:rPr>
                <w:color w:val="auto"/>
                <w:sz w:val="21"/>
                <w:szCs w:val="21"/>
              </w:rPr>
            </w:pPr>
            <w:r>
              <w:rPr>
                <w:color w:val="auto"/>
                <w:sz w:val="21"/>
                <w:szCs w:val="21"/>
              </w:rPr>
              <w:t>/</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27" w:type="dxa"/>
            <w:vMerge w:val="continue"/>
            <w:vAlign w:val="center"/>
          </w:tcPr>
          <w:p>
            <w:pPr>
              <w:adjustRightInd w:val="0"/>
              <w:snapToGrid w:val="0"/>
              <w:jc w:val="center"/>
              <w:rPr>
                <w:color w:val="auto"/>
                <w:sz w:val="21"/>
                <w:szCs w:val="21"/>
              </w:rPr>
            </w:pPr>
          </w:p>
        </w:tc>
        <w:tc>
          <w:tcPr>
            <w:tcW w:w="674" w:type="dxa"/>
            <w:vAlign w:val="center"/>
          </w:tcPr>
          <w:p>
            <w:pPr>
              <w:adjustRightInd w:val="0"/>
              <w:snapToGrid w:val="0"/>
              <w:jc w:val="center"/>
              <w:rPr>
                <w:color w:val="auto"/>
                <w:sz w:val="21"/>
                <w:szCs w:val="21"/>
              </w:rPr>
            </w:pPr>
            <w:r>
              <w:rPr>
                <w:color w:val="auto"/>
                <w:sz w:val="21"/>
                <w:szCs w:val="21"/>
              </w:rPr>
              <w:t>生态环境</w:t>
            </w:r>
          </w:p>
        </w:tc>
        <w:tc>
          <w:tcPr>
            <w:tcW w:w="3969" w:type="dxa"/>
            <w:vAlign w:val="center"/>
          </w:tcPr>
          <w:p>
            <w:pPr>
              <w:adjustRightInd w:val="0"/>
              <w:snapToGrid w:val="0"/>
              <w:jc w:val="center"/>
              <w:rPr>
                <w:color w:val="auto"/>
                <w:sz w:val="21"/>
                <w:szCs w:val="21"/>
              </w:rPr>
            </w:pPr>
            <w:r>
              <w:rPr>
                <w:color w:val="auto"/>
                <w:sz w:val="21"/>
                <w:szCs w:val="21"/>
              </w:rPr>
              <w:t>/</w:t>
            </w:r>
          </w:p>
        </w:tc>
        <w:tc>
          <w:tcPr>
            <w:tcW w:w="2693" w:type="dxa"/>
            <w:vAlign w:val="center"/>
          </w:tcPr>
          <w:p>
            <w:pPr>
              <w:adjustRightInd w:val="0"/>
              <w:snapToGrid w:val="0"/>
              <w:jc w:val="center"/>
              <w:rPr>
                <w:color w:val="auto"/>
                <w:sz w:val="21"/>
                <w:szCs w:val="21"/>
              </w:rPr>
            </w:pPr>
            <w:r>
              <w:rPr>
                <w:color w:val="auto"/>
                <w:sz w:val="21"/>
                <w:szCs w:val="21"/>
              </w:rPr>
              <w:t>植被、水土流失</w:t>
            </w:r>
          </w:p>
        </w:tc>
        <w:tc>
          <w:tcPr>
            <w:tcW w:w="1523" w:type="dxa"/>
            <w:vAlign w:val="center"/>
          </w:tcPr>
          <w:p>
            <w:pPr>
              <w:adjustRightInd w:val="0"/>
              <w:snapToGrid w:val="0"/>
              <w:jc w:val="center"/>
              <w:rPr>
                <w:color w:val="auto"/>
                <w:sz w:val="21"/>
                <w:szCs w:val="21"/>
              </w:rPr>
            </w:pPr>
            <w:r>
              <w:rPr>
                <w:color w:val="auto"/>
                <w:sz w:val="21"/>
                <w:szCs w:val="21"/>
              </w:rPr>
              <w:t>/</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27" w:type="dxa"/>
            <w:vMerge w:val="restart"/>
            <w:vAlign w:val="center"/>
          </w:tcPr>
          <w:p>
            <w:pPr>
              <w:adjustRightInd w:val="0"/>
              <w:snapToGrid w:val="0"/>
              <w:jc w:val="center"/>
              <w:rPr>
                <w:color w:val="auto"/>
                <w:sz w:val="21"/>
                <w:szCs w:val="21"/>
              </w:rPr>
            </w:pPr>
            <w:r>
              <w:rPr>
                <w:color w:val="auto"/>
                <w:sz w:val="21"/>
                <w:szCs w:val="21"/>
              </w:rPr>
              <w:t>运营期</w:t>
            </w:r>
          </w:p>
        </w:tc>
        <w:tc>
          <w:tcPr>
            <w:tcW w:w="674" w:type="dxa"/>
            <w:vAlign w:val="center"/>
          </w:tcPr>
          <w:p>
            <w:pPr>
              <w:adjustRightInd w:val="0"/>
              <w:snapToGrid w:val="0"/>
              <w:jc w:val="center"/>
              <w:rPr>
                <w:color w:val="auto"/>
                <w:sz w:val="21"/>
                <w:szCs w:val="21"/>
              </w:rPr>
            </w:pPr>
            <w:r>
              <w:rPr>
                <w:color w:val="auto"/>
                <w:sz w:val="21"/>
                <w:szCs w:val="21"/>
              </w:rPr>
              <w:t>大气</w:t>
            </w:r>
          </w:p>
        </w:tc>
        <w:tc>
          <w:tcPr>
            <w:tcW w:w="3969" w:type="dxa"/>
            <w:vAlign w:val="center"/>
          </w:tcPr>
          <w:p>
            <w:pPr>
              <w:adjustRightInd w:val="0"/>
              <w:snapToGrid w:val="0"/>
              <w:jc w:val="center"/>
              <w:rPr>
                <w:color w:val="auto"/>
                <w:sz w:val="21"/>
                <w:szCs w:val="21"/>
              </w:rPr>
            </w:pPr>
            <w:r>
              <w:rPr>
                <w:rFonts w:hint="eastAsia"/>
                <w:color w:val="auto"/>
                <w:sz w:val="21"/>
                <w:szCs w:val="21"/>
              </w:rPr>
              <w:t>SO</w:t>
            </w:r>
            <w:r>
              <w:rPr>
                <w:rFonts w:hint="eastAsia"/>
                <w:color w:val="auto"/>
                <w:sz w:val="21"/>
                <w:szCs w:val="21"/>
                <w:vertAlign w:val="subscript"/>
              </w:rPr>
              <w:t>2</w:t>
            </w:r>
            <w:r>
              <w:rPr>
                <w:rFonts w:hint="eastAsia"/>
                <w:color w:val="auto"/>
                <w:sz w:val="21"/>
                <w:szCs w:val="21"/>
              </w:rPr>
              <w:t>、NO</w:t>
            </w:r>
            <w:r>
              <w:rPr>
                <w:rFonts w:hint="eastAsia"/>
                <w:color w:val="auto"/>
                <w:sz w:val="21"/>
                <w:szCs w:val="21"/>
                <w:vertAlign w:val="subscript"/>
              </w:rPr>
              <w:t>2</w:t>
            </w:r>
            <w:r>
              <w:rPr>
                <w:rFonts w:hint="eastAsia"/>
                <w:color w:val="auto"/>
                <w:sz w:val="21"/>
                <w:szCs w:val="21"/>
              </w:rPr>
              <w:t>、PM</w:t>
            </w:r>
            <w:r>
              <w:rPr>
                <w:rFonts w:hint="eastAsia"/>
                <w:color w:val="auto"/>
                <w:sz w:val="21"/>
                <w:szCs w:val="21"/>
                <w:vertAlign w:val="subscript"/>
              </w:rPr>
              <w:t>10</w:t>
            </w:r>
            <w:r>
              <w:rPr>
                <w:rFonts w:hint="eastAsia"/>
                <w:color w:val="auto"/>
                <w:sz w:val="21"/>
                <w:szCs w:val="21"/>
              </w:rPr>
              <w:t>、PM</w:t>
            </w:r>
            <w:r>
              <w:rPr>
                <w:rFonts w:hint="eastAsia"/>
                <w:color w:val="auto"/>
                <w:sz w:val="21"/>
                <w:szCs w:val="21"/>
                <w:vertAlign w:val="subscript"/>
              </w:rPr>
              <w:t>2.5</w:t>
            </w:r>
            <w:r>
              <w:rPr>
                <w:rFonts w:hint="eastAsia"/>
                <w:color w:val="auto"/>
                <w:sz w:val="21"/>
                <w:szCs w:val="21"/>
              </w:rPr>
              <w:t>、CO、O</w:t>
            </w:r>
            <w:r>
              <w:rPr>
                <w:rFonts w:hint="eastAsia"/>
                <w:color w:val="auto"/>
                <w:sz w:val="21"/>
                <w:szCs w:val="21"/>
                <w:vertAlign w:val="subscript"/>
              </w:rPr>
              <w:t>3</w:t>
            </w:r>
            <w:r>
              <w:rPr>
                <w:rFonts w:hint="eastAsia"/>
                <w:color w:val="auto"/>
                <w:sz w:val="21"/>
                <w:szCs w:val="21"/>
              </w:rPr>
              <w:t>、</w:t>
            </w:r>
            <w:r>
              <w:rPr>
                <w:color w:val="auto"/>
                <w:sz w:val="21"/>
                <w:szCs w:val="21"/>
              </w:rPr>
              <w:t>TSP、H</w:t>
            </w:r>
            <w:r>
              <w:rPr>
                <w:color w:val="auto"/>
                <w:sz w:val="21"/>
                <w:szCs w:val="21"/>
                <w:vertAlign w:val="subscript"/>
              </w:rPr>
              <w:t>2</w:t>
            </w:r>
            <w:r>
              <w:rPr>
                <w:color w:val="auto"/>
                <w:sz w:val="21"/>
                <w:szCs w:val="21"/>
              </w:rPr>
              <w:t>S、NH</w:t>
            </w:r>
            <w:r>
              <w:rPr>
                <w:color w:val="auto"/>
                <w:sz w:val="21"/>
                <w:szCs w:val="21"/>
                <w:vertAlign w:val="subscript"/>
              </w:rPr>
              <w:t>3</w:t>
            </w:r>
            <w:r>
              <w:rPr>
                <w:color w:val="auto"/>
                <w:sz w:val="21"/>
                <w:szCs w:val="21"/>
              </w:rPr>
              <w:t>、CH</w:t>
            </w:r>
            <w:r>
              <w:rPr>
                <w:color w:val="auto"/>
                <w:sz w:val="21"/>
                <w:szCs w:val="21"/>
                <w:vertAlign w:val="subscript"/>
              </w:rPr>
              <w:t>3</w:t>
            </w:r>
            <w:r>
              <w:rPr>
                <w:color w:val="auto"/>
                <w:sz w:val="21"/>
                <w:szCs w:val="21"/>
              </w:rPr>
              <w:t>SH、臭气浓度、HCl、Hg、Pb、Cd、二噁英类</w:t>
            </w:r>
          </w:p>
        </w:tc>
        <w:tc>
          <w:tcPr>
            <w:tcW w:w="2693" w:type="dxa"/>
            <w:vAlign w:val="center"/>
          </w:tcPr>
          <w:p>
            <w:pPr>
              <w:adjustRightInd w:val="0"/>
              <w:snapToGrid w:val="0"/>
              <w:jc w:val="center"/>
              <w:rPr>
                <w:color w:val="auto"/>
                <w:sz w:val="21"/>
                <w:szCs w:val="21"/>
              </w:rPr>
            </w:pPr>
            <w:r>
              <w:rPr>
                <w:color w:val="auto"/>
                <w:sz w:val="21"/>
                <w:szCs w:val="21"/>
              </w:rPr>
              <w:t>TSP、H</w:t>
            </w:r>
            <w:r>
              <w:rPr>
                <w:color w:val="auto"/>
                <w:sz w:val="21"/>
                <w:szCs w:val="21"/>
                <w:vertAlign w:val="subscript"/>
              </w:rPr>
              <w:t>2</w:t>
            </w:r>
            <w:r>
              <w:rPr>
                <w:color w:val="auto"/>
                <w:sz w:val="21"/>
                <w:szCs w:val="21"/>
              </w:rPr>
              <w:t>S、NH</w:t>
            </w:r>
            <w:r>
              <w:rPr>
                <w:color w:val="auto"/>
                <w:sz w:val="21"/>
                <w:szCs w:val="21"/>
                <w:vertAlign w:val="subscript"/>
              </w:rPr>
              <w:t>3</w:t>
            </w:r>
          </w:p>
        </w:tc>
        <w:tc>
          <w:tcPr>
            <w:tcW w:w="1523" w:type="dxa"/>
            <w:vAlign w:val="center"/>
          </w:tcPr>
          <w:p>
            <w:pPr>
              <w:adjustRightInd w:val="0"/>
              <w:snapToGrid w:val="0"/>
              <w:jc w:val="center"/>
              <w:rPr>
                <w:color w:val="auto"/>
                <w:sz w:val="21"/>
                <w:szCs w:val="21"/>
              </w:rPr>
            </w:pPr>
            <w:r>
              <w:rPr>
                <w:color w:val="auto"/>
                <w:sz w:val="21"/>
                <w:szCs w:val="21"/>
              </w:rPr>
              <w:t>/</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27" w:type="dxa"/>
            <w:vMerge w:val="continue"/>
            <w:vAlign w:val="center"/>
          </w:tcPr>
          <w:p>
            <w:pPr>
              <w:adjustRightInd w:val="0"/>
              <w:snapToGrid w:val="0"/>
              <w:jc w:val="center"/>
              <w:rPr>
                <w:color w:val="auto"/>
                <w:sz w:val="21"/>
                <w:szCs w:val="21"/>
              </w:rPr>
            </w:pPr>
          </w:p>
        </w:tc>
        <w:tc>
          <w:tcPr>
            <w:tcW w:w="674" w:type="dxa"/>
            <w:vAlign w:val="center"/>
          </w:tcPr>
          <w:p>
            <w:pPr>
              <w:adjustRightInd w:val="0"/>
              <w:snapToGrid w:val="0"/>
              <w:jc w:val="center"/>
              <w:rPr>
                <w:color w:val="auto"/>
                <w:sz w:val="21"/>
                <w:szCs w:val="21"/>
              </w:rPr>
            </w:pPr>
            <w:r>
              <w:rPr>
                <w:color w:val="auto"/>
                <w:sz w:val="21"/>
                <w:szCs w:val="21"/>
              </w:rPr>
              <w:t>地表水</w:t>
            </w:r>
          </w:p>
        </w:tc>
        <w:tc>
          <w:tcPr>
            <w:tcW w:w="3969" w:type="dxa"/>
            <w:vAlign w:val="center"/>
          </w:tcPr>
          <w:p>
            <w:pPr>
              <w:adjustRightInd w:val="0"/>
              <w:snapToGrid w:val="0"/>
              <w:jc w:val="center"/>
              <w:rPr>
                <w:color w:val="auto"/>
                <w:sz w:val="21"/>
                <w:szCs w:val="21"/>
              </w:rPr>
            </w:pPr>
            <w:r>
              <w:rPr>
                <w:color w:val="auto"/>
                <w:sz w:val="21"/>
                <w:szCs w:val="21"/>
              </w:rPr>
              <w:t>pH值、水温、色度、悬浮物、溶解氧、COD</w:t>
            </w:r>
            <w:r>
              <w:rPr>
                <w:color w:val="auto"/>
                <w:sz w:val="21"/>
                <w:szCs w:val="21"/>
                <w:vertAlign w:val="subscript"/>
              </w:rPr>
              <w:t>Cr</w:t>
            </w:r>
            <w:r>
              <w:rPr>
                <w:color w:val="auto"/>
                <w:sz w:val="21"/>
                <w:szCs w:val="21"/>
              </w:rPr>
              <w:t>、高锰酸盐指数、BOD</w:t>
            </w:r>
            <w:r>
              <w:rPr>
                <w:color w:val="auto"/>
                <w:sz w:val="21"/>
                <w:szCs w:val="21"/>
                <w:vertAlign w:val="subscript"/>
              </w:rPr>
              <w:t>5</w:t>
            </w:r>
            <w:r>
              <w:rPr>
                <w:color w:val="auto"/>
                <w:sz w:val="21"/>
                <w:szCs w:val="21"/>
              </w:rPr>
              <w:t>、氨氮、总磷、石油类、硫化物、氟化物、挥发酚、粪大肠菌群、镉、六价铬、铅、砷、汞、硫酸盐、氯化物、氰化物、硝酸盐、铁、锰、铜、锌</w:t>
            </w:r>
          </w:p>
        </w:tc>
        <w:tc>
          <w:tcPr>
            <w:tcW w:w="2693" w:type="dxa"/>
            <w:vAlign w:val="center"/>
          </w:tcPr>
          <w:p>
            <w:pPr>
              <w:adjustRightInd w:val="0"/>
              <w:snapToGrid w:val="0"/>
              <w:jc w:val="center"/>
              <w:rPr>
                <w:color w:val="auto"/>
                <w:sz w:val="21"/>
                <w:szCs w:val="21"/>
              </w:rPr>
            </w:pPr>
            <w:r>
              <w:rPr>
                <w:color w:val="auto"/>
                <w:sz w:val="21"/>
                <w:szCs w:val="21"/>
              </w:rPr>
              <w:t>定性分析</w:t>
            </w:r>
          </w:p>
        </w:tc>
        <w:tc>
          <w:tcPr>
            <w:tcW w:w="1523" w:type="dxa"/>
            <w:vAlign w:val="center"/>
          </w:tcPr>
          <w:p>
            <w:pPr>
              <w:adjustRightInd w:val="0"/>
              <w:snapToGrid w:val="0"/>
              <w:jc w:val="center"/>
              <w:rPr>
                <w:color w:val="auto"/>
                <w:sz w:val="21"/>
                <w:szCs w:val="21"/>
              </w:rPr>
            </w:pPr>
            <w:r>
              <w:rPr>
                <w:color w:val="auto"/>
                <w:sz w:val="21"/>
                <w:szCs w:val="21"/>
              </w:rPr>
              <w:t>/</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27" w:type="dxa"/>
            <w:vMerge w:val="continue"/>
            <w:vAlign w:val="center"/>
          </w:tcPr>
          <w:p>
            <w:pPr>
              <w:adjustRightInd w:val="0"/>
              <w:snapToGrid w:val="0"/>
              <w:jc w:val="center"/>
              <w:rPr>
                <w:color w:val="auto"/>
                <w:sz w:val="21"/>
                <w:szCs w:val="21"/>
              </w:rPr>
            </w:pPr>
          </w:p>
        </w:tc>
        <w:tc>
          <w:tcPr>
            <w:tcW w:w="674" w:type="dxa"/>
            <w:vAlign w:val="center"/>
          </w:tcPr>
          <w:p>
            <w:pPr>
              <w:adjustRightInd w:val="0"/>
              <w:snapToGrid w:val="0"/>
              <w:jc w:val="center"/>
              <w:rPr>
                <w:color w:val="auto"/>
                <w:sz w:val="21"/>
                <w:szCs w:val="21"/>
              </w:rPr>
            </w:pPr>
            <w:r>
              <w:rPr>
                <w:color w:val="auto"/>
                <w:sz w:val="21"/>
                <w:szCs w:val="21"/>
              </w:rPr>
              <w:t>地下水</w:t>
            </w:r>
          </w:p>
        </w:tc>
        <w:tc>
          <w:tcPr>
            <w:tcW w:w="3969" w:type="dxa"/>
            <w:vAlign w:val="center"/>
          </w:tcPr>
          <w:p>
            <w:pPr>
              <w:adjustRightInd w:val="0"/>
              <w:snapToGrid w:val="0"/>
              <w:jc w:val="center"/>
              <w:rPr>
                <w:color w:val="auto"/>
                <w:sz w:val="21"/>
                <w:szCs w:val="21"/>
              </w:rPr>
            </w:pPr>
            <w:r>
              <w:rPr>
                <w:color w:val="auto"/>
                <w:sz w:val="21"/>
                <w:szCs w:val="21"/>
              </w:rPr>
              <w:t>pH、浑浊度、总硬度、溶解性总固体、耗氧量、挥发酚类、阴离子活性表面剂、硫酸盐、氯化物、氟化物、氰化物、总大肠菌群、细菌总数、硝酸盐、亚硝酸盐、氨氮、砷、汞、六价铬、铁、锰、铅、铜、锌、镉、K</w:t>
            </w:r>
            <w:r>
              <w:rPr>
                <w:color w:val="auto"/>
                <w:sz w:val="21"/>
                <w:szCs w:val="21"/>
                <w:vertAlign w:val="superscript"/>
              </w:rPr>
              <w:t>+</w:t>
            </w:r>
            <w:r>
              <w:rPr>
                <w:color w:val="auto"/>
                <w:sz w:val="21"/>
                <w:szCs w:val="21"/>
              </w:rPr>
              <w:t>、Na</w:t>
            </w:r>
            <w:r>
              <w:rPr>
                <w:color w:val="auto"/>
                <w:sz w:val="21"/>
                <w:szCs w:val="21"/>
                <w:vertAlign w:val="superscript"/>
              </w:rPr>
              <w:t>+</w:t>
            </w:r>
            <w:r>
              <w:rPr>
                <w:color w:val="auto"/>
                <w:sz w:val="21"/>
                <w:szCs w:val="21"/>
              </w:rPr>
              <w:t>、Ca</w:t>
            </w:r>
            <w:r>
              <w:rPr>
                <w:color w:val="auto"/>
                <w:sz w:val="21"/>
                <w:szCs w:val="21"/>
                <w:vertAlign w:val="superscript"/>
              </w:rPr>
              <w:t>2+</w:t>
            </w:r>
            <w:r>
              <w:rPr>
                <w:color w:val="auto"/>
                <w:sz w:val="21"/>
                <w:szCs w:val="21"/>
              </w:rPr>
              <w:t>、Mg</w:t>
            </w:r>
            <w:r>
              <w:rPr>
                <w:color w:val="auto"/>
                <w:sz w:val="21"/>
                <w:szCs w:val="21"/>
                <w:vertAlign w:val="superscript"/>
              </w:rPr>
              <w:t>2+</w:t>
            </w:r>
            <w:r>
              <w:rPr>
                <w:color w:val="auto"/>
                <w:sz w:val="21"/>
                <w:szCs w:val="21"/>
              </w:rPr>
              <w:t>、CO</w:t>
            </w:r>
            <w:r>
              <w:rPr>
                <w:color w:val="auto"/>
                <w:sz w:val="21"/>
                <w:szCs w:val="21"/>
                <w:vertAlign w:val="subscript"/>
              </w:rPr>
              <w:t>3</w:t>
            </w:r>
            <w:r>
              <w:rPr>
                <w:color w:val="auto"/>
                <w:sz w:val="21"/>
                <w:szCs w:val="21"/>
                <w:vertAlign w:val="superscript"/>
              </w:rPr>
              <w:t>2-</w:t>
            </w:r>
            <w:r>
              <w:rPr>
                <w:color w:val="auto"/>
                <w:sz w:val="21"/>
                <w:szCs w:val="21"/>
              </w:rPr>
              <w:t>、HCO</w:t>
            </w:r>
            <w:r>
              <w:rPr>
                <w:color w:val="auto"/>
                <w:sz w:val="21"/>
                <w:szCs w:val="21"/>
                <w:vertAlign w:val="superscript"/>
              </w:rPr>
              <w:t>3-</w:t>
            </w:r>
            <w:r>
              <w:rPr>
                <w:color w:val="auto"/>
                <w:sz w:val="21"/>
                <w:szCs w:val="21"/>
              </w:rPr>
              <w:t>、Cl</w:t>
            </w:r>
            <w:r>
              <w:rPr>
                <w:color w:val="auto"/>
                <w:sz w:val="21"/>
                <w:szCs w:val="21"/>
                <w:vertAlign w:val="superscript"/>
              </w:rPr>
              <w:t>-</w:t>
            </w:r>
            <w:r>
              <w:rPr>
                <w:color w:val="auto"/>
                <w:sz w:val="21"/>
                <w:szCs w:val="21"/>
              </w:rPr>
              <w:t>、SO</w:t>
            </w:r>
            <w:r>
              <w:rPr>
                <w:color w:val="auto"/>
                <w:sz w:val="21"/>
                <w:szCs w:val="21"/>
                <w:vertAlign w:val="subscript"/>
              </w:rPr>
              <w:t>4</w:t>
            </w:r>
            <w:r>
              <w:rPr>
                <w:color w:val="auto"/>
                <w:sz w:val="21"/>
                <w:szCs w:val="21"/>
                <w:vertAlign w:val="superscript"/>
              </w:rPr>
              <w:t>2-</w:t>
            </w:r>
          </w:p>
        </w:tc>
        <w:tc>
          <w:tcPr>
            <w:tcW w:w="2693" w:type="dxa"/>
            <w:vAlign w:val="center"/>
          </w:tcPr>
          <w:p>
            <w:pPr>
              <w:adjustRightInd w:val="0"/>
              <w:snapToGrid w:val="0"/>
              <w:jc w:val="center"/>
              <w:rPr>
                <w:color w:val="auto"/>
                <w:sz w:val="21"/>
                <w:szCs w:val="21"/>
              </w:rPr>
            </w:pPr>
            <w:r>
              <w:rPr>
                <w:color w:val="auto"/>
                <w:sz w:val="21"/>
                <w:szCs w:val="21"/>
              </w:rPr>
              <w:t>定性分析</w:t>
            </w:r>
          </w:p>
        </w:tc>
        <w:tc>
          <w:tcPr>
            <w:tcW w:w="1523" w:type="dxa"/>
            <w:vAlign w:val="center"/>
          </w:tcPr>
          <w:p>
            <w:pPr>
              <w:adjustRightInd w:val="0"/>
              <w:snapToGrid w:val="0"/>
              <w:jc w:val="center"/>
              <w:rPr>
                <w:color w:val="auto"/>
                <w:sz w:val="21"/>
                <w:szCs w:val="21"/>
              </w:rPr>
            </w:pPr>
            <w:r>
              <w:rPr>
                <w:color w:val="auto"/>
                <w:sz w:val="21"/>
                <w:szCs w:val="21"/>
              </w:rPr>
              <w:t>/</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27" w:type="dxa"/>
            <w:vMerge w:val="continue"/>
            <w:vAlign w:val="center"/>
          </w:tcPr>
          <w:p>
            <w:pPr>
              <w:adjustRightInd w:val="0"/>
              <w:snapToGrid w:val="0"/>
              <w:jc w:val="center"/>
              <w:rPr>
                <w:color w:val="auto"/>
                <w:sz w:val="21"/>
                <w:szCs w:val="21"/>
              </w:rPr>
            </w:pPr>
          </w:p>
        </w:tc>
        <w:tc>
          <w:tcPr>
            <w:tcW w:w="674" w:type="dxa"/>
            <w:vAlign w:val="center"/>
          </w:tcPr>
          <w:p>
            <w:pPr>
              <w:adjustRightInd w:val="0"/>
              <w:snapToGrid w:val="0"/>
              <w:jc w:val="center"/>
              <w:rPr>
                <w:color w:val="auto"/>
                <w:sz w:val="21"/>
                <w:szCs w:val="21"/>
              </w:rPr>
            </w:pPr>
            <w:r>
              <w:rPr>
                <w:color w:val="auto"/>
                <w:sz w:val="21"/>
                <w:szCs w:val="21"/>
              </w:rPr>
              <w:t>声环境</w:t>
            </w:r>
          </w:p>
        </w:tc>
        <w:tc>
          <w:tcPr>
            <w:tcW w:w="6662" w:type="dxa"/>
            <w:gridSpan w:val="2"/>
            <w:vAlign w:val="center"/>
          </w:tcPr>
          <w:p>
            <w:pPr>
              <w:adjustRightInd w:val="0"/>
              <w:snapToGrid w:val="0"/>
              <w:jc w:val="center"/>
              <w:rPr>
                <w:color w:val="auto"/>
                <w:sz w:val="21"/>
                <w:szCs w:val="21"/>
              </w:rPr>
            </w:pPr>
            <w:r>
              <w:rPr>
                <w:color w:val="auto"/>
                <w:sz w:val="21"/>
                <w:szCs w:val="21"/>
              </w:rPr>
              <w:t>等效声级Leq</w:t>
            </w:r>
          </w:p>
        </w:tc>
        <w:tc>
          <w:tcPr>
            <w:tcW w:w="1523" w:type="dxa"/>
            <w:vAlign w:val="center"/>
          </w:tcPr>
          <w:p>
            <w:pPr>
              <w:adjustRightInd w:val="0"/>
              <w:snapToGrid w:val="0"/>
              <w:jc w:val="center"/>
              <w:rPr>
                <w:color w:val="auto"/>
                <w:sz w:val="21"/>
                <w:szCs w:val="21"/>
              </w:rPr>
            </w:pPr>
            <w:r>
              <w:rPr>
                <w:color w:val="auto"/>
                <w:sz w:val="21"/>
                <w:szCs w:val="21"/>
              </w:rPr>
              <w:t>/</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27" w:type="dxa"/>
            <w:vMerge w:val="continue"/>
            <w:vAlign w:val="center"/>
          </w:tcPr>
          <w:p>
            <w:pPr>
              <w:adjustRightInd w:val="0"/>
              <w:snapToGrid w:val="0"/>
              <w:jc w:val="center"/>
              <w:rPr>
                <w:color w:val="auto"/>
                <w:sz w:val="21"/>
                <w:szCs w:val="21"/>
              </w:rPr>
            </w:pPr>
          </w:p>
        </w:tc>
        <w:tc>
          <w:tcPr>
            <w:tcW w:w="674" w:type="dxa"/>
            <w:vAlign w:val="center"/>
          </w:tcPr>
          <w:p>
            <w:pPr>
              <w:adjustRightInd w:val="0"/>
              <w:snapToGrid w:val="0"/>
              <w:jc w:val="center"/>
              <w:rPr>
                <w:color w:val="auto"/>
                <w:sz w:val="21"/>
                <w:szCs w:val="21"/>
              </w:rPr>
            </w:pPr>
            <w:r>
              <w:rPr>
                <w:color w:val="auto"/>
                <w:sz w:val="21"/>
                <w:szCs w:val="21"/>
              </w:rPr>
              <w:t>土壤环境</w:t>
            </w:r>
          </w:p>
        </w:tc>
        <w:tc>
          <w:tcPr>
            <w:tcW w:w="3969" w:type="dxa"/>
            <w:vAlign w:val="center"/>
          </w:tcPr>
          <w:p>
            <w:pPr>
              <w:adjustRightInd w:val="0"/>
              <w:snapToGrid w:val="0"/>
              <w:jc w:val="center"/>
              <w:rPr>
                <w:color w:val="auto"/>
                <w:sz w:val="21"/>
                <w:szCs w:val="21"/>
              </w:rPr>
            </w:pPr>
            <w:r>
              <w:rPr>
                <w:color w:val="auto"/>
                <w:sz w:val="21"/>
                <w:szCs w:val="21"/>
              </w:rPr>
              <w:t>砷、镉、铬（六价）、铜、铅、汞、镍、四氯化碳、氯仿、氯甲烷、1,1-二氯乙烷、1,2-二氯乙烷、1,1-二氯乙烯、顺-1,2-二氯乙烯、反-1,2,-二氯乙烯、二氯甲烷、1,2-二氯丙烷、1,1,1,2-四氯乙烷、1,1,2,2-四氯乙烯、四氯乙烯、1,1,1-三氯乙烷、1,1,2-三氯乙烷、三氯乙烯、1,2,3-三氯丙烷、氯乙烯、苯、氯苯、1,2-二氯苯、1,4-二氯苯、甲苯、乙苯、苯乙烯、间二甲苯+对二甲苯、邻二甲苯、硝基苯、苯胺、2-氯酚、苯并[a]蒽、苯并[a]芘、苯并[b]荧蒽、苯并[k]荧蒽、䓛、二苯并（a，h）蒽、茚并[1,2,3-cd]芘、萘、pH、二噁英类。</w:t>
            </w:r>
          </w:p>
        </w:tc>
        <w:tc>
          <w:tcPr>
            <w:tcW w:w="2693" w:type="dxa"/>
            <w:vAlign w:val="center"/>
          </w:tcPr>
          <w:p>
            <w:pPr>
              <w:adjustRightInd w:val="0"/>
              <w:snapToGrid w:val="0"/>
              <w:jc w:val="center"/>
              <w:rPr>
                <w:color w:val="auto"/>
                <w:sz w:val="21"/>
                <w:szCs w:val="21"/>
              </w:rPr>
            </w:pPr>
            <w:r>
              <w:rPr>
                <w:color w:val="auto"/>
                <w:sz w:val="21"/>
                <w:szCs w:val="21"/>
              </w:rPr>
              <w:t>定性分析</w:t>
            </w:r>
          </w:p>
        </w:tc>
        <w:tc>
          <w:tcPr>
            <w:tcW w:w="1523" w:type="dxa"/>
            <w:vAlign w:val="center"/>
          </w:tcPr>
          <w:p>
            <w:pPr>
              <w:adjustRightInd w:val="0"/>
              <w:snapToGrid w:val="0"/>
              <w:jc w:val="center"/>
              <w:rPr>
                <w:color w:val="auto"/>
                <w:sz w:val="21"/>
                <w:szCs w:val="21"/>
              </w:rPr>
            </w:pPr>
            <w:r>
              <w:rPr>
                <w:color w:val="auto"/>
                <w:sz w:val="21"/>
                <w:szCs w:val="21"/>
              </w:rPr>
              <w:t>/</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27" w:type="dxa"/>
            <w:vMerge w:val="continue"/>
            <w:vAlign w:val="center"/>
          </w:tcPr>
          <w:p>
            <w:pPr>
              <w:adjustRightInd w:val="0"/>
              <w:snapToGrid w:val="0"/>
              <w:jc w:val="center"/>
              <w:rPr>
                <w:color w:val="auto"/>
                <w:sz w:val="21"/>
                <w:szCs w:val="21"/>
              </w:rPr>
            </w:pPr>
          </w:p>
        </w:tc>
        <w:tc>
          <w:tcPr>
            <w:tcW w:w="674" w:type="dxa"/>
            <w:vAlign w:val="center"/>
          </w:tcPr>
          <w:p>
            <w:pPr>
              <w:adjustRightInd w:val="0"/>
              <w:snapToGrid w:val="0"/>
              <w:jc w:val="center"/>
              <w:rPr>
                <w:color w:val="auto"/>
                <w:sz w:val="21"/>
                <w:szCs w:val="21"/>
              </w:rPr>
            </w:pPr>
            <w:r>
              <w:rPr>
                <w:color w:val="auto"/>
                <w:sz w:val="21"/>
                <w:szCs w:val="21"/>
              </w:rPr>
              <w:t>固体废物</w:t>
            </w:r>
          </w:p>
        </w:tc>
        <w:tc>
          <w:tcPr>
            <w:tcW w:w="6662" w:type="dxa"/>
            <w:gridSpan w:val="2"/>
            <w:vAlign w:val="center"/>
          </w:tcPr>
          <w:p>
            <w:pPr>
              <w:adjustRightInd w:val="0"/>
              <w:snapToGrid w:val="0"/>
              <w:jc w:val="center"/>
              <w:rPr>
                <w:color w:val="auto"/>
                <w:sz w:val="21"/>
                <w:szCs w:val="21"/>
              </w:rPr>
            </w:pPr>
            <w:r>
              <w:rPr>
                <w:color w:val="auto"/>
                <w:sz w:val="21"/>
                <w:szCs w:val="21"/>
              </w:rPr>
              <w:t>工业固体废弃物的产生量、利用量、处置量</w:t>
            </w:r>
          </w:p>
        </w:tc>
        <w:tc>
          <w:tcPr>
            <w:tcW w:w="1523" w:type="dxa"/>
            <w:vAlign w:val="center"/>
          </w:tcPr>
          <w:p>
            <w:pPr>
              <w:adjustRightInd w:val="0"/>
              <w:snapToGrid w:val="0"/>
              <w:jc w:val="center"/>
              <w:rPr>
                <w:color w:val="auto"/>
                <w:sz w:val="21"/>
                <w:szCs w:val="21"/>
              </w:rPr>
            </w:pPr>
            <w:r>
              <w:rPr>
                <w:color w:val="auto"/>
                <w:sz w:val="21"/>
                <w:szCs w:val="21"/>
              </w:rPr>
              <w:t>/</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27" w:type="dxa"/>
            <w:vMerge w:val="continue"/>
            <w:vAlign w:val="center"/>
          </w:tcPr>
          <w:p>
            <w:pPr>
              <w:adjustRightInd w:val="0"/>
              <w:snapToGrid w:val="0"/>
              <w:jc w:val="center"/>
              <w:rPr>
                <w:color w:val="auto"/>
                <w:sz w:val="21"/>
                <w:szCs w:val="21"/>
              </w:rPr>
            </w:pPr>
          </w:p>
        </w:tc>
        <w:tc>
          <w:tcPr>
            <w:tcW w:w="674" w:type="dxa"/>
            <w:vAlign w:val="center"/>
          </w:tcPr>
          <w:p>
            <w:pPr>
              <w:adjustRightInd w:val="0"/>
              <w:snapToGrid w:val="0"/>
              <w:jc w:val="center"/>
              <w:rPr>
                <w:color w:val="auto"/>
                <w:sz w:val="21"/>
                <w:szCs w:val="21"/>
              </w:rPr>
            </w:pPr>
            <w:r>
              <w:rPr>
                <w:color w:val="auto"/>
                <w:sz w:val="21"/>
                <w:szCs w:val="21"/>
              </w:rPr>
              <w:t>生态环境</w:t>
            </w:r>
          </w:p>
        </w:tc>
        <w:tc>
          <w:tcPr>
            <w:tcW w:w="3969" w:type="dxa"/>
            <w:vAlign w:val="center"/>
          </w:tcPr>
          <w:p>
            <w:pPr>
              <w:adjustRightInd w:val="0"/>
              <w:snapToGrid w:val="0"/>
              <w:jc w:val="center"/>
              <w:rPr>
                <w:color w:val="auto"/>
                <w:sz w:val="21"/>
                <w:szCs w:val="21"/>
              </w:rPr>
            </w:pPr>
            <w:r>
              <w:rPr>
                <w:color w:val="auto"/>
                <w:sz w:val="21"/>
                <w:szCs w:val="21"/>
              </w:rPr>
              <w:t>植物</w:t>
            </w:r>
          </w:p>
        </w:tc>
        <w:tc>
          <w:tcPr>
            <w:tcW w:w="2693" w:type="dxa"/>
            <w:vAlign w:val="center"/>
          </w:tcPr>
          <w:p>
            <w:pPr>
              <w:adjustRightInd w:val="0"/>
              <w:snapToGrid w:val="0"/>
              <w:jc w:val="center"/>
              <w:rPr>
                <w:color w:val="auto"/>
                <w:sz w:val="21"/>
                <w:szCs w:val="21"/>
              </w:rPr>
            </w:pPr>
            <w:r>
              <w:rPr>
                <w:rFonts w:hint="eastAsia"/>
                <w:color w:val="auto"/>
                <w:sz w:val="21"/>
                <w:szCs w:val="21"/>
              </w:rPr>
              <w:t>累积性生态影响</w:t>
            </w:r>
          </w:p>
        </w:tc>
        <w:tc>
          <w:tcPr>
            <w:tcW w:w="1523" w:type="dxa"/>
            <w:vAlign w:val="center"/>
          </w:tcPr>
          <w:p>
            <w:pPr>
              <w:adjustRightInd w:val="0"/>
              <w:snapToGrid w:val="0"/>
              <w:jc w:val="center"/>
              <w:rPr>
                <w:color w:val="auto"/>
                <w:sz w:val="21"/>
                <w:szCs w:val="21"/>
              </w:rPr>
            </w:pPr>
            <w:r>
              <w:rPr>
                <w:color w:val="auto"/>
                <w:sz w:val="21"/>
                <w:szCs w:val="21"/>
              </w:rPr>
              <w:t>/</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27" w:type="dxa"/>
            <w:vMerge w:val="continue"/>
            <w:tcBorders>
              <w:bottom w:val="single" w:color="auto" w:sz="12" w:space="0"/>
            </w:tcBorders>
            <w:vAlign w:val="center"/>
          </w:tcPr>
          <w:p>
            <w:pPr>
              <w:adjustRightInd w:val="0"/>
              <w:snapToGrid w:val="0"/>
              <w:jc w:val="center"/>
              <w:rPr>
                <w:color w:val="auto"/>
                <w:sz w:val="21"/>
                <w:szCs w:val="21"/>
              </w:rPr>
            </w:pPr>
          </w:p>
        </w:tc>
        <w:tc>
          <w:tcPr>
            <w:tcW w:w="674" w:type="dxa"/>
            <w:tcBorders>
              <w:bottom w:val="single" w:color="auto" w:sz="12" w:space="0"/>
            </w:tcBorders>
            <w:vAlign w:val="center"/>
          </w:tcPr>
          <w:p>
            <w:pPr>
              <w:adjustRightInd w:val="0"/>
              <w:snapToGrid w:val="0"/>
              <w:jc w:val="center"/>
              <w:rPr>
                <w:color w:val="auto"/>
                <w:sz w:val="21"/>
                <w:szCs w:val="21"/>
              </w:rPr>
            </w:pPr>
            <w:r>
              <w:rPr>
                <w:color w:val="auto"/>
                <w:sz w:val="21"/>
                <w:szCs w:val="21"/>
              </w:rPr>
              <w:t>环境风险</w:t>
            </w:r>
          </w:p>
        </w:tc>
        <w:tc>
          <w:tcPr>
            <w:tcW w:w="3969" w:type="dxa"/>
            <w:tcBorders>
              <w:bottom w:val="single" w:color="auto" w:sz="12" w:space="0"/>
              <w:right w:val="single" w:color="auto" w:sz="4" w:space="0"/>
            </w:tcBorders>
            <w:vAlign w:val="center"/>
          </w:tcPr>
          <w:p>
            <w:pPr>
              <w:adjustRightInd w:val="0"/>
              <w:snapToGrid w:val="0"/>
              <w:jc w:val="center"/>
              <w:rPr>
                <w:color w:val="auto"/>
                <w:sz w:val="21"/>
                <w:szCs w:val="21"/>
              </w:rPr>
            </w:pPr>
            <w:r>
              <w:rPr>
                <w:color w:val="auto"/>
                <w:sz w:val="21"/>
                <w:szCs w:val="21"/>
              </w:rPr>
              <w:t>/</w:t>
            </w:r>
          </w:p>
        </w:tc>
        <w:tc>
          <w:tcPr>
            <w:tcW w:w="2693" w:type="dxa"/>
            <w:tcBorders>
              <w:left w:val="single" w:color="auto" w:sz="4" w:space="0"/>
              <w:bottom w:val="single" w:color="auto" w:sz="12" w:space="0"/>
            </w:tcBorders>
            <w:vAlign w:val="center"/>
          </w:tcPr>
          <w:p>
            <w:pPr>
              <w:adjustRightInd w:val="0"/>
              <w:snapToGrid w:val="0"/>
              <w:jc w:val="center"/>
              <w:rPr>
                <w:color w:val="auto"/>
                <w:sz w:val="21"/>
                <w:szCs w:val="21"/>
              </w:rPr>
            </w:pPr>
            <w:r>
              <w:rPr>
                <w:color w:val="auto"/>
                <w:sz w:val="21"/>
                <w:szCs w:val="21"/>
              </w:rPr>
              <w:t>危险物质</w:t>
            </w:r>
          </w:p>
        </w:tc>
        <w:tc>
          <w:tcPr>
            <w:tcW w:w="1523" w:type="dxa"/>
            <w:tcBorders>
              <w:bottom w:val="single" w:color="auto" w:sz="12" w:space="0"/>
            </w:tcBorders>
            <w:vAlign w:val="center"/>
          </w:tcPr>
          <w:p>
            <w:pPr>
              <w:adjustRightInd w:val="0"/>
              <w:snapToGrid w:val="0"/>
              <w:jc w:val="center"/>
              <w:rPr>
                <w:color w:val="auto"/>
                <w:sz w:val="21"/>
                <w:szCs w:val="21"/>
              </w:rPr>
            </w:pPr>
            <w:r>
              <w:rPr>
                <w:color w:val="auto"/>
                <w:sz w:val="21"/>
                <w:szCs w:val="21"/>
              </w:rPr>
              <w:t>/</w:t>
            </w:r>
          </w:p>
        </w:tc>
      </w:tr>
    </w:tbl>
    <w:p>
      <w:pPr>
        <w:pStyle w:val="3"/>
        <w:rPr>
          <w:rFonts w:ascii="Times New Roman"/>
          <w:color w:val="auto"/>
        </w:rPr>
      </w:pPr>
      <w:bookmarkStart w:id="133" w:name="_Toc25997"/>
      <w:bookmarkStart w:id="134" w:name="_Toc14943309"/>
      <w:bookmarkStart w:id="135" w:name="_Toc24136718"/>
      <w:bookmarkStart w:id="136" w:name="_Toc23263151"/>
      <w:r>
        <w:rPr>
          <w:rFonts w:ascii="Times New Roman"/>
          <w:color w:val="auto"/>
        </w:rPr>
        <w:t>评价工作等级</w:t>
      </w:r>
      <w:bookmarkEnd w:id="133"/>
      <w:bookmarkEnd w:id="134"/>
      <w:bookmarkEnd w:id="135"/>
      <w:bookmarkEnd w:id="136"/>
    </w:p>
    <w:p>
      <w:pPr>
        <w:pStyle w:val="298"/>
        <w:rPr>
          <w:color w:val="auto"/>
        </w:rPr>
      </w:pPr>
      <w:bookmarkStart w:id="137" w:name="_Toc14946815"/>
      <w:bookmarkStart w:id="138" w:name="_Toc24136719"/>
      <w:bookmarkStart w:id="139" w:name="_Toc15912107"/>
      <w:bookmarkStart w:id="140" w:name="_Toc24652"/>
      <w:r>
        <w:rPr>
          <w:color w:val="auto"/>
        </w:rPr>
        <w:t>2.6.1大气环境影响评价工作等级</w:t>
      </w:r>
      <w:bookmarkEnd w:id="137"/>
      <w:bookmarkEnd w:id="138"/>
      <w:bookmarkEnd w:id="139"/>
      <w:bookmarkEnd w:id="140"/>
    </w:p>
    <w:p>
      <w:pPr>
        <w:spacing w:line="360" w:lineRule="auto"/>
        <w:ind w:firstLine="480"/>
        <w:jc w:val="both"/>
        <w:rPr>
          <w:color w:val="auto"/>
        </w:rPr>
      </w:pPr>
      <w:r>
        <w:rPr>
          <w:color w:val="auto"/>
        </w:rPr>
        <w:t>根据第3章工程分析结果，本项目运营期排放的大气污染物主要为排放的TSP、H</w:t>
      </w:r>
      <w:r>
        <w:rPr>
          <w:color w:val="auto"/>
          <w:vertAlign w:val="subscript"/>
        </w:rPr>
        <w:t>2</w:t>
      </w:r>
      <w:r>
        <w:rPr>
          <w:color w:val="auto"/>
        </w:rPr>
        <w:t>S、NH</w:t>
      </w:r>
      <w:r>
        <w:rPr>
          <w:color w:val="auto"/>
          <w:vertAlign w:val="subscript"/>
        </w:rPr>
        <w:t>3</w:t>
      </w:r>
      <w:r>
        <w:rPr>
          <w:color w:val="auto"/>
        </w:rPr>
        <w:t>。</w:t>
      </w:r>
    </w:p>
    <w:p>
      <w:pPr>
        <w:spacing w:line="360" w:lineRule="auto"/>
        <w:ind w:firstLine="480"/>
        <w:jc w:val="both"/>
        <w:rPr>
          <w:snapToGrid w:val="0"/>
          <w:color w:val="auto"/>
        </w:rPr>
      </w:pPr>
      <w:r>
        <w:rPr>
          <w:color w:val="auto"/>
        </w:rPr>
        <w:t>根据《环境影响评价技术导则  大气环境》（HJ2.2-2018）中评价等级判定确定方法，结合项目工程分析结果，选择正常排放的主要污染物及排放参数，采用《环境影响评价技术导则  大气环境》（HJ2.2-2018）附录A推荐模型中的AERSCREEN模式分别计算项目排放主要污染物的最大地面空气质量浓度占标率Pi和第i个污染物的地面空气质量浓度达到标准值的10%时所对应的最远距离D</w:t>
      </w:r>
      <w:r>
        <w:rPr>
          <w:color w:val="auto"/>
          <w:vertAlign w:val="subscript"/>
        </w:rPr>
        <w:t>10%</w:t>
      </w:r>
      <w:r>
        <w:rPr>
          <w:color w:val="auto"/>
        </w:rPr>
        <w:t>。</w:t>
      </w:r>
      <w:r>
        <w:rPr>
          <w:snapToGrid w:val="0"/>
          <w:color w:val="auto"/>
        </w:rPr>
        <w:t>其中，Pi定义如下：</w:t>
      </w:r>
    </w:p>
    <w:p>
      <w:pPr>
        <w:jc w:val="center"/>
        <w:rPr>
          <w:color w:val="auto"/>
          <w:position w:val="-16"/>
        </w:rPr>
      </w:pPr>
      <w:r>
        <w:rPr>
          <w:color w:val="auto"/>
          <w:position w:val="-30"/>
        </w:rPr>
        <w:object>
          <v:shape id="_x0000_i1025" o:spt="75" type="#_x0000_t75" style="height:34.45pt;width:80.75pt;" o:ole="t" filled="f" o:preferrelative="t" stroked="f" coordsize="21600,21600">
            <v:path/>
            <v:fill on="f" focussize="0,0"/>
            <v:stroke on="f" joinstyle="miter"/>
            <v:imagedata r:id="rId56" o:title=""/>
            <o:lock v:ext="edit" aspectratio="t"/>
            <w10:wrap type="none"/>
            <w10:anchorlock/>
          </v:shape>
          <o:OLEObject Type="Embed" ProgID="Equation.3" ShapeID="_x0000_i1025" DrawAspect="Content" ObjectID="_1468075725" r:id="rId55">
            <o:LockedField>false</o:LockedField>
          </o:OLEObject>
        </w:object>
      </w:r>
    </w:p>
    <w:p>
      <w:pPr>
        <w:spacing w:line="360" w:lineRule="auto"/>
        <w:ind w:firstLine="480"/>
        <w:rPr>
          <w:color w:val="auto"/>
          <w:position w:val="-16"/>
        </w:rPr>
      </w:pPr>
      <w:r>
        <w:rPr>
          <w:color w:val="auto"/>
        </w:rPr>
        <w:t>式中：P</w:t>
      </w:r>
      <w:r>
        <w:rPr>
          <w:color w:val="auto"/>
          <w:vertAlign w:val="subscript"/>
        </w:rPr>
        <w:t>i</w:t>
      </w:r>
      <w:r>
        <w:rPr>
          <w:color w:val="auto"/>
        </w:rPr>
        <w:t>——第i个污染物的最大地面浓度占标率，%；</w:t>
      </w:r>
    </w:p>
    <w:p>
      <w:pPr>
        <w:numPr>
          <w:ilvl w:val="12"/>
          <w:numId w:val="0"/>
        </w:numPr>
        <w:spacing w:line="360" w:lineRule="auto"/>
        <w:ind w:firstLine="1200" w:firstLineChars="500"/>
        <w:rPr>
          <w:color w:val="auto"/>
        </w:rPr>
      </w:pPr>
      <w:r>
        <w:rPr>
          <w:color w:val="auto"/>
        </w:rPr>
        <w:t>C</w:t>
      </w:r>
      <w:r>
        <w:rPr>
          <w:color w:val="auto"/>
          <w:vertAlign w:val="subscript"/>
        </w:rPr>
        <w:t>i</w:t>
      </w:r>
      <w:r>
        <w:rPr>
          <w:color w:val="auto"/>
        </w:rPr>
        <w:t>——采用估算模式计算出的第i个污染物的最大1h地面空气质量浓度，µg/m</w:t>
      </w:r>
      <w:r>
        <w:rPr>
          <w:color w:val="auto"/>
          <w:vertAlign w:val="superscript"/>
        </w:rPr>
        <w:t>3</w:t>
      </w:r>
      <w:r>
        <w:rPr>
          <w:color w:val="auto"/>
        </w:rPr>
        <w:t>；</w:t>
      </w:r>
    </w:p>
    <w:p>
      <w:pPr>
        <w:spacing w:line="360" w:lineRule="auto"/>
        <w:ind w:firstLine="1200" w:firstLineChars="500"/>
        <w:rPr>
          <w:color w:val="auto"/>
        </w:rPr>
      </w:pPr>
      <w:r>
        <w:rPr>
          <w:color w:val="auto"/>
        </w:rPr>
        <w:t>C</w:t>
      </w:r>
      <w:r>
        <w:rPr>
          <w:color w:val="auto"/>
          <w:vertAlign w:val="subscript"/>
        </w:rPr>
        <w:t>oi</w:t>
      </w:r>
      <w:r>
        <w:rPr>
          <w:color w:val="auto"/>
        </w:rPr>
        <w:t>——第i个污染物的环境空气质量标准，µg/m</w:t>
      </w:r>
      <w:r>
        <w:rPr>
          <w:color w:val="auto"/>
          <w:vertAlign w:val="superscript"/>
        </w:rPr>
        <w:t>3</w:t>
      </w:r>
      <w:r>
        <w:rPr>
          <w:color w:val="auto"/>
        </w:rPr>
        <w:t>。</w:t>
      </w:r>
    </w:p>
    <w:p>
      <w:pPr>
        <w:spacing w:line="360" w:lineRule="auto"/>
        <w:ind w:firstLine="480" w:firstLineChars="200"/>
        <w:rPr>
          <w:color w:val="auto"/>
        </w:rPr>
      </w:pPr>
      <w:r>
        <w:rPr>
          <w:color w:val="auto"/>
        </w:rPr>
        <w:t>评价工作等级按表2.6-1的分级判据进行划分，取</w:t>
      </w:r>
      <w:r>
        <w:rPr>
          <w:color w:val="auto"/>
          <w:position w:val="-12"/>
        </w:rPr>
        <w:object>
          <v:shape id="_x0000_i1026" o:spt="75" type="#_x0000_t75" style="height:20.05pt;width:12.5pt;" o:ole="t" filled="f" o:preferrelative="t" stroked="f" coordsize="21600,21600">
            <v:path/>
            <v:fill on="f" focussize="0,0"/>
            <v:stroke on="f" joinstyle="miter"/>
            <v:imagedata r:id="rId58" o:title=""/>
            <o:lock v:ext="edit" aspectratio="t"/>
            <w10:wrap type="none"/>
            <w10:anchorlock/>
          </v:shape>
          <o:OLEObject Type="Embed" ProgID="Equation.3" ShapeID="_x0000_i1026" DrawAspect="Content" ObjectID="_1468075726" r:id="rId57">
            <o:LockedField>false</o:LockedField>
          </o:OLEObject>
        </w:object>
      </w:r>
      <w:r>
        <w:rPr>
          <w:color w:val="auto"/>
        </w:rPr>
        <w:t>值最大者(</w:t>
      </w:r>
      <w:r>
        <w:rPr>
          <w:color w:val="auto"/>
          <w:position w:val="-12"/>
        </w:rPr>
        <w:object>
          <v:shape id="_x0000_i1027" o:spt="75" type="#_x0000_t75" style="height:20.05pt;width:23.15pt;" o:ole="t" filled="f" o:preferrelative="t" stroked="f" coordsize="21600,21600">
            <v:path/>
            <v:fill on="f" focussize="0,0"/>
            <v:stroke on="f" joinstyle="miter"/>
            <v:imagedata r:id="rId60" o:title=""/>
            <o:lock v:ext="edit" aspectratio="t"/>
            <w10:wrap type="none"/>
            <w10:anchorlock/>
          </v:shape>
          <o:OLEObject Type="Embed" ProgID="Equation.3" ShapeID="_x0000_i1027" DrawAspect="Content" ObjectID="_1468075727" r:id="rId59">
            <o:LockedField>false</o:LockedField>
          </o:OLEObject>
        </w:object>
      </w:r>
      <w:r>
        <w:rPr>
          <w:color w:val="auto"/>
        </w:rPr>
        <w:t>)。</w:t>
      </w:r>
    </w:p>
    <w:p>
      <w:pPr>
        <w:pStyle w:val="5"/>
        <w:ind w:firstLine="482"/>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2.6</w:t>
      </w:r>
      <w:r>
        <w:rPr>
          <w:b/>
          <w:color w:val="auto"/>
        </w:rPr>
        <w:fldChar w:fldCharType="end"/>
      </w:r>
      <w:r>
        <w:rPr>
          <w:b/>
          <w:color w:val="auto"/>
        </w:rPr>
        <w:noBreakHyphen/>
      </w:r>
      <w:r>
        <w:rPr>
          <w:b/>
          <w:color w:val="auto"/>
        </w:rPr>
        <w:fldChar w:fldCharType="begin"/>
      </w:r>
      <w:r>
        <w:rPr>
          <w:b/>
          <w:color w:val="auto"/>
        </w:rPr>
        <w:instrText xml:space="preserve"> SEQ 表 \* ARABIC \s 2 </w:instrText>
      </w:r>
      <w:r>
        <w:rPr>
          <w:b/>
          <w:color w:val="auto"/>
        </w:rPr>
        <w:fldChar w:fldCharType="separate"/>
      </w:r>
      <w:r>
        <w:rPr>
          <w:b/>
          <w:color w:val="auto"/>
        </w:rPr>
        <w:t>1</w:t>
      </w:r>
      <w:r>
        <w:rPr>
          <w:b/>
          <w:color w:val="auto"/>
        </w:rPr>
        <w:fldChar w:fldCharType="end"/>
      </w:r>
      <w:r>
        <w:rPr>
          <w:b/>
          <w:color w:val="auto"/>
        </w:rPr>
        <w:t xml:space="preserve"> 评价工作等级分级判据</w:t>
      </w:r>
    </w:p>
    <w:tbl>
      <w:tblPr>
        <w:tblStyle w:val="53"/>
        <w:tblW w:w="9286"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660"/>
        <w:gridCol w:w="662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2660" w:type="dxa"/>
            <w:vAlign w:val="center"/>
          </w:tcPr>
          <w:p>
            <w:pPr>
              <w:jc w:val="center"/>
              <w:rPr>
                <w:b/>
                <w:color w:val="auto"/>
                <w:sz w:val="21"/>
                <w:szCs w:val="21"/>
              </w:rPr>
            </w:pPr>
            <w:r>
              <w:rPr>
                <w:b/>
                <w:color w:val="auto"/>
                <w:sz w:val="21"/>
                <w:szCs w:val="21"/>
              </w:rPr>
              <w:t>评价工作等级</w:t>
            </w:r>
          </w:p>
        </w:tc>
        <w:tc>
          <w:tcPr>
            <w:tcW w:w="6626" w:type="dxa"/>
            <w:vAlign w:val="center"/>
          </w:tcPr>
          <w:p>
            <w:pPr>
              <w:jc w:val="center"/>
              <w:rPr>
                <w:b/>
                <w:color w:val="auto"/>
                <w:sz w:val="21"/>
                <w:szCs w:val="21"/>
              </w:rPr>
            </w:pPr>
            <w:r>
              <w:rPr>
                <w:b/>
                <w:color w:val="auto"/>
                <w:sz w:val="21"/>
                <w:szCs w:val="21"/>
              </w:rPr>
              <w:t>评价工作分级判据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660" w:type="dxa"/>
            <w:vAlign w:val="center"/>
          </w:tcPr>
          <w:p>
            <w:pPr>
              <w:jc w:val="center"/>
              <w:rPr>
                <w:color w:val="auto"/>
                <w:sz w:val="21"/>
                <w:szCs w:val="21"/>
              </w:rPr>
            </w:pPr>
            <w:r>
              <w:rPr>
                <w:color w:val="auto"/>
                <w:sz w:val="21"/>
                <w:szCs w:val="21"/>
              </w:rPr>
              <w:t>一级</w:t>
            </w:r>
          </w:p>
        </w:tc>
        <w:tc>
          <w:tcPr>
            <w:tcW w:w="6626" w:type="dxa"/>
            <w:vAlign w:val="center"/>
          </w:tcPr>
          <w:p>
            <w:pPr>
              <w:jc w:val="center"/>
              <w:rPr>
                <w:color w:val="auto"/>
                <w:sz w:val="21"/>
              </w:rPr>
            </w:pPr>
            <w:r>
              <w:rPr>
                <w:color w:val="auto"/>
                <w:sz w:val="21"/>
              </w:rPr>
              <w:t>P</w:t>
            </w:r>
            <w:r>
              <w:rPr>
                <w:color w:val="auto"/>
                <w:sz w:val="21"/>
                <w:vertAlign w:val="subscript"/>
              </w:rPr>
              <w:t>max</w:t>
            </w:r>
            <w:r>
              <w:rPr>
                <w:color w:val="auto"/>
                <w:sz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660" w:type="dxa"/>
            <w:vAlign w:val="center"/>
          </w:tcPr>
          <w:p>
            <w:pPr>
              <w:jc w:val="center"/>
              <w:rPr>
                <w:color w:val="auto"/>
                <w:sz w:val="21"/>
                <w:szCs w:val="21"/>
              </w:rPr>
            </w:pPr>
            <w:r>
              <w:rPr>
                <w:color w:val="auto"/>
                <w:sz w:val="21"/>
                <w:szCs w:val="21"/>
              </w:rPr>
              <w:t>二级</w:t>
            </w:r>
          </w:p>
        </w:tc>
        <w:tc>
          <w:tcPr>
            <w:tcW w:w="6626" w:type="dxa"/>
            <w:vAlign w:val="center"/>
          </w:tcPr>
          <w:p>
            <w:pPr>
              <w:jc w:val="center"/>
              <w:rPr>
                <w:color w:val="auto"/>
                <w:sz w:val="21"/>
              </w:rPr>
            </w:pPr>
            <w:r>
              <w:rPr>
                <w:color w:val="auto"/>
                <w:sz w:val="21"/>
              </w:rPr>
              <w:t>1%≤P</w:t>
            </w:r>
            <w:r>
              <w:rPr>
                <w:color w:val="auto"/>
                <w:sz w:val="21"/>
                <w:vertAlign w:val="subscript"/>
              </w:rPr>
              <w:t>max</w:t>
            </w:r>
            <w:r>
              <w:rPr>
                <w:color w:val="auto"/>
                <w:sz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660" w:type="dxa"/>
            <w:vAlign w:val="center"/>
          </w:tcPr>
          <w:p>
            <w:pPr>
              <w:jc w:val="center"/>
              <w:rPr>
                <w:color w:val="auto"/>
                <w:sz w:val="21"/>
                <w:szCs w:val="21"/>
              </w:rPr>
            </w:pPr>
            <w:r>
              <w:rPr>
                <w:color w:val="auto"/>
                <w:sz w:val="21"/>
                <w:szCs w:val="21"/>
              </w:rPr>
              <w:t>三级</w:t>
            </w:r>
          </w:p>
        </w:tc>
        <w:tc>
          <w:tcPr>
            <w:tcW w:w="6626" w:type="dxa"/>
            <w:vAlign w:val="center"/>
          </w:tcPr>
          <w:p>
            <w:pPr>
              <w:jc w:val="center"/>
              <w:rPr>
                <w:color w:val="auto"/>
                <w:sz w:val="21"/>
              </w:rPr>
            </w:pPr>
            <w:r>
              <w:rPr>
                <w:color w:val="auto"/>
                <w:sz w:val="21"/>
              </w:rPr>
              <w:t>P</w:t>
            </w:r>
            <w:r>
              <w:rPr>
                <w:color w:val="auto"/>
                <w:sz w:val="21"/>
                <w:vertAlign w:val="subscript"/>
              </w:rPr>
              <w:t>max</w:t>
            </w:r>
            <w:r>
              <w:rPr>
                <w:color w:val="auto"/>
                <w:sz w:val="21"/>
              </w:rPr>
              <w:t xml:space="preserve">＜1% </w:t>
            </w:r>
          </w:p>
        </w:tc>
      </w:tr>
    </w:tbl>
    <w:p>
      <w:pPr>
        <w:spacing w:line="360" w:lineRule="auto"/>
        <w:ind w:firstLine="480"/>
        <w:jc w:val="both"/>
        <w:rPr>
          <w:color w:val="auto"/>
        </w:rPr>
      </w:pPr>
      <w:r>
        <w:rPr>
          <w:color w:val="auto"/>
        </w:rPr>
        <w:t>根据项目的工程分析结果，选择正常排放的焚烧炉烟气</w:t>
      </w:r>
      <w:r>
        <w:rPr>
          <w:rFonts w:hint="eastAsia"/>
          <w:color w:val="auto"/>
        </w:rPr>
        <w:t>作为</w:t>
      </w:r>
      <w:r>
        <w:rPr>
          <w:color w:val="auto"/>
        </w:rPr>
        <w:t>主要污染物及排放参数，采用附录A推荐模型中的AERSCREEN估算模式计算时所采用的污染物评价标准，所用参数见下表。</w:t>
      </w:r>
    </w:p>
    <w:p>
      <w:pPr>
        <w:pStyle w:val="5"/>
        <w:ind w:firstLine="482"/>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2.6</w:t>
      </w:r>
      <w:r>
        <w:rPr>
          <w:b/>
          <w:color w:val="auto"/>
        </w:rPr>
        <w:fldChar w:fldCharType="end"/>
      </w:r>
      <w:r>
        <w:rPr>
          <w:b/>
          <w:color w:val="auto"/>
        </w:rPr>
        <w:noBreakHyphen/>
      </w:r>
      <w:r>
        <w:rPr>
          <w:b/>
          <w:color w:val="auto"/>
        </w:rPr>
        <w:fldChar w:fldCharType="begin"/>
      </w:r>
      <w:r>
        <w:rPr>
          <w:b/>
          <w:color w:val="auto"/>
        </w:rPr>
        <w:instrText xml:space="preserve"> SEQ 表 \* ARABIC \s 2 </w:instrText>
      </w:r>
      <w:r>
        <w:rPr>
          <w:b/>
          <w:color w:val="auto"/>
        </w:rPr>
        <w:fldChar w:fldCharType="separate"/>
      </w:r>
      <w:r>
        <w:rPr>
          <w:b/>
          <w:color w:val="auto"/>
        </w:rPr>
        <w:t>2</w:t>
      </w:r>
      <w:r>
        <w:rPr>
          <w:b/>
          <w:color w:val="auto"/>
        </w:rPr>
        <w:fldChar w:fldCharType="end"/>
      </w:r>
      <w:r>
        <w:rPr>
          <w:b/>
          <w:color w:val="auto"/>
        </w:rPr>
        <w:t xml:space="preserve"> 估算模式参数表</w:t>
      </w:r>
    </w:p>
    <w:tbl>
      <w:tblPr>
        <w:tblStyle w:val="53"/>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33"/>
        <w:gridCol w:w="4171"/>
        <w:gridCol w:w="20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204" w:type="dxa"/>
            <w:gridSpan w:val="2"/>
            <w:tcBorders>
              <w:tl2br w:val="nil"/>
              <w:tr2bl w:val="nil"/>
            </w:tcBorders>
            <w:shd w:val="clear" w:color="auto" w:fill="auto"/>
            <w:vAlign w:val="center"/>
          </w:tcPr>
          <w:p>
            <w:pPr>
              <w:pStyle w:val="292"/>
              <w:ind w:firstLine="482"/>
              <w:rPr>
                <w:b/>
                <w:color w:val="auto"/>
              </w:rPr>
            </w:pPr>
            <w:r>
              <w:rPr>
                <w:b/>
                <w:color w:val="auto"/>
              </w:rPr>
              <w:t>参数</w:t>
            </w:r>
          </w:p>
        </w:tc>
        <w:tc>
          <w:tcPr>
            <w:tcW w:w="2082" w:type="dxa"/>
            <w:tcBorders>
              <w:tl2br w:val="nil"/>
              <w:tr2bl w:val="nil"/>
            </w:tcBorders>
            <w:shd w:val="clear" w:color="auto" w:fill="auto"/>
            <w:vAlign w:val="center"/>
          </w:tcPr>
          <w:p>
            <w:pPr>
              <w:pStyle w:val="292"/>
              <w:rPr>
                <w:b/>
                <w:color w:val="auto"/>
              </w:rPr>
            </w:pPr>
            <w:r>
              <w:rPr>
                <w:b/>
                <w:color w:val="auto"/>
              </w:rPr>
              <w:t>取值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033" w:type="dxa"/>
            <w:vMerge w:val="restart"/>
            <w:tcBorders>
              <w:tl2br w:val="nil"/>
              <w:tr2bl w:val="nil"/>
            </w:tcBorders>
            <w:shd w:val="clear" w:color="auto" w:fill="auto"/>
            <w:vAlign w:val="center"/>
          </w:tcPr>
          <w:p>
            <w:pPr>
              <w:pStyle w:val="292"/>
              <w:rPr>
                <w:color w:val="auto"/>
              </w:rPr>
            </w:pPr>
            <w:r>
              <w:rPr>
                <w:color w:val="auto"/>
              </w:rPr>
              <w:t>城市/农村选项</w:t>
            </w:r>
          </w:p>
        </w:tc>
        <w:tc>
          <w:tcPr>
            <w:tcW w:w="4171" w:type="dxa"/>
            <w:tcBorders>
              <w:tl2br w:val="nil"/>
              <w:tr2bl w:val="nil"/>
            </w:tcBorders>
            <w:shd w:val="clear" w:color="auto" w:fill="auto"/>
            <w:vAlign w:val="center"/>
          </w:tcPr>
          <w:p>
            <w:pPr>
              <w:pStyle w:val="292"/>
              <w:rPr>
                <w:color w:val="auto"/>
              </w:rPr>
            </w:pPr>
            <w:r>
              <w:rPr>
                <w:color w:val="auto"/>
              </w:rPr>
              <w:t>城市/农村</w:t>
            </w:r>
          </w:p>
        </w:tc>
        <w:tc>
          <w:tcPr>
            <w:tcW w:w="2082" w:type="dxa"/>
            <w:tcBorders>
              <w:tl2br w:val="nil"/>
              <w:tr2bl w:val="nil"/>
            </w:tcBorders>
            <w:shd w:val="clear" w:color="auto" w:fill="auto"/>
            <w:vAlign w:val="center"/>
          </w:tcPr>
          <w:p>
            <w:pPr>
              <w:pStyle w:val="292"/>
              <w:rPr>
                <w:color w:val="auto"/>
              </w:rPr>
            </w:pPr>
            <w:r>
              <w:rPr>
                <w:color w:val="auto"/>
              </w:rPr>
              <w:t>农村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033" w:type="dxa"/>
            <w:vMerge w:val="continue"/>
            <w:tcBorders>
              <w:tl2br w:val="nil"/>
              <w:tr2bl w:val="nil"/>
            </w:tcBorders>
            <w:shd w:val="clear" w:color="auto" w:fill="auto"/>
            <w:vAlign w:val="center"/>
          </w:tcPr>
          <w:p>
            <w:pPr>
              <w:pStyle w:val="292"/>
              <w:rPr>
                <w:color w:val="auto"/>
              </w:rPr>
            </w:pPr>
          </w:p>
        </w:tc>
        <w:tc>
          <w:tcPr>
            <w:tcW w:w="4171" w:type="dxa"/>
            <w:tcBorders>
              <w:tl2br w:val="nil"/>
              <w:tr2bl w:val="nil"/>
            </w:tcBorders>
            <w:shd w:val="clear" w:color="auto" w:fill="auto"/>
            <w:vAlign w:val="center"/>
          </w:tcPr>
          <w:p>
            <w:pPr>
              <w:pStyle w:val="292"/>
              <w:rPr>
                <w:color w:val="auto"/>
              </w:rPr>
            </w:pPr>
            <w:r>
              <w:rPr>
                <w:color w:val="auto"/>
              </w:rPr>
              <w:t>人口数（城市选项时）</w:t>
            </w:r>
          </w:p>
        </w:tc>
        <w:tc>
          <w:tcPr>
            <w:tcW w:w="2082" w:type="dxa"/>
            <w:tcBorders>
              <w:tl2br w:val="nil"/>
              <w:tr2bl w:val="nil"/>
            </w:tcBorders>
            <w:shd w:val="clear" w:color="auto" w:fill="auto"/>
            <w:vAlign w:val="center"/>
          </w:tcPr>
          <w:p>
            <w:pPr>
              <w:pStyle w:val="292"/>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204" w:type="dxa"/>
            <w:gridSpan w:val="2"/>
            <w:tcBorders>
              <w:tl2br w:val="nil"/>
              <w:tr2bl w:val="nil"/>
            </w:tcBorders>
            <w:shd w:val="clear" w:color="auto" w:fill="auto"/>
            <w:vAlign w:val="center"/>
          </w:tcPr>
          <w:p>
            <w:pPr>
              <w:pStyle w:val="292"/>
              <w:rPr>
                <w:color w:val="auto"/>
              </w:rPr>
            </w:pPr>
            <w:r>
              <w:rPr>
                <w:color w:val="auto"/>
              </w:rPr>
              <w:t xml:space="preserve">最高环境温度/ </w:t>
            </w:r>
            <w:r>
              <w:rPr>
                <w:rFonts w:hint="eastAsia" w:ascii="宋体" w:hAnsi="宋体" w:cs="宋体"/>
                <w:color w:val="auto"/>
              </w:rPr>
              <w:t>℃</w:t>
            </w:r>
          </w:p>
        </w:tc>
        <w:tc>
          <w:tcPr>
            <w:tcW w:w="2082" w:type="dxa"/>
            <w:tcBorders>
              <w:tl2br w:val="nil"/>
              <w:tr2bl w:val="nil"/>
            </w:tcBorders>
            <w:shd w:val="clear" w:color="auto" w:fill="auto"/>
            <w:vAlign w:val="center"/>
          </w:tcPr>
          <w:p>
            <w:pPr>
              <w:pStyle w:val="292"/>
              <w:rPr>
                <w:color w:val="auto"/>
              </w:rPr>
            </w:pPr>
            <w:r>
              <w:rPr>
                <w:color w:val="auto"/>
              </w:rPr>
              <w:t>39.0°C</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204" w:type="dxa"/>
            <w:gridSpan w:val="2"/>
            <w:tcBorders>
              <w:tl2br w:val="nil"/>
              <w:tr2bl w:val="nil"/>
            </w:tcBorders>
            <w:shd w:val="clear" w:color="auto" w:fill="auto"/>
            <w:vAlign w:val="center"/>
          </w:tcPr>
          <w:p>
            <w:pPr>
              <w:pStyle w:val="292"/>
              <w:rPr>
                <w:color w:val="auto"/>
              </w:rPr>
            </w:pPr>
            <w:r>
              <w:rPr>
                <w:color w:val="auto"/>
              </w:rPr>
              <w:t xml:space="preserve">最低环境温度/ </w:t>
            </w:r>
            <w:r>
              <w:rPr>
                <w:rFonts w:hint="eastAsia" w:ascii="宋体" w:hAnsi="宋体" w:cs="宋体"/>
                <w:color w:val="auto"/>
              </w:rPr>
              <w:t>℃</w:t>
            </w:r>
          </w:p>
        </w:tc>
        <w:tc>
          <w:tcPr>
            <w:tcW w:w="2082" w:type="dxa"/>
            <w:tcBorders>
              <w:tl2br w:val="nil"/>
              <w:tr2bl w:val="nil"/>
            </w:tcBorders>
            <w:shd w:val="clear" w:color="auto" w:fill="auto"/>
            <w:vAlign w:val="center"/>
          </w:tcPr>
          <w:p>
            <w:pPr>
              <w:pStyle w:val="292"/>
              <w:rPr>
                <w:color w:val="auto"/>
              </w:rPr>
            </w:pPr>
            <w:r>
              <w:rPr>
                <w:color w:val="auto"/>
              </w:rPr>
              <w:t>-3.5°C</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204" w:type="dxa"/>
            <w:gridSpan w:val="2"/>
            <w:tcBorders>
              <w:tl2br w:val="nil"/>
              <w:tr2bl w:val="nil"/>
            </w:tcBorders>
            <w:shd w:val="clear" w:color="auto" w:fill="auto"/>
            <w:vAlign w:val="center"/>
          </w:tcPr>
          <w:p>
            <w:pPr>
              <w:pStyle w:val="292"/>
              <w:rPr>
                <w:color w:val="auto"/>
              </w:rPr>
            </w:pPr>
            <w:r>
              <w:rPr>
                <w:color w:val="auto"/>
              </w:rPr>
              <w:t>土地利用类型</w:t>
            </w:r>
          </w:p>
        </w:tc>
        <w:tc>
          <w:tcPr>
            <w:tcW w:w="2082" w:type="dxa"/>
            <w:tcBorders>
              <w:tl2br w:val="nil"/>
              <w:tr2bl w:val="nil"/>
            </w:tcBorders>
            <w:shd w:val="clear" w:color="auto" w:fill="auto"/>
            <w:vAlign w:val="center"/>
          </w:tcPr>
          <w:p>
            <w:pPr>
              <w:pStyle w:val="292"/>
              <w:rPr>
                <w:color w:val="auto"/>
              </w:rPr>
            </w:pPr>
            <w:r>
              <w:rPr>
                <w:rFonts w:hint="eastAsia"/>
                <w:color w:val="auto"/>
              </w:rPr>
              <w:t>针叶林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204" w:type="dxa"/>
            <w:gridSpan w:val="2"/>
            <w:tcBorders>
              <w:tl2br w:val="nil"/>
              <w:tr2bl w:val="nil"/>
            </w:tcBorders>
            <w:shd w:val="clear" w:color="auto" w:fill="auto"/>
            <w:vAlign w:val="center"/>
          </w:tcPr>
          <w:p>
            <w:pPr>
              <w:pStyle w:val="292"/>
              <w:rPr>
                <w:color w:val="auto"/>
              </w:rPr>
            </w:pPr>
            <w:r>
              <w:rPr>
                <w:color w:val="auto"/>
              </w:rPr>
              <w:t>区域湿度条件</w:t>
            </w:r>
          </w:p>
        </w:tc>
        <w:tc>
          <w:tcPr>
            <w:tcW w:w="2082" w:type="dxa"/>
            <w:tcBorders>
              <w:tl2br w:val="nil"/>
              <w:tr2bl w:val="nil"/>
            </w:tcBorders>
            <w:shd w:val="clear" w:color="auto" w:fill="auto"/>
            <w:vAlign w:val="center"/>
          </w:tcPr>
          <w:p>
            <w:pPr>
              <w:pStyle w:val="292"/>
              <w:rPr>
                <w:color w:val="auto"/>
              </w:rPr>
            </w:pPr>
            <w:r>
              <w:rPr>
                <w:color w:val="auto"/>
              </w:rPr>
              <w:t>2</w:t>
            </w:r>
            <w:r>
              <w:rPr>
                <w:rFonts w:hint="eastAsia"/>
                <w:color w:val="auto"/>
              </w:rPr>
              <w:t>（湿润气候）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033" w:type="dxa"/>
            <w:vMerge w:val="restart"/>
            <w:tcBorders>
              <w:tl2br w:val="nil"/>
              <w:tr2bl w:val="nil"/>
            </w:tcBorders>
            <w:shd w:val="clear" w:color="auto" w:fill="auto"/>
            <w:vAlign w:val="center"/>
          </w:tcPr>
          <w:p>
            <w:pPr>
              <w:pStyle w:val="292"/>
              <w:rPr>
                <w:color w:val="auto"/>
              </w:rPr>
            </w:pPr>
            <w:r>
              <w:rPr>
                <w:color w:val="auto"/>
              </w:rPr>
              <w:t>是否考虑地形</w:t>
            </w:r>
          </w:p>
        </w:tc>
        <w:tc>
          <w:tcPr>
            <w:tcW w:w="4171" w:type="dxa"/>
            <w:tcBorders>
              <w:tl2br w:val="nil"/>
              <w:tr2bl w:val="nil"/>
            </w:tcBorders>
            <w:shd w:val="clear" w:color="auto" w:fill="auto"/>
            <w:vAlign w:val="center"/>
          </w:tcPr>
          <w:p>
            <w:pPr>
              <w:pStyle w:val="292"/>
              <w:rPr>
                <w:color w:val="auto"/>
              </w:rPr>
            </w:pPr>
            <w:r>
              <w:rPr>
                <w:color w:val="auto"/>
              </w:rPr>
              <w:t>考虑地形</w:t>
            </w:r>
          </w:p>
        </w:tc>
        <w:tc>
          <w:tcPr>
            <w:tcW w:w="2082" w:type="dxa"/>
            <w:tcBorders>
              <w:tl2br w:val="nil"/>
              <w:tr2bl w:val="nil"/>
            </w:tcBorders>
            <w:shd w:val="clear" w:color="auto" w:fill="auto"/>
            <w:vAlign w:val="center"/>
          </w:tcPr>
          <w:p>
            <w:pPr>
              <w:pStyle w:val="292"/>
              <w:rPr>
                <w:color w:val="auto"/>
              </w:rPr>
            </w:pPr>
            <w:r>
              <w:rPr>
                <w:color w:val="auto"/>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033" w:type="dxa"/>
            <w:vMerge w:val="continue"/>
            <w:tcBorders>
              <w:tl2br w:val="nil"/>
              <w:tr2bl w:val="nil"/>
            </w:tcBorders>
            <w:shd w:val="clear" w:color="auto" w:fill="auto"/>
            <w:vAlign w:val="center"/>
          </w:tcPr>
          <w:p>
            <w:pPr>
              <w:pStyle w:val="292"/>
              <w:rPr>
                <w:color w:val="auto"/>
              </w:rPr>
            </w:pPr>
          </w:p>
        </w:tc>
        <w:tc>
          <w:tcPr>
            <w:tcW w:w="4171" w:type="dxa"/>
            <w:tcBorders>
              <w:tl2br w:val="nil"/>
              <w:tr2bl w:val="nil"/>
            </w:tcBorders>
            <w:shd w:val="clear" w:color="auto" w:fill="auto"/>
            <w:vAlign w:val="center"/>
          </w:tcPr>
          <w:p>
            <w:pPr>
              <w:pStyle w:val="292"/>
              <w:rPr>
                <w:color w:val="auto"/>
              </w:rPr>
            </w:pPr>
            <w:r>
              <w:rPr>
                <w:color w:val="auto"/>
              </w:rPr>
              <w:t>地形数据分辨率 / m</w:t>
            </w:r>
          </w:p>
        </w:tc>
        <w:tc>
          <w:tcPr>
            <w:tcW w:w="2082" w:type="dxa"/>
            <w:tcBorders>
              <w:tl2br w:val="nil"/>
              <w:tr2bl w:val="nil"/>
            </w:tcBorders>
            <w:shd w:val="clear" w:color="auto" w:fill="auto"/>
            <w:vAlign w:val="center"/>
          </w:tcPr>
          <w:p>
            <w:pPr>
              <w:pStyle w:val="292"/>
              <w:rPr>
                <w:color w:val="auto"/>
              </w:rPr>
            </w:pPr>
            <w:r>
              <w:rPr>
                <w:color w:val="auto"/>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033" w:type="dxa"/>
            <w:vMerge w:val="restart"/>
            <w:tcBorders>
              <w:tl2br w:val="nil"/>
              <w:tr2bl w:val="nil"/>
            </w:tcBorders>
            <w:shd w:val="clear" w:color="auto" w:fill="auto"/>
            <w:vAlign w:val="center"/>
          </w:tcPr>
          <w:p>
            <w:pPr>
              <w:pStyle w:val="292"/>
              <w:rPr>
                <w:color w:val="auto"/>
              </w:rPr>
            </w:pPr>
            <w:r>
              <w:rPr>
                <w:color w:val="auto"/>
              </w:rPr>
              <w:t>是否考虑岸线熏烟</w:t>
            </w:r>
          </w:p>
        </w:tc>
        <w:tc>
          <w:tcPr>
            <w:tcW w:w="4171" w:type="dxa"/>
            <w:tcBorders>
              <w:tl2br w:val="nil"/>
              <w:tr2bl w:val="nil"/>
            </w:tcBorders>
            <w:shd w:val="clear" w:color="auto" w:fill="auto"/>
            <w:vAlign w:val="center"/>
          </w:tcPr>
          <w:p>
            <w:pPr>
              <w:pStyle w:val="292"/>
              <w:rPr>
                <w:color w:val="auto"/>
              </w:rPr>
            </w:pPr>
            <w:r>
              <w:rPr>
                <w:color w:val="auto"/>
              </w:rPr>
              <w:t>考虑岸线熏烟</w:t>
            </w:r>
          </w:p>
        </w:tc>
        <w:tc>
          <w:tcPr>
            <w:tcW w:w="2082" w:type="dxa"/>
            <w:tcBorders>
              <w:tl2br w:val="nil"/>
              <w:tr2bl w:val="nil"/>
            </w:tcBorders>
            <w:shd w:val="clear" w:color="auto" w:fill="auto"/>
            <w:vAlign w:val="center"/>
          </w:tcPr>
          <w:p>
            <w:pPr>
              <w:pStyle w:val="292"/>
              <w:rPr>
                <w:color w:val="auto"/>
              </w:rPr>
            </w:pPr>
            <w:r>
              <w:rPr>
                <w:color w:val="auto"/>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3033" w:type="dxa"/>
            <w:vMerge w:val="continue"/>
            <w:tcBorders>
              <w:tl2br w:val="nil"/>
              <w:tr2bl w:val="nil"/>
            </w:tcBorders>
            <w:shd w:val="clear" w:color="auto" w:fill="auto"/>
            <w:vAlign w:val="center"/>
          </w:tcPr>
          <w:p>
            <w:pPr>
              <w:pStyle w:val="292"/>
              <w:rPr>
                <w:color w:val="auto"/>
              </w:rPr>
            </w:pPr>
          </w:p>
        </w:tc>
        <w:tc>
          <w:tcPr>
            <w:tcW w:w="4171" w:type="dxa"/>
            <w:tcBorders>
              <w:tl2br w:val="nil"/>
              <w:tr2bl w:val="nil"/>
            </w:tcBorders>
            <w:shd w:val="clear" w:color="auto" w:fill="auto"/>
            <w:vAlign w:val="center"/>
          </w:tcPr>
          <w:p>
            <w:pPr>
              <w:pStyle w:val="292"/>
              <w:rPr>
                <w:color w:val="auto"/>
              </w:rPr>
            </w:pPr>
            <w:r>
              <w:rPr>
                <w:color w:val="auto"/>
              </w:rPr>
              <w:t>岸线距离/ km</w:t>
            </w:r>
          </w:p>
        </w:tc>
        <w:tc>
          <w:tcPr>
            <w:tcW w:w="2082" w:type="dxa"/>
            <w:tcBorders>
              <w:tl2br w:val="nil"/>
              <w:tr2bl w:val="nil"/>
            </w:tcBorders>
            <w:shd w:val="clear" w:color="auto" w:fill="auto"/>
            <w:vAlign w:val="center"/>
          </w:tcPr>
          <w:p>
            <w:pPr>
              <w:pStyle w:val="292"/>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033" w:type="dxa"/>
            <w:vMerge w:val="continue"/>
            <w:tcBorders>
              <w:tl2br w:val="nil"/>
              <w:tr2bl w:val="nil"/>
            </w:tcBorders>
            <w:shd w:val="clear" w:color="auto" w:fill="auto"/>
            <w:vAlign w:val="center"/>
          </w:tcPr>
          <w:p>
            <w:pPr>
              <w:pStyle w:val="292"/>
              <w:rPr>
                <w:color w:val="auto"/>
              </w:rPr>
            </w:pPr>
          </w:p>
        </w:tc>
        <w:tc>
          <w:tcPr>
            <w:tcW w:w="4171" w:type="dxa"/>
            <w:tcBorders>
              <w:tl2br w:val="nil"/>
              <w:tr2bl w:val="nil"/>
            </w:tcBorders>
            <w:shd w:val="clear" w:color="auto" w:fill="auto"/>
            <w:vAlign w:val="center"/>
          </w:tcPr>
          <w:p>
            <w:pPr>
              <w:pStyle w:val="292"/>
              <w:rPr>
                <w:color w:val="auto"/>
              </w:rPr>
            </w:pPr>
            <w:r>
              <w:rPr>
                <w:color w:val="auto"/>
              </w:rPr>
              <w:t>岸线方向/ °</w:t>
            </w:r>
          </w:p>
        </w:tc>
        <w:tc>
          <w:tcPr>
            <w:tcW w:w="2082" w:type="dxa"/>
            <w:tcBorders>
              <w:tl2br w:val="nil"/>
              <w:tr2bl w:val="nil"/>
            </w:tcBorders>
            <w:shd w:val="clear" w:color="auto" w:fill="auto"/>
            <w:vAlign w:val="center"/>
          </w:tcPr>
          <w:p>
            <w:pPr>
              <w:pStyle w:val="292"/>
              <w:rPr>
                <w:color w:val="auto"/>
              </w:rPr>
            </w:pPr>
            <w:r>
              <w:rPr>
                <w:color w:val="auto"/>
              </w:rPr>
              <w:t>/</w:t>
            </w:r>
          </w:p>
        </w:tc>
      </w:tr>
    </w:tbl>
    <w:p>
      <w:pPr>
        <w:spacing w:line="360" w:lineRule="auto"/>
        <w:ind w:firstLine="482"/>
        <w:rPr>
          <w:color w:val="auto"/>
        </w:rPr>
      </w:pPr>
      <w:r>
        <w:rPr>
          <w:color w:val="auto"/>
        </w:rPr>
        <w:t>项目源强参数详见表2.6-3至表2.6-</w:t>
      </w:r>
      <w:r>
        <w:rPr>
          <w:rFonts w:hint="eastAsia"/>
          <w:color w:val="auto"/>
        </w:rPr>
        <w:t>4</w:t>
      </w:r>
      <w:r>
        <w:rPr>
          <w:color w:val="auto"/>
        </w:rPr>
        <w:t>。</w:t>
      </w:r>
    </w:p>
    <w:p>
      <w:pPr>
        <w:spacing w:line="360" w:lineRule="auto"/>
        <w:ind w:firstLine="480"/>
        <w:jc w:val="both"/>
        <w:rPr>
          <w:color w:val="auto"/>
        </w:rPr>
      </w:pPr>
    </w:p>
    <w:p>
      <w:pPr>
        <w:jc w:val="center"/>
        <w:rPr>
          <w:b/>
          <w:color w:val="auto"/>
        </w:rPr>
        <w:sectPr>
          <w:pgSz w:w="11906" w:h="16838"/>
          <w:pgMar w:top="1418" w:right="1418" w:bottom="1418" w:left="1418" w:header="851" w:footer="992" w:gutter="0"/>
          <w:pgNumType w:fmt="decimal"/>
          <w:cols w:space="425" w:num="1"/>
          <w:docGrid w:type="lines" w:linePitch="326" w:charSpace="0"/>
        </w:sectPr>
      </w:pPr>
    </w:p>
    <w:p>
      <w:pPr>
        <w:pStyle w:val="290"/>
        <w:rPr>
          <w:color w:val="auto"/>
        </w:rPr>
      </w:pPr>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2.6</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3</w:t>
      </w:r>
      <w:r>
        <w:rPr>
          <w:color w:val="auto"/>
        </w:rPr>
        <w:fldChar w:fldCharType="end"/>
      </w:r>
      <w:r>
        <w:rPr>
          <w:color w:val="auto"/>
        </w:rPr>
        <w:t xml:space="preserve">   点源估算模式参数表</w:t>
      </w:r>
    </w:p>
    <w:tbl>
      <w:tblPr>
        <w:tblStyle w:val="53"/>
        <w:tblW w:w="13703" w:type="dxa"/>
        <w:jc w:val="center"/>
        <w:tblInd w:w="0" w:type="dxa"/>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12"/>
        <w:gridCol w:w="1006"/>
        <w:gridCol w:w="721"/>
        <w:gridCol w:w="721"/>
        <w:gridCol w:w="973"/>
        <w:gridCol w:w="1107"/>
        <w:gridCol w:w="1261"/>
        <w:gridCol w:w="1266"/>
        <w:gridCol w:w="1091"/>
        <w:gridCol w:w="1266"/>
        <w:gridCol w:w="1263"/>
        <w:gridCol w:w="1261"/>
        <w:gridCol w:w="1255"/>
      </w:tblGrid>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25" w:hRule="atLeast"/>
          <w:tblHeader/>
          <w:jc w:val="center"/>
        </w:trPr>
        <w:tc>
          <w:tcPr>
            <w:tcW w:w="512" w:type="dxa"/>
            <w:vMerge w:val="restart"/>
            <w:shd w:val="clear" w:color="auto" w:fill="auto"/>
            <w:vAlign w:val="center"/>
          </w:tcPr>
          <w:p>
            <w:pPr>
              <w:pStyle w:val="292"/>
              <w:rPr>
                <w:b/>
                <w:color w:val="auto"/>
              </w:rPr>
            </w:pPr>
            <w:r>
              <w:rPr>
                <w:b/>
                <w:color w:val="auto"/>
              </w:rPr>
              <w:t>序号</w:t>
            </w:r>
          </w:p>
        </w:tc>
        <w:tc>
          <w:tcPr>
            <w:tcW w:w="1006" w:type="dxa"/>
            <w:vMerge w:val="restart"/>
            <w:shd w:val="clear" w:color="auto" w:fill="auto"/>
            <w:vAlign w:val="center"/>
          </w:tcPr>
          <w:p>
            <w:pPr>
              <w:pStyle w:val="292"/>
              <w:rPr>
                <w:b/>
                <w:color w:val="auto"/>
              </w:rPr>
            </w:pPr>
            <w:r>
              <w:rPr>
                <w:b/>
                <w:color w:val="auto"/>
              </w:rPr>
              <w:t>排气筒编号</w:t>
            </w:r>
          </w:p>
        </w:tc>
        <w:tc>
          <w:tcPr>
            <w:tcW w:w="1442" w:type="dxa"/>
            <w:gridSpan w:val="2"/>
            <w:shd w:val="clear" w:color="auto" w:fill="auto"/>
            <w:vAlign w:val="center"/>
          </w:tcPr>
          <w:p>
            <w:pPr>
              <w:pStyle w:val="292"/>
              <w:rPr>
                <w:b/>
                <w:color w:val="auto"/>
              </w:rPr>
            </w:pPr>
            <w:r>
              <w:rPr>
                <w:b/>
                <w:color w:val="auto"/>
              </w:rPr>
              <w:t>排气筒底部中心坐标（m）</w:t>
            </w:r>
          </w:p>
        </w:tc>
        <w:tc>
          <w:tcPr>
            <w:tcW w:w="973" w:type="dxa"/>
            <w:vMerge w:val="restart"/>
            <w:shd w:val="clear" w:color="auto" w:fill="auto"/>
            <w:vAlign w:val="center"/>
          </w:tcPr>
          <w:p>
            <w:pPr>
              <w:pStyle w:val="292"/>
              <w:rPr>
                <w:b/>
                <w:color w:val="auto"/>
              </w:rPr>
            </w:pPr>
            <w:r>
              <w:rPr>
                <w:b/>
                <w:color w:val="auto"/>
              </w:rPr>
              <w:t>排气筒底部海拔高度（m）</w:t>
            </w:r>
          </w:p>
        </w:tc>
        <w:tc>
          <w:tcPr>
            <w:tcW w:w="1107" w:type="dxa"/>
            <w:vMerge w:val="restart"/>
            <w:shd w:val="clear" w:color="auto" w:fill="auto"/>
            <w:vAlign w:val="center"/>
          </w:tcPr>
          <w:p>
            <w:pPr>
              <w:pStyle w:val="292"/>
              <w:rPr>
                <w:b/>
                <w:color w:val="auto"/>
              </w:rPr>
            </w:pPr>
            <w:r>
              <w:rPr>
                <w:b/>
                <w:color w:val="auto"/>
              </w:rPr>
              <w:t>排放工况</w:t>
            </w:r>
          </w:p>
        </w:tc>
        <w:tc>
          <w:tcPr>
            <w:tcW w:w="1261" w:type="dxa"/>
            <w:vMerge w:val="restart"/>
            <w:shd w:val="clear" w:color="auto" w:fill="auto"/>
            <w:vAlign w:val="center"/>
          </w:tcPr>
          <w:p>
            <w:pPr>
              <w:pStyle w:val="292"/>
              <w:rPr>
                <w:b/>
                <w:color w:val="auto"/>
              </w:rPr>
            </w:pPr>
            <w:r>
              <w:rPr>
                <w:b/>
                <w:color w:val="auto"/>
              </w:rPr>
              <w:t>年排放小时数（h）</w:t>
            </w:r>
          </w:p>
        </w:tc>
        <w:tc>
          <w:tcPr>
            <w:tcW w:w="1266" w:type="dxa"/>
            <w:vMerge w:val="restart"/>
            <w:shd w:val="clear" w:color="auto" w:fill="auto"/>
            <w:vAlign w:val="center"/>
          </w:tcPr>
          <w:p>
            <w:pPr>
              <w:pStyle w:val="292"/>
              <w:rPr>
                <w:b/>
                <w:color w:val="auto"/>
              </w:rPr>
            </w:pPr>
            <w:r>
              <w:rPr>
                <w:b/>
                <w:color w:val="auto"/>
              </w:rPr>
              <w:t>排气筒风量（m</w:t>
            </w:r>
            <w:r>
              <w:rPr>
                <w:b/>
                <w:color w:val="auto"/>
                <w:vertAlign w:val="superscript"/>
              </w:rPr>
              <w:t>3</w:t>
            </w:r>
            <w:r>
              <w:rPr>
                <w:b/>
                <w:color w:val="auto"/>
              </w:rPr>
              <w:t>/h）</w:t>
            </w:r>
          </w:p>
        </w:tc>
        <w:tc>
          <w:tcPr>
            <w:tcW w:w="1091" w:type="dxa"/>
            <w:vMerge w:val="restart"/>
            <w:shd w:val="clear" w:color="auto" w:fill="auto"/>
            <w:vAlign w:val="center"/>
          </w:tcPr>
          <w:p>
            <w:pPr>
              <w:pStyle w:val="292"/>
              <w:rPr>
                <w:b/>
                <w:color w:val="auto"/>
              </w:rPr>
            </w:pPr>
            <w:r>
              <w:rPr>
                <w:b/>
                <w:color w:val="auto"/>
              </w:rPr>
              <w:t>排气筒内径(m)</w:t>
            </w:r>
          </w:p>
        </w:tc>
        <w:tc>
          <w:tcPr>
            <w:tcW w:w="1266" w:type="dxa"/>
            <w:vMerge w:val="restart"/>
            <w:shd w:val="clear" w:color="auto" w:fill="auto"/>
            <w:vAlign w:val="center"/>
          </w:tcPr>
          <w:p>
            <w:pPr>
              <w:pStyle w:val="292"/>
              <w:rPr>
                <w:b/>
                <w:color w:val="auto"/>
              </w:rPr>
            </w:pPr>
            <w:r>
              <w:rPr>
                <w:b/>
                <w:color w:val="auto"/>
              </w:rPr>
              <w:t xml:space="preserve">排气筒高度(m) </w:t>
            </w:r>
          </w:p>
        </w:tc>
        <w:tc>
          <w:tcPr>
            <w:tcW w:w="1263" w:type="dxa"/>
            <w:vMerge w:val="restart"/>
            <w:shd w:val="clear" w:color="auto" w:fill="auto"/>
            <w:vAlign w:val="center"/>
          </w:tcPr>
          <w:p>
            <w:pPr>
              <w:pStyle w:val="292"/>
              <w:rPr>
                <w:b/>
                <w:color w:val="auto"/>
              </w:rPr>
            </w:pPr>
            <w:r>
              <w:rPr>
                <w:b/>
                <w:color w:val="auto"/>
              </w:rPr>
              <w:t>排气筒出口温度(</w:t>
            </w:r>
            <w:r>
              <w:rPr>
                <w:rFonts w:hint="eastAsia" w:ascii="宋体" w:hAnsi="宋体" w:cs="宋体"/>
                <w:b/>
                <w:color w:val="auto"/>
              </w:rPr>
              <w:t>℃</w:t>
            </w:r>
            <w:r>
              <w:rPr>
                <w:b/>
                <w:color w:val="auto"/>
              </w:rPr>
              <w:t>)</w:t>
            </w:r>
          </w:p>
        </w:tc>
        <w:tc>
          <w:tcPr>
            <w:tcW w:w="2516" w:type="dxa"/>
            <w:gridSpan w:val="2"/>
            <w:vAlign w:val="center"/>
          </w:tcPr>
          <w:p>
            <w:pPr>
              <w:pStyle w:val="292"/>
              <w:rPr>
                <w:b/>
                <w:color w:val="auto"/>
              </w:rPr>
            </w:pPr>
            <w:r>
              <w:rPr>
                <w:b/>
                <w:color w:val="auto"/>
              </w:rPr>
              <w:t>污染物排放速率(kg/h）</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25" w:hRule="atLeast"/>
          <w:tblHeader/>
          <w:jc w:val="center"/>
        </w:trPr>
        <w:tc>
          <w:tcPr>
            <w:tcW w:w="512" w:type="dxa"/>
            <w:vMerge w:val="continue"/>
            <w:vAlign w:val="center"/>
          </w:tcPr>
          <w:p>
            <w:pPr>
              <w:pStyle w:val="292"/>
              <w:rPr>
                <w:b/>
                <w:color w:val="auto"/>
              </w:rPr>
            </w:pPr>
          </w:p>
        </w:tc>
        <w:tc>
          <w:tcPr>
            <w:tcW w:w="1006" w:type="dxa"/>
            <w:vMerge w:val="continue"/>
            <w:vAlign w:val="center"/>
          </w:tcPr>
          <w:p>
            <w:pPr>
              <w:pStyle w:val="292"/>
              <w:rPr>
                <w:b/>
                <w:color w:val="auto"/>
              </w:rPr>
            </w:pPr>
          </w:p>
        </w:tc>
        <w:tc>
          <w:tcPr>
            <w:tcW w:w="721" w:type="dxa"/>
            <w:shd w:val="clear" w:color="auto" w:fill="auto"/>
            <w:vAlign w:val="center"/>
          </w:tcPr>
          <w:p>
            <w:pPr>
              <w:pStyle w:val="292"/>
              <w:rPr>
                <w:b/>
                <w:color w:val="auto"/>
              </w:rPr>
            </w:pPr>
            <w:r>
              <w:rPr>
                <w:b/>
                <w:color w:val="auto"/>
              </w:rPr>
              <w:t>X</w:t>
            </w:r>
          </w:p>
        </w:tc>
        <w:tc>
          <w:tcPr>
            <w:tcW w:w="721" w:type="dxa"/>
            <w:shd w:val="clear" w:color="auto" w:fill="auto"/>
            <w:vAlign w:val="center"/>
          </w:tcPr>
          <w:p>
            <w:pPr>
              <w:pStyle w:val="292"/>
              <w:rPr>
                <w:b/>
                <w:color w:val="auto"/>
              </w:rPr>
            </w:pPr>
            <w:r>
              <w:rPr>
                <w:b/>
                <w:color w:val="auto"/>
              </w:rPr>
              <w:t>Y</w:t>
            </w:r>
          </w:p>
        </w:tc>
        <w:tc>
          <w:tcPr>
            <w:tcW w:w="973" w:type="dxa"/>
            <w:vMerge w:val="continue"/>
            <w:vAlign w:val="center"/>
          </w:tcPr>
          <w:p>
            <w:pPr>
              <w:pStyle w:val="292"/>
              <w:rPr>
                <w:b/>
                <w:color w:val="auto"/>
              </w:rPr>
            </w:pPr>
          </w:p>
        </w:tc>
        <w:tc>
          <w:tcPr>
            <w:tcW w:w="1107" w:type="dxa"/>
            <w:vMerge w:val="continue"/>
            <w:vAlign w:val="center"/>
          </w:tcPr>
          <w:p>
            <w:pPr>
              <w:pStyle w:val="292"/>
              <w:rPr>
                <w:b/>
                <w:color w:val="auto"/>
              </w:rPr>
            </w:pPr>
          </w:p>
        </w:tc>
        <w:tc>
          <w:tcPr>
            <w:tcW w:w="1261" w:type="dxa"/>
            <w:vMerge w:val="continue"/>
            <w:vAlign w:val="center"/>
          </w:tcPr>
          <w:p>
            <w:pPr>
              <w:pStyle w:val="292"/>
              <w:rPr>
                <w:b/>
                <w:color w:val="auto"/>
              </w:rPr>
            </w:pPr>
          </w:p>
        </w:tc>
        <w:tc>
          <w:tcPr>
            <w:tcW w:w="1266" w:type="dxa"/>
            <w:vMerge w:val="continue"/>
            <w:vAlign w:val="center"/>
          </w:tcPr>
          <w:p>
            <w:pPr>
              <w:pStyle w:val="292"/>
              <w:rPr>
                <w:b/>
                <w:color w:val="auto"/>
              </w:rPr>
            </w:pPr>
          </w:p>
        </w:tc>
        <w:tc>
          <w:tcPr>
            <w:tcW w:w="1091" w:type="dxa"/>
            <w:vMerge w:val="continue"/>
            <w:vAlign w:val="center"/>
          </w:tcPr>
          <w:p>
            <w:pPr>
              <w:pStyle w:val="292"/>
              <w:rPr>
                <w:b/>
                <w:color w:val="auto"/>
              </w:rPr>
            </w:pPr>
          </w:p>
        </w:tc>
        <w:tc>
          <w:tcPr>
            <w:tcW w:w="1266" w:type="dxa"/>
            <w:vMerge w:val="continue"/>
            <w:vAlign w:val="center"/>
          </w:tcPr>
          <w:p>
            <w:pPr>
              <w:pStyle w:val="292"/>
              <w:rPr>
                <w:b/>
                <w:color w:val="auto"/>
              </w:rPr>
            </w:pPr>
          </w:p>
        </w:tc>
        <w:tc>
          <w:tcPr>
            <w:tcW w:w="1263" w:type="dxa"/>
            <w:vMerge w:val="continue"/>
            <w:vAlign w:val="center"/>
          </w:tcPr>
          <w:p>
            <w:pPr>
              <w:pStyle w:val="292"/>
              <w:rPr>
                <w:b/>
                <w:color w:val="auto"/>
              </w:rPr>
            </w:pPr>
          </w:p>
        </w:tc>
        <w:tc>
          <w:tcPr>
            <w:tcW w:w="1261" w:type="dxa"/>
            <w:vAlign w:val="center"/>
          </w:tcPr>
          <w:p>
            <w:pPr>
              <w:pStyle w:val="292"/>
              <w:rPr>
                <w:b/>
                <w:color w:val="auto"/>
              </w:rPr>
            </w:pPr>
            <w:r>
              <w:rPr>
                <w:b/>
                <w:color w:val="auto"/>
                <w:szCs w:val="21"/>
              </w:rPr>
              <w:t>NH</w:t>
            </w:r>
            <w:r>
              <w:rPr>
                <w:b/>
                <w:color w:val="auto"/>
                <w:szCs w:val="21"/>
                <w:vertAlign w:val="subscript"/>
              </w:rPr>
              <w:t>3</w:t>
            </w:r>
          </w:p>
        </w:tc>
        <w:tc>
          <w:tcPr>
            <w:tcW w:w="1255" w:type="dxa"/>
            <w:vAlign w:val="center"/>
          </w:tcPr>
          <w:p>
            <w:pPr>
              <w:pStyle w:val="292"/>
              <w:rPr>
                <w:b/>
                <w:color w:val="auto"/>
              </w:rPr>
            </w:pPr>
            <w:r>
              <w:rPr>
                <w:b/>
                <w:color w:val="auto"/>
                <w:szCs w:val="21"/>
              </w:rPr>
              <w:t>H</w:t>
            </w:r>
            <w:r>
              <w:rPr>
                <w:b/>
                <w:color w:val="auto"/>
                <w:szCs w:val="21"/>
                <w:vertAlign w:val="subscript"/>
              </w:rPr>
              <w:t>2</w:t>
            </w:r>
            <w:r>
              <w:rPr>
                <w:b/>
                <w:color w:val="auto"/>
                <w:szCs w:val="21"/>
              </w:rPr>
              <w:t>S</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25" w:hRule="atLeast"/>
          <w:jc w:val="center"/>
        </w:trPr>
        <w:tc>
          <w:tcPr>
            <w:tcW w:w="512" w:type="dxa"/>
            <w:shd w:val="clear" w:color="auto" w:fill="auto"/>
            <w:vAlign w:val="center"/>
          </w:tcPr>
          <w:p>
            <w:pPr>
              <w:pStyle w:val="292"/>
              <w:rPr>
                <w:color w:val="auto"/>
              </w:rPr>
            </w:pPr>
            <w:r>
              <w:rPr>
                <w:color w:val="auto"/>
              </w:rPr>
              <w:t>1</w:t>
            </w:r>
          </w:p>
        </w:tc>
        <w:tc>
          <w:tcPr>
            <w:tcW w:w="1006" w:type="dxa"/>
            <w:shd w:val="clear" w:color="auto" w:fill="auto"/>
            <w:vAlign w:val="center"/>
          </w:tcPr>
          <w:p>
            <w:pPr>
              <w:pStyle w:val="292"/>
              <w:rPr>
                <w:color w:val="auto"/>
              </w:rPr>
            </w:pPr>
            <w:r>
              <w:rPr>
                <w:rFonts w:hint="eastAsia" w:eastAsiaTheme="minorEastAsia"/>
                <w:color w:val="auto"/>
                <w:szCs w:val="21"/>
              </w:rPr>
              <w:t>FQ-05</w:t>
            </w:r>
          </w:p>
        </w:tc>
        <w:tc>
          <w:tcPr>
            <w:tcW w:w="721" w:type="dxa"/>
            <w:shd w:val="clear" w:color="auto" w:fill="auto"/>
          </w:tcPr>
          <w:p>
            <w:pPr>
              <w:pStyle w:val="292"/>
              <w:rPr>
                <w:color w:val="auto"/>
              </w:rPr>
            </w:pPr>
            <w:r>
              <w:rPr>
                <w:color w:val="auto"/>
              </w:rPr>
              <w:t>-12</w:t>
            </w:r>
          </w:p>
        </w:tc>
        <w:tc>
          <w:tcPr>
            <w:tcW w:w="721" w:type="dxa"/>
            <w:shd w:val="clear" w:color="auto" w:fill="auto"/>
          </w:tcPr>
          <w:p>
            <w:pPr>
              <w:pStyle w:val="292"/>
              <w:rPr>
                <w:color w:val="auto"/>
              </w:rPr>
            </w:pPr>
            <w:r>
              <w:rPr>
                <w:color w:val="auto"/>
              </w:rPr>
              <w:t>-78</w:t>
            </w:r>
          </w:p>
        </w:tc>
        <w:tc>
          <w:tcPr>
            <w:tcW w:w="973" w:type="dxa"/>
            <w:shd w:val="clear" w:color="auto" w:fill="auto"/>
            <w:vAlign w:val="center"/>
          </w:tcPr>
          <w:p>
            <w:pPr>
              <w:pStyle w:val="292"/>
              <w:rPr>
                <w:color w:val="auto"/>
              </w:rPr>
            </w:pPr>
            <w:r>
              <w:rPr>
                <w:rFonts w:hint="eastAsia"/>
                <w:color w:val="auto"/>
              </w:rPr>
              <w:t>212</w:t>
            </w:r>
          </w:p>
        </w:tc>
        <w:tc>
          <w:tcPr>
            <w:tcW w:w="1107" w:type="dxa"/>
            <w:shd w:val="clear" w:color="auto" w:fill="auto"/>
            <w:vAlign w:val="center"/>
          </w:tcPr>
          <w:p>
            <w:pPr>
              <w:pStyle w:val="292"/>
              <w:rPr>
                <w:color w:val="auto"/>
              </w:rPr>
            </w:pPr>
            <w:r>
              <w:rPr>
                <w:color w:val="auto"/>
              </w:rPr>
              <w:t>正常工况</w:t>
            </w:r>
          </w:p>
        </w:tc>
        <w:tc>
          <w:tcPr>
            <w:tcW w:w="1261" w:type="dxa"/>
            <w:shd w:val="clear" w:color="auto" w:fill="auto"/>
            <w:vAlign w:val="center"/>
          </w:tcPr>
          <w:p>
            <w:pPr>
              <w:pStyle w:val="292"/>
              <w:rPr>
                <w:color w:val="auto"/>
              </w:rPr>
            </w:pPr>
            <w:r>
              <w:rPr>
                <w:rFonts w:hint="eastAsia"/>
                <w:color w:val="auto"/>
              </w:rPr>
              <w:t>2640</w:t>
            </w:r>
          </w:p>
        </w:tc>
        <w:tc>
          <w:tcPr>
            <w:tcW w:w="1266" w:type="dxa"/>
            <w:shd w:val="clear" w:color="auto" w:fill="auto"/>
            <w:vAlign w:val="center"/>
          </w:tcPr>
          <w:p>
            <w:pPr>
              <w:pStyle w:val="292"/>
              <w:rPr>
                <w:color w:val="auto"/>
              </w:rPr>
            </w:pPr>
            <w:r>
              <w:rPr>
                <w:rFonts w:hint="eastAsia" w:eastAsiaTheme="minorEastAsia"/>
                <w:color w:val="auto"/>
                <w:szCs w:val="21"/>
              </w:rPr>
              <w:t>70000</w:t>
            </w:r>
          </w:p>
        </w:tc>
        <w:tc>
          <w:tcPr>
            <w:tcW w:w="1091" w:type="dxa"/>
            <w:shd w:val="clear" w:color="auto" w:fill="auto"/>
            <w:vAlign w:val="center"/>
          </w:tcPr>
          <w:p>
            <w:pPr>
              <w:pStyle w:val="292"/>
              <w:rPr>
                <w:color w:val="auto"/>
              </w:rPr>
            </w:pPr>
            <w:r>
              <w:rPr>
                <w:rFonts w:hint="eastAsia"/>
                <w:color w:val="auto"/>
              </w:rPr>
              <w:t>0.5</w:t>
            </w:r>
          </w:p>
        </w:tc>
        <w:tc>
          <w:tcPr>
            <w:tcW w:w="1266" w:type="dxa"/>
            <w:shd w:val="clear" w:color="auto" w:fill="auto"/>
            <w:vAlign w:val="center"/>
          </w:tcPr>
          <w:p>
            <w:pPr>
              <w:pStyle w:val="292"/>
              <w:rPr>
                <w:color w:val="auto"/>
              </w:rPr>
            </w:pPr>
            <w:r>
              <w:rPr>
                <w:rFonts w:hint="eastAsia"/>
                <w:color w:val="auto"/>
              </w:rPr>
              <w:t>15</w:t>
            </w:r>
            <w:r>
              <w:rPr>
                <w:color w:val="auto"/>
              </w:rPr>
              <w:t xml:space="preserve"> </w:t>
            </w:r>
          </w:p>
        </w:tc>
        <w:tc>
          <w:tcPr>
            <w:tcW w:w="1263" w:type="dxa"/>
            <w:shd w:val="clear" w:color="auto" w:fill="auto"/>
            <w:vAlign w:val="center"/>
          </w:tcPr>
          <w:p>
            <w:pPr>
              <w:pStyle w:val="292"/>
              <w:rPr>
                <w:color w:val="auto"/>
              </w:rPr>
            </w:pPr>
            <w:r>
              <w:rPr>
                <w:rFonts w:hint="eastAsia"/>
                <w:color w:val="auto"/>
              </w:rPr>
              <w:t>15</w:t>
            </w:r>
          </w:p>
        </w:tc>
        <w:tc>
          <w:tcPr>
            <w:tcW w:w="1261" w:type="dxa"/>
          </w:tcPr>
          <w:p>
            <w:pPr>
              <w:pStyle w:val="292"/>
              <w:rPr>
                <w:color w:val="auto"/>
              </w:rPr>
            </w:pPr>
            <w:r>
              <w:rPr>
                <w:rFonts w:hint="eastAsia"/>
                <w:color w:val="auto"/>
                <w:szCs w:val="21"/>
              </w:rPr>
              <w:t>0.</w:t>
            </w:r>
            <w:r>
              <w:rPr>
                <w:rFonts w:hint="eastAsia"/>
                <w:color w:val="auto"/>
                <w:szCs w:val="21"/>
                <w:lang w:val="en-US" w:eastAsia="zh-CN"/>
              </w:rPr>
              <w:t>009</w:t>
            </w:r>
          </w:p>
        </w:tc>
        <w:tc>
          <w:tcPr>
            <w:tcW w:w="1255" w:type="dxa"/>
          </w:tcPr>
          <w:p>
            <w:pPr>
              <w:pStyle w:val="292"/>
              <w:rPr>
                <w:color w:val="auto"/>
              </w:rPr>
            </w:pPr>
            <w:r>
              <w:rPr>
                <w:rFonts w:hint="eastAsia"/>
                <w:color w:val="auto"/>
                <w:szCs w:val="21"/>
              </w:rPr>
              <w:t>0.00</w:t>
            </w:r>
            <w:r>
              <w:rPr>
                <w:rFonts w:hint="eastAsia"/>
                <w:color w:val="auto"/>
                <w:szCs w:val="21"/>
                <w:lang w:val="en-US" w:eastAsia="zh-CN"/>
              </w:rPr>
              <w:t>5</w:t>
            </w:r>
          </w:p>
        </w:tc>
      </w:tr>
    </w:tbl>
    <w:p>
      <w:pPr>
        <w:pStyle w:val="290"/>
        <w:jc w:val="left"/>
        <w:rPr>
          <w:b w:val="0"/>
          <w:bCs/>
          <w:color w:val="auto"/>
        </w:rPr>
      </w:pPr>
    </w:p>
    <w:p>
      <w:pPr>
        <w:pStyle w:val="290"/>
        <w:rPr>
          <w:color w:val="auto"/>
        </w:rPr>
      </w:pPr>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2.6</w:t>
      </w:r>
      <w:r>
        <w:rPr>
          <w:color w:val="auto"/>
        </w:rPr>
        <w:fldChar w:fldCharType="end"/>
      </w:r>
      <w:r>
        <w:rPr>
          <w:color w:val="auto"/>
        </w:rPr>
        <w:noBreakHyphen/>
      </w:r>
      <w:r>
        <w:rPr>
          <w:rFonts w:hint="eastAsia"/>
          <w:color w:val="auto"/>
        </w:rPr>
        <w:t>4</w:t>
      </w:r>
      <w:r>
        <w:rPr>
          <w:color w:val="auto"/>
        </w:rPr>
        <w:t xml:space="preserve">   面源估算模式参数表</w:t>
      </w:r>
      <w:r>
        <w:rPr>
          <w:rFonts w:hint="eastAsia"/>
          <w:color w:val="auto"/>
        </w:rPr>
        <w:t>（面源高度主要是根据面源所在空间中的百叶窗高度而确定）</w:t>
      </w:r>
    </w:p>
    <w:tbl>
      <w:tblPr>
        <w:tblStyle w:val="53"/>
        <w:tblW w:w="14218" w:type="dxa"/>
        <w:jc w:val="center"/>
        <w:tblInd w:w="0" w:type="dxa"/>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23"/>
        <w:gridCol w:w="1806"/>
        <w:gridCol w:w="870"/>
        <w:gridCol w:w="842"/>
        <w:gridCol w:w="773"/>
        <w:gridCol w:w="842"/>
        <w:gridCol w:w="1027"/>
        <w:gridCol w:w="773"/>
        <w:gridCol w:w="773"/>
        <w:gridCol w:w="1234"/>
        <w:gridCol w:w="1410"/>
        <w:gridCol w:w="1487"/>
        <w:gridCol w:w="1858"/>
      </w:tblGrid>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61" w:hRule="atLeast"/>
          <w:tblHeader/>
          <w:jc w:val="center"/>
        </w:trPr>
        <w:tc>
          <w:tcPr>
            <w:tcW w:w="523" w:type="dxa"/>
            <w:vMerge w:val="restart"/>
            <w:shd w:val="clear" w:color="auto" w:fill="auto"/>
            <w:vAlign w:val="center"/>
          </w:tcPr>
          <w:p>
            <w:pPr>
              <w:pStyle w:val="292"/>
              <w:rPr>
                <w:b/>
                <w:color w:val="auto"/>
                <w:szCs w:val="21"/>
              </w:rPr>
            </w:pPr>
            <w:bookmarkStart w:id="141" w:name="_Hlk23404672"/>
            <w:r>
              <w:rPr>
                <w:b/>
                <w:color w:val="auto"/>
                <w:szCs w:val="21"/>
              </w:rPr>
              <w:t>序号</w:t>
            </w:r>
          </w:p>
        </w:tc>
        <w:tc>
          <w:tcPr>
            <w:tcW w:w="1806" w:type="dxa"/>
            <w:vMerge w:val="restart"/>
            <w:shd w:val="clear" w:color="auto" w:fill="auto"/>
            <w:vAlign w:val="center"/>
          </w:tcPr>
          <w:p>
            <w:pPr>
              <w:pStyle w:val="292"/>
              <w:rPr>
                <w:b/>
                <w:color w:val="auto"/>
                <w:szCs w:val="21"/>
              </w:rPr>
            </w:pPr>
            <w:r>
              <w:rPr>
                <w:b/>
                <w:color w:val="auto"/>
                <w:szCs w:val="21"/>
              </w:rPr>
              <w:t>面源名称</w:t>
            </w:r>
          </w:p>
        </w:tc>
        <w:tc>
          <w:tcPr>
            <w:tcW w:w="1712" w:type="dxa"/>
            <w:gridSpan w:val="2"/>
            <w:vMerge w:val="restart"/>
            <w:shd w:val="clear" w:color="auto" w:fill="auto"/>
            <w:vAlign w:val="center"/>
          </w:tcPr>
          <w:p>
            <w:pPr>
              <w:pStyle w:val="292"/>
              <w:rPr>
                <w:b/>
                <w:color w:val="auto"/>
                <w:szCs w:val="21"/>
              </w:rPr>
            </w:pPr>
            <w:r>
              <w:rPr>
                <w:b/>
                <w:color w:val="auto"/>
                <w:szCs w:val="21"/>
              </w:rPr>
              <w:t>面源起点坐标（m）</w:t>
            </w:r>
          </w:p>
        </w:tc>
        <w:tc>
          <w:tcPr>
            <w:tcW w:w="773" w:type="dxa"/>
            <w:vMerge w:val="restart"/>
            <w:shd w:val="clear" w:color="auto" w:fill="auto"/>
            <w:vAlign w:val="center"/>
          </w:tcPr>
          <w:p>
            <w:pPr>
              <w:pStyle w:val="292"/>
              <w:rPr>
                <w:b/>
                <w:color w:val="auto"/>
                <w:szCs w:val="21"/>
              </w:rPr>
            </w:pPr>
            <w:r>
              <w:rPr>
                <w:b/>
                <w:color w:val="auto"/>
                <w:szCs w:val="21"/>
              </w:rPr>
              <w:t>面源海拔高度</w:t>
            </w:r>
          </w:p>
        </w:tc>
        <w:tc>
          <w:tcPr>
            <w:tcW w:w="842" w:type="dxa"/>
            <w:vMerge w:val="restart"/>
            <w:shd w:val="clear" w:color="auto" w:fill="auto"/>
            <w:vAlign w:val="center"/>
          </w:tcPr>
          <w:p>
            <w:pPr>
              <w:pStyle w:val="292"/>
              <w:rPr>
                <w:b/>
                <w:color w:val="auto"/>
                <w:szCs w:val="21"/>
              </w:rPr>
            </w:pPr>
            <w:r>
              <w:rPr>
                <w:b/>
                <w:color w:val="auto"/>
                <w:szCs w:val="21"/>
              </w:rPr>
              <w:t>与正北向夹角</w:t>
            </w:r>
          </w:p>
        </w:tc>
        <w:tc>
          <w:tcPr>
            <w:tcW w:w="1027" w:type="dxa"/>
            <w:vMerge w:val="restart"/>
            <w:shd w:val="clear" w:color="auto" w:fill="auto"/>
            <w:vAlign w:val="center"/>
          </w:tcPr>
          <w:p>
            <w:pPr>
              <w:pStyle w:val="292"/>
              <w:rPr>
                <w:b/>
                <w:color w:val="auto"/>
                <w:szCs w:val="21"/>
              </w:rPr>
            </w:pPr>
            <w:r>
              <w:rPr>
                <w:b/>
                <w:color w:val="auto"/>
                <w:szCs w:val="21"/>
              </w:rPr>
              <w:t>年排放小时数</w:t>
            </w:r>
          </w:p>
        </w:tc>
        <w:tc>
          <w:tcPr>
            <w:tcW w:w="1546" w:type="dxa"/>
            <w:gridSpan w:val="2"/>
            <w:shd w:val="clear" w:color="auto" w:fill="auto"/>
            <w:vAlign w:val="center"/>
          </w:tcPr>
          <w:p>
            <w:pPr>
              <w:pStyle w:val="292"/>
              <w:rPr>
                <w:b/>
                <w:color w:val="auto"/>
                <w:szCs w:val="21"/>
              </w:rPr>
            </w:pPr>
            <w:r>
              <w:rPr>
                <w:b/>
                <w:color w:val="auto"/>
                <w:szCs w:val="21"/>
              </w:rPr>
              <w:t>大小</w:t>
            </w:r>
          </w:p>
        </w:tc>
        <w:tc>
          <w:tcPr>
            <w:tcW w:w="1234" w:type="dxa"/>
            <w:vMerge w:val="restart"/>
            <w:shd w:val="clear" w:color="auto" w:fill="auto"/>
            <w:vAlign w:val="center"/>
          </w:tcPr>
          <w:p>
            <w:pPr>
              <w:pStyle w:val="292"/>
              <w:rPr>
                <w:b/>
                <w:color w:val="auto"/>
                <w:szCs w:val="21"/>
              </w:rPr>
            </w:pPr>
            <w:r>
              <w:rPr>
                <w:b/>
                <w:color w:val="auto"/>
                <w:szCs w:val="21"/>
              </w:rPr>
              <w:t>面源初始排放高度</w:t>
            </w:r>
          </w:p>
        </w:tc>
        <w:tc>
          <w:tcPr>
            <w:tcW w:w="4755" w:type="dxa"/>
            <w:gridSpan w:val="3"/>
            <w:shd w:val="clear" w:color="auto" w:fill="auto"/>
            <w:vAlign w:val="center"/>
          </w:tcPr>
          <w:p>
            <w:pPr>
              <w:pStyle w:val="292"/>
              <w:rPr>
                <w:b/>
                <w:color w:val="auto"/>
                <w:szCs w:val="21"/>
              </w:rPr>
            </w:pPr>
            <w:r>
              <w:rPr>
                <w:b/>
                <w:color w:val="auto"/>
                <w:szCs w:val="21"/>
              </w:rPr>
              <w:t>评价因子</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61" w:hRule="atLeast"/>
          <w:tblHeader/>
          <w:jc w:val="center"/>
        </w:trPr>
        <w:tc>
          <w:tcPr>
            <w:tcW w:w="523" w:type="dxa"/>
            <w:vMerge w:val="continue"/>
            <w:vAlign w:val="center"/>
          </w:tcPr>
          <w:p>
            <w:pPr>
              <w:pStyle w:val="292"/>
              <w:rPr>
                <w:b/>
                <w:color w:val="auto"/>
                <w:szCs w:val="21"/>
              </w:rPr>
            </w:pPr>
          </w:p>
        </w:tc>
        <w:tc>
          <w:tcPr>
            <w:tcW w:w="1806" w:type="dxa"/>
            <w:vMerge w:val="continue"/>
            <w:vAlign w:val="center"/>
          </w:tcPr>
          <w:p>
            <w:pPr>
              <w:pStyle w:val="292"/>
              <w:rPr>
                <w:b/>
                <w:color w:val="auto"/>
                <w:szCs w:val="21"/>
              </w:rPr>
            </w:pPr>
          </w:p>
        </w:tc>
        <w:tc>
          <w:tcPr>
            <w:tcW w:w="1712" w:type="dxa"/>
            <w:gridSpan w:val="2"/>
            <w:vMerge w:val="continue"/>
            <w:vAlign w:val="center"/>
          </w:tcPr>
          <w:p>
            <w:pPr>
              <w:pStyle w:val="292"/>
              <w:rPr>
                <w:b/>
                <w:color w:val="auto"/>
                <w:szCs w:val="21"/>
              </w:rPr>
            </w:pPr>
          </w:p>
        </w:tc>
        <w:tc>
          <w:tcPr>
            <w:tcW w:w="773" w:type="dxa"/>
            <w:vMerge w:val="continue"/>
            <w:vAlign w:val="center"/>
          </w:tcPr>
          <w:p>
            <w:pPr>
              <w:pStyle w:val="292"/>
              <w:rPr>
                <w:b/>
                <w:color w:val="auto"/>
                <w:szCs w:val="21"/>
              </w:rPr>
            </w:pPr>
          </w:p>
        </w:tc>
        <w:tc>
          <w:tcPr>
            <w:tcW w:w="842" w:type="dxa"/>
            <w:vMerge w:val="continue"/>
            <w:vAlign w:val="center"/>
          </w:tcPr>
          <w:p>
            <w:pPr>
              <w:pStyle w:val="292"/>
              <w:rPr>
                <w:b/>
                <w:color w:val="auto"/>
                <w:szCs w:val="21"/>
              </w:rPr>
            </w:pPr>
          </w:p>
        </w:tc>
        <w:tc>
          <w:tcPr>
            <w:tcW w:w="1027" w:type="dxa"/>
            <w:vMerge w:val="continue"/>
            <w:vAlign w:val="center"/>
          </w:tcPr>
          <w:p>
            <w:pPr>
              <w:pStyle w:val="292"/>
              <w:rPr>
                <w:b/>
                <w:color w:val="auto"/>
                <w:szCs w:val="21"/>
              </w:rPr>
            </w:pPr>
          </w:p>
        </w:tc>
        <w:tc>
          <w:tcPr>
            <w:tcW w:w="773" w:type="dxa"/>
            <w:shd w:val="clear" w:color="auto" w:fill="auto"/>
            <w:vAlign w:val="center"/>
          </w:tcPr>
          <w:p>
            <w:pPr>
              <w:pStyle w:val="292"/>
              <w:rPr>
                <w:b/>
                <w:color w:val="auto"/>
                <w:szCs w:val="21"/>
              </w:rPr>
            </w:pPr>
            <w:r>
              <w:rPr>
                <w:b/>
                <w:color w:val="auto"/>
                <w:szCs w:val="21"/>
              </w:rPr>
              <w:t>长度</w:t>
            </w:r>
          </w:p>
        </w:tc>
        <w:tc>
          <w:tcPr>
            <w:tcW w:w="773" w:type="dxa"/>
            <w:shd w:val="clear" w:color="auto" w:fill="auto"/>
            <w:vAlign w:val="center"/>
          </w:tcPr>
          <w:p>
            <w:pPr>
              <w:pStyle w:val="292"/>
              <w:rPr>
                <w:b/>
                <w:color w:val="auto"/>
                <w:szCs w:val="21"/>
              </w:rPr>
            </w:pPr>
            <w:r>
              <w:rPr>
                <w:b/>
                <w:color w:val="auto"/>
                <w:szCs w:val="21"/>
              </w:rPr>
              <w:t>宽度</w:t>
            </w:r>
          </w:p>
        </w:tc>
        <w:tc>
          <w:tcPr>
            <w:tcW w:w="1234" w:type="dxa"/>
            <w:vMerge w:val="continue"/>
            <w:vAlign w:val="center"/>
          </w:tcPr>
          <w:p>
            <w:pPr>
              <w:pStyle w:val="292"/>
              <w:rPr>
                <w:b/>
                <w:color w:val="auto"/>
                <w:szCs w:val="21"/>
              </w:rPr>
            </w:pPr>
          </w:p>
        </w:tc>
        <w:tc>
          <w:tcPr>
            <w:tcW w:w="1410" w:type="dxa"/>
            <w:shd w:val="clear" w:color="auto" w:fill="auto"/>
            <w:vAlign w:val="center"/>
          </w:tcPr>
          <w:p>
            <w:pPr>
              <w:pStyle w:val="292"/>
              <w:rPr>
                <w:b/>
                <w:color w:val="auto"/>
                <w:szCs w:val="21"/>
              </w:rPr>
            </w:pPr>
            <w:r>
              <w:rPr>
                <w:b/>
                <w:color w:val="auto"/>
                <w:szCs w:val="21"/>
              </w:rPr>
              <w:t>颗粒物</w:t>
            </w:r>
          </w:p>
          <w:p>
            <w:pPr>
              <w:pStyle w:val="292"/>
              <w:rPr>
                <w:b/>
                <w:color w:val="auto"/>
                <w:szCs w:val="21"/>
              </w:rPr>
            </w:pPr>
            <w:r>
              <w:rPr>
                <w:b/>
                <w:color w:val="auto"/>
                <w:szCs w:val="21"/>
              </w:rPr>
              <w:t>(</w:t>
            </w:r>
            <w:r>
              <w:rPr>
                <w:rFonts w:hint="eastAsia"/>
                <w:b/>
                <w:color w:val="auto"/>
              </w:rPr>
              <w:t>TSP</w:t>
            </w:r>
            <w:r>
              <w:rPr>
                <w:b/>
                <w:color w:val="auto"/>
                <w:szCs w:val="21"/>
              </w:rPr>
              <w:t>）</w:t>
            </w:r>
          </w:p>
        </w:tc>
        <w:tc>
          <w:tcPr>
            <w:tcW w:w="1487" w:type="dxa"/>
            <w:shd w:val="clear" w:color="auto" w:fill="auto"/>
            <w:vAlign w:val="center"/>
          </w:tcPr>
          <w:p>
            <w:pPr>
              <w:pStyle w:val="292"/>
              <w:rPr>
                <w:b/>
                <w:color w:val="auto"/>
                <w:szCs w:val="21"/>
              </w:rPr>
            </w:pPr>
            <w:r>
              <w:rPr>
                <w:b/>
                <w:color w:val="auto"/>
                <w:szCs w:val="21"/>
              </w:rPr>
              <w:t>NH</w:t>
            </w:r>
            <w:r>
              <w:rPr>
                <w:b/>
                <w:color w:val="auto"/>
                <w:szCs w:val="21"/>
                <w:vertAlign w:val="subscript"/>
              </w:rPr>
              <w:t>3</w:t>
            </w:r>
          </w:p>
        </w:tc>
        <w:tc>
          <w:tcPr>
            <w:tcW w:w="1858" w:type="dxa"/>
            <w:shd w:val="clear" w:color="auto" w:fill="auto"/>
            <w:vAlign w:val="center"/>
          </w:tcPr>
          <w:p>
            <w:pPr>
              <w:pStyle w:val="292"/>
              <w:rPr>
                <w:b/>
                <w:color w:val="auto"/>
                <w:szCs w:val="21"/>
              </w:rPr>
            </w:pPr>
            <w:r>
              <w:rPr>
                <w:b/>
                <w:color w:val="auto"/>
                <w:szCs w:val="21"/>
              </w:rPr>
              <w:t>H</w:t>
            </w:r>
            <w:r>
              <w:rPr>
                <w:b/>
                <w:color w:val="auto"/>
                <w:szCs w:val="21"/>
                <w:vertAlign w:val="subscript"/>
              </w:rPr>
              <w:t>2</w:t>
            </w:r>
            <w:r>
              <w:rPr>
                <w:b/>
                <w:color w:val="auto"/>
                <w:szCs w:val="21"/>
              </w:rPr>
              <w:t>S</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61" w:hRule="atLeast"/>
          <w:tblHeader/>
          <w:jc w:val="center"/>
        </w:trPr>
        <w:tc>
          <w:tcPr>
            <w:tcW w:w="523" w:type="dxa"/>
            <w:vMerge w:val="continue"/>
            <w:vAlign w:val="center"/>
          </w:tcPr>
          <w:p>
            <w:pPr>
              <w:pStyle w:val="292"/>
              <w:rPr>
                <w:b/>
                <w:color w:val="auto"/>
                <w:szCs w:val="21"/>
              </w:rPr>
            </w:pPr>
          </w:p>
        </w:tc>
        <w:tc>
          <w:tcPr>
            <w:tcW w:w="1806" w:type="dxa"/>
            <w:vMerge w:val="continue"/>
            <w:vAlign w:val="center"/>
          </w:tcPr>
          <w:p>
            <w:pPr>
              <w:pStyle w:val="292"/>
              <w:rPr>
                <w:b/>
                <w:color w:val="auto"/>
                <w:szCs w:val="21"/>
              </w:rPr>
            </w:pPr>
          </w:p>
        </w:tc>
        <w:tc>
          <w:tcPr>
            <w:tcW w:w="870" w:type="dxa"/>
            <w:shd w:val="clear" w:color="auto" w:fill="auto"/>
            <w:vAlign w:val="center"/>
          </w:tcPr>
          <w:p>
            <w:pPr>
              <w:pStyle w:val="292"/>
              <w:rPr>
                <w:b/>
                <w:color w:val="auto"/>
                <w:szCs w:val="21"/>
              </w:rPr>
            </w:pPr>
            <w:r>
              <w:rPr>
                <w:b/>
                <w:color w:val="auto"/>
                <w:szCs w:val="21"/>
              </w:rPr>
              <w:t>X</w:t>
            </w:r>
          </w:p>
        </w:tc>
        <w:tc>
          <w:tcPr>
            <w:tcW w:w="842" w:type="dxa"/>
            <w:shd w:val="clear" w:color="auto" w:fill="auto"/>
            <w:vAlign w:val="center"/>
          </w:tcPr>
          <w:p>
            <w:pPr>
              <w:pStyle w:val="292"/>
              <w:rPr>
                <w:b/>
                <w:color w:val="auto"/>
                <w:szCs w:val="21"/>
              </w:rPr>
            </w:pPr>
            <w:r>
              <w:rPr>
                <w:b/>
                <w:color w:val="auto"/>
                <w:szCs w:val="21"/>
              </w:rPr>
              <w:t>Y</w:t>
            </w:r>
          </w:p>
        </w:tc>
        <w:tc>
          <w:tcPr>
            <w:tcW w:w="773" w:type="dxa"/>
            <w:shd w:val="clear" w:color="auto" w:fill="auto"/>
            <w:vAlign w:val="center"/>
          </w:tcPr>
          <w:p>
            <w:pPr>
              <w:pStyle w:val="292"/>
              <w:rPr>
                <w:b/>
                <w:color w:val="auto"/>
                <w:szCs w:val="21"/>
              </w:rPr>
            </w:pPr>
            <w:r>
              <w:rPr>
                <w:b/>
                <w:color w:val="auto"/>
                <w:szCs w:val="21"/>
              </w:rPr>
              <w:t>m</w:t>
            </w:r>
          </w:p>
        </w:tc>
        <w:tc>
          <w:tcPr>
            <w:tcW w:w="842" w:type="dxa"/>
            <w:shd w:val="clear" w:color="auto" w:fill="auto"/>
            <w:vAlign w:val="center"/>
          </w:tcPr>
          <w:p>
            <w:pPr>
              <w:pStyle w:val="292"/>
              <w:rPr>
                <w:b/>
                <w:color w:val="auto"/>
                <w:szCs w:val="21"/>
              </w:rPr>
            </w:pPr>
            <w:r>
              <w:rPr>
                <w:b/>
                <w:color w:val="auto"/>
                <w:szCs w:val="21"/>
              </w:rPr>
              <w:t>度</w:t>
            </w:r>
          </w:p>
        </w:tc>
        <w:tc>
          <w:tcPr>
            <w:tcW w:w="1027" w:type="dxa"/>
            <w:shd w:val="clear" w:color="auto" w:fill="auto"/>
            <w:vAlign w:val="center"/>
          </w:tcPr>
          <w:p>
            <w:pPr>
              <w:pStyle w:val="292"/>
              <w:rPr>
                <w:b/>
                <w:color w:val="auto"/>
                <w:szCs w:val="21"/>
              </w:rPr>
            </w:pPr>
            <w:r>
              <w:rPr>
                <w:b/>
                <w:color w:val="auto"/>
                <w:szCs w:val="21"/>
              </w:rPr>
              <w:t>h</w:t>
            </w:r>
          </w:p>
        </w:tc>
        <w:tc>
          <w:tcPr>
            <w:tcW w:w="773" w:type="dxa"/>
            <w:shd w:val="clear" w:color="auto" w:fill="auto"/>
            <w:vAlign w:val="center"/>
          </w:tcPr>
          <w:p>
            <w:pPr>
              <w:pStyle w:val="292"/>
              <w:rPr>
                <w:b/>
                <w:color w:val="auto"/>
                <w:szCs w:val="21"/>
              </w:rPr>
            </w:pPr>
            <w:r>
              <w:rPr>
                <w:b/>
                <w:color w:val="auto"/>
                <w:szCs w:val="21"/>
              </w:rPr>
              <w:t>m</w:t>
            </w:r>
          </w:p>
        </w:tc>
        <w:tc>
          <w:tcPr>
            <w:tcW w:w="773" w:type="dxa"/>
            <w:shd w:val="clear" w:color="auto" w:fill="auto"/>
            <w:vAlign w:val="center"/>
          </w:tcPr>
          <w:p>
            <w:pPr>
              <w:pStyle w:val="292"/>
              <w:rPr>
                <w:b/>
                <w:color w:val="auto"/>
                <w:szCs w:val="21"/>
              </w:rPr>
            </w:pPr>
            <w:r>
              <w:rPr>
                <w:b/>
                <w:color w:val="auto"/>
                <w:szCs w:val="21"/>
              </w:rPr>
              <w:t>m</w:t>
            </w:r>
          </w:p>
        </w:tc>
        <w:tc>
          <w:tcPr>
            <w:tcW w:w="1234" w:type="dxa"/>
            <w:shd w:val="clear" w:color="auto" w:fill="auto"/>
            <w:vAlign w:val="center"/>
          </w:tcPr>
          <w:p>
            <w:pPr>
              <w:pStyle w:val="292"/>
              <w:rPr>
                <w:b/>
                <w:color w:val="auto"/>
                <w:szCs w:val="21"/>
              </w:rPr>
            </w:pPr>
            <w:r>
              <w:rPr>
                <w:b/>
                <w:color w:val="auto"/>
                <w:szCs w:val="21"/>
              </w:rPr>
              <w:t>m</w:t>
            </w:r>
          </w:p>
        </w:tc>
        <w:tc>
          <w:tcPr>
            <w:tcW w:w="1410" w:type="dxa"/>
            <w:shd w:val="clear" w:color="auto" w:fill="auto"/>
            <w:vAlign w:val="center"/>
          </w:tcPr>
          <w:p>
            <w:pPr>
              <w:pStyle w:val="292"/>
              <w:rPr>
                <w:b/>
                <w:color w:val="auto"/>
                <w:szCs w:val="21"/>
              </w:rPr>
            </w:pPr>
            <w:r>
              <w:rPr>
                <w:b/>
                <w:color w:val="auto"/>
                <w:szCs w:val="21"/>
              </w:rPr>
              <w:t>kg/h</w:t>
            </w:r>
          </w:p>
        </w:tc>
        <w:tc>
          <w:tcPr>
            <w:tcW w:w="1487" w:type="dxa"/>
            <w:shd w:val="clear" w:color="auto" w:fill="auto"/>
            <w:vAlign w:val="center"/>
          </w:tcPr>
          <w:p>
            <w:pPr>
              <w:pStyle w:val="292"/>
              <w:rPr>
                <w:b/>
                <w:color w:val="auto"/>
                <w:szCs w:val="21"/>
              </w:rPr>
            </w:pPr>
            <w:r>
              <w:rPr>
                <w:b/>
                <w:color w:val="auto"/>
                <w:szCs w:val="21"/>
              </w:rPr>
              <w:t>kg/h</w:t>
            </w:r>
          </w:p>
        </w:tc>
        <w:tc>
          <w:tcPr>
            <w:tcW w:w="1858" w:type="dxa"/>
            <w:shd w:val="clear" w:color="auto" w:fill="auto"/>
            <w:vAlign w:val="center"/>
          </w:tcPr>
          <w:p>
            <w:pPr>
              <w:pStyle w:val="292"/>
              <w:rPr>
                <w:b/>
                <w:color w:val="auto"/>
                <w:szCs w:val="21"/>
              </w:rPr>
            </w:pPr>
            <w:r>
              <w:rPr>
                <w:b/>
                <w:color w:val="auto"/>
                <w:szCs w:val="21"/>
              </w:rPr>
              <w:t>kg/h</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61" w:hRule="atLeast"/>
          <w:jc w:val="center"/>
        </w:trPr>
        <w:tc>
          <w:tcPr>
            <w:tcW w:w="523" w:type="dxa"/>
            <w:shd w:val="clear" w:color="auto" w:fill="auto"/>
            <w:vAlign w:val="center"/>
          </w:tcPr>
          <w:p>
            <w:pPr>
              <w:pStyle w:val="292"/>
              <w:rPr>
                <w:color w:val="auto"/>
                <w:szCs w:val="21"/>
              </w:rPr>
            </w:pPr>
            <w:r>
              <w:rPr>
                <w:color w:val="auto"/>
                <w:szCs w:val="21"/>
              </w:rPr>
              <w:t>1</w:t>
            </w:r>
          </w:p>
        </w:tc>
        <w:tc>
          <w:tcPr>
            <w:tcW w:w="1806" w:type="dxa"/>
            <w:shd w:val="clear" w:color="auto" w:fill="auto"/>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餐厨处理车间</w:t>
            </w:r>
          </w:p>
        </w:tc>
        <w:tc>
          <w:tcPr>
            <w:tcW w:w="870" w:type="dxa"/>
            <w:shd w:val="clear" w:color="auto" w:fill="auto"/>
          </w:tcPr>
          <w:p>
            <w:pPr>
              <w:pStyle w:val="292"/>
              <w:rPr>
                <w:rFonts w:hint="default" w:ascii="Times New Roman" w:hAnsi="Times New Roman" w:cs="Times New Roman"/>
                <w:color w:val="auto"/>
                <w:szCs w:val="21"/>
              </w:rPr>
            </w:pPr>
            <w:r>
              <w:rPr>
                <w:rFonts w:hint="default" w:ascii="Times New Roman" w:hAnsi="Times New Roman" w:cs="Times New Roman"/>
                <w:color w:val="auto"/>
              </w:rPr>
              <w:t>25</w:t>
            </w:r>
          </w:p>
        </w:tc>
        <w:tc>
          <w:tcPr>
            <w:tcW w:w="842" w:type="dxa"/>
            <w:shd w:val="clear" w:color="auto" w:fill="auto"/>
          </w:tcPr>
          <w:p>
            <w:pPr>
              <w:pStyle w:val="292"/>
              <w:rPr>
                <w:rFonts w:hint="default" w:ascii="Times New Roman" w:hAnsi="Times New Roman" w:cs="Times New Roman"/>
                <w:color w:val="auto"/>
                <w:szCs w:val="21"/>
              </w:rPr>
            </w:pPr>
            <w:r>
              <w:rPr>
                <w:rFonts w:hint="default" w:ascii="Times New Roman" w:hAnsi="Times New Roman" w:cs="Times New Roman"/>
                <w:color w:val="auto"/>
              </w:rPr>
              <w:t>-82</w:t>
            </w:r>
          </w:p>
        </w:tc>
        <w:tc>
          <w:tcPr>
            <w:tcW w:w="773" w:type="dxa"/>
            <w:shd w:val="clear" w:color="auto" w:fill="auto"/>
            <w:vAlign w:val="center"/>
          </w:tcPr>
          <w:p>
            <w:pPr>
              <w:pStyle w:val="292"/>
              <w:rPr>
                <w:rFonts w:hint="default" w:ascii="Times New Roman" w:hAnsi="Times New Roman" w:cs="Times New Roman"/>
                <w:color w:val="auto"/>
                <w:szCs w:val="21"/>
              </w:rPr>
            </w:pPr>
            <w:r>
              <w:rPr>
                <w:rFonts w:hint="default" w:ascii="Times New Roman" w:hAnsi="Times New Roman" w:cs="Times New Roman"/>
                <w:color w:val="auto"/>
                <w:szCs w:val="21"/>
              </w:rPr>
              <w:t>221</w:t>
            </w:r>
          </w:p>
        </w:tc>
        <w:tc>
          <w:tcPr>
            <w:tcW w:w="842" w:type="dxa"/>
            <w:shd w:val="clear" w:color="auto" w:fill="auto"/>
            <w:vAlign w:val="center"/>
          </w:tcPr>
          <w:p>
            <w:pPr>
              <w:pStyle w:val="292"/>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1027" w:type="dxa"/>
            <w:shd w:val="clear" w:color="auto" w:fill="auto"/>
            <w:vAlign w:val="center"/>
          </w:tcPr>
          <w:p>
            <w:pPr>
              <w:pStyle w:val="292"/>
              <w:rPr>
                <w:rFonts w:hint="default" w:ascii="Times New Roman" w:hAnsi="Times New Roman" w:cs="Times New Roman"/>
                <w:color w:val="auto"/>
                <w:szCs w:val="21"/>
              </w:rPr>
            </w:pPr>
            <w:r>
              <w:rPr>
                <w:rFonts w:hint="default" w:ascii="Times New Roman" w:hAnsi="Times New Roman" w:cs="Times New Roman"/>
                <w:color w:val="auto"/>
                <w:szCs w:val="21"/>
              </w:rPr>
              <w:t>2640</w:t>
            </w:r>
          </w:p>
        </w:tc>
        <w:tc>
          <w:tcPr>
            <w:tcW w:w="773" w:type="dxa"/>
            <w:shd w:val="clear" w:color="auto" w:fill="auto"/>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86</w:t>
            </w:r>
          </w:p>
        </w:tc>
        <w:tc>
          <w:tcPr>
            <w:tcW w:w="773" w:type="dxa"/>
            <w:shd w:val="clear" w:color="auto" w:fill="auto"/>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w:t>
            </w:r>
          </w:p>
        </w:tc>
        <w:tc>
          <w:tcPr>
            <w:tcW w:w="1234" w:type="dxa"/>
            <w:shd w:val="clear" w:color="auto" w:fill="auto"/>
            <w:vAlign w:val="center"/>
          </w:tcPr>
          <w:p>
            <w:pPr>
              <w:jc w:val="center"/>
              <w:rPr>
                <w:rFonts w:hint="default"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6</w:t>
            </w:r>
          </w:p>
        </w:tc>
        <w:tc>
          <w:tcPr>
            <w:tcW w:w="1410" w:type="dxa"/>
            <w:shd w:val="clear" w:color="auto" w:fill="auto"/>
            <w:vAlign w:val="center"/>
          </w:tcPr>
          <w:p>
            <w:pPr>
              <w:pStyle w:val="292"/>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1487" w:type="dxa"/>
            <w:shd w:val="clear" w:color="auto" w:fill="auto"/>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r>
              <w:rPr>
                <w:rFonts w:hint="default" w:ascii="Times New Roman" w:hAnsi="Times New Roman" w:cs="Times New Roman"/>
                <w:color w:val="auto"/>
                <w:sz w:val="21"/>
                <w:szCs w:val="21"/>
                <w:lang w:val="en-US" w:eastAsia="zh-CN"/>
              </w:rPr>
              <w:t>20</w:t>
            </w:r>
          </w:p>
        </w:tc>
        <w:tc>
          <w:tcPr>
            <w:tcW w:w="1858" w:type="dxa"/>
            <w:shd w:val="clear" w:color="auto" w:fill="auto"/>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0.000</w:t>
            </w:r>
            <w:r>
              <w:rPr>
                <w:rFonts w:hint="default" w:ascii="Times New Roman" w:hAnsi="Times New Roman" w:cs="Times New Roman"/>
                <w:color w:val="auto"/>
                <w:sz w:val="21"/>
                <w:szCs w:val="21"/>
                <w:lang w:val="en-US" w:eastAsia="zh-CN"/>
              </w:rPr>
              <w:t>8</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61" w:hRule="atLeast"/>
          <w:jc w:val="center"/>
        </w:trPr>
        <w:tc>
          <w:tcPr>
            <w:tcW w:w="523" w:type="dxa"/>
            <w:shd w:val="clear" w:color="auto" w:fill="auto"/>
            <w:vAlign w:val="center"/>
          </w:tcPr>
          <w:p>
            <w:pPr>
              <w:pStyle w:val="292"/>
              <w:rPr>
                <w:color w:val="auto"/>
                <w:szCs w:val="21"/>
              </w:rPr>
            </w:pPr>
            <w:r>
              <w:rPr>
                <w:color w:val="auto"/>
                <w:szCs w:val="21"/>
              </w:rPr>
              <w:t>2</w:t>
            </w:r>
          </w:p>
        </w:tc>
        <w:tc>
          <w:tcPr>
            <w:tcW w:w="1806" w:type="dxa"/>
            <w:shd w:val="clear" w:color="auto" w:fill="auto"/>
            <w:vAlign w:val="center"/>
          </w:tcPr>
          <w:p>
            <w:pPr>
              <w:autoSpaceDE w:val="0"/>
              <w:autoSpaceDN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建筑垃圾消纳场</w:t>
            </w:r>
          </w:p>
        </w:tc>
        <w:tc>
          <w:tcPr>
            <w:tcW w:w="870" w:type="dxa"/>
            <w:shd w:val="clear" w:color="auto" w:fill="auto"/>
          </w:tcPr>
          <w:p>
            <w:pPr>
              <w:jc w:val="center"/>
              <w:rPr>
                <w:rFonts w:hint="default" w:ascii="Times New Roman" w:hAnsi="Times New Roman" w:eastAsia="宋体" w:cs="Times New Roman"/>
                <w:bCs w:val="0"/>
                <w:color w:val="auto"/>
                <w:kern w:val="0"/>
                <w:sz w:val="21"/>
                <w:szCs w:val="24"/>
                <w:lang w:val="en-US" w:eastAsia="zh-CN" w:bidi="ar-SA"/>
              </w:rPr>
            </w:pPr>
            <w:r>
              <w:rPr>
                <w:rFonts w:hint="default" w:ascii="Times New Roman" w:hAnsi="Times New Roman" w:eastAsia="宋体" w:cs="Times New Roman"/>
                <w:bCs w:val="0"/>
                <w:color w:val="auto"/>
                <w:kern w:val="0"/>
                <w:sz w:val="21"/>
                <w:szCs w:val="24"/>
                <w:lang w:val="en-US" w:eastAsia="zh-CN" w:bidi="ar-SA"/>
              </w:rPr>
              <w:t>64</w:t>
            </w:r>
          </w:p>
        </w:tc>
        <w:tc>
          <w:tcPr>
            <w:tcW w:w="842" w:type="dxa"/>
            <w:shd w:val="clear" w:color="auto" w:fill="auto"/>
          </w:tcPr>
          <w:p>
            <w:pPr>
              <w:jc w:val="center"/>
              <w:rPr>
                <w:rFonts w:hint="default" w:ascii="Times New Roman" w:hAnsi="Times New Roman" w:eastAsia="宋体" w:cs="Times New Roman"/>
                <w:bCs w:val="0"/>
                <w:color w:val="auto"/>
                <w:kern w:val="0"/>
                <w:sz w:val="21"/>
                <w:szCs w:val="24"/>
                <w:lang w:val="en-US" w:eastAsia="zh-CN" w:bidi="ar-SA"/>
              </w:rPr>
            </w:pPr>
            <w:r>
              <w:rPr>
                <w:rFonts w:hint="default" w:ascii="Times New Roman" w:hAnsi="Times New Roman" w:eastAsia="宋体" w:cs="Times New Roman"/>
                <w:bCs w:val="0"/>
                <w:color w:val="auto"/>
                <w:kern w:val="0"/>
                <w:sz w:val="21"/>
                <w:szCs w:val="24"/>
                <w:lang w:val="en-US" w:eastAsia="zh-CN" w:bidi="ar-SA"/>
              </w:rPr>
              <w:t>-264</w:t>
            </w:r>
          </w:p>
        </w:tc>
        <w:tc>
          <w:tcPr>
            <w:tcW w:w="773" w:type="dxa"/>
            <w:shd w:val="clear" w:color="auto" w:fill="auto"/>
            <w:vAlign w:val="center"/>
          </w:tcPr>
          <w:p>
            <w:pPr>
              <w:pStyle w:val="292"/>
              <w:rPr>
                <w:rFonts w:hint="default" w:ascii="Times New Roman" w:hAnsi="Times New Roman" w:cs="Times New Roman"/>
                <w:color w:val="auto"/>
                <w:szCs w:val="21"/>
              </w:rPr>
            </w:pPr>
            <w:r>
              <w:rPr>
                <w:rFonts w:hint="default" w:ascii="Times New Roman" w:hAnsi="Times New Roman" w:cs="Times New Roman"/>
                <w:color w:val="auto"/>
                <w:szCs w:val="21"/>
              </w:rPr>
              <w:t>213</w:t>
            </w:r>
          </w:p>
        </w:tc>
        <w:tc>
          <w:tcPr>
            <w:tcW w:w="842" w:type="dxa"/>
            <w:shd w:val="clear" w:color="auto" w:fill="auto"/>
            <w:vAlign w:val="center"/>
          </w:tcPr>
          <w:p>
            <w:pPr>
              <w:pStyle w:val="292"/>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1027" w:type="dxa"/>
            <w:shd w:val="clear" w:color="auto" w:fill="auto"/>
            <w:vAlign w:val="center"/>
          </w:tcPr>
          <w:p>
            <w:pPr>
              <w:pStyle w:val="292"/>
              <w:rPr>
                <w:rFonts w:hint="default" w:ascii="Times New Roman" w:hAnsi="Times New Roman" w:cs="Times New Roman"/>
                <w:color w:val="auto"/>
                <w:szCs w:val="21"/>
              </w:rPr>
            </w:pPr>
            <w:r>
              <w:rPr>
                <w:rFonts w:hint="default" w:ascii="Times New Roman" w:hAnsi="Times New Roman" w:cs="Times New Roman"/>
                <w:color w:val="auto"/>
                <w:szCs w:val="21"/>
              </w:rPr>
              <w:t>2640</w:t>
            </w:r>
          </w:p>
        </w:tc>
        <w:tc>
          <w:tcPr>
            <w:tcW w:w="773" w:type="dxa"/>
            <w:shd w:val="clear" w:color="auto" w:fill="auto"/>
            <w:vAlign w:val="center"/>
          </w:tcPr>
          <w:p>
            <w:pPr>
              <w:pStyle w:val="292"/>
              <w:rPr>
                <w:rFonts w:hint="default" w:ascii="Times New Roman" w:hAnsi="Times New Roman" w:cs="Times New Roman"/>
                <w:color w:val="auto"/>
                <w:szCs w:val="21"/>
              </w:rPr>
            </w:pPr>
            <w:r>
              <w:rPr>
                <w:rFonts w:hint="default" w:ascii="Times New Roman" w:hAnsi="Times New Roman" w:cs="Times New Roman"/>
                <w:color w:val="auto"/>
                <w:szCs w:val="21"/>
              </w:rPr>
              <w:t>490</w:t>
            </w:r>
          </w:p>
        </w:tc>
        <w:tc>
          <w:tcPr>
            <w:tcW w:w="773" w:type="dxa"/>
            <w:shd w:val="clear" w:color="auto" w:fill="auto"/>
            <w:vAlign w:val="center"/>
          </w:tcPr>
          <w:p>
            <w:pPr>
              <w:pStyle w:val="292"/>
              <w:rPr>
                <w:rFonts w:hint="default" w:ascii="Times New Roman" w:hAnsi="Times New Roman" w:cs="Times New Roman"/>
                <w:color w:val="auto"/>
                <w:szCs w:val="21"/>
              </w:rPr>
            </w:pPr>
            <w:r>
              <w:rPr>
                <w:rFonts w:hint="default" w:ascii="Times New Roman" w:hAnsi="Times New Roman" w:cs="Times New Roman"/>
                <w:color w:val="auto"/>
                <w:szCs w:val="21"/>
              </w:rPr>
              <w:t>250</w:t>
            </w:r>
          </w:p>
        </w:tc>
        <w:tc>
          <w:tcPr>
            <w:tcW w:w="1234" w:type="dxa"/>
            <w:shd w:val="clear" w:color="auto" w:fill="auto"/>
            <w:vAlign w:val="center"/>
          </w:tcPr>
          <w:p>
            <w:pPr>
              <w:pStyle w:val="292"/>
              <w:rPr>
                <w:rFonts w:hint="default" w:ascii="Times New Roman" w:hAnsi="Times New Roman" w:cs="Times New Roman"/>
                <w:color w:val="auto"/>
                <w:szCs w:val="21"/>
              </w:rPr>
            </w:pPr>
            <w:r>
              <w:rPr>
                <w:rFonts w:hint="default" w:ascii="Times New Roman" w:hAnsi="Times New Roman" w:cs="Times New Roman"/>
                <w:color w:val="auto"/>
                <w:szCs w:val="21"/>
              </w:rPr>
              <w:t>5</w:t>
            </w:r>
          </w:p>
        </w:tc>
        <w:tc>
          <w:tcPr>
            <w:tcW w:w="1410" w:type="dxa"/>
            <w:shd w:val="clear" w:color="auto" w:fill="auto"/>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0.136</w:t>
            </w:r>
          </w:p>
        </w:tc>
        <w:tc>
          <w:tcPr>
            <w:tcW w:w="1487" w:type="dxa"/>
            <w:shd w:val="clear" w:color="auto" w:fill="auto"/>
            <w:vAlign w:val="center"/>
          </w:tcPr>
          <w:p>
            <w:pPr>
              <w:pStyle w:val="292"/>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1858" w:type="dxa"/>
            <w:shd w:val="clear" w:color="auto" w:fill="auto"/>
            <w:vAlign w:val="center"/>
          </w:tcPr>
          <w:p>
            <w:pPr>
              <w:pStyle w:val="292"/>
              <w:rPr>
                <w:rFonts w:hint="default" w:ascii="Times New Roman" w:hAnsi="Times New Roman" w:cs="Times New Roman"/>
                <w:color w:val="auto"/>
                <w:szCs w:val="21"/>
              </w:rPr>
            </w:pPr>
            <w:r>
              <w:rPr>
                <w:rFonts w:hint="default" w:ascii="Times New Roman" w:hAnsi="Times New Roman" w:cs="Times New Roman"/>
                <w:color w:val="auto"/>
                <w:szCs w:val="21"/>
              </w:rPr>
              <w:t>/</w:t>
            </w:r>
          </w:p>
        </w:tc>
      </w:tr>
      <w:bookmarkEnd w:id="141"/>
    </w:tbl>
    <w:p>
      <w:pPr>
        <w:spacing w:line="360" w:lineRule="auto"/>
        <w:rPr>
          <w:color w:val="auto"/>
        </w:rPr>
        <w:sectPr>
          <w:pgSz w:w="16838" w:h="11906" w:orient="landscape"/>
          <w:pgMar w:top="1418" w:right="1418" w:bottom="1418" w:left="1418" w:header="851" w:footer="992" w:gutter="0"/>
          <w:pgNumType w:fmt="decimal"/>
          <w:cols w:space="425" w:num="1"/>
          <w:docGrid w:type="lines" w:linePitch="326" w:charSpace="0"/>
        </w:sectPr>
      </w:pPr>
    </w:p>
    <w:p>
      <w:pPr>
        <w:spacing w:line="360" w:lineRule="auto"/>
        <w:ind w:firstLine="480"/>
        <w:jc w:val="both"/>
        <w:rPr>
          <w:rFonts w:eastAsia="等线"/>
          <w:color w:val="auto"/>
        </w:rPr>
      </w:pPr>
      <w:r>
        <w:rPr>
          <w:color w:val="auto"/>
        </w:rPr>
        <w:t>根据《环境影响评价技术导则  大气环境》（HJ2.2-2018）附录A推荐模型中的AERSCREEN计算结果详见下表。</w:t>
      </w:r>
    </w:p>
    <w:p>
      <w:pPr>
        <w:jc w:val="center"/>
        <w:rPr>
          <w:b/>
          <w:color w:val="auto"/>
        </w:rPr>
      </w:pPr>
      <w:bookmarkStart w:id="142" w:name="_Hlk23150496"/>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2.6</w:t>
      </w:r>
      <w:r>
        <w:rPr>
          <w:b/>
          <w:color w:val="auto"/>
        </w:rPr>
        <w:fldChar w:fldCharType="end"/>
      </w:r>
      <w:r>
        <w:rPr>
          <w:b/>
          <w:color w:val="auto"/>
        </w:rPr>
        <w:noBreakHyphen/>
      </w:r>
      <w:r>
        <w:rPr>
          <w:rFonts w:hint="eastAsia"/>
          <w:b/>
          <w:color w:val="auto"/>
        </w:rPr>
        <w:t>5</w:t>
      </w:r>
      <w:r>
        <w:rPr>
          <w:b/>
          <w:color w:val="auto"/>
        </w:rPr>
        <w:t xml:space="preserve">  估算模式预测结果表</w:t>
      </w:r>
    </w:p>
    <w:tbl>
      <w:tblPr>
        <w:tblStyle w:val="53"/>
        <w:tblW w:w="9286" w:type="dxa"/>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484"/>
        <w:gridCol w:w="1259"/>
        <w:gridCol w:w="1585"/>
        <w:gridCol w:w="1900"/>
        <w:gridCol w:w="1585"/>
        <w:gridCol w:w="1427"/>
        <w:gridCol w:w="1046"/>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10" w:hRule="atLeast"/>
          <w:tblHeader/>
        </w:trPr>
        <w:tc>
          <w:tcPr>
            <w:tcW w:w="3328" w:type="dxa"/>
            <w:gridSpan w:val="3"/>
            <w:shd w:val="clear" w:color="auto" w:fill="auto"/>
            <w:vAlign w:val="center"/>
          </w:tcPr>
          <w:p>
            <w:pPr>
              <w:autoSpaceDE w:val="0"/>
              <w:autoSpaceDN w:val="0"/>
              <w:jc w:val="center"/>
              <w:textAlignment w:val="baseline"/>
              <w:rPr>
                <w:b/>
                <w:color w:val="auto"/>
                <w:sz w:val="21"/>
                <w:szCs w:val="21"/>
              </w:rPr>
            </w:pPr>
            <w:bookmarkStart w:id="143" w:name="_Hlk23404690"/>
            <w:r>
              <w:rPr>
                <w:b/>
                <w:color w:val="auto"/>
                <w:sz w:val="21"/>
                <w:szCs w:val="21"/>
              </w:rPr>
              <w:t>污染源</w:t>
            </w:r>
          </w:p>
        </w:tc>
        <w:tc>
          <w:tcPr>
            <w:tcW w:w="1900" w:type="dxa"/>
            <w:shd w:val="clear" w:color="auto" w:fill="auto"/>
            <w:vAlign w:val="center"/>
          </w:tcPr>
          <w:p>
            <w:pPr>
              <w:autoSpaceDE w:val="0"/>
              <w:autoSpaceDN w:val="0"/>
              <w:jc w:val="center"/>
              <w:textAlignment w:val="baseline"/>
              <w:rPr>
                <w:b/>
                <w:color w:val="auto"/>
                <w:sz w:val="21"/>
                <w:szCs w:val="21"/>
              </w:rPr>
            </w:pPr>
            <w:r>
              <w:rPr>
                <w:b/>
                <w:color w:val="auto"/>
                <w:sz w:val="21"/>
                <w:szCs w:val="21"/>
              </w:rPr>
              <w:t>Cmax（mg/m</w:t>
            </w:r>
            <w:r>
              <w:rPr>
                <w:b/>
                <w:color w:val="auto"/>
                <w:sz w:val="21"/>
                <w:szCs w:val="21"/>
                <w:vertAlign w:val="superscript"/>
              </w:rPr>
              <w:t>3</w:t>
            </w:r>
            <w:r>
              <w:rPr>
                <w:b/>
                <w:color w:val="auto"/>
                <w:sz w:val="21"/>
                <w:szCs w:val="21"/>
              </w:rPr>
              <w:t>）</w:t>
            </w:r>
          </w:p>
        </w:tc>
        <w:tc>
          <w:tcPr>
            <w:tcW w:w="1585" w:type="dxa"/>
            <w:shd w:val="clear" w:color="auto" w:fill="auto"/>
            <w:vAlign w:val="center"/>
          </w:tcPr>
          <w:p>
            <w:pPr>
              <w:autoSpaceDE w:val="0"/>
              <w:autoSpaceDN w:val="0"/>
              <w:jc w:val="center"/>
              <w:textAlignment w:val="baseline"/>
              <w:rPr>
                <w:b/>
                <w:color w:val="auto"/>
                <w:sz w:val="21"/>
                <w:szCs w:val="21"/>
              </w:rPr>
            </w:pPr>
            <w:r>
              <w:rPr>
                <w:b/>
                <w:color w:val="auto"/>
                <w:sz w:val="21"/>
                <w:szCs w:val="21"/>
              </w:rPr>
              <w:t>Pmax（%）</w:t>
            </w:r>
          </w:p>
        </w:tc>
        <w:tc>
          <w:tcPr>
            <w:tcW w:w="1427" w:type="dxa"/>
            <w:shd w:val="clear" w:color="auto" w:fill="auto"/>
            <w:vAlign w:val="center"/>
          </w:tcPr>
          <w:p>
            <w:pPr>
              <w:autoSpaceDE w:val="0"/>
              <w:autoSpaceDN w:val="0"/>
              <w:jc w:val="center"/>
              <w:textAlignment w:val="baseline"/>
              <w:rPr>
                <w:b/>
                <w:color w:val="auto"/>
                <w:sz w:val="21"/>
                <w:szCs w:val="21"/>
              </w:rPr>
            </w:pPr>
            <w:r>
              <w:rPr>
                <w:b/>
                <w:color w:val="auto"/>
                <w:sz w:val="21"/>
                <w:szCs w:val="21"/>
              </w:rPr>
              <w:t>最大落地浓度距离（m）</w:t>
            </w:r>
          </w:p>
        </w:tc>
        <w:tc>
          <w:tcPr>
            <w:tcW w:w="1046" w:type="dxa"/>
            <w:shd w:val="clear" w:color="auto" w:fill="auto"/>
            <w:vAlign w:val="center"/>
          </w:tcPr>
          <w:p>
            <w:pPr>
              <w:autoSpaceDE w:val="0"/>
              <w:autoSpaceDN w:val="0"/>
              <w:jc w:val="center"/>
              <w:textAlignment w:val="baseline"/>
              <w:rPr>
                <w:b/>
                <w:color w:val="auto"/>
                <w:sz w:val="21"/>
                <w:szCs w:val="21"/>
              </w:rPr>
            </w:pPr>
            <w:r>
              <w:rPr>
                <w:b/>
                <w:color w:val="auto"/>
                <w:sz w:val="21"/>
                <w:szCs w:val="21"/>
              </w:rPr>
              <w:t>评价</w:t>
            </w:r>
          </w:p>
          <w:p>
            <w:pPr>
              <w:autoSpaceDE w:val="0"/>
              <w:autoSpaceDN w:val="0"/>
              <w:jc w:val="center"/>
              <w:textAlignment w:val="baseline"/>
              <w:rPr>
                <w:b/>
                <w:color w:val="auto"/>
                <w:sz w:val="21"/>
                <w:szCs w:val="21"/>
              </w:rPr>
            </w:pPr>
            <w:r>
              <w:rPr>
                <w:b/>
                <w:color w:val="auto"/>
                <w:sz w:val="21"/>
                <w:szCs w:val="21"/>
              </w:rPr>
              <w:t>等级</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472" w:hRule="atLeast"/>
        </w:trPr>
        <w:tc>
          <w:tcPr>
            <w:tcW w:w="484" w:type="dxa"/>
            <w:vMerge w:val="restart"/>
            <w:shd w:val="clear" w:color="auto" w:fill="auto"/>
            <w:vAlign w:val="center"/>
          </w:tcPr>
          <w:p>
            <w:pPr>
              <w:jc w:val="center"/>
              <w:rPr>
                <w:color w:val="auto"/>
                <w:sz w:val="21"/>
                <w:szCs w:val="21"/>
              </w:rPr>
            </w:pPr>
            <w:r>
              <w:rPr>
                <w:color w:val="auto"/>
                <w:sz w:val="21"/>
                <w:szCs w:val="21"/>
              </w:rPr>
              <w:t>点源</w:t>
            </w:r>
          </w:p>
        </w:tc>
        <w:tc>
          <w:tcPr>
            <w:tcW w:w="1259" w:type="dxa"/>
            <w:vMerge w:val="restart"/>
            <w:shd w:val="clear" w:color="auto" w:fill="auto"/>
            <w:vAlign w:val="center"/>
          </w:tcPr>
          <w:p>
            <w:pPr>
              <w:jc w:val="center"/>
              <w:rPr>
                <w:color w:val="auto"/>
                <w:sz w:val="21"/>
                <w:szCs w:val="21"/>
              </w:rPr>
            </w:pPr>
            <w:r>
              <w:rPr>
                <w:rFonts w:hint="eastAsia"/>
                <w:color w:val="auto"/>
                <w:sz w:val="21"/>
                <w:szCs w:val="21"/>
              </w:rPr>
              <w:t>餐厨处理车间</w:t>
            </w:r>
            <w:r>
              <w:rPr>
                <w:color w:val="auto"/>
                <w:sz w:val="21"/>
                <w:szCs w:val="21"/>
              </w:rPr>
              <w:t>FQ-0</w:t>
            </w:r>
            <w:r>
              <w:rPr>
                <w:rFonts w:hint="eastAsia"/>
                <w:color w:val="auto"/>
                <w:sz w:val="21"/>
                <w:szCs w:val="21"/>
              </w:rPr>
              <w:t>5</w:t>
            </w:r>
          </w:p>
        </w:tc>
        <w:tc>
          <w:tcPr>
            <w:tcW w:w="1585" w:type="dxa"/>
            <w:shd w:val="clear" w:color="auto" w:fill="auto"/>
            <w:vAlign w:val="center"/>
          </w:tcPr>
          <w:p>
            <w:pPr>
              <w:autoSpaceDE w:val="0"/>
              <w:autoSpaceDN w:val="0"/>
              <w:jc w:val="center"/>
              <w:textAlignment w:val="baseline"/>
              <w:rPr>
                <w:color w:val="auto"/>
                <w:sz w:val="21"/>
              </w:rPr>
            </w:pPr>
            <w:r>
              <w:rPr>
                <w:color w:val="auto"/>
                <w:sz w:val="21"/>
              </w:rPr>
              <w:t>NH</w:t>
            </w:r>
            <w:r>
              <w:rPr>
                <w:color w:val="auto"/>
                <w:sz w:val="21"/>
                <w:vertAlign w:val="subscript"/>
              </w:rPr>
              <w:t>3</w:t>
            </w:r>
          </w:p>
        </w:tc>
        <w:tc>
          <w:tcPr>
            <w:tcW w:w="1900" w:type="dxa"/>
            <w:shd w:val="clear" w:color="auto" w:fill="auto"/>
            <w:vAlign w:val="center"/>
          </w:tcPr>
          <w:p>
            <w:pPr>
              <w:autoSpaceDE w:val="0"/>
              <w:autoSpaceDN w:val="0"/>
              <w:jc w:val="center"/>
              <w:textAlignment w:val="baseline"/>
              <w:rPr>
                <w:color w:val="auto"/>
                <w:sz w:val="21"/>
                <w:szCs w:val="21"/>
              </w:rPr>
            </w:pPr>
            <w:r>
              <w:rPr>
                <w:rFonts w:hint="eastAsia"/>
                <w:color w:val="auto"/>
                <w:sz w:val="21"/>
                <w:szCs w:val="21"/>
              </w:rPr>
              <w:t>9.81E-04</w:t>
            </w:r>
          </w:p>
        </w:tc>
        <w:tc>
          <w:tcPr>
            <w:tcW w:w="1585" w:type="dxa"/>
            <w:shd w:val="clear" w:color="auto" w:fill="auto"/>
            <w:vAlign w:val="center"/>
          </w:tcPr>
          <w:p>
            <w:pPr>
              <w:autoSpaceDE w:val="0"/>
              <w:autoSpaceDN w:val="0"/>
              <w:jc w:val="center"/>
              <w:textAlignment w:val="baseline"/>
              <w:rPr>
                <w:rFonts w:hint="eastAsia" w:eastAsia="宋体"/>
                <w:color w:val="auto"/>
                <w:sz w:val="21"/>
                <w:szCs w:val="21"/>
                <w:lang w:val="en-US" w:eastAsia="zh-CN"/>
              </w:rPr>
            </w:pPr>
            <w:r>
              <w:rPr>
                <w:rFonts w:hint="eastAsia"/>
                <w:color w:val="auto"/>
                <w:sz w:val="21"/>
                <w:szCs w:val="21"/>
                <w:lang w:val="en-US" w:eastAsia="zh-CN"/>
              </w:rPr>
              <w:t>0.49</w:t>
            </w:r>
          </w:p>
        </w:tc>
        <w:tc>
          <w:tcPr>
            <w:tcW w:w="1427" w:type="dxa"/>
            <w:shd w:val="clear" w:color="auto" w:fill="auto"/>
            <w:vAlign w:val="center"/>
          </w:tcPr>
          <w:p>
            <w:pPr>
              <w:autoSpaceDE w:val="0"/>
              <w:autoSpaceDN w:val="0"/>
              <w:jc w:val="center"/>
              <w:textAlignment w:val="baseline"/>
              <w:rPr>
                <w:rFonts w:hint="eastAsia" w:eastAsia="宋体"/>
                <w:color w:val="auto"/>
                <w:sz w:val="21"/>
                <w:szCs w:val="21"/>
                <w:lang w:val="en-US" w:eastAsia="zh-CN"/>
              </w:rPr>
            </w:pPr>
            <w:r>
              <w:rPr>
                <w:rFonts w:hint="eastAsia"/>
                <w:color w:val="auto"/>
                <w:sz w:val="21"/>
                <w:szCs w:val="21"/>
                <w:lang w:val="en-US" w:eastAsia="zh-CN"/>
              </w:rPr>
              <w:t>58</w:t>
            </w:r>
          </w:p>
        </w:tc>
        <w:tc>
          <w:tcPr>
            <w:tcW w:w="1046" w:type="dxa"/>
            <w:shd w:val="clear" w:color="auto" w:fill="auto"/>
            <w:vAlign w:val="center"/>
          </w:tcPr>
          <w:p>
            <w:pPr>
              <w:jc w:val="center"/>
              <w:rPr>
                <w:color w:val="auto"/>
                <w:sz w:val="21"/>
                <w:szCs w:val="21"/>
              </w:rPr>
            </w:pPr>
            <w:r>
              <w:rPr>
                <w:rFonts w:hint="eastAsia"/>
                <w:color w:val="auto"/>
                <w:sz w:val="21"/>
                <w:szCs w:val="21"/>
                <w:lang w:eastAsia="zh-CN"/>
              </w:rPr>
              <w:t>三</w:t>
            </w:r>
            <w:r>
              <w:rPr>
                <w:color w:val="auto"/>
                <w:sz w:val="21"/>
                <w:szCs w:val="21"/>
              </w:rPr>
              <w:t>级</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10" w:hRule="atLeast"/>
        </w:trPr>
        <w:tc>
          <w:tcPr>
            <w:tcW w:w="484" w:type="dxa"/>
            <w:vMerge w:val="continue"/>
            <w:shd w:val="clear" w:color="auto" w:fill="auto"/>
            <w:vAlign w:val="center"/>
          </w:tcPr>
          <w:p>
            <w:pPr>
              <w:jc w:val="center"/>
              <w:rPr>
                <w:color w:val="auto"/>
                <w:sz w:val="21"/>
                <w:szCs w:val="21"/>
              </w:rPr>
            </w:pPr>
          </w:p>
        </w:tc>
        <w:tc>
          <w:tcPr>
            <w:tcW w:w="1259" w:type="dxa"/>
            <w:vMerge w:val="continue"/>
            <w:shd w:val="clear" w:color="auto" w:fill="auto"/>
            <w:vAlign w:val="center"/>
          </w:tcPr>
          <w:p>
            <w:pPr>
              <w:jc w:val="center"/>
              <w:rPr>
                <w:color w:val="auto"/>
                <w:sz w:val="21"/>
                <w:szCs w:val="21"/>
              </w:rPr>
            </w:pPr>
          </w:p>
        </w:tc>
        <w:tc>
          <w:tcPr>
            <w:tcW w:w="1585" w:type="dxa"/>
            <w:shd w:val="clear" w:color="auto" w:fill="auto"/>
            <w:vAlign w:val="center"/>
          </w:tcPr>
          <w:p>
            <w:pPr>
              <w:autoSpaceDE w:val="0"/>
              <w:autoSpaceDN w:val="0"/>
              <w:jc w:val="center"/>
              <w:textAlignment w:val="baseline"/>
              <w:rPr>
                <w:color w:val="auto"/>
                <w:sz w:val="21"/>
              </w:rPr>
            </w:pPr>
            <w:r>
              <w:rPr>
                <w:color w:val="auto"/>
                <w:sz w:val="21"/>
              </w:rPr>
              <w:t>H</w:t>
            </w:r>
            <w:r>
              <w:rPr>
                <w:color w:val="auto"/>
                <w:sz w:val="21"/>
                <w:vertAlign w:val="subscript"/>
              </w:rPr>
              <w:t>2</w:t>
            </w:r>
            <w:r>
              <w:rPr>
                <w:color w:val="auto"/>
                <w:sz w:val="21"/>
              </w:rPr>
              <w:t>S</w:t>
            </w:r>
          </w:p>
        </w:tc>
        <w:tc>
          <w:tcPr>
            <w:tcW w:w="1900" w:type="dxa"/>
            <w:shd w:val="clear" w:color="auto" w:fill="auto"/>
            <w:vAlign w:val="center"/>
          </w:tcPr>
          <w:p>
            <w:pPr>
              <w:autoSpaceDE w:val="0"/>
              <w:autoSpaceDN w:val="0"/>
              <w:jc w:val="center"/>
              <w:textAlignment w:val="baseline"/>
              <w:rPr>
                <w:color w:val="auto"/>
                <w:sz w:val="21"/>
                <w:szCs w:val="21"/>
              </w:rPr>
            </w:pPr>
            <w:r>
              <w:rPr>
                <w:rFonts w:hint="eastAsia"/>
                <w:color w:val="auto"/>
                <w:sz w:val="21"/>
                <w:szCs w:val="21"/>
              </w:rPr>
              <w:t>4.91E-04</w:t>
            </w:r>
          </w:p>
        </w:tc>
        <w:tc>
          <w:tcPr>
            <w:tcW w:w="1585" w:type="dxa"/>
            <w:shd w:val="clear" w:color="auto" w:fill="auto"/>
            <w:vAlign w:val="center"/>
          </w:tcPr>
          <w:p>
            <w:pPr>
              <w:autoSpaceDE w:val="0"/>
              <w:autoSpaceDN w:val="0"/>
              <w:jc w:val="center"/>
              <w:textAlignment w:val="baseline"/>
              <w:rPr>
                <w:rFonts w:hint="eastAsia" w:eastAsia="宋体"/>
                <w:color w:val="auto"/>
                <w:sz w:val="21"/>
                <w:szCs w:val="21"/>
                <w:lang w:val="en-US" w:eastAsia="zh-CN"/>
              </w:rPr>
            </w:pPr>
            <w:r>
              <w:rPr>
                <w:rFonts w:hint="eastAsia"/>
                <w:color w:val="auto"/>
                <w:sz w:val="21"/>
                <w:szCs w:val="21"/>
                <w:lang w:val="en-US" w:eastAsia="zh-CN"/>
              </w:rPr>
              <w:t>4.91</w:t>
            </w:r>
          </w:p>
        </w:tc>
        <w:tc>
          <w:tcPr>
            <w:tcW w:w="1427" w:type="dxa"/>
            <w:shd w:val="clear" w:color="auto" w:fill="auto"/>
            <w:vAlign w:val="center"/>
          </w:tcPr>
          <w:p>
            <w:pPr>
              <w:autoSpaceDE w:val="0"/>
              <w:autoSpaceDN w:val="0"/>
              <w:jc w:val="center"/>
              <w:textAlignment w:val="baseline"/>
              <w:rPr>
                <w:rFonts w:hint="eastAsia" w:eastAsia="宋体"/>
                <w:color w:val="auto"/>
                <w:sz w:val="21"/>
                <w:szCs w:val="21"/>
                <w:lang w:val="en-US" w:eastAsia="zh-CN"/>
              </w:rPr>
            </w:pPr>
            <w:r>
              <w:rPr>
                <w:rFonts w:hint="eastAsia"/>
                <w:color w:val="auto"/>
                <w:sz w:val="21"/>
                <w:szCs w:val="21"/>
                <w:lang w:val="en-US" w:eastAsia="zh-CN"/>
              </w:rPr>
              <w:t>58</w:t>
            </w:r>
          </w:p>
        </w:tc>
        <w:tc>
          <w:tcPr>
            <w:tcW w:w="1046" w:type="dxa"/>
            <w:shd w:val="clear" w:color="auto" w:fill="auto"/>
            <w:vAlign w:val="center"/>
          </w:tcPr>
          <w:p>
            <w:pPr>
              <w:jc w:val="center"/>
              <w:rPr>
                <w:color w:val="auto"/>
                <w:sz w:val="21"/>
                <w:szCs w:val="21"/>
              </w:rPr>
            </w:pPr>
            <w:r>
              <w:rPr>
                <w:rFonts w:hint="eastAsia"/>
                <w:color w:val="auto"/>
                <w:sz w:val="21"/>
                <w:szCs w:val="21"/>
              </w:rPr>
              <w:t>二</w:t>
            </w:r>
            <w:r>
              <w:rPr>
                <w:color w:val="auto"/>
                <w:sz w:val="21"/>
                <w:szCs w:val="21"/>
              </w:rPr>
              <w:t>级</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10" w:hRule="atLeast"/>
        </w:trPr>
        <w:tc>
          <w:tcPr>
            <w:tcW w:w="484" w:type="dxa"/>
            <w:vMerge w:val="restart"/>
            <w:shd w:val="clear" w:color="auto" w:fill="auto"/>
            <w:vAlign w:val="center"/>
          </w:tcPr>
          <w:p>
            <w:pPr>
              <w:autoSpaceDE w:val="0"/>
              <w:autoSpaceDN w:val="0"/>
              <w:jc w:val="center"/>
              <w:textAlignment w:val="baseline"/>
              <w:rPr>
                <w:color w:val="auto"/>
                <w:sz w:val="21"/>
                <w:szCs w:val="21"/>
              </w:rPr>
            </w:pPr>
            <w:r>
              <w:rPr>
                <w:color w:val="auto"/>
                <w:sz w:val="21"/>
                <w:szCs w:val="21"/>
              </w:rPr>
              <w:t>面源</w:t>
            </w:r>
          </w:p>
        </w:tc>
        <w:tc>
          <w:tcPr>
            <w:tcW w:w="1259" w:type="dxa"/>
            <w:shd w:val="clear" w:color="auto" w:fill="auto"/>
            <w:vAlign w:val="center"/>
          </w:tcPr>
          <w:p>
            <w:pPr>
              <w:jc w:val="center"/>
              <w:rPr>
                <w:color w:val="auto"/>
                <w:sz w:val="21"/>
                <w:szCs w:val="21"/>
              </w:rPr>
            </w:pPr>
            <w:r>
              <w:rPr>
                <w:rFonts w:hint="eastAsia"/>
                <w:color w:val="auto"/>
                <w:sz w:val="21"/>
                <w:szCs w:val="21"/>
              </w:rPr>
              <w:t>建筑垃圾消纳场</w:t>
            </w:r>
          </w:p>
        </w:tc>
        <w:tc>
          <w:tcPr>
            <w:tcW w:w="1585" w:type="dxa"/>
            <w:shd w:val="clear" w:color="auto" w:fill="auto"/>
            <w:vAlign w:val="center"/>
          </w:tcPr>
          <w:p>
            <w:pPr>
              <w:autoSpaceDE w:val="0"/>
              <w:autoSpaceDN w:val="0"/>
              <w:jc w:val="center"/>
              <w:textAlignment w:val="baseline"/>
              <w:rPr>
                <w:color w:val="auto"/>
                <w:sz w:val="21"/>
              </w:rPr>
            </w:pPr>
            <w:r>
              <w:rPr>
                <w:rFonts w:hint="eastAsia"/>
                <w:color w:val="auto"/>
                <w:sz w:val="21"/>
              </w:rPr>
              <w:t>TSP</w:t>
            </w:r>
          </w:p>
        </w:tc>
        <w:tc>
          <w:tcPr>
            <w:tcW w:w="1900" w:type="dxa"/>
            <w:shd w:val="clear" w:color="auto" w:fill="auto"/>
            <w:vAlign w:val="center"/>
          </w:tcPr>
          <w:p>
            <w:pPr>
              <w:autoSpaceDE w:val="0"/>
              <w:autoSpaceDN w:val="0"/>
              <w:jc w:val="center"/>
              <w:textAlignment w:val="baseline"/>
              <w:rPr>
                <w:color w:val="auto"/>
                <w:sz w:val="21"/>
                <w:szCs w:val="21"/>
              </w:rPr>
            </w:pPr>
            <w:r>
              <w:rPr>
                <w:rFonts w:hint="eastAsia"/>
                <w:color w:val="auto"/>
                <w:sz w:val="21"/>
                <w:szCs w:val="21"/>
              </w:rPr>
              <w:t>3.54E-02</w:t>
            </w:r>
          </w:p>
        </w:tc>
        <w:tc>
          <w:tcPr>
            <w:tcW w:w="1585" w:type="dxa"/>
            <w:shd w:val="clear" w:color="auto" w:fill="auto"/>
            <w:vAlign w:val="center"/>
          </w:tcPr>
          <w:p>
            <w:pPr>
              <w:autoSpaceDE w:val="0"/>
              <w:autoSpaceDN w:val="0"/>
              <w:jc w:val="center"/>
              <w:textAlignment w:val="baseline"/>
              <w:rPr>
                <w:rFonts w:hint="eastAsia" w:eastAsia="宋体"/>
                <w:color w:val="auto"/>
                <w:sz w:val="21"/>
                <w:szCs w:val="21"/>
                <w:lang w:eastAsia="zh-CN"/>
              </w:rPr>
            </w:pPr>
            <w:r>
              <w:rPr>
                <w:rFonts w:hint="eastAsia"/>
                <w:color w:val="auto"/>
                <w:sz w:val="21"/>
                <w:szCs w:val="21"/>
                <w:lang w:val="en-US" w:eastAsia="zh-CN"/>
              </w:rPr>
              <w:t>3.94</w:t>
            </w:r>
          </w:p>
        </w:tc>
        <w:tc>
          <w:tcPr>
            <w:tcW w:w="1427" w:type="dxa"/>
            <w:shd w:val="clear" w:color="auto" w:fill="auto"/>
            <w:vAlign w:val="center"/>
          </w:tcPr>
          <w:p>
            <w:pPr>
              <w:autoSpaceDE w:val="0"/>
              <w:autoSpaceDN w:val="0"/>
              <w:jc w:val="center"/>
              <w:textAlignment w:val="baseline"/>
              <w:rPr>
                <w:rFonts w:hint="eastAsia" w:eastAsia="宋体"/>
                <w:color w:val="auto"/>
                <w:sz w:val="21"/>
                <w:szCs w:val="21"/>
                <w:lang w:eastAsia="zh-CN"/>
              </w:rPr>
            </w:pPr>
            <w:r>
              <w:rPr>
                <w:rFonts w:hint="eastAsia"/>
                <w:color w:val="auto"/>
                <w:sz w:val="21"/>
                <w:szCs w:val="21"/>
                <w:lang w:val="en-US" w:eastAsia="zh-CN"/>
              </w:rPr>
              <w:t>251</w:t>
            </w:r>
          </w:p>
        </w:tc>
        <w:tc>
          <w:tcPr>
            <w:tcW w:w="1046" w:type="dxa"/>
            <w:shd w:val="clear" w:color="auto" w:fill="auto"/>
            <w:vAlign w:val="center"/>
          </w:tcPr>
          <w:p>
            <w:pPr>
              <w:jc w:val="center"/>
              <w:rPr>
                <w:color w:val="auto"/>
                <w:sz w:val="21"/>
                <w:szCs w:val="21"/>
              </w:rPr>
            </w:pPr>
            <w:r>
              <w:rPr>
                <w:rFonts w:hint="eastAsia"/>
                <w:color w:val="auto"/>
                <w:sz w:val="21"/>
                <w:szCs w:val="21"/>
              </w:rPr>
              <w:t>二</w:t>
            </w:r>
            <w:r>
              <w:rPr>
                <w:color w:val="auto"/>
                <w:sz w:val="21"/>
                <w:szCs w:val="21"/>
              </w:rPr>
              <w:t>级</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10" w:hRule="atLeast"/>
        </w:trPr>
        <w:tc>
          <w:tcPr>
            <w:tcW w:w="484" w:type="dxa"/>
            <w:vMerge w:val="continue"/>
            <w:shd w:val="clear" w:color="auto" w:fill="auto"/>
            <w:vAlign w:val="center"/>
          </w:tcPr>
          <w:p>
            <w:pPr>
              <w:rPr>
                <w:color w:val="auto"/>
                <w:sz w:val="21"/>
                <w:szCs w:val="21"/>
              </w:rPr>
            </w:pPr>
          </w:p>
        </w:tc>
        <w:tc>
          <w:tcPr>
            <w:tcW w:w="1259" w:type="dxa"/>
            <w:vMerge w:val="restart"/>
            <w:shd w:val="clear" w:color="auto" w:fill="auto"/>
            <w:vAlign w:val="center"/>
          </w:tcPr>
          <w:p>
            <w:pPr>
              <w:jc w:val="center"/>
              <w:rPr>
                <w:color w:val="auto"/>
                <w:sz w:val="21"/>
                <w:szCs w:val="21"/>
              </w:rPr>
            </w:pPr>
            <w:r>
              <w:rPr>
                <w:rFonts w:hint="eastAsia"/>
                <w:color w:val="auto"/>
                <w:sz w:val="21"/>
                <w:szCs w:val="21"/>
              </w:rPr>
              <w:t>餐厨处理车间</w:t>
            </w:r>
          </w:p>
        </w:tc>
        <w:tc>
          <w:tcPr>
            <w:tcW w:w="1585" w:type="dxa"/>
            <w:shd w:val="clear" w:color="auto" w:fill="auto"/>
            <w:vAlign w:val="center"/>
          </w:tcPr>
          <w:p>
            <w:pPr>
              <w:adjustRightInd w:val="0"/>
              <w:snapToGrid w:val="0"/>
              <w:jc w:val="center"/>
              <w:rPr>
                <w:color w:val="auto"/>
                <w:sz w:val="21"/>
                <w:szCs w:val="21"/>
              </w:rPr>
            </w:pPr>
            <w:r>
              <w:rPr>
                <w:color w:val="auto"/>
                <w:sz w:val="21"/>
              </w:rPr>
              <w:t>NH</w:t>
            </w:r>
            <w:r>
              <w:rPr>
                <w:color w:val="auto"/>
                <w:sz w:val="21"/>
                <w:vertAlign w:val="subscript"/>
              </w:rPr>
              <w:t>3</w:t>
            </w:r>
          </w:p>
        </w:tc>
        <w:tc>
          <w:tcPr>
            <w:tcW w:w="1900" w:type="dxa"/>
            <w:shd w:val="clear" w:color="auto" w:fill="auto"/>
            <w:vAlign w:val="center"/>
          </w:tcPr>
          <w:p>
            <w:pPr>
              <w:autoSpaceDE w:val="0"/>
              <w:autoSpaceDN w:val="0"/>
              <w:jc w:val="center"/>
              <w:textAlignment w:val="baseline"/>
              <w:rPr>
                <w:color w:val="auto"/>
                <w:sz w:val="21"/>
                <w:szCs w:val="21"/>
              </w:rPr>
            </w:pPr>
            <w:r>
              <w:rPr>
                <w:rFonts w:hint="eastAsia"/>
                <w:color w:val="auto"/>
                <w:sz w:val="21"/>
                <w:szCs w:val="21"/>
              </w:rPr>
              <w:t>2.31E-03</w:t>
            </w:r>
          </w:p>
        </w:tc>
        <w:tc>
          <w:tcPr>
            <w:tcW w:w="1585" w:type="dxa"/>
            <w:shd w:val="clear" w:color="auto" w:fill="auto"/>
            <w:vAlign w:val="center"/>
          </w:tcPr>
          <w:p>
            <w:pPr>
              <w:autoSpaceDE w:val="0"/>
              <w:autoSpaceDN w:val="0"/>
              <w:jc w:val="center"/>
              <w:textAlignment w:val="baseline"/>
              <w:rPr>
                <w:rFonts w:hint="eastAsia" w:eastAsia="宋体"/>
                <w:color w:val="auto"/>
                <w:sz w:val="21"/>
                <w:szCs w:val="21"/>
                <w:lang w:eastAsia="zh-CN"/>
              </w:rPr>
            </w:pPr>
            <w:r>
              <w:rPr>
                <w:rFonts w:hint="eastAsia"/>
                <w:color w:val="auto"/>
                <w:sz w:val="21"/>
                <w:szCs w:val="21"/>
                <w:lang w:val="en-US" w:eastAsia="zh-CN"/>
              </w:rPr>
              <w:t>1.16</w:t>
            </w:r>
          </w:p>
        </w:tc>
        <w:tc>
          <w:tcPr>
            <w:tcW w:w="1427" w:type="dxa"/>
            <w:shd w:val="clear" w:color="auto" w:fill="auto"/>
            <w:vAlign w:val="center"/>
          </w:tcPr>
          <w:p>
            <w:pPr>
              <w:autoSpaceDE w:val="0"/>
              <w:autoSpaceDN w:val="0"/>
              <w:jc w:val="center"/>
              <w:textAlignment w:val="baseline"/>
              <w:rPr>
                <w:rFonts w:hint="eastAsia" w:eastAsia="宋体"/>
                <w:color w:val="auto"/>
                <w:sz w:val="21"/>
                <w:szCs w:val="21"/>
                <w:lang w:val="en-US" w:eastAsia="zh-CN"/>
              </w:rPr>
            </w:pPr>
            <w:r>
              <w:rPr>
                <w:rFonts w:hint="eastAsia"/>
                <w:color w:val="auto"/>
                <w:sz w:val="21"/>
                <w:szCs w:val="21"/>
                <w:lang w:val="en-US" w:eastAsia="zh-CN"/>
              </w:rPr>
              <w:t>55</w:t>
            </w:r>
          </w:p>
        </w:tc>
        <w:tc>
          <w:tcPr>
            <w:tcW w:w="1046" w:type="dxa"/>
            <w:shd w:val="clear" w:color="auto" w:fill="auto"/>
            <w:vAlign w:val="center"/>
          </w:tcPr>
          <w:p>
            <w:pPr>
              <w:autoSpaceDE w:val="0"/>
              <w:autoSpaceDN w:val="0"/>
              <w:jc w:val="center"/>
              <w:textAlignment w:val="baseline"/>
              <w:rPr>
                <w:color w:val="auto"/>
                <w:sz w:val="21"/>
                <w:szCs w:val="21"/>
              </w:rPr>
            </w:pPr>
            <w:r>
              <w:rPr>
                <w:rFonts w:hint="eastAsia"/>
                <w:color w:val="auto"/>
                <w:sz w:val="21"/>
                <w:szCs w:val="21"/>
              </w:rPr>
              <w:t>二</w:t>
            </w:r>
            <w:r>
              <w:rPr>
                <w:color w:val="auto"/>
                <w:sz w:val="21"/>
                <w:szCs w:val="21"/>
              </w:rPr>
              <w:t>级</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468" w:hRule="atLeast"/>
        </w:trPr>
        <w:tc>
          <w:tcPr>
            <w:tcW w:w="484" w:type="dxa"/>
            <w:vMerge w:val="continue"/>
            <w:shd w:val="clear" w:color="auto" w:fill="auto"/>
            <w:vAlign w:val="center"/>
          </w:tcPr>
          <w:p>
            <w:pPr>
              <w:rPr>
                <w:color w:val="auto"/>
                <w:sz w:val="21"/>
                <w:szCs w:val="21"/>
              </w:rPr>
            </w:pPr>
          </w:p>
        </w:tc>
        <w:tc>
          <w:tcPr>
            <w:tcW w:w="1259" w:type="dxa"/>
            <w:vMerge w:val="continue"/>
            <w:shd w:val="clear" w:color="auto" w:fill="auto"/>
            <w:vAlign w:val="center"/>
          </w:tcPr>
          <w:p>
            <w:pPr>
              <w:autoSpaceDE w:val="0"/>
              <w:autoSpaceDN w:val="0"/>
              <w:jc w:val="center"/>
              <w:textAlignment w:val="baseline"/>
              <w:rPr>
                <w:color w:val="auto"/>
                <w:sz w:val="21"/>
                <w:szCs w:val="21"/>
              </w:rPr>
            </w:pPr>
          </w:p>
        </w:tc>
        <w:tc>
          <w:tcPr>
            <w:tcW w:w="1585" w:type="dxa"/>
            <w:shd w:val="clear" w:color="auto" w:fill="auto"/>
            <w:vAlign w:val="center"/>
          </w:tcPr>
          <w:p>
            <w:pPr>
              <w:adjustRightInd w:val="0"/>
              <w:snapToGrid w:val="0"/>
              <w:jc w:val="center"/>
              <w:rPr>
                <w:color w:val="auto"/>
                <w:sz w:val="21"/>
                <w:szCs w:val="21"/>
              </w:rPr>
            </w:pPr>
            <w:r>
              <w:rPr>
                <w:color w:val="auto"/>
                <w:sz w:val="21"/>
              </w:rPr>
              <w:t>H</w:t>
            </w:r>
            <w:r>
              <w:rPr>
                <w:color w:val="auto"/>
                <w:sz w:val="21"/>
                <w:vertAlign w:val="subscript"/>
              </w:rPr>
              <w:t>2</w:t>
            </w:r>
            <w:r>
              <w:rPr>
                <w:color w:val="auto"/>
                <w:sz w:val="21"/>
              </w:rPr>
              <w:t>S</w:t>
            </w:r>
          </w:p>
        </w:tc>
        <w:tc>
          <w:tcPr>
            <w:tcW w:w="1900" w:type="dxa"/>
            <w:shd w:val="clear" w:color="auto" w:fill="auto"/>
            <w:vAlign w:val="center"/>
          </w:tcPr>
          <w:p>
            <w:pPr>
              <w:autoSpaceDE w:val="0"/>
              <w:autoSpaceDN w:val="0"/>
              <w:jc w:val="center"/>
              <w:textAlignment w:val="baseline"/>
              <w:rPr>
                <w:color w:val="auto"/>
                <w:sz w:val="21"/>
                <w:szCs w:val="21"/>
              </w:rPr>
            </w:pPr>
            <w:r>
              <w:rPr>
                <w:rFonts w:hint="eastAsia"/>
                <w:color w:val="auto"/>
                <w:sz w:val="21"/>
                <w:szCs w:val="21"/>
              </w:rPr>
              <w:t>9.24E-04</w:t>
            </w:r>
          </w:p>
        </w:tc>
        <w:tc>
          <w:tcPr>
            <w:tcW w:w="1585" w:type="dxa"/>
            <w:shd w:val="clear" w:color="auto" w:fill="auto"/>
            <w:vAlign w:val="center"/>
          </w:tcPr>
          <w:p>
            <w:pPr>
              <w:autoSpaceDE w:val="0"/>
              <w:autoSpaceDN w:val="0"/>
              <w:jc w:val="center"/>
              <w:textAlignment w:val="baseline"/>
              <w:rPr>
                <w:rFonts w:hint="eastAsia" w:eastAsia="宋体"/>
                <w:color w:val="auto"/>
                <w:sz w:val="21"/>
                <w:szCs w:val="21"/>
                <w:lang w:eastAsia="zh-CN"/>
              </w:rPr>
            </w:pPr>
            <w:r>
              <w:rPr>
                <w:rFonts w:hint="eastAsia"/>
                <w:color w:val="auto"/>
                <w:sz w:val="21"/>
                <w:szCs w:val="21"/>
                <w:lang w:val="en-US" w:eastAsia="zh-CN"/>
              </w:rPr>
              <w:t>9.24</w:t>
            </w:r>
          </w:p>
        </w:tc>
        <w:tc>
          <w:tcPr>
            <w:tcW w:w="1427" w:type="dxa"/>
            <w:shd w:val="clear" w:color="auto" w:fill="auto"/>
            <w:vAlign w:val="center"/>
          </w:tcPr>
          <w:p>
            <w:pPr>
              <w:autoSpaceDE w:val="0"/>
              <w:autoSpaceDN w:val="0"/>
              <w:jc w:val="center"/>
              <w:textAlignment w:val="baseline"/>
              <w:rPr>
                <w:rFonts w:hint="eastAsia" w:eastAsia="宋体"/>
                <w:color w:val="auto"/>
                <w:sz w:val="21"/>
                <w:szCs w:val="21"/>
                <w:lang w:val="en-US" w:eastAsia="zh-CN"/>
              </w:rPr>
            </w:pPr>
            <w:r>
              <w:rPr>
                <w:rFonts w:hint="eastAsia"/>
                <w:color w:val="auto"/>
                <w:sz w:val="21"/>
                <w:szCs w:val="21"/>
                <w:lang w:val="en-US" w:eastAsia="zh-CN"/>
              </w:rPr>
              <w:t>55</w:t>
            </w:r>
          </w:p>
        </w:tc>
        <w:tc>
          <w:tcPr>
            <w:tcW w:w="1046" w:type="dxa"/>
            <w:shd w:val="clear" w:color="auto" w:fill="auto"/>
            <w:vAlign w:val="center"/>
          </w:tcPr>
          <w:p>
            <w:pPr>
              <w:autoSpaceDE w:val="0"/>
              <w:autoSpaceDN w:val="0"/>
              <w:jc w:val="center"/>
              <w:textAlignment w:val="baseline"/>
              <w:rPr>
                <w:color w:val="auto"/>
                <w:sz w:val="21"/>
                <w:szCs w:val="21"/>
              </w:rPr>
            </w:pPr>
            <w:r>
              <w:rPr>
                <w:rFonts w:hint="eastAsia"/>
                <w:color w:val="auto"/>
                <w:sz w:val="21"/>
                <w:szCs w:val="21"/>
              </w:rPr>
              <w:t>二</w:t>
            </w:r>
            <w:r>
              <w:rPr>
                <w:color w:val="auto"/>
                <w:sz w:val="21"/>
                <w:szCs w:val="21"/>
              </w:rPr>
              <w:t>级</w:t>
            </w:r>
          </w:p>
        </w:tc>
      </w:tr>
    </w:tbl>
    <w:p>
      <w:pPr>
        <w:spacing w:line="360" w:lineRule="auto"/>
        <w:ind w:firstLine="480"/>
        <w:jc w:val="both"/>
        <w:rPr>
          <w:color w:val="auto"/>
        </w:rPr>
      </w:pPr>
      <w:r>
        <w:rPr>
          <w:color w:val="auto"/>
        </w:rPr>
        <w:t>由上述预测结果可知，本项目正常工况下最大落地浓度占标率（Pmax）最大为</w:t>
      </w:r>
      <w:r>
        <w:rPr>
          <w:rFonts w:hint="eastAsia"/>
          <w:color w:val="auto"/>
          <w:lang w:val="en-US" w:eastAsia="zh-CN"/>
        </w:rPr>
        <w:t>9.24</w:t>
      </w:r>
      <w:r>
        <w:rPr>
          <w:color w:val="auto"/>
        </w:rPr>
        <w:t>%，因此确定本项目大气环境影响评价等级为</w:t>
      </w:r>
      <w:bookmarkEnd w:id="143"/>
      <w:r>
        <w:rPr>
          <w:rFonts w:hint="eastAsia"/>
          <w:color w:val="auto"/>
        </w:rPr>
        <w:t>二级</w:t>
      </w:r>
      <w:r>
        <w:rPr>
          <w:color w:val="auto"/>
        </w:rPr>
        <w:t>。</w:t>
      </w:r>
      <w:bookmarkEnd w:id="142"/>
    </w:p>
    <w:p>
      <w:pPr>
        <w:pStyle w:val="298"/>
        <w:rPr>
          <w:color w:val="auto"/>
        </w:rPr>
      </w:pPr>
      <w:bookmarkStart w:id="144" w:name="_Toc2885"/>
      <w:bookmarkStart w:id="145" w:name="_Toc24136720"/>
      <w:bookmarkStart w:id="146" w:name="_Toc14946816"/>
      <w:bookmarkStart w:id="147" w:name="_Toc15912108"/>
      <w:r>
        <w:rPr>
          <w:color w:val="auto"/>
        </w:rPr>
        <w:t>2.6.2地表水环境影响评价工作等级</w:t>
      </w:r>
      <w:bookmarkEnd w:id="144"/>
      <w:bookmarkEnd w:id="145"/>
      <w:bookmarkEnd w:id="146"/>
      <w:bookmarkEnd w:id="147"/>
    </w:p>
    <w:p>
      <w:pPr>
        <w:spacing w:line="360" w:lineRule="auto"/>
        <w:ind w:firstLine="480"/>
        <w:jc w:val="both"/>
        <w:rPr>
          <w:color w:val="auto"/>
        </w:rPr>
      </w:pPr>
      <w:r>
        <w:rPr>
          <w:color w:val="auto"/>
        </w:rPr>
        <w:t>根据第3章工程分析，本项目运营期主要废水为生产废水</w:t>
      </w:r>
      <w:r>
        <w:rPr>
          <w:rFonts w:hint="eastAsia"/>
          <w:color w:val="auto"/>
        </w:rPr>
        <w:t>和</w:t>
      </w:r>
      <w:r>
        <w:rPr>
          <w:color w:val="auto"/>
        </w:rPr>
        <w:t>生活污水，各类废水进行处理达标后全部回用，不外排。本项目生活、生产用水取</w:t>
      </w:r>
      <w:r>
        <w:rPr>
          <w:rFonts w:hint="eastAsia"/>
          <w:color w:val="auto"/>
        </w:rPr>
        <w:t>自曾坑水库</w:t>
      </w:r>
      <w:r>
        <w:rPr>
          <w:color w:val="auto"/>
        </w:rPr>
        <w:t>，其水环境质量执行《地表水环境质量标准》（GB3838-2002）III类标准。</w:t>
      </w:r>
    </w:p>
    <w:p>
      <w:pPr>
        <w:spacing w:line="360" w:lineRule="auto"/>
        <w:ind w:firstLine="480"/>
        <w:jc w:val="both"/>
        <w:rPr>
          <w:color w:val="auto"/>
        </w:rPr>
      </w:pPr>
      <w:r>
        <w:rPr>
          <w:rFonts w:hint="eastAsia"/>
          <w:color w:val="auto"/>
        </w:rPr>
        <w:t>按照影响类型、排放方式、排放量或影响情况、受纳水体环境质量现状、水环境保护目标等</w:t>
      </w:r>
      <w:r>
        <w:rPr>
          <w:color w:val="auto"/>
        </w:rPr>
        <w:t>，结合《环境影响评价技术导则 地表水环境》（HJ 2.3-2018），项目水环境影响评价等级定为三级B。评价等级原则见下表所示。</w:t>
      </w:r>
    </w:p>
    <w:p>
      <w:pPr>
        <w:pStyle w:val="5"/>
        <w:ind w:firstLine="482"/>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2.6</w:t>
      </w:r>
      <w:r>
        <w:rPr>
          <w:b/>
          <w:color w:val="auto"/>
        </w:rPr>
        <w:fldChar w:fldCharType="end"/>
      </w:r>
      <w:r>
        <w:rPr>
          <w:b/>
          <w:color w:val="auto"/>
        </w:rPr>
        <w:noBreakHyphen/>
      </w:r>
      <w:r>
        <w:rPr>
          <w:rFonts w:hint="eastAsia"/>
          <w:b/>
          <w:color w:val="auto"/>
        </w:rPr>
        <w:t>6</w:t>
      </w:r>
      <w:r>
        <w:rPr>
          <w:b/>
          <w:color w:val="auto"/>
        </w:rPr>
        <w:t xml:space="preserve">  地表水环境影响评价等级判定表</w:t>
      </w:r>
    </w:p>
    <w:tbl>
      <w:tblPr>
        <w:tblStyle w:val="53"/>
        <w:tblW w:w="9125" w:type="dxa"/>
        <w:jc w:val="center"/>
        <w:tblInd w:w="0" w:type="dxa"/>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042"/>
        <w:gridCol w:w="3040"/>
        <w:gridCol w:w="3043"/>
      </w:tblGrid>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65" w:hRule="atLeast"/>
          <w:tblHeader/>
          <w:jc w:val="center"/>
        </w:trPr>
        <w:tc>
          <w:tcPr>
            <w:tcW w:w="3042" w:type="dxa"/>
            <w:vMerge w:val="restart"/>
            <w:tcBorders>
              <w:top w:val="single" w:color="auto" w:sz="18" w:space="0"/>
              <w:left w:val="nil"/>
              <w:right w:val="single" w:color="auto" w:sz="6" w:space="0"/>
            </w:tcBorders>
            <w:vAlign w:val="center"/>
          </w:tcPr>
          <w:p>
            <w:pPr>
              <w:jc w:val="center"/>
              <w:rPr>
                <w:b/>
                <w:color w:val="auto"/>
                <w:sz w:val="21"/>
                <w:szCs w:val="21"/>
              </w:rPr>
            </w:pPr>
            <w:r>
              <w:rPr>
                <w:b/>
                <w:color w:val="auto"/>
                <w:sz w:val="21"/>
                <w:szCs w:val="21"/>
              </w:rPr>
              <w:t>评价等级</w:t>
            </w:r>
          </w:p>
        </w:tc>
        <w:tc>
          <w:tcPr>
            <w:tcW w:w="6083" w:type="dxa"/>
            <w:gridSpan w:val="2"/>
            <w:tcBorders>
              <w:top w:val="single" w:color="auto" w:sz="18" w:space="0"/>
              <w:left w:val="single" w:color="auto" w:sz="6" w:space="0"/>
              <w:bottom w:val="single" w:color="auto" w:sz="6" w:space="0"/>
              <w:right w:val="nil"/>
            </w:tcBorders>
            <w:vAlign w:val="center"/>
          </w:tcPr>
          <w:p>
            <w:pPr>
              <w:jc w:val="center"/>
              <w:rPr>
                <w:b/>
                <w:color w:val="auto"/>
                <w:sz w:val="21"/>
                <w:szCs w:val="21"/>
              </w:rPr>
            </w:pPr>
            <w:r>
              <w:rPr>
                <w:b/>
                <w:color w:val="auto"/>
                <w:sz w:val="21"/>
                <w:szCs w:val="21"/>
              </w:rPr>
              <w:t>判定依据</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265" w:hRule="atLeast"/>
          <w:tblHeader/>
          <w:jc w:val="center"/>
        </w:trPr>
        <w:tc>
          <w:tcPr>
            <w:tcW w:w="3042" w:type="dxa"/>
            <w:vMerge w:val="continue"/>
            <w:tcBorders>
              <w:left w:val="nil"/>
              <w:bottom w:val="single" w:color="auto" w:sz="6" w:space="0"/>
              <w:right w:val="single" w:color="auto" w:sz="6" w:space="0"/>
            </w:tcBorders>
            <w:vAlign w:val="center"/>
          </w:tcPr>
          <w:p>
            <w:pPr>
              <w:jc w:val="center"/>
              <w:rPr>
                <w:color w:val="auto"/>
                <w:sz w:val="21"/>
                <w:szCs w:val="21"/>
              </w:rPr>
            </w:pPr>
          </w:p>
        </w:tc>
        <w:tc>
          <w:tcPr>
            <w:tcW w:w="3040" w:type="dxa"/>
            <w:tcBorders>
              <w:top w:val="single" w:color="auto" w:sz="6" w:space="0"/>
              <w:left w:val="single" w:color="auto" w:sz="6" w:space="0"/>
              <w:bottom w:val="single" w:color="auto" w:sz="6" w:space="0"/>
              <w:right w:val="single" w:color="auto" w:sz="6" w:space="0"/>
            </w:tcBorders>
            <w:vAlign w:val="center"/>
          </w:tcPr>
          <w:p>
            <w:pPr>
              <w:jc w:val="center"/>
              <w:rPr>
                <w:b/>
                <w:color w:val="auto"/>
                <w:sz w:val="21"/>
                <w:szCs w:val="21"/>
              </w:rPr>
            </w:pPr>
            <w:r>
              <w:rPr>
                <w:b/>
                <w:color w:val="auto"/>
                <w:sz w:val="21"/>
                <w:szCs w:val="21"/>
              </w:rPr>
              <w:t>排放方式</w:t>
            </w:r>
          </w:p>
        </w:tc>
        <w:tc>
          <w:tcPr>
            <w:tcW w:w="3043" w:type="dxa"/>
            <w:tcBorders>
              <w:top w:val="single" w:color="auto" w:sz="6" w:space="0"/>
              <w:left w:val="single" w:color="auto" w:sz="6" w:space="0"/>
              <w:bottom w:val="single" w:color="auto" w:sz="6" w:space="0"/>
              <w:right w:val="nil"/>
            </w:tcBorders>
            <w:vAlign w:val="center"/>
          </w:tcPr>
          <w:p>
            <w:pPr>
              <w:jc w:val="center"/>
              <w:rPr>
                <w:b/>
                <w:color w:val="auto"/>
                <w:sz w:val="21"/>
                <w:szCs w:val="21"/>
              </w:rPr>
            </w:pPr>
            <w:r>
              <w:rPr>
                <w:b/>
                <w:color w:val="auto"/>
                <w:sz w:val="21"/>
                <w:szCs w:val="21"/>
              </w:rPr>
              <w:t>废水排放量Q/（m</w:t>
            </w:r>
            <w:r>
              <w:rPr>
                <w:b/>
                <w:color w:val="auto"/>
                <w:sz w:val="21"/>
                <w:szCs w:val="21"/>
                <w:vertAlign w:val="superscript"/>
              </w:rPr>
              <w:t>3</w:t>
            </w:r>
            <w:r>
              <w:rPr>
                <w:b/>
                <w:color w:val="auto"/>
                <w:sz w:val="21"/>
                <w:szCs w:val="21"/>
              </w:rPr>
              <w:t>/d）；</w:t>
            </w:r>
          </w:p>
          <w:p>
            <w:pPr>
              <w:jc w:val="center"/>
              <w:rPr>
                <w:b/>
                <w:color w:val="auto"/>
                <w:sz w:val="21"/>
                <w:szCs w:val="21"/>
              </w:rPr>
            </w:pPr>
            <w:r>
              <w:rPr>
                <w:b/>
                <w:color w:val="auto"/>
                <w:sz w:val="21"/>
                <w:szCs w:val="21"/>
              </w:rPr>
              <w:t>水污染物当量数W/（无量纲）</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265" w:hRule="atLeast"/>
          <w:jc w:val="center"/>
        </w:trPr>
        <w:tc>
          <w:tcPr>
            <w:tcW w:w="3042" w:type="dxa"/>
            <w:tcBorders>
              <w:top w:val="single" w:color="auto" w:sz="6" w:space="0"/>
              <w:left w:val="nil"/>
              <w:bottom w:val="single" w:color="auto" w:sz="6" w:space="0"/>
              <w:right w:val="single" w:color="auto" w:sz="6" w:space="0"/>
            </w:tcBorders>
            <w:vAlign w:val="center"/>
          </w:tcPr>
          <w:p>
            <w:pPr>
              <w:jc w:val="center"/>
              <w:rPr>
                <w:color w:val="auto"/>
                <w:sz w:val="21"/>
                <w:szCs w:val="21"/>
              </w:rPr>
            </w:pPr>
            <w:r>
              <w:rPr>
                <w:color w:val="auto"/>
                <w:sz w:val="21"/>
                <w:szCs w:val="21"/>
              </w:rPr>
              <w:t>一级</w:t>
            </w:r>
          </w:p>
        </w:tc>
        <w:tc>
          <w:tcPr>
            <w:tcW w:w="3040" w:type="dxa"/>
            <w:tcBorders>
              <w:top w:val="single" w:color="auto" w:sz="6" w:space="0"/>
              <w:left w:val="single" w:color="auto" w:sz="6" w:space="0"/>
              <w:bottom w:val="single" w:color="auto" w:sz="6" w:space="0"/>
              <w:right w:val="single" w:color="auto" w:sz="6" w:space="0"/>
            </w:tcBorders>
            <w:vAlign w:val="center"/>
          </w:tcPr>
          <w:p>
            <w:pPr>
              <w:jc w:val="center"/>
              <w:rPr>
                <w:color w:val="auto"/>
                <w:sz w:val="21"/>
                <w:szCs w:val="21"/>
              </w:rPr>
            </w:pPr>
            <w:r>
              <w:rPr>
                <w:color w:val="auto"/>
                <w:sz w:val="21"/>
                <w:szCs w:val="21"/>
              </w:rPr>
              <w:t>直接排放</w:t>
            </w:r>
          </w:p>
        </w:tc>
        <w:tc>
          <w:tcPr>
            <w:tcW w:w="3043" w:type="dxa"/>
            <w:tcBorders>
              <w:top w:val="single" w:color="auto" w:sz="6" w:space="0"/>
              <w:left w:val="single" w:color="auto" w:sz="6" w:space="0"/>
              <w:bottom w:val="single" w:color="auto" w:sz="6" w:space="0"/>
              <w:right w:val="nil"/>
            </w:tcBorders>
            <w:vAlign w:val="center"/>
          </w:tcPr>
          <w:p>
            <w:pPr>
              <w:jc w:val="center"/>
              <w:rPr>
                <w:color w:val="auto"/>
                <w:sz w:val="21"/>
                <w:szCs w:val="21"/>
              </w:rPr>
            </w:pPr>
            <w:r>
              <w:rPr>
                <w:color w:val="auto"/>
                <w:sz w:val="21"/>
                <w:szCs w:val="21"/>
              </w:rPr>
              <w:t>Q≥20000或W≥600000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265" w:hRule="atLeast"/>
          <w:jc w:val="center"/>
        </w:trPr>
        <w:tc>
          <w:tcPr>
            <w:tcW w:w="3042" w:type="dxa"/>
            <w:tcBorders>
              <w:top w:val="single" w:color="auto" w:sz="6" w:space="0"/>
              <w:left w:val="nil"/>
              <w:bottom w:val="single" w:color="auto" w:sz="6" w:space="0"/>
              <w:right w:val="single" w:color="auto" w:sz="6" w:space="0"/>
            </w:tcBorders>
            <w:vAlign w:val="center"/>
          </w:tcPr>
          <w:p>
            <w:pPr>
              <w:jc w:val="center"/>
              <w:rPr>
                <w:color w:val="auto"/>
                <w:sz w:val="21"/>
                <w:szCs w:val="21"/>
              </w:rPr>
            </w:pPr>
            <w:r>
              <w:rPr>
                <w:color w:val="auto"/>
                <w:sz w:val="21"/>
                <w:szCs w:val="21"/>
              </w:rPr>
              <w:t>二级</w:t>
            </w:r>
          </w:p>
        </w:tc>
        <w:tc>
          <w:tcPr>
            <w:tcW w:w="3040" w:type="dxa"/>
            <w:tcBorders>
              <w:top w:val="single" w:color="auto" w:sz="6" w:space="0"/>
              <w:left w:val="single" w:color="auto" w:sz="6" w:space="0"/>
              <w:bottom w:val="single" w:color="auto" w:sz="6" w:space="0"/>
              <w:right w:val="single" w:color="auto" w:sz="6" w:space="0"/>
            </w:tcBorders>
            <w:vAlign w:val="center"/>
          </w:tcPr>
          <w:p>
            <w:pPr>
              <w:jc w:val="center"/>
              <w:rPr>
                <w:color w:val="auto"/>
                <w:sz w:val="21"/>
                <w:szCs w:val="21"/>
              </w:rPr>
            </w:pPr>
            <w:r>
              <w:rPr>
                <w:color w:val="auto"/>
                <w:sz w:val="21"/>
                <w:szCs w:val="21"/>
              </w:rPr>
              <w:t>直接排放</w:t>
            </w:r>
          </w:p>
        </w:tc>
        <w:tc>
          <w:tcPr>
            <w:tcW w:w="3043" w:type="dxa"/>
            <w:tcBorders>
              <w:top w:val="single" w:color="auto" w:sz="6" w:space="0"/>
              <w:left w:val="single" w:color="auto" w:sz="6" w:space="0"/>
              <w:bottom w:val="single" w:color="auto" w:sz="6" w:space="0"/>
              <w:right w:val="nil"/>
            </w:tcBorders>
            <w:vAlign w:val="center"/>
          </w:tcPr>
          <w:p>
            <w:pPr>
              <w:jc w:val="center"/>
              <w:rPr>
                <w:color w:val="auto"/>
                <w:sz w:val="21"/>
                <w:szCs w:val="21"/>
              </w:rPr>
            </w:pPr>
            <w:r>
              <w:rPr>
                <w:color w:val="auto"/>
                <w:sz w:val="21"/>
                <w:szCs w:val="21"/>
              </w:rPr>
              <w:t>其他</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265" w:hRule="atLeast"/>
          <w:jc w:val="center"/>
        </w:trPr>
        <w:tc>
          <w:tcPr>
            <w:tcW w:w="3042" w:type="dxa"/>
            <w:tcBorders>
              <w:top w:val="single" w:color="auto" w:sz="6" w:space="0"/>
              <w:left w:val="nil"/>
              <w:bottom w:val="single" w:color="auto" w:sz="6" w:space="0"/>
              <w:right w:val="single" w:color="auto" w:sz="6" w:space="0"/>
            </w:tcBorders>
            <w:vAlign w:val="center"/>
          </w:tcPr>
          <w:p>
            <w:pPr>
              <w:jc w:val="center"/>
              <w:rPr>
                <w:color w:val="auto"/>
                <w:sz w:val="21"/>
                <w:szCs w:val="21"/>
              </w:rPr>
            </w:pPr>
            <w:r>
              <w:rPr>
                <w:color w:val="auto"/>
                <w:sz w:val="21"/>
                <w:szCs w:val="21"/>
              </w:rPr>
              <w:t>三级A</w:t>
            </w:r>
          </w:p>
        </w:tc>
        <w:tc>
          <w:tcPr>
            <w:tcW w:w="3040" w:type="dxa"/>
            <w:tcBorders>
              <w:top w:val="single" w:color="auto" w:sz="6" w:space="0"/>
              <w:left w:val="single" w:color="auto" w:sz="6" w:space="0"/>
              <w:bottom w:val="single" w:color="auto" w:sz="6" w:space="0"/>
              <w:right w:val="single" w:color="auto" w:sz="6" w:space="0"/>
            </w:tcBorders>
            <w:vAlign w:val="center"/>
          </w:tcPr>
          <w:p>
            <w:pPr>
              <w:jc w:val="center"/>
              <w:rPr>
                <w:color w:val="auto"/>
                <w:sz w:val="21"/>
                <w:szCs w:val="21"/>
              </w:rPr>
            </w:pPr>
            <w:r>
              <w:rPr>
                <w:color w:val="auto"/>
                <w:sz w:val="21"/>
                <w:szCs w:val="21"/>
              </w:rPr>
              <w:t>直接排放</w:t>
            </w:r>
          </w:p>
        </w:tc>
        <w:tc>
          <w:tcPr>
            <w:tcW w:w="3043" w:type="dxa"/>
            <w:tcBorders>
              <w:top w:val="single" w:color="auto" w:sz="6" w:space="0"/>
              <w:left w:val="single" w:color="auto" w:sz="6" w:space="0"/>
              <w:bottom w:val="single" w:color="auto" w:sz="6" w:space="0"/>
              <w:right w:val="nil"/>
            </w:tcBorders>
            <w:vAlign w:val="center"/>
          </w:tcPr>
          <w:p>
            <w:pPr>
              <w:jc w:val="center"/>
              <w:rPr>
                <w:color w:val="auto"/>
                <w:sz w:val="21"/>
                <w:szCs w:val="21"/>
              </w:rPr>
            </w:pPr>
            <w:r>
              <w:rPr>
                <w:color w:val="auto"/>
                <w:sz w:val="21"/>
                <w:szCs w:val="21"/>
              </w:rPr>
              <w:t>Q＜200且W＜6000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265" w:hRule="atLeast"/>
          <w:jc w:val="center"/>
        </w:trPr>
        <w:tc>
          <w:tcPr>
            <w:tcW w:w="3042" w:type="dxa"/>
            <w:tcBorders>
              <w:top w:val="single" w:color="auto" w:sz="6" w:space="0"/>
              <w:left w:val="nil"/>
              <w:bottom w:val="single" w:color="auto" w:sz="6" w:space="0"/>
              <w:right w:val="single" w:color="auto" w:sz="6" w:space="0"/>
            </w:tcBorders>
            <w:vAlign w:val="center"/>
          </w:tcPr>
          <w:p>
            <w:pPr>
              <w:jc w:val="center"/>
              <w:rPr>
                <w:color w:val="auto"/>
                <w:sz w:val="21"/>
                <w:szCs w:val="21"/>
              </w:rPr>
            </w:pPr>
            <w:r>
              <w:rPr>
                <w:color w:val="auto"/>
                <w:sz w:val="21"/>
                <w:szCs w:val="21"/>
              </w:rPr>
              <w:t>三级B</w:t>
            </w:r>
          </w:p>
        </w:tc>
        <w:tc>
          <w:tcPr>
            <w:tcW w:w="3040" w:type="dxa"/>
            <w:tcBorders>
              <w:top w:val="single" w:color="auto" w:sz="6" w:space="0"/>
              <w:left w:val="single" w:color="auto" w:sz="6" w:space="0"/>
              <w:bottom w:val="single" w:color="auto" w:sz="6" w:space="0"/>
              <w:right w:val="single" w:color="auto" w:sz="6" w:space="0"/>
            </w:tcBorders>
            <w:vAlign w:val="center"/>
          </w:tcPr>
          <w:p>
            <w:pPr>
              <w:jc w:val="center"/>
              <w:rPr>
                <w:color w:val="auto"/>
                <w:sz w:val="21"/>
                <w:szCs w:val="21"/>
              </w:rPr>
            </w:pPr>
            <w:r>
              <w:rPr>
                <w:color w:val="auto"/>
                <w:sz w:val="21"/>
                <w:szCs w:val="21"/>
              </w:rPr>
              <w:t>间接排放</w:t>
            </w:r>
          </w:p>
        </w:tc>
        <w:tc>
          <w:tcPr>
            <w:tcW w:w="3043" w:type="dxa"/>
            <w:tcBorders>
              <w:top w:val="single" w:color="auto" w:sz="6" w:space="0"/>
              <w:left w:val="single" w:color="auto" w:sz="6" w:space="0"/>
              <w:bottom w:val="single" w:color="auto" w:sz="6" w:space="0"/>
              <w:right w:val="nil"/>
            </w:tcBorders>
            <w:vAlign w:val="center"/>
          </w:tcPr>
          <w:p>
            <w:pPr>
              <w:jc w:val="center"/>
              <w:rPr>
                <w:color w:val="auto"/>
                <w:sz w:val="21"/>
                <w:szCs w:val="21"/>
              </w:rPr>
            </w:pPr>
            <w:r>
              <w:rPr>
                <w:color w:val="auto"/>
                <w:sz w:val="21"/>
                <w:szCs w:val="21"/>
              </w:rPr>
              <w:t>--</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5611" w:hRule="atLeast"/>
          <w:jc w:val="center"/>
        </w:trPr>
        <w:tc>
          <w:tcPr>
            <w:tcW w:w="9125" w:type="dxa"/>
            <w:gridSpan w:val="3"/>
            <w:tcBorders>
              <w:top w:val="single" w:color="auto" w:sz="6" w:space="0"/>
              <w:left w:val="nil"/>
              <w:right w:val="nil"/>
            </w:tcBorders>
            <w:vAlign w:val="center"/>
          </w:tcPr>
          <w:p>
            <w:pPr>
              <w:rPr>
                <w:color w:val="auto"/>
                <w:sz w:val="21"/>
                <w:szCs w:val="21"/>
              </w:rPr>
            </w:pPr>
            <w:r>
              <w:rPr>
                <w:color w:val="auto"/>
                <w:sz w:val="21"/>
                <w:szCs w:val="21"/>
              </w:rPr>
              <w:t>注1：水污染物当量数等于该污染物的年排放量除以该污染物的污染当量值（见附录A），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pPr>
              <w:rPr>
                <w:color w:val="auto"/>
                <w:sz w:val="21"/>
                <w:szCs w:val="21"/>
              </w:rPr>
            </w:pPr>
            <w:r>
              <w:rPr>
                <w:color w:val="auto"/>
                <w:sz w:val="21"/>
                <w:szCs w:val="21"/>
              </w:rPr>
              <w:t>注2：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pPr>
              <w:rPr>
                <w:color w:val="auto"/>
                <w:sz w:val="21"/>
                <w:szCs w:val="21"/>
              </w:rPr>
            </w:pPr>
            <w:r>
              <w:rPr>
                <w:color w:val="auto"/>
                <w:sz w:val="21"/>
                <w:szCs w:val="21"/>
              </w:rPr>
              <w:t>注3：厂区存在堆积物（露天堆放的原料、燃料、废渣等以及垃圾堆放场）、降尘污染的，应将初期雨污水纳入废水排放量，相应的主要污染物纳入水污染当量计算。</w:t>
            </w:r>
          </w:p>
          <w:p>
            <w:pPr>
              <w:rPr>
                <w:color w:val="auto"/>
                <w:sz w:val="21"/>
                <w:szCs w:val="21"/>
              </w:rPr>
            </w:pPr>
            <w:r>
              <w:rPr>
                <w:color w:val="auto"/>
                <w:sz w:val="21"/>
                <w:szCs w:val="21"/>
              </w:rPr>
              <w:t>注4：建设项目直接排放第一类污染物的，其评价等级为一级；建设项目直接排放的污染物为受纳水体超标因子的，评价等级不低于二级。</w:t>
            </w:r>
          </w:p>
          <w:p>
            <w:pPr>
              <w:rPr>
                <w:color w:val="auto"/>
                <w:sz w:val="21"/>
                <w:szCs w:val="21"/>
              </w:rPr>
            </w:pPr>
            <w:r>
              <w:rPr>
                <w:color w:val="auto"/>
                <w:sz w:val="21"/>
                <w:szCs w:val="21"/>
              </w:rPr>
              <w:t>注5：直接排放受纳水体影响范围涉及饮用水水源保护区、饮用水取水口、重点保护与珍稀水生生物的栖息地、重要水生生物的自然产卵场等保护目标时，评价等级不低于二级。</w:t>
            </w:r>
          </w:p>
          <w:p>
            <w:pPr>
              <w:rPr>
                <w:color w:val="auto"/>
                <w:sz w:val="21"/>
                <w:szCs w:val="21"/>
              </w:rPr>
            </w:pPr>
            <w:r>
              <w:rPr>
                <w:color w:val="auto"/>
                <w:sz w:val="21"/>
                <w:szCs w:val="21"/>
              </w:rPr>
              <w:t>注6：建设项目向河流、湖库排放温排水引起受纳水体水温变化超过水环境质量标准要求，且评价范围有水温敏感目标时，评价等级为一级。</w:t>
            </w:r>
          </w:p>
          <w:p>
            <w:pPr>
              <w:rPr>
                <w:color w:val="auto"/>
                <w:sz w:val="21"/>
                <w:szCs w:val="21"/>
              </w:rPr>
            </w:pPr>
            <w:r>
              <w:rPr>
                <w:color w:val="auto"/>
                <w:sz w:val="21"/>
                <w:szCs w:val="21"/>
              </w:rPr>
              <w:t>注7：建设项目利用海水作为调节温度介质，排水量≥500万m3/d，评价等级为一级；排水量＜500万m</w:t>
            </w:r>
            <w:r>
              <w:rPr>
                <w:color w:val="auto"/>
                <w:sz w:val="21"/>
                <w:szCs w:val="21"/>
                <w:vertAlign w:val="superscript"/>
              </w:rPr>
              <w:t>3</w:t>
            </w:r>
            <w:r>
              <w:rPr>
                <w:color w:val="auto"/>
                <w:sz w:val="21"/>
                <w:szCs w:val="21"/>
              </w:rPr>
              <w:t>/d，评价等级为二级。</w:t>
            </w:r>
          </w:p>
          <w:p>
            <w:pPr>
              <w:rPr>
                <w:color w:val="auto"/>
                <w:sz w:val="21"/>
                <w:szCs w:val="21"/>
              </w:rPr>
            </w:pPr>
            <w:r>
              <w:rPr>
                <w:color w:val="auto"/>
                <w:sz w:val="21"/>
                <w:szCs w:val="21"/>
              </w:rPr>
              <w:t>注8：仅涉及清净下水排放的，如其排放水质满足受纳水体水环境质量标准要求的，评价等级为三级A。</w:t>
            </w:r>
          </w:p>
          <w:p>
            <w:pPr>
              <w:rPr>
                <w:color w:val="auto"/>
                <w:sz w:val="21"/>
                <w:szCs w:val="21"/>
              </w:rPr>
            </w:pPr>
            <w:r>
              <w:rPr>
                <w:color w:val="auto"/>
                <w:sz w:val="21"/>
                <w:szCs w:val="21"/>
              </w:rPr>
              <w:t>注9：依托现有排放口，且对外环境未新增排放污染物的直接排放建设项目，评价等级参照间接排放，定为三级B。</w:t>
            </w:r>
          </w:p>
          <w:p>
            <w:pPr>
              <w:rPr>
                <w:color w:val="auto"/>
                <w:sz w:val="21"/>
                <w:szCs w:val="21"/>
              </w:rPr>
            </w:pPr>
            <w:r>
              <w:rPr>
                <w:color w:val="auto"/>
                <w:sz w:val="21"/>
                <w:szCs w:val="21"/>
              </w:rPr>
              <w:t>注10：建设项目生产工艺中有废水产生，但作为回水利用，不排放到外环境的，按三级B评价。</w:t>
            </w:r>
          </w:p>
        </w:tc>
      </w:tr>
    </w:tbl>
    <w:p>
      <w:pPr>
        <w:spacing w:line="360" w:lineRule="auto"/>
        <w:ind w:firstLine="480" w:firstLineChars="200"/>
        <w:jc w:val="both"/>
        <w:rPr>
          <w:color w:val="auto"/>
        </w:rPr>
      </w:pPr>
      <w:bookmarkStart w:id="148" w:name="_Toc15912109"/>
      <w:bookmarkStart w:id="149" w:name="_Toc14946817"/>
      <w:r>
        <w:rPr>
          <w:color w:val="auto"/>
        </w:rPr>
        <w:t>综上所述，本项目地表水评价等级为三级B。</w:t>
      </w:r>
    </w:p>
    <w:p>
      <w:pPr>
        <w:pStyle w:val="298"/>
        <w:rPr>
          <w:color w:val="auto"/>
        </w:rPr>
      </w:pPr>
      <w:bookmarkStart w:id="150" w:name="_Toc24136721"/>
      <w:bookmarkStart w:id="151" w:name="_Toc8941"/>
      <w:r>
        <w:rPr>
          <w:color w:val="auto"/>
        </w:rPr>
        <w:t>2.6.3声环境影响评价工作等级</w:t>
      </w:r>
      <w:bookmarkEnd w:id="148"/>
      <w:bookmarkEnd w:id="149"/>
      <w:bookmarkEnd w:id="150"/>
      <w:bookmarkEnd w:id="151"/>
    </w:p>
    <w:p>
      <w:pPr>
        <w:spacing w:line="360" w:lineRule="auto"/>
        <w:ind w:firstLine="480"/>
        <w:jc w:val="both"/>
        <w:rPr>
          <w:color w:val="auto"/>
        </w:rPr>
      </w:pPr>
      <w:r>
        <w:rPr>
          <w:color w:val="auto"/>
        </w:rPr>
        <w:t>声环境影响评价等级主要根据项目所在区域的声环境功能类别或项目建设前后所在区域声环境质量的变化程度或受建设项目影响的人口数量来确定的。本项目所在区域声功能区属于GB3096-2008规定的2类区，项目建设前后噪声级增加量控制在3dB(A)以内，受影响人口增加不明显，按《环境影响评价技术导则 声环境》(HJ2.4-2009)中的有关规定，本项目声环境影响评价工作等级定为二级。</w:t>
      </w:r>
    </w:p>
    <w:p>
      <w:pPr>
        <w:pStyle w:val="5"/>
        <w:spacing w:line="360" w:lineRule="auto"/>
        <w:ind w:firstLine="482"/>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2.6</w:t>
      </w:r>
      <w:r>
        <w:rPr>
          <w:b/>
          <w:color w:val="auto"/>
        </w:rPr>
        <w:fldChar w:fldCharType="end"/>
      </w:r>
      <w:r>
        <w:rPr>
          <w:b/>
          <w:color w:val="auto"/>
        </w:rPr>
        <w:noBreakHyphen/>
      </w:r>
      <w:r>
        <w:rPr>
          <w:rFonts w:hint="eastAsia"/>
          <w:b/>
          <w:color w:val="auto"/>
        </w:rPr>
        <w:t>7</w:t>
      </w:r>
      <w:r>
        <w:rPr>
          <w:b/>
          <w:color w:val="auto"/>
        </w:rPr>
        <w:t xml:space="preserve">  声环境影响评价工作等级判别情况</w:t>
      </w:r>
    </w:p>
    <w:tbl>
      <w:tblPr>
        <w:tblStyle w:val="53"/>
        <w:tblW w:w="9286" w:type="dxa"/>
        <w:jc w:val="center"/>
        <w:tblInd w:w="0" w:type="dxa"/>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36"/>
        <w:gridCol w:w="6784"/>
        <w:gridCol w:w="1566"/>
      </w:tblGrid>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936" w:type="dxa"/>
            <w:tcBorders>
              <w:top w:val="single" w:color="auto" w:sz="12" w:space="0"/>
            </w:tcBorders>
            <w:vAlign w:val="center"/>
          </w:tcPr>
          <w:p>
            <w:pPr>
              <w:jc w:val="center"/>
              <w:rPr>
                <w:b/>
                <w:color w:val="auto"/>
                <w:sz w:val="21"/>
              </w:rPr>
            </w:pPr>
            <w:r>
              <w:rPr>
                <w:b/>
                <w:color w:val="auto"/>
                <w:sz w:val="21"/>
              </w:rPr>
              <w:t>序号</w:t>
            </w:r>
          </w:p>
        </w:tc>
        <w:tc>
          <w:tcPr>
            <w:tcW w:w="6784" w:type="dxa"/>
            <w:tcBorders>
              <w:top w:val="single" w:color="auto" w:sz="12" w:space="0"/>
            </w:tcBorders>
            <w:vAlign w:val="center"/>
          </w:tcPr>
          <w:p>
            <w:pPr>
              <w:jc w:val="center"/>
              <w:rPr>
                <w:b/>
                <w:color w:val="auto"/>
                <w:sz w:val="21"/>
              </w:rPr>
            </w:pPr>
            <w:r>
              <w:rPr>
                <w:b/>
                <w:color w:val="auto"/>
                <w:sz w:val="21"/>
              </w:rPr>
              <w:t>等级划分依据</w:t>
            </w:r>
          </w:p>
        </w:tc>
        <w:tc>
          <w:tcPr>
            <w:tcW w:w="1566" w:type="dxa"/>
            <w:tcBorders>
              <w:top w:val="single" w:color="auto" w:sz="12" w:space="0"/>
            </w:tcBorders>
            <w:vAlign w:val="center"/>
          </w:tcPr>
          <w:p>
            <w:pPr>
              <w:jc w:val="center"/>
              <w:rPr>
                <w:b/>
                <w:color w:val="auto"/>
                <w:sz w:val="21"/>
              </w:rPr>
            </w:pPr>
            <w:r>
              <w:rPr>
                <w:b/>
                <w:color w:val="auto"/>
                <w:sz w:val="21"/>
              </w:rPr>
              <w:t>指标</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936" w:type="dxa"/>
            <w:vAlign w:val="center"/>
          </w:tcPr>
          <w:p>
            <w:pPr>
              <w:jc w:val="center"/>
              <w:rPr>
                <w:color w:val="auto"/>
                <w:sz w:val="21"/>
              </w:rPr>
            </w:pPr>
            <w:r>
              <w:rPr>
                <w:color w:val="auto"/>
                <w:sz w:val="21"/>
              </w:rPr>
              <w:t>1</w:t>
            </w:r>
          </w:p>
        </w:tc>
        <w:tc>
          <w:tcPr>
            <w:tcW w:w="6784" w:type="dxa"/>
            <w:vAlign w:val="center"/>
          </w:tcPr>
          <w:p>
            <w:pPr>
              <w:jc w:val="center"/>
              <w:rPr>
                <w:color w:val="auto"/>
                <w:sz w:val="21"/>
              </w:rPr>
            </w:pPr>
            <w:r>
              <w:rPr>
                <w:color w:val="auto"/>
                <w:sz w:val="21"/>
              </w:rPr>
              <w:t>项目所在区域声环境功能区类别</w:t>
            </w:r>
          </w:p>
        </w:tc>
        <w:tc>
          <w:tcPr>
            <w:tcW w:w="1566" w:type="dxa"/>
            <w:vAlign w:val="center"/>
          </w:tcPr>
          <w:p>
            <w:pPr>
              <w:jc w:val="center"/>
              <w:rPr>
                <w:color w:val="auto"/>
                <w:sz w:val="21"/>
              </w:rPr>
            </w:pPr>
            <w:r>
              <w:rPr>
                <w:color w:val="auto"/>
                <w:sz w:val="21"/>
              </w:rPr>
              <w:t>2类区</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936" w:type="dxa"/>
            <w:vAlign w:val="center"/>
          </w:tcPr>
          <w:p>
            <w:pPr>
              <w:jc w:val="center"/>
              <w:rPr>
                <w:color w:val="auto"/>
                <w:sz w:val="21"/>
              </w:rPr>
            </w:pPr>
            <w:r>
              <w:rPr>
                <w:color w:val="auto"/>
                <w:sz w:val="21"/>
              </w:rPr>
              <w:t>2</w:t>
            </w:r>
          </w:p>
        </w:tc>
        <w:tc>
          <w:tcPr>
            <w:tcW w:w="6784" w:type="dxa"/>
            <w:vAlign w:val="center"/>
          </w:tcPr>
          <w:p>
            <w:pPr>
              <w:jc w:val="center"/>
              <w:rPr>
                <w:color w:val="auto"/>
                <w:sz w:val="21"/>
              </w:rPr>
            </w:pPr>
            <w:r>
              <w:rPr>
                <w:color w:val="auto"/>
                <w:sz w:val="21"/>
              </w:rPr>
              <w:t>项目建设前后评价范围内敏感目标噪声级增加量</w:t>
            </w:r>
          </w:p>
        </w:tc>
        <w:tc>
          <w:tcPr>
            <w:tcW w:w="1566" w:type="dxa"/>
            <w:vAlign w:val="center"/>
          </w:tcPr>
          <w:p>
            <w:pPr>
              <w:jc w:val="center"/>
              <w:rPr>
                <w:color w:val="auto"/>
                <w:sz w:val="21"/>
              </w:rPr>
            </w:pPr>
            <w:r>
              <w:rPr>
                <w:color w:val="auto"/>
                <w:sz w:val="21"/>
              </w:rPr>
              <w:t>＜3dB(A)</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936" w:type="dxa"/>
            <w:tcBorders>
              <w:bottom w:val="single" w:color="auto" w:sz="12" w:space="0"/>
            </w:tcBorders>
            <w:vAlign w:val="center"/>
          </w:tcPr>
          <w:p>
            <w:pPr>
              <w:jc w:val="center"/>
              <w:rPr>
                <w:color w:val="auto"/>
                <w:sz w:val="21"/>
              </w:rPr>
            </w:pPr>
            <w:r>
              <w:rPr>
                <w:color w:val="auto"/>
                <w:sz w:val="21"/>
              </w:rPr>
              <w:t>3</w:t>
            </w:r>
          </w:p>
        </w:tc>
        <w:tc>
          <w:tcPr>
            <w:tcW w:w="6784" w:type="dxa"/>
            <w:tcBorders>
              <w:bottom w:val="single" w:color="auto" w:sz="12" w:space="0"/>
            </w:tcBorders>
            <w:vAlign w:val="center"/>
          </w:tcPr>
          <w:p>
            <w:pPr>
              <w:jc w:val="center"/>
              <w:rPr>
                <w:color w:val="auto"/>
                <w:sz w:val="21"/>
              </w:rPr>
            </w:pPr>
            <w:r>
              <w:rPr>
                <w:color w:val="auto"/>
                <w:sz w:val="21"/>
              </w:rPr>
              <w:t>受影响人口数量</w:t>
            </w:r>
          </w:p>
        </w:tc>
        <w:tc>
          <w:tcPr>
            <w:tcW w:w="1566" w:type="dxa"/>
            <w:tcBorders>
              <w:bottom w:val="single" w:color="auto" w:sz="12" w:space="0"/>
            </w:tcBorders>
            <w:vAlign w:val="center"/>
          </w:tcPr>
          <w:p>
            <w:pPr>
              <w:jc w:val="center"/>
              <w:rPr>
                <w:color w:val="auto"/>
                <w:sz w:val="21"/>
              </w:rPr>
            </w:pPr>
            <w:r>
              <w:rPr>
                <w:color w:val="auto"/>
                <w:sz w:val="21"/>
              </w:rPr>
              <w:t>变化不大</w:t>
            </w:r>
          </w:p>
        </w:tc>
      </w:tr>
    </w:tbl>
    <w:p>
      <w:pPr>
        <w:pStyle w:val="298"/>
        <w:rPr>
          <w:color w:val="auto"/>
        </w:rPr>
      </w:pPr>
      <w:bookmarkStart w:id="152" w:name="_Toc15912110"/>
      <w:bookmarkStart w:id="153" w:name="_Toc24136722"/>
      <w:bookmarkStart w:id="154" w:name="_Toc14946818"/>
      <w:bookmarkStart w:id="155" w:name="_Toc5039"/>
      <w:r>
        <w:rPr>
          <w:color w:val="auto"/>
        </w:rPr>
        <w:t>2.6.4地下水环境影响评价工作等级</w:t>
      </w:r>
      <w:bookmarkEnd w:id="152"/>
      <w:bookmarkEnd w:id="153"/>
      <w:bookmarkEnd w:id="154"/>
      <w:bookmarkEnd w:id="155"/>
    </w:p>
    <w:p>
      <w:pPr>
        <w:spacing w:line="360" w:lineRule="auto"/>
        <w:ind w:firstLine="480"/>
        <w:rPr>
          <w:color w:val="auto"/>
        </w:rPr>
      </w:pPr>
      <w:r>
        <w:rPr>
          <w:rFonts w:hint="eastAsia"/>
          <w:color w:val="auto"/>
        </w:rPr>
        <w:t>根据《环境影响评价技术导则</w:t>
      </w:r>
      <w:r>
        <w:rPr>
          <w:color w:val="auto"/>
        </w:rPr>
        <w:t xml:space="preserve"> </w:t>
      </w:r>
      <w:r>
        <w:rPr>
          <w:rFonts w:hint="eastAsia"/>
          <w:color w:val="auto"/>
        </w:rPr>
        <w:t>地下水环境》（</w:t>
      </w:r>
      <w:r>
        <w:rPr>
          <w:color w:val="auto"/>
        </w:rPr>
        <w:t>HJ610-2016</w:t>
      </w:r>
      <w:r>
        <w:rPr>
          <w:rFonts w:hint="eastAsia"/>
          <w:color w:val="auto"/>
        </w:rPr>
        <w:t>）附录A，本项目属于</w:t>
      </w:r>
      <w:r>
        <w:rPr>
          <w:color w:val="auto"/>
        </w:rPr>
        <w:fldChar w:fldCharType="begin"/>
      </w:r>
      <w:r>
        <w:rPr>
          <w:color w:val="auto"/>
        </w:rPr>
        <w:instrText xml:space="preserve"> </w:instrText>
      </w:r>
      <w:r>
        <w:rPr>
          <w:rFonts w:hint="eastAsia"/>
          <w:color w:val="auto"/>
        </w:rPr>
        <w:instrText xml:space="preserve">= 2 \* ROMAN</w:instrText>
      </w:r>
      <w:r>
        <w:rPr>
          <w:color w:val="auto"/>
        </w:rPr>
        <w:instrText xml:space="preserve"> </w:instrText>
      </w:r>
      <w:r>
        <w:rPr>
          <w:color w:val="auto"/>
        </w:rPr>
        <w:fldChar w:fldCharType="separate"/>
      </w:r>
      <w:r>
        <w:rPr>
          <w:color w:val="auto"/>
        </w:rPr>
        <w:t>II</w:t>
      </w:r>
      <w:r>
        <w:rPr>
          <w:color w:val="auto"/>
        </w:rPr>
        <w:fldChar w:fldCharType="end"/>
      </w:r>
      <w:r>
        <w:rPr>
          <w:rFonts w:hint="eastAsia"/>
          <w:color w:val="auto"/>
        </w:rPr>
        <w:t>类项目，</w:t>
      </w:r>
      <w:r>
        <w:rPr>
          <w:color w:val="auto"/>
        </w:rPr>
        <w:t>项目建设后不开采利用地下水，生产用水、生活用水均由</w:t>
      </w:r>
      <w:r>
        <w:rPr>
          <w:rFonts w:hint="eastAsia"/>
          <w:color w:val="auto"/>
        </w:rPr>
        <w:t>曾坑水库供给</w:t>
      </w:r>
      <w:r>
        <w:rPr>
          <w:color w:val="auto"/>
        </w:rPr>
        <w:t>。地下水环境影响评价行业分类详见下表。</w:t>
      </w:r>
    </w:p>
    <w:p>
      <w:pPr>
        <w:pStyle w:val="5"/>
        <w:spacing w:line="360" w:lineRule="auto"/>
        <w:ind w:firstLine="482"/>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2.6</w:t>
      </w:r>
      <w:r>
        <w:rPr>
          <w:b/>
          <w:color w:val="auto"/>
        </w:rPr>
        <w:fldChar w:fldCharType="end"/>
      </w:r>
      <w:r>
        <w:rPr>
          <w:b/>
          <w:color w:val="auto"/>
        </w:rPr>
        <w:noBreakHyphen/>
      </w:r>
      <w:r>
        <w:rPr>
          <w:rFonts w:hint="eastAsia"/>
          <w:b/>
          <w:color w:val="auto"/>
        </w:rPr>
        <w:t>8</w:t>
      </w:r>
      <w:r>
        <w:rPr>
          <w:b/>
          <w:color w:val="auto"/>
        </w:rPr>
        <w:t xml:space="preserve">  地下水环境影响评价行业分类表</w:t>
      </w:r>
    </w:p>
    <w:tbl>
      <w:tblPr>
        <w:tblStyle w:val="53"/>
        <w:tblW w:w="9286"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25"/>
        <w:gridCol w:w="1419"/>
        <w:gridCol w:w="1127"/>
        <w:gridCol w:w="1417"/>
        <w:gridCol w:w="1556"/>
        <w:gridCol w:w="224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1525" w:type="dxa"/>
            <w:vMerge w:val="restart"/>
            <w:vAlign w:val="center"/>
          </w:tcPr>
          <w:p>
            <w:pPr>
              <w:jc w:val="center"/>
              <w:rPr>
                <w:b/>
                <w:color w:val="auto"/>
                <w:sz w:val="21"/>
              </w:rPr>
            </w:pPr>
            <w:r>
              <w:rPr>
                <w:b/>
                <w:color w:val="auto"/>
                <w:sz w:val="21"/>
              </w:rPr>
              <w:t>环评类别</w:t>
            </w:r>
          </w:p>
          <w:p>
            <w:pPr>
              <w:jc w:val="center"/>
              <w:rPr>
                <w:b/>
                <w:color w:val="auto"/>
                <w:sz w:val="21"/>
              </w:rPr>
            </w:pPr>
            <w:r>
              <w:rPr>
                <w:b/>
                <w:color w:val="auto"/>
                <w:sz w:val="21"/>
              </w:rPr>
              <w:t>行业类别</w:t>
            </w:r>
          </w:p>
        </w:tc>
        <w:tc>
          <w:tcPr>
            <w:tcW w:w="1419" w:type="dxa"/>
            <w:vMerge w:val="restart"/>
            <w:vAlign w:val="center"/>
          </w:tcPr>
          <w:p>
            <w:pPr>
              <w:jc w:val="center"/>
              <w:rPr>
                <w:b/>
                <w:color w:val="auto"/>
                <w:sz w:val="21"/>
              </w:rPr>
            </w:pPr>
            <w:r>
              <w:rPr>
                <w:b/>
                <w:color w:val="auto"/>
                <w:sz w:val="21"/>
              </w:rPr>
              <w:t>报告书</w:t>
            </w:r>
          </w:p>
        </w:tc>
        <w:tc>
          <w:tcPr>
            <w:tcW w:w="1127" w:type="dxa"/>
            <w:vMerge w:val="restart"/>
            <w:vAlign w:val="center"/>
          </w:tcPr>
          <w:p>
            <w:pPr>
              <w:jc w:val="center"/>
              <w:rPr>
                <w:b/>
                <w:color w:val="auto"/>
                <w:sz w:val="21"/>
              </w:rPr>
            </w:pPr>
            <w:r>
              <w:rPr>
                <w:b/>
                <w:color w:val="auto"/>
                <w:sz w:val="21"/>
              </w:rPr>
              <w:t>报告表</w:t>
            </w:r>
          </w:p>
        </w:tc>
        <w:tc>
          <w:tcPr>
            <w:tcW w:w="2973" w:type="dxa"/>
            <w:gridSpan w:val="2"/>
            <w:vAlign w:val="center"/>
          </w:tcPr>
          <w:p>
            <w:pPr>
              <w:jc w:val="center"/>
              <w:rPr>
                <w:b/>
                <w:color w:val="auto"/>
                <w:sz w:val="21"/>
              </w:rPr>
            </w:pPr>
            <w:r>
              <w:rPr>
                <w:b/>
                <w:color w:val="auto"/>
                <w:sz w:val="21"/>
              </w:rPr>
              <w:t>地下水环境影响评价项目类别</w:t>
            </w:r>
          </w:p>
        </w:tc>
        <w:tc>
          <w:tcPr>
            <w:tcW w:w="2242" w:type="dxa"/>
            <w:vMerge w:val="restart"/>
            <w:vAlign w:val="center"/>
          </w:tcPr>
          <w:p>
            <w:pPr>
              <w:jc w:val="center"/>
              <w:rPr>
                <w:b/>
                <w:color w:val="auto"/>
                <w:sz w:val="21"/>
              </w:rPr>
            </w:pPr>
            <w:r>
              <w:rPr>
                <w:rFonts w:hint="eastAsia"/>
                <w:b/>
                <w:color w:val="auto"/>
                <w:sz w:val="21"/>
              </w:rPr>
              <w:t>本</w:t>
            </w:r>
            <w:r>
              <w:rPr>
                <w:b/>
                <w:color w:val="auto"/>
                <w:sz w:val="21"/>
              </w:rPr>
              <w:t>项目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1525" w:type="dxa"/>
            <w:vMerge w:val="continue"/>
            <w:vAlign w:val="center"/>
          </w:tcPr>
          <w:p>
            <w:pPr>
              <w:jc w:val="center"/>
              <w:rPr>
                <w:b/>
                <w:color w:val="auto"/>
                <w:sz w:val="21"/>
              </w:rPr>
            </w:pPr>
          </w:p>
        </w:tc>
        <w:tc>
          <w:tcPr>
            <w:tcW w:w="1419" w:type="dxa"/>
            <w:vMerge w:val="continue"/>
            <w:vAlign w:val="center"/>
          </w:tcPr>
          <w:p>
            <w:pPr>
              <w:jc w:val="center"/>
              <w:rPr>
                <w:b/>
                <w:color w:val="auto"/>
                <w:sz w:val="21"/>
              </w:rPr>
            </w:pPr>
          </w:p>
        </w:tc>
        <w:tc>
          <w:tcPr>
            <w:tcW w:w="1127" w:type="dxa"/>
            <w:vMerge w:val="continue"/>
            <w:vAlign w:val="center"/>
          </w:tcPr>
          <w:p>
            <w:pPr>
              <w:jc w:val="center"/>
              <w:rPr>
                <w:b/>
                <w:color w:val="auto"/>
                <w:sz w:val="21"/>
              </w:rPr>
            </w:pPr>
          </w:p>
        </w:tc>
        <w:tc>
          <w:tcPr>
            <w:tcW w:w="1417" w:type="dxa"/>
            <w:vAlign w:val="center"/>
          </w:tcPr>
          <w:p>
            <w:pPr>
              <w:jc w:val="center"/>
              <w:rPr>
                <w:b/>
                <w:color w:val="auto"/>
                <w:sz w:val="21"/>
              </w:rPr>
            </w:pPr>
            <w:r>
              <w:rPr>
                <w:b/>
                <w:color w:val="auto"/>
                <w:sz w:val="21"/>
              </w:rPr>
              <w:t>报告书</w:t>
            </w:r>
          </w:p>
        </w:tc>
        <w:tc>
          <w:tcPr>
            <w:tcW w:w="1556" w:type="dxa"/>
            <w:vAlign w:val="center"/>
          </w:tcPr>
          <w:p>
            <w:pPr>
              <w:jc w:val="center"/>
              <w:rPr>
                <w:b/>
                <w:color w:val="auto"/>
                <w:sz w:val="21"/>
              </w:rPr>
            </w:pPr>
            <w:r>
              <w:rPr>
                <w:b/>
                <w:color w:val="auto"/>
                <w:sz w:val="21"/>
              </w:rPr>
              <w:t>报告表</w:t>
            </w:r>
          </w:p>
        </w:tc>
        <w:tc>
          <w:tcPr>
            <w:tcW w:w="2242" w:type="dxa"/>
            <w:vMerge w:val="continue"/>
            <w:vAlign w:val="center"/>
          </w:tcPr>
          <w:p>
            <w:pPr>
              <w:jc w:val="center"/>
              <w:rPr>
                <w:b/>
                <w:color w:val="auto"/>
                <w:sz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9286" w:type="dxa"/>
            <w:gridSpan w:val="6"/>
            <w:vAlign w:val="center"/>
          </w:tcPr>
          <w:p>
            <w:pPr>
              <w:jc w:val="center"/>
              <w:rPr>
                <w:color w:val="auto"/>
                <w:sz w:val="21"/>
              </w:rPr>
            </w:pPr>
            <w:r>
              <w:rPr>
                <w:rFonts w:hint="eastAsia"/>
                <w:color w:val="auto"/>
                <w:sz w:val="21"/>
              </w:rPr>
              <w:t>U 城镇基础设施及房地产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1525" w:type="dxa"/>
            <w:vAlign w:val="center"/>
          </w:tcPr>
          <w:p>
            <w:pPr>
              <w:jc w:val="center"/>
              <w:rPr>
                <w:color w:val="auto"/>
                <w:sz w:val="21"/>
              </w:rPr>
            </w:pPr>
            <w:r>
              <w:rPr>
                <w:color w:val="auto"/>
                <w:sz w:val="21"/>
              </w:rPr>
              <w:t>149、</w:t>
            </w:r>
            <w:r>
              <w:rPr>
                <w:rFonts w:hint="eastAsia"/>
                <w:color w:val="auto"/>
                <w:sz w:val="21"/>
              </w:rPr>
              <w:t>生活垃圾</w:t>
            </w:r>
            <w:r>
              <w:rPr>
                <w:color w:val="auto"/>
                <w:sz w:val="21"/>
              </w:rPr>
              <w:t>（含</w:t>
            </w:r>
            <w:r>
              <w:rPr>
                <w:rFonts w:hint="eastAsia"/>
                <w:color w:val="auto"/>
                <w:sz w:val="21"/>
              </w:rPr>
              <w:t>餐厨废弃物</w:t>
            </w:r>
            <w:r>
              <w:rPr>
                <w:color w:val="auto"/>
                <w:sz w:val="21"/>
              </w:rPr>
              <w:t>）集中处置</w:t>
            </w:r>
          </w:p>
        </w:tc>
        <w:tc>
          <w:tcPr>
            <w:tcW w:w="1419" w:type="dxa"/>
            <w:vAlign w:val="center"/>
          </w:tcPr>
          <w:p>
            <w:pPr>
              <w:jc w:val="center"/>
              <w:rPr>
                <w:color w:val="auto"/>
                <w:sz w:val="21"/>
              </w:rPr>
            </w:pPr>
            <w:r>
              <w:rPr>
                <w:color w:val="auto"/>
                <w:sz w:val="21"/>
              </w:rPr>
              <w:t>全部</w:t>
            </w:r>
          </w:p>
        </w:tc>
        <w:tc>
          <w:tcPr>
            <w:tcW w:w="1127" w:type="dxa"/>
            <w:vAlign w:val="center"/>
          </w:tcPr>
          <w:p>
            <w:pPr>
              <w:jc w:val="center"/>
              <w:rPr>
                <w:color w:val="auto"/>
                <w:sz w:val="21"/>
              </w:rPr>
            </w:pPr>
            <w:r>
              <w:rPr>
                <w:color w:val="auto"/>
                <w:sz w:val="21"/>
              </w:rPr>
              <w:t>/</w:t>
            </w:r>
          </w:p>
        </w:tc>
        <w:tc>
          <w:tcPr>
            <w:tcW w:w="1417" w:type="dxa"/>
            <w:vAlign w:val="center"/>
          </w:tcPr>
          <w:p>
            <w:pPr>
              <w:jc w:val="center"/>
              <w:rPr>
                <w:rFonts w:eastAsiaTheme="minorEastAsia"/>
                <w:color w:val="auto"/>
                <w:sz w:val="21"/>
              </w:rPr>
            </w:pPr>
            <w:r>
              <w:rPr>
                <w:rFonts w:eastAsiaTheme="minorEastAsia"/>
                <w:color w:val="auto"/>
                <w:sz w:val="21"/>
              </w:rPr>
              <w:t>生活垃圾填埋处置项目为I类</w:t>
            </w:r>
            <w:r>
              <w:rPr>
                <w:rFonts w:hint="eastAsia" w:eastAsiaTheme="minorEastAsia"/>
                <w:color w:val="auto"/>
                <w:sz w:val="21"/>
              </w:rPr>
              <w:t>，其余I</w:t>
            </w:r>
            <w:r>
              <w:rPr>
                <w:rFonts w:eastAsiaTheme="minorEastAsia"/>
                <w:color w:val="auto"/>
                <w:sz w:val="21"/>
              </w:rPr>
              <w:t>I</w:t>
            </w:r>
            <w:r>
              <w:rPr>
                <w:rFonts w:hint="eastAsia" w:eastAsiaTheme="minorEastAsia"/>
                <w:color w:val="auto"/>
                <w:sz w:val="21"/>
              </w:rPr>
              <w:t>类</w:t>
            </w:r>
          </w:p>
        </w:tc>
        <w:tc>
          <w:tcPr>
            <w:tcW w:w="1556" w:type="dxa"/>
            <w:vAlign w:val="center"/>
          </w:tcPr>
          <w:p>
            <w:pPr>
              <w:jc w:val="center"/>
              <w:rPr>
                <w:rFonts w:eastAsiaTheme="minorEastAsia"/>
                <w:color w:val="auto"/>
                <w:sz w:val="21"/>
              </w:rPr>
            </w:pPr>
            <w:r>
              <w:rPr>
                <w:rFonts w:eastAsiaTheme="minorEastAsia"/>
                <w:color w:val="auto"/>
                <w:sz w:val="21"/>
              </w:rPr>
              <w:t>/</w:t>
            </w:r>
          </w:p>
        </w:tc>
        <w:tc>
          <w:tcPr>
            <w:tcW w:w="2242" w:type="dxa"/>
            <w:vAlign w:val="center"/>
          </w:tcPr>
          <w:p>
            <w:pPr>
              <w:jc w:val="center"/>
              <w:rPr>
                <w:rFonts w:eastAsiaTheme="minorEastAsia"/>
                <w:color w:val="auto"/>
                <w:sz w:val="21"/>
              </w:rPr>
            </w:pPr>
            <w:r>
              <w:rPr>
                <w:rFonts w:hint="eastAsia" w:eastAsiaTheme="minorEastAsia"/>
                <w:color w:val="auto"/>
                <w:sz w:val="21"/>
              </w:rPr>
              <w:t>餐厨废弃物集中处置</w:t>
            </w:r>
            <w:r>
              <w:rPr>
                <w:rFonts w:eastAsiaTheme="minorEastAsia"/>
                <w:color w:val="auto"/>
                <w:sz w:val="21"/>
              </w:rPr>
              <w:t>为</w:t>
            </w:r>
            <w:r>
              <w:rPr>
                <w:rFonts w:hint="eastAsia" w:eastAsiaTheme="minorEastAsia"/>
                <w:color w:val="auto"/>
                <w:sz w:val="21"/>
              </w:rPr>
              <w:t>I</w:t>
            </w:r>
            <w:r>
              <w:rPr>
                <w:rFonts w:eastAsiaTheme="minorEastAsia"/>
                <w:color w:val="auto"/>
                <w:sz w:val="21"/>
              </w:rPr>
              <w:t>I类项目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1525" w:type="dxa"/>
            <w:vAlign w:val="center"/>
          </w:tcPr>
          <w:p>
            <w:pPr>
              <w:jc w:val="center"/>
              <w:rPr>
                <w:color w:val="auto"/>
                <w:sz w:val="21"/>
              </w:rPr>
            </w:pPr>
            <w:r>
              <w:rPr>
                <w:rFonts w:hint="eastAsia"/>
                <w:color w:val="auto"/>
                <w:sz w:val="21"/>
              </w:rPr>
              <w:t>1</w:t>
            </w:r>
            <w:r>
              <w:rPr>
                <w:color w:val="auto"/>
                <w:sz w:val="21"/>
              </w:rPr>
              <w:t>52</w:t>
            </w:r>
            <w:r>
              <w:rPr>
                <w:rFonts w:hint="eastAsia"/>
                <w:color w:val="auto"/>
                <w:sz w:val="21"/>
              </w:rPr>
              <w:t>、工业固体废物（含污泥）集中处置</w:t>
            </w:r>
          </w:p>
        </w:tc>
        <w:tc>
          <w:tcPr>
            <w:tcW w:w="1419" w:type="dxa"/>
            <w:vAlign w:val="center"/>
          </w:tcPr>
          <w:p>
            <w:pPr>
              <w:jc w:val="center"/>
              <w:rPr>
                <w:color w:val="auto"/>
                <w:sz w:val="21"/>
              </w:rPr>
            </w:pPr>
            <w:r>
              <w:rPr>
                <w:rFonts w:hint="eastAsia"/>
                <w:color w:val="auto"/>
                <w:sz w:val="21"/>
              </w:rPr>
              <w:t>全部</w:t>
            </w:r>
          </w:p>
        </w:tc>
        <w:tc>
          <w:tcPr>
            <w:tcW w:w="1127" w:type="dxa"/>
            <w:vAlign w:val="center"/>
          </w:tcPr>
          <w:p>
            <w:pPr>
              <w:jc w:val="center"/>
              <w:rPr>
                <w:color w:val="auto"/>
                <w:sz w:val="21"/>
              </w:rPr>
            </w:pPr>
            <w:r>
              <w:rPr>
                <w:rFonts w:hint="eastAsia"/>
                <w:color w:val="auto"/>
                <w:sz w:val="21"/>
              </w:rPr>
              <w:t>/</w:t>
            </w:r>
          </w:p>
        </w:tc>
        <w:tc>
          <w:tcPr>
            <w:tcW w:w="1417" w:type="dxa"/>
            <w:vAlign w:val="center"/>
          </w:tcPr>
          <w:p>
            <w:pPr>
              <w:jc w:val="center"/>
              <w:rPr>
                <w:rFonts w:eastAsiaTheme="minorEastAsia"/>
                <w:color w:val="auto"/>
                <w:sz w:val="21"/>
              </w:rPr>
            </w:pPr>
            <w:r>
              <w:rPr>
                <w:rFonts w:hint="eastAsia" w:eastAsiaTheme="minorEastAsia"/>
                <w:color w:val="auto"/>
                <w:sz w:val="21"/>
              </w:rPr>
              <w:t>一类固废I</w:t>
            </w:r>
            <w:r>
              <w:rPr>
                <w:rFonts w:eastAsiaTheme="minorEastAsia"/>
                <w:color w:val="auto"/>
                <w:sz w:val="21"/>
              </w:rPr>
              <w:t>II</w:t>
            </w:r>
            <w:r>
              <w:rPr>
                <w:rFonts w:hint="eastAsia" w:eastAsiaTheme="minorEastAsia"/>
                <w:color w:val="auto"/>
                <w:sz w:val="21"/>
              </w:rPr>
              <w:t>类、二类固废I</w:t>
            </w:r>
            <w:r>
              <w:rPr>
                <w:rFonts w:eastAsiaTheme="minorEastAsia"/>
                <w:color w:val="auto"/>
                <w:sz w:val="21"/>
              </w:rPr>
              <w:t>I</w:t>
            </w:r>
            <w:r>
              <w:rPr>
                <w:rFonts w:hint="eastAsia" w:eastAsiaTheme="minorEastAsia"/>
                <w:color w:val="auto"/>
                <w:sz w:val="21"/>
              </w:rPr>
              <w:t>类</w:t>
            </w:r>
          </w:p>
        </w:tc>
        <w:tc>
          <w:tcPr>
            <w:tcW w:w="1556" w:type="dxa"/>
            <w:vAlign w:val="center"/>
          </w:tcPr>
          <w:p>
            <w:pPr>
              <w:jc w:val="center"/>
              <w:rPr>
                <w:rFonts w:eastAsiaTheme="minorEastAsia"/>
                <w:color w:val="auto"/>
                <w:sz w:val="21"/>
              </w:rPr>
            </w:pPr>
            <w:r>
              <w:rPr>
                <w:rFonts w:hint="eastAsia" w:eastAsiaTheme="minorEastAsia"/>
                <w:color w:val="auto"/>
                <w:sz w:val="21"/>
              </w:rPr>
              <w:t>/</w:t>
            </w:r>
          </w:p>
        </w:tc>
        <w:tc>
          <w:tcPr>
            <w:tcW w:w="2242" w:type="dxa"/>
            <w:vAlign w:val="center"/>
          </w:tcPr>
          <w:p>
            <w:pPr>
              <w:jc w:val="center"/>
              <w:rPr>
                <w:rFonts w:eastAsiaTheme="minorEastAsia"/>
                <w:color w:val="auto"/>
                <w:sz w:val="21"/>
              </w:rPr>
            </w:pPr>
            <w:r>
              <w:rPr>
                <w:rFonts w:hint="eastAsia" w:eastAsiaTheme="minorEastAsia"/>
                <w:color w:val="auto"/>
                <w:sz w:val="21"/>
              </w:rPr>
              <w:t>建筑垃圾消纳场为I</w:t>
            </w:r>
            <w:r>
              <w:rPr>
                <w:rFonts w:eastAsiaTheme="minorEastAsia"/>
                <w:color w:val="auto"/>
                <w:sz w:val="21"/>
              </w:rPr>
              <w:t>I</w:t>
            </w:r>
            <w:r>
              <w:rPr>
                <w:rFonts w:hint="eastAsia" w:eastAsiaTheme="minorEastAsia"/>
                <w:color w:val="auto"/>
                <w:sz w:val="21"/>
              </w:rPr>
              <w:t>类项目</w:t>
            </w:r>
          </w:p>
        </w:tc>
      </w:tr>
    </w:tbl>
    <w:p>
      <w:pPr>
        <w:spacing w:line="360" w:lineRule="auto"/>
        <w:ind w:firstLine="480"/>
        <w:jc w:val="both"/>
        <w:rPr>
          <w:color w:val="auto"/>
        </w:rPr>
      </w:pPr>
      <w:r>
        <w:rPr>
          <w:color w:val="auto"/>
        </w:rPr>
        <w:t>本项目所在地属于</w:t>
      </w:r>
      <w:r>
        <w:rPr>
          <w:rFonts w:hint="eastAsia"/>
          <w:color w:val="auto"/>
        </w:rPr>
        <w:t>韩江及粤东诸河梅州兴宁地下水水源涵养区（</w:t>
      </w:r>
      <w:r>
        <w:rPr>
          <w:color w:val="auto"/>
        </w:rPr>
        <w:t>H084414002T06</w:t>
      </w:r>
      <w:r>
        <w:rPr>
          <w:rFonts w:hint="eastAsia"/>
          <w:color w:val="auto"/>
        </w:rPr>
        <w:t>）</w:t>
      </w:r>
      <w:r>
        <w:rPr>
          <w:color w:val="auto"/>
        </w:rPr>
        <w:t>，根据《环境影响评价技术导则 地下水环境》（HJ610-2016）项目地下水环境敏感程度的分级（见表2.6-</w:t>
      </w:r>
      <w:r>
        <w:rPr>
          <w:rFonts w:hint="eastAsia"/>
          <w:color w:val="auto"/>
        </w:rPr>
        <w:t>9</w:t>
      </w:r>
      <w:r>
        <w:rPr>
          <w:color w:val="auto"/>
        </w:rPr>
        <w:t>）划分依据及评价工作等级分级（见表2.6-</w:t>
      </w:r>
      <w:r>
        <w:rPr>
          <w:rFonts w:hint="eastAsia"/>
          <w:color w:val="auto"/>
        </w:rPr>
        <w:t>10</w:t>
      </w:r>
      <w:r>
        <w:rPr>
          <w:color w:val="auto"/>
        </w:rPr>
        <w:t>）划分依据，</w:t>
      </w:r>
      <w:r>
        <w:rPr>
          <w:rFonts w:hint="eastAsia"/>
          <w:color w:val="auto"/>
        </w:rPr>
        <w:t>评价范围内</w:t>
      </w:r>
      <w:r>
        <w:rPr>
          <w:color w:val="auto"/>
        </w:rPr>
        <w:t>无集中式</w:t>
      </w:r>
      <w:r>
        <w:rPr>
          <w:rFonts w:hint="eastAsia"/>
          <w:color w:val="auto"/>
        </w:rPr>
        <w:t>饮</w:t>
      </w:r>
      <w:r>
        <w:rPr>
          <w:color w:val="auto"/>
        </w:rPr>
        <w:t>用水源</w:t>
      </w:r>
      <w:r>
        <w:rPr>
          <w:rFonts w:hint="eastAsia"/>
          <w:color w:val="auto"/>
        </w:rPr>
        <w:t>，</w:t>
      </w:r>
      <w:r>
        <w:rPr>
          <w:color w:val="auto"/>
        </w:rPr>
        <w:t>地下水环境敏感程度为不敏感。</w:t>
      </w:r>
    </w:p>
    <w:p>
      <w:pPr>
        <w:spacing w:line="360" w:lineRule="auto"/>
        <w:ind w:firstLine="480"/>
        <w:rPr>
          <w:color w:val="auto"/>
        </w:rPr>
      </w:pPr>
      <w:r>
        <w:rPr>
          <w:rStyle w:val="313"/>
          <w:rFonts w:hint="default" w:ascii="Times New Roman" w:hAnsi="Times New Roman"/>
          <w:color w:val="auto"/>
        </w:rPr>
        <w:t>综上所述，根据《环境影响评价技术导则》（地下水）（</w:t>
      </w:r>
      <w:r>
        <w:rPr>
          <w:rStyle w:val="314"/>
          <w:color w:val="auto"/>
        </w:rPr>
        <w:t>HJ610-2016</w:t>
      </w:r>
      <w:r>
        <w:rPr>
          <w:rStyle w:val="313"/>
          <w:rFonts w:hint="default" w:ascii="Times New Roman" w:hAnsi="Times New Roman"/>
          <w:color w:val="auto"/>
        </w:rPr>
        <w:t>）的划分原则可知，本项目地下水影响评价等级为三级</w:t>
      </w:r>
      <w:r>
        <w:rPr>
          <w:color w:val="auto"/>
        </w:rPr>
        <w:t>。</w:t>
      </w:r>
    </w:p>
    <w:p>
      <w:pPr>
        <w:pStyle w:val="5"/>
        <w:spacing w:line="360" w:lineRule="auto"/>
        <w:ind w:firstLine="482"/>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2.6</w:t>
      </w:r>
      <w:r>
        <w:rPr>
          <w:b/>
          <w:color w:val="auto"/>
        </w:rPr>
        <w:fldChar w:fldCharType="end"/>
      </w:r>
      <w:r>
        <w:rPr>
          <w:b/>
          <w:color w:val="auto"/>
        </w:rPr>
        <w:noBreakHyphen/>
      </w:r>
      <w:r>
        <w:rPr>
          <w:rFonts w:hint="eastAsia"/>
          <w:b/>
          <w:color w:val="auto"/>
        </w:rPr>
        <w:t>9</w:t>
      </w:r>
      <w:r>
        <w:rPr>
          <w:b/>
          <w:color w:val="auto"/>
        </w:rPr>
        <w:t xml:space="preserve">  地下水环境敏感程度分级判定</w:t>
      </w:r>
    </w:p>
    <w:tbl>
      <w:tblPr>
        <w:tblStyle w:val="53"/>
        <w:tblW w:w="9070" w:type="dxa"/>
        <w:jc w:val="center"/>
        <w:tblInd w:w="0" w:type="dxa"/>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1676"/>
        <w:gridCol w:w="7394"/>
      </w:tblGrid>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blHeader/>
          <w:jc w:val="center"/>
        </w:trPr>
        <w:tc>
          <w:tcPr>
            <w:tcW w:w="1676" w:type="dxa"/>
            <w:tcBorders>
              <w:top w:val="single" w:color="auto" w:sz="12" w:space="0"/>
            </w:tcBorders>
            <w:vAlign w:val="center"/>
          </w:tcPr>
          <w:p>
            <w:pPr>
              <w:jc w:val="center"/>
              <w:rPr>
                <w:b/>
                <w:color w:val="auto"/>
                <w:sz w:val="21"/>
              </w:rPr>
            </w:pPr>
            <w:r>
              <w:rPr>
                <w:b/>
                <w:color w:val="auto"/>
                <w:sz w:val="21"/>
              </w:rPr>
              <w:t>敏感程度</w:t>
            </w:r>
          </w:p>
        </w:tc>
        <w:tc>
          <w:tcPr>
            <w:tcW w:w="7394" w:type="dxa"/>
            <w:tcBorders>
              <w:top w:val="single" w:color="auto" w:sz="12" w:space="0"/>
              <w:bottom w:val="single" w:color="auto" w:sz="2" w:space="0"/>
            </w:tcBorders>
            <w:vAlign w:val="center"/>
          </w:tcPr>
          <w:p>
            <w:pPr>
              <w:jc w:val="center"/>
              <w:rPr>
                <w:b/>
                <w:color w:val="auto"/>
                <w:sz w:val="21"/>
              </w:rPr>
            </w:pPr>
            <w:r>
              <w:rPr>
                <w:b/>
                <w:color w:val="auto"/>
                <w:sz w:val="21"/>
              </w:rPr>
              <w:t>地下水环境敏感特征</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1676" w:type="dxa"/>
            <w:tcBorders>
              <w:right w:val="single" w:color="auto" w:sz="2" w:space="0"/>
            </w:tcBorders>
            <w:vAlign w:val="center"/>
          </w:tcPr>
          <w:p>
            <w:pPr>
              <w:jc w:val="center"/>
              <w:rPr>
                <w:color w:val="auto"/>
                <w:sz w:val="21"/>
              </w:rPr>
            </w:pPr>
            <w:r>
              <w:rPr>
                <w:color w:val="auto"/>
                <w:sz w:val="21"/>
              </w:rPr>
              <w:t>敏感</w:t>
            </w:r>
          </w:p>
        </w:tc>
        <w:tc>
          <w:tcPr>
            <w:tcW w:w="7394" w:type="dxa"/>
            <w:tcBorders>
              <w:top w:val="single" w:color="auto" w:sz="2" w:space="0"/>
              <w:left w:val="single" w:color="auto" w:sz="2" w:space="0"/>
              <w:bottom w:val="single" w:color="auto" w:sz="2" w:space="0"/>
            </w:tcBorders>
            <w:vAlign w:val="center"/>
          </w:tcPr>
          <w:p>
            <w:pPr>
              <w:jc w:val="center"/>
              <w:rPr>
                <w:color w:val="auto"/>
                <w:sz w:val="21"/>
              </w:rPr>
            </w:pPr>
            <w:r>
              <w:rPr>
                <w:color w:val="auto"/>
                <w:sz w:val="21"/>
              </w:rPr>
              <w:t>集中式饮用水水源（包括已建成的在用、备用、应急水源，在建和规划的饮用水水源）准保护区；除集中式饮用水水源以外的国家或地方政策设定的与地下水环境相关的其他保护区、如热水、矿泉水、温泉等特殊地下水资源保护区</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1676" w:type="dxa"/>
            <w:tcBorders>
              <w:top w:val="single" w:color="auto" w:sz="4" w:space="0"/>
            </w:tcBorders>
            <w:vAlign w:val="center"/>
          </w:tcPr>
          <w:p>
            <w:pPr>
              <w:jc w:val="center"/>
              <w:rPr>
                <w:color w:val="auto"/>
                <w:sz w:val="21"/>
              </w:rPr>
            </w:pPr>
            <w:r>
              <w:rPr>
                <w:color w:val="auto"/>
                <w:sz w:val="21"/>
              </w:rPr>
              <w:t>较敏感</w:t>
            </w:r>
          </w:p>
        </w:tc>
        <w:tc>
          <w:tcPr>
            <w:tcW w:w="7394" w:type="dxa"/>
            <w:tcBorders>
              <w:top w:val="single" w:color="auto" w:sz="2" w:space="0"/>
            </w:tcBorders>
            <w:vAlign w:val="center"/>
          </w:tcPr>
          <w:p>
            <w:pPr>
              <w:jc w:val="center"/>
              <w:rPr>
                <w:color w:val="auto"/>
                <w:sz w:val="21"/>
              </w:rPr>
            </w:pPr>
            <w:r>
              <w:rPr>
                <w:color w:val="auto"/>
                <w:sz w:val="21"/>
              </w:rP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他未列入上述敏感分级的环境敏感区</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1676" w:type="dxa"/>
            <w:tcBorders>
              <w:bottom w:val="single" w:color="auto" w:sz="12" w:space="0"/>
            </w:tcBorders>
            <w:vAlign w:val="center"/>
          </w:tcPr>
          <w:p>
            <w:pPr>
              <w:jc w:val="center"/>
              <w:rPr>
                <w:color w:val="auto"/>
                <w:sz w:val="21"/>
              </w:rPr>
            </w:pPr>
            <w:r>
              <w:rPr>
                <w:color w:val="auto"/>
                <w:sz w:val="21"/>
              </w:rPr>
              <w:t>不敏感</w:t>
            </w:r>
          </w:p>
        </w:tc>
        <w:tc>
          <w:tcPr>
            <w:tcW w:w="7394" w:type="dxa"/>
            <w:tcBorders>
              <w:bottom w:val="single" w:color="auto" w:sz="12" w:space="0"/>
            </w:tcBorders>
            <w:vAlign w:val="center"/>
          </w:tcPr>
          <w:p>
            <w:pPr>
              <w:jc w:val="center"/>
              <w:rPr>
                <w:color w:val="auto"/>
                <w:sz w:val="21"/>
              </w:rPr>
            </w:pPr>
            <w:r>
              <w:rPr>
                <w:color w:val="auto"/>
                <w:sz w:val="21"/>
              </w:rPr>
              <w:t>上述地区之外的其他地区</w:t>
            </w:r>
          </w:p>
        </w:tc>
      </w:tr>
    </w:tbl>
    <w:p>
      <w:pPr>
        <w:pStyle w:val="5"/>
        <w:ind w:firstLine="482"/>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2.6</w:t>
      </w:r>
      <w:r>
        <w:rPr>
          <w:b/>
          <w:color w:val="auto"/>
        </w:rPr>
        <w:fldChar w:fldCharType="end"/>
      </w:r>
      <w:r>
        <w:rPr>
          <w:b/>
          <w:color w:val="auto"/>
        </w:rPr>
        <w:noBreakHyphen/>
      </w:r>
      <w:r>
        <w:rPr>
          <w:rFonts w:hint="eastAsia"/>
          <w:b/>
          <w:color w:val="auto"/>
        </w:rPr>
        <w:t>10</w:t>
      </w:r>
      <w:r>
        <w:rPr>
          <w:b/>
          <w:color w:val="auto"/>
        </w:rPr>
        <w:t xml:space="preserve"> 地下水环境影响评价工作等级分级判定</w:t>
      </w:r>
    </w:p>
    <w:tbl>
      <w:tblPr>
        <w:tblStyle w:val="53"/>
        <w:tblW w:w="9286" w:type="dxa"/>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21"/>
        <w:gridCol w:w="2321"/>
        <w:gridCol w:w="2322"/>
        <w:gridCol w:w="2322"/>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321" w:type="dxa"/>
            <w:tcBorders>
              <w:top w:val="single" w:color="auto" w:sz="12" w:space="0"/>
              <w:bottom w:val="single" w:color="auto" w:sz="4" w:space="0"/>
              <w:tl2br w:val="single" w:color="auto" w:sz="4" w:space="0"/>
            </w:tcBorders>
            <w:shd w:val="clear" w:color="auto" w:fill="auto"/>
          </w:tcPr>
          <w:p>
            <w:pPr>
              <w:pStyle w:val="292"/>
              <w:jc w:val="right"/>
              <w:rPr>
                <w:b/>
                <w:color w:val="auto"/>
              </w:rPr>
            </w:pPr>
            <w:r>
              <w:rPr>
                <w:b/>
                <w:color w:val="auto"/>
              </w:rPr>
              <w:t>项目类别</w:t>
            </w:r>
          </w:p>
          <w:p>
            <w:pPr>
              <w:pStyle w:val="292"/>
              <w:jc w:val="left"/>
              <w:rPr>
                <w:b/>
                <w:color w:val="auto"/>
              </w:rPr>
            </w:pPr>
            <w:r>
              <w:rPr>
                <w:b/>
                <w:color w:val="auto"/>
              </w:rPr>
              <w:t>环境敏感程度</w:t>
            </w:r>
          </w:p>
        </w:tc>
        <w:tc>
          <w:tcPr>
            <w:tcW w:w="2321" w:type="dxa"/>
            <w:tcBorders>
              <w:top w:val="single" w:color="auto" w:sz="12" w:space="0"/>
              <w:bottom w:val="single" w:color="auto" w:sz="4" w:space="0"/>
            </w:tcBorders>
            <w:shd w:val="clear" w:color="auto" w:fill="auto"/>
            <w:vAlign w:val="center"/>
          </w:tcPr>
          <w:p>
            <w:pPr>
              <w:pStyle w:val="292"/>
              <w:rPr>
                <w:b/>
                <w:color w:val="auto"/>
              </w:rPr>
            </w:pPr>
            <w:r>
              <w:rPr>
                <w:rFonts w:hint="eastAsia" w:ascii="宋体" w:hAnsi="宋体" w:cs="宋体"/>
                <w:b/>
                <w:color w:val="auto"/>
              </w:rPr>
              <w:t>Ⅰ</w:t>
            </w:r>
            <w:r>
              <w:rPr>
                <w:b/>
                <w:color w:val="auto"/>
              </w:rPr>
              <w:t>类</w:t>
            </w:r>
          </w:p>
        </w:tc>
        <w:tc>
          <w:tcPr>
            <w:tcW w:w="2322" w:type="dxa"/>
            <w:tcBorders>
              <w:top w:val="single" w:color="auto" w:sz="12" w:space="0"/>
              <w:bottom w:val="single" w:color="auto" w:sz="4" w:space="0"/>
            </w:tcBorders>
            <w:shd w:val="clear" w:color="auto" w:fill="auto"/>
            <w:vAlign w:val="center"/>
          </w:tcPr>
          <w:p>
            <w:pPr>
              <w:pStyle w:val="292"/>
              <w:rPr>
                <w:b/>
                <w:color w:val="auto"/>
              </w:rPr>
            </w:pPr>
            <w:r>
              <w:rPr>
                <w:rFonts w:hint="eastAsia" w:ascii="宋体" w:hAnsi="宋体" w:cs="宋体"/>
                <w:b/>
                <w:color w:val="auto"/>
              </w:rPr>
              <w:t>Ⅱ</w:t>
            </w:r>
            <w:r>
              <w:rPr>
                <w:b/>
                <w:color w:val="auto"/>
              </w:rPr>
              <w:t>类</w:t>
            </w:r>
          </w:p>
        </w:tc>
        <w:tc>
          <w:tcPr>
            <w:tcW w:w="2322" w:type="dxa"/>
            <w:tcBorders>
              <w:top w:val="single" w:color="auto" w:sz="12" w:space="0"/>
              <w:bottom w:val="single" w:color="auto" w:sz="4" w:space="0"/>
            </w:tcBorders>
            <w:shd w:val="clear" w:color="auto" w:fill="auto"/>
            <w:vAlign w:val="center"/>
          </w:tcPr>
          <w:p>
            <w:pPr>
              <w:pStyle w:val="292"/>
              <w:rPr>
                <w:b/>
                <w:color w:val="auto"/>
              </w:rPr>
            </w:pPr>
            <w:r>
              <w:rPr>
                <w:rFonts w:hint="eastAsia" w:ascii="宋体" w:hAnsi="宋体" w:cs="宋体"/>
                <w:b/>
                <w:color w:val="auto"/>
              </w:rPr>
              <w:t>Ⅲ</w:t>
            </w:r>
            <w:r>
              <w:rPr>
                <w:b/>
                <w:color w:val="auto"/>
              </w:rPr>
              <w:t>类</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321" w:type="dxa"/>
            <w:tcBorders>
              <w:top w:val="single" w:color="auto" w:sz="4" w:space="0"/>
              <w:bottom w:val="single" w:color="auto" w:sz="4" w:space="0"/>
            </w:tcBorders>
            <w:shd w:val="clear" w:color="auto" w:fill="auto"/>
            <w:vAlign w:val="center"/>
          </w:tcPr>
          <w:p>
            <w:pPr>
              <w:pStyle w:val="292"/>
              <w:rPr>
                <w:color w:val="auto"/>
              </w:rPr>
            </w:pPr>
            <w:r>
              <w:rPr>
                <w:color w:val="auto"/>
              </w:rPr>
              <w:t>敏感</w:t>
            </w:r>
          </w:p>
        </w:tc>
        <w:tc>
          <w:tcPr>
            <w:tcW w:w="2321" w:type="dxa"/>
            <w:tcBorders>
              <w:top w:val="single" w:color="auto" w:sz="4" w:space="0"/>
              <w:bottom w:val="single" w:color="auto" w:sz="4" w:space="0"/>
            </w:tcBorders>
            <w:shd w:val="clear" w:color="auto" w:fill="auto"/>
            <w:vAlign w:val="center"/>
          </w:tcPr>
          <w:p>
            <w:pPr>
              <w:pStyle w:val="292"/>
              <w:rPr>
                <w:b/>
                <w:color w:val="auto"/>
              </w:rPr>
            </w:pPr>
            <w:r>
              <w:rPr>
                <w:b/>
                <w:color w:val="auto"/>
              </w:rPr>
              <w:t>一</w:t>
            </w:r>
          </w:p>
        </w:tc>
        <w:tc>
          <w:tcPr>
            <w:tcW w:w="2322" w:type="dxa"/>
            <w:tcBorders>
              <w:top w:val="single" w:color="auto" w:sz="4" w:space="0"/>
              <w:bottom w:val="single" w:color="auto" w:sz="4" w:space="0"/>
            </w:tcBorders>
            <w:shd w:val="clear" w:color="auto" w:fill="auto"/>
            <w:vAlign w:val="center"/>
          </w:tcPr>
          <w:p>
            <w:pPr>
              <w:pStyle w:val="292"/>
              <w:rPr>
                <w:b/>
                <w:color w:val="auto"/>
              </w:rPr>
            </w:pPr>
            <w:r>
              <w:rPr>
                <w:b/>
                <w:color w:val="auto"/>
              </w:rPr>
              <w:t>一</w:t>
            </w:r>
          </w:p>
        </w:tc>
        <w:tc>
          <w:tcPr>
            <w:tcW w:w="2322" w:type="dxa"/>
            <w:tcBorders>
              <w:top w:val="single" w:color="auto" w:sz="4" w:space="0"/>
              <w:bottom w:val="single" w:color="auto" w:sz="4" w:space="0"/>
            </w:tcBorders>
            <w:shd w:val="clear" w:color="auto" w:fill="auto"/>
            <w:vAlign w:val="center"/>
          </w:tcPr>
          <w:p>
            <w:pPr>
              <w:pStyle w:val="292"/>
              <w:rPr>
                <w:b/>
                <w:color w:val="auto"/>
              </w:rPr>
            </w:pPr>
            <w:r>
              <w:rPr>
                <w:b/>
                <w:color w:val="auto"/>
              </w:rPr>
              <w:t>二</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321" w:type="dxa"/>
            <w:tcBorders>
              <w:top w:val="single" w:color="auto" w:sz="4" w:space="0"/>
              <w:bottom w:val="single" w:color="auto" w:sz="4" w:space="0"/>
            </w:tcBorders>
            <w:shd w:val="clear" w:color="auto" w:fill="auto"/>
            <w:vAlign w:val="center"/>
          </w:tcPr>
          <w:p>
            <w:pPr>
              <w:pStyle w:val="292"/>
              <w:rPr>
                <w:color w:val="auto"/>
              </w:rPr>
            </w:pPr>
            <w:r>
              <w:rPr>
                <w:color w:val="auto"/>
              </w:rPr>
              <w:t>较敏感</w:t>
            </w:r>
          </w:p>
        </w:tc>
        <w:tc>
          <w:tcPr>
            <w:tcW w:w="2321" w:type="dxa"/>
            <w:tcBorders>
              <w:top w:val="single" w:color="auto" w:sz="4" w:space="0"/>
              <w:bottom w:val="single" w:color="auto" w:sz="4" w:space="0"/>
            </w:tcBorders>
            <w:shd w:val="clear" w:color="auto" w:fill="auto"/>
            <w:vAlign w:val="center"/>
          </w:tcPr>
          <w:p>
            <w:pPr>
              <w:pStyle w:val="292"/>
              <w:rPr>
                <w:b/>
                <w:color w:val="auto"/>
              </w:rPr>
            </w:pPr>
            <w:r>
              <w:rPr>
                <w:b/>
                <w:color w:val="auto"/>
              </w:rPr>
              <w:t>一</w:t>
            </w:r>
          </w:p>
        </w:tc>
        <w:tc>
          <w:tcPr>
            <w:tcW w:w="2322" w:type="dxa"/>
            <w:tcBorders>
              <w:top w:val="single" w:color="auto" w:sz="4" w:space="0"/>
              <w:bottom w:val="single" w:color="auto" w:sz="4" w:space="0"/>
            </w:tcBorders>
            <w:shd w:val="clear" w:color="auto" w:fill="auto"/>
            <w:vAlign w:val="center"/>
          </w:tcPr>
          <w:p>
            <w:pPr>
              <w:pStyle w:val="292"/>
              <w:rPr>
                <w:b/>
                <w:color w:val="auto"/>
              </w:rPr>
            </w:pPr>
            <w:r>
              <w:rPr>
                <w:b/>
                <w:color w:val="auto"/>
              </w:rPr>
              <w:t>二</w:t>
            </w:r>
          </w:p>
        </w:tc>
        <w:tc>
          <w:tcPr>
            <w:tcW w:w="2322" w:type="dxa"/>
            <w:tcBorders>
              <w:top w:val="single" w:color="auto" w:sz="4" w:space="0"/>
              <w:bottom w:val="single" w:color="auto" w:sz="4" w:space="0"/>
            </w:tcBorders>
            <w:shd w:val="clear" w:color="auto" w:fill="auto"/>
            <w:vAlign w:val="center"/>
          </w:tcPr>
          <w:p>
            <w:pPr>
              <w:pStyle w:val="292"/>
              <w:rPr>
                <w:b/>
                <w:color w:val="auto"/>
              </w:rPr>
            </w:pPr>
            <w:r>
              <w:rPr>
                <w:b/>
                <w:color w:val="auto"/>
              </w:rPr>
              <w:t>三</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321" w:type="dxa"/>
            <w:tcBorders>
              <w:top w:val="single" w:color="auto" w:sz="4" w:space="0"/>
              <w:bottom w:val="single" w:color="auto" w:sz="12" w:space="0"/>
            </w:tcBorders>
            <w:shd w:val="clear" w:color="auto" w:fill="auto"/>
            <w:vAlign w:val="center"/>
          </w:tcPr>
          <w:p>
            <w:pPr>
              <w:pStyle w:val="292"/>
              <w:rPr>
                <w:color w:val="auto"/>
              </w:rPr>
            </w:pPr>
            <w:r>
              <w:rPr>
                <w:color w:val="auto"/>
              </w:rPr>
              <w:t>不敏感</w:t>
            </w:r>
          </w:p>
        </w:tc>
        <w:tc>
          <w:tcPr>
            <w:tcW w:w="2321" w:type="dxa"/>
            <w:tcBorders>
              <w:top w:val="single" w:color="auto" w:sz="4" w:space="0"/>
              <w:bottom w:val="single" w:color="auto" w:sz="12" w:space="0"/>
            </w:tcBorders>
            <w:shd w:val="clear" w:color="auto" w:fill="auto"/>
            <w:vAlign w:val="center"/>
          </w:tcPr>
          <w:p>
            <w:pPr>
              <w:pStyle w:val="292"/>
              <w:rPr>
                <w:b/>
                <w:color w:val="auto"/>
              </w:rPr>
            </w:pPr>
            <w:r>
              <w:rPr>
                <w:b/>
                <w:color w:val="auto"/>
              </w:rPr>
              <w:t>二</w:t>
            </w:r>
          </w:p>
        </w:tc>
        <w:tc>
          <w:tcPr>
            <w:tcW w:w="2322" w:type="dxa"/>
            <w:tcBorders>
              <w:top w:val="single" w:color="auto" w:sz="4" w:space="0"/>
              <w:bottom w:val="single" w:color="auto" w:sz="12" w:space="0"/>
            </w:tcBorders>
            <w:shd w:val="clear" w:color="auto" w:fill="auto"/>
            <w:vAlign w:val="center"/>
          </w:tcPr>
          <w:p>
            <w:pPr>
              <w:pStyle w:val="292"/>
              <w:rPr>
                <w:b/>
                <w:color w:val="auto"/>
              </w:rPr>
            </w:pPr>
            <w:r>
              <w:rPr>
                <w:b/>
                <w:color w:val="auto"/>
              </w:rPr>
              <w:t>三</w:t>
            </w:r>
          </w:p>
        </w:tc>
        <w:tc>
          <w:tcPr>
            <w:tcW w:w="2322" w:type="dxa"/>
            <w:tcBorders>
              <w:top w:val="single" w:color="auto" w:sz="4" w:space="0"/>
              <w:bottom w:val="single" w:color="auto" w:sz="12" w:space="0"/>
            </w:tcBorders>
            <w:shd w:val="clear" w:color="auto" w:fill="auto"/>
            <w:vAlign w:val="center"/>
          </w:tcPr>
          <w:p>
            <w:pPr>
              <w:pStyle w:val="292"/>
              <w:rPr>
                <w:b/>
                <w:color w:val="auto"/>
              </w:rPr>
            </w:pPr>
            <w:r>
              <w:rPr>
                <w:b/>
                <w:color w:val="auto"/>
              </w:rPr>
              <w:t>三</w:t>
            </w:r>
          </w:p>
        </w:tc>
      </w:tr>
    </w:tbl>
    <w:p>
      <w:pPr>
        <w:pStyle w:val="298"/>
        <w:rPr>
          <w:color w:val="auto"/>
        </w:rPr>
      </w:pPr>
      <w:bookmarkStart w:id="156" w:name="_Toc24136723"/>
      <w:bookmarkStart w:id="157" w:name="_Toc21992"/>
      <w:bookmarkStart w:id="158" w:name="_Toc14946819"/>
      <w:bookmarkStart w:id="159" w:name="_Toc15912111"/>
      <w:r>
        <w:rPr>
          <w:color w:val="auto"/>
        </w:rPr>
        <w:t>2.6.5生态环境影响评价工作等级</w:t>
      </w:r>
      <w:bookmarkEnd w:id="156"/>
      <w:bookmarkEnd w:id="157"/>
      <w:bookmarkEnd w:id="158"/>
      <w:bookmarkEnd w:id="159"/>
    </w:p>
    <w:p>
      <w:pPr>
        <w:spacing w:line="360" w:lineRule="auto"/>
        <w:ind w:firstLine="480"/>
        <w:jc w:val="both"/>
        <w:rPr>
          <w:color w:val="auto"/>
        </w:rPr>
      </w:pPr>
      <w:r>
        <w:rPr>
          <w:color w:val="auto"/>
        </w:rPr>
        <w:t>根据《环境影响评价技术导则 生态影响》（HJ19-2011）的要求，依据影响区域的生态敏感性和评价项目的工程占地（含水域）范围，包括永久占地和临时占地，将生态影响评价工作等级划分为一级、二级和三级。划分依据见下表。</w:t>
      </w:r>
    </w:p>
    <w:p>
      <w:pPr>
        <w:pStyle w:val="5"/>
        <w:spacing w:line="360" w:lineRule="auto"/>
        <w:ind w:firstLine="482"/>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2.6</w:t>
      </w:r>
      <w:r>
        <w:rPr>
          <w:b/>
          <w:color w:val="auto"/>
        </w:rPr>
        <w:fldChar w:fldCharType="end"/>
      </w:r>
      <w:r>
        <w:rPr>
          <w:b/>
          <w:color w:val="auto"/>
        </w:rPr>
        <w:noBreakHyphen/>
      </w:r>
      <w:r>
        <w:rPr>
          <w:rFonts w:hint="eastAsia"/>
          <w:b/>
          <w:color w:val="auto"/>
        </w:rPr>
        <w:t>11</w:t>
      </w:r>
      <w:r>
        <w:rPr>
          <w:b/>
          <w:color w:val="auto"/>
        </w:rPr>
        <w:t xml:space="preserve"> 生态影响评价工作等级划分</w:t>
      </w:r>
    </w:p>
    <w:tbl>
      <w:tblPr>
        <w:tblStyle w:val="53"/>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18"/>
        <w:gridCol w:w="2124"/>
        <w:gridCol w:w="2322"/>
        <w:gridCol w:w="23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518" w:type="dxa"/>
            <w:vMerge w:val="restart"/>
            <w:shd w:val="clear" w:color="auto" w:fill="auto"/>
            <w:vAlign w:val="center"/>
          </w:tcPr>
          <w:p>
            <w:pPr>
              <w:pStyle w:val="292"/>
              <w:rPr>
                <w:b/>
                <w:color w:val="auto"/>
              </w:rPr>
            </w:pPr>
            <w:r>
              <w:rPr>
                <w:b/>
                <w:color w:val="auto"/>
              </w:rPr>
              <w:t>影响区域生态敏感性</w:t>
            </w:r>
          </w:p>
        </w:tc>
        <w:tc>
          <w:tcPr>
            <w:tcW w:w="6768" w:type="dxa"/>
            <w:gridSpan w:val="3"/>
            <w:shd w:val="clear" w:color="auto" w:fill="auto"/>
            <w:vAlign w:val="center"/>
          </w:tcPr>
          <w:p>
            <w:pPr>
              <w:pStyle w:val="292"/>
              <w:rPr>
                <w:b/>
                <w:color w:val="auto"/>
              </w:rPr>
            </w:pPr>
            <w:r>
              <w:rPr>
                <w:b/>
                <w:color w:val="auto"/>
              </w:rPr>
              <w:t>工程占地（含水域）范围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518" w:type="dxa"/>
            <w:vMerge w:val="continue"/>
            <w:shd w:val="clear" w:color="auto" w:fill="auto"/>
            <w:vAlign w:val="center"/>
          </w:tcPr>
          <w:p>
            <w:pPr>
              <w:pStyle w:val="292"/>
              <w:rPr>
                <w:b/>
                <w:color w:val="auto"/>
              </w:rPr>
            </w:pPr>
          </w:p>
        </w:tc>
        <w:tc>
          <w:tcPr>
            <w:tcW w:w="2124" w:type="dxa"/>
            <w:shd w:val="clear" w:color="auto" w:fill="auto"/>
            <w:vAlign w:val="center"/>
          </w:tcPr>
          <w:p>
            <w:pPr>
              <w:pStyle w:val="292"/>
              <w:rPr>
                <w:b/>
                <w:color w:val="auto"/>
              </w:rPr>
            </w:pPr>
            <w:r>
              <w:rPr>
                <w:b/>
                <w:color w:val="auto"/>
              </w:rPr>
              <w:t>面积≥20 km</w:t>
            </w:r>
            <w:r>
              <w:rPr>
                <w:b/>
                <w:color w:val="auto"/>
                <w:vertAlign w:val="superscript"/>
              </w:rPr>
              <w:t>2</w:t>
            </w:r>
          </w:p>
          <w:p>
            <w:pPr>
              <w:pStyle w:val="292"/>
              <w:rPr>
                <w:b/>
                <w:color w:val="auto"/>
              </w:rPr>
            </w:pPr>
            <w:r>
              <w:rPr>
                <w:b/>
                <w:color w:val="auto"/>
              </w:rPr>
              <w:t>或长度≥100 km</w:t>
            </w:r>
          </w:p>
        </w:tc>
        <w:tc>
          <w:tcPr>
            <w:tcW w:w="2322" w:type="dxa"/>
            <w:shd w:val="clear" w:color="auto" w:fill="auto"/>
            <w:vAlign w:val="center"/>
          </w:tcPr>
          <w:p>
            <w:pPr>
              <w:pStyle w:val="292"/>
              <w:rPr>
                <w:b/>
                <w:color w:val="auto"/>
              </w:rPr>
            </w:pPr>
            <w:r>
              <w:rPr>
                <w:b/>
                <w:color w:val="auto"/>
              </w:rPr>
              <w:t>面积2~20 km</w:t>
            </w:r>
            <w:r>
              <w:rPr>
                <w:b/>
                <w:color w:val="auto"/>
                <w:vertAlign w:val="superscript"/>
              </w:rPr>
              <w:t>2</w:t>
            </w:r>
          </w:p>
          <w:p>
            <w:pPr>
              <w:pStyle w:val="292"/>
              <w:rPr>
                <w:b/>
                <w:color w:val="auto"/>
              </w:rPr>
            </w:pPr>
            <w:r>
              <w:rPr>
                <w:b/>
                <w:color w:val="auto"/>
              </w:rPr>
              <w:t>或长度50~100 km</w:t>
            </w:r>
          </w:p>
        </w:tc>
        <w:tc>
          <w:tcPr>
            <w:tcW w:w="2322" w:type="dxa"/>
            <w:shd w:val="clear" w:color="auto" w:fill="auto"/>
            <w:vAlign w:val="center"/>
          </w:tcPr>
          <w:p>
            <w:pPr>
              <w:pStyle w:val="292"/>
              <w:rPr>
                <w:b/>
                <w:color w:val="auto"/>
              </w:rPr>
            </w:pPr>
            <w:r>
              <w:rPr>
                <w:b/>
                <w:color w:val="auto"/>
              </w:rPr>
              <w:t>面积≤2 km</w:t>
            </w:r>
            <w:r>
              <w:rPr>
                <w:b/>
                <w:color w:val="auto"/>
                <w:vertAlign w:val="superscript"/>
              </w:rPr>
              <w:t>2</w:t>
            </w:r>
          </w:p>
          <w:p>
            <w:pPr>
              <w:pStyle w:val="292"/>
              <w:rPr>
                <w:b/>
                <w:color w:val="auto"/>
              </w:rPr>
            </w:pPr>
            <w:r>
              <w:rPr>
                <w:b/>
                <w:color w:val="auto"/>
              </w:rPr>
              <w:t>或长度≤50 km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518" w:type="dxa"/>
            <w:shd w:val="clear" w:color="auto" w:fill="auto"/>
            <w:vAlign w:val="center"/>
          </w:tcPr>
          <w:p>
            <w:pPr>
              <w:pStyle w:val="292"/>
              <w:rPr>
                <w:b/>
                <w:color w:val="auto"/>
              </w:rPr>
            </w:pPr>
            <w:r>
              <w:rPr>
                <w:color w:val="auto"/>
              </w:rPr>
              <w:t>特殊生态敏感区</w:t>
            </w:r>
          </w:p>
        </w:tc>
        <w:tc>
          <w:tcPr>
            <w:tcW w:w="2124" w:type="dxa"/>
            <w:shd w:val="clear" w:color="auto" w:fill="auto"/>
            <w:vAlign w:val="center"/>
          </w:tcPr>
          <w:p>
            <w:pPr>
              <w:pStyle w:val="292"/>
              <w:rPr>
                <w:b/>
                <w:color w:val="auto"/>
              </w:rPr>
            </w:pPr>
            <w:r>
              <w:rPr>
                <w:color w:val="auto"/>
              </w:rPr>
              <w:t>一级</w:t>
            </w:r>
          </w:p>
        </w:tc>
        <w:tc>
          <w:tcPr>
            <w:tcW w:w="2322" w:type="dxa"/>
            <w:shd w:val="clear" w:color="auto" w:fill="auto"/>
            <w:vAlign w:val="center"/>
          </w:tcPr>
          <w:p>
            <w:pPr>
              <w:pStyle w:val="292"/>
              <w:rPr>
                <w:b/>
                <w:color w:val="auto"/>
              </w:rPr>
            </w:pPr>
            <w:r>
              <w:rPr>
                <w:color w:val="auto"/>
              </w:rPr>
              <w:t>一级</w:t>
            </w:r>
          </w:p>
        </w:tc>
        <w:tc>
          <w:tcPr>
            <w:tcW w:w="2322" w:type="dxa"/>
            <w:shd w:val="clear" w:color="auto" w:fill="auto"/>
            <w:vAlign w:val="center"/>
          </w:tcPr>
          <w:p>
            <w:pPr>
              <w:pStyle w:val="292"/>
              <w:rPr>
                <w:b/>
                <w:color w:val="auto"/>
              </w:rPr>
            </w:pPr>
            <w:r>
              <w:rPr>
                <w:color w:val="auto"/>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518" w:type="dxa"/>
            <w:shd w:val="clear" w:color="auto" w:fill="auto"/>
            <w:vAlign w:val="center"/>
          </w:tcPr>
          <w:p>
            <w:pPr>
              <w:pStyle w:val="292"/>
              <w:rPr>
                <w:b/>
                <w:color w:val="auto"/>
              </w:rPr>
            </w:pPr>
            <w:r>
              <w:rPr>
                <w:color w:val="auto"/>
              </w:rPr>
              <w:t>重要生态敏感区</w:t>
            </w:r>
          </w:p>
        </w:tc>
        <w:tc>
          <w:tcPr>
            <w:tcW w:w="2124" w:type="dxa"/>
            <w:shd w:val="clear" w:color="auto" w:fill="auto"/>
            <w:vAlign w:val="center"/>
          </w:tcPr>
          <w:p>
            <w:pPr>
              <w:pStyle w:val="292"/>
              <w:rPr>
                <w:b/>
                <w:color w:val="auto"/>
              </w:rPr>
            </w:pPr>
            <w:r>
              <w:rPr>
                <w:color w:val="auto"/>
              </w:rPr>
              <w:t>一级</w:t>
            </w:r>
          </w:p>
        </w:tc>
        <w:tc>
          <w:tcPr>
            <w:tcW w:w="2322" w:type="dxa"/>
            <w:shd w:val="clear" w:color="auto" w:fill="auto"/>
            <w:vAlign w:val="center"/>
          </w:tcPr>
          <w:p>
            <w:pPr>
              <w:pStyle w:val="292"/>
              <w:rPr>
                <w:b/>
                <w:color w:val="auto"/>
              </w:rPr>
            </w:pPr>
            <w:r>
              <w:rPr>
                <w:color w:val="auto"/>
              </w:rPr>
              <w:t>二级</w:t>
            </w:r>
          </w:p>
        </w:tc>
        <w:tc>
          <w:tcPr>
            <w:tcW w:w="2322" w:type="dxa"/>
            <w:shd w:val="clear" w:color="auto" w:fill="auto"/>
            <w:vAlign w:val="center"/>
          </w:tcPr>
          <w:p>
            <w:pPr>
              <w:pStyle w:val="292"/>
              <w:rPr>
                <w:b/>
                <w:color w:val="auto"/>
              </w:rPr>
            </w:pPr>
            <w:r>
              <w:rPr>
                <w:color w:val="auto"/>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518" w:type="dxa"/>
            <w:shd w:val="clear" w:color="auto" w:fill="auto"/>
            <w:vAlign w:val="center"/>
          </w:tcPr>
          <w:p>
            <w:pPr>
              <w:pStyle w:val="292"/>
              <w:rPr>
                <w:b/>
                <w:color w:val="auto"/>
              </w:rPr>
            </w:pPr>
            <w:r>
              <w:rPr>
                <w:color w:val="auto"/>
              </w:rPr>
              <w:t>一般区域</w:t>
            </w:r>
          </w:p>
        </w:tc>
        <w:tc>
          <w:tcPr>
            <w:tcW w:w="2124" w:type="dxa"/>
            <w:shd w:val="clear" w:color="auto" w:fill="auto"/>
            <w:vAlign w:val="center"/>
          </w:tcPr>
          <w:p>
            <w:pPr>
              <w:pStyle w:val="292"/>
              <w:rPr>
                <w:b/>
                <w:color w:val="auto"/>
              </w:rPr>
            </w:pPr>
            <w:r>
              <w:rPr>
                <w:color w:val="auto"/>
              </w:rPr>
              <w:t>二级</w:t>
            </w:r>
          </w:p>
        </w:tc>
        <w:tc>
          <w:tcPr>
            <w:tcW w:w="2322" w:type="dxa"/>
            <w:shd w:val="clear" w:color="auto" w:fill="auto"/>
            <w:vAlign w:val="center"/>
          </w:tcPr>
          <w:p>
            <w:pPr>
              <w:pStyle w:val="292"/>
              <w:rPr>
                <w:b/>
                <w:color w:val="auto"/>
              </w:rPr>
            </w:pPr>
            <w:r>
              <w:rPr>
                <w:color w:val="auto"/>
              </w:rPr>
              <w:t>三级</w:t>
            </w:r>
          </w:p>
        </w:tc>
        <w:tc>
          <w:tcPr>
            <w:tcW w:w="2322" w:type="dxa"/>
            <w:shd w:val="clear" w:color="auto" w:fill="auto"/>
            <w:vAlign w:val="center"/>
          </w:tcPr>
          <w:p>
            <w:pPr>
              <w:pStyle w:val="292"/>
              <w:rPr>
                <w:b/>
                <w:color w:val="auto"/>
              </w:rPr>
            </w:pPr>
            <w:r>
              <w:rPr>
                <w:color w:val="auto"/>
              </w:rPr>
              <w:t>三级</w:t>
            </w:r>
          </w:p>
        </w:tc>
      </w:tr>
    </w:tbl>
    <w:p>
      <w:pPr>
        <w:spacing w:line="360" w:lineRule="auto"/>
        <w:ind w:firstLine="480"/>
        <w:jc w:val="both"/>
        <w:rPr>
          <w:color w:val="auto"/>
        </w:rPr>
      </w:pPr>
      <w:r>
        <w:rPr>
          <w:color w:val="auto"/>
        </w:rPr>
        <w:t>本项目占地面积</w:t>
      </w:r>
      <w:r>
        <w:rPr>
          <w:rFonts w:hint="eastAsia"/>
          <w:color w:val="auto"/>
        </w:rPr>
        <w:t>126820</w:t>
      </w:r>
      <w:r>
        <w:rPr>
          <w:color w:val="auto"/>
        </w:rPr>
        <w:t>m</w:t>
      </w:r>
      <w:r>
        <w:rPr>
          <w:color w:val="auto"/>
          <w:vertAlign w:val="superscript"/>
        </w:rPr>
        <w:t>2</w:t>
      </w:r>
      <w:r>
        <w:rPr>
          <w:color w:val="auto"/>
        </w:rPr>
        <w:t>（约0.</w:t>
      </w:r>
      <w:r>
        <w:rPr>
          <w:rFonts w:hint="eastAsia"/>
          <w:color w:val="auto"/>
        </w:rPr>
        <w:t>126820</w:t>
      </w:r>
      <w:r>
        <w:rPr>
          <w:color w:val="auto"/>
        </w:rPr>
        <w:t>km</w:t>
      </w:r>
      <w:r>
        <w:rPr>
          <w:color w:val="auto"/>
          <w:vertAlign w:val="superscript"/>
        </w:rPr>
        <w:t>2</w:t>
      </w:r>
      <w:r>
        <w:rPr>
          <w:color w:val="auto"/>
        </w:rPr>
        <w:t>＜2.0km</w:t>
      </w:r>
      <w:r>
        <w:rPr>
          <w:color w:val="auto"/>
          <w:vertAlign w:val="superscript"/>
        </w:rPr>
        <w:t>2</w:t>
      </w:r>
      <w:r>
        <w:rPr>
          <w:color w:val="auto"/>
        </w:rPr>
        <w:t>），项目所在区域不含自然保护区等敏感区域，为一般区域，根据《环境影响评价技术导则 生态影响》（HJ19-2011）规定的关于评价等级的划分方法，项目生态环境影响评价的工作等级确定为三级。</w:t>
      </w:r>
    </w:p>
    <w:p>
      <w:pPr>
        <w:pStyle w:val="298"/>
        <w:rPr>
          <w:color w:val="auto"/>
        </w:rPr>
      </w:pPr>
      <w:bookmarkStart w:id="160" w:name="_Toc15912112"/>
      <w:bookmarkStart w:id="161" w:name="_Toc24241"/>
      <w:bookmarkStart w:id="162" w:name="_Toc24136724"/>
      <w:bookmarkStart w:id="163" w:name="_Toc14946820"/>
      <w:r>
        <w:rPr>
          <w:color w:val="auto"/>
        </w:rPr>
        <w:t>2.6.6土壤环境影响评价工作等级</w:t>
      </w:r>
      <w:bookmarkEnd w:id="160"/>
      <w:bookmarkEnd w:id="161"/>
      <w:bookmarkEnd w:id="162"/>
      <w:bookmarkEnd w:id="163"/>
    </w:p>
    <w:p>
      <w:pPr>
        <w:spacing w:line="360" w:lineRule="auto"/>
        <w:ind w:firstLine="480"/>
        <w:rPr>
          <w:color w:val="auto"/>
        </w:rPr>
      </w:pPr>
      <w:r>
        <w:rPr>
          <w:color w:val="auto"/>
        </w:rPr>
        <w:t>根据《环境影响评价技术导则 土壤环境（试行）》（HJ964-2018）中4.2.2规定的</w:t>
      </w:r>
      <w:r>
        <w:rPr>
          <w:rFonts w:asciiTheme="minorEastAsia" w:hAnsiTheme="minorEastAsia" w:eastAsiaTheme="minorEastAsia"/>
          <w:color w:val="auto"/>
        </w:rPr>
        <w:t>“根</w:t>
      </w:r>
      <w:r>
        <w:rPr>
          <w:color w:val="auto"/>
        </w:rPr>
        <w:t>据行业特征、工艺特点或规模大小等将建设项目类别分为Ⅰ类、Ⅱ类、Ⅲ类、Ⅳ类，其中Ⅳ类建设项目可不开展土壤环境影响评价。</w:t>
      </w:r>
      <w:r>
        <w:rPr>
          <w:rFonts w:hint="eastAsia"/>
          <w:color w:val="auto"/>
        </w:rPr>
        <w:t>”</w:t>
      </w:r>
      <w:r>
        <w:rPr>
          <w:color w:val="auto"/>
        </w:rPr>
        <w:t>土壤环境影响评价行业分类详见下表。</w:t>
      </w:r>
    </w:p>
    <w:p>
      <w:pPr>
        <w:pStyle w:val="5"/>
        <w:ind w:firstLine="482"/>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2.6</w:t>
      </w:r>
      <w:r>
        <w:rPr>
          <w:b/>
          <w:color w:val="auto"/>
        </w:rPr>
        <w:fldChar w:fldCharType="end"/>
      </w:r>
      <w:r>
        <w:rPr>
          <w:b/>
          <w:color w:val="auto"/>
        </w:rPr>
        <w:noBreakHyphen/>
      </w:r>
      <w:r>
        <w:rPr>
          <w:b/>
          <w:color w:val="auto"/>
        </w:rPr>
        <w:fldChar w:fldCharType="begin"/>
      </w:r>
      <w:r>
        <w:rPr>
          <w:b/>
          <w:color w:val="auto"/>
        </w:rPr>
        <w:instrText xml:space="preserve"> SEQ 表 \* ARABIC \s 2 </w:instrText>
      </w:r>
      <w:r>
        <w:rPr>
          <w:b/>
          <w:color w:val="auto"/>
        </w:rPr>
        <w:fldChar w:fldCharType="separate"/>
      </w:r>
      <w:r>
        <w:rPr>
          <w:b/>
          <w:color w:val="auto"/>
        </w:rPr>
        <w:t>4</w:t>
      </w:r>
      <w:r>
        <w:rPr>
          <w:b/>
          <w:color w:val="auto"/>
        </w:rPr>
        <w:fldChar w:fldCharType="end"/>
      </w:r>
      <w:r>
        <w:rPr>
          <w:b/>
          <w:color w:val="auto"/>
        </w:rPr>
        <w:t xml:space="preserve"> 土壤环境影响评价行业分类表</w:t>
      </w:r>
    </w:p>
    <w:tbl>
      <w:tblPr>
        <w:tblStyle w:val="53"/>
        <w:tblW w:w="9286" w:type="dxa"/>
        <w:jc w:val="center"/>
        <w:tblInd w:w="0" w:type="dxa"/>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08"/>
        <w:gridCol w:w="856"/>
        <w:gridCol w:w="2944"/>
        <w:gridCol w:w="2764"/>
        <w:gridCol w:w="481"/>
        <w:gridCol w:w="1333"/>
      </w:tblGrid>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908" w:type="dxa"/>
            <w:vMerge w:val="restart"/>
            <w:tcBorders>
              <w:top w:val="single" w:color="auto" w:sz="18" w:space="0"/>
            </w:tcBorders>
            <w:vAlign w:val="center"/>
          </w:tcPr>
          <w:p>
            <w:pPr>
              <w:jc w:val="center"/>
              <w:rPr>
                <w:b/>
                <w:color w:val="auto"/>
                <w:sz w:val="21"/>
              </w:rPr>
            </w:pPr>
            <w:r>
              <w:rPr>
                <w:b/>
                <w:color w:val="auto"/>
                <w:sz w:val="21"/>
              </w:rPr>
              <w:t>行业类别</w:t>
            </w:r>
          </w:p>
        </w:tc>
        <w:tc>
          <w:tcPr>
            <w:tcW w:w="7045" w:type="dxa"/>
            <w:gridSpan w:val="4"/>
            <w:tcBorders>
              <w:top w:val="single" w:color="auto" w:sz="18" w:space="0"/>
            </w:tcBorders>
            <w:vAlign w:val="center"/>
          </w:tcPr>
          <w:p>
            <w:pPr>
              <w:jc w:val="center"/>
              <w:rPr>
                <w:b/>
                <w:color w:val="auto"/>
                <w:sz w:val="21"/>
              </w:rPr>
            </w:pPr>
            <w:r>
              <w:rPr>
                <w:b/>
                <w:color w:val="auto"/>
                <w:sz w:val="21"/>
              </w:rPr>
              <w:t>项目类别</w:t>
            </w:r>
          </w:p>
        </w:tc>
        <w:tc>
          <w:tcPr>
            <w:tcW w:w="1333" w:type="dxa"/>
            <w:vMerge w:val="restart"/>
            <w:tcBorders>
              <w:top w:val="single" w:color="auto" w:sz="18" w:space="0"/>
            </w:tcBorders>
            <w:vAlign w:val="center"/>
          </w:tcPr>
          <w:p>
            <w:pPr>
              <w:jc w:val="center"/>
              <w:rPr>
                <w:b/>
                <w:color w:val="auto"/>
                <w:sz w:val="21"/>
              </w:rPr>
            </w:pPr>
            <w:r>
              <w:rPr>
                <w:b/>
                <w:color w:val="auto"/>
                <w:sz w:val="21"/>
              </w:rPr>
              <w:t>建设项目</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908" w:type="dxa"/>
            <w:vMerge w:val="continue"/>
            <w:vAlign w:val="center"/>
          </w:tcPr>
          <w:p>
            <w:pPr>
              <w:jc w:val="center"/>
              <w:rPr>
                <w:b/>
                <w:color w:val="auto"/>
                <w:sz w:val="21"/>
              </w:rPr>
            </w:pPr>
          </w:p>
        </w:tc>
        <w:tc>
          <w:tcPr>
            <w:tcW w:w="856" w:type="dxa"/>
            <w:vAlign w:val="center"/>
          </w:tcPr>
          <w:p>
            <w:pPr>
              <w:jc w:val="center"/>
              <w:rPr>
                <w:b/>
                <w:color w:val="auto"/>
                <w:sz w:val="21"/>
              </w:rPr>
            </w:pPr>
            <w:r>
              <w:rPr>
                <w:rFonts w:hint="eastAsia" w:ascii="宋体" w:hAnsi="宋体" w:cs="宋体"/>
                <w:b/>
                <w:color w:val="auto"/>
                <w:sz w:val="21"/>
              </w:rPr>
              <w:t>Ⅰ</w:t>
            </w:r>
            <w:r>
              <w:rPr>
                <w:b/>
                <w:color w:val="auto"/>
                <w:sz w:val="21"/>
              </w:rPr>
              <w:t>类</w:t>
            </w:r>
          </w:p>
        </w:tc>
        <w:tc>
          <w:tcPr>
            <w:tcW w:w="2944" w:type="dxa"/>
            <w:vAlign w:val="center"/>
          </w:tcPr>
          <w:p>
            <w:pPr>
              <w:jc w:val="center"/>
              <w:rPr>
                <w:b/>
                <w:color w:val="auto"/>
                <w:sz w:val="21"/>
              </w:rPr>
            </w:pPr>
            <w:r>
              <w:rPr>
                <w:rFonts w:hint="eastAsia" w:ascii="宋体" w:hAnsi="宋体" w:cs="宋体"/>
                <w:b/>
                <w:color w:val="auto"/>
                <w:sz w:val="21"/>
              </w:rPr>
              <w:t>Ⅱ</w:t>
            </w:r>
            <w:r>
              <w:rPr>
                <w:b/>
                <w:color w:val="auto"/>
                <w:sz w:val="21"/>
              </w:rPr>
              <w:t>类</w:t>
            </w:r>
          </w:p>
        </w:tc>
        <w:tc>
          <w:tcPr>
            <w:tcW w:w="2764" w:type="dxa"/>
            <w:vAlign w:val="center"/>
          </w:tcPr>
          <w:p>
            <w:pPr>
              <w:jc w:val="center"/>
              <w:rPr>
                <w:b/>
                <w:color w:val="auto"/>
                <w:sz w:val="21"/>
              </w:rPr>
            </w:pPr>
            <w:r>
              <w:rPr>
                <w:rFonts w:hint="eastAsia" w:ascii="宋体" w:hAnsi="宋体" w:cs="宋体"/>
                <w:b/>
                <w:color w:val="auto"/>
                <w:sz w:val="21"/>
              </w:rPr>
              <w:t>Ⅲ</w:t>
            </w:r>
            <w:r>
              <w:rPr>
                <w:b/>
                <w:color w:val="auto"/>
                <w:sz w:val="21"/>
              </w:rPr>
              <w:t>类</w:t>
            </w:r>
          </w:p>
        </w:tc>
        <w:tc>
          <w:tcPr>
            <w:tcW w:w="481" w:type="dxa"/>
            <w:vAlign w:val="center"/>
          </w:tcPr>
          <w:p>
            <w:pPr>
              <w:jc w:val="center"/>
              <w:rPr>
                <w:b/>
                <w:color w:val="auto"/>
                <w:sz w:val="21"/>
              </w:rPr>
            </w:pPr>
            <w:r>
              <w:rPr>
                <w:rFonts w:hint="eastAsia" w:ascii="宋体" w:hAnsi="宋体" w:cs="宋体"/>
                <w:b/>
                <w:color w:val="auto"/>
                <w:sz w:val="21"/>
              </w:rPr>
              <w:t>Ⅳ</w:t>
            </w:r>
            <w:r>
              <w:rPr>
                <w:b/>
                <w:color w:val="auto"/>
                <w:sz w:val="21"/>
              </w:rPr>
              <w:t>类</w:t>
            </w:r>
          </w:p>
        </w:tc>
        <w:tc>
          <w:tcPr>
            <w:tcW w:w="1333" w:type="dxa"/>
            <w:vMerge w:val="continue"/>
            <w:vAlign w:val="center"/>
          </w:tcPr>
          <w:p>
            <w:pPr>
              <w:jc w:val="center"/>
              <w:rPr>
                <w:b/>
                <w:color w:val="auto"/>
                <w:sz w:val="21"/>
              </w:rPr>
            </w:pP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908" w:type="dxa"/>
            <w:tcBorders>
              <w:bottom w:val="single" w:color="auto" w:sz="18" w:space="0"/>
            </w:tcBorders>
            <w:vAlign w:val="center"/>
          </w:tcPr>
          <w:p>
            <w:pPr>
              <w:jc w:val="center"/>
              <w:rPr>
                <w:color w:val="auto"/>
                <w:sz w:val="21"/>
              </w:rPr>
            </w:pPr>
            <w:r>
              <w:rPr>
                <w:rFonts w:hint="eastAsia"/>
                <w:color w:val="auto"/>
                <w:sz w:val="21"/>
              </w:rPr>
              <w:t>环境和公共设施管理业</w:t>
            </w:r>
          </w:p>
        </w:tc>
        <w:tc>
          <w:tcPr>
            <w:tcW w:w="856" w:type="dxa"/>
            <w:tcBorders>
              <w:bottom w:val="single" w:color="auto" w:sz="18" w:space="0"/>
            </w:tcBorders>
            <w:vAlign w:val="center"/>
          </w:tcPr>
          <w:p>
            <w:pPr>
              <w:jc w:val="center"/>
              <w:rPr>
                <w:color w:val="auto"/>
                <w:sz w:val="21"/>
              </w:rPr>
            </w:pPr>
            <w:r>
              <w:rPr>
                <w:rFonts w:hint="eastAsia"/>
                <w:color w:val="auto"/>
                <w:sz w:val="21"/>
              </w:rPr>
              <w:t>危险废物利用及处置</w:t>
            </w:r>
          </w:p>
        </w:tc>
        <w:tc>
          <w:tcPr>
            <w:tcW w:w="2944" w:type="dxa"/>
            <w:tcBorders>
              <w:bottom w:val="single" w:color="auto" w:sz="18" w:space="0"/>
            </w:tcBorders>
            <w:vAlign w:val="center"/>
          </w:tcPr>
          <w:p>
            <w:pPr>
              <w:jc w:val="center"/>
              <w:rPr>
                <w:color w:val="auto"/>
                <w:sz w:val="21"/>
              </w:rPr>
            </w:pPr>
            <w:r>
              <w:rPr>
                <w:rFonts w:hint="eastAsia"/>
                <w:color w:val="auto"/>
                <w:sz w:val="21"/>
              </w:rPr>
              <w:t>采取填埋和焚烧方式的一般工业固体废物处置及综合利用；城镇生活垃圾（不含餐厨废弃物）集中处置</w:t>
            </w:r>
          </w:p>
        </w:tc>
        <w:tc>
          <w:tcPr>
            <w:tcW w:w="2764" w:type="dxa"/>
            <w:tcBorders>
              <w:bottom w:val="single" w:color="auto" w:sz="18" w:space="0"/>
            </w:tcBorders>
            <w:vAlign w:val="center"/>
          </w:tcPr>
          <w:p>
            <w:pPr>
              <w:jc w:val="center"/>
              <w:rPr>
                <w:color w:val="auto"/>
                <w:sz w:val="21"/>
              </w:rPr>
            </w:pPr>
            <w:r>
              <w:rPr>
                <w:rFonts w:hint="eastAsia"/>
                <w:color w:val="auto"/>
                <w:sz w:val="21"/>
              </w:rPr>
              <w:t>一般工业固体废物处置及综合利用（除采取填埋和焚烧方式以外的）；废旧资源加工、再生利用</w:t>
            </w:r>
          </w:p>
        </w:tc>
        <w:tc>
          <w:tcPr>
            <w:tcW w:w="481" w:type="dxa"/>
            <w:tcBorders>
              <w:bottom w:val="single" w:color="auto" w:sz="18" w:space="0"/>
            </w:tcBorders>
            <w:vAlign w:val="center"/>
          </w:tcPr>
          <w:p>
            <w:pPr>
              <w:jc w:val="center"/>
              <w:rPr>
                <w:color w:val="auto"/>
                <w:sz w:val="21"/>
              </w:rPr>
            </w:pPr>
            <w:r>
              <w:rPr>
                <w:rFonts w:hint="eastAsia"/>
                <w:color w:val="auto"/>
                <w:sz w:val="21"/>
              </w:rPr>
              <w:t>其他</w:t>
            </w:r>
          </w:p>
        </w:tc>
        <w:tc>
          <w:tcPr>
            <w:tcW w:w="1333" w:type="dxa"/>
            <w:tcBorders>
              <w:bottom w:val="single" w:color="auto" w:sz="18" w:space="0"/>
            </w:tcBorders>
            <w:vAlign w:val="center"/>
          </w:tcPr>
          <w:p>
            <w:pPr>
              <w:jc w:val="center"/>
              <w:rPr>
                <w:color w:val="auto"/>
                <w:sz w:val="21"/>
              </w:rPr>
            </w:pPr>
            <w:r>
              <w:rPr>
                <w:rFonts w:hint="eastAsia"/>
                <w:color w:val="auto"/>
                <w:sz w:val="21"/>
              </w:rPr>
              <w:t>本项目建筑垃圾消纳场</w:t>
            </w:r>
            <w:r>
              <w:rPr>
                <w:color w:val="auto"/>
                <w:sz w:val="21"/>
              </w:rPr>
              <w:t>为II类项目</w:t>
            </w:r>
            <w:r>
              <w:rPr>
                <w:rFonts w:hint="eastAsia"/>
                <w:color w:val="auto"/>
                <w:sz w:val="21"/>
              </w:rPr>
              <w:t>，餐厨垃圾处理厂为</w:t>
            </w:r>
            <w:r>
              <w:rPr>
                <w:rFonts w:hint="eastAsia" w:ascii="宋体" w:hAnsi="宋体" w:cs="宋体"/>
                <w:b/>
                <w:color w:val="auto"/>
                <w:sz w:val="21"/>
              </w:rPr>
              <w:t>Ⅳ</w:t>
            </w:r>
            <w:r>
              <w:rPr>
                <w:b/>
                <w:color w:val="auto"/>
                <w:sz w:val="21"/>
              </w:rPr>
              <w:t>类</w:t>
            </w:r>
            <w:r>
              <w:rPr>
                <w:rFonts w:hint="eastAsia"/>
                <w:b/>
                <w:color w:val="auto"/>
                <w:sz w:val="21"/>
              </w:rPr>
              <w:t>项目</w:t>
            </w:r>
          </w:p>
        </w:tc>
      </w:tr>
    </w:tbl>
    <w:p>
      <w:pPr>
        <w:widowControl/>
        <w:spacing w:line="360" w:lineRule="auto"/>
        <w:ind w:firstLine="480" w:firstLineChars="200"/>
        <w:jc w:val="both"/>
        <w:rPr>
          <w:color w:val="auto"/>
          <w:kern w:val="0"/>
        </w:rPr>
      </w:pPr>
      <w:r>
        <w:rPr>
          <w:color w:val="auto"/>
          <w:kern w:val="0"/>
        </w:rPr>
        <w:t>本项目</w:t>
      </w:r>
      <w:r>
        <w:rPr>
          <w:rFonts w:hint="eastAsia"/>
          <w:color w:val="auto"/>
          <w:kern w:val="0"/>
        </w:rPr>
        <w:t>建设用地面积</w:t>
      </w:r>
      <w:r>
        <w:rPr>
          <w:color w:val="auto"/>
          <w:kern w:val="0"/>
        </w:rPr>
        <w:t>为</w:t>
      </w:r>
      <w:r>
        <w:rPr>
          <w:rFonts w:hint="eastAsia"/>
          <w:color w:val="auto"/>
        </w:rPr>
        <w:t>126820</w:t>
      </w:r>
      <w:r>
        <w:rPr>
          <w:color w:val="auto"/>
          <w:kern w:val="0"/>
        </w:rPr>
        <w:t>m</w:t>
      </w:r>
      <w:r>
        <w:rPr>
          <w:color w:val="auto"/>
          <w:kern w:val="0"/>
          <w:vertAlign w:val="superscript"/>
        </w:rPr>
        <w:t>2</w:t>
      </w:r>
      <w:r>
        <w:rPr>
          <w:color w:val="auto"/>
          <w:kern w:val="0"/>
        </w:rPr>
        <w:t>（</w:t>
      </w:r>
      <w:r>
        <w:rPr>
          <w:rFonts w:hint="eastAsia"/>
          <w:color w:val="auto"/>
          <w:kern w:val="0"/>
        </w:rPr>
        <w:t>12.6820</w:t>
      </w:r>
      <w:r>
        <w:rPr>
          <w:color w:val="auto"/>
          <w:kern w:val="0"/>
        </w:rPr>
        <w:t>hm</w:t>
      </w:r>
      <w:r>
        <w:rPr>
          <w:color w:val="auto"/>
          <w:kern w:val="0"/>
          <w:vertAlign w:val="superscript"/>
        </w:rPr>
        <w:t>2</w:t>
      </w:r>
      <w:r>
        <w:rPr>
          <w:color w:val="auto"/>
          <w:kern w:val="0"/>
        </w:rPr>
        <w:t>）属于</w:t>
      </w:r>
      <w:r>
        <w:rPr>
          <w:rFonts w:hint="eastAsia"/>
          <w:color w:val="auto"/>
          <w:kern w:val="0"/>
        </w:rPr>
        <w:t>中</w:t>
      </w:r>
      <w:r>
        <w:rPr>
          <w:color w:val="auto"/>
          <w:kern w:val="0"/>
        </w:rPr>
        <w:t>型（</w:t>
      </w:r>
      <w:r>
        <w:rPr>
          <w:rFonts w:hint="eastAsia"/>
          <w:color w:val="auto"/>
          <w:kern w:val="0"/>
        </w:rPr>
        <w:t>5~</w:t>
      </w:r>
      <w:r>
        <w:rPr>
          <w:color w:val="auto"/>
          <w:kern w:val="0"/>
        </w:rPr>
        <w:t>50hm</w:t>
      </w:r>
      <w:r>
        <w:rPr>
          <w:color w:val="auto"/>
          <w:kern w:val="0"/>
          <w:vertAlign w:val="superscript"/>
        </w:rPr>
        <w:t>2</w:t>
      </w:r>
      <w:r>
        <w:rPr>
          <w:color w:val="auto"/>
          <w:kern w:val="0"/>
        </w:rPr>
        <w:t>），根据《环境影响评价技术导则 土壤环境（试行）》（HJ964-2018）项目敏感程度分级表（见表2.6-1</w:t>
      </w:r>
      <w:r>
        <w:rPr>
          <w:rFonts w:hint="eastAsia"/>
          <w:color w:val="auto"/>
          <w:kern w:val="0"/>
        </w:rPr>
        <w:t>3</w:t>
      </w:r>
      <w:r>
        <w:rPr>
          <w:color w:val="auto"/>
          <w:kern w:val="0"/>
        </w:rPr>
        <w:t>）判别依据及评价工作等级划分表（见表2.6-1</w:t>
      </w:r>
      <w:r>
        <w:rPr>
          <w:rFonts w:hint="eastAsia"/>
          <w:color w:val="auto"/>
          <w:kern w:val="0"/>
        </w:rPr>
        <w:t>4</w:t>
      </w:r>
      <w:r>
        <w:rPr>
          <w:color w:val="auto"/>
          <w:kern w:val="0"/>
        </w:rPr>
        <w:t>），土壤环境敏感程度为</w:t>
      </w:r>
      <w:r>
        <w:rPr>
          <w:rFonts w:hint="eastAsia"/>
          <w:color w:val="auto"/>
          <w:kern w:val="0"/>
        </w:rPr>
        <w:t>不</w:t>
      </w:r>
      <w:r>
        <w:rPr>
          <w:color w:val="auto"/>
          <w:kern w:val="0"/>
        </w:rPr>
        <w:t>敏感，土壤评价等级为</w:t>
      </w:r>
      <w:r>
        <w:rPr>
          <w:rFonts w:hint="eastAsia"/>
          <w:color w:val="auto"/>
          <w:kern w:val="0"/>
        </w:rPr>
        <w:t>三</w:t>
      </w:r>
      <w:r>
        <w:rPr>
          <w:color w:val="auto"/>
          <w:kern w:val="0"/>
        </w:rPr>
        <w:t>级。</w:t>
      </w:r>
    </w:p>
    <w:p>
      <w:pPr>
        <w:pStyle w:val="5"/>
        <w:ind w:firstLine="482"/>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2.6</w:t>
      </w:r>
      <w:r>
        <w:rPr>
          <w:b/>
          <w:color w:val="auto"/>
        </w:rPr>
        <w:fldChar w:fldCharType="end"/>
      </w:r>
      <w:r>
        <w:rPr>
          <w:b/>
          <w:color w:val="auto"/>
        </w:rPr>
        <w:noBreakHyphen/>
      </w:r>
      <w:r>
        <w:rPr>
          <w:b/>
          <w:color w:val="auto"/>
        </w:rPr>
        <w:fldChar w:fldCharType="begin"/>
      </w:r>
      <w:r>
        <w:rPr>
          <w:b/>
          <w:color w:val="auto"/>
        </w:rPr>
        <w:instrText xml:space="preserve"> SEQ 表 \* ARABIC \s 2 </w:instrText>
      </w:r>
      <w:r>
        <w:rPr>
          <w:b/>
          <w:color w:val="auto"/>
        </w:rPr>
        <w:fldChar w:fldCharType="separate"/>
      </w:r>
      <w:r>
        <w:rPr>
          <w:b/>
          <w:color w:val="auto"/>
        </w:rPr>
        <w:t>5</w:t>
      </w:r>
      <w:r>
        <w:rPr>
          <w:b/>
          <w:color w:val="auto"/>
        </w:rPr>
        <w:fldChar w:fldCharType="end"/>
      </w:r>
      <w:r>
        <w:rPr>
          <w:b/>
          <w:color w:val="auto"/>
        </w:rPr>
        <w:t xml:space="preserve">  污染影响型敏感程度分级表</w:t>
      </w:r>
    </w:p>
    <w:tbl>
      <w:tblPr>
        <w:tblStyle w:val="53"/>
        <w:tblW w:w="9070" w:type="dxa"/>
        <w:jc w:val="center"/>
        <w:tblInd w:w="0" w:type="dxa"/>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1676"/>
        <w:gridCol w:w="7394"/>
      </w:tblGrid>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blHeader/>
          <w:jc w:val="center"/>
        </w:trPr>
        <w:tc>
          <w:tcPr>
            <w:tcW w:w="1676" w:type="dxa"/>
            <w:tcBorders>
              <w:top w:val="single" w:color="auto" w:sz="18" w:space="0"/>
            </w:tcBorders>
            <w:vAlign w:val="center"/>
          </w:tcPr>
          <w:p>
            <w:pPr>
              <w:jc w:val="center"/>
              <w:rPr>
                <w:b/>
                <w:color w:val="auto"/>
                <w:sz w:val="21"/>
              </w:rPr>
            </w:pPr>
            <w:r>
              <w:rPr>
                <w:b/>
                <w:color w:val="auto"/>
                <w:sz w:val="21"/>
              </w:rPr>
              <w:t>敏感程度</w:t>
            </w:r>
          </w:p>
        </w:tc>
        <w:tc>
          <w:tcPr>
            <w:tcW w:w="7394" w:type="dxa"/>
            <w:tcBorders>
              <w:top w:val="single" w:color="auto" w:sz="18" w:space="0"/>
              <w:bottom w:val="single" w:color="auto" w:sz="2" w:space="0"/>
            </w:tcBorders>
            <w:vAlign w:val="center"/>
          </w:tcPr>
          <w:p>
            <w:pPr>
              <w:jc w:val="center"/>
              <w:rPr>
                <w:b/>
                <w:color w:val="auto"/>
                <w:sz w:val="21"/>
              </w:rPr>
            </w:pPr>
            <w:r>
              <w:rPr>
                <w:b/>
                <w:color w:val="auto"/>
                <w:sz w:val="21"/>
              </w:rPr>
              <w:t>判别依据</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1676" w:type="dxa"/>
            <w:tcBorders>
              <w:right w:val="single" w:color="auto" w:sz="2" w:space="0"/>
            </w:tcBorders>
            <w:vAlign w:val="center"/>
          </w:tcPr>
          <w:p>
            <w:pPr>
              <w:jc w:val="center"/>
              <w:rPr>
                <w:color w:val="auto"/>
                <w:sz w:val="21"/>
              </w:rPr>
            </w:pPr>
            <w:r>
              <w:rPr>
                <w:color w:val="auto"/>
                <w:sz w:val="21"/>
              </w:rPr>
              <w:t>敏感</w:t>
            </w:r>
          </w:p>
        </w:tc>
        <w:tc>
          <w:tcPr>
            <w:tcW w:w="7394" w:type="dxa"/>
            <w:tcBorders>
              <w:top w:val="single" w:color="auto" w:sz="2" w:space="0"/>
              <w:left w:val="single" w:color="auto" w:sz="2" w:space="0"/>
              <w:bottom w:val="single" w:color="auto" w:sz="2" w:space="0"/>
            </w:tcBorders>
            <w:vAlign w:val="center"/>
          </w:tcPr>
          <w:p>
            <w:pPr>
              <w:jc w:val="center"/>
              <w:rPr>
                <w:color w:val="auto"/>
                <w:sz w:val="21"/>
              </w:rPr>
            </w:pPr>
            <w:r>
              <w:rPr>
                <w:color w:val="auto"/>
                <w:sz w:val="21"/>
              </w:rPr>
              <w:t>建设项目周边存在耕地、园地、牧草地、饮用水水源或居民区、学校、医院、疗养院、养老院等土壤环境敏感</w:t>
            </w:r>
            <w:r>
              <w:rPr>
                <w:rFonts w:hint="eastAsia"/>
                <w:color w:val="auto"/>
                <w:sz w:val="21"/>
              </w:rPr>
              <w:t>目标</w:t>
            </w:r>
            <w:r>
              <w:rPr>
                <w:color w:val="auto"/>
                <w:sz w:val="21"/>
              </w:rPr>
              <w:t>的</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1676" w:type="dxa"/>
            <w:tcBorders>
              <w:top w:val="single" w:color="auto" w:sz="4" w:space="0"/>
            </w:tcBorders>
            <w:vAlign w:val="center"/>
          </w:tcPr>
          <w:p>
            <w:pPr>
              <w:jc w:val="center"/>
              <w:rPr>
                <w:color w:val="auto"/>
                <w:sz w:val="21"/>
              </w:rPr>
            </w:pPr>
            <w:r>
              <w:rPr>
                <w:color w:val="auto"/>
                <w:sz w:val="21"/>
              </w:rPr>
              <w:t>较敏感</w:t>
            </w:r>
          </w:p>
        </w:tc>
        <w:tc>
          <w:tcPr>
            <w:tcW w:w="7394" w:type="dxa"/>
            <w:tcBorders>
              <w:top w:val="single" w:color="auto" w:sz="2" w:space="0"/>
            </w:tcBorders>
            <w:vAlign w:val="center"/>
          </w:tcPr>
          <w:p>
            <w:pPr>
              <w:jc w:val="center"/>
              <w:rPr>
                <w:color w:val="auto"/>
                <w:sz w:val="21"/>
              </w:rPr>
            </w:pPr>
            <w:r>
              <w:rPr>
                <w:color w:val="auto"/>
                <w:sz w:val="21"/>
              </w:rPr>
              <w:t>建设项目周边存在其他土壤环境敏感目标的</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1676" w:type="dxa"/>
            <w:tcBorders>
              <w:bottom w:val="single" w:color="auto" w:sz="18" w:space="0"/>
            </w:tcBorders>
            <w:vAlign w:val="center"/>
          </w:tcPr>
          <w:p>
            <w:pPr>
              <w:jc w:val="center"/>
              <w:rPr>
                <w:color w:val="auto"/>
                <w:sz w:val="21"/>
              </w:rPr>
            </w:pPr>
            <w:r>
              <w:rPr>
                <w:color w:val="auto"/>
                <w:sz w:val="21"/>
              </w:rPr>
              <w:t>不敏感</w:t>
            </w:r>
          </w:p>
        </w:tc>
        <w:tc>
          <w:tcPr>
            <w:tcW w:w="7394" w:type="dxa"/>
            <w:tcBorders>
              <w:bottom w:val="single" w:color="auto" w:sz="18" w:space="0"/>
            </w:tcBorders>
            <w:vAlign w:val="center"/>
          </w:tcPr>
          <w:p>
            <w:pPr>
              <w:jc w:val="center"/>
              <w:rPr>
                <w:color w:val="auto"/>
                <w:sz w:val="21"/>
              </w:rPr>
            </w:pPr>
            <w:r>
              <w:rPr>
                <w:color w:val="auto"/>
                <w:sz w:val="21"/>
              </w:rPr>
              <w:t>其他情况</w:t>
            </w:r>
          </w:p>
        </w:tc>
      </w:tr>
    </w:tbl>
    <w:p>
      <w:pPr>
        <w:pStyle w:val="5"/>
        <w:ind w:firstLine="482"/>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2.6</w:t>
      </w:r>
      <w:r>
        <w:rPr>
          <w:b/>
          <w:color w:val="auto"/>
        </w:rPr>
        <w:fldChar w:fldCharType="end"/>
      </w:r>
      <w:r>
        <w:rPr>
          <w:b/>
          <w:color w:val="auto"/>
        </w:rPr>
        <w:noBreakHyphen/>
      </w:r>
      <w:r>
        <w:rPr>
          <w:b/>
          <w:color w:val="auto"/>
        </w:rPr>
        <w:fldChar w:fldCharType="begin"/>
      </w:r>
      <w:r>
        <w:rPr>
          <w:b/>
          <w:color w:val="auto"/>
        </w:rPr>
        <w:instrText xml:space="preserve"> SEQ 表 \* ARABIC \s 2 </w:instrText>
      </w:r>
      <w:r>
        <w:rPr>
          <w:b/>
          <w:color w:val="auto"/>
        </w:rPr>
        <w:fldChar w:fldCharType="separate"/>
      </w:r>
      <w:r>
        <w:rPr>
          <w:b/>
          <w:color w:val="auto"/>
        </w:rPr>
        <w:t>6</w:t>
      </w:r>
      <w:r>
        <w:rPr>
          <w:b/>
          <w:color w:val="auto"/>
        </w:rPr>
        <w:fldChar w:fldCharType="end"/>
      </w:r>
      <w:r>
        <w:rPr>
          <w:b/>
          <w:color w:val="auto"/>
        </w:rPr>
        <w:t xml:space="preserve">  污染影响型评价工作等级划分表</w:t>
      </w:r>
    </w:p>
    <w:tbl>
      <w:tblPr>
        <w:tblStyle w:val="53"/>
        <w:tblW w:w="9286" w:type="dxa"/>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97"/>
        <w:gridCol w:w="755"/>
        <w:gridCol w:w="929"/>
        <w:gridCol w:w="929"/>
        <w:gridCol w:w="929"/>
        <w:gridCol w:w="929"/>
        <w:gridCol w:w="930"/>
        <w:gridCol w:w="929"/>
        <w:gridCol w:w="929"/>
        <w:gridCol w:w="930"/>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1097" w:type="dxa"/>
            <w:vMerge w:val="restart"/>
            <w:tcBorders>
              <w:top w:val="single" w:color="auto" w:sz="18" w:space="0"/>
              <w:tl2br w:val="single" w:color="auto" w:sz="4" w:space="0"/>
            </w:tcBorders>
            <w:shd w:val="clear" w:color="auto" w:fill="auto"/>
            <w:vAlign w:val="center"/>
          </w:tcPr>
          <w:p>
            <w:pPr>
              <w:pStyle w:val="292"/>
              <w:rPr>
                <w:b/>
                <w:color w:val="auto"/>
              </w:rPr>
            </w:pPr>
            <w:r>
              <w:rPr>
                <w:b/>
                <w:color w:val="auto"/>
              </w:rPr>
              <w:t>项目类别</w:t>
            </w:r>
          </w:p>
          <w:p>
            <w:pPr>
              <w:pStyle w:val="292"/>
              <w:rPr>
                <w:b/>
                <w:color w:val="auto"/>
              </w:rPr>
            </w:pPr>
            <w:r>
              <w:rPr>
                <w:b/>
                <w:color w:val="auto"/>
              </w:rPr>
              <w:t>敏感程度</w:t>
            </w:r>
          </w:p>
        </w:tc>
        <w:tc>
          <w:tcPr>
            <w:tcW w:w="2613" w:type="dxa"/>
            <w:gridSpan w:val="3"/>
            <w:tcBorders>
              <w:top w:val="single" w:color="auto" w:sz="18" w:space="0"/>
            </w:tcBorders>
            <w:shd w:val="clear" w:color="auto" w:fill="auto"/>
            <w:vAlign w:val="center"/>
          </w:tcPr>
          <w:p>
            <w:pPr>
              <w:pStyle w:val="292"/>
              <w:rPr>
                <w:b/>
                <w:color w:val="auto"/>
              </w:rPr>
            </w:pPr>
            <w:r>
              <w:rPr>
                <w:rFonts w:hint="eastAsia" w:ascii="宋体" w:hAnsi="宋体" w:cs="宋体"/>
                <w:b/>
                <w:color w:val="auto"/>
              </w:rPr>
              <w:t>Ⅰ</w:t>
            </w:r>
            <w:r>
              <w:rPr>
                <w:b/>
                <w:color w:val="auto"/>
              </w:rPr>
              <w:t>类</w:t>
            </w:r>
          </w:p>
        </w:tc>
        <w:tc>
          <w:tcPr>
            <w:tcW w:w="2788" w:type="dxa"/>
            <w:gridSpan w:val="3"/>
            <w:tcBorders>
              <w:top w:val="single" w:color="auto" w:sz="18" w:space="0"/>
            </w:tcBorders>
            <w:shd w:val="clear" w:color="auto" w:fill="auto"/>
            <w:vAlign w:val="center"/>
          </w:tcPr>
          <w:p>
            <w:pPr>
              <w:pStyle w:val="292"/>
              <w:rPr>
                <w:b/>
                <w:color w:val="auto"/>
              </w:rPr>
            </w:pPr>
            <w:r>
              <w:rPr>
                <w:rFonts w:hint="eastAsia" w:ascii="宋体" w:hAnsi="宋体" w:cs="宋体"/>
                <w:b/>
                <w:color w:val="auto"/>
              </w:rPr>
              <w:t>Ⅱ</w:t>
            </w:r>
            <w:r>
              <w:rPr>
                <w:b/>
                <w:color w:val="auto"/>
              </w:rPr>
              <w:t>类</w:t>
            </w:r>
          </w:p>
        </w:tc>
        <w:tc>
          <w:tcPr>
            <w:tcW w:w="2788" w:type="dxa"/>
            <w:gridSpan w:val="3"/>
            <w:tcBorders>
              <w:top w:val="single" w:color="auto" w:sz="18" w:space="0"/>
            </w:tcBorders>
            <w:shd w:val="clear" w:color="auto" w:fill="auto"/>
            <w:vAlign w:val="center"/>
          </w:tcPr>
          <w:p>
            <w:pPr>
              <w:pStyle w:val="292"/>
              <w:rPr>
                <w:b/>
                <w:color w:val="auto"/>
              </w:rPr>
            </w:pPr>
            <w:r>
              <w:rPr>
                <w:rFonts w:hint="eastAsia" w:ascii="宋体" w:hAnsi="宋体" w:cs="宋体"/>
                <w:b/>
                <w:color w:val="auto"/>
              </w:rPr>
              <w:t>Ⅲ</w:t>
            </w:r>
            <w:r>
              <w:rPr>
                <w:b/>
                <w:color w:val="auto"/>
              </w:rPr>
              <w:t>类</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97" w:type="dxa"/>
            <w:vMerge w:val="continue"/>
            <w:tcBorders>
              <w:tl2br w:val="single" w:color="auto" w:sz="4" w:space="0"/>
            </w:tcBorders>
            <w:shd w:val="clear" w:color="auto" w:fill="auto"/>
            <w:vAlign w:val="center"/>
          </w:tcPr>
          <w:p>
            <w:pPr>
              <w:pStyle w:val="292"/>
              <w:rPr>
                <w:b/>
                <w:color w:val="auto"/>
              </w:rPr>
            </w:pPr>
          </w:p>
        </w:tc>
        <w:tc>
          <w:tcPr>
            <w:tcW w:w="755" w:type="dxa"/>
            <w:shd w:val="clear" w:color="auto" w:fill="auto"/>
            <w:vAlign w:val="center"/>
          </w:tcPr>
          <w:p>
            <w:pPr>
              <w:pStyle w:val="292"/>
              <w:rPr>
                <w:b/>
                <w:color w:val="auto"/>
              </w:rPr>
            </w:pPr>
            <w:r>
              <w:rPr>
                <w:b/>
                <w:color w:val="auto"/>
              </w:rPr>
              <w:t>大</w:t>
            </w:r>
          </w:p>
        </w:tc>
        <w:tc>
          <w:tcPr>
            <w:tcW w:w="929" w:type="dxa"/>
            <w:shd w:val="clear" w:color="auto" w:fill="auto"/>
            <w:vAlign w:val="center"/>
          </w:tcPr>
          <w:p>
            <w:pPr>
              <w:pStyle w:val="292"/>
              <w:rPr>
                <w:b/>
                <w:color w:val="auto"/>
              </w:rPr>
            </w:pPr>
            <w:r>
              <w:rPr>
                <w:b/>
                <w:color w:val="auto"/>
              </w:rPr>
              <w:t>中</w:t>
            </w:r>
          </w:p>
        </w:tc>
        <w:tc>
          <w:tcPr>
            <w:tcW w:w="929" w:type="dxa"/>
            <w:shd w:val="clear" w:color="auto" w:fill="auto"/>
            <w:vAlign w:val="center"/>
          </w:tcPr>
          <w:p>
            <w:pPr>
              <w:pStyle w:val="292"/>
              <w:rPr>
                <w:b/>
                <w:color w:val="auto"/>
              </w:rPr>
            </w:pPr>
            <w:r>
              <w:rPr>
                <w:b/>
                <w:color w:val="auto"/>
              </w:rPr>
              <w:t>小</w:t>
            </w:r>
          </w:p>
        </w:tc>
        <w:tc>
          <w:tcPr>
            <w:tcW w:w="929" w:type="dxa"/>
            <w:shd w:val="clear" w:color="auto" w:fill="auto"/>
            <w:vAlign w:val="center"/>
          </w:tcPr>
          <w:p>
            <w:pPr>
              <w:pStyle w:val="292"/>
              <w:rPr>
                <w:b/>
                <w:color w:val="auto"/>
              </w:rPr>
            </w:pPr>
            <w:r>
              <w:rPr>
                <w:b/>
                <w:color w:val="auto"/>
              </w:rPr>
              <w:t>大</w:t>
            </w:r>
          </w:p>
        </w:tc>
        <w:tc>
          <w:tcPr>
            <w:tcW w:w="929" w:type="dxa"/>
            <w:shd w:val="clear" w:color="auto" w:fill="auto"/>
            <w:vAlign w:val="center"/>
          </w:tcPr>
          <w:p>
            <w:pPr>
              <w:pStyle w:val="292"/>
              <w:rPr>
                <w:b/>
                <w:color w:val="auto"/>
              </w:rPr>
            </w:pPr>
            <w:r>
              <w:rPr>
                <w:b/>
                <w:color w:val="auto"/>
              </w:rPr>
              <w:t>中</w:t>
            </w:r>
          </w:p>
        </w:tc>
        <w:tc>
          <w:tcPr>
            <w:tcW w:w="930" w:type="dxa"/>
            <w:shd w:val="clear" w:color="auto" w:fill="auto"/>
            <w:vAlign w:val="center"/>
          </w:tcPr>
          <w:p>
            <w:pPr>
              <w:pStyle w:val="292"/>
              <w:rPr>
                <w:b/>
                <w:color w:val="auto"/>
              </w:rPr>
            </w:pPr>
            <w:r>
              <w:rPr>
                <w:b/>
                <w:color w:val="auto"/>
              </w:rPr>
              <w:t>小</w:t>
            </w:r>
          </w:p>
        </w:tc>
        <w:tc>
          <w:tcPr>
            <w:tcW w:w="929" w:type="dxa"/>
            <w:shd w:val="clear" w:color="auto" w:fill="auto"/>
            <w:vAlign w:val="center"/>
          </w:tcPr>
          <w:p>
            <w:pPr>
              <w:pStyle w:val="292"/>
              <w:rPr>
                <w:b/>
                <w:color w:val="auto"/>
              </w:rPr>
            </w:pPr>
            <w:r>
              <w:rPr>
                <w:b/>
                <w:color w:val="auto"/>
              </w:rPr>
              <w:t>大</w:t>
            </w:r>
          </w:p>
        </w:tc>
        <w:tc>
          <w:tcPr>
            <w:tcW w:w="929" w:type="dxa"/>
            <w:shd w:val="clear" w:color="auto" w:fill="auto"/>
            <w:vAlign w:val="center"/>
          </w:tcPr>
          <w:p>
            <w:pPr>
              <w:pStyle w:val="292"/>
              <w:rPr>
                <w:b/>
                <w:color w:val="auto"/>
              </w:rPr>
            </w:pPr>
            <w:r>
              <w:rPr>
                <w:b/>
                <w:color w:val="auto"/>
              </w:rPr>
              <w:t>中</w:t>
            </w:r>
          </w:p>
        </w:tc>
        <w:tc>
          <w:tcPr>
            <w:tcW w:w="930" w:type="dxa"/>
            <w:shd w:val="clear" w:color="auto" w:fill="auto"/>
            <w:vAlign w:val="center"/>
          </w:tcPr>
          <w:p>
            <w:pPr>
              <w:pStyle w:val="292"/>
              <w:rPr>
                <w:b/>
                <w:color w:val="auto"/>
              </w:rPr>
            </w:pPr>
            <w:r>
              <w:rPr>
                <w:b/>
                <w:color w:val="auto"/>
              </w:rPr>
              <w:t>小</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97" w:type="dxa"/>
            <w:shd w:val="clear" w:color="auto" w:fill="auto"/>
            <w:vAlign w:val="center"/>
          </w:tcPr>
          <w:p>
            <w:pPr>
              <w:pStyle w:val="292"/>
              <w:rPr>
                <w:color w:val="auto"/>
              </w:rPr>
            </w:pPr>
            <w:r>
              <w:rPr>
                <w:color w:val="auto"/>
              </w:rPr>
              <w:t>敏感</w:t>
            </w:r>
          </w:p>
        </w:tc>
        <w:tc>
          <w:tcPr>
            <w:tcW w:w="755" w:type="dxa"/>
            <w:shd w:val="clear" w:color="auto" w:fill="auto"/>
            <w:vAlign w:val="center"/>
          </w:tcPr>
          <w:p>
            <w:pPr>
              <w:pStyle w:val="292"/>
              <w:rPr>
                <w:color w:val="auto"/>
              </w:rPr>
            </w:pPr>
            <w:r>
              <w:rPr>
                <w:color w:val="auto"/>
              </w:rPr>
              <w:t>一级</w:t>
            </w:r>
          </w:p>
        </w:tc>
        <w:tc>
          <w:tcPr>
            <w:tcW w:w="929" w:type="dxa"/>
            <w:shd w:val="clear" w:color="auto" w:fill="auto"/>
            <w:vAlign w:val="center"/>
          </w:tcPr>
          <w:p>
            <w:pPr>
              <w:pStyle w:val="292"/>
              <w:rPr>
                <w:color w:val="auto"/>
              </w:rPr>
            </w:pPr>
            <w:r>
              <w:rPr>
                <w:color w:val="auto"/>
              </w:rPr>
              <w:t>一级</w:t>
            </w:r>
          </w:p>
        </w:tc>
        <w:tc>
          <w:tcPr>
            <w:tcW w:w="929" w:type="dxa"/>
            <w:shd w:val="clear" w:color="auto" w:fill="auto"/>
            <w:vAlign w:val="center"/>
          </w:tcPr>
          <w:p>
            <w:pPr>
              <w:pStyle w:val="292"/>
              <w:rPr>
                <w:color w:val="auto"/>
              </w:rPr>
            </w:pPr>
            <w:r>
              <w:rPr>
                <w:color w:val="auto"/>
              </w:rPr>
              <w:t>一级</w:t>
            </w:r>
          </w:p>
        </w:tc>
        <w:tc>
          <w:tcPr>
            <w:tcW w:w="929" w:type="dxa"/>
            <w:shd w:val="clear" w:color="auto" w:fill="auto"/>
            <w:vAlign w:val="center"/>
          </w:tcPr>
          <w:p>
            <w:pPr>
              <w:pStyle w:val="292"/>
              <w:rPr>
                <w:color w:val="auto"/>
              </w:rPr>
            </w:pPr>
            <w:r>
              <w:rPr>
                <w:color w:val="auto"/>
              </w:rPr>
              <w:t>二级</w:t>
            </w:r>
          </w:p>
        </w:tc>
        <w:tc>
          <w:tcPr>
            <w:tcW w:w="929" w:type="dxa"/>
            <w:shd w:val="clear" w:color="auto" w:fill="auto"/>
            <w:vAlign w:val="center"/>
          </w:tcPr>
          <w:p>
            <w:pPr>
              <w:pStyle w:val="292"/>
              <w:rPr>
                <w:color w:val="auto"/>
              </w:rPr>
            </w:pPr>
            <w:r>
              <w:rPr>
                <w:color w:val="auto"/>
              </w:rPr>
              <w:t>二级</w:t>
            </w:r>
          </w:p>
        </w:tc>
        <w:tc>
          <w:tcPr>
            <w:tcW w:w="930" w:type="dxa"/>
            <w:shd w:val="clear" w:color="auto" w:fill="auto"/>
            <w:vAlign w:val="center"/>
          </w:tcPr>
          <w:p>
            <w:pPr>
              <w:pStyle w:val="292"/>
              <w:rPr>
                <w:color w:val="auto"/>
              </w:rPr>
            </w:pPr>
            <w:r>
              <w:rPr>
                <w:color w:val="auto"/>
              </w:rPr>
              <w:t>二级</w:t>
            </w:r>
          </w:p>
        </w:tc>
        <w:tc>
          <w:tcPr>
            <w:tcW w:w="929" w:type="dxa"/>
            <w:shd w:val="clear" w:color="auto" w:fill="auto"/>
            <w:vAlign w:val="center"/>
          </w:tcPr>
          <w:p>
            <w:pPr>
              <w:pStyle w:val="292"/>
              <w:rPr>
                <w:color w:val="auto"/>
              </w:rPr>
            </w:pPr>
            <w:r>
              <w:rPr>
                <w:color w:val="auto"/>
              </w:rPr>
              <w:t>三级</w:t>
            </w:r>
          </w:p>
        </w:tc>
        <w:tc>
          <w:tcPr>
            <w:tcW w:w="929" w:type="dxa"/>
            <w:shd w:val="clear" w:color="auto" w:fill="auto"/>
            <w:vAlign w:val="center"/>
          </w:tcPr>
          <w:p>
            <w:pPr>
              <w:pStyle w:val="292"/>
              <w:rPr>
                <w:color w:val="auto"/>
              </w:rPr>
            </w:pPr>
            <w:r>
              <w:rPr>
                <w:color w:val="auto"/>
              </w:rPr>
              <w:t>三级</w:t>
            </w:r>
          </w:p>
        </w:tc>
        <w:tc>
          <w:tcPr>
            <w:tcW w:w="930" w:type="dxa"/>
            <w:shd w:val="clear" w:color="auto" w:fill="auto"/>
            <w:vAlign w:val="center"/>
          </w:tcPr>
          <w:p>
            <w:pPr>
              <w:pStyle w:val="292"/>
              <w:rPr>
                <w:color w:val="auto"/>
              </w:rPr>
            </w:pPr>
            <w:r>
              <w:rPr>
                <w:color w:val="auto"/>
              </w:rPr>
              <w:t>三级</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97" w:type="dxa"/>
            <w:shd w:val="clear" w:color="auto" w:fill="auto"/>
            <w:vAlign w:val="center"/>
          </w:tcPr>
          <w:p>
            <w:pPr>
              <w:pStyle w:val="292"/>
              <w:rPr>
                <w:color w:val="auto"/>
              </w:rPr>
            </w:pPr>
            <w:r>
              <w:rPr>
                <w:color w:val="auto"/>
              </w:rPr>
              <w:t>较敏感</w:t>
            </w:r>
          </w:p>
        </w:tc>
        <w:tc>
          <w:tcPr>
            <w:tcW w:w="755" w:type="dxa"/>
            <w:shd w:val="clear" w:color="auto" w:fill="auto"/>
            <w:vAlign w:val="center"/>
          </w:tcPr>
          <w:p>
            <w:pPr>
              <w:pStyle w:val="292"/>
              <w:rPr>
                <w:color w:val="auto"/>
              </w:rPr>
            </w:pPr>
            <w:r>
              <w:rPr>
                <w:color w:val="auto"/>
              </w:rPr>
              <w:t>一级</w:t>
            </w:r>
          </w:p>
        </w:tc>
        <w:tc>
          <w:tcPr>
            <w:tcW w:w="929" w:type="dxa"/>
            <w:shd w:val="clear" w:color="auto" w:fill="auto"/>
            <w:vAlign w:val="center"/>
          </w:tcPr>
          <w:p>
            <w:pPr>
              <w:pStyle w:val="292"/>
              <w:rPr>
                <w:color w:val="auto"/>
              </w:rPr>
            </w:pPr>
            <w:r>
              <w:rPr>
                <w:color w:val="auto"/>
              </w:rPr>
              <w:t>一级</w:t>
            </w:r>
          </w:p>
        </w:tc>
        <w:tc>
          <w:tcPr>
            <w:tcW w:w="929" w:type="dxa"/>
            <w:shd w:val="clear" w:color="auto" w:fill="auto"/>
            <w:vAlign w:val="center"/>
          </w:tcPr>
          <w:p>
            <w:pPr>
              <w:pStyle w:val="292"/>
              <w:rPr>
                <w:color w:val="auto"/>
              </w:rPr>
            </w:pPr>
            <w:r>
              <w:rPr>
                <w:color w:val="auto"/>
              </w:rPr>
              <w:t>二级</w:t>
            </w:r>
          </w:p>
        </w:tc>
        <w:tc>
          <w:tcPr>
            <w:tcW w:w="929" w:type="dxa"/>
            <w:shd w:val="clear" w:color="auto" w:fill="auto"/>
            <w:vAlign w:val="center"/>
          </w:tcPr>
          <w:p>
            <w:pPr>
              <w:pStyle w:val="292"/>
              <w:rPr>
                <w:color w:val="auto"/>
              </w:rPr>
            </w:pPr>
            <w:r>
              <w:rPr>
                <w:color w:val="auto"/>
              </w:rPr>
              <w:t>二级</w:t>
            </w:r>
          </w:p>
        </w:tc>
        <w:tc>
          <w:tcPr>
            <w:tcW w:w="929" w:type="dxa"/>
            <w:shd w:val="clear" w:color="auto" w:fill="auto"/>
            <w:vAlign w:val="center"/>
          </w:tcPr>
          <w:p>
            <w:pPr>
              <w:pStyle w:val="292"/>
              <w:rPr>
                <w:color w:val="auto"/>
              </w:rPr>
            </w:pPr>
            <w:r>
              <w:rPr>
                <w:color w:val="auto"/>
              </w:rPr>
              <w:t>二级</w:t>
            </w:r>
          </w:p>
        </w:tc>
        <w:tc>
          <w:tcPr>
            <w:tcW w:w="930" w:type="dxa"/>
            <w:shd w:val="clear" w:color="auto" w:fill="auto"/>
            <w:vAlign w:val="center"/>
          </w:tcPr>
          <w:p>
            <w:pPr>
              <w:pStyle w:val="292"/>
              <w:rPr>
                <w:color w:val="auto"/>
              </w:rPr>
            </w:pPr>
            <w:r>
              <w:rPr>
                <w:color w:val="auto"/>
              </w:rPr>
              <w:t>三级</w:t>
            </w:r>
          </w:p>
        </w:tc>
        <w:tc>
          <w:tcPr>
            <w:tcW w:w="929" w:type="dxa"/>
            <w:shd w:val="clear" w:color="auto" w:fill="auto"/>
            <w:vAlign w:val="center"/>
          </w:tcPr>
          <w:p>
            <w:pPr>
              <w:pStyle w:val="292"/>
              <w:rPr>
                <w:color w:val="auto"/>
              </w:rPr>
            </w:pPr>
            <w:r>
              <w:rPr>
                <w:color w:val="auto"/>
              </w:rPr>
              <w:t>三级</w:t>
            </w:r>
          </w:p>
        </w:tc>
        <w:tc>
          <w:tcPr>
            <w:tcW w:w="929" w:type="dxa"/>
            <w:shd w:val="clear" w:color="auto" w:fill="auto"/>
            <w:vAlign w:val="center"/>
          </w:tcPr>
          <w:p>
            <w:pPr>
              <w:pStyle w:val="292"/>
              <w:rPr>
                <w:color w:val="auto"/>
              </w:rPr>
            </w:pPr>
            <w:r>
              <w:rPr>
                <w:color w:val="auto"/>
              </w:rPr>
              <w:t>三级</w:t>
            </w:r>
          </w:p>
        </w:tc>
        <w:tc>
          <w:tcPr>
            <w:tcW w:w="930" w:type="dxa"/>
            <w:shd w:val="clear" w:color="auto" w:fill="auto"/>
            <w:vAlign w:val="center"/>
          </w:tcPr>
          <w:p>
            <w:pPr>
              <w:pStyle w:val="292"/>
              <w:rPr>
                <w:color w:val="auto"/>
              </w:rPr>
            </w:pPr>
            <w:r>
              <w:rPr>
                <w:rFonts w:asciiTheme="minorEastAsia" w:hAnsiTheme="minorEastAsia" w:eastAsiaTheme="minorEastAsia"/>
                <w:color w:val="auto"/>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097" w:type="dxa"/>
            <w:shd w:val="clear" w:color="auto" w:fill="auto"/>
            <w:vAlign w:val="center"/>
          </w:tcPr>
          <w:p>
            <w:pPr>
              <w:pStyle w:val="292"/>
              <w:rPr>
                <w:color w:val="auto"/>
              </w:rPr>
            </w:pPr>
            <w:r>
              <w:rPr>
                <w:color w:val="auto"/>
              </w:rPr>
              <w:t>不敏感</w:t>
            </w:r>
          </w:p>
        </w:tc>
        <w:tc>
          <w:tcPr>
            <w:tcW w:w="755" w:type="dxa"/>
            <w:shd w:val="clear" w:color="auto" w:fill="auto"/>
            <w:vAlign w:val="center"/>
          </w:tcPr>
          <w:p>
            <w:pPr>
              <w:pStyle w:val="292"/>
              <w:rPr>
                <w:color w:val="auto"/>
              </w:rPr>
            </w:pPr>
            <w:r>
              <w:rPr>
                <w:color w:val="auto"/>
              </w:rPr>
              <w:t>一级</w:t>
            </w:r>
          </w:p>
        </w:tc>
        <w:tc>
          <w:tcPr>
            <w:tcW w:w="929" w:type="dxa"/>
            <w:shd w:val="clear" w:color="auto" w:fill="auto"/>
            <w:vAlign w:val="center"/>
          </w:tcPr>
          <w:p>
            <w:pPr>
              <w:pStyle w:val="292"/>
              <w:rPr>
                <w:color w:val="auto"/>
              </w:rPr>
            </w:pPr>
            <w:r>
              <w:rPr>
                <w:color w:val="auto"/>
              </w:rPr>
              <w:t>二级</w:t>
            </w:r>
          </w:p>
        </w:tc>
        <w:tc>
          <w:tcPr>
            <w:tcW w:w="929" w:type="dxa"/>
            <w:shd w:val="clear" w:color="auto" w:fill="auto"/>
            <w:vAlign w:val="center"/>
          </w:tcPr>
          <w:p>
            <w:pPr>
              <w:pStyle w:val="292"/>
              <w:rPr>
                <w:color w:val="auto"/>
              </w:rPr>
            </w:pPr>
            <w:r>
              <w:rPr>
                <w:color w:val="auto"/>
              </w:rPr>
              <w:t>二级</w:t>
            </w:r>
          </w:p>
        </w:tc>
        <w:tc>
          <w:tcPr>
            <w:tcW w:w="929" w:type="dxa"/>
            <w:shd w:val="clear" w:color="auto" w:fill="auto"/>
            <w:vAlign w:val="center"/>
          </w:tcPr>
          <w:p>
            <w:pPr>
              <w:pStyle w:val="292"/>
              <w:rPr>
                <w:color w:val="auto"/>
              </w:rPr>
            </w:pPr>
            <w:r>
              <w:rPr>
                <w:color w:val="auto"/>
              </w:rPr>
              <w:t>二级</w:t>
            </w:r>
          </w:p>
        </w:tc>
        <w:tc>
          <w:tcPr>
            <w:tcW w:w="929" w:type="dxa"/>
            <w:shd w:val="clear" w:color="auto" w:fill="auto"/>
            <w:vAlign w:val="center"/>
          </w:tcPr>
          <w:p>
            <w:pPr>
              <w:pStyle w:val="292"/>
              <w:rPr>
                <w:color w:val="auto"/>
              </w:rPr>
            </w:pPr>
            <w:r>
              <w:rPr>
                <w:color w:val="auto"/>
              </w:rPr>
              <w:t>三级</w:t>
            </w:r>
          </w:p>
        </w:tc>
        <w:tc>
          <w:tcPr>
            <w:tcW w:w="930" w:type="dxa"/>
            <w:shd w:val="clear" w:color="auto" w:fill="auto"/>
            <w:vAlign w:val="center"/>
          </w:tcPr>
          <w:p>
            <w:pPr>
              <w:pStyle w:val="292"/>
              <w:rPr>
                <w:color w:val="auto"/>
              </w:rPr>
            </w:pPr>
            <w:r>
              <w:rPr>
                <w:color w:val="auto"/>
              </w:rPr>
              <w:t>三级</w:t>
            </w:r>
          </w:p>
        </w:tc>
        <w:tc>
          <w:tcPr>
            <w:tcW w:w="929" w:type="dxa"/>
            <w:shd w:val="clear" w:color="auto" w:fill="auto"/>
            <w:vAlign w:val="center"/>
          </w:tcPr>
          <w:p>
            <w:pPr>
              <w:pStyle w:val="292"/>
              <w:rPr>
                <w:color w:val="auto"/>
              </w:rPr>
            </w:pPr>
            <w:r>
              <w:rPr>
                <w:color w:val="auto"/>
              </w:rPr>
              <w:t>三级</w:t>
            </w:r>
          </w:p>
        </w:tc>
        <w:tc>
          <w:tcPr>
            <w:tcW w:w="929" w:type="dxa"/>
            <w:shd w:val="clear" w:color="auto" w:fill="auto"/>
            <w:vAlign w:val="center"/>
          </w:tcPr>
          <w:p>
            <w:pPr>
              <w:pStyle w:val="292"/>
              <w:rPr>
                <w:color w:val="auto"/>
              </w:rPr>
            </w:pPr>
            <w:r>
              <w:rPr>
                <w:rFonts w:asciiTheme="minorEastAsia" w:hAnsiTheme="minorEastAsia" w:eastAsiaTheme="minorEastAsia"/>
                <w:color w:val="auto"/>
              </w:rPr>
              <w:t>—</w:t>
            </w:r>
          </w:p>
        </w:tc>
        <w:tc>
          <w:tcPr>
            <w:tcW w:w="930" w:type="dxa"/>
            <w:shd w:val="clear" w:color="auto" w:fill="auto"/>
            <w:vAlign w:val="center"/>
          </w:tcPr>
          <w:p>
            <w:pPr>
              <w:pStyle w:val="292"/>
              <w:rPr>
                <w:color w:val="auto"/>
              </w:rPr>
            </w:pPr>
            <w:r>
              <w:rPr>
                <w:rFonts w:asciiTheme="minorEastAsia" w:hAnsiTheme="minorEastAsia" w:eastAsiaTheme="minorEastAsia"/>
                <w:color w:val="auto"/>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286" w:type="dxa"/>
            <w:gridSpan w:val="10"/>
            <w:tcBorders>
              <w:bottom w:val="single" w:color="auto" w:sz="18" w:space="0"/>
            </w:tcBorders>
            <w:shd w:val="clear" w:color="auto" w:fill="auto"/>
            <w:vAlign w:val="center"/>
          </w:tcPr>
          <w:p>
            <w:pPr>
              <w:pStyle w:val="292"/>
              <w:jc w:val="left"/>
              <w:rPr>
                <w:color w:val="auto"/>
              </w:rPr>
            </w:pPr>
            <w:r>
              <w:rPr>
                <w:color w:val="auto"/>
              </w:rPr>
              <w:t>注：</w:t>
            </w:r>
            <w:r>
              <w:rPr>
                <w:rFonts w:asciiTheme="minorEastAsia" w:hAnsiTheme="minorEastAsia" w:eastAsiaTheme="minorEastAsia"/>
                <w:color w:val="auto"/>
              </w:rPr>
              <w:t>“—”</w:t>
            </w:r>
            <w:r>
              <w:rPr>
                <w:color w:val="auto"/>
              </w:rPr>
              <w:t>表示可不开展土壤环境影响评价工作。</w:t>
            </w:r>
          </w:p>
        </w:tc>
      </w:tr>
    </w:tbl>
    <w:p>
      <w:pPr>
        <w:pStyle w:val="298"/>
        <w:rPr>
          <w:color w:val="auto"/>
        </w:rPr>
      </w:pPr>
      <w:bookmarkStart w:id="164" w:name="_Toc14946821"/>
      <w:bookmarkStart w:id="165" w:name="_Toc28458"/>
      <w:bookmarkStart w:id="166" w:name="_Toc15912113"/>
      <w:bookmarkStart w:id="167" w:name="_Toc24136725"/>
      <w:r>
        <w:rPr>
          <w:color w:val="auto"/>
        </w:rPr>
        <w:t>2.6.7</w:t>
      </w:r>
      <w:r>
        <w:rPr>
          <w:rFonts w:hint="eastAsia"/>
          <w:color w:val="auto"/>
          <w:lang w:eastAsia="zh-CN"/>
        </w:rPr>
        <w:t>环境</w:t>
      </w:r>
      <w:r>
        <w:rPr>
          <w:color w:val="auto"/>
        </w:rPr>
        <w:t>风险评价工作等级</w:t>
      </w:r>
      <w:bookmarkEnd w:id="164"/>
      <w:bookmarkEnd w:id="165"/>
      <w:bookmarkEnd w:id="166"/>
      <w:bookmarkEnd w:id="167"/>
    </w:p>
    <w:p>
      <w:pPr>
        <w:spacing w:line="360" w:lineRule="auto"/>
        <w:ind w:firstLine="480"/>
        <w:rPr>
          <w:color w:val="auto"/>
        </w:rPr>
      </w:pPr>
      <w:r>
        <w:rPr>
          <w:color w:val="auto"/>
        </w:rPr>
        <w:t>（1）危险物质及工艺系统危险性（P）的分级确定</w:t>
      </w:r>
    </w:p>
    <w:p>
      <w:pPr>
        <w:spacing w:line="360" w:lineRule="auto"/>
        <w:ind w:firstLine="480"/>
        <w:rPr>
          <w:color w:val="auto"/>
        </w:rPr>
      </w:pPr>
      <w:r>
        <w:rPr>
          <w:color w:val="auto"/>
        </w:rPr>
        <w:t>根据《建设项目环境风险评价技术导则》（HJ169-2018），计算所涉及的每种危险物质在厂界内的最大存在总量与其在附录B中对应临界量的比值Q。</w:t>
      </w:r>
    </w:p>
    <w:p>
      <w:pPr>
        <w:spacing w:line="360" w:lineRule="auto"/>
        <w:ind w:firstLine="480"/>
        <w:rPr>
          <w:color w:val="auto"/>
        </w:rPr>
      </w:pPr>
      <w:r>
        <w:rPr>
          <w:color w:val="auto"/>
        </w:rPr>
        <w:t>当只涉及一</w:t>
      </w:r>
      <w:r>
        <w:rPr>
          <w:rFonts w:hint="eastAsia"/>
          <w:color w:val="auto"/>
        </w:rPr>
        <w:t>种</w:t>
      </w:r>
      <w:r>
        <w:rPr>
          <w:color w:val="auto"/>
        </w:rPr>
        <w:t>危险物质时，计算该物质的总量与其临界量比值，即为Q；</w:t>
      </w:r>
    </w:p>
    <w:p>
      <w:pPr>
        <w:spacing w:line="360" w:lineRule="auto"/>
        <w:ind w:firstLine="480"/>
        <w:rPr>
          <w:color w:val="auto"/>
        </w:rPr>
      </w:pPr>
      <w:r>
        <w:rPr>
          <w:color w:val="auto"/>
        </w:rPr>
        <w:t>当存在多种危险物质</w:t>
      </w:r>
      <w:r>
        <w:rPr>
          <w:rFonts w:hint="eastAsia"/>
          <w:color w:val="auto"/>
        </w:rPr>
        <w:t>时</w:t>
      </w:r>
      <w:r>
        <w:rPr>
          <w:color w:val="auto"/>
        </w:rPr>
        <w:t>，则按下式计算物质总量与其临界量比值Q：</w:t>
      </w:r>
    </w:p>
    <w:p>
      <w:pPr>
        <w:spacing w:line="360" w:lineRule="auto"/>
        <w:jc w:val="center"/>
        <w:rPr>
          <w:color w:val="auto"/>
        </w:rPr>
      </w:pPr>
      <w:r>
        <w:rPr>
          <w:color w:val="auto"/>
        </w:rPr>
        <w:t>Q=∑q</w:t>
      </w:r>
      <w:r>
        <w:rPr>
          <w:color w:val="auto"/>
          <w:vertAlign w:val="subscript"/>
        </w:rPr>
        <w:t>i</w:t>
      </w:r>
      <w:r>
        <w:rPr>
          <w:color w:val="auto"/>
        </w:rPr>
        <w:t>/Q</w:t>
      </w:r>
      <w:r>
        <w:rPr>
          <w:color w:val="auto"/>
          <w:vertAlign w:val="subscript"/>
        </w:rPr>
        <w:t>i</w:t>
      </w:r>
    </w:p>
    <w:p>
      <w:pPr>
        <w:spacing w:line="360" w:lineRule="auto"/>
        <w:ind w:firstLine="480"/>
        <w:rPr>
          <w:color w:val="auto"/>
        </w:rPr>
      </w:pPr>
      <w:r>
        <w:rPr>
          <w:color w:val="auto"/>
        </w:rPr>
        <w:t>式中：q</w:t>
      </w:r>
      <w:r>
        <w:rPr>
          <w:color w:val="auto"/>
          <w:vertAlign w:val="subscript"/>
        </w:rPr>
        <w:t>i</w:t>
      </w:r>
      <w:r>
        <w:rPr>
          <w:color w:val="auto"/>
        </w:rPr>
        <w:t>——每种危险物质的最大存在总量，t；</w:t>
      </w:r>
    </w:p>
    <w:p>
      <w:pPr>
        <w:spacing w:line="360" w:lineRule="auto"/>
        <w:ind w:firstLine="480"/>
        <w:rPr>
          <w:color w:val="auto"/>
        </w:rPr>
      </w:pPr>
      <w:r>
        <w:rPr>
          <w:color w:val="auto"/>
        </w:rPr>
        <w:t xml:space="preserve">      Q</w:t>
      </w:r>
      <w:r>
        <w:rPr>
          <w:color w:val="auto"/>
          <w:vertAlign w:val="subscript"/>
        </w:rPr>
        <w:t>i</w:t>
      </w:r>
      <w:r>
        <w:rPr>
          <w:color w:val="auto"/>
        </w:rPr>
        <w:t>——每种危险物质的临界量，t。</w:t>
      </w:r>
    </w:p>
    <w:p>
      <w:pPr>
        <w:spacing w:line="360" w:lineRule="auto"/>
        <w:ind w:firstLine="480"/>
        <w:rPr>
          <w:color w:val="auto"/>
        </w:rPr>
      </w:pPr>
      <w:r>
        <w:rPr>
          <w:color w:val="auto"/>
        </w:rPr>
        <w:t>当Q＜1时，该项目环境风险潜势为I。</w:t>
      </w:r>
    </w:p>
    <w:p>
      <w:pPr>
        <w:spacing w:line="360" w:lineRule="auto"/>
        <w:ind w:firstLine="480"/>
        <w:rPr>
          <w:color w:val="auto"/>
        </w:rPr>
      </w:pPr>
      <w:r>
        <w:rPr>
          <w:color w:val="auto"/>
        </w:rPr>
        <w:t>当Q≥1时，该Q值划分为：1≤Q＜10；10≤Q＜100；Q≥100。</w:t>
      </w:r>
    </w:p>
    <w:p>
      <w:pPr>
        <w:pStyle w:val="5"/>
        <w:spacing w:line="360" w:lineRule="auto"/>
        <w:ind w:firstLine="482"/>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2.6</w:t>
      </w:r>
      <w:r>
        <w:rPr>
          <w:b/>
          <w:color w:val="auto"/>
        </w:rPr>
        <w:fldChar w:fldCharType="end"/>
      </w:r>
      <w:r>
        <w:rPr>
          <w:b/>
          <w:color w:val="auto"/>
        </w:rPr>
        <w:noBreakHyphen/>
      </w:r>
      <w:r>
        <w:rPr>
          <w:b/>
          <w:color w:val="auto"/>
        </w:rPr>
        <w:fldChar w:fldCharType="begin"/>
      </w:r>
      <w:r>
        <w:rPr>
          <w:b/>
          <w:color w:val="auto"/>
        </w:rPr>
        <w:instrText xml:space="preserve"> SEQ 表 \* ARABIC \s 2 </w:instrText>
      </w:r>
      <w:r>
        <w:rPr>
          <w:b/>
          <w:color w:val="auto"/>
        </w:rPr>
        <w:fldChar w:fldCharType="separate"/>
      </w:r>
      <w:r>
        <w:rPr>
          <w:b/>
          <w:color w:val="auto"/>
        </w:rPr>
        <w:t>7</w:t>
      </w:r>
      <w:r>
        <w:rPr>
          <w:b/>
          <w:color w:val="auto"/>
        </w:rPr>
        <w:fldChar w:fldCharType="end"/>
      </w:r>
      <w:r>
        <w:rPr>
          <w:b/>
          <w:color w:val="auto"/>
        </w:rPr>
        <w:t xml:space="preserve">  本项目Q值确定表</w:t>
      </w:r>
    </w:p>
    <w:tbl>
      <w:tblPr>
        <w:tblStyle w:val="53"/>
        <w:tblW w:w="9286" w:type="dxa"/>
        <w:jc w:val="center"/>
        <w:tblInd w:w="0" w:type="dxa"/>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5"/>
        <w:gridCol w:w="1553"/>
        <w:gridCol w:w="3401"/>
        <w:gridCol w:w="1419"/>
        <w:gridCol w:w="1948"/>
      </w:tblGrid>
      <w:tr>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4" w:hRule="atLeast"/>
          <w:jc w:val="center"/>
        </w:trPr>
        <w:tc>
          <w:tcPr>
            <w:tcW w:w="965" w:type="dxa"/>
            <w:tcBorders>
              <w:top w:val="single" w:color="auto" w:sz="18" w:space="0"/>
            </w:tcBorders>
            <w:vAlign w:val="center"/>
          </w:tcPr>
          <w:p>
            <w:pPr>
              <w:autoSpaceDE w:val="0"/>
              <w:autoSpaceDN w:val="0"/>
              <w:adjustRightInd w:val="0"/>
              <w:snapToGrid w:val="0"/>
              <w:jc w:val="center"/>
              <w:textAlignment w:val="baseline"/>
              <w:rPr>
                <w:b/>
                <w:color w:val="auto"/>
                <w:kern w:val="0"/>
                <w:sz w:val="21"/>
                <w:szCs w:val="21"/>
              </w:rPr>
            </w:pPr>
            <w:r>
              <w:rPr>
                <w:b/>
                <w:color w:val="auto"/>
                <w:kern w:val="0"/>
                <w:sz w:val="21"/>
                <w:szCs w:val="21"/>
              </w:rPr>
              <w:t>序号</w:t>
            </w:r>
          </w:p>
        </w:tc>
        <w:tc>
          <w:tcPr>
            <w:tcW w:w="1553" w:type="dxa"/>
            <w:tcBorders>
              <w:top w:val="single" w:color="auto" w:sz="18" w:space="0"/>
            </w:tcBorders>
            <w:shd w:val="clear" w:color="auto" w:fill="auto"/>
            <w:vAlign w:val="center"/>
          </w:tcPr>
          <w:p>
            <w:pPr>
              <w:autoSpaceDE w:val="0"/>
              <w:autoSpaceDN w:val="0"/>
              <w:adjustRightInd w:val="0"/>
              <w:snapToGrid w:val="0"/>
              <w:jc w:val="center"/>
              <w:textAlignment w:val="baseline"/>
              <w:rPr>
                <w:b/>
                <w:color w:val="auto"/>
                <w:kern w:val="0"/>
                <w:sz w:val="21"/>
                <w:szCs w:val="21"/>
              </w:rPr>
            </w:pPr>
            <w:r>
              <w:rPr>
                <w:b/>
                <w:color w:val="auto"/>
                <w:kern w:val="0"/>
                <w:sz w:val="21"/>
                <w:szCs w:val="21"/>
              </w:rPr>
              <w:t>危险物质名称</w:t>
            </w:r>
          </w:p>
        </w:tc>
        <w:tc>
          <w:tcPr>
            <w:tcW w:w="3401" w:type="dxa"/>
            <w:tcBorders>
              <w:top w:val="single" w:color="auto" w:sz="18" w:space="0"/>
            </w:tcBorders>
            <w:shd w:val="clear" w:color="auto" w:fill="auto"/>
            <w:vAlign w:val="center"/>
          </w:tcPr>
          <w:p>
            <w:pPr>
              <w:autoSpaceDE w:val="0"/>
              <w:autoSpaceDN w:val="0"/>
              <w:adjustRightInd w:val="0"/>
              <w:snapToGrid w:val="0"/>
              <w:jc w:val="center"/>
              <w:textAlignment w:val="baseline"/>
              <w:rPr>
                <w:b/>
                <w:color w:val="auto"/>
                <w:kern w:val="0"/>
                <w:sz w:val="21"/>
                <w:szCs w:val="21"/>
              </w:rPr>
            </w:pPr>
            <w:r>
              <w:rPr>
                <w:b/>
                <w:color w:val="auto"/>
                <w:kern w:val="0"/>
                <w:sz w:val="21"/>
                <w:szCs w:val="21"/>
              </w:rPr>
              <w:t>最大储存量（t）</w:t>
            </w:r>
          </w:p>
        </w:tc>
        <w:tc>
          <w:tcPr>
            <w:tcW w:w="1419" w:type="dxa"/>
            <w:tcBorders>
              <w:top w:val="single" w:color="auto" w:sz="18" w:space="0"/>
            </w:tcBorders>
            <w:shd w:val="clear" w:color="auto" w:fill="auto"/>
            <w:vAlign w:val="center"/>
          </w:tcPr>
          <w:p>
            <w:pPr>
              <w:autoSpaceDE w:val="0"/>
              <w:autoSpaceDN w:val="0"/>
              <w:adjustRightInd w:val="0"/>
              <w:snapToGrid w:val="0"/>
              <w:jc w:val="center"/>
              <w:textAlignment w:val="baseline"/>
              <w:rPr>
                <w:b/>
                <w:color w:val="auto"/>
                <w:kern w:val="0"/>
                <w:sz w:val="21"/>
                <w:szCs w:val="21"/>
              </w:rPr>
            </w:pPr>
            <w:r>
              <w:rPr>
                <w:b/>
                <w:color w:val="auto"/>
                <w:kern w:val="0"/>
                <w:sz w:val="21"/>
                <w:szCs w:val="21"/>
              </w:rPr>
              <w:t>临界量（t）</w:t>
            </w:r>
          </w:p>
        </w:tc>
        <w:tc>
          <w:tcPr>
            <w:tcW w:w="1948" w:type="dxa"/>
            <w:tcBorders>
              <w:top w:val="single" w:color="auto" w:sz="18" w:space="0"/>
            </w:tcBorders>
            <w:vAlign w:val="center"/>
          </w:tcPr>
          <w:p>
            <w:pPr>
              <w:autoSpaceDE w:val="0"/>
              <w:autoSpaceDN w:val="0"/>
              <w:adjustRightInd w:val="0"/>
              <w:snapToGrid w:val="0"/>
              <w:jc w:val="center"/>
              <w:textAlignment w:val="baseline"/>
              <w:rPr>
                <w:b/>
                <w:color w:val="auto"/>
                <w:kern w:val="0"/>
                <w:sz w:val="21"/>
                <w:szCs w:val="21"/>
              </w:rPr>
            </w:pPr>
            <w:r>
              <w:rPr>
                <w:b/>
                <w:color w:val="auto"/>
                <w:kern w:val="0"/>
                <w:sz w:val="21"/>
                <w:szCs w:val="21"/>
              </w:rPr>
              <w:t>该种危险物质Q值</w:t>
            </w:r>
          </w:p>
        </w:tc>
      </w:tr>
      <w:tr>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65" w:type="dxa"/>
            <w:vAlign w:val="center"/>
          </w:tcPr>
          <w:p>
            <w:pPr>
              <w:autoSpaceDE w:val="0"/>
              <w:autoSpaceDN w:val="0"/>
              <w:adjustRightInd w:val="0"/>
              <w:snapToGrid w:val="0"/>
              <w:jc w:val="center"/>
              <w:textAlignment w:val="baseline"/>
              <w:rPr>
                <w:color w:val="auto"/>
                <w:kern w:val="0"/>
                <w:sz w:val="21"/>
                <w:szCs w:val="21"/>
              </w:rPr>
            </w:pPr>
            <w:r>
              <w:rPr>
                <w:rFonts w:hint="eastAsia"/>
                <w:color w:val="auto"/>
                <w:kern w:val="0"/>
                <w:sz w:val="21"/>
                <w:szCs w:val="21"/>
              </w:rPr>
              <w:t>1</w:t>
            </w:r>
          </w:p>
        </w:tc>
        <w:tc>
          <w:tcPr>
            <w:tcW w:w="1553" w:type="dxa"/>
            <w:shd w:val="clear" w:color="auto" w:fill="auto"/>
            <w:vAlign w:val="center"/>
          </w:tcPr>
          <w:p>
            <w:pPr>
              <w:autoSpaceDE w:val="0"/>
              <w:autoSpaceDN w:val="0"/>
              <w:adjustRightInd w:val="0"/>
              <w:snapToGrid w:val="0"/>
              <w:jc w:val="center"/>
              <w:textAlignment w:val="baseline"/>
              <w:rPr>
                <w:color w:val="auto"/>
                <w:kern w:val="0"/>
                <w:sz w:val="21"/>
                <w:szCs w:val="21"/>
              </w:rPr>
            </w:pPr>
            <w:r>
              <w:rPr>
                <w:rFonts w:hint="eastAsia"/>
                <w:color w:val="auto"/>
                <w:kern w:val="0"/>
                <w:sz w:val="21"/>
                <w:szCs w:val="21"/>
              </w:rPr>
              <w:t>硫酸</w:t>
            </w:r>
          </w:p>
        </w:tc>
        <w:tc>
          <w:tcPr>
            <w:tcW w:w="3401" w:type="dxa"/>
            <w:shd w:val="clear" w:color="auto" w:fill="auto"/>
            <w:vAlign w:val="center"/>
          </w:tcPr>
          <w:p>
            <w:pPr>
              <w:autoSpaceDE w:val="0"/>
              <w:autoSpaceDN w:val="0"/>
              <w:adjustRightInd w:val="0"/>
              <w:snapToGrid w:val="0"/>
              <w:jc w:val="center"/>
              <w:textAlignment w:val="baseline"/>
              <w:rPr>
                <w:rFonts w:hint="eastAsia" w:eastAsia="宋体"/>
                <w:color w:val="auto"/>
                <w:kern w:val="0"/>
                <w:sz w:val="21"/>
                <w:szCs w:val="21"/>
                <w:lang w:eastAsia="zh-CN"/>
              </w:rPr>
            </w:pPr>
            <w:r>
              <w:rPr>
                <w:rFonts w:hint="eastAsia"/>
                <w:color w:val="auto"/>
                <w:kern w:val="0"/>
                <w:sz w:val="21"/>
                <w:szCs w:val="21"/>
                <w:lang w:val="en-US" w:eastAsia="zh-CN"/>
              </w:rPr>
              <w:t>0.56</w:t>
            </w:r>
          </w:p>
        </w:tc>
        <w:tc>
          <w:tcPr>
            <w:tcW w:w="1419" w:type="dxa"/>
            <w:shd w:val="clear" w:color="auto" w:fill="auto"/>
            <w:vAlign w:val="center"/>
          </w:tcPr>
          <w:p>
            <w:pPr>
              <w:autoSpaceDE w:val="0"/>
              <w:autoSpaceDN w:val="0"/>
              <w:adjustRightInd w:val="0"/>
              <w:snapToGrid w:val="0"/>
              <w:jc w:val="center"/>
              <w:textAlignment w:val="baseline"/>
              <w:rPr>
                <w:color w:val="auto"/>
                <w:kern w:val="0"/>
                <w:sz w:val="21"/>
                <w:szCs w:val="21"/>
              </w:rPr>
            </w:pPr>
            <w:r>
              <w:rPr>
                <w:rFonts w:hint="eastAsia"/>
                <w:color w:val="auto"/>
                <w:kern w:val="0"/>
                <w:sz w:val="21"/>
                <w:szCs w:val="21"/>
              </w:rPr>
              <w:t>10</w:t>
            </w:r>
          </w:p>
        </w:tc>
        <w:tc>
          <w:tcPr>
            <w:tcW w:w="1948" w:type="dxa"/>
            <w:vAlign w:val="bottom"/>
          </w:tcPr>
          <w:p>
            <w:pPr>
              <w:autoSpaceDE w:val="0"/>
              <w:autoSpaceDN w:val="0"/>
              <w:adjustRightInd w:val="0"/>
              <w:snapToGrid w:val="0"/>
              <w:jc w:val="center"/>
              <w:textAlignment w:val="baseline"/>
              <w:rPr>
                <w:color w:val="auto"/>
                <w:kern w:val="0"/>
                <w:sz w:val="21"/>
                <w:szCs w:val="21"/>
              </w:rPr>
            </w:pPr>
            <w:r>
              <w:rPr>
                <w:rFonts w:hint="eastAsia"/>
                <w:color w:val="auto"/>
                <w:kern w:val="0"/>
                <w:sz w:val="21"/>
                <w:szCs w:val="21"/>
              </w:rPr>
              <w:t>0.1</w:t>
            </w:r>
          </w:p>
        </w:tc>
      </w:tr>
      <w:tr>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338" w:type="dxa"/>
            <w:gridSpan w:val="4"/>
            <w:vAlign w:val="center"/>
          </w:tcPr>
          <w:p>
            <w:pPr>
              <w:autoSpaceDE w:val="0"/>
              <w:autoSpaceDN w:val="0"/>
              <w:adjustRightInd w:val="0"/>
              <w:snapToGrid w:val="0"/>
              <w:jc w:val="center"/>
              <w:textAlignment w:val="baseline"/>
              <w:rPr>
                <w:color w:val="auto"/>
                <w:kern w:val="0"/>
                <w:sz w:val="21"/>
                <w:szCs w:val="21"/>
              </w:rPr>
            </w:pPr>
            <w:r>
              <w:rPr>
                <w:color w:val="auto"/>
                <w:kern w:val="0"/>
                <w:sz w:val="21"/>
                <w:szCs w:val="21"/>
              </w:rPr>
              <w:t>合计</w:t>
            </w:r>
          </w:p>
        </w:tc>
        <w:tc>
          <w:tcPr>
            <w:tcW w:w="1948" w:type="dxa"/>
            <w:vAlign w:val="center"/>
          </w:tcPr>
          <w:p>
            <w:pPr>
              <w:autoSpaceDE w:val="0"/>
              <w:autoSpaceDN w:val="0"/>
              <w:adjustRightInd w:val="0"/>
              <w:snapToGrid w:val="0"/>
              <w:jc w:val="center"/>
              <w:textAlignment w:val="baseline"/>
              <w:rPr>
                <w:rFonts w:hint="eastAsia" w:eastAsia="宋体"/>
                <w:color w:val="auto"/>
                <w:kern w:val="0"/>
                <w:sz w:val="21"/>
                <w:szCs w:val="21"/>
                <w:lang w:eastAsia="zh-CN"/>
              </w:rPr>
            </w:pPr>
            <w:r>
              <w:rPr>
                <w:rFonts w:hint="eastAsia"/>
                <w:color w:val="auto"/>
                <w:kern w:val="0"/>
                <w:sz w:val="21"/>
                <w:szCs w:val="21"/>
                <w:lang w:val="en-US" w:eastAsia="zh-CN"/>
              </w:rPr>
              <w:t>0.056</w:t>
            </w:r>
          </w:p>
        </w:tc>
      </w:tr>
    </w:tbl>
    <w:p>
      <w:pPr>
        <w:spacing w:line="360" w:lineRule="auto"/>
        <w:ind w:firstLine="480"/>
        <w:rPr>
          <w:color w:val="auto"/>
        </w:rPr>
      </w:pPr>
      <w:r>
        <w:rPr>
          <w:color w:val="auto"/>
        </w:rPr>
        <w:t>计算出来的Q值为：</w:t>
      </w:r>
      <w:r>
        <w:rPr>
          <w:rFonts w:hint="eastAsia"/>
          <w:color w:val="auto"/>
        </w:rPr>
        <w:t>0.</w:t>
      </w:r>
      <w:r>
        <w:rPr>
          <w:rFonts w:hint="eastAsia"/>
          <w:color w:val="auto"/>
          <w:lang w:val="en-US" w:eastAsia="zh-CN"/>
        </w:rPr>
        <w:t>056</w:t>
      </w:r>
      <w:r>
        <w:rPr>
          <w:rFonts w:hint="eastAsia"/>
          <w:color w:val="auto"/>
        </w:rPr>
        <w:t>，</w:t>
      </w:r>
      <w:r>
        <w:rPr>
          <w:color w:val="auto"/>
        </w:rPr>
        <w:t>则对照导则要求，Q＜</w:t>
      </w:r>
      <w:r>
        <w:rPr>
          <w:rFonts w:hint="eastAsia"/>
          <w:color w:val="auto"/>
        </w:rPr>
        <w:t>1，</w:t>
      </w:r>
      <w:r>
        <w:rPr>
          <w:color w:val="auto"/>
        </w:rPr>
        <w:t>该项目环境风险潜势为I</w:t>
      </w:r>
      <w:r>
        <w:rPr>
          <w:rFonts w:hint="eastAsia"/>
          <w:color w:val="auto"/>
        </w:rPr>
        <w:t>，</w:t>
      </w:r>
      <w:r>
        <w:rPr>
          <w:color w:val="auto"/>
        </w:rPr>
        <w:t>本次环境风险评价等级</w:t>
      </w:r>
      <w:r>
        <w:rPr>
          <w:rFonts w:hint="eastAsia"/>
          <w:color w:val="auto"/>
        </w:rPr>
        <w:t>为简单分析</w:t>
      </w:r>
      <w:r>
        <w:rPr>
          <w:color w:val="auto"/>
        </w:rPr>
        <w:t>。具体划分判定见下表。</w:t>
      </w:r>
      <w:r>
        <w:rPr>
          <w:rFonts w:hint="eastAsia"/>
          <w:color w:val="auto"/>
        </w:rPr>
        <w:t xml:space="preserve"> </w:t>
      </w:r>
    </w:p>
    <w:p>
      <w:pPr>
        <w:pStyle w:val="5"/>
        <w:ind w:firstLine="482"/>
        <w:jc w:val="center"/>
        <w:rPr>
          <w:b/>
          <w:color w:val="auto"/>
        </w:rPr>
      </w:pPr>
    </w:p>
    <w:p>
      <w:pPr>
        <w:pStyle w:val="5"/>
        <w:ind w:firstLine="482"/>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2.6</w:t>
      </w:r>
      <w:r>
        <w:rPr>
          <w:b/>
          <w:color w:val="auto"/>
        </w:rPr>
        <w:fldChar w:fldCharType="end"/>
      </w:r>
      <w:r>
        <w:rPr>
          <w:b/>
          <w:color w:val="auto"/>
        </w:rPr>
        <w:noBreakHyphen/>
      </w:r>
      <w:r>
        <w:rPr>
          <w:rFonts w:hint="eastAsia"/>
          <w:b/>
          <w:color w:val="auto"/>
        </w:rPr>
        <w:t>16</w:t>
      </w:r>
      <w:r>
        <w:rPr>
          <w:b/>
          <w:color w:val="auto"/>
        </w:rPr>
        <w:t xml:space="preserve">  风险评价工作等级划分判定表</w:t>
      </w:r>
    </w:p>
    <w:tbl>
      <w:tblPr>
        <w:tblStyle w:val="53"/>
        <w:tblW w:w="9286"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28"/>
        <w:gridCol w:w="1699"/>
        <w:gridCol w:w="1983"/>
        <w:gridCol w:w="2270"/>
        <w:gridCol w:w="180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1528" w:type="dxa"/>
            <w:tcBorders>
              <w:top w:val="single" w:color="auto" w:sz="18" w:space="0"/>
            </w:tcBorders>
            <w:vAlign w:val="center"/>
          </w:tcPr>
          <w:p>
            <w:pPr>
              <w:jc w:val="center"/>
              <w:rPr>
                <w:b/>
                <w:color w:val="auto"/>
                <w:sz w:val="21"/>
                <w:szCs w:val="21"/>
              </w:rPr>
            </w:pPr>
            <w:r>
              <w:rPr>
                <w:b/>
                <w:color w:val="auto"/>
                <w:sz w:val="21"/>
                <w:szCs w:val="21"/>
              </w:rPr>
              <w:t>环境风险潜势</w:t>
            </w:r>
          </w:p>
        </w:tc>
        <w:tc>
          <w:tcPr>
            <w:tcW w:w="1699" w:type="dxa"/>
            <w:tcBorders>
              <w:top w:val="single" w:color="auto" w:sz="18" w:space="0"/>
            </w:tcBorders>
            <w:vAlign w:val="center"/>
          </w:tcPr>
          <w:p>
            <w:pPr>
              <w:jc w:val="center"/>
              <w:rPr>
                <w:color w:val="auto"/>
                <w:sz w:val="21"/>
                <w:szCs w:val="21"/>
              </w:rPr>
            </w:pPr>
            <w:r>
              <w:rPr>
                <w:color w:val="auto"/>
                <w:sz w:val="21"/>
                <w:szCs w:val="21"/>
              </w:rPr>
              <w:t>Ⅳ、Ⅳ</w:t>
            </w:r>
            <w:r>
              <w:rPr>
                <w:color w:val="auto"/>
                <w:sz w:val="21"/>
                <w:szCs w:val="21"/>
                <w:vertAlign w:val="superscript"/>
              </w:rPr>
              <w:t>+</w:t>
            </w:r>
          </w:p>
        </w:tc>
        <w:tc>
          <w:tcPr>
            <w:tcW w:w="1983" w:type="dxa"/>
            <w:tcBorders>
              <w:top w:val="single" w:color="auto" w:sz="18" w:space="0"/>
            </w:tcBorders>
            <w:vAlign w:val="center"/>
          </w:tcPr>
          <w:p>
            <w:pPr>
              <w:jc w:val="center"/>
              <w:rPr>
                <w:color w:val="auto"/>
                <w:sz w:val="21"/>
                <w:szCs w:val="21"/>
              </w:rPr>
            </w:pPr>
            <w:r>
              <w:rPr>
                <w:color w:val="auto"/>
                <w:sz w:val="21"/>
                <w:szCs w:val="21"/>
              </w:rPr>
              <w:t>Ⅲ</w:t>
            </w:r>
          </w:p>
        </w:tc>
        <w:tc>
          <w:tcPr>
            <w:tcW w:w="2270" w:type="dxa"/>
            <w:tcBorders>
              <w:top w:val="single" w:color="auto" w:sz="18" w:space="0"/>
            </w:tcBorders>
            <w:vAlign w:val="center"/>
          </w:tcPr>
          <w:p>
            <w:pPr>
              <w:jc w:val="center"/>
              <w:rPr>
                <w:color w:val="auto"/>
                <w:sz w:val="21"/>
                <w:szCs w:val="21"/>
              </w:rPr>
            </w:pPr>
            <w:r>
              <w:rPr>
                <w:color w:val="auto"/>
                <w:sz w:val="21"/>
                <w:szCs w:val="21"/>
              </w:rPr>
              <w:t>Ⅱ</w:t>
            </w:r>
          </w:p>
        </w:tc>
        <w:tc>
          <w:tcPr>
            <w:tcW w:w="1806" w:type="dxa"/>
            <w:tcBorders>
              <w:top w:val="single" w:color="auto" w:sz="18" w:space="0"/>
            </w:tcBorders>
            <w:vAlign w:val="center"/>
          </w:tcPr>
          <w:p>
            <w:pPr>
              <w:jc w:val="center"/>
              <w:rPr>
                <w:color w:val="auto"/>
                <w:sz w:val="21"/>
                <w:szCs w:val="21"/>
              </w:rPr>
            </w:pPr>
            <w:r>
              <w:rPr>
                <w:color w:val="auto"/>
                <w:sz w:val="21"/>
                <w:szCs w:val="21"/>
              </w:rPr>
              <w:t>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528" w:type="dxa"/>
            <w:vAlign w:val="center"/>
          </w:tcPr>
          <w:p>
            <w:pPr>
              <w:jc w:val="center"/>
              <w:rPr>
                <w:b/>
                <w:color w:val="auto"/>
                <w:sz w:val="21"/>
                <w:szCs w:val="21"/>
              </w:rPr>
            </w:pPr>
            <w:r>
              <w:rPr>
                <w:b/>
                <w:color w:val="auto"/>
                <w:sz w:val="21"/>
                <w:szCs w:val="21"/>
              </w:rPr>
              <w:t>评价工作等级</w:t>
            </w:r>
          </w:p>
        </w:tc>
        <w:tc>
          <w:tcPr>
            <w:tcW w:w="1699" w:type="dxa"/>
            <w:vAlign w:val="center"/>
          </w:tcPr>
          <w:p>
            <w:pPr>
              <w:jc w:val="center"/>
              <w:rPr>
                <w:color w:val="auto"/>
                <w:sz w:val="21"/>
                <w:szCs w:val="21"/>
              </w:rPr>
            </w:pPr>
            <w:r>
              <w:rPr>
                <w:color w:val="auto"/>
                <w:sz w:val="21"/>
                <w:szCs w:val="21"/>
              </w:rPr>
              <w:t>一</w:t>
            </w:r>
          </w:p>
        </w:tc>
        <w:tc>
          <w:tcPr>
            <w:tcW w:w="1983" w:type="dxa"/>
            <w:vAlign w:val="center"/>
          </w:tcPr>
          <w:p>
            <w:pPr>
              <w:jc w:val="center"/>
              <w:rPr>
                <w:color w:val="auto"/>
                <w:sz w:val="21"/>
                <w:szCs w:val="21"/>
              </w:rPr>
            </w:pPr>
            <w:r>
              <w:rPr>
                <w:color w:val="auto"/>
                <w:sz w:val="21"/>
                <w:szCs w:val="21"/>
              </w:rPr>
              <w:t>二</w:t>
            </w:r>
          </w:p>
        </w:tc>
        <w:tc>
          <w:tcPr>
            <w:tcW w:w="2270" w:type="dxa"/>
            <w:shd w:val="clear" w:color="auto" w:fill="FFFFFF"/>
            <w:vAlign w:val="center"/>
          </w:tcPr>
          <w:p>
            <w:pPr>
              <w:jc w:val="center"/>
              <w:rPr>
                <w:color w:val="auto"/>
                <w:sz w:val="21"/>
                <w:szCs w:val="21"/>
              </w:rPr>
            </w:pPr>
            <w:r>
              <w:rPr>
                <w:color w:val="auto"/>
                <w:sz w:val="21"/>
                <w:szCs w:val="21"/>
              </w:rPr>
              <w:t>三</w:t>
            </w:r>
          </w:p>
        </w:tc>
        <w:tc>
          <w:tcPr>
            <w:tcW w:w="1806" w:type="dxa"/>
            <w:shd w:val="clear" w:color="auto" w:fill="FFFFFF"/>
            <w:vAlign w:val="center"/>
          </w:tcPr>
          <w:p>
            <w:pPr>
              <w:jc w:val="center"/>
              <w:rPr>
                <w:color w:val="auto"/>
                <w:sz w:val="21"/>
                <w:szCs w:val="21"/>
              </w:rPr>
            </w:pPr>
            <w:r>
              <w:rPr>
                <w:color w:val="auto"/>
                <w:sz w:val="21"/>
                <w:szCs w:val="21"/>
              </w:rPr>
              <w:t>简单分析</w:t>
            </w:r>
            <w:r>
              <w:rPr>
                <w:color w:val="auto"/>
                <w:sz w:val="21"/>
                <w:szCs w:val="21"/>
                <w:vertAlign w:val="superscript"/>
              </w:rPr>
              <w: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9286" w:type="dxa"/>
            <w:gridSpan w:val="5"/>
            <w:tcBorders>
              <w:bottom w:val="single" w:color="auto" w:sz="18" w:space="0"/>
            </w:tcBorders>
            <w:vAlign w:val="center"/>
          </w:tcPr>
          <w:p>
            <w:pPr>
              <w:rPr>
                <w:color w:val="auto"/>
                <w:sz w:val="21"/>
                <w:szCs w:val="21"/>
              </w:rPr>
            </w:pPr>
            <w:r>
              <w:rPr>
                <w:color w:val="auto"/>
                <w:sz w:val="21"/>
                <w:szCs w:val="21"/>
                <w:vertAlign w:val="superscript"/>
              </w:rPr>
              <w:t>a</w:t>
            </w:r>
            <w:r>
              <w:rPr>
                <w:color w:val="auto"/>
                <w:sz w:val="21"/>
                <w:szCs w:val="21"/>
              </w:rPr>
              <w:t xml:space="preserve"> 是相对于详细评价工作内容而言，在描述危险物质、环境影响途径、环境危害后果、风险防范措施等方面给出定性的说明。</w:t>
            </w:r>
          </w:p>
        </w:tc>
      </w:tr>
    </w:tbl>
    <w:p>
      <w:pPr>
        <w:pStyle w:val="3"/>
        <w:rPr>
          <w:rFonts w:ascii="Times New Roman"/>
          <w:color w:val="auto"/>
        </w:rPr>
      </w:pPr>
      <w:bookmarkStart w:id="168" w:name="_Toc12728"/>
      <w:bookmarkStart w:id="169" w:name="_Toc23263152"/>
      <w:bookmarkStart w:id="170" w:name="_Toc24136726"/>
      <w:bookmarkStart w:id="171" w:name="_Toc14943310"/>
      <w:r>
        <w:rPr>
          <w:rFonts w:ascii="Times New Roman"/>
          <w:color w:val="auto"/>
        </w:rPr>
        <w:t>评价范围</w:t>
      </w:r>
      <w:bookmarkEnd w:id="168"/>
      <w:bookmarkEnd w:id="169"/>
      <w:bookmarkEnd w:id="170"/>
      <w:bookmarkEnd w:id="171"/>
    </w:p>
    <w:p>
      <w:pPr>
        <w:pStyle w:val="298"/>
        <w:spacing w:before="42" w:after="42" w:line="360" w:lineRule="auto"/>
        <w:rPr>
          <w:color w:val="auto"/>
        </w:rPr>
      </w:pPr>
      <w:bookmarkStart w:id="172" w:name="_Toc28883"/>
      <w:bookmarkStart w:id="173" w:name="_Toc15912115"/>
      <w:bookmarkStart w:id="174" w:name="_Toc24136727"/>
      <w:bookmarkStart w:id="175" w:name="_Toc14946823"/>
      <w:bookmarkStart w:id="176" w:name="_Toc34234643"/>
      <w:r>
        <w:rPr>
          <w:color w:val="auto"/>
        </w:rPr>
        <w:t>2.7.1环境空气影响评价范围</w:t>
      </w:r>
      <w:bookmarkEnd w:id="172"/>
      <w:bookmarkEnd w:id="173"/>
      <w:bookmarkEnd w:id="174"/>
      <w:bookmarkEnd w:id="175"/>
      <w:bookmarkEnd w:id="176"/>
    </w:p>
    <w:p>
      <w:pPr>
        <w:spacing w:line="360" w:lineRule="auto"/>
        <w:ind w:firstLine="480"/>
        <w:jc w:val="both"/>
        <w:rPr>
          <w:color w:val="auto"/>
        </w:rPr>
      </w:pPr>
      <w:bookmarkStart w:id="177" w:name="_Hlk23150603"/>
      <w:r>
        <w:rPr>
          <w:color w:val="auto"/>
        </w:rPr>
        <w:t>按《环境影响评价技术导则 大气环境》（HJ2.2-2018）中的规定，</w:t>
      </w:r>
      <w:r>
        <w:rPr>
          <w:rFonts w:hint="eastAsia"/>
          <w:color w:val="auto"/>
        </w:rPr>
        <w:t>根据大气环境影响估算结果，本项目的评价等级为二级，即本项目的评价范围</w:t>
      </w:r>
      <w:r>
        <w:rPr>
          <w:color w:val="auto"/>
        </w:rPr>
        <w:t>以项目厂址为中心区域，</w:t>
      </w:r>
      <w:r>
        <w:rPr>
          <w:rFonts w:hint="eastAsia"/>
          <w:color w:val="auto"/>
        </w:rPr>
        <w:t>边长5k</w:t>
      </w:r>
      <w:r>
        <w:rPr>
          <w:color w:val="auto"/>
        </w:rPr>
        <w:t>m的矩形区域</w:t>
      </w:r>
      <w:bookmarkEnd w:id="177"/>
      <w:r>
        <w:rPr>
          <w:color w:val="auto"/>
        </w:rPr>
        <w:t>，具体见图2.9-1。</w:t>
      </w:r>
    </w:p>
    <w:p>
      <w:pPr>
        <w:pStyle w:val="298"/>
        <w:spacing w:before="42" w:after="42"/>
        <w:rPr>
          <w:color w:val="auto"/>
        </w:rPr>
      </w:pPr>
      <w:bookmarkStart w:id="178" w:name="_Toc24136728"/>
      <w:bookmarkStart w:id="179" w:name="_Toc34234644"/>
      <w:bookmarkStart w:id="180" w:name="_Toc14114"/>
      <w:bookmarkStart w:id="181" w:name="_Toc14946824"/>
      <w:bookmarkStart w:id="182" w:name="_Toc15912116"/>
      <w:r>
        <w:rPr>
          <w:color w:val="auto"/>
        </w:rPr>
        <w:t>2.7.2地表水环境影响评价范围</w:t>
      </w:r>
      <w:bookmarkEnd w:id="178"/>
      <w:bookmarkEnd w:id="179"/>
      <w:bookmarkEnd w:id="180"/>
      <w:bookmarkEnd w:id="181"/>
      <w:bookmarkEnd w:id="182"/>
    </w:p>
    <w:p>
      <w:pPr>
        <w:spacing w:line="360" w:lineRule="auto"/>
        <w:ind w:firstLine="480"/>
        <w:jc w:val="both"/>
        <w:rPr>
          <w:color w:val="auto"/>
        </w:rPr>
      </w:pPr>
      <w:r>
        <w:rPr>
          <w:color w:val="auto"/>
        </w:rPr>
        <w:t>本项目</w:t>
      </w:r>
      <w:r>
        <w:rPr>
          <w:rFonts w:hint="eastAsia"/>
          <w:color w:val="auto"/>
        </w:rPr>
        <w:t>废水</w:t>
      </w:r>
      <w:r>
        <w:rPr>
          <w:color w:val="auto"/>
        </w:rPr>
        <w:t>处理后全部回用，不外排。项目地表水环境评价范围为：与</w:t>
      </w:r>
      <w:r>
        <w:rPr>
          <w:rFonts w:hint="eastAsia"/>
          <w:color w:val="auto"/>
        </w:rPr>
        <w:t>曾坑河</w:t>
      </w:r>
      <w:r>
        <w:rPr>
          <w:color w:val="auto"/>
        </w:rPr>
        <w:t>最近点位上游1000m断面水域至下游1000m的水域，具体见图2.9-2。</w:t>
      </w:r>
    </w:p>
    <w:p>
      <w:pPr>
        <w:pStyle w:val="298"/>
        <w:spacing w:before="42" w:after="42"/>
        <w:rPr>
          <w:color w:val="auto"/>
        </w:rPr>
      </w:pPr>
      <w:bookmarkStart w:id="183" w:name="_Toc24136729"/>
      <w:bookmarkStart w:id="184" w:name="_Toc14946825"/>
      <w:bookmarkStart w:id="185" w:name="_Toc34234645"/>
      <w:bookmarkStart w:id="186" w:name="_Toc15912117"/>
      <w:bookmarkStart w:id="187" w:name="_Toc20867"/>
      <w:r>
        <w:rPr>
          <w:color w:val="auto"/>
        </w:rPr>
        <w:t>2.7.3噪声环境影响评价范围</w:t>
      </w:r>
      <w:bookmarkEnd w:id="183"/>
      <w:bookmarkEnd w:id="184"/>
      <w:bookmarkEnd w:id="185"/>
      <w:bookmarkEnd w:id="186"/>
      <w:bookmarkEnd w:id="187"/>
    </w:p>
    <w:p>
      <w:pPr>
        <w:spacing w:line="360" w:lineRule="auto"/>
        <w:ind w:firstLine="480"/>
        <w:rPr>
          <w:color w:val="auto"/>
        </w:rPr>
      </w:pPr>
      <w:r>
        <w:rPr>
          <w:color w:val="auto"/>
        </w:rPr>
        <w:t>项目投入使用后主要噪声源为</w:t>
      </w:r>
      <w:r>
        <w:rPr>
          <w:rFonts w:hint="eastAsia"/>
          <w:color w:val="auto"/>
          <w:lang w:eastAsia="zh-CN"/>
        </w:rPr>
        <w:t>泵组</w:t>
      </w:r>
      <w:r>
        <w:rPr>
          <w:color w:val="auto"/>
        </w:rPr>
        <w:t>、风机等设备噪声，噪声源源强低，因此确定项目声环境评价范围为项目边界外200m包络线以内的区域，具体见图2.9-</w:t>
      </w:r>
      <w:r>
        <w:rPr>
          <w:rFonts w:hint="eastAsia"/>
          <w:color w:val="auto"/>
        </w:rPr>
        <w:t>2</w:t>
      </w:r>
      <w:r>
        <w:rPr>
          <w:color w:val="auto"/>
        </w:rPr>
        <w:t>。</w:t>
      </w:r>
    </w:p>
    <w:p>
      <w:pPr>
        <w:pStyle w:val="298"/>
        <w:spacing w:before="42" w:after="42"/>
        <w:rPr>
          <w:color w:val="auto"/>
        </w:rPr>
      </w:pPr>
      <w:bookmarkStart w:id="188" w:name="_Toc15912118"/>
      <w:bookmarkStart w:id="189" w:name="_Toc34234646"/>
      <w:bookmarkStart w:id="190" w:name="_Toc24136730"/>
      <w:bookmarkStart w:id="191" w:name="_Toc4579"/>
      <w:bookmarkStart w:id="192" w:name="_Toc14946826"/>
      <w:r>
        <w:rPr>
          <w:color w:val="auto"/>
        </w:rPr>
        <w:t>2.7.4地下水环境影响评价范围</w:t>
      </w:r>
      <w:bookmarkEnd w:id="188"/>
      <w:bookmarkEnd w:id="189"/>
      <w:bookmarkEnd w:id="190"/>
      <w:bookmarkEnd w:id="191"/>
      <w:bookmarkEnd w:id="192"/>
    </w:p>
    <w:p>
      <w:pPr>
        <w:spacing w:line="360" w:lineRule="auto"/>
        <w:ind w:firstLine="480"/>
        <w:rPr>
          <w:color w:val="auto"/>
        </w:rPr>
      </w:pPr>
      <w:r>
        <w:rPr>
          <w:color w:val="auto"/>
        </w:rPr>
        <w:t>按《环境影响评价技术导则 地下水环境》（HJ610-2016）中的规定，地下水</w:t>
      </w:r>
      <w:r>
        <w:rPr>
          <w:rFonts w:hint="eastAsia"/>
          <w:color w:val="auto"/>
        </w:rPr>
        <w:t>三</w:t>
      </w:r>
      <w:r>
        <w:rPr>
          <w:color w:val="auto"/>
        </w:rPr>
        <w:t>级评价调查评价面积要求</w:t>
      </w:r>
      <w:r>
        <w:rPr>
          <w:rFonts w:hint="eastAsia"/>
          <w:color w:val="auto"/>
        </w:rPr>
        <w:t>≤</w:t>
      </w:r>
      <w:r>
        <w:rPr>
          <w:color w:val="auto"/>
        </w:rPr>
        <w:t>6km</w:t>
      </w:r>
      <w:r>
        <w:rPr>
          <w:color w:val="auto"/>
          <w:vertAlign w:val="superscript"/>
        </w:rPr>
        <w:t>2</w:t>
      </w:r>
      <w:r>
        <w:rPr>
          <w:color w:val="auto"/>
        </w:rPr>
        <w:t>，本</w:t>
      </w:r>
      <w:r>
        <w:rPr>
          <w:rFonts w:hint="eastAsia"/>
          <w:color w:val="auto"/>
        </w:rPr>
        <w:t>次地下水</w:t>
      </w:r>
      <w:r>
        <w:rPr>
          <w:color w:val="auto"/>
        </w:rPr>
        <w:t>评价范围</w:t>
      </w:r>
      <w:r>
        <w:rPr>
          <w:rFonts w:hint="eastAsia"/>
          <w:color w:val="auto"/>
        </w:rPr>
        <w:t>按照地形分水岭为界</w:t>
      </w:r>
      <w:r>
        <w:rPr>
          <w:color w:val="auto"/>
        </w:rPr>
        <w:t>，</w:t>
      </w:r>
      <w:r>
        <w:rPr>
          <w:rFonts w:hint="eastAsia"/>
          <w:color w:val="auto"/>
        </w:rPr>
        <w:t>东面以济广高速为界，从高向低形成一个闭合区域，</w:t>
      </w:r>
      <w:r>
        <w:rPr>
          <w:color w:val="auto"/>
        </w:rPr>
        <w:t>具体见图2.9-</w:t>
      </w:r>
      <w:r>
        <w:rPr>
          <w:rFonts w:hint="eastAsia"/>
          <w:color w:val="auto"/>
        </w:rPr>
        <w:t>2</w:t>
      </w:r>
      <w:r>
        <w:rPr>
          <w:color w:val="auto"/>
        </w:rPr>
        <w:t>。</w:t>
      </w:r>
    </w:p>
    <w:p>
      <w:pPr>
        <w:pStyle w:val="298"/>
        <w:spacing w:before="42" w:after="42"/>
        <w:rPr>
          <w:color w:val="auto"/>
        </w:rPr>
      </w:pPr>
      <w:bookmarkStart w:id="193" w:name="_Toc34234647"/>
      <w:bookmarkStart w:id="194" w:name="_Toc23530"/>
      <w:bookmarkStart w:id="195" w:name="_Toc14946827"/>
      <w:bookmarkStart w:id="196" w:name="_Toc15912119"/>
      <w:bookmarkStart w:id="197" w:name="_Toc24136731"/>
      <w:r>
        <w:rPr>
          <w:color w:val="auto"/>
        </w:rPr>
        <w:t>2.7.5生态环境影响评价范围</w:t>
      </w:r>
      <w:bookmarkEnd w:id="193"/>
      <w:bookmarkEnd w:id="194"/>
      <w:bookmarkEnd w:id="195"/>
      <w:bookmarkEnd w:id="196"/>
      <w:bookmarkEnd w:id="197"/>
    </w:p>
    <w:p>
      <w:pPr>
        <w:spacing w:line="360" w:lineRule="auto"/>
        <w:ind w:firstLine="480"/>
        <w:rPr>
          <w:color w:val="auto"/>
        </w:rPr>
      </w:pPr>
      <w:r>
        <w:rPr>
          <w:color w:val="auto"/>
        </w:rPr>
        <w:t>项目生态环境评价范围为建设项目区域。</w:t>
      </w:r>
    </w:p>
    <w:p>
      <w:pPr>
        <w:pStyle w:val="298"/>
        <w:spacing w:before="42" w:after="42"/>
        <w:rPr>
          <w:color w:val="auto"/>
        </w:rPr>
      </w:pPr>
      <w:bookmarkStart w:id="198" w:name="_Toc34234648"/>
      <w:bookmarkStart w:id="199" w:name="_Toc28493"/>
      <w:bookmarkStart w:id="200" w:name="_Toc15912120"/>
      <w:bookmarkStart w:id="201" w:name="_Toc24136732"/>
      <w:bookmarkStart w:id="202" w:name="_Toc14946828"/>
      <w:r>
        <w:rPr>
          <w:color w:val="auto"/>
        </w:rPr>
        <w:t>2.7.6土壤环境影响评价范围</w:t>
      </w:r>
      <w:bookmarkEnd w:id="198"/>
      <w:bookmarkEnd w:id="199"/>
      <w:bookmarkEnd w:id="200"/>
      <w:bookmarkEnd w:id="201"/>
      <w:bookmarkEnd w:id="202"/>
    </w:p>
    <w:p>
      <w:pPr>
        <w:spacing w:line="360" w:lineRule="auto"/>
        <w:ind w:firstLine="480"/>
        <w:jc w:val="both"/>
        <w:rPr>
          <w:color w:val="auto"/>
        </w:rPr>
      </w:pPr>
      <w:r>
        <w:rPr>
          <w:rFonts w:hint="eastAsia"/>
          <w:color w:val="auto"/>
        </w:rPr>
        <w:t>根据上述分析</w:t>
      </w:r>
      <w:r>
        <w:rPr>
          <w:color w:val="auto"/>
        </w:rPr>
        <w:t>，本项目的</w:t>
      </w:r>
      <w:r>
        <w:rPr>
          <w:rFonts w:hint="eastAsia"/>
          <w:color w:val="auto"/>
        </w:rPr>
        <w:t>土壤环境影响</w:t>
      </w:r>
      <w:r>
        <w:rPr>
          <w:color w:val="auto"/>
        </w:rPr>
        <w:t>评价工作等级为</w:t>
      </w:r>
      <w:r>
        <w:rPr>
          <w:rFonts w:hint="eastAsia"/>
          <w:color w:val="auto"/>
        </w:rPr>
        <w:t>三</w:t>
      </w:r>
      <w:r>
        <w:rPr>
          <w:color w:val="auto"/>
        </w:rPr>
        <w:t>级，属于污染影响型</w:t>
      </w:r>
      <w:r>
        <w:rPr>
          <w:rFonts w:hint="eastAsia"/>
          <w:color w:val="auto"/>
        </w:rPr>
        <w:t>。</w:t>
      </w:r>
      <w:r>
        <w:rPr>
          <w:color w:val="auto"/>
        </w:rPr>
        <w:t>根据《环境影响评价技术导则 土壤环境（试行）》（HJ964-2018）</w:t>
      </w:r>
      <w:r>
        <w:rPr>
          <w:rFonts w:hint="eastAsia"/>
          <w:color w:val="auto"/>
        </w:rPr>
        <w:t>相关要求，确定本项目土壤环境影响评价范围为边界外扩50m，具体见图2.</w:t>
      </w:r>
      <w:r>
        <w:rPr>
          <w:color w:val="auto"/>
        </w:rPr>
        <w:t>9</w:t>
      </w:r>
      <w:r>
        <w:rPr>
          <w:rFonts w:hint="eastAsia"/>
          <w:color w:val="auto"/>
        </w:rPr>
        <w:t>-2。</w:t>
      </w:r>
    </w:p>
    <w:p>
      <w:pPr>
        <w:pStyle w:val="298"/>
        <w:spacing w:before="42" w:after="42"/>
        <w:rPr>
          <w:color w:val="auto"/>
        </w:rPr>
      </w:pPr>
      <w:bookmarkStart w:id="203" w:name="_Toc14946829"/>
      <w:bookmarkStart w:id="204" w:name="_Toc15912121"/>
      <w:bookmarkStart w:id="205" w:name="_Toc24136733"/>
      <w:bookmarkStart w:id="206" w:name="_Toc26604"/>
      <w:bookmarkStart w:id="207" w:name="_Toc34234649"/>
      <w:r>
        <w:rPr>
          <w:color w:val="auto"/>
        </w:rPr>
        <w:t>2.7.7环境风险评价范围</w:t>
      </w:r>
      <w:bookmarkEnd w:id="203"/>
      <w:bookmarkEnd w:id="204"/>
      <w:bookmarkEnd w:id="205"/>
      <w:bookmarkEnd w:id="206"/>
      <w:bookmarkEnd w:id="207"/>
    </w:p>
    <w:p>
      <w:pPr>
        <w:spacing w:line="360" w:lineRule="auto"/>
        <w:ind w:firstLine="480"/>
        <w:rPr>
          <w:color w:val="auto"/>
        </w:rPr>
      </w:pPr>
      <w:r>
        <w:rPr>
          <w:color w:val="auto"/>
        </w:rPr>
        <w:t>根据《建设项目环境风险评价技术导则》（HJ169-2018）中的相关规定，确定本项目的环境风险评价范围为：</w:t>
      </w:r>
    </w:p>
    <w:p>
      <w:pPr>
        <w:spacing w:line="360" w:lineRule="auto"/>
        <w:ind w:firstLine="480"/>
        <w:rPr>
          <w:color w:val="auto"/>
        </w:rPr>
      </w:pPr>
      <w:r>
        <w:rPr>
          <w:color w:val="auto"/>
        </w:rPr>
        <w:t>大气环境风险评价范围为以项目边界向外延伸</w:t>
      </w:r>
      <w:r>
        <w:rPr>
          <w:rFonts w:hint="eastAsia"/>
          <w:color w:val="auto"/>
        </w:rPr>
        <w:t>3</w:t>
      </w:r>
      <w:r>
        <w:rPr>
          <w:color w:val="auto"/>
        </w:rPr>
        <w:t>km范围</w:t>
      </w:r>
      <w:r>
        <w:rPr>
          <w:rFonts w:hint="eastAsia"/>
          <w:color w:val="auto"/>
        </w:rPr>
        <w:t>；</w:t>
      </w:r>
    </w:p>
    <w:p>
      <w:pPr>
        <w:spacing w:line="360" w:lineRule="auto"/>
        <w:ind w:firstLine="480"/>
        <w:rPr>
          <w:color w:val="auto"/>
        </w:rPr>
      </w:pPr>
      <w:r>
        <w:rPr>
          <w:color w:val="auto"/>
        </w:rPr>
        <w:t>地表水环境风险评价范围与地表水水域评价范围一致；</w:t>
      </w:r>
    </w:p>
    <w:p>
      <w:pPr>
        <w:spacing w:line="360" w:lineRule="auto"/>
        <w:ind w:firstLine="480"/>
        <w:rPr>
          <w:color w:val="auto"/>
        </w:rPr>
      </w:pPr>
      <w:r>
        <w:rPr>
          <w:color w:val="auto"/>
        </w:rPr>
        <w:t>地下水环境风险评价范围与地下水评价范围一致。</w:t>
      </w:r>
    </w:p>
    <w:p>
      <w:pPr>
        <w:spacing w:line="360" w:lineRule="auto"/>
        <w:ind w:firstLine="480"/>
        <w:rPr>
          <w:color w:val="auto"/>
        </w:rPr>
      </w:pPr>
      <w:r>
        <w:rPr>
          <w:rFonts w:hint="eastAsia"/>
          <w:color w:val="auto"/>
        </w:rPr>
        <w:t>具体见图2.</w:t>
      </w:r>
      <w:r>
        <w:rPr>
          <w:color w:val="auto"/>
        </w:rPr>
        <w:t>9</w:t>
      </w:r>
      <w:r>
        <w:rPr>
          <w:rFonts w:hint="eastAsia"/>
          <w:color w:val="auto"/>
        </w:rPr>
        <w:t>-</w:t>
      </w:r>
      <w:r>
        <w:rPr>
          <w:color w:val="auto"/>
        </w:rPr>
        <w:t>1</w:t>
      </w:r>
      <w:r>
        <w:rPr>
          <w:rFonts w:hint="eastAsia"/>
          <w:color w:val="auto"/>
        </w:rPr>
        <w:t>。</w:t>
      </w:r>
    </w:p>
    <w:p>
      <w:pPr>
        <w:pStyle w:val="3"/>
        <w:rPr>
          <w:rFonts w:ascii="Times New Roman"/>
          <w:color w:val="auto"/>
        </w:rPr>
      </w:pPr>
      <w:bookmarkStart w:id="208" w:name="_Toc4136"/>
      <w:bookmarkStart w:id="209" w:name="_Toc14943311"/>
      <w:bookmarkStart w:id="210" w:name="_Toc24136734"/>
      <w:bookmarkStart w:id="211" w:name="_Toc23263153"/>
      <w:r>
        <w:rPr>
          <w:rFonts w:ascii="Times New Roman"/>
          <w:color w:val="auto"/>
        </w:rPr>
        <w:t>评价标准</w:t>
      </w:r>
      <w:bookmarkEnd w:id="208"/>
      <w:bookmarkEnd w:id="209"/>
      <w:bookmarkEnd w:id="210"/>
      <w:bookmarkEnd w:id="211"/>
    </w:p>
    <w:p>
      <w:pPr>
        <w:pStyle w:val="298"/>
        <w:spacing w:before="42" w:after="42"/>
        <w:rPr>
          <w:color w:val="auto"/>
        </w:rPr>
      </w:pPr>
      <w:bookmarkStart w:id="212" w:name="_Toc24136735"/>
      <w:bookmarkStart w:id="213" w:name="_Toc8668"/>
      <w:bookmarkStart w:id="214" w:name="_Toc15912123"/>
      <w:bookmarkStart w:id="215" w:name="_Toc14946831"/>
      <w:bookmarkStart w:id="216" w:name="_Toc34234651"/>
      <w:r>
        <w:rPr>
          <w:color w:val="auto"/>
        </w:rPr>
        <w:t>2.8.1环境质量标准</w:t>
      </w:r>
      <w:bookmarkEnd w:id="212"/>
      <w:bookmarkEnd w:id="213"/>
      <w:bookmarkEnd w:id="214"/>
      <w:bookmarkEnd w:id="215"/>
      <w:bookmarkEnd w:id="216"/>
    </w:p>
    <w:p>
      <w:pPr>
        <w:pStyle w:val="301"/>
        <w:rPr>
          <w:color w:val="auto"/>
        </w:rPr>
      </w:pPr>
      <w:r>
        <w:rPr>
          <w:color w:val="auto"/>
        </w:rPr>
        <w:t>2.8.1.1环境空气质量标准</w:t>
      </w:r>
    </w:p>
    <w:p>
      <w:pPr>
        <w:spacing w:line="360" w:lineRule="auto"/>
        <w:ind w:firstLine="480"/>
        <w:jc w:val="both"/>
        <w:rPr>
          <w:color w:val="auto"/>
        </w:rPr>
      </w:pPr>
      <w:r>
        <w:rPr>
          <w:color w:val="auto"/>
        </w:rPr>
        <w:t>根据《梅州市环境保护规划纲要（2007~2020年）》，项目所在区域属于环境空气质量二类功能区，TSP执行《环境空气质量标准》（GB3095-2012）及其2018修改单；H</w:t>
      </w:r>
      <w:r>
        <w:rPr>
          <w:color w:val="auto"/>
          <w:vertAlign w:val="subscript"/>
        </w:rPr>
        <w:t>2</w:t>
      </w:r>
      <w:r>
        <w:rPr>
          <w:color w:val="auto"/>
        </w:rPr>
        <w:t>S、NH</w:t>
      </w:r>
      <w:r>
        <w:rPr>
          <w:color w:val="auto"/>
          <w:vertAlign w:val="subscript"/>
        </w:rPr>
        <w:t>3</w:t>
      </w:r>
      <w:r>
        <w:rPr>
          <w:rFonts w:hint="eastAsia"/>
          <w:color w:val="auto"/>
        </w:rPr>
        <w:t>执行《环境影响评价技术导则大气环境》（HJ2.2-2018）附录D中其它污染物空气质量浓度参考限值</w:t>
      </w:r>
      <w:r>
        <w:rPr>
          <w:color w:val="auto"/>
        </w:rPr>
        <w:t>；</w:t>
      </w:r>
      <w:r>
        <w:rPr>
          <w:rFonts w:hint="eastAsia"/>
          <w:color w:val="auto"/>
        </w:rPr>
        <w:t>甲硫醇、</w:t>
      </w:r>
      <w:r>
        <w:rPr>
          <w:color w:val="auto"/>
        </w:rPr>
        <w:t>臭气浓度参照执行《恶臭污染物排放标准》（GB14554-93）厂界标准值的二级标准。具体见下表所示。</w:t>
      </w:r>
    </w:p>
    <w:p>
      <w:pPr>
        <w:pStyle w:val="5"/>
        <w:ind w:firstLine="0" w:firstLineChars="0"/>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2.8</w:t>
      </w:r>
      <w:r>
        <w:rPr>
          <w:b/>
          <w:color w:val="auto"/>
        </w:rPr>
        <w:fldChar w:fldCharType="end"/>
      </w:r>
      <w:r>
        <w:rPr>
          <w:b/>
          <w:color w:val="auto"/>
        </w:rPr>
        <w:noBreakHyphen/>
      </w:r>
      <w:r>
        <w:rPr>
          <w:b/>
          <w:color w:val="auto"/>
        </w:rPr>
        <w:fldChar w:fldCharType="begin"/>
      </w:r>
      <w:r>
        <w:rPr>
          <w:b/>
          <w:color w:val="auto"/>
        </w:rPr>
        <w:instrText xml:space="preserve"> SEQ 表 \* ARABIC \s 2 </w:instrText>
      </w:r>
      <w:r>
        <w:rPr>
          <w:b/>
          <w:color w:val="auto"/>
        </w:rPr>
        <w:fldChar w:fldCharType="separate"/>
      </w:r>
      <w:r>
        <w:rPr>
          <w:b/>
          <w:color w:val="auto"/>
        </w:rPr>
        <w:t>1</w:t>
      </w:r>
      <w:r>
        <w:rPr>
          <w:b/>
          <w:color w:val="auto"/>
        </w:rPr>
        <w:fldChar w:fldCharType="end"/>
      </w:r>
      <w:r>
        <w:rPr>
          <w:b/>
          <w:color w:val="auto"/>
        </w:rPr>
        <w:t xml:space="preserve"> 环境空气质量评价标准一览表</w:t>
      </w:r>
    </w:p>
    <w:tbl>
      <w:tblPr>
        <w:tblStyle w:val="53"/>
        <w:tblW w:w="918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534"/>
        <w:gridCol w:w="1082"/>
        <w:gridCol w:w="1376"/>
        <w:gridCol w:w="977"/>
        <w:gridCol w:w="880"/>
        <w:gridCol w:w="1176"/>
        <w:gridCol w:w="31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258" w:hRule="atLeast"/>
          <w:tblHeader/>
          <w:jc w:val="center"/>
        </w:trPr>
        <w:tc>
          <w:tcPr>
            <w:tcW w:w="534" w:type="dxa"/>
            <w:vMerge w:val="restart"/>
            <w:vAlign w:val="center"/>
          </w:tcPr>
          <w:p>
            <w:pPr>
              <w:pStyle w:val="344"/>
              <w:adjustRightInd w:val="0"/>
              <w:snapToGrid w:val="0"/>
              <w:rPr>
                <w:snapToGrid w:val="0"/>
                <w:color w:val="auto"/>
                <w:szCs w:val="21"/>
              </w:rPr>
            </w:pPr>
            <w:r>
              <w:rPr>
                <w:rFonts w:hint="eastAsia"/>
                <w:snapToGrid w:val="0"/>
                <w:color w:val="auto"/>
                <w:szCs w:val="21"/>
              </w:rPr>
              <w:t>序号</w:t>
            </w:r>
          </w:p>
        </w:tc>
        <w:tc>
          <w:tcPr>
            <w:tcW w:w="1082" w:type="dxa"/>
            <w:vMerge w:val="restart"/>
            <w:vAlign w:val="center"/>
          </w:tcPr>
          <w:p>
            <w:pPr>
              <w:pStyle w:val="344"/>
              <w:adjustRightInd w:val="0"/>
              <w:snapToGrid w:val="0"/>
              <w:rPr>
                <w:snapToGrid w:val="0"/>
                <w:color w:val="auto"/>
                <w:szCs w:val="21"/>
              </w:rPr>
            </w:pPr>
            <w:r>
              <w:rPr>
                <w:rFonts w:hint="eastAsia"/>
                <w:snapToGrid w:val="0"/>
                <w:color w:val="auto"/>
                <w:szCs w:val="21"/>
              </w:rPr>
              <w:t>指标</w:t>
            </w:r>
          </w:p>
        </w:tc>
        <w:tc>
          <w:tcPr>
            <w:tcW w:w="3233" w:type="dxa"/>
            <w:gridSpan w:val="3"/>
            <w:vAlign w:val="center"/>
          </w:tcPr>
          <w:p>
            <w:pPr>
              <w:pStyle w:val="344"/>
              <w:adjustRightInd w:val="0"/>
              <w:snapToGrid w:val="0"/>
              <w:rPr>
                <w:snapToGrid w:val="0"/>
                <w:color w:val="auto"/>
                <w:szCs w:val="21"/>
              </w:rPr>
            </w:pPr>
            <w:r>
              <w:rPr>
                <w:rFonts w:hint="eastAsia"/>
                <w:snapToGrid w:val="0"/>
                <w:color w:val="auto"/>
                <w:szCs w:val="21"/>
              </w:rPr>
              <w:t>浓度限值</w:t>
            </w:r>
          </w:p>
        </w:tc>
        <w:tc>
          <w:tcPr>
            <w:tcW w:w="1176" w:type="dxa"/>
            <w:vMerge w:val="restart"/>
            <w:vAlign w:val="center"/>
          </w:tcPr>
          <w:p>
            <w:pPr>
              <w:pStyle w:val="344"/>
              <w:adjustRightInd w:val="0"/>
              <w:snapToGrid w:val="0"/>
              <w:rPr>
                <w:snapToGrid w:val="0"/>
                <w:color w:val="auto"/>
                <w:szCs w:val="21"/>
              </w:rPr>
            </w:pPr>
            <w:r>
              <w:rPr>
                <w:rFonts w:hint="eastAsia"/>
                <w:snapToGrid w:val="0"/>
                <w:color w:val="auto"/>
                <w:szCs w:val="21"/>
              </w:rPr>
              <w:t>单位</w:t>
            </w:r>
          </w:p>
        </w:tc>
        <w:tc>
          <w:tcPr>
            <w:tcW w:w="3159" w:type="dxa"/>
            <w:vMerge w:val="restart"/>
            <w:vAlign w:val="center"/>
          </w:tcPr>
          <w:p>
            <w:pPr>
              <w:pStyle w:val="344"/>
              <w:adjustRightInd w:val="0"/>
              <w:snapToGrid w:val="0"/>
              <w:rPr>
                <w:snapToGrid w:val="0"/>
                <w:color w:val="auto"/>
                <w:szCs w:val="21"/>
              </w:rPr>
            </w:pPr>
            <w:r>
              <w:rPr>
                <w:rFonts w:hint="eastAsia"/>
                <w:snapToGrid w:val="0"/>
                <w:color w:val="auto"/>
                <w:szCs w:val="21"/>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258" w:hRule="atLeast"/>
          <w:tblHeader/>
          <w:jc w:val="center"/>
        </w:trPr>
        <w:tc>
          <w:tcPr>
            <w:tcW w:w="534" w:type="dxa"/>
            <w:vMerge w:val="continue"/>
            <w:vAlign w:val="center"/>
          </w:tcPr>
          <w:p>
            <w:pPr>
              <w:widowControl/>
              <w:jc w:val="center"/>
              <w:rPr>
                <w:b/>
                <w:snapToGrid w:val="0"/>
                <w:color w:val="auto"/>
                <w:sz w:val="21"/>
                <w:szCs w:val="21"/>
              </w:rPr>
            </w:pPr>
          </w:p>
        </w:tc>
        <w:tc>
          <w:tcPr>
            <w:tcW w:w="1082" w:type="dxa"/>
            <w:vMerge w:val="continue"/>
            <w:vAlign w:val="center"/>
          </w:tcPr>
          <w:p>
            <w:pPr>
              <w:widowControl/>
              <w:jc w:val="center"/>
              <w:rPr>
                <w:b/>
                <w:snapToGrid w:val="0"/>
                <w:color w:val="auto"/>
                <w:sz w:val="21"/>
                <w:szCs w:val="21"/>
              </w:rPr>
            </w:pPr>
          </w:p>
        </w:tc>
        <w:tc>
          <w:tcPr>
            <w:tcW w:w="1376" w:type="dxa"/>
            <w:vAlign w:val="center"/>
          </w:tcPr>
          <w:p>
            <w:pPr>
              <w:pStyle w:val="344"/>
              <w:adjustRightInd w:val="0"/>
              <w:snapToGrid w:val="0"/>
              <w:rPr>
                <w:snapToGrid w:val="0"/>
                <w:color w:val="auto"/>
                <w:szCs w:val="21"/>
              </w:rPr>
            </w:pPr>
            <w:r>
              <w:rPr>
                <w:rFonts w:hint="eastAsia"/>
                <w:snapToGrid w:val="0"/>
                <w:color w:val="auto"/>
                <w:szCs w:val="21"/>
              </w:rPr>
              <w:t>类型</w:t>
            </w:r>
          </w:p>
        </w:tc>
        <w:tc>
          <w:tcPr>
            <w:tcW w:w="977" w:type="dxa"/>
            <w:vAlign w:val="center"/>
          </w:tcPr>
          <w:p>
            <w:pPr>
              <w:pStyle w:val="344"/>
              <w:adjustRightInd w:val="0"/>
              <w:snapToGrid w:val="0"/>
              <w:rPr>
                <w:snapToGrid w:val="0"/>
                <w:color w:val="auto"/>
                <w:szCs w:val="21"/>
              </w:rPr>
            </w:pPr>
            <w:r>
              <w:rPr>
                <w:rFonts w:hint="eastAsia"/>
                <w:snapToGrid w:val="0"/>
                <w:color w:val="auto"/>
                <w:szCs w:val="21"/>
              </w:rPr>
              <w:t>一级</w:t>
            </w:r>
          </w:p>
        </w:tc>
        <w:tc>
          <w:tcPr>
            <w:tcW w:w="880" w:type="dxa"/>
            <w:vAlign w:val="center"/>
          </w:tcPr>
          <w:p>
            <w:pPr>
              <w:pStyle w:val="344"/>
              <w:adjustRightInd w:val="0"/>
              <w:snapToGrid w:val="0"/>
              <w:rPr>
                <w:snapToGrid w:val="0"/>
                <w:color w:val="auto"/>
                <w:szCs w:val="21"/>
              </w:rPr>
            </w:pPr>
            <w:r>
              <w:rPr>
                <w:rFonts w:hint="eastAsia"/>
                <w:snapToGrid w:val="0"/>
                <w:color w:val="auto"/>
                <w:szCs w:val="21"/>
              </w:rPr>
              <w:t>二级</w:t>
            </w:r>
          </w:p>
        </w:tc>
        <w:tc>
          <w:tcPr>
            <w:tcW w:w="1176" w:type="dxa"/>
            <w:vMerge w:val="continue"/>
            <w:vAlign w:val="center"/>
          </w:tcPr>
          <w:p>
            <w:pPr>
              <w:widowControl/>
              <w:jc w:val="center"/>
              <w:rPr>
                <w:b/>
                <w:snapToGrid w:val="0"/>
                <w:color w:val="auto"/>
                <w:sz w:val="21"/>
                <w:szCs w:val="21"/>
              </w:rPr>
            </w:pPr>
          </w:p>
        </w:tc>
        <w:tc>
          <w:tcPr>
            <w:tcW w:w="3159" w:type="dxa"/>
            <w:vMerge w:val="continue"/>
            <w:vAlign w:val="center"/>
          </w:tcPr>
          <w:p>
            <w:pPr>
              <w:widowControl/>
              <w:jc w:val="center"/>
              <w:rPr>
                <w:b/>
                <w:snapToGrid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283" w:hRule="atLeast"/>
          <w:jc w:val="center"/>
        </w:trPr>
        <w:tc>
          <w:tcPr>
            <w:tcW w:w="534" w:type="dxa"/>
            <w:vMerge w:val="restart"/>
            <w:vAlign w:val="center"/>
          </w:tcPr>
          <w:p>
            <w:pPr>
              <w:pStyle w:val="131"/>
              <w:adjustRightInd w:val="0"/>
              <w:snapToGrid w:val="0"/>
              <w:jc w:val="center"/>
              <w:rPr>
                <w:snapToGrid w:val="0"/>
                <w:color w:val="auto"/>
                <w:sz w:val="21"/>
                <w:szCs w:val="21"/>
              </w:rPr>
            </w:pPr>
            <w:r>
              <w:rPr>
                <w:snapToGrid w:val="0"/>
                <w:color w:val="auto"/>
                <w:sz w:val="21"/>
                <w:szCs w:val="21"/>
              </w:rPr>
              <w:t>1</w:t>
            </w:r>
          </w:p>
        </w:tc>
        <w:tc>
          <w:tcPr>
            <w:tcW w:w="1082" w:type="dxa"/>
            <w:vMerge w:val="restart"/>
            <w:vAlign w:val="center"/>
          </w:tcPr>
          <w:p>
            <w:pPr>
              <w:pStyle w:val="131"/>
              <w:adjustRightInd w:val="0"/>
              <w:snapToGrid w:val="0"/>
              <w:jc w:val="center"/>
              <w:rPr>
                <w:snapToGrid w:val="0"/>
                <w:color w:val="auto"/>
                <w:sz w:val="21"/>
                <w:szCs w:val="21"/>
              </w:rPr>
            </w:pPr>
            <w:r>
              <w:rPr>
                <w:color w:val="auto"/>
                <w:sz w:val="21"/>
                <w:szCs w:val="21"/>
              </w:rPr>
              <w:t>TSP</w:t>
            </w:r>
          </w:p>
        </w:tc>
        <w:tc>
          <w:tcPr>
            <w:tcW w:w="1376" w:type="dxa"/>
            <w:vAlign w:val="center"/>
          </w:tcPr>
          <w:p>
            <w:pPr>
              <w:pStyle w:val="131"/>
              <w:adjustRightInd w:val="0"/>
              <w:snapToGrid w:val="0"/>
              <w:jc w:val="center"/>
              <w:rPr>
                <w:snapToGrid w:val="0"/>
                <w:color w:val="auto"/>
                <w:sz w:val="21"/>
                <w:szCs w:val="21"/>
              </w:rPr>
            </w:pPr>
            <w:r>
              <w:rPr>
                <w:color w:val="auto"/>
                <w:sz w:val="21"/>
                <w:szCs w:val="21"/>
              </w:rPr>
              <w:t>年平均</w:t>
            </w:r>
          </w:p>
        </w:tc>
        <w:tc>
          <w:tcPr>
            <w:tcW w:w="977" w:type="dxa"/>
            <w:vAlign w:val="bottom"/>
          </w:tcPr>
          <w:p>
            <w:pPr>
              <w:pStyle w:val="131"/>
              <w:adjustRightInd w:val="0"/>
              <w:snapToGrid w:val="0"/>
              <w:jc w:val="center"/>
              <w:rPr>
                <w:snapToGrid w:val="0"/>
                <w:color w:val="auto"/>
                <w:sz w:val="21"/>
                <w:szCs w:val="21"/>
              </w:rPr>
            </w:pPr>
            <w:r>
              <w:rPr>
                <w:rFonts w:hint="eastAsia"/>
                <w:color w:val="auto"/>
                <w:sz w:val="21"/>
                <w:szCs w:val="21"/>
              </w:rPr>
              <w:t>80</w:t>
            </w:r>
          </w:p>
        </w:tc>
        <w:tc>
          <w:tcPr>
            <w:tcW w:w="880" w:type="dxa"/>
            <w:vAlign w:val="center"/>
          </w:tcPr>
          <w:p>
            <w:pPr>
              <w:pStyle w:val="131"/>
              <w:adjustRightInd w:val="0"/>
              <w:snapToGrid w:val="0"/>
              <w:jc w:val="center"/>
              <w:rPr>
                <w:snapToGrid w:val="0"/>
                <w:color w:val="auto"/>
                <w:sz w:val="21"/>
                <w:szCs w:val="21"/>
              </w:rPr>
            </w:pPr>
            <w:r>
              <w:rPr>
                <w:rFonts w:hint="eastAsia" w:eastAsiaTheme="minorEastAsia"/>
                <w:snapToGrid w:val="0"/>
                <w:color w:val="auto"/>
                <w:sz w:val="21"/>
                <w:szCs w:val="21"/>
                <w:lang w:eastAsia="zh-CN"/>
              </w:rPr>
              <w:t>200</w:t>
            </w:r>
          </w:p>
        </w:tc>
        <w:tc>
          <w:tcPr>
            <w:tcW w:w="1176" w:type="dxa"/>
            <w:vMerge w:val="restart"/>
            <w:vAlign w:val="center"/>
          </w:tcPr>
          <w:p>
            <w:pPr>
              <w:pStyle w:val="131"/>
              <w:adjustRightInd w:val="0"/>
              <w:snapToGrid w:val="0"/>
              <w:jc w:val="center"/>
              <w:rPr>
                <w:snapToGrid w:val="0"/>
                <w:color w:val="auto"/>
                <w:sz w:val="21"/>
                <w:szCs w:val="21"/>
              </w:rPr>
            </w:pPr>
            <w:r>
              <w:rPr>
                <w:snapToGrid w:val="0"/>
                <w:color w:val="auto"/>
                <w:sz w:val="21"/>
                <w:szCs w:val="21"/>
              </w:rPr>
              <w:t>μg/m</w:t>
            </w:r>
            <w:r>
              <w:rPr>
                <w:snapToGrid w:val="0"/>
                <w:color w:val="auto"/>
                <w:sz w:val="21"/>
                <w:szCs w:val="21"/>
                <w:vertAlign w:val="superscript"/>
              </w:rPr>
              <w:t>3</w:t>
            </w:r>
          </w:p>
        </w:tc>
        <w:tc>
          <w:tcPr>
            <w:tcW w:w="3159" w:type="dxa"/>
            <w:vMerge w:val="restart"/>
            <w:vAlign w:val="center"/>
          </w:tcPr>
          <w:p>
            <w:pPr>
              <w:pStyle w:val="131"/>
              <w:adjustRightInd w:val="0"/>
              <w:snapToGrid w:val="0"/>
              <w:jc w:val="center"/>
              <w:rPr>
                <w:snapToGrid w:val="0"/>
                <w:color w:val="auto"/>
                <w:sz w:val="21"/>
                <w:szCs w:val="21"/>
              </w:rPr>
            </w:pPr>
            <w:r>
              <w:rPr>
                <w:rFonts w:hint="eastAsia" w:ascii="宋体" w:hAnsi="宋体" w:eastAsia="宋体" w:cs="宋体"/>
                <w:snapToGrid w:val="0"/>
                <w:color w:val="auto"/>
                <w:sz w:val="21"/>
                <w:szCs w:val="21"/>
              </w:rPr>
              <w:t>《环境空气质量标准》（</w:t>
            </w:r>
            <w:r>
              <w:rPr>
                <w:snapToGrid w:val="0"/>
                <w:color w:val="auto"/>
                <w:sz w:val="21"/>
                <w:szCs w:val="21"/>
              </w:rPr>
              <w:t>GB3095-2012</w:t>
            </w:r>
            <w:r>
              <w:rPr>
                <w:rFonts w:hint="eastAsia" w:ascii="宋体" w:hAnsi="宋体" w:eastAsia="宋体" w:cs="宋体"/>
                <w:snapToGrid w:val="0"/>
                <w:color w:val="auto"/>
                <w:sz w:val="21"/>
                <w:szCs w:val="21"/>
                <w:lang w:eastAsia="zh-CN"/>
              </w:rPr>
              <w:t>）及其</w:t>
            </w:r>
            <w:r>
              <w:rPr>
                <w:rFonts w:eastAsia="宋体"/>
                <w:snapToGrid w:val="0"/>
                <w:color w:val="auto"/>
                <w:sz w:val="21"/>
                <w:szCs w:val="21"/>
                <w:lang w:eastAsia="zh-CN"/>
              </w:rPr>
              <w:t>2018</w:t>
            </w:r>
            <w:r>
              <w:rPr>
                <w:rFonts w:hint="eastAsia" w:ascii="宋体" w:hAnsi="宋体" w:eastAsia="宋体" w:cs="宋体"/>
                <w:snapToGrid w:val="0"/>
                <w:color w:val="auto"/>
                <w:sz w:val="21"/>
                <w:szCs w:val="21"/>
                <w:lang w:eastAsia="zh-CN"/>
              </w:rPr>
              <w:t>年修改单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283" w:hRule="atLeast"/>
          <w:jc w:val="center"/>
        </w:trPr>
        <w:tc>
          <w:tcPr>
            <w:tcW w:w="534" w:type="dxa"/>
            <w:vMerge w:val="continue"/>
            <w:vAlign w:val="center"/>
          </w:tcPr>
          <w:p>
            <w:pPr>
              <w:widowControl/>
              <w:jc w:val="center"/>
              <w:rPr>
                <w:snapToGrid w:val="0"/>
                <w:color w:val="auto"/>
                <w:sz w:val="21"/>
                <w:szCs w:val="21"/>
              </w:rPr>
            </w:pPr>
          </w:p>
        </w:tc>
        <w:tc>
          <w:tcPr>
            <w:tcW w:w="1082" w:type="dxa"/>
            <w:vMerge w:val="continue"/>
            <w:vAlign w:val="center"/>
          </w:tcPr>
          <w:p>
            <w:pPr>
              <w:widowControl/>
              <w:jc w:val="center"/>
              <w:rPr>
                <w:snapToGrid w:val="0"/>
                <w:color w:val="auto"/>
                <w:sz w:val="21"/>
                <w:szCs w:val="21"/>
              </w:rPr>
            </w:pPr>
          </w:p>
        </w:tc>
        <w:tc>
          <w:tcPr>
            <w:tcW w:w="1376" w:type="dxa"/>
            <w:vAlign w:val="center"/>
          </w:tcPr>
          <w:p>
            <w:pPr>
              <w:pStyle w:val="131"/>
              <w:adjustRightInd w:val="0"/>
              <w:snapToGrid w:val="0"/>
              <w:jc w:val="center"/>
              <w:rPr>
                <w:snapToGrid w:val="0"/>
                <w:color w:val="auto"/>
                <w:sz w:val="21"/>
                <w:szCs w:val="21"/>
              </w:rPr>
            </w:pPr>
            <w:r>
              <w:rPr>
                <w:color w:val="auto"/>
                <w:sz w:val="21"/>
                <w:szCs w:val="21"/>
              </w:rPr>
              <w:t>24小时平均</w:t>
            </w:r>
          </w:p>
        </w:tc>
        <w:tc>
          <w:tcPr>
            <w:tcW w:w="977" w:type="dxa"/>
            <w:vAlign w:val="bottom"/>
          </w:tcPr>
          <w:p>
            <w:pPr>
              <w:pStyle w:val="131"/>
              <w:adjustRightInd w:val="0"/>
              <w:snapToGrid w:val="0"/>
              <w:jc w:val="center"/>
              <w:rPr>
                <w:snapToGrid w:val="0"/>
                <w:color w:val="auto"/>
                <w:sz w:val="21"/>
                <w:szCs w:val="21"/>
              </w:rPr>
            </w:pPr>
            <w:r>
              <w:rPr>
                <w:rFonts w:hint="eastAsia"/>
                <w:color w:val="auto"/>
                <w:sz w:val="21"/>
                <w:szCs w:val="21"/>
              </w:rPr>
              <w:t>120</w:t>
            </w:r>
          </w:p>
        </w:tc>
        <w:tc>
          <w:tcPr>
            <w:tcW w:w="880" w:type="dxa"/>
            <w:vAlign w:val="center"/>
          </w:tcPr>
          <w:p>
            <w:pPr>
              <w:pStyle w:val="131"/>
              <w:adjustRightInd w:val="0"/>
              <w:snapToGrid w:val="0"/>
              <w:jc w:val="center"/>
              <w:rPr>
                <w:snapToGrid w:val="0"/>
                <w:color w:val="auto"/>
                <w:sz w:val="21"/>
                <w:szCs w:val="21"/>
              </w:rPr>
            </w:pPr>
            <w:r>
              <w:rPr>
                <w:rFonts w:hint="eastAsia" w:eastAsiaTheme="minorEastAsia"/>
                <w:snapToGrid w:val="0"/>
                <w:color w:val="auto"/>
                <w:sz w:val="21"/>
                <w:szCs w:val="21"/>
                <w:lang w:eastAsia="zh-CN"/>
              </w:rPr>
              <w:t>300</w:t>
            </w:r>
          </w:p>
        </w:tc>
        <w:tc>
          <w:tcPr>
            <w:tcW w:w="1176" w:type="dxa"/>
            <w:vMerge w:val="continue"/>
            <w:vAlign w:val="center"/>
          </w:tcPr>
          <w:p>
            <w:pPr>
              <w:widowControl/>
              <w:jc w:val="center"/>
              <w:rPr>
                <w:snapToGrid w:val="0"/>
                <w:color w:val="auto"/>
                <w:sz w:val="21"/>
                <w:szCs w:val="21"/>
              </w:rPr>
            </w:pPr>
          </w:p>
        </w:tc>
        <w:tc>
          <w:tcPr>
            <w:tcW w:w="3159" w:type="dxa"/>
            <w:vMerge w:val="continue"/>
            <w:vAlign w:val="center"/>
          </w:tcPr>
          <w:p>
            <w:pPr>
              <w:widowControl/>
              <w:jc w:val="center"/>
              <w:rPr>
                <w:snapToGrid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258" w:hRule="atLeast"/>
          <w:jc w:val="center"/>
        </w:trPr>
        <w:tc>
          <w:tcPr>
            <w:tcW w:w="534" w:type="dxa"/>
            <w:vAlign w:val="center"/>
          </w:tcPr>
          <w:p>
            <w:pPr>
              <w:pStyle w:val="131"/>
              <w:adjustRightInd w:val="0"/>
              <w:snapToGrid w:val="0"/>
              <w:jc w:val="center"/>
              <w:rPr>
                <w:rFonts w:eastAsiaTheme="minorEastAsia"/>
                <w:snapToGrid w:val="0"/>
                <w:color w:val="auto"/>
                <w:sz w:val="21"/>
                <w:szCs w:val="21"/>
                <w:lang w:eastAsia="zh-CN"/>
              </w:rPr>
            </w:pPr>
            <w:r>
              <w:rPr>
                <w:rFonts w:eastAsiaTheme="minorEastAsia"/>
                <w:snapToGrid w:val="0"/>
                <w:color w:val="auto"/>
                <w:sz w:val="21"/>
                <w:szCs w:val="21"/>
                <w:lang w:eastAsia="zh-CN"/>
              </w:rPr>
              <w:t>2</w:t>
            </w:r>
          </w:p>
        </w:tc>
        <w:tc>
          <w:tcPr>
            <w:tcW w:w="1082" w:type="dxa"/>
            <w:vAlign w:val="center"/>
          </w:tcPr>
          <w:p>
            <w:pPr>
              <w:pStyle w:val="131"/>
              <w:adjustRightInd w:val="0"/>
              <w:snapToGrid w:val="0"/>
              <w:jc w:val="center"/>
              <w:rPr>
                <w:snapToGrid w:val="0"/>
                <w:color w:val="auto"/>
                <w:sz w:val="21"/>
                <w:szCs w:val="21"/>
              </w:rPr>
            </w:pPr>
            <w:r>
              <w:rPr>
                <w:snapToGrid w:val="0"/>
                <w:color w:val="auto"/>
                <w:sz w:val="21"/>
                <w:szCs w:val="21"/>
              </w:rPr>
              <w:t>NH</w:t>
            </w:r>
            <w:r>
              <w:rPr>
                <w:snapToGrid w:val="0"/>
                <w:color w:val="auto"/>
                <w:sz w:val="21"/>
                <w:szCs w:val="21"/>
                <w:vertAlign w:val="subscript"/>
              </w:rPr>
              <w:t>3</w:t>
            </w:r>
          </w:p>
        </w:tc>
        <w:tc>
          <w:tcPr>
            <w:tcW w:w="1376" w:type="dxa"/>
            <w:vAlign w:val="center"/>
          </w:tcPr>
          <w:p>
            <w:pPr>
              <w:pStyle w:val="131"/>
              <w:adjustRightInd w:val="0"/>
              <w:snapToGrid w:val="0"/>
              <w:jc w:val="center"/>
              <w:rPr>
                <w:snapToGrid w:val="0"/>
                <w:color w:val="auto"/>
                <w:sz w:val="21"/>
                <w:szCs w:val="21"/>
              </w:rPr>
            </w:pPr>
            <w:r>
              <w:rPr>
                <w:snapToGrid w:val="0"/>
                <w:color w:val="auto"/>
                <w:sz w:val="21"/>
                <w:szCs w:val="21"/>
              </w:rPr>
              <w:t>1</w:t>
            </w:r>
            <w:r>
              <w:rPr>
                <w:rFonts w:hint="eastAsia" w:ascii="宋体" w:hAnsi="宋体" w:eastAsia="宋体" w:cs="宋体"/>
                <w:snapToGrid w:val="0"/>
                <w:color w:val="auto"/>
                <w:sz w:val="21"/>
                <w:szCs w:val="21"/>
              </w:rPr>
              <w:t>小时平均</w:t>
            </w:r>
          </w:p>
        </w:tc>
        <w:tc>
          <w:tcPr>
            <w:tcW w:w="1857" w:type="dxa"/>
            <w:gridSpan w:val="2"/>
            <w:vAlign w:val="center"/>
          </w:tcPr>
          <w:p>
            <w:pPr>
              <w:pStyle w:val="131"/>
              <w:adjustRightInd w:val="0"/>
              <w:snapToGrid w:val="0"/>
              <w:jc w:val="center"/>
              <w:rPr>
                <w:snapToGrid w:val="0"/>
                <w:color w:val="auto"/>
                <w:sz w:val="21"/>
                <w:szCs w:val="21"/>
              </w:rPr>
            </w:pPr>
            <w:r>
              <w:rPr>
                <w:snapToGrid w:val="0"/>
                <w:color w:val="auto"/>
                <w:sz w:val="21"/>
                <w:szCs w:val="21"/>
              </w:rPr>
              <w:t>200</w:t>
            </w:r>
          </w:p>
        </w:tc>
        <w:tc>
          <w:tcPr>
            <w:tcW w:w="1176" w:type="dxa"/>
            <w:vMerge w:val="continue"/>
            <w:vAlign w:val="center"/>
          </w:tcPr>
          <w:p>
            <w:pPr>
              <w:widowControl/>
              <w:jc w:val="center"/>
              <w:rPr>
                <w:snapToGrid w:val="0"/>
                <w:color w:val="auto"/>
                <w:sz w:val="21"/>
                <w:szCs w:val="21"/>
              </w:rPr>
            </w:pPr>
          </w:p>
        </w:tc>
        <w:tc>
          <w:tcPr>
            <w:tcW w:w="3159" w:type="dxa"/>
            <w:vMerge w:val="restart"/>
            <w:vAlign w:val="center"/>
          </w:tcPr>
          <w:p>
            <w:pPr>
              <w:widowControl/>
              <w:jc w:val="center"/>
              <w:rPr>
                <w:snapToGrid w:val="0"/>
                <w:color w:val="auto"/>
                <w:sz w:val="21"/>
                <w:szCs w:val="21"/>
              </w:rPr>
            </w:pPr>
            <w:r>
              <w:rPr>
                <w:rFonts w:hint="eastAsia"/>
                <w:snapToGrid w:val="0"/>
                <w:color w:val="auto"/>
                <w:sz w:val="21"/>
                <w:szCs w:val="21"/>
              </w:rPr>
              <w:t>《环境影响评价技术导则大气环境》（HJ2.2-2018）附录D中其它污染物空气质量浓度参考限值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258" w:hRule="atLeast"/>
          <w:jc w:val="center"/>
        </w:trPr>
        <w:tc>
          <w:tcPr>
            <w:tcW w:w="534" w:type="dxa"/>
            <w:vAlign w:val="center"/>
          </w:tcPr>
          <w:p>
            <w:pPr>
              <w:pStyle w:val="131"/>
              <w:adjustRightInd w:val="0"/>
              <w:snapToGrid w:val="0"/>
              <w:jc w:val="center"/>
              <w:rPr>
                <w:rFonts w:eastAsiaTheme="minorEastAsia"/>
                <w:snapToGrid w:val="0"/>
                <w:color w:val="auto"/>
                <w:sz w:val="21"/>
                <w:szCs w:val="21"/>
                <w:lang w:eastAsia="zh-CN"/>
              </w:rPr>
            </w:pPr>
            <w:r>
              <w:rPr>
                <w:rFonts w:eastAsiaTheme="minorEastAsia"/>
                <w:snapToGrid w:val="0"/>
                <w:color w:val="auto"/>
                <w:sz w:val="21"/>
                <w:szCs w:val="21"/>
                <w:lang w:eastAsia="zh-CN"/>
              </w:rPr>
              <w:t>3</w:t>
            </w:r>
          </w:p>
        </w:tc>
        <w:tc>
          <w:tcPr>
            <w:tcW w:w="1082" w:type="dxa"/>
            <w:vAlign w:val="center"/>
          </w:tcPr>
          <w:p>
            <w:pPr>
              <w:pStyle w:val="131"/>
              <w:adjustRightInd w:val="0"/>
              <w:snapToGrid w:val="0"/>
              <w:jc w:val="center"/>
              <w:rPr>
                <w:snapToGrid w:val="0"/>
                <w:color w:val="auto"/>
                <w:sz w:val="21"/>
                <w:szCs w:val="21"/>
              </w:rPr>
            </w:pPr>
            <w:r>
              <w:rPr>
                <w:snapToGrid w:val="0"/>
                <w:color w:val="auto"/>
                <w:sz w:val="21"/>
                <w:szCs w:val="21"/>
              </w:rPr>
              <w:t>H</w:t>
            </w:r>
            <w:r>
              <w:rPr>
                <w:snapToGrid w:val="0"/>
                <w:color w:val="auto"/>
                <w:sz w:val="21"/>
                <w:szCs w:val="21"/>
                <w:vertAlign w:val="subscript"/>
              </w:rPr>
              <w:t>2</w:t>
            </w:r>
            <w:r>
              <w:rPr>
                <w:snapToGrid w:val="0"/>
                <w:color w:val="auto"/>
                <w:sz w:val="21"/>
                <w:szCs w:val="21"/>
              </w:rPr>
              <w:t>S</w:t>
            </w:r>
          </w:p>
        </w:tc>
        <w:tc>
          <w:tcPr>
            <w:tcW w:w="1376" w:type="dxa"/>
            <w:vAlign w:val="center"/>
          </w:tcPr>
          <w:p>
            <w:pPr>
              <w:pStyle w:val="131"/>
              <w:adjustRightInd w:val="0"/>
              <w:snapToGrid w:val="0"/>
              <w:jc w:val="center"/>
              <w:rPr>
                <w:snapToGrid w:val="0"/>
                <w:color w:val="auto"/>
                <w:sz w:val="21"/>
                <w:szCs w:val="21"/>
              </w:rPr>
            </w:pPr>
            <w:r>
              <w:rPr>
                <w:snapToGrid w:val="0"/>
                <w:color w:val="auto"/>
                <w:sz w:val="21"/>
                <w:szCs w:val="21"/>
              </w:rPr>
              <w:t>1</w:t>
            </w:r>
            <w:r>
              <w:rPr>
                <w:rFonts w:hint="eastAsia" w:ascii="宋体" w:hAnsi="宋体" w:eastAsia="宋体" w:cs="宋体"/>
                <w:snapToGrid w:val="0"/>
                <w:color w:val="auto"/>
                <w:sz w:val="21"/>
                <w:szCs w:val="21"/>
              </w:rPr>
              <w:t>小时平均</w:t>
            </w:r>
          </w:p>
        </w:tc>
        <w:tc>
          <w:tcPr>
            <w:tcW w:w="1857" w:type="dxa"/>
            <w:gridSpan w:val="2"/>
            <w:vAlign w:val="center"/>
          </w:tcPr>
          <w:p>
            <w:pPr>
              <w:pStyle w:val="131"/>
              <w:adjustRightInd w:val="0"/>
              <w:snapToGrid w:val="0"/>
              <w:jc w:val="center"/>
              <w:rPr>
                <w:snapToGrid w:val="0"/>
                <w:color w:val="auto"/>
                <w:sz w:val="21"/>
                <w:szCs w:val="21"/>
              </w:rPr>
            </w:pPr>
            <w:r>
              <w:rPr>
                <w:snapToGrid w:val="0"/>
                <w:color w:val="auto"/>
                <w:sz w:val="21"/>
                <w:szCs w:val="21"/>
              </w:rPr>
              <w:t>10</w:t>
            </w:r>
          </w:p>
        </w:tc>
        <w:tc>
          <w:tcPr>
            <w:tcW w:w="1176" w:type="dxa"/>
            <w:vMerge w:val="continue"/>
            <w:vAlign w:val="center"/>
          </w:tcPr>
          <w:p>
            <w:pPr>
              <w:widowControl/>
              <w:jc w:val="center"/>
              <w:rPr>
                <w:snapToGrid w:val="0"/>
                <w:color w:val="auto"/>
                <w:sz w:val="21"/>
                <w:szCs w:val="21"/>
              </w:rPr>
            </w:pPr>
          </w:p>
        </w:tc>
        <w:tc>
          <w:tcPr>
            <w:tcW w:w="3159" w:type="dxa"/>
            <w:vMerge w:val="continue"/>
            <w:vAlign w:val="center"/>
          </w:tcPr>
          <w:p>
            <w:pPr>
              <w:widowControl/>
              <w:jc w:val="center"/>
              <w:rPr>
                <w:snapToGrid w:val="0"/>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292" w:hRule="atLeast"/>
          <w:jc w:val="center"/>
        </w:trPr>
        <w:tc>
          <w:tcPr>
            <w:tcW w:w="534" w:type="dxa"/>
            <w:vAlign w:val="center"/>
          </w:tcPr>
          <w:p>
            <w:pPr>
              <w:pStyle w:val="131"/>
              <w:adjustRightInd w:val="0"/>
              <w:snapToGrid w:val="0"/>
              <w:jc w:val="center"/>
              <w:rPr>
                <w:rFonts w:eastAsiaTheme="minorEastAsia"/>
                <w:snapToGrid w:val="0"/>
                <w:color w:val="auto"/>
                <w:sz w:val="21"/>
                <w:szCs w:val="21"/>
                <w:lang w:eastAsia="zh-CN"/>
              </w:rPr>
            </w:pPr>
            <w:r>
              <w:rPr>
                <w:rFonts w:eastAsiaTheme="minorEastAsia"/>
                <w:snapToGrid w:val="0"/>
                <w:color w:val="auto"/>
                <w:sz w:val="21"/>
                <w:szCs w:val="21"/>
                <w:lang w:eastAsia="zh-CN"/>
              </w:rPr>
              <w:t>4</w:t>
            </w:r>
          </w:p>
        </w:tc>
        <w:tc>
          <w:tcPr>
            <w:tcW w:w="1082" w:type="dxa"/>
            <w:vAlign w:val="center"/>
          </w:tcPr>
          <w:p>
            <w:pPr>
              <w:pStyle w:val="131"/>
              <w:adjustRightInd w:val="0"/>
              <w:snapToGrid w:val="0"/>
              <w:jc w:val="center"/>
              <w:rPr>
                <w:snapToGrid w:val="0"/>
                <w:color w:val="auto"/>
                <w:sz w:val="21"/>
                <w:szCs w:val="21"/>
              </w:rPr>
            </w:pPr>
            <w:r>
              <w:rPr>
                <w:rFonts w:hint="eastAsia" w:ascii="宋体" w:hAnsi="宋体" w:eastAsia="宋体" w:cs="宋体"/>
                <w:color w:val="auto"/>
                <w:sz w:val="21"/>
                <w:szCs w:val="21"/>
              </w:rPr>
              <w:t>臭气浓度</w:t>
            </w:r>
          </w:p>
        </w:tc>
        <w:tc>
          <w:tcPr>
            <w:tcW w:w="3233" w:type="dxa"/>
            <w:gridSpan w:val="3"/>
            <w:vAlign w:val="center"/>
          </w:tcPr>
          <w:p>
            <w:pPr>
              <w:jc w:val="center"/>
              <w:rPr>
                <w:color w:val="auto"/>
                <w:sz w:val="21"/>
                <w:szCs w:val="21"/>
              </w:rPr>
            </w:pPr>
            <w:r>
              <w:rPr>
                <w:color w:val="auto"/>
                <w:sz w:val="21"/>
                <w:szCs w:val="21"/>
              </w:rPr>
              <w:t>20</w:t>
            </w:r>
          </w:p>
        </w:tc>
        <w:tc>
          <w:tcPr>
            <w:tcW w:w="1176" w:type="dxa"/>
            <w:vAlign w:val="center"/>
          </w:tcPr>
          <w:p>
            <w:pPr>
              <w:jc w:val="center"/>
              <w:rPr>
                <w:color w:val="auto"/>
                <w:sz w:val="21"/>
                <w:szCs w:val="21"/>
              </w:rPr>
            </w:pPr>
            <w:r>
              <w:rPr>
                <w:color w:val="auto"/>
                <w:sz w:val="21"/>
                <w:szCs w:val="21"/>
              </w:rPr>
              <w:t>（无量纲）</w:t>
            </w:r>
          </w:p>
        </w:tc>
        <w:tc>
          <w:tcPr>
            <w:tcW w:w="3159" w:type="dxa"/>
            <w:vMerge w:val="restart"/>
            <w:vAlign w:val="center"/>
          </w:tcPr>
          <w:p>
            <w:pPr>
              <w:jc w:val="center"/>
              <w:rPr>
                <w:color w:val="auto"/>
                <w:sz w:val="21"/>
                <w:szCs w:val="21"/>
              </w:rPr>
            </w:pPr>
            <w:r>
              <w:rPr>
                <w:color w:val="auto"/>
                <w:sz w:val="21"/>
                <w:szCs w:val="21"/>
              </w:rPr>
              <w:t>《恶臭污染物排放标准》（GB14554-93）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Ex>
        <w:trPr>
          <w:trHeight w:val="292" w:hRule="atLeast"/>
          <w:jc w:val="center"/>
        </w:trPr>
        <w:tc>
          <w:tcPr>
            <w:tcW w:w="534" w:type="dxa"/>
            <w:vAlign w:val="center"/>
          </w:tcPr>
          <w:p>
            <w:pPr>
              <w:pStyle w:val="131"/>
              <w:adjustRightInd w:val="0"/>
              <w:snapToGrid w:val="0"/>
              <w:jc w:val="center"/>
              <w:rPr>
                <w:rFonts w:eastAsiaTheme="minorEastAsia"/>
                <w:snapToGrid w:val="0"/>
                <w:color w:val="auto"/>
                <w:sz w:val="21"/>
                <w:szCs w:val="21"/>
                <w:lang w:eastAsia="zh-CN"/>
              </w:rPr>
            </w:pPr>
            <w:r>
              <w:rPr>
                <w:rFonts w:eastAsiaTheme="minorEastAsia"/>
                <w:snapToGrid w:val="0"/>
                <w:color w:val="auto"/>
                <w:sz w:val="21"/>
                <w:szCs w:val="21"/>
                <w:lang w:eastAsia="zh-CN"/>
              </w:rPr>
              <w:t>5</w:t>
            </w:r>
          </w:p>
        </w:tc>
        <w:tc>
          <w:tcPr>
            <w:tcW w:w="1082" w:type="dxa"/>
            <w:vAlign w:val="center"/>
          </w:tcPr>
          <w:p>
            <w:pPr>
              <w:pStyle w:val="131"/>
              <w:adjustRightInd w:val="0"/>
              <w:snapToGrid w:val="0"/>
              <w:jc w:val="center"/>
              <w:rPr>
                <w:rFonts w:ascii="宋体" w:hAnsi="宋体" w:eastAsia="宋体" w:cs="宋体"/>
                <w:color w:val="auto"/>
                <w:sz w:val="21"/>
                <w:szCs w:val="21"/>
              </w:rPr>
            </w:pPr>
            <w:r>
              <w:rPr>
                <w:rFonts w:hint="eastAsia" w:ascii="宋体" w:hAnsi="宋体" w:eastAsia="宋体" w:cs="宋体"/>
                <w:color w:val="auto"/>
                <w:sz w:val="21"/>
                <w:szCs w:val="21"/>
                <w:lang w:eastAsia="zh-CN"/>
              </w:rPr>
              <w:t>甲硫醇</w:t>
            </w:r>
          </w:p>
        </w:tc>
        <w:tc>
          <w:tcPr>
            <w:tcW w:w="1376" w:type="dxa"/>
            <w:vAlign w:val="center"/>
          </w:tcPr>
          <w:p>
            <w:pPr>
              <w:jc w:val="center"/>
              <w:rPr>
                <w:color w:val="auto"/>
                <w:sz w:val="21"/>
                <w:szCs w:val="21"/>
              </w:rPr>
            </w:pPr>
            <w:r>
              <w:rPr>
                <w:rFonts w:hint="eastAsia"/>
                <w:color w:val="auto"/>
                <w:sz w:val="21"/>
                <w:szCs w:val="21"/>
              </w:rPr>
              <w:t>厂界</w:t>
            </w:r>
          </w:p>
        </w:tc>
        <w:tc>
          <w:tcPr>
            <w:tcW w:w="977" w:type="dxa"/>
            <w:vAlign w:val="center"/>
          </w:tcPr>
          <w:p>
            <w:pPr>
              <w:jc w:val="center"/>
              <w:rPr>
                <w:color w:val="auto"/>
                <w:sz w:val="21"/>
                <w:szCs w:val="21"/>
              </w:rPr>
            </w:pPr>
            <w:r>
              <w:rPr>
                <w:rFonts w:hint="eastAsia"/>
                <w:color w:val="auto"/>
                <w:sz w:val="21"/>
                <w:szCs w:val="21"/>
              </w:rPr>
              <w:t>0</w:t>
            </w:r>
            <w:r>
              <w:rPr>
                <w:color w:val="auto"/>
                <w:sz w:val="21"/>
                <w:szCs w:val="21"/>
              </w:rPr>
              <w:t>.004</w:t>
            </w:r>
          </w:p>
        </w:tc>
        <w:tc>
          <w:tcPr>
            <w:tcW w:w="880" w:type="dxa"/>
            <w:vAlign w:val="center"/>
          </w:tcPr>
          <w:p>
            <w:pPr>
              <w:jc w:val="center"/>
              <w:rPr>
                <w:color w:val="auto"/>
                <w:sz w:val="21"/>
                <w:szCs w:val="21"/>
              </w:rPr>
            </w:pPr>
            <w:r>
              <w:rPr>
                <w:rFonts w:hint="eastAsia"/>
                <w:color w:val="auto"/>
                <w:sz w:val="21"/>
              </w:rPr>
              <w:t>0</w:t>
            </w:r>
            <w:r>
              <w:rPr>
                <w:color w:val="auto"/>
                <w:sz w:val="21"/>
              </w:rPr>
              <w:t>.007</w:t>
            </w:r>
          </w:p>
        </w:tc>
        <w:tc>
          <w:tcPr>
            <w:tcW w:w="1176" w:type="dxa"/>
            <w:vAlign w:val="center"/>
          </w:tcPr>
          <w:p>
            <w:pPr>
              <w:jc w:val="center"/>
              <w:rPr>
                <w:color w:val="auto"/>
                <w:sz w:val="21"/>
                <w:szCs w:val="21"/>
              </w:rPr>
            </w:pPr>
            <w:r>
              <w:rPr>
                <w:snapToGrid w:val="0"/>
                <w:color w:val="auto"/>
                <w:sz w:val="21"/>
                <w:szCs w:val="21"/>
              </w:rPr>
              <w:t>mg/m</w:t>
            </w:r>
            <w:r>
              <w:rPr>
                <w:snapToGrid w:val="0"/>
                <w:color w:val="auto"/>
                <w:sz w:val="21"/>
                <w:szCs w:val="21"/>
                <w:vertAlign w:val="superscript"/>
              </w:rPr>
              <w:t>3</w:t>
            </w:r>
          </w:p>
        </w:tc>
        <w:tc>
          <w:tcPr>
            <w:tcW w:w="3159" w:type="dxa"/>
            <w:vMerge w:val="continue"/>
            <w:vAlign w:val="center"/>
          </w:tcPr>
          <w:p>
            <w:pPr>
              <w:jc w:val="center"/>
              <w:rPr>
                <w:color w:val="auto"/>
                <w:sz w:val="21"/>
                <w:szCs w:val="21"/>
              </w:rPr>
            </w:pPr>
          </w:p>
        </w:tc>
      </w:tr>
    </w:tbl>
    <w:p>
      <w:pPr>
        <w:pStyle w:val="301"/>
        <w:rPr>
          <w:color w:val="auto"/>
          <w:lang w:eastAsia="zh-CN"/>
        </w:rPr>
      </w:pPr>
      <w:r>
        <w:rPr>
          <w:color w:val="auto"/>
        </w:rPr>
        <w:t>2.8.1.2地表水环境质量标准</w:t>
      </w:r>
    </w:p>
    <w:p>
      <w:pPr>
        <w:spacing w:line="360" w:lineRule="auto"/>
        <w:ind w:firstLine="480"/>
        <w:jc w:val="both"/>
        <w:rPr>
          <w:color w:val="auto"/>
        </w:rPr>
      </w:pPr>
      <w:r>
        <w:rPr>
          <w:rFonts w:hint="eastAsia"/>
          <w:color w:val="auto"/>
        </w:rPr>
        <w:t>项目附近水体为曾坑河及曾坑水库，曾坑河最终汇入宁江。</w:t>
      </w:r>
      <w:r>
        <w:rPr>
          <w:color w:val="auto"/>
        </w:rPr>
        <w:t>根据《关于同意实施广东省地表水环境功能区划的批复》（粤府函</w:t>
      </w:r>
      <w:r>
        <w:rPr>
          <w:rFonts w:hint="eastAsia"/>
          <w:color w:val="auto"/>
        </w:rPr>
        <w:t>【2</w:t>
      </w:r>
      <w:r>
        <w:rPr>
          <w:color w:val="auto"/>
        </w:rPr>
        <w:t>011</w:t>
      </w:r>
      <w:r>
        <w:rPr>
          <w:rFonts w:hint="eastAsia"/>
          <w:color w:val="auto"/>
        </w:rPr>
        <w:t>】</w:t>
      </w:r>
      <w:r>
        <w:rPr>
          <w:color w:val="auto"/>
        </w:rPr>
        <w:t>29号）和《关于印发&lt;广东省地表水环境功能区划&gt;的通知》（粤环</w:t>
      </w:r>
      <w:r>
        <w:rPr>
          <w:rFonts w:hint="eastAsia"/>
          <w:color w:val="auto"/>
        </w:rPr>
        <w:t>【2</w:t>
      </w:r>
      <w:r>
        <w:rPr>
          <w:color w:val="auto"/>
        </w:rPr>
        <w:t>011</w:t>
      </w:r>
      <w:r>
        <w:rPr>
          <w:rFonts w:hint="eastAsia"/>
          <w:color w:val="auto"/>
        </w:rPr>
        <w:t>】</w:t>
      </w:r>
      <w:r>
        <w:rPr>
          <w:color w:val="auto"/>
        </w:rPr>
        <w:t>14号），</w:t>
      </w:r>
      <w:r>
        <w:rPr>
          <w:rFonts w:hint="eastAsia"/>
          <w:color w:val="auto"/>
        </w:rPr>
        <w:t>宁</w:t>
      </w:r>
      <w:r>
        <w:rPr>
          <w:color w:val="auto"/>
        </w:rPr>
        <w:t>江在项目选址段（</w:t>
      </w:r>
      <w:r>
        <w:rPr>
          <w:rFonts w:hint="eastAsia"/>
          <w:color w:val="auto"/>
        </w:rPr>
        <w:t>望江桥闸</w:t>
      </w:r>
      <w:r>
        <w:rPr>
          <w:color w:val="auto"/>
        </w:rPr>
        <w:t>~</w:t>
      </w:r>
      <w:r>
        <w:rPr>
          <w:rFonts w:hint="eastAsia"/>
          <w:color w:val="auto"/>
        </w:rPr>
        <w:t>兴宁水口段</w:t>
      </w:r>
      <w:r>
        <w:rPr>
          <w:color w:val="auto"/>
        </w:rPr>
        <w:t>）为</w:t>
      </w:r>
      <w:r>
        <w:rPr>
          <w:rFonts w:hint="eastAsia"/>
          <w:color w:val="auto"/>
        </w:rPr>
        <w:t>饮用</w:t>
      </w:r>
      <w:r>
        <w:rPr>
          <w:color w:val="auto"/>
        </w:rPr>
        <w:t>农业用水功能，</w:t>
      </w:r>
      <w:r>
        <w:rPr>
          <w:rFonts w:hint="eastAsia"/>
          <w:color w:val="auto"/>
        </w:rPr>
        <w:t>为I</w:t>
      </w:r>
      <w:r>
        <w:rPr>
          <w:color w:val="auto"/>
        </w:rPr>
        <w:t>II</w:t>
      </w:r>
      <w:r>
        <w:rPr>
          <w:rFonts w:hint="eastAsia"/>
          <w:color w:val="auto"/>
        </w:rPr>
        <w:t>类区，</w:t>
      </w:r>
      <w:r>
        <w:rPr>
          <w:color w:val="auto"/>
        </w:rPr>
        <w:t>水质执行《地表水环境质量标准》（GB3838-2002）III类标准</w:t>
      </w:r>
      <w:r>
        <w:rPr>
          <w:rFonts w:hint="eastAsia"/>
          <w:color w:val="auto"/>
        </w:rPr>
        <w:t>。根据兴宁市环境保护局《关于兴宁市静脉产业园P</w:t>
      </w:r>
      <w:r>
        <w:rPr>
          <w:color w:val="auto"/>
        </w:rPr>
        <w:t>PP</w:t>
      </w:r>
      <w:r>
        <w:rPr>
          <w:rFonts w:hint="eastAsia"/>
          <w:color w:val="auto"/>
        </w:rPr>
        <w:t>项目环境影响评价执行标准的函》，项目附近水体曾坑河</w:t>
      </w:r>
      <w:r>
        <w:rPr>
          <w:color w:val="auto"/>
        </w:rPr>
        <w:t>执行《地表水环境质量标准》（GB3838-2002）IV类标准</w:t>
      </w:r>
      <w:r>
        <w:rPr>
          <w:rFonts w:hint="eastAsia"/>
          <w:color w:val="auto"/>
        </w:rPr>
        <w:t>，曾坑水库</w:t>
      </w:r>
      <w:r>
        <w:rPr>
          <w:color w:val="auto"/>
        </w:rPr>
        <w:t>水环境质量执行《地表水环境质量标准》（GB3838-2002）III类标准，具体标准值见下表。</w:t>
      </w:r>
    </w:p>
    <w:p>
      <w:pPr>
        <w:spacing w:line="360" w:lineRule="auto"/>
        <w:ind w:firstLine="480"/>
        <w:jc w:val="both"/>
        <w:rPr>
          <w:color w:val="auto"/>
        </w:rPr>
      </w:pPr>
    </w:p>
    <w:p>
      <w:pPr>
        <w:spacing w:line="360" w:lineRule="auto"/>
        <w:ind w:firstLine="480"/>
        <w:jc w:val="both"/>
        <w:rPr>
          <w:color w:val="auto"/>
        </w:rPr>
      </w:pPr>
    </w:p>
    <w:p>
      <w:pPr>
        <w:pStyle w:val="5"/>
        <w:ind w:firstLine="482"/>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2.8</w:t>
      </w:r>
      <w:r>
        <w:rPr>
          <w:b/>
          <w:color w:val="auto"/>
        </w:rPr>
        <w:fldChar w:fldCharType="end"/>
      </w:r>
      <w:r>
        <w:rPr>
          <w:b/>
          <w:color w:val="auto"/>
        </w:rPr>
        <w:noBreakHyphen/>
      </w:r>
      <w:r>
        <w:rPr>
          <w:b/>
          <w:color w:val="auto"/>
        </w:rPr>
        <w:fldChar w:fldCharType="begin"/>
      </w:r>
      <w:r>
        <w:rPr>
          <w:b/>
          <w:color w:val="auto"/>
        </w:rPr>
        <w:instrText xml:space="preserve"> SEQ 表 \* ARABIC \s 2 </w:instrText>
      </w:r>
      <w:r>
        <w:rPr>
          <w:b/>
          <w:color w:val="auto"/>
        </w:rPr>
        <w:fldChar w:fldCharType="separate"/>
      </w:r>
      <w:r>
        <w:rPr>
          <w:b/>
          <w:color w:val="auto"/>
        </w:rPr>
        <w:t>2</w:t>
      </w:r>
      <w:r>
        <w:rPr>
          <w:b/>
          <w:color w:val="auto"/>
        </w:rPr>
        <w:fldChar w:fldCharType="end"/>
      </w:r>
      <w:r>
        <w:rPr>
          <w:b/>
          <w:color w:val="auto"/>
        </w:rPr>
        <w:t xml:space="preserve">  地表水环境质量标准（摘录）  单位：mg/L（水温、pH除外）</w:t>
      </w:r>
    </w:p>
    <w:tbl>
      <w:tblPr>
        <w:tblStyle w:val="53"/>
        <w:tblW w:w="9286"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59"/>
        <w:gridCol w:w="1103"/>
        <w:gridCol w:w="1246"/>
        <w:gridCol w:w="1135"/>
        <w:gridCol w:w="1014"/>
        <w:gridCol w:w="1413"/>
        <w:gridCol w:w="1339"/>
        <w:gridCol w:w="87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159" w:type="dxa"/>
            <w:tcBorders>
              <w:top w:val="single" w:color="auto" w:sz="18" w:space="0"/>
            </w:tcBorders>
            <w:vAlign w:val="center"/>
          </w:tcPr>
          <w:p>
            <w:pPr>
              <w:jc w:val="center"/>
              <w:rPr>
                <w:b/>
                <w:color w:val="auto"/>
                <w:sz w:val="21"/>
                <w:szCs w:val="21"/>
              </w:rPr>
            </w:pPr>
            <w:r>
              <w:rPr>
                <w:b/>
                <w:color w:val="auto"/>
                <w:sz w:val="21"/>
                <w:szCs w:val="21"/>
              </w:rPr>
              <w:t>项目</w:t>
            </w:r>
          </w:p>
        </w:tc>
        <w:tc>
          <w:tcPr>
            <w:tcW w:w="2349" w:type="dxa"/>
            <w:gridSpan w:val="2"/>
            <w:tcBorders>
              <w:top w:val="single" w:color="auto" w:sz="18" w:space="0"/>
            </w:tcBorders>
            <w:vAlign w:val="center"/>
          </w:tcPr>
          <w:p>
            <w:pPr>
              <w:jc w:val="center"/>
              <w:rPr>
                <w:b/>
                <w:color w:val="auto"/>
                <w:sz w:val="21"/>
                <w:szCs w:val="21"/>
              </w:rPr>
            </w:pPr>
            <w:r>
              <w:rPr>
                <w:b/>
                <w:color w:val="auto"/>
                <w:sz w:val="21"/>
                <w:szCs w:val="21"/>
              </w:rPr>
              <w:t>水温</w:t>
            </w:r>
          </w:p>
        </w:tc>
        <w:tc>
          <w:tcPr>
            <w:tcW w:w="1135" w:type="dxa"/>
            <w:tcBorders>
              <w:top w:val="single" w:color="auto" w:sz="18" w:space="0"/>
            </w:tcBorders>
            <w:vAlign w:val="center"/>
          </w:tcPr>
          <w:p>
            <w:pPr>
              <w:jc w:val="center"/>
              <w:rPr>
                <w:b/>
                <w:color w:val="auto"/>
                <w:sz w:val="21"/>
                <w:szCs w:val="21"/>
              </w:rPr>
            </w:pPr>
            <w:r>
              <w:rPr>
                <w:b/>
                <w:color w:val="auto"/>
                <w:sz w:val="21"/>
                <w:szCs w:val="21"/>
              </w:rPr>
              <w:t>pH</w:t>
            </w:r>
          </w:p>
        </w:tc>
        <w:tc>
          <w:tcPr>
            <w:tcW w:w="1014" w:type="dxa"/>
            <w:tcBorders>
              <w:top w:val="single" w:color="auto" w:sz="18" w:space="0"/>
            </w:tcBorders>
            <w:vAlign w:val="center"/>
          </w:tcPr>
          <w:p>
            <w:pPr>
              <w:jc w:val="center"/>
              <w:rPr>
                <w:b/>
                <w:color w:val="auto"/>
                <w:sz w:val="21"/>
                <w:szCs w:val="21"/>
              </w:rPr>
            </w:pPr>
            <w:r>
              <w:rPr>
                <w:b/>
                <w:color w:val="auto"/>
                <w:sz w:val="21"/>
                <w:szCs w:val="21"/>
              </w:rPr>
              <w:t>SS*</w:t>
            </w:r>
          </w:p>
        </w:tc>
        <w:tc>
          <w:tcPr>
            <w:tcW w:w="1413" w:type="dxa"/>
            <w:tcBorders>
              <w:top w:val="single" w:color="auto" w:sz="18" w:space="0"/>
            </w:tcBorders>
            <w:vAlign w:val="center"/>
          </w:tcPr>
          <w:p>
            <w:pPr>
              <w:jc w:val="center"/>
              <w:rPr>
                <w:b/>
                <w:color w:val="auto"/>
                <w:sz w:val="21"/>
                <w:szCs w:val="21"/>
              </w:rPr>
            </w:pPr>
            <w:r>
              <w:rPr>
                <w:b/>
                <w:color w:val="auto"/>
                <w:sz w:val="21"/>
                <w:szCs w:val="21"/>
              </w:rPr>
              <w:t>DO</w:t>
            </w:r>
          </w:p>
        </w:tc>
        <w:tc>
          <w:tcPr>
            <w:tcW w:w="1339" w:type="dxa"/>
            <w:tcBorders>
              <w:top w:val="single" w:color="auto" w:sz="18" w:space="0"/>
            </w:tcBorders>
            <w:vAlign w:val="center"/>
          </w:tcPr>
          <w:p>
            <w:pPr>
              <w:jc w:val="center"/>
              <w:rPr>
                <w:b/>
                <w:color w:val="auto"/>
                <w:sz w:val="21"/>
                <w:szCs w:val="21"/>
              </w:rPr>
            </w:pPr>
            <w:r>
              <w:rPr>
                <w:b/>
                <w:color w:val="auto"/>
                <w:sz w:val="21"/>
                <w:szCs w:val="21"/>
              </w:rPr>
              <w:t>CODcr</w:t>
            </w:r>
          </w:p>
        </w:tc>
        <w:tc>
          <w:tcPr>
            <w:tcW w:w="877" w:type="dxa"/>
            <w:tcBorders>
              <w:top w:val="single" w:color="auto" w:sz="18" w:space="0"/>
            </w:tcBorders>
            <w:vAlign w:val="center"/>
          </w:tcPr>
          <w:p>
            <w:pPr>
              <w:jc w:val="center"/>
              <w:rPr>
                <w:b/>
                <w:color w:val="auto"/>
                <w:sz w:val="21"/>
                <w:szCs w:val="21"/>
              </w:rPr>
            </w:pPr>
            <w:r>
              <w:rPr>
                <w:b/>
                <w:color w:val="auto"/>
                <w:sz w:val="21"/>
                <w:szCs w:val="21"/>
              </w:rPr>
              <w:t>高锰酸盐指数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159" w:type="dxa"/>
            <w:vAlign w:val="center"/>
          </w:tcPr>
          <w:p>
            <w:pPr>
              <w:jc w:val="center"/>
              <w:rPr>
                <w:color w:val="auto"/>
                <w:sz w:val="21"/>
                <w:szCs w:val="21"/>
              </w:rPr>
            </w:pPr>
            <w:r>
              <w:rPr>
                <w:color w:val="auto"/>
                <w:sz w:val="21"/>
                <w:szCs w:val="21"/>
              </w:rPr>
              <w:t>III类标准</w:t>
            </w:r>
          </w:p>
        </w:tc>
        <w:tc>
          <w:tcPr>
            <w:tcW w:w="2349" w:type="dxa"/>
            <w:gridSpan w:val="2"/>
            <w:vMerge w:val="restart"/>
            <w:vAlign w:val="center"/>
          </w:tcPr>
          <w:p>
            <w:pPr>
              <w:jc w:val="center"/>
              <w:rPr>
                <w:color w:val="auto"/>
                <w:sz w:val="21"/>
                <w:szCs w:val="21"/>
              </w:rPr>
            </w:pPr>
            <w:r>
              <w:rPr>
                <w:color w:val="auto"/>
                <w:sz w:val="21"/>
                <w:szCs w:val="21"/>
              </w:rPr>
              <w:t>周平均最大温升≤1周平均最大温降≤2</w:t>
            </w:r>
          </w:p>
        </w:tc>
        <w:tc>
          <w:tcPr>
            <w:tcW w:w="1135" w:type="dxa"/>
            <w:vMerge w:val="restart"/>
            <w:vAlign w:val="center"/>
          </w:tcPr>
          <w:p>
            <w:pPr>
              <w:jc w:val="center"/>
              <w:rPr>
                <w:color w:val="auto"/>
                <w:sz w:val="21"/>
                <w:szCs w:val="21"/>
              </w:rPr>
            </w:pPr>
            <w:r>
              <w:rPr>
                <w:color w:val="auto"/>
                <w:sz w:val="21"/>
                <w:szCs w:val="21"/>
              </w:rPr>
              <w:t>6-9</w:t>
            </w:r>
          </w:p>
        </w:tc>
        <w:tc>
          <w:tcPr>
            <w:tcW w:w="1014" w:type="dxa"/>
            <w:vAlign w:val="center"/>
          </w:tcPr>
          <w:p>
            <w:pPr>
              <w:jc w:val="center"/>
              <w:rPr>
                <w:color w:val="auto"/>
                <w:sz w:val="21"/>
                <w:szCs w:val="21"/>
              </w:rPr>
            </w:pPr>
            <w:r>
              <w:rPr>
                <w:color w:val="auto"/>
                <w:sz w:val="21"/>
                <w:szCs w:val="21"/>
              </w:rPr>
              <w:t>≤30</w:t>
            </w:r>
          </w:p>
        </w:tc>
        <w:tc>
          <w:tcPr>
            <w:tcW w:w="1413" w:type="dxa"/>
            <w:vAlign w:val="center"/>
          </w:tcPr>
          <w:p>
            <w:pPr>
              <w:jc w:val="center"/>
              <w:rPr>
                <w:color w:val="auto"/>
                <w:sz w:val="21"/>
                <w:szCs w:val="21"/>
              </w:rPr>
            </w:pPr>
            <w:r>
              <w:rPr>
                <w:color w:val="auto"/>
                <w:sz w:val="21"/>
                <w:szCs w:val="21"/>
              </w:rPr>
              <w:t>≥5</w:t>
            </w:r>
          </w:p>
        </w:tc>
        <w:tc>
          <w:tcPr>
            <w:tcW w:w="1339" w:type="dxa"/>
            <w:vAlign w:val="center"/>
          </w:tcPr>
          <w:p>
            <w:pPr>
              <w:jc w:val="center"/>
              <w:rPr>
                <w:color w:val="auto"/>
                <w:sz w:val="21"/>
                <w:szCs w:val="21"/>
              </w:rPr>
            </w:pPr>
            <w:r>
              <w:rPr>
                <w:color w:val="auto"/>
                <w:sz w:val="21"/>
                <w:szCs w:val="21"/>
              </w:rPr>
              <w:t>≤20</w:t>
            </w:r>
          </w:p>
        </w:tc>
        <w:tc>
          <w:tcPr>
            <w:tcW w:w="877" w:type="dxa"/>
            <w:vAlign w:val="center"/>
          </w:tcPr>
          <w:p>
            <w:pPr>
              <w:jc w:val="center"/>
              <w:rPr>
                <w:color w:val="auto"/>
                <w:sz w:val="21"/>
                <w:szCs w:val="21"/>
              </w:rPr>
            </w:pPr>
            <w:r>
              <w:rPr>
                <w:color w:val="auto"/>
                <w:sz w:val="21"/>
                <w:szCs w:val="21"/>
              </w:rPr>
              <w:t>≤6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159" w:type="dxa"/>
            <w:vAlign w:val="center"/>
          </w:tcPr>
          <w:p>
            <w:pPr>
              <w:jc w:val="center"/>
              <w:rPr>
                <w:color w:val="auto"/>
                <w:sz w:val="21"/>
                <w:szCs w:val="21"/>
              </w:rPr>
            </w:pPr>
            <w:r>
              <w:rPr>
                <w:color w:val="auto"/>
                <w:sz w:val="21"/>
                <w:szCs w:val="21"/>
              </w:rPr>
              <w:t>IV类标准</w:t>
            </w:r>
          </w:p>
        </w:tc>
        <w:tc>
          <w:tcPr>
            <w:tcW w:w="2349" w:type="dxa"/>
            <w:gridSpan w:val="2"/>
            <w:vMerge w:val="continue"/>
            <w:vAlign w:val="center"/>
          </w:tcPr>
          <w:p>
            <w:pPr>
              <w:jc w:val="center"/>
              <w:rPr>
                <w:color w:val="auto"/>
                <w:sz w:val="21"/>
                <w:szCs w:val="21"/>
              </w:rPr>
            </w:pPr>
          </w:p>
        </w:tc>
        <w:tc>
          <w:tcPr>
            <w:tcW w:w="1135" w:type="dxa"/>
            <w:vMerge w:val="continue"/>
            <w:vAlign w:val="center"/>
          </w:tcPr>
          <w:p>
            <w:pPr>
              <w:jc w:val="center"/>
              <w:rPr>
                <w:color w:val="auto"/>
                <w:sz w:val="21"/>
                <w:szCs w:val="21"/>
              </w:rPr>
            </w:pPr>
          </w:p>
        </w:tc>
        <w:tc>
          <w:tcPr>
            <w:tcW w:w="1014" w:type="dxa"/>
            <w:vAlign w:val="center"/>
          </w:tcPr>
          <w:p>
            <w:pPr>
              <w:jc w:val="center"/>
              <w:rPr>
                <w:color w:val="auto"/>
                <w:sz w:val="21"/>
                <w:szCs w:val="21"/>
              </w:rPr>
            </w:pPr>
            <w:r>
              <w:rPr>
                <w:color w:val="auto"/>
                <w:sz w:val="21"/>
                <w:szCs w:val="21"/>
              </w:rPr>
              <w:t>≤60</w:t>
            </w:r>
          </w:p>
        </w:tc>
        <w:tc>
          <w:tcPr>
            <w:tcW w:w="1413" w:type="dxa"/>
            <w:vAlign w:val="center"/>
          </w:tcPr>
          <w:p>
            <w:pPr>
              <w:jc w:val="center"/>
              <w:rPr>
                <w:color w:val="auto"/>
                <w:sz w:val="21"/>
                <w:szCs w:val="21"/>
              </w:rPr>
            </w:pPr>
            <w:r>
              <w:rPr>
                <w:color w:val="auto"/>
                <w:sz w:val="21"/>
                <w:szCs w:val="21"/>
              </w:rPr>
              <w:t>≥3</w:t>
            </w:r>
          </w:p>
        </w:tc>
        <w:tc>
          <w:tcPr>
            <w:tcW w:w="1339" w:type="dxa"/>
            <w:vAlign w:val="center"/>
          </w:tcPr>
          <w:p>
            <w:pPr>
              <w:jc w:val="center"/>
              <w:rPr>
                <w:color w:val="auto"/>
                <w:sz w:val="21"/>
                <w:szCs w:val="21"/>
              </w:rPr>
            </w:pPr>
            <w:r>
              <w:rPr>
                <w:color w:val="auto"/>
                <w:sz w:val="21"/>
                <w:szCs w:val="21"/>
              </w:rPr>
              <w:t>≤30</w:t>
            </w:r>
          </w:p>
        </w:tc>
        <w:tc>
          <w:tcPr>
            <w:tcW w:w="877" w:type="dxa"/>
            <w:vAlign w:val="center"/>
          </w:tcPr>
          <w:p>
            <w:pPr>
              <w:jc w:val="center"/>
              <w:rPr>
                <w:color w:val="auto"/>
                <w:sz w:val="21"/>
                <w:szCs w:val="21"/>
              </w:rPr>
            </w:pPr>
            <w:r>
              <w:rPr>
                <w:color w:val="auto"/>
                <w:sz w:val="21"/>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159" w:type="dxa"/>
            <w:vAlign w:val="center"/>
          </w:tcPr>
          <w:p>
            <w:pPr>
              <w:jc w:val="center"/>
              <w:rPr>
                <w:b/>
                <w:color w:val="auto"/>
                <w:sz w:val="21"/>
                <w:szCs w:val="21"/>
              </w:rPr>
            </w:pPr>
            <w:r>
              <w:rPr>
                <w:b/>
                <w:color w:val="auto"/>
                <w:sz w:val="21"/>
                <w:szCs w:val="21"/>
              </w:rPr>
              <w:t>项目</w:t>
            </w:r>
          </w:p>
        </w:tc>
        <w:tc>
          <w:tcPr>
            <w:tcW w:w="1103" w:type="dxa"/>
            <w:vAlign w:val="center"/>
          </w:tcPr>
          <w:p>
            <w:pPr>
              <w:jc w:val="center"/>
              <w:rPr>
                <w:b/>
                <w:color w:val="auto"/>
                <w:sz w:val="21"/>
                <w:szCs w:val="21"/>
              </w:rPr>
            </w:pPr>
            <w:r>
              <w:rPr>
                <w:b/>
                <w:color w:val="auto"/>
                <w:sz w:val="21"/>
                <w:szCs w:val="21"/>
              </w:rPr>
              <w:t>BOD</w:t>
            </w:r>
            <w:r>
              <w:rPr>
                <w:b/>
                <w:color w:val="auto"/>
                <w:sz w:val="21"/>
                <w:szCs w:val="21"/>
                <w:vertAlign w:val="subscript"/>
              </w:rPr>
              <w:t>5</w:t>
            </w:r>
          </w:p>
        </w:tc>
        <w:tc>
          <w:tcPr>
            <w:tcW w:w="1246" w:type="dxa"/>
            <w:vAlign w:val="center"/>
          </w:tcPr>
          <w:p>
            <w:pPr>
              <w:jc w:val="center"/>
              <w:rPr>
                <w:b/>
                <w:color w:val="auto"/>
                <w:sz w:val="21"/>
                <w:szCs w:val="21"/>
              </w:rPr>
            </w:pPr>
            <w:r>
              <w:rPr>
                <w:b/>
                <w:color w:val="auto"/>
                <w:sz w:val="21"/>
                <w:szCs w:val="21"/>
              </w:rPr>
              <w:t>氨氮</w:t>
            </w:r>
          </w:p>
        </w:tc>
        <w:tc>
          <w:tcPr>
            <w:tcW w:w="1135" w:type="dxa"/>
            <w:vAlign w:val="center"/>
          </w:tcPr>
          <w:p>
            <w:pPr>
              <w:jc w:val="center"/>
              <w:rPr>
                <w:b/>
                <w:color w:val="auto"/>
                <w:sz w:val="21"/>
                <w:szCs w:val="21"/>
              </w:rPr>
            </w:pPr>
            <w:r>
              <w:rPr>
                <w:b/>
                <w:color w:val="auto"/>
                <w:sz w:val="21"/>
                <w:szCs w:val="21"/>
              </w:rPr>
              <w:t>总磷</w:t>
            </w:r>
          </w:p>
        </w:tc>
        <w:tc>
          <w:tcPr>
            <w:tcW w:w="1014" w:type="dxa"/>
            <w:vAlign w:val="center"/>
          </w:tcPr>
          <w:p>
            <w:pPr>
              <w:jc w:val="center"/>
              <w:rPr>
                <w:b/>
                <w:color w:val="auto"/>
                <w:sz w:val="21"/>
                <w:szCs w:val="21"/>
              </w:rPr>
            </w:pPr>
            <w:r>
              <w:rPr>
                <w:b/>
                <w:color w:val="auto"/>
                <w:sz w:val="21"/>
                <w:szCs w:val="21"/>
              </w:rPr>
              <w:t>石油类</w:t>
            </w:r>
          </w:p>
        </w:tc>
        <w:tc>
          <w:tcPr>
            <w:tcW w:w="1413" w:type="dxa"/>
            <w:vAlign w:val="center"/>
          </w:tcPr>
          <w:p>
            <w:pPr>
              <w:jc w:val="center"/>
              <w:rPr>
                <w:b/>
                <w:color w:val="auto"/>
                <w:sz w:val="21"/>
                <w:szCs w:val="21"/>
              </w:rPr>
            </w:pPr>
            <w:r>
              <w:rPr>
                <w:b/>
                <w:color w:val="auto"/>
                <w:sz w:val="21"/>
                <w:szCs w:val="21"/>
              </w:rPr>
              <w:t>氟化物</w:t>
            </w:r>
          </w:p>
        </w:tc>
        <w:tc>
          <w:tcPr>
            <w:tcW w:w="1339" w:type="dxa"/>
            <w:vAlign w:val="center"/>
          </w:tcPr>
          <w:p>
            <w:pPr>
              <w:jc w:val="center"/>
              <w:rPr>
                <w:b/>
                <w:color w:val="auto"/>
                <w:sz w:val="21"/>
                <w:szCs w:val="21"/>
              </w:rPr>
            </w:pPr>
            <w:r>
              <w:rPr>
                <w:b/>
                <w:color w:val="auto"/>
                <w:sz w:val="21"/>
                <w:szCs w:val="21"/>
              </w:rPr>
              <w:t>类大肠菌群</w:t>
            </w:r>
          </w:p>
        </w:tc>
        <w:tc>
          <w:tcPr>
            <w:tcW w:w="877" w:type="dxa"/>
            <w:vAlign w:val="center"/>
          </w:tcPr>
          <w:p>
            <w:pPr>
              <w:jc w:val="center"/>
              <w:rPr>
                <w:b/>
                <w:color w:val="auto"/>
                <w:sz w:val="21"/>
                <w:szCs w:val="21"/>
              </w:rPr>
            </w:pPr>
            <w:r>
              <w:rPr>
                <w:b/>
                <w:color w:val="auto"/>
                <w:sz w:val="21"/>
                <w:szCs w:val="21"/>
              </w:rPr>
              <w:t>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159" w:type="dxa"/>
            <w:vAlign w:val="center"/>
          </w:tcPr>
          <w:p>
            <w:pPr>
              <w:jc w:val="center"/>
              <w:rPr>
                <w:color w:val="auto"/>
                <w:sz w:val="21"/>
                <w:szCs w:val="21"/>
              </w:rPr>
            </w:pPr>
            <w:r>
              <w:rPr>
                <w:color w:val="auto"/>
                <w:sz w:val="21"/>
                <w:szCs w:val="21"/>
              </w:rPr>
              <w:t>III类标准</w:t>
            </w:r>
          </w:p>
        </w:tc>
        <w:tc>
          <w:tcPr>
            <w:tcW w:w="1103" w:type="dxa"/>
            <w:vAlign w:val="center"/>
          </w:tcPr>
          <w:p>
            <w:pPr>
              <w:jc w:val="center"/>
              <w:rPr>
                <w:color w:val="auto"/>
                <w:sz w:val="21"/>
                <w:szCs w:val="21"/>
              </w:rPr>
            </w:pPr>
            <w:r>
              <w:rPr>
                <w:color w:val="auto"/>
                <w:sz w:val="21"/>
                <w:szCs w:val="21"/>
              </w:rPr>
              <w:t>≤4</w:t>
            </w:r>
          </w:p>
        </w:tc>
        <w:tc>
          <w:tcPr>
            <w:tcW w:w="1246" w:type="dxa"/>
            <w:vAlign w:val="center"/>
          </w:tcPr>
          <w:p>
            <w:pPr>
              <w:jc w:val="center"/>
              <w:rPr>
                <w:color w:val="auto"/>
                <w:sz w:val="21"/>
                <w:szCs w:val="21"/>
              </w:rPr>
            </w:pPr>
            <w:r>
              <w:rPr>
                <w:color w:val="auto"/>
                <w:sz w:val="21"/>
                <w:szCs w:val="21"/>
              </w:rPr>
              <w:t>≤1.0</w:t>
            </w:r>
          </w:p>
        </w:tc>
        <w:tc>
          <w:tcPr>
            <w:tcW w:w="1135" w:type="dxa"/>
            <w:vAlign w:val="center"/>
          </w:tcPr>
          <w:p>
            <w:pPr>
              <w:jc w:val="center"/>
              <w:rPr>
                <w:color w:val="auto"/>
                <w:sz w:val="21"/>
                <w:szCs w:val="21"/>
              </w:rPr>
            </w:pPr>
            <w:r>
              <w:rPr>
                <w:color w:val="auto"/>
                <w:sz w:val="21"/>
                <w:szCs w:val="21"/>
              </w:rPr>
              <w:t>≤0.2</w:t>
            </w:r>
          </w:p>
        </w:tc>
        <w:tc>
          <w:tcPr>
            <w:tcW w:w="1014" w:type="dxa"/>
            <w:vAlign w:val="center"/>
          </w:tcPr>
          <w:p>
            <w:pPr>
              <w:jc w:val="center"/>
              <w:rPr>
                <w:color w:val="auto"/>
                <w:sz w:val="21"/>
                <w:szCs w:val="21"/>
              </w:rPr>
            </w:pPr>
            <w:r>
              <w:rPr>
                <w:color w:val="auto"/>
                <w:sz w:val="21"/>
                <w:szCs w:val="21"/>
              </w:rPr>
              <w:t>≤0.05</w:t>
            </w:r>
          </w:p>
        </w:tc>
        <w:tc>
          <w:tcPr>
            <w:tcW w:w="1413" w:type="dxa"/>
            <w:vAlign w:val="center"/>
          </w:tcPr>
          <w:p>
            <w:pPr>
              <w:jc w:val="center"/>
              <w:rPr>
                <w:color w:val="auto"/>
                <w:sz w:val="21"/>
                <w:szCs w:val="21"/>
              </w:rPr>
            </w:pPr>
            <w:r>
              <w:rPr>
                <w:color w:val="auto"/>
                <w:sz w:val="21"/>
                <w:szCs w:val="21"/>
              </w:rPr>
              <w:t>≤1.0</w:t>
            </w:r>
          </w:p>
        </w:tc>
        <w:tc>
          <w:tcPr>
            <w:tcW w:w="1339" w:type="dxa"/>
            <w:vAlign w:val="center"/>
          </w:tcPr>
          <w:p>
            <w:pPr>
              <w:jc w:val="center"/>
              <w:rPr>
                <w:color w:val="auto"/>
                <w:sz w:val="21"/>
                <w:szCs w:val="21"/>
              </w:rPr>
            </w:pPr>
            <w:r>
              <w:rPr>
                <w:color w:val="auto"/>
                <w:sz w:val="21"/>
                <w:szCs w:val="21"/>
              </w:rPr>
              <w:t>≤10000</w:t>
            </w:r>
          </w:p>
        </w:tc>
        <w:tc>
          <w:tcPr>
            <w:tcW w:w="877" w:type="dxa"/>
            <w:vAlign w:val="center"/>
          </w:tcPr>
          <w:p>
            <w:pPr>
              <w:jc w:val="center"/>
              <w:rPr>
                <w:color w:val="auto"/>
                <w:sz w:val="21"/>
                <w:szCs w:val="21"/>
              </w:rPr>
            </w:pPr>
            <w:r>
              <w:rPr>
                <w:color w:val="auto"/>
                <w:sz w:val="21"/>
                <w:szCs w:val="21"/>
              </w:rPr>
              <w:t>≤0.005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159" w:type="dxa"/>
            <w:vAlign w:val="center"/>
          </w:tcPr>
          <w:p>
            <w:pPr>
              <w:jc w:val="center"/>
              <w:rPr>
                <w:color w:val="auto"/>
                <w:sz w:val="21"/>
                <w:szCs w:val="21"/>
              </w:rPr>
            </w:pPr>
            <w:r>
              <w:rPr>
                <w:color w:val="auto"/>
                <w:sz w:val="21"/>
                <w:szCs w:val="21"/>
              </w:rPr>
              <w:t>IV类标准</w:t>
            </w:r>
          </w:p>
        </w:tc>
        <w:tc>
          <w:tcPr>
            <w:tcW w:w="1103" w:type="dxa"/>
            <w:vAlign w:val="center"/>
          </w:tcPr>
          <w:p>
            <w:pPr>
              <w:jc w:val="center"/>
              <w:rPr>
                <w:color w:val="auto"/>
                <w:sz w:val="21"/>
                <w:szCs w:val="21"/>
              </w:rPr>
            </w:pPr>
            <w:r>
              <w:rPr>
                <w:color w:val="auto"/>
                <w:sz w:val="21"/>
                <w:szCs w:val="21"/>
              </w:rPr>
              <w:t>≤6</w:t>
            </w:r>
          </w:p>
        </w:tc>
        <w:tc>
          <w:tcPr>
            <w:tcW w:w="1246" w:type="dxa"/>
            <w:vAlign w:val="center"/>
          </w:tcPr>
          <w:p>
            <w:pPr>
              <w:jc w:val="center"/>
              <w:rPr>
                <w:color w:val="auto"/>
                <w:sz w:val="21"/>
                <w:szCs w:val="21"/>
              </w:rPr>
            </w:pPr>
            <w:r>
              <w:rPr>
                <w:color w:val="auto"/>
                <w:sz w:val="21"/>
                <w:szCs w:val="21"/>
              </w:rPr>
              <w:t>≤1.5</w:t>
            </w:r>
          </w:p>
        </w:tc>
        <w:tc>
          <w:tcPr>
            <w:tcW w:w="1135" w:type="dxa"/>
            <w:vAlign w:val="center"/>
          </w:tcPr>
          <w:p>
            <w:pPr>
              <w:jc w:val="center"/>
              <w:rPr>
                <w:color w:val="auto"/>
                <w:sz w:val="21"/>
                <w:szCs w:val="21"/>
              </w:rPr>
            </w:pPr>
            <w:r>
              <w:rPr>
                <w:color w:val="auto"/>
                <w:sz w:val="21"/>
                <w:szCs w:val="21"/>
              </w:rPr>
              <w:t>≤0.3</w:t>
            </w:r>
          </w:p>
        </w:tc>
        <w:tc>
          <w:tcPr>
            <w:tcW w:w="1014" w:type="dxa"/>
            <w:vAlign w:val="center"/>
          </w:tcPr>
          <w:p>
            <w:pPr>
              <w:jc w:val="center"/>
              <w:rPr>
                <w:color w:val="auto"/>
                <w:sz w:val="21"/>
                <w:szCs w:val="21"/>
              </w:rPr>
            </w:pPr>
            <w:r>
              <w:rPr>
                <w:color w:val="auto"/>
                <w:sz w:val="21"/>
                <w:szCs w:val="21"/>
              </w:rPr>
              <w:t>≤0.5</w:t>
            </w:r>
          </w:p>
        </w:tc>
        <w:tc>
          <w:tcPr>
            <w:tcW w:w="1413" w:type="dxa"/>
            <w:vAlign w:val="center"/>
          </w:tcPr>
          <w:p>
            <w:pPr>
              <w:jc w:val="center"/>
              <w:rPr>
                <w:color w:val="auto"/>
                <w:sz w:val="21"/>
                <w:szCs w:val="21"/>
              </w:rPr>
            </w:pPr>
            <w:r>
              <w:rPr>
                <w:color w:val="auto"/>
                <w:sz w:val="21"/>
                <w:szCs w:val="21"/>
              </w:rPr>
              <w:t>≤1.5</w:t>
            </w:r>
          </w:p>
        </w:tc>
        <w:tc>
          <w:tcPr>
            <w:tcW w:w="1339" w:type="dxa"/>
            <w:vAlign w:val="center"/>
          </w:tcPr>
          <w:p>
            <w:pPr>
              <w:jc w:val="center"/>
              <w:rPr>
                <w:color w:val="auto"/>
                <w:sz w:val="21"/>
                <w:szCs w:val="21"/>
              </w:rPr>
            </w:pPr>
            <w:r>
              <w:rPr>
                <w:color w:val="auto"/>
                <w:sz w:val="21"/>
                <w:szCs w:val="21"/>
              </w:rPr>
              <w:t>≤20000</w:t>
            </w:r>
          </w:p>
        </w:tc>
        <w:tc>
          <w:tcPr>
            <w:tcW w:w="877" w:type="dxa"/>
            <w:vAlign w:val="center"/>
          </w:tcPr>
          <w:p>
            <w:pPr>
              <w:jc w:val="center"/>
              <w:rPr>
                <w:color w:val="auto"/>
                <w:sz w:val="21"/>
                <w:szCs w:val="21"/>
              </w:rPr>
            </w:pPr>
            <w:r>
              <w:rPr>
                <w:color w:val="auto"/>
                <w:sz w:val="21"/>
                <w:szCs w:val="21"/>
              </w:rPr>
              <w:t>≤0.005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159" w:type="dxa"/>
            <w:vAlign w:val="center"/>
          </w:tcPr>
          <w:p>
            <w:pPr>
              <w:jc w:val="center"/>
              <w:rPr>
                <w:b/>
                <w:color w:val="auto"/>
                <w:sz w:val="21"/>
                <w:szCs w:val="21"/>
              </w:rPr>
            </w:pPr>
            <w:r>
              <w:rPr>
                <w:b/>
                <w:color w:val="auto"/>
                <w:sz w:val="21"/>
                <w:szCs w:val="21"/>
              </w:rPr>
              <w:t>项目</w:t>
            </w:r>
          </w:p>
        </w:tc>
        <w:tc>
          <w:tcPr>
            <w:tcW w:w="1103" w:type="dxa"/>
            <w:vAlign w:val="center"/>
          </w:tcPr>
          <w:p>
            <w:pPr>
              <w:jc w:val="center"/>
              <w:rPr>
                <w:b/>
                <w:color w:val="auto"/>
                <w:sz w:val="21"/>
                <w:szCs w:val="21"/>
              </w:rPr>
            </w:pPr>
            <w:r>
              <w:rPr>
                <w:b/>
                <w:color w:val="auto"/>
                <w:sz w:val="21"/>
                <w:szCs w:val="21"/>
              </w:rPr>
              <w:t>六价铬</w:t>
            </w:r>
          </w:p>
        </w:tc>
        <w:tc>
          <w:tcPr>
            <w:tcW w:w="1246" w:type="dxa"/>
            <w:vAlign w:val="center"/>
          </w:tcPr>
          <w:p>
            <w:pPr>
              <w:jc w:val="center"/>
              <w:rPr>
                <w:b/>
                <w:color w:val="auto"/>
                <w:sz w:val="21"/>
                <w:szCs w:val="21"/>
              </w:rPr>
            </w:pPr>
            <w:r>
              <w:rPr>
                <w:b/>
                <w:color w:val="auto"/>
                <w:sz w:val="21"/>
                <w:szCs w:val="21"/>
              </w:rPr>
              <w:t>铅</w:t>
            </w:r>
          </w:p>
        </w:tc>
        <w:tc>
          <w:tcPr>
            <w:tcW w:w="1135" w:type="dxa"/>
            <w:vAlign w:val="center"/>
          </w:tcPr>
          <w:p>
            <w:pPr>
              <w:jc w:val="center"/>
              <w:rPr>
                <w:b/>
                <w:color w:val="auto"/>
                <w:sz w:val="21"/>
                <w:szCs w:val="21"/>
              </w:rPr>
            </w:pPr>
            <w:r>
              <w:rPr>
                <w:b/>
                <w:color w:val="auto"/>
                <w:sz w:val="21"/>
                <w:szCs w:val="21"/>
              </w:rPr>
              <w:t>砷</w:t>
            </w:r>
          </w:p>
        </w:tc>
        <w:tc>
          <w:tcPr>
            <w:tcW w:w="1014" w:type="dxa"/>
            <w:vAlign w:val="center"/>
          </w:tcPr>
          <w:p>
            <w:pPr>
              <w:jc w:val="center"/>
              <w:rPr>
                <w:b/>
                <w:color w:val="auto"/>
                <w:sz w:val="21"/>
                <w:szCs w:val="21"/>
              </w:rPr>
            </w:pPr>
            <w:r>
              <w:rPr>
                <w:b/>
                <w:color w:val="auto"/>
                <w:sz w:val="21"/>
                <w:szCs w:val="21"/>
              </w:rPr>
              <w:t>汞</w:t>
            </w:r>
          </w:p>
        </w:tc>
        <w:tc>
          <w:tcPr>
            <w:tcW w:w="1413" w:type="dxa"/>
            <w:vAlign w:val="center"/>
          </w:tcPr>
          <w:p>
            <w:pPr>
              <w:jc w:val="center"/>
              <w:rPr>
                <w:b/>
                <w:color w:val="auto"/>
                <w:sz w:val="21"/>
                <w:szCs w:val="21"/>
              </w:rPr>
            </w:pPr>
            <w:r>
              <w:rPr>
                <w:b/>
                <w:color w:val="auto"/>
                <w:sz w:val="21"/>
                <w:szCs w:val="21"/>
              </w:rPr>
              <w:t>硫酸盐</w:t>
            </w:r>
          </w:p>
        </w:tc>
        <w:tc>
          <w:tcPr>
            <w:tcW w:w="1339" w:type="dxa"/>
            <w:vAlign w:val="center"/>
          </w:tcPr>
          <w:p>
            <w:pPr>
              <w:jc w:val="center"/>
              <w:rPr>
                <w:b/>
                <w:color w:val="auto"/>
                <w:sz w:val="21"/>
                <w:szCs w:val="21"/>
              </w:rPr>
            </w:pPr>
            <w:r>
              <w:rPr>
                <w:b/>
                <w:color w:val="auto"/>
                <w:sz w:val="21"/>
                <w:szCs w:val="21"/>
              </w:rPr>
              <w:t>氯化物</w:t>
            </w:r>
          </w:p>
        </w:tc>
        <w:tc>
          <w:tcPr>
            <w:tcW w:w="877" w:type="dxa"/>
            <w:vAlign w:val="center"/>
          </w:tcPr>
          <w:p>
            <w:pPr>
              <w:jc w:val="center"/>
              <w:rPr>
                <w:b/>
                <w:color w:val="auto"/>
                <w:sz w:val="21"/>
                <w:szCs w:val="21"/>
              </w:rPr>
            </w:pPr>
            <w:r>
              <w:rPr>
                <w:b/>
                <w:color w:val="auto"/>
                <w:sz w:val="21"/>
                <w:szCs w:val="21"/>
              </w:rPr>
              <w:t>氰化物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159" w:type="dxa"/>
            <w:vAlign w:val="center"/>
          </w:tcPr>
          <w:p>
            <w:pPr>
              <w:jc w:val="center"/>
              <w:rPr>
                <w:color w:val="auto"/>
                <w:sz w:val="21"/>
                <w:szCs w:val="21"/>
              </w:rPr>
            </w:pPr>
            <w:r>
              <w:rPr>
                <w:color w:val="auto"/>
                <w:sz w:val="21"/>
                <w:szCs w:val="21"/>
              </w:rPr>
              <w:t>III类标准</w:t>
            </w:r>
          </w:p>
        </w:tc>
        <w:tc>
          <w:tcPr>
            <w:tcW w:w="1103" w:type="dxa"/>
            <w:vAlign w:val="center"/>
          </w:tcPr>
          <w:p>
            <w:pPr>
              <w:jc w:val="center"/>
              <w:rPr>
                <w:color w:val="auto"/>
                <w:sz w:val="21"/>
                <w:szCs w:val="21"/>
              </w:rPr>
            </w:pPr>
            <w:r>
              <w:rPr>
                <w:color w:val="auto"/>
                <w:sz w:val="21"/>
                <w:szCs w:val="21"/>
              </w:rPr>
              <w:t>≤0.05</w:t>
            </w:r>
          </w:p>
        </w:tc>
        <w:tc>
          <w:tcPr>
            <w:tcW w:w="1246" w:type="dxa"/>
            <w:vAlign w:val="center"/>
          </w:tcPr>
          <w:p>
            <w:pPr>
              <w:jc w:val="center"/>
              <w:rPr>
                <w:color w:val="auto"/>
                <w:sz w:val="21"/>
                <w:szCs w:val="21"/>
              </w:rPr>
            </w:pPr>
            <w:r>
              <w:rPr>
                <w:color w:val="auto"/>
                <w:sz w:val="21"/>
                <w:szCs w:val="21"/>
              </w:rPr>
              <w:t>≤0.05</w:t>
            </w:r>
          </w:p>
        </w:tc>
        <w:tc>
          <w:tcPr>
            <w:tcW w:w="1135" w:type="dxa"/>
            <w:vAlign w:val="center"/>
          </w:tcPr>
          <w:p>
            <w:pPr>
              <w:jc w:val="center"/>
              <w:rPr>
                <w:color w:val="auto"/>
                <w:sz w:val="21"/>
                <w:szCs w:val="21"/>
              </w:rPr>
            </w:pPr>
            <w:r>
              <w:rPr>
                <w:color w:val="auto"/>
                <w:sz w:val="21"/>
                <w:szCs w:val="21"/>
              </w:rPr>
              <w:t>≤0.05</w:t>
            </w:r>
          </w:p>
        </w:tc>
        <w:tc>
          <w:tcPr>
            <w:tcW w:w="1014" w:type="dxa"/>
            <w:vAlign w:val="center"/>
          </w:tcPr>
          <w:p>
            <w:pPr>
              <w:jc w:val="center"/>
              <w:rPr>
                <w:color w:val="auto"/>
                <w:sz w:val="21"/>
                <w:szCs w:val="21"/>
              </w:rPr>
            </w:pPr>
            <w:r>
              <w:rPr>
                <w:color w:val="auto"/>
                <w:sz w:val="21"/>
                <w:szCs w:val="21"/>
              </w:rPr>
              <w:t>≤0.0001</w:t>
            </w:r>
          </w:p>
        </w:tc>
        <w:tc>
          <w:tcPr>
            <w:tcW w:w="1413" w:type="dxa"/>
            <w:vAlign w:val="center"/>
          </w:tcPr>
          <w:p>
            <w:pPr>
              <w:jc w:val="center"/>
              <w:rPr>
                <w:color w:val="auto"/>
                <w:sz w:val="21"/>
                <w:szCs w:val="21"/>
              </w:rPr>
            </w:pPr>
            <w:r>
              <w:rPr>
                <w:color w:val="auto"/>
                <w:sz w:val="21"/>
                <w:szCs w:val="21"/>
              </w:rPr>
              <w:t>≤250</w:t>
            </w:r>
          </w:p>
        </w:tc>
        <w:tc>
          <w:tcPr>
            <w:tcW w:w="1339" w:type="dxa"/>
            <w:vAlign w:val="center"/>
          </w:tcPr>
          <w:p>
            <w:pPr>
              <w:jc w:val="center"/>
              <w:rPr>
                <w:color w:val="auto"/>
                <w:sz w:val="21"/>
                <w:szCs w:val="21"/>
              </w:rPr>
            </w:pPr>
            <w:r>
              <w:rPr>
                <w:color w:val="auto"/>
                <w:sz w:val="21"/>
                <w:szCs w:val="21"/>
              </w:rPr>
              <w:t>≤250</w:t>
            </w:r>
          </w:p>
        </w:tc>
        <w:tc>
          <w:tcPr>
            <w:tcW w:w="877" w:type="dxa"/>
            <w:vAlign w:val="center"/>
          </w:tcPr>
          <w:p>
            <w:pPr>
              <w:jc w:val="center"/>
              <w:rPr>
                <w:color w:val="auto"/>
                <w:sz w:val="21"/>
                <w:szCs w:val="21"/>
              </w:rPr>
            </w:pPr>
            <w:r>
              <w:rPr>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159" w:type="dxa"/>
            <w:vAlign w:val="center"/>
          </w:tcPr>
          <w:p>
            <w:pPr>
              <w:jc w:val="center"/>
              <w:rPr>
                <w:color w:val="auto"/>
                <w:sz w:val="21"/>
                <w:szCs w:val="21"/>
              </w:rPr>
            </w:pPr>
            <w:r>
              <w:rPr>
                <w:color w:val="auto"/>
                <w:sz w:val="21"/>
                <w:szCs w:val="21"/>
              </w:rPr>
              <w:t>IV类标准</w:t>
            </w:r>
          </w:p>
        </w:tc>
        <w:tc>
          <w:tcPr>
            <w:tcW w:w="1103" w:type="dxa"/>
            <w:vAlign w:val="center"/>
          </w:tcPr>
          <w:p>
            <w:pPr>
              <w:jc w:val="center"/>
              <w:rPr>
                <w:color w:val="auto"/>
                <w:sz w:val="21"/>
                <w:szCs w:val="21"/>
              </w:rPr>
            </w:pPr>
            <w:r>
              <w:rPr>
                <w:color w:val="auto"/>
                <w:sz w:val="21"/>
                <w:szCs w:val="21"/>
              </w:rPr>
              <w:t>≤0.05</w:t>
            </w:r>
          </w:p>
        </w:tc>
        <w:tc>
          <w:tcPr>
            <w:tcW w:w="1246" w:type="dxa"/>
            <w:vAlign w:val="center"/>
          </w:tcPr>
          <w:p>
            <w:pPr>
              <w:jc w:val="center"/>
              <w:rPr>
                <w:color w:val="auto"/>
                <w:sz w:val="21"/>
                <w:szCs w:val="21"/>
              </w:rPr>
            </w:pPr>
            <w:r>
              <w:rPr>
                <w:color w:val="auto"/>
                <w:sz w:val="21"/>
                <w:szCs w:val="21"/>
              </w:rPr>
              <w:t>≤0.05</w:t>
            </w:r>
          </w:p>
        </w:tc>
        <w:tc>
          <w:tcPr>
            <w:tcW w:w="1135" w:type="dxa"/>
            <w:vAlign w:val="center"/>
          </w:tcPr>
          <w:p>
            <w:pPr>
              <w:jc w:val="center"/>
              <w:rPr>
                <w:color w:val="auto"/>
                <w:sz w:val="21"/>
                <w:szCs w:val="21"/>
              </w:rPr>
            </w:pPr>
            <w:r>
              <w:rPr>
                <w:color w:val="auto"/>
                <w:sz w:val="21"/>
                <w:szCs w:val="21"/>
              </w:rPr>
              <w:t>≤0.1</w:t>
            </w:r>
          </w:p>
        </w:tc>
        <w:tc>
          <w:tcPr>
            <w:tcW w:w="1014" w:type="dxa"/>
            <w:vAlign w:val="center"/>
          </w:tcPr>
          <w:p>
            <w:pPr>
              <w:jc w:val="center"/>
              <w:rPr>
                <w:color w:val="auto"/>
                <w:sz w:val="21"/>
                <w:szCs w:val="21"/>
              </w:rPr>
            </w:pPr>
            <w:r>
              <w:rPr>
                <w:color w:val="auto"/>
                <w:sz w:val="21"/>
                <w:szCs w:val="21"/>
              </w:rPr>
              <w:t>≤0.001</w:t>
            </w:r>
          </w:p>
        </w:tc>
        <w:tc>
          <w:tcPr>
            <w:tcW w:w="1413" w:type="dxa"/>
            <w:vAlign w:val="center"/>
          </w:tcPr>
          <w:p>
            <w:pPr>
              <w:jc w:val="center"/>
              <w:rPr>
                <w:color w:val="auto"/>
                <w:sz w:val="21"/>
                <w:szCs w:val="21"/>
              </w:rPr>
            </w:pPr>
            <w:r>
              <w:rPr>
                <w:color w:val="auto"/>
                <w:sz w:val="21"/>
                <w:szCs w:val="21"/>
              </w:rPr>
              <w:t>≤250</w:t>
            </w:r>
          </w:p>
        </w:tc>
        <w:tc>
          <w:tcPr>
            <w:tcW w:w="1339" w:type="dxa"/>
            <w:vAlign w:val="center"/>
          </w:tcPr>
          <w:p>
            <w:pPr>
              <w:jc w:val="center"/>
              <w:rPr>
                <w:color w:val="auto"/>
                <w:sz w:val="21"/>
                <w:szCs w:val="21"/>
              </w:rPr>
            </w:pPr>
            <w:r>
              <w:rPr>
                <w:color w:val="auto"/>
                <w:sz w:val="21"/>
                <w:szCs w:val="21"/>
              </w:rPr>
              <w:t>≤250</w:t>
            </w:r>
          </w:p>
        </w:tc>
        <w:tc>
          <w:tcPr>
            <w:tcW w:w="877" w:type="dxa"/>
            <w:vAlign w:val="center"/>
          </w:tcPr>
          <w:p>
            <w:pPr>
              <w:jc w:val="center"/>
              <w:rPr>
                <w:color w:val="auto"/>
                <w:sz w:val="21"/>
                <w:szCs w:val="21"/>
              </w:rPr>
            </w:pPr>
            <w:r>
              <w:rPr>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159" w:type="dxa"/>
            <w:vAlign w:val="center"/>
          </w:tcPr>
          <w:p>
            <w:pPr>
              <w:jc w:val="center"/>
              <w:rPr>
                <w:color w:val="auto"/>
                <w:sz w:val="21"/>
                <w:szCs w:val="21"/>
              </w:rPr>
            </w:pPr>
            <w:r>
              <w:rPr>
                <w:b/>
                <w:color w:val="auto"/>
                <w:sz w:val="21"/>
                <w:szCs w:val="21"/>
              </w:rPr>
              <w:t>项目</w:t>
            </w:r>
          </w:p>
        </w:tc>
        <w:tc>
          <w:tcPr>
            <w:tcW w:w="1103" w:type="dxa"/>
            <w:vAlign w:val="center"/>
          </w:tcPr>
          <w:p>
            <w:pPr>
              <w:jc w:val="center"/>
              <w:rPr>
                <w:b/>
                <w:color w:val="auto"/>
                <w:sz w:val="21"/>
                <w:szCs w:val="21"/>
              </w:rPr>
            </w:pPr>
            <w:r>
              <w:rPr>
                <w:b/>
                <w:color w:val="auto"/>
                <w:sz w:val="21"/>
                <w:szCs w:val="21"/>
              </w:rPr>
              <w:t>硝酸盐</w:t>
            </w:r>
          </w:p>
        </w:tc>
        <w:tc>
          <w:tcPr>
            <w:tcW w:w="1246" w:type="dxa"/>
            <w:vAlign w:val="center"/>
          </w:tcPr>
          <w:p>
            <w:pPr>
              <w:jc w:val="center"/>
              <w:rPr>
                <w:b/>
                <w:color w:val="auto"/>
                <w:sz w:val="21"/>
                <w:szCs w:val="21"/>
              </w:rPr>
            </w:pPr>
            <w:r>
              <w:rPr>
                <w:b/>
                <w:color w:val="auto"/>
                <w:sz w:val="21"/>
                <w:szCs w:val="21"/>
              </w:rPr>
              <w:t>铁</w:t>
            </w:r>
          </w:p>
        </w:tc>
        <w:tc>
          <w:tcPr>
            <w:tcW w:w="1135" w:type="dxa"/>
            <w:vAlign w:val="center"/>
          </w:tcPr>
          <w:p>
            <w:pPr>
              <w:jc w:val="center"/>
              <w:rPr>
                <w:b/>
                <w:color w:val="auto"/>
                <w:sz w:val="21"/>
                <w:szCs w:val="21"/>
              </w:rPr>
            </w:pPr>
            <w:r>
              <w:rPr>
                <w:b/>
                <w:color w:val="auto"/>
                <w:sz w:val="21"/>
                <w:szCs w:val="21"/>
              </w:rPr>
              <w:t>锰</w:t>
            </w:r>
          </w:p>
        </w:tc>
        <w:tc>
          <w:tcPr>
            <w:tcW w:w="1014" w:type="dxa"/>
            <w:vAlign w:val="center"/>
          </w:tcPr>
          <w:p>
            <w:pPr>
              <w:jc w:val="center"/>
              <w:rPr>
                <w:b/>
                <w:color w:val="auto"/>
                <w:sz w:val="21"/>
                <w:szCs w:val="21"/>
              </w:rPr>
            </w:pPr>
            <w:r>
              <w:rPr>
                <w:b/>
                <w:color w:val="auto"/>
                <w:sz w:val="21"/>
                <w:szCs w:val="21"/>
              </w:rPr>
              <w:t>铜</w:t>
            </w:r>
          </w:p>
        </w:tc>
        <w:tc>
          <w:tcPr>
            <w:tcW w:w="1413" w:type="dxa"/>
            <w:vAlign w:val="center"/>
          </w:tcPr>
          <w:p>
            <w:pPr>
              <w:jc w:val="center"/>
              <w:rPr>
                <w:b/>
                <w:color w:val="auto"/>
                <w:sz w:val="21"/>
                <w:szCs w:val="21"/>
              </w:rPr>
            </w:pPr>
            <w:r>
              <w:rPr>
                <w:b/>
                <w:color w:val="auto"/>
                <w:sz w:val="21"/>
                <w:szCs w:val="21"/>
              </w:rPr>
              <w:t>锌</w:t>
            </w:r>
          </w:p>
        </w:tc>
        <w:tc>
          <w:tcPr>
            <w:tcW w:w="1339" w:type="dxa"/>
            <w:vAlign w:val="center"/>
          </w:tcPr>
          <w:p>
            <w:pPr>
              <w:jc w:val="center"/>
              <w:rPr>
                <w:b/>
                <w:color w:val="auto"/>
                <w:sz w:val="21"/>
                <w:szCs w:val="21"/>
              </w:rPr>
            </w:pPr>
            <w:r>
              <w:rPr>
                <w:b/>
                <w:color w:val="auto"/>
                <w:sz w:val="21"/>
                <w:szCs w:val="21"/>
              </w:rPr>
              <w:t>硫化物</w:t>
            </w:r>
          </w:p>
        </w:tc>
        <w:tc>
          <w:tcPr>
            <w:tcW w:w="877" w:type="dxa"/>
            <w:vAlign w:val="center"/>
          </w:tcPr>
          <w:p>
            <w:pPr>
              <w:jc w:val="center"/>
              <w:rPr>
                <w:b/>
                <w:color w:val="auto"/>
                <w:sz w:val="21"/>
                <w:szCs w:val="21"/>
              </w:rPr>
            </w:pPr>
            <w:r>
              <w:rPr>
                <w:b/>
                <w:color w:val="auto"/>
                <w:sz w:val="21"/>
                <w:szCs w:val="21"/>
              </w:rPr>
              <w:t>挥发酚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159" w:type="dxa"/>
            <w:vAlign w:val="center"/>
          </w:tcPr>
          <w:p>
            <w:pPr>
              <w:jc w:val="center"/>
              <w:rPr>
                <w:color w:val="auto"/>
                <w:sz w:val="21"/>
                <w:szCs w:val="21"/>
              </w:rPr>
            </w:pPr>
            <w:r>
              <w:rPr>
                <w:color w:val="auto"/>
                <w:sz w:val="21"/>
                <w:szCs w:val="21"/>
              </w:rPr>
              <w:t>III类标准</w:t>
            </w:r>
          </w:p>
        </w:tc>
        <w:tc>
          <w:tcPr>
            <w:tcW w:w="1103" w:type="dxa"/>
            <w:vAlign w:val="center"/>
          </w:tcPr>
          <w:p>
            <w:pPr>
              <w:jc w:val="center"/>
              <w:rPr>
                <w:color w:val="auto"/>
                <w:sz w:val="21"/>
                <w:szCs w:val="21"/>
              </w:rPr>
            </w:pPr>
            <w:r>
              <w:rPr>
                <w:color w:val="auto"/>
                <w:sz w:val="21"/>
                <w:szCs w:val="21"/>
              </w:rPr>
              <w:t>≤10</w:t>
            </w:r>
          </w:p>
        </w:tc>
        <w:tc>
          <w:tcPr>
            <w:tcW w:w="1246" w:type="dxa"/>
            <w:vAlign w:val="center"/>
          </w:tcPr>
          <w:p>
            <w:pPr>
              <w:jc w:val="center"/>
              <w:rPr>
                <w:color w:val="auto"/>
                <w:sz w:val="21"/>
                <w:szCs w:val="21"/>
              </w:rPr>
            </w:pPr>
            <w:r>
              <w:rPr>
                <w:color w:val="auto"/>
                <w:sz w:val="21"/>
                <w:szCs w:val="21"/>
              </w:rPr>
              <w:t>≤0.3</w:t>
            </w:r>
          </w:p>
        </w:tc>
        <w:tc>
          <w:tcPr>
            <w:tcW w:w="1135" w:type="dxa"/>
            <w:vAlign w:val="center"/>
          </w:tcPr>
          <w:p>
            <w:pPr>
              <w:jc w:val="center"/>
              <w:rPr>
                <w:color w:val="auto"/>
                <w:sz w:val="21"/>
                <w:szCs w:val="21"/>
              </w:rPr>
            </w:pPr>
            <w:r>
              <w:rPr>
                <w:color w:val="auto"/>
                <w:sz w:val="21"/>
                <w:szCs w:val="21"/>
              </w:rPr>
              <w:t>≤0.1</w:t>
            </w:r>
          </w:p>
        </w:tc>
        <w:tc>
          <w:tcPr>
            <w:tcW w:w="1014" w:type="dxa"/>
            <w:vAlign w:val="center"/>
          </w:tcPr>
          <w:p>
            <w:pPr>
              <w:jc w:val="center"/>
              <w:rPr>
                <w:color w:val="auto"/>
                <w:sz w:val="21"/>
                <w:szCs w:val="21"/>
              </w:rPr>
            </w:pPr>
            <w:r>
              <w:rPr>
                <w:color w:val="auto"/>
                <w:sz w:val="21"/>
                <w:szCs w:val="21"/>
              </w:rPr>
              <w:t>≤1.0</w:t>
            </w:r>
          </w:p>
        </w:tc>
        <w:tc>
          <w:tcPr>
            <w:tcW w:w="1413" w:type="dxa"/>
            <w:vAlign w:val="center"/>
          </w:tcPr>
          <w:p>
            <w:pPr>
              <w:jc w:val="center"/>
              <w:rPr>
                <w:color w:val="auto"/>
                <w:sz w:val="21"/>
                <w:szCs w:val="21"/>
              </w:rPr>
            </w:pPr>
            <w:r>
              <w:rPr>
                <w:color w:val="auto"/>
                <w:sz w:val="21"/>
                <w:szCs w:val="21"/>
              </w:rPr>
              <w:t>≤1.0</w:t>
            </w:r>
          </w:p>
        </w:tc>
        <w:tc>
          <w:tcPr>
            <w:tcW w:w="1339" w:type="dxa"/>
            <w:vAlign w:val="center"/>
          </w:tcPr>
          <w:p>
            <w:pPr>
              <w:jc w:val="center"/>
              <w:rPr>
                <w:color w:val="auto"/>
                <w:sz w:val="21"/>
                <w:szCs w:val="21"/>
              </w:rPr>
            </w:pPr>
            <w:r>
              <w:rPr>
                <w:color w:val="auto"/>
                <w:sz w:val="21"/>
                <w:szCs w:val="21"/>
              </w:rPr>
              <w:t>≤0.2</w:t>
            </w:r>
          </w:p>
        </w:tc>
        <w:tc>
          <w:tcPr>
            <w:tcW w:w="877" w:type="dxa"/>
            <w:vAlign w:val="center"/>
          </w:tcPr>
          <w:p>
            <w:pPr>
              <w:jc w:val="center"/>
              <w:rPr>
                <w:color w:val="auto"/>
                <w:sz w:val="21"/>
                <w:szCs w:val="21"/>
              </w:rPr>
            </w:pPr>
            <w:r>
              <w:rPr>
                <w:color w:val="auto"/>
                <w:sz w:val="21"/>
                <w:szCs w:val="21"/>
              </w:rPr>
              <w:t>≤0.005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159" w:type="dxa"/>
            <w:tcBorders>
              <w:bottom w:val="single" w:color="auto" w:sz="18" w:space="0"/>
            </w:tcBorders>
            <w:vAlign w:val="center"/>
          </w:tcPr>
          <w:p>
            <w:pPr>
              <w:jc w:val="center"/>
              <w:rPr>
                <w:color w:val="auto"/>
                <w:sz w:val="21"/>
                <w:szCs w:val="21"/>
              </w:rPr>
            </w:pPr>
            <w:r>
              <w:rPr>
                <w:color w:val="auto"/>
                <w:sz w:val="21"/>
                <w:szCs w:val="21"/>
              </w:rPr>
              <w:t>IV类标准</w:t>
            </w:r>
          </w:p>
        </w:tc>
        <w:tc>
          <w:tcPr>
            <w:tcW w:w="1103" w:type="dxa"/>
            <w:tcBorders>
              <w:bottom w:val="single" w:color="auto" w:sz="18" w:space="0"/>
            </w:tcBorders>
            <w:vAlign w:val="center"/>
          </w:tcPr>
          <w:p>
            <w:pPr>
              <w:jc w:val="center"/>
              <w:rPr>
                <w:color w:val="auto"/>
                <w:sz w:val="21"/>
                <w:szCs w:val="21"/>
              </w:rPr>
            </w:pPr>
            <w:r>
              <w:rPr>
                <w:color w:val="auto"/>
                <w:sz w:val="21"/>
                <w:szCs w:val="21"/>
              </w:rPr>
              <w:t>≤10</w:t>
            </w:r>
          </w:p>
        </w:tc>
        <w:tc>
          <w:tcPr>
            <w:tcW w:w="1246" w:type="dxa"/>
            <w:tcBorders>
              <w:bottom w:val="single" w:color="auto" w:sz="18" w:space="0"/>
            </w:tcBorders>
            <w:vAlign w:val="center"/>
          </w:tcPr>
          <w:p>
            <w:pPr>
              <w:jc w:val="center"/>
              <w:rPr>
                <w:color w:val="auto"/>
                <w:sz w:val="21"/>
                <w:szCs w:val="21"/>
              </w:rPr>
            </w:pPr>
            <w:r>
              <w:rPr>
                <w:color w:val="auto"/>
                <w:sz w:val="21"/>
                <w:szCs w:val="21"/>
              </w:rPr>
              <w:t>≤0.3</w:t>
            </w:r>
          </w:p>
        </w:tc>
        <w:tc>
          <w:tcPr>
            <w:tcW w:w="1135" w:type="dxa"/>
            <w:tcBorders>
              <w:bottom w:val="single" w:color="auto" w:sz="18" w:space="0"/>
            </w:tcBorders>
            <w:vAlign w:val="center"/>
          </w:tcPr>
          <w:p>
            <w:pPr>
              <w:jc w:val="center"/>
              <w:rPr>
                <w:color w:val="auto"/>
                <w:sz w:val="21"/>
                <w:szCs w:val="21"/>
              </w:rPr>
            </w:pPr>
            <w:r>
              <w:rPr>
                <w:color w:val="auto"/>
                <w:sz w:val="21"/>
                <w:szCs w:val="21"/>
              </w:rPr>
              <w:t>≤0.1</w:t>
            </w:r>
          </w:p>
        </w:tc>
        <w:tc>
          <w:tcPr>
            <w:tcW w:w="1014" w:type="dxa"/>
            <w:tcBorders>
              <w:bottom w:val="single" w:color="auto" w:sz="18" w:space="0"/>
            </w:tcBorders>
            <w:vAlign w:val="center"/>
          </w:tcPr>
          <w:p>
            <w:pPr>
              <w:jc w:val="center"/>
              <w:rPr>
                <w:color w:val="auto"/>
                <w:sz w:val="21"/>
                <w:szCs w:val="21"/>
              </w:rPr>
            </w:pPr>
            <w:r>
              <w:rPr>
                <w:color w:val="auto"/>
                <w:sz w:val="21"/>
                <w:szCs w:val="21"/>
              </w:rPr>
              <w:t>≤1.0</w:t>
            </w:r>
          </w:p>
        </w:tc>
        <w:tc>
          <w:tcPr>
            <w:tcW w:w="1413" w:type="dxa"/>
            <w:tcBorders>
              <w:bottom w:val="single" w:color="auto" w:sz="18" w:space="0"/>
            </w:tcBorders>
            <w:vAlign w:val="center"/>
          </w:tcPr>
          <w:p>
            <w:pPr>
              <w:jc w:val="center"/>
              <w:rPr>
                <w:color w:val="auto"/>
                <w:sz w:val="21"/>
                <w:szCs w:val="21"/>
              </w:rPr>
            </w:pPr>
            <w:r>
              <w:rPr>
                <w:color w:val="auto"/>
                <w:sz w:val="21"/>
                <w:szCs w:val="21"/>
              </w:rPr>
              <w:t>≤2.0</w:t>
            </w:r>
          </w:p>
        </w:tc>
        <w:tc>
          <w:tcPr>
            <w:tcW w:w="1339" w:type="dxa"/>
            <w:tcBorders>
              <w:bottom w:val="single" w:color="auto" w:sz="18" w:space="0"/>
            </w:tcBorders>
            <w:vAlign w:val="center"/>
          </w:tcPr>
          <w:p>
            <w:pPr>
              <w:jc w:val="center"/>
              <w:rPr>
                <w:color w:val="auto"/>
                <w:sz w:val="21"/>
                <w:szCs w:val="21"/>
              </w:rPr>
            </w:pPr>
            <w:r>
              <w:rPr>
                <w:color w:val="auto"/>
                <w:sz w:val="21"/>
                <w:szCs w:val="21"/>
              </w:rPr>
              <w:t>≤0.5</w:t>
            </w:r>
          </w:p>
        </w:tc>
        <w:tc>
          <w:tcPr>
            <w:tcW w:w="877" w:type="dxa"/>
            <w:tcBorders>
              <w:bottom w:val="single" w:color="auto" w:sz="18" w:space="0"/>
            </w:tcBorders>
            <w:vAlign w:val="center"/>
          </w:tcPr>
          <w:p>
            <w:pPr>
              <w:jc w:val="center"/>
              <w:rPr>
                <w:color w:val="auto"/>
                <w:sz w:val="21"/>
                <w:szCs w:val="21"/>
              </w:rPr>
            </w:pPr>
            <w:r>
              <w:rPr>
                <w:color w:val="auto"/>
                <w:sz w:val="21"/>
                <w:szCs w:val="21"/>
              </w:rPr>
              <w:t>≤0.01</w:t>
            </w:r>
          </w:p>
        </w:tc>
      </w:tr>
    </w:tbl>
    <w:p>
      <w:pPr>
        <w:pStyle w:val="131"/>
        <w:rPr>
          <w:color w:val="auto"/>
          <w:sz w:val="18"/>
        </w:rPr>
      </w:pPr>
      <w:r>
        <w:rPr>
          <w:rFonts w:eastAsia="宋体"/>
          <w:color w:val="auto"/>
          <w:sz w:val="21"/>
          <w:szCs w:val="21"/>
        </w:rPr>
        <w:t>注：</w:t>
      </w:r>
      <w:r>
        <w:rPr>
          <w:color w:val="auto"/>
          <w:sz w:val="21"/>
          <w:szCs w:val="21"/>
        </w:rPr>
        <w:t xml:space="preserve"> SS*</w:t>
      </w:r>
      <w:r>
        <w:rPr>
          <w:rFonts w:eastAsia="宋体"/>
          <w:color w:val="auto"/>
          <w:sz w:val="21"/>
          <w:szCs w:val="21"/>
        </w:rPr>
        <w:t>参照执行《地表水资源质量标准》（</w:t>
      </w:r>
      <w:r>
        <w:rPr>
          <w:color w:val="auto"/>
          <w:sz w:val="21"/>
          <w:szCs w:val="21"/>
        </w:rPr>
        <w:t>SL63-94</w:t>
      </w:r>
      <w:r>
        <w:rPr>
          <w:rFonts w:eastAsia="宋体"/>
          <w:color w:val="auto"/>
          <w:sz w:val="21"/>
          <w:szCs w:val="21"/>
        </w:rPr>
        <w:t>）</w:t>
      </w:r>
      <w:r>
        <w:rPr>
          <w:rFonts w:eastAsia="宋体"/>
          <w:color w:val="auto"/>
          <w:sz w:val="18"/>
        </w:rPr>
        <w:t>。</w:t>
      </w:r>
    </w:p>
    <w:p>
      <w:pPr>
        <w:pStyle w:val="301"/>
        <w:rPr>
          <w:color w:val="auto"/>
        </w:rPr>
      </w:pPr>
      <w:r>
        <w:rPr>
          <w:color w:val="auto"/>
        </w:rPr>
        <w:t>2.8.1.3声环境质量标准</w:t>
      </w:r>
    </w:p>
    <w:p>
      <w:pPr>
        <w:spacing w:line="360" w:lineRule="auto"/>
        <w:ind w:firstLine="480"/>
        <w:jc w:val="both"/>
        <w:rPr>
          <w:color w:val="auto"/>
        </w:rPr>
      </w:pPr>
      <w:r>
        <w:rPr>
          <w:color w:val="auto"/>
        </w:rPr>
        <w:t>项目所在区域为2类标准适用区域，执行《声环境质量标准》（GB3096-2008）2类标准</w:t>
      </w:r>
      <w:r>
        <w:rPr>
          <w:rFonts w:hint="eastAsia"/>
          <w:color w:val="auto"/>
        </w:rPr>
        <w:t>；项目东侧邻近济广高速，执行</w:t>
      </w:r>
      <w:r>
        <w:rPr>
          <w:color w:val="auto"/>
        </w:rPr>
        <w:t>《声环境质量标准》（GB3096-2008）4</w:t>
      </w:r>
      <w:r>
        <w:rPr>
          <w:rFonts w:hint="eastAsia"/>
          <w:color w:val="auto"/>
        </w:rPr>
        <w:t>a</w:t>
      </w:r>
      <w:r>
        <w:rPr>
          <w:color w:val="auto"/>
        </w:rPr>
        <w:t>类标准。标准值见下表。</w:t>
      </w:r>
    </w:p>
    <w:p>
      <w:pPr>
        <w:pStyle w:val="5"/>
        <w:ind w:firstLine="482"/>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2.8</w:t>
      </w:r>
      <w:r>
        <w:rPr>
          <w:b/>
          <w:color w:val="auto"/>
        </w:rPr>
        <w:fldChar w:fldCharType="end"/>
      </w:r>
      <w:r>
        <w:rPr>
          <w:b/>
          <w:color w:val="auto"/>
        </w:rPr>
        <w:noBreakHyphen/>
      </w:r>
      <w:r>
        <w:rPr>
          <w:b/>
          <w:color w:val="auto"/>
        </w:rPr>
        <w:fldChar w:fldCharType="begin"/>
      </w:r>
      <w:r>
        <w:rPr>
          <w:b/>
          <w:color w:val="auto"/>
        </w:rPr>
        <w:instrText xml:space="preserve"> SEQ 表 \* ARABIC \s 2 </w:instrText>
      </w:r>
      <w:r>
        <w:rPr>
          <w:b/>
          <w:color w:val="auto"/>
        </w:rPr>
        <w:fldChar w:fldCharType="separate"/>
      </w:r>
      <w:r>
        <w:rPr>
          <w:b/>
          <w:color w:val="auto"/>
        </w:rPr>
        <w:t>3</w:t>
      </w:r>
      <w:r>
        <w:rPr>
          <w:b/>
          <w:color w:val="auto"/>
        </w:rPr>
        <w:fldChar w:fldCharType="end"/>
      </w:r>
      <w:r>
        <w:rPr>
          <w:b/>
          <w:color w:val="auto"/>
        </w:rPr>
        <w:t xml:space="preserve">  声环境质量标准限值  单位：dB（A）</w:t>
      </w:r>
    </w:p>
    <w:tbl>
      <w:tblPr>
        <w:tblStyle w:val="53"/>
        <w:tblW w:w="9286" w:type="dxa"/>
        <w:jc w:val="center"/>
        <w:tblInd w:w="0" w:type="dxa"/>
        <w:tblBorders>
          <w:top w:val="single" w:color="000000" w:sz="8" w:space="0"/>
          <w:left w:val="none" w:color="auto" w:sz="0" w:space="0"/>
          <w:bottom w:val="single" w:color="000000"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43"/>
        <w:gridCol w:w="1120"/>
        <w:gridCol w:w="1120"/>
        <w:gridCol w:w="5003"/>
      </w:tblGrid>
      <w:tr>
        <w:tblPrEx>
          <w:tblBorders>
            <w:top w:val="single" w:color="000000" w:sz="8" w:space="0"/>
            <w:left w:val="none" w:color="auto" w:sz="0" w:space="0"/>
            <w:bottom w:val="single" w:color="000000"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43" w:type="dxa"/>
            <w:tcBorders>
              <w:top w:val="single" w:color="auto" w:sz="18" w:space="0"/>
            </w:tcBorders>
          </w:tcPr>
          <w:p>
            <w:pPr>
              <w:pStyle w:val="5"/>
              <w:ind w:firstLine="0" w:firstLineChars="0"/>
              <w:jc w:val="center"/>
              <w:rPr>
                <w:color w:val="auto"/>
                <w:sz w:val="21"/>
              </w:rPr>
            </w:pPr>
            <w:r>
              <w:rPr>
                <w:color w:val="auto"/>
                <w:sz w:val="21"/>
              </w:rPr>
              <w:t>声环境功能类别</w:t>
            </w:r>
          </w:p>
        </w:tc>
        <w:tc>
          <w:tcPr>
            <w:tcW w:w="1120" w:type="dxa"/>
            <w:tcBorders>
              <w:top w:val="single" w:color="auto" w:sz="18" w:space="0"/>
            </w:tcBorders>
            <w:vAlign w:val="center"/>
          </w:tcPr>
          <w:p>
            <w:pPr>
              <w:pStyle w:val="5"/>
              <w:ind w:firstLine="0" w:firstLineChars="0"/>
              <w:jc w:val="center"/>
              <w:rPr>
                <w:color w:val="auto"/>
                <w:sz w:val="21"/>
              </w:rPr>
            </w:pPr>
            <w:r>
              <w:rPr>
                <w:color w:val="auto"/>
                <w:sz w:val="21"/>
              </w:rPr>
              <w:t>昼间</w:t>
            </w:r>
          </w:p>
        </w:tc>
        <w:tc>
          <w:tcPr>
            <w:tcW w:w="1120" w:type="dxa"/>
            <w:tcBorders>
              <w:top w:val="single" w:color="auto" w:sz="18" w:space="0"/>
            </w:tcBorders>
            <w:vAlign w:val="center"/>
          </w:tcPr>
          <w:p>
            <w:pPr>
              <w:pStyle w:val="5"/>
              <w:ind w:firstLine="0" w:firstLineChars="0"/>
              <w:jc w:val="center"/>
              <w:rPr>
                <w:color w:val="auto"/>
                <w:sz w:val="21"/>
              </w:rPr>
            </w:pPr>
            <w:r>
              <w:rPr>
                <w:color w:val="auto"/>
                <w:sz w:val="21"/>
              </w:rPr>
              <w:t>夜间</w:t>
            </w:r>
          </w:p>
        </w:tc>
        <w:tc>
          <w:tcPr>
            <w:tcW w:w="5003" w:type="dxa"/>
            <w:tcBorders>
              <w:top w:val="single" w:color="auto" w:sz="18" w:space="0"/>
            </w:tcBorders>
            <w:vAlign w:val="center"/>
          </w:tcPr>
          <w:p>
            <w:pPr>
              <w:pStyle w:val="5"/>
              <w:ind w:firstLine="0" w:firstLineChars="0"/>
              <w:jc w:val="center"/>
              <w:rPr>
                <w:color w:val="auto"/>
                <w:sz w:val="21"/>
              </w:rPr>
            </w:pPr>
            <w:r>
              <w:rPr>
                <w:color w:val="auto"/>
                <w:sz w:val="21"/>
              </w:rPr>
              <w:t>执行范围</w:t>
            </w:r>
          </w:p>
        </w:tc>
      </w:tr>
      <w:tr>
        <w:tblPrEx>
          <w:tblBorders>
            <w:top w:val="single" w:color="000000" w:sz="8" w:space="0"/>
            <w:left w:val="none" w:color="auto" w:sz="0" w:space="0"/>
            <w:bottom w:val="single" w:color="000000"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43" w:type="dxa"/>
            <w:tcBorders>
              <w:right w:val="single" w:color="auto" w:sz="2" w:space="0"/>
            </w:tcBorders>
            <w:shd w:val="clear" w:color="auto" w:fill="FFFFFF"/>
          </w:tcPr>
          <w:p>
            <w:pPr>
              <w:pStyle w:val="5"/>
              <w:ind w:firstLine="0" w:firstLineChars="0"/>
              <w:jc w:val="center"/>
              <w:rPr>
                <w:b/>
                <w:color w:val="auto"/>
                <w:sz w:val="21"/>
              </w:rPr>
            </w:pPr>
            <w:r>
              <w:rPr>
                <w:color w:val="auto"/>
                <w:sz w:val="21"/>
              </w:rPr>
              <w:t>2类</w:t>
            </w:r>
          </w:p>
        </w:tc>
        <w:tc>
          <w:tcPr>
            <w:tcW w:w="1120" w:type="dxa"/>
            <w:tcBorders>
              <w:left w:val="single" w:color="auto" w:sz="2" w:space="0"/>
              <w:right w:val="single" w:color="auto" w:sz="2" w:space="0"/>
            </w:tcBorders>
            <w:shd w:val="clear" w:color="auto" w:fill="FFFFFF"/>
            <w:vAlign w:val="center"/>
          </w:tcPr>
          <w:p>
            <w:pPr>
              <w:pStyle w:val="5"/>
              <w:ind w:firstLine="0" w:firstLineChars="0"/>
              <w:jc w:val="center"/>
              <w:rPr>
                <w:b/>
                <w:color w:val="auto"/>
                <w:sz w:val="21"/>
              </w:rPr>
            </w:pPr>
            <w:r>
              <w:rPr>
                <w:color w:val="auto"/>
                <w:sz w:val="21"/>
              </w:rPr>
              <w:t>60</w:t>
            </w:r>
          </w:p>
        </w:tc>
        <w:tc>
          <w:tcPr>
            <w:tcW w:w="1120" w:type="dxa"/>
            <w:tcBorders>
              <w:left w:val="single" w:color="auto" w:sz="2" w:space="0"/>
              <w:right w:val="single" w:color="auto" w:sz="2" w:space="0"/>
            </w:tcBorders>
            <w:shd w:val="clear" w:color="auto" w:fill="FFFFFF"/>
            <w:vAlign w:val="center"/>
          </w:tcPr>
          <w:p>
            <w:pPr>
              <w:pStyle w:val="5"/>
              <w:ind w:firstLine="0" w:firstLineChars="0"/>
              <w:jc w:val="center"/>
              <w:rPr>
                <w:b/>
                <w:color w:val="auto"/>
                <w:sz w:val="21"/>
              </w:rPr>
            </w:pPr>
            <w:r>
              <w:rPr>
                <w:color w:val="auto"/>
                <w:sz w:val="21"/>
              </w:rPr>
              <w:t>50</w:t>
            </w:r>
          </w:p>
        </w:tc>
        <w:tc>
          <w:tcPr>
            <w:tcW w:w="5003" w:type="dxa"/>
            <w:tcBorders>
              <w:left w:val="single" w:color="auto" w:sz="2" w:space="0"/>
            </w:tcBorders>
            <w:shd w:val="clear" w:color="auto" w:fill="FFFFFF"/>
            <w:vAlign w:val="center"/>
          </w:tcPr>
          <w:p>
            <w:pPr>
              <w:pStyle w:val="5"/>
              <w:ind w:firstLine="0" w:firstLineChars="0"/>
              <w:jc w:val="center"/>
              <w:rPr>
                <w:b/>
                <w:color w:val="auto"/>
                <w:sz w:val="21"/>
              </w:rPr>
            </w:pPr>
            <w:r>
              <w:rPr>
                <w:color w:val="auto"/>
                <w:sz w:val="21"/>
              </w:rPr>
              <w:t>项目所在区域</w:t>
            </w:r>
          </w:p>
        </w:tc>
      </w:tr>
      <w:tr>
        <w:tblPrEx>
          <w:tblBorders>
            <w:top w:val="single" w:color="000000" w:sz="8" w:space="0"/>
            <w:left w:val="none" w:color="auto" w:sz="0" w:space="0"/>
            <w:bottom w:val="single" w:color="000000"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43" w:type="dxa"/>
            <w:tcBorders>
              <w:bottom w:val="single" w:color="auto" w:sz="18" w:space="0"/>
              <w:right w:val="single" w:color="auto" w:sz="2" w:space="0"/>
            </w:tcBorders>
            <w:shd w:val="clear" w:color="auto" w:fill="FFFFFF"/>
          </w:tcPr>
          <w:p>
            <w:pPr>
              <w:pStyle w:val="5"/>
              <w:ind w:firstLine="0" w:firstLineChars="0"/>
              <w:jc w:val="center"/>
              <w:rPr>
                <w:color w:val="auto"/>
                <w:sz w:val="21"/>
              </w:rPr>
            </w:pPr>
            <w:r>
              <w:rPr>
                <w:rFonts w:hint="eastAsia"/>
                <w:color w:val="auto"/>
                <w:sz w:val="21"/>
              </w:rPr>
              <w:t>4a类</w:t>
            </w:r>
          </w:p>
        </w:tc>
        <w:tc>
          <w:tcPr>
            <w:tcW w:w="1120" w:type="dxa"/>
            <w:tcBorders>
              <w:left w:val="single" w:color="auto" w:sz="2" w:space="0"/>
              <w:bottom w:val="single" w:color="auto" w:sz="18" w:space="0"/>
              <w:right w:val="single" w:color="auto" w:sz="2" w:space="0"/>
            </w:tcBorders>
            <w:shd w:val="clear" w:color="auto" w:fill="FFFFFF"/>
            <w:vAlign w:val="center"/>
          </w:tcPr>
          <w:p>
            <w:pPr>
              <w:pStyle w:val="5"/>
              <w:ind w:firstLine="0" w:firstLineChars="0"/>
              <w:jc w:val="center"/>
              <w:rPr>
                <w:color w:val="auto"/>
                <w:sz w:val="21"/>
              </w:rPr>
            </w:pPr>
            <w:r>
              <w:rPr>
                <w:rFonts w:hint="eastAsia"/>
                <w:color w:val="auto"/>
                <w:sz w:val="21"/>
              </w:rPr>
              <w:t>7</w:t>
            </w:r>
            <w:r>
              <w:rPr>
                <w:color w:val="auto"/>
                <w:sz w:val="21"/>
              </w:rPr>
              <w:t>0</w:t>
            </w:r>
          </w:p>
        </w:tc>
        <w:tc>
          <w:tcPr>
            <w:tcW w:w="1120" w:type="dxa"/>
            <w:tcBorders>
              <w:left w:val="single" w:color="auto" w:sz="2" w:space="0"/>
              <w:bottom w:val="single" w:color="auto" w:sz="18" w:space="0"/>
              <w:right w:val="single" w:color="auto" w:sz="2" w:space="0"/>
            </w:tcBorders>
            <w:shd w:val="clear" w:color="auto" w:fill="FFFFFF"/>
            <w:vAlign w:val="center"/>
          </w:tcPr>
          <w:p>
            <w:pPr>
              <w:pStyle w:val="5"/>
              <w:ind w:firstLine="0" w:firstLineChars="0"/>
              <w:jc w:val="center"/>
              <w:rPr>
                <w:color w:val="auto"/>
                <w:sz w:val="21"/>
              </w:rPr>
            </w:pPr>
            <w:r>
              <w:rPr>
                <w:rFonts w:hint="eastAsia"/>
                <w:color w:val="auto"/>
                <w:sz w:val="21"/>
              </w:rPr>
              <w:t>5</w:t>
            </w:r>
            <w:r>
              <w:rPr>
                <w:color w:val="auto"/>
                <w:sz w:val="21"/>
              </w:rPr>
              <w:t>5</w:t>
            </w:r>
          </w:p>
        </w:tc>
        <w:tc>
          <w:tcPr>
            <w:tcW w:w="5003" w:type="dxa"/>
            <w:tcBorders>
              <w:left w:val="single" w:color="auto" w:sz="2" w:space="0"/>
              <w:bottom w:val="single" w:color="auto" w:sz="18" w:space="0"/>
            </w:tcBorders>
            <w:shd w:val="clear" w:color="auto" w:fill="FFFFFF"/>
            <w:vAlign w:val="center"/>
          </w:tcPr>
          <w:p>
            <w:pPr>
              <w:pStyle w:val="5"/>
              <w:ind w:firstLine="0" w:firstLineChars="0"/>
              <w:jc w:val="center"/>
              <w:rPr>
                <w:color w:val="auto"/>
                <w:sz w:val="21"/>
              </w:rPr>
            </w:pPr>
            <w:r>
              <w:rPr>
                <w:rFonts w:hint="eastAsia"/>
                <w:color w:val="auto"/>
                <w:sz w:val="21"/>
              </w:rPr>
              <w:t>项目东厂界</w:t>
            </w:r>
          </w:p>
        </w:tc>
      </w:tr>
    </w:tbl>
    <w:p>
      <w:pPr>
        <w:pStyle w:val="301"/>
        <w:rPr>
          <w:color w:val="auto"/>
        </w:rPr>
      </w:pPr>
      <w:r>
        <w:rPr>
          <w:color w:val="auto"/>
        </w:rPr>
        <w:t>2.8.1.4地下水环境质量标准</w:t>
      </w:r>
    </w:p>
    <w:p>
      <w:pPr>
        <w:spacing w:line="360" w:lineRule="auto"/>
        <w:ind w:firstLine="480"/>
        <w:jc w:val="both"/>
        <w:rPr>
          <w:color w:val="auto"/>
        </w:rPr>
      </w:pPr>
      <w:r>
        <w:rPr>
          <w:color w:val="auto"/>
        </w:rPr>
        <w:t>根据《广东省地下水功能区划》（粤办函</w:t>
      </w:r>
      <w:r>
        <w:rPr>
          <w:rFonts w:hint="eastAsia"/>
          <w:color w:val="auto"/>
        </w:rPr>
        <w:t>【2</w:t>
      </w:r>
      <w:r>
        <w:rPr>
          <w:color w:val="auto"/>
        </w:rPr>
        <w:t>009</w:t>
      </w:r>
      <w:r>
        <w:rPr>
          <w:rFonts w:hint="eastAsia"/>
          <w:color w:val="auto"/>
        </w:rPr>
        <w:t>】</w:t>
      </w:r>
      <w:r>
        <w:rPr>
          <w:color w:val="auto"/>
        </w:rPr>
        <w:t>459号），项目所在区域地下水属于</w:t>
      </w:r>
      <w:r>
        <w:rPr>
          <w:rFonts w:hint="eastAsia"/>
          <w:color w:val="auto"/>
        </w:rPr>
        <w:t>“韩江及粤东诸河梅州兴宁地下水水源涵养区（</w:t>
      </w:r>
      <w:r>
        <w:rPr>
          <w:color w:val="auto"/>
        </w:rPr>
        <w:t>H084414002T06</w:t>
      </w:r>
      <w:r>
        <w:rPr>
          <w:rFonts w:hint="eastAsia"/>
          <w:color w:val="auto"/>
        </w:rPr>
        <w:t>）”</w:t>
      </w:r>
      <w:r>
        <w:rPr>
          <w:color w:val="auto"/>
        </w:rPr>
        <w:t>，地下水水质保护目标为III类，执行《地下水质量标准》（GB/T 14848-2017）III类水质标准，具体标准值见下表。</w:t>
      </w:r>
    </w:p>
    <w:p>
      <w:pPr>
        <w:pStyle w:val="5"/>
        <w:ind w:firstLine="482"/>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2.8</w:t>
      </w:r>
      <w:r>
        <w:rPr>
          <w:b/>
          <w:color w:val="auto"/>
        </w:rPr>
        <w:fldChar w:fldCharType="end"/>
      </w:r>
      <w:r>
        <w:rPr>
          <w:b/>
          <w:color w:val="auto"/>
        </w:rPr>
        <w:noBreakHyphen/>
      </w:r>
      <w:r>
        <w:rPr>
          <w:b/>
          <w:color w:val="auto"/>
        </w:rPr>
        <w:fldChar w:fldCharType="begin"/>
      </w:r>
      <w:r>
        <w:rPr>
          <w:b/>
          <w:color w:val="auto"/>
        </w:rPr>
        <w:instrText xml:space="preserve"> SEQ 表 \* ARABIC \s 2 </w:instrText>
      </w:r>
      <w:r>
        <w:rPr>
          <w:b/>
          <w:color w:val="auto"/>
        </w:rPr>
        <w:fldChar w:fldCharType="separate"/>
      </w:r>
      <w:r>
        <w:rPr>
          <w:b/>
          <w:color w:val="auto"/>
        </w:rPr>
        <w:t>4</w:t>
      </w:r>
      <w:r>
        <w:rPr>
          <w:b/>
          <w:color w:val="auto"/>
        </w:rPr>
        <w:fldChar w:fldCharType="end"/>
      </w:r>
      <w:r>
        <w:rPr>
          <w:b/>
          <w:color w:val="auto"/>
        </w:rPr>
        <w:t xml:space="preserve">  地下水质量标准  单位：mg/L（总大肠杆菌群除外）</w:t>
      </w:r>
    </w:p>
    <w:tbl>
      <w:tblPr>
        <w:tblStyle w:val="53"/>
        <w:tblW w:w="9286"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64"/>
        <w:gridCol w:w="1168"/>
        <w:gridCol w:w="1194"/>
        <w:gridCol w:w="1140"/>
        <w:gridCol w:w="969"/>
        <w:gridCol w:w="1419"/>
        <w:gridCol w:w="1345"/>
        <w:gridCol w:w="88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164" w:type="dxa"/>
            <w:tcBorders>
              <w:top w:val="single" w:color="auto" w:sz="18" w:space="0"/>
            </w:tcBorders>
            <w:vAlign w:val="center"/>
          </w:tcPr>
          <w:p>
            <w:pPr>
              <w:jc w:val="center"/>
              <w:rPr>
                <w:b/>
                <w:color w:val="auto"/>
                <w:sz w:val="21"/>
                <w:szCs w:val="21"/>
              </w:rPr>
            </w:pPr>
            <w:r>
              <w:rPr>
                <w:b/>
                <w:color w:val="auto"/>
                <w:sz w:val="21"/>
                <w:szCs w:val="21"/>
              </w:rPr>
              <w:t>项目</w:t>
            </w:r>
          </w:p>
        </w:tc>
        <w:tc>
          <w:tcPr>
            <w:tcW w:w="1168" w:type="dxa"/>
            <w:tcBorders>
              <w:top w:val="single" w:color="auto" w:sz="18" w:space="0"/>
            </w:tcBorders>
            <w:vAlign w:val="center"/>
          </w:tcPr>
          <w:p>
            <w:pPr>
              <w:jc w:val="center"/>
              <w:rPr>
                <w:b/>
                <w:color w:val="auto"/>
                <w:sz w:val="21"/>
                <w:szCs w:val="21"/>
              </w:rPr>
            </w:pPr>
            <w:r>
              <w:rPr>
                <w:b/>
                <w:color w:val="auto"/>
                <w:sz w:val="21"/>
                <w:szCs w:val="21"/>
              </w:rPr>
              <w:t>pH</w:t>
            </w:r>
          </w:p>
        </w:tc>
        <w:tc>
          <w:tcPr>
            <w:tcW w:w="1194" w:type="dxa"/>
            <w:tcBorders>
              <w:top w:val="single" w:color="auto" w:sz="18" w:space="0"/>
            </w:tcBorders>
            <w:vAlign w:val="center"/>
          </w:tcPr>
          <w:p>
            <w:pPr>
              <w:jc w:val="center"/>
              <w:rPr>
                <w:b/>
                <w:color w:val="auto"/>
                <w:sz w:val="21"/>
                <w:szCs w:val="21"/>
              </w:rPr>
            </w:pPr>
            <w:r>
              <w:rPr>
                <w:b/>
                <w:color w:val="auto"/>
                <w:sz w:val="21"/>
                <w:szCs w:val="21"/>
              </w:rPr>
              <w:t>浑浊度</w:t>
            </w:r>
          </w:p>
        </w:tc>
        <w:tc>
          <w:tcPr>
            <w:tcW w:w="1140" w:type="dxa"/>
            <w:tcBorders>
              <w:top w:val="single" w:color="auto" w:sz="18" w:space="0"/>
            </w:tcBorders>
            <w:vAlign w:val="center"/>
          </w:tcPr>
          <w:p>
            <w:pPr>
              <w:jc w:val="center"/>
              <w:rPr>
                <w:b/>
                <w:color w:val="auto"/>
                <w:sz w:val="21"/>
                <w:szCs w:val="21"/>
              </w:rPr>
            </w:pPr>
            <w:r>
              <w:rPr>
                <w:b/>
                <w:color w:val="auto"/>
                <w:sz w:val="21"/>
                <w:szCs w:val="21"/>
              </w:rPr>
              <w:t>总硬度</w:t>
            </w:r>
          </w:p>
        </w:tc>
        <w:tc>
          <w:tcPr>
            <w:tcW w:w="969" w:type="dxa"/>
            <w:tcBorders>
              <w:top w:val="single" w:color="auto" w:sz="18" w:space="0"/>
            </w:tcBorders>
            <w:vAlign w:val="center"/>
          </w:tcPr>
          <w:p>
            <w:pPr>
              <w:jc w:val="center"/>
              <w:rPr>
                <w:b/>
                <w:color w:val="auto"/>
                <w:sz w:val="21"/>
                <w:szCs w:val="21"/>
              </w:rPr>
            </w:pPr>
            <w:r>
              <w:rPr>
                <w:b/>
                <w:color w:val="auto"/>
                <w:sz w:val="21"/>
                <w:szCs w:val="21"/>
              </w:rPr>
              <w:t>溶解性总固体</w:t>
            </w:r>
          </w:p>
        </w:tc>
        <w:tc>
          <w:tcPr>
            <w:tcW w:w="1419" w:type="dxa"/>
            <w:tcBorders>
              <w:top w:val="single" w:color="auto" w:sz="18" w:space="0"/>
            </w:tcBorders>
            <w:vAlign w:val="center"/>
          </w:tcPr>
          <w:p>
            <w:pPr>
              <w:jc w:val="center"/>
              <w:rPr>
                <w:b/>
                <w:color w:val="auto"/>
                <w:sz w:val="21"/>
                <w:szCs w:val="21"/>
              </w:rPr>
            </w:pPr>
            <w:r>
              <w:rPr>
                <w:b/>
                <w:color w:val="auto"/>
                <w:sz w:val="21"/>
                <w:szCs w:val="21"/>
              </w:rPr>
              <w:t>耗氧量（高锰酸盐指数）</w:t>
            </w:r>
          </w:p>
        </w:tc>
        <w:tc>
          <w:tcPr>
            <w:tcW w:w="1345" w:type="dxa"/>
            <w:tcBorders>
              <w:top w:val="single" w:color="auto" w:sz="18" w:space="0"/>
            </w:tcBorders>
            <w:vAlign w:val="center"/>
          </w:tcPr>
          <w:p>
            <w:pPr>
              <w:jc w:val="center"/>
              <w:rPr>
                <w:b/>
                <w:color w:val="auto"/>
                <w:sz w:val="21"/>
                <w:szCs w:val="21"/>
              </w:rPr>
            </w:pPr>
            <w:r>
              <w:rPr>
                <w:b/>
                <w:color w:val="auto"/>
                <w:sz w:val="21"/>
                <w:szCs w:val="21"/>
              </w:rPr>
              <w:t>挥发酚类</w:t>
            </w:r>
          </w:p>
        </w:tc>
        <w:tc>
          <w:tcPr>
            <w:tcW w:w="887" w:type="dxa"/>
            <w:tcBorders>
              <w:top w:val="single" w:color="auto" w:sz="18" w:space="0"/>
            </w:tcBorders>
            <w:vAlign w:val="center"/>
          </w:tcPr>
          <w:p>
            <w:pPr>
              <w:jc w:val="center"/>
              <w:rPr>
                <w:b/>
                <w:color w:val="auto"/>
                <w:sz w:val="21"/>
                <w:szCs w:val="21"/>
              </w:rPr>
            </w:pPr>
            <w:r>
              <w:rPr>
                <w:b/>
                <w:color w:val="auto"/>
                <w:sz w:val="21"/>
                <w:szCs w:val="21"/>
              </w:rPr>
              <w:t>阴离子活性表面剂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164" w:type="dxa"/>
            <w:vAlign w:val="center"/>
          </w:tcPr>
          <w:p>
            <w:pPr>
              <w:jc w:val="center"/>
              <w:rPr>
                <w:color w:val="auto"/>
                <w:sz w:val="21"/>
                <w:szCs w:val="21"/>
              </w:rPr>
            </w:pPr>
            <w:r>
              <w:rPr>
                <w:color w:val="auto"/>
                <w:sz w:val="21"/>
                <w:szCs w:val="21"/>
              </w:rPr>
              <w:t>Ⅲ类标准</w:t>
            </w:r>
          </w:p>
        </w:tc>
        <w:tc>
          <w:tcPr>
            <w:tcW w:w="1168" w:type="dxa"/>
            <w:vAlign w:val="center"/>
          </w:tcPr>
          <w:p>
            <w:pPr>
              <w:jc w:val="center"/>
              <w:rPr>
                <w:color w:val="auto"/>
                <w:sz w:val="21"/>
                <w:szCs w:val="21"/>
              </w:rPr>
            </w:pPr>
            <w:r>
              <w:rPr>
                <w:color w:val="auto"/>
                <w:sz w:val="21"/>
                <w:szCs w:val="21"/>
              </w:rPr>
              <w:t>6.5-8.5</w:t>
            </w:r>
          </w:p>
        </w:tc>
        <w:tc>
          <w:tcPr>
            <w:tcW w:w="1194" w:type="dxa"/>
            <w:vAlign w:val="center"/>
          </w:tcPr>
          <w:p>
            <w:pPr>
              <w:jc w:val="center"/>
              <w:rPr>
                <w:color w:val="auto"/>
                <w:sz w:val="21"/>
                <w:szCs w:val="21"/>
              </w:rPr>
            </w:pPr>
            <w:r>
              <w:rPr>
                <w:color w:val="auto"/>
                <w:sz w:val="21"/>
                <w:szCs w:val="21"/>
              </w:rPr>
              <w:t>≤3</w:t>
            </w:r>
          </w:p>
        </w:tc>
        <w:tc>
          <w:tcPr>
            <w:tcW w:w="1140" w:type="dxa"/>
            <w:vAlign w:val="center"/>
          </w:tcPr>
          <w:p>
            <w:pPr>
              <w:jc w:val="center"/>
              <w:rPr>
                <w:color w:val="auto"/>
                <w:sz w:val="21"/>
                <w:szCs w:val="21"/>
              </w:rPr>
            </w:pPr>
            <w:r>
              <w:rPr>
                <w:color w:val="auto"/>
                <w:sz w:val="21"/>
                <w:szCs w:val="21"/>
              </w:rPr>
              <w:t>≤450</w:t>
            </w:r>
          </w:p>
        </w:tc>
        <w:tc>
          <w:tcPr>
            <w:tcW w:w="969" w:type="dxa"/>
            <w:vAlign w:val="center"/>
          </w:tcPr>
          <w:p>
            <w:pPr>
              <w:jc w:val="center"/>
              <w:rPr>
                <w:color w:val="auto"/>
                <w:sz w:val="21"/>
                <w:szCs w:val="21"/>
              </w:rPr>
            </w:pPr>
            <w:r>
              <w:rPr>
                <w:color w:val="auto"/>
                <w:sz w:val="21"/>
                <w:szCs w:val="21"/>
              </w:rPr>
              <w:t>≤1000</w:t>
            </w:r>
          </w:p>
        </w:tc>
        <w:tc>
          <w:tcPr>
            <w:tcW w:w="1419" w:type="dxa"/>
            <w:vAlign w:val="center"/>
          </w:tcPr>
          <w:p>
            <w:pPr>
              <w:jc w:val="center"/>
              <w:rPr>
                <w:color w:val="auto"/>
                <w:sz w:val="21"/>
                <w:szCs w:val="21"/>
              </w:rPr>
            </w:pPr>
            <w:r>
              <w:rPr>
                <w:color w:val="auto"/>
                <w:sz w:val="21"/>
                <w:szCs w:val="21"/>
              </w:rPr>
              <w:t>≤3.0</w:t>
            </w:r>
          </w:p>
        </w:tc>
        <w:tc>
          <w:tcPr>
            <w:tcW w:w="1345" w:type="dxa"/>
            <w:vAlign w:val="center"/>
          </w:tcPr>
          <w:p>
            <w:pPr>
              <w:jc w:val="center"/>
              <w:rPr>
                <w:color w:val="auto"/>
                <w:sz w:val="21"/>
                <w:szCs w:val="21"/>
              </w:rPr>
            </w:pPr>
            <w:r>
              <w:rPr>
                <w:color w:val="auto"/>
                <w:sz w:val="21"/>
                <w:szCs w:val="21"/>
              </w:rPr>
              <w:t>≤0.002</w:t>
            </w:r>
          </w:p>
        </w:tc>
        <w:tc>
          <w:tcPr>
            <w:tcW w:w="887" w:type="dxa"/>
            <w:vAlign w:val="center"/>
          </w:tcPr>
          <w:p>
            <w:pPr>
              <w:jc w:val="center"/>
              <w:rPr>
                <w:color w:val="auto"/>
                <w:sz w:val="21"/>
                <w:szCs w:val="21"/>
              </w:rPr>
            </w:pPr>
            <w:r>
              <w:rPr>
                <w:color w:val="auto"/>
                <w:sz w:val="21"/>
                <w:szCs w:val="21"/>
              </w:rPr>
              <w:t>≤0.3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164" w:type="dxa"/>
            <w:vAlign w:val="center"/>
          </w:tcPr>
          <w:p>
            <w:pPr>
              <w:jc w:val="center"/>
              <w:rPr>
                <w:b/>
                <w:color w:val="auto"/>
                <w:sz w:val="21"/>
                <w:szCs w:val="21"/>
              </w:rPr>
            </w:pPr>
            <w:r>
              <w:rPr>
                <w:b/>
                <w:color w:val="auto"/>
                <w:sz w:val="21"/>
                <w:szCs w:val="21"/>
              </w:rPr>
              <w:t>项目</w:t>
            </w:r>
          </w:p>
        </w:tc>
        <w:tc>
          <w:tcPr>
            <w:tcW w:w="1168" w:type="dxa"/>
            <w:vAlign w:val="center"/>
          </w:tcPr>
          <w:p>
            <w:pPr>
              <w:jc w:val="center"/>
              <w:rPr>
                <w:b/>
                <w:color w:val="auto"/>
                <w:sz w:val="21"/>
                <w:szCs w:val="21"/>
              </w:rPr>
            </w:pPr>
            <w:r>
              <w:rPr>
                <w:b/>
                <w:color w:val="auto"/>
                <w:sz w:val="21"/>
                <w:szCs w:val="21"/>
              </w:rPr>
              <w:t>硫酸盐</w:t>
            </w:r>
          </w:p>
        </w:tc>
        <w:tc>
          <w:tcPr>
            <w:tcW w:w="1194" w:type="dxa"/>
            <w:vAlign w:val="center"/>
          </w:tcPr>
          <w:p>
            <w:pPr>
              <w:jc w:val="center"/>
              <w:rPr>
                <w:b/>
                <w:color w:val="auto"/>
                <w:sz w:val="21"/>
                <w:szCs w:val="21"/>
              </w:rPr>
            </w:pPr>
            <w:r>
              <w:rPr>
                <w:b/>
                <w:color w:val="auto"/>
                <w:sz w:val="21"/>
                <w:szCs w:val="21"/>
              </w:rPr>
              <w:t>氯化物</w:t>
            </w:r>
          </w:p>
        </w:tc>
        <w:tc>
          <w:tcPr>
            <w:tcW w:w="1140" w:type="dxa"/>
            <w:vAlign w:val="center"/>
          </w:tcPr>
          <w:p>
            <w:pPr>
              <w:jc w:val="center"/>
              <w:rPr>
                <w:b/>
                <w:color w:val="auto"/>
                <w:sz w:val="21"/>
                <w:szCs w:val="21"/>
              </w:rPr>
            </w:pPr>
            <w:r>
              <w:rPr>
                <w:b/>
                <w:color w:val="auto"/>
                <w:sz w:val="21"/>
                <w:szCs w:val="21"/>
              </w:rPr>
              <w:t>氟化物</w:t>
            </w:r>
          </w:p>
        </w:tc>
        <w:tc>
          <w:tcPr>
            <w:tcW w:w="969" w:type="dxa"/>
            <w:vAlign w:val="center"/>
          </w:tcPr>
          <w:p>
            <w:pPr>
              <w:jc w:val="center"/>
              <w:rPr>
                <w:b/>
                <w:color w:val="auto"/>
                <w:sz w:val="21"/>
                <w:szCs w:val="21"/>
              </w:rPr>
            </w:pPr>
            <w:r>
              <w:rPr>
                <w:b/>
                <w:color w:val="auto"/>
                <w:sz w:val="21"/>
                <w:szCs w:val="21"/>
              </w:rPr>
              <w:t>氰化物</w:t>
            </w:r>
          </w:p>
        </w:tc>
        <w:tc>
          <w:tcPr>
            <w:tcW w:w="1419" w:type="dxa"/>
            <w:vAlign w:val="center"/>
          </w:tcPr>
          <w:p>
            <w:pPr>
              <w:jc w:val="center"/>
              <w:rPr>
                <w:b/>
                <w:color w:val="auto"/>
                <w:sz w:val="21"/>
                <w:szCs w:val="21"/>
              </w:rPr>
            </w:pPr>
            <w:r>
              <w:rPr>
                <w:b/>
                <w:color w:val="auto"/>
                <w:sz w:val="21"/>
                <w:szCs w:val="21"/>
              </w:rPr>
              <w:t>总大肠菌群</w:t>
            </w:r>
          </w:p>
        </w:tc>
        <w:tc>
          <w:tcPr>
            <w:tcW w:w="1345" w:type="dxa"/>
            <w:vAlign w:val="center"/>
          </w:tcPr>
          <w:p>
            <w:pPr>
              <w:jc w:val="center"/>
              <w:rPr>
                <w:b/>
                <w:color w:val="auto"/>
                <w:sz w:val="21"/>
                <w:szCs w:val="21"/>
              </w:rPr>
            </w:pPr>
            <w:r>
              <w:rPr>
                <w:b/>
                <w:color w:val="auto"/>
                <w:sz w:val="21"/>
                <w:szCs w:val="21"/>
              </w:rPr>
              <w:t>细菌总数</w:t>
            </w:r>
          </w:p>
        </w:tc>
        <w:tc>
          <w:tcPr>
            <w:tcW w:w="887" w:type="dxa"/>
            <w:vAlign w:val="center"/>
          </w:tcPr>
          <w:p>
            <w:pPr>
              <w:jc w:val="center"/>
              <w:rPr>
                <w:b/>
                <w:color w:val="auto"/>
                <w:sz w:val="21"/>
                <w:szCs w:val="21"/>
              </w:rPr>
            </w:pPr>
            <w:r>
              <w:rPr>
                <w:b/>
                <w:color w:val="auto"/>
                <w:sz w:val="21"/>
                <w:szCs w:val="21"/>
              </w:rPr>
              <w:t>硝酸盐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164" w:type="dxa"/>
            <w:vAlign w:val="center"/>
          </w:tcPr>
          <w:p>
            <w:pPr>
              <w:jc w:val="center"/>
              <w:rPr>
                <w:color w:val="auto"/>
                <w:sz w:val="21"/>
                <w:szCs w:val="21"/>
              </w:rPr>
            </w:pPr>
            <w:r>
              <w:rPr>
                <w:color w:val="auto"/>
                <w:sz w:val="21"/>
                <w:szCs w:val="21"/>
              </w:rPr>
              <w:t>Ⅲ类标准</w:t>
            </w:r>
          </w:p>
        </w:tc>
        <w:tc>
          <w:tcPr>
            <w:tcW w:w="1168" w:type="dxa"/>
            <w:vAlign w:val="center"/>
          </w:tcPr>
          <w:p>
            <w:pPr>
              <w:jc w:val="center"/>
              <w:rPr>
                <w:color w:val="auto"/>
                <w:sz w:val="21"/>
                <w:szCs w:val="21"/>
              </w:rPr>
            </w:pPr>
            <w:r>
              <w:rPr>
                <w:color w:val="auto"/>
                <w:sz w:val="21"/>
                <w:szCs w:val="21"/>
              </w:rPr>
              <w:t>≤250</w:t>
            </w:r>
          </w:p>
        </w:tc>
        <w:tc>
          <w:tcPr>
            <w:tcW w:w="1194" w:type="dxa"/>
            <w:vAlign w:val="center"/>
          </w:tcPr>
          <w:p>
            <w:pPr>
              <w:jc w:val="center"/>
              <w:rPr>
                <w:color w:val="auto"/>
                <w:sz w:val="21"/>
                <w:szCs w:val="21"/>
              </w:rPr>
            </w:pPr>
            <w:r>
              <w:rPr>
                <w:color w:val="auto"/>
                <w:sz w:val="21"/>
                <w:szCs w:val="21"/>
              </w:rPr>
              <w:t>≤250</w:t>
            </w:r>
          </w:p>
        </w:tc>
        <w:tc>
          <w:tcPr>
            <w:tcW w:w="1140" w:type="dxa"/>
            <w:vAlign w:val="center"/>
          </w:tcPr>
          <w:p>
            <w:pPr>
              <w:jc w:val="center"/>
              <w:rPr>
                <w:color w:val="auto"/>
                <w:sz w:val="21"/>
                <w:szCs w:val="21"/>
              </w:rPr>
            </w:pPr>
            <w:r>
              <w:rPr>
                <w:color w:val="auto"/>
                <w:sz w:val="21"/>
                <w:szCs w:val="21"/>
              </w:rPr>
              <w:t>≤1.0</w:t>
            </w:r>
          </w:p>
        </w:tc>
        <w:tc>
          <w:tcPr>
            <w:tcW w:w="969" w:type="dxa"/>
            <w:vAlign w:val="center"/>
          </w:tcPr>
          <w:p>
            <w:pPr>
              <w:jc w:val="center"/>
              <w:rPr>
                <w:color w:val="auto"/>
                <w:sz w:val="21"/>
                <w:szCs w:val="21"/>
              </w:rPr>
            </w:pPr>
            <w:r>
              <w:rPr>
                <w:color w:val="auto"/>
                <w:sz w:val="21"/>
                <w:szCs w:val="21"/>
              </w:rPr>
              <w:t>≤0.05</w:t>
            </w:r>
          </w:p>
        </w:tc>
        <w:tc>
          <w:tcPr>
            <w:tcW w:w="1419" w:type="dxa"/>
            <w:vAlign w:val="center"/>
          </w:tcPr>
          <w:p>
            <w:pPr>
              <w:jc w:val="center"/>
              <w:rPr>
                <w:color w:val="auto"/>
                <w:sz w:val="21"/>
                <w:szCs w:val="21"/>
              </w:rPr>
            </w:pPr>
            <w:r>
              <w:rPr>
                <w:color w:val="auto"/>
                <w:sz w:val="21"/>
                <w:szCs w:val="21"/>
              </w:rPr>
              <w:t>≤3.0</w:t>
            </w:r>
          </w:p>
        </w:tc>
        <w:tc>
          <w:tcPr>
            <w:tcW w:w="1345" w:type="dxa"/>
            <w:vAlign w:val="center"/>
          </w:tcPr>
          <w:p>
            <w:pPr>
              <w:jc w:val="center"/>
              <w:rPr>
                <w:color w:val="auto"/>
                <w:sz w:val="21"/>
                <w:szCs w:val="21"/>
              </w:rPr>
            </w:pPr>
            <w:r>
              <w:rPr>
                <w:color w:val="auto"/>
                <w:sz w:val="21"/>
                <w:szCs w:val="21"/>
              </w:rPr>
              <w:t>≤100</w:t>
            </w:r>
          </w:p>
        </w:tc>
        <w:tc>
          <w:tcPr>
            <w:tcW w:w="887" w:type="dxa"/>
            <w:vAlign w:val="center"/>
          </w:tcPr>
          <w:p>
            <w:pPr>
              <w:jc w:val="center"/>
              <w:rPr>
                <w:color w:val="auto"/>
                <w:sz w:val="21"/>
                <w:szCs w:val="21"/>
              </w:rPr>
            </w:pPr>
            <w:r>
              <w:rPr>
                <w:color w:val="auto"/>
                <w:sz w:val="21"/>
                <w:szCs w:val="21"/>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164" w:type="dxa"/>
            <w:vAlign w:val="center"/>
          </w:tcPr>
          <w:p>
            <w:pPr>
              <w:jc w:val="center"/>
              <w:rPr>
                <w:b/>
                <w:color w:val="auto"/>
                <w:sz w:val="21"/>
                <w:szCs w:val="21"/>
              </w:rPr>
            </w:pPr>
            <w:r>
              <w:rPr>
                <w:b/>
                <w:color w:val="auto"/>
                <w:sz w:val="21"/>
                <w:szCs w:val="21"/>
              </w:rPr>
              <w:t>项目</w:t>
            </w:r>
          </w:p>
        </w:tc>
        <w:tc>
          <w:tcPr>
            <w:tcW w:w="1168" w:type="dxa"/>
            <w:vAlign w:val="center"/>
          </w:tcPr>
          <w:p>
            <w:pPr>
              <w:jc w:val="center"/>
              <w:rPr>
                <w:b/>
                <w:color w:val="auto"/>
                <w:sz w:val="21"/>
                <w:szCs w:val="21"/>
              </w:rPr>
            </w:pPr>
            <w:r>
              <w:rPr>
                <w:b/>
                <w:color w:val="auto"/>
                <w:sz w:val="21"/>
                <w:szCs w:val="21"/>
              </w:rPr>
              <w:t>亚硝酸盐</w:t>
            </w:r>
          </w:p>
        </w:tc>
        <w:tc>
          <w:tcPr>
            <w:tcW w:w="1194" w:type="dxa"/>
            <w:vAlign w:val="center"/>
          </w:tcPr>
          <w:p>
            <w:pPr>
              <w:jc w:val="center"/>
              <w:rPr>
                <w:b/>
                <w:color w:val="auto"/>
                <w:sz w:val="21"/>
                <w:szCs w:val="21"/>
              </w:rPr>
            </w:pPr>
            <w:r>
              <w:rPr>
                <w:b/>
                <w:color w:val="auto"/>
                <w:sz w:val="21"/>
                <w:szCs w:val="21"/>
              </w:rPr>
              <w:t>氨氮</w:t>
            </w:r>
          </w:p>
        </w:tc>
        <w:tc>
          <w:tcPr>
            <w:tcW w:w="1140" w:type="dxa"/>
            <w:vAlign w:val="center"/>
          </w:tcPr>
          <w:p>
            <w:pPr>
              <w:jc w:val="center"/>
              <w:rPr>
                <w:b/>
                <w:color w:val="auto"/>
                <w:sz w:val="21"/>
                <w:szCs w:val="21"/>
              </w:rPr>
            </w:pPr>
            <w:r>
              <w:rPr>
                <w:b/>
                <w:color w:val="auto"/>
                <w:sz w:val="21"/>
                <w:szCs w:val="21"/>
              </w:rPr>
              <w:t>砷</w:t>
            </w:r>
          </w:p>
        </w:tc>
        <w:tc>
          <w:tcPr>
            <w:tcW w:w="969" w:type="dxa"/>
            <w:vAlign w:val="center"/>
          </w:tcPr>
          <w:p>
            <w:pPr>
              <w:jc w:val="center"/>
              <w:rPr>
                <w:b/>
                <w:color w:val="auto"/>
                <w:sz w:val="21"/>
                <w:szCs w:val="21"/>
              </w:rPr>
            </w:pPr>
            <w:r>
              <w:rPr>
                <w:b/>
                <w:color w:val="auto"/>
                <w:sz w:val="21"/>
                <w:szCs w:val="21"/>
              </w:rPr>
              <w:t>汞</w:t>
            </w:r>
          </w:p>
        </w:tc>
        <w:tc>
          <w:tcPr>
            <w:tcW w:w="1419" w:type="dxa"/>
            <w:vAlign w:val="center"/>
          </w:tcPr>
          <w:p>
            <w:pPr>
              <w:jc w:val="center"/>
              <w:rPr>
                <w:b/>
                <w:color w:val="auto"/>
                <w:sz w:val="21"/>
                <w:szCs w:val="21"/>
              </w:rPr>
            </w:pPr>
            <w:r>
              <w:rPr>
                <w:b/>
                <w:color w:val="auto"/>
                <w:sz w:val="21"/>
                <w:szCs w:val="21"/>
              </w:rPr>
              <w:t>六价铬</w:t>
            </w:r>
          </w:p>
        </w:tc>
        <w:tc>
          <w:tcPr>
            <w:tcW w:w="1345" w:type="dxa"/>
            <w:vAlign w:val="center"/>
          </w:tcPr>
          <w:p>
            <w:pPr>
              <w:jc w:val="center"/>
              <w:rPr>
                <w:b/>
                <w:color w:val="auto"/>
                <w:sz w:val="21"/>
                <w:szCs w:val="21"/>
              </w:rPr>
            </w:pPr>
            <w:r>
              <w:rPr>
                <w:b/>
                <w:color w:val="auto"/>
                <w:sz w:val="21"/>
                <w:szCs w:val="21"/>
              </w:rPr>
              <w:t>铁</w:t>
            </w:r>
          </w:p>
        </w:tc>
        <w:tc>
          <w:tcPr>
            <w:tcW w:w="887" w:type="dxa"/>
            <w:vAlign w:val="center"/>
          </w:tcPr>
          <w:p>
            <w:pPr>
              <w:jc w:val="center"/>
              <w:rPr>
                <w:b/>
                <w:color w:val="auto"/>
                <w:sz w:val="21"/>
                <w:szCs w:val="21"/>
              </w:rPr>
            </w:pPr>
            <w:r>
              <w:rPr>
                <w:b/>
                <w:color w:val="auto"/>
                <w:sz w:val="21"/>
                <w:szCs w:val="21"/>
              </w:rPr>
              <w:t>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164" w:type="dxa"/>
            <w:vAlign w:val="center"/>
          </w:tcPr>
          <w:p>
            <w:pPr>
              <w:jc w:val="center"/>
              <w:rPr>
                <w:color w:val="auto"/>
                <w:sz w:val="21"/>
                <w:szCs w:val="21"/>
              </w:rPr>
            </w:pPr>
            <w:r>
              <w:rPr>
                <w:color w:val="auto"/>
                <w:sz w:val="21"/>
                <w:szCs w:val="21"/>
              </w:rPr>
              <w:t>Ⅲ类标准</w:t>
            </w:r>
          </w:p>
        </w:tc>
        <w:tc>
          <w:tcPr>
            <w:tcW w:w="1168" w:type="dxa"/>
            <w:vAlign w:val="center"/>
          </w:tcPr>
          <w:p>
            <w:pPr>
              <w:jc w:val="center"/>
              <w:rPr>
                <w:color w:val="auto"/>
                <w:sz w:val="21"/>
                <w:szCs w:val="21"/>
              </w:rPr>
            </w:pPr>
            <w:r>
              <w:rPr>
                <w:color w:val="auto"/>
                <w:sz w:val="21"/>
                <w:szCs w:val="21"/>
              </w:rPr>
              <w:t>≤1.00</w:t>
            </w:r>
          </w:p>
        </w:tc>
        <w:tc>
          <w:tcPr>
            <w:tcW w:w="1194" w:type="dxa"/>
            <w:vAlign w:val="center"/>
          </w:tcPr>
          <w:p>
            <w:pPr>
              <w:jc w:val="center"/>
              <w:rPr>
                <w:color w:val="auto"/>
                <w:sz w:val="21"/>
                <w:szCs w:val="21"/>
              </w:rPr>
            </w:pPr>
            <w:r>
              <w:rPr>
                <w:color w:val="auto"/>
                <w:sz w:val="21"/>
                <w:szCs w:val="21"/>
              </w:rPr>
              <w:t>≤0.50</w:t>
            </w:r>
          </w:p>
        </w:tc>
        <w:tc>
          <w:tcPr>
            <w:tcW w:w="1140" w:type="dxa"/>
            <w:vAlign w:val="center"/>
          </w:tcPr>
          <w:p>
            <w:pPr>
              <w:jc w:val="center"/>
              <w:rPr>
                <w:color w:val="auto"/>
                <w:sz w:val="21"/>
                <w:szCs w:val="21"/>
              </w:rPr>
            </w:pPr>
            <w:r>
              <w:rPr>
                <w:color w:val="auto"/>
                <w:sz w:val="21"/>
                <w:szCs w:val="21"/>
              </w:rPr>
              <w:t>≤0.01</w:t>
            </w:r>
          </w:p>
        </w:tc>
        <w:tc>
          <w:tcPr>
            <w:tcW w:w="969" w:type="dxa"/>
            <w:vAlign w:val="center"/>
          </w:tcPr>
          <w:p>
            <w:pPr>
              <w:jc w:val="center"/>
              <w:rPr>
                <w:color w:val="auto"/>
                <w:sz w:val="21"/>
                <w:szCs w:val="21"/>
              </w:rPr>
            </w:pPr>
            <w:r>
              <w:rPr>
                <w:color w:val="auto"/>
                <w:sz w:val="21"/>
                <w:szCs w:val="21"/>
              </w:rPr>
              <w:t>≤0.001</w:t>
            </w:r>
          </w:p>
        </w:tc>
        <w:tc>
          <w:tcPr>
            <w:tcW w:w="1419" w:type="dxa"/>
            <w:vAlign w:val="center"/>
          </w:tcPr>
          <w:p>
            <w:pPr>
              <w:jc w:val="center"/>
              <w:rPr>
                <w:color w:val="auto"/>
                <w:sz w:val="21"/>
                <w:szCs w:val="21"/>
              </w:rPr>
            </w:pPr>
            <w:r>
              <w:rPr>
                <w:color w:val="auto"/>
                <w:sz w:val="21"/>
                <w:szCs w:val="21"/>
              </w:rPr>
              <w:t>≤0.05</w:t>
            </w:r>
          </w:p>
        </w:tc>
        <w:tc>
          <w:tcPr>
            <w:tcW w:w="1345" w:type="dxa"/>
            <w:vAlign w:val="center"/>
          </w:tcPr>
          <w:p>
            <w:pPr>
              <w:jc w:val="center"/>
              <w:rPr>
                <w:color w:val="auto"/>
                <w:sz w:val="21"/>
                <w:szCs w:val="21"/>
              </w:rPr>
            </w:pPr>
            <w:r>
              <w:rPr>
                <w:color w:val="auto"/>
                <w:sz w:val="21"/>
                <w:szCs w:val="21"/>
              </w:rPr>
              <w:t>≤0.3</w:t>
            </w:r>
          </w:p>
        </w:tc>
        <w:tc>
          <w:tcPr>
            <w:tcW w:w="887" w:type="dxa"/>
            <w:vAlign w:val="center"/>
          </w:tcPr>
          <w:p>
            <w:pPr>
              <w:jc w:val="center"/>
              <w:rPr>
                <w:color w:val="auto"/>
                <w:sz w:val="21"/>
                <w:szCs w:val="21"/>
              </w:rPr>
            </w:pPr>
            <w:r>
              <w:rPr>
                <w:color w:val="auto"/>
                <w:sz w:val="21"/>
                <w:szCs w:val="21"/>
              </w:rPr>
              <w:t>≤0.10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164" w:type="dxa"/>
            <w:vAlign w:val="center"/>
          </w:tcPr>
          <w:p>
            <w:pPr>
              <w:jc w:val="center"/>
              <w:rPr>
                <w:color w:val="auto"/>
                <w:sz w:val="21"/>
                <w:szCs w:val="21"/>
              </w:rPr>
            </w:pPr>
            <w:r>
              <w:rPr>
                <w:b/>
                <w:color w:val="auto"/>
                <w:sz w:val="21"/>
                <w:szCs w:val="21"/>
              </w:rPr>
              <w:t>项目</w:t>
            </w:r>
          </w:p>
        </w:tc>
        <w:tc>
          <w:tcPr>
            <w:tcW w:w="1168" w:type="dxa"/>
            <w:vAlign w:val="center"/>
          </w:tcPr>
          <w:p>
            <w:pPr>
              <w:jc w:val="center"/>
              <w:rPr>
                <w:b/>
                <w:color w:val="auto"/>
                <w:sz w:val="21"/>
                <w:szCs w:val="21"/>
              </w:rPr>
            </w:pPr>
            <w:r>
              <w:rPr>
                <w:b/>
                <w:color w:val="auto"/>
                <w:sz w:val="21"/>
                <w:szCs w:val="21"/>
              </w:rPr>
              <w:t>铅</w:t>
            </w:r>
          </w:p>
        </w:tc>
        <w:tc>
          <w:tcPr>
            <w:tcW w:w="1194" w:type="dxa"/>
            <w:vAlign w:val="center"/>
          </w:tcPr>
          <w:p>
            <w:pPr>
              <w:jc w:val="center"/>
              <w:rPr>
                <w:b/>
                <w:color w:val="auto"/>
                <w:sz w:val="21"/>
                <w:szCs w:val="21"/>
              </w:rPr>
            </w:pPr>
            <w:r>
              <w:rPr>
                <w:b/>
                <w:color w:val="auto"/>
                <w:sz w:val="21"/>
                <w:szCs w:val="21"/>
              </w:rPr>
              <w:t>铜</w:t>
            </w:r>
          </w:p>
        </w:tc>
        <w:tc>
          <w:tcPr>
            <w:tcW w:w="1140" w:type="dxa"/>
            <w:vAlign w:val="center"/>
          </w:tcPr>
          <w:p>
            <w:pPr>
              <w:jc w:val="center"/>
              <w:rPr>
                <w:b/>
                <w:color w:val="auto"/>
                <w:sz w:val="21"/>
                <w:szCs w:val="21"/>
              </w:rPr>
            </w:pPr>
            <w:r>
              <w:rPr>
                <w:b/>
                <w:color w:val="auto"/>
                <w:sz w:val="21"/>
                <w:szCs w:val="21"/>
              </w:rPr>
              <w:t>锌</w:t>
            </w:r>
          </w:p>
        </w:tc>
        <w:tc>
          <w:tcPr>
            <w:tcW w:w="969" w:type="dxa"/>
            <w:vAlign w:val="center"/>
          </w:tcPr>
          <w:p>
            <w:pPr>
              <w:jc w:val="center"/>
              <w:rPr>
                <w:b/>
                <w:color w:val="auto"/>
                <w:sz w:val="21"/>
                <w:szCs w:val="21"/>
              </w:rPr>
            </w:pPr>
            <w:r>
              <w:rPr>
                <w:b/>
                <w:color w:val="auto"/>
                <w:sz w:val="21"/>
                <w:szCs w:val="21"/>
              </w:rPr>
              <w:t>镉</w:t>
            </w:r>
          </w:p>
        </w:tc>
        <w:tc>
          <w:tcPr>
            <w:tcW w:w="1419" w:type="dxa"/>
            <w:vAlign w:val="center"/>
          </w:tcPr>
          <w:p>
            <w:pPr>
              <w:jc w:val="center"/>
              <w:rPr>
                <w:b/>
                <w:color w:val="auto"/>
                <w:sz w:val="21"/>
                <w:szCs w:val="21"/>
              </w:rPr>
            </w:pPr>
            <w:r>
              <w:rPr>
                <w:b/>
                <w:color w:val="auto"/>
                <w:sz w:val="21"/>
                <w:szCs w:val="21"/>
              </w:rPr>
              <w:t>/</w:t>
            </w:r>
          </w:p>
        </w:tc>
        <w:tc>
          <w:tcPr>
            <w:tcW w:w="1345" w:type="dxa"/>
            <w:vAlign w:val="center"/>
          </w:tcPr>
          <w:p>
            <w:pPr>
              <w:jc w:val="center"/>
              <w:rPr>
                <w:b/>
                <w:color w:val="auto"/>
                <w:sz w:val="21"/>
                <w:szCs w:val="21"/>
              </w:rPr>
            </w:pPr>
            <w:r>
              <w:rPr>
                <w:b/>
                <w:color w:val="auto"/>
                <w:sz w:val="21"/>
                <w:szCs w:val="21"/>
              </w:rPr>
              <w:t>/</w:t>
            </w:r>
          </w:p>
        </w:tc>
        <w:tc>
          <w:tcPr>
            <w:tcW w:w="887" w:type="dxa"/>
            <w:vAlign w:val="center"/>
          </w:tcPr>
          <w:p>
            <w:pPr>
              <w:jc w:val="center"/>
              <w:rPr>
                <w:b/>
                <w:color w:val="auto"/>
                <w:sz w:val="21"/>
                <w:szCs w:val="21"/>
              </w:rPr>
            </w:pPr>
            <w:r>
              <w:rPr>
                <w:b/>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1164" w:type="dxa"/>
            <w:vAlign w:val="center"/>
          </w:tcPr>
          <w:p>
            <w:pPr>
              <w:jc w:val="center"/>
              <w:rPr>
                <w:color w:val="auto"/>
                <w:sz w:val="21"/>
                <w:szCs w:val="21"/>
              </w:rPr>
            </w:pPr>
            <w:r>
              <w:rPr>
                <w:color w:val="auto"/>
                <w:sz w:val="21"/>
                <w:szCs w:val="21"/>
              </w:rPr>
              <w:t>Ⅲ类标准</w:t>
            </w:r>
          </w:p>
        </w:tc>
        <w:tc>
          <w:tcPr>
            <w:tcW w:w="1168" w:type="dxa"/>
            <w:vAlign w:val="center"/>
          </w:tcPr>
          <w:p>
            <w:pPr>
              <w:jc w:val="center"/>
              <w:rPr>
                <w:color w:val="auto"/>
                <w:sz w:val="21"/>
                <w:szCs w:val="21"/>
              </w:rPr>
            </w:pPr>
            <w:r>
              <w:rPr>
                <w:color w:val="auto"/>
                <w:sz w:val="21"/>
                <w:szCs w:val="21"/>
              </w:rPr>
              <w:t>≤0.01</w:t>
            </w:r>
          </w:p>
        </w:tc>
        <w:tc>
          <w:tcPr>
            <w:tcW w:w="1194" w:type="dxa"/>
            <w:vAlign w:val="center"/>
          </w:tcPr>
          <w:p>
            <w:pPr>
              <w:jc w:val="center"/>
              <w:rPr>
                <w:color w:val="auto"/>
                <w:sz w:val="21"/>
                <w:szCs w:val="21"/>
              </w:rPr>
            </w:pPr>
            <w:r>
              <w:rPr>
                <w:color w:val="auto"/>
                <w:sz w:val="21"/>
                <w:szCs w:val="21"/>
              </w:rPr>
              <w:t>≤1.00</w:t>
            </w:r>
          </w:p>
        </w:tc>
        <w:tc>
          <w:tcPr>
            <w:tcW w:w="1140" w:type="dxa"/>
            <w:vAlign w:val="center"/>
          </w:tcPr>
          <w:p>
            <w:pPr>
              <w:jc w:val="center"/>
              <w:rPr>
                <w:color w:val="auto"/>
                <w:sz w:val="21"/>
                <w:szCs w:val="21"/>
              </w:rPr>
            </w:pPr>
            <w:r>
              <w:rPr>
                <w:color w:val="auto"/>
                <w:sz w:val="21"/>
                <w:szCs w:val="21"/>
              </w:rPr>
              <w:t>≤1.00</w:t>
            </w:r>
          </w:p>
        </w:tc>
        <w:tc>
          <w:tcPr>
            <w:tcW w:w="969" w:type="dxa"/>
            <w:vAlign w:val="center"/>
          </w:tcPr>
          <w:p>
            <w:pPr>
              <w:jc w:val="center"/>
              <w:rPr>
                <w:color w:val="auto"/>
                <w:sz w:val="21"/>
                <w:szCs w:val="21"/>
              </w:rPr>
            </w:pPr>
            <w:r>
              <w:rPr>
                <w:color w:val="auto"/>
                <w:sz w:val="21"/>
                <w:szCs w:val="21"/>
              </w:rPr>
              <w:t>≤0.005</w:t>
            </w:r>
          </w:p>
        </w:tc>
        <w:tc>
          <w:tcPr>
            <w:tcW w:w="1419" w:type="dxa"/>
            <w:vAlign w:val="center"/>
          </w:tcPr>
          <w:p>
            <w:pPr>
              <w:jc w:val="center"/>
              <w:rPr>
                <w:color w:val="auto"/>
                <w:sz w:val="21"/>
                <w:szCs w:val="21"/>
              </w:rPr>
            </w:pPr>
            <w:r>
              <w:rPr>
                <w:color w:val="auto"/>
                <w:sz w:val="21"/>
                <w:szCs w:val="21"/>
              </w:rPr>
              <w:t>/</w:t>
            </w:r>
          </w:p>
        </w:tc>
        <w:tc>
          <w:tcPr>
            <w:tcW w:w="1345" w:type="dxa"/>
            <w:vAlign w:val="center"/>
          </w:tcPr>
          <w:p>
            <w:pPr>
              <w:jc w:val="center"/>
              <w:rPr>
                <w:color w:val="auto"/>
                <w:sz w:val="21"/>
                <w:szCs w:val="21"/>
              </w:rPr>
            </w:pPr>
            <w:r>
              <w:rPr>
                <w:color w:val="auto"/>
                <w:sz w:val="21"/>
                <w:szCs w:val="21"/>
              </w:rPr>
              <w:t>/</w:t>
            </w:r>
          </w:p>
        </w:tc>
        <w:tc>
          <w:tcPr>
            <w:tcW w:w="887" w:type="dxa"/>
            <w:vAlign w:val="center"/>
          </w:tcPr>
          <w:p>
            <w:pPr>
              <w:jc w:val="center"/>
              <w:rPr>
                <w:color w:val="auto"/>
                <w:sz w:val="21"/>
                <w:szCs w:val="21"/>
              </w:rPr>
            </w:pPr>
            <w:r>
              <w:rPr>
                <w:color w:val="auto"/>
                <w:sz w:val="21"/>
                <w:szCs w:val="21"/>
              </w:rPr>
              <w:t>/</w:t>
            </w:r>
          </w:p>
        </w:tc>
      </w:tr>
    </w:tbl>
    <w:p>
      <w:pPr>
        <w:pStyle w:val="301"/>
        <w:rPr>
          <w:color w:val="auto"/>
        </w:rPr>
      </w:pPr>
      <w:r>
        <w:rPr>
          <w:color w:val="auto"/>
        </w:rPr>
        <w:t>2.8.1.5土壤环境质量标准</w:t>
      </w:r>
    </w:p>
    <w:p>
      <w:pPr>
        <w:spacing w:line="360" w:lineRule="auto"/>
        <w:ind w:firstLine="480"/>
        <w:rPr>
          <w:color w:val="auto"/>
        </w:rPr>
      </w:pPr>
      <w:r>
        <w:rPr>
          <w:color w:val="auto"/>
        </w:rPr>
        <w:t>项目所在区域土壤执行《土壤环境质量 建设用地土壤污染风险管控标准（试行）》（GB36600-2018）表1中建设用地土壤污染风险筛选值和管制值（基本项目）中第二类用地筛选值标准限值要求</w:t>
      </w:r>
      <w:r>
        <w:rPr>
          <w:rFonts w:hint="eastAsia"/>
          <w:color w:val="auto"/>
        </w:rPr>
        <w:t>和</w:t>
      </w:r>
      <w:r>
        <w:rPr>
          <w:color w:val="auto"/>
        </w:rPr>
        <w:t>《土壤环境质量  农用地土壤污染风险管控标准（试行）》中表1 农用地土壤污染风险筛选值（基本项目）标准限值。具体标准值见下表。</w:t>
      </w:r>
    </w:p>
    <w:p>
      <w:pPr>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2.8</w:t>
      </w:r>
      <w:r>
        <w:rPr>
          <w:b/>
          <w:color w:val="auto"/>
        </w:rPr>
        <w:fldChar w:fldCharType="end"/>
      </w:r>
      <w:r>
        <w:rPr>
          <w:b/>
          <w:color w:val="auto"/>
        </w:rPr>
        <w:noBreakHyphen/>
      </w:r>
      <w:r>
        <w:rPr>
          <w:b/>
          <w:color w:val="auto"/>
        </w:rPr>
        <w:fldChar w:fldCharType="begin"/>
      </w:r>
      <w:r>
        <w:rPr>
          <w:b/>
          <w:color w:val="auto"/>
        </w:rPr>
        <w:instrText xml:space="preserve"> SEQ 表 \* ARABIC \s 2 </w:instrText>
      </w:r>
      <w:r>
        <w:rPr>
          <w:b/>
          <w:color w:val="auto"/>
        </w:rPr>
        <w:fldChar w:fldCharType="separate"/>
      </w:r>
      <w:r>
        <w:rPr>
          <w:b/>
          <w:color w:val="auto"/>
        </w:rPr>
        <w:t>5</w:t>
      </w:r>
      <w:r>
        <w:rPr>
          <w:b/>
          <w:color w:val="auto"/>
        </w:rPr>
        <w:fldChar w:fldCharType="end"/>
      </w:r>
      <w:r>
        <w:rPr>
          <w:b/>
          <w:color w:val="auto"/>
        </w:rPr>
        <w:t xml:space="preserve">   《土壤环境质量 建设用地土壤污染风险管控标准（试行）》   单位：mg/kg</w:t>
      </w:r>
    </w:p>
    <w:tbl>
      <w:tblPr>
        <w:tblStyle w:val="53"/>
        <w:tblW w:w="9070" w:type="dxa"/>
        <w:jc w:val="center"/>
        <w:tblInd w:w="0" w:type="dxa"/>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652"/>
        <w:gridCol w:w="2325"/>
        <w:gridCol w:w="3260"/>
        <w:gridCol w:w="2833"/>
      </w:tblGrid>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blHeader/>
          <w:jc w:val="center"/>
        </w:trPr>
        <w:tc>
          <w:tcPr>
            <w:tcW w:w="652" w:type="dxa"/>
            <w:vMerge w:val="restart"/>
            <w:tcBorders>
              <w:right w:val="single" w:color="auto" w:sz="4" w:space="0"/>
            </w:tcBorders>
            <w:vAlign w:val="center"/>
          </w:tcPr>
          <w:p>
            <w:pPr>
              <w:jc w:val="center"/>
              <w:rPr>
                <w:b/>
                <w:color w:val="auto"/>
                <w:sz w:val="21"/>
              </w:rPr>
            </w:pPr>
            <w:r>
              <w:rPr>
                <w:b/>
                <w:color w:val="auto"/>
                <w:sz w:val="21"/>
              </w:rPr>
              <w:t>序号</w:t>
            </w:r>
          </w:p>
        </w:tc>
        <w:tc>
          <w:tcPr>
            <w:tcW w:w="2325" w:type="dxa"/>
            <w:vMerge w:val="restart"/>
            <w:tcBorders>
              <w:left w:val="single" w:color="auto" w:sz="4" w:space="0"/>
            </w:tcBorders>
            <w:vAlign w:val="center"/>
          </w:tcPr>
          <w:p>
            <w:pPr>
              <w:jc w:val="center"/>
              <w:rPr>
                <w:b/>
                <w:color w:val="auto"/>
              </w:rPr>
            </w:pPr>
            <w:r>
              <w:rPr>
                <w:b/>
                <w:color w:val="auto"/>
                <w:sz w:val="21"/>
              </w:rPr>
              <w:t>污染</w:t>
            </w:r>
            <w:r>
              <w:rPr>
                <w:b/>
                <w:color w:val="auto"/>
                <w:spacing w:val="-2"/>
                <w:sz w:val="21"/>
              </w:rPr>
              <w:t>物</w:t>
            </w:r>
            <w:r>
              <w:rPr>
                <w:b/>
                <w:color w:val="auto"/>
                <w:sz w:val="21"/>
              </w:rPr>
              <w:t>项目</w:t>
            </w:r>
          </w:p>
        </w:tc>
        <w:tc>
          <w:tcPr>
            <w:tcW w:w="3260" w:type="dxa"/>
            <w:tcBorders>
              <w:right w:val="single" w:color="auto" w:sz="4" w:space="0"/>
            </w:tcBorders>
            <w:vAlign w:val="center"/>
          </w:tcPr>
          <w:p>
            <w:pPr>
              <w:jc w:val="center"/>
              <w:rPr>
                <w:b/>
                <w:color w:val="auto"/>
                <w:sz w:val="21"/>
              </w:rPr>
            </w:pPr>
            <w:r>
              <w:rPr>
                <w:b/>
                <w:color w:val="auto"/>
                <w:sz w:val="21"/>
              </w:rPr>
              <w:t>筛选值</w:t>
            </w:r>
          </w:p>
        </w:tc>
        <w:tc>
          <w:tcPr>
            <w:tcW w:w="2833" w:type="dxa"/>
            <w:tcBorders>
              <w:left w:val="single" w:color="auto" w:sz="4" w:space="0"/>
            </w:tcBorders>
            <w:vAlign w:val="center"/>
          </w:tcPr>
          <w:p>
            <w:pPr>
              <w:jc w:val="center"/>
              <w:rPr>
                <w:b/>
                <w:color w:val="auto"/>
                <w:sz w:val="21"/>
              </w:rPr>
            </w:pPr>
            <w:r>
              <w:rPr>
                <w:b/>
                <w:color w:val="auto"/>
                <w:sz w:val="21"/>
              </w:rPr>
              <w:t>管制值</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blHeader/>
          <w:jc w:val="center"/>
        </w:trPr>
        <w:tc>
          <w:tcPr>
            <w:tcW w:w="652" w:type="dxa"/>
            <w:vMerge w:val="continue"/>
            <w:tcBorders>
              <w:right w:val="single" w:color="auto" w:sz="4" w:space="0"/>
            </w:tcBorders>
            <w:vAlign w:val="center"/>
          </w:tcPr>
          <w:p>
            <w:pPr>
              <w:jc w:val="center"/>
              <w:rPr>
                <w:b/>
                <w:color w:val="auto"/>
                <w:sz w:val="21"/>
              </w:rPr>
            </w:pPr>
          </w:p>
        </w:tc>
        <w:tc>
          <w:tcPr>
            <w:tcW w:w="2325" w:type="dxa"/>
            <w:vMerge w:val="continue"/>
            <w:tcBorders>
              <w:left w:val="single" w:color="auto" w:sz="4" w:space="0"/>
            </w:tcBorders>
            <w:vAlign w:val="center"/>
          </w:tcPr>
          <w:p>
            <w:pPr>
              <w:jc w:val="center"/>
              <w:rPr>
                <w:b/>
                <w:color w:val="auto"/>
                <w:sz w:val="21"/>
              </w:rPr>
            </w:pPr>
          </w:p>
        </w:tc>
        <w:tc>
          <w:tcPr>
            <w:tcW w:w="3260" w:type="dxa"/>
            <w:vAlign w:val="center"/>
          </w:tcPr>
          <w:p>
            <w:pPr>
              <w:jc w:val="center"/>
              <w:rPr>
                <w:b/>
                <w:color w:val="auto"/>
                <w:sz w:val="21"/>
              </w:rPr>
            </w:pPr>
            <w:r>
              <w:rPr>
                <w:b/>
                <w:color w:val="auto"/>
                <w:sz w:val="21"/>
              </w:rPr>
              <w:t>第二类用地</w:t>
            </w:r>
          </w:p>
        </w:tc>
        <w:tc>
          <w:tcPr>
            <w:tcW w:w="2833" w:type="dxa"/>
            <w:vAlign w:val="center"/>
          </w:tcPr>
          <w:p>
            <w:pPr>
              <w:jc w:val="center"/>
              <w:rPr>
                <w:b/>
                <w:color w:val="auto"/>
              </w:rPr>
            </w:pPr>
            <w:r>
              <w:rPr>
                <w:b/>
                <w:color w:val="auto"/>
                <w:sz w:val="21"/>
              </w:rPr>
              <w:t>第二类用地</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1</w:t>
            </w:r>
          </w:p>
        </w:tc>
        <w:tc>
          <w:tcPr>
            <w:tcW w:w="2325" w:type="dxa"/>
            <w:tcBorders>
              <w:left w:val="single" w:color="auto" w:sz="4" w:space="0"/>
            </w:tcBorders>
            <w:vAlign w:val="center"/>
          </w:tcPr>
          <w:p>
            <w:pPr>
              <w:jc w:val="center"/>
              <w:rPr>
                <w:color w:val="auto"/>
              </w:rPr>
            </w:pPr>
            <w:r>
              <w:rPr>
                <w:color w:val="auto"/>
                <w:sz w:val="21"/>
                <w:szCs w:val="21"/>
              </w:rPr>
              <w:t>砷</w:t>
            </w:r>
          </w:p>
        </w:tc>
        <w:tc>
          <w:tcPr>
            <w:tcW w:w="3260" w:type="dxa"/>
            <w:vAlign w:val="center"/>
          </w:tcPr>
          <w:p>
            <w:pPr>
              <w:jc w:val="center"/>
              <w:rPr>
                <w:color w:val="auto"/>
                <w:sz w:val="21"/>
              </w:rPr>
            </w:pPr>
            <w:r>
              <w:rPr>
                <w:color w:val="auto"/>
                <w:sz w:val="21"/>
                <w:szCs w:val="21"/>
              </w:rPr>
              <w:t>60</w:t>
            </w:r>
          </w:p>
        </w:tc>
        <w:tc>
          <w:tcPr>
            <w:tcW w:w="2833" w:type="dxa"/>
            <w:vAlign w:val="center"/>
          </w:tcPr>
          <w:p>
            <w:pPr>
              <w:jc w:val="center"/>
              <w:rPr>
                <w:color w:val="auto"/>
                <w:sz w:val="21"/>
              </w:rPr>
            </w:pPr>
            <w:r>
              <w:rPr>
                <w:color w:val="auto"/>
                <w:sz w:val="21"/>
              </w:rPr>
              <w:t>140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2</w:t>
            </w:r>
          </w:p>
        </w:tc>
        <w:tc>
          <w:tcPr>
            <w:tcW w:w="2325" w:type="dxa"/>
            <w:tcBorders>
              <w:left w:val="single" w:color="auto" w:sz="4" w:space="0"/>
            </w:tcBorders>
            <w:vAlign w:val="center"/>
          </w:tcPr>
          <w:p>
            <w:pPr>
              <w:jc w:val="center"/>
              <w:rPr>
                <w:color w:val="auto"/>
              </w:rPr>
            </w:pPr>
            <w:r>
              <w:rPr>
                <w:color w:val="auto"/>
                <w:sz w:val="21"/>
                <w:szCs w:val="21"/>
              </w:rPr>
              <w:t>镉</w:t>
            </w:r>
          </w:p>
        </w:tc>
        <w:tc>
          <w:tcPr>
            <w:tcW w:w="3260" w:type="dxa"/>
            <w:vAlign w:val="center"/>
          </w:tcPr>
          <w:p>
            <w:pPr>
              <w:jc w:val="center"/>
              <w:rPr>
                <w:color w:val="auto"/>
                <w:sz w:val="21"/>
              </w:rPr>
            </w:pPr>
            <w:r>
              <w:rPr>
                <w:color w:val="auto"/>
                <w:sz w:val="21"/>
                <w:szCs w:val="21"/>
              </w:rPr>
              <w:t>65</w:t>
            </w:r>
          </w:p>
        </w:tc>
        <w:tc>
          <w:tcPr>
            <w:tcW w:w="2833" w:type="dxa"/>
            <w:vAlign w:val="center"/>
          </w:tcPr>
          <w:p>
            <w:pPr>
              <w:jc w:val="center"/>
              <w:rPr>
                <w:color w:val="auto"/>
                <w:sz w:val="21"/>
              </w:rPr>
            </w:pPr>
            <w:r>
              <w:rPr>
                <w:color w:val="auto"/>
                <w:sz w:val="21"/>
              </w:rPr>
              <w:t>172</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3</w:t>
            </w:r>
          </w:p>
        </w:tc>
        <w:tc>
          <w:tcPr>
            <w:tcW w:w="2325" w:type="dxa"/>
            <w:tcBorders>
              <w:left w:val="single" w:color="auto" w:sz="4" w:space="0"/>
            </w:tcBorders>
            <w:vAlign w:val="center"/>
          </w:tcPr>
          <w:p>
            <w:pPr>
              <w:jc w:val="center"/>
              <w:rPr>
                <w:color w:val="auto"/>
                <w:sz w:val="21"/>
              </w:rPr>
            </w:pPr>
            <w:r>
              <w:rPr>
                <w:color w:val="auto"/>
                <w:sz w:val="21"/>
                <w:szCs w:val="21"/>
              </w:rPr>
              <w:t>铬（六价）</w:t>
            </w:r>
          </w:p>
        </w:tc>
        <w:tc>
          <w:tcPr>
            <w:tcW w:w="3260" w:type="dxa"/>
            <w:vAlign w:val="center"/>
          </w:tcPr>
          <w:p>
            <w:pPr>
              <w:jc w:val="center"/>
              <w:rPr>
                <w:color w:val="auto"/>
                <w:sz w:val="21"/>
              </w:rPr>
            </w:pPr>
            <w:r>
              <w:rPr>
                <w:color w:val="auto"/>
                <w:sz w:val="21"/>
                <w:szCs w:val="21"/>
              </w:rPr>
              <w:t>5.7</w:t>
            </w:r>
          </w:p>
        </w:tc>
        <w:tc>
          <w:tcPr>
            <w:tcW w:w="2833" w:type="dxa"/>
            <w:vAlign w:val="center"/>
          </w:tcPr>
          <w:p>
            <w:pPr>
              <w:jc w:val="center"/>
              <w:rPr>
                <w:color w:val="auto"/>
                <w:sz w:val="21"/>
              </w:rPr>
            </w:pPr>
            <w:r>
              <w:rPr>
                <w:color w:val="auto"/>
                <w:sz w:val="21"/>
              </w:rPr>
              <w:t>78</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4</w:t>
            </w:r>
          </w:p>
        </w:tc>
        <w:tc>
          <w:tcPr>
            <w:tcW w:w="2325" w:type="dxa"/>
            <w:tcBorders>
              <w:left w:val="single" w:color="auto" w:sz="4" w:space="0"/>
            </w:tcBorders>
            <w:vAlign w:val="center"/>
          </w:tcPr>
          <w:p>
            <w:pPr>
              <w:jc w:val="center"/>
              <w:rPr>
                <w:color w:val="auto"/>
                <w:sz w:val="21"/>
              </w:rPr>
            </w:pPr>
            <w:r>
              <w:rPr>
                <w:color w:val="auto"/>
                <w:sz w:val="21"/>
                <w:szCs w:val="21"/>
              </w:rPr>
              <w:t>铜</w:t>
            </w:r>
          </w:p>
        </w:tc>
        <w:tc>
          <w:tcPr>
            <w:tcW w:w="3260" w:type="dxa"/>
            <w:vAlign w:val="center"/>
          </w:tcPr>
          <w:p>
            <w:pPr>
              <w:jc w:val="center"/>
              <w:rPr>
                <w:color w:val="auto"/>
                <w:sz w:val="21"/>
              </w:rPr>
            </w:pPr>
            <w:r>
              <w:rPr>
                <w:color w:val="auto"/>
                <w:sz w:val="21"/>
                <w:szCs w:val="21"/>
              </w:rPr>
              <w:t>18000</w:t>
            </w:r>
          </w:p>
        </w:tc>
        <w:tc>
          <w:tcPr>
            <w:tcW w:w="2833" w:type="dxa"/>
            <w:vAlign w:val="center"/>
          </w:tcPr>
          <w:p>
            <w:pPr>
              <w:jc w:val="center"/>
              <w:rPr>
                <w:color w:val="auto"/>
                <w:sz w:val="21"/>
              </w:rPr>
            </w:pPr>
            <w:r>
              <w:rPr>
                <w:color w:val="auto"/>
                <w:sz w:val="21"/>
              </w:rPr>
              <w:t>36000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5</w:t>
            </w:r>
          </w:p>
        </w:tc>
        <w:tc>
          <w:tcPr>
            <w:tcW w:w="2325" w:type="dxa"/>
            <w:tcBorders>
              <w:left w:val="single" w:color="auto" w:sz="4" w:space="0"/>
            </w:tcBorders>
            <w:vAlign w:val="center"/>
          </w:tcPr>
          <w:p>
            <w:pPr>
              <w:jc w:val="center"/>
              <w:rPr>
                <w:color w:val="auto"/>
              </w:rPr>
            </w:pPr>
            <w:r>
              <w:rPr>
                <w:color w:val="auto"/>
                <w:sz w:val="21"/>
                <w:szCs w:val="21"/>
              </w:rPr>
              <w:t>铅</w:t>
            </w:r>
          </w:p>
        </w:tc>
        <w:tc>
          <w:tcPr>
            <w:tcW w:w="3260" w:type="dxa"/>
            <w:vAlign w:val="center"/>
          </w:tcPr>
          <w:p>
            <w:pPr>
              <w:jc w:val="center"/>
              <w:rPr>
                <w:color w:val="auto"/>
                <w:sz w:val="21"/>
              </w:rPr>
            </w:pPr>
            <w:r>
              <w:rPr>
                <w:color w:val="auto"/>
                <w:sz w:val="21"/>
                <w:szCs w:val="21"/>
              </w:rPr>
              <w:t>800</w:t>
            </w:r>
          </w:p>
        </w:tc>
        <w:tc>
          <w:tcPr>
            <w:tcW w:w="2833" w:type="dxa"/>
            <w:vAlign w:val="center"/>
          </w:tcPr>
          <w:p>
            <w:pPr>
              <w:jc w:val="center"/>
              <w:rPr>
                <w:color w:val="auto"/>
                <w:sz w:val="21"/>
              </w:rPr>
            </w:pPr>
            <w:r>
              <w:rPr>
                <w:color w:val="auto"/>
                <w:sz w:val="21"/>
              </w:rPr>
              <w:t>2500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6</w:t>
            </w:r>
          </w:p>
        </w:tc>
        <w:tc>
          <w:tcPr>
            <w:tcW w:w="2325" w:type="dxa"/>
            <w:tcBorders>
              <w:left w:val="single" w:color="auto" w:sz="4" w:space="0"/>
            </w:tcBorders>
            <w:vAlign w:val="center"/>
          </w:tcPr>
          <w:p>
            <w:pPr>
              <w:jc w:val="center"/>
              <w:rPr>
                <w:color w:val="auto"/>
                <w:sz w:val="21"/>
              </w:rPr>
            </w:pPr>
            <w:r>
              <w:rPr>
                <w:color w:val="auto"/>
                <w:sz w:val="21"/>
                <w:szCs w:val="21"/>
              </w:rPr>
              <w:t>汞</w:t>
            </w:r>
          </w:p>
        </w:tc>
        <w:tc>
          <w:tcPr>
            <w:tcW w:w="3260" w:type="dxa"/>
            <w:vAlign w:val="center"/>
          </w:tcPr>
          <w:p>
            <w:pPr>
              <w:jc w:val="center"/>
              <w:rPr>
                <w:color w:val="auto"/>
                <w:sz w:val="21"/>
              </w:rPr>
            </w:pPr>
            <w:r>
              <w:rPr>
                <w:color w:val="auto"/>
                <w:sz w:val="21"/>
                <w:szCs w:val="21"/>
              </w:rPr>
              <w:t>38</w:t>
            </w:r>
          </w:p>
        </w:tc>
        <w:tc>
          <w:tcPr>
            <w:tcW w:w="2833" w:type="dxa"/>
            <w:vAlign w:val="center"/>
          </w:tcPr>
          <w:p>
            <w:pPr>
              <w:jc w:val="center"/>
              <w:rPr>
                <w:color w:val="auto"/>
                <w:sz w:val="21"/>
              </w:rPr>
            </w:pPr>
            <w:r>
              <w:rPr>
                <w:color w:val="auto"/>
                <w:sz w:val="21"/>
              </w:rPr>
              <w:t>82</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7</w:t>
            </w:r>
          </w:p>
        </w:tc>
        <w:tc>
          <w:tcPr>
            <w:tcW w:w="2325" w:type="dxa"/>
            <w:tcBorders>
              <w:left w:val="single" w:color="auto" w:sz="4" w:space="0"/>
            </w:tcBorders>
            <w:vAlign w:val="center"/>
          </w:tcPr>
          <w:p>
            <w:pPr>
              <w:jc w:val="center"/>
              <w:rPr>
                <w:color w:val="auto"/>
                <w:sz w:val="21"/>
              </w:rPr>
            </w:pPr>
            <w:r>
              <w:rPr>
                <w:color w:val="auto"/>
                <w:sz w:val="21"/>
                <w:szCs w:val="21"/>
              </w:rPr>
              <w:t>镍</w:t>
            </w:r>
          </w:p>
        </w:tc>
        <w:tc>
          <w:tcPr>
            <w:tcW w:w="3260" w:type="dxa"/>
            <w:vAlign w:val="center"/>
          </w:tcPr>
          <w:p>
            <w:pPr>
              <w:jc w:val="center"/>
              <w:rPr>
                <w:color w:val="auto"/>
                <w:sz w:val="21"/>
              </w:rPr>
            </w:pPr>
            <w:r>
              <w:rPr>
                <w:color w:val="auto"/>
                <w:sz w:val="21"/>
                <w:szCs w:val="21"/>
              </w:rPr>
              <w:t>900</w:t>
            </w:r>
          </w:p>
        </w:tc>
        <w:tc>
          <w:tcPr>
            <w:tcW w:w="2833" w:type="dxa"/>
            <w:vAlign w:val="center"/>
          </w:tcPr>
          <w:p>
            <w:pPr>
              <w:jc w:val="center"/>
              <w:rPr>
                <w:color w:val="auto"/>
                <w:sz w:val="21"/>
              </w:rPr>
            </w:pPr>
            <w:r>
              <w:rPr>
                <w:color w:val="auto"/>
                <w:sz w:val="21"/>
              </w:rPr>
              <w:t>2000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8</w:t>
            </w:r>
          </w:p>
        </w:tc>
        <w:tc>
          <w:tcPr>
            <w:tcW w:w="2325" w:type="dxa"/>
            <w:tcBorders>
              <w:left w:val="single" w:color="auto" w:sz="4" w:space="0"/>
            </w:tcBorders>
            <w:vAlign w:val="center"/>
          </w:tcPr>
          <w:p>
            <w:pPr>
              <w:jc w:val="center"/>
              <w:rPr>
                <w:color w:val="auto"/>
                <w:sz w:val="21"/>
              </w:rPr>
            </w:pPr>
            <w:r>
              <w:rPr>
                <w:color w:val="auto"/>
                <w:sz w:val="21"/>
                <w:szCs w:val="21"/>
              </w:rPr>
              <w:t>四氯化碳</w:t>
            </w:r>
          </w:p>
        </w:tc>
        <w:tc>
          <w:tcPr>
            <w:tcW w:w="3260" w:type="dxa"/>
            <w:vAlign w:val="center"/>
          </w:tcPr>
          <w:p>
            <w:pPr>
              <w:jc w:val="center"/>
              <w:rPr>
                <w:color w:val="auto"/>
                <w:sz w:val="21"/>
              </w:rPr>
            </w:pPr>
            <w:r>
              <w:rPr>
                <w:color w:val="auto"/>
                <w:sz w:val="21"/>
                <w:szCs w:val="21"/>
              </w:rPr>
              <w:t>2.8</w:t>
            </w:r>
          </w:p>
        </w:tc>
        <w:tc>
          <w:tcPr>
            <w:tcW w:w="2833" w:type="dxa"/>
            <w:vAlign w:val="center"/>
          </w:tcPr>
          <w:p>
            <w:pPr>
              <w:jc w:val="center"/>
              <w:rPr>
                <w:color w:val="auto"/>
                <w:sz w:val="21"/>
              </w:rPr>
            </w:pPr>
            <w:r>
              <w:rPr>
                <w:color w:val="auto"/>
                <w:sz w:val="21"/>
              </w:rPr>
              <w:t>36</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9</w:t>
            </w:r>
          </w:p>
        </w:tc>
        <w:tc>
          <w:tcPr>
            <w:tcW w:w="2325" w:type="dxa"/>
            <w:tcBorders>
              <w:left w:val="single" w:color="auto" w:sz="4" w:space="0"/>
            </w:tcBorders>
            <w:vAlign w:val="center"/>
          </w:tcPr>
          <w:p>
            <w:pPr>
              <w:jc w:val="center"/>
              <w:rPr>
                <w:color w:val="auto"/>
                <w:sz w:val="21"/>
              </w:rPr>
            </w:pPr>
            <w:r>
              <w:rPr>
                <w:color w:val="auto"/>
                <w:sz w:val="21"/>
                <w:szCs w:val="21"/>
              </w:rPr>
              <w:t>氯仿</w:t>
            </w:r>
          </w:p>
        </w:tc>
        <w:tc>
          <w:tcPr>
            <w:tcW w:w="3260" w:type="dxa"/>
            <w:vAlign w:val="center"/>
          </w:tcPr>
          <w:p>
            <w:pPr>
              <w:jc w:val="center"/>
              <w:rPr>
                <w:color w:val="auto"/>
                <w:sz w:val="21"/>
              </w:rPr>
            </w:pPr>
            <w:r>
              <w:rPr>
                <w:color w:val="auto"/>
                <w:sz w:val="21"/>
                <w:szCs w:val="21"/>
              </w:rPr>
              <w:t>0.9</w:t>
            </w:r>
          </w:p>
        </w:tc>
        <w:tc>
          <w:tcPr>
            <w:tcW w:w="2833" w:type="dxa"/>
            <w:vAlign w:val="center"/>
          </w:tcPr>
          <w:p>
            <w:pPr>
              <w:jc w:val="center"/>
              <w:rPr>
                <w:color w:val="auto"/>
                <w:sz w:val="21"/>
              </w:rPr>
            </w:pPr>
            <w:r>
              <w:rPr>
                <w:color w:val="auto"/>
                <w:sz w:val="21"/>
              </w:rPr>
              <w:t>10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10</w:t>
            </w:r>
          </w:p>
        </w:tc>
        <w:tc>
          <w:tcPr>
            <w:tcW w:w="2325" w:type="dxa"/>
            <w:tcBorders>
              <w:left w:val="single" w:color="auto" w:sz="4" w:space="0"/>
            </w:tcBorders>
            <w:vAlign w:val="center"/>
          </w:tcPr>
          <w:p>
            <w:pPr>
              <w:jc w:val="center"/>
              <w:rPr>
                <w:color w:val="auto"/>
                <w:sz w:val="21"/>
              </w:rPr>
            </w:pPr>
            <w:r>
              <w:rPr>
                <w:color w:val="auto"/>
                <w:sz w:val="21"/>
                <w:szCs w:val="21"/>
              </w:rPr>
              <w:t>氯甲烷</w:t>
            </w:r>
          </w:p>
        </w:tc>
        <w:tc>
          <w:tcPr>
            <w:tcW w:w="3260" w:type="dxa"/>
            <w:vAlign w:val="center"/>
          </w:tcPr>
          <w:p>
            <w:pPr>
              <w:jc w:val="center"/>
              <w:rPr>
                <w:color w:val="auto"/>
                <w:sz w:val="21"/>
              </w:rPr>
            </w:pPr>
            <w:r>
              <w:rPr>
                <w:color w:val="auto"/>
                <w:sz w:val="21"/>
                <w:szCs w:val="21"/>
              </w:rPr>
              <w:t>37</w:t>
            </w:r>
          </w:p>
        </w:tc>
        <w:tc>
          <w:tcPr>
            <w:tcW w:w="2833" w:type="dxa"/>
            <w:vAlign w:val="center"/>
          </w:tcPr>
          <w:p>
            <w:pPr>
              <w:jc w:val="center"/>
              <w:rPr>
                <w:color w:val="auto"/>
                <w:sz w:val="21"/>
              </w:rPr>
            </w:pPr>
            <w:r>
              <w:rPr>
                <w:color w:val="auto"/>
                <w:sz w:val="21"/>
              </w:rPr>
              <w:t>120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11</w:t>
            </w:r>
          </w:p>
        </w:tc>
        <w:tc>
          <w:tcPr>
            <w:tcW w:w="2325" w:type="dxa"/>
            <w:tcBorders>
              <w:left w:val="single" w:color="auto" w:sz="4" w:space="0"/>
            </w:tcBorders>
            <w:vAlign w:val="center"/>
          </w:tcPr>
          <w:p>
            <w:pPr>
              <w:jc w:val="center"/>
              <w:rPr>
                <w:color w:val="auto"/>
                <w:sz w:val="21"/>
              </w:rPr>
            </w:pPr>
            <w:r>
              <w:rPr>
                <w:color w:val="auto"/>
                <w:sz w:val="21"/>
                <w:szCs w:val="21"/>
              </w:rPr>
              <w:t>1,1-二氯乙烷</w:t>
            </w:r>
          </w:p>
        </w:tc>
        <w:tc>
          <w:tcPr>
            <w:tcW w:w="3260" w:type="dxa"/>
            <w:vAlign w:val="center"/>
          </w:tcPr>
          <w:p>
            <w:pPr>
              <w:jc w:val="center"/>
              <w:rPr>
                <w:color w:val="auto"/>
                <w:sz w:val="21"/>
              </w:rPr>
            </w:pPr>
            <w:r>
              <w:rPr>
                <w:color w:val="auto"/>
                <w:sz w:val="21"/>
                <w:szCs w:val="21"/>
              </w:rPr>
              <w:t>9</w:t>
            </w:r>
          </w:p>
        </w:tc>
        <w:tc>
          <w:tcPr>
            <w:tcW w:w="2833" w:type="dxa"/>
            <w:vAlign w:val="center"/>
          </w:tcPr>
          <w:p>
            <w:pPr>
              <w:jc w:val="center"/>
              <w:rPr>
                <w:color w:val="auto"/>
                <w:sz w:val="21"/>
              </w:rPr>
            </w:pPr>
            <w:r>
              <w:rPr>
                <w:color w:val="auto"/>
                <w:sz w:val="21"/>
              </w:rPr>
              <w:t>100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12</w:t>
            </w:r>
          </w:p>
        </w:tc>
        <w:tc>
          <w:tcPr>
            <w:tcW w:w="2325" w:type="dxa"/>
            <w:tcBorders>
              <w:left w:val="single" w:color="auto" w:sz="4" w:space="0"/>
            </w:tcBorders>
            <w:vAlign w:val="center"/>
          </w:tcPr>
          <w:p>
            <w:pPr>
              <w:jc w:val="center"/>
              <w:rPr>
                <w:color w:val="auto"/>
                <w:sz w:val="21"/>
              </w:rPr>
            </w:pPr>
            <w:r>
              <w:rPr>
                <w:color w:val="auto"/>
                <w:sz w:val="21"/>
                <w:szCs w:val="21"/>
              </w:rPr>
              <w:t>1,2-二氯乙烷</w:t>
            </w:r>
          </w:p>
        </w:tc>
        <w:tc>
          <w:tcPr>
            <w:tcW w:w="3260" w:type="dxa"/>
            <w:vAlign w:val="center"/>
          </w:tcPr>
          <w:p>
            <w:pPr>
              <w:jc w:val="center"/>
              <w:rPr>
                <w:color w:val="auto"/>
                <w:sz w:val="21"/>
              </w:rPr>
            </w:pPr>
            <w:r>
              <w:rPr>
                <w:color w:val="auto"/>
                <w:sz w:val="21"/>
                <w:szCs w:val="21"/>
              </w:rPr>
              <w:t>5</w:t>
            </w:r>
          </w:p>
        </w:tc>
        <w:tc>
          <w:tcPr>
            <w:tcW w:w="2833" w:type="dxa"/>
            <w:vAlign w:val="center"/>
          </w:tcPr>
          <w:p>
            <w:pPr>
              <w:jc w:val="center"/>
              <w:rPr>
                <w:color w:val="auto"/>
                <w:sz w:val="21"/>
              </w:rPr>
            </w:pPr>
            <w:r>
              <w:rPr>
                <w:color w:val="auto"/>
                <w:sz w:val="21"/>
              </w:rPr>
              <w:t>21</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13</w:t>
            </w:r>
          </w:p>
        </w:tc>
        <w:tc>
          <w:tcPr>
            <w:tcW w:w="2325" w:type="dxa"/>
            <w:tcBorders>
              <w:left w:val="single" w:color="auto" w:sz="4" w:space="0"/>
            </w:tcBorders>
            <w:vAlign w:val="center"/>
          </w:tcPr>
          <w:p>
            <w:pPr>
              <w:jc w:val="center"/>
              <w:rPr>
                <w:color w:val="auto"/>
                <w:sz w:val="21"/>
              </w:rPr>
            </w:pPr>
            <w:r>
              <w:rPr>
                <w:color w:val="auto"/>
                <w:sz w:val="21"/>
                <w:szCs w:val="21"/>
              </w:rPr>
              <w:t>1,1-二氯乙烯</w:t>
            </w:r>
          </w:p>
        </w:tc>
        <w:tc>
          <w:tcPr>
            <w:tcW w:w="3260" w:type="dxa"/>
            <w:vAlign w:val="center"/>
          </w:tcPr>
          <w:p>
            <w:pPr>
              <w:jc w:val="center"/>
              <w:rPr>
                <w:color w:val="auto"/>
                <w:sz w:val="21"/>
              </w:rPr>
            </w:pPr>
            <w:r>
              <w:rPr>
                <w:color w:val="auto"/>
                <w:sz w:val="21"/>
                <w:szCs w:val="21"/>
              </w:rPr>
              <w:t>66</w:t>
            </w:r>
          </w:p>
        </w:tc>
        <w:tc>
          <w:tcPr>
            <w:tcW w:w="2833" w:type="dxa"/>
            <w:vAlign w:val="center"/>
          </w:tcPr>
          <w:p>
            <w:pPr>
              <w:jc w:val="center"/>
              <w:rPr>
                <w:color w:val="auto"/>
                <w:sz w:val="21"/>
              </w:rPr>
            </w:pPr>
            <w:r>
              <w:rPr>
                <w:color w:val="auto"/>
                <w:sz w:val="21"/>
              </w:rPr>
              <w:t>200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14</w:t>
            </w:r>
          </w:p>
        </w:tc>
        <w:tc>
          <w:tcPr>
            <w:tcW w:w="2325" w:type="dxa"/>
            <w:tcBorders>
              <w:left w:val="single" w:color="auto" w:sz="4" w:space="0"/>
            </w:tcBorders>
            <w:vAlign w:val="center"/>
          </w:tcPr>
          <w:p>
            <w:pPr>
              <w:jc w:val="center"/>
              <w:rPr>
                <w:color w:val="auto"/>
                <w:sz w:val="21"/>
              </w:rPr>
            </w:pPr>
            <w:r>
              <w:rPr>
                <w:color w:val="auto"/>
                <w:sz w:val="21"/>
                <w:szCs w:val="21"/>
              </w:rPr>
              <w:t>顺-1,2-二氯乙烯</w:t>
            </w:r>
          </w:p>
        </w:tc>
        <w:tc>
          <w:tcPr>
            <w:tcW w:w="3260" w:type="dxa"/>
            <w:vAlign w:val="center"/>
          </w:tcPr>
          <w:p>
            <w:pPr>
              <w:jc w:val="center"/>
              <w:rPr>
                <w:color w:val="auto"/>
                <w:sz w:val="21"/>
              </w:rPr>
            </w:pPr>
            <w:r>
              <w:rPr>
                <w:color w:val="auto"/>
                <w:sz w:val="21"/>
                <w:szCs w:val="21"/>
              </w:rPr>
              <w:t>596</w:t>
            </w:r>
          </w:p>
        </w:tc>
        <w:tc>
          <w:tcPr>
            <w:tcW w:w="2833" w:type="dxa"/>
            <w:vAlign w:val="center"/>
          </w:tcPr>
          <w:p>
            <w:pPr>
              <w:jc w:val="center"/>
              <w:rPr>
                <w:color w:val="auto"/>
                <w:sz w:val="21"/>
              </w:rPr>
            </w:pPr>
            <w:r>
              <w:rPr>
                <w:color w:val="auto"/>
                <w:sz w:val="21"/>
              </w:rPr>
              <w:t>2000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15</w:t>
            </w:r>
          </w:p>
        </w:tc>
        <w:tc>
          <w:tcPr>
            <w:tcW w:w="2325" w:type="dxa"/>
            <w:tcBorders>
              <w:left w:val="single" w:color="auto" w:sz="4" w:space="0"/>
            </w:tcBorders>
            <w:vAlign w:val="center"/>
          </w:tcPr>
          <w:p>
            <w:pPr>
              <w:jc w:val="center"/>
              <w:rPr>
                <w:color w:val="auto"/>
                <w:sz w:val="21"/>
              </w:rPr>
            </w:pPr>
            <w:r>
              <w:rPr>
                <w:color w:val="auto"/>
                <w:sz w:val="21"/>
                <w:szCs w:val="21"/>
              </w:rPr>
              <w:t>反-1,2,-二氯乙烯</w:t>
            </w:r>
          </w:p>
        </w:tc>
        <w:tc>
          <w:tcPr>
            <w:tcW w:w="3260" w:type="dxa"/>
            <w:vAlign w:val="center"/>
          </w:tcPr>
          <w:p>
            <w:pPr>
              <w:jc w:val="center"/>
              <w:rPr>
                <w:color w:val="auto"/>
                <w:sz w:val="21"/>
              </w:rPr>
            </w:pPr>
            <w:r>
              <w:rPr>
                <w:color w:val="auto"/>
                <w:sz w:val="21"/>
                <w:szCs w:val="21"/>
              </w:rPr>
              <w:t>54</w:t>
            </w:r>
          </w:p>
        </w:tc>
        <w:tc>
          <w:tcPr>
            <w:tcW w:w="2833" w:type="dxa"/>
            <w:vAlign w:val="center"/>
          </w:tcPr>
          <w:p>
            <w:pPr>
              <w:jc w:val="center"/>
              <w:rPr>
                <w:color w:val="auto"/>
                <w:sz w:val="21"/>
              </w:rPr>
            </w:pPr>
            <w:r>
              <w:rPr>
                <w:color w:val="auto"/>
                <w:sz w:val="21"/>
              </w:rPr>
              <w:t>163</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16</w:t>
            </w:r>
          </w:p>
        </w:tc>
        <w:tc>
          <w:tcPr>
            <w:tcW w:w="2325" w:type="dxa"/>
            <w:tcBorders>
              <w:left w:val="single" w:color="auto" w:sz="4" w:space="0"/>
            </w:tcBorders>
            <w:vAlign w:val="center"/>
          </w:tcPr>
          <w:p>
            <w:pPr>
              <w:jc w:val="center"/>
              <w:rPr>
                <w:color w:val="auto"/>
                <w:sz w:val="21"/>
              </w:rPr>
            </w:pPr>
            <w:r>
              <w:rPr>
                <w:color w:val="auto"/>
                <w:sz w:val="21"/>
                <w:szCs w:val="21"/>
              </w:rPr>
              <w:t>二氯甲烷</w:t>
            </w:r>
          </w:p>
        </w:tc>
        <w:tc>
          <w:tcPr>
            <w:tcW w:w="3260" w:type="dxa"/>
            <w:vAlign w:val="center"/>
          </w:tcPr>
          <w:p>
            <w:pPr>
              <w:jc w:val="center"/>
              <w:rPr>
                <w:color w:val="auto"/>
                <w:sz w:val="21"/>
              </w:rPr>
            </w:pPr>
            <w:r>
              <w:rPr>
                <w:color w:val="auto"/>
                <w:sz w:val="21"/>
                <w:szCs w:val="21"/>
              </w:rPr>
              <w:t>616</w:t>
            </w:r>
          </w:p>
        </w:tc>
        <w:tc>
          <w:tcPr>
            <w:tcW w:w="2833" w:type="dxa"/>
            <w:vAlign w:val="center"/>
          </w:tcPr>
          <w:p>
            <w:pPr>
              <w:jc w:val="center"/>
              <w:rPr>
                <w:color w:val="auto"/>
                <w:sz w:val="21"/>
              </w:rPr>
            </w:pPr>
            <w:r>
              <w:rPr>
                <w:color w:val="auto"/>
                <w:sz w:val="21"/>
              </w:rPr>
              <w:t>2000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17</w:t>
            </w:r>
          </w:p>
        </w:tc>
        <w:tc>
          <w:tcPr>
            <w:tcW w:w="2325" w:type="dxa"/>
            <w:tcBorders>
              <w:left w:val="single" w:color="auto" w:sz="4" w:space="0"/>
            </w:tcBorders>
            <w:vAlign w:val="center"/>
          </w:tcPr>
          <w:p>
            <w:pPr>
              <w:jc w:val="center"/>
              <w:rPr>
                <w:color w:val="auto"/>
                <w:sz w:val="21"/>
              </w:rPr>
            </w:pPr>
            <w:r>
              <w:rPr>
                <w:color w:val="auto"/>
                <w:sz w:val="21"/>
                <w:szCs w:val="21"/>
              </w:rPr>
              <w:t>1,2-二氯丙烷</w:t>
            </w:r>
          </w:p>
        </w:tc>
        <w:tc>
          <w:tcPr>
            <w:tcW w:w="3260" w:type="dxa"/>
            <w:vAlign w:val="center"/>
          </w:tcPr>
          <w:p>
            <w:pPr>
              <w:jc w:val="center"/>
              <w:rPr>
                <w:color w:val="auto"/>
                <w:sz w:val="21"/>
              </w:rPr>
            </w:pPr>
            <w:r>
              <w:rPr>
                <w:color w:val="auto"/>
                <w:sz w:val="21"/>
                <w:szCs w:val="21"/>
              </w:rPr>
              <w:t>5</w:t>
            </w:r>
          </w:p>
        </w:tc>
        <w:tc>
          <w:tcPr>
            <w:tcW w:w="2833" w:type="dxa"/>
            <w:vAlign w:val="center"/>
          </w:tcPr>
          <w:p>
            <w:pPr>
              <w:jc w:val="center"/>
              <w:rPr>
                <w:color w:val="auto"/>
                <w:sz w:val="21"/>
              </w:rPr>
            </w:pPr>
            <w:r>
              <w:rPr>
                <w:color w:val="auto"/>
                <w:sz w:val="21"/>
              </w:rPr>
              <w:t>47</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18</w:t>
            </w:r>
          </w:p>
        </w:tc>
        <w:tc>
          <w:tcPr>
            <w:tcW w:w="2325" w:type="dxa"/>
            <w:tcBorders>
              <w:left w:val="single" w:color="auto" w:sz="4" w:space="0"/>
            </w:tcBorders>
            <w:vAlign w:val="center"/>
          </w:tcPr>
          <w:p>
            <w:pPr>
              <w:jc w:val="center"/>
              <w:rPr>
                <w:color w:val="auto"/>
                <w:sz w:val="21"/>
              </w:rPr>
            </w:pPr>
            <w:r>
              <w:rPr>
                <w:color w:val="auto"/>
                <w:sz w:val="21"/>
                <w:szCs w:val="21"/>
              </w:rPr>
              <w:t>1,1,1,2-四氯乙烷</w:t>
            </w:r>
          </w:p>
        </w:tc>
        <w:tc>
          <w:tcPr>
            <w:tcW w:w="3260" w:type="dxa"/>
            <w:vAlign w:val="center"/>
          </w:tcPr>
          <w:p>
            <w:pPr>
              <w:jc w:val="center"/>
              <w:rPr>
                <w:color w:val="auto"/>
                <w:sz w:val="21"/>
              </w:rPr>
            </w:pPr>
            <w:r>
              <w:rPr>
                <w:color w:val="auto"/>
                <w:sz w:val="21"/>
                <w:szCs w:val="21"/>
              </w:rPr>
              <w:t>10</w:t>
            </w:r>
          </w:p>
        </w:tc>
        <w:tc>
          <w:tcPr>
            <w:tcW w:w="2833" w:type="dxa"/>
            <w:vAlign w:val="center"/>
          </w:tcPr>
          <w:p>
            <w:pPr>
              <w:jc w:val="center"/>
              <w:rPr>
                <w:color w:val="auto"/>
                <w:sz w:val="21"/>
              </w:rPr>
            </w:pPr>
            <w:r>
              <w:rPr>
                <w:color w:val="auto"/>
                <w:sz w:val="21"/>
              </w:rPr>
              <w:t>100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19</w:t>
            </w:r>
          </w:p>
        </w:tc>
        <w:tc>
          <w:tcPr>
            <w:tcW w:w="2325" w:type="dxa"/>
            <w:tcBorders>
              <w:left w:val="single" w:color="auto" w:sz="4" w:space="0"/>
            </w:tcBorders>
            <w:vAlign w:val="center"/>
          </w:tcPr>
          <w:p>
            <w:pPr>
              <w:jc w:val="center"/>
              <w:rPr>
                <w:color w:val="auto"/>
                <w:sz w:val="21"/>
              </w:rPr>
            </w:pPr>
            <w:r>
              <w:rPr>
                <w:color w:val="auto"/>
                <w:sz w:val="21"/>
                <w:szCs w:val="21"/>
              </w:rPr>
              <w:t>1,1,2,2-四氯乙烯</w:t>
            </w:r>
          </w:p>
        </w:tc>
        <w:tc>
          <w:tcPr>
            <w:tcW w:w="3260" w:type="dxa"/>
            <w:vAlign w:val="center"/>
          </w:tcPr>
          <w:p>
            <w:pPr>
              <w:jc w:val="center"/>
              <w:rPr>
                <w:color w:val="auto"/>
                <w:sz w:val="21"/>
              </w:rPr>
            </w:pPr>
            <w:r>
              <w:rPr>
                <w:color w:val="auto"/>
                <w:sz w:val="21"/>
                <w:szCs w:val="21"/>
              </w:rPr>
              <w:t>6.8</w:t>
            </w:r>
          </w:p>
        </w:tc>
        <w:tc>
          <w:tcPr>
            <w:tcW w:w="2833" w:type="dxa"/>
            <w:vAlign w:val="center"/>
          </w:tcPr>
          <w:p>
            <w:pPr>
              <w:jc w:val="center"/>
              <w:rPr>
                <w:color w:val="auto"/>
                <w:sz w:val="21"/>
              </w:rPr>
            </w:pPr>
            <w:r>
              <w:rPr>
                <w:color w:val="auto"/>
                <w:sz w:val="21"/>
              </w:rPr>
              <w:t>50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20</w:t>
            </w:r>
          </w:p>
        </w:tc>
        <w:tc>
          <w:tcPr>
            <w:tcW w:w="2325" w:type="dxa"/>
            <w:tcBorders>
              <w:left w:val="single" w:color="auto" w:sz="4" w:space="0"/>
            </w:tcBorders>
            <w:vAlign w:val="center"/>
          </w:tcPr>
          <w:p>
            <w:pPr>
              <w:jc w:val="center"/>
              <w:rPr>
                <w:color w:val="auto"/>
                <w:sz w:val="21"/>
              </w:rPr>
            </w:pPr>
            <w:r>
              <w:rPr>
                <w:color w:val="auto"/>
                <w:sz w:val="21"/>
                <w:szCs w:val="21"/>
              </w:rPr>
              <w:t>四氯乙烯</w:t>
            </w:r>
          </w:p>
        </w:tc>
        <w:tc>
          <w:tcPr>
            <w:tcW w:w="3260" w:type="dxa"/>
            <w:vAlign w:val="center"/>
          </w:tcPr>
          <w:p>
            <w:pPr>
              <w:jc w:val="center"/>
              <w:rPr>
                <w:color w:val="auto"/>
                <w:sz w:val="21"/>
              </w:rPr>
            </w:pPr>
            <w:r>
              <w:rPr>
                <w:color w:val="auto"/>
                <w:sz w:val="21"/>
                <w:szCs w:val="21"/>
              </w:rPr>
              <w:t>53</w:t>
            </w:r>
          </w:p>
        </w:tc>
        <w:tc>
          <w:tcPr>
            <w:tcW w:w="2833" w:type="dxa"/>
            <w:vAlign w:val="center"/>
          </w:tcPr>
          <w:p>
            <w:pPr>
              <w:jc w:val="center"/>
              <w:rPr>
                <w:color w:val="auto"/>
                <w:sz w:val="21"/>
              </w:rPr>
            </w:pPr>
            <w:r>
              <w:rPr>
                <w:color w:val="auto"/>
                <w:sz w:val="21"/>
              </w:rPr>
              <w:t>183</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21</w:t>
            </w:r>
          </w:p>
        </w:tc>
        <w:tc>
          <w:tcPr>
            <w:tcW w:w="2325" w:type="dxa"/>
            <w:tcBorders>
              <w:left w:val="single" w:color="auto" w:sz="4" w:space="0"/>
            </w:tcBorders>
            <w:vAlign w:val="center"/>
          </w:tcPr>
          <w:p>
            <w:pPr>
              <w:jc w:val="center"/>
              <w:rPr>
                <w:color w:val="auto"/>
                <w:sz w:val="21"/>
              </w:rPr>
            </w:pPr>
            <w:r>
              <w:rPr>
                <w:color w:val="auto"/>
                <w:sz w:val="21"/>
                <w:szCs w:val="21"/>
              </w:rPr>
              <w:t>1,1,1-三氯乙烷</w:t>
            </w:r>
          </w:p>
        </w:tc>
        <w:tc>
          <w:tcPr>
            <w:tcW w:w="3260" w:type="dxa"/>
            <w:vAlign w:val="center"/>
          </w:tcPr>
          <w:p>
            <w:pPr>
              <w:jc w:val="center"/>
              <w:rPr>
                <w:color w:val="auto"/>
                <w:sz w:val="21"/>
              </w:rPr>
            </w:pPr>
            <w:r>
              <w:rPr>
                <w:color w:val="auto"/>
                <w:sz w:val="21"/>
                <w:szCs w:val="21"/>
              </w:rPr>
              <w:t>840</w:t>
            </w:r>
          </w:p>
        </w:tc>
        <w:tc>
          <w:tcPr>
            <w:tcW w:w="2833" w:type="dxa"/>
            <w:vAlign w:val="center"/>
          </w:tcPr>
          <w:p>
            <w:pPr>
              <w:jc w:val="center"/>
              <w:rPr>
                <w:color w:val="auto"/>
                <w:sz w:val="21"/>
              </w:rPr>
            </w:pPr>
            <w:r>
              <w:rPr>
                <w:color w:val="auto"/>
                <w:sz w:val="21"/>
              </w:rPr>
              <w:t>840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22</w:t>
            </w:r>
          </w:p>
        </w:tc>
        <w:tc>
          <w:tcPr>
            <w:tcW w:w="2325" w:type="dxa"/>
            <w:tcBorders>
              <w:left w:val="single" w:color="auto" w:sz="4" w:space="0"/>
            </w:tcBorders>
            <w:vAlign w:val="center"/>
          </w:tcPr>
          <w:p>
            <w:pPr>
              <w:jc w:val="center"/>
              <w:rPr>
                <w:color w:val="auto"/>
                <w:sz w:val="21"/>
              </w:rPr>
            </w:pPr>
            <w:r>
              <w:rPr>
                <w:color w:val="auto"/>
                <w:sz w:val="21"/>
                <w:szCs w:val="21"/>
              </w:rPr>
              <w:t>1,1,2-三氯乙烷</w:t>
            </w:r>
          </w:p>
        </w:tc>
        <w:tc>
          <w:tcPr>
            <w:tcW w:w="3260" w:type="dxa"/>
            <w:vAlign w:val="center"/>
          </w:tcPr>
          <w:p>
            <w:pPr>
              <w:jc w:val="center"/>
              <w:rPr>
                <w:color w:val="auto"/>
                <w:sz w:val="21"/>
              </w:rPr>
            </w:pPr>
            <w:r>
              <w:rPr>
                <w:color w:val="auto"/>
                <w:sz w:val="21"/>
                <w:szCs w:val="21"/>
              </w:rPr>
              <w:t>2.8</w:t>
            </w:r>
          </w:p>
        </w:tc>
        <w:tc>
          <w:tcPr>
            <w:tcW w:w="2833" w:type="dxa"/>
            <w:vAlign w:val="center"/>
          </w:tcPr>
          <w:p>
            <w:pPr>
              <w:jc w:val="center"/>
              <w:rPr>
                <w:color w:val="auto"/>
                <w:sz w:val="21"/>
              </w:rPr>
            </w:pPr>
            <w:r>
              <w:rPr>
                <w:color w:val="auto"/>
                <w:sz w:val="21"/>
              </w:rPr>
              <w:t>15</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23</w:t>
            </w:r>
          </w:p>
        </w:tc>
        <w:tc>
          <w:tcPr>
            <w:tcW w:w="2325" w:type="dxa"/>
            <w:tcBorders>
              <w:left w:val="single" w:color="auto" w:sz="4" w:space="0"/>
            </w:tcBorders>
            <w:vAlign w:val="center"/>
          </w:tcPr>
          <w:p>
            <w:pPr>
              <w:jc w:val="center"/>
              <w:rPr>
                <w:color w:val="auto"/>
                <w:sz w:val="21"/>
              </w:rPr>
            </w:pPr>
            <w:r>
              <w:rPr>
                <w:color w:val="auto"/>
                <w:sz w:val="21"/>
                <w:szCs w:val="21"/>
              </w:rPr>
              <w:t>三氯乙烯</w:t>
            </w:r>
          </w:p>
        </w:tc>
        <w:tc>
          <w:tcPr>
            <w:tcW w:w="3260" w:type="dxa"/>
            <w:vAlign w:val="center"/>
          </w:tcPr>
          <w:p>
            <w:pPr>
              <w:jc w:val="center"/>
              <w:rPr>
                <w:color w:val="auto"/>
                <w:sz w:val="21"/>
              </w:rPr>
            </w:pPr>
            <w:r>
              <w:rPr>
                <w:color w:val="auto"/>
                <w:sz w:val="21"/>
                <w:szCs w:val="21"/>
              </w:rPr>
              <w:t>2.8</w:t>
            </w:r>
          </w:p>
        </w:tc>
        <w:tc>
          <w:tcPr>
            <w:tcW w:w="2833" w:type="dxa"/>
            <w:vAlign w:val="center"/>
          </w:tcPr>
          <w:p>
            <w:pPr>
              <w:jc w:val="center"/>
              <w:rPr>
                <w:color w:val="auto"/>
                <w:sz w:val="21"/>
              </w:rPr>
            </w:pPr>
            <w:r>
              <w:rPr>
                <w:color w:val="auto"/>
                <w:sz w:val="21"/>
              </w:rPr>
              <w:t>20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24</w:t>
            </w:r>
          </w:p>
        </w:tc>
        <w:tc>
          <w:tcPr>
            <w:tcW w:w="2325" w:type="dxa"/>
            <w:tcBorders>
              <w:left w:val="single" w:color="auto" w:sz="4" w:space="0"/>
            </w:tcBorders>
            <w:vAlign w:val="center"/>
          </w:tcPr>
          <w:p>
            <w:pPr>
              <w:jc w:val="center"/>
              <w:rPr>
                <w:color w:val="auto"/>
                <w:sz w:val="21"/>
              </w:rPr>
            </w:pPr>
            <w:r>
              <w:rPr>
                <w:color w:val="auto"/>
                <w:sz w:val="21"/>
                <w:szCs w:val="21"/>
              </w:rPr>
              <w:t>1,2,3-三氯丙烷</w:t>
            </w:r>
          </w:p>
        </w:tc>
        <w:tc>
          <w:tcPr>
            <w:tcW w:w="3260" w:type="dxa"/>
            <w:vAlign w:val="center"/>
          </w:tcPr>
          <w:p>
            <w:pPr>
              <w:jc w:val="center"/>
              <w:rPr>
                <w:color w:val="auto"/>
                <w:sz w:val="21"/>
              </w:rPr>
            </w:pPr>
            <w:r>
              <w:rPr>
                <w:color w:val="auto"/>
                <w:sz w:val="21"/>
                <w:szCs w:val="21"/>
              </w:rPr>
              <w:t>0.5</w:t>
            </w:r>
          </w:p>
        </w:tc>
        <w:tc>
          <w:tcPr>
            <w:tcW w:w="2833" w:type="dxa"/>
            <w:vAlign w:val="center"/>
          </w:tcPr>
          <w:p>
            <w:pPr>
              <w:jc w:val="center"/>
              <w:rPr>
                <w:color w:val="auto"/>
                <w:sz w:val="21"/>
              </w:rPr>
            </w:pPr>
            <w:r>
              <w:rPr>
                <w:color w:val="auto"/>
                <w:sz w:val="21"/>
              </w:rPr>
              <w:t>5</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25</w:t>
            </w:r>
          </w:p>
        </w:tc>
        <w:tc>
          <w:tcPr>
            <w:tcW w:w="2325" w:type="dxa"/>
            <w:tcBorders>
              <w:left w:val="single" w:color="auto" w:sz="4" w:space="0"/>
            </w:tcBorders>
            <w:vAlign w:val="center"/>
          </w:tcPr>
          <w:p>
            <w:pPr>
              <w:jc w:val="center"/>
              <w:rPr>
                <w:color w:val="auto"/>
                <w:sz w:val="21"/>
              </w:rPr>
            </w:pPr>
            <w:r>
              <w:rPr>
                <w:color w:val="auto"/>
                <w:sz w:val="21"/>
                <w:szCs w:val="21"/>
              </w:rPr>
              <w:t>氯乙烯</w:t>
            </w:r>
          </w:p>
        </w:tc>
        <w:tc>
          <w:tcPr>
            <w:tcW w:w="3260" w:type="dxa"/>
            <w:vAlign w:val="center"/>
          </w:tcPr>
          <w:p>
            <w:pPr>
              <w:jc w:val="center"/>
              <w:rPr>
                <w:color w:val="auto"/>
                <w:sz w:val="21"/>
              </w:rPr>
            </w:pPr>
            <w:r>
              <w:rPr>
                <w:color w:val="auto"/>
                <w:sz w:val="21"/>
                <w:szCs w:val="21"/>
              </w:rPr>
              <w:t>0.43</w:t>
            </w:r>
          </w:p>
        </w:tc>
        <w:tc>
          <w:tcPr>
            <w:tcW w:w="2833" w:type="dxa"/>
            <w:vAlign w:val="center"/>
          </w:tcPr>
          <w:p>
            <w:pPr>
              <w:jc w:val="center"/>
              <w:rPr>
                <w:color w:val="auto"/>
                <w:sz w:val="21"/>
              </w:rPr>
            </w:pPr>
            <w:r>
              <w:rPr>
                <w:color w:val="auto"/>
                <w:sz w:val="21"/>
              </w:rPr>
              <w:t>4.3</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26</w:t>
            </w:r>
          </w:p>
        </w:tc>
        <w:tc>
          <w:tcPr>
            <w:tcW w:w="2325" w:type="dxa"/>
            <w:tcBorders>
              <w:left w:val="single" w:color="auto" w:sz="4" w:space="0"/>
            </w:tcBorders>
            <w:vAlign w:val="center"/>
          </w:tcPr>
          <w:p>
            <w:pPr>
              <w:jc w:val="center"/>
              <w:rPr>
                <w:color w:val="auto"/>
                <w:sz w:val="21"/>
              </w:rPr>
            </w:pPr>
            <w:r>
              <w:rPr>
                <w:color w:val="auto"/>
                <w:sz w:val="21"/>
                <w:szCs w:val="21"/>
              </w:rPr>
              <w:t>苯</w:t>
            </w:r>
          </w:p>
        </w:tc>
        <w:tc>
          <w:tcPr>
            <w:tcW w:w="3260" w:type="dxa"/>
            <w:vAlign w:val="center"/>
          </w:tcPr>
          <w:p>
            <w:pPr>
              <w:jc w:val="center"/>
              <w:rPr>
                <w:color w:val="auto"/>
                <w:sz w:val="21"/>
              </w:rPr>
            </w:pPr>
            <w:r>
              <w:rPr>
                <w:color w:val="auto"/>
                <w:sz w:val="21"/>
                <w:szCs w:val="21"/>
              </w:rPr>
              <w:t>4</w:t>
            </w:r>
          </w:p>
        </w:tc>
        <w:tc>
          <w:tcPr>
            <w:tcW w:w="2833" w:type="dxa"/>
            <w:vAlign w:val="center"/>
          </w:tcPr>
          <w:p>
            <w:pPr>
              <w:jc w:val="center"/>
              <w:rPr>
                <w:color w:val="auto"/>
                <w:sz w:val="21"/>
              </w:rPr>
            </w:pPr>
            <w:r>
              <w:rPr>
                <w:color w:val="auto"/>
                <w:sz w:val="21"/>
              </w:rPr>
              <w:t>40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27</w:t>
            </w:r>
          </w:p>
        </w:tc>
        <w:tc>
          <w:tcPr>
            <w:tcW w:w="2325" w:type="dxa"/>
            <w:tcBorders>
              <w:left w:val="single" w:color="auto" w:sz="4" w:space="0"/>
            </w:tcBorders>
            <w:vAlign w:val="center"/>
          </w:tcPr>
          <w:p>
            <w:pPr>
              <w:jc w:val="center"/>
              <w:rPr>
                <w:color w:val="auto"/>
                <w:sz w:val="21"/>
              </w:rPr>
            </w:pPr>
            <w:r>
              <w:rPr>
                <w:color w:val="auto"/>
                <w:sz w:val="21"/>
                <w:szCs w:val="21"/>
              </w:rPr>
              <w:t>氯苯</w:t>
            </w:r>
          </w:p>
        </w:tc>
        <w:tc>
          <w:tcPr>
            <w:tcW w:w="3260" w:type="dxa"/>
            <w:vAlign w:val="center"/>
          </w:tcPr>
          <w:p>
            <w:pPr>
              <w:jc w:val="center"/>
              <w:rPr>
                <w:color w:val="auto"/>
                <w:sz w:val="21"/>
              </w:rPr>
            </w:pPr>
            <w:r>
              <w:rPr>
                <w:color w:val="auto"/>
                <w:sz w:val="21"/>
                <w:szCs w:val="21"/>
              </w:rPr>
              <w:t>270</w:t>
            </w:r>
          </w:p>
        </w:tc>
        <w:tc>
          <w:tcPr>
            <w:tcW w:w="2833" w:type="dxa"/>
            <w:vAlign w:val="center"/>
          </w:tcPr>
          <w:p>
            <w:pPr>
              <w:jc w:val="center"/>
              <w:rPr>
                <w:color w:val="auto"/>
                <w:sz w:val="21"/>
              </w:rPr>
            </w:pPr>
            <w:r>
              <w:rPr>
                <w:color w:val="auto"/>
                <w:sz w:val="21"/>
              </w:rPr>
              <w:t>1000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28</w:t>
            </w:r>
          </w:p>
        </w:tc>
        <w:tc>
          <w:tcPr>
            <w:tcW w:w="2325" w:type="dxa"/>
            <w:tcBorders>
              <w:left w:val="single" w:color="auto" w:sz="4" w:space="0"/>
            </w:tcBorders>
            <w:vAlign w:val="center"/>
          </w:tcPr>
          <w:p>
            <w:pPr>
              <w:jc w:val="center"/>
              <w:rPr>
                <w:color w:val="auto"/>
                <w:sz w:val="21"/>
              </w:rPr>
            </w:pPr>
            <w:r>
              <w:rPr>
                <w:color w:val="auto"/>
                <w:sz w:val="21"/>
                <w:szCs w:val="21"/>
              </w:rPr>
              <w:t>1,2-二氯苯</w:t>
            </w:r>
          </w:p>
        </w:tc>
        <w:tc>
          <w:tcPr>
            <w:tcW w:w="3260" w:type="dxa"/>
            <w:vAlign w:val="center"/>
          </w:tcPr>
          <w:p>
            <w:pPr>
              <w:jc w:val="center"/>
              <w:rPr>
                <w:color w:val="auto"/>
                <w:sz w:val="21"/>
              </w:rPr>
            </w:pPr>
            <w:r>
              <w:rPr>
                <w:color w:val="auto"/>
                <w:sz w:val="21"/>
                <w:szCs w:val="21"/>
              </w:rPr>
              <w:t>560</w:t>
            </w:r>
          </w:p>
        </w:tc>
        <w:tc>
          <w:tcPr>
            <w:tcW w:w="2833" w:type="dxa"/>
            <w:vAlign w:val="center"/>
          </w:tcPr>
          <w:p>
            <w:pPr>
              <w:jc w:val="center"/>
              <w:rPr>
                <w:color w:val="auto"/>
                <w:sz w:val="21"/>
              </w:rPr>
            </w:pPr>
            <w:r>
              <w:rPr>
                <w:color w:val="auto"/>
                <w:sz w:val="21"/>
              </w:rPr>
              <w:t>560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29</w:t>
            </w:r>
          </w:p>
        </w:tc>
        <w:tc>
          <w:tcPr>
            <w:tcW w:w="2325" w:type="dxa"/>
            <w:tcBorders>
              <w:left w:val="single" w:color="auto" w:sz="4" w:space="0"/>
            </w:tcBorders>
            <w:vAlign w:val="center"/>
          </w:tcPr>
          <w:p>
            <w:pPr>
              <w:jc w:val="center"/>
              <w:rPr>
                <w:color w:val="auto"/>
                <w:sz w:val="21"/>
              </w:rPr>
            </w:pPr>
            <w:r>
              <w:rPr>
                <w:color w:val="auto"/>
                <w:sz w:val="21"/>
                <w:szCs w:val="21"/>
              </w:rPr>
              <w:t>1,4-二氯苯</w:t>
            </w:r>
          </w:p>
        </w:tc>
        <w:tc>
          <w:tcPr>
            <w:tcW w:w="3260" w:type="dxa"/>
            <w:vAlign w:val="center"/>
          </w:tcPr>
          <w:p>
            <w:pPr>
              <w:jc w:val="center"/>
              <w:rPr>
                <w:color w:val="auto"/>
                <w:sz w:val="21"/>
              </w:rPr>
            </w:pPr>
            <w:r>
              <w:rPr>
                <w:color w:val="auto"/>
                <w:sz w:val="21"/>
                <w:szCs w:val="21"/>
              </w:rPr>
              <w:t>20</w:t>
            </w:r>
          </w:p>
        </w:tc>
        <w:tc>
          <w:tcPr>
            <w:tcW w:w="2833" w:type="dxa"/>
            <w:vAlign w:val="center"/>
          </w:tcPr>
          <w:p>
            <w:pPr>
              <w:jc w:val="center"/>
              <w:rPr>
                <w:color w:val="auto"/>
                <w:sz w:val="21"/>
              </w:rPr>
            </w:pPr>
            <w:r>
              <w:rPr>
                <w:color w:val="auto"/>
                <w:sz w:val="21"/>
              </w:rPr>
              <w:t>200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30</w:t>
            </w:r>
          </w:p>
        </w:tc>
        <w:tc>
          <w:tcPr>
            <w:tcW w:w="2325" w:type="dxa"/>
            <w:tcBorders>
              <w:left w:val="single" w:color="auto" w:sz="4" w:space="0"/>
            </w:tcBorders>
            <w:vAlign w:val="center"/>
          </w:tcPr>
          <w:p>
            <w:pPr>
              <w:jc w:val="center"/>
              <w:rPr>
                <w:color w:val="auto"/>
                <w:sz w:val="21"/>
              </w:rPr>
            </w:pPr>
            <w:r>
              <w:rPr>
                <w:color w:val="auto"/>
                <w:sz w:val="21"/>
                <w:szCs w:val="21"/>
              </w:rPr>
              <w:t>甲苯</w:t>
            </w:r>
          </w:p>
        </w:tc>
        <w:tc>
          <w:tcPr>
            <w:tcW w:w="3260" w:type="dxa"/>
            <w:vAlign w:val="center"/>
          </w:tcPr>
          <w:p>
            <w:pPr>
              <w:jc w:val="center"/>
              <w:rPr>
                <w:color w:val="auto"/>
                <w:sz w:val="21"/>
              </w:rPr>
            </w:pPr>
            <w:r>
              <w:rPr>
                <w:color w:val="auto"/>
                <w:sz w:val="21"/>
                <w:szCs w:val="21"/>
              </w:rPr>
              <w:t>28</w:t>
            </w:r>
          </w:p>
        </w:tc>
        <w:tc>
          <w:tcPr>
            <w:tcW w:w="2833" w:type="dxa"/>
            <w:vAlign w:val="center"/>
          </w:tcPr>
          <w:p>
            <w:pPr>
              <w:jc w:val="center"/>
              <w:rPr>
                <w:color w:val="auto"/>
                <w:sz w:val="21"/>
              </w:rPr>
            </w:pPr>
            <w:r>
              <w:rPr>
                <w:color w:val="auto"/>
                <w:sz w:val="21"/>
              </w:rPr>
              <w:t>280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31</w:t>
            </w:r>
          </w:p>
        </w:tc>
        <w:tc>
          <w:tcPr>
            <w:tcW w:w="2325" w:type="dxa"/>
            <w:tcBorders>
              <w:left w:val="single" w:color="auto" w:sz="4" w:space="0"/>
            </w:tcBorders>
            <w:vAlign w:val="center"/>
          </w:tcPr>
          <w:p>
            <w:pPr>
              <w:jc w:val="center"/>
              <w:rPr>
                <w:color w:val="auto"/>
                <w:sz w:val="21"/>
              </w:rPr>
            </w:pPr>
            <w:r>
              <w:rPr>
                <w:color w:val="auto"/>
                <w:sz w:val="21"/>
                <w:szCs w:val="21"/>
              </w:rPr>
              <w:t>乙苯</w:t>
            </w:r>
          </w:p>
        </w:tc>
        <w:tc>
          <w:tcPr>
            <w:tcW w:w="3260" w:type="dxa"/>
            <w:vAlign w:val="center"/>
          </w:tcPr>
          <w:p>
            <w:pPr>
              <w:jc w:val="center"/>
              <w:rPr>
                <w:color w:val="auto"/>
                <w:sz w:val="21"/>
              </w:rPr>
            </w:pPr>
            <w:r>
              <w:rPr>
                <w:color w:val="auto"/>
                <w:sz w:val="21"/>
                <w:szCs w:val="21"/>
              </w:rPr>
              <w:t>1290</w:t>
            </w:r>
          </w:p>
        </w:tc>
        <w:tc>
          <w:tcPr>
            <w:tcW w:w="2833" w:type="dxa"/>
            <w:vAlign w:val="center"/>
          </w:tcPr>
          <w:p>
            <w:pPr>
              <w:jc w:val="center"/>
              <w:rPr>
                <w:color w:val="auto"/>
                <w:sz w:val="21"/>
              </w:rPr>
            </w:pPr>
            <w:r>
              <w:rPr>
                <w:color w:val="auto"/>
                <w:sz w:val="21"/>
              </w:rPr>
              <w:t>1290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32</w:t>
            </w:r>
          </w:p>
        </w:tc>
        <w:tc>
          <w:tcPr>
            <w:tcW w:w="2325" w:type="dxa"/>
            <w:tcBorders>
              <w:left w:val="single" w:color="auto" w:sz="4" w:space="0"/>
            </w:tcBorders>
            <w:vAlign w:val="center"/>
          </w:tcPr>
          <w:p>
            <w:pPr>
              <w:jc w:val="center"/>
              <w:rPr>
                <w:color w:val="auto"/>
                <w:sz w:val="21"/>
              </w:rPr>
            </w:pPr>
            <w:r>
              <w:rPr>
                <w:color w:val="auto"/>
                <w:sz w:val="21"/>
                <w:szCs w:val="21"/>
              </w:rPr>
              <w:t>苯乙烯</w:t>
            </w:r>
          </w:p>
        </w:tc>
        <w:tc>
          <w:tcPr>
            <w:tcW w:w="3260" w:type="dxa"/>
            <w:vAlign w:val="center"/>
          </w:tcPr>
          <w:p>
            <w:pPr>
              <w:jc w:val="center"/>
              <w:rPr>
                <w:color w:val="auto"/>
                <w:sz w:val="21"/>
              </w:rPr>
            </w:pPr>
            <w:r>
              <w:rPr>
                <w:color w:val="auto"/>
                <w:sz w:val="21"/>
                <w:szCs w:val="21"/>
              </w:rPr>
              <w:t>1200</w:t>
            </w:r>
          </w:p>
        </w:tc>
        <w:tc>
          <w:tcPr>
            <w:tcW w:w="2833" w:type="dxa"/>
            <w:vAlign w:val="center"/>
          </w:tcPr>
          <w:p>
            <w:pPr>
              <w:jc w:val="center"/>
              <w:rPr>
                <w:color w:val="auto"/>
                <w:sz w:val="21"/>
              </w:rPr>
            </w:pPr>
            <w:r>
              <w:rPr>
                <w:color w:val="auto"/>
                <w:sz w:val="21"/>
              </w:rPr>
              <w:t>1200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33</w:t>
            </w:r>
          </w:p>
        </w:tc>
        <w:tc>
          <w:tcPr>
            <w:tcW w:w="2325" w:type="dxa"/>
            <w:tcBorders>
              <w:left w:val="single" w:color="auto" w:sz="4" w:space="0"/>
            </w:tcBorders>
            <w:vAlign w:val="center"/>
          </w:tcPr>
          <w:p>
            <w:pPr>
              <w:jc w:val="center"/>
              <w:rPr>
                <w:color w:val="auto"/>
                <w:sz w:val="21"/>
              </w:rPr>
            </w:pPr>
            <w:r>
              <w:rPr>
                <w:color w:val="auto"/>
                <w:sz w:val="21"/>
                <w:szCs w:val="21"/>
              </w:rPr>
              <w:t>间二甲苯+对二甲苯</w:t>
            </w:r>
          </w:p>
        </w:tc>
        <w:tc>
          <w:tcPr>
            <w:tcW w:w="3260" w:type="dxa"/>
            <w:vAlign w:val="center"/>
          </w:tcPr>
          <w:p>
            <w:pPr>
              <w:jc w:val="center"/>
              <w:rPr>
                <w:color w:val="auto"/>
                <w:sz w:val="21"/>
              </w:rPr>
            </w:pPr>
            <w:r>
              <w:rPr>
                <w:color w:val="auto"/>
                <w:sz w:val="21"/>
                <w:szCs w:val="21"/>
              </w:rPr>
              <w:t>570</w:t>
            </w:r>
          </w:p>
        </w:tc>
        <w:tc>
          <w:tcPr>
            <w:tcW w:w="2833" w:type="dxa"/>
            <w:vAlign w:val="center"/>
          </w:tcPr>
          <w:p>
            <w:pPr>
              <w:jc w:val="center"/>
              <w:rPr>
                <w:color w:val="auto"/>
                <w:sz w:val="21"/>
              </w:rPr>
            </w:pPr>
            <w:r>
              <w:rPr>
                <w:color w:val="auto"/>
                <w:sz w:val="21"/>
              </w:rPr>
              <w:t>570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34</w:t>
            </w:r>
          </w:p>
        </w:tc>
        <w:tc>
          <w:tcPr>
            <w:tcW w:w="2325" w:type="dxa"/>
            <w:tcBorders>
              <w:left w:val="single" w:color="auto" w:sz="4" w:space="0"/>
            </w:tcBorders>
            <w:vAlign w:val="center"/>
          </w:tcPr>
          <w:p>
            <w:pPr>
              <w:jc w:val="center"/>
              <w:rPr>
                <w:color w:val="auto"/>
                <w:sz w:val="21"/>
              </w:rPr>
            </w:pPr>
            <w:r>
              <w:rPr>
                <w:color w:val="auto"/>
                <w:sz w:val="21"/>
                <w:szCs w:val="21"/>
              </w:rPr>
              <w:t>邻二甲苯</w:t>
            </w:r>
          </w:p>
        </w:tc>
        <w:tc>
          <w:tcPr>
            <w:tcW w:w="3260" w:type="dxa"/>
            <w:vAlign w:val="center"/>
          </w:tcPr>
          <w:p>
            <w:pPr>
              <w:jc w:val="center"/>
              <w:rPr>
                <w:color w:val="auto"/>
                <w:sz w:val="21"/>
              </w:rPr>
            </w:pPr>
            <w:r>
              <w:rPr>
                <w:color w:val="auto"/>
                <w:sz w:val="21"/>
                <w:szCs w:val="21"/>
              </w:rPr>
              <w:t>640</w:t>
            </w:r>
          </w:p>
        </w:tc>
        <w:tc>
          <w:tcPr>
            <w:tcW w:w="2833" w:type="dxa"/>
            <w:vAlign w:val="center"/>
          </w:tcPr>
          <w:p>
            <w:pPr>
              <w:jc w:val="center"/>
              <w:rPr>
                <w:color w:val="auto"/>
                <w:sz w:val="21"/>
              </w:rPr>
            </w:pPr>
            <w:r>
              <w:rPr>
                <w:color w:val="auto"/>
                <w:sz w:val="21"/>
              </w:rPr>
              <w:t>640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35</w:t>
            </w:r>
          </w:p>
        </w:tc>
        <w:tc>
          <w:tcPr>
            <w:tcW w:w="2325" w:type="dxa"/>
            <w:tcBorders>
              <w:left w:val="single" w:color="auto" w:sz="4" w:space="0"/>
            </w:tcBorders>
            <w:vAlign w:val="center"/>
          </w:tcPr>
          <w:p>
            <w:pPr>
              <w:jc w:val="center"/>
              <w:rPr>
                <w:color w:val="auto"/>
                <w:sz w:val="21"/>
              </w:rPr>
            </w:pPr>
            <w:r>
              <w:rPr>
                <w:color w:val="auto"/>
                <w:sz w:val="21"/>
                <w:szCs w:val="21"/>
              </w:rPr>
              <w:t>硝基苯</w:t>
            </w:r>
          </w:p>
        </w:tc>
        <w:tc>
          <w:tcPr>
            <w:tcW w:w="3260" w:type="dxa"/>
            <w:vAlign w:val="center"/>
          </w:tcPr>
          <w:p>
            <w:pPr>
              <w:jc w:val="center"/>
              <w:rPr>
                <w:color w:val="auto"/>
                <w:sz w:val="21"/>
              </w:rPr>
            </w:pPr>
            <w:r>
              <w:rPr>
                <w:color w:val="auto"/>
                <w:sz w:val="21"/>
                <w:szCs w:val="21"/>
              </w:rPr>
              <w:t>76</w:t>
            </w:r>
          </w:p>
        </w:tc>
        <w:tc>
          <w:tcPr>
            <w:tcW w:w="2833" w:type="dxa"/>
            <w:vAlign w:val="center"/>
          </w:tcPr>
          <w:p>
            <w:pPr>
              <w:jc w:val="center"/>
              <w:rPr>
                <w:color w:val="auto"/>
                <w:sz w:val="21"/>
              </w:rPr>
            </w:pPr>
            <w:r>
              <w:rPr>
                <w:color w:val="auto"/>
                <w:sz w:val="21"/>
              </w:rPr>
              <w:t>760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36</w:t>
            </w:r>
          </w:p>
        </w:tc>
        <w:tc>
          <w:tcPr>
            <w:tcW w:w="2325" w:type="dxa"/>
            <w:tcBorders>
              <w:left w:val="single" w:color="auto" w:sz="4" w:space="0"/>
            </w:tcBorders>
            <w:vAlign w:val="center"/>
          </w:tcPr>
          <w:p>
            <w:pPr>
              <w:jc w:val="center"/>
              <w:rPr>
                <w:color w:val="auto"/>
                <w:sz w:val="21"/>
              </w:rPr>
            </w:pPr>
            <w:r>
              <w:rPr>
                <w:color w:val="auto"/>
                <w:sz w:val="21"/>
                <w:szCs w:val="21"/>
              </w:rPr>
              <w:t>苯胺</w:t>
            </w:r>
          </w:p>
        </w:tc>
        <w:tc>
          <w:tcPr>
            <w:tcW w:w="3260" w:type="dxa"/>
            <w:vAlign w:val="center"/>
          </w:tcPr>
          <w:p>
            <w:pPr>
              <w:jc w:val="center"/>
              <w:rPr>
                <w:color w:val="auto"/>
                <w:sz w:val="21"/>
              </w:rPr>
            </w:pPr>
            <w:r>
              <w:rPr>
                <w:color w:val="auto"/>
                <w:sz w:val="21"/>
                <w:szCs w:val="21"/>
              </w:rPr>
              <w:t>260</w:t>
            </w:r>
          </w:p>
        </w:tc>
        <w:tc>
          <w:tcPr>
            <w:tcW w:w="2833" w:type="dxa"/>
            <w:vAlign w:val="center"/>
          </w:tcPr>
          <w:p>
            <w:pPr>
              <w:jc w:val="center"/>
              <w:rPr>
                <w:color w:val="auto"/>
                <w:sz w:val="21"/>
              </w:rPr>
            </w:pPr>
            <w:r>
              <w:rPr>
                <w:color w:val="auto"/>
                <w:sz w:val="21"/>
              </w:rPr>
              <w:t>663</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37</w:t>
            </w:r>
          </w:p>
        </w:tc>
        <w:tc>
          <w:tcPr>
            <w:tcW w:w="2325" w:type="dxa"/>
            <w:tcBorders>
              <w:left w:val="single" w:color="auto" w:sz="4" w:space="0"/>
            </w:tcBorders>
            <w:vAlign w:val="center"/>
          </w:tcPr>
          <w:p>
            <w:pPr>
              <w:jc w:val="center"/>
              <w:rPr>
                <w:color w:val="auto"/>
                <w:sz w:val="21"/>
              </w:rPr>
            </w:pPr>
            <w:r>
              <w:rPr>
                <w:color w:val="auto"/>
                <w:sz w:val="21"/>
                <w:szCs w:val="21"/>
              </w:rPr>
              <w:t>2-氯酚</w:t>
            </w:r>
          </w:p>
        </w:tc>
        <w:tc>
          <w:tcPr>
            <w:tcW w:w="3260" w:type="dxa"/>
            <w:vAlign w:val="center"/>
          </w:tcPr>
          <w:p>
            <w:pPr>
              <w:jc w:val="center"/>
              <w:rPr>
                <w:color w:val="auto"/>
                <w:sz w:val="21"/>
              </w:rPr>
            </w:pPr>
            <w:r>
              <w:rPr>
                <w:color w:val="auto"/>
                <w:sz w:val="21"/>
                <w:szCs w:val="21"/>
              </w:rPr>
              <w:t>2256</w:t>
            </w:r>
          </w:p>
        </w:tc>
        <w:tc>
          <w:tcPr>
            <w:tcW w:w="2833" w:type="dxa"/>
            <w:vAlign w:val="center"/>
          </w:tcPr>
          <w:p>
            <w:pPr>
              <w:jc w:val="center"/>
              <w:rPr>
                <w:color w:val="auto"/>
                <w:sz w:val="21"/>
              </w:rPr>
            </w:pPr>
            <w:r>
              <w:rPr>
                <w:color w:val="auto"/>
                <w:sz w:val="21"/>
              </w:rPr>
              <w:t>4500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38</w:t>
            </w:r>
          </w:p>
        </w:tc>
        <w:tc>
          <w:tcPr>
            <w:tcW w:w="2325" w:type="dxa"/>
            <w:tcBorders>
              <w:left w:val="single" w:color="auto" w:sz="4" w:space="0"/>
            </w:tcBorders>
            <w:vAlign w:val="center"/>
          </w:tcPr>
          <w:p>
            <w:pPr>
              <w:jc w:val="center"/>
              <w:rPr>
                <w:color w:val="auto"/>
                <w:sz w:val="21"/>
              </w:rPr>
            </w:pPr>
            <w:r>
              <w:rPr>
                <w:color w:val="auto"/>
                <w:sz w:val="21"/>
                <w:szCs w:val="21"/>
              </w:rPr>
              <w:t>苯并[a]蒽</w:t>
            </w:r>
          </w:p>
        </w:tc>
        <w:tc>
          <w:tcPr>
            <w:tcW w:w="3260" w:type="dxa"/>
            <w:vAlign w:val="center"/>
          </w:tcPr>
          <w:p>
            <w:pPr>
              <w:jc w:val="center"/>
              <w:rPr>
                <w:color w:val="auto"/>
                <w:sz w:val="21"/>
              </w:rPr>
            </w:pPr>
            <w:r>
              <w:rPr>
                <w:color w:val="auto"/>
                <w:sz w:val="21"/>
                <w:szCs w:val="21"/>
              </w:rPr>
              <w:t>15</w:t>
            </w:r>
          </w:p>
        </w:tc>
        <w:tc>
          <w:tcPr>
            <w:tcW w:w="2833" w:type="dxa"/>
            <w:vAlign w:val="center"/>
          </w:tcPr>
          <w:p>
            <w:pPr>
              <w:jc w:val="center"/>
              <w:rPr>
                <w:color w:val="auto"/>
                <w:sz w:val="21"/>
              </w:rPr>
            </w:pPr>
            <w:r>
              <w:rPr>
                <w:color w:val="auto"/>
                <w:sz w:val="21"/>
              </w:rPr>
              <w:t>151</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39</w:t>
            </w:r>
          </w:p>
        </w:tc>
        <w:tc>
          <w:tcPr>
            <w:tcW w:w="2325" w:type="dxa"/>
            <w:tcBorders>
              <w:left w:val="single" w:color="auto" w:sz="4" w:space="0"/>
            </w:tcBorders>
            <w:vAlign w:val="center"/>
          </w:tcPr>
          <w:p>
            <w:pPr>
              <w:jc w:val="center"/>
              <w:rPr>
                <w:color w:val="auto"/>
                <w:sz w:val="21"/>
              </w:rPr>
            </w:pPr>
            <w:r>
              <w:rPr>
                <w:color w:val="auto"/>
                <w:sz w:val="21"/>
                <w:szCs w:val="21"/>
              </w:rPr>
              <w:t>苯并[a]芘</w:t>
            </w:r>
          </w:p>
        </w:tc>
        <w:tc>
          <w:tcPr>
            <w:tcW w:w="3260" w:type="dxa"/>
            <w:vAlign w:val="center"/>
          </w:tcPr>
          <w:p>
            <w:pPr>
              <w:jc w:val="center"/>
              <w:rPr>
                <w:color w:val="auto"/>
                <w:sz w:val="21"/>
              </w:rPr>
            </w:pPr>
            <w:r>
              <w:rPr>
                <w:color w:val="auto"/>
                <w:sz w:val="21"/>
                <w:szCs w:val="21"/>
              </w:rPr>
              <w:t>1.5</w:t>
            </w:r>
          </w:p>
        </w:tc>
        <w:tc>
          <w:tcPr>
            <w:tcW w:w="2833" w:type="dxa"/>
            <w:vAlign w:val="center"/>
          </w:tcPr>
          <w:p>
            <w:pPr>
              <w:jc w:val="center"/>
              <w:rPr>
                <w:color w:val="auto"/>
                <w:sz w:val="21"/>
              </w:rPr>
            </w:pPr>
            <w:r>
              <w:rPr>
                <w:color w:val="auto"/>
                <w:sz w:val="21"/>
              </w:rPr>
              <w:t>15</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40</w:t>
            </w:r>
          </w:p>
        </w:tc>
        <w:tc>
          <w:tcPr>
            <w:tcW w:w="2325" w:type="dxa"/>
            <w:tcBorders>
              <w:left w:val="single" w:color="auto" w:sz="4" w:space="0"/>
            </w:tcBorders>
            <w:vAlign w:val="center"/>
          </w:tcPr>
          <w:p>
            <w:pPr>
              <w:jc w:val="center"/>
              <w:rPr>
                <w:color w:val="auto"/>
                <w:sz w:val="21"/>
              </w:rPr>
            </w:pPr>
            <w:r>
              <w:rPr>
                <w:color w:val="auto"/>
                <w:sz w:val="21"/>
                <w:szCs w:val="21"/>
              </w:rPr>
              <w:t>苯并[b]荧蒽</w:t>
            </w:r>
          </w:p>
        </w:tc>
        <w:tc>
          <w:tcPr>
            <w:tcW w:w="3260" w:type="dxa"/>
            <w:vAlign w:val="center"/>
          </w:tcPr>
          <w:p>
            <w:pPr>
              <w:jc w:val="center"/>
              <w:rPr>
                <w:color w:val="auto"/>
                <w:sz w:val="21"/>
              </w:rPr>
            </w:pPr>
            <w:r>
              <w:rPr>
                <w:color w:val="auto"/>
                <w:sz w:val="21"/>
                <w:szCs w:val="21"/>
              </w:rPr>
              <w:t>15</w:t>
            </w:r>
          </w:p>
        </w:tc>
        <w:tc>
          <w:tcPr>
            <w:tcW w:w="2833" w:type="dxa"/>
            <w:vAlign w:val="center"/>
          </w:tcPr>
          <w:p>
            <w:pPr>
              <w:jc w:val="center"/>
              <w:rPr>
                <w:color w:val="auto"/>
                <w:sz w:val="21"/>
              </w:rPr>
            </w:pPr>
            <w:r>
              <w:rPr>
                <w:color w:val="auto"/>
                <w:sz w:val="21"/>
              </w:rPr>
              <w:t>151</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41</w:t>
            </w:r>
          </w:p>
        </w:tc>
        <w:tc>
          <w:tcPr>
            <w:tcW w:w="2325" w:type="dxa"/>
            <w:tcBorders>
              <w:left w:val="single" w:color="auto" w:sz="4" w:space="0"/>
            </w:tcBorders>
            <w:vAlign w:val="center"/>
          </w:tcPr>
          <w:p>
            <w:pPr>
              <w:jc w:val="center"/>
              <w:rPr>
                <w:color w:val="auto"/>
                <w:sz w:val="21"/>
              </w:rPr>
            </w:pPr>
            <w:r>
              <w:rPr>
                <w:color w:val="auto"/>
                <w:sz w:val="21"/>
                <w:szCs w:val="21"/>
              </w:rPr>
              <w:t>苯并[k]荧蒽</w:t>
            </w:r>
          </w:p>
        </w:tc>
        <w:tc>
          <w:tcPr>
            <w:tcW w:w="3260" w:type="dxa"/>
            <w:vAlign w:val="center"/>
          </w:tcPr>
          <w:p>
            <w:pPr>
              <w:jc w:val="center"/>
              <w:rPr>
                <w:color w:val="auto"/>
                <w:sz w:val="21"/>
              </w:rPr>
            </w:pPr>
            <w:r>
              <w:rPr>
                <w:color w:val="auto"/>
                <w:sz w:val="21"/>
                <w:szCs w:val="21"/>
              </w:rPr>
              <w:t>151</w:t>
            </w:r>
          </w:p>
        </w:tc>
        <w:tc>
          <w:tcPr>
            <w:tcW w:w="2833" w:type="dxa"/>
            <w:vAlign w:val="center"/>
          </w:tcPr>
          <w:p>
            <w:pPr>
              <w:jc w:val="center"/>
              <w:rPr>
                <w:color w:val="auto"/>
                <w:sz w:val="21"/>
              </w:rPr>
            </w:pPr>
            <w:r>
              <w:rPr>
                <w:color w:val="auto"/>
                <w:sz w:val="21"/>
              </w:rPr>
              <w:t>1500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42</w:t>
            </w:r>
          </w:p>
        </w:tc>
        <w:tc>
          <w:tcPr>
            <w:tcW w:w="2325" w:type="dxa"/>
            <w:tcBorders>
              <w:left w:val="single" w:color="auto" w:sz="4" w:space="0"/>
            </w:tcBorders>
            <w:vAlign w:val="center"/>
          </w:tcPr>
          <w:p>
            <w:pPr>
              <w:jc w:val="center"/>
              <w:rPr>
                <w:color w:val="auto"/>
                <w:sz w:val="21"/>
              </w:rPr>
            </w:pPr>
            <w:r>
              <w:rPr>
                <w:color w:val="auto"/>
                <w:sz w:val="21"/>
                <w:szCs w:val="21"/>
              </w:rPr>
              <w:t>䓛</w:t>
            </w:r>
          </w:p>
        </w:tc>
        <w:tc>
          <w:tcPr>
            <w:tcW w:w="3260" w:type="dxa"/>
            <w:vAlign w:val="center"/>
          </w:tcPr>
          <w:p>
            <w:pPr>
              <w:jc w:val="center"/>
              <w:rPr>
                <w:color w:val="auto"/>
                <w:sz w:val="21"/>
              </w:rPr>
            </w:pPr>
            <w:r>
              <w:rPr>
                <w:color w:val="auto"/>
                <w:sz w:val="21"/>
                <w:szCs w:val="21"/>
              </w:rPr>
              <w:t>1293</w:t>
            </w:r>
          </w:p>
        </w:tc>
        <w:tc>
          <w:tcPr>
            <w:tcW w:w="2833" w:type="dxa"/>
            <w:vAlign w:val="center"/>
          </w:tcPr>
          <w:p>
            <w:pPr>
              <w:jc w:val="center"/>
              <w:rPr>
                <w:color w:val="auto"/>
                <w:sz w:val="21"/>
              </w:rPr>
            </w:pPr>
            <w:r>
              <w:rPr>
                <w:color w:val="auto"/>
                <w:sz w:val="21"/>
              </w:rPr>
              <w:t>12900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43</w:t>
            </w:r>
          </w:p>
        </w:tc>
        <w:tc>
          <w:tcPr>
            <w:tcW w:w="2325" w:type="dxa"/>
            <w:tcBorders>
              <w:left w:val="single" w:color="auto" w:sz="4" w:space="0"/>
            </w:tcBorders>
            <w:vAlign w:val="center"/>
          </w:tcPr>
          <w:p>
            <w:pPr>
              <w:jc w:val="center"/>
              <w:rPr>
                <w:color w:val="auto"/>
                <w:sz w:val="21"/>
              </w:rPr>
            </w:pPr>
            <w:r>
              <w:rPr>
                <w:color w:val="auto"/>
                <w:sz w:val="21"/>
                <w:szCs w:val="21"/>
              </w:rPr>
              <w:t>二苯并（a，h）蒽</w:t>
            </w:r>
          </w:p>
        </w:tc>
        <w:tc>
          <w:tcPr>
            <w:tcW w:w="3260" w:type="dxa"/>
            <w:vAlign w:val="center"/>
          </w:tcPr>
          <w:p>
            <w:pPr>
              <w:jc w:val="center"/>
              <w:rPr>
                <w:color w:val="auto"/>
                <w:sz w:val="21"/>
              </w:rPr>
            </w:pPr>
            <w:r>
              <w:rPr>
                <w:color w:val="auto"/>
                <w:sz w:val="21"/>
                <w:szCs w:val="21"/>
              </w:rPr>
              <w:t>1.5</w:t>
            </w:r>
          </w:p>
        </w:tc>
        <w:tc>
          <w:tcPr>
            <w:tcW w:w="2833" w:type="dxa"/>
            <w:vAlign w:val="center"/>
          </w:tcPr>
          <w:p>
            <w:pPr>
              <w:jc w:val="center"/>
              <w:rPr>
                <w:color w:val="auto"/>
                <w:sz w:val="21"/>
              </w:rPr>
            </w:pPr>
            <w:r>
              <w:rPr>
                <w:color w:val="auto"/>
                <w:sz w:val="21"/>
              </w:rPr>
              <w:t>15</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44</w:t>
            </w:r>
          </w:p>
        </w:tc>
        <w:tc>
          <w:tcPr>
            <w:tcW w:w="2325" w:type="dxa"/>
            <w:tcBorders>
              <w:left w:val="single" w:color="auto" w:sz="4" w:space="0"/>
            </w:tcBorders>
            <w:vAlign w:val="center"/>
          </w:tcPr>
          <w:p>
            <w:pPr>
              <w:jc w:val="center"/>
              <w:rPr>
                <w:color w:val="auto"/>
                <w:sz w:val="21"/>
              </w:rPr>
            </w:pPr>
            <w:r>
              <w:rPr>
                <w:color w:val="auto"/>
                <w:sz w:val="21"/>
                <w:szCs w:val="21"/>
              </w:rPr>
              <w:t>茚并[1,2,3-cd]芘</w:t>
            </w:r>
          </w:p>
        </w:tc>
        <w:tc>
          <w:tcPr>
            <w:tcW w:w="3260" w:type="dxa"/>
            <w:vAlign w:val="center"/>
          </w:tcPr>
          <w:p>
            <w:pPr>
              <w:jc w:val="center"/>
              <w:rPr>
                <w:color w:val="auto"/>
                <w:sz w:val="21"/>
              </w:rPr>
            </w:pPr>
            <w:r>
              <w:rPr>
                <w:color w:val="auto"/>
                <w:sz w:val="21"/>
                <w:szCs w:val="21"/>
              </w:rPr>
              <w:t>15</w:t>
            </w:r>
          </w:p>
        </w:tc>
        <w:tc>
          <w:tcPr>
            <w:tcW w:w="2833" w:type="dxa"/>
            <w:vAlign w:val="center"/>
          </w:tcPr>
          <w:p>
            <w:pPr>
              <w:jc w:val="center"/>
              <w:rPr>
                <w:color w:val="auto"/>
                <w:sz w:val="21"/>
              </w:rPr>
            </w:pPr>
            <w:r>
              <w:rPr>
                <w:color w:val="auto"/>
                <w:sz w:val="21"/>
              </w:rPr>
              <w:t>151</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45</w:t>
            </w:r>
          </w:p>
        </w:tc>
        <w:tc>
          <w:tcPr>
            <w:tcW w:w="2325" w:type="dxa"/>
            <w:tcBorders>
              <w:left w:val="single" w:color="auto" w:sz="4" w:space="0"/>
            </w:tcBorders>
            <w:vAlign w:val="center"/>
          </w:tcPr>
          <w:p>
            <w:pPr>
              <w:jc w:val="center"/>
              <w:rPr>
                <w:color w:val="auto"/>
                <w:sz w:val="21"/>
              </w:rPr>
            </w:pPr>
            <w:r>
              <w:rPr>
                <w:color w:val="auto"/>
                <w:sz w:val="21"/>
                <w:szCs w:val="21"/>
              </w:rPr>
              <w:t>萘</w:t>
            </w:r>
          </w:p>
        </w:tc>
        <w:tc>
          <w:tcPr>
            <w:tcW w:w="3260" w:type="dxa"/>
            <w:vAlign w:val="center"/>
          </w:tcPr>
          <w:p>
            <w:pPr>
              <w:jc w:val="center"/>
              <w:rPr>
                <w:color w:val="auto"/>
                <w:sz w:val="21"/>
              </w:rPr>
            </w:pPr>
            <w:r>
              <w:rPr>
                <w:color w:val="auto"/>
                <w:sz w:val="21"/>
                <w:szCs w:val="21"/>
              </w:rPr>
              <w:t>70</w:t>
            </w:r>
          </w:p>
        </w:tc>
        <w:tc>
          <w:tcPr>
            <w:tcW w:w="2833" w:type="dxa"/>
            <w:vAlign w:val="center"/>
          </w:tcPr>
          <w:p>
            <w:pPr>
              <w:jc w:val="center"/>
              <w:rPr>
                <w:color w:val="auto"/>
                <w:sz w:val="21"/>
              </w:rPr>
            </w:pPr>
            <w:r>
              <w:rPr>
                <w:color w:val="auto"/>
                <w:sz w:val="21"/>
              </w:rPr>
              <w:t>700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652" w:type="dxa"/>
            <w:tcBorders>
              <w:right w:val="single" w:color="auto" w:sz="4" w:space="0"/>
            </w:tcBorders>
            <w:vAlign w:val="center"/>
          </w:tcPr>
          <w:p>
            <w:pPr>
              <w:jc w:val="center"/>
              <w:rPr>
                <w:color w:val="auto"/>
                <w:sz w:val="21"/>
              </w:rPr>
            </w:pPr>
            <w:r>
              <w:rPr>
                <w:color w:val="auto"/>
                <w:sz w:val="21"/>
              </w:rPr>
              <w:t>46</w:t>
            </w:r>
          </w:p>
        </w:tc>
        <w:tc>
          <w:tcPr>
            <w:tcW w:w="2325" w:type="dxa"/>
            <w:tcBorders>
              <w:left w:val="single" w:color="auto" w:sz="4" w:space="0"/>
            </w:tcBorders>
            <w:vAlign w:val="center"/>
          </w:tcPr>
          <w:p>
            <w:pPr>
              <w:jc w:val="center"/>
              <w:rPr>
                <w:color w:val="auto"/>
                <w:sz w:val="21"/>
                <w:szCs w:val="21"/>
              </w:rPr>
            </w:pPr>
            <w:r>
              <w:rPr>
                <w:color w:val="auto"/>
                <w:sz w:val="21"/>
                <w:szCs w:val="21"/>
              </w:rPr>
              <w:t>二噁英类</w:t>
            </w:r>
          </w:p>
        </w:tc>
        <w:tc>
          <w:tcPr>
            <w:tcW w:w="3260" w:type="dxa"/>
            <w:vAlign w:val="center"/>
          </w:tcPr>
          <w:p>
            <w:pPr>
              <w:jc w:val="center"/>
              <w:rPr>
                <w:color w:val="auto"/>
                <w:sz w:val="21"/>
                <w:szCs w:val="21"/>
              </w:rPr>
            </w:pPr>
            <w:r>
              <w:rPr>
                <w:color w:val="auto"/>
                <w:sz w:val="21"/>
                <w:szCs w:val="21"/>
              </w:rPr>
              <w:t>4×10</w:t>
            </w:r>
            <w:r>
              <w:rPr>
                <w:color w:val="auto"/>
                <w:sz w:val="21"/>
                <w:szCs w:val="21"/>
                <w:vertAlign w:val="superscript"/>
              </w:rPr>
              <w:t>-5</w:t>
            </w:r>
          </w:p>
        </w:tc>
        <w:tc>
          <w:tcPr>
            <w:tcW w:w="2833" w:type="dxa"/>
            <w:vAlign w:val="center"/>
          </w:tcPr>
          <w:p>
            <w:pPr>
              <w:jc w:val="center"/>
              <w:rPr>
                <w:color w:val="auto"/>
                <w:sz w:val="21"/>
              </w:rPr>
            </w:pPr>
            <w:r>
              <w:rPr>
                <w:color w:val="auto"/>
                <w:sz w:val="21"/>
                <w:szCs w:val="21"/>
              </w:rPr>
              <w:t>4×10</w:t>
            </w:r>
            <w:r>
              <w:rPr>
                <w:color w:val="auto"/>
                <w:sz w:val="21"/>
                <w:szCs w:val="21"/>
                <w:vertAlign w:val="superscript"/>
              </w:rPr>
              <w:t>-</w:t>
            </w:r>
            <w:r>
              <w:rPr>
                <w:rFonts w:hint="eastAsia"/>
                <w:color w:val="auto"/>
                <w:sz w:val="21"/>
                <w:szCs w:val="21"/>
                <w:vertAlign w:val="superscript"/>
              </w:rPr>
              <w:t>4</w:t>
            </w:r>
          </w:p>
        </w:tc>
      </w:tr>
    </w:tbl>
    <w:p>
      <w:pPr>
        <w:pStyle w:val="5"/>
        <w:ind w:firstLine="482"/>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2.8</w:t>
      </w:r>
      <w:r>
        <w:rPr>
          <w:b/>
          <w:color w:val="auto"/>
        </w:rPr>
        <w:fldChar w:fldCharType="end"/>
      </w:r>
      <w:r>
        <w:rPr>
          <w:b/>
          <w:color w:val="auto"/>
        </w:rPr>
        <w:noBreakHyphen/>
      </w:r>
      <w:r>
        <w:rPr>
          <w:b/>
          <w:color w:val="auto"/>
        </w:rPr>
        <w:fldChar w:fldCharType="begin"/>
      </w:r>
      <w:r>
        <w:rPr>
          <w:b/>
          <w:color w:val="auto"/>
        </w:rPr>
        <w:instrText xml:space="preserve"> SEQ 表 \* ARABIC \s 2 </w:instrText>
      </w:r>
      <w:r>
        <w:rPr>
          <w:b/>
          <w:color w:val="auto"/>
        </w:rPr>
        <w:fldChar w:fldCharType="separate"/>
      </w:r>
      <w:r>
        <w:rPr>
          <w:b/>
          <w:color w:val="auto"/>
        </w:rPr>
        <w:t>6</w:t>
      </w:r>
      <w:r>
        <w:rPr>
          <w:b/>
          <w:color w:val="auto"/>
        </w:rPr>
        <w:fldChar w:fldCharType="end"/>
      </w:r>
      <w:r>
        <w:rPr>
          <w:b/>
          <w:color w:val="auto"/>
        </w:rPr>
        <w:t xml:space="preserve">   《土壤环境质量  农用地土壤污染风险管控标准（试行）》  单位：mg/k</w:t>
      </w:r>
      <w:r>
        <w:rPr>
          <w:rFonts w:hint="eastAsia"/>
          <w:b/>
          <w:color w:val="auto"/>
        </w:rPr>
        <w:t>g</w:t>
      </w:r>
    </w:p>
    <w:tbl>
      <w:tblPr>
        <w:tblStyle w:val="53"/>
        <w:tblW w:w="9070" w:type="dxa"/>
        <w:jc w:val="center"/>
        <w:tblInd w:w="0" w:type="dxa"/>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336"/>
        <w:gridCol w:w="1172"/>
        <w:gridCol w:w="1643"/>
        <w:gridCol w:w="1643"/>
        <w:gridCol w:w="1428"/>
        <w:gridCol w:w="1428"/>
        <w:gridCol w:w="1420"/>
      </w:tblGrid>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336" w:type="dxa"/>
            <w:vMerge w:val="restart"/>
            <w:tcBorders>
              <w:right w:val="single" w:color="auto" w:sz="4" w:space="0"/>
            </w:tcBorders>
            <w:vAlign w:val="center"/>
          </w:tcPr>
          <w:p>
            <w:pPr>
              <w:jc w:val="center"/>
              <w:rPr>
                <w:b/>
                <w:color w:val="auto"/>
                <w:sz w:val="21"/>
                <w:szCs w:val="21"/>
              </w:rPr>
            </w:pPr>
            <w:r>
              <w:rPr>
                <w:b/>
                <w:color w:val="auto"/>
                <w:sz w:val="21"/>
                <w:szCs w:val="21"/>
              </w:rPr>
              <w:t>序号</w:t>
            </w:r>
          </w:p>
        </w:tc>
        <w:tc>
          <w:tcPr>
            <w:tcW w:w="2815" w:type="dxa"/>
            <w:gridSpan w:val="2"/>
            <w:vMerge w:val="restart"/>
            <w:tcBorders>
              <w:left w:val="single" w:color="auto" w:sz="4" w:space="0"/>
            </w:tcBorders>
            <w:vAlign w:val="center"/>
          </w:tcPr>
          <w:p>
            <w:pPr>
              <w:jc w:val="center"/>
              <w:rPr>
                <w:b/>
                <w:color w:val="auto"/>
                <w:sz w:val="21"/>
                <w:szCs w:val="21"/>
              </w:rPr>
            </w:pPr>
            <w:r>
              <w:rPr>
                <w:b/>
                <w:color w:val="auto"/>
                <w:sz w:val="21"/>
                <w:szCs w:val="21"/>
              </w:rPr>
              <w:t>污染</w:t>
            </w:r>
            <w:r>
              <w:rPr>
                <w:b/>
                <w:color w:val="auto"/>
                <w:spacing w:val="-2"/>
                <w:sz w:val="21"/>
                <w:szCs w:val="21"/>
              </w:rPr>
              <w:t>物</w:t>
            </w:r>
            <w:r>
              <w:rPr>
                <w:b/>
                <w:color w:val="auto"/>
                <w:sz w:val="21"/>
                <w:szCs w:val="21"/>
              </w:rPr>
              <w:t>项目</w:t>
            </w:r>
          </w:p>
        </w:tc>
        <w:tc>
          <w:tcPr>
            <w:tcW w:w="5919" w:type="dxa"/>
            <w:gridSpan w:val="4"/>
            <w:vAlign w:val="center"/>
          </w:tcPr>
          <w:p>
            <w:pPr>
              <w:jc w:val="center"/>
              <w:rPr>
                <w:b/>
                <w:color w:val="auto"/>
                <w:sz w:val="21"/>
                <w:szCs w:val="21"/>
              </w:rPr>
            </w:pPr>
            <w:r>
              <w:rPr>
                <w:b/>
                <w:color w:val="auto"/>
                <w:sz w:val="21"/>
                <w:szCs w:val="21"/>
              </w:rPr>
              <w:t>风险筛选值</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336" w:type="dxa"/>
            <w:vMerge w:val="continue"/>
            <w:tcBorders>
              <w:right w:val="single" w:color="auto" w:sz="4" w:space="0"/>
            </w:tcBorders>
            <w:vAlign w:val="center"/>
          </w:tcPr>
          <w:p>
            <w:pPr>
              <w:jc w:val="center"/>
              <w:rPr>
                <w:b/>
                <w:color w:val="auto"/>
                <w:sz w:val="21"/>
                <w:szCs w:val="21"/>
              </w:rPr>
            </w:pPr>
          </w:p>
        </w:tc>
        <w:tc>
          <w:tcPr>
            <w:tcW w:w="2815" w:type="dxa"/>
            <w:gridSpan w:val="2"/>
            <w:vMerge w:val="continue"/>
            <w:tcBorders>
              <w:left w:val="single" w:color="auto" w:sz="4" w:space="0"/>
            </w:tcBorders>
            <w:vAlign w:val="center"/>
          </w:tcPr>
          <w:p>
            <w:pPr>
              <w:jc w:val="center"/>
              <w:rPr>
                <w:b/>
                <w:color w:val="auto"/>
                <w:sz w:val="21"/>
                <w:szCs w:val="21"/>
              </w:rPr>
            </w:pPr>
          </w:p>
        </w:tc>
        <w:tc>
          <w:tcPr>
            <w:tcW w:w="1643" w:type="dxa"/>
            <w:vAlign w:val="center"/>
          </w:tcPr>
          <w:p>
            <w:pPr>
              <w:jc w:val="center"/>
              <w:rPr>
                <w:b/>
                <w:color w:val="auto"/>
                <w:sz w:val="21"/>
                <w:szCs w:val="21"/>
              </w:rPr>
            </w:pPr>
            <w:r>
              <w:rPr>
                <w:b/>
                <w:color w:val="auto"/>
                <w:sz w:val="21"/>
                <w:szCs w:val="21"/>
              </w:rPr>
              <w:t>pH≤5.5</w:t>
            </w:r>
          </w:p>
        </w:tc>
        <w:tc>
          <w:tcPr>
            <w:tcW w:w="1428" w:type="dxa"/>
            <w:vAlign w:val="center"/>
          </w:tcPr>
          <w:p>
            <w:pPr>
              <w:jc w:val="center"/>
              <w:rPr>
                <w:b/>
                <w:color w:val="auto"/>
                <w:sz w:val="21"/>
                <w:szCs w:val="21"/>
              </w:rPr>
            </w:pPr>
            <w:r>
              <w:rPr>
                <w:b/>
                <w:color w:val="auto"/>
                <w:sz w:val="21"/>
                <w:szCs w:val="21"/>
              </w:rPr>
              <w:t>5.5＜pH≤6.5</w:t>
            </w:r>
          </w:p>
        </w:tc>
        <w:tc>
          <w:tcPr>
            <w:tcW w:w="1428" w:type="dxa"/>
          </w:tcPr>
          <w:p>
            <w:pPr>
              <w:jc w:val="center"/>
              <w:rPr>
                <w:b/>
                <w:color w:val="auto"/>
                <w:sz w:val="21"/>
                <w:szCs w:val="21"/>
              </w:rPr>
            </w:pPr>
            <w:r>
              <w:rPr>
                <w:b/>
                <w:color w:val="auto"/>
                <w:sz w:val="21"/>
                <w:szCs w:val="21"/>
              </w:rPr>
              <w:t>6.5＜pH≤7.5</w:t>
            </w:r>
          </w:p>
        </w:tc>
        <w:tc>
          <w:tcPr>
            <w:tcW w:w="1420" w:type="dxa"/>
          </w:tcPr>
          <w:p>
            <w:pPr>
              <w:jc w:val="center"/>
              <w:rPr>
                <w:b/>
                <w:color w:val="auto"/>
                <w:sz w:val="21"/>
                <w:szCs w:val="21"/>
              </w:rPr>
            </w:pPr>
            <w:r>
              <w:rPr>
                <w:b/>
                <w:color w:val="auto"/>
                <w:sz w:val="21"/>
                <w:szCs w:val="21"/>
              </w:rPr>
              <w:t>pH＞7.5</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336" w:type="dxa"/>
            <w:vMerge w:val="restart"/>
            <w:tcBorders>
              <w:right w:val="single" w:color="auto" w:sz="4" w:space="0"/>
            </w:tcBorders>
            <w:vAlign w:val="center"/>
          </w:tcPr>
          <w:p>
            <w:pPr>
              <w:jc w:val="center"/>
              <w:rPr>
                <w:color w:val="auto"/>
                <w:sz w:val="21"/>
                <w:szCs w:val="21"/>
              </w:rPr>
            </w:pPr>
            <w:r>
              <w:rPr>
                <w:color w:val="auto"/>
                <w:sz w:val="21"/>
                <w:szCs w:val="21"/>
              </w:rPr>
              <w:t>1</w:t>
            </w:r>
          </w:p>
        </w:tc>
        <w:tc>
          <w:tcPr>
            <w:tcW w:w="1172" w:type="dxa"/>
            <w:vMerge w:val="restart"/>
            <w:tcBorders>
              <w:left w:val="single" w:color="auto" w:sz="4" w:space="0"/>
            </w:tcBorders>
            <w:vAlign w:val="center"/>
          </w:tcPr>
          <w:p>
            <w:pPr>
              <w:jc w:val="center"/>
              <w:rPr>
                <w:color w:val="auto"/>
                <w:sz w:val="21"/>
                <w:szCs w:val="21"/>
              </w:rPr>
            </w:pPr>
            <w:r>
              <w:rPr>
                <w:color w:val="auto"/>
                <w:sz w:val="21"/>
                <w:szCs w:val="21"/>
              </w:rPr>
              <w:t>镉</w:t>
            </w:r>
          </w:p>
        </w:tc>
        <w:tc>
          <w:tcPr>
            <w:tcW w:w="1643" w:type="dxa"/>
          </w:tcPr>
          <w:p>
            <w:pPr>
              <w:jc w:val="center"/>
              <w:rPr>
                <w:color w:val="auto"/>
                <w:sz w:val="21"/>
                <w:szCs w:val="21"/>
              </w:rPr>
            </w:pPr>
            <w:r>
              <w:rPr>
                <w:color w:val="auto"/>
                <w:sz w:val="21"/>
                <w:szCs w:val="21"/>
              </w:rPr>
              <w:t>水田</w:t>
            </w:r>
          </w:p>
        </w:tc>
        <w:tc>
          <w:tcPr>
            <w:tcW w:w="1643" w:type="dxa"/>
            <w:vAlign w:val="center"/>
          </w:tcPr>
          <w:p>
            <w:pPr>
              <w:jc w:val="center"/>
              <w:rPr>
                <w:color w:val="auto"/>
                <w:sz w:val="21"/>
                <w:szCs w:val="21"/>
              </w:rPr>
            </w:pPr>
            <w:r>
              <w:rPr>
                <w:color w:val="auto"/>
                <w:sz w:val="21"/>
                <w:szCs w:val="21"/>
              </w:rPr>
              <w:t>0.3</w:t>
            </w:r>
          </w:p>
        </w:tc>
        <w:tc>
          <w:tcPr>
            <w:tcW w:w="1428" w:type="dxa"/>
            <w:vAlign w:val="center"/>
          </w:tcPr>
          <w:p>
            <w:pPr>
              <w:jc w:val="center"/>
              <w:rPr>
                <w:color w:val="auto"/>
                <w:sz w:val="21"/>
                <w:szCs w:val="21"/>
              </w:rPr>
            </w:pPr>
            <w:r>
              <w:rPr>
                <w:color w:val="auto"/>
                <w:sz w:val="21"/>
                <w:szCs w:val="21"/>
              </w:rPr>
              <w:t>0.4</w:t>
            </w:r>
          </w:p>
        </w:tc>
        <w:tc>
          <w:tcPr>
            <w:tcW w:w="1428" w:type="dxa"/>
          </w:tcPr>
          <w:p>
            <w:pPr>
              <w:jc w:val="center"/>
              <w:rPr>
                <w:color w:val="auto"/>
                <w:sz w:val="21"/>
                <w:szCs w:val="21"/>
              </w:rPr>
            </w:pPr>
            <w:r>
              <w:rPr>
                <w:color w:val="auto"/>
                <w:sz w:val="21"/>
                <w:szCs w:val="21"/>
              </w:rPr>
              <w:t>0.6</w:t>
            </w:r>
          </w:p>
        </w:tc>
        <w:tc>
          <w:tcPr>
            <w:tcW w:w="1420" w:type="dxa"/>
          </w:tcPr>
          <w:p>
            <w:pPr>
              <w:jc w:val="center"/>
              <w:rPr>
                <w:color w:val="auto"/>
                <w:sz w:val="21"/>
                <w:szCs w:val="21"/>
              </w:rPr>
            </w:pPr>
            <w:r>
              <w:rPr>
                <w:color w:val="auto"/>
                <w:sz w:val="21"/>
                <w:szCs w:val="21"/>
              </w:rPr>
              <w:t>0.8</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336" w:type="dxa"/>
            <w:vMerge w:val="continue"/>
            <w:tcBorders>
              <w:right w:val="single" w:color="auto" w:sz="4" w:space="0"/>
            </w:tcBorders>
            <w:vAlign w:val="center"/>
          </w:tcPr>
          <w:p>
            <w:pPr>
              <w:jc w:val="center"/>
              <w:rPr>
                <w:color w:val="auto"/>
                <w:sz w:val="21"/>
                <w:szCs w:val="21"/>
              </w:rPr>
            </w:pPr>
          </w:p>
        </w:tc>
        <w:tc>
          <w:tcPr>
            <w:tcW w:w="1172" w:type="dxa"/>
            <w:vMerge w:val="continue"/>
            <w:tcBorders>
              <w:left w:val="single" w:color="auto" w:sz="4" w:space="0"/>
            </w:tcBorders>
            <w:vAlign w:val="center"/>
          </w:tcPr>
          <w:p>
            <w:pPr>
              <w:jc w:val="center"/>
              <w:rPr>
                <w:color w:val="auto"/>
                <w:sz w:val="21"/>
                <w:szCs w:val="21"/>
              </w:rPr>
            </w:pPr>
          </w:p>
        </w:tc>
        <w:tc>
          <w:tcPr>
            <w:tcW w:w="1643" w:type="dxa"/>
          </w:tcPr>
          <w:p>
            <w:pPr>
              <w:jc w:val="center"/>
              <w:rPr>
                <w:color w:val="auto"/>
                <w:sz w:val="21"/>
                <w:szCs w:val="21"/>
              </w:rPr>
            </w:pPr>
            <w:r>
              <w:rPr>
                <w:color w:val="auto"/>
                <w:sz w:val="21"/>
                <w:szCs w:val="21"/>
              </w:rPr>
              <w:t>其他</w:t>
            </w:r>
          </w:p>
        </w:tc>
        <w:tc>
          <w:tcPr>
            <w:tcW w:w="1643" w:type="dxa"/>
            <w:vAlign w:val="center"/>
          </w:tcPr>
          <w:p>
            <w:pPr>
              <w:jc w:val="center"/>
              <w:rPr>
                <w:color w:val="auto"/>
                <w:sz w:val="21"/>
                <w:szCs w:val="21"/>
              </w:rPr>
            </w:pPr>
            <w:r>
              <w:rPr>
                <w:color w:val="auto"/>
                <w:sz w:val="21"/>
                <w:szCs w:val="21"/>
              </w:rPr>
              <w:t>0.3</w:t>
            </w:r>
          </w:p>
        </w:tc>
        <w:tc>
          <w:tcPr>
            <w:tcW w:w="1428" w:type="dxa"/>
            <w:vAlign w:val="center"/>
          </w:tcPr>
          <w:p>
            <w:pPr>
              <w:jc w:val="center"/>
              <w:rPr>
                <w:color w:val="auto"/>
                <w:sz w:val="21"/>
                <w:szCs w:val="21"/>
              </w:rPr>
            </w:pPr>
            <w:r>
              <w:rPr>
                <w:color w:val="auto"/>
                <w:sz w:val="21"/>
                <w:szCs w:val="21"/>
              </w:rPr>
              <w:t>0.3</w:t>
            </w:r>
          </w:p>
        </w:tc>
        <w:tc>
          <w:tcPr>
            <w:tcW w:w="1428" w:type="dxa"/>
          </w:tcPr>
          <w:p>
            <w:pPr>
              <w:jc w:val="center"/>
              <w:rPr>
                <w:color w:val="auto"/>
                <w:sz w:val="21"/>
                <w:szCs w:val="21"/>
              </w:rPr>
            </w:pPr>
            <w:r>
              <w:rPr>
                <w:color w:val="auto"/>
                <w:sz w:val="21"/>
                <w:szCs w:val="21"/>
              </w:rPr>
              <w:t>0.3</w:t>
            </w:r>
          </w:p>
        </w:tc>
        <w:tc>
          <w:tcPr>
            <w:tcW w:w="1420" w:type="dxa"/>
          </w:tcPr>
          <w:p>
            <w:pPr>
              <w:jc w:val="center"/>
              <w:rPr>
                <w:color w:val="auto"/>
                <w:sz w:val="21"/>
                <w:szCs w:val="21"/>
              </w:rPr>
            </w:pPr>
            <w:r>
              <w:rPr>
                <w:color w:val="auto"/>
                <w:sz w:val="21"/>
                <w:szCs w:val="21"/>
              </w:rPr>
              <w:t>0.6</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336" w:type="dxa"/>
            <w:vMerge w:val="restart"/>
            <w:tcBorders>
              <w:right w:val="single" w:color="auto" w:sz="4" w:space="0"/>
            </w:tcBorders>
            <w:vAlign w:val="center"/>
          </w:tcPr>
          <w:p>
            <w:pPr>
              <w:jc w:val="center"/>
              <w:rPr>
                <w:color w:val="auto"/>
                <w:sz w:val="21"/>
                <w:szCs w:val="21"/>
              </w:rPr>
            </w:pPr>
            <w:r>
              <w:rPr>
                <w:color w:val="auto"/>
                <w:sz w:val="21"/>
                <w:szCs w:val="21"/>
              </w:rPr>
              <w:t>2</w:t>
            </w:r>
          </w:p>
        </w:tc>
        <w:tc>
          <w:tcPr>
            <w:tcW w:w="1172" w:type="dxa"/>
            <w:vMerge w:val="restart"/>
            <w:tcBorders>
              <w:left w:val="single" w:color="auto" w:sz="4" w:space="0"/>
            </w:tcBorders>
            <w:vAlign w:val="center"/>
          </w:tcPr>
          <w:p>
            <w:pPr>
              <w:jc w:val="center"/>
              <w:rPr>
                <w:color w:val="auto"/>
                <w:sz w:val="21"/>
                <w:szCs w:val="21"/>
              </w:rPr>
            </w:pPr>
            <w:r>
              <w:rPr>
                <w:color w:val="auto"/>
                <w:sz w:val="21"/>
                <w:szCs w:val="21"/>
              </w:rPr>
              <w:t>汞</w:t>
            </w:r>
          </w:p>
        </w:tc>
        <w:tc>
          <w:tcPr>
            <w:tcW w:w="1643" w:type="dxa"/>
          </w:tcPr>
          <w:p>
            <w:pPr>
              <w:jc w:val="center"/>
              <w:rPr>
                <w:color w:val="auto"/>
                <w:sz w:val="21"/>
                <w:szCs w:val="21"/>
              </w:rPr>
            </w:pPr>
            <w:r>
              <w:rPr>
                <w:color w:val="auto"/>
                <w:sz w:val="21"/>
                <w:szCs w:val="21"/>
              </w:rPr>
              <w:t>水田</w:t>
            </w:r>
          </w:p>
        </w:tc>
        <w:tc>
          <w:tcPr>
            <w:tcW w:w="1643" w:type="dxa"/>
            <w:vAlign w:val="center"/>
          </w:tcPr>
          <w:p>
            <w:pPr>
              <w:jc w:val="center"/>
              <w:rPr>
                <w:color w:val="auto"/>
                <w:sz w:val="21"/>
                <w:szCs w:val="21"/>
              </w:rPr>
            </w:pPr>
            <w:r>
              <w:rPr>
                <w:color w:val="auto"/>
                <w:sz w:val="21"/>
                <w:szCs w:val="21"/>
              </w:rPr>
              <w:t>0.5</w:t>
            </w:r>
          </w:p>
        </w:tc>
        <w:tc>
          <w:tcPr>
            <w:tcW w:w="1428" w:type="dxa"/>
            <w:vAlign w:val="center"/>
          </w:tcPr>
          <w:p>
            <w:pPr>
              <w:jc w:val="center"/>
              <w:rPr>
                <w:color w:val="auto"/>
                <w:sz w:val="21"/>
                <w:szCs w:val="21"/>
              </w:rPr>
            </w:pPr>
            <w:r>
              <w:rPr>
                <w:color w:val="auto"/>
                <w:sz w:val="21"/>
                <w:szCs w:val="21"/>
              </w:rPr>
              <w:t>0.5</w:t>
            </w:r>
          </w:p>
        </w:tc>
        <w:tc>
          <w:tcPr>
            <w:tcW w:w="1428" w:type="dxa"/>
          </w:tcPr>
          <w:p>
            <w:pPr>
              <w:jc w:val="center"/>
              <w:rPr>
                <w:color w:val="auto"/>
                <w:sz w:val="21"/>
                <w:szCs w:val="21"/>
              </w:rPr>
            </w:pPr>
            <w:r>
              <w:rPr>
                <w:color w:val="auto"/>
                <w:sz w:val="21"/>
                <w:szCs w:val="21"/>
              </w:rPr>
              <w:t>0.6</w:t>
            </w:r>
          </w:p>
        </w:tc>
        <w:tc>
          <w:tcPr>
            <w:tcW w:w="1420" w:type="dxa"/>
          </w:tcPr>
          <w:p>
            <w:pPr>
              <w:jc w:val="center"/>
              <w:rPr>
                <w:color w:val="auto"/>
                <w:sz w:val="21"/>
                <w:szCs w:val="21"/>
              </w:rPr>
            </w:pPr>
            <w:r>
              <w:rPr>
                <w:color w:val="auto"/>
                <w:sz w:val="21"/>
                <w:szCs w:val="21"/>
              </w:rPr>
              <w:t>1.0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336" w:type="dxa"/>
            <w:vMerge w:val="continue"/>
            <w:tcBorders>
              <w:right w:val="single" w:color="auto" w:sz="4" w:space="0"/>
            </w:tcBorders>
            <w:vAlign w:val="center"/>
          </w:tcPr>
          <w:p>
            <w:pPr>
              <w:jc w:val="center"/>
              <w:rPr>
                <w:color w:val="auto"/>
                <w:sz w:val="21"/>
                <w:szCs w:val="21"/>
              </w:rPr>
            </w:pPr>
          </w:p>
        </w:tc>
        <w:tc>
          <w:tcPr>
            <w:tcW w:w="1172" w:type="dxa"/>
            <w:vMerge w:val="continue"/>
            <w:tcBorders>
              <w:left w:val="single" w:color="auto" w:sz="4" w:space="0"/>
            </w:tcBorders>
            <w:vAlign w:val="center"/>
          </w:tcPr>
          <w:p>
            <w:pPr>
              <w:jc w:val="center"/>
              <w:rPr>
                <w:color w:val="auto"/>
                <w:sz w:val="21"/>
                <w:szCs w:val="21"/>
              </w:rPr>
            </w:pPr>
          </w:p>
        </w:tc>
        <w:tc>
          <w:tcPr>
            <w:tcW w:w="1643" w:type="dxa"/>
          </w:tcPr>
          <w:p>
            <w:pPr>
              <w:jc w:val="center"/>
              <w:rPr>
                <w:color w:val="auto"/>
                <w:sz w:val="21"/>
                <w:szCs w:val="21"/>
              </w:rPr>
            </w:pPr>
            <w:r>
              <w:rPr>
                <w:color w:val="auto"/>
                <w:sz w:val="21"/>
                <w:szCs w:val="21"/>
              </w:rPr>
              <w:t>其他</w:t>
            </w:r>
          </w:p>
        </w:tc>
        <w:tc>
          <w:tcPr>
            <w:tcW w:w="1643" w:type="dxa"/>
            <w:vAlign w:val="center"/>
          </w:tcPr>
          <w:p>
            <w:pPr>
              <w:jc w:val="center"/>
              <w:rPr>
                <w:color w:val="auto"/>
                <w:sz w:val="21"/>
                <w:szCs w:val="21"/>
              </w:rPr>
            </w:pPr>
            <w:r>
              <w:rPr>
                <w:color w:val="auto"/>
                <w:sz w:val="21"/>
                <w:szCs w:val="21"/>
              </w:rPr>
              <w:t>1.3</w:t>
            </w:r>
          </w:p>
        </w:tc>
        <w:tc>
          <w:tcPr>
            <w:tcW w:w="1428" w:type="dxa"/>
            <w:vAlign w:val="center"/>
          </w:tcPr>
          <w:p>
            <w:pPr>
              <w:jc w:val="center"/>
              <w:rPr>
                <w:color w:val="auto"/>
                <w:sz w:val="21"/>
                <w:szCs w:val="21"/>
              </w:rPr>
            </w:pPr>
            <w:r>
              <w:rPr>
                <w:color w:val="auto"/>
                <w:sz w:val="21"/>
                <w:szCs w:val="21"/>
              </w:rPr>
              <w:t>1.8</w:t>
            </w:r>
          </w:p>
        </w:tc>
        <w:tc>
          <w:tcPr>
            <w:tcW w:w="1428" w:type="dxa"/>
          </w:tcPr>
          <w:p>
            <w:pPr>
              <w:jc w:val="center"/>
              <w:rPr>
                <w:color w:val="auto"/>
                <w:sz w:val="21"/>
                <w:szCs w:val="21"/>
              </w:rPr>
            </w:pPr>
            <w:r>
              <w:rPr>
                <w:color w:val="auto"/>
                <w:sz w:val="21"/>
                <w:szCs w:val="21"/>
              </w:rPr>
              <w:t>2.4</w:t>
            </w:r>
          </w:p>
        </w:tc>
        <w:tc>
          <w:tcPr>
            <w:tcW w:w="1420" w:type="dxa"/>
          </w:tcPr>
          <w:p>
            <w:pPr>
              <w:jc w:val="center"/>
              <w:rPr>
                <w:color w:val="auto"/>
                <w:sz w:val="21"/>
                <w:szCs w:val="21"/>
              </w:rPr>
            </w:pPr>
            <w:r>
              <w:rPr>
                <w:color w:val="auto"/>
                <w:sz w:val="21"/>
                <w:szCs w:val="21"/>
              </w:rPr>
              <w:t>3.4</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336" w:type="dxa"/>
            <w:vMerge w:val="restart"/>
            <w:tcBorders>
              <w:right w:val="single" w:color="auto" w:sz="4" w:space="0"/>
            </w:tcBorders>
            <w:vAlign w:val="center"/>
          </w:tcPr>
          <w:p>
            <w:pPr>
              <w:jc w:val="center"/>
              <w:rPr>
                <w:color w:val="auto"/>
                <w:sz w:val="21"/>
                <w:szCs w:val="21"/>
              </w:rPr>
            </w:pPr>
            <w:r>
              <w:rPr>
                <w:color w:val="auto"/>
                <w:sz w:val="21"/>
                <w:szCs w:val="21"/>
              </w:rPr>
              <w:t>3</w:t>
            </w:r>
          </w:p>
        </w:tc>
        <w:tc>
          <w:tcPr>
            <w:tcW w:w="1172" w:type="dxa"/>
            <w:vMerge w:val="restart"/>
            <w:tcBorders>
              <w:left w:val="single" w:color="auto" w:sz="4" w:space="0"/>
            </w:tcBorders>
            <w:vAlign w:val="center"/>
          </w:tcPr>
          <w:p>
            <w:pPr>
              <w:jc w:val="center"/>
              <w:rPr>
                <w:color w:val="auto"/>
                <w:sz w:val="21"/>
                <w:szCs w:val="21"/>
              </w:rPr>
            </w:pPr>
            <w:r>
              <w:rPr>
                <w:color w:val="auto"/>
                <w:sz w:val="21"/>
                <w:szCs w:val="21"/>
              </w:rPr>
              <w:t>砷</w:t>
            </w:r>
          </w:p>
        </w:tc>
        <w:tc>
          <w:tcPr>
            <w:tcW w:w="1643" w:type="dxa"/>
          </w:tcPr>
          <w:p>
            <w:pPr>
              <w:jc w:val="center"/>
              <w:rPr>
                <w:color w:val="auto"/>
                <w:sz w:val="21"/>
                <w:szCs w:val="21"/>
              </w:rPr>
            </w:pPr>
            <w:r>
              <w:rPr>
                <w:color w:val="auto"/>
                <w:sz w:val="21"/>
                <w:szCs w:val="21"/>
              </w:rPr>
              <w:t>水田</w:t>
            </w:r>
          </w:p>
        </w:tc>
        <w:tc>
          <w:tcPr>
            <w:tcW w:w="1643" w:type="dxa"/>
            <w:vAlign w:val="center"/>
          </w:tcPr>
          <w:p>
            <w:pPr>
              <w:jc w:val="center"/>
              <w:rPr>
                <w:color w:val="auto"/>
                <w:sz w:val="21"/>
                <w:szCs w:val="21"/>
              </w:rPr>
            </w:pPr>
            <w:r>
              <w:rPr>
                <w:color w:val="auto"/>
                <w:sz w:val="21"/>
                <w:szCs w:val="21"/>
              </w:rPr>
              <w:t>30</w:t>
            </w:r>
          </w:p>
        </w:tc>
        <w:tc>
          <w:tcPr>
            <w:tcW w:w="1428" w:type="dxa"/>
            <w:vAlign w:val="center"/>
          </w:tcPr>
          <w:p>
            <w:pPr>
              <w:jc w:val="center"/>
              <w:rPr>
                <w:color w:val="auto"/>
                <w:sz w:val="21"/>
                <w:szCs w:val="21"/>
              </w:rPr>
            </w:pPr>
            <w:r>
              <w:rPr>
                <w:color w:val="auto"/>
                <w:sz w:val="21"/>
                <w:szCs w:val="21"/>
              </w:rPr>
              <w:t>30</w:t>
            </w:r>
          </w:p>
        </w:tc>
        <w:tc>
          <w:tcPr>
            <w:tcW w:w="1428" w:type="dxa"/>
          </w:tcPr>
          <w:p>
            <w:pPr>
              <w:jc w:val="center"/>
              <w:rPr>
                <w:color w:val="auto"/>
                <w:sz w:val="21"/>
                <w:szCs w:val="21"/>
              </w:rPr>
            </w:pPr>
            <w:r>
              <w:rPr>
                <w:color w:val="auto"/>
                <w:sz w:val="21"/>
                <w:szCs w:val="21"/>
              </w:rPr>
              <w:t>25</w:t>
            </w:r>
          </w:p>
        </w:tc>
        <w:tc>
          <w:tcPr>
            <w:tcW w:w="1420" w:type="dxa"/>
          </w:tcPr>
          <w:p>
            <w:pPr>
              <w:jc w:val="center"/>
              <w:rPr>
                <w:color w:val="auto"/>
                <w:sz w:val="21"/>
                <w:szCs w:val="21"/>
              </w:rPr>
            </w:pPr>
            <w:r>
              <w:rPr>
                <w:color w:val="auto"/>
                <w:sz w:val="21"/>
                <w:szCs w:val="21"/>
              </w:rPr>
              <w:t>20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336" w:type="dxa"/>
            <w:vMerge w:val="continue"/>
            <w:tcBorders>
              <w:right w:val="single" w:color="auto" w:sz="4" w:space="0"/>
            </w:tcBorders>
            <w:vAlign w:val="center"/>
          </w:tcPr>
          <w:p>
            <w:pPr>
              <w:jc w:val="center"/>
              <w:rPr>
                <w:color w:val="auto"/>
                <w:sz w:val="21"/>
                <w:szCs w:val="21"/>
              </w:rPr>
            </w:pPr>
          </w:p>
        </w:tc>
        <w:tc>
          <w:tcPr>
            <w:tcW w:w="1172" w:type="dxa"/>
            <w:vMerge w:val="continue"/>
            <w:tcBorders>
              <w:left w:val="single" w:color="auto" w:sz="4" w:space="0"/>
            </w:tcBorders>
            <w:vAlign w:val="center"/>
          </w:tcPr>
          <w:p>
            <w:pPr>
              <w:jc w:val="center"/>
              <w:rPr>
                <w:color w:val="auto"/>
                <w:sz w:val="21"/>
                <w:szCs w:val="21"/>
              </w:rPr>
            </w:pPr>
          </w:p>
        </w:tc>
        <w:tc>
          <w:tcPr>
            <w:tcW w:w="1643" w:type="dxa"/>
          </w:tcPr>
          <w:p>
            <w:pPr>
              <w:jc w:val="center"/>
              <w:rPr>
                <w:color w:val="auto"/>
                <w:sz w:val="21"/>
                <w:szCs w:val="21"/>
              </w:rPr>
            </w:pPr>
            <w:r>
              <w:rPr>
                <w:color w:val="auto"/>
                <w:sz w:val="21"/>
                <w:szCs w:val="21"/>
              </w:rPr>
              <w:t>其他</w:t>
            </w:r>
          </w:p>
        </w:tc>
        <w:tc>
          <w:tcPr>
            <w:tcW w:w="1643" w:type="dxa"/>
            <w:vAlign w:val="center"/>
          </w:tcPr>
          <w:p>
            <w:pPr>
              <w:jc w:val="center"/>
              <w:rPr>
                <w:color w:val="auto"/>
                <w:sz w:val="21"/>
                <w:szCs w:val="21"/>
              </w:rPr>
            </w:pPr>
            <w:r>
              <w:rPr>
                <w:color w:val="auto"/>
                <w:sz w:val="21"/>
                <w:szCs w:val="21"/>
              </w:rPr>
              <w:t>40</w:t>
            </w:r>
          </w:p>
        </w:tc>
        <w:tc>
          <w:tcPr>
            <w:tcW w:w="1428" w:type="dxa"/>
            <w:vAlign w:val="center"/>
          </w:tcPr>
          <w:p>
            <w:pPr>
              <w:jc w:val="center"/>
              <w:rPr>
                <w:color w:val="auto"/>
                <w:sz w:val="21"/>
                <w:szCs w:val="21"/>
              </w:rPr>
            </w:pPr>
            <w:r>
              <w:rPr>
                <w:color w:val="auto"/>
                <w:sz w:val="21"/>
                <w:szCs w:val="21"/>
              </w:rPr>
              <w:t>40</w:t>
            </w:r>
          </w:p>
        </w:tc>
        <w:tc>
          <w:tcPr>
            <w:tcW w:w="1428" w:type="dxa"/>
          </w:tcPr>
          <w:p>
            <w:pPr>
              <w:jc w:val="center"/>
              <w:rPr>
                <w:color w:val="auto"/>
                <w:sz w:val="21"/>
                <w:szCs w:val="21"/>
              </w:rPr>
            </w:pPr>
            <w:r>
              <w:rPr>
                <w:color w:val="auto"/>
                <w:sz w:val="21"/>
                <w:szCs w:val="21"/>
              </w:rPr>
              <w:t>30</w:t>
            </w:r>
          </w:p>
        </w:tc>
        <w:tc>
          <w:tcPr>
            <w:tcW w:w="1420" w:type="dxa"/>
          </w:tcPr>
          <w:p>
            <w:pPr>
              <w:jc w:val="center"/>
              <w:rPr>
                <w:color w:val="auto"/>
                <w:sz w:val="21"/>
                <w:szCs w:val="21"/>
              </w:rPr>
            </w:pPr>
            <w:r>
              <w:rPr>
                <w:color w:val="auto"/>
                <w:sz w:val="21"/>
                <w:szCs w:val="21"/>
              </w:rPr>
              <w:t>25</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336" w:type="dxa"/>
            <w:vMerge w:val="restart"/>
            <w:tcBorders>
              <w:right w:val="single" w:color="auto" w:sz="4" w:space="0"/>
            </w:tcBorders>
            <w:vAlign w:val="center"/>
          </w:tcPr>
          <w:p>
            <w:pPr>
              <w:jc w:val="center"/>
              <w:rPr>
                <w:color w:val="auto"/>
                <w:sz w:val="21"/>
                <w:szCs w:val="21"/>
              </w:rPr>
            </w:pPr>
            <w:r>
              <w:rPr>
                <w:color w:val="auto"/>
                <w:sz w:val="21"/>
                <w:szCs w:val="21"/>
              </w:rPr>
              <w:t>4</w:t>
            </w:r>
          </w:p>
        </w:tc>
        <w:tc>
          <w:tcPr>
            <w:tcW w:w="1172" w:type="dxa"/>
            <w:vMerge w:val="restart"/>
            <w:tcBorders>
              <w:left w:val="single" w:color="auto" w:sz="4" w:space="0"/>
            </w:tcBorders>
            <w:vAlign w:val="center"/>
          </w:tcPr>
          <w:p>
            <w:pPr>
              <w:jc w:val="center"/>
              <w:rPr>
                <w:color w:val="auto"/>
                <w:sz w:val="21"/>
                <w:szCs w:val="21"/>
              </w:rPr>
            </w:pPr>
            <w:r>
              <w:rPr>
                <w:color w:val="auto"/>
                <w:sz w:val="21"/>
                <w:szCs w:val="21"/>
              </w:rPr>
              <w:t>铅</w:t>
            </w:r>
          </w:p>
        </w:tc>
        <w:tc>
          <w:tcPr>
            <w:tcW w:w="1643" w:type="dxa"/>
          </w:tcPr>
          <w:p>
            <w:pPr>
              <w:jc w:val="center"/>
              <w:rPr>
                <w:color w:val="auto"/>
                <w:sz w:val="21"/>
                <w:szCs w:val="21"/>
              </w:rPr>
            </w:pPr>
            <w:r>
              <w:rPr>
                <w:color w:val="auto"/>
                <w:sz w:val="21"/>
                <w:szCs w:val="21"/>
              </w:rPr>
              <w:t>水田</w:t>
            </w:r>
          </w:p>
        </w:tc>
        <w:tc>
          <w:tcPr>
            <w:tcW w:w="1643" w:type="dxa"/>
            <w:vAlign w:val="center"/>
          </w:tcPr>
          <w:p>
            <w:pPr>
              <w:jc w:val="center"/>
              <w:rPr>
                <w:color w:val="auto"/>
                <w:sz w:val="21"/>
                <w:szCs w:val="21"/>
              </w:rPr>
            </w:pPr>
            <w:r>
              <w:rPr>
                <w:color w:val="auto"/>
                <w:sz w:val="21"/>
                <w:szCs w:val="21"/>
              </w:rPr>
              <w:t>80</w:t>
            </w:r>
          </w:p>
        </w:tc>
        <w:tc>
          <w:tcPr>
            <w:tcW w:w="1428" w:type="dxa"/>
            <w:vAlign w:val="center"/>
          </w:tcPr>
          <w:p>
            <w:pPr>
              <w:jc w:val="center"/>
              <w:rPr>
                <w:color w:val="auto"/>
                <w:sz w:val="21"/>
                <w:szCs w:val="21"/>
              </w:rPr>
            </w:pPr>
            <w:r>
              <w:rPr>
                <w:color w:val="auto"/>
                <w:sz w:val="21"/>
                <w:szCs w:val="21"/>
              </w:rPr>
              <w:t>100</w:t>
            </w:r>
          </w:p>
        </w:tc>
        <w:tc>
          <w:tcPr>
            <w:tcW w:w="1428" w:type="dxa"/>
          </w:tcPr>
          <w:p>
            <w:pPr>
              <w:jc w:val="center"/>
              <w:rPr>
                <w:color w:val="auto"/>
                <w:sz w:val="21"/>
                <w:szCs w:val="21"/>
              </w:rPr>
            </w:pPr>
            <w:r>
              <w:rPr>
                <w:color w:val="auto"/>
                <w:sz w:val="21"/>
                <w:szCs w:val="21"/>
              </w:rPr>
              <w:t>140</w:t>
            </w:r>
          </w:p>
        </w:tc>
        <w:tc>
          <w:tcPr>
            <w:tcW w:w="1420" w:type="dxa"/>
          </w:tcPr>
          <w:p>
            <w:pPr>
              <w:jc w:val="center"/>
              <w:rPr>
                <w:color w:val="auto"/>
                <w:sz w:val="21"/>
                <w:szCs w:val="21"/>
              </w:rPr>
            </w:pPr>
            <w:r>
              <w:rPr>
                <w:color w:val="auto"/>
                <w:sz w:val="21"/>
                <w:szCs w:val="21"/>
              </w:rPr>
              <w:t>240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336" w:type="dxa"/>
            <w:vMerge w:val="continue"/>
            <w:tcBorders>
              <w:right w:val="single" w:color="auto" w:sz="4" w:space="0"/>
            </w:tcBorders>
            <w:vAlign w:val="center"/>
          </w:tcPr>
          <w:p>
            <w:pPr>
              <w:jc w:val="center"/>
              <w:rPr>
                <w:color w:val="auto"/>
                <w:sz w:val="21"/>
                <w:szCs w:val="21"/>
              </w:rPr>
            </w:pPr>
          </w:p>
        </w:tc>
        <w:tc>
          <w:tcPr>
            <w:tcW w:w="1172" w:type="dxa"/>
            <w:vMerge w:val="continue"/>
            <w:tcBorders>
              <w:left w:val="single" w:color="auto" w:sz="4" w:space="0"/>
            </w:tcBorders>
            <w:vAlign w:val="center"/>
          </w:tcPr>
          <w:p>
            <w:pPr>
              <w:jc w:val="center"/>
              <w:rPr>
                <w:color w:val="auto"/>
                <w:sz w:val="21"/>
                <w:szCs w:val="21"/>
              </w:rPr>
            </w:pPr>
          </w:p>
        </w:tc>
        <w:tc>
          <w:tcPr>
            <w:tcW w:w="1643" w:type="dxa"/>
          </w:tcPr>
          <w:p>
            <w:pPr>
              <w:jc w:val="center"/>
              <w:rPr>
                <w:color w:val="auto"/>
                <w:sz w:val="21"/>
                <w:szCs w:val="21"/>
              </w:rPr>
            </w:pPr>
            <w:r>
              <w:rPr>
                <w:color w:val="auto"/>
                <w:sz w:val="21"/>
                <w:szCs w:val="21"/>
              </w:rPr>
              <w:t>其他</w:t>
            </w:r>
          </w:p>
        </w:tc>
        <w:tc>
          <w:tcPr>
            <w:tcW w:w="1643" w:type="dxa"/>
            <w:vAlign w:val="center"/>
          </w:tcPr>
          <w:p>
            <w:pPr>
              <w:jc w:val="center"/>
              <w:rPr>
                <w:color w:val="auto"/>
                <w:sz w:val="21"/>
                <w:szCs w:val="21"/>
              </w:rPr>
            </w:pPr>
            <w:r>
              <w:rPr>
                <w:color w:val="auto"/>
                <w:sz w:val="21"/>
                <w:szCs w:val="21"/>
              </w:rPr>
              <w:t>70</w:t>
            </w:r>
          </w:p>
        </w:tc>
        <w:tc>
          <w:tcPr>
            <w:tcW w:w="1428" w:type="dxa"/>
            <w:vAlign w:val="center"/>
          </w:tcPr>
          <w:p>
            <w:pPr>
              <w:jc w:val="center"/>
              <w:rPr>
                <w:color w:val="auto"/>
                <w:sz w:val="21"/>
                <w:szCs w:val="21"/>
              </w:rPr>
            </w:pPr>
            <w:r>
              <w:rPr>
                <w:color w:val="auto"/>
                <w:sz w:val="21"/>
                <w:szCs w:val="21"/>
              </w:rPr>
              <w:t>90</w:t>
            </w:r>
          </w:p>
        </w:tc>
        <w:tc>
          <w:tcPr>
            <w:tcW w:w="1428" w:type="dxa"/>
          </w:tcPr>
          <w:p>
            <w:pPr>
              <w:jc w:val="center"/>
              <w:rPr>
                <w:color w:val="auto"/>
                <w:sz w:val="21"/>
                <w:szCs w:val="21"/>
              </w:rPr>
            </w:pPr>
            <w:r>
              <w:rPr>
                <w:color w:val="auto"/>
                <w:sz w:val="21"/>
                <w:szCs w:val="21"/>
              </w:rPr>
              <w:t>120</w:t>
            </w:r>
          </w:p>
        </w:tc>
        <w:tc>
          <w:tcPr>
            <w:tcW w:w="1420" w:type="dxa"/>
          </w:tcPr>
          <w:p>
            <w:pPr>
              <w:jc w:val="center"/>
              <w:rPr>
                <w:color w:val="auto"/>
                <w:sz w:val="21"/>
                <w:szCs w:val="21"/>
              </w:rPr>
            </w:pPr>
            <w:r>
              <w:rPr>
                <w:color w:val="auto"/>
                <w:sz w:val="21"/>
                <w:szCs w:val="21"/>
              </w:rPr>
              <w:t>170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336" w:type="dxa"/>
            <w:vMerge w:val="restart"/>
            <w:tcBorders>
              <w:right w:val="single" w:color="auto" w:sz="4" w:space="0"/>
            </w:tcBorders>
            <w:vAlign w:val="center"/>
          </w:tcPr>
          <w:p>
            <w:pPr>
              <w:jc w:val="center"/>
              <w:rPr>
                <w:color w:val="auto"/>
                <w:sz w:val="21"/>
                <w:szCs w:val="21"/>
              </w:rPr>
            </w:pPr>
            <w:r>
              <w:rPr>
                <w:color w:val="auto"/>
                <w:sz w:val="21"/>
                <w:szCs w:val="21"/>
              </w:rPr>
              <w:t>5</w:t>
            </w:r>
          </w:p>
        </w:tc>
        <w:tc>
          <w:tcPr>
            <w:tcW w:w="1172" w:type="dxa"/>
            <w:vMerge w:val="restart"/>
            <w:tcBorders>
              <w:left w:val="single" w:color="auto" w:sz="4" w:space="0"/>
            </w:tcBorders>
            <w:vAlign w:val="center"/>
          </w:tcPr>
          <w:p>
            <w:pPr>
              <w:jc w:val="center"/>
              <w:rPr>
                <w:color w:val="auto"/>
                <w:sz w:val="21"/>
                <w:szCs w:val="21"/>
              </w:rPr>
            </w:pPr>
            <w:r>
              <w:rPr>
                <w:color w:val="auto"/>
                <w:sz w:val="21"/>
                <w:szCs w:val="21"/>
              </w:rPr>
              <w:t>铬</w:t>
            </w:r>
          </w:p>
        </w:tc>
        <w:tc>
          <w:tcPr>
            <w:tcW w:w="1643" w:type="dxa"/>
          </w:tcPr>
          <w:p>
            <w:pPr>
              <w:jc w:val="center"/>
              <w:rPr>
                <w:color w:val="auto"/>
                <w:sz w:val="21"/>
                <w:szCs w:val="21"/>
              </w:rPr>
            </w:pPr>
            <w:r>
              <w:rPr>
                <w:color w:val="auto"/>
                <w:sz w:val="21"/>
                <w:szCs w:val="21"/>
              </w:rPr>
              <w:t>水田</w:t>
            </w:r>
          </w:p>
        </w:tc>
        <w:tc>
          <w:tcPr>
            <w:tcW w:w="1643" w:type="dxa"/>
            <w:vAlign w:val="center"/>
          </w:tcPr>
          <w:p>
            <w:pPr>
              <w:jc w:val="center"/>
              <w:rPr>
                <w:color w:val="auto"/>
                <w:sz w:val="21"/>
                <w:szCs w:val="21"/>
              </w:rPr>
            </w:pPr>
            <w:r>
              <w:rPr>
                <w:color w:val="auto"/>
                <w:sz w:val="21"/>
                <w:szCs w:val="21"/>
              </w:rPr>
              <w:t>250</w:t>
            </w:r>
          </w:p>
        </w:tc>
        <w:tc>
          <w:tcPr>
            <w:tcW w:w="1428" w:type="dxa"/>
            <w:vAlign w:val="center"/>
          </w:tcPr>
          <w:p>
            <w:pPr>
              <w:jc w:val="center"/>
              <w:rPr>
                <w:color w:val="auto"/>
                <w:sz w:val="21"/>
                <w:szCs w:val="21"/>
              </w:rPr>
            </w:pPr>
            <w:r>
              <w:rPr>
                <w:color w:val="auto"/>
                <w:sz w:val="21"/>
                <w:szCs w:val="21"/>
              </w:rPr>
              <w:t>250</w:t>
            </w:r>
          </w:p>
        </w:tc>
        <w:tc>
          <w:tcPr>
            <w:tcW w:w="1428" w:type="dxa"/>
          </w:tcPr>
          <w:p>
            <w:pPr>
              <w:jc w:val="center"/>
              <w:rPr>
                <w:color w:val="auto"/>
                <w:sz w:val="21"/>
                <w:szCs w:val="21"/>
              </w:rPr>
            </w:pPr>
            <w:r>
              <w:rPr>
                <w:color w:val="auto"/>
                <w:sz w:val="21"/>
                <w:szCs w:val="21"/>
              </w:rPr>
              <w:t>300</w:t>
            </w:r>
          </w:p>
        </w:tc>
        <w:tc>
          <w:tcPr>
            <w:tcW w:w="1420" w:type="dxa"/>
          </w:tcPr>
          <w:p>
            <w:pPr>
              <w:jc w:val="center"/>
              <w:rPr>
                <w:color w:val="auto"/>
                <w:sz w:val="21"/>
                <w:szCs w:val="21"/>
              </w:rPr>
            </w:pPr>
            <w:r>
              <w:rPr>
                <w:color w:val="auto"/>
                <w:sz w:val="21"/>
                <w:szCs w:val="21"/>
              </w:rPr>
              <w:t>350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336" w:type="dxa"/>
            <w:vMerge w:val="continue"/>
            <w:tcBorders>
              <w:right w:val="single" w:color="auto" w:sz="4" w:space="0"/>
            </w:tcBorders>
            <w:vAlign w:val="center"/>
          </w:tcPr>
          <w:p>
            <w:pPr>
              <w:jc w:val="center"/>
              <w:rPr>
                <w:color w:val="auto"/>
                <w:sz w:val="21"/>
                <w:szCs w:val="21"/>
              </w:rPr>
            </w:pPr>
          </w:p>
        </w:tc>
        <w:tc>
          <w:tcPr>
            <w:tcW w:w="1172" w:type="dxa"/>
            <w:vMerge w:val="continue"/>
            <w:tcBorders>
              <w:left w:val="single" w:color="auto" w:sz="4" w:space="0"/>
            </w:tcBorders>
            <w:vAlign w:val="center"/>
          </w:tcPr>
          <w:p>
            <w:pPr>
              <w:jc w:val="center"/>
              <w:rPr>
                <w:color w:val="auto"/>
                <w:sz w:val="21"/>
                <w:szCs w:val="21"/>
              </w:rPr>
            </w:pPr>
          </w:p>
        </w:tc>
        <w:tc>
          <w:tcPr>
            <w:tcW w:w="1643" w:type="dxa"/>
          </w:tcPr>
          <w:p>
            <w:pPr>
              <w:jc w:val="center"/>
              <w:rPr>
                <w:color w:val="auto"/>
                <w:sz w:val="21"/>
                <w:szCs w:val="21"/>
              </w:rPr>
            </w:pPr>
            <w:r>
              <w:rPr>
                <w:color w:val="auto"/>
                <w:sz w:val="21"/>
                <w:szCs w:val="21"/>
              </w:rPr>
              <w:t>其他</w:t>
            </w:r>
          </w:p>
        </w:tc>
        <w:tc>
          <w:tcPr>
            <w:tcW w:w="1643" w:type="dxa"/>
            <w:vAlign w:val="center"/>
          </w:tcPr>
          <w:p>
            <w:pPr>
              <w:jc w:val="center"/>
              <w:rPr>
                <w:color w:val="auto"/>
                <w:sz w:val="21"/>
                <w:szCs w:val="21"/>
              </w:rPr>
            </w:pPr>
            <w:r>
              <w:rPr>
                <w:color w:val="auto"/>
                <w:sz w:val="21"/>
                <w:szCs w:val="21"/>
              </w:rPr>
              <w:t>150</w:t>
            </w:r>
          </w:p>
        </w:tc>
        <w:tc>
          <w:tcPr>
            <w:tcW w:w="1428" w:type="dxa"/>
            <w:vAlign w:val="center"/>
          </w:tcPr>
          <w:p>
            <w:pPr>
              <w:jc w:val="center"/>
              <w:rPr>
                <w:color w:val="auto"/>
                <w:sz w:val="21"/>
                <w:szCs w:val="21"/>
              </w:rPr>
            </w:pPr>
            <w:r>
              <w:rPr>
                <w:color w:val="auto"/>
                <w:sz w:val="21"/>
                <w:szCs w:val="21"/>
              </w:rPr>
              <w:t>150</w:t>
            </w:r>
          </w:p>
        </w:tc>
        <w:tc>
          <w:tcPr>
            <w:tcW w:w="1428" w:type="dxa"/>
          </w:tcPr>
          <w:p>
            <w:pPr>
              <w:jc w:val="center"/>
              <w:rPr>
                <w:color w:val="auto"/>
                <w:sz w:val="21"/>
                <w:szCs w:val="21"/>
              </w:rPr>
            </w:pPr>
            <w:r>
              <w:rPr>
                <w:color w:val="auto"/>
                <w:sz w:val="21"/>
                <w:szCs w:val="21"/>
              </w:rPr>
              <w:t>200</w:t>
            </w:r>
          </w:p>
        </w:tc>
        <w:tc>
          <w:tcPr>
            <w:tcW w:w="1420" w:type="dxa"/>
          </w:tcPr>
          <w:p>
            <w:pPr>
              <w:jc w:val="center"/>
              <w:rPr>
                <w:color w:val="auto"/>
                <w:sz w:val="21"/>
                <w:szCs w:val="21"/>
              </w:rPr>
            </w:pPr>
            <w:r>
              <w:rPr>
                <w:color w:val="auto"/>
                <w:sz w:val="21"/>
                <w:szCs w:val="21"/>
              </w:rPr>
              <w:t>250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336" w:type="dxa"/>
            <w:vMerge w:val="restart"/>
            <w:tcBorders>
              <w:right w:val="single" w:color="auto" w:sz="4" w:space="0"/>
            </w:tcBorders>
            <w:vAlign w:val="center"/>
          </w:tcPr>
          <w:p>
            <w:pPr>
              <w:jc w:val="center"/>
              <w:rPr>
                <w:color w:val="auto"/>
                <w:sz w:val="21"/>
                <w:szCs w:val="21"/>
              </w:rPr>
            </w:pPr>
            <w:r>
              <w:rPr>
                <w:color w:val="auto"/>
                <w:sz w:val="21"/>
                <w:szCs w:val="21"/>
              </w:rPr>
              <w:t>6</w:t>
            </w:r>
          </w:p>
        </w:tc>
        <w:tc>
          <w:tcPr>
            <w:tcW w:w="1172" w:type="dxa"/>
            <w:vMerge w:val="restart"/>
            <w:tcBorders>
              <w:left w:val="single" w:color="auto" w:sz="4" w:space="0"/>
            </w:tcBorders>
            <w:vAlign w:val="center"/>
          </w:tcPr>
          <w:p>
            <w:pPr>
              <w:jc w:val="center"/>
              <w:rPr>
                <w:color w:val="auto"/>
                <w:sz w:val="21"/>
                <w:szCs w:val="21"/>
              </w:rPr>
            </w:pPr>
            <w:r>
              <w:rPr>
                <w:color w:val="auto"/>
                <w:sz w:val="21"/>
                <w:szCs w:val="21"/>
              </w:rPr>
              <w:t>铜</w:t>
            </w:r>
          </w:p>
        </w:tc>
        <w:tc>
          <w:tcPr>
            <w:tcW w:w="1643" w:type="dxa"/>
          </w:tcPr>
          <w:p>
            <w:pPr>
              <w:jc w:val="center"/>
              <w:rPr>
                <w:color w:val="auto"/>
                <w:sz w:val="21"/>
                <w:szCs w:val="21"/>
              </w:rPr>
            </w:pPr>
            <w:r>
              <w:rPr>
                <w:color w:val="auto"/>
                <w:sz w:val="21"/>
                <w:szCs w:val="21"/>
              </w:rPr>
              <w:t>果园</w:t>
            </w:r>
          </w:p>
        </w:tc>
        <w:tc>
          <w:tcPr>
            <w:tcW w:w="1643" w:type="dxa"/>
            <w:vAlign w:val="center"/>
          </w:tcPr>
          <w:p>
            <w:pPr>
              <w:jc w:val="center"/>
              <w:rPr>
                <w:color w:val="auto"/>
                <w:sz w:val="21"/>
                <w:szCs w:val="21"/>
              </w:rPr>
            </w:pPr>
            <w:r>
              <w:rPr>
                <w:color w:val="auto"/>
                <w:sz w:val="21"/>
                <w:szCs w:val="21"/>
              </w:rPr>
              <w:t>150</w:t>
            </w:r>
          </w:p>
        </w:tc>
        <w:tc>
          <w:tcPr>
            <w:tcW w:w="1428" w:type="dxa"/>
            <w:vAlign w:val="center"/>
          </w:tcPr>
          <w:p>
            <w:pPr>
              <w:jc w:val="center"/>
              <w:rPr>
                <w:color w:val="auto"/>
                <w:sz w:val="21"/>
                <w:szCs w:val="21"/>
              </w:rPr>
            </w:pPr>
            <w:r>
              <w:rPr>
                <w:color w:val="auto"/>
                <w:sz w:val="21"/>
                <w:szCs w:val="21"/>
              </w:rPr>
              <w:t>150</w:t>
            </w:r>
          </w:p>
        </w:tc>
        <w:tc>
          <w:tcPr>
            <w:tcW w:w="1428" w:type="dxa"/>
          </w:tcPr>
          <w:p>
            <w:pPr>
              <w:jc w:val="center"/>
              <w:rPr>
                <w:color w:val="auto"/>
                <w:sz w:val="21"/>
                <w:szCs w:val="21"/>
              </w:rPr>
            </w:pPr>
            <w:r>
              <w:rPr>
                <w:color w:val="auto"/>
                <w:sz w:val="21"/>
                <w:szCs w:val="21"/>
              </w:rPr>
              <w:t>200</w:t>
            </w:r>
          </w:p>
        </w:tc>
        <w:tc>
          <w:tcPr>
            <w:tcW w:w="1420" w:type="dxa"/>
          </w:tcPr>
          <w:p>
            <w:pPr>
              <w:jc w:val="center"/>
              <w:rPr>
                <w:color w:val="auto"/>
                <w:sz w:val="21"/>
                <w:szCs w:val="21"/>
              </w:rPr>
            </w:pPr>
            <w:r>
              <w:rPr>
                <w:color w:val="auto"/>
                <w:sz w:val="21"/>
                <w:szCs w:val="21"/>
              </w:rPr>
              <w:t>200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336" w:type="dxa"/>
            <w:vMerge w:val="continue"/>
            <w:tcBorders>
              <w:right w:val="single" w:color="auto" w:sz="4" w:space="0"/>
            </w:tcBorders>
            <w:vAlign w:val="center"/>
          </w:tcPr>
          <w:p>
            <w:pPr>
              <w:jc w:val="center"/>
              <w:rPr>
                <w:color w:val="auto"/>
                <w:sz w:val="21"/>
                <w:szCs w:val="21"/>
              </w:rPr>
            </w:pPr>
          </w:p>
        </w:tc>
        <w:tc>
          <w:tcPr>
            <w:tcW w:w="1172" w:type="dxa"/>
            <w:vMerge w:val="continue"/>
            <w:tcBorders>
              <w:left w:val="single" w:color="auto" w:sz="4" w:space="0"/>
            </w:tcBorders>
            <w:vAlign w:val="center"/>
          </w:tcPr>
          <w:p>
            <w:pPr>
              <w:jc w:val="center"/>
              <w:rPr>
                <w:color w:val="auto"/>
                <w:sz w:val="21"/>
                <w:szCs w:val="21"/>
              </w:rPr>
            </w:pPr>
          </w:p>
        </w:tc>
        <w:tc>
          <w:tcPr>
            <w:tcW w:w="1643" w:type="dxa"/>
          </w:tcPr>
          <w:p>
            <w:pPr>
              <w:jc w:val="center"/>
              <w:rPr>
                <w:color w:val="auto"/>
                <w:sz w:val="21"/>
                <w:szCs w:val="21"/>
              </w:rPr>
            </w:pPr>
            <w:r>
              <w:rPr>
                <w:color w:val="auto"/>
                <w:sz w:val="21"/>
                <w:szCs w:val="21"/>
              </w:rPr>
              <w:t>其他</w:t>
            </w:r>
          </w:p>
        </w:tc>
        <w:tc>
          <w:tcPr>
            <w:tcW w:w="1643" w:type="dxa"/>
            <w:vAlign w:val="center"/>
          </w:tcPr>
          <w:p>
            <w:pPr>
              <w:jc w:val="center"/>
              <w:rPr>
                <w:color w:val="auto"/>
                <w:sz w:val="21"/>
                <w:szCs w:val="21"/>
              </w:rPr>
            </w:pPr>
            <w:r>
              <w:rPr>
                <w:color w:val="auto"/>
                <w:sz w:val="21"/>
                <w:szCs w:val="21"/>
              </w:rPr>
              <w:t>50</w:t>
            </w:r>
          </w:p>
        </w:tc>
        <w:tc>
          <w:tcPr>
            <w:tcW w:w="1428" w:type="dxa"/>
            <w:vAlign w:val="center"/>
          </w:tcPr>
          <w:p>
            <w:pPr>
              <w:jc w:val="center"/>
              <w:rPr>
                <w:color w:val="auto"/>
                <w:sz w:val="21"/>
                <w:szCs w:val="21"/>
              </w:rPr>
            </w:pPr>
            <w:r>
              <w:rPr>
                <w:color w:val="auto"/>
                <w:sz w:val="21"/>
                <w:szCs w:val="21"/>
              </w:rPr>
              <w:t>50</w:t>
            </w:r>
          </w:p>
        </w:tc>
        <w:tc>
          <w:tcPr>
            <w:tcW w:w="1428" w:type="dxa"/>
          </w:tcPr>
          <w:p>
            <w:pPr>
              <w:jc w:val="center"/>
              <w:rPr>
                <w:color w:val="auto"/>
                <w:sz w:val="21"/>
                <w:szCs w:val="21"/>
              </w:rPr>
            </w:pPr>
            <w:r>
              <w:rPr>
                <w:color w:val="auto"/>
                <w:sz w:val="21"/>
                <w:szCs w:val="21"/>
              </w:rPr>
              <w:t>100</w:t>
            </w:r>
          </w:p>
        </w:tc>
        <w:tc>
          <w:tcPr>
            <w:tcW w:w="1420" w:type="dxa"/>
          </w:tcPr>
          <w:p>
            <w:pPr>
              <w:jc w:val="center"/>
              <w:rPr>
                <w:color w:val="auto"/>
                <w:sz w:val="21"/>
                <w:szCs w:val="21"/>
              </w:rPr>
            </w:pPr>
            <w:r>
              <w:rPr>
                <w:color w:val="auto"/>
                <w:sz w:val="21"/>
                <w:szCs w:val="21"/>
              </w:rPr>
              <w:t>100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336" w:type="dxa"/>
            <w:tcBorders>
              <w:right w:val="single" w:color="auto" w:sz="4" w:space="0"/>
            </w:tcBorders>
            <w:vAlign w:val="center"/>
          </w:tcPr>
          <w:p>
            <w:pPr>
              <w:jc w:val="center"/>
              <w:rPr>
                <w:color w:val="auto"/>
                <w:sz w:val="21"/>
                <w:szCs w:val="21"/>
              </w:rPr>
            </w:pPr>
            <w:r>
              <w:rPr>
                <w:color w:val="auto"/>
                <w:sz w:val="21"/>
                <w:szCs w:val="21"/>
              </w:rPr>
              <w:t>7</w:t>
            </w:r>
          </w:p>
        </w:tc>
        <w:tc>
          <w:tcPr>
            <w:tcW w:w="2815" w:type="dxa"/>
            <w:gridSpan w:val="2"/>
            <w:tcBorders>
              <w:left w:val="single" w:color="auto" w:sz="4" w:space="0"/>
            </w:tcBorders>
            <w:vAlign w:val="center"/>
          </w:tcPr>
          <w:p>
            <w:pPr>
              <w:jc w:val="center"/>
              <w:rPr>
                <w:color w:val="auto"/>
                <w:sz w:val="21"/>
                <w:szCs w:val="21"/>
              </w:rPr>
            </w:pPr>
            <w:r>
              <w:rPr>
                <w:color w:val="auto"/>
                <w:sz w:val="21"/>
                <w:szCs w:val="21"/>
              </w:rPr>
              <w:t>镍</w:t>
            </w:r>
          </w:p>
        </w:tc>
        <w:tc>
          <w:tcPr>
            <w:tcW w:w="1643" w:type="dxa"/>
            <w:vAlign w:val="center"/>
          </w:tcPr>
          <w:p>
            <w:pPr>
              <w:jc w:val="center"/>
              <w:rPr>
                <w:color w:val="auto"/>
                <w:sz w:val="21"/>
                <w:szCs w:val="21"/>
              </w:rPr>
            </w:pPr>
            <w:r>
              <w:rPr>
                <w:color w:val="auto"/>
                <w:sz w:val="21"/>
                <w:szCs w:val="21"/>
              </w:rPr>
              <w:t>60</w:t>
            </w:r>
          </w:p>
        </w:tc>
        <w:tc>
          <w:tcPr>
            <w:tcW w:w="1428" w:type="dxa"/>
            <w:vAlign w:val="center"/>
          </w:tcPr>
          <w:p>
            <w:pPr>
              <w:jc w:val="center"/>
              <w:rPr>
                <w:color w:val="auto"/>
                <w:sz w:val="21"/>
                <w:szCs w:val="21"/>
              </w:rPr>
            </w:pPr>
            <w:r>
              <w:rPr>
                <w:color w:val="auto"/>
                <w:sz w:val="21"/>
                <w:szCs w:val="21"/>
              </w:rPr>
              <w:t>70</w:t>
            </w:r>
          </w:p>
        </w:tc>
        <w:tc>
          <w:tcPr>
            <w:tcW w:w="1428" w:type="dxa"/>
          </w:tcPr>
          <w:p>
            <w:pPr>
              <w:jc w:val="center"/>
              <w:rPr>
                <w:color w:val="auto"/>
                <w:sz w:val="21"/>
                <w:szCs w:val="21"/>
              </w:rPr>
            </w:pPr>
            <w:r>
              <w:rPr>
                <w:color w:val="auto"/>
                <w:sz w:val="21"/>
                <w:szCs w:val="21"/>
              </w:rPr>
              <w:t>100</w:t>
            </w:r>
          </w:p>
        </w:tc>
        <w:tc>
          <w:tcPr>
            <w:tcW w:w="1420" w:type="dxa"/>
          </w:tcPr>
          <w:p>
            <w:pPr>
              <w:jc w:val="center"/>
              <w:rPr>
                <w:color w:val="auto"/>
                <w:sz w:val="21"/>
                <w:szCs w:val="21"/>
              </w:rPr>
            </w:pPr>
            <w:r>
              <w:rPr>
                <w:color w:val="auto"/>
                <w:sz w:val="21"/>
                <w:szCs w:val="21"/>
              </w:rPr>
              <w:t>190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336" w:type="dxa"/>
            <w:tcBorders>
              <w:right w:val="single" w:color="auto" w:sz="4" w:space="0"/>
            </w:tcBorders>
            <w:vAlign w:val="center"/>
          </w:tcPr>
          <w:p>
            <w:pPr>
              <w:jc w:val="center"/>
              <w:rPr>
                <w:color w:val="auto"/>
                <w:sz w:val="21"/>
                <w:szCs w:val="21"/>
              </w:rPr>
            </w:pPr>
            <w:r>
              <w:rPr>
                <w:color w:val="auto"/>
                <w:sz w:val="21"/>
                <w:szCs w:val="21"/>
              </w:rPr>
              <w:t>8</w:t>
            </w:r>
          </w:p>
        </w:tc>
        <w:tc>
          <w:tcPr>
            <w:tcW w:w="2815" w:type="dxa"/>
            <w:gridSpan w:val="2"/>
            <w:tcBorders>
              <w:left w:val="single" w:color="auto" w:sz="4" w:space="0"/>
            </w:tcBorders>
            <w:vAlign w:val="center"/>
          </w:tcPr>
          <w:p>
            <w:pPr>
              <w:jc w:val="center"/>
              <w:rPr>
                <w:color w:val="auto"/>
                <w:sz w:val="21"/>
                <w:szCs w:val="21"/>
              </w:rPr>
            </w:pPr>
            <w:r>
              <w:rPr>
                <w:color w:val="auto"/>
                <w:sz w:val="21"/>
                <w:szCs w:val="21"/>
              </w:rPr>
              <w:t>锌</w:t>
            </w:r>
          </w:p>
        </w:tc>
        <w:tc>
          <w:tcPr>
            <w:tcW w:w="1643" w:type="dxa"/>
            <w:vAlign w:val="center"/>
          </w:tcPr>
          <w:p>
            <w:pPr>
              <w:jc w:val="center"/>
              <w:rPr>
                <w:color w:val="auto"/>
                <w:sz w:val="21"/>
                <w:szCs w:val="21"/>
              </w:rPr>
            </w:pPr>
            <w:r>
              <w:rPr>
                <w:color w:val="auto"/>
                <w:sz w:val="21"/>
                <w:szCs w:val="21"/>
              </w:rPr>
              <w:t>200</w:t>
            </w:r>
          </w:p>
        </w:tc>
        <w:tc>
          <w:tcPr>
            <w:tcW w:w="1428" w:type="dxa"/>
            <w:vAlign w:val="center"/>
          </w:tcPr>
          <w:p>
            <w:pPr>
              <w:jc w:val="center"/>
              <w:rPr>
                <w:color w:val="auto"/>
                <w:sz w:val="21"/>
                <w:szCs w:val="21"/>
              </w:rPr>
            </w:pPr>
            <w:r>
              <w:rPr>
                <w:color w:val="auto"/>
                <w:sz w:val="21"/>
                <w:szCs w:val="21"/>
              </w:rPr>
              <w:t>200</w:t>
            </w:r>
          </w:p>
        </w:tc>
        <w:tc>
          <w:tcPr>
            <w:tcW w:w="1428" w:type="dxa"/>
          </w:tcPr>
          <w:p>
            <w:pPr>
              <w:jc w:val="center"/>
              <w:rPr>
                <w:color w:val="auto"/>
                <w:sz w:val="21"/>
                <w:szCs w:val="21"/>
              </w:rPr>
            </w:pPr>
            <w:r>
              <w:rPr>
                <w:color w:val="auto"/>
                <w:sz w:val="21"/>
                <w:szCs w:val="21"/>
              </w:rPr>
              <w:t>250</w:t>
            </w:r>
          </w:p>
        </w:tc>
        <w:tc>
          <w:tcPr>
            <w:tcW w:w="1420" w:type="dxa"/>
          </w:tcPr>
          <w:p>
            <w:pPr>
              <w:jc w:val="center"/>
              <w:rPr>
                <w:color w:val="auto"/>
                <w:sz w:val="21"/>
                <w:szCs w:val="21"/>
              </w:rPr>
            </w:pPr>
            <w:r>
              <w:rPr>
                <w:color w:val="auto"/>
                <w:sz w:val="21"/>
                <w:szCs w:val="21"/>
              </w:rPr>
              <w:t>300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9070" w:type="dxa"/>
            <w:gridSpan w:val="7"/>
            <w:vAlign w:val="center"/>
          </w:tcPr>
          <w:p>
            <w:pPr>
              <w:rPr>
                <w:color w:val="auto"/>
                <w:sz w:val="21"/>
                <w:szCs w:val="21"/>
              </w:rPr>
            </w:pPr>
            <w:r>
              <w:rPr>
                <w:color w:val="auto"/>
                <w:sz w:val="21"/>
                <w:szCs w:val="21"/>
              </w:rPr>
              <w:t>注：</w:t>
            </w:r>
            <w:r>
              <w:rPr>
                <w:rFonts w:hint="eastAsia" w:ascii="宋体" w:hAnsi="宋体" w:cs="宋体"/>
                <w:color w:val="auto"/>
                <w:sz w:val="21"/>
                <w:szCs w:val="21"/>
              </w:rPr>
              <w:t>①</w:t>
            </w:r>
            <w:r>
              <w:rPr>
                <w:color w:val="auto"/>
                <w:sz w:val="21"/>
                <w:szCs w:val="21"/>
              </w:rPr>
              <w:t>重金属和类金属砷均按元素总量计。</w:t>
            </w:r>
          </w:p>
          <w:p>
            <w:pPr>
              <w:ind w:firstLine="420" w:firstLineChars="200"/>
              <w:rPr>
                <w:color w:val="auto"/>
                <w:sz w:val="21"/>
                <w:szCs w:val="21"/>
              </w:rPr>
            </w:pPr>
            <w:r>
              <w:rPr>
                <w:rFonts w:hint="eastAsia" w:ascii="宋体" w:hAnsi="宋体" w:cs="宋体"/>
                <w:color w:val="auto"/>
                <w:sz w:val="21"/>
                <w:szCs w:val="21"/>
              </w:rPr>
              <w:t>②</w:t>
            </w:r>
            <w:r>
              <w:rPr>
                <w:color w:val="auto"/>
                <w:sz w:val="21"/>
                <w:szCs w:val="21"/>
              </w:rPr>
              <w:t>对于水旱轮作地，采用其中较严格的风险筛选值。</w:t>
            </w:r>
          </w:p>
        </w:tc>
      </w:tr>
    </w:tbl>
    <w:p>
      <w:pPr>
        <w:pStyle w:val="298"/>
        <w:spacing w:before="42" w:after="42"/>
        <w:rPr>
          <w:color w:val="auto"/>
        </w:rPr>
      </w:pPr>
      <w:bookmarkStart w:id="217" w:name="_Toc14946832"/>
      <w:bookmarkStart w:id="218" w:name="_Toc19323"/>
      <w:bookmarkStart w:id="219" w:name="_Toc24136736"/>
      <w:bookmarkStart w:id="220" w:name="_Toc15912124"/>
      <w:bookmarkStart w:id="221" w:name="_Toc34234652"/>
      <w:r>
        <w:rPr>
          <w:color w:val="auto"/>
        </w:rPr>
        <w:t>2.8.2污染物排放标准</w:t>
      </w:r>
      <w:bookmarkEnd w:id="217"/>
      <w:bookmarkEnd w:id="218"/>
      <w:bookmarkEnd w:id="219"/>
      <w:bookmarkEnd w:id="220"/>
      <w:bookmarkEnd w:id="221"/>
    </w:p>
    <w:p>
      <w:pPr>
        <w:pStyle w:val="301"/>
        <w:rPr>
          <w:color w:val="auto"/>
        </w:rPr>
      </w:pPr>
      <w:r>
        <w:rPr>
          <w:color w:val="auto"/>
        </w:rPr>
        <w:t>2.8.2.1大气污染物排放标准</w:t>
      </w:r>
    </w:p>
    <w:p>
      <w:pPr>
        <w:spacing w:line="360" w:lineRule="auto"/>
        <w:ind w:firstLine="480"/>
        <w:jc w:val="both"/>
        <w:rPr>
          <w:color w:val="auto"/>
        </w:rPr>
      </w:pPr>
      <w:r>
        <w:rPr>
          <w:color w:val="auto"/>
        </w:rPr>
        <w:t>本项目</w:t>
      </w:r>
      <w:r>
        <w:rPr>
          <w:rFonts w:hint="eastAsia"/>
          <w:color w:val="auto"/>
        </w:rPr>
        <w:t>餐厨垃圾处理间脱臭装置排放的废气和</w:t>
      </w:r>
      <w:r>
        <w:rPr>
          <w:color w:val="auto"/>
        </w:rPr>
        <w:t>无组织排放的恶臭厂界标准值</w:t>
      </w:r>
      <w:r>
        <w:rPr>
          <w:rFonts w:hint="eastAsia"/>
          <w:color w:val="auto"/>
        </w:rPr>
        <w:t>分别</w:t>
      </w:r>
      <w:r>
        <w:rPr>
          <w:color w:val="auto"/>
        </w:rPr>
        <w:t>执行《恶臭污染物排放标准》（GB14554-93）中</w:t>
      </w:r>
      <w:r>
        <w:rPr>
          <w:rFonts w:hint="eastAsia"/>
          <w:color w:val="auto"/>
        </w:rPr>
        <w:t>表2恶臭污染物排放标准和表1</w:t>
      </w:r>
      <w:r>
        <w:rPr>
          <w:color w:val="auto"/>
        </w:rPr>
        <w:t>二级新扩改建标准，见下表。</w:t>
      </w:r>
    </w:p>
    <w:p>
      <w:pPr>
        <w:pStyle w:val="5"/>
        <w:ind w:firstLine="482"/>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2.8</w:t>
      </w:r>
      <w:r>
        <w:rPr>
          <w:b/>
          <w:color w:val="auto"/>
        </w:rPr>
        <w:fldChar w:fldCharType="end"/>
      </w:r>
      <w:r>
        <w:rPr>
          <w:b/>
          <w:color w:val="auto"/>
        </w:rPr>
        <w:noBreakHyphen/>
      </w:r>
      <w:r>
        <w:rPr>
          <w:rFonts w:hint="eastAsia"/>
          <w:b/>
          <w:color w:val="auto"/>
        </w:rPr>
        <w:t>7</w:t>
      </w:r>
      <w:r>
        <w:rPr>
          <w:b/>
          <w:color w:val="auto"/>
        </w:rPr>
        <w:t xml:space="preserve">  恶臭污染物</w:t>
      </w:r>
      <w:r>
        <w:rPr>
          <w:rFonts w:hint="eastAsia"/>
          <w:b/>
          <w:color w:val="auto"/>
        </w:rPr>
        <w:t>排放</w:t>
      </w:r>
      <w:r>
        <w:rPr>
          <w:b/>
          <w:color w:val="auto"/>
        </w:rPr>
        <w:t>标准值</w:t>
      </w:r>
    </w:p>
    <w:tbl>
      <w:tblPr>
        <w:tblStyle w:val="53"/>
        <w:tblW w:w="9286"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776"/>
        <w:gridCol w:w="2504"/>
        <w:gridCol w:w="2504"/>
        <w:gridCol w:w="250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725" w:hRule="atLeast"/>
          <w:tblHeader/>
          <w:jc w:val="center"/>
        </w:trPr>
        <w:tc>
          <w:tcPr>
            <w:tcW w:w="1776" w:type="dxa"/>
            <w:tcBorders>
              <w:top w:val="single" w:color="auto" w:sz="18" w:space="0"/>
            </w:tcBorders>
            <w:vAlign w:val="center"/>
          </w:tcPr>
          <w:p>
            <w:pPr>
              <w:jc w:val="center"/>
              <w:rPr>
                <w:b/>
                <w:color w:val="auto"/>
                <w:sz w:val="21"/>
                <w:szCs w:val="21"/>
              </w:rPr>
            </w:pPr>
            <w:r>
              <w:rPr>
                <w:b/>
                <w:color w:val="auto"/>
                <w:sz w:val="21"/>
                <w:szCs w:val="21"/>
              </w:rPr>
              <w:t>序号</w:t>
            </w:r>
          </w:p>
        </w:tc>
        <w:tc>
          <w:tcPr>
            <w:tcW w:w="2504" w:type="dxa"/>
            <w:tcBorders>
              <w:top w:val="single" w:color="auto" w:sz="18" w:space="0"/>
            </w:tcBorders>
            <w:vAlign w:val="center"/>
          </w:tcPr>
          <w:p>
            <w:pPr>
              <w:jc w:val="center"/>
              <w:rPr>
                <w:b/>
                <w:color w:val="auto"/>
                <w:sz w:val="21"/>
                <w:szCs w:val="21"/>
              </w:rPr>
            </w:pPr>
            <w:r>
              <w:rPr>
                <w:b/>
                <w:color w:val="auto"/>
                <w:sz w:val="21"/>
                <w:szCs w:val="21"/>
              </w:rPr>
              <w:t>控制项目</w:t>
            </w:r>
          </w:p>
        </w:tc>
        <w:tc>
          <w:tcPr>
            <w:tcW w:w="2504" w:type="dxa"/>
            <w:tcBorders>
              <w:top w:val="single" w:color="auto" w:sz="18" w:space="0"/>
            </w:tcBorders>
            <w:vAlign w:val="center"/>
          </w:tcPr>
          <w:p>
            <w:pPr>
              <w:jc w:val="center"/>
              <w:rPr>
                <w:b/>
                <w:color w:val="auto"/>
                <w:sz w:val="21"/>
                <w:szCs w:val="21"/>
              </w:rPr>
            </w:pPr>
            <w:r>
              <w:rPr>
                <w:rFonts w:hint="eastAsia"/>
                <w:b/>
                <w:color w:val="auto"/>
                <w:sz w:val="21"/>
                <w:szCs w:val="21"/>
              </w:rPr>
              <w:t>排气筒高度（m）</w:t>
            </w:r>
          </w:p>
        </w:tc>
        <w:tc>
          <w:tcPr>
            <w:tcW w:w="2502" w:type="dxa"/>
            <w:tcBorders>
              <w:top w:val="single" w:color="auto" w:sz="18" w:space="0"/>
            </w:tcBorders>
            <w:vAlign w:val="center"/>
          </w:tcPr>
          <w:p>
            <w:pPr>
              <w:jc w:val="center"/>
              <w:rPr>
                <w:b/>
                <w:color w:val="auto"/>
                <w:sz w:val="21"/>
                <w:szCs w:val="21"/>
              </w:rPr>
            </w:pPr>
            <w:r>
              <w:rPr>
                <w:rFonts w:hint="eastAsia"/>
                <w:b/>
                <w:color w:val="auto"/>
                <w:sz w:val="21"/>
                <w:szCs w:val="21"/>
              </w:rPr>
              <w:t>表2恶臭污染物排放标准值（</w:t>
            </w:r>
            <w:r>
              <w:rPr>
                <w:rFonts w:hint="eastAsia"/>
                <w:b/>
                <w:bCs/>
                <w:color w:val="auto"/>
                <w:sz w:val="21"/>
                <w:szCs w:val="21"/>
              </w:rPr>
              <w:t>kg</w:t>
            </w:r>
            <w:r>
              <w:rPr>
                <w:b/>
                <w:bCs/>
                <w:color w:val="auto"/>
                <w:sz w:val="21"/>
                <w:szCs w:val="21"/>
              </w:rPr>
              <w:t>/</w:t>
            </w:r>
            <w:r>
              <w:rPr>
                <w:rFonts w:hint="eastAsia"/>
                <w:b/>
                <w:bCs/>
                <w:color w:val="auto"/>
                <w:sz w:val="21"/>
                <w:szCs w:val="21"/>
              </w:rPr>
              <w:t>h</w:t>
            </w:r>
            <w:r>
              <w:rPr>
                <w:rFonts w:hint="eastAsia"/>
                <w:b/>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76" w:type="dxa"/>
            <w:vAlign w:val="center"/>
          </w:tcPr>
          <w:p>
            <w:pPr>
              <w:jc w:val="center"/>
              <w:rPr>
                <w:color w:val="auto"/>
                <w:sz w:val="21"/>
                <w:szCs w:val="21"/>
              </w:rPr>
            </w:pPr>
            <w:r>
              <w:rPr>
                <w:color w:val="auto"/>
                <w:sz w:val="21"/>
                <w:szCs w:val="21"/>
              </w:rPr>
              <w:t>1</w:t>
            </w:r>
          </w:p>
        </w:tc>
        <w:tc>
          <w:tcPr>
            <w:tcW w:w="2504" w:type="dxa"/>
            <w:vAlign w:val="center"/>
          </w:tcPr>
          <w:p>
            <w:pPr>
              <w:jc w:val="center"/>
              <w:rPr>
                <w:color w:val="auto"/>
                <w:sz w:val="21"/>
                <w:szCs w:val="21"/>
              </w:rPr>
            </w:pPr>
            <w:r>
              <w:rPr>
                <w:color w:val="auto"/>
                <w:sz w:val="21"/>
                <w:szCs w:val="21"/>
              </w:rPr>
              <w:t>氨</w:t>
            </w:r>
          </w:p>
        </w:tc>
        <w:tc>
          <w:tcPr>
            <w:tcW w:w="2504" w:type="dxa"/>
            <w:vAlign w:val="center"/>
          </w:tcPr>
          <w:p>
            <w:pPr>
              <w:jc w:val="center"/>
              <w:rPr>
                <w:color w:val="auto"/>
                <w:sz w:val="21"/>
                <w:szCs w:val="21"/>
              </w:rPr>
            </w:pPr>
            <w:r>
              <w:rPr>
                <w:rFonts w:hint="eastAsia"/>
                <w:color w:val="auto"/>
                <w:sz w:val="21"/>
                <w:szCs w:val="21"/>
              </w:rPr>
              <w:t>1</w:t>
            </w:r>
            <w:r>
              <w:rPr>
                <w:color w:val="auto"/>
                <w:sz w:val="21"/>
                <w:szCs w:val="21"/>
              </w:rPr>
              <w:t>5</w:t>
            </w:r>
          </w:p>
        </w:tc>
        <w:tc>
          <w:tcPr>
            <w:tcW w:w="2502" w:type="dxa"/>
            <w:vAlign w:val="center"/>
          </w:tcPr>
          <w:p>
            <w:pPr>
              <w:jc w:val="center"/>
              <w:rPr>
                <w:color w:val="auto"/>
                <w:sz w:val="21"/>
                <w:szCs w:val="21"/>
              </w:rPr>
            </w:pPr>
            <w:r>
              <w:rPr>
                <w:color w:val="auto"/>
                <w:sz w:val="21"/>
                <w:szCs w:val="21"/>
              </w:rPr>
              <w:t>4.9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76" w:type="dxa"/>
            <w:vAlign w:val="center"/>
          </w:tcPr>
          <w:p>
            <w:pPr>
              <w:jc w:val="center"/>
              <w:rPr>
                <w:color w:val="auto"/>
                <w:sz w:val="21"/>
                <w:szCs w:val="21"/>
              </w:rPr>
            </w:pPr>
            <w:r>
              <w:rPr>
                <w:color w:val="auto"/>
                <w:sz w:val="21"/>
                <w:szCs w:val="21"/>
              </w:rPr>
              <w:t>2</w:t>
            </w:r>
          </w:p>
        </w:tc>
        <w:tc>
          <w:tcPr>
            <w:tcW w:w="2504" w:type="dxa"/>
            <w:vAlign w:val="center"/>
          </w:tcPr>
          <w:p>
            <w:pPr>
              <w:jc w:val="center"/>
              <w:rPr>
                <w:color w:val="auto"/>
                <w:sz w:val="21"/>
                <w:szCs w:val="21"/>
              </w:rPr>
            </w:pPr>
            <w:r>
              <w:rPr>
                <w:rFonts w:hint="eastAsia"/>
                <w:color w:val="auto"/>
                <w:sz w:val="21"/>
                <w:szCs w:val="21"/>
              </w:rPr>
              <w:t>硫化氢</w:t>
            </w:r>
          </w:p>
        </w:tc>
        <w:tc>
          <w:tcPr>
            <w:tcW w:w="2504" w:type="dxa"/>
            <w:vAlign w:val="center"/>
          </w:tcPr>
          <w:p>
            <w:pPr>
              <w:jc w:val="center"/>
              <w:rPr>
                <w:color w:val="auto"/>
                <w:sz w:val="21"/>
                <w:szCs w:val="21"/>
              </w:rPr>
            </w:pPr>
            <w:r>
              <w:rPr>
                <w:rFonts w:hint="eastAsia"/>
                <w:color w:val="auto"/>
                <w:sz w:val="21"/>
                <w:szCs w:val="21"/>
              </w:rPr>
              <w:t>1</w:t>
            </w:r>
            <w:r>
              <w:rPr>
                <w:color w:val="auto"/>
                <w:sz w:val="21"/>
                <w:szCs w:val="21"/>
              </w:rPr>
              <w:t>5</w:t>
            </w:r>
          </w:p>
        </w:tc>
        <w:tc>
          <w:tcPr>
            <w:tcW w:w="2502" w:type="dxa"/>
            <w:vAlign w:val="center"/>
          </w:tcPr>
          <w:p>
            <w:pPr>
              <w:jc w:val="center"/>
              <w:rPr>
                <w:color w:val="auto"/>
                <w:sz w:val="21"/>
                <w:szCs w:val="21"/>
              </w:rPr>
            </w:pPr>
            <w:r>
              <w:rPr>
                <w:color w:val="auto"/>
                <w:sz w:val="21"/>
                <w:szCs w:val="21"/>
              </w:rPr>
              <w:t>0.33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76" w:type="dxa"/>
            <w:vAlign w:val="center"/>
          </w:tcPr>
          <w:p>
            <w:pPr>
              <w:jc w:val="center"/>
              <w:rPr>
                <w:rFonts w:hint="eastAsia" w:eastAsia="宋体"/>
                <w:color w:val="auto"/>
                <w:sz w:val="21"/>
                <w:szCs w:val="21"/>
                <w:lang w:val="en-US" w:eastAsia="zh-CN"/>
              </w:rPr>
            </w:pPr>
            <w:r>
              <w:rPr>
                <w:rFonts w:hint="eastAsia"/>
                <w:color w:val="auto"/>
                <w:sz w:val="21"/>
                <w:szCs w:val="21"/>
                <w:lang w:val="en-US" w:eastAsia="zh-CN"/>
              </w:rPr>
              <w:t>3</w:t>
            </w:r>
          </w:p>
        </w:tc>
        <w:tc>
          <w:tcPr>
            <w:tcW w:w="2504" w:type="dxa"/>
            <w:vAlign w:val="center"/>
          </w:tcPr>
          <w:p>
            <w:pPr>
              <w:jc w:val="center"/>
              <w:rPr>
                <w:rFonts w:hint="eastAsia" w:eastAsia="宋体"/>
                <w:color w:val="auto"/>
                <w:sz w:val="21"/>
                <w:szCs w:val="21"/>
                <w:lang w:eastAsia="zh-CN"/>
              </w:rPr>
            </w:pPr>
            <w:r>
              <w:rPr>
                <w:rFonts w:hint="eastAsia"/>
                <w:color w:val="auto"/>
                <w:sz w:val="21"/>
                <w:szCs w:val="21"/>
                <w:lang w:eastAsia="zh-CN"/>
              </w:rPr>
              <w:t>臭气</w:t>
            </w:r>
          </w:p>
        </w:tc>
        <w:tc>
          <w:tcPr>
            <w:tcW w:w="2504" w:type="dxa"/>
            <w:vAlign w:val="center"/>
          </w:tcPr>
          <w:p>
            <w:pPr>
              <w:jc w:val="center"/>
              <w:rPr>
                <w:rFonts w:hint="eastAsia" w:eastAsia="宋体"/>
                <w:color w:val="auto"/>
                <w:sz w:val="21"/>
                <w:szCs w:val="21"/>
                <w:lang w:val="en-US" w:eastAsia="zh-CN"/>
              </w:rPr>
            </w:pPr>
            <w:r>
              <w:rPr>
                <w:rFonts w:hint="eastAsia"/>
                <w:color w:val="auto"/>
                <w:sz w:val="21"/>
                <w:szCs w:val="21"/>
                <w:lang w:val="en-US" w:eastAsia="zh-CN"/>
              </w:rPr>
              <w:t>15</w:t>
            </w:r>
          </w:p>
        </w:tc>
        <w:tc>
          <w:tcPr>
            <w:tcW w:w="2502" w:type="dxa"/>
            <w:vAlign w:val="center"/>
          </w:tcPr>
          <w:p>
            <w:pPr>
              <w:jc w:val="center"/>
              <w:rPr>
                <w:rFonts w:hint="eastAsia" w:eastAsia="宋体"/>
                <w:color w:val="auto"/>
                <w:sz w:val="21"/>
                <w:szCs w:val="21"/>
                <w:lang w:val="en-US" w:eastAsia="zh-CN"/>
              </w:rPr>
            </w:pPr>
            <w:r>
              <w:rPr>
                <w:rFonts w:hint="eastAsia"/>
                <w:color w:val="auto"/>
                <w:sz w:val="21"/>
                <w:szCs w:val="21"/>
                <w:lang w:val="en-US" w:eastAsia="zh-CN"/>
              </w:rPr>
              <w:t>2000（无量纲）</w:t>
            </w:r>
          </w:p>
        </w:tc>
      </w:tr>
    </w:tbl>
    <w:p>
      <w:pPr>
        <w:pStyle w:val="5"/>
        <w:ind w:firstLine="482"/>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2.8</w:t>
      </w:r>
      <w:r>
        <w:rPr>
          <w:b/>
          <w:color w:val="auto"/>
        </w:rPr>
        <w:fldChar w:fldCharType="end"/>
      </w:r>
      <w:r>
        <w:rPr>
          <w:b/>
          <w:color w:val="auto"/>
        </w:rPr>
        <w:noBreakHyphen/>
      </w:r>
      <w:r>
        <w:rPr>
          <w:rFonts w:hint="eastAsia"/>
          <w:b/>
          <w:color w:val="auto"/>
        </w:rPr>
        <w:t xml:space="preserve">8 </w:t>
      </w:r>
      <w:r>
        <w:rPr>
          <w:b/>
          <w:color w:val="auto"/>
        </w:rPr>
        <w:t xml:space="preserve">  恶臭污染物厂界标准值</w:t>
      </w:r>
    </w:p>
    <w:tbl>
      <w:tblPr>
        <w:tblStyle w:val="53"/>
        <w:tblW w:w="9286"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772"/>
        <w:gridCol w:w="2505"/>
        <w:gridCol w:w="2505"/>
        <w:gridCol w:w="250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725" w:hRule="atLeast"/>
          <w:tblHeader/>
          <w:jc w:val="center"/>
        </w:trPr>
        <w:tc>
          <w:tcPr>
            <w:tcW w:w="1772" w:type="dxa"/>
            <w:tcBorders>
              <w:top w:val="single" w:color="auto" w:sz="18" w:space="0"/>
            </w:tcBorders>
            <w:vAlign w:val="center"/>
          </w:tcPr>
          <w:p>
            <w:pPr>
              <w:jc w:val="center"/>
              <w:rPr>
                <w:b/>
                <w:color w:val="auto"/>
                <w:sz w:val="21"/>
                <w:szCs w:val="21"/>
              </w:rPr>
            </w:pPr>
            <w:r>
              <w:rPr>
                <w:b/>
                <w:color w:val="auto"/>
                <w:sz w:val="21"/>
                <w:szCs w:val="21"/>
              </w:rPr>
              <w:t>序号</w:t>
            </w:r>
          </w:p>
        </w:tc>
        <w:tc>
          <w:tcPr>
            <w:tcW w:w="2505" w:type="dxa"/>
            <w:tcBorders>
              <w:top w:val="single" w:color="auto" w:sz="18" w:space="0"/>
            </w:tcBorders>
            <w:vAlign w:val="center"/>
          </w:tcPr>
          <w:p>
            <w:pPr>
              <w:jc w:val="center"/>
              <w:rPr>
                <w:b/>
                <w:color w:val="auto"/>
                <w:sz w:val="21"/>
                <w:szCs w:val="21"/>
              </w:rPr>
            </w:pPr>
            <w:r>
              <w:rPr>
                <w:b/>
                <w:color w:val="auto"/>
                <w:sz w:val="21"/>
                <w:szCs w:val="21"/>
              </w:rPr>
              <w:t>控制项目</w:t>
            </w:r>
          </w:p>
        </w:tc>
        <w:tc>
          <w:tcPr>
            <w:tcW w:w="2505" w:type="dxa"/>
            <w:tcBorders>
              <w:top w:val="single" w:color="auto" w:sz="18" w:space="0"/>
            </w:tcBorders>
            <w:vAlign w:val="center"/>
          </w:tcPr>
          <w:p>
            <w:pPr>
              <w:jc w:val="center"/>
              <w:rPr>
                <w:b/>
                <w:color w:val="auto"/>
                <w:sz w:val="21"/>
                <w:szCs w:val="21"/>
              </w:rPr>
            </w:pPr>
            <w:r>
              <w:rPr>
                <w:b/>
                <w:color w:val="auto"/>
                <w:sz w:val="21"/>
                <w:szCs w:val="21"/>
              </w:rPr>
              <w:t>单位</w:t>
            </w:r>
          </w:p>
        </w:tc>
        <w:tc>
          <w:tcPr>
            <w:tcW w:w="2504" w:type="dxa"/>
            <w:tcBorders>
              <w:top w:val="single" w:color="auto" w:sz="18" w:space="0"/>
            </w:tcBorders>
            <w:vAlign w:val="center"/>
          </w:tcPr>
          <w:p>
            <w:pPr>
              <w:jc w:val="center"/>
              <w:rPr>
                <w:b/>
                <w:color w:val="auto"/>
                <w:sz w:val="21"/>
                <w:szCs w:val="21"/>
              </w:rPr>
            </w:pPr>
            <w:r>
              <w:rPr>
                <w:rFonts w:hint="eastAsia"/>
                <w:b/>
                <w:color w:val="auto"/>
                <w:sz w:val="21"/>
                <w:szCs w:val="21"/>
              </w:rPr>
              <w:t>表1</w:t>
            </w:r>
            <w:r>
              <w:rPr>
                <w:b/>
                <w:color w:val="auto"/>
                <w:sz w:val="21"/>
                <w:szCs w:val="21"/>
              </w:rPr>
              <w:t>二级新扩改建标准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72" w:type="dxa"/>
            <w:vAlign w:val="center"/>
          </w:tcPr>
          <w:p>
            <w:pPr>
              <w:jc w:val="center"/>
              <w:rPr>
                <w:color w:val="auto"/>
                <w:sz w:val="21"/>
                <w:szCs w:val="21"/>
              </w:rPr>
            </w:pPr>
            <w:r>
              <w:rPr>
                <w:color w:val="auto"/>
                <w:sz w:val="21"/>
                <w:szCs w:val="21"/>
              </w:rPr>
              <w:t>1</w:t>
            </w:r>
          </w:p>
        </w:tc>
        <w:tc>
          <w:tcPr>
            <w:tcW w:w="2505" w:type="dxa"/>
            <w:vAlign w:val="center"/>
          </w:tcPr>
          <w:p>
            <w:pPr>
              <w:jc w:val="center"/>
              <w:rPr>
                <w:color w:val="auto"/>
                <w:sz w:val="21"/>
                <w:szCs w:val="21"/>
              </w:rPr>
            </w:pPr>
            <w:r>
              <w:rPr>
                <w:color w:val="auto"/>
                <w:sz w:val="21"/>
                <w:szCs w:val="21"/>
              </w:rPr>
              <w:t>氨</w:t>
            </w:r>
          </w:p>
        </w:tc>
        <w:tc>
          <w:tcPr>
            <w:tcW w:w="2505" w:type="dxa"/>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2504" w:type="dxa"/>
            <w:vAlign w:val="center"/>
          </w:tcPr>
          <w:p>
            <w:pPr>
              <w:jc w:val="center"/>
              <w:rPr>
                <w:color w:val="auto"/>
                <w:sz w:val="21"/>
                <w:szCs w:val="21"/>
              </w:rPr>
            </w:pPr>
            <w:r>
              <w:rPr>
                <w:color w:val="auto"/>
                <w:sz w:val="21"/>
                <w:szCs w:val="21"/>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72" w:type="dxa"/>
            <w:vAlign w:val="center"/>
          </w:tcPr>
          <w:p>
            <w:pPr>
              <w:jc w:val="center"/>
              <w:rPr>
                <w:color w:val="auto"/>
                <w:sz w:val="21"/>
                <w:szCs w:val="21"/>
              </w:rPr>
            </w:pPr>
            <w:r>
              <w:rPr>
                <w:color w:val="auto"/>
                <w:sz w:val="21"/>
                <w:szCs w:val="21"/>
              </w:rPr>
              <w:t>2</w:t>
            </w:r>
          </w:p>
        </w:tc>
        <w:tc>
          <w:tcPr>
            <w:tcW w:w="2505" w:type="dxa"/>
            <w:vAlign w:val="center"/>
          </w:tcPr>
          <w:p>
            <w:pPr>
              <w:jc w:val="center"/>
              <w:rPr>
                <w:color w:val="auto"/>
                <w:sz w:val="21"/>
                <w:szCs w:val="21"/>
              </w:rPr>
            </w:pPr>
            <w:r>
              <w:rPr>
                <w:color w:val="auto"/>
                <w:sz w:val="21"/>
                <w:szCs w:val="21"/>
              </w:rPr>
              <w:t>三甲胺</w:t>
            </w:r>
          </w:p>
        </w:tc>
        <w:tc>
          <w:tcPr>
            <w:tcW w:w="2505" w:type="dxa"/>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2504" w:type="dxa"/>
            <w:vAlign w:val="center"/>
          </w:tcPr>
          <w:p>
            <w:pPr>
              <w:jc w:val="center"/>
              <w:rPr>
                <w:color w:val="auto"/>
                <w:sz w:val="21"/>
                <w:szCs w:val="21"/>
              </w:rPr>
            </w:pPr>
            <w:r>
              <w:rPr>
                <w:color w:val="auto"/>
                <w:sz w:val="21"/>
                <w:szCs w:val="21"/>
              </w:rPr>
              <w:t>0.08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72" w:type="dxa"/>
            <w:vAlign w:val="center"/>
          </w:tcPr>
          <w:p>
            <w:pPr>
              <w:jc w:val="center"/>
              <w:rPr>
                <w:color w:val="auto"/>
                <w:sz w:val="21"/>
                <w:szCs w:val="21"/>
              </w:rPr>
            </w:pPr>
            <w:r>
              <w:rPr>
                <w:color w:val="auto"/>
                <w:sz w:val="21"/>
                <w:szCs w:val="21"/>
              </w:rPr>
              <w:t>3</w:t>
            </w:r>
          </w:p>
        </w:tc>
        <w:tc>
          <w:tcPr>
            <w:tcW w:w="2505" w:type="dxa"/>
            <w:vAlign w:val="center"/>
          </w:tcPr>
          <w:p>
            <w:pPr>
              <w:jc w:val="center"/>
              <w:rPr>
                <w:color w:val="auto"/>
                <w:sz w:val="21"/>
                <w:szCs w:val="21"/>
              </w:rPr>
            </w:pPr>
            <w:r>
              <w:rPr>
                <w:color w:val="auto"/>
                <w:sz w:val="21"/>
                <w:szCs w:val="21"/>
              </w:rPr>
              <w:t>硫化氢</w:t>
            </w:r>
          </w:p>
        </w:tc>
        <w:tc>
          <w:tcPr>
            <w:tcW w:w="2505" w:type="dxa"/>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2504" w:type="dxa"/>
            <w:vAlign w:val="center"/>
          </w:tcPr>
          <w:p>
            <w:pPr>
              <w:jc w:val="center"/>
              <w:rPr>
                <w:color w:val="auto"/>
                <w:sz w:val="21"/>
                <w:szCs w:val="21"/>
              </w:rPr>
            </w:pPr>
            <w:r>
              <w:rPr>
                <w:color w:val="auto"/>
                <w:sz w:val="21"/>
                <w:szCs w:val="21"/>
              </w:rPr>
              <w:t>0.06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72" w:type="dxa"/>
            <w:vAlign w:val="center"/>
          </w:tcPr>
          <w:p>
            <w:pPr>
              <w:jc w:val="center"/>
              <w:rPr>
                <w:color w:val="auto"/>
                <w:sz w:val="21"/>
                <w:szCs w:val="21"/>
              </w:rPr>
            </w:pPr>
            <w:r>
              <w:rPr>
                <w:color w:val="auto"/>
                <w:sz w:val="21"/>
                <w:szCs w:val="21"/>
              </w:rPr>
              <w:t>4</w:t>
            </w:r>
          </w:p>
        </w:tc>
        <w:tc>
          <w:tcPr>
            <w:tcW w:w="2505" w:type="dxa"/>
            <w:vAlign w:val="center"/>
          </w:tcPr>
          <w:p>
            <w:pPr>
              <w:jc w:val="center"/>
              <w:rPr>
                <w:color w:val="auto"/>
                <w:sz w:val="21"/>
                <w:szCs w:val="21"/>
              </w:rPr>
            </w:pPr>
            <w:r>
              <w:rPr>
                <w:color w:val="auto"/>
                <w:sz w:val="21"/>
                <w:szCs w:val="21"/>
              </w:rPr>
              <w:t>甲硫醇</w:t>
            </w:r>
          </w:p>
        </w:tc>
        <w:tc>
          <w:tcPr>
            <w:tcW w:w="2505" w:type="dxa"/>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2504" w:type="dxa"/>
            <w:vAlign w:val="center"/>
          </w:tcPr>
          <w:p>
            <w:pPr>
              <w:jc w:val="center"/>
              <w:rPr>
                <w:color w:val="auto"/>
                <w:sz w:val="21"/>
                <w:szCs w:val="21"/>
              </w:rPr>
            </w:pPr>
            <w:r>
              <w:rPr>
                <w:color w:val="auto"/>
                <w:sz w:val="21"/>
                <w:szCs w:val="21"/>
              </w:rPr>
              <w:t>0.007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72" w:type="dxa"/>
            <w:vAlign w:val="center"/>
          </w:tcPr>
          <w:p>
            <w:pPr>
              <w:jc w:val="center"/>
              <w:rPr>
                <w:color w:val="auto"/>
                <w:sz w:val="21"/>
                <w:szCs w:val="21"/>
              </w:rPr>
            </w:pPr>
            <w:r>
              <w:rPr>
                <w:color w:val="auto"/>
                <w:sz w:val="21"/>
                <w:szCs w:val="21"/>
              </w:rPr>
              <w:t>5</w:t>
            </w:r>
          </w:p>
        </w:tc>
        <w:tc>
          <w:tcPr>
            <w:tcW w:w="2505" w:type="dxa"/>
            <w:vAlign w:val="center"/>
          </w:tcPr>
          <w:p>
            <w:pPr>
              <w:jc w:val="center"/>
              <w:rPr>
                <w:color w:val="auto"/>
                <w:sz w:val="21"/>
                <w:szCs w:val="21"/>
              </w:rPr>
            </w:pPr>
            <w:r>
              <w:rPr>
                <w:color w:val="auto"/>
                <w:sz w:val="21"/>
                <w:szCs w:val="21"/>
              </w:rPr>
              <w:t>甲硫醚</w:t>
            </w:r>
          </w:p>
        </w:tc>
        <w:tc>
          <w:tcPr>
            <w:tcW w:w="2505" w:type="dxa"/>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2504" w:type="dxa"/>
            <w:vAlign w:val="center"/>
          </w:tcPr>
          <w:p>
            <w:pPr>
              <w:jc w:val="center"/>
              <w:rPr>
                <w:color w:val="auto"/>
                <w:sz w:val="21"/>
                <w:szCs w:val="21"/>
              </w:rPr>
            </w:pPr>
            <w:r>
              <w:rPr>
                <w:color w:val="auto"/>
                <w:sz w:val="21"/>
                <w:szCs w:val="21"/>
              </w:rPr>
              <w:t>0.07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72" w:type="dxa"/>
            <w:vAlign w:val="center"/>
          </w:tcPr>
          <w:p>
            <w:pPr>
              <w:jc w:val="center"/>
              <w:rPr>
                <w:color w:val="auto"/>
                <w:sz w:val="21"/>
                <w:szCs w:val="21"/>
              </w:rPr>
            </w:pPr>
            <w:r>
              <w:rPr>
                <w:color w:val="auto"/>
                <w:sz w:val="21"/>
                <w:szCs w:val="21"/>
              </w:rPr>
              <w:t>6</w:t>
            </w:r>
          </w:p>
        </w:tc>
        <w:tc>
          <w:tcPr>
            <w:tcW w:w="2505" w:type="dxa"/>
            <w:vAlign w:val="center"/>
          </w:tcPr>
          <w:p>
            <w:pPr>
              <w:jc w:val="center"/>
              <w:rPr>
                <w:color w:val="auto"/>
                <w:sz w:val="21"/>
                <w:szCs w:val="21"/>
              </w:rPr>
            </w:pPr>
            <w:r>
              <w:rPr>
                <w:color w:val="auto"/>
                <w:sz w:val="21"/>
                <w:szCs w:val="21"/>
              </w:rPr>
              <w:t>二甲二硫</w:t>
            </w:r>
          </w:p>
        </w:tc>
        <w:tc>
          <w:tcPr>
            <w:tcW w:w="2505" w:type="dxa"/>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2504" w:type="dxa"/>
            <w:vAlign w:val="center"/>
          </w:tcPr>
          <w:p>
            <w:pPr>
              <w:jc w:val="center"/>
              <w:rPr>
                <w:color w:val="auto"/>
                <w:sz w:val="21"/>
                <w:szCs w:val="21"/>
              </w:rPr>
            </w:pPr>
            <w:r>
              <w:rPr>
                <w:color w:val="auto"/>
                <w:sz w:val="21"/>
                <w:szCs w:val="21"/>
              </w:rPr>
              <w:t>0.06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72" w:type="dxa"/>
            <w:vAlign w:val="center"/>
          </w:tcPr>
          <w:p>
            <w:pPr>
              <w:jc w:val="center"/>
              <w:rPr>
                <w:color w:val="auto"/>
                <w:sz w:val="21"/>
                <w:szCs w:val="21"/>
              </w:rPr>
            </w:pPr>
            <w:r>
              <w:rPr>
                <w:color w:val="auto"/>
                <w:sz w:val="21"/>
                <w:szCs w:val="21"/>
              </w:rPr>
              <w:t>7</w:t>
            </w:r>
          </w:p>
        </w:tc>
        <w:tc>
          <w:tcPr>
            <w:tcW w:w="2505" w:type="dxa"/>
            <w:vAlign w:val="center"/>
          </w:tcPr>
          <w:p>
            <w:pPr>
              <w:jc w:val="center"/>
              <w:rPr>
                <w:color w:val="auto"/>
                <w:sz w:val="21"/>
                <w:szCs w:val="21"/>
              </w:rPr>
            </w:pPr>
            <w:r>
              <w:rPr>
                <w:color w:val="auto"/>
                <w:sz w:val="21"/>
                <w:szCs w:val="21"/>
              </w:rPr>
              <w:t>二硫化碳</w:t>
            </w:r>
          </w:p>
        </w:tc>
        <w:tc>
          <w:tcPr>
            <w:tcW w:w="2505" w:type="dxa"/>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2504" w:type="dxa"/>
            <w:vAlign w:val="center"/>
          </w:tcPr>
          <w:p>
            <w:pPr>
              <w:jc w:val="center"/>
              <w:rPr>
                <w:color w:val="auto"/>
                <w:sz w:val="21"/>
                <w:szCs w:val="21"/>
              </w:rPr>
            </w:pPr>
            <w:r>
              <w:rPr>
                <w:color w:val="auto"/>
                <w:sz w:val="21"/>
                <w:szCs w:val="21"/>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72" w:type="dxa"/>
            <w:vAlign w:val="center"/>
          </w:tcPr>
          <w:p>
            <w:pPr>
              <w:jc w:val="center"/>
              <w:rPr>
                <w:color w:val="auto"/>
                <w:sz w:val="21"/>
                <w:szCs w:val="21"/>
              </w:rPr>
            </w:pPr>
            <w:r>
              <w:rPr>
                <w:color w:val="auto"/>
                <w:sz w:val="21"/>
                <w:szCs w:val="21"/>
              </w:rPr>
              <w:t>8</w:t>
            </w:r>
          </w:p>
        </w:tc>
        <w:tc>
          <w:tcPr>
            <w:tcW w:w="2505" w:type="dxa"/>
            <w:vAlign w:val="center"/>
          </w:tcPr>
          <w:p>
            <w:pPr>
              <w:jc w:val="center"/>
              <w:rPr>
                <w:color w:val="auto"/>
                <w:sz w:val="21"/>
                <w:szCs w:val="21"/>
              </w:rPr>
            </w:pPr>
            <w:r>
              <w:rPr>
                <w:color w:val="auto"/>
                <w:sz w:val="21"/>
                <w:szCs w:val="21"/>
              </w:rPr>
              <w:t>苯乙烯</w:t>
            </w:r>
          </w:p>
        </w:tc>
        <w:tc>
          <w:tcPr>
            <w:tcW w:w="2505" w:type="dxa"/>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2504" w:type="dxa"/>
            <w:vAlign w:val="center"/>
          </w:tcPr>
          <w:p>
            <w:pPr>
              <w:jc w:val="center"/>
              <w:rPr>
                <w:color w:val="auto"/>
                <w:sz w:val="21"/>
                <w:szCs w:val="21"/>
              </w:rPr>
            </w:pPr>
            <w:r>
              <w:rPr>
                <w:color w:val="auto"/>
                <w:sz w:val="21"/>
                <w:szCs w:val="21"/>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772" w:type="dxa"/>
            <w:tcBorders>
              <w:bottom w:val="single" w:color="auto" w:sz="18" w:space="0"/>
            </w:tcBorders>
            <w:vAlign w:val="center"/>
          </w:tcPr>
          <w:p>
            <w:pPr>
              <w:jc w:val="center"/>
              <w:rPr>
                <w:color w:val="auto"/>
                <w:sz w:val="21"/>
                <w:szCs w:val="21"/>
              </w:rPr>
            </w:pPr>
            <w:r>
              <w:rPr>
                <w:color w:val="auto"/>
                <w:sz w:val="21"/>
                <w:szCs w:val="21"/>
              </w:rPr>
              <w:t>9</w:t>
            </w:r>
          </w:p>
        </w:tc>
        <w:tc>
          <w:tcPr>
            <w:tcW w:w="2505" w:type="dxa"/>
            <w:tcBorders>
              <w:bottom w:val="single" w:color="auto" w:sz="18" w:space="0"/>
            </w:tcBorders>
            <w:vAlign w:val="center"/>
          </w:tcPr>
          <w:p>
            <w:pPr>
              <w:jc w:val="center"/>
              <w:rPr>
                <w:color w:val="auto"/>
                <w:sz w:val="21"/>
                <w:szCs w:val="21"/>
              </w:rPr>
            </w:pPr>
            <w:r>
              <w:rPr>
                <w:color w:val="auto"/>
                <w:sz w:val="21"/>
                <w:szCs w:val="21"/>
              </w:rPr>
              <w:t>臭气浓度</w:t>
            </w:r>
          </w:p>
        </w:tc>
        <w:tc>
          <w:tcPr>
            <w:tcW w:w="2505" w:type="dxa"/>
            <w:tcBorders>
              <w:bottom w:val="single" w:color="auto" w:sz="18" w:space="0"/>
            </w:tcBorders>
            <w:vAlign w:val="center"/>
          </w:tcPr>
          <w:p>
            <w:pPr>
              <w:jc w:val="center"/>
              <w:rPr>
                <w:color w:val="auto"/>
                <w:sz w:val="21"/>
                <w:szCs w:val="21"/>
              </w:rPr>
            </w:pPr>
            <w:r>
              <w:rPr>
                <w:color w:val="auto"/>
                <w:sz w:val="21"/>
                <w:szCs w:val="21"/>
              </w:rPr>
              <w:t>无量纲</w:t>
            </w:r>
          </w:p>
        </w:tc>
        <w:tc>
          <w:tcPr>
            <w:tcW w:w="2504" w:type="dxa"/>
            <w:tcBorders>
              <w:bottom w:val="single" w:color="auto" w:sz="18" w:space="0"/>
            </w:tcBorders>
            <w:vAlign w:val="center"/>
          </w:tcPr>
          <w:p>
            <w:pPr>
              <w:jc w:val="center"/>
              <w:rPr>
                <w:color w:val="auto"/>
                <w:sz w:val="21"/>
                <w:szCs w:val="21"/>
              </w:rPr>
            </w:pPr>
            <w:r>
              <w:rPr>
                <w:color w:val="auto"/>
                <w:sz w:val="21"/>
                <w:szCs w:val="21"/>
              </w:rPr>
              <w:t>20</w:t>
            </w:r>
          </w:p>
        </w:tc>
      </w:tr>
    </w:tbl>
    <w:p>
      <w:pPr>
        <w:spacing w:line="360" w:lineRule="auto"/>
        <w:ind w:firstLine="480"/>
        <w:jc w:val="both"/>
        <w:rPr>
          <w:color w:val="auto"/>
        </w:rPr>
      </w:pPr>
      <w:r>
        <w:rPr>
          <w:rFonts w:hint="eastAsia"/>
          <w:color w:val="auto"/>
        </w:rPr>
        <w:t>建筑垃圾消纳场扬尘废气</w:t>
      </w:r>
      <w:r>
        <w:rPr>
          <w:color w:val="auto"/>
        </w:rPr>
        <w:t>执行广东省《大气污染物排放限值》（DB44/T27-2001）第二时段</w:t>
      </w:r>
      <w:r>
        <w:rPr>
          <w:rFonts w:hint="eastAsia"/>
          <w:color w:val="auto"/>
        </w:rPr>
        <w:t>无组织排放监控浓度限值</w:t>
      </w:r>
      <w:r>
        <w:rPr>
          <w:color w:val="auto"/>
        </w:rPr>
        <w:t>，具体见下表。</w:t>
      </w:r>
    </w:p>
    <w:p>
      <w:pPr>
        <w:pStyle w:val="5"/>
        <w:ind w:firstLine="482"/>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2.8</w:t>
      </w:r>
      <w:r>
        <w:rPr>
          <w:b/>
          <w:color w:val="auto"/>
        </w:rPr>
        <w:fldChar w:fldCharType="end"/>
      </w:r>
      <w:r>
        <w:rPr>
          <w:b/>
          <w:color w:val="auto"/>
        </w:rPr>
        <w:noBreakHyphen/>
      </w:r>
      <w:r>
        <w:rPr>
          <w:rFonts w:hint="eastAsia"/>
          <w:b/>
          <w:color w:val="auto"/>
        </w:rPr>
        <w:t>9</w:t>
      </w:r>
      <w:r>
        <w:rPr>
          <w:b/>
          <w:color w:val="auto"/>
        </w:rPr>
        <w:t xml:space="preserve">  </w:t>
      </w:r>
      <w:r>
        <w:rPr>
          <w:rFonts w:hint="eastAsia"/>
          <w:b/>
          <w:color w:val="auto"/>
        </w:rPr>
        <w:t>扬尘</w:t>
      </w:r>
      <w:r>
        <w:rPr>
          <w:b/>
          <w:color w:val="auto"/>
        </w:rPr>
        <w:t>废气排放标准</w:t>
      </w:r>
    </w:p>
    <w:tbl>
      <w:tblPr>
        <w:tblStyle w:val="53"/>
        <w:tblW w:w="9286"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15"/>
        <w:gridCol w:w="1358"/>
        <w:gridCol w:w="3993"/>
        <w:gridCol w:w="312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547" w:hRule="atLeast"/>
          <w:tblHeader/>
          <w:jc w:val="center"/>
        </w:trPr>
        <w:tc>
          <w:tcPr>
            <w:tcW w:w="815" w:type="dxa"/>
            <w:tcBorders>
              <w:top w:val="single" w:color="auto" w:sz="18" w:space="0"/>
            </w:tcBorders>
            <w:vAlign w:val="center"/>
          </w:tcPr>
          <w:p>
            <w:pPr>
              <w:jc w:val="center"/>
              <w:rPr>
                <w:b/>
                <w:color w:val="auto"/>
                <w:sz w:val="21"/>
                <w:szCs w:val="21"/>
              </w:rPr>
            </w:pPr>
            <w:r>
              <w:rPr>
                <w:b/>
                <w:color w:val="auto"/>
                <w:sz w:val="21"/>
                <w:szCs w:val="21"/>
              </w:rPr>
              <w:t>序号</w:t>
            </w:r>
          </w:p>
        </w:tc>
        <w:tc>
          <w:tcPr>
            <w:tcW w:w="1358" w:type="dxa"/>
            <w:tcBorders>
              <w:top w:val="single" w:color="auto" w:sz="18" w:space="0"/>
            </w:tcBorders>
            <w:vAlign w:val="center"/>
          </w:tcPr>
          <w:p>
            <w:pPr>
              <w:jc w:val="center"/>
              <w:rPr>
                <w:b/>
                <w:color w:val="auto"/>
                <w:sz w:val="21"/>
                <w:szCs w:val="21"/>
              </w:rPr>
            </w:pPr>
            <w:r>
              <w:rPr>
                <w:b/>
                <w:color w:val="auto"/>
                <w:sz w:val="21"/>
                <w:szCs w:val="21"/>
              </w:rPr>
              <w:t>控制项目</w:t>
            </w:r>
          </w:p>
        </w:tc>
        <w:tc>
          <w:tcPr>
            <w:tcW w:w="3993" w:type="dxa"/>
            <w:tcBorders>
              <w:top w:val="single" w:color="auto" w:sz="18" w:space="0"/>
            </w:tcBorders>
            <w:vAlign w:val="center"/>
          </w:tcPr>
          <w:p>
            <w:pPr>
              <w:jc w:val="center"/>
              <w:rPr>
                <w:b/>
                <w:color w:val="auto"/>
                <w:sz w:val="21"/>
                <w:szCs w:val="21"/>
              </w:rPr>
            </w:pPr>
            <w:r>
              <w:rPr>
                <w:rFonts w:hint="eastAsia"/>
                <w:b/>
                <w:color w:val="auto"/>
                <w:sz w:val="21"/>
                <w:szCs w:val="21"/>
              </w:rPr>
              <w:t>监控点</w:t>
            </w:r>
          </w:p>
        </w:tc>
        <w:tc>
          <w:tcPr>
            <w:tcW w:w="3120" w:type="dxa"/>
            <w:tcBorders>
              <w:top w:val="single" w:color="auto" w:sz="18" w:space="0"/>
            </w:tcBorders>
            <w:vAlign w:val="center"/>
          </w:tcPr>
          <w:p>
            <w:pPr>
              <w:jc w:val="center"/>
              <w:rPr>
                <w:color w:val="auto"/>
                <w:sz w:val="21"/>
                <w:szCs w:val="21"/>
              </w:rPr>
            </w:pPr>
            <w:r>
              <w:rPr>
                <w:b/>
                <w:color w:val="auto"/>
                <w:sz w:val="21"/>
                <w:szCs w:val="21"/>
              </w:rPr>
              <w:t>最高允许排放浓度</w:t>
            </w:r>
            <w:r>
              <w:rPr>
                <w:rFonts w:hint="eastAsia"/>
                <w:b/>
                <w:color w:val="auto"/>
                <w:sz w:val="21"/>
                <w:szCs w:val="21"/>
              </w:rPr>
              <w:t>(</w:t>
            </w:r>
            <w:r>
              <w:rPr>
                <w:b/>
                <w:color w:val="auto"/>
                <w:sz w:val="21"/>
                <w:szCs w:val="21"/>
              </w:rPr>
              <w:t xml:space="preserve"> mg/m</w:t>
            </w:r>
            <w:r>
              <w:rPr>
                <w:b/>
                <w:color w:val="auto"/>
                <w:sz w:val="21"/>
                <w:szCs w:val="21"/>
                <w:vertAlign w:val="superscript"/>
              </w:rPr>
              <w:t>3</w:t>
            </w:r>
            <w:r>
              <w:rPr>
                <w:rFonts w:hint="eastAsia"/>
                <w:b/>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15" w:type="dxa"/>
            <w:vAlign w:val="center"/>
          </w:tcPr>
          <w:p>
            <w:pPr>
              <w:jc w:val="center"/>
              <w:rPr>
                <w:color w:val="auto"/>
                <w:sz w:val="21"/>
                <w:szCs w:val="21"/>
              </w:rPr>
            </w:pPr>
            <w:r>
              <w:rPr>
                <w:rFonts w:hint="eastAsia"/>
                <w:color w:val="auto"/>
                <w:sz w:val="21"/>
                <w:szCs w:val="21"/>
              </w:rPr>
              <w:t>1</w:t>
            </w:r>
          </w:p>
        </w:tc>
        <w:tc>
          <w:tcPr>
            <w:tcW w:w="1358" w:type="dxa"/>
            <w:vAlign w:val="center"/>
          </w:tcPr>
          <w:p>
            <w:pPr>
              <w:jc w:val="center"/>
              <w:rPr>
                <w:color w:val="auto"/>
                <w:sz w:val="21"/>
                <w:szCs w:val="21"/>
              </w:rPr>
            </w:pPr>
            <w:r>
              <w:rPr>
                <w:color w:val="auto"/>
                <w:sz w:val="21"/>
                <w:szCs w:val="21"/>
              </w:rPr>
              <w:t>颗粒物</w:t>
            </w:r>
          </w:p>
        </w:tc>
        <w:tc>
          <w:tcPr>
            <w:tcW w:w="3993" w:type="dxa"/>
            <w:vAlign w:val="center"/>
          </w:tcPr>
          <w:p>
            <w:pPr>
              <w:jc w:val="center"/>
              <w:rPr>
                <w:color w:val="auto"/>
                <w:sz w:val="21"/>
                <w:szCs w:val="21"/>
              </w:rPr>
            </w:pPr>
            <w:r>
              <w:rPr>
                <w:color w:val="auto"/>
                <w:sz w:val="21"/>
                <w:szCs w:val="21"/>
              </w:rPr>
              <w:t>周围外浓度最高点</w:t>
            </w:r>
          </w:p>
        </w:tc>
        <w:tc>
          <w:tcPr>
            <w:tcW w:w="3120" w:type="dxa"/>
            <w:vAlign w:val="center"/>
          </w:tcPr>
          <w:p>
            <w:pPr>
              <w:jc w:val="center"/>
              <w:rPr>
                <w:color w:val="auto"/>
                <w:sz w:val="21"/>
                <w:szCs w:val="21"/>
              </w:rPr>
            </w:pPr>
            <w:r>
              <w:rPr>
                <w:color w:val="auto"/>
                <w:sz w:val="21"/>
                <w:szCs w:val="21"/>
              </w:rPr>
              <w:t>1.0</w:t>
            </w:r>
          </w:p>
        </w:tc>
      </w:tr>
    </w:tbl>
    <w:p>
      <w:pPr>
        <w:pStyle w:val="301"/>
        <w:rPr>
          <w:color w:val="auto"/>
        </w:rPr>
      </w:pPr>
      <w:r>
        <w:rPr>
          <w:color w:val="auto"/>
        </w:rPr>
        <w:t>2.8.2.2水污染物排放标准</w:t>
      </w:r>
    </w:p>
    <w:p>
      <w:pPr>
        <w:widowControl/>
        <w:spacing w:line="360" w:lineRule="auto"/>
        <w:ind w:firstLine="480" w:firstLineChars="200"/>
        <w:jc w:val="both"/>
        <w:rPr>
          <w:color w:val="auto"/>
          <w:kern w:val="0"/>
        </w:rPr>
      </w:pPr>
      <w:r>
        <w:rPr>
          <w:color w:val="auto"/>
          <w:kern w:val="0"/>
        </w:rPr>
        <w:t>本项目废水主要为生产废水。</w:t>
      </w:r>
      <w:r>
        <w:rPr>
          <w:rFonts w:hint="eastAsia"/>
          <w:color w:val="auto"/>
          <w:kern w:val="0"/>
        </w:rPr>
        <w:t>餐厨垃圾处理产生的废水（餐厨废水</w:t>
      </w:r>
      <w:r>
        <w:rPr>
          <w:color w:val="auto"/>
          <w:spacing w:val="2"/>
          <w:kern w:val="0"/>
        </w:rPr>
        <w:t>、</w:t>
      </w:r>
      <w:r>
        <w:rPr>
          <w:rFonts w:hint="eastAsia"/>
          <w:color w:val="auto"/>
          <w:spacing w:val="2"/>
          <w:kern w:val="0"/>
        </w:rPr>
        <w:t>除臭系统废水、车间车辆和地面冲洗废水</w:t>
      </w:r>
      <w:r>
        <w:rPr>
          <w:rFonts w:hint="eastAsia"/>
          <w:color w:val="auto"/>
          <w:spacing w:val="2"/>
          <w:kern w:val="0"/>
          <w:lang w:eastAsia="zh-CN"/>
        </w:rPr>
        <w:t>、初期雨水</w:t>
      </w:r>
      <w:r>
        <w:rPr>
          <w:color w:val="auto"/>
          <w:kern w:val="0"/>
        </w:rPr>
        <w:t>等</w:t>
      </w:r>
      <w:r>
        <w:rPr>
          <w:rFonts w:hint="eastAsia"/>
          <w:color w:val="auto"/>
          <w:kern w:val="0"/>
        </w:rPr>
        <w:t>）通过管道引至园区内在建的渗滤液处理站</w:t>
      </w:r>
      <w:r>
        <w:rPr>
          <w:color w:val="auto"/>
          <w:kern w:val="0"/>
        </w:rPr>
        <w:t>采取</w:t>
      </w:r>
      <w:r>
        <w:rPr>
          <w:rFonts w:asciiTheme="minorEastAsia" w:hAnsiTheme="minorEastAsia" w:eastAsiaTheme="minorEastAsia"/>
          <w:color w:val="auto"/>
          <w:kern w:val="0"/>
        </w:rPr>
        <w:t>“</w:t>
      </w:r>
      <w:r>
        <w:rPr>
          <w:rFonts w:eastAsiaTheme="minorEastAsia"/>
          <w:color w:val="auto"/>
          <w:kern w:val="0"/>
        </w:rPr>
        <w:t>预处理+UASB厌氧反应器+MBR生化处理系统+NF纳滤膜系统+RO反渗透系统+DTRO</w:t>
      </w:r>
      <w:r>
        <w:rPr>
          <w:rFonts w:asciiTheme="minorEastAsia" w:hAnsiTheme="minorEastAsia" w:eastAsiaTheme="minorEastAsia"/>
          <w:color w:val="auto"/>
          <w:kern w:val="0"/>
        </w:rPr>
        <w:t>”处理</w:t>
      </w:r>
      <w:r>
        <w:rPr>
          <w:color w:val="auto"/>
          <w:kern w:val="0"/>
        </w:rPr>
        <w:t>工艺，处理达到《城市污水再生利用 工业用水水质》（GB/T 19923-2005）循环冷却水系统补充水水质标准后回用于冷却循环水补充水。</w:t>
      </w:r>
      <w:r>
        <w:rPr>
          <w:rFonts w:hint="eastAsia"/>
          <w:color w:val="auto"/>
          <w:kern w:val="0"/>
        </w:rPr>
        <w:t>建筑垃圾消纳场产生的生产废水（</w:t>
      </w:r>
      <w:r>
        <w:rPr>
          <w:bCs/>
          <w:color w:val="auto"/>
          <w:spacing w:val="2"/>
        </w:rPr>
        <w:t>洗车废水、填埋区</w:t>
      </w:r>
      <w:r>
        <w:rPr>
          <w:rFonts w:hint="eastAsia"/>
          <w:bCs/>
          <w:color w:val="auto"/>
          <w:spacing w:val="2"/>
        </w:rPr>
        <w:t>淋溶液</w:t>
      </w:r>
      <w:r>
        <w:rPr>
          <w:rFonts w:hint="eastAsia"/>
          <w:color w:val="auto"/>
          <w:kern w:val="0"/>
        </w:rPr>
        <w:t>）经收集后引至配套建设的废水处理池采用“机械加速澄清池沉淀+过滤”工艺处理，处理达到</w:t>
      </w:r>
      <w:r>
        <w:rPr>
          <w:color w:val="auto"/>
          <w:kern w:val="0"/>
        </w:rPr>
        <w:t>《城市污水再生利用—城市杂用水水质标准》（GB/T18920-2002）中绿化、道路冲洗用水水质标准</w:t>
      </w:r>
      <w:r>
        <w:rPr>
          <w:rFonts w:hint="eastAsia"/>
          <w:color w:val="auto"/>
          <w:kern w:val="0"/>
        </w:rPr>
        <w:t>较严者后回用于消纳场洒水抑沉</w:t>
      </w:r>
      <w:r>
        <w:rPr>
          <w:color w:val="auto"/>
          <w:kern w:val="0"/>
        </w:rPr>
        <w:t>。</w:t>
      </w:r>
      <w:r>
        <w:rPr>
          <w:bCs/>
          <w:color w:val="auto"/>
          <w:spacing w:val="8"/>
          <w:kern w:val="0"/>
          <w:lang w:val="zh-CN"/>
        </w:rPr>
        <w:t>具体回用标准见下表。</w:t>
      </w:r>
    </w:p>
    <w:p>
      <w:pPr>
        <w:pStyle w:val="5"/>
        <w:ind w:firstLine="482"/>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2.8</w:t>
      </w:r>
      <w:r>
        <w:rPr>
          <w:b/>
          <w:color w:val="auto"/>
        </w:rPr>
        <w:fldChar w:fldCharType="end"/>
      </w:r>
      <w:r>
        <w:rPr>
          <w:b/>
          <w:color w:val="auto"/>
        </w:rPr>
        <w:noBreakHyphen/>
      </w:r>
      <w:r>
        <w:rPr>
          <w:b/>
          <w:color w:val="auto"/>
        </w:rPr>
        <w:fldChar w:fldCharType="begin"/>
      </w:r>
      <w:r>
        <w:rPr>
          <w:b/>
          <w:color w:val="auto"/>
        </w:rPr>
        <w:instrText xml:space="preserve"> SEQ 表 \* ARABIC \s 2 </w:instrText>
      </w:r>
      <w:r>
        <w:rPr>
          <w:b/>
          <w:color w:val="auto"/>
        </w:rPr>
        <w:fldChar w:fldCharType="separate"/>
      </w:r>
      <w:r>
        <w:rPr>
          <w:b/>
          <w:color w:val="auto"/>
        </w:rPr>
        <w:t>7</w:t>
      </w:r>
      <w:r>
        <w:rPr>
          <w:b/>
          <w:color w:val="auto"/>
        </w:rPr>
        <w:fldChar w:fldCharType="end"/>
      </w:r>
      <w:r>
        <w:rPr>
          <w:b/>
          <w:color w:val="auto"/>
        </w:rPr>
        <w:t xml:space="preserve">  中水回用标准</w:t>
      </w:r>
      <w:r>
        <w:rPr>
          <w:rFonts w:hint="eastAsia"/>
          <w:b/>
          <w:color w:val="auto"/>
        </w:rPr>
        <w:t xml:space="preserve">  （单位：mg/L）</w:t>
      </w:r>
    </w:p>
    <w:tbl>
      <w:tblPr>
        <w:tblStyle w:val="53"/>
        <w:tblW w:w="9286" w:type="dxa"/>
        <w:tblInd w:w="0" w:type="dxa"/>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850"/>
        <w:gridCol w:w="2370"/>
        <w:gridCol w:w="1558"/>
        <w:gridCol w:w="1419"/>
        <w:gridCol w:w="2089"/>
      </w:tblGrid>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20" w:hRule="atLeast"/>
        </w:trPr>
        <w:tc>
          <w:tcPr>
            <w:tcW w:w="1850" w:type="dxa"/>
            <w:vMerge w:val="restart"/>
            <w:vAlign w:val="center"/>
          </w:tcPr>
          <w:p>
            <w:pPr>
              <w:jc w:val="center"/>
              <w:rPr>
                <w:b/>
                <w:color w:val="auto"/>
                <w:sz w:val="21"/>
                <w:szCs w:val="21"/>
              </w:rPr>
            </w:pPr>
            <w:r>
              <w:rPr>
                <w:b/>
                <w:color w:val="auto"/>
                <w:sz w:val="21"/>
                <w:szCs w:val="21"/>
              </w:rPr>
              <w:t>污染物</w:t>
            </w:r>
          </w:p>
        </w:tc>
        <w:tc>
          <w:tcPr>
            <w:tcW w:w="2370" w:type="dxa"/>
            <w:vAlign w:val="center"/>
          </w:tcPr>
          <w:p>
            <w:pPr>
              <w:jc w:val="center"/>
              <w:rPr>
                <w:b/>
                <w:color w:val="auto"/>
                <w:sz w:val="21"/>
                <w:szCs w:val="21"/>
              </w:rPr>
            </w:pPr>
            <w:r>
              <w:rPr>
                <w:b/>
                <w:color w:val="auto"/>
                <w:sz w:val="21"/>
                <w:szCs w:val="21"/>
              </w:rPr>
              <w:t>《城市污水再生利用-工业用水水质》（GB/T19923-2005）</w:t>
            </w:r>
            <w:r>
              <w:rPr>
                <w:rFonts w:hint="eastAsia"/>
                <w:b/>
                <w:color w:val="auto"/>
                <w:sz w:val="21"/>
                <w:szCs w:val="21"/>
              </w:rPr>
              <w:t>（餐厨垃圾废水处理后执行标准）</w:t>
            </w:r>
          </w:p>
        </w:tc>
        <w:tc>
          <w:tcPr>
            <w:tcW w:w="2977" w:type="dxa"/>
            <w:gridSpan w:val="2"/>
            <w:vAlign w:val="center"/>
          </w:tcPr>
          <w:p>
            <w:pPr>
              <w:jc w:val="center"/>
              <w:rPr>
                <w:b/>
                <w:color w:val="auto"/>
                <w:sz w:val="21"/>
                <w:szCs w:val="21"/>
              </w:rPr>
            </w:pPr>
            <w:r>
              <w:rPr>
                <w:b/>
                <w:color w:val="auto"/>
                <w:sz w:val="21"/>
                <w:szCs w:val="21"/>
              </w:rPr>
              <w:t>《城市污水再生利用-城市杂用水质》（GB/T18920-2002）</w:t>
            </w:r>
          </w:p>
        </w:tc>
        <w:tc>
          <w:tcPr>
            <w:tcW w:w="2089" w:type="dxa"/>
            <w:vAlign w:val="center"/>
          </w:tcPr>
          <w:p>
            <w:pPr>
              <w:jc w:val="center"/>
              <w:rPr>
                <w:b/>
                <w:color w:val="auto"/>
                <w:sz w:val="21"/>
                <w:szCs w:val="21"/>
              </w:rPr>
            </w:pPr>
            <w:r>
              <w:rPr>
                <w:rFonts w:hint="eastAsia"/>
                <w:b/>
                <w:color w:val="auto"/>
                <w:sz w:val="21"/>
                <w:szCs w:val="21"/>
              </w:rPr>
              <w:t>建筑垃圾消纳场废水处理后执行标准</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20" w:hRule="atLeast"/>
        </w:trPr>
        <w:tc>
          <w:tcPr>
            <w:tcW w:w="1850" w:type="dxa"/>
            <w:vMerge w:val="continue"/>
            <w:vAlign w:val="center"/>
          </w:tcPr>
          <w:p>
            <w:pPr>
              <w:jc w:val="center"/>
              <w:rPr>
                <w:color w:val="auto"/>
                <w:sz w:val="21"/>
                <w:szCs w:val="21"/>
              </w:rPr>
            </w:pPr>
          </w:p>
        </w:tc>
        <w:tc>
          <w:tcPr>
            <w:tcW w:w="2370" w:type="dxa"/>
            <w:vAlign w:val="center"/>
          </w:tcPr>
          <w:p>
            <w:pPr>
              <w:jc w:val="center"/>
              <w:rPr>
                <w:color w:val="auto"/>
                <w:sz w:val="21"/>
                <w:szCs w:val="21"/>
              </w:rPr>
            </w:pPr>
            <w:r>
              <w:rPr>
                <w:color w:val="auto"/>
                <w:sz w:val="21"/>
                <w:szCs w:val="21"/>
              </w:rPr>
              <w:t>敞开式循环冷却水系统补充水</w:t>
            </w:r>
          </w:p>
        </w:tc>
        <w:tc>
          <w:tcPr>
            <w:tcW w:w="1558" w:type="dxa"/>
            <w:vAlign w:val="center"/>
          </w:tcPr>
          <w:p>
            <w:pPr>
              <w:jc w:val="center"/>
              <w:rPr>
                <w:color w:val="auto"/>
                <w:sz w:val="21"/>
                <w:szCs w:val="21"/>
              </w:rPr>
            </w:pPr>
            <w:r>
              <w:rPr>
                <w:color w:val="auto"/>
                <w:sz w:val="21"/>
                <w:szCs w:val="21"/>
              </w:rPr>
              <w:t>道路清扫</w:t>
            </w:r>
          </w:p>
        </w:tc>
        <w:tc>
          <w:tcPr>
            <w:tcW w:w="1419" w:type="dxa"/>
            <w:vAlign w:val="center"/>
          </w:tcPr>
          <w:p>
            <w:pPr>
              <w:jc w:val="center"/>
              <w:rPr>
                <w:color w:val="auto"/>
                <w:sz w:val="21"/>
                <w:szCs w:val="21"/>
              </w:rPr>
            </w:pPr>
            <w:r>
              <w:rPr>
                <w:color w:val="auto"/>
                <w:sz w:val="21"/>
                <w:szCs w:val="21"/>
              </w:rPr>
              <w:t>城市绿化</w:t>
            </w:r>
          </w:p>
        </w:tc>
        <w:tc>
          <w:tcPr>
            <w:tcW w:w="2089" w:type="dxa"/>
            <w:vAlign w:val="center"/>
          </w:tcPr>
          <w:p>
            <w:pPr>
              <w:jc w:val="center"/>
              <w:rPr>
                <w:color w:val="auto"/>
                <w:sz w:val="21"/>
                <w:szCs w:val="21"/>
              </w:rPr>
            </w:pP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20" w:hRule="atLeast"/>
        </w:trPr>
        <w:tc>
          <w:tcPr>
            <w:tcW w:w="1850" w:type="dxa"/>
            <w:vAlign w:val="center"/>
          </w:tcPr>
          <w:p>
            <w:pPr>
              <w:jc w:val="center"/>
              <w:rPr>
                <w:color w:val="auto"/>
                <w:sz w:val="21"/>
                <w:szCs w:val="21"/>
              </w:rPr>
            </w:pPr>
            <w:r>
              <w:rPr>
                <w:color w:val="auto"/>
                <w:sz w:val="21"/>
                <w:szCs w:val="21"/>
              </w:rPr>
              <w:t>pH（无量纲）≤</w:t>
            </w:r>
          </w:p>
        </w:tc>
        <w:tc>
          <w:tcPr>
            <w:tcW w:w="2370" w:type="dxa"/>
            <w:vAlign w:val="center"/>
          </w:tcPr>
          <w:p>
            <w:pPr>
              <w:jc w:val="center"/>
              <w:rPr>
                <w:color w:val="auto"/>
                <w:sz w:val="21"/>
                <w:szCs w:val="21"/>
              </w:rPr>
            </w:pPr>
            <w:r>
              <w:rPr>
                <w:color w:val="auto"/>
                <w:sz w:val="21"/>
                <w:szCs w:val="21"/>
              </w:rPr>
              <w:t>6.5-8.5</w:t>
            </w:r>
          </w:p>
        </w:tc>
        <w:tc>
          <w:tcPr>
            <w:tcW w:w="2977" w:type="dxa"/>
            <w:gridSpan w:val="2"/>
          </w:tcPr>
          <w:p>
            <w:pPr>
              <w:jc w:val="center"/>
              <w:rPr>
                <w:color w:val="auto"/>
                <w:sz w:val="21"/>
                <w:szCs w:val="21"/>
              </w:rPr>
            </w:pPr>
            <w:r>
              <w:rPr>
                <w:color w:val="auto"/>
                <w:sz w:val="21"/>
                <w:szCs w:val="21"/>
              </w:rPr>
              <w:t>6.0-9.0</w:t>
            </w:r>
          </w:p>
        </w:tc>
        <w:tc>
          <w:tcPr>
            <w:tcW w:w="2089" w:type="dxa"/>
          </w:tcPr>
          <w:p>
            <w:pPr>
              <w:jc w:val="center"/>
              <w:rPr>
                <w:color w:val="auto"/>
                <w:sz w:val="21"/>
                <w:szCs w:val="21"/>
              </w:rPr>
            </w:pPr>
            <w:r>
              <w:rPr>
                <w:color w:val="auto"/>
                <w:sz w:val="21"/>
                <w:szCs w:val="21"/>
              </w:rPr>
              <w:t>6.0-9.0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20" w:hRule="atLeast"/>
        </w:trPr>
        <w:tc>
          <w:tcPr>
            <w:tcW w:w="1850" w:type="dxa"/>
            <w:vAlign w:val="center"/>
          </w:tcPr>
          <w:p>
            <w:pPr>
              <w:jc w:val="center"/>
              <w:rPr>
                <w:color w:val="auto"/>
                <w:sz w:val="21"/>
                <w:szCs w:val="21"/>
              </w:rPr>
            </w:pPr>
            <w:r>
              <w:rPr>
                <w:color w:val="auto"/>
              </w:rPr>
              <w:t>BOD</w:t>
            </w:r>
            <w:r>
              <w:rPr>
                <w:color w:val="auto"/>
                <w:vertAlign w:val="subscript"/>
              </w:rPr>
              <w:t>5</w:t>
            </w:r>
            <w:r>
              <w:rPr>
                <w:color w:val="auto"/>
                <w:sz w:val="21"/>
                <w:szCs w:val="21"/>
              </w:rPr>
              <w:t>≤</w:t>
            </w:r>
          </w:p>
        </w:tc>
        <w:tc>
          <w:tcPr>
            <w:tcW w:w="2370" w:type="dxa"/>
            <w:vAlign w:val="center"/>
          </w:tcPr>
          <w:p>
            <w:pPr>
              <w:jc w:val="center"/>
              <w:rPr>
                <w:color w:val="auto"/>
                <w:sz w:val="21"/>
                <w:szCs w:val="21"/>
              </w:rPr>
            </w:pPr>
            <w:r>
              <w:rPr>
                <w:color w:val="auto"/>
                <w:sz w:val="21"/>
                <w:szCs w:val="21"/>
              </w:rPr>
              <w:t>10</w:t>
            </w:r>
          </w:p>
        </w:tc>
        <w:tc>
          <w:tcPr>
            <w:tcW w:w="1558" w:type="dxa"/>
            <w:vAlign w:val="center"/>
          </w:tcPr>
          <w:p>
            <w:pPr>
              <w:jc w:val="center"/>
              <w:rPr>
                <w:color w:val="auto"/>
                <w:sz w:val="21"/>
                <w:szCs w:val="21"/>
              </w:rPr>
            </w:pPr>
            <w:r>
              <w:rPr>
                <w:color w:val="auto"/>
                <w:sz w:val="21"/>
                <w:szCs w:val="21"/>
              </w:rPr>
              <w:t>15</w:t>
            </w:r>
          </w:p>
        </w:tc>
        <w:tc>
          <w:tcPr>
            <w:tcW w:w="1419" w:type="dxa"/>
            <w:vAlign w:val="center"/>
          </w:tcPr>
          <w:p>
            <w:pPr>
              <w:jc w:val="center"/>
              <w:rPr>
                <w:color w:val="auto"/>
                <w:sz w:val="21"/>
                <w:szCs w:val="21"/>
              </w:rPr>
            </w:pPr>
            <w:r>
              <w:rPr>
                <w:color w:val="auto"/>
                <w:sz w:val="21"/>
                <w:szCs w:val="21"/>
              </w:rPr>
              <w:t>20</w:t>
            </w:r>
          </w:p>
        </w:tc>
        <w:tc>
          <w:tcPr>
            <w:tcW w:w="2089" w:type="dxa"/>
            <w:vAlign w:val="center"/>
          </w:tcPr>
          <w:p>
            <w:pPr>
              <w:jc w:val="center"/>
              <w:rPr>
                <w:color w:val="auto"/>
                <w:sz w:val="21"/>
                <w:szCs w:val="21"/>
              </w:rPr>
            </w:pPr>
            <w:r>
              <w:rPr>
                <w:rFonts w:hint="eastAsia"/>
                <w:color w:val="auto"/>
                <w:sz w:val="21"/>
                <w:szCs w:val="21"/>
              </w:rPr>
              <w:t>15</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20" w:hRule="atLeast"/>
        </w:trPr>
        <w:tc>
          <w:tcPr>
            <w:tcW w:w="1850" w:type="dxa"/>
            <w:vAlign w:val="center"/>
          </w:tcPr>
          <w:p>
            <w:pPr>
              <w:jc w:val="center"/>
              <w:rPr>
                <w:color w:val="auto"/>
                <w:sz w:val="21"/>
                <w:szCs w:val="21"/>
              </w:rPr>
            </w:pPr>
            <w:r>
              <w:rPr>
                <w:color w:val="auto"/>
              </w:rPr>
              <w:t>CODcr</w:t>
            </w:r>
            <w:r>
              <w:rPr>
                <w:color w:val="auto"/>
                <w:sz w:val="21"/>
                <w:szCs w:val="21"/>
              </w:rPr>
              <w:t>≤</w:t>
            </w:r>
          </w:p>
        </w:tc>
        <w:tc>
          <w:tcPr>
            <w:tcW w:w="2370" w:type="dxa"/>
            <w:vAlign w:val="center"/>
          </w:tcPr>
          <w:p>
            <w:pPr>
              <w:jc w:val="center"/>
              <w:rPr>
                <w:color w:val="auto"/>
                <w:sz w:val="21"/>
                <w:szCs w:val="21"/>
              </w:rPr>
            </w:pPr>
            <w:r>
              <w:rPr>
                <w:color w:val="auto"/>
                <w:sz w:val="21"/>
                <w:szCs w:val="21"/>
              </w:rPr>
              <w:t>60</w:t>
            </w:r>
          </w:p>
        </w:tc>
        <w:tc>
          <w:tcPr>
            <w:tcW w:w="1558" w:type="dxa"/>
            <w:vAlign w:val="center"/>
          </w:tcPr>
          <w:p>
            <w:pPr>
              <w:jc w:val="center"/>
              <w:rPr>
                <w:color w:val="auto"/>
                <w:sz w:val="21"/>
                <w:szCs w:val="21"/>
              </w:rPr>
            </w:pPr>
            <w:r>
              <w:rPr>
                <w:color w:val="auto"/>
                <w:sz w:val="21"/>
                <w:szCs w:val="21"/>
              </w:rPr>
              <w:t>--</w:t>
            </w:r>
          </w:p>
        </w:tc>
        <w:tc>
          <w:tcPr>
            <w:tcW w:w="1419" w:type="dxa"/>
            <w:vAlign w:val="center"/>
          </w:tcPr>
          <w:p>
            <w:pPr>
              <w:jc w:val="center"/>
              <w:rPr>
                <w:color w:val="auto"/>
                <w:sz w:val="21"/>
                <w:szCs w:val="21"/>
              </w:rPr>
            </w:pPr>
            <w:r>
              <w:rPr>
                <w:color w:val="auto"/>
                <w:sz w:val="21"/>
                <w:szCs w:val="21"/>
              </w:rPr>
              <w:t>--</w:t>
            </w:r>
          </w:p>
        </w:tc>
        <w:tc>
          <w:tcPr>
            <w:tcW w:w="2089" w:type="dxa"/>
            <w:vAlign w:val="center"/>
          </w:tcPr>
          <w:p>
            <w:pPr>
              <w:jc w:val="center"/>
              <w:rPr>
                <w:color w:val="auto"/>
                <w:sz w:val="21"/>
                <w:szCs w:val="21"/>
              </w:rPr>
            </w:pPr>
            <w:r>
              <w:rPr>
                <w:color w:val="auto"/>
                <w:sz w:val="21"/>
                <w:szCs w:val="21"/>
              </w:rPr>
              <w:t>--</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20" w:hRule="atLeast"/>
        </w:trPr>
        <w:tc>
          <w:tcPr>
            <w:tcW w:w="1850" w:type="dxa"/>
            <w:vAlign w:val="center"/>
          </w:tcPr>
          <w:p>
            <w:pPr>
              <w:jc w:val="center"/>
              <w:rPr>
                <w:color w:val="auto"/>
                <w:sz w:val="21"/>
                <w:szCs w:val="21"/>
              </w:rPr>
            </w:pPr>
            <w:r>
              <w:rPr>
                <w:color w:val="auto"/>
                <w:sz w:val="21"/>
                <w:szCs w:val="21"/>
              </w:rPr>
              <w:t>浊度（NTU≤）</w:t>
            </w:r>
          </w:p>
        </w:tc>
        <w:tc>
          <w:tcPr>
            <w:tcW w:w="2370" w:type="dxa"/>
            <w:vAlign w:val="center"/>
          </w:tcPr>
          <w:p>
            <w:pPr>
              <w:jc w:val="center"/>
              <w:rPr>
                <w:color w:val="auto"/>
                <w:sz w:val="21"/>
                <w:szCs w:val="21"/>
              </w:rPr>
            </w:pPr>
            <w:r>
              <w:rPr>
                <w:color w:val="auto"/>
                <w:sz w:val="21"/>
                <w:szCs w:val="21"/>
              </w:rPr>
              <w:t>5</w:t>
            </w:r>
          </w:p>
        </w:tc>
        <w:tc>
          <w:tcPr>
            <w:tcW w:w="1558" w:type="dxa"/>
            <w:vAlign w:val="center"/>
          </w:tcPr>
          <w:p>
            <w:pPr>
              <w:jc w:val="center"/>
              <w:rPr>
                <w:color w:val="auto"/>
                <w:sz w:val="21"/>
                <w:szCs w:val="21"/>
              </w:rPr>
            </w:pPr>
            <w:r>
              <w:rPr>
                <w:color w:val="auto"/>
                <w:sz w:val="21"/>
                <w:szCs w:val="21"/>
              </w:rPr>
              <w:t>10</w:t>
            </w:r>
          </w:p>
        </w:tc>
        <w:tc>
          <w:tcPr>
            <w:tcW w:w="1419" w:type="dxa"/>
            <w:vAlign w:val="center"/>
          </w:tcPr>
          <w:p>
            <w:pPr>
              <w:jc w:val="center"/>
              <w:rPr>
                <w:color w:val="auto"/>
                <w:sz w:val="21"/>
                <w:szCs w:val="21"/>
              </w:rPr>
            </w:pPr>
            <w:r>
              <w:rPr>
                <w:color w:val="auto"/>
                <w:sz w:val="21"/>
                <w:szCs w:val="21"/>
              </w:rPr>
              <w:t>10</w:t>
            </w:r>
          </w:p>
        </w:tc>
        <w:tc>
          <w:tcPr>
            <w:tcW w:w="2089" w:type="dxa"/>
            <w:vAlign w:val="center"/>
          </w:tcPr>
          <w:p>
            <w:pPr>
              <w:jc w:val="center"/>
              <w:rPr>
                <w:color w:val="auto"/>
                <w:sz w:val="21"/>
                <w:szCs w:val="21"/>
              </w:rPr>
            </w:pPr>
            <w:r>
              <w:rPr>
                <w:rFonts w:hint="eastAsia"/>
                <w:color w:val="auto"/>
                <w:sz w:val="21"/>
                <w:szCs w:val="21"/>
              </w:rPr>
              <w:t>10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20" w:hRule="atLeast"/>
        </w:trPr>
        <w:tc>
          <w:tcPr>
            <w:tcW w:w="1850" w:type="dxa"/>
            <w:vAlign w:val="center"/>
          </w:tcPr>
          <w:p>
            <w:pPr>
              <w:jc w:val="center"/>
              <w:rPr>
                <w:color w:val="auto"/>
                <w:sz w:val="21"/>
                <w:szCs w:val="21"/>
              </w:rPr>
            </w:pPr>
            <w:r>
              <w:rPr>
                <w:color w:val="auto"/>
                <w:sz w:val="21"/>
                <w:szCs w:val="21"/>
              </w:rPr>
              <w:t>色度（度）≤</w:t>
            </w:r>
          </w:p>
        </w:tc>
        <w:tc>
          <w:tcPr>
            <w:tcW w:w="2370" w:type="dxa"/>
            <w:vAlign w:val="center"/>
          </w:tcPr>
          <w:p>
            <w:pPr>
              <w:jc w:val="center"/>
              <w:rPr>
                <w:color w:val="auto"/>
                <w:sz w:val="21"/>
                <w:szCs w:val="21"/>
              </w:rPr>
            </w:pPr>
            <w:r>
              <w:rPr>
                <w:color w:val="auto"/>
                <w:sz w:val="21"/>
                <w:szCs w:val="21"/>
              </w:rPr>
              <w:t>30</w:t>
            </w:r>
          </w:p>
        </w:tc>
        <w:tc>
          <w:tcPr>
            <w:tcW w:w="2977" w:type="dxa"/>
            <w:gridSpan w:val="2"/>
          </w:tcPr>
          <w:p>
            <w:pPr>
              <w:jc w:val="center"/>
              <w:rPr>
                <w:color w:val="auto"/>
                <w:sz w:val="21"/>
                <w:szCs w:val="21"/>
              </w:rPr>
            </w:pPr>
            <w:r>
              <w:rPr>
                <w:color w:val="auto"/>
                <w:sz w:val="21"/>
                <w:szCs w:val="21"/>
              </w:rPr>
              <w:t>30</w:t>
            </w:r>
          </w:p>
        </w:tc>
        <w:tc>
          <w:tcPr>
            <w:tcW w:w="2089" w:type="dxa"/>
          </w:tcPr>
          <w:p>
            <w:pPr>
              <w:jc w:val="center"/>
              <w:rPr>
                <w:color w:val="auto"/>
                <w:sz w:val="21"/>
                <w:szCs w:val="21"/>
              </w:rPr>
            </w:pPr>
            <w:r>
              <w:rPr>
                <w:rFonts w:hint="eastAsia"/>
                <w:color w:val="auto"/>
                <w:sz w:val="21"/>
                <w:szCs w:val="21"/>
              </w:rPr>
              <w:t>30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20" w:hRule="atLeast"/>
        </w:trPr>
        <w:tc>
          <w:tcPr>
            <w:tcW w:w="1850" w:type="dxa"/>
            <w:vAlign w:val="center"/>
          </w:tcPr>
          <w:p>
            <w:pPr>
              <w:jc w:val="center"/>
              <w:rPr>
                <w:color w:val="auto"/>
                <w:sz w:val="21"/>
                <w:szCs w:val="21"/>
              </w:rPr>
            </w:pPr>
            <w:r>
              <w:rPr>
                <w:color w:val="auto"/>
                <w:sz w:val="21"/>
                <w:szCs w:val="21"/>
              </w:rPr>
              <w:t>NH</w:t>
            </w:r>
            <w:r>
              <w:rPr>
                <w:color w:val="auto"/>
                <w:sz w:val="21"/>
                <w:szCs w:val="21"/>
                <w:vertAlign w:val="subscript"/>
              </w:rPr>
              <w:t>3</w:t>
            </w:r>
            <w:r>
              <w:rPr>
                <w:color w:val="auto"/>
                <w:sz w:val="21"/>
                <w:szCs w:val="21"/>
              </w:rPr>
              <w:t>-N（以N计）≤</w:t>
            </w:r>
          </w:p>
        </w:tc>
        <w:tc>
          <w:tcPr>
            <w:tcW w:w="2370" w:type="dxa"/>
            <w:vAlign w:val="center"/>
          </w:tcPr>
          <w:p>
            <w:pPr>
              <w:jc w:val="center"/>
              <w:rPr>
                <w:color w:val="auto"/>
                <w:sz w:val="21"/>
                <w:szCs w:val="21"/>
              </w:rPr>
            </w:pPr>
            <w:r>
              <w:rPr>
                <w:color w:val="auto"/>
                <w:sz w:val="21"/>
                <w:szCs w:val="21"/>
              </w:rPr>
              <w:t>10*</w:t>
            </w:r>
          </w:p>
        </w:tc>
        <w:tc>
          <w:tcPr>
            <w:tcW w:w="1558" w:type="dxa"/>
            <w:vAlign w:val="center"/>
          </w:tcPr>
          <w:p>
            <w:pPr>
              <w:jc w:val="center"/>
              <w:rPr>
                <w:color w:val="auto"/>
                <w:sz w:val="21"/>
                <w:szCs w:val="21"/>
              </w:rPr>
            </w:pPr>
            <w:r>
              <w:rPr>
                <w:color w:val="auto"/>
                <w:sz w:val="21"/>
                <w:szCs w:val="21"/>
              </w:rPr>
              <w:t>10</w:t>
            </w:r>
          </w:p>
        </w:tc>
        <w:tc>
          <w:tcPr>
            <w:tcW w:w="1419" w:type="dxa"/>
            <w:vAlign w:val="center"/>
          </w:tcPr>
          <w:p>
            <w:pPr>
              <w:jc w:val="center"/>
              <w:rPr>
                <w:color w:val="auto"/>
                <w:sz w:val="21"/>
                <w:szCs w:val="21"/>
              </w:rPr>
            </w:pPr>
            <w:r>
              <w:rPr>
                <w:color w:val="auto"/>
                <w:sz w:val="21"/>
                <w:szCs w:val="21"/>
              </w:rPr>
              <w:t>20</w:t>
            </w:r>
          </w:p>
        </w:tc>
        <w:tc>
          <w:tcPr>
            <w:tcW w:w="2089" w:type="dxa"/>
            <w:vAlign w:val="center"/>
          </w:tcPr>
          <w:p>
            <w:pPr>
              <w:jc w:val="center"/>
              <w:rPr>
                <w:color w:val="auto"/>
                <w:sz w:val="21"/>
                <w:szCs w:val="21"/>
              </w:rPr>
            </w:pPr>
            <w:r>
              <w:rPr>
                <w:rFonts w:hint="eastAsia"/>
                <w:color w:val="auto"/>
                <w:sz w:val="21"/>
                <w:szCs w:val="21"/>
              </w:rPr>
              <w:t>10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20" w:hRule="atLeast"/>
        </w:trPr>
        <w:tc>
          <w:tcPr>
            <w:tcW w:w="1850" w:type="dxa"/>
            <w:vAlign w:val="center"/>
          </w:tcPr>
          <w:p>
            <w:pPr>
              <w:jc w:val="center"/>
              <w:rPr>
                <w:color w:val="auto"/>
                <w:sz w:val="21"/>
                <w:szCs w:val="21"/>
              </w:rPr>
            </w:pPr>
            <w:r>
              <w:rPr>
                <w:color w:val="auto"/>
                <w:sz w:val="21"/>
                <w:szCs w:val="21"/>
              </w:rPr>
              <w:t>总磷（以P计）≤</w:t>
            </w:r>
          </w:p>
        </w:tc>
        <w:tc>
          <w:tcPr>
            <w:tcW w:w="2370" w:type="dxa"/>
            <w:vAlign w:val="center"/>
          </w:tcPr>
          <w:p>
            <w:pPr>
              <w:jc w:val="center"/>
              <w:rPr>
                <w:color w:val="auto"/>
                <w:sz w:val="21"/>
                <w:szCs w:val="21"/>
              </w:rPr>
            </w:pPr>
            <w:r>
              <w:rPr>
                <w:color w:val="auto"/>
                <w:sz w:val="21"/>
                <w:szCs w:val="21"/>
              </w:rPr>
              <w:t>1</w:t>
            </w:r>
          </w:p>
        </w:tc>
        <w:tc>
          <w:tcPr>
            <w:tcW w:w="1558" w:type="dxa"/>
            <w:vAlign w:val="center"/>
          </w:tcPr>
          <w:p>
            <w:pPr>
              <w:jc w:val="center"/>
              <w:rPr>
                <w:color w:val="auto"/>
                <w:sz w:val="21"/>
                <w:szCs w:val="21"/>
              </w:rPr>
            </w:pPr>
            <w:r>
              <w:rPr>
                <w:color w:val="auto"/>
                <w:sz w:val="21"/>
                <w:szCs w:val="21"/>
              </w:rPr>
              <w:t>--</w:t>
            </w:r>
          </w:p>
        </w:tc>
        <w:tc>
          <w:tcPr>
            <w:tcW w:w="1419" w:type="dxa"/>
            <w:vAlign w:val="center"/>
          </w:tcPr>
          <w:p>
            <w:pPr>
              <w:jc w:val="center"/>
              <w:rPr>
                <w:color w:val="auto"/>
                <w:sz w:val="21"/>
                <w:szCs w:val="21"/>
              </w:rPr>
            </w:pPr>
            <w:r>
              <w:rPr>
                <w:color w:val="auto"/>
                <w:sz w:val="21"/>
                <w:szCs w:val="21"/>
              </w:rPr>
              <w:t>--</w:t>
            </w:r>
          </w:p>
        </w:tc>
        <w:tc>
          <w:tcPr>
            <w:tcW w:w="2089" w:type="dxa"/>
            <w:vAlign w:val="center"/>
          </w:tcPr>
          <w:p>
            <w:pPr>
              <w:jc w:val="center"/>
              <w:rPr>
                <w:color w:val="auto"/>
                <w:sz w:val="21"/>
                <w:szCs w:val="21"/>
              </w:rPr>
            </w:pPr>
            <w:r>
              <w:rPr>
                <w:color w:val="auto"/>
                <w:sz w:val="21"/>
                <w:szCs w:val="21"/>
              </w:rPr>
              <w:t>--</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20" w:hRule="atLeast"/>
        </w:trPr>
        <w:tc>
          <w:tcPr>
            <w:tcW w:w="1850" w:type="dxa"/>
            <w:vAlign w:val="center"/>
          </w:tcPr>
          <w:p>
            <w:pPr>
              <w:jc w:val="center"/>
              <w:rPr>
                <w:color w:val="auto"/>
                <w:sz w:val="21"/>
                <w:szCs w:val="21"/>
              </w:rPr>
            </w:pPr>
            <w:r>
              <w:rPr>
                <w:color w:val="auto"/>
                <w:sz w:val="21"/>
                <w:szCs w:val="21"/>
              </w:rPr>
              <w:t>溶解性总固体≤</w:t>
            </w:r>
          </w:p>
        </w:tc>
        <w:tc>
          <w:tcPr>
            <w:tcW w:w="2370" w:type="dxa"/>
            <w:vAlign w:val="center"/>
          </w:tcPr>
          <w:p>
            <w:pPr>
              <w:jc w:val="center"/>
              <w:rPr>
                <w:color w:val="auto"/>
                <w:sz w:val="21"/>
                <w:szCs w:val="21"/>
              </w:rPr>
            </w:pPr>
            <w:r>
              <w:rPr>
                <w:color w:val="auto"/>
                <w:sz w:val="21"/>
                <w:szCs w:val="21"/>
              </w:rPr>
              <w:t>1000</w:t>
            </w:r>
          </w:p>
        </w:tc>
        <w:tc>
          <w:tcPr>
            <w:tcW w:w="1558" w:type="dxa"/>
            <w:vAlign w:val="center"/>
          </w:tcPr>
          <w:p>
            <w:pPr>
              <w:jc w:val="center"/>
              <w:rPr>
                <w:color w:val="auto"/>
                <w:sz w:val="21"/>
                <w:szCs w:val="21"/>
              </w:rPr>
            </w:pPr>
            <w:r>
              <w:rPr>
                <w:color w:val="auto"/>
                <w:sz w:val="21"/>
                <w:szCs w:val="21"/>
              </w:rPr>
              <w:t>1500</w:t>
            </w:r>
          </w:p>
        </w:tc>
        <w:tc>
          <w:tcPr>
            <w:tcW w:w="1419" w:type="dxa"/>
            <w:vAlign w:val="center"/>
          </w:tcPr>
          <w:p>
            <w:pPr>
              <w:jc w:val="center"/>
              <w:rPr>
                <w:color w:val="auto"/>
                <w:sz w:val="21"/>
                <w:szCs w:val="21"/>
              </w:rPr>
            </w:pPr>
            <w:r>
              <w:rPr>
                <w:color w:val="auto"/>
                <w:sz w:val="21"/>
                <w:szCs w:val="21"/>
              </w:rPr>
              <w:t>1000</w:t>
            </w:r>
          </w:p>
        </w:tc>
        <w:tc>
          <w:tcPr>
            <w:tcW w:w="2089" w:type="dxa"/>
            <w:vAlign w:val="center"/>
          </w:tcPr>
          <w:p>
            <w:pPr>
              <w:jc w:val="center"/>
              <w:rPr>
                <w:color w:val="auto"/>
                <w:sz w:val="21"/>
                <w:szCs w:val="21"/>
              </w:rPr>
            </w:pPr>
            <w:r>
              <w:rPr>
                <w:rFonts w:hint="eastAsia"/>
                <w:color w:val="auto"/>
                <w:sz w:val="21"/>
                <w:szCs w:val="21"/>
              </w:rPr>
              <w:t>1000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20" w:hRule="atLeast"/>
        </w:trPr>
        <w:tc>
          <w:tcPr>
            <w:tcW w:w="1850" w:type="dxa"/>
            <w:vAlign w:val="center"/>
          </w:tcPr>
          <w:p>
            <w:pPr>
              <w:jc w:val="center"/>
              <w:rPr>
                <w:color w:val="auto"/>
                <w:sz w:val="21"/>
                <w:szCs w:val="21"/>
              </w:rPr>
            </w:pPr>
            <w:r>
              <w:rPr>
                <w:color w:val="auto"/>
                <w:sz w:val="21"/>
                <w:szCs w:val="21"/>
              </w:rPr>
              <w:t>石油类≤</w:t>
            </w:r>
          </w:p>
        </w:tc>
        <w:tc>
          <w:tcPr>
            <w:tcW w:w="2370" w:type="dxa"/>
            <w:vAlign w:val="center"/>
          </w:tcPr>
          <w:p>
            <w:pPr>
              <w:jc w:val="center"/>
              <w:rPr>
                <w:color w:val="auto"/>
                <w:sz w:val="21"/>
                <w:szCs w:val="21"/>
              </w:rPr>
            </w:pPr>
            <w:r>
              <w:rPr>
                <w:color w:val="auto"/>
                <w:sz w:val="21"/>
                <w:szCs w:val="21"/>
              </w:rPr>
              <w:t>1</w:t>
            </w:r>
          </w:p>
        </w:tc>
        <w:tc>
          <w:tcPr>
            <w:tcW w:w="1558" w:type="dxa"/>
            <w:vAlign w:val="center"/>
          </w:tcPr>
          <w:p>
            <w:pPr>
              <w:jc w:val="center"/>
              <w:rPr>
                <w:color w:val="auto"/>
                <w:sz w:val="21"/>
                <w:szCs w:val="21"/>
              </w:rPr>
            </w:pPr>
            <w:r>
              <w:rPr>
                <w:color w:val="auto"/>
                <w:sz w:val="21"/>
                <w:szCs w:val="21"/>
              </w:rPr>
              <w:t>--</w:t>
            </w:r>
          </w:p>
        </w:tc>
        <w:tc>
          <w:tcPr>
            <w:tcW w:w="1419" w:type="dxa"/>
            <w:vAlign w:val="center"/>
          </w:tcPr>
          <w:p>
            <w:pPr>
              <w:jc w:val="center"/>
              <w:rPr>
                <w:color w:val="auto"/>
                <w:sz w:val="21"/>
                <w:szCs w:val="21"/>
              </w:rPr>
            </w:pPr>
            <w:r>
              <w:rPr>
                <w:color w:val="auto"/>
                <w:sz w:val="21"/>
                <w:szCs w:val="21"/>
              </w:rPr>
              <w:t>--</w:t>
            </w:r>
          </w:p>
        </w:tc>
        <w:tc>
          <w:tcPr>
            <w:tcW w:w="2089" w:type="dxa"/>
            <w:vAlign w:val="center"/>
          </w:tcPr>
          <w:p>
            <w:pPr>
              <w:jc w:val="center"/>
              <w:rPr>
                <w:color w:val="auto"/>
                <w:sz w:val="21"/>
                <w:szCs w:val="21"/>
              </w:rPr>
            </w:pPr>
            <w:r>
              <w:rPr>
                <w:color w:val="auto"/>
                <w:sz w:val="21"/>
                <w:szCs w:val="21"/>
              </w:rPr>
              <w:t>--</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20" w:hRule="atLeast"/>
        </w:trPr>
        <w:tc>
          <w:tcPr>
            <w:tcW w:w="1850" w:type="dxa"/>
            <w:vAlign w:val="center"/>
          </w:tcPr>
          <w:p>
            <w:pPr>
              <w:jc w:val="center"/>
              <w:rPr>
                <w:color w:val="auto"/>
                <w:sz w:val="21"/>
                <w:szCs w:val="21"/>
              </w:rPr>
            </w:pPr>
            <w:r>
              <w:rPr>
                <w:color w:val="auto"/>
                <w:sz w:val="21"/>
                <w:szCs w:val="21"/>
              </w:rPr>
              <w:t>铁≤</w:t>
            </w:r>
          </w:p>
        </w:tc>
        <w:tc>
          <w:tcPr>
            <w:tcW w:w="2370" w:type="dxa"/>
            <w:vAlign w:val="center"/>
          </w:tcPr>
          <w:p>
            <w:pPr>
              <w:jc w:val="center"/>
              <w:rPr>
                <w:color w:val="auto"/>
                <w:sz w:val="21"/>
                <w:szCs w:val="21"/>
              </w:rPr>
            </w:pPr>
            <w:r>
              <w:rPr>
                <w:color w:val="auto"/>
                <w:sz w:val="21"/>
                <w:szCs w:val="21"/>
              </w:rPr>
              <w:t>0.3</w:t>
            </w:r>
          </w:p>
        </w:tc>
        <w:tc>
          <w:tcPr>
            <w:tcW w:w="1558" w:type="dxa"/>
            <w:vAlign w:val="center"/>
          </w:tcPr>
          <w:p>
            <w:pPr>
              <w:jc w:val="center"/>
              <w:rPr>
                <w:color w:val="auto"/>
                <w:sz w:val="21"/>
                <w:szCs w:val="21"/>
              </w:rPr>
            </w:pPr>
            <w:r>
              <w:rPr>
                <w:color w:val="auto"/>
                <w:sz w:val="21"/>
                <w:szCs w:val="21"/>
              </w:rPr>
              <w:t>--</w:t>
            </w:r>
          </w:p>
        </w:tc>
        <w:tc>
          <w:tcPr>
            <w:tcW w:w="1419" w:type="dxa"/>
            <w:vAlign w:val="center"/>
          </w:tcPr>
          <w:p>
            <w:pPr>
              <w:jc w:val="center"/>
              <w:rPr>
                <w:color w:val="auto"/>
                <w:sz w:val="21"/>
                <w:szCs w:val="21"/>
              </w:rPr>
            </w:pPr>
            <w:r>
              <w:rPr>
                <w:color w:val="auto"/>
                <w:sz w:val="21"/>
                <w:szCs w:val="21"/>
              </w:rPr>
              <w:t>--</w:t>
            </w:r>
          </w:p>
        </w:tc>
        <w:tc>
          <w:tcPr>
            <w:tcW w:w="2089" w:type="dxa"/>
            <w:vAlign w:val="center"/>
          </w:tcPr>
          <w:p>
            <w:pPr>
              <w:jc w:val="center"/>
              <w:rPr>
                <w:color w:val="auto"/>
                <w:sz w:val="21"/>
                <w:szCs w:val="21"/>
              </w:rPr>
            </w:pPr>
            <w:r>
              <w:rPr>
                <w:color w:val="auto"/>
                <w:sz w:val="21"/>
                <w:szCs w:val="21"/>
              </w:rPr>
              <w:t>--</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20" w:hRule="atLeast"/>
        </w:trPr>
        <w:tc>
          <w:tcPr>
            <w:tcW w:w="1850" w:type="dxa"/>
            <w:vAlign w:val="center"/>
          </w:tcPr>
          <w:p>
            <w:pPr>
              <w:jc w:val="center"/>
              <w:rPr>
                <w:color w:val="auto"/>
                <w:sz w:val="21"/>
                <w:szCs w:val="21"/>
              </w:rPr>
            </w:pPr>
            <w:r>
              <w:rPr>
                <w:color w:val="auto"/>
                <w:sz w:val="21"/>
                <w:szCs w:val="21"/>
              </w:rPr>
              <w:t>锰≤</w:t>
            </w:r>
          </w:p>
        </w:tc>
        <w:tc>
          <w:tcPr>
            <w:tcW w:w="2370" w:type="dxa"/>
            <w:vAlign w:val="center"/>
          </w:tcPr>
          <w:p>
            <w:pPr>
              <w:jc w:val="center"/>
              <w:rPr>
                <w:color w:val="auto"/>
                <w:sz w:val="21"/>
                <w:szCs w:val="21"/>
              </w:rPr>
            </w:pPr>
            <w:r>
              <w:rPr>
                <w:color w:val="auto"/>
                <w:sz w:val="21"/>
                <w:szCs w:val="21"/>
              </w:rPr>
              <w:t>0.1</w:t>
            </w:r>
          </w:p>
        </w:tc>
        <w:tc>
          <w:tcPr>
            <w:tcW w:w="1558" w:type="dxa"/>
            <w:vAlign w:val="center"/>
          </w:tcPr>
          <w:p>
            <w:pPr>
              <w:jc w:val="center"/>
              <w:rPr>
                <w:color w:val="auto"/>
                <w:sz w:val="21"/>
                <w:szCs w:val="21"/>
              </w:rPr>
            </w:pPr>
            <w:r>
              <w:rPr>
                <w:color w:val="auto"/>
                <w:sz w:val="21"/>
                <w:szCs w:val="21"/>
              </w:rPr>
              <w:t>--</w:t>
            </w:r>
          </w:p>
        </w:tc>
        <w:tc>
          <w:tcPr>
            <w:tcW w:w="1419" w:type="dxa"/>
            <w:vAlign w:val="center"/>
          </w:tcPr>
          <w:p>
            <w:pPr>
              <w:jc w:val="center"/>
              <w:rPr>
                <w:color w:val="auto"/>
                <w:sz w:val="21"/>
                <w:szCs w:val="21"/>
              </w:rPr>
            </w:pPr>
            <w:r>
              <w:rPr>
                <w:color w:val="auto"/>
                <w:sz w:val="21"/>
                <w:szCs w:val="21"/>
              </w:rPr>
              <w:t>--</w:t>
            </w:r>
          </w:p>
        </w:tc>
        <w:tc>
          <w:tcPr>
            <w:tcW w:w="2089" w:type="dxa"/>
            <w:vAlign w:val="center"/>
          </w:tcPr>
          <w:p>
            <w:pPr>
              <w:jc w:val="center"/>
              <w:rPr>
                <w:color w:val="auto"/>
                <w:sz w:val="21"/>
                <w:szCs w:val="21"/>
              </w:rPr>
            </w:pPr>
            <w:r>
              <w:rPr>
                <w:color w:val="auto"/>
                <w:sz w:val="21"/>
                <w:szCs w:val="21"/>
              </w:rPr>
              <w:t>--</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20" w:hRule="atLeast"/>
        </w:trPr>
        <w:tc>
          <w:tcPr>
            <w:tcW w:w="1850" w:type="dxa"/>
            <w:vAlign w:val="center"/>
          </w:tcPr>
          <w:p>
            <w:pPr>
              <w:jc w:val="center"/>
              <w:rPr>
                <w:color w:val="auto"/>
                <w:sz w:val="21"/>
                <w:szCs w:val="21"/>
              </w:rPr>
            </w:pPr>
            <w:r>
              <w:rPr>
                <w:color w:val="auto"/>
                <w:sz w:val="21"/>
                <w:szCs w:val="21"/>
              </w:rPr>
              <w:t>氯离子≤</w:t>
            </w:r>
          </w:p>
        </w:tc>
        <w:tc>
          <w:tcPr>
            <w:tcW w:w="2370" w:type="dxa"/>
            <w:vAlign w:val="center"/>
          </w:tcPr>
          <w:p>
            <w:pPr>
              <w:jc w:val="center"/>
              <w:rPr>
                <w:color w:val="auto"/>
                <w:sz w:val="21"/>
                <w:szCs w:val="21"/>
              </w:rPr>
            </w:pPr>
            <w:r>
              <w:rPr>
                <w:color w:val="auto"/>
                <w:sz w:val="21"/>
                <w:szCs w:val="21"/>
              </w:rPr>
              <w:t>250</w:t>
            </w:r>
          </w:p>
        </w:tc>
        <w:tc>
          <w:tcPr>
            <w:tcW w:w="1558" w:type="dxa"/>
            <w:vAlign w:val="center"/>
          </w:tcPr>
          <w:p>
            <w:pPr>
              <w:jc w:val="center"/>
              <w:rPr>
                <w:color w:val="auto"/>
                <w:sz w:val="21"/>
                <w:szCs w:val="21"/>
              </w:rPr>
            </w:pPr>
            <w:r>
              <w:rPr>
                <w:color w:val="auto"/>
                <w:sz w:val="21"/>
                <w:szCs w:val="21"/>
              </w:rPr>
              <w:t>--</w:t>
            </w:r>
          </w:p>
        </w:tc>
        <w:tc>
          <w:tcPr>
            <w:tcW w:w="1419" w:type="dxa"/>
            <w:vAlign w:val="center"/>
          </w:tcPr>
          <w:p>
            <w:pPr>
              <w:jc w:val="center"/>
              <w:rPr>
                <w:color w:val="auto"/>
                <w:sz w:val="21"/>
                <w:szCs w:val="21"/>
              </w:rPr>
            </w:pPr>
            <w:r>
              <w:rPr>
                <w:color w:val="auto"/>
                <w:sz w:val="21"/>
                <w:szCs w:val="21"/>
              </w:rPr>
              <w:t>--</w:t>
            </w:r>
          </w:p>
        </w:tc>
        <w:tc>
          <w:tcPr>
            <w:tcW w:w="2089" w:type="dxa"/>
            <w:vAlign w:val="center"/>
          </w:tcPr>
          <w:p>
            <w:pPr>
              <w:jc w:val="center"/>
              <w:rPr>
                <w:color w:val="auto"/>
                <w:sz w:val="21"/>
                <w:szCs w:val="21"/>
              </w:rPr>
            </w:pPr>
            <w:r>
              <w:rPr>
                <w:color w:val="auto"/>
                <w:sz w:val="21"/>
                <w:szCs w:val="21"/>
              </w:rPr>
              <w:t>--</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20" w:hRule="atLeast"/>
        </w:trPr>
        <w:tc>
          <w:tcPr>
            <w:tcW w:w="1850" w:type="dxa"/>
            <w:vAlign w:val="center"/>
          </w:tcPr>
          <w:p>
            <w:pPr>
              <w:jc w:val="center"/>
              <w:rPr>
                <w:color w:val="auto"/>
                <w:sz w:val="21"/>
                <w:szCs w:val="21"/>
              </w:rPr>
            </w:pPr>
            <w:r>
              <w:rPr>
                <w:color w:val="auto"/>
                <w:sz w:val="21"/>
                <w:szCs w:val="21"/>
              </w:rPr>
              <w:t>总硬度≤</w:t>
            </w:r>
          </w:p>
        </w:tc>
        <w:tc>
          <w:tcPr>
            <w:tcW w:w="2370" w:type="dxa"/>
            <w:vAlign w:val="center"/>
          </w:tcPr>
          <w:p>
            <w:pPr>
              <w:jc w:val="center"/>
              <w:rPr>
                <w:color w:val="auto"/>
                <w:sz w:val="21"/>
                <w:szCs w:val="21"/>
              </w:rPr>
            </w:pPr>
            <w:r>
              <w:rPr>
                <w:color w:val="auto"/>
                <w:sz w:val="21"/>
                <w:szCs w:val="21"/>
              </w:rPr>
              <w:t>450</w:t>
            </w:r>
          </w:p>
        </w:tc>
        <w:tc>
          <w:tcPr>
            <w:tcW w:w="1558" w:type="dxa"/>
            <w:vAlign w:val="center"/>
          </w:tcPr>
          <w:p>
            <w:pPr>
              <w:jc w:val="center"/>
              <w:rPr>
                <w:color w:val="auto"/>
                <w:sz w:val="21"/>
                <w:szCs w:val="21"/>
              </w:rPr>
            </w:pPr>
            <w:r>
              <w:rPr>
                <w:color w:val="auto"/>
                <w:sz w:val="21"/>
                <w:szCs w:val="21"/>
              </w:rPr>
              <w:t>--</w:t>
            </w:r>
          </w:p>
        </w:tc>
        <w:tc>
          <w:tcPr>
            <w:tcW w:w="1419" w:type="dxa"/>
            <w:vAlign w:val="center"/>
          </w:tcPr>
          <w:p>
            <w:pPr>
              <w:jc w:val="center"/>
              <w:rPr>
                <w:color w:val="auto"/>
                <w:sz w:val="21"/>
                <w:szCs w:val="21"/>
              </w:rPr>
            </w:pPr>
            <w:r>
              <w:rPr>
                <w:color w:val="auto"/>
                <w:sz w:val="21"/>
                <w:szCs w:val="21"/>
              </w:rPr>
              <w:t>--</w:t>
            </w:r>
          </w:p>
        </w:tc>
        <w:tc>
          <w:tcPr>
            <w:tcW w:w="2089" w:type="dxa"/>
            <w:vAlign w:val="center"/>
          </w:tcPr>
          <w:p>
            <w:pPr>
              <w:jc w:val="center"/>
              <w:rPr>
                <w:color w:val="auto"/>
                <w:sz w:val="21"/>
                <w:szCs w:val="21"/>
              </w:rPr>
            </w:pPr>
            <w:r>
              <w:rPr>
                <w:color w:val="auto"/>
                <w:sz w:val="21"/>
                <w:szCs w:val="21"/>
              </w:rPr>
              <w:t>--</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20" w:hRule="atLeast"/>
        </w:trPr>
        <w:tc>
          <w:tcPr>
            <w:tcW w:w="1850" w:type="dxa"/>
            <w:vAlign w:val="center"/>
          </w:tcPr>
          <w:p>
            <w:pPr>
              <w:jc w:val="center"/>
              <w:rPr>
                <w:color w:val="auto"/>
                <w:sz w:val="21"/>
                <w:szCs w:val="21"/>
              </w:rPr>
            </w:pPr>
            <w:r>
              <w:rPr>
                <w:color w:val="auto"/>
                <w:sz w:val="21"/>
                <w:szCs w:val="21"/>
              </w:rPr>
              <w:t>总碱度≤</w:t>
            </w:r>
          </w:p>
        </w:tc>
        <w:tc>
          <w:tcPr>
            <w:tcW w:w="2370" w:type="dxa"/>
            <w:vAlign w:val="center"/>
          </w:tcPr>
          <w:p>
            <w:pPr>
              <w:jc w:val="center"/>
              <w:rPr>
                <w:color w:val="auto"/>
                <w:sz w:val="21"/>
                <w:szCs w:val="21"/>
              </w:rPr>
            </w:pPr>
            <w:r>
              <w:rPr>
                <w:color w:val="auto"/>
                <w:sz w:val="21"/>
                <w:szCs w:val="21"/>
              </w:rPr>
              <w:t>350</w:t>
            </w:r>
          </w:p>
        </w:tc>
        <w:tc>
          <w:tcPr>
            <w:tcW w:w="1558" w:type="dxa"/>
            <w:vAlign w:val="center"/>
          </w:tcPr>
          <w:p>
            <w:pPr>
              <w:jc w:val="center"/>
              <w:rPr>
                <w:color w:val="auto"/>
                <w:sz w:val="21"/>
                <w:szCs w:val="21"/>
              </w:rPr>
            </w:pPr>
            <w:r>
              <w:rPr>
                <w:color w:val="auto"/>
                <w:sz w:val="21"/>
                <w:szCs w:val="21"/>
              </w:rPr>
              <w:t>--</w:t>
            </w:r>
          </w:p>
        </w:tc>
        <w:tc>
          <w:tcPr>
            <w:tcW w:w="1419" w:type="dxa"/>
            <w:vAlign w:val="center"/>
          </w:tcPr>
          <w:p>
            <w:pPr>
              <w:jc w:val="center"/>
              <w:rPr>
                <w:color w:val="auto"/>
                <w:sz w:val="21"/>
                <w:szCs w:val="21"/>
              </w:rPr>
            </w:pPr>
            <w:r>
              <w:rPr>
                <w:color w:val="auto"/>
                <w:sz w:val="21"/>
                <w:szCs w:val="21"/>
              </w:rPr>
              <w:t>--</w:t>
            </w:r>
          </w:p>
        </w:tc>
        <w:tc>
          <w:tcPr>
            <w:tcW w:w="2089" w:type="dxa"/>
            <w:vAlign w:val="center"/>
          </w:tcPr>
          <w:p>
            <w:pPr>
              <w:jc w:val="center"/>
              <w:rPr>
                <w:color w:val="auto"/>
                <w:sz w:val="21"/>
                <w:szCs w:val="21"/>
              </w:rPr>
            </w:pPr>
            <w:r>
              <w:rPr>
                <w:color w:val="auto"/>
                <w:sz w:val="21"/>
                <w:szCs w:val="21"/>
              </w:rPr>
              <w:t>--</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20" w:hRule="atLeast"/>
        </w:trPr>
        <w:tc>
          <w:tcPr>
            <w:tcW w:w="1850" w:type="dxa"/>
            <w:vAlign w:val="center"/>
          </w:tcPr>
          <w:p>
            <w:pPr>
              <w:jc w:val="center"/>
              <w:rPr>
                <w:color w:val="auto"/>
                <w:sz w:val="21"/>
                <w:szCs w:val="21"/>
              </w:rPr>
            </w:pPr>
            <w:r>
              <w:rPr>
                <w:color w:val="auto"/>
                <w:sz w:val="21"/>
                <w:szCs w:val="21"/>
              </w:rPr>
              <w:t>硫酸盐≤</w:t>
            </w:r>
          </w:p>
        </w:tc>
        <w:tc>
          <w:tcPr>
            <w:tcW w:w="2370" w:type="dxa"/>
            <w:vAlign w:val="center"/>
          </w:tcPr>
          <w:p>
            <w:pPr>
              <w:jc w:val="center"/>
              <w:rPr>
                <w:color w:val="auto"/>
                <w:sz w:val="21"/>
                <w:szCs w:val="21"/>
              </w:rPr>
            </w:pPr>
            <w:r>
              <w:rPr>
                <w:color w:val="auto"/>
                <w:sz w:val="21"/>
                <w:szCs w:val="21"/>
              </w:rPr>
              <w:t>250</w:t>
            </w:r>
          </w:p>
        </w:tc>
        <w:tc>
          <w:tcPr>
            <w:tcW w:w="1558" w:type="dxa"/>
            <w:vAlign w:val="center"/>
          </w:tcPr>
          <w:p>
            <w:pPr>
              <w:jc w:val="center"/>
              <w:rPr>
                <w:color w:val="auto"/>
                <w:sz w:val="21"/>
                <w:szCs w:val="21"/>
              </w:rPr>
            </w:pPr>
            <w:r>
              <w:rPr>
                <w:color w:val="auto"/>
                <w:sz w:val="21"/>
                <w:szCs w:val="21"/>
              </w:rPr>
              <w:t>--</w:t>
            </w:r>
          </w:p>
        </w:tc>
        <w:tc>
          <w:tcPr>
            <w:tcW w:w="1419" w:type="dxa"/>
            <w:vAlign w:val="center"/>
          </w:tcPr>
          <w:p>
            <w:pPr>
              <w:jc w:val="center"/>
              <w:rPr>
                <w:color w:val="auto"/>
                <w:sz w:val="21"/>
                <w:szCs w:val="21"/>
              </w:rPr>
            </w:pPr>
            <w:r>
              <w:rPr>
                <w:color w:val="auto"/>
                <w:sz w:val="21"/>
                <w:szCs w:val="21"/>
              </w:rPr>
              <w:t>--</w:t>
            </w:r>
          </w:p>
        </w:tc>
        <w:tc>
          <w:tcPr>
            <w:tcW w:w="2089" w:type="dxa"/>
            <w:vAlign w:val="center"/>
          </w:tcPr>
          <w:p>
            <w:pPr>
              <w:jc w:val="center"/>
              <w:rPr>
                <w:color w:val="auto"/>
                <w:sz w:val="21"/>
                <w:szCs w:val="21"/>
              </w:rPr>
            </w:pPr>
            <w:r>
              <w:rPr>
                <w:color w:val="auto"/>
                <w:sz w:val="21"/>
                <w:szCs w:val="21"/>
              </w:rPr>
              <w:t>--</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20" w:hRule="atLeast"/>
        </w:trPr>
        <w:tc>
          <w:tcPr>
            <w:tcW w:w="1850" w:type="dxa"/>
            <w:vAlign w:val="center"/>
          </w:tcPr>
          <w:p>
            <w:pPr>
              <w:jc w:val="center"/>
              <w:rPr>
                <w:color w:val="auto"/>
                <w:sz w:val="21"/>
                <w:szCs w:val="21"/>
              </w:rPr>
            </w:pPr>
            <w:r>
              <w:rPr>
                <w:color w:val="auto"/>
                <w:sz w:val="21"/>
                <w:szCs w:val="21"/>
              </w:rPr>
              <w:t>阴离子表面活性剂≤</w:t>
            </w:r>
          </w:p>
        </w:tc>
        <w:tc>
          <w:tcPr>
            <w:tcW w:w="2370" w:type="dxa"/>
            <w:vAlign w:val="center"/>
          </w:tcPr>
          <w:p>
            <w:pPr>
              <w:jc w:val="center"/>
              <w:rPr>
                <w:color w:val="auto"/>
                <w:sz w:val="21"/>
                <w:szCs w:val="21"/>
              </w:rPr>
            </w:pPr>
            <w:r>
              <w:rPr>
                <w:color w:val="auto"/>
                <w:sz w:val="21"/>
                <w:szCs w:val="21"/>
              </w:rPr>
              <w:t>0.5</w:t>
            </w:r>
          </w:p>
        </w:tc>
        <w:tc>
          <w:tcPr>
            <w:tcW w:w="1558" w:type="dxa"/>
            <w:vAlign w:val="center"/>
          </w:tcPr>
          <w:p>
            <w:pPr>
              <w:jc w:val="center"/>
              <w:rPr>
                <w:color w:val="auto"/>
                <w:sz w:val="21"/>
                <w:szCs w:val="21"/>
              </w:rPr>
            </w:pPr>
            <w:r>
              <w:rPr>
                <w:color w:val="auto"/>
                <w:sz w:val="21"/>
                <w:szCs w:val="21"/>
              </w:rPr>
              <w:t>1.0</w:t>
            </w:r>
          </w:p>
        </w:tc>
        <w:tc>
          <w:tcPr>
            <w:tcW w:w="1419" w:type="dxa"/>
            <w:vAlign w:val="center"/>
          </w:tcPr>
          <w:p>
            <w:pPr>
              <w:jc w:val="center"/>
              <w:rPr>
                <w:color w:val="auto"/>
                <w:sz w:val="21"/>
                <w:szCs w:val="21"/>
              </w:rPr>
            </w:pPr>
            <w:r>
              <w:rPr>
                <w:color w:val="auto"/>
                <w:sz w:val="21"/>
                <w:szCs w:val="21"/>
              </w:rPr>
              <w:t>1.0</w:t>
            </w:r>
          </w:p>
        </w:tc>
        <w:tc>
          <w:tcPr>
            <w:tcW w:w="2089" w:type="dxa"/>
            <w:vAlign w:val="center"/>
          </w:tcPr>
          <w:p>
            <w:pPr>
              <w:jc w:val="center"/>
              <w:rPr>
                <w:color w:val="auto"/>
                <w:sz w:val="21"/>
                <w:szCs w:val="21"/>
              </w:rPr>
            </w:pPr>
            <w:r>
              <w:rPr>
                <w:color w:val="auto"/>
                <w:sz w:val="21"/>
                <w:szCs w:val="21"/>
              </w:rPr>
              <w:t>1.0</w:t>
            </w:r>
          </w:p>
        </w:tc>
      </w:tr>
    </w:tbl>
    <w:p>
      <w:pPr>
        <w:ind w:firstLine="420"/>
        <w:rPr>
          <w:color w:val="auto"/>
          <w:sz w:val="21"/>
          <w:szCs w:val="21"/>
        </w:rPr>
      </w:pPr>
      <w:r>
        <w:rPr>
          <w:color w:val="auto"/>
          <w:sz w:val="21"/>
          <w:szCs w:val="21"/>
        </w:rPr>
        <w:t>注：*代表冷却系统换热器材质为非铜。</w:t>
      </w:r>
    </w:p>
    <w:p>
      <w:pPr>
        <w:pStyle w:val="301"/>
        <w:rPr>
          <w:color w:val="auto"/>
        </w:rPr>
      </w:pPr>
      <w:r>
        <w:rPr>
          <w:color w:val="auto"/>
        </w:rPr>
        <w:t>2.8.2.3噪声排放标准</w:t>
      </w:r>
    </w:p>
    <w:p>
      <w:pPr>
        <w:spacing w:line="360" w:lineRule="auto"/>
        <w:ind w:firstLine="480"/>
        <w:rPr>
          <w:color w:val="auto"/>
        </w:rPr>
      </w:pPr>
      <w:r>
        <w:rPr>
          <w:color w:val="auto"/>
        </w:rPr>
        <w:t>施工期噪声排放执行《建筑施工场界环境噪声排放标准》（GB12523-2011）中排放限值，具体见下表。</w:t>
      </w:r>
    </w:p>
    <w:p>
      <w:pPr>
        <w:pStyle w:val="5"/>
        <w:ind w:firstLine="482"/>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2.8</w:t>
      </w:r>
      <w:r>
        <w:rPr>
          <w:b/>
          <w:color w:val="auto"/>
        </w:rPr>
        <w:fldChar w:fldCharType="end"/>
      </w:r>
      <w:r>
        <w:rPr>
          <w:b/>
          <w:color w:val="auto"/>
        </w:rPr>
        <w:noBreakHyphen/>
      </w:r>
      <w:r>
        <w:rPr>
          <w:b/>
          <w:color w:val="auto"/>
        </w:rPr>
        <w:fldChar w:fldCharType="begin"/>
      </w:r>
      <w:r>
        <w:rPr>
          <w:b/>
          <w:color w:val="auto"/>
        </w:rPr>
        <w:instrText xml:space="preserve"> SEQ 表 \* ARABIC \s 2 </w:instrText>
      </w:r>
      <w:r>
        <w:rPr>
          <w:b/>
          <w:color w:val="auto"/>
        </w:rPr>
        <w:fldChar w:fldCharType="separate"/>
      </w:r>
      <w:r>
        <w:rPr>
          <w:b/>
          <w:color w:val="auto"/>
        </w:rPr>
        <w:t>8</w:t>
      </w:r>
      <w:r>
        <w:rPr>
          <w:b/>
          <w:color w:val="auto"/>
        </w:rPr>
        <w:fldChar w:fldCharType="end"/>
      </w:r>
      <w:r>
        <w:rPr>
          <w:b/>
          <w:color w:val="auto"/>
        </w:rPr>
        <w:t xml:space="preserve">  施工期噪声排放标准  单位：dB</w:t>
      </w:r>
    </w:p>
    <w:tbl>
      <w:tblPr>
        <w:tblStyle w:val="53"/>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43"/>
        <w:gridCol w:w="46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643" w:type="dxa"/>
            <w:tcBorders>
              <w:top w:val="single" w:color="auto" w:sz="18" w:space="0"/>
            </w:tcBorders>
            <w:shd w:val="clear" w:color="auto" w:fill="auto"/>
            <w:vAlign w:val="center"/>
          </w:tcPr>
          <w:p>
            <w:pPr>
              <w:jc w:val="center"/>
              <w:rPr>
                <w:b/>
                <w:color w:val="auto"/>
                <w:sz w:val="21"/>
                <w:szCs w:val="21"/>
              </w:rPr>
            </w:pPr>
            <w:r>
              <w:rPr>
                <w:b/>
                <w:color w:val="auto"/>
                <w:sz w:val="21"/>
                <w:szCs w:val="21"/>
              </w:rPr>
              <w:t>昼间</w:t>
            </w:r>
          </w:p>
        </w:tc>
        <w:tc>
          <w:tcPr>
            <w:tcW w:w="4643" w:type="dxa"/>
            <w:tcBorders>
              <w:top w:val="single" w:color="auto" w:sz="18" w:space="0"/>
            </w:tcBorders>
            <w:shd w:val="clear" w:color="auto" w:fill="auto"/>
            <w:vAlign w:val="center"/>
          </w:tcPr>
          <w:p>
            <w:pPr>
              <w:jc w:val="center"/>
              <w:rPr>
                <w:b/>
                <w:color w:val="auto"/>
                <w:sz w:val="21"/>
                <w:szCs w:val="21"/>
              </w:rPr>
            </w:pPr>
            <w:r>
              <w:rPr>
                <w:b/>
                <w:color w:val="auto"/>
                <w:sz w:val="21"/>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643" w:type="dxa"/>
            <w:tcBorders>
              <w:bottom w:val="single" w:color="auto" w:sz="18" w:space="0"/>
            </w:tcBorders>
            <w:shd w:val="clear" w:color="auto" w:fill="auto"/>
            <w:vAlign w:val="center"/>
          </w:tcPr>
          <w:p>
            <w:pPr>
              <w:jc w:val="center"/>
              <w:rPr>
                <w:color w:val="auto"/>
                <w:sz w:val="21"/>
                <w:szCs w:val="21"/>
              </w:rPr>
            </w:pPr>
            <w:r>
              <w:rPr>
                <w:color w:val="auto"/>
                <w:sz w:val="21"/>
                <w:szCs w:val="21"/>
              </w:rPr>
              <w:t>70</w:t>
            </w:r>
          </w:p>
        </w:tc>
        <w:tc>
          <w:tcPr>
            <w:tcW w:w="4643" w:type="dxa"/>
            <w:tcBorders>
              <w:bottom w:val="single" w:color="auto" w:sz="18" w:space="0"/>
            </w:tcBorders>
            <w:shd w:val="clear" w:color="auto" w:fill="auto"/>
            <w:vAlign w:val="center"/>
          </w:tcPr>
          <w:p>
            <w:pPr>
              <w:jc w:val="center"/>
              <w:rPr>
                <w:color w:val="auto"/>
                <w:sz w:val="21"/>
                <w:szCs w:val="21"/>
              </w:rPr>
            </w:pPr>
            <w:r>
              <w:rPr>
                <w:color w:val="auto"/>
                <w:sz w:val="21"/>
                <w:szCs w:val="21"/>
              </w:rPr>
              <w:t>55</w:t>
            </w:r>
          </w:p>
        </w:tc>
      </w:tr>
    </w:tbl>
    <w:p>
      <w:pPr>
        <w:tabs>
          <w:tab w:val="left" w:pos="7349"/>
        </w:tabs>
        <w:spacing w:line="360" w:lineRule="auto"/>
        <w:ind w:firstLine="480" w:firstLineChars="200"/>
        <w:jc w:val="both"/>
        <w:rPr>
          <w:color w:val="auto"/>
        </w:rPr>
      </w:pPr>
      <w:r>
        <w:rPr>
          <w:color w:val="auto"/>
        </w:rPr>
        <w:t>运营期项目所在区域噪声排放执行《工业企业厂界环境噪声排放标准》（GB12348-2008）2类环境功能区排放限值，具体见下表。</w:t>
      </w:r>
    </w:p>
    <w:p>
      <w:pPr>
        <w:pStyle w:val="5"/>
        <w:ind w:firstLine="482"/>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2.8</w:t>
      </w:r>
      <w:r>
        <w:rPr>
          <w:b/>
          <w:color w:val="auto"/>
        </w:rPr>
        <w:fldChar w:fldCharType="end"/>
      </w:r>
      <w:r>
        <w:rPr>
          <w:b/>
          <w:color w:val="auto"/>
        </w:rPr>
        <w:noBreakHyphen/>
      </w:r>
      <w:r>
        <w:rPr>
          <w:b/>
          <w:color w:val="auto"/>
        </w:rPr>
        <w:fldChar w:fldCharType="begin"/>
      </w:r>
      <w:r>
        <w:rPr>
          <w:b/>
          <w:color w:val="auto"/>
        </w:rPr>
        <w:instrText xml:space="preserve"> SEQ 表 \* ARABIC \s 2 </w:instrText>
      </w:r>
      <w:r>
        <w:rPr>
          <w:b/>
          <w:color w:val="auto"/>
        </w:rPr>
        <w:fldChar w:fldCharType="separate"/>
      </w:r>
      <w:r>
        <w:rPr>
          <w:b/>
          <w:color w:val="auto"/>
        </w:rPr>
        <w:t>9</w:t>
      </w:r>
      <w:r>
        <w:rPr>
          <w:b/>
          <w:color w:val="auto"/>
        </w:rPr>
        <w:fldChar w:fldCharType="end"/>
      </w:r>
      <w:r>
        <w:rPr>
          <w:b/>
          <w:color w:val="auto"/>
        </w:rPr>
        <w:t xml:space="preserve">  运营期环境噪声排放标准  单位：dB（A）</w:t>
      </w:r>
    </w:p>
    <w:tbl>
      <w:tblPr>
        <w:tblStyle w:val="53"/>
        <w:tblW w:w="9286"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494"/>
        <w:gridCol w:w="1896"/>
        <w:gridCol w:w="189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5494" w:type="dxa"/>
            <w:tcBorders>
              <w:top w:val="single" w:color="auto" w:sz="18" w:space="0"/>
              <w:left w:val="nil"/>
              <w:bottom w:val="single" w:color="auto" w:sz="6" w:space="0"/>
              <w:right w:val="single" w:color="auto" w:sz="6" w:space="0"/>
            </w:tcBorders>
            <w:vAlign w:val="center"/>
          </w:tcPr>
          <w:p>
            <w:pPr>
              <w:jc w:val="center"/>
              <w:rPr>
                <w:b/>
                <w:color w:val="auto"/>
                <w:sz w:val="21"/>
                <w:szCs w:val="21"/>
              </w:rPr>
            </w:pPr>
            <w:r>
              <w:rPr>
                <w:b/>
                <w:color w:val="auto"/>
                <w:sz w:val="21"/>
                <w:szCs w:val="21"/>
              </w:rPr>
              <w:t>执行标准</w:t>
            </w:r>
          </w:p>
        </w:tc>
        <w:tc>
          <w:tcPr>
            <w:tcW w:w="1896" w:type="dxa"/>
            <w:tcBorders>
              <w:top w:val="single" w:color="auto" w:sz="18" w:space="0"/>
              <w:left w:val="single" w:color="auto" w:sz="6" w:space="0"/>
              <w:bottom w:val="single" w:color="auto" w:sz="6" w:space="0"/>
              <w:right w:val="single" w:color="auto" w:sz="6" w:space="0"/>
            </w:tcBorders>
            <w:vAlign w:val="center"/>
          </w:tcPr>
          <w:p>
            <w:pPr>
              <w:jc w:val="center"/>
              <w:rPr>
                <w:b/>
                <w:color w:val="auto"/>
                <w:sz w:val="21"/>
                <w:szCs w:val="21"/>
              </w:rPr>
            </w:pPr>
            <w:r>
              <w:rPr>
                <w:b/>
                <w:color w:val="auto"/>
                <w:sz w:val="21"/>
                <w:szCs w:val="21"/>
              </w:rPr>
              <w:t>昼间</w:t>
            </w:r>
          </w:p>
        </w:tc>
        <w:tc>
          <w:tcPr>
            <w:tcW w:w="1896" w:type="dxa"/>
            <w:tcBorders>
              <w:top w:val="single" w:color="auto" w:sz="18" w:space="0"/>
              <w:left w:val="single" w:color="auto" w:sz="6" w:space="0"/>
              <w:bottom w:val="single" w:color="auto" w:sz="6" w:space="0"/>
              <w:right w:val="nil"/>
            </w:tcBorders>
            <w:vAlign w:val="center"/>
          </w:tcPr>
          <w:p>
            <w:pPr>
              <w:jc w:val="center"/>
              <w:rPr>
                <w:b/>
                <w:color w:val="auto"/>
                <w:sz w:val="21"/>
                <w:szCs w:val="21"/>
              </w:rPr>
            </w:pPr>
            <w:r>
              <w:rPr>
                <w:b/>
                <w:color w:val="auto"/>
                <w:sz w:val="21"/>
                <w:szCs w:val="21"/>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5494" w:type="dxa"/>
            <w:tcBorders>
              <w:top w:val="single" w:color="auto" w:sz="6" w:space="0"/>
              <w:left w:val="nil"/>
              <w:bottom w:val="single" w:color="auto" w:sz="18" w:space="0"/>
              <w:right w:val="single" w:color="auto" w:sz="6" w:space="0"/>
            </w:tcBorders>
            <w:vAlign w:val="center"/>
          </w:tcPr>
          <w:p>
            <w:pPr>
              <w:jc w:val="center"/>
              <w:rPr>
                <w:color w:val="auto"/>
                <w:sz w:val="21"/>
                <w:szCs w:val="21"/>
              </w:rPr>
            </w:pPr>
            <w:r>
              <w:rPr>
                <w:color w:val="auto"/>
                <w:sz w:val="21"/>
                <w:szCs w:val="21"/>
              </w:rPr>
              <w:t>2类声环境功能区</w:t>
            </w:r>
          </w:p>
        </w:tc>
        <w:tc>
          <w:tcPr>
            <w:tcW w:w="1896" w:type="dxa"/>
            <w:tcBorders>
              <w:top w:val="single" w:color="auto" w:sz="6" w:space="0"/>
              <w:left w:val="single" w:color="auto" w:sz="6" w:space="0"/>
              <w:bottom w:val="single" w:color="auto" w:sz="18" w:space="0"/>
              <w:right w:val="single" w:color="auto" w:sz="6" w:space="0"/>
            </w:tcBorders>
            <w:vAlign w:val="center"/>
          </w:tcPr>
          <w:p>
            <w:pPr>
              <w:jc w:val="center"/>
              <w:rPr>
                <w:color w:val="auto"/>
                <w:sz w:val="21"/>
                <w:szCs w:val="21"/>
              </w:rPr>
            </w:pPr>
            <w:r>
              <w:rPr>
                <w:color w:val="auto"/>
                <w:sz w:val="21"/>
                <w:szCs w:val="21"/>
              </w:rPr>
              <w:t>60</w:t>
            </w:r>
          </w:p>
        </w:tc>
        <w:tc>
          <w:tcPr>
            <w:tcW w:w="1896" w:type="dxa"/>
            <w:tcBorders>
              <w:top w:val="single" w:color="auto" w:sz="6" w:space="0"/>
              <w:left w:val="single" w:color="auto" w:sz="6" w:space="0"/>
              <w:bottom w:val="single" w:color="auto" w:sz="18" w:space="0"/>
              <w:right w:val="nil"/>
            </w:tcBorders>
            <w:vAlign w:val="center"/>
          </w:tcPr>
          <w:p>
            <w:pPr>
              <w:jc w:val="center"/>
              <w:rPr>
                <w:color w:val="auto"/>
                <w:sz w:val="21"/>
                <w:szCs w:val="21"/>
              </w:rPr>
            </w:pPr>
            <w:r>
              <w:rPr>
                <w:color w:val="auto"/>
                <w:sz w:val="21"/>
                <w:szCs w:val="21"/>
              </w:rPr>
              <w:t>50</w:t>
            </w:r>
          </w:p>
        </w:tc>
      </w:tr>
    </w:tbl>
    <w:p>
      <w:pPr>
        <w:pStyle w:val="301"/>
        <w:rPr>
          <w:color w:val="auto"/>
        </w:rPr>
      </w:pPr>
      <w:r>
        <w:rPr>
          <w:color w:val="auto"/>
        </w:rPr>
        <w:t>2.8.2.4固体废物标准</w:t>
      </w:r>
    </w:p>
    <w:p>
      <w:pPr>
        <w:spacing w:line="360" w:lineRule="auto"/>
        <w:ind w:firstLine="480"/>
        <w:jc w:val="both"/>
        <w:rPr>
          <w:color w:val="auto"/>
        </w:rPr>
      </w:pPr>
      <w:r>
        <w:rPr>
          <w:color w:val="auto"/>
        </w:rPr>
        <w:t>项目产生的工业固废分别执行《一般工业固体废弃物贮存、处置场污染控制标准》（GB 18599-2001）和《危险废物贮存污染控制标准》（GB 18597-2001）以及环保部2013年第36号公告中的相关规定。</w:t>
      </w:r>
    </w:p>
    <w:p>
      <w:pPr>
        <w:pStyle w:val="3"/>
        <w:rPr>
          <w:rFonts w:ascii="Times New Roman"/>
          <w:color w:val="auto"/>
        </w:rPr>
      </w:pPr>
      <w:bookmarkStart w:id="222" w:name="_Toc23263154"/>
      <w:bookmarkStart w:id="223" w:name="_Toc30873"/>
      <w:bookmarkStart w:id="224" w:name="_Toc24136737"/>
      <w:bookmarkStart w:id="225" w:name="_Toc14943312"/>
      <w:r>
        <w:rPr>
          <w:rFonts w:ascii="Times New Roman"/>
          <w:color w:val="auto"/>
        </w:rPr>
        <w:t>污染控制与环境保护目标</w:t>
      </w:r>
      <w:bookmarkEnd w:id="222"/>
      <w:bookmarkEnd w:id="223"/>
      <w:bookmarkEnd w:id="224"/>
      <w:bookmarkEnd w:id="225"/>
    </w:p>
    <w:p>
      <w:pPr>
        <w:pStyle w:val="298"/>
        <w:spacing w:before="42" w:after="42"/>
        <w:rPr>
          <w:color w:val="auto"/>
        </w:rPr>
      </w:pPr>
      <w:bookmarkStart w:id="226" w:name="_Toc24763"/>
      <w:bookmarkStart w:id="227" w:name="_Toc14946834"/>
      <w:bookmarkStart w:id="228" w:name="_Toc24136738"/>
      <w:bookmarkStart w:id="229" w:name="_Toc15912126"/>
      <w:r>
        <w:rPr>
          <w:color w:val="auto"/>
        </w:rPr>
        <w:t>2.9.1污染控制目标</w:t>
      </w:r>
      <w:bookmarkEnd w:id="226"/>
      <w:bookmarkEnd w:id="227"/>
      <w:bookmarkEnd w:id="228"/>
      <w:bookmarkEnd w:id="229"/>
    </w:p>
    <w:p>
      <w:pPr>
        <w:spacing w:line="360" w:lineRule="auto"/>
        <w:ind w:firstLine="480"/>
        <w:rPr>
          <w:color w:val="auto"/>
        </w:rPr>
      </w:pPr>
      <w:r>
        <w:rPr>
          <w:color w:val="auto"/>
        </w:rPr>
        <w:t>本项目运营期主要控制</w:t>
      </w:r>
      <w:r>
        <w:rPr>
          <w:rFonts w:hint="eastAsia"/>
          <w:color w:val="auto"/>
        </w:rPr>
        <w:t>“</w:t>
      </w:r>
      <w:r>
        <w:rPr>
          <w:color w:val="auto"/>
        </w:rPr>
        <w:t>三废</w:t>
      </w:r>
      <w:r>
        <w:rPr>
          <w:rFonts w:hint="eastAsia"/>
          <w:color w:val="auto"/>
        </w:rPr>
        <w:t>”</w:t>
      </w:r>
      <w:r>
        <w:rPr>
          <w:color w:val="auto"/>
        </w:rPr>
        <w:t>和噪声的排放，具体污染控制内容与目标见表2.9-1。</w:t>
      </w:r>
    </w:p>
    <w:p>
      <w:pPr>
        <w:pStyle w:val="5"/>
        <w:ind w:firstLine="482"/>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2.9</w:t>
      </w:r>
      <w:r>
        <w:rPr>
          <w:b/>
          <w:color w:val="auto"/>
        </w:rPr>
        <w:fldChar w:fldCharType="end"/>
      </w:r>
      <w:r>
        <w:rPr>
          <w:b/>
          <w:color w:val="auto"/>
        </w:rPr>
        <w:noBreakHyphen/>
      </w:r>
      <w:r>
        <w:rPr>
          <w:b/>
          <w:color w:val="auto"/>
        </w:rPr>
        <w:fldChar w:fldCharType="begin"/>
      </w:r>
      <w:r>
        <w:rPr>
          <w:b/>
          <w:color w:val="auto"/>
        </w:rPr>
        <w:instrText xml:space="preserve"> SEQ 表 \* ARABIC \s 2 </w:instrText>
      </w:r>
      <w:r>
        <w:rPr>
          <w:b/>
          <w:color w:val="auto"/>
        </w:rPr>
        <w:fldChar w:fldCharType="separate"/>
      </w:r>
      <w:r>
        <w:rPr>
          <w:b/>
          <w:color w:val="auto"/>
        </w:rPr>
        <w:t>1</w:t>
      </w:r>
      <w:r>
        <w:rPr>
          <w:b/>
          <w:color w:val="auto"/>
        </w:rPr>
        <w:fldChar w:fldCharType="end"/>
      </w:r>
      <w:r>
        <w:rPr>
          <w:b/>
          <w:color w:val="auto"/>
        </w:rPr>
        <w:t xml:space="preserve">  本项目运营期污染控制内容与目标</w:t>
      </w:r>
    </w:p>
    <w:tbl>
      <w:tblPr>
        <w:tblStyle w:val="53"/>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7"/>
        <w:gridCol w:w="960"/>
        <w:gridCol w:w="2832"/>
        <w:gridCol w:w="3402"/>
        <w:gridCol w:w="16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1387" w:type="dxa"/>
            <w:gridSpan w:val="2"/>
            <w:tcBorders>
              <w:top w:val="single" w:color="auto" w:sz="18" w:space="0"/>
            </w:tcBorders>
            <w:vAlign w:val="center"/>
          </w:tcPr>
          <w:p>
            <w:pPr>
              <w:jc w:val="center"/>
              <w:rPr>
                <w:b/>
                <w:color w:val="auto"/>
                <w:sz w:val="21"/>
                <w:szCs w:val="21"/>
              </w:rPr>
            </w:pPr>
            <w:r>
              <w:rPr>
                <w:b/>
                <w:color w:val="auto"/>
                <w:sz w:val="21"/>
                <w:szCs w:val="21"/>
              </w:rPr>
              <w:t>污染物类型</w:t>
            </w:r>
          </w:p>
        </w:tc>
        <w:tc>
          <w:tcPr>
            <w:tcW w:w="2832" w:type="dxa"/>
            <w:tcBorders>
              <w:top w:val="single" w:color="auto" w:sz="18" w:space="0"/>
            </w:tcBorders>
            <w:vAlign w:val="center"/>
          </w:tcPr>
          <w:p>
            <w:pPr>
              <w:jc w:val="center"/>
              <w:rPr>
                <w:b/>
                <w:color w:val="auto"/>
                <w:sz w:val="21"/>
                <w:szCs w:val="21"/>
              </w:rPr>
            </w:pPr>
            <w:r>
              <w:rPr>
                <w:b/>
                <w:color w:val="auto"/>
                <w:sz w:val="21"/>
                <w:szCs w:val="21"/>
              </w:rPr>
              <w:t>主要污染物</w:t>
            </w:r>
          </w:p>
        </w:tc>
        <w:tc>
          <w:tcPr>
            <w:tcW w:w="3402" w:type="dxa"/>
            <w:tcBorders>
              <w:top w:val="single" w:color="auto" w:sz="18" w:space="0"/>
            </w:tcBorders>
            <w:vAlign w:val="center"/>
          </w:tcPr>
          <w:p>
            <w:pPr>
              <w:jc w:val="center"/>
              <w:rPr>
                <w:b/>
                <w:color w:val="auto"/>
                <w:sz w:val="21"/>
                <w:szCs w:val="21"/>
              </w:rPr>
            </w:pPr>
            <w:r>
              <w:rPr>
                <w:b/>
                <w:color w:val="auto"/>
                <w:sz w:val="21"/>
                <w:szCs w:val="21"/>
              </w:rPr>
              <w:t>污染物控制内容</w:t>
            </w:r>
          </w:p>
        </w:tc>
        <w:tc>
          <w:tcPr>
            <w:tcW w:w="1665" w:type="dxa"/>
            <w:tcBorders>
              <w:top w:val="single" w:color="auto" w:sz="18" w:space="0"/>
            </w:tcBorders>
            <w:vAlign w:val="center"/>
          </w:tcPr>
          <w:p>
            <w:pPr>
              <w:jc w:val="center"/>
              <w:rPr>
                <w:b/>
                <w:color w:val="auto"/>
                <w:sz w:val="21"/>
                <w:szCs w:val="21"/>
              </w:rPr>
            </w:pPr>
            <w:r>
              <w:rPr>
                <w:b/>
                <w:color w:val="auto"/>
                <w:sz w:val="21"/>
                <w:szCs w:val="21"/>
              </w:rPr>
              <w:t>控制目标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27" w:type="dxa"/>
            <w:vMerge w:val="restart"/>
            <w:vAlign w:val="center"/>
          </w:tcPr>
          <w:p>
            <w:pPr>
              <w:jc w:val="center"/>
              <w:rPr>
                <w:color w:val="auto"/>
                <w:sz w:val="21"/>
                <w:szCs w:val="21"/>
              </w:rPr>
            </w:pPr>
            <w:r>
              <w:rPr>
                <w:rFonts w:hint="eastAsia"/>
                <w:color w:val="auto"/>
                <w:sz w:val="21"/>
                <w:szCs w:val="21"/>
              </w:rPr>
              <w:t>废气</w:t>
            </w:r>
          </w:p>
        </w:tc>
        <w:tc>
          <w:tcPr>
            <w:tcW w:w="960" w:type="dxa"/>
            <w:vAlign w:val="center"/>
          </w:tcPr>
          <w:p>
            <w:pPr>
              <w:jc w:val="center"/>
              <w:rPr>
                <w:color w:val="auto"/>
                <w:sz w:val="21"/>
                <w:szCs w:val="21"/>
              </w:rPr>
            </w:pPr>
            <w:r>
              <w:rPr>
                <w:color w:val="auto"/>
                <w:sz w:val="21"/>
                <w:szCs w:val="21"/>
              </w:rPr>
              <w:t>恶臭</w:t>
            </w:r>
          </w:p>
        </w:tc>
        <w:tc>
          <w:tcPr>
            <w:tcW w:w="2832" w:type="dxa"/>
            <w:vAlign w:val="center"/>
          </w:tcPr>
          <w:p>
            <w:pPr>
              <w:jc w:val="center"/>
              <w:rPr>
                <w:color w:val="auto"/>
                <w:sz w:val="21"/>
                <w:szCs w:val="21"/>
              </w:rPr>
            </w:pPr>
            <w:r>
              <w:rPr>
                <w:color w:val="auto"/>
                <w:sz w:val="21"/>
              </w:rPr>
              <w:t>NH</w:t>
            </w:r>
            <w:r>
              <w:rPr>
                <w:color w:val="auto"/>
                <w:sz w:val="21"/>
                <w:vertAlign w:val="subscript"/>
              </w:rPr>
              <w:t>3</w:t>
            </w:r>
            <w:r>
              <w:rPr>
                <w:color w:val="auto"/>
                <w:sz w:val="21"/>
              </w:rPr>
              <w:t>、H</w:t>
            </w:r>
            <w:r>
              <w:rPr>
                <w:color w:val="auto"/>
                <w:sz w:val="21"/>
                <w:vertAlign w:val="subscript"/>
              </w:rPr>
              <w:t>2</w:t>
            </w:r>
            <w:r>
              <w:rPr>
                <w:color w:val="auto"/>
                <w:sz w:val="21"/>
              </w:rPr>
              <w:t>S</w:t>
            </w:r>
          </w:p>
        </w:tc>
        <w:tc>
          <w:tcPr>
            <w:tcW w:w="3402" w:type="dxa"/>
            <w:vAlign w:val="center"/>
          </w:tcPr>
          <w:p>
            <w:pPr>
              <w:jc w:val="center"/>
              <w:rPr>
                <w:color w:val="auto"/>
                <w:sz w:val="21"/>
                <w:szCs w:val="21"/>
              </w:rPr>
            </w:pPr>
            <w:r>
              <w:rPr>
                <w:rFonts w:hint="eastAsia"/>
                <w:color w:val="auto"/>
                <w:sz w:val="21"/>
                <w:szCs w:val="21"/>
              </w:rPr>
              <w:t>“化学洗涤塔+光催化氧化+植物液喷淋”处理工艺</w:t>
            </w:r>
          </w:p>
        </w:tc>
        <w:tc>
          <w:tcPr>
            <w:tcW w:w="1665" w:type="dxa"/>
            <w:vAlign w:val="center"/>
          </w:tcPr>
          <w:p>
            <w:pPr>
              <w:jc w:val="center"/>
              <w:rPr>
                <w:color w:val="auto"/>
                <w:sz w:val="21"/>
                <w:szCs w:val="21"/>
              </w:rPr>
            </w:pPr>
            <w:r>
              <w:rPr>
                <w:color w:val="auto"/>
                <w:sz w:val="21"/>
                <w:szCs w:val="21"/>
              </w:rPr>
              <w:t>达标排放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27" w:type="dxa"/>
            <w:vMerge w:val="continue"/>
            <w:vAlign w:val="center"/>
          </w:tcPr>
          <w:p>
            <w:pPr>
              <w:jc w:val="center"/>
              <w:rPr>
                <w:color w:val="auto"/>
                <w:sz w:val="21"/>
                <w:szCs w:val="21"/>
              </w:rPr>
            </w:pPr>
          </w:p>
        </w:tc>
        <w:tc>
          <w:tcPr>
            <w:tcW w:w="960" w:type="dxa"/>
            <w:vAlign w:val="center"/>
          </w:tcPr>
          <w:p>
            <w:pPr>
              <w:jc w:val="center"/>
              <w:rPr>
                <w:color w:val="auto"/>
                <w:sz w:val="21"/>
                <w:szCs w:val="21"/>
              </w:rPr>
            </w:pPr>
            <w:r>
              <w:rPr>
                <w:color w:val="auto"/>
                <w:sz w:val="21"/>
                <w:szCs w:val="21"/>
              </w:rPr>
              <w:t>粉尘</w:t>
            </w:r>
          </w:p>
        </w:tc>
        <w:tc>
          <w:tcPr>
            <w:tcW w:w="2832" w:type="dxa"/>
            <w:vAlign w:val="center"/>
          </w:tcPr>
          <w:p>
            <w:pPr>
              <w:jc w:val="center"/>
              <w:rPr>
                <w:color w:val="auto"/>
                <w:sz w:val="21"/>
                <w:szCs w:val="21"/>
              </w:rPr>
            </w:pPr>
            <w:r>
              <w:rPr>
                <w:color w:val="auto"/>
                <w:sz w:val="21"/>
                <w:szCs w:val="21"/>
              </w:rPr>
              <w:t>颗粒物</w:t>
            </w:r>
          </w:p>
        </w:tc>
        <w:tc>
          <w:tcPr>
            <w:tcW w:w="3402" w:type="dxa"/>
            <w:vAlign w:val="center"/>
          </w:tcPr>
          <w:p>
            <w:pPr>
              <w:jc w:val="center"/>
              <w:rPr>
                <w:color w:val="auto"/>
                <w:sz w:val="21"/>
                <w:szCs w:val="21"/>
              </w:rPr>
            </w:pPr>
            <w:r>
              <w:rPr>
                <w:rFonts w:hint="eastAsia"/>
                <w:color w:val="auto"/>
                <w:sz w:val="21"/>
                <w:szCs w:val="21"/>
              </w:rPr>
              <w:t>洒水抑沉</w:t>
            </w:r>
          </w:p>
        </w:tc>
        <w:tc>
          <w:tcPr>
            <w:tcW w:w="1665" w:type="dxa"/>
            <w:vAlign w:val="center"/>
          </w:tcPr>
          <w:p>
            <w:pPr>
              <w:jc w:val="center"/>
              <w:rPr>
                <w:color w:val="auto"/>
                <w:sz w:val="21"/>
                <w:szCs w:val="21"/>
              </w:rPr>
            </w:pPr>
            <w:r>
              <w:rPr>
                <w:color w:val="auto"/>
                <w:sz w:val="21"/>
                <w:szCs w:val="21"/>
              </w:rPr>
              <w:t>达标排放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27" w:type="dxa"/>
            <w:vMerge w:val="restart"/>
            <w:vAlign w:val="center"/>
          </w:tcPr>
          <w:p>
            <w:pPr>
              <w:jc w:val="center"/>
              <w:rPr>
                <w:color w:val="auto"/>
                <w:sz w:val="21"/>
                <w:szCs w:val="21"/>
              </w:rPr>
            </w:pPr>
            <w:r>
              <w:rPr>
                <w:color w:val="auto"/>
                <w:sz w:val="21"/>
                <w:szCs w:val="21"/>
              </w:rPr>
              <w:t>废水</w:t>
            </w:r>
          </w:p>
        </w:tc>
        <w:tc>
          <w:tcPr>
            <w:tcW w:w="960" w:type="dxa"/>
            <w:vAlign w:val="center"/>
          </w:tcPr>
          <w:p>
            <w:pPr>
              <w:jc w:val="center"/>
              <w:rPr>
                <w:color w:val="auto"/>
                <w:sz w:val="21"/>
                <w:szCs w:val="21"/>
              </w:rPr>
            </w:pPr>
            <w:r>
              <w:rPr>
                <w:rFonts w:hint="eastAsia"/>
                <w:color w:val="auto"/>
                <w:sz w:val="21"/>
                <w:szCs w:val="21"/>
              </w:rPr>
              <w:t>餐厨垃圾生产废水</w:t>
            </w:r>
          </w:p>
        </w:tc>
        <w:tc>
          <w:tcPr>
            <w:tcW w:w="2832" w:type="dxa"/>
            <w:vAlign w:val="center"/>
          </w:tcPr>
          <w:p>
            <w:pPr>
              <w:jc w:val="center"/>
              <w:rPr>
                <w:color w:val="auto"/>
                <w:sz w:val="21"/>
                <w:szCs w:val="21"/>
              </w:rPr>
            </w:pPr>
            <w:r>
              <w:rPr>
                <w:color w:val="auto"/>
                <w:sz w:val="21"/>
                <w:szCs w:val="21"/>
              </w:rPr>
              <w:t>pH、CODcr、BOD</w:t>
            </w:r>
            <w:r>
              <w:rPr>
                <w:color w:val="auto"/>
                <w:sz w:val="21"/>
                <w:szCs w:val="21"/>
                <w:vertAlign w:val="subscript"/>
              </w:rPr>
              <w:t>5</w:t>
            </w:r>
            <w:r>
              <w:rPr>
                <w:color w:val="auto"/>
                <w:sz w:val="21"/>
                <w:szCs w:val="21"/>
              </w:rPr>
              <w:t>、NH</w:t>
            </w:r>
            <w:r>
              <w:rPr>
                <w:color w:val="auto"/>
                <w:sz w:val="21"/>
                <w:szCs w:val="21"/>
                <w:vertAlign w:val="subscript"/>
              </w:rPr>
              <w:t>3</w:t>
            </w:r>
            <w:r>
              <w:rPr>
                <w:color w:val="auto"/>
                <w:sz w:val="21"/>
                <w:szCs w:val="21"/>
              </w:rPr>
              <w:t>-N、SS、</w:t>
            </w:r>
            <w:r>
              <w:rPr>
                <w:rFonts w:hint="eastAsia"/>
                <w:color w:val="auto"/>
                <w:sz w:val="21"/>
                <w:szCs w:val="21"/>
              </w:rPr>
              <w:t>动植物油</w:t>
            </w:r>
          </w:p>
        </w:tc>
        <w:tc>
          <w:tcPr>
            <w:tcW w:w="3402" w:type="dxa"/>
            <w:vAlign w:val="center"/>
          </w:tcPr>
          <w:p>
            <w:pPr>
              <w:jc w:val="center"/>
              <w:rPr>
                <w:color w:val="auto"/>
                <w:sz w:val="21"/>
                <w:szCs w:val="21"/>
              </w:rPr>
            </w:pPr>
            <w:r>
              <w:rPr>
                <w:rFonts w:hint="eastAsia" w:asciiTheme="minorEastAsia" w:hAnsiTheme="minorEastAsia" w:eastAsiaTheme="minorEastAsia"/>
                <w:color w:val="auto"/>
                <w:sz w:val="21"/>
                <w:szCs w:val="21"/>
              </w:rPr>
              <w:t>依托园区内污水处理站处理</w:t>
            </w:r>
            <w:r>
              <w:rPr>
                <w:rFonts w:asciiTheme="minorEastAsia" w:hAnsiTheme="minorEastAsia" w:eastAsiaTheme="minorEastAsia"/>
                <w:color w:val="auto"/>
                <w:sz w:val="21"/>
                <w:szCs w:val="21"/>
              </w:rPr>
              <w:t>，</w:t>
            </w:r>
            <w:r>
              <w:rPr>
                <w:rFonts w:hint="eastAsia" w:asciiTheme="minorEastAsia" w:hAnsiTheme="minorEastAsia" w:eastAsiaTheme="minorEastAsia"/>
                <w:color w:val="auto"/>
                <w:sz w:val="21"/>
                <w:szCs w:val="21"/>
              </w:rPr>
              <w:t>采用</w:t>
            </w:r>
            <w:r>
              <w:rPr>
                <w:rFonts w:asciiTheme="minorEastAsia" w:hAnsiTheme="minorEastAsia" w:eastAsiaTheme="minorEastAsia"/>
                <w:color w:val="auto"/>
              </w:rPr>
              <w:t>“</w:t>
            </w:r>
            <w:r>
              <w:rPr>
                <w:rFonts w:asciiTheme="minorEastAsia" w:hAnsiTheme="minorEastAsia" w:eastAsiaTheme="minorEastAsia"/>
                <w:color w:val="auto"/>
                <w:sz w:val="21"/>
                <w:szCs w:val="21"/>
              </w:rPr>
              <w:t>预处</w:t>
            </w:r>
            <w:r>
              <w:rPr>
                <w:rFonts w:eastAsiaTheme="minorEastAsia"/>
                <w:color w:val="auto"/>
                <w:sz w:val="21"/>
                <w:szCs w:val="21"/>
              </w:rPr>
              <w:t>理+ UASB厌氧反应器+MBR生化处理系统+NF纳滤膜系统+RO反渗透系统+DTRO</w:t>
            </w:r>
            <w:r>
              <w:rPr>
                <w:rFonts w:asciiTheme="minorEastAsia" w:hAnsiTheme="minorEastAsia" w:eastAsiaTheme="minorEastAsia"/>
                <w:color w:val="auto"/>
                <w:sz w:val="21"/>
                <w:szCs w:val="21"/>
              </w:rPr>
              <w:t>” 处理</w:t>
            </w:r>
            <w:r>
              <w:rPr>
                <w:color w:val="auto"/>
                <w:sz w:val="21"/>
                <w:szCs w:val="21"/>
              </w:rPr>
              <w:t>工艺</w:t>
            </w:r>
          </w:p>
        </w:tc>
        <w:tc>
          <w:tcPr>
            <w:tcW w:w="1665" w:type="dxa"/>
            <w:vAlign w:val="center"/>
          </w:tcPr>
          <w:p>
            <w:pPr>
              <w:jc w:val="center"/>
              <w:rPr>
                <w:color w:val="auto"/>
                <w:sz w:val="21"/>
                <w:szCs w:val="21"/>
              </w:rPr>
            </w:pPr>
            <w:r>
              <w:rPr>
                <w:rFonts w:hint="eastAsia"/>
                <w:color w:val="auto"/>
                <w:sz w:val="21"/>
                <w:szCs w:val="21"/>
              </w:rPr>
              <w:t>排入园区污水处理厂综合处理之后回用于厂区循环水池等，不外排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27" w:type="dxa"/>
            <w:vMerge w:val="continue"/>
            <w:vAlign w:val="center"/>
          </w:tcPr>
          <w:p>
            <w:pPr>
              <w:jc w:val="center"/>
              <w:rPr>
                <w:color w:val="auto"/>
                <w:sz w:val="21"/>
                <w:szCs w:val="21"/>
              </w:rPr>
            </w:pPr>
          </w:p>
        </w:tc>
        <w:tc>
          <w:tcPr>
            <w:tcW w:w="960" w:type="dxa"/>
            <w:vAlign w:val="center"/>
          </w:tcPr>
          <w:p>
            <w:pPr>
              <w:jc w:val="center"/>
              <w:rPr>
                <w:color w:val="auto"/>
                <w:sz w:val="21"/>
                <w:szCs w:val="21"/>
              </w:rPr>
            </w:pPr>
            <w:r>
              <w:rPr>
                <w:rFonts w:hint="eastAsia"/>
                <w:color w:val="auto"/>
                <w:sz w:val="21"/>
                <w:szCs w:val="21"/>
              </w:rPr>
              <w:t>建筑垃圾消纳场生产废水</w:t>
            </w:r>
          </w:p>
        </w:tc>
        <w:tc>
          <w:tcPr>
            <w:tcW w:w="2832" w:type="dxa"/>
            <w:vAlign w:val="center"/>
          </w:tcPr>
          <w:p>
            <w:pPr>
              <w:jc w:val="center"/>
              <w:rPr>
                <w:color w:val="auto"/>
                <w:sz w:val="21"/>
                <w:szCs w:val="21"/>
              </w:rPr>
            </w:pPr>
            <w:r>
              <w:rPr>
                <w:color w:val="auto"/>
                <w:sz w:val="21"/>
                <w:szCs w:val="21"/>
              </w:rPr>
              <w:t>pH、CODcr、BOD</w:t>
            </w:r>
            <w:r>
              <w:rPr>
                <w:color w:val="auto"/>
                <w:sz w:val="21"/>
                <w:szCs w:val="21"/>
                <w:vertAlign w:val="subscript"/>
              </w:rPr>
              <w:t>5</w:t>
            </w:r>
            <w:r>
              <w:rPr>
                <w:color w:val="auto"/>
                <w:sz w:val="21"/>
                <w:szCs w:val="21"/>
              </w:rPr>
              <w:t>、</w:t>
            </w:r>
            <w:r>
              <w:rPr>
                <w:rFonts w:hint="eastAsia"/>
                <w:color w:val="auto"/>
                <w:sz w:val="21"/>
                <w:szCs w:val="21"/>
              </w:rPr>
              <w:t>SS</w:t>
            </w:r>
            <w:r>
              <w:rPr>
                <w:color w:val="auto"/>
                <w:sz w:val="21"/>
                <w:szCs w:val="21"/>
              </w:rPr>
              <w:t>等</w:t>
            </w:r>
          </w:p>
        </w:tc>
        <w:tc>
          <w:tcPr>
            <w:tcW w:w="3402" w:type="dxa"/>
            <w:vAlign w:val="center"/>
          </w:tcPr>
          <w:p>
            <w:pPr>
              <w:jc w:val="center"/>
              <w:rPr>
                <w:color w:val="auto"/>
                <w:sz w:val="21"/>
                <w:szCs w:val="21"/>
              </w:rPr>
            </w:pPr>
            <w:r>
              <w:rPr>
                <w:rFonts w:asciiTheme="minorEastAsia" w:hAnsiTheme="minorEastAsia" w:eastAsiaTheme="minorEastAsia"/>
                <w:color w:val="auto"/>
                <w:sz w:val="21"/>
                <w:szCs w:val="21"/>
              </w:rPr>
              <w:t>“</w:t>
            </w:r>
            <w:r>
              <w:rPr>
                <w:rFonts w:hint="eastAsia" w:asciiTheme="minorEastAsia" w:hAnsiTheme="minorEastAsia" w:eastAsiaTheme="minorEastAsia"/>
                <w:color w:val="auto"/>
                <w:sz w:val="21"/>
                <w:szCs w:val="21"/>
              </w:rPr>
              <w:t>机械加速澄清池沉淀+过滤</w:t>
            </w:r>
            <w:r>
              <w:rPr>
                <w:rFonts w:asciiTheme="minorEastAsia" w:hAnsiTheme="minorEastAsia" w:eastAsiaTheme="minorEastAsia"/>
                <w:color w:val="auto"/>
                <w:sz w:val="21"/>
                <w:szCs w:val="21"/>
              </w:rPr>
              <w:t>”</w:t>
            </w:r>
            <w:r>
              <w:rPr>
                <w:color w:val="auto"/>
                <w:sz w:val="21"/>
                <w:szCs w:val="21"/>
              </w:rPr>
              <w:t>处理工艺</w:t>
            </w:r>
          </w:p>
        </w:tc>
        <w:tc>
          <w:tcPr>
            <w:tcW w:w="1665" w:type="dxa"/>
            <w:vAlign w:val="center"/>
          </w:tcPr>
          <w:p>
            <w:pPr>
              <w:jc w:val="center"/>
              <w:rPr>
                <w:color w:val="auto"/>
                <w:sz w:val="21"/>
                <w:szCs w:val="21"/>
              </w:rPr>
            </w:pPr>
            <w:r>
              <w:rPr>
                <w:color w:val="auto"/>
                <w:sz w:val="21"/>
                <w:szCs w:val="21"/>
              </w:rPr>
              <w:t>全部回用，不外</w:t>
            </w:r>
            <w:r>
              <w:rPr>
                <w:rFonts w:hint="eastAsia"/>
                <w:color w:val="auto"/>
                <w:sz w:val="21"/>
                <w:szCs w:val="21"/>
              </w:rPr>
              <w:t>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87" w:type="dxa"/>
            <w:gridSpan w:val="2"/>
            <w:vMerge w:val="restart"/>
            <w:vAlign w:val="center"/>
          </w:tcPr>
          <w:p>
            <w:pPr>
              <w:jc w:val="center"/>
              <w:rPr>
                <w:color w:val="auto"/>
                <w:sz w:val="21"/>
                <w:szCs w:val="21"/>
              </w:rPr>
            </w:pPr>
            <w:r>
              <w:rPr>
                <w:color w:val="auto"/>
                <w:sz w:val="21"/>
                <w:szCs w:val="21"/>
              </w:rPr>
              <w:t>固体废物</w:t>
            </w:r>
          </w:p>
        </w:tc>
        <w:tc>
          <w:tcPr>
            <w:tcW w:w="2832" w:type="dxa"/>
            <w:vAlign w:val="center"/>
          </w:tcPr>
          <w:p>
            <w:pPr>
              <w:jc w:val="center"/>
              <w:rPr>
                <w:color w:val="auto"/>
                <w:sz w:val="21"/>
                <w:szCs w:val="21"/>
              </w:rPr>
            </w:pPr>
            <w:r>
              <w:rPr>
                <w:rFonts w:hint="eastAsia"/>
                <w:color w:val="auto"/>
                <w:sz w:val="21"/>
                <w:szCs w:val="21"/>
              </w:rPr>
              <w:t>粗油脂</w:t>
            </w:r>
          </w:p>
        </w:tc>
        <w:tc>
          <w:tcPr>
            <w:tcW w:w="3402" w:type="dxa"/>
            <w:vAlign w:val="center"/>
          </w:tcPr>
          <w:p>
            <w:pPr>
              <w:jc w:val="center"/>
              <w:rPr>
                <w:color w:val="auto"/>
                <w:sz w:val="21"/>
                <w:szCs w:val="21"/>
              </w:rPr>
            </w:pPr>
            <w:r>
              <w:rPr>
                <w:rFonts w:hint="eastAsia"/>
                <w:color w:val="auto"/>
                <w:sz w:val="21"/>
                <w:szCs w:val="21"/>
              </w:rPr>
              <w:t>综合利用</w:t>
            </w:r>
          </w:p>
        </w:tc>
        <w:tc>
          <w:tcPr>
            <w:tcW w:w="1665" w:type="dxa"/>
            <w:vAlign w:val="center"/>
          </w:tcPr>
          <w:p>
            <w:pPr>
              <w:jc w:val="center"/>
              <w:rPr>
                <w:color w:val="auto"/>
                <w:sz w:val="21"/>
                <w:szCs w:val="21"/>
              </w:rPr>
            </w:pPr>
            <w:r>
              <w:rPr>
                <w:color w:val="auto"/>
                <w:sz w:val="21"/>
                <w:szCs w:val="21"/>
              </w:rPr>
              <w:t>妥善处置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87" w:type="dxa"/>
            <w:gridSpan w:val="2"/>
            <w:vMerge w:val="continue"/>
            <w:vAlign w:val="center"/>
          </w:tcPr>
          <w:p>
            <w:pPr>
              <w:jc w:val="center"/>
              <w:rPr>
                <w:color w:val="auto"/>
                <w:sz w:val="21"/>
                <w:szCs w:val="21"/>
              </w:rPr>
            </w:pPr>
          </w:p>
        </w:tc>
        <w:tc>
          <w:tcPr>
            <w:tcW w:w="2832" w:type="dxa"/>
            <w:vAlign w:val="center"/>
          </w:tcPr>
          <w:p>
            <w:pPr>
              <w:jc w:val="center"/>
              <w:rPr>
                <w:color w:val="auto"/>
                <w:sz w:val="21"/>
                <w:szCs w:val="21"/>
              </w:rPr>
            </w:pPr>
            <w:r>
              <w:rPr>
                <w:rFonts w:hint="eastAsia"/>
                <w:color w:val="auto"/>
                <w:sz w:val="21"/>
                <w:szCs w:val="21"/>
              </w:rPr>
              <w:t>脱水残渣和除油残渣</w:t>
            </w:r>
          </w:p>
        </w:tc>
        <w:tc>
          <w:tcPr>
            <w:tcW w:w="3402" w:type="dxa"/>
            <w:vAlign w:val="center"/>
          </w:tcPr>
          <w:p>
            <w:pPr>
              <w:jc w:val="center"/>
              <w:rPr>
                <w:color w:val="auto"/>
                <w:sz w:val="21"/>
                <w:szCs w:val="21"/>
              </w:rPr>
            </w:pPr>
            <w:r>
              <w:rPr>
                <w:rFonts w:hint="eastAsia"/>
                <w:color w:val="auto"/>
                <w:sz w:val="21"/>
              </w:rPr>
              <w:t>依托在建生活垃圾焚烧项目</w:t>
            </w:r>
            <w:r>
              <w:rPr>
                <w:color w:val="auto"/>
                <w:sz w:val="21"/>
                <w:szCs w:val="21"/>
              </w:rPr>
              <w:t>焚烧处理</w:t>
            </w:r>
          </w:p>
        </w:tc>
        <w:tc>
          <w:tcPr>
            <w:tcW w:w="1665" w:type="dxa"/>
            <w:vAlign w:val="center"/>
          </w:tcPr>
          <w:p>
            <w:pPr>
              <w:jc w:val="center"/>
              <w:rPr>
                <w:color w:val="auto"/>
                <w:sz w:val="21"/>
                <w:szCs w:val="21"/>
              </w:rPr>
            </w:pPr>
            <w:r>
              <w:rPr>
                <w:color w:val="auto"/>
                <w:sz w:val="21"/>
                <w:szCs w:val="21"/>
              </w:rPr>
              <w:t>妥善处置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87" w:type="dxa"/>
            <w:gridSpan w:val="2"/>
            <w:vMerge w:val="continue"/>
            <w:vAlign w:val="center"/>
          </w:tcPr>
          <w:p>
            <w:pPr>
              <w:jc w:val="center"/>
              <w:rPr>
                <w:color w:val="auto"/>
                <w:sz w:val="21"/>
                <w:szCs w:val="21"/>
              </w:rPr>
            </w:pPr>
          </w:p>
        </w:tc>
        <w:tc>
          <w:tcPr>
            <w:tcW w:w="2832" w:type="dxa"/>
            <w:vAlign w:val="center"/>
          </w:tcPr>
          <w:p>
            <w:pPr>
              <w:jc w:val="center"/>
              <w:rPr>
                <w:color w:val="auto"/>
                <w:sz w:val="21"/>
                <w:szCs w:val="21"/>
              </w:rPr>
            </w:pPr>
            <w:r>
              <w:rPr>
                <w:rFonts w:hint="eastAsia"/>
                <w:color w:val="auto"/>
                <w:sz w:val="21"/>
                <w:szCs w:val="21"/>
              </w:rPr>
              <w:t>废机油、废UV光解灯管</w:t>
            </w:r>
          </w:p>
        </w:tc>
        <w:tc>
          <w:tcPr>
            <w:tcW w:w="3402" w:type="dxa"/>
            <w:vAlign w:val="center"/>
          </w:tcPr>
          <w:p>
            <w:pPr>
              <w:jc w:val="center"/>
              <w:rPr>
                <w:color w:val="auto"/>
                <w:sz w:val="21"/>
                <w:szCs w:val="21"/>
              </w:rPr>
            </w:pPr>
            <w:r>
              <w:rPr>
                <w:color w:val="auto"/>
                <w:sz w:val="21"/>
                <w:szCs w:val="21"/>
              </w:rPr>
              <w:t>委托有资质单位处置</w:t>
            </w:r>
          </w:p>
        </w:tc>
        <w:tc>
          <w:tcPr>
            <w:tcW w:w="1665" w:type="dxa"/>
            <w:vAlign w:val="center"/>
          </w:tcPr>
          <w:p>
            <w:pPr>
              <w:jc w:val="center"/>
              <w:rPr>
                <w:color w:val="auto"/>
                <w:sz w:val="21"/>
                <w:szCs w:val="21"/>
              </w:rPr>
            </w:pPr>
            <w:r>
              <w:rPr>
                <w:color w:val="auto"/>
                <w:sz w:val="21"/>
                <w:szCs w:val="21"/>
              </w:rPr>
              <w:t>妥善处置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87" w:type="dxa"/>
            <w:gridSpan w:val="2"/>
            <w:vMerge w:val="continue"/>
            <w:vAlign w:val="center"/>
          </w:tcPr>
          <w:p>
            <w:pPr>
              <w:jc w:val="center"/>
              <w:rPr>
                <w:color w:val="auto"/>
                <w:sz w:val="21"/>
                <w:szCs w:val="21"/>
              </w:rPr>
            </w:pPr>
          </w:p>
        </w:tc>
        <w:tc>
          <w:tcPr>
            <w:tcW w:w="2832" w:type="dxa"/>
            <w:vAlign w:val="center"/>
          </w:tcPr>
          <w:p>
            <w:pPr>
              <w:jc w:val="center"/>
              <w:rPr>
                <w:color w:val="auto"/>
                <w:sz w:val="21"/>
                <w:szCs w:val="21"/>
              </w:rPr>
            </w:pPr>
            <w:r>
              <w:rPr>
                <w:color w:val="auto"/>
                <w:sz w:val="21"/>
                <w:szCs w:val="21"/>
              </w:rPr>
              <w:t>沉淀池沉沙</w:t>
            </w:r>
          </w:p>
        </w:tc>
        <w:tc>
          <w:tcPr>
            <w:tcW w:w="3402" w:type="dxa"/>
            <w:vAlign w:val="center"/>
          </w:tcPr>
          <w:p>
            <w:pPr>
              <w:jc w:val="center"/>
              <w:rPr>
                <w:color w:val="auto"/>
                <w:sz w:val="21"/>
                <w:szCs w:val="21"/>
              </w:rPr>
            </w:pPr>
            <w:r>
              <w:rPr>
                <w:color w:val="auto"/>
                <w:sz w:val="21"/>
                <w:szCs w:val="21"/>
              </w:rPr>
              <w:t>收集</w:t>
            </w:r>
            <w:r>
              <w:rPr>
                <w:rFonts w:hint="eastAsia"/>
                <w:color w:val="auto"/>
                <w:sz w:val="21"/>
                <w:szCs w:val="21"/>
              </w:rPr>
              <w:t>晾干后消纳场</w:t>
            </w:r>
            <w:r>
              <w:rPr>
                <w:color w:val="auto"/>
                <w:sz w:val="21"/>
                <w:szCs w:val="21"/>
              </w:rPr>
              <w:t>填埋</w:t>
            </w:r>
          </w:p>
        </w:tc>
        <w:tc>
          <w:tcPr>
            <w:tcW w:w="1665" w:type="dxa"/>
            <w:vAlign w:val="center"/>
          </w:tcPr>
          <w:p>
            <w:pPr>
              <w:jc w:val="center"/>
              <w:rPr>
                <w:color w:val="auto"/>
                <w:sz w:val="21"/>
                <w:szCs w:val="21"/>
              </w:rPr>
            </w:pPr>
            <w:r>
              <w:rPr>
                <w:color w:val="auto"/>
                <w:sz w:val="21"/>
                <w:szCs w:val="21"/>
              </w:rPr>
              <w:t>妥善处置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87" w:type="dxa"/>
            <w:gridSpan w:val="2"/>
            <w:tcBorders>
              <w:bottom w:val="single" w:color="auto" w:sz="18" w:space="0"/>
            </w:tcBorders>
            <w:vAlign w:val="center"/>
          </w:tcPr>
          <w:p>
            <w:pPr>
              <w:jc w:val="center"/>
              <w:rPr>
                <w:color w:val="auto"/>
                <w:sz w:val="21"/>
                <w:szCs w:val="21"/>
              </w:rPr>
            </w:pPr>
            <w:r>
              <w:rPr>
                <w:color w:val="auto"/>
                <w:sz w:val="21"/>
                <w:szCs w:val="21"/>
              </w:rPr>
              <w:t>噪声</w:t>
            </w:r>
          </w:p>
        </w:tc>
        <w:tc>
          <w:tcPr>
            <w:tcW w:w="2832" w:type="dxa"/>
            <w:tcBorders>
              <w:bottom w:val="single" w:color="auto" w:sz="18" w:space="0"/>
            </w:tcBorders>
            <w:vAlign w:val="center"/>
          </w:tcPr>
          <w:p>
            <w:pPr>
              <w:jc w:val="center"/>
              <w:rPr>
                <w:color w:val="auto"/>
                <w:sz w:val="21"/>
                <w:szCs w:val="21"/>
              </w:rPr>
            </w:pPr>
            <w:r>
              <w:rPr>
                <w:color w:val="auto"/>
                <w:sz w:val="21"/>
                <w:szCs w:val="21"/>
              </w:rPr>
              <w:t>噪声</w:t>
            </w:r>
          </w:p>
        </w:tc>
        <w:tc>
          <w:tcPr>
            <w:tcW w:w="3402" w:type="dxa"/>
            <w:tcBorders>
              <w:bottom w:val="single" w:color="auto" w:sz="18" w:space="0"/>
            </w:tcBorders>
            <w:vAlign w:val="center"/>
          </w:tcPr>
          <w:p>
            <w:pPr>
              <w:jc w:val="center"/>
              <w:rPr>
                <w:color w:val="auto"/>
                <w:sz w:val="21"/>
                <w:szCs w:val="21"/>
              </w:rPr>
            </w:pPr>
            <w:r>
              <w:rPr>
                <w:color w:val="auto"/>
                <w:sz w:val="21"/>
                <w:szCs w:val="21"/>
              </w:rPr>
              <w:t>采用隔声降噪措施</w:t>
            </w:r>
          </w:p>
        </w:tc>
        <w:tc>
          <w:tcPr>
            <w:tcW w:w="1665" w:type="dxa"/>
            <w:tcBorders>
              <w:bottom w:val="single" w:color="auto" w:sz="18" w:space="0"/>
            </w:tcBorders>
            <w:vAlign w:val="center"/>
          </w:tcPr>
          <w:p>
            <w:pPr>
              <w:jc w:val="center"/>
              <w:rPr>
                <w:color w:val="auto"/>
                <w:sz w:val="21"/>
                <w:szCs w:val="21"/>
              </w:rPr>
            </w:pPr>
            <w:r>
              <w:rPr>
                <w:color w:val="auto"/>
                <w:sz w:val="21"/>
                <w:szCs w:val="21"/>
              </w:rPr>
              <w:t>达标排放</w:t>
            </w:r>
          </w:p>
        </w:tc>
      </w:tr>
    </w:tbl>
    <w:p>
      <w:pPr>
        <w:pStyle w:val="298"/>
        <w:spacing w:before="42" w:after="42"/>
        <w:rPr>
          <w:color w:val="auto"/>
        </w:rPr>
      </w:pPr>
      <w:bookmarkStart w:id="230" w:name="_Toc20886"/>
      <w:bookmarkStart w:id="231" w:name="_Toc24136739"/>
      <w:bookmarkStart w:id="232" w:name="_Toc15912127"/>
      <w:bookmarkStart w:id="233" w:name="_Toc14946835"/>
      <w:r>
        <w:rPr>
          <w:color w:val="auto"/>
        </w:rPr>
        <w:t>2.9.2环境保护目标</w:t>
      </w:r>
      <w:bookmarkEnd w:id="230"/>
      <w:bookmarkEnd w:id="231"/>
      <w:bookmarkEnd w:id="232"/>
      <w:bookmarkEnd w:id="233"/>
    </w:p>
    <w:p>
      <w:pPr>
        <w:spacing w:line="360" w:lineRule="auto"/>
        <w:ind w:firstLine="480"/>
        <w:rPr>
          <w:color w:val="auto"/>
        </w:rPr>
      </w:pPr>
      <w:bookmarkStart w:id="234" w:name="_Hlk24554658"/>
      <w:r>
        <w:rPr>
          <w:color w:val="auto"/>
        </w:rPr>
        <w:t>项目周边敏感目标见表2.9-2</w:t>
      </w:r>
      <w:bookmarkEnd w:id="234"/>
      <w:r>
        <w:rPr>
          <w:rFonts w:hint="eastAsia"/>
          <w:color w:val="auto"/>
        </w:rPr>
        <w:t>、</w:t>
      </w:r>
      <w:r>
        <w:rPr>
          <w:color w:val="auto"/>
        </w:rPr>
        <w:t>图2.9-1至图2.9-3。</w:t>
      </w:r>
    </w:p>
    <w:p>
      <w:pPr>
        <w:pStyle w:val="5"/>
        <w:ind w:firstLine="482"/>
        <w:jc w:val="center"/>
        <w:rPr>
          <w:b/>
          <w:color w:val="auto"/>
        </w:rPr>
      </w:pPr>
      <w:bookmarkStart w:id="235" w:name="_Hlk23151917"/>
      <w:bookmarkStart w:id="236" w:name="_Hlk24554606"/>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2.9</w:t>
      </w:r>
      <w:r>
        <w:rPr>
          <w:b/>
          <w:color w:val="auto"/>
        </w:rPr>
        <w:fldChar w:fldCharType="end"/>
      </w:r>
      <w:r>
        <w:rPr>
          <w:b/>
          <w:color w:val="auto"/>
        </w:rPr>
        <w:noBreakHyphen/>
      </w:r>
      <w:r>
        <w:rPr>
          <w:b/>
          <w:color w:val="auto"/>
        </w:rPr>
        <w:fldChar w:fldCharType="begin"/>
      </w:r>
      <w:r>
        <w:rPr>
          <w:b/>
          <w:color w:val="auto"/>
        </w:rPr>
        <w:instrText xml:space="preserve"> SEQ 表 \* ARABIC \s 2 </w:instrText>
      </w:r>
      <w:r>
        <w:rPr>
          <w:b/>
          <w:color w:val="auto"/>
        </w:rPr>
        <w:fldChar w:fldCharType="separate"/>
      </w:r>
      <w:r>
        <w:rPr>
          <w:b/>
          <w:color w:val="auto"/>
        </w:rPr>
        <w:t>2</w:t>
      </w:r>
      <w:r>
        <w:rPr>
          <w:b/>
          <w:color w:val="auto"/>
        </w:rPr>
        <w:fldChar w:fldCharType="end"/>
      </w:r>
      <w:r>
        <w:rPr>
          <w:b/>
          <w:color w:val="auto"/>
        </w:rPr>
        <w:t xml:space="preserve">  环境保护目标一览表</w:t>
      </w:r>
    </w:p>
    <w:bookmarkEnd w:id="235"/>
    <w:tbl>
      <w:tblPr>
        <w:tblStyle w:val="53"/>
        <w:tblW w:w="8473"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1"/>
        <w:gridCol w:w="979"/>
        <w:gridCol w:w="1230"/>
        <w:gridCol w:w="835"/>
        <w:gridCol w:w="797"/>
        <w:gridCol w:w="886"/>
        <w:gridCol w:w="585"/>
        <w:gridCol w:w="886"/>
        <w:gridCol w:w="972"/>
        <w:gridCol w:w="7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jc w:val="center"/>
        </w:trPr>
        <w:tc>
          <w:tcPr>
            <w:tcW w:w="551" w:type="dxa"/>
            <w:vMerge w:val="restart"/>
            <w:vAlign w:val="center"/>
          </w:tcPr>
          <w:p>
            <w:pPr>
              <w:jc w:val="center"/>
              <w:rPr>
                <w:b/>
                <w:color w:val="auto"/>
                <w:kern w:val="0"/>
                <w:sz w:val="21"/>
                <w:szCs w:val="21"/>
              </w:rPr>
            </w:pPr>
            <w:r>
              <w:rPr>
                <w:b/>
                <w:color w:val="auto"/>
                <w:kern w:val="0"/>
                <w:sz w:val="21"/>
                <w:szCs w:val="21"/>
              </w:rPr>
              <w:t>序号</w:t>
            </w:r>
          </w:p>
        </w:tc>
        <w:tc>
          <w:tcPr>
            <w:tcW w:w="979" w:type="dxa"/>
            <w:vMerge w:val="restart"/>
            <w:vAlign w:val="center"/>
          </w:tcPr>
          <w:p>
            <w:pPr>
              <w:jc w:val="center"/>
              <w:rPr>
                <w:b/>
                <w:color w:val="auto"/>
                <w:kern w:val="0"/>
                <w:sz w:val="21"/>
                <w:szCs w:val="21"/>
              </w:rPr>
            </w:pPr>
            <w:r>
              <w:rPr>
                <w:rFonts w:hint="eastAsia"/>
                <w:b/>
                <w:color w:val="auto"/>
                <w:kern w:val="0"/>
                <w:sz w:val="21"/>
                <w:szCs w:val="21"/>
              </w:rPr>
              <w:t>所属镇区、街道</w:t>
            </w:r>
          </w:p>
        </w:tc>
        <w:tc>
          <w:tcPr>
            <w:tcW w:w="1230" w:type="dxa"/>
            <w:vMerge w:val="restart"/>
            <w:vAlign w:val="center"/>
          </w:tcPr>
          <w:p>
            <w:pPr>
              <w:jc w:val="center"/>
              <w:rPr>
                <w:b/>
                <w:color w:val="auto"/>
                <w:kern w:val="0"/>
                <w:sz w:val="21"/>
                <w:szCs w:val="21"/>
              </w:rPr>
            </w:pPr>
            <w:r>
              <w:rPr>
                <w:b/>
                <w:color w:val="auto"/>
                <w:kern w:val="0"/>
                <w:sz w:val="21"/>
                <w:szCs w:val="21"/>
              </w:rPr>
              <w:t>环境保护目标名称</w:t>
            </w:r>
          </w:p>
        </w:tc>
        <w:tc>
          <w:tcPr>
            <w:tcW w:w="1632" w:type="dxa"/>
            <w:gridSpan w:val="2"/>
            <w:vAlign w:val="center"/>
          </w:tcPr>
          <w:p>
            <w:pPr>
              <w:jc w:val="center"/>
              <w:rPr>
                <w:b/>
                <w:color w:val="auto"/>
                <w:kern w:val="0"/>
                <w:sz w:val="21"/>
                <w:szCs w:val="21"/>
              </w:rPr>
            </w:pPr>
            <w:r>
              <w:rPr>
                <w:b/>
                <w:color w:val="auto"/>
                <w:sz w:val="21"/>
                <w:szCs w:val="21"/>
              </w:rPr>
              <w:t>坐标/m</w:t>
            </w:r>
          </w:p>
        </w:tc>
        <w:tc>
          <w:tcPr>
            <w:tcW w:w="886" w:type="dxa"/>
            <w:vMerge w:val="restart"/>
            <w:vAlign w:val="center"/>
          </w:tcPr>
          <w:p>
            <w:pPr>
              <w:jc w:val="center"/>
              <w:rPr>
                <w:b/>
                <w:color w:val="auto"/>
                <w:kern w:val="0"/>
                <w:sz w:val="21"/>
                <w:szCs w:val="21"/>
              </w:rPr>
            </w:pPr>
            <w:r>
              <w:rPr>
                <w:b/>
                <w:color w:val="auto"/>
                <w:kern w:val="0"/>
                <w:sz w:val="21"/>
                <w:szCs w:val="21"/>
              </w:rPr>
              <w:t>性质</w:t>
            </w:r>
          </w:p>
        </w:tc>
        <w:tc>
          <w:tcPr>
            <w:tcW w:w="585" w:type="dxa"/>
            <w:vMerge w:val="restart"/>
            <w:vAlign w:val="center"/>
          </w:tcPr>
          <w:p>
            <w:pPr>
              <w:jc w:val="center"/>
              <w:rPr>
                <w:b/>
                <w:color w:val="auto"/>
                <w:kern w:val="0"/>
                <w:sz w:val="21"/>
                <w:szCs w:val="21"/>
              </w:rPr>
            </w:pPr>
            <w:r>
              <w:rPr>
                <w:b/>
                <w:color w:val="auto"/>
                <w:kern w:val="0"/>
                <w:sz w:val="21"/>
                <w:szCs w:val="21"/>
              </w:rPr>
              <w:t>方位</w:t>
            </w:r>
          </w:p>
        </w:tc>
        <w:tc>
          <w:tcPr>
            <w:tcW w:w="886" w:type="dxa"/>
            <w:vMerge w:val="restart"/>
            <w:vAlign w:val="center"/>
          </w:tcPr>
          <w:p>
            <w:pPr>
              <w:jc w:val="center"/>
              <w:rPr>
                <w:b/>
                <w:color w:val="auto"/>
                <w:kern w:val="0"/>
                <w:sz w:val="21"/>
                <w:szCs w:val="21"/>
              </w:rPr>
            </w:pPr>
            <w:r>
              <w:rPr>
                <w:b/>
                <w:color w:val="auto"/>
                <w:kern w:val="0"/>
                <w:sz w:val="21"/>
                <w:szCs w:val="21"/>
              </w:rPr>
              <w:t>距项目最近距离（m）</w:t>
            </w:r>
          </w:p>
        </w:tc>
        <w:tc>
          <w:tcPr>
            <w:tcW w:w="972" w:type="dxa"/>
            <w:vMerge w:val="restart"/>
            <w:vAlign w:val="center"/>
          </w:tcPr>
          <w:p>
            <w:pPr>
              <w:jc w:val="center"/>
              <w:rPr>
                <w:b/>
                <w:color w:val="auto"/>
                <w:kern w:val="0"/>
                <w:sz w:val="21"/>
                <w:szCs w:val="21"/>
              </w:rPr>
            </w:pPr>
            <w:r>
              <w:rPr>
                <w:b/>
                <w:color w:val="auto"/>
                <w:kern w:val="0"/>
                <w:sz w:val="21"/>
                <w:szCs w:val="21"/>
              </w:rPr>
              <w:t>规模（人）</w:t>
            </w:r>
          </w:p>
        </w:tc>
        <w:tc>
          <w:tcPr>
            <w:tcW w:w="752" w:type="dxa"/>
            <w:vMerge w:val="restart"/>
            <w:vAlign w:val="center"/>
          </w:tcPr>
          <w:p>
            <w:pPr>
              <w:jc w:val="center"/>
              <w:rPr>
                <w:b/>
                <w:color w:val="auto"/>
                <w:kern w:val="0"/>
                <w:sz w:val="21"/>
                <w:szCs w:val="21"/>
              </w:rPr>
            </w:pPr>
            <w:r>
              <w:rPr>
                <w:b/>
                <w:color w:val="auto"/>
                <w:sz w:val="21"/>
                <w:szCs w:val="21"/>
              </w:rPr>
              <w:t>保护内容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jc w:val="center"/>
        </w:trPr>
        <w:tc>
          <w:tcPr>
            <w:tcW w:w="551" w:type="dxa"/>
            <w:vMerge w:val="continue"/>
            <w:vAlign w:val="center"/>
          </w:tcPr>
          <w:p>
            <w:pPr>
              <w:widowControl/>
              <w:rPr>
                <w:b/>
                <w:color w:val="auto"/>
                <w:kern w:val="0"/>
                <w:sz w:val="21"/>
                <w:szCs w:val="21"/>
              </w:rPr>
            </w:pPr>
          </w:p>
        </w:tc>
        <w:tc>
          <w:tcPr>
            <w:tcW w:w="979" w:type="dxa"/>
            <w:vMerge w:val="continue"/>
            <w:vAlign w:val="center"/>
          </w:tcPr>
          <w:p>
            <w:pPr>
              <w:widowControl/>
              <w:jc w:val="center"/>
              <w:rPr>
                <w:b/>
                <w:color w:val="auto"/>
                <w:kern w:val="0"/>
                <w:sz w:val="21"/>
                <w:szCs w:val="21"/>
              </w:rPr>
            </w:pPr>
          </w:p>
        </w:tc>
        <w:tc>
          <w:tcPr>
            <w:tcW w:w="1230" w:type="dxa"/>
            <w:vMerge w:val="continue"/>
            <w:vAlign w:val="center"/>
          </w:tcPr>
          <w:p>
            <w:pPr>
              <w:widowControl/>
              <w:rPr>
                <w:b/>
                <w:color w:val="auto"/>
                <w:kern w:val="0"/>
                <w:sz w:val="21"/>
                <w:szCs w:val="21"/>
              </w:rPr>
            </w:pPr>
          </w:p>
        </w:tc>
        <w:tc>
          <w:tcPr>
            <w:tcW w:w="835" w:type="dxa"/>
            <w:vAlign w:val="center"/>
          </w:tcPr>
          <w:p>
            <w:pPr>
              <w:jc w:val="center"/>
              <w:rPr>
                <w:b/>
                <w:color w:val="auto"/>
                <w:sz w:val="21"/>
                <w:szCs w:val="21"/>
              </w:rPr>
            </w:pPr>
            <w:r>
              <w:rPr>
                <w:b/>
                <w:color w:val="auto"/>
                <w:sz w:val="21"/>
                <w:szCs w:val="21"/>
              </w:rPr>
              <w:t>X</w:t>
            </w:r>
          </w:p>
        </w:tc>
        <w:tc>
          <w:tcPr>
            <w:tcW w:w="797" w:type="dxa"/>
            <w:vAlign w:val="center"/>
          </w:tcPr>
          <w:p>
            <w:pPr>
              <w:jc w:val="center"/>
              <w:rPr>
                <w:b/>
                <w:color w:val="auto"/>
                <w:kern w:val="0"/>
                <w:sz w:val="21"/>
                <w:szCs w:val="21"/>
              </w:rPr>
            </w:pPr>
            <w:r>
              <w:rPr>
                <w:b/>
                <w:color w:val="auto"/>
                <w:sz w:val="21"/>
                <w:szCs w:val="21"/>
              </w:rPr>
              <w:t>Y</w:t>
            </w:r>
          </w:p>
        </w:tc>
        <w:tc>
          <w:tcPr>
            <w:tcW w:w="886" w:type="dxa"/>
            <w:vMerge w:val="continue"/>
            <w:vAlign w:val="center"/>
          </w:tcPr>
          <w:p>
            <w:pPr>
              <w:widowControl/>
              <w:rPr>
                <w:b/>
                <w:color w:val="auto"/>
                <w:kern w:val="0"/>
                <w:sz w:val="21"/>
                <w:szCs w:val="21"/>
              </w:rPr>
            </w:pPr>
          </w:p>
        </w:tc>
        <w:tc>
          <w:tcPr>
            <w:tcW w:w="585" w:type="dxa"/>
            <w:vMerge w:val="continue"/>
            <w:vAlign w:val="center"/>
          </w:tcPr>
          <w:p>
            <w:pPr>
              <w:widowControl/>
              <w:rPr>
                <w:b/>
                <w:color w:val="auto"/>
                <w:kern w:val="0"/>
                <w:sz w:val="21"/>
                <w:szCs w:val="21"/>
              </w:rPr>
            </w:pPr>
          </w:p>
        </w:tc>
        <w:tc>
          <w:tcPr>
            <w:tcW w:w="886" w:type="dxa"/>
            <w:vMerge w:val="continue"/>
            <w:vAlign w:val="center"/>
          </w:tcPr>
          <w:p>
            <w:pPr>
              <w:widowControl/>
              <w:rPr>
                <w:b/>
                <w:color w:val="auto"/>
                <w:kern w:val="0"/>
                <w:sz w:val="21"/>
                <w:szCs w:val="21"/>
              </w:rPr>
            </w:pPr>
          </w:p>
        </w:tc>
        <w:tc>
          <w:tcPr>
            <w:tcW w:w="972" w:type="dxa"/>
            <w:vMerge w:val="continue"/>
            <w:vAlign w:val="center"/>
          </w:tcPr>
          <w:p>
            <w:pPr>
              <w:widowControl/>
              <w:rPr>
                <w:b/>
                <w:color w:val="auto"/>
                <w:kern w:val="0"/>
                <w:sz w:val="21"/>
                <w:szCs w:val="21"/>
              </w:rPr>
            </w:pPr>
          </w:p>
        </w:tc>
        <w:tc>
          <w:tcPr>
            <w:tcW w:w="752" w:type="dxa"/>
            <w:vMerge w:val="continue"/>
            <w:vAlign w:val="center"/>
          </w:tcPr>
          <w:p>
            <w:pPr>
              <w:widowControl/>
              <w:rPr>
                <w:b/>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51" w:type="dxa"/>
            <w:vAlign w:val="center"/>
          </w:tcPr>
          <w:p>
            <w:pPr>
              <w:widowControl/>
              <w:jc w:val="center"/>
              <w:rPr>
                <w:color w:val="auto"/>
                <w:sz w:val="21"/>
                <w:szCs w:val="21"/>
              </w:rPr>
            </w:pPr>
            <w:r>
              <w:rPr>
                <w:color w:val="auto"/>
                <w:sz w:val="21"/>
                <w:szCs w:val="21"/>
              </w:rPr>
              <w:t>1</w:t>
            </w:r>
          </w:p>
        </w:tc>
        <w:tc>
          <w:tcPr>
            <w:tcW w:w="979" w:type="dxa"/>
            <w:vAlign w:val="center"/>
          </w:tcPr>
          <w:p>
            <w:pPr>
              <w:spacing w:line="360" w:lineRule="auto"/>
              <w:jc w:val="center"/>
              <w:rPr>
                <w:rFonts w:eastAsiaTheme="minorEastAsia"/>
                <w:color w:val="auto"/>
                <w:sz w:val="21"/>
                <w:szCs w:val="21"/>
              </w:rPr>
            </w:pPr>
            <w:r>
              <w:rPr>
                <w:rFonts w:hint="eastAsia" w:eastAsiaTheme="minorEastAsia"/>
                <w:color w:val="auto"/>
                <w:sz w:val="21"/>
                <w:szCs w:val="21"/>
              </w:rPr>
              <w:t>新陂镇先声村</w:t>
            </w:r>
          </w:p>
        </w:tc>
        <w:tc>
          <w:tcPr>
            <w:tcW w:w="1230" w:type="dxa"/>
            <w:vAlign w:val="center"/>
          </w:tcPr>
          <w:p>
            <w:pPr>
              <w:widowControl/>
              <w:spacing w:line="360" w:lineRule="auto"/>
              <w:jc w:val="center"/>
              <w:rPr>
                <w:rFonts w:eastAsiaTheme="minorEastAsia"/>
                <w:color w:val="auto"/>
                <w:sz w:val="21"/>
                <w:szCs w:val="21"/>
              </w:rPr>
            </w:pPr>
            <w:r>
              <w:rPr>
                <w:rFonts w:hint="eastAsia" w:eastAsiaTheme="minorEastAsia"/>
                <w:color w:val="auto"/>
                <w:sz w:val="21"/>
                <w:szCs w:val="21"/>
              </w:rPr>
              <w:t>先声村</w:t>
            </w:r>
          </w:p>
        </w:tc>
        <w:tc>
          <w:tcPr>
            <w:tcW w:w="835" w:type="dxa"/>
            <w:vAlign w:val="center"/>
          </w:tcPr>
          <w:p>
            <w:pPr>
              <w:jc w:val="center"/>
              <w:rPr>
                <w:color w:val="auto"/>
                <w:sz w:val="21"/>
                <w:szCs w:val="21"/>
              </w:rPr>
            </w:pPr>
            <w:r>
              <w:rPr>
                <w:color w:val="auto"/>
                <w:sz w:val="21"/>
                <w:szCs w:val="21"/>
              </w:rPr>
              <w:t>-455</w:t>
            </w:r>
          </w:p>
        </w:tc>
        <w:tc>
          <w:tcPr>
            <w:tcW w:w="797" w:type="dxa"/>
            <w:vAlign w:val="center"/>
          </w:tcPr>
          <w:p>
            <w:pPr>
              <w:jc w:val="center"/>
              <w:rPr>
                <w:color w:val="auto"/>
                <w:sz w:val="21"/>
                <w:szCs w:val="21"/>
              </w:rPr>
            </w:pPr>
            <w:r>
              <w:rPr>
                <w:color w:val="auto"/>
                <w:sz w:val="21"/>
                <w:szCs w:val="21"/>
              </w:rPr>
              <w:t>71</w:t>
            </w:r>
          </w:p>
        </w:tc>
        <w:tc>
          <w:tcPr>
            <w:tcW w:w="886" w:type="dxa"/>
            <w:vAlign w:val="center"/>
          </w:tcPr>
          <w:p>
            <w:pPr>
              <w:widowControl/>
              <w:jc w:val="center"/>
              <w:rPr>
                <w:color w:val="auto"/>
                <w:sz w:val="21"/>
                <w:szCs w:val="21"/>
              </w:rPr>
            </w:pPr>
            <w:r>
              <w:rPr>
                <w:rFonts w:hint="eastAsia"/>
                <w:color w:val="auto"/>
                <w:sz w:val="21"/>
                <w:szCs w:val="21"/>
              </w:rPr>
              <w:t>行政村</w:t>
            </w:r>
          </w:p>
        </w:tc>
        <w:tc>
          <w:tcPr>
            <w:tcW w:w="585" w:type="dxa"/>
            <w:vAlign w:val="center"/>
          </w:tcPr>
          <w:p>
            <w:pPr>
              <w:jc w:val="center"/>
              <w:rPr>
                <w:color w:val="auto"/>
                <w:kern w:val="0"/>
                <w:sz w:val="21"/>
                <w:szCs w:val="21"/>
              </w:rPr>
            </w:pPr>
            <w:r>
              <w:rPr>
                <w:color w:val="auto"/>
                <w:kern w:val="0"/>
                <w:sz w:val="21"/>
                <w:szCs w:val="21"/>
              </w:rPr>
              <w:t>W</w:t>
            </w:r>
          </w:p>
        </w:tc>
        <w:tc>
          <w:tcPr>
            <w:tcW w:w="886" w:type="dxa"/>
            <w:vAlign w:val="center"/>
          </w:tcPr>
          <w:p>
            <w:pPr>
              <w:widowControl/>
              <w:jc w:val="center"/>
              <w:rPr>
                <w:rFonts w:hint="eastAsia" w:eastAsia="宋体"/>
                <w:color w:val="auto"/>
                <w:sz w:val="21"/>
                <w:szCs w:val="21"/>
                <w:lang w:eastAsia="zh-CN"/>
              </w:rPr>
            </w:pPr>
            <w:r>
              <w:rPr>
                <w:rFonts w:hint="eastAsia"/>
                <w:color w:val="auto"/>
                <w:sz w:val="21"/>
                <w:szCs w:val="21"/>
                <w:lang w:val="en-US" w:eastAsia="zh-CN"/>
              </w:rPr>
              <w:t>509</w:t>
            </w:r>
          </w:p>
        </w:tc>
        <w:tc>
          <w:tcPr>
            <w:tcW w:w="972" w:type="dxa"/>
            <w:vAlign w:val="center"/>
          </w:tcPr>
          <w:p>
            <w:pPr>
              <w:widowControl/>
              <w:spacing w:line="360" w:lineRule="auto"/>
              <w:jc w:val="center"/>
              <w:rPr>
                <w:rFonts w:eastAsiaTheme="minorEastAsia"/>
                <w:color w:val="auto"/>
                <w:sz w:val="21"/>
                <w:szCs w:val="21"/>
              </w:rPr>
            </w:pPr>
            <w:r>
              <w:rPr>
                <w:rFonts w:hint="eastAsia" w:eastAsiaTheme="minorEastAsia"/>
                <w:color w:val="auto"/>
                <w:sz w:val="21"/>
                <w:szCs w:val="21"/>
              </w:rPr>
              <w:t>2</w:t>
            </w:r>
            <w:r>
              <w:rPr>
                <w:rFonts w:eastAsiaTheme="minorEastAsia"/>
                <w:color w:val="auto"/>
                <w:sz w:val="21"/>
                <w:szCs w:val="21"/>
              </w:rPr>
              <w:t>938</w:t>
            </w:r>
          </w:p>
        </w:tc>
        <w:tc>
          <w:tcPr>
            <w:tcW w:w="752" w:type="dxa"/>
            <w:vMerge w:val="restart"/>
            <w:vAlign w:val="center"/>
          </w:tcPr>
          <w:p>
            <w:pPr>
              <w:jc w:val="center"/>
              <w:rPr>
                <w:color w:val="auto"/>
                <w:sz w:val="21"/>
                <w:szCs w:val="21"/>
              </w:rPr>
            </w:pPr>
            <w:r>
              <w:rPr>
                <w:rFonts w:hint="eastAsia"/>
                <w:color w:val="auto"/>
                <w:sz w:val="21"/>
                <w:szCs w:val="21"/>
              </w:rPr>
              <w:t>大气环境、环境风险保护目标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51" w:type="dxa"/>
            <w:vAlign w:val="center"/>
          </w:tcPr>
          <w:p>
            <w:pPr>
              <w:widowControl/>
              <w:jc w:val="center"/>
              <w:rPr>
                <w:color w:val="auto"/>
                <w:sz w:val="21"/>
                <w:szCs w:val="21"/>
              </w:rPr>
            </w:pPr>
            <w:r>
              <w:rPr>
                <w:rFonts w:hint="eastAsia"/>
                <w:color w:val="auto"/>
                <w:sz w:val="21"/>
                <w:szCs w:val="21"/>
              </w:rPr>
              <w:t>2</w:t>
            </w:r>
          </w:p>
        </w:tc>
        <w:tc>
          <w:tcPr>
            <w:tcW w:w="979" w:type="dxa"/>
            <w:vMerge w:val="restart"/>
            <w:vAlign w:val="center"/>
          </w:tcPr>
          <w:p>
            <w:pPr>
              <w:widowControl/>
              <w:spacing w:line="360" w:lineRule="auto"/>
              <w:jc w:val="center"/>
              <w:rPr>
                <w:rFonts w:eastAsiaTheme="minorEastAsia"/>
                <w:color w:val="auto"/>
                <w:sz w:val="21"/>
                <w:szCs w:val="21"/>
              </w:rPr>
            </w:pPr>
            <w:r>
              <w:rPr>
                <w:rFonts w:hint="eastAsia" w:eastAsiaTheme="minorEastAsia"/>
                <w:color w:val="auto"/>
                <w:sz w:val="21"/>
                <w:szCs w:val="21"/>
              </w:rPr>
              <w:t>新陂镇</w:t>
            </w:r>
          </w:p>
        </w:tc>
        <w:tc>
          <w:tcPr>
            <w:tcW w:w="1230" w:type="dxa"/>
            <w:vAlign w:val="center"/>
          </w:tcPr>
          <w:p>
            <w:pPr>
              <w:widowControl/>
              <w:spacing w:line="360" w:lineRule="auto"/>
              <w:jc w:val="center"/>
              <w:rPr>
                <w:rFonts w:eastAsiaTheme="minorEastAsia"/>
                <w:color w:val="auto"/>
                <w:sz w:val="21"/>
                <w:szCs w:val="21"/>
              </w:rPr>
            </w:pPr>
            <w:r>
              <w:rPr>
                <w:rFonts w:hint="eastAsia" w:eastAsiaTheme="minorEastAsia"/>
                <w:color w:val="auto"/>
                <w:sz w:val="21"/>
                <w:szCs w:val="21"/>
              </w:rPr>
              <w:t>茅塘村</w:t>
            </w:r>
          </w:p>
        </w:tc>
        <w:tc>
          <w:tcPr>
            <w:tcW w:w="835" w:type="dxa"/>
            <w:vAlign w:val="center"/>
          </w:tcPr>
          <w:p>
            <w:pPr>
              <w:jc w:val="center"/>
              <w:rPr>
                <w:color w:val="auto"/>
                <w:sz w:val="21"/>
                <w:szCs w:val="21"/>
              </w:rPr>
            </w:pPr>
            <w:r>
              <w:rPr>
                <w:color w:val="auto"/>
                <w:sz w:val="21"/>
                <w:szCs w:val="21"/>
              </w:rPr>
              <w:t>2014</w:t>
            </w:r>
          </w:p>
        </w:tc>
        <w:tc>
          <w:tcPr>
            <w:tcW w:w="797" w:type="dxa"/>
            <w:vAlign w:val="center"/>
          </w:tcPr>
          <w:p>
            <w:pPr>
              <w:jc w:val="center"/>
              <w:rPr>
                <w:color w:val="auto"/>
                <w:sz w:val="21"/>
                <w:szCs w:val="21"/>
              </w:rPr>
            </w:pPr>
            <w:r>
              <w:rPr>
                <w:color w:val="auto"/>
                <w:sz w:val="21"/>
                <w:szCs w:val="21"/>
              </w:rPr>
              <w:t>1351</w:t>
            </w:r>
          </w:p>
        </w:tc>
        <w:tc>
          <w:tcPr>
            <w:tcW w:w="886" w:type="dxa"/>
            <w:vAlign w:val="center"/>
          </w:tcPr>
          <w:p>
            <w:pPr>
              <w:widowControl/>
              <w:jc w:val="center"/>
              <w:rPr>
                <w:color w:val="auto"/>
                <w:sz w:val="21"/>
                <w:szCs w:val="21"/>
              </w:rPr>
            </w:pPr>
            <w:r>
              <w:rPr>
                <w:color w:val="auto"/>
                <w:sz w:val="21"/>
                <w:szCs w:val="21"/>
              </w:rPr>
              <w:t>行政村</w:t>
            </w:r>
          </w:p>
        </w:tc>
        <w:tc>
          <w:tcPr>
            <w:tcW w:w="585" w:type="dxa"/>
            <w:vAlign w:val="center"/>
          </w:tcPr>
          <w:p>
            <w:pPr>
              <w:jc w:val="center"/>
              <w:rPr>
                <w:color w:val="auto"/>
                <w:kern w:val="0"/>
                <w:sz w:val="21"/>
                <w:szCs w:val="21"/>
              </w:rPr>
            </w:pPr>
            <w:r>
              <w:rPr>
                <w:rFonts w:hint="eastAsia"/>
                <w:color w:val="auto"/>
                <w:kern w:val="0"/>
                <w:sz w:val="21"/>
                <w:szCs w:val="21"/>
              </w:rPr>
              <w:t>N</w:t>
            </w:r>
            <w:r>
              <w:rPr>
                <w:color w:val="auto"/>
                <w:kern w:val="0"/>
                <w:sz w:val="21"/>
                <w:szCs w:val="21"/>
              </w:rPr>
              <w:t>E</w:t>
            </w:r>
          </w:p>
        </w:tc>
        <w:tc>
          <w:tcPr>
            <w:tcW w:w="886" w:type="dxa"/>
            <w:vAlign w:val="center"/>
          </w:tcPr>
          <w:p>
            <w:pPr>
              <w:widowControl/>
              <w:jc w:val="center"/>
              <w:rPr>
                <w:rFonts w:hint="eastAsia" w:eastAsia="宋体"/>
                <w:color w:val="auto"/>
                <w:sz w:val="21"/>
                <w:szCs w:val="21"/>
                <w:lang w:eastAsia="zh-CN"/>
              </w:rPr>
            </w:pPr>
            <w:r>
              <w:rPr>
                <w:rFonts w:hint="eastAsia"/>
                <w:color w:val="auto"/>
                <w:sz w:val="21"/>
                <w:szCs w:val="21"/>
                <w:lang w:val="en-US" w:eastAsia="zh-CN"/>
              </w:rPr>
              <w:t>1846</w:t>
            </w:r>
          </w:p>
        </w:tc>
        <w:tc>
          <w:tcPr>
            <w:tcW w:w="972" w:type="dxa"/>
            <w:vAlign w:val="center"/>
          </w:tcPr>
          <w:p>
            <w:pPr>
              <w:jc w:val="center"/>
              <w:rPr>
                <w:color w:val="auto"/>
                <w:kern w:val="0"/>
                <w:sz w:val="21"/>
                <w:szCs w:val="21"/>
              </w:rPr>
            </w:pPr>
            <w:r>
              <w:rPr>
                <w:rFonts w:hint="eastAsia"/>
                <w:color w:val="auto"/>
                <w:kern w:val="0"/>
                <w:sz w:val="21"/>
                <w:szCs w:val="21"/>
              </w:rPr>
              <w:t>1</w:t>
            </w:r>
            <w:r>
              <w:rPr>
                <w:color w:val="auto"/>
                <w:kern w:val="0"/>
                <w:sz w:val="21"/>
                <w:szCs w:val="21"/>
              </w:rPr>
              <w:t>072</w:t>
            </w:r>
          </w:p>
        </w:tc>
        <w:tc>
          <w:tcPr>
            <w:tcW w:w="752" w:type="dxa"/>
            <w:vMerge w:val="continue"/>
            <w:vAlign w:val="center"/>
          </w:tcPr>
          <w:p>
            <w:pPr>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51" w:type="dxa"/>
            <w:vAlign w:val="center"/>
          </w:tcPr>
          <w:p>
            <w:pPr>
              <w:widowControl/>
              <w:jc w:val="center"/>
              <w:rPr>
                <w:color w:val="auto"/>
                <w:sz w:val="21"/>
                <w:szCs w:val="21"/>
              </w:rPr>
            </w:pPr>
            <w:r>
              <w:rPr>
                <w:rFonts w:hint="eastAsia"/>
                <w:color w:val="auto"/>
                <w:sz w:val="21"/>
                <w:szCs w:val="21"/>
              </w:rPr>
              <w:t>3</w:t>
            </w:r>
          </w:p>
        </w:tc>
        <w:tc>
          <w:tcPr>
            <w:tcW w:w="979" w:type="dxa"/>
            <w:vMerge w:val="continue"/>
            <w:vAlign w:val="center"/>
          </w:tcPr>
          <w:p>
            <w:pPr>
              <w:widowControl/>
              <w:spacing w:line="360" w:lineRule="auto"/>
              <w:jc w:val="center"/>
              <w:rPr>
                <w:rFonts w:eastAsiaTheme="minorEastAsia"/>
                <w:color w:val="auto"/>
                <w:sz w:val="21"/>
                <w:szCs w:val="21"/>
              </w:rPr>
            </w:pPr>
          </w:p>
        </w:tc>
        <w:tc>
          <w:tcPr>
            <w:tcW w:w="1230" w:type="dxa"/>
            <w:vAlign w:val="center"/>
          </w:tcPr>
          <w:p>
            <w:pPr>
              <w:widowControl/>
              <w:spacing w:line="360" w:lineRule="auto"/>
              <w:jc w:val="center"/>
              <w:rPr>
                <w:rFonts w:eastAsiaTheme="minorEastAsia"/>
                <w:color w:val="auto"/>
                <w:sz w:val="21"/>
                <w:szCs w:val="21"/>
              </w:rPr>
            </w:pPr>
            <w:r>
              <w:rPr>
                <w:rFonts w:hint="eastAsia" w:eastAsiaTheme="minorEastAsia"/>
                <w:color w:val="auto"/>
                <w:sz w:val="21"/>
                <w:szCs w:val="21"/>
              </w:rPr>
              <w:t>福民村</w:t>
            </w:r>
          </w:p>
        </w:tc>
        <w:tc>
          <w:tcPr>
            <w:tcW w:w="835" w:type="dxa"/>
            <w:vAlign w:val="center"/>
          </w:tcPr>
          <w:p>
            <w:pPr>
              <w:jc w:val="center"/>
              <w:rPr>
                <w:color w:val="auto"/>
                <w:sz w:val="21"/>
                <w:szCs w:val="21"/>
              </w:rPr>
            </w:pPr>
            <w:r>
              <w:rPr>
                <w:color w:val="auto"/>
                <w:sz w:val="21"/>
                <w:szCs w:val="21"/>
              </w:rPr>
              <w:t>2252</w:t>
            </w:r>
          </w:p>
        </w:tc>
        <w:tc>
          <w:tcPr>
            <w:tcW w:w="797" w:type="dxa"/>
            <w:vAlign w:val="center"/>
          </w:tcPr>
          <w:p>
            <w:pPr>
              <w:jc w:val="center"/>
              <w:rPr>
                <w:color w:val="auto"/>
                <w:sz w:val="21"/>
                <w:szCs w:val="21"/>
              </w:rPr>
            </w:pPr>
            <w:r>
              <w:rPr>
                <w:color w:val="auto"/>
                <w:sz w:val="21"/>
                <w:szCs w:val="21"/>
              </w:rPr>
              <w:t>2467</w:t>
            </w:r>
          </w:p>
        </w:tc>
        <w:tc>
          <w:tcPr>
            <w:tcW w:w="886" w:type="dxa"/>
            <w:vAlign w:val="center"/>
          </w:tcPr>
          <w:p>
            <w:pPr>
              <w:widowControl/>
              <w:jc w:val="center"/>
              <w:rPr>
                <w:color w:val="auto"/>
                <w:sz w:val="21"/>
                <w:szCs w:val="21"/>
              </w:rPr>
            </w:pPr>
            <w:r>
              <w:rPr>
                <w:color w:val="auto"/>
                <w:sz w:val="21"/>
                <w:szCs w:val="21"/>
              </w:rPr>
              <w:t>行政村</w:t>
            </w:r>
          </w:p>
        </w:tc>
        <w:tc>
          <w:tcPr>
            <w:tcW w:w="585" w:type="dxa"/>
            <w:vAlign w:val="center"/>
          </w:tcPr>
          <w:p>
            <w:pPr>
              <w:jc w:val="center"/>
              <w:rPr>
                <w:color w:val="auto"/>
                <w:kern w:val="0"/>
                <w:sz w:val="21"/>
                <w:szCs w:val="21"/>
              </w:rPr>
            </w:pPr>
            <w:r>
              <w:rPr>
                <w:color w:val="auto"/>
                <w:kern w:val="0"/>
                <w:sz w:val="21"/>
                <w:szCs w:val="21"/>
              </w:rPr>
              <w:t>NE</w:t>
            </w:r>
          </w:p>
        </w:tc>
        <w:tc>
          <w:tcPr>
            <w:tcW w:w="886" w:type="dxa"/>
            <w:vAlign w:val="center"/>
          </w:tcPr>
          <w:p>
            <w:pPr>
              <w:widowControl/>
              <w:jc w:val="center"/>
              <w:rPr>
                <w:color w:val="auto"/>
                <w:sz w:val="21"/>
                <w:szCs w:val="21"/>
              </w:rPr>
            </w:pPr>
            <w:r>
              <w:rPr>
                <w:rFonts w:hint="eastAsia"/>
                <w:color w:val="auto"/>
                <w:sz w:val="21"/>
                <w:szCs w:val="21"/>
              </w:rPr>
              <w:t>2</w:t>
            </w:r>
            <w:r>
              <w:rPr>
                <w:rFonts w:hint="eastAsia"/>
                <w:color w:val="auto"/>
                <w:sz w:val="21"/>
                <w:szCs w:val="21"/>
                <w:lang w:val="en-US" w:eastAsia="zh-CN"/>
              </w:rPr>
              <w:t>191</w:t>
            </w:r>
          </w:p>
        </w:tc>
        <w:tc>
          <w:tcPr>
            <w:tcW w:w="972" w:type="dxa"/>
            <w:vAlign w:val="center"/>
          </w:tcPr>
          <w:p>
            <w:pPr>
              <w:widowControl/>
              <w:spacing w:line="360" w:lineRule="auto"/>
              <w:jc w:val="center"/>
              <w:rPr>
                <w:rFonts w:eastAsiaTheme="minorEastAsia"/>
                <w:color w:val="auto"/>
                <w:sz w:val="21"/>
                <w:szCs w:val="21"/>
              </w:rPr>
            </w:pPr>
            <w:r>
              <w:rPr>
                <w:rFonts w:hint="eastAsia" w:eastAsiaTheme="minorEastAsia"/>
                <w:color w:val="auto"/>
                <w:sz w:val="21"/>
                <w:szCs w:val="21"/>
              </w:rPr>
              <w:t>2</w:t>
            </w:r>
            <w:r>
              <w:rPr>
                <w:rFonts w:eastAsiaTheme="minorEastAsia"/>
                <w:color w:val="auto"/>
                <w:sz w:val="21"/>
                <w:szCs w:val="21"/>
              </w:rPr>
              <w:t>375</w:t>
            </w:r>
          </w:p>
        </w:tc>
        <w:tc>
          <w:tcPr>
            <w:tcW w:w="752" w:type="dxa"/>
            <w:vMerge w:val="continue"/>
            <w:vAlign w:val="center"/>
          </w:tcPr>
          <w:p>
            <w:pPr>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51" w:type="dxa"/>
            <w:vAlign w:val="center"/>
          </w:tcPr>
          <w:p>
            <w:pPr>
              <w:widowControl/>
              <w:jc w:val="center"/>
              <w:rPr>
                <w:color w:val="auto"/>
                <w:sz w:val="21"/>
                <w:szCs w:val="21"/>
              </w:rPr>
            </w:pPr>
            <w:r>
              <w:rPr>
                <w:rFonts w:hint="eastAsia"/>
                <w:color w:val="auto"/>
                <w:sz w:val="21"/>
                <w:szCs w:val="21"/>
              </w:rPr>
              <w:t>4</w:t>
            </w:r>
          </w:p>
        </w:tc>
        <w:tc>
          <w:tcPr>
            <w:tcW w:w="979" w:type="dxa"/>
            <w:vMerge w:val="continue"/>
            <w:vAlign w:val="center"/>
          </w:tcPr>
          <w:p>
            <w:pPr>
              <w:widowControl/>
              <w:spacing w:line="360" w:lineRule="auto"/>
              <w:jc w:val="center"/>
              <w:rPr>
                <w:rFonts w:eastAsiaTheme="minorEastAsia"/>
                <w:color w:val="auto"/>
                <w:sz w:val="21"/>
                <w:szCs w:val="21"/>
              </w:rPr>
            </w:pPr>
          </w:p>
        </w:tc>
        <w:tc>
          <w:tcPr>
            <w:tcW w:w="1230" w:type="dxa"/>
            <w:vAlign w:val="center"/>
          </w:tcPr>
          <w:p>
            <w:pPr>
              <w:widowControl/>
              <w:spacing w:line="360" w:lineRule="auto"/>
              <w:jc w:val="center"/>
              <w:rPr>
                <w:rFonts w:eastAsiaTheme="minorEastAsia"/>
                <w:color w:val="auto"/>
                <w:sz w:val="21"/>
                <w:szCs w:val="21"/>
              </w:rPr>
            </w:pPr>
            <w:r>
              <w:rPr>
                <w:rFonts w:hint="eastAsia" w:eastAsiaTheme="minorEastAsia"/>
                <w:color w:val="auto"/>
                <w:sz w:val="21"/>
                <w:szCs w:val="21"/>
              </w:rPr>
              <w:t>福庆村</w:t>
            </w:r>
          </w:p>
        </w:tc>
        <w:tc>
          <w:tcPr>
            <w:tcW w:w="835" w:type="dxa"/>
            <w:vAlign w:val="center"/>
          </w:tcPr>
          <w:p>
            <w:pPr>
              <w:jc w:val="center"/>
              <w:rPr>
                <w:color w:val="auto"/>
                <w:sz w:val="21"/>
                <w:szCs w:val="21"/>
              </w:rPr>
            </w:pPr>
            <w:r>
              <w:rPr>
                <w:color w:val="auto"/>
                <w:sz w:val="21"/>
                <w:szCs w:val="21"/>
              </w:rPr>
              <w:t>1658</w:t>
            </w:r>
          </w:p>
        </w:tc>
        <w:tc>
          <w:tcPr>
            <w:tcW w:w="797" w:type="dxa"/>
            <w:vAlign w:val="center"/>
          </w:tcPr>
          <w:p>
            <w:pPr>
              <w:jc w:val="center"/>
              <w:rPr>
                <w:color w:val="auto"/>
                <w:sz w:val="21"/>
                <w:szCs w:val="21"/>
              </w:rPr>
            </w:pPr>
            <w:r>
              <w:rPr>
                <w:color w:val="auto"/>
                <w:sz w:val="21"/>
                <w:szCs w:val="21"/>
              </w:rPr>
              <w:t>2805</w:t>
            </w:r>
          </w:p>
        </w:tc>
        <w:tc>
          <w:tcPr>
            <w:tcW w:w="886" w:type="dxa"/>
            <w:vAlign w:val="center"/>
          </w:tcPr>
          <w:p>
            <w:pPr>
              <w:widowControl/>
              <w:jc w:val="center"/>
              <w:rPr>
                <w:color w:val="auto"/>
                <w:sz w:val="21"/>
                <w:szCs w:val="21"/>
              </w:rPr>
            </w:pPr>
            <w:r>
              <w:rPr>
                <w:color w:val="auto"/>
                <w:sz w:val="21"/>
                <w:szCs w:val="21"/>
              </w:rPr>
              <w:t>行政村</w:t>
            </w:r>
          </w:p>
        </w:tc>
        <w:tc>
          <w:tcPr>
            <w:tcW w:w="585" w:type="dxa"/>
            <w:vAlign w:val="center"/>
          </w:tcPr>
          <w:p>
            <w:pPr>
              <w:jc w:val="center"/>
              <w:rPr>
                <w:color w:val="auto"/>
                <w:kern w:val="0"/>
                <w:sz w:val="21"/>
                <w:szCs w:val="21"/>
              </w:rPr>
            </w:pPr>
            <w:r>
              <w:rPr>
                <w:color w:val="auto"/>
                <w:kern w:val="0"/>
                <w:sz w:val="21"/>
                <w:szCs w:val="21"/>
              </w:rPr>
              <w:t>NE</w:t>
            </w:r>
          </w:p>
        </w:tc>
        <w:tc>
          <w:tcPr>
            <w:tcW w:w="886" w:type="dxa"/>
            <w:vAlign w:val="center"/>
          </w:tcPr>
          <w:p>
            <w:pPr>
              <w:widowControl/>
              <w:jc w:val="center"/>
              <w:rPr>
                <w:rFonts w:hint="eastAsia" w:eastAsia="宋体"/>
                <w:color w:val="auto"/>
                <w:sz w:val="21"/>
                <w:szCs w:val="21"/>
                <w:lang w:eastAsia="zh-CN"/>
              </w:rPr>
            </w:pPr>
            <w:r>
              <w:rPr>
                <w:rFonts w:hint="eastAsia"/>
                <w:color w:val="auto"/>
                <w:sz w:val="21"/>
                <w:szCs w:val="21"/>
                <w:lang w:val="en-US" w:eastAsia="zh-CN"/>
              </w:rPr>
              <w:t>2660</w:t>
            </w:r>
          </w:p>
        </w:tc>
        <w:tc>
          <w:tcPr>
            <w:tcW w:w="972" w:type="dxa"/>
            <w:vAlign w:val="center"/>
          </w:tcPr>
          <w:p>
            <w:pPr>
              <w:widowControl/>
              <w:spacing w:line="360" w:lineRule="auto"/>
              <w:jc w:val="center"/>
              <w:rPr>
                <w:rFonts w:eastAsiaTheme="minorEastAsia"/>
                <w:color w:val="auto"/>
                <w:sz w:val="21"/>
                <w:szCs w:val="21"/>
              </w:rPr>
            </w:pPr>
            <w:r>
              <w:rPr>
                <w:rFonts w:hint="eastAsia" w:eastAsiaTheme="minorEastAsia"/>
                <w:color w:val="auto"/>
                <w:sz w:val="21"/>
                <w:szCs w:val="21"/>
              </w:rPr>
              <w:t>2</w:t>
            </w:r>
            <w:r>
              <w:rPr>
                <w:rFonts w:eastAsiaTheme="minorEastAsia"/>
                <w:color w:val="auto"/>
                <w:sz w:val="21"/>
                <w:szCs w:val="21"/>
              </w:rPr>
              <w:t>124</w:t>
            </w:r>
          </w:p>
        </w:tc>
        <w:tc>
          <w:tcPr>
            <w:tcW w:w="752" w:type="dxa"/>
            <w:vMerge w:val="continue"/>
            <w:vAlign w:val="center"/>
          </w:tcPr>
          <w:p>
            <w:pPr>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51" w:type="dxa"/>
            <w:vAlign w:val="center"/>
          </w:tcPr>
          <w:p>
            <w:pPr>
              <w:widowControl/>
              <w:jc w:val="center"/>
              <w:rPr>
                <w:color w:val="auto"/>
                <w:sz w:val="21"/>
                <w:szCs w:val="21"/>
              </w:rPr>
            </w:pPr>
            <w:r>
              <w:rPr>
                <w:rFonts w:hint="eastAsia"/>
                <w:color w:val="auto"/>
                <w:sz w:val="21"/>
                <w:szCs w:val="21"/>
              </w:rPr>
              <w:t>5</w:t>
            </w:r>
          </w:p>
        </w:tc>
        <w:tc>
          <w:tcPr>
            <w:tcW w:w="979" w:type="dxa"/>
            <w:vMerge w:val="continue"/>
            <w:vAlign w:val="center"/>
          </w:tcPr>
          <w:p>
            <w:pPr>
              <w:widowControl/>
              <w:spacing w:line="360" w:lineRule="auto"/>
              <w:jc w:val="center"/>
              <w:rPr>
                <w:rFonts w:eastAsiaTheme="minorEastAsia"/>
                <w:color w:val="auto"/>
                <w:sz w:val="21"/>
                <w:szCs w:val="21"/>
              </w:rPr>
            </w:pPr>
          </w:p>
        </w:tc>
        <w:tc>
          <w:tcPr>
            <w:tcW w:w="1230" w:type="dxa"/>
            <w:vAlign w:val="center"/>
          </w:tcPr>
          <w:p>
            <w:pPr>
              <w:widowControl/>
              <w:spacing w:line="360" w:lineRule="auto"/>
              <w:jc w:val="center"/>
              <w:rPr>
                <w:rFonts w:eastAsiaTheme="minorEastAsia"/>
                <w:color w:val="auto"/>
                <w:sz w:val="21"/>
                <w:szCs w:val="21"/>
              </w:rPr>
            </w:pPr>
            <w:r>
              <w:rPr>
                <w:rFonts w:hint="eastAsia" w:eastAsiaTheme="minorEastAsia"/>
                <w:color w:val="auto"/>
                <w:sz w:val="21"/>
                <w:szCs w:val="21"/>
              </w:rPr>
              <w:t>茶塘村</w:t>
            </w:r>
          </w:p>
        </w:tc>
        <w:tc>
          <w:tcPr>
            <w:tcW w:w="835" w:type="dxa"/>
            <w:vAlign w:val="center"/>
          </w:tcPr>
          <w:p>
            <w:pPr>
              <w:jc w:val="center"/>
              <w:rPr>
                <w:color w:val="auto"/>
                <w:sz w:val="21"/>
                <w:szCs w:val="21"/>
              </w:rPr>
            </w:pPr>
            <w:r>
              <w:rPr>
                <w:color w:val="auto"/>
                <w:sz w:val="21"/>
                <w:szCs w:val="21"/>
              </w:rPr>
              <w:t>2855</w:t>
            </w:r>
          </w:p>
        </w:tc>
        <w:tc>
          <w:tcPr>
            <w:tcW w:w="797" w:type="dxa"/>
            <w:vAlign w:val="center"/>
          </w:tcPr>
          <w:p>
            <w:pPr>
              <w:jc w:val="center"/>
              <w:rPr>
                <w:color w:val="auto"/>
                <w:sz w:val="21"/>
                <w:szCs w:val="21"/>
              </w:rPr>
            </w:pPr>
            <w:r>
              <w:rPr>
                <w:color w:val="auto"/>
                <w:sz w:val="21"/>
                <w:szCs w:val="21"/>
              </w:rPr>
              <w:t>2695</w:t>
            </w:r>
          </w:p>
        </w:tc>
        <w:tc>
          <w:tcPr>
            <w:tcW w:w="886" w:type="dxa"/>
            <w:vAlign w:val="center"/>
          </w:tcPr>
          <w:p>
            <w:pPr>
              <w:widowControl/>
              <w:jc w:val="center"/>
              <w:rPr>
                <w:color w:val="auto"/>
                <w:sz w:val="21"/>
                <w:szCs w:val="21"/>
              </w:rPr>
            </w:pPr>
            <w:r>
              <w:rPr>
                <w:color w:val="auto"/>
                <w:sz w:val="21"/>
                <w:szCs w:val="21"/>
              </w:rPr>
              <w:t>行政村</w:t>
            </w:r>
          </w:p>
        </w:tc>
        <w:tc>
          <w:tcPr>
            <w:tcW w:w="585" w:type="dxa"/>
            <w:vAlign w:val="center"/>
          </w:tcPr>
          <w:p>
            <w:pPr>
              <w:jc w:val="center"/>
              <w:rPr>
                <w:color w:val="auto"/>
                <w:kern w:val="0"/>
                <w:sz w:val="21"/>
                <w:szCs w:val="21"/>
              </w:rPr>
            </w:pPr>
            <w:r>
              <w:rPr>
                <w:color w:val="auto"/>
                <w:kern w:val="0"/>
                <w:sz w:val="21"/>
                <w:szCs w:val="21"/>
              </w:rPr>
              <w:t>NE</w:t>
            </w:r>
          </w:p>
        </w:tc>
        <w:tc>
          <w:tcPr>
            <w:tcW w:w="886" w:type="dxa"/>
            <w:vAlign w:val="center"/>
          </w:tcPr>
          <w:p>
            <w:pPr>
              <w:widowControl/>
              <w:jc w:val="center"/>
              <w:rPr>
                <w:color w:val="auto"/>
                <w:sz w:val="21"/>
                <w:szCs w:val="21"/>
              </w:rPr>
            </w:pPr>
            <w:r>
              <w:rPr>
                <w:rFonts w:hint="eastAsia"/>
                <w:color w:val="auto"/>
                <w:sz w:val="21"/>
                <w:szCs w:val="21"/>
              </w:rPr>
              <w:t>2</w:t>
            </w:r>
            <w:r>
              <w:rPr>
                <w:rFonts w:hint="eastAsia"/>
                <w:color w:val="auto"/>
                <w:sz w:val="21"/>
                <w:szCs w:val="21"/>
                <w:lang w:val="en-US" w:eastAsia="zh-CN"/>
              </w:rPr>
              <w:t>523</w:t>
            </w:r>
          </w:p>
        </w:tc>
        <w:tc>
          <w:tcPr>
            <w:tcW w:w="972" w:type="dxa"/>
            <w:vAlign w:val="center"/>
          </w:tcPr>
          <w:p>
            <w:pPr>
              <w:widowControl/>
              <w:spacing w:line="360" w:lineRule="auto"/>
              <w:jc w:val="center"/>
              <w:rPr>
                <w:rFonts w:eastAsiaTheme="minorEastAsia"/>
                <w:color w:val="auto"/>
                <w:sz w:val="21"/>
                <w:szCs w:val="21"/>
              </w:rPr>
            </w:pPr>
            <w:r>
              <w:rPr>
                <w:rFonts w:hint="eastAsia" w:eastAsiaTheme="minorEastAsia"/>
                <w:color w:val="auto"/>
                <w:sz w:val="21"/>
                <w:szCs w:val="21"/>
              </w:rPr>
              <w:t>2</w:t>
            </w:r>
            <w:r>
              <w:rPr>
                <w:rFonts w:eastAsiaTheme="minorEastAsia"/>
                <w:color w:val="auto"/>
                <w:sz w:val="21"/>
                <w:szCs w:val="21"/>
              </w:rPr>
              <w:t>113</w:t>
            </w:r>
          </w:p>
        </w:tc>
        <w:tc>
          <w:tcPr>
            <w:tcW w:w="752" w:type="dxa"/>
            <w:vMerge w:val="continue"/>
            <w:vAlign w:val="center"/>
          </w:tcPr>
          <w:p>
            <w:pPr>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51" w:type="dxa"/>
            <w:vAlign w:val="center"/>
          </w:tcPr>
          <w:p>
            <w:pPr>
              <w:widowControl/>
              <w:jc w:val="center"/>
              <w:rPr>
                <w:rFonts w:hint="eastAsia" w:eastAsia="宋体"/>
                <w:color w:val="auto"/>
                <w:sz w:val="21"/>
                <w:szCs w:val="21"/>
                <w:lang w:eastAsia="zh-CN"/>
              </w:rPr>
            </w:pPr>
            <w:r>
              <w:rPr>
                <w:rFonts w:hint="eastAsia"/>
                <w:color w:val="auto"/>
                <w:sz w:val="21"/>
                <w:szCs w:val="21"/>
                <w:lang w:val="en-US" w:eastAsia="zh-CN"/>
              </w:rPr>
              <w:t>6</w:t>
            </w:r>
          </w:p>
        </w:tc>
        <w:tc>
          <w:tcPr>
            <w:tcW w:w="979" w:type="dxa"/>
            <w:vAlign w:val="center"/>
          </w:tcPr>
          <w:p>
            <w:pPr>
              <w:jc w:val="center"/>
              <w:rPr>
                <w:rFonts w:eastAsiaTheme="minorEastAsia"/>
                <w:color w:val="auto"/>
                <w:sz w:val="21"/>
                <w:szCs w:val="21"/>
              </w:rPr>
            </w:pPr>
            <w:r>
              <w:rPr>
                <w:rFonts w:hint="eastAsia"/>
                <w:color w:val="auto"/>
                <w:sz w:val="21"/>
                <w:szCs w:val="21"/>
              </w:rPr>
              <w:t>兴田街道</w:t>
            </w:r>
          </w:p>
        </w:tc>
        <w:tc>
          <w:tcPr>
            <w:tcW w:w="1230" w:type="dxa"/>
            <w:vAlign w:val="center"/>
          </w:tcPr>
          <w:p>
            <w:pPr>
              <w:widowControl/>
              <w:spacing w:line="360" w:lineRule="auto"/>
              <w:jc w:val="center"/>
              <w:rPr>
                <w:rFonts w:eastAsiaTheme="minorEastAsia"/>
                <w:color w:val="auto"/>
                <w:sz w:val="21"/>
                <w:szCs w:val="21"/>
              </w:rPr>
            </w:pPr>
            <w:r>
              <w:rPr>
                <w:rFonts w:eastAsiaTheme="minorEastAsia"/>
                <w:color w:val="auto"/>
                <w:sz w:val="21"/>
                <w:szCs w:val="21"/>
              </w:rPr>
              <w:t>洋岗村</w:t>
            </w:r>
          </w:p>
        </w:tc>
        <w:tc>
          <w:tcPr>
            <w:tcW w:w="835" w:type="dxa"/>
            <w:vAlign w:val="center"/>
          </w:tcPr>
          <w:p>
            <w:pPr>
              <w:jc w:val="center"/>
              <w:rPr>
                <w:rFonts w:eastAsiaTheme="minorEastAsia"/>
                <w:color w:val="auto"/>
                <w:sz w:val="21"/>
                <w:szCs w:val="21"/>
              </w:rPr>
            </w:pPr>
            <w:r>
              <w:rPr>
                <w:rFonts w:eastAsiaTheme="minorEastAsia"/>
                <w:color w:val="auto"/>
                <w:sz w:val="21"/>
                <w:szCs w:val="21"/>
              </w:rPr>
              <w:t>3294</w:t>
            </w:r>
          </w:p>
        </w:tc>
        <w:tc>
          <w:tcPr>
            <w:tcW w:w="797" w:type="dxa"/>
            <w:vAlign w:val="center"/>
          </w:tcPr>
          <w:p>
            <w:pPr>
              <w:jc w:val="center"/>
              <w:rPr>
                <w:rFonts w:eastAsiaTheme="minorEastAsia"/>
                <w:color w:val="auto"/>
                <w:sz w:val="21"/>
                <w:szCs w:val="21"/>
              </w:rPr>
            </w:pPr>
            <w:r>
              <w:rPr>
                <w:rFonts w:eastAsiaTheme="minorEastAsia"/>
                <w:color w:val="auto"/>
                <w:sz w:val="21"/>
                <w:szCs w:val="21"/>
              </w:rPr>
              <w:t>2320</w:t>
            </w:r>
          </w:p>
        </w:tc>
        <w:tc>
          <w:tcPr>
            <w:tcW w:w="886" w:type="dxa"/>
            <w:vAlign w:val="center"/>
          </w:tcPr>
          <w:p>
            <w:pPr>
              <w:widowControl/>
              <w:jc w:val="center"/>
              <w:rPr>
                <w:color w:val="auto"/>
                <w:sz w:val="21"/>
                <w:szCs w:val="21"/>
              </w:rPr>
            </w:pPr>
            <w:r>
              <w:rPr>
                <w:color w:val="auto"/>
                <w:sz w:val="21"/>
                <w:szCs w:val="21"/>
              </w:rPr>
              <w:t>行政村</w:t>
            </w:r>
          </w:p>
        </w:tc>
        <w:tc>
          <w:tcPr>
            <w:tcW w:w="585" w:type="dxa"/>
            <w:vAlign w:val="center"/>
          </w:tcPr>
          <w:p>
            <w:pPr>
              <w:jc w:val="center"/>
              <w:rPr>
                <w:color w:val="auto"/>
                <w:kern w:val="0"/>
                <w:sz w:val="21"/>
                <w:szCs w:val="21"/>
              </w:rPr>
            </w:pPr>
            <w:r>
              <w:rPr>
                <w:color w:val="auto"/>
                <w:kern w:val="0"/>
                <w:sz w:val="21"/>
                <w:szCs w:val="21"/>
              </w:rPr>
              <w:t>NE</w:t>
            </w:r>
          </w:p>
        </w:tc>
        <w:tc>
          <w:tcPr>
            <w:tcW w:w="886" w:type="dxa"/>
            <w:vAlign w:val="center"/>
          </w:tcPr>
          <w:p>
            <w:pPr>
              <w:widowControl/>
              <w:jc w:val="center"/>
              <w:rPr>
                <w:rFonts w:hint="eastAsia" w:eastAsia="宋体"/>
                <w:color w:val="auto"/>
                <w:sz w:val="21"/>
                <w:szCs w:val="21"/>
                <w:lang w:eastAsia="zh-CN"/>
              </w:rPr>
            </w:pPr>
            <w:r>
              <w:rPr>
                <w:rFonts w:hint="eastAsia"/>
                <w:color w:val="auto"/>
                <w:sz w:val="21"/>
                <w:szCs w:val="21"/>
                <w:lang w:val="en-US" w:eastAsia="zh-CN"/>
              </w:rPr>
              <w:t>2931</w:t>
            </w:r>
          </w:p>
        </w:tc>
        <w:tc>
          <w:tcPr>
            <w:tcW w:w="972" w:type="dxa"/>
            <w:vAlign w:val="center"/>
          </w:tcPr>
          <w:p>
            <w:pPr>
              <w:widowControl/>
              <w:spacing w:line="360" w:lineRule="auto"/>
              <w:jc w:val="center"/>
              <w:rPr>
                <w:rFonts w:eastAsiaTheme="minorEastAsia"/>
                <w:color w:val="auto"/>
                <w:sz w:val="21"/>
                <w:szCs w:val="21"/>
              </w:rPr>
            </w:pPr>
            <w:r>
              <w:rPr>
                <w:rFonts w:hint="eastAsia" w:eastAsiaTheme="minorEastAsia"/>
                <w:color w:val="auto"/>
                <w:sz w:val="21"/>
                <w:szCs w:val="21"/>
              </w:rPr>
              <w:t>3</w:t>
            </w:r>
            <w:r>
              <w:rPr>
                <w:rFonts w:eastAsiaTheme="minorEastAsia"/>
                <w:color w:val="auto"/>
                <w:sz w:val="21"/>
                <w:szCs w:val="21"/>
              </w:rPr>
              <w:t>373</w:t>
            </w:r>
          </w:p>
        </w:tc>
        <w:tc>
          <w:tcPr>
            <w:tcW w:w="752" w:type="dxa"/>
            <w:vAlign w:val="center"/>
          </w:tcPr>
          <w:p>
            <w:pPr>
              <w:jc w:val="center"/>
              <w:rPr>
                <w:color w:val="auto"/>
                <w:sz w:val="21"/>
                <w:szCs w:val="21"/>
              </w:rPr>
            </w:pPr>
            <w:r>
              <w:rPr>
                <w:rFonts w:hint="eastAsia"/>
                <w:color w:val="auto"/>
                <w:sz w:val="21"/>
                <w:szCs w:val="21"/>
              </w:rPr>
              <w:t>大气环境、环境风险保护目标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51" w:type="dxa"/>
            <w:vAlign w:val="center"/>
          </w:tcPr>
          <w:p>
            <w:pPr>
              <w:widowControl/>
              <w:jc w:val="center"/>
              <w:rPr>
                <w:rFonts w:hint="eastAsia" w:eastAsia="宋体"/>
                <w:color w:val="auto"/>
                <w:sz w:val="21"/>
                <w:szCs w:val="21"/>
                <w:lang w:eastAsia="zh-CN"/>
              </w:rPr>
            </w:pPr>
            <w:r>
              <w:rPr>
                <w:rFonts w:hint="eastAsia"/>
                <w:color w:val="auto"/>
                <w:sz w:val="21"/>
                <w:szCs w:val="21"/>
                <w:lang w:val="en-US" w:eastAsia="zh-CN"/>
              </w:rPr>
              <w:t>7</w:t>
            </w:r>
          </w:p>
        </w:tc>
        <w:tc>
          <w:tcPr>
            <w:tcW w:w="979" w:type="dxa"/>
            <w:vAlign w:val="center"/>
          </w:tcPr>
          <w:p>
            <w:pPr>
              <w:jc w:val="center"/>
              <w:rPr>
                <w:color w:val="auto"/>
                <w:sz w:val="21"/>
                <w:szCs w:val="21"/>
              </w:rPr>
            </w:pPr>
            <w:r>
              <w:rPr>
                <w:rFonts w:hint="eastAsia"/>
                <w:color w:val="auto"/>
                <w:sz w:val="21"/>
                <w:szCs w:val="21"/>
              </w:rPr>
              <w:t>福兴街道大塘村</w:t>
            </w:r>
          </w:p>
        </w:tc>
        <w:tc>
          <w:tcPr>
            <w:tcW w:w="1230" w:type="dxa"/>
            <w:vAlign w:val="center"/>
          </w:tcPr>
          <w:p>
            <w:pPr>
              <w:widowControl/>
              <w:spacing w:line="360" w:lineRule="auto"/>
              <w:jc w:val="center"/>
              <w:rPr>
                <w:rFonts w:eastAsiaTheme="minorEastAsia"/>
                <w:color w:val="auto"/>
                <w:sz w:val="21"/>
                <w:szCs w:val="21"/>
              </w:rPr>
            </w:pPr>
            <w:r>
              <w:rPr>
                <w:rFonts w:eastAsiaTheme="minorEastAsia"/>
                <w:color w:val="auto"/>
                <w:sz w:val="21"/>
                <w:szCs w:val="21"/>
              </w:rPr>
              <w:t>大塘村</w:t>
            </w:r>
          </w:p>
        </w:tc>
        <w:tc>
          <w:tcPr>
            <w:tcW w:w="835" w:type="dxa"/>
            <w:vAlign w:val="center"/>
          </w:tcPr>
          <w:p>
            <w:pPr>
              <w:jc w:val="center"/>
              <w:rPr>
                <w:rFonts w:eastAsiaTheme="minorEastAsia"/>
                <w:color w:val="auto"/>
                <w:sz w:val="21"/>
                <w:szCs w:val="21"/>
              </w:rPr>
            </w:pPr>
            <w:r>
              <w:rPr>
                <w:rFonts w:eastAsiaTheme="minorEastAsia"/>
                <w:color w:val="auto"/>
                <w:sz w:val="21"/>
                <w:szCs w:val="21"/>
              </w:rPr>
              <w:t>908</w:t>
            </w:r>
          </w:p>
        </w:tc>
        <w:tc>
          <w:tcPr>
            <w:tcW w:w="797" w:type="dxa"/>
            <w:vAlign w:val="center"/>
          </w:tcPr>
          <w:p>
            <w:pPr>
              <w:jc w:val="center"/>
              <w:rPr>
                <w:rFonts w:eastAsiaTheme="minorEastAsia"/>
                <w:color w:val="auto"/>
                <w:sz w:val="21"/>
                <w:szCs w:val="21"/>
              </w:rPr>
            </w:pPr>
            <w:r>
              <w:rPr>
                <w:rFonts w:eastAsiaTheme="minorEastAsia"/>
                <w:color w:val="auto"/>
                <w:sz w:val="21"/>
                <w:szCs w:val="21"/>
              </w:rPr>
              <w:t>-1100</w:t>
            </w:r>
          </w:p>
        </w:tc>
        <w:tc>
          <w:tcPr>
            <w:tcW w:w="886" w:type="dxa"/>
            <w:vAlign w:val="center"/>
          </w:tcPr>
          <w:p>
            <w:pPr>
              <w:widowControl/>
              <w:jc w:val="center"/>
              <w:rPr>
                <w:color w:val="auto"/>
                <w:sz w:val="21"/>
                <w:szCs w:val="21"/>
              </w:rPr>
            </w:pPr>
            <w:r>
              <w:rPr>
                <w:rFonts w:hint="eastAsia"/>
                <w:color w:val="auto"/>
                <w:sz w:val="21"/>
                <w:szCs w:val="21"/>
              </w:rPr>
              <w:t>行政村</w:t>
            </w:r>
          </w:p>
        </w:tc>
        <w:tc>
          <w:tcPr>
            <w:tcW w:w="585" w:type="dxa"/>
            <w:vAlign w:val="center"/>
          </w:tcPr>
          <w:p>
            <w:pPr>
              <w:jc w:val="center"/>
              <w:rPr>
                <w:color w:val="auto"/>
                <w:sz w:val="21"/>
                <w:szCs w:val="21"/>
              </w:rPr>
            </w:pPr>
            <w:r>
              <w:rPr>
                <w:rFonts w:hint="eastAsia"/>
                <w:color w:val="auto"/>
                <w:kern w:val="0"/>
                <w:sz w:val="21"/>
                <w:szCs w:val="21"/>
              </w:rPr>
              <w:t>S</w:t>
            </w:r>
          </w:p>
        </w:tc>
        <w:tc>
          <w:tcPr>
            <w:tcW w:w="886" w:type="dxa"/>
            <w:vAlign w:val="center"/>
          </w:tcPr>
          <w:p>
            <w:pPr>
              <w:widowControl/>
              <w:jc w:val="center"/>
              <w:rPr>
                <w:rFonts w:hint="eastAsia" w:eastAsia="宋体"/>
                <w:color w:val="auto"/>
                <w:sz w:val="21"/>
                <w:szCs w:val="21"/>
                <w:lang w:eastAsia="zh-CN"/>
              </w:rPr>
            </w:pPr>
            <w:r>
              <w:rPr>
                <w:rFonts w:hint="eastAsia"/>
                <w:color w:val="auto"/>
                <w:sz w:val="21"/>
                <w:szCs w:val="21"/>
                <w:lang w:val="en-US" w:eastAsia="zh-CN"/>
              </w:rPr>
              <w:t>1173</w:t>
            </w:r>
          </w:p>
        </w:tc>
        <w:tc>
          <w:tcPr>
            <w:tcW w:w="972" w:type="dxa"/>
            <w:vAlign w:val="center"/>
          </w:tcPr>
          <w:p>
            <w:pPr>
              <w:widowControl/>
              <w:spacing w:line="360" w:lineRule="auto"/>
              <w:jc w:val="center"/>
              <w:rPr>
                <w:color w:val="auto"/>
                <w:sz w:val="21"/>
                <w:szCs w:val="21"/>
              </w:rPr>
            </w:pPr>
            <w:r>
              <w:rPr>
                <w:rFonts w:hint="eastAsia"/>
                <w:color w:val="auto"/>
                <w:kern w:val="0"/>
                <w:sz w:val="21"/>
                <w:szCs w:val="21"/>
              </w:rPr>
              <w:t>1</w:t>
            </w:r>
            <w:r>
              <w:rPr>
                <w:color w:val="auto"/>
                <w:kern w:val="0"/>
                <w:sz w:val="21"/>
                <w:szCs w:val="21"/>
              </w:rPr>
              <w:t>901</w:t>
            </w:r>
          </w:p>
        </w:tc>
        <w:tc>
          <w:tcPr>
            <w:tcW w:w="752" w:type="dxa"/>
            <w:vMerge w:val="restart"/>
            <w:vAlign w:val="center"/>
          </w:tcPr>
          <w:p>
            <w:pPr>
              <w:rPr>
                <w:color w:val="auto"/>
                <w:sz w:val="21"/>
                <w:szCs w:val="21"/>
              </w:rPr>
            </w:pPr>
            <w:r>
              <w:rPr>
                <w:rFonts w:hint="eastAsia"/>
                <w:color w:val="auto"/>
                <w:sz w:val="21"/>
                <w:szCs w:val="21"/>
              </w:rPr>
              <w:t>大气环境、环境风险保护目标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551" w:type="dxa"/>
            <w:vAlign w:val="center"/>
          </w:tcPr>
          <w:p>
            <w:pPr>
              <w:widowControl/>
              <w:jc w:val="center"/>
              <w:rPr>
                <w:rFonts w:hint="eastAsia" w:eastAsia="宋体"/>
                <w:color w:val="auto"/>
                <w:sz w:val="21"/>
                <w:szCs w:val="21"/>
                <w:lang w:eastAsia="zh-CN"/>
              </w:rPr>
            </w:pPr>
            <w:r>
              <w:rPr>
                <w:rFonts w:hint="eastAsia"/>
                <w:color w:val="auto"/>
                <w:sz w:val="21"/>
                <w:szCs w:val="21"/>
                <w:lang w:val="en-US" w:eastAsia="zh-CN"/>
              </w:rPr>
              <w:t>8</w:t>
            </w:r>
          </w:p>
        </w:tc>
        <w:tc>
          <w:tcPr>
            <w:tcW w:w="979" w:type="dxa"/>
            <w:vAlign w:val="center"/>
          </w:tcPr>
          <w:p>
            <w:pPr>
              <w:widowControl/>
              <w:jc w:val="center"/>
              <w:rPr>
                <w:color w:val="auto"/>
                <w:sz w:val="21"/>
                <w:szCs w:val="21"/>
              </w:rPr>
            </w:pPr>
            <w:r>
              <w:rPr>
                <w:rFonts w:hint="eastAsia"/>
                <w:color w:val="auto"/>
                <w:sz w:val="21"/>
                <w:szCs w:val="21"/>
              </w:rPr>
              <w:t>福兴街道</w:t>
            </w:r>
          </w:p>
        </w:tc>
        <w:tc>
          <w:tcPr>
            <w:tcW w:w="1230" w:type="dxa"/>
            <w:vAlign w:val="center"/>
          </w:tcPr>
          <w:p>
            <w:pPr>
              <w:widowControl/>
              <w:jc w:val="center"/>
              <w:rPr>
                <w:rFonts w:eastAsiaTheme="minorEastAsia"/>
                <w:color w:val="auto"/>
                <w:sz w:val="21"/>
                <w:szCs w:val="21"/>
              </w:rPr>
            </w:pPr>
            <w:r>
              <w:rPr>
                <w:rFonts w:eastAsiaTheme="minorEastAsia"/>
                <w:color w:val="auto"/>
                <w:sz w:val="21"/>
                <w:szCs w:val="21"/>
              </w:rPr>
              <w:t>新联村</w:t>
            </w:r>
          </w:p>
        </w:tc>
        <w:tc>
          <w:tcPr>
            <w:tcW w:w="835" w:type="dxa"/>
            <w:vAlign w:val="center"/>
          </w:tcPr>
          <w:p>
            <w:pPr>
              <w:jc w:val="center"/>
              <w:rPr>
                <w:rFonts w:eastAsiaTheme="minorEastAsia"/>
                <w:color w:val="auto"/>
                <w:sz w:val="21"/>
                <w:szCs w:val="21"/>
              </w:rPr>
            </w:pPr>
            <w:r>
              <w:rPr>
                <w:rFonts w:eastAsiaTheme="minorEastAsia"/>
                <w:color w:val="auto"/>
                <w:sz w:val="21"/>
                <w:szCs w:val="21"/>
              </w:rPr>
              <w:t>3249</w:t>
            </w:r>
          </w:p>
        </w:tc>
        <w:tc>
          <w:tcPr>
            <w:tcW w:w="797" w:type="dxa"/>
            <w:vAlign w:val="center"/>
          </w:tcPr>
          <w:p>
            <w:pPr>
              <w:jc w:val="center"/>
              <w:rPr>
                <w:rFonts w:eastAsiaTheme="minorEastAsia"/>
                <w:color w:val="auto"/>
                <w:sz w:val="21"/>
                <w:szCs w:val="21"/>
              </w:rPr>
            </w:pPr>
            <w:r>
              <w:rPr>
                <w:rFonts w:eastAsiaTheme="minorEastAsia"/>
                <w:color w:val="auto"/>
                <w:sz w:val="21"/>
                <w:szCs w:val="21"/>
              </w:rPr>
              <w:t>25</w:t>
            </w:r>
          </w:p>
        </w:tc>
        <w:tc>
          <w:tcPr>
            <w:tcW w:w="886" w:type="dxa"/>
            <w:vAlign w:val="center"/>
          </w:tcPr>
          <w:p>
            <w:pPr>
              <w:widowControl/>
              <w:jc w:val="center"/>
              <w:rPr>
                <w:color w:val="auto"/>
                <w:sz w:val="21"/>
                <w:szCs w:val="21"/>
              </w:rPr>
            </w:pPr>
            <w:r>
              <w:rPr>
                <w:rFonts w:hint="eastAsia"/>
                <w:color w:val="auto"/>
                <w:sz w:val="21"/>
                <w:szCs w:val="21"/>
              </w:rPr>
              <w:t>行政村</w:t>
            </w:r>
          </w:p>
        </w:tc>
        <w:tc>
          <w:tcPr>
            <w:tcW w:w="585" w:type="dxa"/>
            <w:vAlign w:val="center"/>
          </w:tcPr>
          <w:p>
            <w:pPr>
              <w:jc w:val="center"/>
              <w:rPr>
                <w:color w:val="auto"/>
                <w:kern w:val="0"/>
                <w:sz w:val="21"/>
                <w:szCs w:val="21"/>
              </w:rPr>
            </w:pPr>
            <w:r>
              <w:rPr>
                <w:color w:val="auto"/>
                <w:kern w:val="0"/>
                <w:sz w:val="21"/>
                <w:szCs w:val="21"/>
              </w:rPr>
              <w:t>E</w:t>
            </w:r>
          </w:p>
        </w:tc>
        <w:tc>
          <w:tcPr>
            <w:tcW w:w="886" w:type="dxa"/>
            <w:vAlign w:val="center"/>
          </w:tcPr>
          <w:p>
            <w:pPr>
              <w:widowControl/>
              <w:jc w:val="center"/>
              <w:rPr>
                <w:color w:val="auto"/>
                <w:sz w:val="21"/>
                <w:szCs w:val="21"/>
              </w:rPr>
            </w:pPr>
            <w:r>
              <w:rPr>
                <w:rFonts w:hint="eastAsia"/>
                <w:color w:val="auto"/>
                <w:sz w:val="21"/>
                <w:szCs w:val="21"/>
              </w:rPr>
              <w:t>1</w:t>
            </w:r>
            <w:r>
              <w:rPr>
                <w:rFonts w:hint="eastAsia"/>
                <w:color w:val="auto"/>
                <w:sz w:val="21"/>
                <w:szCs w:val="21"/>
                <w:lang w:val="en-US" w:eastAsia="zh-CN"/>
              </w:rPr>
              <w:t>989</w:t>
            </w:r>
          </w:p>
        </w:tc>
        <w:tc>
          <w:tcPr>
            <w:tcW w:w="972" w:type="dxa"/>
            <w:vAlign w:val="center"/>
          </w:tcPr>
          <w:p>
            <w:pPr>
              <w:jc w:val="center"/>
              <w:rPr>
                <w:color w:val="auto"/>
                <w:kern w:val="0"/>
                <w:sz w:val="21"/>
                <w:szCs w:val="21"/>
              </w:rPr>
            </w:pPr>
            <w:r>
              <w:rPr>
                <w:rFonts w:hint="eastAsia"/>
                <w:color w:val="auto"/>
                <w:kern w:val="0"/>
                <w:sz w:val="21"/>
                <w:szCs w:val="21"/>
              </w:rPr>
              <w:t>4</w:t>
            </w:r>
            <w:r>
              <w:rPr>
                <w:color w:val="auto"/>
                <w:kern w:val="0"/>
                <w:sz w:val="21"/>
                <w:szCs w:val="21"/>
              </w:rPr>
              <w:t>325</w:t>
            </w:r>
          </w:p>
        </w:tc>
        <w:tc>
          <w:tcPr>
            <w:tcW w:w="752" w:type="dxa"/>
            <w:vMerge w:val="continue"/>
            <w:vAlign w:val="center"/>
          </w:tcPr>
          <w:p>
            <w:pPr>
              <w:widowControl/>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51" w:type="dxa"/>
            <w:vAlign w:val="center"/>
          </w:tcPr>
          <w:p>
            <w:pPr>
              <w:widowControl/>
              <w:jc w:val="center"/>
              <w:rPr>
                <w:rFonts w:hint="eastAsia" w:eastAsia="宋体"/>
                <w:color w:val="auto"/>
                <w:sz w:val="21"/>
                <w:szCs w:val="21"/>
                <w:lang w:eastAsia="zh-CN"/>
              </w:rPr>
            </w:pPr>
            <w:r>
              <w:rPr>
                <w:rFonts w:hint="eastAsia"/>
                <w:color w:val="auto"/>
                <w:sz w:val="21"/>
                <w:szCs w:val="21"/>
                <w:lang w:val="en-US" w:eastAsia="zh-CN"/>
              </w:rPr>
              <w:t>9</w:t>
            </w:r>
          </w:p>
        </w:tc>
        <w:tc>
          <w:tcPr>
            <w:tcW w:w="979" w:type="dxa"/>
            <w:vAlign w:val="center"/>
          </w:tcPr>
          <w:p>
            <w:pPr>
              <w:widowControl/>
              <w:jc w:val="center"/>
              <w:rPr>
                <w:color w:val="auto"/>
                <w:sz w:val="21"/>
                <w:szCs w:val="21"/>
              </w:rPr>
            </w:pPr>
            <w:r>
              <w:rPr>
                <w:rFonts w:hint="eastAsia"/>
                <w:color w:val="auto"/>
                <w:sz w:val="21"/>
                <w:szCs w:val="21"/>
              </w:rPr>
              <w:t>五华县华城镇</w:t>
            </w:r>
          </w:p>
        </w:tc>
        <w:tc>
          <w:tcPr>
            <w:tcW w:w="1230" w:type="dxa"/>
            <w:vAlign w:val="center"/>
          </w:tcPr>
          <w:p>
            <w:pPr>
              <w:widowControl/>
              <w:jc w:val="center"/>
              <w:rPr>
                <w:rFonts w:eastAsiaTheme="minorEastAsia"/>
                <w:color w:val="auto"/>
                <w:sz w:val="21"/>
                <w:szCs w:val="21"/>
              </w:rPr>
            </w:pPr>
            <w:r>
              <w:rPr>
                <w:rFonts w:eastAsiaTheme="minorEastAsia"/>
                <w:color w:val="auto"/>
                <w:sz w:val="21"/>
                <w:szCs w:val="21"/>
              </w:rPr>
              <w:t>齐乐村</w:t>
            </w:r>
          </w:p>
        </w:tc>
        <w:tc>
          <w:tcPr>
            <w:tcW w:w="835" w:type="dxa"/>
            <w:vAlign w:val="center"/>
          </w:tcPr>
          <w:p>
            <w:pPr>
              <w:jc w:val="center"/>
              <w:rPr>
                <w:rFonts w:eastAsiaTheme="minorEastAsia"/>
                <w:color w:val="auto"/>
                <w:sz w:val="21"/>
                <w:szCs w:val="21"/>
              </w:rPr>
            </w:pPr>
            <w:r>
              <w:rPr>
                <w:rFonts w:eastAsiaTheme="minorEastAsia"/>
                <w:color w:val="auto"/>
                <w:sz w:val="21"/>
                <w:szCs w:val="21"/>
              </w:rPr>
              <w:t>-1561</w:t>
            </w:r>
          </w:p>
        </w:tc>
        <w:tc>
          <w:tcPr>
            <w:tcW w:w="797" w:type="dxa"/>
            <w:vAlign w:val="center"/>
          </w:tcPr>
          <w:p>
            <w:pPr>
              <w:jc w:val="center"/>
              <w:rPr>
                <w:rFonts w:eastAsiaTheme="minorEastAsia"/>
                <w:color w:val="auto"/>
                <w:sz w:val="21"/>
                <w:szCs w:val="21"/>
              </w:rPr>
            </w:pPr>
            <w:r>
              <w:rPr>
                <w:rFonts w:eastAsiaTheme="minorEastAsia"/>
                <w:color w:val="auto"/>
                <w:sz w:val="21"/>
                <w:szCs w:val="21"/>
              </w:rPr>
              <w:t>-2234</w:t>
            </w:r>
          </w:p>
        </w:tc>
        <w:tc>
          <w:tcPr>
            <w:tcW w:w="886" w:type="dxa"/>
            <w:vAlign w:val="center"/>
          </w:tcPr>
          <w:p>
            <w:pPr>
              <w:widowControl/>
              <w:jc w:val="center"/>
              <w:rPr>
                <w:color w:val="auto"/>
                <w:sz w:val="21"/>
                <w:szCs w:val="21"/>
              </w:rPr>
            </w:pPr>
            <w:r>
              <w:rPr>
                <w:rFonts w:hint="eastAsia"/>
                <w:color w:val="auto"/>
                <w:sz w:val="21"/>
                <w:szCs w:val="21"/>
              </w:rPr>
              <w:t>行政村</w:t>
            </w:r>
          </w:p>
        </w:tc>
        <w:tc>
          <w:tcPr>
            <w:tcW w:w="585" w:type="dxa"/>
            <w:vAlign w:val="center"/>
          </w:tcPr>
          <w:p>
            <w:pPr>
              <w:jc w:val="center"/>
              <w:rPr>
                <w:color w:val="auto"/>
                <w:kern w:val="0"/>
                <w:sz w:val="21"/>
                <w:szCs w:val="21"/>
              </w:rPr>
            </w:pPr>
            <w:r>
              <w:rPr>
                <w:color w:val="auto"/>
                <w:kern w:val="0"/>
                <w:sz w:val="21"/>
                <w:szCs w:val="21"/>
              </w:rPr>
              <w:t>SW</w:t>
            </w:r>
          </w:p>
        </w:tc>
        <w:tc>
          <w:tcPr>
            <w:tcW w:w="886" w:type="dxa"/>
            <w:vAlign w:val="center"/>
          </w:tcPr>
          <w:p>
            <w:pPr>
              <w:widowControl/>
              <w:jc w:val="center"/>
              <w:rPr>
                <w:color w:val="auto"/>
                <w:sz w:val="21"/>
                <w:szCs w:val="21"/>
              </w:rPr>
            </w:pPr>
            <w:r>
              <w:rPr>
                <w:rFonts w:hint="eastAsia"/>
                <w:color w:val="auto"/>
                <w:sz w:val="21"/>
                <w:szCs w:val="21"/>
              </w:rPr>
              <w:t>2</w:t>
            </w:r>
            <w:r>
              <w:rPr>
                <w:rFonts w:hint="eastAsia"/>
                <w:color w:val="auto"/>
                <w:sz w:val="21"/>
                <w:szCs w:val="21"/>
                <w:lang w:val="en-US" w:eastAsia="zh-CN"/>
              </w:rPr>
              <w:t>696</w:t>
            </w:r>
          </w:p>
        </w:tc>
        <w:tc>
          <w:tcPr>
            <w:tcW w:w="972" w:type="dxa"/>
            <w:vAlign w:val="center"/>
          </w:tcPr>
          <w:p>
            <w:pPr>
              <w:jc w:val="center"/>
              <w:rPr>
                <w:color w:val="auto"/>
                <w:kern w:val="0"/>
                <w:sz w:val="21"/>
                <w:szCs w:val="21"/>
              </w:rPr>
            </w:pPr>
            <w:r>
              <w:rPr>
                <w:rFonts w:hint="eastAsia"/>
                <w:color w:val="auto"/>
                <w:kern w:val="0"/>
                <w:sz w:val="21"/>
                <w:szCs w:val="21"/>
              </w:rPr>
              <w:t>3</w:t>
            </w:r>
            <w:r>
              <w:rPr>
                <w:color w:val="auto"/>
                <w:kern w:val="0"/>
                <w:sz w:val="21"/>
                <w:szCs w:val="21"/>
              </w:rPr>
              <w:t>042</w:t>
            </w:r>
          </w:p>
        </w:tc>
        <w:tc>
          <w:tcPr>
            <w:tcW w:w="752" w:type="dxa"/>
            <w:vAlign w:val="center"/>
          </w:tcPr>
          <w:p>
            <w:pPr>
              <w:widowControl/>
              <w:rPr>
                <w:color w:val="auto"/>
                <w:kern w:val="0"/>
                <w:sz w:val="21"/>
                <w:szCs w:val="21"/>
              </w:rPr>
            </w:pPr>
            <w:r>
              <w:rPr>
                <w:rFonts w:hint="eastAsia"/>
                <w:color w:val="auto"/>
                <w:sz w:val="21"/>
                <w:szCs w:val="21"/>
              </w:rPr>
              <w:t>大气环境、环境风险保护目标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51" w:type="dxa"/>
            <w:vAlign w:val="center"/>
          </w:tcPr>
          <w:p>
            <w:pPr>
              <w:widowControl/>
              <w:jc w:val="center"/>
              <w:rPr>
                <w:color w:val="auto"/>
                <w:sz w:val="21"/>
                <w:szCs w:val="21"/>
              </w:rPr>
            </w:pPr>
            <w:r>
              <w:rPr>
                <w:rFonts w:hint="eastAsia"/>
                <w:color w:val="auto"/>
                <w:sz w:val="21"/>
                <w:szCs w:val="21"/>
              </w:rPr>
              <w:t>1</w:t>
            </w:r>
            <w:r>
              <w:rPr>
                <w:rFonts w:hint="eastAsia"/>
                <w:color w:val="auto"/>
                <w:sz w:val="21"/>
                <w:szCs w:val="21"/>
                <w:lang w:val="en-US" w:eastAsia="zh-CN"/>
              </w:rPr>
              <w:t>0</w:t>
            </w:r>
          </w:p>
        </w:tc>
        <w:tc>
          <w:tcPr>
            <w:tcW w:w="979" w:type="dxa"/>
            <w:vMerge w:val="restart"/>
            <w:vAlign w:val="center"/>
          </w:tcPr>
          <w:p>
            <w:pPr>
              <w:widowControl/>
              <w:jc w:val="center"/>
              <w:rPr>
                <w:color w:val="auto"/>
                <w:sz w:val="21"/>
                <w:szCs w:val="21"/>
              </w:rPr>
            </w:pPr>
            <w:r>
              <w:rPr>
                <w:rFonts w:hint="eastAsia"/>
                <w:color w:val="auto"/>
                <w:sz w:val="21"/>
                <w:szCs w:val="21"/>
              </w:rPr>
              <w:t>福兴街道</w:t>
            </w:r>
          </w:p>
        </w:tc>
        <w:tc>
          <w:tcPr>
            <w:tcW w:w="1230" w:type="dxa"/>
            <w:vAlign w:val="center"/>
          </w:tcPr>
          <w:p>
            <w:pPr>
              <w:widowControl/>
              <w:jc w:val="center"/>
              <w:rPr>
                <w:rFonts w:eastAsiaTheme="minorEastAsia"/>
                <w:color w:val="auto"/>
                <w:sz w:val="21"/>
                <w:szCs w:val="21"/>
              </w:rPr>
            </w:pPr>
            <w:r>
              <w:rPr>
                <w:rFonts w:eastAsiaTheme="minorEastAsia"/>
                <w:color w:val="auto"/>
                <w:sz w:val="21"/>
                <w:szCs w:val="21"/>
              </w:rPr>
              <w:t>神光山市级自然保护区</w:t>
            </w:r>
          </w:p>
        </w:tc>
        <w:tc>
          <w:tcPr>
            <w:tcW w:w="835" w:type="dxa"/>
            <w:vAlign w:val="center"/>
          </w:tcPr>
          <w:p>
            <w:pPr>
              <w:jc w:val="center"/>
              <w:rPr>
                <w:rFonts w:eastAsiaTheme="minorEastAsia"/>
                <w:color w:val="auto"/>
                <w:sz w:val="21"/>
                <w:szCs w:val="21"/>
              </w:rPr>
            </w:pPr>
            <w:r>
              <w:rPr>
                <w:rFonts w:eastAsiaTheme="minorEastAsia"/>
                <w:color w:val="auto"/>
                <w:sz w:val="21"/>
                <w:szCs w:val="21"/>
              </w:rPr>
              <w:t>4058</w:t>
            </w:r>
          </w:p>
        </w:tc>
        <w:tc>
          <w:tcPr>
            <w:tcW w:w="797" w:type="dxa"/>
            <w:vAlign w:val="center"/>
          </w:tcPr>
          <w:p>
            <w:pPr>
              <w:jc w:val="center"/>
              <w:rPr>
                <w:rFonts w:eastAsiaTheme="minorEastAsia"/>
                <w:color w:val="auto"/>
                <w:sz w:val="21"/>
                <w:szCs w:val="21"/>
              </w:rPr>
            </w:pPr>
            <w:r>
              <w:rPr>
                <w:rFonts w:eastAsiaTheme="minorEastAsia"/>
                <w:color w:val="auto"/>
                <w:sz w:val="21"/>
                <w:szCs w:val="21"/>
              </w:rPr>
              <w:t>-1640</w:t>
            </w:r>
          </w:p>
        </w:tc>
        <w:tc>
          <w:tcPr>
            <w:tcW w:w="886" w:type="dxa"/>
            <w:vAlign w:val="center"/>
          </w:tcPr>
          <w:p>
            <w:pPr>
              <w:widowControl/>
              <w:jc w:val="center"/>
              <w:rPr>
                <w:color w:val="auto"/>
                <w:sz w:val="21"/>
                <w:szCs w:val="21"/>
              </w:rPr>
            </w:pPr>
            <w:r>
              <w:rPr>
                <w:rFonts w:hint="eastAsia"/>
                <w:color w:val="auto"/>
                <w:sz w:val="21"/>
                <w:szCs w:val="21"/>
              </w:rPr>
              <w:t>自然保护区</w:t>
            </w:r>
          </w:p>
        </w:tc>
        <w:tc>
          <w:tcPr>
            <w:tcW w:w="585" w:type="dxa"/>
            <w:vAlign w:val="center"/>
          </w:tcPr>
          <w:p>
            <w:pPr>
              <w:jc w:val="center"/>
              <w:rPr>
                <w:color w:val="auto"/>
                <w:kern w:val="0"/>
                <w:sz w:val="21"/>
                <w:szCs w:val="21"/>
              </w:rPr>
            </w:pPr>
            <w:r>
              <w:rPr>
                <w:color w:val="auto"/>
                <w:kern w:val="0"/>
                <w:sz w:val="21"/>
                <w:szCs w:val="21"/>
              </w:rPr>
              <w:t>SE</w:t>
            </w:r>
          </w:p>
        </w:tc>
        <w:tc>
          <w:tcPr>
            <w:tcW w:w="886" w:type="dxa"/>
            <w:vAlign w:val="center"/>
          </w:tcPr>
          <w:p>
            <w:pPr>
              <w:widowControl/>
              <w:jc w:val="center"/>
              <w:rPr>
                <w:rFonts w:hint="eastAsia" w:eastAsia="宋体"/>
                <w:color w:val="auto"/>
                <w:sz w:val="21"/>
                <w:szCs w:val="21"/>
                <w:lang w:eastAsia="zh-CN"/>
              </w:rPr>
            </w:pPr>
            <w:r>
              <w:rPr>
                <w:rFonts w:hint="eastAsia"/>
                <w:color w:val="auto"/>
                <w:sz w:val="21"/>
                <w:szCs w:val="21"/>
                <w:lang w:val="en-US" w:eastAsia="zh-CN"/>
              </w:rPr>
              <w:t>3197</w:t>
            </w:r>
          </w:p>
        </w:tc>
        <w:tc>
          <w:tcPr>
            <w:tcW w:w="972" w:type="dxa"/>
            <w:vAlign w:val="center"/>
          </w:tcPr>
          <w:p>
            <w:pPr>
              <w:jc w:val="center"/>
              <w:rPr>
                <w:color w:val="auto"/>
                <w:kern w:val="0"/>
                <w:sz w:val="21"/>
                <w:szCs w:val="21"/>
              </w:rPr>
            </w:pPr>
            <w:r>
              <w:rPr>
                <w:rFonts w:hint="eastAsia"/>
                <w:color w:val="auto"/>
                <w:kern w:val="0"/>
                <w:sz w:val="21"/>
                <w:szCs w:val="21"/>
              </w:rPr>
              <w:t>1</w:t>
            </w:r>
            <w:r>
              <w:rPr>
                <w:color w:val="auto"/>
                <w:kern w:val="0"/>
                <w:sz w:val="21"/>
                <w:szCs w:val="21"/>
              </w:rPr>
              <w:t>000</w:t>
            </w:r>
            <w:r>
              <w:rPr>
                <w:rFonts w:hint="eastAsia"/>
                <w:color w:val="auto"/>
                <w:kern w:val="0"/>
                <w:sz w:val="21"/>
                <w:szCs w:val="21"/>
              </w:rPr>
              <w:t>公顷</w:t>
            </w:r>
          </w:p>
        </w:tc>
        <w:tc>
          <w:tcPr>
            <w:tcW w:w="752" w:type="dxa"/>
            <w:vMerge w:val="restart"/>
            <w:vAlign w:val="center"/>
          </w:tcPr>
          <w:p>
            <w:pPr>
              <w:widowControl/>
              <w:rPr>
                <w:color w:val="auto"/>
                <w:kern w:val="0"/>
                <w:sz w:val="21"/>
                <w:szCs w:val="21"/>
              </w:rPr>
            </w:pPr>
            <w:r>
              <w:rPr>
                <w:rFonts w:hint="eastAsia"/>
                <w:color w:val="auto"/>
                <w:sz w:val="21"/>
                <w:szCs w:val="21"/>
              </w:rPr>
              <w:t>大气环境保护目标（大气一类区）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51" w:type="dxa"/>
            <w:textDirection w:val="lrTb"/>
            <w:vAlign w:val="center"/>
          </w:tcPr>
          <w:p>
            <w:pPr>
              <w:widowControl/>
              <w:jc w:val="center"/>
              <w:rPr>
                <w:rFonts w:hint="eastAsia"/>
                <w:color w:val="auto"/>
                <w:sz w:val="21"/>
                <w:szCs w:val="21"/>
              </w:rPr>
            </w:pPr>
            <w:r>
              <w:rPr>
                <w:rFonts w:hint="eastAsia"/>
                <w:color w:val="auto"/>
                <w:sz w:val="21"/>
                <w:szCs w:val="21"/>
              </w:rPr>
              <w:t>1</w:t>
            </w:r>
            <w:r>
              <w:rPr>
                <w:rFonts w:hint="eastAsia"/>
                <w:color w:val="auto"/>
                <w:sz w:val="21"/>
                <w:szCs w:val="21"/>
                <w:lang w:val="en-US" w:eastAsia="zh-CN"/>
              </w:rPr>
              <w:t>1</w:t>
            </w:r>
          </w:p>
        </w:tc>
        <w:tc>
          <w:tcPr>
            <w:tcW w:w="979" w:type="dxa"/>
            <w:vMerge w:val="continue"/>
            <w:vAlign w:val="center"/>
          </w:tcPr>
          <w:p>
            <w:pPr>
              <w:widowControl/>
              <w:jc w:val="center"/>
              <w:rPr>
                <w:rFonts w:hint="eastAsia"/>
                <w:color w:val="auto"/>
                <w:sz w:val="21"/>
                <w:szCs w:val="21"/>
              </w:rPr>
            </w:pPr>
          </w:p>
        </w:tc>
        <w:tc>
          <w:tcPr>
            <w:tcW w:w="1230" w:type="dxa"/>
            <w:textDirection w:val="lrTb"/>
            <w:vAlign w:val="center"/>
          </w:tcPr>
          <w:p>
            <w:pPr>
              <w:widowControl/>
              <w:jc w:val="center"/>
              <w:rPr>
                <w:rFonts w:eastAsiaTheme="minorEastAsia"/>
                <w:color w:val="auto"/>
                <w:sz w:val="21"/>
                <w:szCs w:val="21"/>
              </w:rPr>
            </w:pPr>
            <w:r>
              <w:rPr>
                <w:rFonts w:eastAsiaTheme="minorEastAsia"/>
                <w:color w:val="auto"/>
                <w:sz w:val="21"/>
                <w:szCs w:val="21"/>
              </w:rPr>
              <w:t>神光山国家森林公园</w:t>
            </w:r>
          </w:p>
        </w:tc>
        <w:tc>
          <w:tcPr>
            <w:tcW w:w="835" w:type="dxa"/>
            <w:textDirection w:val="lrTb"/>
            <w:vAlign w:val="center"/>
          </w:tcPr>
          <w:p>
            <w:pPr>
              <w:jc w:val="center"/>
              <w:rPr>
                <w:rFonts w:eastAsiaTheme="minorEastAsia"/>
                <w:color w:val="auto"/>
                <w:sz w:val="21"/>
                <w:szCs w:val="21"/>
              </w:rPr>
            </w:pPr>
            <w:r>
              <w:rPr>
                <w:rFonts w:eastAsiaTheme="minorEastAsia"/>
                <w:color w:val="auto"/>
                <w:sz w:val="21"/>
                <w:szCs w:val="21"/>
              </w:rPr>
              <w:t>4413</w:t>
            </w:r>
          </w:p>
        </w:tc>
        <w:tc>
          <w:tcPr>
            <w:tcW w:w="797" w:type="dxa"/>
            <w:textDirection w:val="lrTb"/>
            <w:vAlign w:val="center"/>
          </w:tcPr>
          <w:p>
            <w:pPr>
              <w:jc w:val="center"/>
              <w:rPr>
                <w:rFonts w:eastAsiaTheme="minorEastAsia"/>
                <w:color w:val="auto"/>
                <w:sz w:val="21"/>
                <w:szCs w:val="21"/>
              </w:rPr>
            </w:pPr>
            <w:r>
              <w:rPr>
                <w:rFonts w:eastAsiaTheme="minorEastAsia"/>
                <w:color w:val="auto"/>
                <w:sz w:val="21"/>
                <w:szCs w:val="21"/>
              </w:rPr>
              <w:t>-1780</w:t>
            </w:r>
          </w:p>
        </w:tc>
        <w:tc>
          <w:tcPr>
            <w:tcW w:w="886" w:type="dxa"/>
            <w:textDirection w:val="lrTb"/>
            <w:vAlign w:val="center"/>
          </w:tcPr>
          <w:p>
            <w:pPr>
              <w:widowControl/>
              <w:jc w:val="center"/>
              <w:rPr>
                <w:rFonts w:hint="eastAsia"/>
                <w:color w:val="auto"/>
                <w:sz w:val="21"/>
                <w:szCs w:val="21"/>
              </w:rPr>
            </w:pPr>
            <w:r>
              <w:rPr>
                <w:rFonts w:hint="eastAsia"/>
                <w:color w:val="auto"/>
                <w:sz w:val="21"/>
                <w:szCs w:val="21"/>
              </w:rPr>
              <w:t>国家森林公园</w:t>
            </w:r>
          </w:p>
        </w:tc>
        <w:tc>
          <w:tcPr>
            <w:tcW w:w="585" w:type="dxa"/>
            <w:textDirection w:val="lrTb"/>
            <w:vAlign w:val="center"/>
          </w:tcPr>
          <w:p>
            <w:pPr>
              <w:jc w:val="center"/>
              <w:rPr>
                <w:color w:val="auto"/>
                <w:kern w:val="0"/>
                <w:sz w:val="21"/>
                <w:szCs w:val="21"/>
              </w:rPr>
            </w:pPr>
            <w:r>
              <w:rPr>
                <w:color w:val="auto"/>
                <w:kern w:val="0"/>
                <w:sz w:val="21"/>
                <w:szCs w:val="21"/>
              </w:rPr>
              <w:t>SE</w:t>
            </w:r>
          </w:p>
        </w:tc>
        <w:tc>
          <w:tcPr>
            <w:tcW w:w="886" w:type="dxa"/>
            <w:textDirection w:val="lrTb"/>
            <w:vAlign w:val="center"/>
          </w:tcPr>
          <w:p>
            <w:pPr>
              <w:widowControl/>
              <w:jc w:val="center"/>
              <w:rPr>
                <w:rFonts w:hint="eastAsia" w:eastAsia="宋体"/>
                <w:color w:val="auto"/>
                <w:sz w:val="21"/>
                <w:szCs w:val="21"/>
                <w:lang w:val="en-US" w:eastAsia="zh-CN"/>
              </w:rPr>
            </w:pPr>
            <w:r>
              <w:rPr>
                <w:rFonts w:hint="eastAsia"/>
                <w:color w:val="auto"/>
                <w:sz w:val="21"/>
                <w:szCs w:val="21"/>
                <w:lang w:val="en-US" w:eastAsia="zh-CN"/>
              </w:rPr>
              <w:t>3541</w:t>
            </w:r>
          </w:p>
        </w:tc>
        <w:tc>
          <w:tcPr>
            <w:tcW w:w="972" w:type="dxa"/>
            <w:textDirection w:val="lrTb"/>
            <w:vAlign w:val="center"/>
          </w:tcPr>
          <w:p>
            <w:pPr>
              <w:jc w:val="center"/>
              <w:rPr>
                <w:rFonts w:hint="eastAsia"/>
                <w:color w:val="auto"/>
                <w:kern w:val="0"/>
                <w:sz w:val="21"/>
                <w:szCs w:val="21"/>
              </w:rPr>
            </w:pPr>
            <w:r>
              <w:rPr>
                <w:rFonts w:hint="eastAsia"/>
                <w:color w:val="auto"/>
                <w:kern w:val="0"/>
                <w:sz w:val="21"/>
                <w:szCs w:val="21"/>
              </w:rPr>
              <w:t>6</w:t>
            </w:r>
            <w:r>
              <w:rPr>
                <w:color w:val="auto"/>
                <w:kern w:val="0"/>
                <w:sz w:val="21"/>
                <w:szCs w:val="21"/>
              </w:rPr>
              <w:t>74.6</w:t>
            </w:r>
            <w:r>
              <w:rPr>
                <w:rFonts w:hint="eastAsia"/>
                <w:color w:val="auto"/>
                <w:kern w:val="0"/>
                <w:sz w:val="21"/>
                <w:szCs w:val="21"/>
              </w:rPr>
              <w:t>公顷</w:t>
            </w:r>
          </w:p>
        </w:tc>
        <w:tc>
          <w:tcPr>
            <w:tcW w:w="752" w:type="dxa"/>
            <w:vMerge w:val="continue"/>
            <w:textDirection w:val="lrTb"/>
            <w:vAlign w:val="center"/>
          </w:tcPr>
          <w:p>
            <w:pPr>
              <w:jc w:val="center"/>
              <w:rPr>
                <w:rFonts w:hint="eastAsia"/>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51" w:type="dxa"/>
            <w:textDirection w:val="lrTb"/>
            <w:vAlign w:val="center"/>
          </w:tcPr>
          <w:p>
            <w:pPr>
              <w:widowControl/>
              <w:jc w:val="center"/>
              <w:rPr>
                <w:color w:val="auto"/>
                <w:sz w:val="21"/>
                <w:szCs w:val="21"/>
              </w:rPr>
            </w:pPr>
            <w:r>
              <w:rPr>
                <w:rFonts w:hint="eastAsia"/>
                <w:color w:val="auto"/>
                <w:sz w:val="21"/>
                <w:szCs w:val="21"/>
                <w:lang w:val="en-US" w:eastAsia="zh-CN"/>
              </w:rPr>
              <w:t>12</w:t>
            </w:r>
          </w:p>
        </w:tc>
        <w:tc>
          <w:tcPr>
            <w:tcW w:w="979" w:type="dxa"/>
            <w:vMerge w:val="restart"/>
            <w:vAlign w:val="center"/>
          </w:tcPr>
          <w:p>
            <w:pPr>
              <w:widowControl/>
              <w:jc w:val="center"/>
              <w:rPr>
                <w:rFonts w:eastAsiaTheme="minorEastAsia"/>
                <w:color w:val="auto"/>
                <w:sz w:val="21"/>
                <w:szCs w:val="21"/>
              </w:rPr>
            </w:pPr>
            <w:r>
              <w:rPr>
                <w:rFonts w:hint="eastAsia" w:eastAsiaTheme="minorEastAsia"/>
                <w:color w:val="auto"/>
                <w:sz w:val="21"/>
                <w:szCs w:val="21"/>
              </w:rPr>
              <w:t>新陂镇</w:t>
            </w:r>
          </w:p>
        </w:tc>
        <w:tc>
          <w:tcPr>
            <w:tcW w:w="1230" w:type="dxa"/>
            <w:vAlign w:val="center"/>
          </w:tcPr>
          <w:p>
            <w:pPr>
              <w:widowControl/>
              <w:jc w:val="center"/>
              <w:rPr>
                <w:rFonts w:ascii="Times New Roman" w:hAnsi="Times New Roman" w:cs="Times New Roman" w:eastAsiaTheme="minorEastAsia"/>
                <w:color w:val="auto"/>
                <w:kern w:val="2"/>
                <w:sz w:val="21"/>
                <w:szCs w:val="21"/>
                <w:lang w:val="en-US" w:eastAsia="zh-CN" w:bidi="ar-SA"/>
              </w:rPr>
            </w:pPr>
            <w:r>
              <w:rPr>
                <w:rFonts w:eastAsiaTheme="minorEastAsia"/>
                <w:color w:val="auto"/>
                <w:sz w:val="21"/>
                <w:szCs w:val="21"/>
              </w:rPr>
              <w:t>洋塘坑水库</w:t>
            </w:r>
            <w:r>
              <w:rPr>
                <w:rFonts w:hint="eastAsia" w:eastAsiaTheme="minorEastAsia"/>
                <w:color w:val="auto"/>
                <w:sz w:val="21"/>
                <w:szCs w:val="21"/>
                <w:lang w:eastAsia="zh-CN"/>
              </w:rPr>
              <w:t>（</w:t>
            </w:r>
            <w:r>
              <w:rPr>
                <w:rFonts w:hint="eastAsia" w:eastAsiaTheme="minorEastAsia"/>
                <w:color w:val="auto"/>
                <w:sz w:val="21"/>
                <w:szCs w:val="21"/>
              </w:rPr>
              <w:t>集雨面积</w:t>
            </w:r>
            <w:r>
              <w:rPr>
                <w:rFonts w:hint="eastAsia" w:eastAsiaTheme="minorEastAsia"/>
                <w:color w:val="auto"/>
                <w:sz w:val="21"/>
                <w:szCs w:val="21"/>
                <w:lang w:val="en-US" w:eastAsia="zh-CN"/>
              </w:rPr>
              <w:t>1.03</w:t>
            </w:r>
            <w:r>
              <w:rPr>
                <w:rFonts w:hint="eastAsia" w:eastAsiaTheme="minorEastAsia"/>
                <w:color w:val="auto"/>
                <w:sz w:val="21"/>
                <w:szCs w:val="21"/>
              </w:rPr>
              <w:t>平方公里，总库容</w:t>
            </w:r>
            <w:r>
              <w:rPr>
                <w:rFonts w:hint="eastAsia" w:eastAsiaTheme="minorEastAsia"/>
                <w:color w:val="auto"/>
                <w:sz w:val="21"/>
                <w:szCs w:val="21"/>
                <w:lang w:val="en-US" w:eastAsia="zh-CN"/>
              </w:rPr>
              <w:t>26</w:t>
            </w:r>
            <w:r>
              <w:rPr>
                <w:rFonts w:hint="eastAsia" w:eastAsiaTheme="minorEastAsia"/>
                <w:color w:val="auto"/>
                <w:sz w:val="21"/>
                <w:szCs w:val="21"/>
              </w:rPr>
              <w:t>万立方米</w:t>
            </w:r>
            <w:r>
              <w:rPr>
                <w:rFonts w:hint="eastAsia" w:eastAsiaTheme="minorEastAsia"/>
                <w:color w:val="auto"/>
                <w:sz w:val="21"/>
                <w:szCs w:val="21"/>
                <w:lang w:eastAsia="zh-CN"/>
              </w:rPr>
              <w:t>）</w:t>
            </w:r>
          </w:p>
        </w:tc>
        <w:tc>
          <w:tcPr>
            <w:tcW w:w="835" w:type="dxa"/>
            <w:vAlign w:val="center"/>
          </w:tcPr>
          <w:p>
            <w:pPr>
              <w:jc w:val="center"/>
              <w:rPr>
                <w:rFonts w:ascii="Times New Roman" w:hAnsi="Times New Roman" w:cs="Times New Roman" w:eastAsiaTheme="minorEastAsia"/>
                <w:color w:val="auto"/>
                <w:kern w:val="2"/>
                <w:sz w:val="21"/>
                <w:szCs w:val="21"/>
                <w:lang w:val="en-US" w:eastAsia="zh-CN" w:bidi="ar-SA"/>
              </w:rPr>
            </w:pPr>
            <w:r>
              <w:rPr>
                <w:rFonts w:eastAsiaTheme="minorEastAsia"/>
                <w:color w:val="auto"/>
                <w:sz w:val="21"/>
                <w:szCs w:val="21"/>
              </w:rPr>
              <w:t>74</w:t>
            </w:r>
          </w:p>
        </w:tc>
        <w:tc>
          <w:tcPr>
            <w:tcW w:w="797" w:type="dxa"/>
            <w:vAlign w:val="center"/>
          </w:tcPr>
          <w:p>
            <w:pPr>
              <w:jc w:val="center"/>
              <w:rPr>
                <w:rFonts w:ascii="Times New Roman" w:hAnsi="Times New Roman" w:cs="Times New Roman" w:eastAsiaTheme="minorEastAsia"/>
                <w:color w:val="auto"/>
                <w:kern w:val="2"/>
                <w:sz w:val="21"/>
                <w:szCs w:val="21"/>
                <w:lang w:val="en-US" w:eastAsia="zh-CN" w:bidi="ar-SA"/>
              </w:rPr>
            </w:pPr>
            <w:r>
              <w:rPr>
                <w:rFonts w:eastAsiaTheme="minorEastAsia"/>
                <w:color w:val="auto"/>
                <w:sz w:val="21"/>
                <w:szCs w:val="21"/>
              </w:rPr>
              <w:t>2795</w:t>
            </w:r>
          </w:p>
        </w:tc>
        <w:tc>
          <w:tcPr>
            <w:tcW w:w="886" w:type="dxa"/>
            <w:vMerge w:val="restart"/>
            <w:vAlign w:val="center"/>
          </w:tcPr>
          <w:p>
            <w:pPr>
              <w:widowControl/>
              <w:jc w:val="center"/>
              <w:rPr>
                <w:rFonts w:eastAsiaTheme="minorEastAsia"/>
                <w:color w:val="auto"/>
                <w:sz w:val="21"/>
                <w:szCs w:val="21"/>
              </w:rPr>
            </w:pPr>
            <w:r>
              <w:rPr>
                <w:rFonts w:hint="eastAsia" w:eastAsiaTheme="minorEastAsia"/>
                <w:color w:val="auto"/>
                <w:sz w:val="21"/>
                <w:szCs w:val="21"/>
              </w:rPr>
              <w:t>水库（不属于饮用水源类型水库）</w:t>
            </w:r>
          </w:p>
        </w:tc>
        <w:tc>
          <w:tcPr>
            <w:tcW w:w="585" w:type="dxa"/>
            <w:vAlign w:val="center"/>
          </w:tcPr>
          <w:p>
            <w:pPr>
              <w:widowControl/>
              <w:jc w:val="center"/>
              <w:rPr>
                <w:rFonts w:eastAsiaTheme="minorEastAsia"/>
                <w:color w:val="auto"/>
                <w:kern w:val="0"/>
                <w:sz w:val="21"/>
                <w:szCs w:val="21"/>
              </w:rPr>
            </w:pPr>
            <w:r>
              <w:rPr>
                <w:color w:val="auto"/>
                <w:kern w:val="0"/>
                <w:sz w:val="21"/>
                <w:szCs w:val="21"/>
              </w:rPr>
              <w:t>NW</w:t>
            </w:r>
          </w:p>
        </w:tc>
        <w:tc>
          <w:tcPr>
            <w:tcW w:w="886" w:type="dxa"/>
            <w:vAlign w:val="center"/>
          </w:tcPr>
          <w:p>
            <w:pPr>
              <w:widowControl/>
              <w:jc w:val="center"/>
              <w:rPr>
                <w:rFonts w:hint="eastAsia" w:eastAsiaTheme="minorEastAsia"/>
                <w:color w:val="auto"/>
                <w:sz w:val="21"/>
                <w:szCs w:val="21"/>
                <w:lang w:eastAsia="zh-CN"/>
              </w:rPr>
            </w:pPr>
            <w:r>
              <w:rPr>
                <w:rFonts w:hint="eastAsia" w:eastAsiaTheme="minorEastAsia"/>
                <w:color w:val="auto"/>
                <w:sz w:val="21"/>
                <w:szCs w:val="21"/>
                <w:lang w:val="en-US" w:eastAsia="zh-CN"/>
              </w:rPr>
              <w:t>2524</w:t>
            </w:r>
          </w:p>
        </w:tc>
        <w:tc>
          <w:tcPr>
            <w:tcW w:w="972" w:type="dxa"/>
            <w:vAlign w:val="center"/>
          </w:tcPr>
          <w:p>
            <w:pPr>
              <w:widowControl/>
              <w:jc w:val="center"/>
              <w:rPr>
                <w:rFonts w:eastAsiaTheme="minorEastAsia"/>
                <w:color w:val="auto"/>
                <w:kern w:val="0"/>
                <w:sz w:val="21"/>
                <w:szCs w:val="21"/>
              </w:rPr>
            </w:pPr>
            <w:r>
              <w:rPr>
                <w:rFonts w:hint="eastAsia" w:eastAsiaTheme="minorEastAsia"/>
                <w:color w:val="auto"/>
                <w:kern w:val="0"/>
                <w:sz w:val="21"/>
                <w:szCs w:val="21"/>
              </w:rPr>
              <w:t>/</w:t>
            </w:r>
          </w:p>
        </w:tc>
        <w:tc>
          <w:tcPr>
            <w:tcW w:w="752" w:type="dxa"/>
            <w:vAlign w:val="center"/>
          </w:tcPr>
          <w:p>
            <w:pPr>
              <w:widowControl/>
              <w:jc w:val="center"/>
              <w:rPr>
                <w:color w:val="auto"/>
                <w:kern w:val="0"/>
                <w:sz w:val="21"/>
                <w:szCs w:val="21"/>
              </w:rPr>
            </w:pPr>
            <w:r>
              <w:rPr>
                <w:rFonts w:hint="eastAsia"/>
                <w:color w:val="auto"/>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51" w:type="dxa"/>
            <w:textDirection w:val="lrTb"/>
            <w:vAlign w:val="center"/>
          </w:tcPr>
          <w:p>
            <w:pPr>
              <w:widowControl/>
              <w:jc w:val="center"/>
              <w:rPr>
                <w:rFonts w:hint="default" w:eastAsia="宋体"/>
                <w:color w:val="auto"/>
                <w:sz w:val="21"/>
                <w:szCs w:val="21"/>
                <w:lang w:val="en-US" w:eastAsia="zh-CN"/>
              </w:rPr>
            </w:pPr>
            <w:r>
              <w:rPr>
                <w:rFonts w:hint="eastAsia"/>
                <w:color w:val="auto"/>
                <w:sz w:val="21"/>
                <w:szCs w:val="21"/>
              </w:rPr>
              <w:t>1</w:t>
            </w:r>
            <w:r>
              <w:rPr>
                <w:rFonts w:hint="eastAsia"/>
                <w:color w:val="auto"/>
                <w:sz w:val="21"/>
                <w:szCs w:val="21"/>
                <w:lang w:val="en-US" w:eastAsia="zh-CN"/>
              </w:rPr>
              <w:t>3</w:t>
            </w:r>
          </w:p>
        </w:tc>
        <w:tc>
          <w:tcPr>
            <w:tcW w:w="979" w:type="dxa"/>
            <w:vMerge w:val="continue"/>
            <w:vAlign w:val="center"/>
          </w:tcPr>
          <w:p>
            <w:pPr>
              <w:widowControl/>
              <w:jc w:val="center"/>
              <w:rPr>
                <w:rFonts w:eastAsiaTheme="minorEastAsia"/>
                <w:color w:val="auto"/>
                <w:sz w:val="21"/>
                <w:szCs w:val="21"/>
              </w:rPr>
            </w:pPr>
          </w:p>
        </w:tc>
        <w:tc>
          <w:tcPr>
            <w:tcW w:w="1230" w:type="dxa"/>
            <w:vAlign w:val="center"/>
          </w:tcPr>
          <w:p>
            <w:pPr>
              <w:widowControl/>
              <w:jc w:val="center"/>
              <w:rPr>
                <w:rFonts w:eastAsiaTheme="minorEastAsia"/>
                <w:color w:val="auto"/>
                <w:sz w:val="21"/>
                <w:szCs w:val="21"/>
              </w:rPr>
            </w:pPr>
            <w:r>
              <w:rPr>
                <w:rFonts w:eastAsiaTheme="minorEastAsia"/>
                <w:color w:val="auto"/>
                <w:sz w:val="21"/>
                <w:szCs w:val="21"/>
              </w:rPr>
              <w:t>曾坑水库</w:t>
            </w:r>
            <w:r>
              <w:rPr>
                <w:rFonts w:hint="eastAsia" w:eastAsiaTheme="minorEastAsia"/>
                <w:color w:val="auto"/>
                <w:sz w:val="21"/>
                <w:szCs w:val="21"/>
                <w:lang w:eastAsia="zh-CN"/>
              </w:rPr>
              <w:t>（</w:t>
            </w:r>
            <w:r>
              <w:rPr>
                <w:rFonts w:hint="eastAsia" w:eastAsiaTheme="minorEastAsia"/>
                <w:color w:val="auto"/>
                <w:sz w:val="21"/>
                <w:szCs w:val="21"/>
              </w:rPr>
              <w:t>集雨面积9.44平方公里，总库容207.2万立方米</w:t>
            </w:r>
            <w:r>
              <w:rPr>
                <w:rFonts w:hint="eastAsia" w:eastAsiaTheme="minorEastAsia"/>
                <w:color w:val="auto"/>
                <w:sz w:val="21"/>
                <w:szCs w:val="21"/>
                <w:lang w:eastAsia="zh-CN"/>
              </w:rPr>
              <w:t>）</w:t>
            </w:r>
          </w:p>
        </w:tc>
        <w:tc>
          <w:tcPr>
            <w:tcW w:w="835" w:type="dxa"/>
            <w:vAlign w:val="center"/>
          </w:tcPr>
          <w:p>
            <w:pPr>
              <w:jc w:val="center"/>
              <w:rPr>
                <w:rFonts w:eastAsiaTheme="minorEastAsia"/>
                <w:color w:val="auto"/>
                <w:sz w:val="21"/>
                <w:szCs w:val="21"/>
              </w:rPr>
            </w:pPr>
            <w:r>
              <w:rPr>
                <w:rFonts w:eastAsiaTheme="minorEastAsia"/>
                <w:color w:val="auto"/>
                <w:sz w:val="21"/>
                <w:szCs w:val="21"/>
              </w:rPr>
              <w:t>461</w:t>
            </w:r>
          </w:p>
        </w:tc>
        <w:tc>
          <w:tcPr>
            <w:tcW w:w="797" w:type="dxa"/>
            <w:vAlign w:val="center"/>
          </w:tcPr>
          <w:p>
            <w:pPr>
              <w:jc w:val="center"/>
              <w:rPr>
                <w:rFonts w:eastAsiaTheme="minorEastAsia"/>
                <w:color w:val="auto"/>
                <w:sz w:val="21"/>
                <w:szCs w:val="21"/>
              </w:rPr>
            </w:pPr>
            <w:r>
              <w:rPr>
                <w:rFonts w:eastAsiaTheme="minorEastAsia"/>
                <w:color w:val="auto"/>
                <w:sz w:val="21"/>
                <w:szCs w:val="21"/>
              </w:rPr>
              <w:t>1947</w:t>
            </w:r>
          </w:p>
        </w:tc>
        <w:tc>
          <w:tcPr>
            <w:tcW w:w="886" w:type="dxa"/>
            <w:vMerge w:val="continue"/>
            <w:vAlign w:val="center"/>
          </w:tcPr>
          <w:p>
            <w:pPr>
              <w:widowControl/>
              <w:jc w:val="center"/>
              <w:rPr>
                <w:rFonts w:eastAsiaTheme="minorEastAsia"/>
                <w:color w:val="auto"/>
                <w:sz w:val="21"/>
                <w:szCs w:val="21"/>
              </w:rPr>
            </w:pPr>
          </w:p>
        </w:tc>
        <w:tc>
          <w:tcPr>
            <w:tcW w:w="585" w:type="dxa"/>
            <w:vAlign w:val="center"/>
          </w:tcPr>
          <w:p>
            <w:pPr>
              <w:widowControl/>
              <w:jc w:val="center"/>
              <w:rPr>
                <w:rFonts w:eastAsiaTheme="minorEastAsia"/>
                <w:color w:val="auto"/>
                <w:kern w:val="0"/>
                <w:sz w:val="21"/>
                <w:szCs w:val="21"/>
              </w:rPr>
            </w:pPr>
            <w:r>
              <w:rPr>
                <w:color w:val="auto"/>
                <w:kern w:val="0"/>
                <w:sz w:val="21"/>
                <w:szCs w:val="21"/>
              </w:rPr>
              <w:t>NW</w:t>
            </w:r>
          </w:p>
        </w:tc>
        <w:tc>
          <w:tcPr>
            <w:tcW w:w="886" w:type="dxa"/>
            <w:vAlign w:val="center"/>
          </w:tcPr>
          <w:p>
            <w:pPr>
              <w:widowControl/>
              <w:jc w:val="center"/>
              <w:rPr>
                <w:rFonts w:hint="eastAsia" w:eastAsiaTheme="minorEastAsia"/>
                <w:color w:val="auto"/>
                <w:sz w:val="21"/>
                <w:szCs w:val="21"/>
                <w:lang w:eastAsia="zh-CN"/>
              </w:rPr>
            </w:pPr>
            <w:r>
              <w:rPr>
                <w:rFonts w:hint="eastAsia" w:eastAsiaTheme="minorEastAsia"/>
                <w:color w:val="auto"/>
                <w:sz w:val="21"/>
                <w:szCs w:val="21"/>
                <w:lang w:val="en-US" w:eastAsia="zh-CN"/>
              </w:rPr>
              <w:t>1649</w:t>
            </w:r>
          </w:p>
        </w:tc>
        <w:tc>
          <w:tcPr>
            <w:tcW w:w="972" w:type="dxa"/>
            <w:vAlign w:val="center"/>
          </w:tcPr>
          <w:p>
            <w:pPr>
              <w:widowControl/>
              <w:jc w:val="center"/>
              <w:rPr>
                <w:rFonts w:eastAsiaTheme="minorEastAsia"/>
                <w:color w:val="auto"/>
                <w:kern w:val="0"/>
                <w:sz w:val="21"/>
                <w:szCs w:val="21"/>
              </w:rPr>
            </w:pPr>
            <w:r>
              <w:rPr>
                <w:rFonts w:hint="eastAsia" w:eastAsiaTheme="minorEastAsia"/>
                <w:color w:val="auto"/>
                <w:kern w:val="0"/>
                <w:sz w:val="21"/>
                <w:szCs w:val="21"/>
              </w:rPr>
              <w:t>/</w:t>
            </w:r>
          </w:p>
        </w:tc>
        <w:tc>
          <w:tcPr>
            <w:tcW w:w="752" w:type="dxa"/>
            <w:vAlign w:val="center"/>
          </w:tcPr>
          <w:p>
            <w:pPr>
              <w:widowControl/>
              <w:jc w:val="center"/>
              <w:rPr>
                <w:color w:val="auto"/>
                <w:kern w:val="0"/>
                <w:sz w:val="21"/>
                <w:szCs w:val="21"/>
              </w:rPr>
            </w:pPr>
            <w:r>
              <w:rPr>
                <w:rFonts w:hint="eastAsia"/>
                <w:color w:val="auto"/>
                <w:kern w:val="0"/>
                <w:sz w:val="21"/>
                <w:szCs w:val="21"/>
              </w:rPr>
              <w:t>地表水环境</w:t>
            </w:r>
            <w:r>
              <w:rPr>
                <w:rFonts w:eastAsiaTheme="minorEastAsia"/>
                <w:color w:val="auto"/>
                <w:spacing w:val="-16"/>
                <w:kern w:val="0"/>
                <w:sz w:val="21"/>
                <w:szCs w:val="21"/>
              </w:rPr>
              <w:t>III</w:t>
            </w:r>
            <w:r>
              <w:rPr>
                <w:rFonts w:hint="eastAsia"/>
                <w:color w:val="auto"/>
                <w:kern w:val="0"/>
                <w:sz w:val="21"/>
                <w:szCs w:val="21"/>
              </w:rP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51" w:type="dxa"/>
            <w:textDirection w:val="lrTb"/>
            <w:vAlign w:val="center"/>
          </w:tcPr>
          <w:p>
            <w:pPr>
              <w:widowControl/>
              <w:jc w:val="center"/>
              <w:rPr>
                <w:rFonts w:hint="eastAsia" w:eastAsia="宋体"/>
                <w:color w:val="auto"/>
                <w:sz w:val="21"/>
                <w:szCs w:val="21"/>
                <w:lang w:eastAsia="zh-CN"/>
              </w:rPr>
            </w:pPr>
            <w:r>
              <w:rPr>
                <w:rFonts w:hint="eastAsia"/>
                <w:color w:val="auto"/>
                <w:sz w:val="21"/>
                <w:szCs w:val="21"/>
              </w:rPr>
              <w:t>1</w:t>
            </w:r>
            <w:r>
              <w:rPr>
                <w:rFonts w:hint="eastAsia"/>
                <w:color w:val="auto"/>
                <w:sz w:val="21"/>
                <w:szCs w:val="21"/>
                <w:lang w:val="en-US" w:eastAsia="zh-CN"/>
              </w:rPr>
              <w:t>4</w:t>
            </w:r>
          </w:p>
        </w:tc>
        <w:tc>
          <w:tcPr>
            <w:tcW w:w="979" w:type="dxa"/>
            <w:vAlign w:val="center"/>
          </w:tcPr>
          <w:p>
            <w:pPr>
              <w:widowControl/>
              <w:jc w:val="center"/>
              <w:rPr>
                <w:rFonts w:eastAsiaTheme="minorEastAsia"/>
                <w:color w:val="auto"/>
                <w:sz w:val="21"/>
                <w:szCs w:val="21"/>
              </w:rPr>
            </w:pPr>
            <w:r>
              <w:rPr>
                <w:rFonts w:hint="eastAsia" w:eastAsiaTheme="minorEastAsia"/>
                <w:color w:val="auto"/>
                <w:sz w:val="21"/>
                <w:szCs w:val="21"/>
              </w:rPr>
              <w:t>福兴街道</w:t>
            </w:r>
          </w:p>
        </w:tc>
        <w:tc>
          <w:tcPr>
            <w:tcW w:w="1230" w:type="dxa"/>
            <w:vAlign w:val="center"/>
          </w:tcPr>
          <w:p>
            <w:pPr>
              <w:widowControl/>
              <w:jc w:val="center"/>
              <w:rPr>
                <w:rFonts w:eastAsiaTheme="minorEastAsia"/>
                <w:color w:val="auto"/>
                <w:sz w:val="21"/>
                <w:szCs w:val="21"/>
              </w:rPr>
            </w:pPr>
            <w:r>
              <w:rPr>
                <w:rFonts w:eastAsiaTheme="minorEastAsia"/>
                <w:color w:val="auto"/>
                <w:sz w:val="21"/>
                <w:szCs w:val="21"/>
              </w:rPr>
              <w:t>石屐水库</w:t>
            </w:r>
            <w:r>
              <w:rPr>
                <w:rFonts w:hint="eastAsia" w:eastAsiaTheme="minorEastAsia"/>
                <w:color w:val="auto"/>
                <w:sz w:val="21"/>
                <w:szCs w:val="21"/>
                <w:lang w:eastAsia="zh-CN"/>
              </w:rPr>
              <w:t>（</w:t>
            </w:r>
            <w:r>
              <w:rPr>
                <w:rFonts w:hint="eastAsia" w:eastAsiaTheme="minorEastAsia"/>
                <w:color w:val="auto"/>
                <w:sz w:val="21"/>
                <w:szCs w:val="21"/>
              </w:rPr>
              <w:t>集雨面积</w:t>
            </w:r>
            <w:r>
              <w:rPr>
                <w:rFonts w:hint="eastAsia" w:eastAsiaTheme="minorEastAsia"/>
                <w:color w:val="auto"/>
                <w:sz w:val="21"/>
                <w:szCs w:val="21"/>
                <w:lang w:val="en-US" w:eastAsia="zh-CN"/>
              </w:rPr>
              <w:t>6.6</w:t>
            </w:r>
            <w:r>
              <w:rPr>
                <w:rFonts w:hint="eastAsia" w:eastAsiaTheme="minorEastAsia"/>
                <w:color w:val="auto"/>
                <w:sz w:val="21"/>
                <w:szCs w:val="21"/>
              </w:rPr>
              <w:t>平方公里，总库容</w:t>
            </w:r>
            <w:r>
              <w:rPr>
                <w:rFonts w:hint="eastAsia" w:eastAsiaTheme="minorEastAsia"/>
                <w:color w:val="auto"/>
                <w:sz w:val="21"/>
                <w:szCs w:val="21"/>
                <w:lang w:val="en-US" w:eastAsia="zh-CN"/>
              </w:rPr>
              <w:t>200</w:t>
            </w:r>
            <w:r>
              <w:rPr>
                <w:rFonts w:hint="eastAsia" w:eastAsiaTheme="minorEastAsia"/>
                <w:color w:val="auto"/>
                <w:sz w:val="21"/>
                <w:szCs w:val="21"/>
              </w:rPr>
              <w:t>万立方米</w:t>
            </w:r>
            <w:r>
              <w:rPr>
                <w:rFonts w:hint="eastAsia" w:eastAsiaTheme="minorEastAsia"/>
                <w:color w:val="auto"/>
                <w:sz w:val="21"/>
                <w:szCs w:val="21"/>
                <w:lang w:eastAsia="zh-CN"/>
              </w:rPr>
              <w:t>）</w:t>
            </w:r>
          </w:p>
        </w:tc>
        <w:tc>
          <w:tcPr>
            <w:tcW w:w="835" w:type="dxa"/>
            <w:vAlign w:val="center"/>
          </w:tcPr>
          <w:p>
            <w:pPr>
              <w:jc w:val="center"/>
              <w:rPr>
                <w:rFonts w:eastAsiaTheme="minorEastAsia"/>
                <w:color w:val="auto"/>
                <w:sz w:val="21"/>
                <w:szCs w:val="21"/>
              </w:rPr>
            </w:pPr>
            <w:r>
              <w:rPr>
                <w:rFonts w:eastAsiaTheme="minorEastAsia"/>
                <w:color w:val="auto"/>
                <w:sz w:val="21"/>
                <w:szCs w:val="21"/>
              </w:rPr>
              <w:t>2587</w:t>
            </w:r>
          </w:p>
        </w:tc>
        <w:tc>
          <w:tcPr>
            <w:tcW w:w="797" w:type="dxa"/>
            <w:vAlign w:val="center"/>
          </w:tcPr>
          <w:p>
            <w:pPr>
              <w:jc w:val="center"/>
              <w:rPr>
                <w:rFonts w:eastAsiaTheme="minorEastAsia"/>
                <w:color w:val="auto"/>
                <w:sz w:val="21"/>
                <w:szCs w:val="21"/>
              </w:rPr>
            </w:pPr>
            <w:r>
              <w:rPr>
                <w:rFonts w:eastAsiaTheme="minorEastAsia"/>
                <w:color w:val="auto"/>
                <w:sz w:val="21"/>
                <w:szCs w:val="21"/>
              </w:rPr>
              <w:t>-61</w:t>
            </w:r>
          </w:p>
        </w:tc>
        <w:tc>
          <w:tcPr>
            <w:tcW w:w="886" w:type="dxa"/>
            <w:vMerge w:val="continue"/>
            <w:vAlign w:val="center"/>
          </w:tcPr>
          <w:p>
            <w:pPr>
              <w:widowControl/>
              <w:jc w:val="center"/>
              <w:rPr>
                <w:rFonts w:eastAsiaTheme="minorEastAsia"/>
                <w:color w:val="auto"/>
                <w:sz w:val="21"/>
                <w:szCs w:val="21"/>
              </w:rPr>
            </w:pPr>
          </w:p>
        </w:tc>
        <w:tc>
          <w:tcPr>
            <w:tcW w:w="585" w:type="dxa"/>
            <w:vAlign w:val="center"/>
          </w:tcPr>
          <w:p>
            <w:pPr>
              <w:widowControl/>
              <w:jc w:val="center"/>
              <w:rPr>
                <w:rFonts w:eastAsiaTheme="minorEastAsia"/>
                <w:color w:val="auto"/>
                <w:kern w:val="0"/>
                <w:sz w:val="21"/>
                <w:szCs w:val="21"/>
              </w:rPr>
            </w:pPr>
            <w:r>
              <w:rPr>
                <w:color w:val="auto"/>
                <w:kern w:val="0"/>
                <w:sz w:val="21"/>
                <w:szCs w:val="21"/>
              </w:rPr>
              <w:t>E</w:t>
            </w:r>
          </w:p>
        </w:tc>
        <w:tc>
          <w:tcPr>
            <w:tcW w:w="886" w:type="dxa"/>
            <w:vAlign w:val="center"/>
          </w:tcPr>
          <w:p>
            <w:pPr>
              <w:widowControl/>
              <w:jc w:val="center"/>
              <w:rPr>
                <w:rFonts w:hint="eastAsia" w:eastAsiaTheme="minorEastAsia"/>
                <w:color w:val="auto"/>
                <w:sz w:val="21"/>
                <w:szCs w:val="21"/>
                <w:lang w:eastAsia="zh-CN"/>
              </w:rPr>
            </w:pPr>
            <w:r>
              <w:rPr>
                <w:rFonts w:hint="eastAsia" w:eastAsiaTheme="minorEastAsia"/>
                <w:color w:val="auto"/>
                <w:sz w:val="21"/>
                <w:szCs w:val="21"/>
                <w:lang w:val="en-US" w:eastAsia="zh-CN"/>
              </w:rPr>
              <w:t>1467</w:t>
            </w:r>
          </w:p>
        </w:tc>
        <w:tc>
          <w:tcPr>
            <w:tcW w:w="972" w:type="dxa"/>
            <w:vAlign w:val="center"/>
          </w:tcPr>
          <w:p>
            <w:pPr>
              <w:widowControl/>
              <w:jc w:val="center"/>
              <w:rPr>
                <w:rFonts w:eastAsiaTheme="minorEastAsia"/>
                <w:color w:val="auto"/>
                <w:kern w:val="0"/>
                <w:sz w:val="21"/>
                <w:szCs w:val="21"/>
              </w:rPr>
            </w:pPr>
            <w:r>
              <w:rPr>
                <w:rFonts w:hint="eastAsia" w:eastAsiaTheme="minorEastAsia"/>
                <w:color w:val="auto"/>
                <w:kern w:val="0"/>
                <w:sz w:val="21"/>
                <w:szCs w:val="21"/>
              </w:rPr>
              <w:t>/</w:t>
            </w:r>
          </w:p>
        </w:tc>
        <w:tc>
          <w:tcPr>
            <w:tcW w:w="752" w:type="dxa"/>
            <w:vAlign w:val="center"/>
          </w:tcPr>
          <w:p>
            <w:pPr>
              <w:widowControl/>
              <w:jc w:val="center"/>
              <w:rPr>
                <w:color w:val="auto"/>
                <w:kern w:val="0"/>
                <w:sz w:val="21"/>
                <w:szCs w:val="21"/>
              </w:rPr>
            </w:pPr>
            <w:r>
              <w:rPr>
                <w:rFonts w:hint="eastAsia"/>
                <w:color w:val="auto"/>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51" w:type="dxa"/>
            <w:textDirection w:val="lrTb"/>
            <w:vAlign w:val="center"/>
          </w:tcPr>
          <w:p>
            <w:pPr>
              <w:widowControl/>
              <w:jc w:val="center"/>
              <w:rPr>
                <w:rFonts w:hint="eastAsia" w:eastAsia="宋体"/>
                <w:color w:val="auto"/>
                <w:sz w:val="21"/>
                <w:szCs w:val="21"/>
                <w:lang w:eastAsia="zh-CN"/>
              </w:rPr>
            </w:pPr>
            <w:r>
              <w:rPr>
                <w:rFonts w:hint="eastAsia"/>
                <w:color w:val="auto"/>
                <w:sz w:val="21"/>
                <w:szCs w:val="21"/>
                <w:lang w:val="en-US" w:eastAsia="zh-CN"/>
              </w:rPr>
              <w:t>15</w:t>
            </w:r>
          </w:p>
        </w:tc>
        <w:tc>
          <w:tcPr>
            <w:tcW w:w="979" w:type="dxa"/>
            <w:vAlign w:val="center"/>
          </w:tcPr>
          <w:p>
            <w:pPr>
              <w:widowControl/>
              <w:jc w:val="center"/>
              <w:rPr>
                <w:rFonts w:eastAsiaTheme="minorEastAsia"/>
                <w:color w:val="auto"/>
                <w:sz w:val="21"/>
                <w:szCs w:val="21"/>
              </w:rPr>
            </w:pPr>
            <w:r>
              <w:rPr>
                <w:rFonts w:hint="eastAsia" w:eastAsiaTheme="minorEastAsia"/>
                <w:color w:val="auto"/>
                <w:sz w:val="21"/>
                <w:szCs w:val="21"/>
              </w:rPr>
              <w:t>新陂镇、福兴街道</w:t>
            </w:r>
          </w:p>
        </w:tc>
        <w:tc>
          <w:tcPr>
            <w:tcW w:w="1230" w:type="dxa"/>
            <w:vAlign w:val="center"/>
          </w:tcPr>
          <w:p>
            <w:pPr>
              <w:widowControl/>
              <w:jc w:val="center"/>
              <w:rPr>
                <w:rFonts w:eastAsiaTheme="minorEastAsia"/>
                <w:color w:val="auto"/>
                <w:sz w:val="21"/>
                <w:szCs w:val="21"/>
              </w:rPr>
            </w:pPr>
            <w:r>
              <w:rPr>
                <w:rFonts w:eastAsiaTheme="minorEastAsia"/>
                <w:color w:val="auto"/>
                <w:sz w:val="21"/>
                <w:szCs w:val="21"/>
              </w:rPr>
              <w:t>曾坑河</w:t>
            </w:r>
          </w:p>
        </w:tc>
        <w:tc>
          <w:tcPr>
            <w:tcW w:w="835" w:type="dxa"/>
            <w:vAlign w:val="center"/>
          </w:tcPr>
          <w:p>
            <w:pPr>
              <w:widowControl/>
              <w:jc w:val="center"/>
              <w:rPr>
                <w:rFonts w:eastAsiaTheme="minorEastAsia"/>
                <w:color w:val="auto"/>
                <w:kern w:val="0"/>
                <w:sz w:val="21"/>
                <w:szCs w:val="21"/>
              </w:rPr>
            </w:pPr>
            <w:r>
              <w:rPr>
                <w:rFonts w:eastAsiaTheme="minorEastAsia"/>
                <w:color w:val="auto"/>
                <w:kern w:val="0"/>
                <w:sz w:val="21"/>
                <w:szCs w:val="21"/>
              </w:rPr>
              <w:t>/</w:t>
            </w:r>
          </w:p>
        </w:tc>
        <w:tc>
          <w:tcPr>
            <w:tcW w:w="797" w:type="dxa"/>
            <w:vAlign w:val="center"/>
          </w:tcPr>
          <w:p>
            <w:pPr>
              <w:widowControl/>
              <w:jc w:val="center"/>
              <w:rPr>
                <w:rFonts w:eastAsiaTheme="minorEastAsia"/>
                <w:color w:val="auto"/>
                <w:kern w:val="0"/>
                <w:sz w:val="21"/>
                <w:szCs w:val="21"/>
              </w:rPr>
            </w:pPr>
            <w:r>
              <w:rPr>
                <w:rFonts w:eastAsiaTheme="minorEastAsia"/>
                <w:color w:val="auto"/>
                <w:kern w:val="0"/>
                <w:sz w:val="21"/>
                <w:szCs w:val="21"/>
              </w:rPr>
              <w:t>/</w:t>
            </w:r>
          </w:p>
        </w:tc>
        <w:tc>
          <w:tcPr>
            <w:tcW w:w="886" w:type="dxa"/>
            <w:vAlign w:val="center"/>
          </w:tcPr>
          <w:p>
            <w:pPr>
              <w:widowControl/>
              <w:jc w:val="center"/>
              <w:rPr>
                <w:rFonts w:eastAsiaTheme="minorEastAsia"/>
                <w:color w:val="auto"/>
                <w:sz w:val="21"/>
                <w:szCs w:val="21"/>
              </w:rPr>
            </w:pPr>
            <w:r>
              <w:rPr>
                <w:rFonts w:hint="eastAsia" w:eastAsiaTheme="minorEastAsia"/>
                <w:color w:val="auto"/>
                <w:sz w:val="21"/>
                <w:szCs w:val="21"/>
              </w:rPr>
              <w:t>河流</w:t>
            </w:r>
          </w:p>
        </w:tc>
        <w:tc>
          <w:tcPr>
            <w:tcW w:w="585" w:type="dxa"/>
            <w:vAlign w:val="center"/>
          </w:tcPr>
          <w:p>
            <w:pPr>
              <w:widowControl/>
              <w:jc w:val="center"/>
              <w:rPr>
                <w:color w:val="auto"/>
                <w:kern w:val="0"/>
                <w:sz w:val="21"/>
                <w:szCs w:val="21"/>
              </w:rPr>
            </w:pPr>
            <w:r>
              <w:rPr>
                <w:color w:val="auto"/>
                <w:kern w:val="0"/>
                <w:sz w:val="21"/>
                <w:szCs w:val="21"/>
              </w:rPr>
              <w:t>N</w:t>
            </w:r>
          </w:p>
        </w:tc>
        <w:tc>
          <w:tcPr>
            <w:tcW w:w="886" w:type="dxa"/>
            <w:vAlign w:val="center"/>
          </w:tcPr>
          <w:p>
            <w:pPr>
              <w:widowControl/>
              <w:jc w:val="center"/>
              <w:rPr>
                <w:rFonts w:hint="eastAsia" w:eastAsiaTheme="minorEastAsia"/>
                <w:color w:val="auto"/>
                <w:sz w:val="21"/>
                <w:szCs w:val="21"/>
                <w:lang w:eastAsia="zh-CN"/>
              </w:rPr>
            </w:pPr>
            <w:r>
              <w:rPr>
                <w:rFonts w:hint="eastAsia" w:eastAsiaTheme="minorEastAsia"/>
                <w:color w:val="auto"/>
                <w:sz w:val="21"/>
                <w:szCs w:val="21"/>
                <w:lang w:val="en-US" w:eastAsia="zh-CN"/>
              </w:rPr>
              <w:t>1610</w:t>
            </w:r>
          </w:p>
        </w:tc>
        <w:tc>
          <w:tcPr>
            <w:tcW w:w="972" w:type="dxa"/>
            <w:vAlign w:val="center"/>
          </w:tcPr>
          <w:p>
            <w:pPr>
              <w:widowControl/>
              <w:jc w:val="center"/>
              <w:rPr>
                <w:rFonts w:eastAsiaTheme="minorEastAsia"/>
                <w:color w:val="auto"/>
                <w:kern w:val="0"/>
                <w:sz w:val="21"/>
                <w:szCs w:val="21"/>
              </w:rPr>
            </w:pPr>
            <w:r>
              <w:rPr>
                <w:rFonts w:hint="eastAsia" w:eastAsiaTheme="minorEastAsia"/>
                <w:color w:val="auto"/>
                <w:kern w:val="0"/>
                <w:sz w:val="21"/>
                <w:szCs w:val="21"/>
              </w:rPr>
              <w:t>/</w:t>
            </w:r>
          </w:p>
        </w:tc>
        <w:tc>
          <w:tcPr>
            <w:tcW w:w="752" w:type="dxa"/>
            <w:vAlign w:val="center"/>
          </w:tcPr>
          <w:p>
            <w:pPr>
              <w:widowControl/>
              <w:rPr>
                <w:color w:val="auto"/>
                <w:kern w:val="0"/>
                <w:sz w:val="21"/>
                <w:szCs w:val="21"/>
              </w:rPr>
            </w:pPr>
            <w:r>
              <w:rPr>
                <w:rFonts w:hint="eastAsia"/>
                <w:color w:val="auto"/>
                <w:kern w:val="0"/>
                <w:sz w:val="21"/>
                <w:szCs w:val="21"/>
              </w:rPr>
              <w:t>地表水环境</w:t>
            </w:r>
            <w:r>
              <w:rPr>
                <w:color w:val="auto"/>
                <w:kern w:val="0"/>
                <w:sz w:val="21"/>
                <w:szCs w:val="21"/>
              </w:rPr>
              <w:t>Ⅳ</w:t>
            </w:r>
            <w:r>
              <w:rPr>
                <w:rFonts w:hint="eastAsia"/>
                <w:color w:val="auto"/>
                <w:kern w:val="0"/>
                <w:sz w:val="21"/>
                <w:szCs w:val="21"/>
              </w:rP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551" w:type="dxa"/>
            <w:vAlign w:val="center"/>
          </w:tcPr>
          <w:p>
            <w:pPr>
              <w:widowControl/>
              <w:jc w:val="center"/>
              <w:rPr>
                <w:rFonts w:hint="default" w:eastAsia="宋体"/>
                <w:color w:val="auto"/>
                <w:sz w:val="21"/>
                <w:szCs w:val="21"/>
                <w:lang w:val="en-US" w:eastAsia="zh-CN"/>
              </w:rPr>
            </w:pPr>
            <w:r>
              <w:rPr>
                <w:rFonts w:hint="eastAsia"/>
                <w:color w:val="auto"/>
                <w:sz w:val="21"/>
                <w:szCs w:val="21"/>
                <w:lang w:val="en-US" w:eastAsia="zh-CN"/>
              </w:rPr>
              <w:t>16</w:t>
            </w:r>
          </w:p>
        </w:tc>
        <w:tc>
          <w:tcPr>
            <w:tcW w:w="979" w:type="dxa"/>
            <w:vAlign w:val="center"/>
          </w:tcPr>
          <w:p>
            <w:pPr>
              <w:widowControl/>
              <w:jc w:val="center"/>
              <w:rPr>
                <w:rFonts w:eastAsiaTheme="minorEastAsia"/>
                <w:color w:val="auto"/>
                <w:sz w:val="21"/>
                <w:szCs w:val="21"/>
              </w:rPr>
            </w:pPr>
            <w:r>
              <w:rPr>
                <w:rFonts w:hint="eastAsia" w:eastAsiaTheme="minorEastAsia"/>
                <w:color w:val="auto"/>
                <w:sz w:val="21"/>
                <w:szCs w:val="21"/>
              </w:rPr>
              <w:t>宁中镇、兴田街道</w:t>
            </w:r>
          </w:p>
        </w:tc>
        <w:tc>
          <w:tcPr>
            <w:tcW w:w="1230" w:type="dxa"/>
            <w:vAlign w:val="center"/>
          </w:tcPr>
          <w:p>
            <w:pPr>
              <w:widowControl/>
              <w:jc w:val="center"/>
              <w:rPr>
                <w:rFonts w:eastAsiaTheme="minorEastAsia"/>
                <w:color w:val="auto"/>
                <w:sz w:val="21"/>
                <w:szCs w:val="21"/>
              </w:rPr>
            </w:pPr>
            <w:r>
              <w:rPr>
                <w:rFonts w:hint="eastAsia" w:eastAsiaTheme="minorEastAsia"/>
                <w:color w:val="auto"/>
                <w:sz w:val="21"/>
                <w:szCs w:val="21"/>
              </w:rPr>
              <w:t>宁江</w:t>
            </w:r>
          </w:p>
        </w:tc>
        <w:tc>
          <w:tcPr>
            <w:tcW w:w="835" w:type="dxa"/>
            <w:vAlign w:val="center"/>
          </w:tcPr>
          <w:p>
            <w:pPr>
              <w:widowControl/>
              <w:jc w:val="center"/>
              <w:rPr>
                <w:rFonts w:eastAsiaTheme="minorEastAsia"/>
                <w:color w:val="auto"/>
                <w:kern w:val="0"/>
                <w:sz w:val="21"/>
                <w:szCs w:val="21"/>
              </w:rPr>
            </w:pPr>
            <w:r>
              <w:rPr>
                <w:rFonts w:hint="eastAsia" w:eastAsiaTheme="minorEastAsia"/>
                <w:color w:val="auto"/>
                <w:kern w:val="0"/>
                <w:sz w:val="21"/>
                <w:szCs w:val="21"/>
              </w:rPr>
              <w:t>/</w:t>
            </w:r>
          </w:p>
        </w:tc>
        <w:tc>
          <w:tcPr>
            <w:tcW w:w="797" w:type="dxa"/>
            <w:vAlign w:val="center"/>
          </w:tcPr>
          <w:p>
            <w:pPr>
              <w:widowControl/>
              <w:jc w:val="center"/>
              <w:rPr>
                <w:rFonts w:eastAsiaTheme="minorEastAsia"/>
                <w:color w:val="auto"/>
                <w:kern w:val="0"/>
                <w:sz w:val="21"/>
                <w:szCs w:val="21"/>
              </w:rPr>
            </w:pPr>
            <w:r>
              <w:rPr>
                <w:rFonts w:hint="eastAsia" w:eastAsiaTheme="minorEastAsia"/>
                <w:color w:val="auto"/>
                <w:kern w:val="0"/>
                <w:sz w:val="21"/>
                <w:szCs w:val="21"/>
              </w:rPr>
              <w:t>/</w:t>
            </w:r>
          </w:p>
        </w:tc>
        <w:tc>
          <w:tcPr>
            <w:tcW w:w="886" w:type="dxa"/>
            <w:vAlign w:val="center"/>
          </w:tcPr>
          <w:p>
            <w:pPr>
              <w:widowControl/>
              <w:jc w:val="center"/>
              <w:rPr>
                <w:rFonts w:eastAsiaTheme="minorEastAsia"/>
                <w:color w:val="auto"/>
                <w:sz w:val="21"/>
                <w:szCs w:val="21"/>
              </w:rPr>
            </w:pPr>
            <w:r>
              <w:rPr>
                <w:rFonts w:hint="eastAsia" w:eastAsiaTheme="minorEastAsia"/>
                <w:color w:val="auto"/>
                <w:sz w:val="21"/>
                <w:szCs w:val="21"/>
              </w:rPr>
              <w:t>河流</w:t>
            </w:r>
          </w:p>
        </w:tc>
        <w:tc>
          <w:tcPr>
            <w:tcW w:w="585" w:type="dxa"/>
            <w:vAlign w:val="center"/>
          </w:tcPr>
          <w:p>
            <w:pPr>
              <w:widowControl/>
              <w:jc w:val="center"/>
              <w:rPr>
                <w:color w:val="auto"/>
                <w:kern w:val="0"/>
                <w:sz w:val="21"/>
                <w:szCs w:val="21"/>
              </w:rPr>
            </w:pPr>
            <w:r>
              <w:rPr>
                <w:color w:val="auto"/>
                <w:kern w:val="0"/>
                <w:sz w:val="21"/>
                <w:szCs w:val="21"/>
              </w:rPr>
              <w:t>E</w:t>
            </w:r>
          </w:p>
        </w:tc>
        <w:tc>
          <w:tcPr>
            <w:tcW w:w="886" w:type="dxa"/>
            <w:vAlign w:val="center"/>
          </w:tcPr>
          <w:p>
            <w:pPr>
              <w:widowControl/>
              <w:jc w:val="center"/>
              <w:rPr>
                <w:rFonts w:eastAsiaTheme="minorEastAsia"/>
                <w:color w:val="auto"/>
                <w:sz w:val="21"/>
                <w:szCs w:val="21"/>
              </w:rPr>
            </w:pPr>
            <w:r>
              <w:rPr>
                <w:rFonts w:hint="eastAsia" w:eastAsiaTheme="minorEastAsia"/>
                <w:color w:val="auto"/>
                <w:sz w:val="21"/>
                <w:szCs w:val="21"/>
              </w:rPr>
              <w:t>6</w:t>
            </w:r>
            <w:r>
              <w:rPr>
                <w:rFonts w:hint="eastAsia" w:eastAsiaTheme="minorEastAsia"/>
                <w:color w:val="auto"/>
                <w:sz w:val="21"/>
                <w:szCs w:val="21"/>
                <w:lang w:val="en-US" w:eastAsia="zh-CN"/>
              </w:rPr>
              <w:t>479</w:t>
            </w:r>
          </w:p>
        </w:tc>
        <w:tc>
          <w:tcPr>
            <w:tcW w:w="972" w:type="dxa"/>
            <w:vAlign w:val="center"/>
          </w:tcPr>
          <w:p>
            <w:pPr>
              <w:widowControl/>
              <w:jc w:val="center"/>
              <w:rPr>
                <w:rFonts w:eastAsiaTheme="minorEastAsia"/>
                <w:color w:val="auto"/>
                <w:kern w:val="0"/>
                <w:sz w:val="21"/>
                <w:szCs w:val="21"/>
              </w:rPr>
            </w:pPr>
            <w:r>
              <w:rPr>
                <w:rFonts w:hint="eastAsia" w:eastAsiaTheme="minorEastAsia"/>
                <w:color w:val="auto"/>
                <w:kern w:val="0"/>
                <w:sz w:val="21"/>
                <w:szCs w:val="21"/>
              </w:rPr>
              <w:t>/</w:t>
            </w:r>
          </w:p>
        </w:tc>
        <w:tc>
          <w:tcPr>
            <w:tcW w:w="752" w:type="dxa"/>
            <w:vAlign w:val="center"/>
          </w:tcPr>
          <w:p>
            <w:pPr>
              <w:widowControl/>
              <w:rPr>
                <w:color w:val="auto"/>
                <w:spacing w:val="-16"/>
                <w:kern w:val="0"/>
                <w:sz w:val="21"/>
                <w:szCs w:val="21"/>
              </w:rPr>
            </w:pPr>
            <w:r>
              <w:rPr>
                <w:rFonts w:hint="eastAsia" w:eastAsiaTheme="minorEastAsia"/>
                <w:color w:val="auto"/>
                <w:spacing w:val="-16"/>
                <w:kern w:val="0"/>
                <w:sz w:val="21"/>
                <w:szCs w:val="21"/>
              </w:rPr>
              <w:t>地表水环境</w:t>
            </w:r>
            <w:r>
              <w:rPr>
                <w:rFonts w:eastAsiaTheme="minorEastAsia"/>
                <w:color w:val="auto"/>
                <w:spacing w:val="-16"/>
                <w:kern w:val="0"/>
                <w:sz w:val="21"/>
                <w:szCs w:val="21"/>
              </w:rPr>
              <w:t>III类标准</w:t>
            </w:r>
          </w:p>
        </w:tc>
      </w:tr>
      <w:bookmarkEnd w:id="236"/>
    </w:tbl>
    <w:p>
      <w:pPr>
        <w:pStyle w:val="261"/>
        <w:ind w:firstLine="174" w:firstLineChars="83"/>
        <w:rPr>
          <w:rFonts w:hint="eastAsia" w:ascii="Times New Roman" w:hAnsi="Times New Roman" w:cs="Times New Roman" w:eastAsiaTheme="minorEastAsia"/>
          <w:color w:val="auto"/>
          <w:kern w:val="2"/>
          <w:sz w:val="21"/>
          <w:szCs w:val="21"/>
        </w:rPr>
      </w:pPr>
      <w:r>
        <w:rPr>
          <w:rFonts w:ascii="Times New Roman" w:hAnsi="Times New Roman" w:cs="Times New Roman" w:eastAsiaTheme="minorEastAsia"/>
          <w:color w:val="auto"/>
          <w:kern w:val="2"/>
          <w:sz w:val="21"/>
          <w:szCs w:val="21"/>
        </w:rPr>
        <w:t>注：</w:t>
      </w:r>
      <w:r>
        <w:rPr>
          <w:rFonts w:hint="eastAsia" w:ascii="Times New Roman" w:hAnsi="Times New Roman" w:cs="Times New Roman" w:eastAsiaTheme="minorEastAsia"/>
          <w:color w:val="auto"/>
          <w:kern w:val="2"/>
          <w:sz w:val="21"/>
          <w:szCs w:val="21"/>
          <w:lang w:eastAsia="zh-CN"/>
        </w:rPr>
        <w:t>（</w:t>
      </w:r>
      <w:r>
        <w:rPr>
          <w:rFonts w:hint="eastAsia" w:ascii="Times New Roman" w:hAnsi="Times New Roman" w:cs="Times New Roman" w:eastAsiaTheme="minorEastAsia"/>
          <w:color w:val="auto"/>
          <w:kern w:val="2"/>
          <w:sz w:val="21"/>
          <w:szCs w:val="21"/>
          <w:lang w:val="en-US" w:eastAsia="zh-CN"/>
        </w:rPr>
        <w:t>1</w:t>
      </w:r>
      <w:r>
        <w:rPr>
          <w:rFonts w:hint="eastAsia" w:ascii="Times New Roman" w:hAnsi="Times New Roman" w:cs="Times New Roman" w:eastAsiaTheme="minorEastAsia"/>
          <w:color w:val="auto"/>
          <w:kern w:val="2"/>
          <w:sz w:val="21"/>
          <w:szCs w:val="21"/>
          <w:lang w:eastAsia="zh-CN"/>
        </w:rPr>
        <w:t>）</w:t>
      </w:r>
      <w:r>
        <w:rPr>
          <w:rFonts w:ascii="Times New Roman" w:hAnsi="Times New Roman" w:cs="Times New Roman" w:eastAsiaTheme="minorEastAsia"/>
          <w:color w:val="auto"/>
          <w:kern w:val="2"/>
          <w:sz w:val="21"/>
          <w:szCs w:val="21"/>
        </w:rPr>
        <w:t>以项目</w:t>
      </w:r>
      <w:r>
        <w:rPr>
          <w:rFonts w:hint="eastAsia" w:ascii="Times New Roman" w:hAnsi="Times New Roman" w:cs="Times New Roman" w:eastAsiaTheme="minorEastAsia"/>
          <w:color w:val="auto"/>
          <w:kern w:val="2"/>
          <w:sz w:val="21"/>
          <w:szCs w:val="21"/>
        </w:rPr>
        <w:t>左面边界拐点</w:t>
      </w:r>
      <w:r>
        <w:rPr>
          <w:rFonts w:ascii="Times New Roman" w:hAnsi="Times New Roman" w:cs="Times New Roman" w:eastAsiaTheme="minorEastAsia"/>
          <w:color w:val="auto"/>
          <w:kern w:val="2"/>
          <w:sz w:val="21"/>
          <w:szCs w:val="21"/>
        </w:rPr>
        <w:t>为相对坐标原点（E115.65751°，N24.11297°）</w:t>
      </w:r>
      <w:r>
        <w:rPr>
          <w:rFonts w:hint="eastAsia" w:ascii="Times New Roman" w:hAnsi="Times New Roman" w:cs="Times New Roman" w:eastAsiaTheme="minorEastAsia"/>
          <w:color w:val="auto"/>
          <w:kern w:val="2"/>
          <w:sz w:val="21"/>
          <w:szCs w:val="21"/>
        </w:rPr>
        <w:t>。</w:t>
      </w:r>
    </w:p>
    <w:p>
      <w:pPr>
        <w:pStyle w:val="261"/>
        <w:ind w:firstLine="174" w:firstLineChars="83"/>
        <w:rPr>
          <w:rFonts w:hint="eastAsia" w:ascii="Times New Roman" w:hAnsi="Times New Roman" w:eastAsia="黑体"/>
          <w:color w:val="auto"/>
          <w:lang w:eastAsia="zh-CN"/>
        </w:rPr>
        <w:sectPr>
          <w:pgSz w:w="11906" w:h="16838"/>
          <w:pgMar w:top="1418" w:right="1418" w:bottom="1418" w:left="1418" w:header="851" w:footer="992" w:gutter="0"/>
          <w:pgNumType w:fmt="decimal"/>
          <w:cols w:space="425" w:num="1"/>
          <w:docGrid w:type="lines" w:linePitch="326" w:charSpace="0"/>
        </w:sectPr>
      </w:pPr>
    </w:p>
    <w:p>
      <w:pPr>
        <w:adjustRightInd w:val="0"/>
        <w:snapToGrid w:val="0"/>
        <w:spacing w:line="360" w:lineRule="auto"/>
        <w:jc w:val="center"/>
        <w:rPr>
          <w:color w:val="auto"/>
        </w:rPr>
      </w:pPr>
      <w:r>
        <w:rPr>
          <w:color w:val="auto"/>
        </w:rPr>
        <w:object>
          <v:shape id="_x0000_i1028" o:spt="75" type="#_x0000_t75" style="height:607.55pt;width:1033.05pt;" o:ole="t" filled="f" o:preferrelative="t" stroked="f" coordsize="21600,21600">
            <v:path/>
            <v:fill on="f" focussize="0,0"/>
            <v:stroke on="f" joinstyle="miter"/>
            <v:imagedata r:id="rId62" o:title=""/>
            <o:lock v:ext="edit" aspectratio="t"/>
            <w10:wrap type="none"/>
            <w10:anchorlock/>
          </v:shape>
          <o:OLEObject Type="Embed" ProgID="Visio.Drawing.11" ShapeID="_x0000_i1028" DrawAspect="Content" ObjectID="_1468075728" r:id="rId61">
            <o:LockedField>false</o:LockedField>
          </o:OLEObject>
        </w:object>
      </w:r>
      <w:r>
        <w:rPr>
          <w:b/>
          <w:color w:val="auto"/>
        </w:rPr>
        <w:pict>
          <v:shape id="_x0000_s1046" o:spid="_x0000_s1046" o:spt="75" type="#_x0000_t75" style="position:absolute;left:0pt;margin-left:907.95pt;margin-top:18.65pt;height:92.25pt;width:114pt;z-index:253204480;mso-width-relative:page;mso-height-relative:page;" o:ole="t" filled="f" o:preferrelative="t" stroked="f" coordsize="21600,21600">
            <v:path/>
            <v:fill on="f" focussize="0,0"/>
            <v:stroke on="f" joinstyle="miter"/>
            <v:imagedata r:id="rId63" o:title=""/>
            <o:lock v:ext="edit" aspectratio="t"/>
          </v:shape>
          <o:OLEObject Type="Embed" ProgID="Visio.Drawing.15" ShapeID="_x0000_s1046" DrawAspect="Content" ObjectID="_1468075729">
            <o:LockedField>false</o:LockedField>
          </o:OLEObject>
        </w:pict>
      </w:r>
      <w:r>
        <w:rPr>
          <w:b/>
          <w:color w:val="auto"/>
        </w:rPr>
        <mc:AlternateContent>
          <mc:Choice Requires="wps">
            <w:drawing>
              <wp:anchor distT="0" distB="0" distL="114300" distR="114300" simplePos="0" relativeHeight="253205504" behindDoc="0" locked="0" layoutInCell="1" allowOverlap="1">
                <wp:simplePos x="0" y="0"/>
                <wp:positionH relativeFrom="column">
                  <wp:posOffset>8328025</wp:posOffset>
                </wp:positionH>
                <wp:positionV relativeFrom="paragraph">
                  <wp:posOffset>2926715</wp:posOffset>
                </wp:positionV>
                <wp:extent cx="593090" cy="5715"/>
                <wp:effectExtent l="0" t="59690" r="16510" b="67945"/>
                <wp:wrapNone/>
                <wp:docPr id="46" name="直接箭头连接符 46"/>
                <wp:cNvGraphicFramePr/>
                <a:graphic xmlns:a="http://schemas.openxmlformats.org/drawingml/2006/main">
                  <a:graphicData uri="http://schemas.microsoft.com/office/word/2010/wordprocessingShape">
                    <wps:wsp>
                      <wps:cNvCnPr/>
                      <wps:spPr>
                        <a:xfrm>
                          <a:off x="0" y="0"/>
                          <a:ext cx="593090" cy="5715"/>
                        </a:xfrm>
                        <a:prstGeom prst="straightConnector1">
                          <a:avLst/>
                        </a:prstGeom>
                        <a:ln w="28575">
                          <a:solidFill>
                            <a:srgbClr val="11F5BF"/>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655.75pt;margin-top:230.45pt;height:0.45pt;width:46.7pt;z-index:253205504;mso-width-relative:page;mso-height-relative:page;" filled="f" stroked="t" coordsize="21600,21600" o:gfxdata="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Pob82va&#10;AAAADQEAAA8AAAAAAAAAAQAgAAAAIgAAAGRycy9kb3ducmV2LnhtbFBLAQIUABQAAAAIAIdO4kD6&#10;Gi8w5QEAAH4DAAAOAAAAAAAAAAEAIAAAACkBAABkcnMvZTJvRG9jLnhtbFBLBQYAAAAABgAGAFkB&#10;AACABQAAAAA=&#10;">
                <v:fill on="f" focussize="0,0"/>
                <v:stroke weight="2.25pt" color="#11F5BF [3204]" joinstyle="round" endarrow="open"/>
                <v:imagedata o:title=""/>
                <o:lock v:ext="edit" aspectratio="f"/>
              </v:shape>
            </w:pict>
          </mc:Fallback>
        </mc:AlternateContent>
      </w:r>
    </w:p>
    <w:p>
      <w:pPr>
        <w:adjustRightInd w:val="0"/>
        <w:snapToGrid w:val="0"/>
        <w:spacing w:line="360" w:lineRule="auto"/>
        <w:jc w:val="center"/>
        <w:rPr>
          <w:rFonts w:hint="eastAsia"/>
          <w:b/>
          <w:color w:val="auto"/>
        </w:rPr>
      </w:pPr>
      <w:r>
        <w:rPr>
          <w:b/>
          <w:color w:val="auto"/>
        </w:rPr>
        <w:t xml:space="preserve">图 </w:t>
      </w:r>
      <w:r>
        <w:rPr>
          <w:b/>
          <w:color w:val="auto"/>
        </w:rPr>
        <w:fldChar w:fldCharType="begin"/>
      </w:r>
      <w:r>
        <w:rPr>
          <w:b/>
          <w:color w:val="auto"/>
        </w:rPr>
        <w:instrText xml:space="preserve"> STYLEREF 2 \s </w:instrText>
      </w:r>
      <w:r>
        <w:rPr>
          <w:b/>
          <w:color w:val="auto"/>
        </w:rPr>
        <w:fldChar w:fldCharType="separate"/>
      </w:r>
      <w:r>
        <w:rPr>
          <w:b/>
          <w:color w:val="auto"/>
        </w:rPr>
        <w:t>2.9</w:t>
      </w:r>
      <w:r>
        <w:rPr>
          <w:b/>
          <w:color w:val="auto"/>
        </w:rPr>
        <w:fldChar w:fldCharType="end"/>
      </w:r>
      <w:r>
        <w:rPr>
          <w:b/>
          <w:color w:val="auto"/>
        </w:rPr>
        <w:noBreakHyphen/>
      </w:r>
      <w:r>
        <w:rPr>
          <w:b/>
          <w:color w:val="auto"/>
        </w:rPr>
        <w:fldChar w:fldCharType="begin"/>
      </w:r>
      <w:r>
        <w:rPr>
          <w:b/>
          <w:color w:val="auto"/>
        </w:rPr>
        <w:instrText xml:space="preserve"> SEQ 图 \* ARABIC \s 2 </w:instrText>
      </w:r>
      <w:r>
        <w:rPr>
          <w:b/>
          <w:color w:val="auto"/>
        </w:rPr>
        <w:fldChar w:fldCharType="separate"/>
      </w:r>
      <w:r>
        <w:rPr>
          <w:b/>
          <w:color w:val="auto"/>
        </w:rPr>
        <w:t>1</w:t>
      </w:r>
      <w:r>
        <w:rPr>
          <w:b/>
          <w:color w:val="auto"/>
        </w:rPr>
        <w:fldChar w:fldCharType="end"/>
      </w:r>
      <w:r>
        <w:rPr>
          <w:rFonts w:hint="eastAsia"/>
          <w:b/>
          <w:color w:val="auto"/>
        </w:rPr>
        <w:t>大气评价范围、环境风险评价范围及环境保护目标分布图</w:t>
      </w:r>
    </w:p>
    <w:p>
      <w:pPr>
        <w:adjustRightInd w:val="0"/>
        <w:snapToGrid w:val="0"/>
        <w:spacing w:line="360" w:lineRule="auto"/>
        <w:jc w:val="center"/>
        <w:rPr>
          <w:rFonts w:hint="eastAsia"/>
          <w:b/>
          <w:color w:val="auto"/>
        </w:rPr>
      </w:pPr>
      <w:r>
        <w:rPr>
          <w:color w:val="auto"/>
        </w:rPr>
        <w:object>
          <v:shape id="_x0000_i1029" o:spt="75" type="#_x0000_t75" style="height:452.7pt;width:559.15pt;" o:ole="t" filled="f" o:preferrelative="t" stroked="f" coordsize="21600,21600">
            <v:path/>
            <v:fill on="f" focussize="0,0"/>
            <v:stroke on="f" joinstyle="miter"/>
            <v:imagedata r:id="rId65" o:title=""/>
            <o:lock v:ext="edit" aspectratio="t"/>
            <w10:wrap type="none"/>
            <w10:anchorlock/>
          </v:shape>
          <o:OLEObject Type="Embed" ProgID="Visio.Drawing.11" ShapeID="_x0000_i1029" DrawAspect="Content" ObjectID="_1468075730" r:id="rId64">
            <o:LockedField>false</o:LockedField>
          </o:OLEObject>
        </w:object>
      </w:r>
    </w:p>
    <w:p>
      <w:pPr>
        <w:jc w:val="center"/>
        <w:rPr>
          <w:b/>
          <w:color w:val="auto"/>
        </w:rPr>
        <w:sectPr>
          <w:pgSz w:w="23814" w:h="16839" w:orient="landscape"/>
          <w:pgMar w:top="1418" w:right="1418" w:bottom="1418" w:left="1418" w:header="851" w:footer="992" w:gutter="0"/>
          <w:pgNumType w:fmt="decimal"/>
          <w:cols w:space="425" w:num="1"/>
          <w:docGrid w:type="lines" w:linePitch="326" w:charSpace="0"/>
        </w:sectPr>
      </w:pPr>
      <w:r>
        <w:rPr>
          <w:b/>
          <w:color w:val="auto"/>
        </w:rPr>
        <w:t xml:space="preserve">图 </w:t>
      </w:r>
      <w:r>
        <w:rPr>
          <w:b/>
          <w:color w:val="auto"/>
        </w:rPr>
        <w:fldChar w:fldCharType="begin"/>
      </w:r>
      <w:r>
        <w:rPr>
          <w:b/>
          <w:color w:val="auto"/>
        </w:rPr>
        <w:instrText xml:space="preserve"> STYLEREF 2 \s </w:instrText>
      </w:r>
      <w:r>
        <w:rPr>
          <w:b/>
          <w:color w:val="auto"/>
        </w:rPr>
        <w:fldChar w:fldCharType="separate"/>
      </w:r>
      <w:r>
        <w:rPr>
          <w:b/>
          <w:color w:val="auto"/>
        </w:rPr>
        <w:t>2.9</w:t>
      </w:r>
      <w:r>
        <w:rPr>
          <w:b/>
          <w:color w:val="auto"/>
        </w:rPr>
        <w:fldChar w:fldCharType="end"/>
      </w:r>
      <w:r>
        <w:rPr>
          <w:b/>
          <w:color w:val="auto"/>
        </w:rPr>
        <w:noBreakHyphen/>
      </w:r>
      <w:r>
        <w:rPr>
          <w:rFonts w:hint="eastAsia"/>
          <w:b/>
          <w:color w:val="auto"/>
        </w:rPr>
        <w:t>2</w:t>
      </w:r>
      <w:r>
        <w:rPr>
          <w:b/>
          <w:color w:val="auto"/>
        </w:rPr>
        <w:t xml:space="preserve"> 环境</w:t>
      </w:r>
      <w:r>
        <w:rPr>
          <w:rFonts w:hint="eastAsia"/>
          <w:b/>
          <w:color w:val="auto"/>
        </w:rPr>
        <w:t>影响评价范围</w:t>
      </w:r>
      <w:r>
        <w:rPr>
          <w:b/>
          <w:color w:val="auto"/>
        </w:rPr>
        <w:t>图</w:t>
      </w:r>
    </w:p>
    <w:p>
      <w:pPr>
        <w:pStyle w:val="2"/>
        <w:spacing w:line="360" w:lineRule="auto"/>
        <w:ind w:left="998" w:hanging="431"/>
        <w:rPr>
          <w:color w:val="auto"/>
          <w:sz w:val="36"/>
          <w:szCs w:val="36"/>
        </w:rPr>
      </w:pPr>
      <w:bookmarkStart w:id="237" w:name="_Toc23263155"/>
      <w:bookmarkStart w:id="238" w:name="_Toc14943313"/>
      <w:bookmarkStart w:id="239" w:name="_Toc23600"/>
      <w:bookmarkStart w:id="240" w:name="_Toc24136740"/>
      <w:r>
        <w:rPr>
          <w:color w:val="auto"/>
          <w:sz w:val="36"/>
          <w:szCs w:val="36"/>
        </w:rPr>
        <w:t>工程</w:t>
      </w:r>
      <w:bookmarkEnd w:id="0"/>
      <w:bookmarkEnd w:id="1"/>
      <w:bookmarkEnd w:id="2"/>
      <w:bookmarkEnd w:id="3"/>
      <w:bookmarkEnd w:id="237"/>
      <w:bookmarkEnd w:id="238"/>
      <w:r>
        <w:rPr>
          <w:rFonts w:hint="eastAsia"/>
          <w:color w:val="auto"/>
          <w:sz w:val="36"/>
          <w:szCs w:val="36"/>
        </w:rPr>
        <w:t>分析</w:t>
      </w:r>
      <w:bookmarkEnd w:id="239"/>
      <w:bookmarkEnd w:id="240"/>
    </w:p>
    <w:p>
      <w:pPr>
        <w:pStyle w:val="3"/>
        <w:numPr>
          <w:ilvl w:val="0"/>
          <w:numId w:val="0"/>
        </w:numPr>
        <w:tabs>
          <w:tab w:val="clear" w:pos="680"/>
        </w:tabs>
        <w:rPr>
          <w:rFonts w:ascii="Times New Roman"/>
          <w:bCs/>
          <w:color w:val="auto"/>
          <w:lang w:eastAsia="zh-CN"/>
        </w:rPr>
      </w:pPr>
      <w:bookmarkStart w:id="241" w:name="_Toc483263299"/>
      <w:bookmarkStart w:id="242" w:name="_Toc23263157"/>
      <w:bookmarkStart w:id="243" w:name="_Toc24136751"/>
      <w:bookmarkStart w:id="244" w:name="_Toc14943315"/>
      <w:bookmarkStart w:id="245" w:name="_Toc23057"/>
      <w:r>
        <w:rPr>
          <w:rFonts w:hint="eastAsia" w:ascii="Times New Roman"/>
          <w:bCs/>
          <w:color w:val="auto"/>
          <w:lang w:eastAsia="zh-CN"/>
        </w:rPr>
        <w:t>3.</w:t>
      </w:r>
      <w:bookmarkEnd w:id="241"/>
      <w:bookmarkEnd w:id="242"/>
      <w:bookmarkEnd w:id="243"/>
      <w:bookmarkEnd w:id="244"/>
      <w:r>
        <w:rPr>
          <w:rFonts w:hint="eastAsia" w:ascii="Times New Roman"/>
          <w:bCs/>
          <w:color w:val="auto"/>
          <w:lang w:val="en-US" w:eastAsia="zh-CN"/>
        </w:rPr>
        <w:t>1</w:t>
      </w:r>
      <w:r>
        <w:rPr>
          <w:rFonts w:hint="eastAsia" w:ascii="Times New Roman"/>
          <w:bCs/>
          <w:color w:val="auto"/>
          <w:lang w:eastAsia="zh-CN"/>
        </w:rPr>
        <w:t>工程项目概况及工程分析</w:t>
      </w:r>
      <w:bookmarkEnd w:id="245"/>
    </w:p>
    <w:p>
      <w:pPr>
        <w:pStyle w:val="298"/>
        <w:spacing w:before="0" w:after="0" w:line="360" w:lineRule="auto"/>
        <w:rPr>
          <w:color w:val="auto"/>
          <w:lang w:eastAsia="zh-CN"/>
        </w:rPr>
      </w:pPr>
      <w:bookmarkStart w:id="246" w:name="_Toc24136752"/>
      <w:bookmarkStart w:id="247" w:name="_Toc10198"/>
      <w:bookmarkStart w:id="248" w:name="_Toc34234666"/>
      <w:r>
        <w:rPr>
          <w:rFonts w:hint="eastAsia"/>
          <w:color w:val="auto"/>
          <w:lang w:eastAsia="zh-CN"/>
        </w:rPr>
        <w:t>3</w:t>
      </w:r>
      <w:r>
        <w:rPr>
          <w:color w:val="auto"/>
          <w:lang w:eastAsia="zh-CN"/>
        </w:rPr>
        <w:t>.</w:t>
      </w:r>
      <w:r>
        <w:rPr>
          <w:rFonts w:hint="eastAsia"/>
          <w:color w:val="auto"/>
          <w:lang w:val="en-US" w:eastAsia="zh-CN"/>
        </w:rPr>
        <w:t>1</w:t>
      </w:r>
      <w:r>
        <w:rPr>
          <w:color w:val="auto"/>
          <w:lang w:eastAsia="zh-CN"/>
        </w:rPr>
        <w:t>.1</w:t>
      </w:r>
      <w:bookmarkEnd w:id="246"/>
      <w:r>
        <w:rPr>
          <w:rFonts w:hint="eastAsia"/>
          <w:color w:val="auto"/>
          <w:lang w:eastAsia="zh-CN"/>
        </w:rPr>
        <w:t>项目概况</w:t>
      </w:r>
      <w:bookmarkEnd w:id="247"/>
      <w:bookmarkEnd w:id="248"/>
    </w:p>
    <w:p>
      <w:pPr>
        <w:adjustRightInd w:val="0"/>
        <w:snapToGrid w:val="0"/>
        <w:spacing w:line="360" w:lineRule="auto"/>
        <w:ind w:firstLine="480" w:firstLineChars="200"/>
        <w:jc w:val="both"/>
        <w:rPr>
          <w:color w:val="auto"/>
        </w:rPr>
      </w:pPr>
      <w:r>
        <w:rPr>
          <w:rFonts w:hint="eastAsia"/>
          <w:color w:val="auto"/>
        </w:rPr>
        <w:t>（1）</w:t>
      </w:r>
      <w:r>
        <w:rPr>
          <w:color w:val="auto"/>
        </w:rPr>
        <w:t>项目名称：</w:t>
      </w:r>
      <w:r>
        <w:rPr>
          <w:rFonts w:hint="eastAsia"/>
          <w:color w:val="auto"/>
        </w:rPr>
        <w:t>兴宁市静脉产业园项目（餐厨垃圾处理厂和建筑垃圾消纳场）</w:t>
      </w:r>
    </w:p>
    <w:p>
      <w:pPr>
        <w:snapToGrid w:val="0"/>
        <w:spacing w:line="360" w:lineRule="auto"/>
        <w:ind w:firstLine="480" w:firstLineChars="200"/>
        <w:jc w:val="both"/>
        <w:textAlignment w:val="baseline"/>
        <w:rPr>
          <w:color w:val="auto"/>
        </w:rPr>
      </w:pPr>
      <w:r>
        <w:rPr>
          <w:rFonts w:hint="eastAsia"/>
          <w:color w:val="auto"/>
        </w:rPr>
        <w:t>（2）</w:t>
      </w:r>
      <w:r>
        <w:rPr>
          <w:color w:val="auto"/>
        </w:rPr>
        <w:t>项目</w:t>
      </w:r>
      <w:r>
        <w:rPr>
          <w:rFonts w:hint="eastAsia"/>
          <w:color w:val="auto"/>
        </w:rPr>
        <w:t>概况</w:t>
      </w:r>
      <w:r>
        <w:rPr>
          <w:color w:val="auto"/>
        </w:rPr>
        <w:t>：</w:t>
      </w:r>
      <w:r>
        <w:rPr>
          <w:rFonts w:hint="eastAsia"/>
          <w:bCs/>
          <w:color w:val="auto"/>
        </w:rPr>
        <w:t>本</w:t>
      </w:r>
      <w:r>
        <w:rPr>
          <w:bCs/>
          <w:color w:val="auto"/>
        </w:rPr>
        <w:t>项目</w:t>
      </w:r>
      <w:r>
        <w:rPr>
          <w:color w:val="auto"/>
        </w:rPr>
        <w:t>位于兴宁市新陂镇</w:t>
      </w:r>
      <w:r>
        <w:rPr>
          <w:rFonts w:hint="eastAsia"/>
          <w:color w:val="auto"/>
        </w:rPr>
        <w:t>茅塘村</w:t>
      </w:r>
      <w:r>
        <w:rPr>
          <w:bCs/>
          <w:color w:val="auto"/>
        </w:rPr>
        <w:t>兴宁市静脉产业园</w:t>
      </w:r>
      <w:r>
        <w:rPr>
          <w:rFonts w:hint="eastAsia"/>
          <w:bCs/>
          <w:color w:val="auto"/>
        </w:rPr>
        <w:t>内</w:t>
      </w:r>
      <w:r>
        <w:rPr>
          <w:color w:val="auto"/>
        </w:rPr>
        <w:t>，</w:t>
      </w:r>
      <w:r>
        <w:rPr>
          <w:rFonts w:hint="eastAsia"/>
          <w:color w:val="auto"/>
        </w:rPr>
        <w:t>其中心地理坐标为东经</w:t>
      </w:r>
      <w:r>
        <w:rPr>
          <w:color w:val="auto"/>
        </w:rPr>
        <w:t>115.664003°</w:t>
      </w:r>
      <w:r>
        <w:rPr>
          <w:rFonts w:hint="eastAsia"/>
          <w:color w:val="auto"/>
        </w:rPr>
        <w:t>，北纬</w:t>
      </w:r>
      <w:r>
        <w:rPr>
          <w:color w:val="auto"/>
        </w:rPr>
        <w:t>24.115005°</w:t>
      </w:r>
      <w:r>
        <w:rPr>
          <w:rFonts w:hint="eastAsia"/>
          <w:color w:val="auto"/>
        </w:rPr>
        <w:t>。项目</w:t>
      </w:r>
      <w:r>
        <w:rPr>
          <w:color w:val="auto"/>
        </w:rPr>
        <w:t>餐厨垃圾处理厂</w:t>
      </w:r>
      <w:r>
        <w:rPr>
          <w:rFonts w:hint="eastAsia"/>
          <w:color w:val="auto"/>
        </w:rPr>
        <w:t>总处理规模2</w:t>
      </w:r>
      <w:r>
        <w:rPr>
          <w:color w:val="auto"/>
        </w:rPr>
        <w:t>5</w:t>
      </w:r>
      <w:r>
        <w:rPr>
          <w:rFonts w:hint="eastAsia"/>
          <w:color w:val="auto"/>
        </w:rPr>
        <w:t>t</w:t>
      </w:r>
      <w:r>
        <w:rPr>
          <w:color w:val="auto"/>
        </w:rPr>
        <w:t>/</w:t>
      </w:r>
      <w:r>
        <w:rPr>
          <w:rFonts w:hint="eastAsia"/>
          <w:color w:val="auto"/>
        </w:rPr>
        <w:t>d，</w:t>
      </w:r>
      <w:r>
        <w:rPr>
          <w:color w:val="auto"/>
        </w:rPr>
        <w:t>建筑垃圾消纳场</w:t>
      </w:r>
      <w:r>
        <w:rPr>
          <w:rFonts w:hint="eastAsia"/>
          <w:color w:val="auto"/>
        </w:rPr>
        <w:t>总处理规模2</w:t>
      </w:r>
      <w:r>
        <w:rPr>
          <w:color w:val="auto"/>
        </w:rPr>
        <w:t>00</w:t>
      </w:r>
      <w:r>
        <w:rPr>
          <w:rFonts w:hint="eastAsia"/>
          <w:color w:val="auto"/>
        </w:rPr>
        <w:t>m</w:t>
      </w:r>
      <w:r>
        <w:rPr>
          <w:color w:val="auto"/>
          <w:vertAlign w:val="superscript"/>
        </w:rPr>
        <w:t>3</w:t>
      </w:r>
      <w:r>
        <w:rPr>
          <w:rFonts w:hint="eastAsia"/>
          <w:color w:val="auto"/>
        </w:rPr>
        <w:t>/d。</w:t>
      </w:r>
    </w:p>
    <w:p>
      <w:pPr>
        <w:snapToGrid w:val="0"/>
        <w:spacing w:line="360" w:lineRule="auto"/>
        <w:ind w:firstLine="480" w:firstLineChars="200"/>
        <w:jc w:val="both"/>
        <w:textAlignment w:val="baseline"/>
        <w:rPr>
          <w:color w:val="auto"/>
        </w:rPr>
      </w:pPr>
      <w:r>
        <w:rPr>
          <w:color w:val="auto"/>
        </w:rPr>
        <w:t>（3）拟建地点：</w:t>
      </w:r>
      <w:r>
        <w:rPr>
          <w:rFonts w:hint="eastAsia"/>
          <w:color w:val="auto"/>
        </w:rPr>
        <w:t>兴宁市新陂镇茅塘村</w:t>
      </w:r>
      <w:r>
        <w:rPr>
          <w:bCs/>
          <w:color w:val="auto"/>
        </w:rPr>
        <w:t>兴宁市静脉产业园</w:t>
      </w:r>
      <w:r>
        <w:rPr>
          <w:rFonts w:hint="eastAsia"/>
          <w:bCs/>
          <w:color w:val="auto"/>
        </w:rPr>
        <w:t>内</w:t>
      </w:r>
      <w:r>
        <w:rPr>
          <w:color w:val="auto"/>
        </w:rPr>
        <w:t>。</w:t>
      </w:r>
    </w:p>
    <w:p>
      <w:pPr>
        <w:pStyle w:val="16"/>
        <w:spacing w:before="0" w:beforeAutospacing="0" w:after="0" w:line="360" w:lineRule="auto"/>
        <w:ind w:firstLine="480" w:firstLineChars="200"/>
        <w:jc w:val="both"/>
        <w:rPr>
          <w:color w:val="auto"/>
          <w:szCs w:val="24"/>
        </w:rPr>
      </w:pPr>
      <w:r>
        <w:rPr>
          <w:color w:val="auto"/>
          <w:szCs w:val="24"/>
        </w:rPr>
        <w:t>（4）建设单位：</w:t>
      </w:r>
      <w:r>
        <w:rPr>
          <w:rFonts w:hint="eastAsia"/>
          <w:color w:val="auto"/>
          <w:szCs w:val="24"/>
        </w:rPr>
        <w:t>兴宁市城市管理和综合执法局</w:t>
      </w:r>
      <w:r>
        <w:rPr>
          <w:rFonts w:hint="eastAsia"/>
          <w:color w:val="auto"/>
        </w:rPr>
        <w:t>。</w:t>
      </w:r>
    </w:p>
    <w:p>
      <w:pPr>
        <w:widowControl/>
        <w:spacing w:line="360" w:lineRule="auto"/>
        <w:ind w:firstLine="480" w:firstLineChars="200"/>
        <w:jc w:val="both"/>
        <w:rPr>
          <w:color w:val="auto"/>
        </w:rPr>
      </w:pPr>
      <w:r>
        <w:rPr>
          <w:color w:val="auto"/>
        </w:rPr>
        <w:t>（5）服务范围：</w:t>
      </w:r>
      <w:r>
        <w:rPr>
          <w:rFonts w:hint="eastAsia"/>
          <w:color w:val="auto"/>
        </w:rPr>
        <w:t>餐厨垃圾处理厂近期服务范围为兴宁市的市辖街道（兴田街道、福兴街道、宁新街道），时机成熟时，可考虑在远期将近郊城镇以及运距合适的城镇纳入服务范围，扩大餐厨垃圾无害化处理范围；</w:t>
      </w:r>
      <w:r>
        <w:rPr>
          <w:color w:val="auto"/>
        </w:rPr>
        <w:t>建筑垃圾消纳场</w:t>
      </w:r>
      <w:r>
        <w:rPr>
          <w:rFonts w:hint="eastAsia"/>
          <w:color w:val="auto"/>
        </w:rPr>
        <w:t>服务范围包括兴田街道、福兴街道、宁新街道、新陂镇，后续考虑叶塘镇、龙田镇、宁中镇、永和镇、坭陂镇、刁坊镇等周城镇，逐渐扩大服务范围。</w:t>
      </w:r>
    </w:p>
    <w:p>
      <w:pPr>
        <w:adjustRightInd w:val="0"/>
        <w:snapToGrid w:val="0"/>
        <w:spacing w:line="360" w:lineRule="auto"/>
        <w:ind w:firstLine="480" w:firstLineChars="200"/>
        <w:jc w:val="both"/>
        <w:rPr>
          <w:color w:val="auto"/>
        </w:rPr>
      </w:pPr>
      <w:r>
        <w:rPr>
          <w:color w:val="auto"/>
        </w:rPr>
        <w:t>（6）建设期及运营期：本项目</w:t>
      </w:r>
      <w:r>
        <w:rPr>
          <w:rFonts w:hint="eastAsia"/>
          <w:color w:val="auto"/>
        </w:rPr>
        <w:t>1</w:t>
      </w:r>
      <w:r>
        <w:rPr>
          <w:color w:val="auto"/>
        </w:rPr>
        <w:t>年建设期和28年生产运营期</w:t>
      </w:r>
      <w:r>
        <w:rPr>
          <w:rFonts w:hint="eastAsia"/>
          <w:color w:val="auto"/>
        </w:rPr>
        <w:t>。</w:t>
      </w:r>
    </w:p>
    <w:p>
      <w:pPr>
        <w:snapToGrid w:val="0"/>
        <w:spacing w:line="360" w:lineRule="auto"/>
        <w:ind w:firstLine="480" w:firstLineChars="200"/>
        <w:jc w:val="both"/>
        <w:textAlignment w:val="baseline"/>
        <w:rPr>
          <w:color w:val="auto"/>
        </w:rPr>
      </w:pPr>
      <w:r>
        <w:rPr>
          <w:color w:val="auto"/>
        </w:rPr>
        <w:t>（7）</w:t>
      </w:r>
      <w:r>
        <w:rPr>
          <w:rFonts w:hint="eastAsia"/>
          <w:color w:val="auto"/>
        </w:rPr>
        <w:t xml:space="preserve"> </w:t>
      </w:r>
      <w:r>
        <w:rPr>
          <w:color w:val="auto"/>
        </w:rPr>
        <w:t>投资总额：</w:t>
      </w:r>
      <w:r>
        <w:rPr>
          <w:rFonts w:hint="eastAsia"/>
          <w:bCs/>
          <w:color w:val="auto"/>
        </w:rPr>
        <w:t>9626</w:t>
      </w:r>
      <w:r>
        <w:rPr>
          <w:color w:val="auto"/>
        </w:rPr>
        <w:t>万元，其中环保投资约</w:t>
      </w:r>
      <w:r>
        <w:rPr>
          <w:rFonts w:hint="eastAsia"/>
          <w:color w:val="auto"/>
        </w:rPr>
        <w:t>1000</w:t>
      </w:r>
      <w:r>
        <w:rPr>
          <w:color w:val="auto"/>
        </w:rPr>
        <w:t>万元，占总投资额的</w:t>
      </w:r>
      <w:r>
        <w:rPr>
          <w:rFonts w:hint="eastAsia"/>
          <w:color w:val="auto"/>
        </w:rPr>
        <w:t>10.4%。</w:t>
      </w:r>
    </w:p>
    <w:p>
      <w:pPr>
        <w:snapToGrid w:val="0"/>
        <w:spacing w:line="360" w:lineRule="auto"/>
        <w:ind w:firstLine="480" w:firstLineChars="200"/>
        <w:jc w:val="both"/>
        <w:textAlignment w:val="baseline"/>
        <w:rPr>
          <w:color w:val="auto"/>
          <w:w w:val="95"/>
          <w:vertAlign w:val="superscript"/>
        </w:rPr>
      </w:pPr>
      <w:r>
        <w:rPr>
          <w:color w:val="auto"/>
        </w:rPr>
        <w:t>（8）占地面积：</w:t>
      </w:r>
      <w:r>
        <w:rPr>
          <w:rFonts w:hint="eastAsia"/>
          <w:color w:val="auto"/>
        </w:rPr>
        <w:t>本项目总占地面积为126820</w:t>
      </w:r>
      <w:r>
        <w:rPr>
          <w:color w:val="auto"/>
        </w:rPr>
        <w:t xml:space="preserve"> m</w:t>
      </w:r>
      <w:r>
        <w:rPr>
          <w:color w:val="auto"/>
          <w:vertAlign w:val="superscript"/>
        </w:rPr>
        <w:t>2</w:t>
      </w:r>
      <w:r>
        <w:rPr>
          <w:rFonts w:eastAsiaTheme="minorEastAsia"/>
          <w:color w:val="auto"/>
          <w:w w:val="95"/>
        </w:rPr>
        <w:t>，</w:t>
      </w:r>
      <w:r>
        <w:rPr>
          <w:rFonts w:eastAsiaTheme="minorEastAsia"/>
          <w:color w:val="auto"/>
        </w:rPr>
        <w:t>其中</w:t>
      </w:r>
      <w:r>
        <w:rPr>
          <w:rFonts w:hint="eastAsia" w:eastAsiaTheme="minorEastAsia"/>
          <w:color w:val="auto"/>
        </w:rPr>
        <w:t>餐厨垃圾处理厂占地面积4307</w:t>
      </w:r>
      <w:r>
        <w:rPr>
          <w:color w:val="auto"/>
        </w:rPr>
        <w:t>m</w:t>
      </w:r>
      <w:r>
        <w:rPr>
          <w:color w:val="auto"/>
          <w:vertAlign w:val="superscript"/>
        </w:rPr>
        <w:t>2</w:t>
      </w:r>
      <w:r>
        <w:rPr>
          <w:rFonts w:hint="eastAsia" w:eastAsiaTheme="minorEastAsia"/>
          <w:color w:val="auto"/>
        </w:rPr>
        <w:t>，建筑垃圾消纳场占地面积122513</w:t>
      </w:r>
      <w:r>
        <w:rPr>
          <w:color w:val="auto"/>
        </w:rPr>
        <w:t xml:space="preserve"> m</w:t>
      </w:r>
      <w:r>
        <w:rPr>
          <w:color w:val="auto"/>
          <w:vertAlign w:val="superscript"/>
        </w:rPr>
        <w:t>2</w:t>
      </w:r>
      <w:r>
        <w:rPr>
          <w:rFonts w:hint="eastAsia" w:eastAsiaTheme="minorEastAsia"/>
          <w:color w:val="auto"/>
        </w:rPr>
        <w:t>。</w:t>
      </w:r>
    </w:p>
    <w:p>
      <w:pPr>
        <w:snapToGrid w:val="0"/>
        <w:spacing w:line="360" w:lineRule="auto"/>
        <w:ind w:firstLine="480" w:firstLineChars="200"/>
        <w:jc w:val="both"/>
        <w:textAlignment w:val="baseline"/>
        <w:rPr>
          <w:color w:val="auto"/>
        </w:rPr>
        <w:sectPr>
          <w:headerReference r:id="rId11" w:type="default"/>
          <w:footerReference r:id="rId12" w:type="default"/>
          <w:pgSz w:w="11906" w:h="16838"/>
          <w:pgMar w:top="1134" w:right="1418" w:bottom="1134" w:left="1418" w:header="851" w:footer="992" w:gutter="0"/>
          <w:pgNumType w:fmt="decimal"/>
          <w:cols w:space="720" w:num="1"/>
          <w:docGrid w:linePitch="312" w:charSpace="0"/>
        </w:sectPr>
      </w:pPr>
      <w:r>
        <w:rPr>
          <w:color w:val="auto"/>
        </w:rPr>
        <w:t>（</w:t>
      </w:r>
      <w:r>
        <w:rPr>
          <w:rFonts w:hint="eastAsia"/>
          <w:color w:val="auto"/>
          <w:lang w:val="en-US" w:eastAsia="zh-CN"/>
        </w:rPr>
        <w:t>9</w:t>
      </w:r>
      <w:r>
        <w:rPr>
          <w:color w:val="auto"/>
        </w:rPr>
        <w:t>）</w:t>
      </w:r>
      <w:r>
        <w:rPr>
          <w:rFonts w:hint="eastAsia"/>
          <w:color w:val="auto"/>
        </w:rPr>
        <w:t>劳动定员和</w:t>
      </w:r>
      <w:r>
        <w:rPr>
          <w:color w:val="auto"/>
        </w:rPr>
        <w:t>工作时间：</w:t>
      </w:r>
      <w:r>
        <w:rPr>
          <w:rFonts w:hint="eastAsia"/>
          <w:color w:val="auto"/>
        </w:rPr>
        <w:t>本项目不新增员工，在兴宁市静脉产业园PPP项目内进行人员调配。</w:t>
      </w:r>
      <w:r>
        <w:rPr>
          <w:color w:val="auto"/>
        </w:rPr>
        <w:t>年工作日3</w:t>
      </w:r>
      <w:r>
        <w:rPr>
          <w:rFonts w:hint="eastAsia"/>
          <w:color w:val="auto"/>
        </w:rPr>
        <w:t>3</w:t>
      </w:r>
      <w:r>
        <w:rPr>
          <w:color w:val="auto"/>
        </w:rPr>
        <w:t>0天，</w:t>
      </w:r>
      <w:r>
        <w:rPr>
          <w:rFonts w:hint="eastAsia"/>
          <w:color w:val="auto"/>
        </w:rPr>
        <w:t>生产部实行一班运转制，每班8小时，年生产2640小时。</w:t>
      </w:r>
    </w:p>
    <w:p>
      <w:pPr>
        <w:snapToGrid w:val="0"/>
        <w:spacing w:line="360" w:lineRule="auto"/>
        <w:ind w:firstLine="480" w:firstLineChars="200"/>
        <w:jc w:val="center"/>
        <w:textAlignment w:val="baseline"/>
        <w:rPr>
          <w:color w:val="auto"/>
        </w:rPr>
      </w:pPr>
      <w:r>
        <w:rPr>
          <w:color w:val="auto"/>
        </w:rPr>
        <w:pict>
          <v:shape id="_x0000_s1042" o:spid="_x0000_s1042" o:spt="75" type="#_x0000_t75" style="position:absolute;left:0pt;margin-left:586.05pt;margin-top:4.8pt;height:92.25pt;width:114pt;z-index:251744256;mso-width-relative:page;mso-height-relative:page;" o:ole="t" filled="f" o:preferrelative="t" stroked="f" coordsize="21600,21600">
            <v:path/>
            <v:fill on="f" focussize="0,0"/>
            <v:stroke on="f" joinstyle="miter"/>
            <v:imagedata r:id="rId63" o:title=""/>
            <o:lock v:ext="edit" aspectratio="t"/>
          </v:shape>
          <o:OLEObject Type="Embed" ProgID="Visio.Drawing.15" ShapeID="_x0000_s1042" DrawAspect="Content" ObjectID="_1468075731">
            <o:LockedField>false</o:LockedField>
          </o:OLEObject>
        </w:pict>
      </w:r>
      <w:r>
        <w:rPr>
          <w:color w:val="auto"/>
        </w:rPr>
        <w:drawing>
          <wp:inline distT="0" distB="0" distL="0" distR="0">
            <wp:extent cx="8288655" cy="517207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66"/>
                    <a:stretch>
                      <a:fillRect/>
                    </a:stretch>
                  </pic:blipFill>
                  <pic:spPr>
                    <a:xfrm>
                      <a:off x="0" y="0"/>
                      <a:ext cx="8303020" cy="5180738"/>
                    </a:xfrm>
                    <a:prstGeom prst="rect">
                      <a:avLst/>
                    </a:prstGeom>
                  </pic:spPr>
                </pic:pic>
              </a:graphicData>
            </a:graphic>
          </wp:inline>
        </w:drawing>
      </w:r>
      <w:r>
        <w:rPr>
          <w:color w:val="auto"/>
        </w:rPr>
        <w:t xml:space="preserve"> </w:t>
      </w:r>
    </w:p>
    <w:p>
      <w:pPr>
        <w:snapToGrid w:val="0"/>
        <w:spacing w:line="360" w:lineRule="auto"/>
        <w:jc w:val="center"/>
        <w:textAlignment w:val="baseline"/>
        <w:rPr>
          <w:b/>
          <w:color w:val="auto"/>
        </w:rPr>
        <w:sectPr>
          <w:pgSz w:w="16838" w:h="11906" w:orient="landscape"/>
          <w:pgMar w:top="1418" w:right="1134" w:bottom="1418" w:left="1134" w:header="851" w:footer="992" w:gutter="0"/>
          <w:pgNumType w:fmt="decimal"/>
          <w:cols w:space="720" w:num="1"/>
          <w:docGrid w:linePitch="326" w:charSpace="0"/>
        </w:sectPr>
      </w:pPr>
      <w:r>
        <w:rPr>
          <w:rFonts w:hint="eastAsia"/>
          <w:b/>
          <w:color w:val="auto"/>
        </w:rPr>
        <w:t>图3.</w:t>
      </w:r>
      <w:r>
        <w:rPr>
          <w:rFonts w:hint="eastAsia"/>
          <w:b/>
          <w:color w:val="auto"/>
          <w:lang w:val="en-US" w:eastAsia="zh-CN"/>
        </w:rPr>
        <w:t>1</w:t>
      </w:r>
      <w:r>
        <w:rPr>
          <w:rFonts w:hint="eastAsia"/>
          <w:b/>
          <w:color w:val="auto"/>
        </w:rPr>
        <w:t>-1 项目地理位置图</w:t>
      </w:r>
    </w:p>
    <w:p>
      <w:pPr>
        <w:pStyle w:val="298"/>
        <w:spacing w:before="0" w:after="0" w:line="360" w:lineRule="auto"/>
        <w:rPr>
          <w:color w:val="auto"/>
          <w:lang w:eastAsia="zh-CN"/>
        </w:rPr>
      </w:pPr>
      <w:bookmarkStart w:id="249" w:name="_Toc24136755"/>
      <w:bookmarkStart w:id="250" w:name="_Toc34234667"/>
      <w:bookmarkStart w:id="251" w:name="_Toc18175"/>
      <w:r>
        <w:rPr>
          <w:color w:val="auto"/>
        </w:rPr>
        <w:t>3.</w:t>
      </w:r>
      <w:r>
        <w:rPr>
          <w:rFonts w:hint="eastAsia"/>
          <w:color w:val="auto"/>
          <w:lang w:val="en-US" w:eastAsia="zh-CN"/>
        </w:rPr>
        <w:t>1</w:t>
      </w:r>
      <w:r>
        <w:rPr>
          <w:color w:val="auto"/>
        </w:rPr>
        <w:t>.</w:t>
      </w:r>
      <w:bookmarkEnd w:id="249"/>
      <w:r>
        <w:rPr>
          <w:color w:val="auto"/>
          <w:lang w:eastAsia="zh-CN"/>
        </w:rPr>
        <w:t>2</w:t>
      </w:r>
      <w:r>
        <w:rPr>
          <w:rFonts w:hint="eastAsia"/>
          <w:color w:val="auto"/>
          <w:lang w:eastAsia="zh-CN"/>
        </w:rPr>
        <w:t>项目工程组成</w:t>
      </w:r>
      <w:bookmarkEnd w:id="250"/>
      <w:bookmarkEnd w:id="251"/>
    </w:p>
    <w:p>
      <w:pPr>
        <w:spacing w:line="360" w:lineRule="auto"/>
        <w:rPr>
          <w:b/>
          <w:bCs/>
          <w:color w:val="auto"/>
        </w:rPr>
      </w:pPr>
      <w:r>
        <w:rPr>
          <w:b/>
          <w:bCs/>
          <w:color w:val="auto"/>
        </w:rPr>
        <w:t>3.</w:t>
      </w:r>
      <w:r>
        <w:rPr>
          <w:rFonts w:hint="eastAsia"/>
          <w:b/>
          <w:bCs/>
          <w:color w:val="auto"/>
          <w:lang w:val="en-US" w:eastAsia="zh-CN"/>
        </w:rPr>
        <w:t>1</w:t>
      </w:r>
      <w:r>
        <w:rPr>
          <w:b/>
          <w:bCs/>
          <w:color w:val="auto"/>
        </w:rPr>
        <w:t>.2.</w:t>
      </w:r>
      <w:r>
        <w:rPr>
          <w:rFonts w:hint="eastAsia"/>
          <w:b/>
          <w:bCs/>
          <w:color w:val="auto"/>
        </w:rPr>
        <w:t>1餐厨垃圾处理厂工程组成</w:t>
      </w:r>
    </w:p>
    <w:p>
      <w:pPr>
        <w:spacing w:line="360" w:lineRule="auto"/>
        <w:ind w:firstLine="480" w:firstLineChars="200"/>
        <w:rPr>
          <w:color w:val="auto"/>
        </w:rPr>
      </w:pPr>
      <w:r>
        <w:rPr>
          <w:rFonts w:hint="eastAsia"/>
          <w:color w:val="auto"/>
        </w:rPr>
        <w:t>餐厨垃圾处理项目</w:t>
      </w:r>
      <w:r>
        <w:rPr>
          <w:color w:val="auto"/>
        </w:rPr>
        <w:t>拟在</w:t>
      </w:r>
      <w:r>
        <w:rPr>
          <w:rFonts w:hint="eastAsia"/>
          <w:color w:val="auto"/>
        </w:rPr>
        <w:t>兴宁市新陂镇茅塘村</w:t>
      </w:r>
      <w:r>
        <w:rPr>
          <w:bCs/>
          <w:color w:val="auto"/>
        </w:rPr>
        <w:t>兴宁市静脉产业园</w:t>
      </w:r>
      <w:r>
        <w:rPr>
          <w:rFonts w:hint="eastAsia"/>
          <w:bCs/>
          <w:color w:val="auto"/>
        </w:rPr>
        <w:t>内</w:t>
      </w:r>
      <w:r>
        <w:rPr>
          <w:rFonts w:hint="eastAsia"/>
          <w:color w:val="auto"/>
        </w:rPr>
        <w:t>东北</w:t>
      </w:r>
      <w:r>
        <w:rPr>
          <w:color w:val="auto"/>
        </w:rPr>
        <w:t>侧预留空地进行建设，总占地面积为</w:t>
      </w:r>
      <w:r>
        <w:rPr>
          <w:rFonts w:hint="eastAsia" w:eastAsiaTheme="minorEastAsia"/>
          <w:color w:val="auto"/>
        </w:rPr>
        <w:t>4307</w:t>
      </w:r>
      <w:r>
        <w:rPr>
          <w:color w:val="auto"/>
        </w:rPr>
        <w:t xml:space="preserve"> m</w:t>
      </w:r>
      <w:r>
        <w:rPr>
          <w:color w:val="auto"/>
          <w:vertAlign w:val="superscript"/>
        </w:rPr>
        <w:t>2</w:t>
      </w:r>
      <w:r>
        <w:rPr>
          <w:color w:val="auto"/>
        </w:rPr>
        <w:t>，</w:t>
      </w:r>
      <w:r>
        <w:rPr>
          <w:color w:val="auto"/>
          <w:szCs w:val="28"/>
        </w:rPr>
        <w:t>总建筑面积</w:t>
      </w:r>
      <w:r>
        <w:rPr>
          <w:rFonts w:hint="eastAsia"/>
          <w:color w:val="auto"/>
          <w:szCs w:val="28"/>
        </w:rPr>
        <w:t>4307</w:t>
      </w:r>
      <w:r>
        <w:rPr>
          <w:color w:val="auto"/>
        </w:rPr>
        <w:t xml:space="preserve"> m</w:t>
      </w:r>
      <w:r>
        <w:rPr>
          <w:color w:val="auto"/>
          <w:vertAlign w:val="superscript"/>
        </w:rPr>
        <w:t>2</w:t>
      </w:r>
      <w:r>
        <w:rPr>
          <w:color w:val="auto"/>
          <w:szCs w:val="28"/>
        </w:rPr>
        <w:t>，</w:t>
      </w:r>
      <w:r>
        <w:rPr>
          <w:color w:val="auto"/>
        </w:rPr>
        <w:t>建设内容包括土建工程（</w:t>
      </w:r>
      <w:r>
        <w:rPr>
          <w:rFonts w:hint="eastAsia"/>
          <w:color w:val="auto"/>
        </w:rPr>
        <w:t>主要为</w:t>
      </w:r>
      <w:r>
        <w:rPr>
          <w:color w:val="auto"/>
        </w:rPr>
        <w:t>设备房）、相应处理设备（</w:t>
      </w:r>
      <w:r>
        <w:rPr>
          <w:rFonts w:hint="eastAsia"/>
          <w:color w:val="auto"/>
        </w:rPr>
        <w:t>破碎系统</w:t>
      </w:r>
      <w:r>
        <w:rPr>
          <w:color w:val="auto"/>
        </w:rPr>
        <w:t>、</w:t>
      </w:r>
      <w:r>
        <w:rPr>
          <w:rFonts w:hint="eastAsia"/>
          <w:color w:val="auto"/>
        </w:rPr>
        <w:t>脱水系统、油水分析系统和</w:t>
      </w:r>
      <w:r>
        <w:rPr>
          <w:color w:val="auto"/>
        </w:rPr>
        <w:t>除臭系统等）、配套公用工程（消防管网、给排水管网、电力排线等）及生活服务设施等，不包含餐厨废弃物收运体系系统建设项目。</w:t>
      </w:r>
    </w:p>
    <w:p>
      <w:pPr>
        <w:pStyle w:val="149"/>
        <w:spacing w:line="360" w:lineRule="auto"/>
        <w:ind w:firstLine="480" w:firstLineChars="200"/>
        <w:jc w:val="left"/>
        <w:rPr>
          <w:rFonts w:ascii="Times New Roman" w:hAnsi="Times New Roman"/>
          <w:b w:val="0"/>
          <w:color w:val="auto"/>
        </w:rPr>
      </w:pPr>
      <w:r>
        <w:rPr>
          <w:rFonts w:hint="eastAsia" w:ascii="Times New Roman" w:hAnsi="Times New Roman"/>
          <w:b w:val="0"/>
          <w:color w:val="auto"/>
          <w:lang w:eastAsia="zh-CN"/>
        </w:rPr>
        <w:t>餐厨垃圾处理处理厂</w:t>
      </w:r>
      <w:r>
        <w:rPr>
          <w:rFonts w:ascii="Times New Roman" w:hAnsi="Times New Roman"/>
          <w:b w:val="0"/>
          <w:color w:val="auto"/>
        </w:rPr>
        <w:t>主要建设内容及其主要经济技术指标，具体见表</w:t>
      </w:r>
      <w:r>
        <w:rPr>
          <w:rFonts w:hint="eastAsia" w:ascii="Times New Roman" w:hAnsi="Times New Roman"/>
          <w:b w:val="0"/>
          <w:color w:val="auto"/>
          <w:lang w:eastAsia="zh-CN"/>
        </w:rPr>
        <w:t>3.</w:t>
      </w:r>
      <w:r>
        <w:rPr>
          <w:rFonts w:hint="eastAsia" w:ascii="Times New Roman" w:hAnsi="Times New Roman"/>
          <w:b w:val="0"/>
          <w:color w:val="auto"/>
          <w:lang w:val="en-US" w:eastAsia="zh-CN"/>
        </w:rPr>
        <w:t>1</w:t>
      </w:r>
      <w:r>
        <w:rPr>
          <w:rFonts w:hint="eastAsia" w:ascii="Times New Roman" w:hAnsi="Times New Roman"/>
          <w:b w:val="0"/>
          <w:color w:val="auto"/>
          <w:lang w:eastAsia="zh-CN"/>
        </w:rPr>
        <w:t>-</w:t>
      </w:r>
      <w:r>
        <w:rPr>
          <w:rFonts w:ascii="Times New Roman" w:hAnsi="Times New Roman"/>
          <w:b w:val="0"/>
          <w:color w:val="auto"/>
          <w:lang w:eastAsia="zh-CN"/>
        </w:rPr>
        <w:t>1</w:t>
      </w:r>
      <w:r>
        <w:rPr>
          <w:rFonts w:ascii="Times New Roman" w:hAnsi="Times New Roman"/>
          <w:b w:val="0"/>
          <w:color w:val="auto"/>
        </w:rPr>
        <w:t>。</w:t>
      </w:r>
    </w:p>
    <w:p>
      <w:pPr>
        <w:pStyle w:val="354"/>
        <w:spacing w:beforeLines="0" w:line="360" w:lineRule="auto"/>
        <w:rPr>
          <w:rFonts w:ascii="Times New Roman" w:hAnsi="Times New Roman" w:eastAsia="宋体"/>
          <w:b/>
          <w:color w:val="auto"/>
          <w:szCs w:val="24"/>
        </w:rPr>
      </w:pPr>
      <w:r>
        <w:rPr>
          <w:rStyle w:val="355"/>
          <w:rFonts w:ascii="Times New Roman" w:hAnsi="Times New Roman" w:eastAsia="宋体"/>
          <w:b/>
          <w:color w:val="auto"/>
          <w:szCs w:val="24"/>
        </w:rPr>
        <w:t>表</w:t>
      </w:r>
      <w:r>
        <w:rPr>
          <w:rStyle w:val="355"/>
          <w:rFonts w:hint="eastAsia" w:ascii="Times New Roman" w:hAnsi="Times New Roman" w:eastAsia="宋体"/>
          <w:b/>
          <w:color w:val="auto"/>
          <w:szCs w:val="24"/>
        </w:rPr>
        <w:t>3.</w:t>
      </w:r>
      <w:r>
        <w:rPr>
          <w:rStyle w:val="355"/>
          <w:rFonts w:hint="eastAsia" w:ascii="Times New Roman" w:hAnsi="Times New Roman" w:eastAsia="宋体"/>
          <w:b/>
          <w:color w:val="auto"/>
          <w:szCs w:val="24"/>
          <w:lang w:val="en-US" w:eastAsia="zh-CN"/>
        </w:rPr>
        <w:t>1</w:t>
      </w:r>
      <w:r>
        <w:rPr>
          <w:rStyle w:val="355"/>
          <w:rFonts w:hint="eastAsia" w:ascii="Times New Roman" w:hAnsi="Times New Roman" w:eastAsia="宋体"/>
          <w:b/>
          <w:color w:val="auto"/>
          <w:szCs w:val="24"/>
        </w:rPr>
        <w:t>-</w:t>
      </w:r>
      <w:r>
        <w:rPr>
          <w:rStyle w:val="355"/>
          <w:rFonts w:ascii="Times New Roman" w:hAnsi="Times New Roman" w:eastAsia="宋体"/>
          <w:b/>
          <w:color w:val="auto"/>
          <w:szCs w:val="24"/>
        </w:rPr>
        <w:t>1</w:t>
      </w:r>
      <w:r>
        <w:rPr>
          <w:rStyle w:val="355"/>
          <w:rFonts w:hint="eastAsia" w:ascii="Times New Roman" w:hAnsi="Times New Roman" w:eastAsia="宋体"/>
          <w:b/>
          <w:color w:val="auto"/>
          <w:szCs w:val="24"/>
        </w:rPr>
        <w:t xml:space="preserve"> 餐厨垃圾处理厂</w:t>
      </w:r>
      <w:r>
        <w:rPr>
          <w:rStyle w:val="355"/>
          <w:rFonts w:ascii="Times New Roman" w:hAnsi="Times New Roman" w:eastAsia="宋体"/>
          <w:b/>
          <w:color w:val="auto"/>
          <w:szCs w:val="24"/>
        </w:rPr>
        <w:t>建设内容及其主要技术经济指标</w:t>
      </w:r>
    </w:p>
    <w:tbl>
      <w:tblPr>
        <w:tblStyle w:val="53"/>
        <w:tblW w:w="9039"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61"/>
        <w:gridCol w:w="1815"/>
        <w:gridCol w:w="5245"/>
        <w:gridCol w:w="141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63" w:hRule="atLeast"/>
          <w:tblHeader/>
        </w:trPr>
        <w:tc>
          <w:tcPr>
            <w:tcW w:w="561" w:type="dxa"/>
            <w:vAlign w:val="center"/>
          </w:tcPr>
          <w:p>
            <w:pPr>
              <w:jc w:val="center"/>
              <w:rPr>
                <w:b/>
                <w:color w:val="auto"/>
                <w:sz w:val="21"/>
                <w:szCs w:val="21"/>
              </w:rPr>
            </w:pPr>
            <w:r>
              <w:rPr>
                <w:b/>
                <w:color w:val="auto"/>
                <w:sz w:val="21"/>
                <w:szCs w:val="21"/>
              </w:rPr>
              <w:t>项目</w:t>
            </w:r>
          </w:p>
        </w:tc>
        <w:tc>
          <w:tcPr>
            <w:tcW w:w="1815" w:type="dxa"/>
            <w:vAlign w:val="center"/>
          </w:tcPr>
          <w:p>
            <w:pPr>
              <w:jc w:val="center"/>
              <w:rPr>
                <w:b/>
                <w:color w:val="auto"/>
                <w:sz w:val="21"/>
                <w:szCs w:val="21"/>
              </w:rPr>
            </w:pPr>
            <w:r>
              <w:rPr>
                <w:b/>
                <w:color w:val="auto"/>
                <w:sz w:val="21"/>
                <w:szCs w:val="21"/>
              </w:rPr>
              <w:t>建设内容</w:t>
            </w:r>
          </w:p>
        </w:tc>
        <w:tc>
          <w:tcPr>
            <w:tcW w:w="5245" w:type="dxa"/>
            <w:vAlign w:val="center"/>
          </w:tcPr>
          <w:p>
            <w:pPr>
              <w:jc w:val="center"/>
              <w:rPr>
                <w:b/>
                <w:color w:val="auto"/>
                <w:sz w:val="21"/>
                <w:szCs w:val="21"/>
              </w:rPr>
            </w:pPr>
            <w:r>
              <w:rPr>
                <w:rFonts w:hint="eastAsia" w:hAnsi="宋体"/>
                <w:b/>
                <w:color w:val="auto"/>
                <w:sz w:val="21"/>
                <w:szCs w:val="21"/>
              </w:rPr>
              <w:t>具体分析</w:t>
            </w:r>
          </w:p>
        </w:tc>
        <w:tc>
          <w:tcPr>
            <w:tcW w:w="1418" w:type="dxa"/>
            <w:vAlign w:val="center"/>
          </w:tcPr>
          <w:p>
            <w:pPr>
              <w:jc w:val="center"/>
              <w:rPr>
                <w:b/>
                <w:color w:val="auto"/>
                <w:sz w:val="21"/>
                <w:szCs w:val="21"/>
              </w:rPr>
            </w:pPr>
            <w:r>
              <w:rPr>
                <w:b/>
                <w:color w:val="auto"/>
                <w:sz w:val="21"/>
                <w:szCs w:val="21"/>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63" w:hRule="atLeast"/>
        </w:trPr>
        <w:tc>
          <w:tcPr>
            <w:tcW w:w="561" w:type="dxa"/>
            <w:vAlign w:val="center"/>
          </w:tcPr>
          <w:p>
            <w:pPr>
              <w:jc w:val="center"/>
              <w:rPr>
                <w:color w:val="auto"/>
                <w:sz w:val="21"/>
                <w:szCs w:val="21"/>
              </w:rPr>
            </w:pPr>
            <w:r>
              <w:rPr>
                <w:rFonts w:hint="eastAsia"/>
                <w:color w:val="auto"/>
                <w:sz w:val="21"/>
                <w:szCs w:val="21"/>
              </w:rPr>
              <w:t>主体工程</w:t>
            </w:r>
          </w:p>
        </w:tc>
        <w:tc>
          <w:tcPr>
            <w:tcW w:w="1815" w:type="dxa"/>
            <w:vAlign w:val="center"/>
          </w:tcPr>
          <w:p>
            <w:pPr>
              <w:jc w:val="center"/>
              <w:rPr>
                <w:color w:val="auto"/>
                <w:sz w:val="21"/>
                <w:szCs w:val="21"/>
              </w:rPr>
            </w:pPr>
            <w:r>
              <w:rPr>
                <w:color w:val="auto"/>
                <w:sz w:val="21"/>
                <w:szCs w:val="21"/>
              </w:rPr>
              <w:t>处理系统</w:t>
            </w:r>
          </w:p>
        </w:tc>
        <w:tc>
          <w:tcPr>
            <w:tcW w:w="5245" w:type="dxa"/>
            <w:vAlign w:val="center"/>
          </w:tcPr>
          <w:p>
            <w:pPr>
              <w:rPr>
                <w:color w:val="auto"/>
                <w:sz w:val="21"/>
                <w:szCs w:val="21"/>
              </w:rPr>
            </w:pPr>
            <w:r>
              <w:rPr>
                <w:color w:val="auto"/>
                <w:sz w:val="21"/>
                <w:szCs w:val="21"/>
              </w:rPr>
              <w:t>1座；设处理间（含</w:t>
            </w:r>
            <w:r>
              <w:rPr>
                <w:rFonts w:hint="eastAsia"/>
                <w:color w:val="auto"/>
                <w:sz w:val="21"/>
                <w:szCs w:val="21"/>
              </w:rPr>
              <w:t>卸料间</w:t>
            </w:r>
            <w:r>
              <w:rPr>
                <w:color w:val="auto"/>
                <w:sz w:val="21"/>
                <w:szCs w:val="21"/>
              </w:rPr>
              <w:t>、</w:t>
            </w:r>
            <w:r>
              <w:rPr>
                <w:rFonts w:hint="eastAsia"/>
                <w:color w:val="auto"/>
                <w:sz w:val="21"/>
                <w:szCs w:val="21"/>
              </w:rPr>
              <w:t>破碎间、脱水间</w:t>
            </w:r>
            <w:r>
              <w:rPr>
                <w:color w:val="auto"/>
                <w:sz w:val="21"/>
                <w:szCs w:val="21"/>
              </w:rPr>
              <w:t>、油水分离</w:t>
            </w:r>
            <w:r>
              <w:rPr>
                <w:rFonts w:hint="eastAsia"/>
                <w:color w:val="auto"/>
                <w:sz w:val="21"/>
                <w:szCs w:val="21"/>
              </w:rPr>
              <w:t>间</w:t>
            </w:r>
            <w:r>
              <w:rPr>
                <w:color w:val="auto"/>
                <w:sz w:val="21"/>
                <w:szCs w:val="21"/>
              </w:rPr>
              <w:t>等），卸料大厅长 25m，宽24m</w:t>
            </w:r>
          </w:p>
        </w:tc>
        <w:tc>
          <w:tcPr>
            <w:tcW w:w="1418" w:type="dxa"/>
            <w:vAlign w:val="center"/>
          </w:tcPr>
          <w:p>
            <w:pPr>
              <w:jc w:val="center"/>
              <w:rPr>
                <w:color w:val="auto"/>
                <w:sz w:val="21"/>
                <w:szCs w:val="21"/>
              </w:rPr>
            </w:pPr>
            <w:r>
              <w:rPr>
                <w:rFonts w:hint="eastAsia"/>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67" w:hRule="atLeast"/>
        </w:trPr>
        <w:tc>
          <w:tcPr>
            <w:tcW w:w="561" w:type="dxa"/>
            <w:vMerge w:val="restart"/>
            <w:vAlign w:val="center"/>
          </w:tcPr>
          <w:p>
            <w:pPr>
              <w:jc w:val="center"/>
              <w:rPr>
                <w:color w:val="auto"/>
                <w:sz w:val="21"/>
                <w:szCs w:val="21"/>
              </w:rPr>
            </w:pPr>
            <w:r>
              <w:rPr>
                <w:color w:val="auto"/>
                <w:sz w:val="21"/>
                <w:szCs w:val="21"/>
              </w:rPr>
              <w:t>辅助工程</w:t>
            </w:r>
          </w:p>
        </w:tc>
        <w:tc>
          <w:tcPr>
            <w:tcW w:w="1815" w:type="dxa"/>
            <w:vAlign w:val="center"/>
          </w:tcPr>
          <w:p>
            <w:pPr>
              <w:jc w:val="center"/>
              <w:rPr>
                <w:color w:val="auto"/>
                <w:sz w:val="21"/>
                <w:szCs w:val="21"/>
              </w:rPr>
            </w:pPr>
            <w:r>
              <w:rPr>
                <w:color w:val="auto"/>
                <w:sz w:val="21"/>
                <w:szCs w:val="21"/>
              </w:rPr>
              <w:t>门卫与计量系统</w:t>
            </w:r>
          </w:p>
        </w:tc>
        <w:tc>
          <w:tcPr>
            <w:tcW w:w="5245" w:type="dxa"/>
            <w:vAlign w:val="center"/>
          </w:tcPr>
          <w:p>
            <w:pPr>
              <w:ind w:firstLine="105" w:firstLineChars="50"/>
              <w:rPr>
                <w:color w:val="auto"/>
                <w:sz w:val="21"/>
                <w:szCs w:val="21"/>
              </w:rPr>
            </w:pPr>
            <w:r>
              <w:rPr>
                <w:color w:val="auto"/>
                <w:sz w:val="21"/>
                <w:szCs w:val="21"/>
              </w:rPr>
              <w:t>门卫负责车辆进出</w:t>
            </w:r>
            <w:r>
              <w:rPr>
                <w:rFonts w:hint="eastAsia"/>
                <w:color w:val="auto"/>
                <w:sz w:val="21"/>
                <w:szCs w:val="21"/>
              </w:rPr>
              <w:t>以及建设3</w:t>
            </w:r>
            <w:r>
              <w:rPr>
                <w:color w:val="auto"/>
                <w:sz w:val="21"/>
                <w:szCs w:val="21"/>
              </w:rPr>
              <w:t>0t重量地磅</w:t>
            </w:r>
          </w:p>
        </w:tc>
        <w:tc>
          <w:tcPr>
            <w:tcW w:w="1418" w:type="dxa"/>
            <w:vAlign w:val="center"/>
          </w:tcPr>
          <w:p>
            <w:pPr>
              <w:jc w:val="center"/>
              <w:rPr>
                <w:color w:val="auto"/>
                <w:sz w:val="21"/>
                <w:szCs w:val="21"/>
              </w:rPr>
            </w:pPr>
            <w:r>
              <w:rPr>
                <w:rFonts w:hint="eastAsia"/>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21" w:hRule="atLeast"/>
        </w:trPr>
        <w:tc>
          <w:tcPr>
            <w:tcW w:w="561" w:type="dxa"/>
            <w:vMerge w:val="continue"/>
            <w:vAlign w:val="center"/>
          </w:tcPr>
          <w:p>
            <w:pPr>
              <w:jc w:val="center"/>
              <w:rPr>
                <w:color w:val="auto"/>
                <w:sz w:val="21"/>
                <w:szCs w:val="21"/>
              </w:rPr>
            </w:pPr>
          </w:p>
        </w:tc>
        <w:tc>
          <w:tcPr>
            <w:tcW w:w="1815" w:type="dxa"/>
            <w:vAlign w:val="center"/>
          </w:tcPr>
          <w:p>
            <w:pPr>
              <w:jc w:val="center"/>
              <w:rPr>
                <w:bCs/>
                <w:color w:val="auto"/>
                <w:kern w:val="0"/>
                <w:sz w:val="21"/>
                <w:szCs w:val="21"/>
              </w:rPr>
            </w:pPr>
            <w:r>
              <w:rPr>
                <w:bCs/>
                <w:color w:val="auto"/>
                <w:kern w:val="0"/>
                <w:sz w:val="21"/>
                <w:szCs w:val="21"/>
              </w:rPr>
              <w:t>洗车区</w:t>
            </w:r>
          </w:p>
        </w:tc>
        <w:tc>
          <w:tcPr>
            <w:tcW w:w="5245" w:type="dxa"/>
            <w:vAlign w:val="center"/>
          </w:tcPr>
          <w:p>
            <w:pPr>
              <w:rPr>
                <w:color w:val="auto"/>
                <w:sz w:val="21"/>
                <w:szCs w:val="21"/>
              </w:rPr>
            </w:pPr>
            <w:r>
              <w:rPr>
                <w:color w:val="auto"/>
                <w:sz w:val="21"/>
                <w:szCs w:val="21"/>
              </w:rPr>
              <w:t>72 m</w:t>
            </w:r>
            <w:r>
              <w:rPr>
                <w:color w:val="auto"/>
                <w:sz w:val="21"/>
                <w:szCs w:val="21"/>
                <w:vertAlign w:val="superscript"/>
              </w:rPr>
              <w:t>2</w:t>
            </w:r>
            <w:r>
              <w:rPr>
                <w:color w:val="auto"/>
                <w:sz w:val="21"/>
                <w:szCs w:val="21"/>
              </w:rPr>
              <w:t>；</w:t>
            </w:r>
            <w:r>
              <w:rPr>
                <w:rFonts w:hint="eastAsia"/>
                <w:color w:val="auto"/>
                <w:sz w:val="21"/>
                <w:szCs w:val="21"/>
              </w:rPr>
              <w:t>设</w:t>
            </w:r>
            <w:r>
              <w:rPr>
                <w:color w:val="auto"/>
                <w:sz w:val="21"/>
                <w:szCs w:val="21"/>
              </w:rPr>
              <w:t>1处</w:t>
            </w:r>
            <w:r>
              <w:rPr>
                <w:rFonts w:hint="eastAsia"/>
                <w:color w:val="auto"/>
                <w:sz w:val="21"/>
                <w:szCs w:val="21"/>
              </w:rPr>
              <w:t>洗车区，</w:t>
            </w:r>
            <w:r>
              <w:rPr>
                <w:color w:val="auto"/>
                <w:sz w:val="21"/>
                <w:szCs w:val="21"/>
              </w:rPr>
              <w:t>位于厂区收运车辆停车位旁，负责车辆冲洗</w:t>
            </w:r>
          </w:p>
        </w:tc>
        <w:tc>
          <w:tcPr>
            <w:tcW w:w="1418" w:type="dxa"/>
            <w:vAlign w:val="center"/>
          </w:tcPr>
          <w:p>
            <w:pPr>
              <w:jc w:val="center"/>
              <w:rPr>
                <w:color w:val="auto"/>
                <w:sz w:val="21"/>
                <w:szCs w:val="21"/>
              </w:rPr>
            </w:pPr>
            <w:r>
              <w:rPr>
                <w:rFonts w:hint="eastAsia"/>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63" w:hRule="atLeast"/>
        </w:trPr>
        <w:tc>
          <w:tcPr>
            <w:tcW w:w="561" w:type="dxa"/>
            <w:vMerge w:val="continue"/>
            <w:vAlign w:val="center"/>
          </w:tcPr>
          <w:p>
            <w:pPr>
              <w:jc w:val="center"/>
              <w:rPr>
                <w:color w:val="auto"/>
                <w:sz w:val="21"/>
                <w:szCs w:val="21"/>
              </w:rPr>
            </w:pPr>
          </w:p>
        </w:tc>
        <w:tc>
          <w:tcPr>
            <w:tcW w:w="1815" w:type="dxa"/>
            <w:vAlign w:val="center"/>
          </w:tcPr>
          <w:p>
            <w:pPr>
              <w:jc w:val="center"/>
              <w:rPr>
                <w:bCs/>
                <w:color w:val="auto"/>
                <w:kern w:val="0"/>
                <w:sz w:val="21"/>
                <w:szCs w:val="21"/>
              </w:rPr>
            </w:pPr>
            <w:r>
              <w:rPr>
                <w:bCs/>
                <w:color w:val="auto"/>
                <w:kern w:val="0"/>
                <w:sz w:val="21"/>
                <w:szCs w:val="21"/>
              </w:rPr>
              <w:t>油脂储罐区</w:t>
            </w:r>
          </w:p>
        </w:tc>
        <w:tc>
          <w:tcPr>
            <w:tcW w:w="5245" w:type="dxa"/>
            <w:vAlign w:val="center"/>
          </w:tcPr>
          <w:p>
            <w:pPr>
              <w:rPr>
                <w:color w:val="auto"/>
                <w:sz w:val="21"/>
                <w:szCs w:val="21"/>
              </w:rPr>
            </w:pPr>
            <w:r>
              <w:rPr>
                <w:rFonts w:hint="eastAsia"/>
                <w:color w:val="auto"/>
                <w:sz w:val="21"/>
                <w:szCs w:val="21"/>
              </w:rPr>
              <w:t>一个</w:t>
            </w:r>
            <w:r>
              <w:rPr>
                <w:color w:val="auto"/>
                <w:sz w:val="21"/>
                <w:szCs w:val="21"/>
              </w:rPr>
              <w:t>油脂储罐30 m</w:t>
            </w:r>
            <w:r>
              <w:rPr>
                <w:color w:val="auto"/>
                <w:sz w:val="21"/>
                <w:szCs w:val="21"/>
                <w:vertAlign w:val="superscript"/>
              </w:rPr>
              <w:t>3</w:t>
            </w:r>
          </w:p>
        </w:tc>
        <w:tc>
          <w:tcPr>
            <w:tcW w:w="1418" w:type="dxa"/>
            <w:vAlign w:val="center"/>
          </w:tcPr>
          <w:p>
            <w:pPr>
              <w:jc w:val="center"/>
              <w:rPr>
                <w:color w:val="auto"/>
                <w:sz w:val="21"/>
                <w:szCs w:val="21"/>
              </w:rPr>
            </w:pPr>
            <w:r>
              <w:rPr>
                <w:rFonts w:hint="eastAsia"/>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63" w:hRule="atLeast"/>
        </w:trPr>
        <w:tc>
          <w:tcPr>
            <w:tcW w:w="561" w:type="dxa"/>
            <w:vMerge w:val="restart"/>
            <w:vAlign w:val="center"/>
          </w:tcPr>
          <w:p>
            <w:pPr>
              <w:jc w:val="center"/>
              <w:rPr>
                <w:color w:val="auto"/>
                <w:sz w:val="21"/>
                <w:szCs w:val="21"/>
              </w:rPr>
            </w:pPr>
            <w:r>
              <w:rPr>
                <w:color w:val="auto"/>
                <w:sz w:val="21"/>
                <w:szCs w:val="21"/>
              </w:rPr>
              <w:t>公用工程</w:t>
            </w:r>
          </w:p>
        </w:tc>
        <w:tc>
          <w:tcPr>
            <w:tcW w:w="1815" w:type="dxa"/>
            <w:vAlign w:val="center"/>
          </w:tcPr>
          <w:p>
            <w:pPr>
              <w:jc w:val="center"/>
              <w:rPr>
                <w:color w:val="auto"/>
                <w:sz w:val="21"/>
                <w:szCs w:val="21"/>
              </w:rPr>
            </w:pPr>
            <w:r>
              <w:rPr>
                <w:color w:val="auto"/>
                <w:sz w:val="21"/>
                <w:szCs w:val="21"/>
              </w:rPr>
              <w:t>供水</w:t>
            </w:r>
          </w:p>
        </w:tc>
        <w:tc>
          <w:tcPr>
            <w:tcW w:w="5245" w:type="dxa"/>
            <w:vAlign w:val="center"/>
          </w:tcPr>
          <w:p>
            <w:pPr>
              <w:adjustRightInd w:val="0"/>
              <w:snapToGrid w:val="0"/>
              <w:rPr>
                <w:color w:val="auto"/>
                <w:sz w:val="21"/>
                <w:szCs w:val="21"/>
              </w:rPr>
            </w:pPr>
            <w:r>
              <w:rPr>
                <w:color w:val="auto"/>
                <w:sz w:val="21"/>
                <w:szCs w:val="21"/>
              </w:rPr>
              <w:t>项目生产用水</w:t>
            </w:r>
            <w:r>
              <w:rPr>
                <w:rFonts w:hint="eastAsia"/>
                <w:color w:val="auto"/>
                <w:sz w:val="21"/>
                <w:szCs w:val="21"/>
              </w:rPr>
              <w:t>依托园区内在建项目的供水工程，即</w:t>
            </w:r>
            <w:r>
              <w:rPr>
                <w:color w:val="auto"/>
                <w:sz w:val="21"/>
                <w:szCs w:val="21"/>
              </w:rPr>
              <w:t>水源为</w:t>
            </w:r>
            <w:r>
              <w:rPr>
                <w:rFonts w:hint="eastAsia"/>
                <w:color w:val="auto"/>
                <w:sz w:val="21"/>
                <w:szCs w:val="21"/>
              </w:rPr>
              <w:t>曾坑水库、园区内的</w:t>
            </w:r>
            <w:r>
              <w:rPr>
                <w:color w:val="auto"/>
                <w:sz w:val="21"/>
                <w:szCs w:val="21"/>
              </w:rPr>
              <w:t>污水站中水以及生产中产生的可以循环利用的水</w:t>
            </w:r>
          </w:p>
        </w:tc>
        <w:tc>
          <w:tcPr>
            <w:tcW w:w="1418" w:type="dxa"/>
            <w:vAlign w:val="center"/>
          </w:tcPr>
          <w:p>
            <w:pPr>
              <w:adjustRightInd w:val="0"/>
              <w:snapToGrid w:val="0"/>
              <w:jc w:val="center"/>
              <w:rPr>
                <w:color w:val="auto"/>
                <w:sz w:val="21"/>
                <w:szCs w:val="21"/>
              </w:rPr>
            </w:pPr>
            <w:r>
              <w:rPr>
                <w:rFonts w:hint="eastAsia"/>
                <w:color w:val="auto"/>
                <w:sz w:val="21"/>
                <w:szCs w:val="21"/>
              </w:rPr>
              <w:t>依托</w:t>
            </w:r>
            <w:r>
              <w:rPr>
                <w:rFonts w:hint="eastAsia"/>
                <w:color w:val="auto"/>
                <w:sz w:val="21"/>
                <w:szCs w:val="21"/>
                <w:lang w:eastAsia="zh-CN"/>
              </w:rPr>
              <w:t>园区内在建项目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63" w:hRule="atLeast"/>
        </w:trPr>
        <w:tc>
          <w:tcPr>
            <w:tcW w:w="561" w:type="dxa"/>
            <w:vMerge w:val="continue"/>
            <w:vAlign w:val="center"/>
          </w:tcPr>
          <w:p>
            <w:pPr>
              <w:jc w:val="center"/>
              <w:rPr>
                <w:color w:val="auto"/>
                <w:sz w:val="21"/>
                <w:szCs w:val="21"/>
              </w:rPr>
            </w:pPr>
          </w:p>
        </w:tc>
        <w:tc>
          <w:tcPr>
            <w:tcW w:w="1815" w:type="dxa"/>
            <w:vAlign w:val="center"/>
          </w:tcPr>
          <w:p>
            <w:pPr>
              <w:jc w:val="center"/>
              <w:rPr>
                <w:color w:val="auto"/>
                <w:sz w:val="21"/>
                <w:szCs w:val="21"/>
              </w:rPr>
            </w:pPr>
            <w:r>
              <w:rPr>
                <w:color w:val="auto"/>
                <w:sz w:val="21"/>
                <w:szCs w:val="21"/>
              </w:rPr>
              <w:t>排水</w:t>
            </w:r>
          </w:p>
        </w:tc>
        <w:tc>
          <w:tcPr>
            <w:tcW w:w="5245" w:type="dxa"/>
            <w:vAlign w:val="center"/>
          </w:tcPr>
          <w:p>
            <w:pPr>
              <w:adjustRightInd w:val="0"/>
              <w:snapToGrid w:val="0"/>
              <w:rPr>
                <w:color w:val="auto"/>
                <w:sz w:val="21"/>
                <w:szCs w:val="21"/>
              </w:rPr>
            </w:pPr>
            <w:r>
              <w:rPr>
                <w:color w:val="auto"/>
                <w:sz w:val="21"/>
                <w:szCs w:val="21"/>
              </w:rPr>
              <w:t>厂区排水</w:t>
            </w:r>
            <w:r>
              <w:rPr>
                <w:rFonts w:hint="eastAsia"/>
                <w:color w:val="auto"/>
                <w:sz w:val="21"/>
                <w:szCs w:val="21"/>
                <w:lang w:eastAsia="zh-CN"/>
              </w:rPr>
              <w:t>采用后期雨水与</w:t>
            </w:r>
            <w:r>
              <w:rPr>
                <w:color w:val="auto"/>
                <w:sz w:val="21"/>
                <w:szCs w:val="21"/>
              </w:rPr>
              <w:t>污</w:t>
            </w:r>
            <w:r>
              <w:rPr>
                <w:rFonts w:hint="eastAsia"/>
                <w:color w:val="auto"/>
                <w:sz w:val="21"/>
                <w:szCs w:val="21"/>
                <w:lang w:eastAsia="zh-CN"/>
              </w:rPr>
              <w:t>水</w:t>
            </w:r>
            <w:r>
              <w:rPr>
                <w:color w:val="auto"/>
                <w:sz w:val="21"/>
                <w:szCs w:val="21"/>
              </w:rPr>
              <w:t>分流，</w:t>
            </w:r>
            <w:r>
              <w:rPr>
                <w:rFonts w:hint="eastAsia"/>
                <w:color w:val="auto"/>
                <w:sz w:val="21"/>
                <w:szCs w:val="21"/>
                <w:lang w:eastAsia="zh-CN"/>
              </w:rPr>
              <w:t>后期</w:t>
            </w:r>
            <w:r>
              <w:rPr>
                <w:color w:val="auto"/>
                <w:sz w:val="21"/>
                <w:szCs w:val="21"/>
              </w:rPr>
              <w:t>雨水排至厂区外雨水管网，</w:t>
            </w:r>
            <w:r>
              <w:rPr>
                <w:rFonts w:hint="eastAsia"/>
                <w:color w:val="auto"/>
                <w:sz w:val="21"/>
                <w:szCs w:val="21"/>
                <w:lang w:eastAsia="zh-CN"/>
              </w:rPr>
              <w:t>初期雨水和本</w:t>
            </w:r>
            <w:r>
              <w:rPr>
                <w:color w:val="auto"/>
                <w:sz w:val="21"/>
                <w:szCs w:val="21"/>
              </w:rPr>
              <w:t>项目</w:t>
            </w:r>
            <w:r>
              <w:rPr>
                <w:rFonts w:hint="eastAsia"/>
                <w:color w:val="auto"/>
                <w:sz w:val="21"/>
                <w:szCs w:val="21"/>
                <w:lang w:eastAsia="zh-CN"/>
              </w:rPr>
              <w:t>产生的</w:t>
            </w:r>
            <w:r>
              <w:rPr>
                <w:color w:val="auto"/>
                <w:sz w:val="21"/>
                <w:szCs w:val="21"/>
              </w:rPr>
              <w:t>废水</w:t>
            </w:r>
            <w:r>
              <w:rPr>
                <w:rFonts w:hint="eastAsia"/>
                <w:color w:val="auto"/>
                <w:sz w:val="21"/>
                <w:szCs w:val="21"/>
              </w:rPr>
              <w:t>依托园区在建的渗滤液处理站处理后回用</w:t>
            </w:r>
          </w:p>
        </w:tc>
        <w:tc>
          <w:tcPr>
            <w:tcW w:w="1418" w:type="dxa"/>
            <w:vAlign w:val="center"/>
          </w:tcPr>
          <w:p>
            <w:pPr>
              <w:adjustRightInd w:val="0"/>
              <w:snapToGrid w:val="0"/>
              <w:jc w:val="center"/>
              <w:rPr>
                <w:color w:val="auto"/>
                <w:sz w:val="21"/>
                <w:szCs w:val="21"/>
              </w:rPr>
            </w:pPr>
            <w:r>
              <w:rPr>
                <w:rFonts w:hint="eastAsia"/>
                <w:color w:val="auto"/>
                <w:sz w:val="21"/>
                <w:szCs w:val="21"/>
              </w:rPr>
              <w:t>依托</w:t>
            </w:r>
            <w:r>
              <w:rPr>
                <w:rFonts w:hint="eastAsia"/>
                <w:color w:val="auto"/>
                <w:sz w:val="21"/>
                <w:szCs w:val="21"/>
                <w:lang w:eastAsia="zh-CN"/>
              </w:rPr>
              <w:t>园区内在建项目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63" w:hRule="atLeast"/>
        </w:trPr>
        <w:tc>
          <w:tcPr>
            <w:tcW w:w="561" w:type="dxa"/>
            <w:vMerge w:val="continue"/>
            <w:vAlign w:val="center"/>
          </w:tcPr>
          <w:p>
            <w:pPr>
              <w:jc w:val="center"/>
              <w:rPr>
                <w:color w:val="auto"/>
                <w:sz w:val="21"/>
                <w:szCs w:val="21"/>
              </w:rPr>
            </w:pPr>
          </w:p>
        </w:tc>
        <w:tc>
          <w:tcPr>
            <w:tcW w:w="1815" w:type="dxa"/>
            <w:vAlign w:val="center"/>
          </w:tcPr>
          <w:p>
            <w:pPr>
              <w:jc w:val="center"/>
              <w:rPr>
                <w:color w:val="auto"/>
                <w:sz w:val="21"/>
                <w:szCs w:val="21"/>
              </w:rPr>
            </w:pPr>
            <w:r>
              <w:rPr>
                <w:color w:val="auto"/>
                <w:sz w:val="21"/>
                <w:szCs w:val="21"/>
              </w:rPr>
              <w:t>供电</w:t>
            </w:r>
          </w:p>
        </w:tc>
        <w:tc>
          <w:tcPr>
            <w:tcW w:w="5245" w:type="dxa"/>
            <w:vAlign w:val="center"/>
          </w:tcPr>
          <w:p>
            <w:pPr>
              <w:adjustRightInd w:val="0"/>
              <w:snapToGrid w:val="0"/>
              <w:rPr>
                <w:color w:val="auto"/>
                <w:sz w:val="21"/>
                <w:szCs w:val="21"/>
              </w:rPr>
            </w:pPr>
            <w:r>
              <w:rPr>
                <w:rFonts w:hAnsi="宋体"/>
                <w:color w:val="auto"/>
                <w:sz w:val="21"/>
                <w:szCs w:val="21"/>
              </w:rPr>
              <w:t>由</w:t>
            </w:r>
            <w:r>
              <w:rPr>
                <w:rFonts w:hint="eastAsia" w:hAnsi="宋体"/>
                <w:color w:val="auto"/>
                <w:sz w:val="21"/>
                <w:szCs w:val="21"/>
              </w:rPr>
              <w:t>园区内在建焚烧发电厂</w:t>
            </w:r>
            <w:r>
              <w:rPr>
                <w:rFonts w:hAnsi="宋体"/>
                <w:color w:val="auto"/>
                <w:sz w:val="21"/>
                <w:szCs w:val="21"/>
              </w:rPr>
              <w:t>供电</w:t>
            </w:r>
          </w:p>
        </w:tc>
        <w:tc>
          <w:tcPr>
            <w:tcW w:w="1418" w:type="dxa"/>
            <w:vAlign w:val="center"/>
          </w:tcPr>
          <w:p>
            <w:pPr>
              <w:adjustRightInd w:val="0"/>
              <w:snapToGrid w:val="0"/>
              <w:jc w:val="center"/>
              <w:rPr>
                <w:color w:val="auto"/>
                <w:sz w:val="21"/>
                <w:szCs w:val="21"/>
              </w:rPr>
            </w:pPr>
            <w:r>
              <w:rPr>
                <w:rFonts w:hint="eastAsia"/>
                <w:color w:val="auto"/>
                <w:sz w:val="21"/>
                <w:szCs w:val="21"/>
              </w:rPr>
              <w:t>依托</w:t>
            </w:r>
            <w:r>
              <w:rPr>
                <w:rFonts w:hint="eastAsia"/>
                <w:color w:val="auto"/>
                <w:sz w:val="21"/>
                <w:szCs w:val="21"/>
                <w:lang w:eastAsia="zh-CN"/>
              </w:rPr>
              <w:t>园区内在建项目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63" w:hRule="atLeast"/>
        </w:trPr>
        <w:tc>
          <w:tcPr>
            <w:tcW w:w="561" w:type="dxa"/>
            <w:vMerge w:val="continue"/>
            <w:vAlign w:val="center"/>
          </w:tcPr>
          <w:p>
            <w:pPr>
              <w:jc w:val="center"/>
              <w:rPr>
                <w:color w:val="auto"/>
                <w:sz w:val="21"/>
                <w:szCs w:val="21"/>
              </w:rPr>
            </w:pPr>
          </w:p>
        </w:tc>
        <w:tc>
          <w:tcPr>
            <w:tcW w:w="1815" w:type="dxa"/>
            <w:vAlign w:val="center"/>
          </w:tcPr>
          <w:p>
            <w:pPr>
              <w:jc w:val="center"/>
              <w:rPr>
                <w:color w:val="auto"/>
                <w:sz w:val="21"/>
                <w:szCs w:val="21"/>
              </w:rPr>
            </w:pPr>
            <w:r>
              <w:rPr>
                <w:bCs/>
                <w:color w:val="auto"/>
                <w:kern w:val="0"/>
                <w:sz w:val="21"/>
                <w:szCs w:val="21"/>
              </w:rPr>
              <w:t>供热</w:t>
            </w:r>
          </w:p>
        </w:tc>
        <w:tc>
          <w:tcPr>
            <w:tcW w:w="5245" w:type="dxa"/>
            <w:vAlign w:val="center"/>
          </w:tcPr>
          <w:p>
            <w:pPr>
              <w:adjustRightInd w:val="0"/>
              <w:snapToGrid w:val="0"/>
              <w:rPr>
                <w:color w:val="auto"/>
                <w:sz w:val="21"/>
                <w:szCs w:val="21"/>
              </w:rPr>
            </w:pPr>
            <w:r>
              <w:rPr>
                <w:rFonts w:hint="eastAsia" w:hAnsi="宋体"/>
                <w:color w:val="auto"/>
                <w:sz w:val="21"/>
                <w:szCs w:val="21"/>
              </w:rPr>
              <w:t>使用园区内在建焚烧发电厂的饱和蒸汽对脱水滤液进行</w:t>
            </w:r>
            <w:r>
              <w:rPr>
                <w:rFonts w:hint="eastAsia" w:hAnsi="宋体"/>
                <w:color w:val="auto"/>
                <w:sz w:val="21"/>
                <w:szCs w:val="21"/>
                <w:lang w:eastAsia="zh-CN"/>
              </w:rPr>
              <w:t>加热</w:t>
            </w:r>
            <w:r>
              <w:rPr>
                <w:rFonts w:hint="eastAsia" w:hAnsi="宋体"/>
                <w:color w:val="auto"/>
                <w:sz w:val="21"/>
                <w:szCs w:val="21"/>
              </w:rPr>
              <w:t>预处理</w:t>
            </w:r>
          </w:p>
        </w:tc>
        <w:tc>
          <w:tcPr>
            <w:tcW w:w="1418" w:type="dxa"/>
            <w:vAlign w:val="center"/>
          </w:tcPr>
          <w:p>
            <w:pPr>
              <w:adjustRightInd w:val="0"/>
              <w:snapToGrid w:val="0"/>
              <w:jc w:val="center"/>
              <w:rPr>
                <w:color w:val="auto"/>
                <w:sz w:val="21"/>
                <w:szCs w:val="21"/>
              </w:rPr>
            </w:pPr>
            <w:r>
              <w:rPr>
                <w:rFonts w:hint="eastAsia"/>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63" w:hRule="atLeast"/>
        </w:trPr>
        <w:tc>
          <w:tcPr>
            <w:tcW w:w="561" w:type="dxa"/>
            <w:vMerge w:val="restart"/>
            <w:vAlign w:val="center"/>
          </w:tcPr>
          <w:p>
            <w:pPr>
              <w:jc w:val="center"/>
              <w:rPr>
                <w:color w:val="auto"/>
                <w:sz w:val="21"/>
                <w:szCs w:val="21"/>
              </w:rPr>
            </w:pPr>
            <w:r>
              <w:rPr>
                <w:color w:val="auto"/>
                <w:sz w:val="21"/>
                <w:szCs w:val="21"/>
              </w:rPr>
              <w:t>环保工程</w:t>
            </w:r>
          </w:p>
        </w:tc>
        <w:tc>
          <w:tcPr>
            <w:tcW w:w="1815" w:type="dxa"/>
            <w:vAlign w:val="center"/>
          </w:tcPr>
          <w:p>
            <w:pPr>
              <w:pStyle w:val="352"/>
              <w:rPr>
                <w:color w:val="auto"/>
                <w:sz w:val="21"/>
              </w:rPr>
            </w:pPr>
            <w:r>
              <w:rPr>
                <w:color w:val="auto"/>
                <w:sz w:val="21"/>
              </w:rPr>
              <w:t>废水治理</w:t>
            </w:r>
          </w:p>
        </w:tc>
        <w:tc>
          <w:tcPr>
            <w:tcW w:w="5245" w:type="dxa"/>
            <w:vAlign w:val="center"/>
          </w:tcPr>
          <w:p>
            <w:pPr>
              <w:pStyle w:val="352"/>
              <w:jc w:val="left"/>
              <w:rPr>
                <w:color w:val="auto"/>
                <w:sz w:val="21"/>
              </w:rPr>
            </w:pPr>
            <w:r>
              <w:rPr>
                <w:rFonts w:hint="eastAsia"/>
                <w:color w:val="auto"/>
                <w:sz w:val="21"/>
              </w:rPr>
              <w:t>餐厨垃圾产生的生产废水依托厂内在建的渗漏液处理系统，处理规模600t/d（二期完成后），采用</w:t>
            </w:r>
            <w:r>
              <w:rPr>
                <w:rFonts w:asciiTheme="minorEastAsia" w:hAnsiTheme="minorEastAsia" w:eastAsiaTheme="minorEastAsia"/>
                <w:color w:val="auto"/>
                <w:sz w:val="21"/>
              </w:rPr>
              <w:t>“</w:t>
            </w:r>
            <w:r>
              <w:rPr>
                <w:rFonts w:asciiTheme="minorEastAsia" w:hAnsiTheme="minorEastAsia" w:eastAsiaTheme="minorEastAsia"/>
                <w:b/>
                <w:color w:val="auto"/>
                <w:spacing w:val="-13"/>
                <w:sz w:val="21"/>
              </w:rPr>
              <w:t>预处</w:t>
            </w:r>
            <w:r>
              <w:rPr>
                <w:b/>
                <w:color w:val="auto"/>
                <w:spacing w:val="-13"/>
                <w:sz w:val="21"/>
              </w:rPr>
              <w:t>理+UASB厌氧反应器+MBR生化处理系统+NF纳滤膜系统+RO反渗透系统+DTRO</w:t>
            </w:r>
            <w:r>
              <w:rPr>
                <w:rFonts w:asciiTheme="minorEastAsia" w:hAnsiTheme="minorEastAsia" w:eastAsiaTheme="minorEastAsia"/>
                <w:color w:val="auto"/>
                <w:sz w:val="21"/>
              </w:rPr>
              <w:t>”处理</w:t>
            </w:r>
            <w:r>
              <w:rPr>
                <w:color w:val="auto"/>
                <w:sz w:val="21"/>
              </w:rPr>
              <w:t>工艺</w:t>
            </w:r>
            <w:r>
              <w:rPr>
                <w:rFonts w:hint="eastAsia"/>
                <w:color w:val="auto"/>
                <w:sz w:val="21"/>
              </w:rPr>
              <w:t>后回用于园区内在建焚烧发电厂的循环冷却塔使用</w:t>
            </w:r>
            <w:r>
              <w:rPr>
                <w:color w:val="auto"/>
                <w:sz w:val="21"/>
              </w:rPr>
              <w:t xml:space="preserve"> </w:t>
            </w:r>
          </w:p>
        </w:tc>
        <w:tc>
          <w:tcPr>
            <w:tcW w:w="1418" w:type="dxa"/>
            <w:vAlign w:val="center"/>
          </w:tcPr>
          <w:p>
            <w:pPr>
              <w:pStyle w:val="352"/>
              <w:rPr>
                <w:color w:val="auto"/>
                <w:sz w:val="21"/>
              </w:rPr>
            </w:pPr>
            <w:r>
              <w:rPr>
                <w:rFonts w:hint="eastAsia"/>
                <w:color w:val="auto"/>
                <w:sz w:val="21"/>
                <w:szCs w:val="21"/>
              </w:rPr>
              <w:t>依托</w:t>
            </w:r>
            <w:r>
              <w:rPr>
                <w:rFonts w:hint="eastAsia"/>
                <w:color w:val="auto"/>
                <w:sz w:val="21"/>
                <w:szCs w:val="21"/>
                <w:lang w:eastAsia="zh-CN"/>
              </w:rPr>
              <w:t>园区内在建项目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63" w:hRule="atLeast"/>
        </w:trPr>
        <w:tc>
          <w:tcPr>
            <w:tcW w:w="561" w:type="dxa"/>
            <w:vMerge w:val="continue"/>
            <w:vAlign w:val="center"/>
          </w:tcPr>
          <w:p>
            <w:pPr>
              <w:jc w:val="center"/>
              <w:rPr>
                <w:color w:val="auto"/>
                <w:sz w:val="21"/>
                <w:szCs w:val="21"/>
              </w:rPr>
            </w:pPr>
          </w:p>
        </w:tc>
        <w:tc>
          <w:tcPr>
            <w:tcW w:w="1815" w:type="dxa"/>
            <w:vAlign w:val="center"/>
          </w:tcPr>
          <w:p>
            <w:pPr>
              <w:adjustRightInd w:val="0"/>
              <w:snapToGrid w:val="0"/>
              <w:jc w:val="center"/>
              <w:rPr>
                <w:color w:val="auto"/>
                <w:sz w:val="21"/>
                <w:szCs w:val="21"/>
              </w:rPr>
            </w:pPr>
            <w:r>
              <w:rPr>
                <w:color w:val="auto"/>
                <w:sz w:val="21"/>
                <w:szCs w:val="21"/>
              </w:rPr>
              <w:t>废气治理</w:t>
            </w:r>
          </w:p>
        </w:tc>
        <w:tc>
          <w:tcPr>
            <w:tcW w:w="5245" w:type="dxa"/>
            <w:vAlign w:val="center"/>
          </w:tcPr>
          <w:p>
            <w:pPr>
              <w:adjustRightInd w:val="0"/>
              <w:snapToGrid w:val="0"/>
              <w:rPr>
                <w:color w:val="auto"/>
                <w:sz w:val="21"/>
                <w:szCs w:val="21"/>
              </w:rPr>
            </w:pPr>
            <w:r>
              <w:rPr>
                <w:rFonts w:hint="eastAsia"/>
                <w:bCs/>
                <w:color w:val="auto"/>
                <w:sz w:val="21"/>
                <w:szCs w:val="21"/>
              </w:rPr>
              <w:t>对卸料斗、破碎机、脱水机、三相分离机等设备局部抽吸，同时对整体车间进行抽气，保持负压</w:t>
            </w:r>
            <w:r>
              <w:rPr>
                <w:color w:val="auto"/>
                <w:sz w:val="21"/>
                <w:szCs w:val="21"/>
              </w:rPr>
              <w:t>，采用“</w:t>
            </w:r>
            <w:r>
              <w:rPr>
                <w:rFonts w:hint="eastAsia"/>
                <w:b/>
                <w:color w:val="auto"/>
                <w:sz w:val="21"/>
                <w:szCs w:val="21"/>
              </w:rPr>
              <w:t>化学洗涤塔+光催化氧化+植物液喷淋</w:t>
            </w:r>
            <w:r>
              <w:rPr>
                <w:color w:val="auto"/>
                <w:sz w:val="21"/>
                <w:szCs w:val="21"/>
              </w:rPr>
              <w:t>”除臭技术处理达标后由一根15m高排气筒外排</w:t>
            </w:r>
          </w:p>
        </w:tc>
        <w:tc>
          <w:tcPr>
            <w:tcW w:w="1418" w:type="dxa"/>
            <w:vAlign w:val="center"/>
          </w:tcPr>
          <w:p>
            <w:pPr>
              <w:adjustRightInd w:val="0"/>
              <w:snapToGrid w:val="0"/>
              <w:jc w:val="center"/>
              <w:rPr>
                <w:color w:val="auto"/>
                <w:sz w:val="21"/>
                <w:szCs w:val="21"/>
              </w:rPr>
            </w:pPr>
            <w:r>
              <w:rPr>
                <w:rFonts w:hint="eastAsia"/>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63" w:hRule="atLeast"/>
        </w:trPr>
        <w:tc>
          <w:tcPr>
            <w:tcW w:w="561" w:type="dxa"/>
            <w:vMerge w:val="continue"/>
            <w:vAlign w:val="center"/>
          </w:tcPr>
          <w:p>
            <w:pPr>
              <w:jc w:val="center"/>
              <w:rPr>
                <w:color w:val="auto"/>
                <w:sz w:val="21"/>
                <w:szCs w:val="21"/>
              </w:rPr>
            </w:pPr>
          </w:p>
        </w:tc>
        <w:tc>
          <w:tcPr>
            <w:tcW w:w="1815" w:type="dxa"/>
            <w:vAlign w:val="center"/>
          </w:tcPr>
          <w:p>
            <w:pPr>
              <w:adjustRightInd w:val="0"/>
              <w:snapToGrid w:val="0"/>
              <w:jc w:val="center"/>
              <w:rPr>
                <w:color w:val="auto"/>
                <w:sz w:val="21"/>
                <w:szCs w:val="21"/>
              </w:rPr>
            </w:pPr>
            <w:r>
              <w:rPr>
                <w:color w:val="auto"/>
                <w:sz w:val="21"/>
                <w:szCs w:val="21"/>
              </w:rPr>
              <w:t>噪声污染防治</w:t>
            </w:r>
          </w:p>
        </w:tc>
        <w:tc>
          <w:tcPr>
            <w:tcW w:w="5245" w:type="dxa"/>
            <w:vAlign w:val="center"/>
          </w:tcPr>
          <w:p>
            <w:pPr>
              <w:adjustRightInd w:val="0"/>
              <w:snapToGrid w:val="0"/>
              <w:rPr>
                <w:color w:val="auto"/>
                <w:sz w:val="21"/>
                <w:szCs w:val="21"/>
              </w:rPr>
            </w:pPr>
            <w:r>
              <w:rPr>
                <w:color w:val="auto"/>
                <w:sz w:val="21"/>
                <w:szCs w:val="21"/>
              </w:rPr>
              <w:t>加强隔声、消声、减振等噪声污染防治，减少噪声对环境影响</w:t>
            </w:r>
          </w:p>
        </w:tc>
        <w:tc>
          <w:tcPr>
            <w:tcW w:w="1418" w:type="dxa"/>
            <w:vAlign w:val="center"/>
          </w:tcPr>
          <w:p>
            <w:pPr>
              <w:adjustRightInd w:val="0"/>
              <w:snapToGrid w:val="0"/>
              <w:jc w:val="center"/>
              <w:rPr>
                <w:color w:val="auto"/>
                <w:sz w:val="21"/>
                <w:szCs w:val="21"/>
              </w:rPr>
            </w:pPr>
            <w:r>
              <w:rPr>
                <w:rFonts w:hint="eastAsia"/>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63" w:hRule="atLeast"/>
        </w:trPr>
        <w:tc>
          <w:tcPr>
            <w:tcW w:w="561" w:type="dxa"/>
            <w:vMerge w:val="continue"/>
            <w:vAlign w:val="center"/>
          </w:tcPr>
          <w:p>
            <w:pPr>
              <w:jc w:val="center"/>
              <w:rPr>
                <w:color w:val="auto"/>
                <w:sz w:val="21"/>
                <w:szCs w:val="21"/>
              </w:rPr>
            </w:pPr>
          </w:p>
        </w:tc>
        <w:tc>
          <w:tcPr>
            <w:tcW w:w="1815" w:type="dxa"/>
            <w:vAlign w:val="center"/>
          </w:tcPr>
          <w:p>
            <w:pPr>
              <w:adjustRightInd w:val="0"/>
              <w:snapToGrid w:val="0"/>
              <w:jc w:val="center"/>
              <w:rPr>
                <w:color w:val="auto"/>
                <w:sz w:val="21"/>
                <w:szCs w:val="21"/>
              </w:rPr>
            </w:pPr>
            <w:r>
              <w:rPr>
                <w:color w:val="auto"/>
                <w:sz w:val="21"/>
                <w:szCs w:val="21"/>
              </w:rPr>
              <w:t>固废处理</w:t>
            </w:r>
          </w:p>
        </w:tc>
        <w:tc>
          <w:tcPr>
            <w:tcW w:w="5245" w:type="dxa"/>
            <w:vAlign w:val="center"/>
          </w:tcPr>
          <w:p>
            <w:pPr>
              <w:adjustRightInd w:val="0"/>
              <w:snapToGrid w:val="0"/>
              <w:rPr>
                <w:color w:val="auto"/>
                <w:sz w:val="21"/>
                <w:szCs w:val="21"/>
              </w:rPr>
            </w:pPr>
            <w:r>
              <w:rPr>
                <w:rFonts w:hint="eastAsia"/>
                <w:color w:val="auto"/>
                <w:sz w:val="21"/>
                <w:szCs w:val="21"/>
              </w:rPr>
              <w:t>固渣运至厂内在建的</w:t>
            </w:r>
            <w:r>
              <w:rPr>
                <w:color w:val="auto"/>
                <w:sz w:val="21"/>
                <w:szCs w:val="21"/>
              </w:rPr>
              <w:t>垃圾发电厂焚烧处理</w:t>
            </w:r>
            <w:r>
              <w:rPr>
                <w:rFonts w:hint="eastAsia"/>
                <w:color w:val="auto"/>
                <w:sz w:val="21"/>
                <w:szCs w:val="21"/>
              </w:rPr>
              <w:t>，粗油脂由有资质的单位回收综合利用，废UV灯管、废机油交由有资质的单位回收</w:t>
            </w:r>
            <w:r>
              <w:rPr>
                <w:color w:val="auto"/>
                <w:sz w:val="21"/>
                <w:szCs w:val="21"/>
              </w:rPr>
              <w:t xml:space="preserve"> </w:t>
            </w:r>
          </w:p>
        </w:tc>
        <w:tc>
          <w:tcPr>
            <w:tcW w:w="1418" w:type="dxa"/>
            <w:vAlign w:val="center"/>
          </w:tcPr>
          <w:p>
            <w:pPr>
              <w:adjustRightInd w:val="0"/>
              <w:snapToGrid w:val="0"/>
              <w:jc w:val="center"/>
              <w:rPr>
                <w:color w:val="auto"/>
                <w:sz w:val="21"/>
                <w:szCs w:val="21"/>
              </w:rPr>
            </w:pPr>
            <w:r>
              <w:rPr>
                <w:rFonts w:hint="eastAsia"/>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63" w:hRule="atLeast"/>
        </w:trPr>
        <w:tc>
          <w:tcPr>
            <w:tcW w:w="561" w:type="dxa"/>
            <w:vMerge w:val="continue"/>
            <w:vAlign w:val="center"/>
          </w:tcPr>
          <w:p>
            <w:pPr>
              <w:jc w:val="center"/>
              <w:rPr>
                <w:color w:val="auto"/>
                <w:sz w:val="21"/>
                <w:szCs w:val="21"/>
              </w:rPr>
            </w:pPr>
          </w:p>
        </w:tc>
        <w:tc>
          <w:tcPr>
            <w:tcW w:w="1815" w:type="dxa"/>
            <w:vAlign w:val="center"/>
          </w:tcPr>
          <w:p>
            <w:pPr>
              <w:adjustRightInd w:val="0"/>
              <w:snapToGrid w:val="0"/>
              <w:jc w:val="center"/>
              <w:rPr>
                <w:color w:val="auto"/>
                <w:sz w:val="21"/>
                <w:szCs w:val="21"/>
              </w:rPr>
            </w:pPr>
            <w:r>
              <w:rPr>
                <w:rFonts w:hint="eastAsia"/>
                <w:color w:val="auto"/>
                <w:sz w:val="21"/>
                <w:szCs w:val="21"/>
              </w:rPr>
              <w:t>地下水防治</w:t>
            </w:r>
          </w:p>
        </w:tc>
        <w:tc>
          <w:tcPr>
            <w:tcW w:w="5245" w:type="dxa"/>
            <w:vAlign w:val="center"/>
          </w:tcPr>
          <w:p>
            <w:pPr>
              <w:adjustRightInd w:val="0"/>
              <w:snapToGrid w:val="0"/>
              <w:rPr>
                <w:color w:val="auto"/>
                <w:sz w:val="21"/>
                <w:szCs w:val="21"/>
              </w:rPr>
            </w:pPr>
            <w:r>
              <w:rPr>
                <w:rFonts w:hint="eastAsia"/>
                <w:color w:val="auto"/>
                <w:sz w:val="21"/>
                <w:szCs w:val="21"/>
              </w:rPr>
              <w:t>餐厨项目主要包括厂内污染区地面的防渗措施和泄漏、渗漏污染物收集措施，即在污染区地面进行防渗处理，防止洒落地面的污染物渗入地下，并把滞留在地面的污染物收集起来，集中送至污水处理设施处理；末端控制采取分区防渗原则；</w:t>
            </w:r>
          </w:p>
        </w:tc>
        <w:tc>
          <w:tcPr>
            <w:tcW w:w="1418" w:type="dxa"/>
            <w:vAlign w:val="center"/>
          </w:tcPr>
          <w:p>
            <w:pPr>
              <w:adjustRightInd w:val="0"/>
              <w:snapToGrid w:val="0"/>
              <w:jc w:val="center"/>
              <w:rPr>
                <w:color w:val="auto"/>
                <w:sz w:val="21"/>
                <w:szCs w:val="21"/>
              </w:rPr>
            </w:pPr>
            <w:r>
              <w:rPr>
                <w:rFonts w:hint="eastAsia"/>
                <w:color w:val="auto"/>
                <w:sz w:val="21"/>
                <w:szCs w:val="21"/>
              </w:rPr>
              <w:t>新建</w:t>
            </w:r>
          </w:p>
        </w:tc>
      </w:tr>
    </w:tbl>
    <w:p>
      <w:pPr>
        <w:spacing w:line="360" w:lineRule="auto"/>
        <w:ind w:firstLine="488" w:firstLineChars="200"/>
        <w:jc w:val="both"/>
        <w:rPr>
          <w:color w:val="auto"/>
          <w:spacing w:val="2"/>
        </w:rPr>
      </w:pPr>
    </w:p>
    <w:p>
      <w:pPr>
        <w:spacing w:line="360" w:lineRule="auto"/>
        <w:rPr>
          <w:b/>
          <w:bCs/>
          <w:color w:val="auto"/>
        </w:rPr>
      </w:pPr>
      <w:r>
        <w:rPr>
          <w:b/>
          <w:bCs/>
          <w:color w:val="auto"/>
        </w:rPr>
        <w:t>3.2.2.</w:t>
      </w:r>
      <w:r>
        <w:rPr>
          <w:rFonts w:hint="eastAsia"/>
          <w:b/>
          <w:bCs/>
          <w:color w:val="auto"/>
        </w:rPr>
        <w:t>2建筑垃圾消纳场工程组成</w:t>
      </w:r>
    </w:p>
    <w:p>
      <w:pPr>
        <w:spacing w:line="360" w:lineRule="auto"/>
        <w:ind w:firstLine="480" w:firstLineChars="200"/>
        <w:rPr>
          <w:color w:val="auto"/>
        </w:rPr>
      </w:pPr>
      <w:r>
        <w:rPr>
          <w:rFonts w:hint="eastAsia"/>
          <w:color w:val="auto"/>
        </w:rPr>
        <w:t>建筑垃圾消纳场</w:t>
      </w:r>
      <w:r>
        <w:rPr>
          <w:color w:val="auto"/>
        </w:rPr>
        <w:t>工程组成表见表</w:t>
      </w:r>
      <w:r>
        <w:rPr>
          <w:rFonts w:hint="eastAsia"/>
          <w:color w:val="auto"/>
        </w:rPr>
        <w:t>3.2-</w:t>
      </w:r>
      <w:r>
        <w:rPr>
          <w:color w:val="auto"/>
        </w:rPr>
        <w:t>2。</w:t>
      </w:r>
    </w:p>
    <w:p>
      <w:pPr>
        <w:pStyle w:val="357"/>
        <w:rPr>
          <w:rFonts w:ascii="Times New Roman" w:hAnsi="Times New Roman" w:eastAsiaTheme="minorEastAsia"/>
          <w:b/>
          <w:color w:val="auto"/>
        </w:rPr>
      </w:pPr>
      <w:r>
        <w:rPr>
          <w:rFonts w:ascii="Times New Roman" w:hAnsi="Times New Roman" w:eastAsiaTheme="minorEastAsia"/>
          <w:b/>
          <w:color w:val="auto"/>
        </w:rPr>
        <w:t xml:space="preserve">表3.2-2  </w:t>
      </w:r>
      <w:r>
        <w:rPr>
          <w:rFonts w:hint="eastAsia" w:ascii="Times New Roman" w:hAnsi="Times New Roman" w:eastAsiaTheme="minorEastAsia"/>
          <w:b/>
          <w:color w:val="auto"/>
        </w:rPr>
        <w:t>建筑垃圾消纳场</w:t>
      </w:r>
      <w:r>
        <w:rPr>
          <w:rFonts w:ascii="Times New Roman" w:hAnsi="Times New Roman" w:eastAsiaTheme="minorEastAsia"/>
          <w:b/>
          <w:color w:val="auto"/>
        </w:rPr>
        <w:t>工程内容一览表</w:t>
      </w:r>
    </w:p>
    <w:tbl>
      <w:tblPr>
        <w:tblStyle w:val="53"/>
        <w:tblW w:w="8946"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817"/>
        <w:gridCol w:w="1559"/>
        <w:gridCol w:w="4962"/>
        <w:gridCol w:w="160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2376" w:type="dxa"/>
            <w:gridSpan w:val="2"/>
            <w:vAlign w:val="center"/>
          </w:tcPr>
          <w:p>
            <w:pPr>
              <w:jc w:val="center"/>
              <w:rPr>
                <w:b/>
                <w:color w:val="auto"/>
                <w:sz w:val="21"/>
                <w:szCs w:val="21"/>
              </w:rPr>
            </w:pPr>
            <w:r>
              <w:rPr>
                <w:rFonts w:hAnsi="宋体"/>
                <w:b/>
                <w:color w:val="auto"/>
                <w:sz w:val="21"/>
                <w:szCs w:val="21"/>
              </w:rPr>
              <w:t>项目</w:t>
            </w:r>
          </w:p>
        </w:tc>
        <w:tc>
          <w:tcPr>
            <w:tcW w:w="4962" w:type="dxa"/>
            <w:vAlign w:val="center"/>
          </w:tcPr>
          <w:p>
            <w:pPr>
              <w:jc w:val="center"/>
              <w:rPr>
                <w:b/>
                <w:color w:val="auto"/>
                <w:sz w:val="21"/>
                <w:szCs w:val="21"/>
              </w:rPr>
            </w:pPr>
            <w:r>
              <w:rPr>
                <w:rFonts w:hAnsi="宋体"/>
                <w:b/>
                <w:color w:val="auto"/>
                <w:sz w:val="21"/>
                <w:szCs w:val="21"/>
              </w:rPr>
              <w:t>建设内容和作用</w:t>
            </w:r>
          </w:p>
        </w:tc>
        <w:tc>
          <w:tcPr>
            <w:tcW w:w="1608" w:type="dxa"/>
            <w:vAlign w:val="center"/>
          </w:tcPr>
          <w:p>
            <w:pPr>
              <w:jc w:val="center"/>
              <w:rPr>
                <w:b/>
                <w:color w:val="auto"/>
                <w:sz w:val="21"/>
                <w:szCs w:val="21"/>
              </w:rPr>
            </w:pPr>
            <w:r>
              <w:rPr>
                <w:rFonts w:hAnsi="宋体"/>
                <w:b/>
                <w:color w:val="auto"/>
                <w:sz w:val="21"/>
                <w:szCs w:val="21"/>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817" w:type="dxa"/>
            <w:vMerge w:val="restart"/>
            <w:vAlign w:val="center"/>
          </w:tcPr>
          <w:p>
            <w:pPr>
              <w:pStyle w:val="357"/>
              <w:spacing w:line="240" w:lineRule="auto"/>
              <w:rPr>
                <w:rFonts w:ascii="Times New Roman" w:hAnsi="Times New Roman" w:eastAsia="宋体"/>
                <w:color w:val="auto"/>
                <w:sz w:val="21"/>
                <w:szCs w:val="21"/>
              </w:rPr>
            </w:pPr>
            <w:r>
              <w:rPr>
                <w:rFonts w:ascii="Times New Roman" w:hAnsi="宋体" w:eastAsia="宋体"/>
                <w:color w:val="auto"/>
                <w:sz w:val="21"/>
                <w:szCs w:val="21"/>
              </w:rPr>
              <w:t>主体工程</w:t>
            </w:r>
          </w:p>
        </w:tc>
        <w:tc>
          <w:tcPr>
            <w:tcW w:w="1559" w:type="dxa"/>
            <w:vAlign w:val="center"/>
          </w:tcPr>
          <w:p>
            <w:pPr>
              <w:jc w:val="center"/>
              <w:rPr>
                <w:rFonts w:hAnsi="宋体"/>
                <w:color w:val="auto"/>
                <w:sz w:val="21"/>
                <w:szCs w:val="21"/>
              </w:rPr>
            </w:pPr>
            <w:r>
              <w:rPr>
                <w:rFonts w:hAnsi="宋体"/>
                <w:color w:val="auto"/>
                <w:sz w:val="21"/>
                <w:szCs w:val="21"/>
              </w:rPr>
              <w:t>建筑垃圾</w:t>
            </w:r>
          </w:p>
          <w:p>
            <w:pPr>
              <w:jc w:val="center"/>
              <w:rPr>
                <w:color w:val="auto"/>
                <w:sz w:val="21"/>
                <w:szCs w:val="21"/>
              </w:rPr>
            </w:pPr>
            <w:r>
              <w:rPr>
                <w:rFonts w:hAnsi="宋体"/>
                <w:color w:val="auto"/>
                <w:sz w:val="21"/>
                <w:szCs w:val="21"/>
              </w:rPr>
              <w:t>填埋区</w:t>
            </w:r>
          </w:p>
        </w:tc>
        <w:tc>
          <w:tcPr>
            <w:tcW w:w="4962" w:type="dxa"/>
            <w:vAlign w:val="center"/>
          </w:tcPr>
          <w:p>
            <w:pPr>
              <w:jc w:val="center"/>
              <w:rPr>
                <w:color w:val="auto"/>
                <w:sz w:val="21"/>
                <w:szCs w:val="21"/>
              </w:rPr>
            </w:pPr>
            <w:r>
              <w:rPr>
                <w:rFonts w:hAnsi="宋体"/>
                <w:color w:val="auto"/>
                <w:sz w:val="21"/>
                <w:szCs w:val="21"/>
              </w:rPr>
              <w:t>占地面积</w:t>
            </w:r>
            <w:r>
              <w:rPr>
                <w:rFonts w:hint="eastAsia"/>
                <w:color w:val="auto"/>
                <w:sz w:val="21"/>
                <w:szCs w:val="21"/>
              </w:rPr>
              <w:t>122513</w:t>
            </w:r>
            <w:r>
              <w:rPr>
                <w:color w:val="auto"/>
                <w:sz w:val="21"/>
                <w:szCs w:val="21"/>
              </w:rPr>
              <w:t xml:space="preserve"> m</w:t>
            </w:r>
            <w:r>
              <w:rPr>
                <w:color w:val="auto"/>
                <w:sz w:val="21"/>
                <w:szCs w:val="21"/>
                <w:vertAlign w:val="superscript"/>
              </w:rPr>
              <w:t>2</w:t>
            </w:r>
            <w:r>
              <w:rPr>
                <w:rFonts w:hAnsi="宋体"/>
                <w:color w:val="auto"/>
                <w:sz w:val="21"/>
                <w:szCs w:val="21"/>
              </w:rPr>
              <w:t>，处理能力为</w:t>
            </w:r>
            <w:r>
              <w:rPr>
                <w:rFonts w:hint="eastAsia"/>
                <w:color w:val="auto"/>
                <w:sz w:val="21"/>
                <w:szCs w:val="21"/>
              </w:rPr>
              <w:t>2</w:t>
            </w:r>
            <w:r>
              <w:rPr>
                <w:color w:val="auto"/>
                <w:sz w:val="21"/>
                <w:szCs w:val="21"/>
              </w:rPr>
              <w:t>00</w:t>
            </w:r>
            <w:r>
              <w:rPr>
                <w:rFonts w:hint="eastAsia"/>
                <w:color w:val="auto"/>
                <w:sz w:val="21"/>
                <w:szCs w:val="21"/>
              </w:rPr>
              <w:t>m</w:t>
            </w:r>
            <w:r>
              <w:rPr>
                <w:color w:val="auto"/>
                <w:sz w:val="21"/>
                <w:szCs w:val="21"/>
                <w:vertAlign w:val="superscript"/>
              </w:rPr>
              <w:t>3</w:t>
            </w:r>
            <w:r>
              <w:rPr>
                <w:color w:val="auto"/>
                <w:sz w:val="21"/>
                <w:szCs w:val="21"/>
              </w:rPr>
              <w:t>/d</w:t>
            </w:r>
            <w:r>
              <w:rPr>
                <w:rFonts w:hAnsi="宋体"/>
                <w:color w:val="auto"/>
                <w:sz w:val="21"/>
                <w:szCs w:val="21"/>
              </w:rPr>
              <w:t>，总库存量</w:t>
            </w:r>
            <w:r>
              <w:rPr>
                <w:rFonts w:hint="eastAsia"/>
                <w:color w:val="auto"/>
                <w:sz w:val="21"/>
                <w:szCs w:val="21"/>
              </w:rPr>
              <w:t>205</w:t>
            </w:r>
            <w:r>
              <w:rPr>
                <w:rFonts w:hint="eastAsia"/>
                <w:color w:val="auto"/>
                <w:sz w:val="21"/>
                <w:szCs w:val="21"/>
                <w:lang w:eastAsia="zh-CN"/>
              </w:rPr>
              <w:t>万</w:t>
            </w:r>
            <w:r>
              <w:rPr>
                <w:rFonts w:hint="eastAsia"/>
                <w:color w:val="auto"/>
                <w:sz w:val="21"/>
                <w:szCs w:val="21"/>
              </w:rPr>
              <w:t>m</w:t>
            </w:r>
            <w:r>
              <w:rPr>
                <w:rFonts w:hint="eastAsia"/>
                <w:color w:val="auto"/>
                <w:sz w:val="21"/>
                <w:szCs w:val="21"/>
                <w:vertAlign w:val="superscript"/>
              </w:rPr>
              <w:t>3</w:t>
            </w:r>
            <w:r>
              <w:rPr>
                <w:rFonts w:hAnsi="宋体"/>
                <w:color w:val="auto"/>
                <w:sz w:val="21"/>
                <w:szCs w:val="21"/>
              </w:rPr>
              <w:t>，使用年限</w:t>
            </w:r>
            <w:r>
              <w:rPr>
                <w:rFonts w:hint="eastAsia"/>
                <w:color w:val="auto"/>
                <w:sz w:val="21"/>
                <w:szCs w:val="21"/>
              </w:rPr>
              <w:t>2</w:t>
            </w:r>
            <w:r>
              <w:rPr>
                <w:rFonts w:hAnsi="宋体"/>
                <w:color w:val="auto"/>
                <w:sz w:val="21"/>
                <w:szCs w:val="21"/>
              </w:rPr>
              <w:t>8</w:t>
            </w:r>
            <w:r>
              <w:rPr>
                <w:rFonts w:hint="eastAsia" w:hAnsi="宋体"/>
                <w:color w:val="auto"/>
                <w:sz w:val="21"/>
                <w:szCs w:val="21"/>
              </w:rPr>
              <w:t>年</w:t>
            </w:r>
          </w:p>
        </w:tc>
        <w:tc>
          <w:tcPr>
            <w:tcW w:w="1608" w:type="dxa"/>
            <w:vAlign w:val="center"/>
          </w:tcPr>
          <w:p>
            <w:pPr>
              <w:jc w:val="center"/>
              <w:rPr>
                <w:color w:val="auto"/>
                <w:sz w:val="21"/>
                <w:szCs w:val="21"/>
              </w:rPr>
            </w:pPr>
            <w:r>
              <w:rPr>
                <w:rFonts w:hAnsi="宋体"/>
                <w:color w:val="auto"/>
                <w:sz w:val="21"/>
                <w:szCs w:val="21"/>
              </w:rPr>
              <w:t>利用天然沟壑</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817" w:type="dxa"/>
            <w:vMerge w:val="continue"/>
            <w:vAlign w:val="center"/>
          </w:tcPr>
          <w:p>
            <w:pPr>
              <w:pStyle w:val="357"/>
              <w:spacing w:line="240" w:lineRule="auto"/>
              <w:rPr>
                <w:rFonts w:ascii="Times New Roman" w:hAnsi="宋体" w:eastAsia="宋体"/>
                <w:color w:val="auto"/>
                <w:sz w:val="21"/>
                <w:szCs w:val="21"/>
              </w:rPr>
            </w:pPr>
          </w:p>
        </w:tc>
        <w:tc>
          <w:tcPr>
            <w:tcW w:w="1559" w:type="dxa"/>
            <w:vAlign w:val="center"/>
          </w:tcPr>
          <w:p>
            <w:pPr>
              <w:jc w:val="center"/>
              <w:rPr>
                <w:rFonts w:hAnsi="宋体"/>
                <w:color w:val="auto"/>
                <w:sz w:val="21"/>
                <w:szCs w:val="21"/>
              </w:rPr>
            </w:pPr>
            <w:r>
              <w:rPr>
                <w:rFonts w:hint="eastAsia" w:hAnsi="宋体"/>
                <w:color w:val="auto"/>
                <w:sz w:val="21"/>
                <w:szCs w:val="21"/>
              </w:rPr>
              <w:t>防渗工程</w:t>
            </w:r>
          </w:p>
        </w:tc>
        <w:tc>
          <w:tcPr>
            <w:tcW w:w="4962" w:type="dxa"/>
            <w:vAlign w:val="center"/>
          </w:tcPr>
          <w:p>
            <w:pPr>
              <w:jc w:val="center"/>
              <w:rPr>
                <w:rFonts w:hAnsi="宋体"/>
                <w:color w:val="auto"/>
                <w:sz w:val="21"/>
                <w:szCs w:val="21"/>
              </w:rPr>
            </w:pPr>
            <w:r>
              <w:rPr>
                <w:rFonts w:hint="eastAsia"/>
                <w:color w:val="auto"/>
                <w:sz w:val="21"/>
                <w:szCs w:val="21"/>
              </w:rPr>
              <w:t>填埋场区场地防渗结构由下至上依次为：平整、压实的场底、200g/m</w:t>
            </w:r>
            <w:r>
              <w:rPr>
                <w:rFonts w:hint="eastAsia"/>
                <w:color w:val="auto"/>
                <w:sz w:val="21"/>
                <w:szCs w:val="21"/>
                <w:vertAlign w:val="superscript"/>
              </w:rPr>
              <w:t>2</w:t>
            </w:r>
            <w:r>
              <w:rPr>
                <w:rFonts w:hint="eastAsia"/>
                <w:color w:val="auto"/>
                <w:sz w:val="21"/>
                <w:szCs w:val="21"/>
              </w:rPr>
              <w:t>有纺土工布、350mm厚碎石导流层（内设收集管）、400 g/m</w:t>
            </w:r>
            <w:r>
              <w:rPr>
                <w:rFonts w:hint="eastAsia"/>
                <w:color w:val="auto"/>
                <w:sz w:val="21"/>
                <w:szCs w:val="21"/>
                <w:vertAlign w:val="superscript"/>
              </w:rPr>
              <w:t>2</w:t>
            </w:r>
            <w:r>
              <w:rPr>
                <w:rFonts w:hint="eastAsia"/>
                <w:color w:val="auto"/>
                <w:sz w:val="21"/>
                <w:szCs w:val="21"/>
              </w:rPr>
              <w:t>长丝土工布、500mm厚压实土壤保护层、2mm厚HDPE光面膜；500mm厚袋装中土保护层。库区边坡防渗结构由下至上依次为：修正的边坡、天然钠基膨润土防水垫（GCL）、2mm厚HDPE糙面膜、500mm厚袋装中土保护层</w:t>
            </w:r>
          </w:p>
        </w:tc>
        <w:tc>
          <w:tcPr>
            <w:tcW w:w="1608" w:type="dxa"/>
            <w:vAlign w:val="center"/>
          </w:tcPr>
          <w:p>
            <w:pPr>
              <w:jc w:val="center"/>
              <w:rPr>
                <w:rFonts w:hAnsi="宋体"/>
                <w:color w:val="auto"/>
                <w:sz w:val="21"/>
                <w:szCs w:val="21"/>
              </w:rPr>
            </w:pPr>
            <w:r>
              <w:rPr>
                <w:rFonts w:hAnsi="宋体"/>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817" w:type="dxa"/>
            <w:vMerge w:val="continue"/>
            <w:vAlign w:val="center"/>
          </w:tcPr>
          <w:p>
            <w:pPr>
              <w:pStyle w:val="357"/>
              <w:spacing w:line="240" w:lineRule="auto"/>
              <w:rPr>
                <w:rFonts w:ascii="Times New Roman" w:hAnsi="宋体" w:eastAsia="宋体"/>
                <w:color w:val="auto"/>
                <w:sz w:val="21"/>
                <w:szCs w:val="21"/>
              </w:rPr>
            </w:pPr>
          </w:p>
        </w:tc>
        <w:tc>
          <w:tcPr>
            <w:tcW w:w="1559" w:type="dxa"/>
            <w:vAlign w:val="center"/>
          </w:tcPr>
          <w:p>
            <w:pPr>
              <w:jc w:val="center"/>
              <w:rPr>
                <w:rFonts w:hAnsi="宋体"/>
                <w:color w:val="auto"/>
                <w:sz w:val="21"/>
                <w:szCs w:val="21"/>
              </w:rPr>
            </w:pPr>
            <w:r>
              <w:rPr>
                <w:rFonts w:hint="eastAsia" w:hAnsi="宋体"/>
                <w:color w:val="auto"/>
                <w:sz w:val="21"/>
                <w:szCs w:val="21"/>
              </w:rPr>
              <w:t>垃圾坝</w:t>
            </w:r>
          </w:p>
        </w:tc>
        <w:tc>
          <w:tcPr>
            <w:tcW w:w="4962" w:type="dxa"/>
            <w:vAlign w:val="center"/>
          </w:tcPr>
          <w:p>
            <w:pPr>
              <w:jc w:val="center"/>
              <w:rPr>
                <w:color w:val="auto"/>
                <w:sz w:val="21"/>
                <w:szCs w:val="21"/>
              </w:rPr>
            </w:pPr>
            <w:r>
              <w:rPr>
                <w:rFonts w:hint="eastAsia"/>
                <w:color w:val="auto"/>
                <w:sz w:val="21"/>
                <w:szCs w:val="21"/>
              </w:rPr>
              <w:t>碾压式土石坝坝型</w:t>
            </w:r>
          </w:p>
        </w:tc>
        <w:tc>
          <w:tcPr>
            <w:tcW w:w="1608" w:type="dxa"/>
            <w:vAlign w:val="center"/>
          </w:tcPr>
          <w:p>
            <w:pPr>
              <w:jc w:val="center"/>
              <w:rPr>
                <w:rFonts w:hAnsi="宋体"/>
                <w:color w:val="auto"/>
                <w:sz w:val="21"/>
                <w:szCs w:val="21"/>
              </w:rPr>
            </w:pPr>
            <w:r>
              <w:rPr>
                <w:rFonts w:hAnsi="宋体"/>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817" w:type="dxa"/>
            <w:vMerge w:val="continue"/>
            <w:vAlign w:val="center"/>
          </w:tcPr>
          <w:p>
            <w:pPr>
              <w:pStyle w:val="357"/>
              <w:spacing w:line="240" w:lineRule="auto"/>
              <w:rPr>
                <w:rFonts w:ascii="Times New Roman" w:hAnsi="宋体" w:eastAsia="宋体"/>
                <w:color w:val="auto"/>
                <w:sz w:val="21"/>
                <w:szCs w:val="21"/>
              </w:rPr>
            </w:pPr>
          </w:p>
        </w:tc>
        <w:tc>
          <w:tcPr>
            <w:tcW w:w="1559" w:type="dxa"/>
            <w:vAlign w:val="center"/>
          </w:tcPr>
          <w:p>
            <w:pPr>
              <w:jc w:val="center"/>
              <w:rPr>
                <w:rFonts w:hAnsi="宋体"/>
                <w:color w:val="auto"/>
                <w:sz w:val="21"/>
                <w:szCs w:val="21"/>
              </w:rPr>
            </w:pPr>
            <w:r>
              <w:rPr>
                <w:rFonts w:hint="eastAsia" w:hAnsi="宋体"/>
                <w:color w:val="auto"/>
                <w:sz w:val="21"/>
                <w:szCs w:val="21"/>
              </w:rPr>
              <w:t>排洪系统</w:t>
            </w:r>
          </w:p>
        </w:tc>
        <w:tc>
          <w:tcPr>
            <w:tcW w:w="4962" w:type="dxa"/>
            <w:vAlign w:val="center"/>
          </w:tcPr>
          <w:p>
            <w:pPr>
              <w:jc w:val="center"/>
              <w:rPr>
                <w:color w:val="auto"/>
                <w:sz w:val="21"/>
                <w:szCs w:val="21"/>
              </w:rPr>
            </w:pPr>
            <w:r>
              <w:rPr>
                <w:rFonts w:hAnsi="宋体"/>
                <w:bCs/>
                <w:color w:val="auto"/>
                <w:sz w:val="21"/>
                <w:szCs w:val="21"/>
              </w:rPr>
              <w:t>围绕填埋库区顶部四周，截洪沟底宽</w:t>
            </w:r>
            <w:r>
              <w:rPr>
                <w:bCs/>
                <w:color w:val="auto"/>
                <w:sz w:val="21"/>
                <w:szCs w:val="21"/>
              </w:rPr>
              <w:t>0.3m</w:t>
            </w:r>
            <w:r>
              <w:rPr>
                <w:rFonts w:hAnsi="宋体"/>
                <w:bCs/>
                <w:color w:val="auto"/>
                <w:sz w:val="21"/>
                <w:szCs w:val="21"/>
              </w:rPr>
              <w:t>，顶宽</w:t>
            </w:r>
            <w:r>
              <w:rPr>
                <w:bCs/>
                <w:color w:val="auto"/>
                <w:sz w:val="21"/>
                <w:szCs w:val="21"/>
              </w:rPr>
              <w:t>0.8m</w:t>
            </w:r>
            <w:r>
              <w:rPr>
                <w:rFonts w:hAnsi="宋体"/>
                <w:bCs/>
                <w:color w:val="auto"/>
                <w:sz w:val="21"/>
                <w:szCs w:val="21"/>
              </w:rPr>
              <w:t>，高为</w:t>
            </w:r>
            <w:r>
              <w:rPr>
                <w:bCs/>
                <w:color w:val="auto"/>
                <w:sz w:val="21"/>
                <w:szCs w:val="21"/>
              </w:rPr>
              <w:t>0.4m</w:t>
            </w:r>
            <w:r>
              <w:rPr>
                <w:rFonts w:hAnsi="宋体"/>
                <w:bCs/>
                <w:color w:val="auto"/>
                <w:sz w:val="21"/>
                <w:szCs w:val="21"/>
              </w:rPr>
              <w:t>。</w:t>
            </w:r>
          </w:p>
        </w:tc>
        <w:tc>
          <w:tcPr>
            <w:tcW w:w="1608" w:type="dxa"/>
            <w:vAlign w:val="center"/>
          </w:tcPr>
          <w:p>
            <w:pPr>
              <w:jc w:val="center"/>
              <w:rPr>
                <w:rFonts w:hAnsi="宋体"/>
                <w:color w:val="auto"/>
                <w:sz w:val="21"/>
                <w:szCs w:val="21"/>
              </w:rPr>
            </w:pPr>
            <w:r>
              <w:rPr>
                <w:rFonts w:hAnsi="宋体"/>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817" w:type="dxa"/>
            <w:vMerge w:val="continue"/>
            <w:vAlign w:val="center"/>
          </w:tcPr>
          <w:p>
            <w:pPr>
              <w:pStyle w:val="357"/>
              <w:spacing w:line="240" w:lineRule="auto"/>
              <w:rPr>
                <w:rFonts w:ascii="Times New Roman" w:hAnsi="宋体" w:eastAsia="宋体"/>
                <w:color w:val="auto"/>
                <w:sz w:val="21"/>
                <w:szCs w:val="21"/>
              </w:rPr>
            </w:pPr>
          </w:p>
        </w:tc>
        <w:tc>
          <w:tcPr>
            <w:tcW w:w="1559" w:type="dxa"/>
            <w:vAlign w:val="center"/>
          </w:tcPr>
          <w:p>
            <w:pPr>
              <w:jc w:val="center"/>
              <w:rPr>
                <w:rFonts w:hAnsi="宋体"/>
                <w:color w:val="auto"/>
                <w:sz w:val="21"/>
                <w:szCs w:val="21"/>
              </w:rPr>
            </w:pPr>
            <w:r>
              <w:rPr>
                <w:rFonts w:hAnsi="宋体"/>
                <w:color w:val="auto"/>
                <w:sz w:val="21"/>
                <w:szCs w:val="21"/>
              </w:rPr>
              <w:t>排水明渠</w:t>
            </w:r>
          </w:p>
        </w:tc>
        <w:tc>
          <w:tcPr>
            <w:tcW w:w="4962" w:type="dxa"/>
            <w:vAlign w:val="center"/>
          </w:tcPr>
          <w:p>
            <w:pPr>
              <w:jc w:val="center"/>
              <w:rPr>
                <w:rFonts w:hAnsi="宋体"/>
                <w:bCs/>
                <w:color w:val="auto"/>
                <w:sz w:val="21"/>
                <w:szCs w:val="21"/>
              </w:rPr>
            </w:pPr>
            <w:r>
              <w:rPr>
                <w:rFonts w:hAnsi="宋体"/>
                <w:bCs/>
                <w:color w:val="auto"/>
                <w:sz w:val="21"/>
                <w:szCs w:val="21"/>
              </w:rPr>
              <w:t>在填埋区设置临时排水明渠，截洪沟底宽</w:t>
            </w:r>
            <w:r>
              <w:rPr>
                <w:bCs/>
                <w:color w:val="auto"/>
                <w:sz w:val="21"/>
                <w:szCs w:val="21"/>
              </w:rPr>
              <w:t>0.3m</w:t>
            </w:r>
            <w:r>
              <w:rPr>
                <w:rFonts w:hAnsi="宋体"/>
                <w:bCs/>
                <w:color w:val="auto"/>
                <w:sz w:val="21"/>
                <w:szCs w:val="21"/>
              </w:rPr>
              <w:t>，顶宽</w:t>
            </w:r>
            <w:r>
              <w:rPr>
                <w:bCs/>
                <w:color w:val="auto"/>
                <w:sz w:val="21"/>
                <w:szCs w:val="21"/>
              </w:rPr>
              <w:t>0.5m</w:t>
            </w:r>
            <w:r>
              <w:rPr>
                <w:rFonts w:hAnsi="宋体"/>
                <w:bCs/>
                <w:color w:val="auto"/>
                <w:sz w:val="21"/>
                <w:szCs w:val="21"/>
              </w:rPr>
              <w:t>，高为</w:t>
            </w:r>
            <w:r>
              <w:rPr>
                <w:bCs/>
                <w:color w:val="auto"/>
                <w:sz w:val="21"/>
                <w:szCs w:val="21"/>
              </w:rPr>
              <w:t>0.3m</w:t>
            </w:r>
          </w:p>
        </w:tc>
        <w:tc>
          <w:tcPr>
            <w:tcW w:w="1608" w:type="dxa"/>
            <w:vAlign w:val="center"/>
          </w:tcPr>
          <w:p>
            <w:pPr>
              <w:jc w:val="center"/>
              <w:rPr>
                <w:rFonts w:hAnsi="宋体"/>
                <w:color w:val="auto"/>
                <w:sz w:val="21"/>
                <w:szCs w:val="21"/>
              </w:rPr>
            </w:pPr>
            <w:r>
              <w:rPr>
                <w:rFonts w:hAnsi="宋体"/>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817" w:type="dxa"/>
            <w:vMerge w:val="continue"/>
            <w:vAlign w:val="center"/>
          </w:tcPr>
          <w:p>
            <w:pPr>
              <w:pStyle w:val="357"/>
              <w:spacing w:line="240" w:lineRule="auto"/>
              <w:rPr>
                <w:rFonts w:ascii="Times New Roman" w:hAnsi="宋体" w:eastAsia="宋体"/>
                <w:color w:val="auto"/>
                <w:sz w:val="21"/>
                <w:szCs w:val="21"/>
              </w:rPr>
            </w:pPr>
          </w:p>
        </w:tc>
        <w:tc>
          <w:tcPr>
            <w:tcW w:w="1559" w:type="dxa"/>
            <w:vAlign w:val="center"/>
          </w:tcPr>
          <w:p>
            <w:pPr>
              <w:jc w:val="center"/>
              <w:rPr>
                <w:rFonts w:hAnsi="宋体"/>
                <w:color w:val="auto"/>
                <w:sz w:val="21"/>
                <w:szCs w:val="21"/>
              </w:rPr>
            </w:pPr>
            <w:r>
              <w:rPr>
                <w:rFonts w:hint="eastAsia" w:hAnsi="宋体"/>
                <w:color w:val="auto"/>
                <w:sz w:val="21"/>
                <w:szCs w:val="21"/>
              </w:rPr>
              <w:t>淋溶液收集系统</w:t>
            </w:r>
          </w:p>
        </w:tc>
        <w:tc>
          <w:tcPr>
            <w:tcW w:w="4962" w:type="dxa"/>
            <w:vAlign w:val="center"/>
          </w:tcPr>
          <w:p>
            <w:pPr>
              <w:jc w:val="center"/>
              <w:rPr>
                <w:rFonts w:hAnsi="宋体"/>
                <w:bCs/>
                <w:color w:val="auto"/>
                <w:sz w:val="21"/>
                <w:szCs w:val="21"/>
              </w:rPr>
            </w:pPr>
            <w:r>
              <w:rPr>
                <w:rFonts w:hint="eastAsia" w:hAnsi="宋体"/>
                <w:bCs/>
                <w:color w:val="auto"/>
                <w:sz w:val="21"/>
                <w:szCs w:val="21"/>
              </w:rPr>
              <w:t>淋溶液收集导排系统由场底导排盲沟、集水坑、淋溶液抽排设施组成。为有利于淋溶液导排收集，在对场底进行平衡后构建淋溶液导排盲沟，盲沟内安装DN300 HDPE穿孔管，以2%的坡度倾向集水坑，再通过淋溶液抽排设施将淋溶液抽出</w:t>
            </w:r>
          </w:p>
        </w:tc>
        <w:tc>
          <w:tcPr>
            <w:tcW w:w="1608" w:type="dxa"/>
            <w:vAlign w:val="center"/>
          </w:tcPr>
          <w:p>
            <w:pPr>
              <w:jc w:val="center"/>
              <w:rPr>
                <w:rFonts w:hAnsi="宋体"/>
                <w:color w:val="auto"/>
                <w:sz w:val="21"/>
                <w:szCs w:val="21"/>
              </w:rPr>
            </w:pPr>
            <w:r>
              <w:rPr>
                <w:rFonts w:hAnsi="宋体"/>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817" w:type="dxa"/>
            <w:vMerge w:val="restart"/>
            <w:vAlign w:val="center"/>
          </w:tcPr>
          <w:p>
            <w:pPr>
              <w:pStyle w:val="357"/>
              <w:spacing w:line="240" w:lineRule="auto"/>
              <w:rPr>
                <w:rFonts w:ascii="Times New Roman" w:hAnsi="Times New Roman" w:eastAsia="宋体"/>
                <w:color w:val="auto"/>
                <w:sz w:val="21"/>
                <w:szCs w:val="21"/>
              </w:rPr>
            </w:pPr>
            <w:r>
              <w:rPr>
                <w:rFonts w:ascii="Times New Roman" w:hAnsi="宋体" w:eastAsia="宋体"/>
                <w:color w:val="auto"/>
                <w:sz w:val="21"/>
                <w:szCs w:val="21"/>
              </w:rPr>
              <w:t>辅助工程</w:t>
            </w:r>
          </w:p>
        </w:tc>
        <w:tc>
          <w:tcPr>
            <w:tcW w:w="1559" w:type="dxa"/>
            <w:vAlign w:val="center"/>
          </w:tcPr>
          <w:p>
            <w:pPr>
              <w:jc w:val="center"/>
              <w:rPr>
                <w:color w:val="auto"/>
                <w:sz w:val="21"/>
                <w:szCs w:val="21"/>
              </w:rPr>
            </w:pPr>
            <w:r>
              <w:rPr>
                <w:rFonts w:hAnsi="宋体"/>
                <w:color w:val="auto"/>
                <w:sz w:val="21"/>
                <w:szCs w:val="21"/>
              </w:rPr>
              <w:t>门</w:t>
            </w:r>
            <w:r>
              <w:rPr>
                <w:rFonts w:hint="eastAsia" w:hAnsi="宋体"/>
                <w:color w:val="auto"/>
                <w:sz w:val="21"/>
                <w:szCs w:val="21"/>
              </w:rPr>
              <w:t>房</w:t>
            </w:r>
            <w:r>
              <w:rPr>
                <w:rFonts w:hAnsi="宋体"/>
                <w:color w:val="auto"/>
                <w:sz w:val="21"/>
                <w:szCs w:val="21"/>
              </w:rPr>
              <w:t>及办公室</w:t>
            </w:r>
          </w:p>
        </w:tc>
        <w:tc>
          <w:tcPr>
            <w:tcW w:w="6570" w:type="dxa"/>
            <w:gridSpan w:val="2"/>
            <w:vAlign w:val="center"/>
          </w:tcPr>
          <w:p>
            <w:pPr>
              <w:jc w:val="center"/>
              <w:rPr>
                <w:color w:val="auto"/>
                <w:sz w:val="21"/>
                <w:szCs w:val="21"/>
              </w:rPr>
            </w:pPr>
            <w:r>
              <w:rPr>
                <w:rFonts w:hint="eastAsia"/>
                <w:color w:val="auto"/>
                <w:sz w:val="21"/>
                <w:szCs w:val="21"/>
              </w:rPr>
              <w:t>依托在建园区内项目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817" w:type="dxa"/>
            <w:vMerge w:val="continue"/>
            <w:vAlign w:val="center"/>
          </w:tcPr>
          <w:p>
            <w:pPr>
              <w:pStyle w:val="357"/>
              <w:rPr>
                <w:rFonts w:ascii="Times New Roman" w:hAnsi="Times New Roman" w:eastAsia="宋体"/>
                <w:color w:val="auto"/>
                <w:sz w:val="21"/>
                <w:szCs w:val="21"/>
              </w:rPr>
            </w:pPr>
          </w:p>
        </w:tc>
        <w:tc>
          <w:tcPr>
            <w:tcW w:w="1559" w:type="dxa"/>
            <w:vAlign w:val="center"/>
          </w:tcPr>
          <w:p>
            <w:pPr>
              <w:jc w:val="center"/>
              <w:rPr>
                <w:color w:val="auto"/>
                <w:sz w:val="21"/>
                <w:szCs w:val="21"/>
              </w:rPr>
            </w:pPr>
            <w:r>
              <w:rPr>
                <w:rFonts w:hAnsi="宋体"/>
                <w:color w:val="auto"/>
                <w:sz w:val="21"/>
                <w:szCs w:val="21"/>
              </w:rPr>
              <w:t>厂内道路</w:t>
            </w:r>
          </w:p>
        </w:tc>
        <w:tc>
          <w:tcPr>
            <w:tcW w:w="4962" w:type="dxa"/>
            <w:vAlign w:val="center"/>
          </w:tcPr>
          <w:p>
            <w:pPr>
              <w:jc w:val="center"/>
              <w:rPr>
                <w:bCs/>
                <w:color w:val="auto"/>
                <w:sz w:val="21"/>
                <w:szCs w:val="21"/>
              </w:rPr>
            </w:pPr>
            <w:r>
              <w:rPr>
                <w:rFonts w:hAnsi="宋体"/>
                <w:bCs/>
                <w:color w:val="auto"/>
                <w:sz w:val="21"/>
                <w:szCs w:val="21"/>
              </w:rPr>
              <w:t>泥结碎石路面，宽约</w:t>
            </w:r>
            <w:r>
              <w:rPr>
                <w:bCs/>
                <w:color w:val="auto"/>
                <w:sz w:val="21"/>
                <w:szCs w:val="21"/>
              </w:rPr>
              <w:t>7m</w:t>
            </w:r>
          </w:p>
        </w:tc>
        <w:tc>
          <w:tcPr>
            <w:tcW w:w="1608" w:type="dxa"/>
            <w:vAlign w:val="center"/>
          </w:tcPr>
          <w:p>
            <w:pPr>
              <w:jc w:val="center"/>
              <w:rPr>
                <w:color w:val="auto"/>
                <w:sz w:val="21"/>
                <w:szCs w:val="21"/>
              </w:rPr>
            </w:pPr>
            <w:r>
              <w:rPr>
                <w:rFonts w:hAnsi="宋体"/>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817" w:type="dxa"/>
            <w:vMerge w:val="continue"/>
            <w:vAlign w:val="center"/>
          </w:tcPr>
          <w:p>
            <w:pPr>
              <w:pStyle w:val="357"/>
              <w:rPr>
                <w:rFonts w:ascii="Times New Roman" w:hAnsi="Times New Roman" w:eastAsia="宋体"/>
                <w:color w:val="auto"/>
                <w:sz w:val="21"/>
                <w:szCs w:val="21"/>
              </w:rPr>
            </w:pPr>
          </w:p>
        </w:tc>
        <w:tc>
          <w:tcPr>
            <w:tcW w:w="1559" w:type="dxa"/>
            <w:vAlign w:val="center"/>
          </w:tcPr>
          <w:p>
            <w:pPr>
              <w:jc w:val="center"/>
              <w:rPr>
                <w:color w:val="auto"/>
                <w:sz w:val="21"/>
                <w:szCs w:val="21"/>
              </w:rPr>
            </w:pPr>
            <w:r>
              <w:rPr>
                <w:rFonts w:hAnsi="宋体"/>
                <w:color w:val="auto"/>
                <w:sz w:val="21"/>
                <w:szCs w:val="21"/>
              </w:rPr>
              <w:t>作业道路</w:t>
            </w:r>
          </w:p>
        </w:tc>
        <w:tc>
          <w:tcPr>
            <w:tcW w:w="4962" w:type="dxa"/>
            <w:vAlign w:val="center"/>
          </w:tcPr>
          <w:p>
            <w:pPr>
              <w:jc w:val="center"/>
              <w:rPr>
                <w:bCs/>
                <w:color w:val="auto"/>
                <w:sz w:val="21"/>
                <w:szCs w:val="21"/>
              </w:rPr>
            </w:pPr>
            <w:r>
              <w:rPr>
                <w:rFonts w:hAnsi="宋体"/>
                <w:bCs/>
                <w:color w:val="auto"/>
                <w:sz w:val="21"/>
                <w:szCs w:val="21"/>
              </w:rPr>
              <w:t>填埋区内的作业道路是车辆进入填埋区作业而设置的临时道路，采用泥结碎石路面</w:t>
            </w:r>
          </w:p>
        </w:tc>
        <w:tc>
          <w:tcPr>
            <w:tcW w:w="1608" w:type="dxa"/>
            <w:vAlign w:val="center"/>
          </w:tcPr>
          <w:p>
            <w:pPr>
              <w:jc w:val="center"/>
              <w:rPr>
                <w:color w:val="auto"/>
                <w:sz w:val="21"/>
                <w:szCs w:val="21"/>
              </w:rPr>
            </w:pPr>
            <w:r>
              <w:rPr>
                <w:rFonts w:hAnsi="宋体"/>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817" w:type="dxa"/>
            <w:vMerge w:val="restart"/>
            <w:vAlign w:val="center"/>
          </w:tcPr>
          <w:p>
            <w:pPr>
              <w:pStyle w:val="357"/>
              <w:spacing w:line="240" w:lineRule="auto"/>
              <w:rPr>
                <w:rFonts w:ascii="Times New Roman" w:hAnsi="Times New Roman" w:eastAsia="宋体"/>
                <w:color w:val="auto"/>
                <w:sz w:val="21"/>
                <w:szCs w:val="21"/>
              </w:rPr>
            </w:pPr>
            <w:r>
              <w:rPr>
                <w:rFonts w:ascii="Times New Roman" w:hAnsi="宋体" w:eastAsia="宋体"/>
                <w:color w:val="auto"/>
                <w:sz w:val="21"/>
                <w:szCs w:val="21"/>
              </w:rPr>
              <w:t>公用工程</w:t>
            </w:r>
          </w:p>
        </w:tc>
        <w:tc>
          <w:tcPr>
            <w:tcW w:w="1559" w:type="dxa"/>
            <w:vAlign w:val="center"/>
          </w:tcPr>
          <w:p>
            <w:pPr>
              <w:jc w:val="center"/>
              <w:rPr>
                <w:bCs/>
                <w:color w:val="auto"/>
                <w:sz w:val="21"/>
                <w:szCs w:val="21"/>
              </w:rPr>
            </w:pPr>
            <w:r>
              <w:rPr>
                <w:rFonts w:hAnsi="宋体"/>
                <w:color w:val="auto"/>
                <w:sz w:val="21"/>
                <w:szCs w:val="21"/>
              </w:rPr>
              <w:t>给水工程</w:t>
            </w:r>
          </w:p>
        </w:tc>
        <w:tc>
          <w:tcPr>
            <w:tcW w:w="4962" w:type="dxa"/>
            <w:vAlign w:val="center"/>
          </w:tcPr>
          <w:p>
            <w:pPr>
              <w:jc w:val="center"/>
              <w:rPr>
                <w:color w:val="auto"/>
                <w:sz w:val="21"/>
                <w:szCs w:val="21"/>
              </w:rPr>
            </w:pPr>
            <w:r>
              <w:rPr>
                <w:rFonts w:hint="eastAsia"/>
                <w:color w:val="auto"/>
                <w:sz w:val="21"/>
                <w:szCs w:val="21"/>
              </w:rPr>
              <w:t>依托在建园区内项目的取水工程</w:t>
            </w:r>
          </w:p>
        </w:tc>
        <w:tc>
          <w:tcPr>
            <w:tcW w:w="1608" w:type="dxa"/>
            <w:vAlign w:val="center"/>
          </w:tcPr>
          <w:p>
            <w:pPr>
              <w:jc w:val="center"/>
              <w:rPr>
                <w:color w:val="auto"/>
                <w:sz w:val="21"/>
                <w:szCs w:val="21"/>
              </w:rPr>
            </w:pPr>
            <w:r>
              <w:rPr>
                <w:color w:val="auto"/>
                <w:sz w:val="21"/>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817" w:type="dxa"/>
            <w:vMerge w:val="continue"/>
            <w:vAlign w:val="center"/>
          </w:tcPr>
          <w:p>
            <w:pPr>
              <w:pStyle w:val="357"/>
              <w:spacing w:line="240" w:lineRule="auto"/>
              <w:rPr>
                <w:rFonts w:ascii="Times New Roman" w:hAnsi="Times New Roman" w:eastAsia="宋体"/>
                <w:color w:val="auto"/>
                <w:sz w:val="21"/>
                <w:szCs w:val="21"/>
              </w:rPr>
            </w:pPr>
          </w:p>
        </w:tc>
        <w:tc>
          <w:tcPr>
            <w:tcW w:w="1559" w:type="dxa"/>
            <w:vAlign w:val="center"/>
          </w:tcPr>
          <w:p>
            <w:pPr>
              <w:jc w:val="center"/>
              <w:rPr>
                <w:bCs/>
                <w:color w:val="auto"/>
                <w:sz w:val="21"/>
                <w:szCs w:val="21"/>
              </w:rPr>
            </w:pPr>
            <w:r>
              <w:rPr>
                <w:rFonts w:hAnsi="宋体"/>
                <w:color w:val="auto"/>
                <w:sz w:val="21"/>
                <w:szCs w:val="21"/>
              </w:rPr>
              <w:t>排水工程</w:t>
            </w:r>
          </w:p>
        </w:tc>
        <w:tc>
          <w:tcPr>
            <w:tcW w:w="4962" w:type="dxa"/>
            <w:vAlign w:val="center"/>
          </w:tcPr>
          <w:p>
            <w:pPr>
              <w:jc w:val="center"/>
              <w:rPr>
                <w:color w:val="auto"/>
                <w:sz w:val="21"/>
                <w:szCs w:val="21"/>
              </w:rPr>
            </w:pPr>
            <w:r>
              <w:rPr>
                <w:rFonts w:hAnsi="宋体"/>
                <w:color w:val="auto"/>
                <w:sz w:val="21"/>
                <w:szCs w:val="21"/>
              </w:rPr>
              <w:t>（</w:t>
            </w:r>
            <w:r>
              <w:rPr>
                <w:color w:val="auto"/>
                <w:sz w:val="21"/>
                <w:szCs w:val="21"/>
              </w:rPr>
              <w:t>1</w:t>
            </w:r>
            <w:r>
              <w:rPr>
                <w:rFonts w:hAnsi="宋体"/>
                <w:color w:val="auto"/>
                <w:sz w:val="21"/>
                <w:szCs w:val="21"/>
              </w:rPr>
              <w:t>）厂区设置雨、污分流系统。</w:t>
            </w:r>
          </w:p>
          <w:p>
            <w:pPr>
              <w:jc w:val="center"/>
              <w:rPr>
                <w:color w:val="auto"/>
                <w:sz w:val="21"/>
                <w:szCs w:val="21"/>
              </w:rPr>
            </w:pPr>
            <w:r>
              <w:rPr>
                <w:rFonts w:hAnsi="宋体"/>
                <w:color w:val="auto"/>
                <w:sz w:val="21"/>
                <w:szCs w:val="21"/>
              </w:rPr>
              <w:t>（</w:t>
            </w:r>
            <w:r>
              <w:rPr>
                <w:color w:val="auto"/>
                <w:sz w:val="21"/>
                <w:szCs w:val="21"/>
              </w:rPr>
              <w:t>2</w:t>
            </w:r>
            <w:r>
              <w:rPr>
                <w:rFonts w:hAnsi="宋体"/>
                <w:color w:val="auto"/>
                <w:sz w:val="21"/>
                <w:szCs w:val="21"/>
              </w:rPr>
              <w:t>）</w:t>
            </w:r>
            <w:r>
              <w:rPr>
                <w:rFonts w:hint="eastAsia" w:hAnsi="宋体"/>
                <w:color w:val="auto"/>
                <w:sz w:val="21"/>
                <w:szCs w:val="21"/>
              </w:rPr>
              <w:t>车辆</w:t>
            </w:r>
            <w:r>
              <w:rPr>
                <w:rFonts w:hAnsi="宋体"/>
                <w:color w:val="auto"/>
                <w:sz w:val="21"/>
                <w:szCs w:val="21"/>
              </w:rPr>
              <w:t>清洗废水经沉淀池处理后，用于洒水抑尘，不外排。</w:t>
            </w:r>
          </w:p>
          <w:p>
            <w:pPr>
              <w:jc w:val="center"/>
              <w:rPr>
                <w:color w:val="auto"/>
                <w:sz w:val="21"/>
                <w:szCs w:val="21"/>
              </w:rPr>
            </w:pPr>
            <w:r>
              <w:rPr>
                <w:rFonts w:hAnsi="宋体"/>
                <w:color w:val="auto"/>
                <w:sz w:val="21"/>
                <w:szCs w:val="21"/>
              </w:rPr>
              <w:t>（</w:t>
            </w:r>
            <w:r>
              <w:rPr>
                <w:color w:val="auto"/>
                <w:sz w:val="21"/>
                <w:szCs w:val="21"/>
              </w:rPr>
              <w:t>3</w:t>
            </w:r>
            <w:r>
              <w:rPr>
                <w:rFonts w:hAnsi="宋体"/>
                <w:color w:val="auto"/>
                <w:sz w:val="21"/>
                <w:szCs w:val="21"/>
              </w:rPr>
              <w:t>）雨水经排水明渠和截洪沟收集后</w:t>
            </w:r>
            <w:r>
              <w:rPr>
                <w:rFonts w:hint="eastAsia" w:hAnsi="宋体"/>
                <w:color w:val="auto"/>
                <w:sz w:val="21"/>
                <w:szCs w:val="21"/>
              </w:rPr>
              <w:t>排入厂外</w:t>
            </w:r>
            <w:r>
              <w:rPr>
                <w:rFonts w:hAnsi="宋体"/>
                <w:color w:val="auto"/>
                <w:sz w:val="21"/>
                <w:szCs w:val="21"/>
              </w:rPr>
              <w:t>。</w:t>
            </w:r>
            <w:r>
              <w:rPr>
                <w:rFonts w:hint="eastAsia" w:hAnsi="宋体"/>
                <w:color w:val="auto"/>
                <w:sz w:val="21"/>
                <w:szCs w:val="21"/>
              </w:rPr>
              <w:t>淋溶液</w:t>
            </w:r>
            <w:r>
              <w:rPr>
                <w:rFonts w:hAnsi="宋体"/>
                <w:color w:val="auto"/>
                <w:sz w:val="21"/>
                <w:szCs w:val="21"/>
              </w:rPr>
              <w:t>经填埋区底部碎石沉淀后排入场内</w:t>
            </w:r>
            <w:r>
              <w:rPr>
                <w:rFonts w:hint="eastAsia" w:hAnsi="宋体"/>
                <w:color w:val="auto"/>
                <w:sz w:val="21"/>
                <w:szCs w:val="21"/>
              </w:rPr>
              <w:t>调节池</w:t>
            </w:r>
            <w:r>
              <w:rPr>
                <w:rFonts w:hAnsi="宋体"/>
                <w:color w:val="auto"/>
                <w:sz w:val="21"/>
                <w:szCs w:val="21"/>
              </w:rPr>
              <w:t>，</w:t>
            </w:r>
            <w:r>
              <w:rPr>
                <w:rFonts w:hint="eastAsia" w:hAnsi="宋体"/>
                <w:color w:val="auto"/>
                <w:sz w:val="21"/>
                <w:szCs w:val="21"/>
              </w:rPr>
              <w:t>经沉淀过滤后回用</w:t>
            </w:r>
            <w:r>
              <w:rPr>
                <w:rFonts w:hAnsi="宋体"/>
                <w:color w:val="auto"/>
                <w:sz w:val="21"/>
                <w:szCs w:val="21"/>
              </w:rPr>
              <w:t>，不外排。</w:t>
            </w:r>
          </w:p>
        </w:tc>
        <w:tc>
          <w:tcPr>
            <w:tcW w:w="1608" w:type="dxa"/>
            <w:vAlign w:val="center"/>
          </w:tcPr>
          <w:p>
            <w:pPr>
              <w:jc w:val="center"/>
              <w:rPr>
                <w:color w:val="auto"/>
                <w:sz w:val="21"/>
                <w:szCs w:val="21"/>
              </w:rPr>
            </w:pPr>
            <w:r>
              <w:rPr>
                <w:rFonts w:hAnsi="宋体"/>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817" w:type="dxa"/>
            <w:vMerge w:val="continue"/>
            <w:vAlign w:val="center"/>
          </w:tcPr>
          <w:p>
            <w:pPr>
              <w:pStyle w:val="357"/>
              <w:spacing w:line="240" w:lineRule="auto"/>
              <w:rPr>
                <w:rFonts w:ascii="Times New Roman" w:hAnsi="Times New Roman" w:eastAsia="宋体"/>
                <w:color w:val="auto"/>
                <w:sz w:val="21"/>
                <w:szCs w:val="21"/>
              </w:rPr>
            </w:pPr>
          </w:p>
        </w:tc>
        <w:tc>
          <w:tcPr>
            <w:tcW w:w="1559" w:type="dxa"/>
            <w:vAlign w:val="center"/>
          </w:tcPr>
          <w:p>
            <w:pPr>
              <w:jc w:val="center"/>
              <w:rPr>
                <w:color w:val="auto"/>
                <w:sz w:val="21"/>
                <w:szCs w:val="21"/>
              </w:rPr>
            </w:pPr>
            <w:r>
              <w:rPr>
                <w:rFonts w:hAnsi="宋体"/>
                <w:color w:val="auto"/>
                <w:sz w:val="21"/>
                <w:szCs w:val="21"/>
              </w:rPr>
              <w:t>供电系统</w:t>
            </w:r>
          </w:p>
        </w:tc>
        <w:tc>
          <w:tcPr>
            <w:tcW w:w="4962" w:type="dxa"/>
            <w:vAlign w:val="center"/>
          </w:tcPr>
          <w:p>
            <w:pPr>
              <w:jc w:val="center"/>
              <w:rPr>
                <w:color w:val="auto"/>
                <w:sz w:val="21"/>
                <w:szCs w:val="21"/>
              </w:rPr>
            </w:pPr>
            <w:r>
              <w:rPr>
                <w:rFonts w:hAnsi="宋体"/>
                <w:color w:val="auto"/>
                <w:sz w:val="21"/>
                <w:szCs w:val="21"/>
              </w:rPr>
              <w:t>由</w:t>
            </w:r>
            <w:r>
              <w:rPr>
                <w:rFonts w:hint="eastAsia" w:hAnsi="宋体"/>
                <w:color w:val="auto"/>
                <w:sz w:val="21"/>
                <w:szCs w:val="21"/>
              </w:rPr>
              <w:t>园区内在建焚烧发电厂</w:t>
            </w:r>
            <w:r>
              <w:rPr>
                <w:rFonts w:hAnsi="宋体"/>
                <w:color w:val="auto"/>
                <w:sz w:val="21"/>
                <w:szCs w:val="21"/>
              </w:rPr>
              <w:t>供电</w:t>
            </w:r>
          </w:p>
        </w:tc>
        <w:tc>
          <w:tcPr>
            <w:tcW w:w="1608" w:type="dxa"/>
            <w:vAlign w:val="center"/>
          </w:tcPr>
          <w:p>
            <w:pPr>
              <w:jc w:val="center"/>
              <w:rPr>
                <w:color w:val="auto"/>
                <w:sz w:val="21"/>
                <w:szCs w:val="21"/>
              </w:rPr>
            </w:pPr>
            <w:r>
              <w:rPr>
                <w:rFonts w:hint="eastAsia"/>
                <w:color w:val="auto"/>
                <w:sz w:val="21"/>
                <w:szCs w:val="21"/>
              </w:rPr>
              <w:t>依托</w:t>
            </w:r>
            <w:r>
              <w:rPr>
                <w:rFonts w:hint="eastAsia"/>
                <w:color w:val="auto"/>
                <w:sz w:val="21"/>
                <w:szCs w:val="21"/>
                <w:lang w:eastAsia="zh-CN"/>
              </w:rPr>
              <w:t>园区内在建项目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817" w:type="dxa"/>
            <w:vMerge w:val="restart"/>
            <w:vAlign w:val="center"/>
          </w:tcPr>
          <w:p>
            <w:pPr>
              <w:pStyle w:val="357"/>
              <w:spacing w:line="240" w:lineRule="auto"/>
              <w:rPr>
                <w:rFonts w:ascii="Times New Roman" w:hAnsi="Times New Roman" w:eastAsia="宋体"/>
                <w:color w:val="auto"/>
                <w:sz w:val="21"/>
                <w:szCs w:val="21"/>
              </w:rPr>
            </w:pPr>
            <w:r>
              <w:rPr>
                <w:rFonts w:ascii="Times New Roman" w:hAnsi="宋体" w:eastAsia="宋体"/>
                <w:color w:val="auto"/>
                <w:sz w:val="21"/>
                <w:szCs w:val="21"/>
              </w:rPr>
              <w:t>环保工程</w:t>
            </w:r>
          </w:p>
        </w:tc>
        <w:tc>
          <w:tcPr>
            <w:tcW w:w="1559" w:type="dxa"/>
            <w:vMerge w:val="restart"/>
            <w:vAlign w:val="center"/>
          </w:tcPr>
          <w:p>
            <w:pPr>
              <w:jc w:val="center"/>
              <w:rPr>
                <w:color w:val="auto"/>
                <w:sz w:val="21"/>
                <w:szCs w:val="21"/>
              </w:rPr>
            </w:pPr>
            <w:r>
              <w:rPr>
                <w:rFonts w:hAnsi="宋体"/>
                <w:color w:val="auto"/>
                <w:sz w:val="21"/>
                <w:szCs w:val="21"/>
              </w:rPr>
              <w:t>废水治理</w:t>
            </w:r>
          </w:p>
        </w:tc>
        <w:tc>
          <w:tcPr>
            <w:tcW w:w="4962" w:type="dxa"/>
            <w:vAlign w:val="center"/>
          </w:tcPr>
          <w:p>
            <w:pPr>
              <w:jc w:val="center"/>
              <w:rPr>
                <w:color w:val="auto"/>
                <w:sz w:val="21"/>
                <w:szCs w:val="21"/>
              </w:rPr>
            </w:pPr>
            <w:r>
              <w:rPr>
                <w:rFonts w:hAnsi="宋体"/>
                <w:color w:val="auto"/>
                <w:sz w:val="21"/>
                <w:szCs w:val="21"/>
              </w:rPr>
              <w:t>渗滤液：盲沟</w:t>
            </w:r>
            <w:r>
              <w:rPr>
                <w:color w:val="auto"/>
                <w:sz w:val="21"/>
                <w:szCs w:val="21"/>
              </w:rPr>
              <w:t>+</w:t>
            </w:r>
            <w:r>
              <w:rPr>
                <w:rFonts w:hint="eastAsia"/>
                <w:color w:val="auto"/>
                <w:sz w:val="21"/>
                <w:szCs w:val="21"/>
              </w:rPr>
              <w:t>2500</w:t>
            </w:r>
            <w:r>
              <w:rPr>
                <w:color w:val="auto"/>
                <w:sz w:val="21"/>
                <w:szCs w:val="21"/>
              </w:rPr>
              <w:t>m</w:t>
            </w:r>
            <w:r>
              <w:rPr>
                <w:color w:val="auto"/>
                <w:sz w:val="21"/>
                <w:szCs w:val="21"/>
                <w:vertAlign w:val="superscript"/>
              </w:rPr>
              <w:t>3</w:t>
            </w:r>
            <w:r>
              <w:rPr>
                <w:rFonts w:hint="eastAsia" w:hAnsi="宋体"/>
                <w:color w:val="auto"/>
                <w:sz w:val="21"/>
                <w:szCs w:val="21"/>
              </w:rPr>
              <w:t>淋溶液调节池</w:t>
            </w:r>
          </w:p>
        </w:tc>
        <w:tc>
          <w:tcPr>
            <w:tcW w:w="1608" w:type="dxa"/>
            <w:vMerge w:val="restart"/>
            <w:vAlign w:val="center"/>
          </w:tcPr>
          <w:p>
            <w:pPr>
              <w:jc w:val="center"/>
              <w:rPr>
                <w:color w:val="auto"/>
                <w:sz w:val="21"/>
                <w:szCs w:val="21"/>
              </w:rPr>
            </w:pPr>
            <w:r>
              <w:rPr>
                <w:rFonts w:hAnsi="宋体"/>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817" w:type="dxa"/>
            <w:vMerge w:val="continue"/>
            <w:vAlign w:val="center"/>
          </w:tcPr>
          <w:p>
            <w:pPr>
              <w:pStyle w:val="357"/>
              <w:rPr>
                <w:rFonts w:ascii="Times New Roman" w:hAnsi="Times New Roman" w:eastAsia="宋体"/>
                <w:color w:val="auto"/>
                <w:sz w:val="21"/>
                <w:szCs w:val="21"/>
              </w:rPr>
            </w:pPr>
          </w:p>
        </w:tc>
        <w:tc>
          <w:tcPr>
            <w:tcW w:w="1559" w:type="dxa"/>
            <w:vMerge w:val="continue"/>
            <w:vAlign w:val="center"/>
          </w:tcPr>
          <w:p>
            <w:pPr>
              <w:jc w:val="center"/>
              <w:rPr>
                <w:color w:val="auto"/>
                <w:sz w:val="21"/>
                <w:szCs w:val="21"/>
              </w:rPr>
            </w:pPr>
          </w:p>
        </w:tc>
        <w:tc>
          <w:tcPr>
            <w:tcW w:w="4962" w:type="dxa"/>
            <w:vAlign w:val="center"/>
          </w:tcPr>
          <w:p>
            <w:pPr>
              <w:jc w:val="center"/>
              <w:rPr>
                <w:color w:val="auto"/>
                <w:sz w:val="21"/>
                <w:szCs w:val="21"/>
              </w:rPr>
            </w:pPr>
            <w:r>
              <w:rPr>
                <w:rFonts w:hAnsi="宋体"/>
                <w:color w:val="auto"/>
                <w:sz w:val="21"/>
                <w:szCs w:val="21"/>
              </w:rPr>
              <w:t>洗车废水：</w:t>
            </w:r>
            <w:r>
              <w:rPr>
                <w:rFonts w:hint="eastAsia"/>
                <w:color w:val="auto"/>
                <w:sz w:val="21"/>
                <w:szCs w:val="21"/>
              </w:rPr>
              <w:t>引至淋溶液调节池</w:t>
            </w:r>
          </w:p>
        </w:tc>
        <w:tc>
          <w:tcPr>
            <w:tcW w:w="1608" w:type="dxa"/>
            <w:vMerge w:val="continue"/>
            <w:vAlign w:val="center"/>
          </w:tcPr>
          <w:p>
            <w:pPr>
              <w:jc w:val="center"/>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817" w:type="dxa"/>
            <w:vMerge w:val="continue"/>
            <w:vAlign w:val="center"/>
          </w:tcPr>
          <w:p>
            <w:pPr>
              <w:pStyle w:val="357"/>
              <w:rPr>
                <w:rFonts w:ascii="Times New Roman" w:hAnsi="Times New Roman" w:eastAsia="宋体"/>
                <w:color w:val="auto"/>
                <w:sz w:val="21"/>
                <w:szCs w:val="21"/>
              </w:rPr>
            </w:pPr>
          </w:p>
        </w:tc>
        <w:tc>
          <w:tcPr>
            <w:tcW w:w="1559" w:type="dxa"/>
            <w:vMerge w:val="restart"/>
            <w:vAlign w:val="center"/>
          </w:tcPr>
          <w:p>
            <w:pPr>
              <w:jc w:val="center"/>
              <w:rPr>
                <w:color w:val="auto"/>
                <w:sz w:val="21"/>
                <w:szCs w:val="21"/>
              </w:rPr>
            </w:pPr>
            <w:r>
              <w:rPr>
                <w:rFonts w:hAnsi="宋体"/>
                <w:color w:val="auto"/>
                <w:sz w:val="21"/>
                <w:szCs w:val="21"/>
              </w:rPr>
              <w:t>废气治理</w:t>
            </w:r>
          </w:p>
        </w:tc>
        <w:tc>
          <w:tcPr>
            <w:tcW w:w="4962" w:type="dxa"/>
            <w:vAlign w:val="center"/>
          </w:tcPr>
          <w:p>
            <w:pPr>
              <w:jc w:val="center"/>
              <w:rPr>
                <w:color w:val="auto"/>
                <w:sz w:val="21"/>
                <w:szCs w:val="21"/>
              </w:rPr>
            </w:pPr>
            <w:r>
              <w:rPr>
                <w:rFonts w:hAnsi="宋体"/>
                <w:color w:val="auto"/>
                <w:sz w:val="21"/>
                <w:szCs w:val="21"/>
              </w:rPr>
              <w:t>填埋区作业卸载、推平等机械扬尘、道路采取洒水抑尘，配</w:t>
            </w:r>
            <w:r>
              <w:rPr>
                <w:color w:val="auto"/>
                <w:sz w:val="21"/>
                <w:szCs w:val="21"/>
              </w:rPr>
              <w:t>22</w:t>
            </w:r>
            <w:r>
              <w:rPr>
                <w:rFonts w:hAnsi="宋体"/>
                <w:color w:val="auto"/>
                <w:sz w:val="21"/>
                <w:szCs w:val="21"/>
              </w:rPr>
              <w:t>台喷水雾炮</w:t>
            </w:r>
          </w:p>
        </w:tc>
        <w:tc>
          <w:tcPr>
            <w:tcW w:w="1608" w:type="dxa"/>
            <w:vMerge w:val="restart"/>
            <w:vAlign w:val="center"/>
          </w:tcPr>
          <w:p>
            <w:pPr>
              <w:jc w:val="center"/>
              <w:rPr>
                <w:color w:val="auto"/>
                <w:sz w:val="21"/>
                <w:szCs w:val="21"/>
              </w:rPr>
            </w:pPr>
            <w:r>
              <w:rPr>
                <w:rFonts w:hAnsi="宋体"/>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817" w:type="dxa"/>
            <w:vMerge w:val="continue"/>
            <w:vAlign w:val="center"/>
          </w:tcPr>
          <w:p>
            <w:pPr>
              <w:pStyle w:val="357"/>
              <w:rPr>
                <w:rFonts w:ascii="Times New Roman" w:hAnsi="Times New Roman" w:eastAsia="宋体"/>
                <w:color w:val="auto"/>
                <w:sz w:val="21"/>
                <w:szCs w:val="21"/>
              </w:rPr>
            </w:pPr>
          </w:p>
        </w:tc>
        <w:tc>
          <w:tcPr>
            <w:tcW w:w="1559" w:type="dxa"/>
            <w:vMerge w:val="continue"/>
            <w:vAlign w:val="center"/>
          </w:tcPr>
          <w:p>
            <w:pPr>
              <w:jc w:val="center"/>
              <w:rPr>
                <w:color w:val="auto"/>
                <w:sz w:val="21"/>
                <w:szCs w:val="21"/>
              </w:rPr>
            </w:pPr>
          </w:p>
        </w:tc>
        <w:tc>
          <w:tcPr>
            <w:tcW w:w="4962" w:type="dxa"/>
            <w:vAlign w:val="center"/>
          </w:tcPr>
          <w:p>
            <w:pPr>
              <w:jc w:val="center"/>
              <w:rPr>
                <w:color w:val="auto"/>
                <w:sz w:val="21"/>
                <w:szCs w:val="21"/>
              </w:rPr>
            </w:pPr>
            <w:r>
              <w:rPr>
                <w:rFonts w:hAnsi="宋体"/>
                <w:color w:val="auto"/>
                <w:sz w:val="21"/>
                <w:szCs w:val="21"/>
              </w:rPr>
              <w:t>在填埋区周边设置</w:t>
            </w:r>
            <w:r>
              <w:rPr>
                <w:color w:val="auto"/>
                <w:sz w:val="21"/>
                <w:szCs w:val="21"/>
              </w:rPr>
              <w:t>2m</w:t>
            </w:r>
            <w:r>
              <w:rPr>
                <w:rFonts w:hAnsi="宋体"/>
                <w:color w:val="auto"/>
                <w:sz w:val="21"/>
                <w:szCs w:val="21"/>
              </w:rPr>
              <w:t>高防护铁丝网，网眼为</w:t>
            </w:r>
            <w:r>
              <w:rPr>
                <w:color w:val="auto"/>
                <w:sz w:val="21"/>
                <w:szCs w:val="21"/>
              </w:rPr>
              <w:t>30×30mm</w:t>
            </w:r>
            <w:r>
              <w:rPr>
                <w:rFonts w:hAnsi="宋体"/>
                <w:color w:val="auto"/>
                <w:sz w:val="21"/>
                <w:szCs w:val="21"/>
              </w:rPr>
              <w:t>。</w:t>
            </w:r>
          </w:p>
        </w:tc>
        <w:tc>
          <w:tcPr>
            <w:tcW w:w="1608" w:type="dxa"/>
            <w:vMerge w:val="continue"/>
            <w:vAlign w:val="center"/>
          </w:tcPr>
          <w:p>
            <w:pPr>
              <w:jc w:val="center"/>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817" w:type="dxa"/>
            <w:vMerge w:val="continue"/>
            <w:vAlign w:val="center"/>
          </w:tcPr>
          <w:p>
            <w:pPr>
              <w:pStyle w:val="357"/>
              <w:rPr>
                <w:rFonts w:ascii="Times New Roman" w:hAnsi="Times New Roman" w:eastAsia="宋体"/>
                <w:color w:val="auto"/>
                <w:sz w:val="21"/>
                <w:szCs w:val="21"/>
              </w:rPr>
            </w:pPr>
          </w:p>
        </w:tc>
        <w:tc>
          <w:tcPr>
            <w:tcW w:w="1559" w:type="dxa"/>
            <w:vAlign w:val="center"/>
          </w:tcPr>
          <w:p>
            <w:pPr>
              <w:jc w:val="center"/>
              <w:rPr>
                <w:color w:val="auto"/>
                <w:sz w:val="21"/>
                <w:szCs w:val="21"/>
              </w:rPr>
            </w:pPr>
            <w:r>
              <w:rPr>
                <w:rFonts w:hAnsi="宋体"/>
                <w:color w:val="auto"/>
                <w:sz w:val="21"/>
                <w:szCs w:val="21"/>
              </w:rPr>
              <w:t>噪声治理</w:t>
            </w:r>
          </w:p>
        </w:tc>
        <w:tc>
          <w:tcPr>
            <w:tcW w:w="4962" w:type="dxa"/>
            <w:vAlign w:val="center"/>
          </w:tcPr>
          <w:p>
            <w:pPr>
              <w:jc w:val="center"/>
              <w:rPr>
                <w:color w:val="auto"/>
                <w:sz w:val="21"/>
                <w:szCs w:val="21"/>
              </w:rPr>
            </w:pPr>
            <w:r>
              <w:rPr>
                <w:rFonts w:hAnsi="宋体"/>
                <w:color w:val="auto"/>
                <w:sz w:val="21"/>
                <w:szCs w:val="21"/>
              </w:rPr>
              <w:t>减震、隔声装置</w:t>
            </w:r>
          </w:p>
        </w:tc>
        <w:tc>
          <w:tcPr>
            <w:tcW w:w="1608" w:type="dxa"/>
            <w:vAlign w:val="center"/>
          </w:tcPr>
          <w:p>
            <w:pPr>
              <w:jc w:val="center"/>
              <w:rPr>
                <w:color w:val="auto"/>
                <w:sz w:val="21"/>
                <w:szCs w:val="21"/>
              </w:rPr>
            </w:pPr>
            <w:r>
              <w:rPr>
                <w:rFonts w:hAnsi="宋体"/>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817" w:type="dxa"/>
            <w:vMerge w:val="continue"/>
            <w:vAlign w:val="center"/>
          </w:tcPr>
          <w:p>
            <w:pPr>
              <w:pStyle w:val="357"/>
              <w:rPr>
                <w:rFonts w:ascii="Times New Roman" w:hAnsi="Times New Roman" w:eastAsia="宋体"/>
                <w:color w:val="auto"/>
                <w:sz w:val="21"/>
                <w:szCs w:val="21"/>
              </w:rPr>
            </w:pPr>
          </w:p>
        </w:tc>
        <w:tc>
          <w:tcPr>
            <w:tcW w:w="1559" w:type="dxa"/>
            <w:vAlign w:val="center"/>
          </w:tcPr>
          <w:p>
            <w:pPr>
              <w:jc w:val="center"/>
              <w:rPr>
                <w:color w:val="auto"/>
                <w:sz w:val="21"/>
                <w:szCs w:val="21"/>
              </w:rPr>
            </w:pPr>
            <w:r>
              <w:rPr>
                <w:rFonts w:hAnsi="宋体"/>
                <w:color w:val="auto"/>
                <w:sz w:val="21"/>
                <w:szCs w:val="21"/>
              </w:rPr>
              <w:t>固废治理</w:t>
            </w:r>
          </w:p>
        </w:tc>
        <w:tc>
          <w:tcPr>
            <w:tcW w:w="4962" w:type="dxa"/>
            <w:vAlign w:val="center"/>
          </w:tcPr>
          <w:p>
            <w:pPr>
              <w:jc w:val="center"/>
              <w:rPr>
                <w:color w:val="auto"/>
                <w:sz w:val="21"/>
                <w:szCs w:val="21"/>
              </w:rPr>
            </w:pPr>
            <w:r>
              <w:rPr>
                <w:rFonts w:hint="eastAsia" w:hAnsi="宋体"/>
                <w:color w:val="auto"/>
                <w:sz w:val="21"/>
                <w:szCs w:val="21"/>
              </w:rPr>
              <w:t>回收桶</w:t>
            </w:r>
          </w:p>
        </w:tc>
        <w:tc>
          <w:tcPr>
            <w:tcW w:w="1608" w:type="dxa"/>
            <w:vAlign w:val="center"/>
          </w:tcPr>
          <w:p>
            <w:pPr>
              <w:jc w:val="center"/>
              <w:rPr>
                <w:color w:val="auto"/>
                <w:sz w:val="21"/>
                <w:szCs w:val="21"/>
              </w:rPr>
            </w:pPr>
            <w:r>
              <w:rPr>
                <w:rFonts w:hAnsi="宋体"/>
                <w:color w:val="auto"/>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817" w:type="dxa"/>
            <w:vMerge w:val="continue"/>
            <w:vAlign w:val="center"/>
          </w:tcPr>
          <w:p>
            <w:pPr>
              <w:pStyle w:val="357"/>
              <w:rPr>
                <w:rFonts w:ascii="Times New Roman" w:hAnsi="Times New Roman" w:eastAsia="宋体"/>
                <w:color w:val="auto"/>
                <w:sz w:val="21"/>
                <w:szCs w:val="21"/>
              </w:rPr>
            </w:pPr>
          </w:p>
        </w:tc>
        <w:tc>
          <w:tcPr>
            <w:tcW w:w="1559" w:type="dxa"/>
            <w:vAlign w:val="center"/>
          </w:tcPr>
          <w:p>
            <w:pPr>
              <w:jc w:val="center"/>
              <w:rPr>
                <w:rFonts w:hAnsi="宋体"/>
                <w:color w:val="auto"/>
                <w:sz w:val="21"/>
                <w:szCs w:val="21"/>
              </w:rPr>
            </w:pPr>
            <w:r>
              <w:rPr>
                <w:rFonts w:hint="eastAsia"/>
                <w:color w:val="auto"/>
                <w:sz w:val="21"/>
                <w:szCs w:val="21"/>
              </w:rPr>
              <w:t>地下水防治</w:t>
            </w:r>
          </w:p>
        </w:tc>
        <w:tc>
          <w:tcPr>
            <w:tcW w:w="4962" w:type="dxa"/>
            <w:vAlign w:val="center"/>
          </w:tcPr>
          <w:p>
            <w:pPr>
              <w:jc w:val="center"/>
              <w:rPr>
                <w:rFonts w:hAnsi="宋体"/>
                <w:color w:val="auto"/>
                <w:sz w:val="21"/>
                <w:szCs w:val="21"/>
              </w:rPr>
            </w:pPr>
            <w:r>
              <w:rPr>
                <w:rFonts w:hint="eastAsia"/>
                <w:color w:val="auto"/>
                <w:sz w:val="21"/>
                <w:szCs w:val="21"/>
              </w:rPr>
              <w:t>建筑垃圾消纳场采取严格的防渗、防腐蚀等措施，防止建筑垃圾淋溶液进入地下。选用可靠的防渗材料及相应的保护层，设置渗滤液收集导排系统；设置地下水收集导排系统；地下水收集导排系统应具有长期导排性能。单层防渗结构从上至下为：淋溶液收集导排系统、防渗层（含防渗材料及保护材料）、基础层、地下水收集导排系统</w:t>
            </w:r>
          </w:p>
        </w:tc>
        <w:tc>
          <w:tcPr>
            <w:tcW w:w="1608" w:type="dxa"/>
            <w:vAlign w:val="center"/>
          </w:tcPr>
          <w:p>
            <w:pPr>
              <w:jc w:val="center"/>
              <w:rPr>
                <w:rFonts w:hAnsi="宋体"/>
                <w:color w:val="auto"/>
                <w:sz w:val="21"/>
                <w:szCs w:val="21"/>
              </w:rPr>
            </w:pPr>
            <w:r>
              <w:rPr>
                <w:rFonts w:hAnsi="宋体"/>
                <w:color w:val="auto"/>
                <w:sz w:val="21"/>
                <w:szCs w:val="21"/>
              </w:rPr>
              <w:t>新建</w:t>
            </w:r>
          </w:p>
        </w:tc>
      </w:tr>
    </w:tbl>
    <w:p>
      <w:pPr>
        <w:rPr>
          <w:color w:val="auto"/>
        </w:rPr>
      </w:pPr>
    </w:p>
    <w:p>
      <w:pPr>
        <w:spacing w:line="360" w:lineRule="auto"/>
        <w:rPr>
          <w:b/>
          <w:bCs/>
          <w:color w:val="auto"/>
        </w:rPr>
      </w:pPr>
      <w:r>
        <w:rPr>
          <w:b/>
          <w:bCs/>
          <w:color w:val="auto"/>
        </w:rPr>
        <w:t>3.2.2.</w:t>
      </w:r>
      <w:r>
        <w:rPr>
          <w:rFonts w:hint="eastAsia"/>
          <w:b/>
          <w:bCs/>
          <w:color w:val="auto"/>
          <w:lang w:val="en-US" w:eastAsia="zh-CN"/>
        </w:rPr>
        <w:t>3</w:t>
      </w:r>
      <w:r>
        <w:rPr>
          <w:rFonts w:hint="eastAsia"/>
          <w:b/>
          <w:bCs/>
          <w:color w:val="auto"/>
          <w:lang w:eastAsia="zh-CN"/>
        </w:rPr>
        <w:t>本项目依托工程情况</w:t>
      </w:r>
    </w:p>
    <w:p>
      <w:pPr>
        <w:jc w:val="center"/>
        <w:rPr>
          <w:b/>
          <w:color w:val="auto"/>
        </w:rPr>
      </w:pPr>
      <w:r>
        <w:rPr>
          <w:rFonts w:hint="eastAsia"/>
          <w:b/>
          <w:color w:val="auto"/>
        </w:rPr>
        <w:t>表3.2-</w:t>
      </w:r>
      <w:r>
        <w:rPr>
          <w:b/>
          <w:color w:val="auto"/>
        </w:rPr>
        <w:t>3</w:t>
      </w:r>
      <w:r>
        <w:rPr>
          <w:rFonts w:hint="eastAsia"/>
          <w:b/>
          <w:color w:val="auto"/>
        </w:rPr>
        <w:t xml:space="preserve"> 本项目依托工程情况</w:t>
      </w:r>
    </w:p>
    <w:tbl>
      <w:tblPr>
        <w:tblStyle w:val="54"/>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134"/>
        <w:gridCol w:w="1417"/>
        <w:gridCol w:w="2977"/>
        <w:gridCol w:w="27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59" w:type="dxa"/>
            <w:vAlign w:val="center"/>
          </w:tcPr>
          <w:p>
            <w:pPr>
              <w:jc w:val="center"/>
              <w:rPr>
                <w:b/>
                <w:color w:val="auto"/>
                <w:sz w:val="21"/>
                <w:szCs w:val="21"/>
              </w:rPr>
            </w:pPr>
            <w:r>
              <w:rPr>
                <w:rFonts w:hint="eastAsia"/>
                <w:b/>
                <w:color w:val="auto"/>
                <w:sz w:val="21"/>
                <w:szCs w:val="21"/>
              </w:rPr>
              <w:t>序号</w:t>
            </w:r>
          </w:p>
        </w:tc>
        <w:tc>
          <w:tcPr>
            <w:tcW w:w="1134" w:type="dxa"/>
            <w:vAlign w:val="center"/>
          </w:tcPr>
          <w:p>
            <w:pPr>
              <w:jc w:val="center"/>
              <w:rPr>
                <w:b/>
                <w:color w:val="auto"/>
                <w:sz w:val="21"/>
                <w:szCs w:val="21"/>
              </w:rPr>
            </w:pPr>
            <w:r>
              <w:rPr>
                <w:rFonts w:hint="eastAsia"/>
                <w:b/>
                <w:color w:val="auto"/>
                <w:sz w:val="21"/>
                <w:szCs w:val="21"/>
              </w:rPr>
              <w:t>类别</w:t>
            </w:r>
          </w:p>
        </w:tc>
        <w:tc>
          <w:tcPr>
            <w:tcW w:w="1417" w:type="dxa"/>
            <w:vAlign w:val="center"/>
          </w:tcPr>
          <w:p>
            <w:pPr>
              <w:jc w:val="center"/>
              <w:rPr>
                <w:b/>
                <w:color w:val="auto"/>
                <w:sz w:val="21"/>
                <w:szCs w:val="21"/>
              </w:rPr>
            </w:pPr>
            <w:r>
              <w:rPr>
                <w:rFonts w:hint="eastAsia"/>
                <w:b/>
                <w:color w:val="auto"/>
                <w:sz w:val="21"/>
                <w:szCs w:val="21"/>
              </w:rPr>
              <w:t>项目</w:t>
            </w:r>
          </w:p>
        </w:tc>
        <w:tc>
          <w:tcPr>
            <w:tcW w:w="2977" w:type="dxa"/>
            <w:vAlign w:val="center"/>
          </w:tcPr>
          <w:p>
            <w:pPr>
              <w:jc w:val="center"/>
              <w:rPr>
                <w:b/>
                <w:color w:val="auto"/>
                <w:sz w:val="21"/>
                <w:szCs w:val="21"/>
              </w:rPr>
            </w:pPr>
            <w:r>
              <w:rPr>
                <w:rFonts w:hint="eastAsia"/>
                <w:b/>
                <w:color w:val="auto"/>
                <w:sz w:val="21"/>
                <w:szCs w:val="21"/>
              </w:rPr>
              <w:t>依托情况</w:t>
            </w:r>
          </w:p>
        </w:tc>
        <w:tc>
          <w:tcPr>
            <w:tcW w:w="2799" w:type="dxa"/>
            <w:vAlign w:val="center"/>
          </w:tcPr>
          <w:p>
            <w:pPr>
              <w:jc w:val="center"/>
              <w:rPr>
                <w:b/>
                <w:color w:val="auto"/>
                <w:sz w:val="21"/>
                <w:szCs w:val="21"/>
              </w:rPr>
            </w:pPr>
            <w:r>
              <w:rPr>
                <w:rFonts w:hint="eastAsia"/>
                <w:b/>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59" w:type="dxa"/>
            <w:vAlign w:val="center"/>
          </w:tcPr>
          <w:p>
            <w:pPr>
              <w:jc w:val="center"/>
              <w:rPr>
                <w:color w:val="auto"/>
                <w:sz w:val="21"/>
                <w:szCs w:val="21"/>
              </w:rPr>
            </w:pPr>
            <w:r>
              <w:rPr>
                <w:rFonts w:hint="eastAsia"/>
                <w:color w:val="auto"/>
                <w:sz w:val="21"/>
                <w:szCs w:val="21"/>
              </w:rPr>
              <w:t>1</w:t>
            </w:r>
          </w:p>
        </w:tc>
        <w:tc>
          <w:tcPr>
            <w:tcW w:w="1134" w:type="dxa"/>
            <w:vAlign w:val="center"/>
          </w:tcPr>
          <w:p>
            <w:pPr>
              <w:jc w:val="center"/>
              <w:rPr>
                <w:color w:val="auto"/>
                <w:sz w:val="21"/>
                <w:szCs w:val="21"/>
              </w:rPr>
            </w:pPr>
            <w:r>
              <w:rPr>
                <w:rFonts w:hint="eastAsia"/>
                <w:color w:val="auto"/>
                <w:sz w:val="21"/>
                <w:szCs w:val="21"/>
              </w:rPr>
              <w:t>环保工程</w:t>
            </w:r>
          </w:p>
        </w:tc>
        <w:tc>
          <w:tcPr>
            <w:tcW w:w="1417" w:type="dxa"/>
            <w:vAlign w:val="center"/>
          </w:tcPr>
          <w:p>
            <w:pPr>
              <w:jc w:val="center"/>
              <w:rPr>
                <w:color w:val="auto"/>
                <w:sz w:val="21"/>
                <w:szCs w:val="21"/>
              </w:rPr>
            </w:pPr>
            <w:r>
              <w:rPr>
                <w:rFonts w:hint="eastAsia"/>
                <w:color w:val="auto"/>
                <w:sz w:val="21"/>
                <w:szCs w:val="21"/>
              </w:rPr>
              <w:t>生产废水</w:t>
            </w:r>
          </w:p>
        </w:tc>
        <w:tc>
          <w:tcPr>
            <w:tcW w:w="2977" w:type="dxa"/>
            <w:vAlign w:val="center"/>
          </w:tcPr>
          <w:p>
            <w:pPr>
              <w:jc w:val="center"/>
              <w:rPr>
                <w:color w:val="auto"/>
                <w:sz w:val="21"/>
                <w:szCs w:val="21"/>
              </w:rPr>
            </w:pPr>
            <w:r>
              <w:rPr>
                <w:rFonts w:hint="eastAsia"/>
                <w:color w:val="auto"/>
                <w:sz w:val="21"/>
                <w:szCs w:val="21"/>
              </w:rPr>
              <w:t>餐厨垃圾生产废水依托园区内在建的渗漏液处理系统，</w:t>
            </w:r>
            <w:r>
              <w:rPr>
                <w:rFonts w:hint="eastAsia"/>
                <w:color w:val="auto"/>
                <w:sz w:val="21"/>
              </w:rPr>
              <w:t>处理规模600t/d（二期完成后）</w:t>
            </w:r>
            <w:r>
              <w:rPr>
                <w:rFonts w:hint="eastAsia"/>
                <w:color w:val="auto"/>
                <w:sz w:val="21"/>
                <w:szCs w:val="21"/>
              </w:rPr>
              <w:t>，采用</w:t>
            </w:r>
            <w:r>
              <w:rPr>
                <w:rFonts w:asciiTheme="minorEastAsia" w:hAnsiTheme="minorEastAsia" w:eastAsiaTheme="minorEastAsia"/>
                <w:color w:val="auto"/>
                <w:sz w:val="21"/>
                <w:szCs w:val="21"/>
              </w:rPr>
              <w:t>“</w:t>
            </w:r>
            <w:r>
              <w:rPr>
                <w:rFonts w:asciiTheme="minorEastAsia" w:hAnsiTheme="minorEastAsia" w:eastAsiaTheme="minorEastAsia"/>
                <w:color w:val="auto"/>
                <w:spacing w:val="-13"/>
                <w:sz w:val="21"/>
                <w:szCs w:val="21"/>
              </w:rPr>
              <w:t>预处</w:t>
            </w:r>
            <w:r>
              <w:rPr>
                <w:color w:val="auto"/>
                <w:spacing w:val="-13"/>
                <w:sz w:val="21"/>
                <w:szCs w:val="21"/>
              </w:rPr>
              <w:t>理+UASB厌氧反应器+MBR生化处理系统+NF纳滤膜系统+RO反渗透系统+DTRO</w:t>
            </w:r>
            <w:r>
              <w:rPr>
                <w:rFonts w:asciiTheme="minorEastAsia" w:hAnsiTheme="minorEastAsia" w:eastAsiaTheme="minorEastAsia"/>
                <w:color w:val="auto"/>
                <w:sz w:val="21"/>
                <w:szCs w:val="21"/>
              </w:rPr>
              <w:t>”处理</w:t>
            </w:r>
            <w:r>
              <w:rPr>
                <w:color w:val="auto"/>
                <w:sz w:val="21"/>
                <w:szCs w:val="21"/>
              </w:rPr>
              <w:t>工艺</w:t>
            </w:r>
            <w:r>
              <w:rPr>
                <w:rFonts w:hint="eastAsia"/>
                <w:color w:val="auto"/>
                <w:sz w:val="21"/>
                <w:szCs w:val="21"/>
              </w:rPr>
              <w:t>处理。</w:t>
            </w:r>
          </w:p>
        </w:tc>
        <w:tc>
          <w:tcPr>
            <w:tcW w:w="2799" w:type="dxa"/>
            <w:vAlign w:val="center"/>
          </w:tcPr>
          <w:p>
            <w:pPr>
              <w:jc w:val="center"/>
              <w:rPr>
                <w:color w:val="auto"/>
                <w:sz w:val="21"/>
                <w:szCs w:val="21"/>
              </w:rPr>
            </w:pPr>
            <w:r>
              <w:rPr>
                <w:rFonts w:hint="eastAsia"/>
                <w:color w:val="auto"/>
                <w:sz w:val="21"/>
                <w:szCs w:val="21"/>
              </w:rPr>
              <w:t>在建园区内渗滤液处理站一期处理规模为</w:t>
            </w:r>
            <w:r>
              <w:rPr>
                <w:rFonts w:hint="eastAsia"/>
                <w:color w:val="auto"/>
                <w:sz w:val="21"/>
              </w:rPr>
              <w:t>600t/d（二期完成后）</w:t>
            </w:r>
            <w:r>
              <w:rPr>
                <w:rFonts w:hint="eastAsia"/>
                <w:color w:val="auto"/>
                <w:sz w:val="21"/>
                <w:szCs w:val="21"/>
              </w:rPr>
              <w:t>，其中在建项目加上二期项目建设完成后渗滤液产生量为550m</w:t>
            </w:r>
            <w:r>
              <w:rPr>
                <w:rFonts w:hint="eastAsia"/>
                <w:color w:val="auto"/>
                <w:sz w:val="21"/>
                <w:szCs w:val="21"/>
                <w:vertAlign w:val="superscript"/>
              </w:rPr>
              <w:t>3</w:t>
            </w:r>
            <w:r>
              <w:rPr>
                <w:rFonts w:hint="eastAsia"/>
                <w:color w:val="auto"/>
                <w:sz w:val="21"/>
                <w:szCs w:val="21"/>
              </w:rPr>
              <w:t>/d，还剩下50 m</w:t>
            </w:r>
            <w:r>
              <w:rPr>
                <w:rFonts w:hint="eastAsia"/>
                <w:color w:val="auto"/>
                <w:sz w:val="21"/>
                <w:szCs w:val="21"/>
                <w:vertAlign w:val="superscript"/>
              </w:rPr>
              <w:t>3</w:t>
            </w:r>
            <w:r>
              <w:rPr>
                <w:rFonts w:hint="eastAsia"/>
                <w:color w:val="auto"/>
                <w:sz w:val="21"/>
                <w:szCs w:val="21"/>
              </w:rPr>
              <w:t>/d处理余量。本餐厨项目生产废水产生量为</w:t>
            </w:r>
            <w:r>
              <w:rPr>
                <w:rFonts w:hint="eastAsia"/>
                <w:color w:val="auto"/>
                <w:sz w:val="21"/>
                <w:szCs w:val="21"/>
                <w:lang w:val="en-US" w:eastAsia="zh-CN"/>
              </w:rPr>
              <w:t>18.84</w:t>
            </w:r>
            <w:r>
              <w:rPr>
                <w:rFonts w:hint="eastAsia"/>
                <w:color w:val="auto"/>
                <w:sz w:val="21"/>
                <w:szCs w:val="21"/>
              </w:rPr>
              <w:t>t/d，剩余的渗滤液处理能力可以满足本项目废水产生量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59" w:type="dxa"/>
            <w:vMerge w:val="restart"/>
            <w:vAlign w:val="center"/>
          </w:tcPr>
          <w:p>
            <w:pPr>
              <w:jc w:val="center"/>
              <w:rPr>
                <w:color w:val="auto"/>
                <w:sz w:val="21"/>
                <w:szCs w:val="21"/>
              </w:rPr>
            </w:pPr>
            <w:r>
              <w:rPr>
                <w:rFonts w:hint="eastAsia"/>
                <w:color w:val="auto"/>
                <w:sz w:val="21"/>
                <w:szCs w:val="21"/>
              </w:rPr>
              <w:t>2</w:t>
            </w:r>
          </w:p>
        </w:tc>
        <w:tc>
          <w:tcPr>
            <w:tcW w:w="1134" w:type="dxa"/>
            <w:vMerge w:val="restart"/>
            <w:vAlign w:val="center"/>
          </w:tcPr>
          <w:p>
            <w:pPr>
              <w:jc w:val="center"/>
              <w:rPr>
                <w:color w:val="auto"/>
                <w:sz w:val="21"/>
                <w:szCs w:val="21"/>
              </w:rPr>
            </w:pPr>
            <w:r>
              <w:rPr>
                <w:rFonts w:hint="eastAsia"/>
                <w:color w:val="auto"/>
                <w:sz w:val="21"/>
                <w:szCs w:val="21"/>
              </w:rPr>
              <w:t>固废处置</w:t>
            </w:r>
          </w:p>
        </w:tc>
        <w:tc>
          <w:tcPr>
            <w:tcW w:w="1417" w:type="dxa"/>
            <w:vAlign w:val="center"/>
          </w:tcPr>
          <w:p>
            <w:pPr>
              <w:jc w:val="center"/>
              <w:rPr>
                <w:color w:val="auto"/>
                <w:sz w:val="21"/>
                <w:szCs w:val="21"/>
              </w:rPr>
            </w:pPr>
            <w:r>
              <w:rPr>
                <w:rFonts w:hint="eastAsia"/>
                <w:color w:val="auto"/>
                <w:sz w:val="21"/>
                <w:szCs w:val="21"/>
              </w:rPr>
              <w:t>固渣等</w:t>
            </w:r>
          </w:p>
        </w:tc>
        <w:tc>
          <w:tcPr>
            <w:tcW w:w="2977" w:type="dxa"/>
            <w:vAlign w:val="center"/>
          </w:tcPr>
          <w:p>
            <w:pPr>
              <w:jc w:val="center"/>
              <w:rPr>
                <w:color w:val="auto"/>
                <w:sz w:val="21"/>
                <w:szCs w:val="21"/>
              </w:rPr>
            </w:pPr>
            <w:r>
              <w:rPr>
                <w:rFonts w:hint="eastAsia"/>
                <w:color w:val="auto"/>
                <w:sz w:val="21"/>
                <w:szCs w:val="21"/>
              </w:rPr>
              <w:t>依托在建厂内生活垃圾焚烧锅炉进行焚烧处置</w:t>
            </w:r>
          </w:p>
        </w:tc>
        <w:tc>
          <w:tcPr>
            <w:tcW w:w="2799" w:type="dxa"/>
            <w:vAlign w:val="center"/>
          </w:tcPr>
          <w:p>
            <w:pPr>
              <w:jc w:val="center"/>
              <w:rPr>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59" w:type="dxa"/>
            <w:vMerge w:val="continue"/>
            <w:vAlign w:val="center"/>
          </w:tcPr>
          <w:p>
            <w:pPr>
              <w:jc w:val="center"/>
              <w:rPr>
                <w:rFonts w:hint="eastAsia"/>
                <w:color w:val="auto"/>
                <w:sz w:val="21"/>
                <w:szCs w:val="21"/>
              </w:rPr>
            </w:pPr>
          </w:p>
        </w:tc>
        <w:tc>
          <w:tcPr>
            <w:tcW w:w="1134" w:type="dxa"/>
            <w:vMerge w:val="continue"/>
            <w:vAlign w:val="center"/>
          </w:tcPr>
          <w:p>
            <w:pPr>
              <w:jc w:val="center"/>
              <w:rPr>
                <w:rFonts w:hint="eastAsia"/>
                <w:color w:val="auto"/>
                <w:sz w:val="21"/>
                <w:szCs w:val="21"/>
              </w:rPr>
            </w:pPr>
          </w:p>
        </w:tc>
        <w:tc>
          <w:tcPr>
            <w:tcW w:w="1417" w:type="dxa"/>
            <w:vAlign w:val="center"/>
          </w:tcPr>
          <w:p>
            <w:pPr>
              <w:jc w:val="center"/>
              <w:rPr>
                <w:rFonts w:hint="eastAsia" w:eastAsia="宋体"/>
                <w:color w:val="auto"/>
                <w:sz w:val="21"/>
                <w:szCs w:val="21"/>
                <w:lang w:eastAsia="zh-CN"/>
              </w:rPr>
            </w:pPr>
            <w:r>
              <w:rPr>
                <w:rFonts w:hint="eastAsia"/>
                <w:color w:val="auto"/>
                <w:sz w:val="21"/>
                <w:szCs w:val="21"/>
                <w:lang w:eastAsia="zh-CN"/>
              </w:rPr>
              <w:t>危废废物</w:t>
            </w:r>
          </w:p>
        </w:tc>
        <w:tc>
          <w:tcPr>
            <w:tcW w:w="2977" w:type="dxa"/>
            <w:vAlign w:val="center"/>
          </w:tcPr>
          <w:p>
            <w:pPr>
              <w:jc w:val="center"/>
              <w:rPr>
                <w:rFonts w:hint="eastAsia"/>
                <w:color w:val="auto"/>
                <w:sz w:val="21"/>
                <w:szCs w:val="21"/>
              </w:rPr>
            </w:pPr>
            <w:r>
              <w:rPr>
                <w:rFonts w:hint="eastAsia"/>
                <w:color w:val="auto"/>
                <w:sz w:val="21"/>
                <w:szCs w:val="21"/>
              </w:rPr>
              <w:t>依托</w:t>
            </w:r>
            <w:r>
              <w:rPr>
                <w:rFonts w:hint="eastAsia"/>
                <w:color w:val="auto"/>
                <w:sz w:val="21"/>
                <w:szCs w:val="21"/>
                <w:lang w:eastAsia="zh-CN"/>
              </w:rPr>
              <w:t>园区内在建项目废物贮存仓</w:t>
            </w:r>
          </w:p>
        </w:tc>
        <w:tc>
          <w:tcPr>
            <w:tcW w:w="2799" w:type="dxa"/>
            <w:vAlign w:val="center"/>
          </w:tcPr>
          <w:p>
            <w:pPr>
              <w:jc w:val="center"/>
              <w:rPr>
                <w:rFonts w:hint="eastAsia"/>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59" w:type="dxa"/>
            <w:vMerge w:val="restart"/>
            <w:vAlign w:val="center"/>
          </w:tcPr>
          <w:p>
            <w:pPr>
              <w:jc w:val="center"/>
              <w:rPr>
                <w:color w:val="auto"/>
                <w:sz w:val="21"/>
                <w:szCs w:val="21"/>
              </w:rPr>
            </w:pPr>
            <w:r>
              <w:rPr>
                <w:rFonts w:hint="eastAsia"/>
                <w:color w:val="auto"/>
                <w:sz w:val="21"/>
                <w:szCs w:val="21"/>
              </w:rPr>
              <w:t>3</w:t>
            </w:r>
          </w:p>
        </w:tc>
        <w:tc>
          <w:tcPr>
            <w:tcW w:w="1134" w:type="dxa"/>
            <w:vMerge w:val="restart"/>
            <w:vAlign w:val="center"/>
          </w:tcPr>
          <w:p>
            <w:pPr>
              <w:jc w:val="center"/>
              <w:rPr>
                <w:color w:val="auto"/>
                <w:sz w:val="21"/>
                <w:szCs w:val="21"/>
              </w:rPr>
            </w:pPr>
            <w:r>
              <w:rPr>
                <w:rFonts w:hint="eastAsia"/>
                <w:color w:val="auto"/>
                <w:sz w:val="21"/>
                <w:szCs w:val="21"/>
              </w:rPr>
              <w:t>公用工程</w:t>
            </w:r>
          </w:p>
        </w:tc>
        <w:tc>
          <w:tcPr>
            <w:tcW w:w="1417" w:type="dxa"/>
            <w:vAlign w:val="center"/>
          </w:tcPr>
          <w:p>
            <w:pPr>
              <w:jc w:val="center"/>
              <w:rPr>
                <w:color w:val="auto"/>
                <w:sz w:val="21"/>
                <w:szCs w:val="21"/>
              </w:rPr>
            </w:pPr>
            <w:r>
              <w:rPr>
                <w:rFonts w:hint="eastAsia"/>
                <w:color w:val="auto"/>
                <w:sz w:val="21"/>
                <w:szCs w:val="21"/>
              </w:rPr>
              <w:t>供水系统</w:t>
            </w:r>
          </w:p>
        </w:tc>
        <w:tc>
          <w:tcPr>
            <w:tcW w:w="2977" w:type="dxa"/>
            <w:vAlign w:val="center"/>
          </w:tcPr>
          <w:p>
            <w:pPr>
              <w:jc w:val="center"/>
              <w:rPr>
                <w:color w:val="auto"/>
                <w:sz w:val="21"/>
                <w:szCs w:val="21"/>
              </w:rPr>
            </w:pPr>
            <w:r>
              <w:rPr>
                <w:rFonts w:hint="eastAsia"/>
                <w:color w:val="auto"/>
                <w:sz w:val="21"/>
                <w:szCs w:val="21"/>
              </w:rPr>
              <w:t>项目生产用水依托园区内在建项目的供水工程，即水源为曾坑水库、厂内污水站的中水以及生产中产生的可以循环利用的水</w:t>
            </w:r>
          </w:p>
        </w:tc>
        <w:tc>
          <w:tcPr>
            <w:tcW w:w="2799" w:type="dxa"/>
            <w:vAlign w:val="center"/>
          </w:tcPr>
          <w:p>
            <w:pPr>
              <w:jc w:val="center"/>
              <w:rPr>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59" w:type="dxa"/>
            <w:vMerge w:val="continue"/>
            <w:vAlign w:val="center"/>
          </w:tcPr>
          <w:p>
            <w:pPr>
              <w:jc w:val="center"/>
              <w:rPr>
                <w:color w:val="auto"/>
                <w:sz w:val="21"/>
                <w:szCs w:val="21"/>
              </w:rPr>
            </w:pPr>
          </w:p>
        </w:tc>
        <w:tc>
          <w:tcPr>
            <w:tcW w:w="1134" w:type="dxa"/>
            <w:vMerge w:val="continue"/>
            <w:vAlign w:val="center"/>
          </w:tcPr>
          <w:p>
            <w:pPr>
              <w:jc w:val="center"/>
              <w:rPr>
                <w:color w:val="auto"/>
                <w:sz w:val="21"/>
                <w:szCs w:val="21"/>
              </w:rPr>
            </w:pPr>
          </w:p>
        </w:tc>
        <w:tc>
          <w:tcPr>
            <w:tcW w:w="1417" w:type="dxa"/>
            <w:vAlign w:val="center"/>
          </w:tcPr>
          <w:p>
            <w:pPr>
              <w:jc w:val="center"/>
              <w:rPr>
                <w:color w:val="auto"/>
                <w:sz w:val="21"/>
                <w:szCs w:val="21"/>
              </w:rPr>
            </w:pPr>
            <w:r>
              <w:rPr>
                <w:rFonts w:hint="eastAsia"/>
                <w:color w:val="auto"/>
                <w:sz w:val="21"/>
                <w:szCs w:val="21"/>
              </w:rPr>
              <w:t>排水系统</w:t>
            </w:r>
          </w:p>
        </w:tc>
        <w:tc>
          <w:tcPr>
            <w:tcW w:w="2977" w:type="dxa"/>
            <w:vAlign w:val="center"/>
          </w:tcPr>
          <w:p>
            <w:pPr>
              <w:jc w:val="center"/>
              <w:rPr>
                <w:color w:val="auto"/>
                <w:sz w:val="21"/>
                <w:szCs w:val="21"/>
              </w:rPr>
            </w:pPr>
            <w:r>
              <w:rPr>
                <w:rFonts w:hint="eastAsia"/>
                <w:color w:val="auto"/>
                <w:sz w:val="21"/>
                <w:szCs w:val="21"/>
              </w:rPr>
              <w:t>实行</w:t>
            </w:r>
            <w:r>
              <w:rPr>
                <w:rFonts w:hint="eastAsia"/>
                <w:color w:val="auto"/>
                <w:sz w:val="21"/>
                <w:szCs w:val="21"/>
                <w:lang w:eastAsia="zh-CN"/>
              </w:rPr>
              <w:t>后期雨水与污水分流制</w:t>
            </w:r>
            <w:r>
              <w:rPr>
                <w:rFonts w:hint="eastAsia"/>
                <w:color w:val="auto"/>
                <w:sz w:val="21"/>
                <w:szCs w:val="21"/>
              </w:rPr>
              <w:t>；餐厨垃圾生产废水</w:t>
            </w:r>
            <w:r>
              <w:rPr>
                <w:rFonts w:hint="eastAsia"/>
                <w:color w:val="auto"/>
                <w:sz w:val="21"/>
                <w:szCs w:val="21"/>
                <w:lang w:eastAsia="zh-CN"/>
              </w:rPr>
              <w:t>和初期雨水</w:t>
            </w:r>
            <w:r>
              <w:rPr>
                <w:rFonts w:hint="eastAsia"/>
                <w:color w:val="auto"/>
                <w:sz w:val="21"/>
                <w:szCs w:val="21"/>
              </w:rPr>
              <w:t>依托厂内在建的渗漏液处理系统</w:t>
            </w:r>
          </w:p>
        </w:tc>
        <w:tc>
          <w:tcPr>
            <w:tcW w:w="2799" w:type="dxa"/>
            <w:vAlign w:val="center"/>
          </w:tcPr>
          <w:p>
            <w:pPr>
              <w:jc w:val="center"/>
              <w:rPr>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59" w:type="dxa"/>
            <w:vMerge w:val="continue"/>
            <w:vAlign w:val="center"/>
          </w:tcPr>
          <w:p>
            <w:pPr>
              <w:jc w:val="center"/>
              <w:rPr>
                <w:color w:val="auto"/>
                <w:sz w:val="21"/>
                <w:szCs w:val="21"/>
              </w:rPr>
            </w:pPr>
          </w:p>
        </w:tc>
        <w:tc>
          <w:tcPr>
            <w:tcW w:w="1134" w:type="dxa"/>
            <w:vMerge w:val="continue"/>
            <w:vAlign w:val="center"/>
          </w:tcPr>
          <w:p>
            <w:pPr>
              <w:jc w:val="center"/>
              <w:rPr>
                <w:color w:val="auto"/>
                <w:sz w:val="21"/>
                <w:szCs w:val="21"/>
              </w:rPr>
            </w:pPr>
          </w:p>
        </w:tc>
        <w:tc>
          <w:tcPr>
            <w:tcW w:w="1417" w:type="dxa"/>
            <w:vAlign w:val="center"/>
          </w:tcPr>
          <w:p>
            <w:pPr>
              <w:jc w:val="center"/>
              <w:rPr>
                <w:color w:val="auto"/>
                <w:sz w:val="21"/>
                <w:szCs w:val="21"/>
              </w:rPr>
            </w:pPr>
            <w:r>
              <w:rPr>
                <w:rFonts w:hint="eastAsia"/>
                <w:color w:val="auto"/>
                <w:sz w:val="21"/>
                <w:szCs w:val="21"/>
              </w:rPr>
              <w:t>供热系统</w:t>
            </w:r>
          </w:p>
        </w:tc>
        <w:tc>
          <w:tcPr>
            <w:tcW w:w="2977" w:type="dxa"/>
            <w:vAlign w:val="center"/>
          </w:tcPr>
          <w:p>
            <w:pPr>
              <w:jc w:val="center"/>
              <w:rPr>
                <w:color w:val="auto"/>
                <w:sz w:val="21"/>
                <w:szCs w:val="21"/>
              </w:rPr>
            </w:pPr>
            <w:r>
              <w:rPr>
                <w:rFonts w:hint="eastAsia" w:hAnsi="宋体"/>
                <w:color w:val="auto"/>
                <w:sz w:val="21"/>
                <w:szCs w:val="21"/>
              </w:rPr>
              <w:t>依托园区内在建焚烧发电厂的饱和蒸汽对餐厨脱水滤液进行预处理</w:t>
            </w:r>
          </w:p>
        </w:tc>
        <w:tc>
          <w:tcPr>
            <w:tcW w:w="2799" w:type="dxa"/>
            <w:vAlign w:val="center"/>
          </w:tcPr>
          <w:p>
            <w:pPr>
              <w:jc w:val="center"/>
              <w:rPr>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59" w:type="dxa"/>
            <w:vMerge w:val="continue"/>
            <w:vAlign w:val="center"/>
          </w:tcPr>
          <w:p>
            <w:pPr>
              <w:jc w:val="center"/>
              <w:rPr>
                <w:color w:val="auto"/>
                <w:sz w:val="21"/>
                <w:szCs w:val="21"/>
              </w:rPr>
            </w:pPr>
          </w:p>
        </w:tc>
        <w:tc>
          <w:tcPr>
            <w:tcW w:w="1134" w:type="dxa"/>
            <w:vMerge w:val="continue"/>
            <w:vAlign w:val="center"/>
          </w:tcPr>
          <w:p>
            <w:pPr>
              <w:jc w:val="center"/>
              <w:rPr>
                <w:color w:val="auto"/>
                <w:sz w:val="21"/>
                <w:szCs w:val="21"/>
              </w:rPr>
            </w:pPr>
          </w:p>
        </w:tc>
        <w:tc>
          <w:tcPr>
            <w:tcW w:w="1417" w:type="dxa"/>
            <w:vAlign w:val="center"/>
          </w:tcPr>
          <w:p>
            <w:pPr>
              <w:jc w:val="center"/>
              <w:rPr>
                <w:color w:val="auto"/>
                <w:sz w:val="21"/>
                <w:szCs w:val="21"/>
              </w:rPr>
            </w:pPr>
            <w:r>
              <w:rPr>
                <w:rFonts w:hint="eastAsia"/>
                <w:color w:val="auto"/>
                <w:sz w:val="21"/>
                <w:szCs w:val="21"/>
              </w:rPr>
              <w:t>供电系统</w:t>
            </w:r>
          </w:p>
        </w:tc>
        <w:tc>
          <w:tcPr>
            <w:tcW w:w="2977" w:type="dxa"/>
            <w:vAlign w:val="center"/>
          </w:tcPr>
          <w:p>
            <w:pPr>
              <w:jc w:val="center"/>
              <w:rPr>
                <w:rFonts w:hAnsi="宋体"/>
                <w:color w:val="auto"/>
                <w:sz w:val="21"/>
                <w:szCs w:val="21"/>
              </w:rPr>
            </w:pPr>
            <w:r>
              <w:rPr>
                <w:rFonts w:hAnsi="宋体"/>
                <w:color w:val="auto"/>
                <w:sz w:val="21"/>
                <w:szCs w:val="21"/>
              </w:rPr>
              <w:t>由</w:t>
            </w:r>
            <w:r>
              <w:rPr>
                <w:rFonts w:hint="eastAsia" w:hAnsi="宋体"/>
                <w:color w:val="auto"/>
                <w:sz w:val="21"/>
                <w:szCs w:val="21"/>
              </w:rPr>
              <w:t>园区内在建焚烧发电厂</w:t>
            </w:r>
            <w:r>
              <w:rPr>
                <w:rFonts w:hAnsi="宋体"/>
                <w:color w:val="auto"/>
                <w:sz w:val="21"/>
                <w:szCs w:val="21"/>
              </w:rPr>
              <w:t>供电</w:t>
            </w:r>
          </w:p>
        </w:tc>
        <w:tc>
          <w:tcPr>
            <w:tcW w:w="2799" w:type="dxa"/>
            <w:vAlign w:val="center"/>
          </w:tcPr>
          <w:p>
            <w:pPr>
              <w:jc w:val="center"/>
              <w:rPr>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59" w:type="dxa"/>
            <w:vMerge w:val="continue"/>
            <w:vAlign w:val="center"/>
          </w:tcPr>
          <w:p>
            <w:pPr>
              <w:jc w:val="center"/>
              <w:rPr>
                <w:color w:val="auto"/>
                <w:sz w:val="21"/>
                <w:szCs w:val="21"/>
              </w:rPr>
            </w:pPr>
          </w:p>
        </w:tc>
        <w:tc>
          <w:tcPr>
            <w:tcW w:w="1134" w:type="dxa"/>
            <w:vMerge w:val="continue"/>
            <w:vAlign w:val="center"/>
          </w:tcPr>
          <w:p>
            <w:pPr>
              <w:jc w:val="center"/>
              <w:rPr>
                <w:color w:val="auto"/>
                <w:sz w:val="21"/>
                <w:szCs w:val="21"/>
              </w:rPr>
            </w:pPr>
          </w:p>
        </w:tc>
        <w:tc>
          <w:tcPr>
            <w:tcW w:w="1417" w:type="dxa"/>
            <w:vAlign w:val="center"/>
          </w:tcPr>
          <w:p>
            <w:pPr>
              <w:jc w:val="center"/>
              <w:rPr>
                <w:color w:val="auto"/>
                <w:sz w:val="21"/>
                <w:szCs w:val="21"/>
              </w:rPr>
            </w:pPr>
            <w:r>
              <w:rPr>
                <w:rFonts w:hint="eastAsia"/>
                <w:color w:val="auto"/>
                <w:sz w:val="21"/>
                <w:szCs w:val="21"/>
              </w:rPr>
              <w:t>消防工程</w:t>
            </w:r>
          </w:p>
        </w:tc>
        <w:tc>
          <w:tcPr>
            <w:tcW w:w="2977" w:type="dxa"/>
            <w:vAlign w:val="center"/>
          </w:tcPr>
          <w:p>
            <w:pPr>
              <w:jc w:val="center"/>
              <w:rPr>
                <w:color w:val="auto"/>
                <w:sz w:val="21"/>
                <w:szCs w:val="21"/>
              </w:rPr>
            </w:pPr>
            <w:r>
              <w:rPr>
                <w:rFonts w:hint="eastAsia"/>
                <w:color w:val="auto"/>
                <w:sz w:val="21"/>
                <w:szCs w:val="21"/>
              </w:rPr>
              <w:t>依托</w:t>
            </w:r>
            <w:r>
              <w:rPr>
                <w:rFonts w:hint="eastAsia" w:hAnsi="宋体"/>
                <w:color w:val="auto"/>
                <w:sz w:val="21"/>
                <w:szCs w:val="21"/>
              </w:rPr>
              <w:t>园区内在建的消防水池。</w:t>
            </w:r>
          </w:p>
        </w:tc>
        <w:tc>
          <w:tcPr>
            <w:tcW w:w="2799" w:type="dxa"/>
            <w:vAlign w:val="center"/>
          </w:tcPr>
          <w:p>
            <w:pPr>
              <w:jc w:val="center"/>
              <w:rPr>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959" w:type="dxa"/>
            <w:vMerge w:val="continue"/>
            <w:vAlign w:val="center"/>
          </w:tcPr>
          <w:p>
            <w:pPr>
              <w:jc w:val="center"/>
              <w:rPr>
                <w:color w:val="auto"/>
                <w:sz w:val="21"/>
                <w:szCs w:val="21"/>
              </w:rPr>
            </w:pPr>
          </w:p>
        </w:tc>
        <w:tc>
          <w:tcPr>
            <w:tcW w:w="1134" w:type="dxa"/>
            <w:vMerge w:val="continue"/>
            <w:vAlign w:val="center"/>
          </w:tcPr>
          <w:p>
            <w:pPr>
              <w:jc w:val="center"/>
              <w:rPr>
                <w:color w:val="auto"/>
                <w:sz w:val="21"/>
                <w:szCs w:val="21"/>
              </w:rPr>
            </w:pPr>
          </w:p>
        </w:tc>
        <w:tc>
          <w:tcPr>
            <w:tcW w:w="1417" w:type="dxa"/>
            <w:vAlign w:val="center"/>
          </w:tcPr>
          <w:p>
            <w:pPr>
              <w:jc w:val="center"/>
              <w:rPr>
                <w:color w:val="auto"/>
                <w:sz w:val="21"/>
                <w:szCs w:val="21"/>
              </w:rPr>
            </w:pPr>
            <w:r>
              <w:rPr>
                <w:rFonts w:hint="eastAsia"/>
                <w:color w:val="auto"/>
                <w:sz w:val="21"/>
                <w:szCs w:val="21"/>
              </w:rPr>
              <w:t>事故应急池</w:t>
            </w:r>
          </w:p>
        </w:tc>
        <w:tc>
          <w:tcPr>
            <w:tcW w:w="2977" w:type="dxa"/>
            <w:vAlign w:val="center"/>
          </w:tcPr>
          <w:p>
            <w:pPr>
              <w:jc w:val="center"/>
              <w:rPr>
                <w:color w:val="auto"/>
                <w:sz w:val="21"/>
                <w:szCs w:val="21"/>
              </w:rPr>
            </w:pPr>
            <w:r>
              <w:rPr>
                <w:rFonts w:hint="eastAsia"/>
                <w:color w:val="auto"/>
                <w:sz w:val="21"/>
                <w:szCs w:val="21"/>
                <w:lang w:eastAsia="zh-CN"/>
              </w:rPr>
              <w:t>新建</w:t>
            </w:r>
            <w:r>
              <w:rPr>
                <w:rFonts w:hint="eastAsia"/>
                <w:color w:val="auto"/>
                <w:sz w:val="21"/>
                <w:szCs w:val="21"/>
                <w:lang w:val="en-US" w:eastAsia="zh-CN"/>
              </w:rPr>
              <w:t>100m</w:t>
            </w:r>
            <w:r>
              <w:rPr>
                <w:rFonts w:hint="eastAsia"/>
                <w:color w:val="auto"/>
                <w:sz w:val="21"/>
                <w:szCs w:val="21"/>
                <w:vertAlign w:val="superscript"/>
                <w:lang w:val="en-US" w:eastAsia="zh-CN"/>
              </w:rPr>
              <w:t>3</w:t>
            </w:r>
            <w:r>
              <w:rPr>
                <w:rFonts w:hint="eastAsia" w:hAnsi="宋体"/>
                <w:color w:val="auto"/>
                <w:sz w:val="21"/>
                <w:szCs w:val="21"/>
              </w:rPr>
              <w:t>事故应急池。</w:t>
            </w:r>
          </w:p>
        </w:tc>
        <w:tc>
          <w:tcPr>
            <w:tcW w:w="2799" w:type="dxa"/>
            <w:vAlign w:val="center"/>
          </w:tcPr>
          <w:p>
            <w:pPr>
              <w:jc w:val="center"/>
              <w:rPr>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59" w:type="dxa"/>
            <w:vAlign w:val="center"/>
          </w:tcPr>
          <w:p>
            <w:pPr>
              <w:jc w:val="center"/>
              <w:rPr>
                <w:rFonts w:hint="eastAsia" w:eastAsia="宋体"/>
                <w:color w:val="auto"/>
                <w:sz w:val="21"/>
                <w:szCs w:val="21"/>
                <w:lang w:val="en-US" w:eastAsia="zh-CN"/>
              </w:rPr>
            </w:pPr>
            <w:r>
              <w:rPr>
                <w:rFonts w:hint="eastAsia"/>
                <w:color w:val="auto"/>
                <w:sz w:val="21"/>
                <w:szCs w:val="21"/>
                <w:lang w:val="en-US" w:eastAsia="zh-CN"/>
              </w:rPr>
              <w:t>4</w:t>
            </w:r>
          </w:p>
        </w:tc>
        <w:tc>
          <w:tcPr>
            <w:tcW w:w="1134" w:type="dxa"/>
            <w:vAlign w:val="center"/>
          </w:tcPr>
          <w:p>
            <w:pPr>
              <w:jc w:val="center"/>
              <w:rPr>
                <w:rFonts w:hint="eastAsia" w:eastAsia="宋体"/>
                <w:color w:val="auto"/>
                <w:sz w:val="21"/>
                <w:szCs w:val="21"/>
                <w:lang w:eastAsia="zh-CN"/>
              </w:rPr>
            </w:pPr>
            <w:r>
              <w:rPr>
                <w:rFonts w:hint="eastAsia"/>
                <w:color w:val="auto"/>
                <w:sz w:val="21"/>
                <w:szCs w:val="21"/>
                <w:lang w:eastAsia="zh-CN"/>
              </w:rPr>
              <w:t>人员情况</w:t>
            </w:r>
          </w:p>
        </w:tc>
        <w:tc>
          <w:tcPr>
            <w:tcW w:w="1417" w:type="dxa"/>
            <w:vAlign w:val="center"/>
          </w:tcPr>
          <w:p>
            <w:pPr>
              <w:jc w:val="center"/>
              <w:rPr>
                <w:rFonts w:hint="eastAsia" w:eastAsia="宋体"/>
                <w:color w:val="auto"/>
                <w:sz w:val="21"/>
                <w:szCs w:val="21"/>
                <w:lang w:eastAsia="zh-CN"/>
              </w:rPr>
            </w:pPr>
            <w:r>
              <w:rPr>
                <w:rFonts w:hint="eastAsia"/>
                <w:color w:val="auto"/>
                <w:sz w:val="21"/>
                <w:szCs w:val="21"/>
                <w:lang w:eastAsia="zh-CN"/>
              </w:rPr>
              <w:t>员工</w:t>
            </w:r>
          </w:p>
        </w:tc>
        <w:tc>
          <w:tcPr>
            <w:tcW w:w="2977" w:type="dxa"/>
            <w:vAlign w:val="center"/>
          </w:tcPr>
          <w:p>
            <w:pPr>
              <w:jc w:val="center"/>
              <w:rPr>
                <w:rFonts w:hint="eastAsia"/>
                <w:color w:val="auto"/>
                <w:sz w:val="21"/>
                <w:szCs w:val="21"/>
                <w:lang w:eastAsia="zh-CN"/>
              </w:rPr>
            </w:pPr>
            <w:r>
              <w:rPr>
                <w:rFonts w:hint="eastAsia"/>
                <w:color w:val="auto"/>
                <w:sz w:val="21"/>
                <w:szCs w:val="21"/>
                <w:lang w:eastAsia="zh-CN"/>
              </w:rPr>
              <w:t>本项目不新增员工，在兴宁市静脉产业园PPP项目内进行人员调配</w:t>
            </w:r>
          </w:p>
        </w:tc>
        <w:tc>
          <w:tcPr>
            <w:tcW w:w="2799" w:type="dxa"/>
            <w:vAlign w:val="center"/>
          </w:tcPr>
          <w:p>
            <w:pPr>
              <w:jc w:val="center"/>
              <w:rPr>
                <w:rFonts w:hint="eastAsia"/>
                <w:color w:val="auto"/>
                <w:sz w:val="21"/>
                <w:szCs w:val="21"/>
              </w:rPr>
            </w:pPr>
            <w:r>
              <w:rPr>
                <w:rFonts w:hint="eastAsia"/>
                <w:color w:val="auto"/>
                <w:sz w:val="21"/>
                <w:szCs w:val="21"/>
              </w:rPr>
              <w:t>/</w:t>
            </w:r>
          </w:p>
        </w:tc>
      </w:tr>
    </w:tbl>
    <w:p>
      <w:pPr>
        <w:spacing w:line="360" w:lineRule="auto"/>
        <w:rPr>
          <w:b/>
          <w:bCs/>
          <w:color w:val="auto"/>
        </w:rPr>
        <w:sectPr>
          <w:pgSz w:w="11906" w:h="16838"/>
          <w:pgMar w:top="1134" w:right="1418" w:bottom="1134" w:left="1418" w:header="851" w:footer="992" w:gutter="0"/>
          <w:pgNumType w:fmt="decimal"/>
          <w:cols w:space="720" w:num="1"/>
          <w:docGrid w:linePitch="312" w:charSpace="0"/>
        </w:sectPr>
      </w:pPr>
      <w:bookmarkStart w:id="252" w:name="_Toc34234668"/>
    </w:p>
    <w:p>
      <w:pPr>
        <w:spacing w:line="360" w:lineRule="auto"/>
        <w:ind w:firstLine="480" w:firstLineChars="200"/>
        <w:jc w:val="center"/>
        <w:rPr>
          <w:color w:val="auto"/>
        </w:rPr>
      </w:pPr>
      <w:r>
        <w:rPr>
          <w:color w:val="auto"/>
        </w:rPr>
        <mc:AlternateContent>
          <mc:Choice Requires="wps">
            <w:drawing>
              <wp:anchor distT="0" distB="0" distL="114300" distR="114300" simplePos="0" relativeHeight="480477184" behindDoc="0" locked="0" layoutInCell="1" allowOverlap="1">
                <wp:simplePos x="0" y="0"/>
                <wp:positionH relativeFrom="column">
                  <wp:posOffset>12532360</wp:posOffset>
                </wp:positionH>
                <wp:positionV relativeFrom="paragraph">
                  <wp:posOffset>3957955</wp:posOffset>
                </wp:positionV>
                <wp:extent cx="1210945" cy="339090"/>
                <wp:effectExtent l="1092200" t="5080" r="20955" b="322580"/>
                <wp:wrapNone/>
                <wp:docPr id="182" name="矩形标注 182"/>
                <wp:cNvGraphicFramePr/>
                <a:graphic xmlns:a="http://schemas.openxmlformats.org/drawingml/2006/main">
                  <a:graphicData uri="http://schemas.microsoft.com/office/word/2010/wordprocessingShape">
                    <wps:wsp>
                      <wps:cNvSpPr/>
                      <wps:spPr>
                        <a:xfrm>
                          <a:off x="0" y="0"/>
                          <a:ext cx="1210945" cy="339090"/>
                        </a:xfrm>
                        <a:prstGeom prst="wedgeRectCallout">
                          <a:avLst>
                            <a:gd name="adj1" fmla="val -139826"/>
                            <a:gd name="adj2" fmla="val 141385"/>
                          </a:avLst>
                        </a:prstGeom>
                        <a:noFill/>
                        <a:ln w="3175"/>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color w:val="000000" w:themeColor="text1"/>
                                <w:lang w:eastAsia="zh-CN"/>
                                <w14:textFill>
                                  <w14:solidFill>
                                    <w14:schemeClr w14:val="tx1"/>
                                  </w14:solidFill>
                                </w14:textFill>
                              </w:rPr>
                            </w:pPr>
                            <w:r>
                              <w:rPr>
                                <w:rFonts w:hint="eastAsia"/>
                                <w:b/>
                                <w:color w:val="000000" w:themeColor="text1"/>
                                <w:lang w:eastAsia="zh-CN"/>
                                <w14:textFill>
                                  <w14:solidFill>
                                    <w14:schemeClr w14:val="tx1"/>
                                  </w14:solidFill>
                                </w14:textFill>
                              </w:rPr>
                              <w:t>危废储存间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986.8pt;margin-top:311.65pt;height:26.7pt;width:95.35pt;z-index:480477184;v-text-anchor:middle;mso-width-relative:page;mso-height-relative:page;" filled="f" stroked="t" coordsize="21600,21600" o:gfxdata="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SpAUtNwAAAANAQAADwAAAAAAAAABACAAAAAiAAAAZHJzL2Rvd25yZXYueG1sUEsBAhQAFAAAAAgA&#10;h07iQCBKPR6TAgAA+wQAAA4AAAAAAAAAAQAgAAAAKwEAAGRycy9lMm9Eb2MueG1sUEsFBgAAAAAG&#10;AAYAWQEAADAGAAAAAA==&#10;" adj="-19402,41339">
                <v:fill on="f" focussize="0,0"/>
                <v:stroke weight="0.25pt" color="#385D8A [3204]" joinstyle="round"/>
                <v:imagedata o:title=""/>
                <o:lock v:ext="edit" aspectratio="f"/>
                <v:textbox>
                  <w:txbxContent>
                    <w:p>
                      <w:pPr>
                        <w:jc w:val="center"/>
                        <w:rPr>
                          <w:rFonts w:hint="eastAsia" w:eastAsia="宋体"/>
                          <w:b/>
                          <w:color w:val="000000" w:themeColor="text1"/>
                          <w:lang w:eastAsia="zh-CN"/>
                          <w14:textFill>
                            <w14:solidFill>
                              <w14:schemeClr w14:val="tx1"/>
                            </w14:solidFill>
                          </w14:textFill>
                        </w:rPr>
                      </w:pPr>
                      <w:r>
                        <w:rPr>
                          <w:rFonts w:hint="eastAsia"/>
                          <w:b/>
                          <w:color w:val="000000" w:themeColor="text1"/>
                          <w:lang w:eastAsia="zh-CN"/>
                          <w14:textFill>
                            <w14:solidFill>
                              <w14:schemeClr w14:val="tx1"/>
                            </w14:solidFill>
                          </w14:textFill>
                        </w:rPr>
                        <w:t>危废储存间</w:t>
                      </w:r>
                    </w:p>
                  </w:txbxContent>
                </v:textbox>
              </v:shape>
            </w:pict>
          </mc:Fallback>
        </mc:AlternateContent>
      </w:r>
      <w:r>
        <w:rPr>
          <w:color w:val="auto"/>
          <w:sz w:val="24"/>
        </w:rPr>
        <mc:AlternateContent>
          <mc:Choice Requires="wps">
            <w:drawing>
              <wp:anchor distT="0" distB="0" distL="114300" distR="114300" simplePos="0" relativeHeight="480478208" behindDoc="0" locked="0" layoutInCell="1" allowOverlap="1">
                <wp:simplePos x="0" y="0"/>
                <wp:positionH relativeFrom="column">
                  <wp:posOffset>11304905</wp:posOffset>
                </wp:positionH>
                <wp:positionV relativeFrom="paragraph">
                  <wp:posOffset>4605020</wp:posOffset>
                </wp:positionV>
                <wp:extent cx="180975" cy="114300"/>
                <wp:effectExtent l="0" t="0" r="9525" b="0"/>
                <wp:wrapNone/>
                <wp:docPr id="183" name="矩形 183"/>
                <wp:cNvGraphicFramePr/>
                <a:graphic xmlns:a="http://schemas.openxmlformats.org/drawingml/2006/main">
                  <a:graphicData uri="http://schemas.microsoft.com/office/word/2010/wordprocessingShape">
                    <wps:wsp>
                      <wps:cNvSpPr/>
                      <wps:spPr>
                        <a:xfrm>
                          <a:off x="12024995" y="5504815"/>
                          <a:ext cx="180975" cy="114300"/>
                        </a:xfrm>
                        <a:prstGeom prst="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90.15pt;margin-top:362.6pt;height:9pt;width:14.25pt;z-index:480478208;v-text-anchor:middle;mso-width-relative:page;mso-height-relative:page;" fillcolor="#953735 [2405]" filled="t" stroked="f" coordsize="21600,21600" o:gfxdata="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vev+z9gAAAANAQAADwAAAAAAAAABACAAAAAiAAAAZHJzL2Rvd25yZXYueG1sUEsBAhQA&#10;FAAAAAgAh07iQN9xZQZkAgAAmAQAAA4AAAAAAAAAAQAgAAAAJwEAAGRycy9lMm9Eb2MueG1sUEsF&#10;BgAAAAAGAAYAWQEAAP0FAAAAAA==&#10;">
                <v:fill on="t" focussize="0,0"/>
                <v:stroke on="f" weight="2pt"/>
                <v:imagedata o:title=""/>
                <o:lock v:ext="edit" aspectratio="f"/>
              </v:rect>
            </w:pict>
          </mc:Fallback>
        </mc:AlternateContent>
      </w:r>
      <w:r>
        <w:rPr>
          <w:color w:val="auto"/>
        </w:rPr>
        <mc:AlternateContent>
          <mc:Choice Requires="wps">
            <w:drawing>
              <wp:anchor distT="0" distB="0" distL="114300" distR="114300" simplePos="0" relativeHeight="477201408" behindDoc="0" locked="0" layoutInCell="1" allowOverlap="1">
                <wp:simplePos x="0" y="0"/>
                <wp:positionH relativeFrom="column">
                  <wp:posOffset>8004810</wp:posOffset>
                </wp:positionH>
                <wp:positionV relativeFrom="paragraph">
                  <wp:posOffset>5838825</wp:posOffset>
                </wp:positionV>
                <wp:extent cx="1210945" cy="680720"/>
                <wp:effectExtent l="387985" t="704850" r="20320" b="5080"/>
                <wp:wrapNone/>
                <wp:docPr id="146" name="矩形标注 146"/>
                <wp:cNvGraphicFramePr/>
                <a:graphic xmlns:a="http://schemas.openxmlformats.org/drawingml/2006/main">
                  <a:graphicData uri="http://schemas.microsoft.com/office/word/2010/wordprocessingShape">
                    <wps:wsp>
                      <wps:cNvSpPr/>
                      <wps:spPr>
                        <a:xfrm>
                          <a:off x="0" y="0"/>
                          <a:ext cx="1210945" cy="680720"/>
                        </a:xfrm>
                        <a:prstGeom prst="wedgeRectCallout">
                          <a:avLst>
                            <a:gd name="adj1" fmla="val -81672"/>
                            <a:gd name="adj2" fmla="val -152891"/>
                          </a:avLst>
                        </a:prstGeom>
                        <a:noFill/>
                        <a:ln w="3175"/>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color w:val="000000" w:themeColor="text1"/>
                                <w:lang w:eastAsia="zh-CN"/>
                                <w14:textFill>
                                  <w14:solidFill>
                                    <w14:schemeClr w14:val="tx1"/>
                                  </w14:solidFill>
                                </w14:textFill>
                              </w:rPr>
                            </w:pPr>
                            <w:r>
                              <w:rPr>
                                <w:rFonts w:hint="eastAsia"/>
                                <w:b/>
                                <w:color w:val="000000" w:themeColor="text1"/>
                                <w:lang w:eastAsia="zh-CN"/>
                                <w14:textFill>
                                  <w14:solidFill>
                                    <w14:schemeClr w14:val="tx1"/>
                                  </w14:solidFill>
                                </w14:textFill>
                              </w:rPr>
                              <w:t>生产废水引至渗滤液处理站管网走向图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630.3pt;margin-top:459.75pt;height:53.6pt;width:95.35pt;z-index:477201408;v-text-anchor:middle;mso-width-relative:page;mso-height-relative:page;" filled="f" stroked="t" coordsize="21600,21600" o:gfxdata="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Cd&#10;V6QK3QAAAA4BAAAPAAAAAAAAAAEAIAAAACIAAABkcnMvZG93bnJldi54bWxQSwECFAAUAAAACACH&#10;TuJAfIYy8pECAAD7BAAADgAAAAAAAAABACAAAAAsAQAAZHJzL2Uyb0RvYy54bWxQSwUGAAAAAAYA&#10;BgBZAQAALwYAAAAA&#10;" adj="-6841,-22224">
                <v:fill on="f" focussize="0,0"/>
                <v:stroke weight="0.25pt" color="#385D8A [3204]" joinstyle="round"/>
                <v:imagedata o:title=""/>
                <o:lock v:ext="edit" aspectratio="f"/>
                <v:textbox>
                  <w:txbxContent>
                    <w:p>
                      <w:pPr>
                        <w:jc w:val="center"/>
                        <w:rPr>
                          <w:rFonts w:hint="eastAsia" w:eastAsia="宋体"/>
                          <w:b/>
                          <w:color w:val="000000" w:themeColor="text1"/>
                          <w:lang w:eastAsia="zh-CN"/>
                          <w14:textFill>
                            <w14:solidFill>
                              <w14:schemeClr w14:val="tx1"/>
                            </w14:solidFill>
                          </w14:textFill>
                        </w:rPr>
                      </w:pPr>
                      <w:r>
                        <w:rPr>
                          <w:rFonts w:hint="eastAsia"/>
                          <w:b/>
                          <w:color w:val="000000" w:themeColor="text1"/>
                          <w:lang w:eastAsia="zh-CN"/>
                          <w14:textFill>
                            <w14:solidFill>
                              <w14:schemeClr w14:val="tx1"/>
                            </w14:solidFill>
                          </w14:textFill>
                        </w:rPr>
                        <w:t>生产废水引至渗滤液处理站管网走向图</w:t>
                      </w:r>
                    </w:p>
                  </w:txbxContent>
                </v:textbox>
              </v:shape>
            </w:pict>
          </mc:Fallback>
        </mc:AlternateContent>
      </w:r>
      <w:r>
        <w:rPr>
          <w:color w:val="auto"/>
        </w:rPr>
        <mc:AlternateContent>
          <mc:Choice Requires="wps">
            <w:drawing>
              <wp:anchor distT="0" distB="0" distL="114300" distR="114300" simplePos="0" relativeHeight="254930944" behindDoc="0" locked="0" layoutInCell="1" allowOverlap="1">
                <wp:simplePos x="0" y="0"/>
                <wp:positionH relativeFrom="column">
                  <wp:posOffset>9766935</wp:posOffset>
                </wp:positionH>
                <wp:positionV relativeFrom="paragraph">
                  <wp:posOffset>6438900</wp:posOffset>
                </wp:positionV>
                <wp:extent cx="1210945" cy="557530"/>
                <wp:effectExtent l="216535" t="796290" r="20320" b="17780"/>
                <wp:wrapNone/>
                <wp:docPr id="82" name="矩形标注 82"/>
                <wp:cNvGraphicFramePr/>
                <a:graphic xmlns:a="http://schemas.openxmlformats.org/drawingml/2006/main">
                  <a:graphicData uri="http://schemas.microsoft.com/office/word/2010/wordprocessingShape">
                    <wps:wsp>
                      <wps:cNvSpPr/>
                      <wps:spPr>
                        <a:xfrm>
                          <a:off x="0" y="0"/>
                          <a:ext cx="1210945" cy="557530"/>
                        </a:xfrm>
                        <a:prstGeom prst="wedgeRectCallout">
                          <a:avLst>
                            <a:gd name="adj1" fmla="val -67514"/>
                            <a:gd name="adj2" fmla="val -192027"/>
                          </a:avLst>
                        </a:prstGeom>
                        <a:noFill/>
                        <a:ln w="3175"/>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生活垃圾焚烧主厂房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769.05pt;margin-top:507pt;height:43.9pt;width:95.35pt;z-index:254930944;v-text-anchor:middle;mso-width-relative:page;mso-height-relative:page;" filled="f" stroked="t" coordsize="21600,21600" o:gfxdata="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Aq+/Ys&#10;2QAAAA8BAAAPAAAAAAAAAAEAIAAAACIAAABkcnMvZG93bnJldi54bWxQSwECFAAUAAAACACHTuJA&#10;NvhdDJICAAD5BAAADgAAAAAAAAABACAAAAAoAQAAZHJzL2Uyb0RvYy54bWxQSwUGAAAAAAYABgBZ&#10;AQAALAYAAAAA&#10;" adj="-3783,-30678">
                <v:fill on="f" focussize="0,0"/>
                <v:stroke weight="0.25pt" color="#385D8A [3204]" joinstyle="round"/>
                <v:imagedata o:title=""/>
                <o:lock v:ext="edit" aspectratio="f"/>
                <v:textbox>
                  <w:txbxContent>
                    <w:p>
                      <w:pPr>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生活垃圾焚烧主厂房</w:t>
                      </w:r>
                    </w:p>
                  </w:txbxContent>
                </v:textbox>
              </v:shape>
            </w:pict>
          </mc:Fallback>
        </mc:AlternateContent>
      </w:r>
      <w:r>
        <w:rPr>
          <w:color w:val="auto"/>
          <w:sz w:val="24"/>
        </w:rPr>
        <mc:AlternateContent>
          <mc:Choice Requires="wps">
            <w:drawing>
              <wp:anchor distT="0" distB="0" distL="114300" distR="114300" simplePos="0" relativeHeight="256406528" behindDoc="0" locked="0" layoutInCell="1" allowOverlap="1">
                <wp:simplePos x="0" y="0"/>
                <wp:positionH relativeFrom="column">
                  <wp:posOffset>10793095</wp:posOffset>
                </wp:positionH>
                <wp:positionV relativeFrom="paragraph">
                  <wp:posOffset>4705985</wp:posOffset>
                </wp:positionV>
                <wp:extent cx="370205" cy="539750"/>
                <wp:effectExtent l="12700" t="0" r="17145" b="19050"/>
                <wp:wrapNone/>
                <wp:docPr id="89" name="矩形 89"/>
                <wp:cNvGraphicFramePr/>
                <a:graphic xmlns:a="http://schemas.openxmlformats.org/drawingml/2006/main">
                  <a:graphicData uri="http://schemas.microsoft.com/office/word/2010/wordprocessingShape">
                    <wps:wsp>
                      <wps:cNvSpPr/>
                      <wps:spPr>
                        <a:xfrm>
                          <a:off x="11530330" y="5677535"/>
                          <a:ext cx="370205" cy="53975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49.85pt;margin-top:370.55pt;height:42.5pt;width:29.15pt;z-index:256406528;v-text-anchor:middle;mso-width-relative:page;mso-height-relative:page;" filled="f" stroked="t" coordsize="21600,21600" o:gfxdata="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M7qkjNoAAAAN&#10;AQAADwAAAAAAAAABACAAAAAiAAAAZHJzL2Rvd25yZXYueG1sUEsBAhQAFAAAAAgAh07iQNEECjNT&#10;AgAAdAQAAA4AAAAAAAAAAQAgAAAAKQEAAGRycy9lMm9Eb2MueG1sUEsFBgAAAAAGAAYAWQEAAO4F&#10;AAAAAA==&#10;">
                <v:fill on="f" focussize="0,0"/>
                <v:stroke weight="2pt" color="#00B0F0 [3204]" joinstyle="round"/>
                <v:imagedata o:title=""/>
                <o:lock v:ext="edit" aspectratio="f"/>
              </v:rect>
            </w:pict>
          </mc:Fallback>
        </mc:AlternateContent>
      </w:r>
      <w:r>
        <w:rPr>
          <w:color w:val="auto"/>
          <w:sz w:val="24"/>
        </w:rPr>
        <mc:AlternateContent>
          <mc:Choice Requires="wps">
            <w:drawing>
              <wp:anchor distT="0" distB="0" distL="114300" distR="114300" simplePos="0" relativeHeight="257963008" behindDoc="0" locked="0" layoutInCell="1" allowOverlap="1">
                <wp:simplePos x="0" y="0"/>
                <wp:positionH relativeFrom="column">
                  <wp:posOffset>9424035</wp:posOffset>
                </wp:positionH>
                <wp:positionV relativeFrom="paragraph">
                  <wp:posOffset>4567555</wp:posOffset>
                </wp:positionV>
                <wp:extent cx="718820" cy="1196340"/>
                <wp:effectExtent l="12700" t="0" r="30480" b="29210"/>
                <wp:wrapNone/>
                <wp:docPr id="79" name="矩形 79"/>
                <wp:cNvGraphicFramePr/>
                <a:graphic xmlns:a="http://schemas.openxmlformats.org/drawingml/2006/main">
                  <a:graphicData uri="http://schemas.microsoft.com/office/word/2010/wordprocessingShape">
                    <wps:wsp>
                      <wps:cNvSpPr/>
                      <wps:spPr>
                        <a:xfrm>
                          <a:off x="0" y="0"/>
                          <a:ext cx="718820" cy="119634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2.05pt;margin-top:359.65pt;height:94.2pt;width:56.6pt;z-index:257963008;v-text-anchor:middle;mso-width-relative:page;mso-height-relative:page;" filled="f" stroked="t" coordsize="21600,21600" o:gfxdata="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VAR3ptoAAAANAQAADwAAAAAAAAABACAA&#10;AAAiAAAAZHJzL2Rvd25yZXYueG1sUEsBAhQAFAAAAAgAh07iQAJOw/lEAgAAaAQAAA4AAAAAAAAA&#10;AQAgAAAAKQEAAGRycy9lMm9Eb2MueG1sUEsFBgAAAAAGAAYAWQEAAN8FAAAAAA==&#10;">
                <v:fill on="f" focussize="0,0"/>
                <v:stroke weight="2pt" color="#00B0F0 [3204]" joinstyle="round"/>
                <v:imagedata o:title=""/>
                <o:lock v:ext="edit" aspectratio="f"/>
              </v:rect>
            </w:pict>
          </mc:Fallback>
        </mc:AlternateContent>
      </w:r>
      <w:r>
        <w:rPr>
          <w:color w:val="auto"/>
          <w:sz w:val="24"/>
        </w:rPr>
        <mc:AlternateContent>
          <mc:Choice Requires="wps">
            <w:drawing>
              <wp:anchor distT="0" distB="0" distL="114300" distR="114300" simplePos="0" relativeHeight="473927680" behindDoc="0" locked="0" layoutInCell="1" allowOverlap="1">
                <wp:simplePos x="0" y="0"/>
                <wp:positionH relativeFrom="column">
                  <wp:posOffset>11169015</wp:posOffset>
                </wp:positionH>
                <wp:positionV relativeFrom="paragraph">
                  <wp:posOffset>5121275</wp:posOffset>
                </wp:positionV>
                <wp:extent cx="104775" cy="9525"/>
                <wp:effectExtent l="0" t="0" r="0" b="0"/>
                <wp:wrapNone/>
                <wp:docPr id="145" name="直接连接符 145"/>
                <wp:cNvGraphicFramePr/>
                <a:graphic xmlns:a="http://schemas.openxmlformats.org/drawingml/2006/main">
                  <a:graphicData uri="http://schemas.microsoft.com/office/word/2010/wordprocessingShape">
                    <wps:wsp>
                      <wps:cNvCnPr/>
                      <wps:spPr>
                        <a:xfrm flipH="1" flipV="1">
                          <a:off x="11889105" y="6021070"/>
                          <a:ext cx="104775" cy="9525"/>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id="_x0000_s1026" o:spid="_x0000_s1026" o:spt="20" style="position:absolute;left:0pt;flip:x y;margin-left:879.45pt;margin-top:403.25pt;height:0.75pt;width:8.25pt;z-index:473927680;mso-width-relative:page;mso-height-relative:page;" filled="f" stroked="t" coordsize="21600,21600" o:gfxdata="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I4QrVLcAAAADQEAAA8AAAAAAAAAAQAgAAAAIgAAAGRycy9kb3ducmV2LnhtbFBLAQIUABQA&#10;AAAIAIdO4kAJcAV9JQIAACAEAAAOAAAAAAAAAAEAIAAAACsBAABkcnMvZTJvRG9jLnhtbFBLBQYA&#10;AAAABgAGAFkBAADCBQAAAAA=&#10;">
                <v:fill on="f" focussize="0,0"/>
                <v:stroke weight="2pt" color="#C0504D [3205]" joinstyle="round"/>
                <v:imagedata o:title=""/>
                <o:lock v:ext="edit" aspectratio="f"/>
                <v:shadow on="t" color="#000000" opacity="24903f" offset="0pt,1.5748031496063pt" origin="0f,32768f" matrix="65536f,0f,0f,65536f"/>
              </v:line>
            </w:pict>
          </mc:Fallback>
        </mc:AlternateContent>
      </w:r>
      <w:r>
        <w:rPr>
          <w:color w:val="auto"/>
          <w:sz w:val="24"/>
        </w:rPr>
        <mc:AlternateContent>
          <mc:Choice Requires="wps">
            <w:drawing>
              <wp:anchor distT="0" distB="0" distL="114300" distR="114300" simplePos="0" relativeHeight="473926656" behindDoc="0" locked="0" layoutInCell="1" allowOverlap="1">
                <wp:simplePos x="0" y="0"/>
                <wp:positionH relativeFrom="column">
                  <wp:posOffset>11273790</wp:posOffset>
                </wp:positionH>
                <wp:positionV relativeFrom="paragraph">
                  <wp:posOffset>5140325</wp:posOffset>
                </wp:positionV>
                <wp:extent cx="19050" cy="685800"/>
                <wp:effectExtent l="46355" t="13970" r="48895" b="62230"/>
                <wp:wrapNone/>
                <wp:docPr id="144" name="直接连接符 144"/>
                <wp:cNvGraphicFramePr/>
                <a:graphic xmlns:a="http://schemas.openxmlformats.org/drawingml/2006/main">
                  <a:graphicData uri="http://schemas.microsoft.com/office/word/2010/wordprocessingShape">
                    <wps:wsp>
                      <wps:cNvCnPr/>
                      <wps:spPr>
                        <a:xfrm flipH="1" flipV="1">
                          <a:off x="11993880" y="6040120"/>
                          <a:ext cx="19050" cy="68580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id="_x0000_s1026" o:spid="_x0000_s1026" o:spt="20" style="position:absolute;left:0pt;flip:x y;margin-left:887.7pt;margin-top:404.75pt;height:54pt;width:1.5pt;z-index:473926656;mso-width-relative:page;mso-height-relative:page;" filled="f" stroked="t" coordsize="21600,21600" o:gfxdata="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PkHZfvdAAAADQEAAA8AAAAAAAAAAQAgAAAAIgAAAGRycy9kb3ducmV2LnhtbFBLAQIUABQA&#10;AAAIAIdO4kB/CHSNJAIAACEEAAAOAAAAAAAAAAEAIAAAACwBAABkcnMvZTJvRG9jLnhtbFBLBQYA&#10;AAAABgAGAFkBAADCBQAAAAA=&#10;">
                <v:fill on="f" focussize="0,0"/>
                <v:stroke weight="2pt" color="#C0504D [3205]" joinstyle="round"/>
                <v:imagedata o:title=""/>
                <o:lock v:ext="edit" aspectratio="f"/>
                <v:shadow on="t" color="#000000" opacity="24903f" offset="0pt,1.5748031496063pt" origin="0f,32768f" matrix="65536f,0f,0f,65536f"/>
              </v:line>
            </w:pict>
          </mc:Fallback>
        </mc:AlternateContent>
      </w:r>
      <w:r>
        <w:rPr>
          <w:color w:val="auto"/>
          <w:sz w:val="24"/>
        </w:rPr>
        <mc:AlternateContent>
          <mc:Choice Requires="wps">
            <w:drawing>
              <wp:anchor distT="0" distB="0" distL="114300" distR="114300" simplePos="0" relativeHeight="473925632" behindDoc="0" locked="0" layoutInCell="1" allowOverlap="1">
                <wp:simplePos x="0" y="0"/>
                <wp:positionH relativeFrom="column">
                  <wp:posOffset>9340215</wp:posOffset>
                </wp:positionH>
                <wp:positionV relativeFrom="paragraph">
                  <wp:posOffset>5848350</wp:posOffset>
                </wp:positionV>
                <wp:extent cx="2000250" cy="19050"/>
                <wp:effectExtent l="33655" t="26670" r="42545" b="68580"/>
                <wp:wrapNone/>
                <wp:docPr id="143" name="直接连接符 143"/>
                <wp:cNvGraphicFramePr/>
                <a:graphic xmlns:a="http://schemas.openxmlformats.org/drawingml/2006/main">
                  <a:graphicData uri="http://schemas.microsoft.com/office/word/2010/wordprocessingShape">
                    <wps:wsp>
                      <wps:cNvCnPr/>
                      <wps:spPr>
                        <a:xfrm flipV="1">
                          <a:off x="10022205" y="6748145"/>
                          <a:ext cx="2000250" cy="1905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id="_x0000_s1026" o:spid="_x0000_s1026" o:spt="20" style="position:absolute;left:0pt;flip:y;margin-left:735.45pt;margin-top:460.5pt;height:1.5pt;width:157.5pt;z-index:473925632;mso-width-relative:page;mso-height-relative:page;" filled="f" stroked="t" coordsize="21600,21600" o:gfxdata="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CDek7&#10;2gAAAA0BAAAPAAAAAAAAAAEAIAAAACIAAABkcnMvZG93bnJldi54bWxQSwECFAAUAAAACACHTuJA&#10;IaN3lR8CAAAYBAAADgAAAAAAAAABACAAAAApAQAAZHJzL2Uyb0RvYy54bWxQSwUGAAAAAAYABgBZ&#10;AQAAugUAAAAA&#10;">
                <v:fill on="f" focussize="0,0"/>
                <v:stroke weight="2pt" color="#C0504D [3205]" joinstyle="round"/>
                <v:imagedata o:title=""/>
                <o:lock v:ext="edit" aspectratio="f"/>
                <v:shadow on="t" color="#000000" opacity="24903f" offset="0pt,1.5748031496063pt" origin="0f,32768f" matrix="65536f,0f,0f,65536f"/>
              </v:line>
            </w:pict>
          </mc:Fallback>
        </mc:AlternateContent>
      </w:r>
      <w:r>
        <w:rPr>
          <w:color w:val="auto"/>
          <w:sz w:val="24"/>
        </w:rPr>
        <mc:AlternateContent>
          <mc:Choice Requires="wps">
            <w:drawing>
              <wp:anchor distT="0" distB="0" distL="114300" distR="114300" simplePos="0" relativeHeight="473924608" behindDoc="0" locked="0" layoutInCell="1" allowOverlap="1">
                <wp:simplePos x="0" y="0"/>
                <wp:positionH relativeFrom="column">
                  <wp:posOffset>8549640</wp:posOffset>
                </wp:positionH>
                <wp:positionV relativeFrom="paragraph">
                  <wp:posOffset>5105400</wp:posOffset>
                </wp:positionV>
                <wp:extent cx="771525" cy="752475"/>
                <wp:effectExtent l="3175" t="3175" r="6350" b="6350"/>
                <wp:wrapNone/>
                <wp:docPr id="142" name="直接连接符 142"/>
                <wp:cNvGraphicFramePr/>
                <a:graphic xmlns:a="http://schemas.openxmlformats.org/drawingml/2006/main">
                  <a:graphicData uri="http://schemas.microsoft.com/office/word/2010/wordprocessingShape">
                    <wps:wsp>
                      <wps:cNvCnPr/>
                      <wps:spPr>
                        <a:xfrm>
                          <a:off x="9269730" y="6005195"/>
                          <a:ext cx="771525" cy="752475"/>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id="_x0000_s1026" o:spid="_x0000_s1026" o:spt="20" style="position:absolute;left:0pt;margin-left:673.2pt;margin-top:402pt;height:59.25pt;width:60.75pt;z-index:473924608;mso-width-relative:page;mso-height-relative:page;" filled="f" stroked="t" coordsize="21600,21600" o:gfxdata="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CnxdM/YAAAA&#10;DQEAAA8AAAAAAAAAAQAgAAAAIgAAAGRycy9kb3ducmV2LnhtbFBLAQIUABQAAAAIAIdO4kDQOC3m&#10;HQIAAA0EAAAOAAAAAAAAAAEAIAAAACcBAABkcnMvZTJvRG9jLnhtbFBLBQYAAAAABgAGAFkBAAC2&#10;BQAAAAA=&#10;">
                <v:fill on="f" focussize="0,0"/>
                <v:stroke weight="2pt" color="#C0504D [3205]" joinstyle="round"/>
                <v:imagedata o:title=""/>
                <o:lock v:ext="edit" aspectratio="f"/>
                <v:shadow on="t" color="#000000" opacity="24903f" offset="0pt,1.5748031496063pt" origin="0f,32768f" matrix="65536f,0f,0f,65536f"/>
              </v:line>
            </w:pict>
          </mc:Fallback>
        </mc:AlternateContent>
      </w:r>
      <w:r>
        <w:rPr>
          <w:color w:val="auto"/>
          <w:sz w:val="24"/>
        </w:rPr>
        <mc:AlternateContent>
          <mc:Choice Requires="wps">
            <w:drawing>
              <wp:anchor distT="0" distB="0" distL="114300" distR="114300" simplePos="0" relativeHeight="473923584" behindDoc="0" locked="0" layoutInCell="1" allowOverlap="1">
                <wp:simplePos x="0" y="0"/>
                <wp:positionH relativeFrom="column">
                  <wp:posOffset>6825615</wp:posOffset>
                </wp:positionH>
                <wp:positionV relativeFrom="paragraph">
                  <wp:posOffset>5095875</wp:posOffset>
                </wp:positionV>
                <wp:extent cx="1733550" cy="57150"/>
                <wp:effectExtent l="34290" t="26670" r="41910" b="68580"/>
                <wp:wrapNone/>
                <wp:docPr id="141" name="直接连接符 141"/>
                <wp:cNvGraphicFramePr/>
                <a:graphic xmlns:a="http://schemas.openxmlformats.org/drawingml/2006/main">
                  <a:graphicData uri="http://schemas.microsoft.com/office/word/2010/wordprocessingShape">
                    <wps:wsp>
                      <wps:cNvCnPr/>
                      <wps:spPr>
                        <a:xfrm flipV="1">
                          <a:off x="7545705" y="5995670"/>
                          <a:ext cx="1733550" cy="5715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id="_x0000_s1026" o:spid="_x0000_s1026" o:spt="20" style="position:absolute;left:0pt;flip:y;margin-left:537.45pt;margin-top:401.25pt;height:4.5pt;width:136.5pt;z-index:473923584;mso-width-relative:page;mso-height-relative:page;" filled="f" stroked="t" coordsize="21600,21600" o:gfxdata="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CJF&#10;ZpXaAAAADQEAAA8AAAAAAAAAAQAgAAAAIgAAAGRycy9kb3ducmV2LnhtbFBLAQIUABQAAAAIAIdO&#10;4kD0y9IqIQIAABcEAAAOAAAAAAAAAAEAIAAAACkBAABkcnMvZTJvRG9jLnhtbFBLBQYAAAAABgAG&#10;AFkBAAC8BQAAAAA=&#10;">
                <v:fill on="f" focussize="0,0"/>
                <v:stroke weight="2pt" color="#C0504D [3205]" joinstyle="round"/>
                <v:imagedata o:title=""/>
                <o:lock v:ext="edit" aspectratio="f"/>
                <v:shadow on="t" color="#000000" opacity="24903f" offset="0pt,1.5748031496063pt" origin="0f,32768f" matrix="65536f,0f,0f,65536f"/>
              </v:line>
            </w:pict>
          </mc:Fallback>
        </mc:AlternateContent>
      </w:r>
      <w:r>
        <w:rPr>
          <w:color w:val="auto"/>
        </w:rPr>
        <mc:AlternateContent>
          <mc:Choice Requires="wps">
            <w:drawing>
              <wp:anchor distT="0" distB="0" distL="114300" distR="114300" simplePos="0" relativeHeight="473922560" behindDoc="0" locked="0" layoutInCell="1" allowOverlap="1">
                <wp:simplePos x="0" y="0"/>
                <wp:positionH relativeFrom="column">
                  <wp:posOffset>10482580</wp:posOffset>
                </wp:positionH>
                <wp:positionV relativeFrom="paragraph">
                  <wp:posOffset>3446780</wp:posOffset>
                </wp:positionV>
                <wp:extent cx="1210945" cy="395605"/>
                <wp:effectExtent l="338455" t="12700" r="12700" b="487045"/>
                <wp:wrapNone/>
                <wp:docPr id="140" name="矩形标注 140"/>
                <wp:cNvGraphicFramePr/>
                <a:graphic xmlns:a="http://schemas.openxmlformats.org/drawingml/2006/main">
                  <a:graphicData uri="http://schemas.microsoft.com/office/word/2010/wordprocessingShape">
                    <wps:wsp>
                      <wps:cNvSpPr/>
                      <wps:spPr>
                        <a:xfrm>
                          <a:off x="0" y="0"/>
                          <a:ext cx="1210945" cy="395605"/>
                        </a:xfrm>
                        <a:prstGeom prst="wedgeRectCallout">
                          <a:avLst>
                            <a:gd name="adj1" fmla="val -76900"/>
                            <a:gd name="adj2" fmla="val 166693"/>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color w:val="000000" w:themeColor="text1"/>
                                <w:lang w:eastAsia="zh-CN"/>
                                <w14:textFill>
                                  <w14:solidFill>
                                    <w14:schemeClr w14:val="tx1"/>
                                  </w14:solidFill>
                                </w14:textFill>
                              </w:rPr>
                            </w:pPr>
                            <w:r>
                              <w:rPr>
                                <w:rFonts w:hint="eastAsia"/>
                                <w:b/>
                                <w:color w:val="000000" w:themeColor="text1"/>
                                <w:lang w:eastAsia="zh-CN"/>
                                <w14:textFill>
                                  <w14:solidFill>
                                    <w14:schemeClr w14:val="tx1"/>
                                  </w14:solidFill>
                                </w14:textFill>
                              </w:rPr>
                              <w:t>厂外截水沟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825.4pt;margin-top:271.4pt;height:31.15pt;width:95.35pt;z-index:473922560;v-text-anchor:middle;mso-width-relative:page;mso-height-relative:page;" filled="f" stroked="t" coordsize="21600,21600" o:gfxdata="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FpaM8NcA&#10;AAANAQAADwAAAAAAAAABACAAAAAiAAAAZHJzL2Rvd25yZXYueG1sUEsBAhQAFAAAAAgAh07iQLlh&#10;GeOSAgAA+wQAAA4AAAAAAAAAAQAgAAAAJgEAAGRycy9lMm9Eb2MueG1sUEsFBgAAAAAGAAYAWQEA&#10;ACoGAAAAAA==&#10;" adj="-5810,46806">
                <v:fill on="f" focussize="0,0"/>
                <v:stroke weight="2pt" color="#385D8A [3204]" joinstyle="round"/>
                <v:imagedata o:title=""/>
                <o:lock v:ext="edit" aspectratio="f"/>
                <v:textbox>
                  <w:txbxContent>
                    <w:p>
                      <w:pPr>
                        <w:jc w:val="center"/>
                        <w:rPr>
                          <w:rFonts w:hint="eastAsia" w:eastAsia="宋体"/>
                          <w:b/>
                          <w:color w:val="000000" w:themeColor="text1"/>
                          <w:lang w:eastAsia="zh-CN"/>
                          <w14:textFill>
                            <w14:solidFill>
                              <w14:schemeClr w14:val="tx1"/>
                            </w14:solidFill>
                          </w14:textFill>
                        </w:rPr>
                      </w:pPr>
                      <w:r>
                        <w:rPr>
                          <w:rFonts w:hint="eastAsia"/>
                          <w:b/>
                          <w:color w:val="000000" w:themeColor="text1"/>
                          <w:lang w:eastAsia="zh-CN"/>
                          <w14:textFill>
                            <w14:solidFill>
                              <w14:schemeClr w14:val="tx1"/>
                            </w14:solidFill>
                          </w14:textFill>
                        </w:rPr>
                        <w:t>厂外截水沟</w:t>
                      </w:r>
                    </w:p>
                  </w:txbxContent>
                </v:textbox>
              </v:shape>
            </w:pict>
          </mc:Fallback>
        </mc:AlternateContent>
      </w:r>
      <w:r>
        <w:rPr>
          <w:color w:val="auto"/>
          <w:sz w:val="24"/>
        </w:rPr>
        <mc:AlternateContent>
          <mc:Choice Requires="wps">
            <w:drawing>
              <wp:anchor distT="0" distB="0" distL="114300" distR="114300" simplePos="0" relativeHeight="258042880" behindDoc="0" locked="0" layoutInCell="1" allowOverlap="1">
                <wp:simplePos x="0" y="0"/>
                <wp:positionH relativeFrom="column">
                  <wp:posOffset>6241415</wp:posOffset>
                </wp:positionH>
                <wp:positionV relativeFrom="paragraph">
                  <wp:posOffset>4368165</wp:posOffset>
                </wp:positionV>
                <wp:extent cx="551180" cy="793750"/>
                <wp:effectExtent l="12700" t="0" r="26670" b="12700"/>
                <wp:wrapNone/>
                <wp:docPr id="70" name="矩形 70"/>
                <wp:cNvGraphicFramePr/>
                <a:graphic xmlns:a="http://schemas.openxmlformats.org/drawingml/2006/main">
                  <a:graphicData uri="http://schemas.microsoft.com/office/word/2010/wordprocessingShape">
                    <wps:wsp>
                      <wps:cNvSpPr/>
                      <wps:spPr>
                        <a:xfrm>
                          <a:off x="6894830" y="5137785"/>
                          <a:ext cx="551180" cy="79375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1.45pt;margin-top:343.95pt;height:62.5pt;width:43.4pt;z-index:258042880;v-text-anchor:middle;mso-width-relative:page;mso-height-relative:page;" filled="f" stroked="t" coordsize="21600,21600" o:gfxdata="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bQy8q9oAAAAMAQAA&#10;DwAAAAAAAAABACAAAAAiAAAAZHJzL2Rvd25yZXYueG1sUEsBAhQAFAAAAAgAh07iQBeGrWdQAgAA&#10;cwQAAA4AAAAAAAAAAQAgAAAAKQEAAGRycy9lMm9Eb2MueG1sUEsFBgAAAAAGAAYAWQEAAOsFAAAA&#10;AA==&#10;">
                <v:fill on="f" focussize="0,0"/>
                <v:stroke weight="2pt" color="#FFFF00 [3204]" joinstyle="round"/>
                <v:imagedata o:title=""/>
                <o:lock v:ext="edit" aspectratio="f"/>
              </v:rect>
            </w:pict>
          </mc:Fallback>
        </mc:AlternateContent>
      </w:r>
      <w:r>
        <w:rPr>
          <w:color w:val="auto"/>
        </w:rPr>
        <mc:AlternateContent>
          <mc:Choice Requires="wps">
            <w:drawing>
              <wp:anchor distT="0" distB="0" distL="114300" distR="114300" simplePos="0" relativeHeight="258041856" behindDoc="0" locked="0" layoutInCell="1" allowOverlap="1">
                <wp:simplePos x="0" y="0"/>
                <wp:positionH relativeFrom="column">
                  <wp:posOffset>10788650</wp:posOffset>
                </wp:positionH>
                <wp:positionV relativeFrom="paragraph">
                  <wp:posOffset>1661160</wp:posOffset>
                </wp:positionV>
                <wp:extent cx="1210945" cy="557530"/>
                <wp:effectExtent l="948690" t="5080" r="12065" b="713740"/>
                <wp:wrapNone/>
                <wp:docPr id="73" name="矩形标注 73"/>
                <wp:cNvGraphicFramePr/>
                <a:graphic xmlns:a="http://schemas.openxmlformats.org/drawingml/2006/main">
                  <a:graphicData uri="http://schemas.microsoft.com/office/word/2010/wordprocessingShape">
                    <wps:wsp>
                      <wps:cNvSpPr/>
                      <wps:spPr>
                        <a:xfrm>
                          <a:off x="0" y="0"/>
                          <a:ext cx="1210945" cy="557530"/>
                        </a:xfrm>
                        <a:prstGeom prst="wedgeRectCallout">
                          <a:avLst>
                            <a:gd name="adj1" fmla="val -127975"/>
                            <a:gd name="adj2" fmla="val 176195"/>
                          </a:avLst>
                        </a:prstGeom>
                        <a:noFill/>
                        <a:ln w="3175"/>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color w:val="000000" w:themeColor="text1"/>
                                <w14:textFill>
                                  <w14:solidFill>
                                    <w14:schemeClr w14:val="tx1"/>
                                  </w14:solidFill>
                                </w14:textFill>
                              </w:rPr>
                            </w:pPr>
                            <w:r>
                              <w:rPr>
                                <w:rFonts w:hint="eastAsia"/>
                                <w:b/>
                                <w:color w:val="000000" w:themeColor="text1"/>
                                <w:lang w:eastAsia="zh-CN"/>
                                <w14:textFill>
                                  <w14:solidFill>
                                    <w14:schemeClr w14:val="tx1"/>
                                  </w14:solidFill>
                                </w14:textFill>
                              </w:rPr>
                              <w:t>飞灰填埋场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849.5pt;margin-top:130.8pt;height:43.9pt;width:95.35pt;z-index:258041856;v-text-anchor:middle;mso-width-relative:page;mso-height-relative:page;" filled="f" stroked="t" coordsize="21600,21600" o:gfxdata="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A9SbuD&#10;2QAAAA0BAAAPAAAAAAAAAAEAIAAAACIAAABkcnMvZG93bnJldi54bWxQSwECFAAUAAAACACHTuJA&#10;cBIO1pICAAD5BAAADgAAAAAAAAABACAAAAAoAQAAZHJzL2Uyb0RvYy54bWxQSwUGAAAAAAYABgBZ&#10;AQAALAYAAAAA&#10;" adj="-16843,48858">
                <v:fill on="f" focussize="0,0"/>
                <v:stroke weight="0.25pt" color="#385D8A [3204]" joinstyle="round"/>
                <v:imagedata o:title=""/>
                <o:lock v:ext="edit" aspectratio="f"/>
                <v:textbox>
                  <w:txbxContent>
                    <w:p>
                      <w:pPr>
                        <w:jc w:val="center"/>
                        <w:rPr>
                          <w:b/>
                          <w:color w:val="000000" w:themeColor="text1"/>
                          <w14:textFill>
                            <w14:solidFill>
                              <w14:schemeClr w14:val="tx1"/>
                            </w14:solidFill>
                          </w14:textFill>
                        </w:rPr>
                      </w:pPr>
                      <w:r>
                        <w:rPr>
                          <w:rFonts w:hint="eastAsia"/>
                          <w:b/>
                          <w:color w:val="000000" w:themeColor="text1"/>
                          <w:lang w:eastAsia="zh-CN"/>
                          <w14:textFill>
                            <w14:solidFill>
                              <w14:schemeClr w14:val="tx1"/>
                            </w14:solidFill>
                          </w14:textFill>
                        </w:rPr>
                        <w:t>飞灰填埋场</w:t>
                      </w:r>
                    </w:p>
                  </w:txbxContent>
                </v:textbox>
              </v:shape>
            </w:pict>
          </mc:Fallback>
        </mc:AlternateContent>
      </w:r>
      <w:r>
        <w:rPr>
          <w:color w:val="auto"/>
        </w:rPr>
        <mc:AlternateContent>
          <mc:Choice Requires="wps">
            <w:drawing>
              <wp:anchor distT="0" distB="0" distL="114300" distR="114300" simplePos="0" relativeHeight="254924800" behindDoc="0" locked="0" layoutInCell="1" allowOverlap="1">
                <wp:simplePos x="0" y="0"/>
                <wp:positionH relativeFrom="column">
                  <wp:posOffset>10099675</wp:posOffset>
                </wp:positionH>
                <wp:positionV relativeFrom="paragraph">
                  <wp:posOffset>737870</wp:posOffset>
                </wp:positionV>
                <wp:extent cx="1210945" cy="427355"/>
                <wp:effectExtent l="742315" t="12700" r="27940" b="417195"/>
                <wp:wrapNone/>
                <wp:docPr id="74" name="矩形标注 74"/>
                <wp:cNvGraphicFramePr/>
                <a:graphic xmlns:a="http://schemas.openxmlformats.org/drawingml/2006/main">
                  <a:graphicData uri="http://schemas.microsoft.com/office/word/2010/wordprocessingShape">
                    <wps:wsp>
                      <wps:cNvSpPr/>
                      <wps:spPr>
                        <a:xfrm>
                          <a:off x="0" y="0"/>
                          <a:ext cx="1210945" cy="427355"/>
                        </a:xfrm>
                        <a:prstGeom prst="wedgeRectCallout">
                          <a:avLst>
                            <a:gd name="adj1" fmla="val -110251"/>
                            <a:gd name="adj2" fmla="val 140490"/>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园区红线图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795.25pt;margin-top:58.1pt;height:33.65pt;width:95.35pt;z-index:254924800;v-text-anchor:middle;mso-width-relative:page;mso-height-relative:page;" filled="f" stroked="t" coordsize="21600,21600" o:gfxdata="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BXl&#10;RzvZAAAADQEAAA8AAAAAAAAAAQAgAAAAIgAAAGRycy9kb3ducmV2LnhtbFBLAQIUABQAAAAIAIdO&#10;4kC8Q473lAIAAPoEAAAOAAAAAAAAAAEAIAAAACgBAABkcnMvZTJvRG9jLnhtbFBLBQYAAAAABgAG&#10;AFkBAAAuBgAAAAA=&#10;" adj="-13014,41146">
                <v:fill on="f" focussize="0,0"/>
                <v:stroke weight="2pt" color="#385D8A [3204]" joinstyle="round"/>
                <v:imagedata o:title=""/>
                <o:lock v:ext="edit" aspectratio="f"/>
                <v:textbox>
                  <w:txbxContent>
                    <w:p>
                      <w:pPr>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园区红线图</w:t>
                      </w:r>
                    </w:p>
                  </w:txbxContent>
                </v:textbox>
              </v:shape>
            </w:pict>
          </mc:Fallback>
        </mc:AlternateContent>
      </w:r>
      <w:r>
        <w:rPr>
          <w:color w:val="auto"/>
        </w:rPr>
        <w:drawing>
          <wp:inline distT="0" distB="0" distL="114300" distR="114300">
            <wp:extent cx="11405235" cy="8064500"/>
            <wp:effectExtent l="0" t="0" r="5715" b="12700"/>
            <wp:docPr id="76" name="图片 76" descr="兴宁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兴宁平面布置图"/>
                    <pic:cNvPicPr>
                      <a:picLocks noChangeAspect="1"/>
                    </pic:cNvPicPr>
                  </pic:nvPicPr>
                  <pic:blipFill>
                    <a:blip r:embed="rId36"/>
                    <a:stretch>
                      <a:fillRect/>
                    </a:stretch>
                  </pic:blipFill>
                  <pic:spPr>
                    <a:xfrm>
                      <a:off x="0" y="0"/>
                      <a:ext cx="11405235" cy="8064500"/>
                    </a:xfrm>
                    <a:prstGeom prst="rect">
                      <a:avLst/>
                    </a:prstGeom>
                    <a:noFill/>
                    <a:ln w="3175"/>
                  </pic:spPr>
                </pic:pic>
              </a:graphicData>
            </a:graphic>
          </wp:inline>
        </w:drawing>
      </w:r>
      <w:r>
        <w:rPr>
          <w:color w:val="auto"/>
        </w:rPr>
        <mc:AlternateContent>
          <mc:Choice Requires="wps">
            <w:drawing>
              <wp:anchor distT="0" distB="0" distL="114300" distR="114300" simplePos="0" relativeHeight="254926848" behindDoc="0" locked="0" layoutInCell="1" allowOverlap="1">
                <wp:simplePos x="0" y="0"/>
                <wp:positionH relativeFrom="column">
                  <wp:posOffset>4765040</wp:posOffset>
                </wp:positionH>
                <wp:positionV relativeFrom="paragraph">
                  <wp:posOffset>2859405</wp:posOffset>
                </wp:positionV>
                <wp:extent cx="1210945" cy="558165"/>
                <wp:effectExtent l="4445" t="4445" r="270510" b="1247140"/>
                <wp:wrapNone/>
                <wp:docPr id="78" name="矩形标注 78"/>
                <wp:cNvGraphicFramePr/>
                <a:graphic xmlns:a="http://schemas.openxmlformats.org/drawingml/2006/main">
                  <a:graphicData uri="http://schemas.microsoft.com/office/word/2010/wordprocessingShape">
                    <wps:wsp>
                      <wps:cNvSpPr/>
                      <wps:spPr>
                        <a:xfrm>
                          <a:off x="0" y="0"/>
                          <a:ext cx="1210945" cy="558165"/>
                        </a:xfrm>
                        <a:prstGeom prst="wedgeRectCallout">
                          <a:avLst>
                            <a:gd name="adj1" fmla="val 71552"/>
                            <a:gd name="adj2" fmla="val 269340"/>
                          </a:avLst>
                        </a:prstGeom>
                        <a:noFill/>
                        <a:ln w="3175"/>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餐厨垃圾项目红线图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75.2pt;margin-top:225.15pt;height:43.95pt;width:95.35pt;z-index:254926848;v-text-anchor:middle;mso-width-relative:page;mso-height-relative:page;" filled="f" stroked="t" coordsize="21600,21600" o:gfxdata="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y/Sf&#10;s9wAAAALAQAADwAAAAAAAAABACAAAAAiAAAAZHJzL2Rvd25yZXYueG1sUEsBAhQAFAAAAAgAh07i&#10;QH/RaX2QAgAA9wQAAA4AAAAAAAAAAQAgAAAAKwEAAGRycy9lMm9Eb2MueG1sUEsFBgAAAAAGAAYA&#10;WQEAAC0GAAAAAA==&#10;" adj="26255,68977">
                <v:fill on="f" focussize="0,0"/>
                <v:stroke weight="0.25pt" color="#385D8A [3204]" joinstyle="round"/>
                <v:imagedata o:title=""/>
                <o:lock v:ext="edit" aspectratio="f"/>
                <v:textbox>
                  <w:txbxContent>
                    <w:p>
                      <w:pPr>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餐厨垃圾项目红线图</w:t>
                      </w:r>
                    </w:p>
                  </w:txbxContent>
                </v:textbox>
              </v:shape>
            </w:pict>
          </mc:Fallback>
        </mc:AlternateContent>
      </w:r>
      <w:r>
        <w:rPr>
          <w:color w:val="auto"/>
        </w:rPr>
        <mc:AlternateContent>
          <mc:Choice Requires="wps">
            <w:drawing>
              <wp:anchor distT="0" distB="0" distL="114300" distR="114300" simplePos="0" relativeHeight="254928896" behindDoc="0" locked="0" layoutInCell="1" allowOverlap="1">
                <wp:simplePos x="0" y="0"/>
                <wp:positionH relativeFrom="column">
                  <wp:posOffset>5111750</wp:posOffset>
                </wp:positionH>
                <wp:positionV relativeFrom="paragraph">
                  <wp:posOffset>1847215</wp:posOffset>
                </wp:positionV>
                <wp:extent cx="1210945" cy="557530"/>
                <wp:effectExtent l="4445" t="4445" r="1242060" b="733425"/>
                <wp:wrapNone/>
                <wp:docPr id="88" name="矩形标注 88"/>
                <wp:cNvGraphicFramePr/>
                <a:graphic xmlns:a="http://schemas.openxmlformats.org/drawingml/2006/main">
                  <a:graphicData uri="http://schemas.microsoft.com/office/word/2010/wordprocessingShape">
                    <wps:wsp>
                      <wps:cNvSpPr/>
                      <wps:spPr>
                        <a:xfrm>
                          <a:off x="0" y="0"/>
                          <a:ext cx="1210945" cy="557530"/>
                        </a:xfrm>
                        <a:prstGeom prst="wedgeRectCallout">
                          <a:avLst>
                            <a:gd name="adj1" fmla="val 150786"/>
                            <a:gd name="adj2" fmla="val 178132"/>
                          </a:avLst>
                        </a:prstGeom>
                        <a:noFill/>
                        <a:ln w="3175"/>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建筑垃圾项目红线图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02.5pt;margin-top:145.45pt;height:43.9pt;width:95.35pt;z-index:254928896;v-text-anchor:middle;mso-width-relative:page;mso-height-relative:page;" filled="f" stroked="t" coordsize="21600,21600" o:gfxdata="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INgT4La&#10;AAAACwEAAA8AAAAAAAAAAQAgAAAAIgAAAGRycy9kb3ducmV2LnhtbFBLAQIUABQAAAAIAIdO4kDU&#10;3JXQkAIAAPgEAAAOAAAAAAAAAAEAIAAAACkBAABkcnMvZTJvRG9jLnhtbFBLBQYAAAAABgAGAFkB&#10;AAArBgAAAAA=&#10;" adj="43370,49277">
                <v:fill on="f" focussize="0,0"/>
                <v:stroke weight="0.25pt" color="#385D8A [3204]" joinstyle="round"/>
                <v:imagedata o:title=""/>
                <o:lock v:ext="edit" aspectratio="f"/>
                <v:textbox>
                  <w:txbxContent>
                    <w:p>
                      <w:pPr>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建筑垃圾项目红线图</w:t>
                      </w:r>
                    </w:p>
                  </w:txbxContent>
                </v:textbox>
              </v:shape>
            </w:pict>
          </mc:Fallback>
        </mc:AlternateContent>
      </w:r>
      <w:r>
        <w:rPr>
          <w:color w:val="auto"/>
        </w:rPr>
        <mc:AlternateContent>
          <mc:Choice Requires="wps">
            <w:drawing>
              <wp:anchor distT="0" distB="0" distL="114300" distR="114300" simplePos="0" relativeHeight="254932992" behindDoc="0" locked="0" layoutInCell="1" allowOverlap="1">
                <wp:simplePos x="0" y="0"/>
                <wp:positionH relativeFrom="column">
                  <wp:posOffset>11675110</wp:posOffset>
                </wp:positionH>
                <wp:positionV relativeFrom="paragraph">
                  <wp:posOffset>6901180</wp:posOffset>
                </wp:positionV>
                <wp:extent cx="1210945" cy="557530"/>
                <wp:effectExtent l="806450" t="1709420" r="20955" b="19050"/>
                <wp:wrapNone/>
                <wp:docPr id="104" name="矩形标注 104"/>
                <wp:cNvGraphicFramePr/>
                <a:graphic xmlns:a="http://schemas.openxmlformats.org/drawingml/2006/main">
                  <a:graphicData uri="http://schemas.microsoft.com/office/word/2010/wordprocessingShape">
                    <wps:wsp>
                      <wps:cNvSpPr/>
                      <wps:spPr>
                        <a:xfrm>
                          <a:off x="0" y="0"/>
                          <a:ext cx="1210945" cy="557530"/>
                        </a:xfrm>
                        <a:prstGeom prst="wedgeRectCallout">
                          <a:avLst>
                            <a:gd name="adj1" fmla="val -116229"/>
                            <a:gd name="adj2" fmla="val -355808"/>
                          </a:avLst>
                        </a:prstGeom>
                        <a:noFill/>
                        <a:ln w="3175"/>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color w:val="000000" w:themeColor="text1"/>
                                <w:lang w:eastAsia="zh-CN"/>
                                <w14:textFill>
                                  <w14:solidFill>
                                    <w14:schemeClr w14:val="tx1"/>
                                  </w14:solidFill>
                                </w14:textFill>
                              </w:rPr>
                            </w:pPr>
                            <w:r>
                              <w:rPr>
                                <w:rFonts w:hint="eastAsia"/>
                                <w:b/>
                                <w:color w:val="000000" w:themeColor="text1"/>
                                <w:lang w:eastAsia="zh-CN"/>
                                <w14:textFill>
                                  <w14:solidFill>
                                    <w14:schemeClr w14:val="tx1"/>
                                  </w14:solidFill>
                                </w14:textFill>
                              </w:rPr>
                              <w:t>渗滤液处理站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919.3pt;margin-top:543.4pt;height:43.9pt;width:95.35pt;z-index:254932992;v-text-anchor:middle;mso-width-relative:page;mso-height-relative:page;" filled="f" stroked="t" coordsize="21600,21600" o:gfxdata="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Be&#10;DHmM2wAAAA8BAAAPAAAAAAAAAAEAIAAAACIAAABkcnMvZG93bnJldi54bWxQSwECFAAUAAAACACH&#10;TuJACOc9CZMCAAD8BAAADgAAAAAAAAABACAAAAAqAQAAZHJzL2Uyb0RvYy54bWxQSwUGAAAAAAYA&#10;BgBZAQAALwYAAAAA&#10;" adj="-14305,-66055">
                <v:fill on="f" focussize="0,0"/>
                <v:stroke weight="0.25pt" color="#385D8A [3204]" joinstyle="round"/>
                <v:imagedata o:title=""/>
                <o:lock v:ext="edit" aspectratio="f"/>
                <v:textbox>
                  <w:txbxContent>
                    <w:p>
                      <w:pPr>
                        <w:jc w:val="center"/>
                        <w:rPr>
                          <w:rFonts w:hint="eastAsia" w:eastAsia="宋体"/>
                          <w:b/>
                          <w:color w:val="000000" w:themeColor="text1"/>
                          <w:lang w:eastAsia="zh-CN"/>
                          <w14:textFill>
                            <w14:solidFill>
                              <w14:schemeClr w14:val="tx1"/>
                            </w14:solidFill>
                          </w14:textFill>
                        </w:rPr>
                      </w:pPr>
                      <w:r>
                        <w:rPr>
                          <w:rFonts w:hint="eastAsia"/>
                          <w:b/>
                          <w:color w:val="000000" w:themeColor="text1"/>
                          <w:lang w:eastAsia="zh-CN"/>
                          <w14:textFill>
                            <w14:solidFill>
                              <w14:schemeClr w14:val="tx1"/>
                            </w14:solidFill>
                          </w14:textFill>
                        </w:rPr>
                        <w:t>渗滤液处理站</w:t>
                      </w:r>
                    </w:p>
                  </w:txbxContent>
                </v:textbox>
              </v:shape>
            </w:pict>
          </mc:Fallback>
        </mc:AlternateContent>
      </w:r>
    </w:p>
    <w:p>
      <w:pPr>
        <w:spacing w:line="360" w:lineRule="auto"/>
        <w:jc w:val="center"/>
        <w:rPr>
          <w:b/>
          <w:bCs/>
          <w:color w:val="auto"/>
        </w:rPr>
        <w:sectPr>
          <w:pgSz w:w="23760" w:h="16781" w:orient="landscape"/>
          <w:pgMar w:top="1417" w:right="1134" w:bottom="1417" w:left="1134" w:header="851" w:footer="992" w:gutter="0"/>
          <w:pgNumType w:fmt="decimal"/>
          <w:cols w:space="0" w:num="1"/>
          <w:rtlGutter w:val="0"/>
          <w:docGrid w:linePitch="312" w:charSpace="0"/>
        </w:sectPr>
      </w:pPr>
      <w:r>
        <w:rPr>
          <w:b/>
          <w:color w:val="auto"/>
          <w:highlight w:val="none"/>
        </w:rPr>
        <w:t>图</w:t>
      </w:r>
      <w:r>
        <w:rPr>
          <w:rFonts w:hint="eastAsia"/>
          <w:b/>
          <w:color w:val="auto"/>
          <w:highlight w:val="none"/>
          <w:lang w:val="en-US" w:eastAsia="zh-CN"/>
        </w:rPr>
        <w:t>3.1-2</w:t>
      </w:r>
      <w:r>
        <w:rPr>
          <w:b/>
          <w:color w:val="auto"/>
          <w:highlight w:val="none"/>
        </w:rPr>
        <w:t xml:space="preserve"> </w:t>
      </w:r>
      <w:r>
        <w:rPr>
          <w:rFonts w:hint="eastAsia"/>
          <w:b/>
          <w:color w:val="auto"/>
          <w:highlight w:val="none"/>
          <w:lang w:eastAsia="zh-CN"/>
        </w:rPr>
        <w:t>餐厨垃圾和建筑垃圾在园区内所在位置图</w:t>
      </w:r>
    </w:p>
    <w:p>
      <w:pPr>
        <w:spacing w:line="360" w:lineRule="auto"/>
        <w:rPr>
          <w:b/>
          <w:bCs/>
          <w:color w:val="auto"/>
        </w:rPr>
      </w:pPr>
      <w:r>
        <w:rPr>
          <w:color w:val="auto"/>
        </w:rPr>
        <mc:AlternateContent>
          <mc:Choice Requires="wps">
            <w:drawing>
              <wp:anchor distT="0" distB="0" distL="114300" distR="114300" simplePos="0" relativeHeight="261318656" behindDoc="0" locked="0" layoutInCell="1" allowOverlap="1">
                <wp:simplePos x="0" y="0"/>
                <wp:positionH relativeFrom="column">
                  <wp:posOffset>8529955</wp:posOffset>
                </wp:positionH>
                <wp:positionV relativeFrom="paragraph">
                  <wp:posOffset>30480</wp:posOffset>
                </wp:positionV>
                <wp:extent cx="1210945" cy="395605"/>
                <wp:effectExtent l="338455" t="12700" r="12700" b="487045"/>
                <wp:wrapNone/>
                <wp:docPr id="108" name="矩形标注 108"/>
                <wp:cNvGraphicFramePr/>
                <a:graphic xmlns:a="http://schemas.openxmlformats.org/drawingml/2006/main">
                  <a:graphicData uri="http://schemas.microsoft.com/office/word/2010/wordprocessingShape">
                    <wps:wsp>
                      <wps:cNvSpPr/>
                      <wps:spPr>
                        <a:xfrm>
                          <a:off x="0" y="0"/>
                          <a:ext cx="1210945" cy="395605"/>
                        </a:xfrm>
                        <a:prstGeom prst="wedgeRectCallout">
                          <a:avLst>
                            <a:gd name="adj1" fmla="val -76900"/>
                            <a:gd name="adj2" fmla="val 166693"/>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color w:val="000000" w:themeColor="text1"/>
                                <w:lang w:eastAsia="zh-CN"/>
                                <w14:textFill>
                                  <w14:solidFill>
                                    <w14:schemeClr w14:val="tx1"/>
                                  </w14:solidFill>
                                </w14:textFill>
                              </w:rPr>
                            </w:pPr>
                            <w:r>
                              <w:rPr>
                                <w:rFonts w:hint="eastAsia"/>
                                <w:b/>
                                <w:color w:val="000000" w:themeColor="text1"/>
                                <w:lang w:eastAsia="zh-CN"/>
                                <w14:textFill>
                                  <w14:solidFill>
                                    <w14:schemeClr w14:val="tx1"/>
                                  </w14:solidFill>
                                </w14:textFill>
                              </w:rPr>
                              <w:t>厂外截水沟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671.65pt;margin-top:2.4pt;height:31.15pt;width:95.35pt;z-index:261318656;v-text-anchor:middle;mso-width-relative:page;mso-height-relative:page;" filled="f" stroked="t" coordsize="21600,21600" o:gfxdata="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CYK3VvVAAAA&#10;CgEAAA8AAAAAAAAAAQAgAAAAIgAAAGRycy9kb3ducmV2LnhtbFBLAQIUABQAAAAIAIdO4kC/n03r&#10;kgIAAPsEAAAOAAAAAAAAAAEAIAAAACQBAABkcnMvZTJvRG9jLnhtbFBLBQYAAAAABgAGAFkBAAAo&#10;BgAAAAA=&#10;" adj="-5810,46806">
                <v:fill on="f" focussize="0,0"/>
                <v:stroke weight="2pt" color="#385D8A [3204]" joinstyle="round"/>
                <v:imagedata o:title=""/>
                <o:lock v:ext="edit" aspectratio="f"/>
                <v:textbox>
                  <w:txbxContent>
                    <w:p>
                      <w:pPr>
                        <w:jc w:val="center"/>
                        <w:rPr>
                          <w:rFonts w:hint="eastAsia" w:eastAsia="宋体"/>
                          <w:b/>
                          <w:color w:val="000000" w:themeColor="text1"/>
                          <w:lang w:eastAsia="zh-CN"/>
                          <w14:textFill>
                            <w14:solidFill>
                              <w14:schemeClr w14:val="tx1"/>
                            </w14:solidFill>
                          </w14:textFill>
                        </w:rPr>
                      </w:pPr>
                      <w:r>
                        <w:rPr>
                          <w:rFonts w:hint="eastAsia"/>
                          <w:b/>
                          <w:color w:val="000000" w:themeColor="text1"/>
                          <w:lang w:eastAsia="zh-CN"/>
                          <w14:textFill>
                            <w14:solidFill>
                              <w14:schemeClr w14:val="tx1"/>
                            </w14:solidFill>
                          </w14:textFill>
                        </w:rPr>
                        <w:t>厂外截水沟</w:t>
                      </w:r>
                    </w:p>
                  </w:txbxContent>
                </v:textbox>
              </v:shape>
            </w:pict>
          </mc:Fallback>
        </mc:AlternateContent>
      </w:r>
    </w:p>
    <w:p>
      <w:pPr>
        <w:spacing w:line="360" w:lineRule="auto"/>
        <w:jc w:val="center"/>
        <w:rPr>
          <w:color w:val="auto"/>
        </w:rPr>
      </w:pPr>
      <w:r>
        <w:rPr>
          <w:color w:val="auto"/>
          <w:sz w:val="24"/>
        </w:rPr>
        <mc:AlternateContent>
          <mc:Choice Requires="wps">
            <w:drawing>
              <wp:anchor distT="0" distB="0" distL="114300" distR="114300" simplePos="0" relativeHeight="2932354048" behindDoc="0" locked="0" layoutInCell="1" allowOverlap="1">
                <wp:simplePos x="0" y="0"/>
                <wp:positionH relativeFrom="column">
                  <wp:posOffset>3987165</wp:posOffset>
                </wp:positionH>
                <wp:positionV relativeFrom="paragraph">
                  <wp:posOffset>1412875</wp:posOffset>
                </wp:positionV>
                <wp:extent cx="752475" cy="608965"/>
                <wp:effectExtent l="0" t="0" r="0" b="0"/>
                <wp:wrapNone/>
                <wp:docPr id="209" name="文本框 209"/>
                <wp:cNvGraphicFramePr/>
                <a:graphic xmlns:a="http://schemas.openxmlformats.org/drawingml/2006/main">
                  <a:graphicData uri="http://schemas.microsoft.com/office/word/2010/wordprocessingShape">
                    <wps:wsp>
                      <wps:cNvSpPr txBox="1"/>
                      <wps:spPr>
                        <a:xfrm>
                          <a:off x="0" y="0"/>
                          <a:ext cx="752475" cy="6089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危化品储仓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3.95pt;margin-top:111.25pt;height:47.95pt;width:59.25pt;z-index:-1362613248;mso-width-relative:page;mso-height-relative:page;" filled="f" stroked="f" coordsize="21600,21600" o:gfxdata="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Ptw1B/dAAAACwEAAA8AAAAAAAAAAQAgAAAAIgAAAGRycy9kb3ducmV2LnhtbFBLAQIUABQAAAAI&#10;AIdO4kDfEaKMIQIAABsEAAAOAAAAAAAAAAEAIAAAACwBAABkcnMvZTJvRG9jLnhtbFBLBQYAAAAA&#10;BgAGAFkBAAC/BQAAAAA=&#10;">
                <v:fill on="f" focussize="0,0"/>
                <v:stroke on="f" weight="0.5pt"/>
                <v:imagedata o:title=""/>
                <o:lock v:ext="edit" aspectratio="f"/>
                <v:textbox>
                  <w:txbxContent>
                    <w:p>
                      <w:pPr>
                        <w:rPr>
                          <w:rFonts w:hint="eastAsia" w:eastAsia="宋体"/>
                          <w:lang w:eastAsia="zh-CN"/>
                        </w:rPr>
                      </w:pPr>
                      <w:r>
                        <w:rPr>
                          <w:rFonts w:hint="eastAsia"/>
                          <w:lang w:eastAsia="zh-CN"/>
                        </w:rPr>
                        <w:t>危化品储仓</w:t>
                      </w:r>
                    </w:p>
                  </w:txbxContent>
                </v:textbox>
              </v:shape>
            </w:pict>
          </mc:Fallback>
        </mc:AlternateContent>
      </w:r>
      <w:r>
        <w:rPr>
          <w:color w:val="auto"/>
          <w:sz w:val="24"/>
        </w:rPr>
        <mc:AlternateContent>
          <mc:Choice Requires="wps">
            <w:drawing>
              <wp:anchor distT="0" distB="0" distL="114300" distR="114300" simplePos="0" relativeHeight="2148312064" behindDoc="0" locked="0" layoutInCell="1" allowOverlap="1">
                <wp:simplePos x="0" y="0"/>
                <wp:positionH relativeFrom="column">
                  <wp:posOffset>4006850</wp:posOffset>
                </wp:positionH>
                <wp:positionV relativeFrom="paragraph">
                  <wp:posOffset>1423035</wp:posOffset>
                </wp:positionV>
                <wp:extent cx="514985" cy="438150"/>
                <wp:effectExtent l="4445" t="5080" r="13970" b="13970"/>
                <wp:wrapNone/>
                <wp:docPr id="208" name="矩形 208"/>
                <wp:cNvGraphicFramePr/>
                <a:graphic xmlns:a="http://schemas.openxmlformats.org/drawingml/2006/main">
                  <a:graphicData uri="http://schemas.microsoft.com/office/word/2010/wordprocessingShape">
                    <wps:wsp>
                      <wps:cNvSpPr/>
                      <wps:spPr>
                        <a:xfrm>
                          <a:off x="0" y="0"/>
                          <a:ext cx="514985" cy="4381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5.5pt;margin-top:112.05pt;height:34.5pt;width:40.55pt;z-index:-2146655232;v-text-anchor:middle;mso-width-relative:page;mso-height-relative:page;" filled="f" stroked="t" coordsize="21600,21600" o:gfxdata="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MnTGxNkAAAALAQAADwAAAAAAAAABACAAAAAi&#10;AAAAZHJzL2Rvd25yZXYueG1sUEsBAhQAFAAAAAgAh07iQGJ4DNRCAgAAaAQAAA4AAAAAAAAAAQAg&#10;AAAAKAEAAGRycy9lMm9Eb2MueG1sUEsFBgAAAAAGAAYAWQEAANwFAAAAAA==&#10;">
                <v:fill on="f" focussize="0,0"/>
                <v:stroke weight="0.25pt" color="#000000 [3213]" joinstyle="round"/>
                <v:imagedata o:title=""/>
                <o:lock v:ext="edit" aspectratio="f"/>
              </v:rect>
            </w:pict>
          </mc:Fallback>
        </mc:AlternateContent>
      </w:r>
      <w:r>
        <w:rPr>
          <w:color w:val="auto"/>
          <w:sz w:val="24"/>
        </w:rPr>
        <mc:AlternateContent>
          <mc:Choice Requires="wps">
            <w:drawing>
              <wp:anchor distT="0" distB="0" distL="114300" distR="114300" simplePos="0" relativeHeight="348295168" behindDoc="0" locked="0" layoutInCell="1" allowOverlap="1">
                <wp:simplePos x="0" y="0"/>
                <wp:positionH relativeFrom="column">
                  <wp:posOffset>4530090</wp:posOffset>
                </wp:positionH>
                <wp:positionV relativeFrom="paragraph">
                  <wp:posOffset>1127760</wp:posOffset>
                </wp:positionV>
                <wp:extent cx="1638935" cy="733425"/>
                <wp:effectExtent l="5080" t="4445" r="13335" b="5080"/>
                <wp:wrapNone/>
                <wp:docPr id="135" name="矩形 135"/>
                <wp:cNvGraphicFramePr/>
                <a:graphic xmlns:a="http://schemas.openxmlformats.org/drawingml/2006/main">
                  <a:graphicData uri="http://schemas.microsoft.com/office/word/2010/wordprocessingShape">
                    <wps:wsp>
                      <wps:cNvSpPr/>
                      <wps:spPr>
                        <a:xfrm>
                          <a:off x="0" y="0"/>
                          <a:ext cx="1638935" cy="73342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6.7pt;margin-top:88.8pt;height:57.75pt;width:129.05pt;z-index:348295168;v-text-anchor:middle;mso-width-relative:page;mso-height-relative:page;" filled="f" stroked="t" coordsize="21600,21600" o:gfxdata="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GTnEEHaAAAACwEAAA8AAAAAAAAAAQAgAAAA&#10;IgAAAGRycy9kb3ducmV2LnhtbFBLAQIUABQAAAAIAIdO4kB7Z2MlQgIAAGkEAAAOAAAAAAAAAAEA&#10;IAAAACkBAABkcnMvZTJvRG9jLnhtbFBLBQYAAAAABgAGAFkBAADdBQAAAAA=&#10;">
                <v:fill on="f" focussize="0,0"/>
                <v:stroke weight="0.25pt" color="#000000 [3213]" joinstyle="round"/>
                <v:imagedata o:title=""/>
                <o:lock v:ext="edit" aspectratio="f"/>
              </v:rect>
            </w:pict>
          </mc:Fallback>
        </mc:AlternateContent>
      </w:r>
      <w:r>
        <w:rPr>
          <w:color w:val="auto"/>
        </w:rPr>
        <w:drawing>
          <wp:inline distT="0" distB="0" distL="114300" distR="114300">
            <wp:extent cx="8106410" cy="7539355"/>
            <wp:effectExtent l="0" t="0" r="8890" b="4445"/>
            <wp:docPr id="10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9"/>
                    <pic:cNvPicPr>
                      <a:picLocks noChangeAspect="1"/>
                    </pic:cNvPicPr>
                  </pic:nvPicPr>
                  <pic:blipFill>
                    <a:blip r:embed="rId67"/>
                    <a:stretch>
                      <a:fillRect/>
                    </a:stretch>
                  </pic:blipFill>
                  <pic:spPr>
                    <a:xfrm>
                      <a:off x="0" y="0"/>
                      <a:ext cx="8106410" cy="7539355"/>
                    </a:xfrm>
                    <a:prstGeom prst="rect">
                      <a:avLst/>
                    </a:prstGeom>
                    <a:noFill/>
                    <a:ln w="9525">
                      <a:noFill/>
                      <a:miter/>
                    </a:ln>
                  </pic:spPr>
                </pic:pic>
              </a:graphicData>
            </a:graphic>
          </wp:inline>
        </w:drawing>
      </w:r>
      <w:r>
        <w:rPr>
          <w:color w:val="auto"/>
          <w:sz w:val="24"/>
        </w:rPr>
        <mc:AlternateContent>
          <mc:Choice Requires="wps">
            <w:drawing>
              <wp:anchor distT="0" distB="0" distL="114300" distR="114300" simplePos="0" relativeHeight="2051674112" behindDoc="0" locked="0" layoutInCell="1" allowOverlap="1">
                <wp:simplePos x="0" y="0"/>
                <wp:positionH relativeFrom="column">
                  <wp:posOffset>3825240</wp:posOffset>
                </wp:positionH>
                <wp:positionV relativeFrom="paragraph">
                  <wp:posOffset>641350</wp:posOffset>
                </wp:positionV>
                <wp:extent cx="752475" cy="476250"/>
                <wp:effectExtent l="0" t="0" r="0" b="0"/>
                <wp:wrapNone/>
                <wp:docPr id="207" name="文本框 207"/>
                <wp:cNvGraphicFramePr/>
                <a:graphic xmlns:a="http://schemas.openxmlformats.org/drawingml/2006/main">
                  <a:graphicData uri="http://schemas.microsoft.com/office/word/2010/wordprocessingShape">
                    <wps:wsp>
                      <wps:cNvSpPr txBox="1"/>
                      <wps:spPr>
                        <a:xfrm>
                          <a:off x="0" y="0"/>
                          <a:ext cx="752475" cy="476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废气排气筒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1.2pt;margin-top:50.5pt;height:37.5pt;width:59.25pt;z-index:2051674112;mso-width-relative:page;mso-height-relative:page;" filled="f" stroked="f" coordsize="21600,21600" o:gfxdata="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B&#10;vZ1O2wAAAAsBAAAPAAAAAAAAAAEAIAAAACIAAABkcnMvZG93bnJldi54bWxQSwECFAAUAAAACACH&#10;TuJAjIL89SECAAAbBAAADgAAAAAAAAABACAAAAAqAQAAZHJzL2Uyb0RvYy54bWxQSwUGAAAAAAYA&#10;BgBZAQAAvQUAAAAA&#10;">
                <v:fill on="f" focussize="0,0"/>
                <v:stroke on="f" weight="0.5pt"/>
                <v:imagedata o:title=""/>
                <o:lock v:ext="edit" aspectratio="f"/>
                <v:textbox>
                  <w:txbxContent>
                    <w:p>
                      <w:pPr>
                        <w:rPr>
                          <w:rFonts w:hint="eastAsia" w:eastAsia="宋体"/>
                          <w:lang w:eastAsia="zh-CN"/>
                        </w:rPr>
                      </w:pPr>
                      <w:r>
                        <w:rPr>
                          <w:rFonts w:hint="eastAsia"/>
                          <w:lang w:eastAsia="zh-CN"/>
                        </w:rPr>
                        <w:t>废气排气筒</w:t>
                      </w:r>
                    </w:p>
                  </w:txbxContent>
                </v:textbox>
              </v:shape>
            </w:pict>
          </mc:Fallback>
        </mc:AlternateContent>
      </w:r>
      <w:r>
        <w:rPr>
          <w:color w:val="auto"/>
          <w:sz w:val="24"/>
        </w:rPr>
        <mc:AlternateContent>
          <mc:Choice Requires="wps">
            <w:drawing>
              <wp:anchor distT="0" distB="0" distL="114300" distR="114300" simplePos="0" relativeHeight="1151666176" behindDoc="0" locked="0" layoutInCell="1" allowOverlap="1">
                <wp:simplePos x="0" y="0"/>
                <wp:positionH relativeFrom="column">
                  <wp:posOffset>4056380</wp:posOffset>
                </wp:positionH>
                <wp:positionV relativeFrom="paragraph">
                  <wp:posOffset>1117600</wp:posOffset>
                </wp:positionV>
                <wp:extent cx="190500" cy="180975"/>
                <wp:effectExtent l="12700" t="12700" r="25400" b="15875"/>
                <wp:wrapNone/>
                <wp:docPr id="206" name="椭圆 206"/>
                <wp:cNvGraphicFramePr/>
                <a:graphic xmlns:a="http://schemas.openxmlformats.org/drawingml/2006/main">
                  <a:graphicData uri="http://schemas.microsoft.com/office/word/2010/wordprocessingShape">
                    <wps:wsp>
                      <wps:cNvSpPr/>
                      <wps:spPr>
                        <a:xfrm>
                          <a:off x="4776470" y="2280285"/>
                          <a:ext cx="190500" cy="180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19.4pt;margin-top:88pt;height:14.25pt;width:15pt;z-index:1151666176;v-text-anchor:middle;mso-width-relative:page;mso-height-relative:page;" fillcolor="#4F81BD [3204]" filled="t" stroked="t" coordsize="21600,21600" o:gfxdata="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8lbKnZAAAACwEAAA8AAAAAAAAAAQAgAAAAIgAAAGRycy9kb3ducmV2Lnht&#10;bFBLAQIUABQAAAAIAIdO4kBs5fmPagIAAMIEAAAOAAAAAAAAAAEAIAAAACgBAABkcnMvZTJvRG9j&#10;LnhtbFBLBQYAAAAABgAGAFkBAAAEBgAAAAA=&#10;">
                <v:fill on="t" focussize="0,0"/>
                <v:stroke weight="2pt" color="#385D8A [3204]" joinstyle="round"/>
                <v:imagedata o:title=""/>
                <o:lock v:ext="edit" aspectratio="f"/>
              </v:shape>
            </w:pict>
          </mc:Fallback>
        </mc:AlternateContent>
      </w:r>
      <w:r>
        <w:rPr>
          <w:color w:val="auto"/>
          <w:sz w:val="24"/>
        </w:rPr>
        <mc:AlternateContent>
          <mc:Choice Requires="wps">
            <w:drawing>
              <wp:anchor distT="0" distB="0" distL="114300" distR="114300" simplePos="0" relativeHeight="1151665152" behindDoc="0" locked="0" layoutInCell="1" allowOverlap="1">
                <wp:simplePos x="0" y="0"/>
                <wp:positionH relativeFrom="column">
                  <wp:posOffset>5758815</wp:posOffset>
                </wp:positionH>
                <wp:positionV relativeFrom="paragraph">
                  <wp:posOffset>3175000</wp:posOffset>
                </wp:positionV>
                <wp:extent cx="752475" cy="476250"/>
                <wp:effectExtent l="0" t="0" r="0" b="0"/>
                <wp:wrapNone/>
                <wp:docPr id="205" name="文本框 205"/>
                <wp:cNvGraphicFramePr/>
                <a:graphic xmlns:a="http://schemas.openxmlformats.org/drawingml/2006/main">
                  <a:graphicData uri="http://schemas.microsoft.com/office/word/2010/wordprocessingShape">
                    <wps:wsp>
                      <wps:cNvSpPr txBox="1"/>
                      <wps:spPr>
                        <a:xfrm>
                          <a:off x="0" y="0"/>
                          <a:ext cx="752475" cy="476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lang w:eastAsia="zh-CN"/>
                              </w:rPr>
                            </w:pPr>
                            <w:r>
                              <w:rPr>
                                <w:rFonts w:hint="eastAsia"/>
                                <w:lang w:eastAsia="zh-CN"/>
                              </w:rPr>
                              <w:t>油脂</w:t>
                            </w:r>
                          </w:p>
                          <w:p>
                            <w:pPr>
                              <w:rPr>
                                <w:rFonts w:hint="eastAsia" w:eastAsia="宋体"/>
                                <w:lang w:eastAsia="zh-CN"/>
                              </w:rPr>
                            </w:pPr>
                            <w:r>
                              <w:rPr>
                                <w:rFonts w:hint="eastAsia"/>
                                <w:lang w:eastAsia="zh-CN"/>
                              </w:rPr>
                              <w:t>储罐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3.45pt;margin-top:250pt;height:37.5pt;width:59.25pt;z-index:1151665152;mso-width-relative:page;mso-height-relative:page;" filled="f" stroked="f" coordsize="21600,21600" o:gfxdata="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1&#10;JlGh3AAAAAwBAAAPAAAAAAAAAAEAIAAAACIAAABkcnMvZG93bnJldi54bWxQSwECFAAUAAAACACH&#10;TuJAlp3MmSACAAAbBAAADgAAAAAAAAABACAAAAArAQAAZHJzL2Uyb0RvYy54bWxQSwUGAAAAAAYA&#10;BgBZAQAAvQUAAAAA&#10;">
                <v:fill on="f" focussize="0,0"/>
                <v:stroke on="f" weight="0.5pt"/>
                <v:imagedata o:title=""/>
                <o:lock v:ext="edit" aspectratio="f"/>
                <v:textbox>
                  <w:txbxContent>
                    <w:p>
                      <w:pPr>
                        <w:rPr>
                          <w:rFonts w:hint="eastAsia"/>
                          <w:lang w:eastAsia="zh-CN"/>
                        </w:rPr>
                      </w:pPr>
                      <w:r>
                        <w:rPr>
                          <w:rFonts w:hint="eastAsia"/>
                          <w:lang w:eastAsia="zh-CN"/>
                        </w:rPr>
                        <w:t>油脂</w:t>
                      </w:r>
                    </w:p>
                    <w:p>
                      <w:pPr>
                        <w:rPr>
                          <w:rFonts w:hint="eastAsia" w:eastAsia="宋体"/>
                          <w:lang w:eastAsia="zh-CN"/>
                        </w:rPr>
                      </w:pPr>
                      <w:r>
                        <w:rPr>
                          <w:rFonts w:hint="eastAsia"/>
                          <w:lang w:eastAsia="zh-CN"/>
                        </w:rPr>
                        <w:t>储罐</w:t>
                      </w:r>
                    </w:p>
                  </w:txbxContent>
                </v:textbox>
              </v:shape>
            </w:pict>
          </mc:Fallback>
        </mc:AlternateContent>
      </w:r>
      <w:r>
        <w:rPr>
          <w:color w:val="auto"/>
          <w:sz w:val="24"/>
        </w:rPr>
        <mc:AlternateContent>
          <mc:Choice Requires="wps">
            <w:drawing>
              <wp:anchor distT="0" distB="0" distL="114300" distR="114300" simplePos="0" relativeHeight="823095296" behindDoc="0" locked="0" layoutInCell="1" allowOverlap="1">
                <wp:simplePos x="0" y="0"/>
                <wp:positionH relativeFrom="column">
                  <wp:posOffset>5835650</wp:posOffset>
                </wp:positionH>
                <wp:positionV relativeFrom="paragraph">
                  <wp:posOffset>3214370</wp:posOffset>
                </wp:positionV>
                <wp:extent cx="323850" cy="381000"/>
                <wp:effectExtent l="4445" t="4445" r="14605" b="14605"/>
                <wp:wrapNone/>
                <wp:docPr id="203" name="矩形 203"/>
                <wp:cNvGraphicFramePr/>
                <a:graphic xmlns:a="http://schemas.openxmlformats.org/drawingml/2006/main">
                  <a:graphicData uri="http://schemas.microsoft.com/office/word/2010/wordprocessingShape">
                    <wps:wsp>
                      <wps:cNvSpPr/>
                      <wps:spPr>
                        <a:xfrm>
                          <a:off x="0" y="0"/>
                          <a:ext cx="323850" cy="38100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9.5pt;margin-top:253.1pt;height:30pt;width:25.5pt;z-index:823095296;v-text-anchor:middle;mso-width-relative:page;mso-height-relative:page;" filled="f" stroked="t" coordsize="21600,21600" o:gfxdata="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amq7rYAAAACwEAAA8AAAAAAAAAAQAgAAAAIgAA&#10;AGRycy9kb3ducmV2LnhtbFBLAQIUABQAAAAIAIdO4kATQvVyQQIAAGgEAAAOAAAAAAAAAAEAIAAA&#10;ACcBAABkcnMvZTJvRG9jLnhtbFBLBQYAAAAABgAGAFkBAADaBQAAAAA=&#10;">
                <v:fill on="f" focussize="0,0"/>
                <v:stroke weight="0.25pt" color="#000000 [3213]" joinstyle="round"/>
                <v:imagedata o:title=""/>
                <o:lock v:ext="edit" aspectratio="f"/>
              </v:rect>
            </w:pict>
          </mc:Fallback>
        </mc:AlternateContent>
      </w:r>
      <w:r>
        <w:rPr>
          <w:color w:val="auto"/>
          <w:sz w:val="24"/>
        </w:rPr>
        <mc:AlternateContent>
          <mc:Choice Requires="wps">
            <w:drawing>
              <wp:anchor distT="0" distB="0" distL="114300" distR="114300" simplePos="0" relativeHeight="1035699200" behindDoc="0" locked="0" layoutInCell="1" allowOverlap="1">
                <wp:simplePos x="0" y="0"/>
                <wp:positionH relativeFrom="column">
                  <wp:posOffset>5482590</wp:posOffset>
                </wp:positionH>
                <wp:positionV relativeFrom="paragraph">
                  <wp:posOffset>2203450</wp:posOffset>
                </wp:positionV>
                <wp:extent cx="752475" cy="608965"/>
                <wp:effectExtent l="0" t="0" r="0" b="0"/>
                <wp:wrapNone/>
                <wp:docPr id="204" name="文本框 204"/>
                <wp:cNvGraphicFramePr/>
                <a:graphic xmlns:a="http://schemas.openxmlformats.org/drawingml/2006/main">
                  <a:graphicData uri="http://schemas.microsoft.com/office/word/2010/wordprocessingShape">
                    <wps:wsp>
                      <wps:cNvSpPr txBox="1"/>
                      <wps:spPr>
                        <a:xfrm>
                          <a:off x="0" y="0"/>
                          <a:ext cx="752475" cy="6089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油水分离间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1.7pt;margin-top:173.5pt;height:47.95pt;width:59.25pt;z-index:1035699200;mso-width-relative:page;mso-height-relative:page;" filled="f" stroked="f" coordsize="21600,21600" o:gfxdata="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MJjDrPdAAAACwEAAA8AAAAAAAAAAQAgAAAAIgAAAGRycy9kb3ducmV2LnhtbFBLAQIUABQAAAAI&#10;AIdO4kBPWmsJIQIAABsEAAAOAAAAAAAAAAEAIAAAACwBAABkcnMvZTJvRG9jLnhtbFBLBQYAAAAA&#10;BgAGAFkBAAC/BQAAAAA=&#10;">
                <v:fill on="f" focussize="0,0"/>
                <v:stroke on="f" weight="0.5pt"/>
                <v:imagedata o:title=""/>
                <o:lock v:ext="edit" aspectratio="f"/>
                <v:textbox>
                  <w:txbxContent>
                    <w:p>
                      <w:pPr>
                        <w:rPr>
                          <w:rFonts w:hint="eastAsia" w:eastAsia="宋体"/>
                          <w:lang w:eastAsia="zh-CN"/>
                        </w:rPr>
                      </w:pPr>
                      <w:r>
                        <w:rPr>
                          <w:rFonts w:hint="eastAsia"/>
                          <w:lang w:eastAsia="zh-CN"/>
                        </w:rPr>
                        <w:t>油水分离间</w:t>
                      </w:r>
                    </w:p>
                  </w:txbxContent>
                </v:textbox>
              </v:shape>
            </w:pict>
          </mc:Fallback>
        </mc:AlternateContent>
      </w:r>
      <w:r>
        <w:rPr>
          <w:color w:val="auto"/>
          <w:sz w:val="24"/>
        </w:rPr>
        <mc:AlternateContent>
          <mc:Choice Requires="wps">
            <w:drawing>
              <wp:anchor distT="0" distB="0" distL="114300" distR="114300" simplePos="0" relativeHeight="464261120" behindDoc="0" locked="0" layoutInCell="1" allowOverlap="1">
                <wp:simplePos x="0" y="0"/>
                <wp:positionH relativeFrom="column">
                  <wp:posOffset>5482590</wp:posOffset>
                </wp:positionH>
                <wp:positionV relativeFrom="paragraph">
                  <wp:posOffset>2203450</wp:posOffset>
                </wp:positionV>
                <wp:extent cx="752475" cy="608965"/>
                <wp:effectExtent l="0" t="0" r="0" b="0"/>
                <wp:wrapNone/>
                <wp:docPr id="138" name="文本框 138"/>
                <wp:cNvGraphicFramePr/>
                <a:graphic xmlns:a="http://schemas.openxmlformats.org/drawingml/2006/main">
                  <a:graphicData uri="http://schemas.microsoft.com/office/word/2010/wordprocessingShape">
                    <wps:wsp>
                      <wps:cNvSpPr txBox="1"/>
                      <wps:spPr>
                        <a:xfrm>
                          <a:off x="0" y="0"/>
                          <a:ext cx="752475" cy="6089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油水分离间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1.7pt;margin-top:173.5pt;height:47.95pt;width:59.25pt;z-index:464261120;mso-width-relative:page;mso-height-relative:page;" filled="f" stroked="f" coordsize="21600,21600" o:gfxdata="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wmMOs90AAAALAQAADwAAAAAAAAABACAAAAAiAAAAZHJzL2Rvd25yZXYueG1sUEsBAhQAFAAAAAgA&#10;h07iQDRmPPcgAgAAGwQAAA4AAAAAAAAAAQAgAAAALAEAAGRycy9lMm9Eb2MueG1sUEsFBgAAAAAG&#10;AAYAWQEAAL4FAAAAAA==&#10;">
                <v:fill on="f" focussize="0,0"/>
                <v:stroke on="f" weight="0.5pt"/>
                <v:imagedata o:title=""/>
                <o:lock v:ext="edit" aspectratio="f"/>
                <v:textbox>
                  <w:txbxContent>
                    <w:p>
                      <w:pPr>
                        <w:rPr>
                          <w:rFonts w:hint="eastAsia" w:eastAsia="宋体"/>
                          <w:lang w:eastAsia="zh-CN"/>
                        </w:rPr>
                      </w:pPr>
                      <w:r>
                        <w:rPr>
                          <w:rFonts w:hint="eastAsia"/>
                          <w:lang w:eastAsia="zh-CN"/>
                        </w:rPr>
                        <w:t>油水分离间</w:t>
                      </w:r>
                    </w:p>
                  </w:txbxContent>
                </v:textbox>
              </v:shape>
            </w:pict>
          </mc:Fallback>
        </mc:AlternateContent>
      </w:r>
      <w:r>
        <w:rPr>
          <w:color w:val="auto"/>
          <w:sz w:val="24"/>
        </w:rPr>
        <mc:AlternateContent>
          <mc:Choice Requires="wps">
            <w:drawing>
              <wp:anchor distT="0" distB="0" distL="114300" distR="114300" simplePos="0" relativeHeight="406278144" behindDoc="0" locked="0" layoutInCell="1" allowOverlap="1">
                <wp:simplePos x="0" y="0"/>
                <wp:positionH relativeFrom="column">
                  <wp:posOffset>5377815</wp:posOffset>
                </wp:positionH>
                <wp:positionV relativeFrom="paragraph">
                  <wp:posOffset>1899285</wp:posOffset>
                </wp:positionV>
                <wp:extent cx="810260" cy="1285240"/>
                <wp:effectExtent l="4445" t="4445" r="23495" b="5715"/>
                <wp:wrapNone/>
                <wp:docPr id="137" name="矩形 137"/>
                <wp:cNvGraphicFramePr/>
                <a:graphic xmlns:a="http://schemas.openxmlformats.org/drawingml/2006/main">
                  <a:graphicData uri="http://schemas.microsoft.com/office/word/2010/wordprocessingShape">
                    <wps:wsp>
                      <wps:cNvSpPr/>
                      <wps:spPr>
                        <a:xfrm>
                          <a:off x="0" y="0"/>
                          <a:ext cx="810260" cy="128524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3.45pt;margin-top:149.55pt;height:101.2pt;width:63.8pt;z-index:406278144;v-text-anchor:middle;mso-width-relative:page;mso-height-relative:page;" filled="f" stroked="t" coordsize="21600,21600" o:gfxdata="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BkoqqrYAAAACwEAAA8AAAAAAAAAAQAgAAAA&#10;IgAAAGRycy9kb3ducmV2LnhtbFBLAQIUABQAAAAIAIdO4kBYyp5rRAIAAGkEAAAOAAAAAAAAAAEA&#10;IAAAACcBAABkcnMvZTJvRG9jLnhtbFBLBQYAAAAABgAGAFkBAADdBQAAAAA=&#10;">
                <v:fill on="f" focussize="0,0"/>
                <v:stroke weight="0.25pt" color="#000000 [3213]" joinstyle="round"/>
                <v:imagedata o:title=""/>
                <o:lock v:ext="edit" aspectratio="f"/>
              </v:rect>
            </w:pict>
          </mc:Fallback>
        </mc:AlternateContent>
      </w:r>
      <w:r>
        <w:rPr>
          <w:color w:val="auto"/>
          <w:sz w:val="24"/>
        </w:rPr>
        <mc:AlternateContent>
          <mc:Choice Requires="wps">
            <w:drawing>
              <wp:anchor distT="0" distB="0" distL="114300" distR="114300" simplePos="0" relativeHeight="367623168" behindDoc="0" locked="0" layoutInCell="1" allowOverlap="1">
                <wp:simplePos x="0" y="0"/>
                <wp:positionH relativeFrom="column">
                  <wp:posOffset>4977765</wp:posOffset>
                </wp:positionH>
                <wp:positionV relativeFrom="paragraph">
                  <wp:posOffset>1308100</wp:posOffset>
                </wp:positionV>
                <wp:extent cx="752475" cy="409575"/>
                <wp:effectExtent l="0" t="0" r="0" b="0"/>
                <wp:wrapNone/>
                <wp:docPr id="136" name="文本框 136"/>
                <wp:cNvGraphicFramePr/>
                <a:graphic xmlns:a="http://schemas.openxmlformats.org/drawingml/2006/main">
                  <a:graphicData uri="http://schemas.microsoft.com/office/word/2010/wordprocessingShape">
                    <wps:wsp>
                      <wps:cNvSpPr txBox="1"/>
                      <wps:spPr>
                        <a:xfrm>
                          <a:off x="0" y="0"/>
                          <a:ext cx="752475" cy="409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脱水间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1.95pt;margin-top:103pt;height:32.25pt;width:59.25pt;z-index:367623168;mso-width-relative:page;mso-height-relative:page;" filled="f" stroked="f" coordsize="21600,21600" o:gfxdata="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u&#10;iyvX3AAAAAsBAAAPAAAAAAAAAAEAIAAAACIAAABkcnMvZG93bnJldi54bWxQSwECFAAUAAAACACH&#10;TuJAPXE7IiACAAAbBAAADgAAAAAAAAABACAAAAArAQAAZHJzL2Uyb0RvYy54bWxQSwUGAAAAAAYA&#10;BgBZAQAAvQUAAAAA&#10;">
                <v:fill on="f" focussize="0,0"/>
                <v:stroke on="f" weight="0.5pt"/>
                <v:imagedata o:title=""/>
                <o:lock v:ext="edit" aspectratio="f"/>
                <v:textbox>
                  <w:txbxContent>
                    <w:p>
                      <w:pPr>
                        <w:rPr>
                          <w:rFonts w:hint="eastAsia" w:eastAsia="宋体"/>
                          <w:lang w:eastAsia="zh-CN"/>
                        </w:rPr>
                      </w:pPr>
                      <w:r>
                        <w:rPr>
                          <w:rFonts w:hint="eastAsia"/>
                          <w:lang w:eastAsia="zh-CN"/>
                        </w:rPr>
                        <w:t>脱水间</w:t>
                      </w:r>
                    </w:p>
                  </w:txbxContent>
                </v:textbox>
              </v:shape>
            </w:pict>
          </mc:Fallback>
        </mc:AlternateContent>
      </w:r>
      <w:r>
        <w:rPr>
          <w:color w:val="auto"/>
          <w:sz w:val="24"/>
        </w:rPr>
        <mc:AlternateContent>
          <mc:Choice Requires="wps">
            <w:drawing>
              <wp:anchor distT="0" distB="0" distL="114300" distR="114300" simplePos="0" relativeHeight="290312192" behindDoc="0" locked="0" layoutInCell="1" allowOverlap="1">
                <wp:simplePos x="0" y="0"/>
                <wp:positionH relativeFrom="column">
                  <wp:posOffset>4034790</wp:posOffset>
                </wp:positionH>
                <wp:positionV relativeFrom="paragraph">
                  <wp:posOffset>2232660</wp:posOffset>
                </wp:positionV>
                <wp:extent cx="1038860" cy="1379855"/>
                <wp:effectExtent l="4445" t="5080" r="23495" b="5715"/>
                <wp:wrapNone/>
                <wp:docPr id="133" name="矩形 133"/>
                <wp:cNvGraphicFramePr/>
                <a:graphic xmlns:a="http://schemas.openxmlformats.org/drawingml/2006/main">
                  <a:graphicData uri="http://schemas.microsoft.com/office/word/2010/wordprocessingShape">
                    <wps:wsp>
                      <wps:cNvSpPr/>
                      <wps:spPr>
                        <a:xfrm>
                          <a:off x="0" y="0"/>
                          <a:ext cx="1038860" cy="137985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7.7pt;margin-top:175.8pt;height:108.65pt;width:81.8pt;z-index:290312192;v-text-anchor:middle;mso-width-relative:page;mso-height-relative:page;" filled="f" stroked="t" coordsize="21600,21600" o:gfxdata="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hIKMwdoAAAALAQAADwAAAAAAAAABACAA&#10;AAAiAAAAZHJzL2Rvd25yZXYueG1sUEsBAhQAFAAAAAgAh07iQP9tbBpEAgAAagQAAA4AAAAAAAAA&#10;AQAgAAAAKQEAAGRycy9lMm9Eb2MueG1sUEsFBgAAAAAGAAYAWQEAAN8FAAAAAA==&#10;">
                <v:fill on="f" focussize="0,0"/>
                <v:stroke weight="0.25pt" color="#000000 [3213]" joinstyle="round"/>
                <v:imagedata o:title=""/>
                <o:lock v:ext="edit" aspectratio="f"/>
              </v:rect>
            </w:pict>
          </mc:Fallback>
        </mc:AlternateContent>
      </w:r>
      <w:r>
        <w:rPr>
          <w:color w:val="auto"/>
          <w:sz w:val="24"/>
        </w:rPr>
        <mc:AlternateContent>
          <mc:Choice Requires="wps">
            <w:drawing>
              <wp:anchor distT="0" distB="0" distL="114300" distR="114300" simplePos="0" relativeHeight="309640192" behindDoc="0" locked="0" layoutInCell="1" allowOverlap="1">
                <wp:simplePos x="0" y="0"/>
                <wp:positionH relativeFrom="column">
                  <wp:posOffset>4196715</wp:posOffset>
                </wp:positionH>
                <wp:positionV relativeFrom="paragraph">
                  <wp:posOffset>2946400</wp:posOffset>
                </wp:positionV>
                <wp:extent cx="752475" cy="409575"/>
                <wp:effectExtent l="0" t="0" r="0" b="0"/>
                <wp:wrapNone/>
                <wp:docPr id="134" name="文本框 134"/>
                <wp:cNvGraphicFramePr/>
                <a:graphic xmlns:a="http://schemas.openxmlformats.org/drawingml/2006/main">
                  <a:graphicData uri="http://schemas.microsoft.com/office/word/2010/wordprocessingShape">
                    <wps:wsp>
                      <wps:cNvSpPr txBox="1"/>
                      <wps:spPr>
                        <a:xfrm>
                          <a:off x="0" y="0"/>
                          <a:ext cx="752475" cy="409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破碎间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0.45pt;margin-top:232pt;height:32.25pt;width:59.25pt;z-index:309640192;mso-width-relative:page;mso-height-relative:page;" filled="f" stroked="f" coordsize="21600,21600" o:gfxdata="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VkxEK90AAAALAQAADwAAAAAAAAABACAAAAAiAAAAZHJzL2Rvd25yZXYueG1sUEsBAhQAFAAAAAgA&#10;h07iQCduC04gAgAAGwQAAA4AAAAAAAAAAQAgAAAALAEAAGRycy9lMm9Eb2MueG1sUEsFBgAAAAAG&#10;AAYAWQEAAL4FAAAAAA==&#10;">
                <v:fill on="f" focussize="0,0"/>
                <v:stroke on="f" weight="0.5pt"/>
                <v:imagedata o:title=""/>
                <o:lock v:ext="edit" aspectratio="f"/>
                <v:textbox>
                  <w:txbxContent>
                    <w:p>
                      <w:pPr>
                        <w:rPr>
                          <w:rFonts w:hint="eastAsia" w:eastAsia="宋体"/>
                          <w:lang w:eastAsia="zh-CN"/>
                        </w:rPr>
                      </w:pPr>
                      <w:r>
                        <w:rPr>
                          <w:rFonts w:hint="eastAsia"/>
                          <w:lang w:eastAsia="zh-CN"/>
                        </w:rPr>
                        <w:t>破碎间</w:t>
                      </w:r>
                    </w:p>
                  </w:txbxContent>
                </v:textbox>
              </v:shape>
            </w:pict>
          </mc:Fallback>
        </mc:AlternateContent>
      </w:r>
      <w:r>
        <w:rPr>
          <w:color w:val="auto"/>
          <w:sz w:val="24"/>
        </w:rPr>
        <mc:AlternateContent>
          <mc:Choice Requires="wps">
            <w:drawing>
              <wp:anchor distT="0" distB="0" distL="114300" distR="114300" simplePos="0" relativeHeight="270985216" behindDoc="0" locked="0" layoutInCell="1" allowOverlap="1">
                <wp:simplePos x="0" y="0"/>
                <wp:positionH relativeFrom="column">
                  <wp:posOffset>4682490</wp:posOffset>
                </wp:positionH>
                <wp:positionV relativeFrom="paragraph">
                  <wp:posOffset>4032250</wp:posOffset>
                </wp:positionV>
                <wp:extent cx="752475" cy="409575"/>
                <wp:effectExtent l="0" t="0" r="0" b="0"/>
                <wp:wrapNone/>
                <wp:docPr id="132" name="文本框 132"/>
                <wp:cNvGraphicFramePr/>
                <a:graphic xmlns:a="http://schemas.openxmlformats.org/drawingml/2006/main">
                  <a:graphicData uri="http://schemas.microsoft.com/office/word/2010/wordprocessingShape">
                    <wps:wsp>
                      <wps:cNvSpPr txBox="1"/>
                      <wps:spPr>
                        <a:xfrm>
                          <a:off x="5631180" y="4947285"/>
                          <a:ext cx="752475" cy="409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卸料间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8.7pt;margin-top:317.5pt;height:32.25pt;width:59.25pt;z-index:270985216;mso-width-relative:page;mso-height-relative:page;" filled="f" stroked="f" coordsize="21600,21600" o:gfxdata="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iULcjcAAAACwEAAA8AAAAAAAAAAQAgAAAAIgAAAGRycy9kb3ducmV2LnhtbFBL&#10;AQIUABQAAAAIAIdO4kA3+6TcKwIAACcEAAAOAAAAAAAAAAEAIAAAACsBAABkcnMvZTJvRG9jLnht&#10;bFBLBQYAAAAABgAGAFkBAADIBQAAAAA=&#10;">
                <v:fill on="f" focussize="0,0"/>
                <v:stroke on="f" weight="0.5pt"/>
                <v:imagedata o:title=""/>
                <o:lock v:ext="edit" aspectratio="f"/>
                <v:textbox>
                  <w:txbxContent>
                    <w:p>
                      <w:pPr>
                        <w:rPr>
                          <w:rFonts w:hint="eastAsia" w:eastAsia="宋体"/>
                          <w:lang w:eastAsia="zh-CN"/>
                        </w:rPr>
                      </w:pPr>
                      <w:r>
                        <w:rPr>
                          <w:rFonts w:hint="eastAsia"/>
                          <w:lang w:eastAsia="zh-CN"/>
                        </w:rPr>
                        <w:t>卸料间</w:t>
                      </w:r>
                    </w:p>
                  </w:txbxContent>
                </v:textbox>
              </v:shape>
            </w:pict>
          </mc:Fallback>
        </mc:AlternateContent>
      </w:r>
      <w:r>
        <w:rPr>
          <w:color w:val="auto"/>
          <w:sz w:val="24"/>
        </w:rPr>
        <mc:AlternateContent>
          <mc:Choice Requires="wps">
            <w:drawing>
              <wp:anchor distT="0" distB="0" distL="114300" distR="114300" simplePos="0" relativeHeight="270984192" behindDoc="0" locked="0" layoutInCell="1" allowOverlap="1">
                <wp:simplePos x="0" y="0"/>
                <wp:positionH relativeFrom="column">
                  <wp:posOffset>4035425</wp:posOffset>
                </wp:positionH>
                <wp:positionV relativeFrom="paragraph">
                  <wp:posOffset>3613150</wp:posOffset>
                </wp:positionV>
                <wp:extent cx="2132965" cy="1257300"/>
                <wp:effectExtent l="4445" t="4445" r="15240" b="14605"/>
                <wp:wrapNone/>
                <wp:docPr id="131" name="矩形 131"/>
                <wp:cNvGraphicFramePr/>
                <a:graphic xmlns:a="http://schemas.openxmlformats.org/drawingml/2006/main">
                  <a:graphicData uri="http://schemas.microsoft.com/office/word/2010/wordprocessingShape">
                    <wps:wsp>
                      <wps:cNvSpPr/>
                      <wps:spPr>
                        <a:xfrm>
                          <a:off x="5764530" y="5480685"/>
                          <a:ext cx="2132965" cy="125730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7.75pt;margin-top:284.5pt;height:99pt;width:167.95pt;z-index:270984192;v-text-anchor:middle;mso-width-relative:page;mso-height-relative:page;" filled="f" stroked="t" coordsize="21600,21600" o:gfxdata="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F+V2P/ZAAAACwEAAA8A&#10;AAAAAAAAAQAgAAAAIgAAAGRycy9kb3ducmV2LnhtbFBLAQIUABQAAAAIAIdO4kCMVuBTTwIAAHYE&#10;AAAOAAAAAAAAAAEAIAAAACgBAABkcnMvZTJvRG9jLnhtbFBLBQYAAAAABgAGAFkBAADpBQAAAAA=&#10;">
                <v:fill on="f" focussize="0,0"/>
                <v:stroke weight="0.25pt" color="#000000 [3213]" joinstyle="round"/>
                <v:imagedata o:title=""/>
                <o:lock v:ext="edit" aspectratio="f"/>
              </v:rect>
            </w:pict>
          </mc:Fallback>
        </mc:AlternateContent>
      </w:r>
      <w:r>
        <w:rPr>
          <w:color w:val="auto"/>
          <w:sz w:val="24"/>
        </w:rPr>
        <mc:AlternateContent>
          <mc:Choice Requires="wps">
            <w:drawing>
              <wp:anchor distT="0" distB="0" distL="114300" distR="114300" simplePos="0" relativeHeight="261321728" behindDoc="0" locked="0" layoutInCell="1" allowOverlap="1">
                <wp:simplePos x="0" y="0"/>
                <wp:positionH relativeFrom="column">
                  <wp:posOffset>6452235</wp:posOffset>
                </wp:positionH>
                <wp:positionV relativeFrom="paragraph">
                  <wp:posOffset>4611370</wp:posOffset>
                </wp:positionV>
                <wp:extent cx="495300" cy="123825"/>
                <wp:effectExtent l="0" t="27305" r="19050" b="20320"/>
                <wp:wrapNone/>
                <wp:docPr id="116" name="直接箭头连接符 116"/>
                <wp:cNvGraphicFramePr/>
                <a:graphic xmlns:a="http://schemas.openxmlformats.org/drawingml/2006/main">
                  <a:graphicData uri="http://schemas.microsoft.com/office/word/2010/wordprocessingShape">
                    <wps:wsp>
                      <wps:cNvCnPr/>
                      <wps:spPr>
                        <a:xfrm flipH="1" flipV="1">
                          <a:off x="3475990" y="3999230"/>
                          <a:ext cx="495300" cy="12382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508.05pt;margin-top:363.1pt;height:9.75pt;width:39pt;z-index:261321728;mso-width-relative:page;mso-height-relative:page;" filled="f" stroked="t" coordsize="21600,21600" o:gfxdata="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4KtCv2wAAAA0BAAAPAAAAAAAAAAEAIAAAACIAAABkcnMvZG93&#10;bnJldi54bWxQSwECFAAUAAAACACHTuJA1/roMP0BAAChAwAADgAAAAAAAAABACAAAAAqAQAAZHJz&#10;L2Uyb0RvYy54bWxQSwUGAAAAAAYABgBZAQAAmQUAAAAA&#10;">
                <v:fill on="f" focussize="0,0"/>
                <v:stroke color="#FF0000 [3204]" joinstyle="round" endarrow="open"/>
                <v:imagedata o:title=""/>
                <o:lock v:ext="edit" aspectratio="f"/>
              </v:shape>
            </w:pict>
          </mc:Fallback>
        </mc:AlternateContent>
      </w:r>
      <w:r>
        <w:rPr>
          <w:color w:val="auto"/>
        </w:rPr>
        <mc:AlternateContent>
          <mc:Choice Requires="wps">
            <w:drawing>
              <wp:anchor distT="0" distB="0" distL="114300" distR="114300" simplePos="0" relativeHeight="270983168" behindDoc="0" locked="0" layoutInCell="1" allowOverlap="1">
                <wp:simplePos x="0" y="0"/>
                <wp:positionH relativeFrom="column">
                  <wp:posOffset>11406505</wp:posOffset>
                </wp:positionH>
                <wp:positionV relativeFrom="paragraph">
                  <wp:posOffset>5616575</wp:posOffset>
                </wp:positionV>
                <wp:extent cx="1210945" cy="566420"/>
                <wp:effectExtent l="1071880" t="172720" r="22225" b="22860"/>
                <wp:wrapNone/>
                <wp:docPr id="128" name="矩形标注 128"/>
                <wp:cNvGraphicFramePr/>
                <a:graphic xmlns:a="http://schemas.openxmlformats.org/drawingml/2006/main">
                  <a:graphicData uri="http://schemas.microsoft.com/office/word/2010/wordprocessingShape">
                    <wps:wsp>
                      <wps:cNvSpPr/>
                      <wps:spPr>
                        <a:xfrm>
                          <a:off x="0" y="0"/>
                          <a:ext cx="1210945" cy="566420"/>
                        </a:xfrm>
                        <a:prstGeom prst="wedgeRectCallout">
                          <a:avLst>
                            <a:gd name="adj1" fmla="val -137467"/>
                            <a:gd name="adj2" fmla="val -7825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color w:val="000000" w:themeColor="text1"/>
                                <w:lang w:eastAsia="zh-CN"/>
                                <w14:textFill>
                                  <w14:solidFill>
                                    <w14:schemeClr w14:val="tx1"/>
                                  </w14:solidFill>
                                </w14:textFill>
                              </w:rPr>
                            </w:pPr>
                            <w:r>
                              <w:rPr>
                                <w:rFonts w:hint="eastAsia"/>
                                <w:b/>
                                <w:color w:val="000000" w:themeColor="text1"/>
                                <w:lang w:eastAsia="zh-CN"/>
                                <w14:textFill>
                                  <w14:solidFill>
                                    <w14:schemeClr w14:val="tx1"/>
                                  </w14:solidFill>
                                </w14:textFill>
                              </w:rPr>
                              <w:t>餐厨垃圾运输进厂路线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898.15pt;margin-top:442.25pt;height:44.6pt;width:95.35pt;z-index:270983168;v-text-anchor:middle;mso-width-relative:page;mso-height-relative:page;" filled="f" stroked="t" coordsize="21600,21600" o:gfxdata="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utuE&#10;YtgAAAANAQAADwAAAAAAAAABACAAAAAiAAAAZHJzL2Rvd25yZXYueG1sUEsBAhQAFAAAAAgAh07i&#10;QL5M+V2UAgAA/AQAAA4AAAAAAAAAAQAgAAAAJwEAAGRycy9lMm9Eb2MueG1sUEsFBgAAAAAGAAYA&#10;WQEAAC0GAAAAAA==&#10;" adj="-18893,-6102">
                <v:fill on="f" focussize="0,0"/>
                <v:stroke weight="2pt" color="#385D8A [3204]" joinstyle="round"/>
                <v:imagedata o:title=""/>
                <o:lock v:ext="edit" aspectratio="f"/>
                <v:textbox>
                  <w:txbxContent>
                    <w:p>
                      <w:pPr>
                        <w:jc w:val="center"/>
                        <w:rPr>
                          <w:rFonts w:hint="eastAsia" w:eastAsia="宋体"/>
                          <w:b/>
                          <w:color w:val="000000" w:themeColor="text1"/>
                          <w:lang w:eastAsia="zh-CN"/>
                          <w14:textFill>
                            <w14:solidFill>
                              <w14:schemeClr w14:val="tx1"/>
                            </w14:solidFill>
                          </w14:textFill>
                        </w:rPr>
                      </w:pPr>
                      <w:r>
                        <w:rPr>
                          <w:rFonts w:hint="eastAsia"/>
                          <w:b/>
                          <w:color w:val="000000" w:themeColor="text1"/>
                          <w:lang w:eastAsia="zh-CN"/>
                          <w14:textFill>
                            <w14:solidFill>
                              <w14:schemeClr w14:val="tx1"/>
                            </w14:solidFill>
                          </w14:textFill>
                        </w:rPr>
                        <w:t>餐厨垃圾运输进厂路线</w:t>
                      </w:r>
                    </w:p>
                  </w:txbxContent>
                </v:textbox>
              </v:shape>
            </w:pict>
          </mc:Fallback>
        </mc:AlternateContent>
      </w:r>
      <w:r>
        <w:rPr>
          <w:color w:val="auto"/>
          <w:sz w:val="24"/>
        </w:rPr>
        <mc:AlternateContent>
          <mc:Choice Requires="wps">
            <w:drawing>
              <wp:anchor distT="0" distB="0" distL="114300" distR="114300" simplePos="0" relativeHeight="261320704" behindDoc="0" locked="0" layoutInCell="1" allowOverlap="1">
                <wp:simplePos x="0" y="0"/>
                <wp:positionH relativeFrom="column">
                  <wp:posOffset>8462010</wp:posOffset>
                </wp:positionH>
                <wp:positionV relativeFrom="paragraph">
                  <wp:posOffset>4811395</wp:posOffset>
                </wp:positionV>
                <wp:extent cx="1552575" cy="66675"/>
                <wp:effectExtent l="0" t="45720" r="9525" b="20955"/>
                <wp:wrapNone/>
                <wp:docPr id="111" name="直接箭头连接符 111"/>
                <wp:cNvGraphicFramePr/>
                <a:graphic xmlns:a="http://schemas.openxmlformats.org/drawingml/2006/main">
                  <a:graphicData uri="http://schemas.microsoft.com/office/word/2010/wordprocessingShape">
                    <wps:wsp>
                      <wps:cNvCnPr/>
                      <wps:spPr>
                        <a:xfrm flipH="1" flipV="1">
                          <a:off x="4542790" y="4123055"/>
                          <a:ext cx="1552575" cy="6667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666.3pt;margin-top:378.85pt;height:5.25pt;width:122.25pt;z-index:261320704;mso-width-relative:page;mso-height-relative:page;" filled="f" stroked="t" coordsize="21600,21600" o:gfxdata="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PLdPSHbAAAADQEAAA8AAAAAAAAAAQAgAAAAIgAAAGRycy9kb3du&#10;cmV2LnhtbFBLAQIUABQAAAAIAIdO4kDlMLRQ/AEAAKEDAAAOAAAAAAAAAAEAIAAAACoBAABkcnMv&#10;ZTJvRG9jLnhtbFBLBQYAAAAABgAGAFkBAACYBQAAAAA=&#10;">
                <v:fill on="f" focussize="0,0"/>
                <v:stroke color="#FF0000 [3204]" joinstyle="round" endarrow="open"/>
                <v:imagedata o:title=""/>
                <o:lock v:ext="edit" aspectratio="f"/>
              </v:shape>
            </w:pict>
          </mc:Fallback>
        </mc:AlternateContent>
      </w:r>
      <w:r>
        <w:rPr>
          <w:color w:val="auto"/>
          <w:sz w:val="24"/>
        </w:rPr>
        <mc:AlternateContent>
          <mc:Choice Requires="wps">
            <w:drawing>
              <wp:anchor distT="0" distB="0" distL="114300" distR="114300" simplePos="0" relativeHeight="261319680" behindDoc="0" locked="0" layoutInCell="1" allowOverlap="1">
                <wp:simplePos x="0" y="0"/>
                <wp:positionH relativeFrom="column">
                  <wp:posOffset>10271760</wp:posOffset>
                </wp:positionH>
                <wp:positionV relativeFrom="paragraph">
                  <wp:posOffset>4916170</wp:posOffset>
                </wp:positionV>
                <wp:extent cx="152400" cy="990600"/>
                <wp:effectExtent l="35560" t="0" r="21590" b="19050"/>
                <wp:wrapNone/>
                <wp:docPr id="110" name="直接箭头连接符 110"/>
                <wp:cNvGraphicFramePr/>
                <a:graphic xmlns:a="http://schemas.openxmlformats.org/drawingml/2006/main">
                  <a:graphicData uri="http://schemas.microsoft.com/office/word/2010/wordprocessingShape">
                    <wps:wsp>
                      <wps:cNvCnPr/>
                      <wps:spPr>
                        <a:xfrm flipH="1" flipV="1">
                          <a:off x="6219190" y="4161155"/>
                          <a:ext cx="152400" cy="9906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808.8pt;margin-top:387.1pt;height:78pt;width:12pt;z-index:261319680;mso-width-relative:page;mso-height-relative:page;" filled="f" stroked="t" coordsize="21600,21600" o:gfxdata="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OSCHE/cAAAADQEAAA8AAAAAAAAAAQAgAAAAIgAAAGRycy9kb3du&#10;cmV2LnhtbFBLAQIUABQAAAAIAIdO4kAVsvmG+wEAAKEDAAAOAAAAAAAAAAEAIAAAACsBAABkcnMv&#10;ZTJvRG9jLnhtbFBLBQYAAAAABgAGAFkBAACYBQAAAAA=&#10;">
                <v:fill on="f" focussize="0,0"/>
                <v:stroke color="#FF0000 [3204]" joinstyle="round" endarrow="open"/>
                <v:imagedata o:title=""/>
                <o:lock v:ext="edit" aspectratio="f"/>
              </v:shape>
            </w:pict>
          </mc:Fallback>
        </mc:AlternateContent>
      </w:r>
    </w:p>
    <w:p>
      <w:pPr>
        <w:spacing w:line="360" w:lineRule="auto"/>
        <w:jc w:val="center"/>
        <w:rPr>
          <w:color w:val="auto"/>
        </w:rPr>
      </w:pPr>
    </w:p>
    <w:p>
      <w:pPr>
        <w:spacing w:line="360" w:lineRule="auto"/>
        <w:jc w:val="center"/>
        <w:rPr>
          <w:rFonts w:hint="eastAsia"/>
          <w:b/>
          <w:color w:val="auto"/>
          <w:highlight w:val="none"/>
          <w:lang w:eastAsia="zh-CN"/>
        </w:rPr>
      </w:pPr>
      <w:r>
        <w:rPr>
          <w:b/>
          <w:color w:val="auto"/>
          <w:highlight w:val="none"/>
        </w:rPr>
        <w:t>图</w:t>
      </w:r>
      <w:r>
        <w:rPr>
          <w:rFonts w:hint="eastAsia"/>
          <w:b/>
          <w:color w:val="auto"/>
          <w:highlight w:val="none"/>
          <w:lang w:val="en-US" w:eastAsia="zh-CN"/>
        </w:rPr>
        <w:t>3.1-3</w:t>
      </w:r>
      <w:r>
        <w:rPr>
          <w:b/>
          <w:color w:val="auto"/>
          <w:highlight w:val="none"/>
        </w:rPr>
        <w:t xml:space="preserve"> </w:t>
      </w:r>
      <w:r>
        <w:rPr>
          <w:rFonts w:hint="eastAsia"/>
          <w:b/>
          <w:color w:val="auto"/>
          <w:highlight w:val="none"/>
          <w:lang w:eastAsia="zh-CN"/>
        </w:rPr>
        <w:t>餐厨垃圾处理厂平面布置图</w:t>
      </w:r>
    </w:p>
    <w:p>
      <w:pPr>
        <w:spacing w:line="360" w:lineRule="auto"/>
        <w:jc w:val="center"/>
        <w:rPr>
          <w:rFonts w:hint="eastAsia"/>
          <w:b/>
          <w:color w:val="auto"/>
          <w:highlight w:val="none"/>
          <w:lang w:eastAsia="zh-CN"/>
        </w:rPr>
      </w:pPr>
    </w:p>
    <w:p>
      <w:pPr>
        <w:spacing w:line="360" w:lineRule="auto"/>
        <w:jc w:val="center"/>
        <w:rPr>
          <w:color w:val="auto"/>
        </w:rPr>
      </w:pPr>
      <w:r>
        <w:rPr>
          <w:color w:val="auto"/>
        </w:rPr>
        <w:drawing>
          <wp:inline distT="0" distB="0" distL="114300" distR="114300">
            <wp:extent cx="10349230" cy="8068945"/>
            <wp:effectExtent l="0" t="0" r="13970" b="8255"/>
            <wp:docPr id="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6"/>
                    <pic:cNvPicPr>
                      <a:picLocks noChangeAspect="1"/>
                    </pic:cNvPicPr>
                  </pic:nvPicPr>
                  <pic:blipFill>
                    <a:blip r:embed="rId68"/>
                    <a:stretch>
                      <a:fillRect/>
                    </a:stretch>
                  </pic:blipFill>
                  <pic:spPr>
                    <a:xfrm>
                      <a:off x="0" y="0"/>
                      <a:ext cx="10349230" cy="8068945"/>
                    </a:xfrm>
                    <a:prstGeom prst="rect">
                      <a:avLst/>
                    </a:prstGeom>
                    <a:noFill/>
                    <a:ln w="9525">
                      <a:noFill/>
                      <a:miter/>
                    </a:ln>
                  </pic:spPr>
                </pic:pic>
              </a:graphicData>
            </a:graphic>
          </wp:inline>
        </w:drawing>
      </w:r>
    </w:p>
    <w:p>
      <w:pPr>
        <w:spacing w:line="360" w:lineRule="auto"/>
        <w:jc w:val="center"/>
        <w:rPr>
          <w:color w:val="auto"/>
        </w:rPr>
      </w:pPr>
      <w:r>
        <w:rPr>
          <w:b/>
          <w:color w:val="auto"/>
          <w:highlight w:val="none"/>
        </w:rPr>
        <w:t>图</w:t>
      </w:r>
      <w:r>
        <w:rPr>
          <w:rFonts w:hint="eastAsia"/>
          <w:b/>
          <w:color w:val="auto"/>
          <w:highlight w:val="none"/>
          <w:lang w:val="en-US" w:eastAsia="zh-CN"/>
        </w:rPr>
        <w:t>3.1-4</w:t>
      </w:r>
      <w:r>
        <w:rPr>
          <w:b/>
          <w:color w:val="auto"/>
          <w:highlight w:val="none"/>
        </w:rPr>
        <w:t xml:space="preserve"> </w:t>
      </w:r>
      <w:r>
        <w:rPr>
          <w:rFonts w:hint="eastAsia"/>
          <w:b/>
          <w:color w:val="auto"/>
          <w:highlight w:val="none"/>
          <w:lang w:eastAsia="zh-CN"/>
        </w:rPr>
        <w:t>建筑垃圾消纳场平面布置</w:t>
      </w:r>
    </w:p>
    <w:p>
      <w:pPr>
        <w:spacing w:line="360" w:lineRule="auto"/>
        <w:jc w:val="center"/>
        <w:rPr>
          <w:rFonts w:hint="eastAsia"/>
          <w:color w:val="auto"/>
          <w:lang w:eastAsia="zh-CN"/>
        </w:rPr>
        <w:sectPr>
          <w:pgSz w:w="23757" w:h="16783" w:orient="landscape"/>
          <w:pgMar w:top="1418" w:right="1134" w:bottom="1418" w:left="1134" w:header="851" w:footer="992" w:gutter="0"/>
          <w:pgNumType w:fmt="decimal"/>
          <w:cols w:space="720" w:num="1"/>
          <w:docGrid w:linePitch="312" w:charSpace="0"/>
        </w:sectPr>
      </w:pPr>
    </w:p>
    <w:p>
      <w:pPr>
        <w:spacing w:line="360" w:lineRule="auto"/>
        <w:rPr>
          <w:b/>
          <w:bCs/>
          <w:color w:val="auto"/>
        </w:rPr>
      </w:pPr>
    </w:p>
    <w:p>
      <w:pPr>
        <w:spacing w:line="360" w:lineRule="auto"/>
        <w:rPr>
          <w:b/>
          <w:bCs/>
          <w:color w:val="auto"/>
        </w:rPr>
      </w:pPr>
      <w:r>
        <w:rPr>
          <w:b/>
          <w:bCs/>
          <w:color w:val="auto"/>
        </w:rPr>
        <w:t>3.2.2.</w:t>
      </w:r>
      <w:r>
        <w:rPr>
          <w:rFonts w:hint="eastAsia"/>
          <w:b/>
          <w:bCs/>
          <w:color w:val="auto"/>
          <w:lang w:val="en-US" w:eastAsia="zh-CN"/>
        </w:rPr>
        <w:t>4</w:t>
      </w:r>
      <w:r>
        <w:rPr>
          <w:rFonts w:hint="eastAsia"/>
          <w:b/>
          <w:bCs/>
          <w:color w:val="auto"/>
          <w:lang w:eastAsia="zh-CN"/>
        </w:rPr>
        <w:t>依托工程情况介绍</w:t>
      </w:r>
    </w:p>
    <w:p>
      <w:pPr>
        <w:spacing w:line="360" w:lineRule="auto"/>
        <w:rPr>
          <w:color w:val="auto"/>
        </w:rPr>
      </w:pPr>
      <w:r>
        <w:rPr>
          <w:rFonts w:hint="eastAsia"/>
          <w:color w:val="auto"/>
          <w:lang w:val="en-US" w:eastAsia="zh-CN"/>
        </w:rPr>
        <w:t xml:space="preserve">    </w:t>
      </w:r>
      <w:r>
        <w:rPr>
          <w:rFonts w:hint="eastAsia"/>
          <w:color w:val="auto"/>
        </w:rPr>
        <w:t>（1）</w:t>
      </w:r>
      <w:r>
        <w:rPr>
          <w:color w:val="auto"/>
        </w:rPr>
        <w:t>项目名称：</w:t>
      </w:r>
      <w:r>
        <w:rPr>
          <w:rFonts w:hint="eastAsia"/>
          <w:color w:val="auto"/>
        </w:rPr>
        <w:t>兴宁市静脉产业园</w:t>
      </w:r>
      <w:r>
        <w:rPr>
          <w:color w:val="auto"/>
        </w:rPr>
        <w:t>PPP项目</w:t>
      </w:r>
    </w:p>
    <w:p>
      <w:pPr>
        <w:spacing w:line="360" w:lineRule="auto"/>
        <w:ind w:firstLine="480"/>
        <w:rPr>
          <w:rFonts w:hint="eastAsia"/>
          <w:color w:val="auto"/>
          <w:lang w:eastAsia="zh-CN"/>
        </w:rPr>
      </w:pPr>
      <w:r>
        <w:rPr>
          <w:rFonts w:hint="eastAsia"/>
          <w:color w:val="auto"/>
        </w:rPr>
        <w:t>（2）</w:t>
      </w:r>
      <w:r>
        <w:rPr>
          <w:color w:val="auto"/>
        </w:rPr>
        <w:t>项目</w:t>
      </w:r>
      <w:r>
        <w:rPr>
          <w:rFonts w:hint="eastAsia"/>
          <w:color w:val="auto"/>
        </w:rPr>
        <w:t>概况</w:t>
      </w:r>
      <w:r>
        <w:rPr>
          <w:color w:val="auto"/>
        </w:rPr>
        <w:t>：</w:t>
      </w:r>
      <w:r>
        <w:rPr>
          <w:rFonts w:hint="eastAsia"/>
          <w:color w:val="auto"/>
        </w:rPr>
        <w:t>在建</w:t>
      </w:r>
      <w:r>
        <w:rPr>
          <w:color w:val="auto"/>
        </w:rPr>
        <w:t>项目位于兴宁市新陂镇</w:t>
      </w:r>
      <w:r>
        <w:rPr>
          <w:rFonts w:hint="eastAsia"/>
          <w:color w:val="auto"/>
        </w:rPr>
        <w:t>茅塘村</w:t>
      </w:r>
      <w:r>
        <w:rPr>
          <w:color w:val="auto"/>
        </w:rPr>
        <w:t>，</w:t>
      </w:r>
      <w:r>
        <w:rPr>
          <w:rFonts w:hint="eastAsia"/>
          <w:color w:val="auto"/>
        </w:rPr>
        <w:t>其中心地理坐标为东经</w:t>
      </w:r>
      <w:r>
        <w:rPr>
          <w:color w:val="auto"/>
        </w:rPr>
        <w:t>115°39′41.32″</w:t>
      </w:r>
      <w:r>
        <w:rPr>
          <w:rFonts w:hint="eastAsia"/>
          <w:color w:val="auto"/>
        </w:rPr>
        <w:t>，北纬</w:t>
      </w:r>
      <w:r>
        <w:rPr>
          <w:color w:val="auto"/>
        </w:rPr>
        <w:t>24°06′47.69″</w:t>
      </w:r>
      <w:r>
        <w:rPr>
          <w:rFonts w:hint="eastAsia"/>
          <w:color w:val="auto"/>
        </w:rPr>
        <w:t>。项目分两期建设，其中在建项目</w:t>
      </w:r>
      <w:r>
        <w:rPr>
          <w:color w:val="auto"/>
        </w:rPr>
        <w:t>（一期）</w:t>
      </w:r>
      <w:r>
        <w:rPr>
          <w:rFonts w:hint="eastAsia"/>
          <w:color w:val="auto"/>
        </w:rPr>
        <w:t>建设内容为：</w:t>
      </w:r>
      <w:r>
        <w:rPr>
          <w:color w:val="auto"/>
        </w:rPr>
        <w:t>生活垃圾焚烧</w:t>
      </w:r>
      <w:r>
        <w:rPr>
          <w:rFonts w:hint="eastAsia"/>
          <w:color w:val="auto"/>
        </w:rPr>
        <w:t>发电厂日处理垃圾7</w:t>
      </w:r>
      <w:r>
        <w:rPr>
          <w:color w:val="auto"/>
        </w:rPr>
        <w:t>00吨（规划预留</w:t>
      </w:r>
      <w:r>
        <w:rPr>
          <w:rFonts w:hint="eastAsia"/>
          <w:color w:val="auto"/>
        </w:rPr>
        <w:t>扩建规模</w:t>
      </w:r>
      <w:r>
        <w:rPr>
          <w:color w:val="auto"/>
        </w:rPr>
        <w:t>500吨/日）</w:t>
      </w:r>
      <w:r>
        <w:rPr>
          <w:rFonts w:hint="eastAsia"/>
          <w:color w:val="auto"/>
        </w:rPr>
        <w:t>、</w:t>
      </w:r>
      <w:r>
        <w:rPr>
          <w:color w:val="auto"/>
        </w:rPr>
        <w:t>污泥处理厂</w:t>
      </w:r>
      <w:r>
        <w:rPr>
          <w:rFonts w:hint="eastAsia"/>
          <w:color w:val="auto"/>
        </w:rPr>
        <w:t>日处理规模</w:t>
      </w:r>
      <w:r>
        <w:rPr>
          <w:color w:val="auto"/>
        </w:rPr>
        <w:t>为25吨（规划预留</w:t>
      </w:r>
      <w:r>
        <w:rPr>
          <w:rFonts w:hint="eastAsia"/>
          <w:color w:val="auto"/>
        </w:rPr>
        <w:t>扩建规模</w:t>
      </w:r>
      <w:r>
        <w:rPr>
          <w:color w:val="auto"/>
        </w:rPr>
        <w:t>25吨/日）</w:t>
      </w:r>
      <w:r>
        <w:rPr>
          <w:rFonts w:hint="eastAsia"/>
          <w:color w:val="auto"/>
        </w:rPr>
        <w:t>、</w:t>
      </w:r>
      <w:r>
        <w:rPr>
          <w:color w:val="auto"/>
        </w:rPr>
        <w:t>粪便处理厂</w:t>
      </w:r>
      <w:r>
        <w:rPr>
          <w:rFonts w:hint="eastAsia"/>
          <w:color w:val="auto"/>
        </w:rPr>
        <w:t>日处理</w:t>
      </w:r>
      <w:r>
        <w:rPr>
          <w:color w:val="auto"/>
        </w:rPr>
        <w:t>规模为5吨（规划预留</w:t>
      </w:r>
      <w:r>
        <w:rPr>
          <w:rFonts w:hint="eastAsia"/>
          <w:color w:val="auto"/>
        </w:rPr>
        <w:t>扩建规模</w:t>
      </w:r>
      <w:r>
        <w:rPr>
          <w:color w:val="auto"/>
        </w:rPr>
        <w:t>15吨/日）。</w:t>
      </w:r>
      <w:r>
        <w:rPr>
          <w:rFonts w:hint="eastAsia"/>
          <w:color w:val="auto"/>
        </w:rPr>
        <w:t>同时，园区</w:t>
      </w:r>
      <w:r>
        <w:rPr>
          <w:color w:val="auto"/>
        </w:rPr>
        <w:t>配套建设</w:t>
      </w:r>
      <w:r>
        <w:rPr>
          <w:rFonts w:hint="eastAsia"/>
          <w:color w:val="auto"/>
        </w:rPr>
        <w:t>综合管理</w:t>
      </w:r>
      <w:r>
        <w:rPr>
          <w:color w:val="auto"/>
        </w:rPr>
        <w:t>区、污水处理厂（</w:t>
      </w:r>
      <w:r>
        <w:rPr>
          <w:rFonts w:hint="eastAsia"/>
          <w:color w:val="auto"/>
        </w:rPr>
        <w:t>处理园区垃圾渗滤液、各类生产废水、生活污水、污泥废水、粪便废水等，规模</w:t>
      </w:r>
      <w:r>
        <w:rPr>
          <w:color w:val="auto"/>
        </w:rPr>
        <w:t>600吨/日）</w:t>
      </w:r>
      <w:r>
        <w:rPr>
          <w:rFonts w:hint="eastAsia"/>
          <w:color w:val="auto"/>
        </w:rPr>
        <w:t>、</w:t>
      </w:r>
      <w:r>
        <w:rPr>
          <w:color w:val="auto"/>
        </w:rPr>
        <w:t>生活垃圾卫生填埋</w:t>
      </w:r>
      <w:r>
        <w:rPr>
          <w:rFonts w:hint="eastAsia"/>
          <w:color w:val="auto"/>
        </w:rPr>
        <w:t>区（即固化飞灰填埋区，库容6</w:t>
      </w:r>
      <w:r>
        <w:rPr>
          <w:color w:val="auto"/>
        </w:rPr>
        <w:t>5</w:t>
      </w:r>
      <w:r>
        <w:rPr>
          <w:rFonts w:hint="eastAsia"/>
          <w:color w:val="auto"/>
        </w:rPr>
        <w:t>万m</w:t>
      </w:r>
      <w:r>
        <w:rPr>
          <w:color w:val="auto"/>
          <w:vertAlign w:val="superscript"/>
        </w:rPr>
        <w:t>3</w:t>
      </w:r>
      <w:r>
        <w:rPr>
          <w:rFonts w:hint="eastAsia"/>
          <w:color w:val="auto"/>
        </w:rPr>
        <w:t>）、炉渣综合利用中心，随在建项目一次性建成。</w:t>
      </w:r>
      <w:r>
        <w:rPr>
          <w:color w:val="auto"/>
        </w:rPr>
        <w:t>此外，</w:t>
      </w:r>
      <w:r>
        <w:rPr>
          <w:rFonts w:hint="eastAsia"/>
          <w:color w:val="auto"/>
        </w:rPr>
        <w:t>园区</w:t>
      </w:r>
      <w:r>
        <w:rPr>
          <w:color w:val="auto"/>
        </w:rPr>
        <w:t>为餐厨垃圾处理厂</w:t>
      </w:r>
      <w:r>
        <w:rPr>
          <w:rFonts w:hint="eastAsia"/>
          <w:color w:val="auto"/>
        </w:rPr>
        <w:t>（总处理规模2</w:t>
      </w:r>
      <w:r>
        <w:rPr>
          <w:color w:val="auto"/>
        </w:rPr>
        <w:t>5</w:t>
      </w:r>
      <w:r>
        <w:rPr>
          <w:rFonts w:hint="eastAsia"/>
          <w:color w:val="auto"/>
        </w:rPr>
        <w:t>t</w:t>
      </w:r>
      <w:r>
        <w:rPr>
          <w:color w:val="auto"/>
        </w:rPr>
        <w:t>/</w:t>
      </w:r>
      <w:r>
        <w:rPr>
          <w:rFonts w:hint="eastAsia"/>
          <w:color w:val="auto"/>
        </w:rPr>
        <w:t>d）</w:t>
      </w:r>
      <w:r>
        <w:rPr>
          <w:color w:val="auto"/>
        </w:rPr>
        <w:t>、建筑垃圾消纳场</w:t>
      </w:r>
      <w:r>
        <w:rPr>
          <w:rFonts w:hint="eastAsia"/>
          <w:color w:val="auto"/>
        </w:rPr>
        <w:t>（总处理规模2</w:t>
      </w:r>
      <w:r>
        <w:rPr>
          <w:color w:val="auto"/>
        </w:rPr>
        <w:t>00</w:t>
      </w:r>
      <w:r>
        <w:rPr>
          <w:rFonts w:hint="eastAsia"/>
          <w:color w:val="auto"/>
        </w:rPr>
        <w:t>m</w:t>
      </w:r>
      <w:r>
        <w:rPr>
          <w:color w:val="auto"/>
        </w:rPr>
        <w:t>3</w:t>
      </w:r>
      <w:r>
        <w:rPr>
          <w:rFonts w:hint="eastAsia"/>
          <w:color w:val="auto"/>
        </w:rPr>
        <w:t>/d）</w:t>
      </w:r>
      <w:r>
        <w:rPr>
          <w:color w:val="auto"/>
        </w:rPr>
        <w:t>预留用地</w:t>
      </w:r>
      <w:r>
        <w:rPr>
          <w:rFonts w:hint="eastAsia"/>
          <w:color w:val="auto"/>
          <w:lang w:eastAsia="zh-CN"/>
        </w:rPr>
        <w:t>。</w:t>
      </w:r>
    </w:p>
    <w:p>
      <w:pPr>
        <w:spacing w:line="360" w:lineRule="auto"/>
        <w:rPr>
          <w:rFonts w:hint="eastAsia"/>
          <w:color w:val="auto"/>
          <w:lang w:eastAsia="zh-CN"/>
        </w:rPr>
      </w:pPr>
      <w:r>
        <w:rPr>
          <w:rFonts w:hint="eastAsia"/>
          <w:color w:val="auto"/>
          <w:lang w:val="en-US" w:eastAsia="zh-CN"/>
        </w:rPr>
        <w:t xml:space="preserve">   </w:t>
      </w:r>
      <w:r>
        <w:rPr>
          <w:color w:val="auto"/>
        </w:rPr>
        <w:t>（</w:t>
      </w:r>
      <w:r>
        <w:rPr>
          <w:rFonts w:hint="eastAsia"/>
          <w:color w:val="auto"/>
          <w:lang w:val="en-US" w:eastAsia="zh-CN"/>
        </w:rPr>
        <w:t>3</w:t>
      </w:r>
      <w:r>
        <w:rPr>
          <w:color w:val="auto"/>
        </w:rPr>
        <w:t>）工作时间：生活垃圾焚烧</w:t>
      </w:r>
      <w:r>
        <w:rPr>
          <w:rFonts w:hint="eastAsia"/>
          <w:color w:val="auto"/>
        </w:rPr>
        <w:t>发电</w:t>
      </w:r>
      <w:r>
        <w:rPr>
          <w:color w:val="auto"/>
        </w:rPr>
        <w:t>项目生产运行为连续工作制，4班3运转运行，即每天3班，一个班休息，每班8小时</w:t>
      </w:r>
      <w:r>
        <w:rPr>
          <w:rFonts w:hint="eastAsia"/>
          <w:color w:val="auto"/>
        </w:rPr>
        <w:t>，</w:t>
      </w:r>
      <w:r>
        <w:rPr>
          <w:color w:val="auto"/>
        </w:rPr>
        <w:t>年运行时间</w:t>
      </w:r>
      <w:r>
        <w:rPr>
          <w:color w:val="auto"/>
          <w:spacing w:val="-46"/>
        </w:rPr>
        <w:t xml:space="preserve"> </w:t>
      </w:r>
      <w:r>
        <w:rPr>
          <w:rFonts w:eastAsia="Times New Roman"/>
          <w:color w:val="auto"/>
        </w:rPr>
        <w:t>8000</w:t>
      </w:r>
      <w:r>
        <w:rPr>
          <w:color w:val="auto"/>
        </w:rPr>
        <w:t>小时</w:t>
      </w:r>
      <w:r>
        <w:rPr>
          <w:rFonts w:hint="eastAsia"/>
          <w:color w:val="auto"/>
        </w:rPr>
        <w:t>；污泥处理厂和粪便处理厂</w:t>
      </w:r>
      <w:r>
        <w:rPr>
          <w:color w:val="auto"/>
        </w:rPr>
        <w:t>年工作日3</w:t>
      </w:r>
      <w:r>
        <w:rPr>
          <w:rFonts w:hint="eastAsia"/>
          <w:color w:val="auto"/>
        </w:rPr>
        <w:t>3</w:t>
      </w:r>
      <w:r>
        <w:rPr>
          <w:color w:val="auto"/>
        </w:rPr>
        <w:t>0天，</w:t>
      </w:r>
      <w:r>
        <w:rPr>
          <w:rFonts w:hint="eastAsia"/>
          <w:color w:val="auto"/>
        </w:rPr>
        <w:t>生产部实行一班运转制，每班8小时，年生产2640小时</w:t>
      </w:r>
      <w:r>
        <w:rPr>
          <w:rFonts w:hint="eastAsia"/>
          <w:color w:val="auto"/>
          <w:lang w:eastAsia="zh-CN"/>
        </w:rPr>
        <w:t>。</w:t>
      </w:r>
    </w:p>
    <w:p>
      <w:pPr>
        <w:spacing w:line="360" w:lineRule="auto"/>
        <w:rPr>
          <w:color w:val="auto"/>
        </w:rPr>
      </w:pPr>
      <w:bookmarkStart w:id="253" w:name="_Toc480964374"/>
      <w:bookmarkStart w:id="254" w:name="_Toc476055976"/>
      <w:bookmarkStart w:id="255" w:name="_Toc476489709"/>
      <w:bookmarkStart w:id="256" w:name="_Toc478481569"/>
      <w:bookmarkStart w:id="257" w:name="_Toc483263296"/>
      <w:bookmarkStart w:id="258" w:name="_Toc476490543"/>
      <w:r>
        <w:rPr>
          <w:rFonts w:hint="eastAsia"/>
          <w:color w:val="auto"/>
          <w:lang w:val="en-US" w:eastAsia="zh-CN"/>
        </w:rPr>
        <w:t xml:space="preserve">   </w:t>
      </w:r>
      <w:r>
        <w:rPr>
          <w:rFonts w:hint="eastAsia"/>
          <w:color w:val="auto"/>
          <w:lang w:eastAsia="zh-CN"/>
        </w:rPr>
        <w:t>（</w:t>
      </w:r>
      <w:r>
        <w:rPr>
          <w:rFonts w:hint="eastAsia"/>
          <w:color w:val="auto"/>
          <w:lang w:val="en-US" w:eastAsia="zh-CN"/>
        </w:rPr>
        <w:t>4</w:t>
      </w:r>
      <w:r>
        <w:rPr>
          <w:rFonts w:hint="eastAsia"/>
          <w:color w:val="auto"/>
          <w:lang w:eastAsia="zh-CN"/>
        </w:rPr>
        <w:t>）</w:t>
      </w:r>
      <w:r>
        <w:rPr>
          <w:color w:val="auto"/>
        </w:rPr>
        <w:t>电气系统</w:t>
      </w:r>
      <w:bookmarkEnd w:id="253"/>
      <w:bookmarkEnd w:id="254"/>
      <w:bookmarkEnd w:id="255"/>
      <w:bookmarkEnd w:id="256"/>
      <w:bookmarkEnd w:id="257"/>
      <w:bookmarkEnd w:id="258"/>
      <w:r>
        <w:rPr>
          <w:rFonts w:hint="eastAsia"/>
          <w:color w:val="auto"/>
          <w:lang w:eastAsia="zh-CN"/>
        </w:rPr>
        <w:t>：</w:t>
      </w:r>
      <w:r>
        <w:rPr>
          <w:rFonts w:hint="eastAsia"/>
          <w:color w:val="auto"/>
        </w:rPr>
        <w:t>在建项目</w:t>
      </w:r>
      <w:r>
        <w:rPr>
          <w:color w:val="auto"/>
        </w:rPr>
        <w:t>按110kV电压等级双回上网联络线路接入当地电力系统并网方案考虑。</w:t>
      </w:r>
    </w:p>
    <w:p>
      <w:pPr>
        <w:spacing w:line="360" w:lineRule="auto"/>
        <w:rPr>
          <w:rFonts w:ascii="宋体" w:hAnsi="宋体"/>
          <w:color w:val="auto"/>
          <w:spacing w:val="-4"/>
        </w:rPr>
      </w:pPr>
      <w:bookmarkStart w:id="259" w:name="_Toc483263292"/>
      <w:bookmarkStart w:id="260" w:name="_Toc476490539"/>
      <w:bookmarkStart w:id="261" w:name="_Toc480964370"/>
      <w:bookmarkStart w:id="262" w:name="_Toc476055972"/>
      <w:bookmarkStart w:id="263" w:name="_Toc478481565"/>
      <w:bookmarkStart w:id="264" w:name="_Toc476489705"/>
      <w:r>
        <w:rPr>
          <w:rFonts w:hint="eastAsia"/>
          <w:color w:val="auto"/>
          <w:lang w:val="en-US" w:eastAsia="zh-CN"/>
        </w:rPr>
        <w:t xml:space="preserve">   </w:t>
      </w:r>
      <w:r>
        <w:rPr>
          <w:rFonts w:hint="eastAsia"/>
          <w:color w:val="auto"/>
          <w:lang w:eastAsia="zh-CN"/>
        </w:rPr>
        <w:t>（</w:t>
      </w:r>
      <w:r>
        <w:rPr>
          <w:rFonts w:hint="eastAsia"/>
          <w:color w:val="auto"/>
          <w:lang w:val="en-US" w:eastAsia="zh-CN"/>
        </w:rPr>
        <w:t>5</w:t>
      </w:r>
      <w:r>
        <w:rPr>
          <w:rFonts w:hint="eastAsia"/>
          <w:color w:val="auto"/>
          <w:lang w:eastAsia="zh-CN"/>
        </w:rPr>
        <w:t>）</w:t>
      </w:r>
      <w:r>
        <w:rPr>
          <w:color w:val="auto"/>
        </w:rPr>
        <w:t>给水设施</w:t>
      </w:r>
      <w:bookmarkEnd w:id="259"/>
      <w:bookmarkEnd w:id="260"/>
      <w:bookmarkEnd w:id="261"/>
      <w:bookmarkEnd w:id="262"/>
      <w:bookmarkEnd w:id="263"/>
      <w:bookmarkEnd w:id="264"/>
      <w:r>
        <w:rPr>
          <w:rFonts w:hint="eastAsia"/>
          <w:color w:val="auto"/>
          <w:lang w:eastAsia="zh-CN"/>
        </w:rPr>
        <w:t>：</w:t>
      </w:r>
      <w:r>
        <w:rPr>
          <w:rFonts w:hint="eastAsia"/>
          <w:color w:val="auto"/>
        </w:rPr>
        <w:t>在建项目</w:t>
      </w:r>
      <w:r>
        <w:rPr>
          <w:color w:val="auto"/>
        </w:rPr>
        <w:t>生产用水</w:t>
      </w:r>
      <w:r>
        <w:rPr>
          <w:rFonts w:hint="eastAsia"/>
          <w:color w:val="auto"/>
        </w:rPr>
        <w:t>和</w:t>
      </w:r>
      <w:r>
        <w:rPr>
          <w:color w:val="auto"/>
        </w:rPr>
        <w:t>生活用水均由</w:t>
      </w:r>
      <w:r>
        <w:rPr>
          <w:rFonts w:hint="eastAsia"/>
          <w:color w:val="auto"/>
        </w:rPr>
        <w:t>曾坑水库供给</w:t>
      </w:r>
      <w:r>
        <w:rPr>
          <w:rFonts w:hint="eastAsia" w:ascii="宋体" w:hAnsi="宋体"/>
          <w:color w:val="auto"/>
          <w:spacing w:val="-4"/>
        </w:rPr>
        <w:t>。</w:t>
      </w:r>
    </w:p>
    <w:p>
      <w:pPr>
        <w:spacing w:line="360" w:lineRule="auto"/>
        <w:rPr>
          <w:rFonts w:hint="eastAsia"/>
          <w:color w:val="auto"/>
        </w:rPr>
      </w:pPr>
      <w:r>
        <w:rPr>
          <w:rFonts w:hint="eastAsia"/>
          <w:snapToGrid w:val="0"/>
          <w:color w:val="auto"/>
          <w:lang w:val="en-US" w:eastAsia="zh-CN"/>
        </w:rPr>
        <w:t xml:space="preserve">   </w:t>
      </w:r>
      <w:r>
        <w:rPr>
          <w:rFonts w:hint="eastAsia"/>
          <w:snapToGrid w:val="0"/>
          <w:color w:val="auto"/>
          <w:lang w:eastAsia="zh-CN"/>
        </w:rPr>
        <w:t>（</w:t>
      </w:r>
      <w:r>
        <w:rPr>
          <w:rFonts w:hint="eastAsia"/>
          <w:snapToGrid w:val="0"/>
          <w:color w:val="auto"/>
          <w:lang w:val="en-US" w:eastAsia="zh-CN"/>
        </w:rPr>
        <w:t>6</w:t>
      </w:r>
      <w:r>
        <w:rPr>
          <w:rFonts w:hint="eastAsia"/>
          <w:snapToGrid w:val="0"/>
          <w:color w:val="auto"/>
          <w:lang w:eastAsia="zh-CN"/>
        </w:rPr>
        <w:t>）</w:t>
      </w:r>
      <w:r>
        <w:rPr>
          <w:snapToGrid w:val="0"/>
          <w:color w:val="auto"/>
        </w:rPr>
        <w:t>排水设施</w:t>
      </w:r>
      <w:r>
        <w:rPr>
          <w:rFonts w:hint="eastAsia"/>
          <w:snapToGrid w:val="0"/>
          <w:color w:val="auto"/>
          <w:lang w:eastAsia="zh-CN"/>
        </w:rPr>
        <w:t>：</w:t>
      </w:r>
      <w:r>
        <w:rPr>
          <w:rFonts w:hint="eastAsia"/>
          <w:color w:val="auto"/>
        </w:rPr>
        <w:t>园区内采用</w:t>
      </w:r>
      <w:r>
        <w:rPr>
          <w:rFonts w:hint="eastAsia"/>
          <w:color w:val="auto"/>
          <w:lang w:eastAsia="zh-CN"/>
        </w:rPr>
        <w:t>后期雨水和</w:t>
      </w:r>
      <w:r>
        <w:rPr>
          <w:rFonts w:hint="eastAsia"/>
          <w:color w:val="auto"/>
        </w:rPr>
        <w:t>污</w:t>
      </w:r>
      <w:r>
        <w:rPr>
          <w:rFonts w:hint="eastAsia"/>
          <w:color w:val="auto"/>
          <w:lang w:eastAsia="zh-CN"/>
        </w:rPr>
        <w:t>水</w:t>
      </w:r>
      <w:r>
        <w:rPr>
          <w:rFonts w:hint="eastAsia"/>
          <w:color w:val="auto"/>
        </w:rPr>
        <w:t>分流制，并建设污水处理厂，</w:t>
      </w:r>
      <w:r>
        <w:rPr>
          <w:rFonts w:hint="eastAsia"/>
          <w:color w:val="auto"/>
          <w:lang w:eastAsia="zh-CN"/>
        </w:rPr>
        <w:t>后期</w:t>
      </w:r>
      <w:r>
        <w:rPr>
          <w:rFonts w:hint="eastAsia"/>
          <w:color w:val="auto"/>
        </w:rPr>
        <w:t>雨水收集后直接排入市政管网，初期雨水和垃圾处理产生的污水及员工生活污水经污水处理厂处理后达标后作为循环用水，实现全厂污水“零排放”。</w:t>
      </w:r>
    </w:p>
    <w:p>
      <w:pPr>
        <w:spacing w:line="360" w:lineRule="auto"/>
        <w:ind w:firstLine="436" w:firstLineChars="182"/>
        <w:rPr>
          <w:color w:val="auto"/>
        </w:rPr>
      </w:pPr>
      <w:r>
        <w:rPr>
          <w:color w:val="auto"/>
        </w:rPr>
        <w:t>（</w:t>
      </w:r>
      <w:r>
        <w:rPr>
          <w:rFonts w:hint="eastAsia"/>
          <w:color w:val="auto"/>
          <w:lang w:val="en-US" w:eastAsia="zh-CN"/>
        </w:rPr>
        <w:t>7</w:t>
      </w:r>
      <w:r>
        <w:rPr>
          <w:color w:val="auto"/>
        </w:rPr>
        <w:t>）垃圾</w:t>
      </w:r>
      <w:r>
        <w:rPr>
          <w:rFonts w:hint="eastAsia"/>
          <w:color w:val="auto"/>
        </w:rPr>
        <w:t>渗滤液</w:t>
      </w:r>
      <w:r>
        <w:rPr>
          <w:color w:val="auto"/>
        </w:rPr>
        <w:t>处理系统</w:t>
      </w:r>
    </w:p>
    <w:p>
      <w:pPr>
        <w:pStyle w:val="79"/>
        <w:ind w:firstLine="480"/>
        <w:jc w:val="both"/>
        <w:rPr>
          <w:color w:val="auto"/>
        </w:rPr>
      </w:pPr>
      <w:r>
        <w:rPr>
          <w:color w:val="auto"/>
        </w:rPr>
        <w:t>垃圾</w:t>
      </w:r>
      <w:r>
        <w:rPr>
          <w:rFonts w:hint="eastAsia"/>
          <w:color w:val="auto"/>
        </w:rPr>
        <w:t>渗滤液</w:t>
      </w:r>
      <w:r>
        <w:rPr>
          <w:color w:val="auto"/>
        </w:rPr>
        <w:t>的处理工艺结合垃圾</w:t>
      </w:r>
      <w:r>
        <w:rPr>
          <w:rFonts w:hint="eastAsia"/>
          <w:color w:val="auto"/>
        </w:rPr>
        <w:t>渗滤液</w:t>
      </w:r>
      <w:r>
        <w:rPr>
          <w:color w:val="auto"/>
        </w:rPr>
        <w:t>的污水性质、垃圾</w:t>
      </w:r>
      <w:r>
        <w:rPr>
          <w:rFonts w:hint="eastAsia"/>
          <w:color w:val="auto"/>
        </w:rPr>
        <w:t>渗滤液</w:t>
      </w:r>
      <w:r>
        <w:rPr>
          <w:color w:val="auto"/>
        </w:rPr>
        <w:t>处理目前国内外较先进的技术、已运行的成功经验和实例及回用水有关标准，</w:t>
      </w:r>
      <w:r>
        <w:rPr>
          <w:rFonts w:hint="eastAsia" w:eastAsiaTheme="minorEastAsia"/>
          <w:color w:val="auto"/>
        </w:rPr>
        <w:t>在建</w:t>
      </w:r>
      <w:r>
        <w:rPr>
          <w:color w:val="auto"/>
        </w:rPr>
        <w:t>项目垃圾</w:t>
      </w:r>
      <w:r>
        <w:rPr>
          <w:rFonts w:hint="eastAsia"/>
          <w:color w:val="auto"/>
        </w:rPr>
        <w:t>渗滤液</w:t>
      </w:r>
      <w:r>
        <w:rPr>
          <w:color w:val="auto"/>
        </w:rPr>
        <w:t>处理采用</w:t>
      </w:r>
      <w:r>
        <w:rPr>
          <w:rFonts w:hint="eastAsia"/>
          <w:color w:val="auto"/>
        </w:rPr>
        <w:t xml:space="preserve"> “</w:t>
      </w:r>
      <w:r>
        <w:rPr>
          <w:color w:val="auto"/>
        </w:rPr>
        <w:t>预处理+UASB厌氧反应器+MBR生化处理系统+NF纳滤膜系统+RO反渗透系统+DTRO</w:t>
      </w:r>
      <w:r>
        <w:rPr>
          <w:rFonts w:hint="eastAsia"/>
          <w:bCs/>
          <w:color w:val="auto"/>
        </w:rPr>
        <w:t>”</w:t>
      </w:r>
      <w:r>
        <w:rPr>
          <w:color w:val="auto"/>
        </w:rPr>
        <w:t>的处理工艺。</w:t>
      </w:r>
    </w:p>
    <w:p>
      <w:pPr>
        <w:spacing w:line="360" w:lineRule="auto"/>
        <w:jc w:val="both"/>
        <w:rPr>
          <w:color w:val="auto"/>
        </w:rPr>
      </w:pPr>
      <w:r>
        <w:rPr>
          <w:rFonts w:hint="eastAsia"/>
          <w:color w:val="auto"/>
          <w:lang w:val="en-US" w:eastAsia="zh-CN"/>
        </w:rPr>
        <w:t xml:space="preserve">    </w:t>
      </w:r>
      <w:r>
        <w:rPr>
          <w:rFonts w:hint="eastAsia"/>
          <w:color w:val="auto"/>
          <w:lang w:eastAsia="zh-CN"/>
        </w:rPr>
        <w:t>（</w:t>
      </w:r>
      <w:r>
        <w:rPr>
          <w:rFonts w:hint="eastAsia"/>
          <w:color w:val="auto"/>
          <w:lang w:val="en-US" w:eastAsia="zh-CN"/>
        </w:rPr>
        <w:t>8</w:t>
      </w:r>
      <w:r>
        <w:rPr>
          <w:rFonts w:hint="eastAsia"/>
          <w:color w:val="auto"/>
          <w:lang w:eastAsia="zh-CN"/>
        </w:rPr>
        <w:t>）</w:t>
      </w:r>
      <w:r>
        <w:rPr>
          <w:rFonts w:hint="eastAsia"/>
          <w:color w:val="auto"/>
        </w:rPr>
        <w:t>危险废物暂存间的设置</w:t>
      </w:r>
    </w:p>
    <w:p>
      <w:pPr>
        <w:spacing w:line="360" w:lineRule="auto"/>
        <w:ind w:firstLine="480"/>
        <w:jc w:val="both"/>
        <w:rPr>
          <w:color w:val="auto"/>
          <w:kern w:val="0"/>
        </w:rPr>
      </w:pPr>
      <w:r>
        <w:rPr>
          <w:rFonts w:hint="eastAsia"/>
          <w:color w:val="auto"/>
        </w:rPr>
        <w:t xml:space="preserve"> 在建</w:t>
      </w:r>
      <w:r>
        <w:rPr>
          <w:color w:val="auto"/>
        </w:rPr>
        <w:t>项目</w:t>
      </w:r>
      <w:r>
        <w:rPr>
          <w:rFonts w:hint="eastAsia"/>
          <w:color w:val="auto"/>
        </w:rPr>
        <w:t>建设一间占地面积为80m</w:t>
      </w:r>
      <w:r>
        <w:rPr>
          <w:rFonts w:hint="eastAsia"/>
          <w:color w:val="auto"/>
          <w:vertAlign w:val="superscript"/>
        </w:rPr>
        <w:t>2</w:t>
      </w:r>
      <w:r>
        <w:rPr>
          <w:rFonts w:hint="eastAsia"/>
          <w:color w:val="auto"/>
        </w:rPr>
        <w:t>的危险废物暂存间，贮存能力大于10t，主要用于在建项目产生次生危险废物的暂存，危废产生后暂存在危废仓库内，定期由有资质单位外运处理</w:t>
      </w:r>
      <w:r>
        <w:rPr>
          <w:rFonts w:hint="eastAsia"/>
          <w:color w:val="auto"/>
          <w:kern w:val="0"/>
        </w:rPr>
        <w:t>。危废暂存间</w:t>
      </w:r>
      <w:r>
        <w:rPr>
          <w:rFonts w:hint="eastAsia"/>
          <w:color w:val="auto"/>
        </w:rPr>
        <w:t>四周设有导流沟和独立的集液池，</w:t>
      </w:r>
      <w:r>
        <w:rPr>
          <w:color w:val="auto"/>
          <w:kern w:val="0"/>
        </w:rPr>
        <w:t>发生泄漏时通过围堰收集泄漏液并引入事故池</w:t>
      </w:r>
      <w:r>
        <w:rPr>
          <w:rFonts w:hint="eastAsia"/>
          <w:color w:val="auto"/>
          <w:kern w:val="0"/>
        </w:rPr>
        <w:t>。</w:t>
      </w:r>
    </w:p>
    <w:p>
      <w:pPr>
        <w:spacing w:line="360" w:lineRule="auto"/>
        <w:ind w:firstLine="480"/>
        <w:rPr>
          <w:color w:val="auto"/>
        </w:rPr>
      </w:pPr>
      <w:r>
        <w:rPr>
          <w:rFonts w:hint="eastAsia"/>
          <w:color w:val="auto"/>
        </w:rPr>
        <w:t>危废</w:t>
      </w:r>
      <w:r>
        <w:rPr>
          <w:color w:val="auto"/>
        </w:rPr>
        <w:t>暂存间</w:t>
      </w:r>
      <w:r>
        <w:rPr>
          <w:rFonts w:hint="eastAsia"/>
          <w:color w:val="auto"/>
        </w:rPr>
        <w:t>按照《危险废物贮存污染控制标准》（</w:t>
      </w:r>
      <w:r>
        <w:rPr>
          <w:color w:val="auto"/>
        </w:rPr>
        <w:t>GB18597-2001</w:t>
      </w:r>
      <w:r>
        <w:rPr>
          <w:rFonts w:hint="eastAsia"/>
          <w:color w:val="auto"/>
        </w:rPr>
        <w:t>）及</w:t>
      </w:r>
      <w:r>
        <w:rPr>
          <w:color w:val="auto"/>
        </w:rPr>
        <w:t>2013</w:t>
      </w:r>
      <w:r>
        <w:rPr>
          <w:rFonts w:hint="eastAsia"/>
          <w:color w:val="auto"/>
        </w:rPr>
        <w:t>年修改单相关要求建设，具有防风、防雨、防晒、防渗漏等防护措施，具体满足以下要求：</w:t>
      </w:r>
    </w:p>
    <w:p>
      <w:pPr>
        <w:spacing w:line="360" w:lineRule="auto"/>
        <w:ind w:firstLine="480"/>
        <w:rPr>
          <w:color w:val="auto"/>
        </w:rPr>
      </w:pPr>
      <w:r>
        <w:rPr>
          <w:color w:val="auto"/>
        </w:rPr>
        <w:t>a</w:t>
      </w:r>
      <w:r>
        <w:rPr>
          <w:rFonts w:hint="eastAsia"/>
          <w:color w:val="auto"/>
        </w:rPr>
        <w:t>、危废室地面硬化，要达到不扬散、不流失、不渗漏的要求。危险废物堆放场的基础防渗层采用至少</w:t>
      </w:r>
      <w:r>
        <w:rPr>
          <w:color w:val="auto"/>
        </w:rPr>
        <w:t>2mm</w:t>
      </w:r>
      <w:r>
        <w:rPr>
          <w:rFonts w:hint="eastAsia"/>
          <w:color w:val="auto"/>
        </w:rPr>
        <w:t>的人工材料，渗透系数</w:t>
      </w:r>
      <w:r>
        <w:rPr>
          <w:color w:val="auto"/>
        </w:rPr>
        <w:t>≤10</w:t>
      </w:r>
      <w:r>
        <w:rPr>
          <w:color w:val="auto"/>
          <w:vertAlign w:val="superscript"/>
        </w:rPr>
        <w:t>-10</w:t>
      </w:r>
      <w:r>
        <w:rPr>
          <w:color w:val="auto"/>
        </w:rPr>
        <w:t>cm/s</w:t>
      </w:r>
      <w:r>
        <w:rPr>
          <w:rFonts w:hint="eastAsia"/>
          <w:color w:val="auto"/>
        </w:rPr>
        <w:t>。</w:t>
      </w:r>
    </w:p>
    <w:p>
      <w:pPr>
        <w:spacing w:line="360" w:lineRule="auto"/>
        <w:ind w:firstLine="480"/>
        <w:rPr>
          <w:color w:val="auto"/>
        </w:rPr>
      </w:pPr>
      <w:r>
        <w:rPr>
          <w:color w:val="auto"/>
        </w:rPr>
        <w:t>b</w:t>
      </w:r>
      <w:r>
        <w:rPr>
          <w:rFonts w:hint="eastAsia"/>
          <w:color w:val="auto"/>
        </w:rPr>
        <w:t>、危废室内各类危废分类堆放，各类危废之间设有隔断，各类危废半年清运一次，最长暂存期间不得超过一年。</w:t>
      </w:r>
    </w:p>
    <w:p>
      <w:pPr>
        <w:spacing w:line="360" w:lineRule="auto"/>
        <w:ind w:firstLine="480"/>
        <w:rPr>
          <w:color w:val="auto"/>
        </w:rPr>
      </w:pPr>
      <w:r>
        <w:rPr>
          <w:color w:val="auto"/>
        </w:rPr>
        <w:t>c</w:t>
      </w:r>
      <w:r>
        <w:rPr>
          <w:rFonts w:hint="eastAsia"/>
          <w:color w:val="auto"/>
        </w:rPr>
        <w:t>、为防止雨水径流进入危废仓库内，危废室周边应设置导流渠。</w:t>
      </w:r>
    </w:p>
    <w:p>
      <w:pPr>
        <w:spacing w:line="360" w:lineRule="auto"/>
        <w:ind w:firstLine="480"/>
        <w:rPr>
          <w:color w:val="auto"/>
        </w:rPr>
      </w:pPr>
      <w:r>
        <w:rPr>
          <w:color w:val="auto"/>
        </w:rPr>
        <w:t>d</w:t>
      </w:r>
      <w:r>
        <w:rPr>
          <w:rFonts w:hint="eastAsia"/>
          <w:color w:val="auto"/>
        </w:rPr>
        <w:t>、为防止危废泄漏，危废室四周应设置围堰，围堰四周及危废室地面需使用环氧树脂漆进行防腐防渗。</w:t>
      </w:r>
    </w:p>
    <w:p>
      <w:pPr>
        <w:spacing w:line="360" w:lineRule="auto"/>
        <w:ind w:firstLine="480"/>
        <w:rPr>
          <w:color w:val="auto"/>
        </w:rPr>
      </w:pPr>
      <w:r>
        <w:rPr>
          <w:color w:val="auto"/>
        </w:rPr>
        <w:t>e</w:t>
      </w:r>
      <w:r>
        <w:rPr>
          <w:rFonts w:hint="eastAsia"/>
          <w:color w:val="auto"/>
        </w:rPr>
        <w:t>、危废室外部设置醒目警示标识，危废室内部各类危废上方根据各类危废特性设施危废标识。</w:t>
      </w:r>
    </w:p>
    <w:p>
      <w:pPr>
        <w:spacing w:line="360" w:lineRule="auto"/>
        <w:ind w:firstLine="480"/>
        <w:rPr>
          <w:color w:val="auto"/>
        </w:rPr>
      </w:pPr>
      <w:r>
        <w:rPr>
          <w:color w:val="auto"/>
        </w:rPr>
        <w:t>f</w:t>
      </w:r>
      <w:r>
        <w:rPr>
          <w:rFonts w:hint="eastAsia"/>
          <w:color w:val="auto"/>
        </w:rPr>
        <w:t>、建立危废台账，详细记录厂区内各类危废种类和数量，暂存周期，供随时查阅。</w:t>
      </w:r>
    </w:p>
    <w:p>
      <w:pPr>
        <w:spacing w:line="360" w:lineRule="auto"/>
        <w:ind w:firstLine="480"/>
        <w:rPr>
          <w:color w:val="auto"/>
        </w:rPr>
      </w:pPr>
      <w:r>
        <w:rPr>
          <w:color w:val="auto"/>
        </w:rPr>
        <w:t>g</w:t>
      </w:r>
      <w:r>
        <w:rPr>
          <w:rFonts w:hint="eastAsia"/>
          <w:color w:val="auto"/>
        </w:rPr>
        <w:t>、在常温、常压下易爆、易燃及排出有毒气体的危险废物必须进行预处理，使之稳定后贮存，否则，按易爆、易燃危险品贮存。</w:t>
      </w:r>
    </w:p>
    <w:p>
      <w:pPr>
        <w:spacing w:line="360" w:lineRule="auto"/>
        <w:ind w:firstLine="480"/>
        <w:rPr>
          <w:color w:val="auto"/>
        </w:rPr>
      </w:pPr>
      <w:r>
        <w:rPr>
          <w:color w:val="auto"/>
        </w:rPr>
        <w:t>h</w:t>
      </w:r>
      <w:r>
        <w:rPr>
          <w:rFonts w:hint="eastAsia"/>
          <w:color w:val="auto"/>
        </w:rPr>
        <w:t>、禁止将不相容</w:t>
      </w:r>
      <w:r>
        <w:rPr>
          <w:color w:val="auto"/>
        </w:rPr>
        <w:t>(</w:t>
      </w:r>
      <w:r>
        <w:rPr>
          <w:rFonts w:hint="eastAsia"/>
          <w:color w:val="auto"/>
        </w:rPr>
        <w:t>相互反应</w:t>
      </w:r>
      <w:r>
        <w:rPr>
          <w:color w:val="auto"/>
        </w:rPr>
        <w:t>)</w:t>
      </w:r>
      <w:r>
        <w:rPr>
          <w:rFonts w:hint="eastAsia"/>
          <w:color w:val="auto"/>
        </w:rPr>
        <w:t>的危险废物在同一容器内混装。</w:t>
      </w:r>
    </w:p>
    <w:p>
      <w:pPr>
        <w:spacing w:line="360" w:lineRule="auto"/>
        <w:ind w:firstLine="480"/>
        <w:rPr>
          <w:color w:val="auto"/>
        </w:rPr>
      </w:pPr>
      <w:r>
        <w:rPr>
          <w:color w:val="auto"/>
        </w:rPr>
        <w:t>i</w:t>
      </w:r>
      <w:r>
        <w:rPr>
          <w:rFonts w:hint="eastAsia"/>
          <w:color w:val="auto"/>
        </w:rPr>
        <w:t>、无法装入常用容器的危险废物可用防漏胶袋等盛装。</w:t>
      </w:r>
    </w:p>
    <w:p>
      <w:pPr>
        <w:spacing w:line="360" w:lineRule="auto"/>
        <w:ind w:firstLine="480"/>
        <w:rPr>
          <w:color w:val="auto"/>
        </w:rPr>
      </w:pPr>
      <w:r>
        <w:rPr>
          <w:color w:val="auto"/>
        </w:rPr>
        <w:t>j</w:t>
      </w:r>
      <w:r>
        <w:rPr>
          <w:rFonts w:hint="eastAsia"/>
          <w:color w:val="auto"/>
        </w:rPr>
        <w:t>、装载液体、半固体危险废物的容器内须留足够空间，容器顶部与液体表面之间保留</w:t>
      </w:r>
      <w:r>
        <w:rPr>
          <w:color w:val="auto"/>
        </w:rPr>
        <w:t>100mm</w:t>
      </w:r>
      <w:r>
        <w:rPr>
          <w:rFonts w:hint="eastAsia"/>
          <w:color w:val="auto"/>
        </w:rPr>
        <w:t>以上的空间。</w:t>
      </w:r>
    </w:p>
    <w:p>
      <w:pPr>
        <w:spacing w:line="360" w:lineRule="auto"/>
        <w:ind w:firstLine="480"/>
        <w:rPr>
          <w:color w:val="auto"/>
        </w:rPr>
      </w:pPr>
      <w:r>
        <w:rPr>
          <w:color w:val="auto"/>
        </w:rPr>
        <w:t>k</w:t>
      </w:r>
      <w:r>
        <w:rPr>
          <w:rFonts w:hint="eastAsia"/>
          <w:color w:val="auto"/>
        </w:rPr>
        <w:t>、应当使用符合标准的容器盛装危险废物。</w:t>
      </w:r>
    </w:p>
    <w:p>
      <w:pPr>
        <w:spacing w:line="360" w:lineRule="auto"/>
        <w:ind w:firstLine="480"/>
        <w:rPr>
          <w:color w:val="auto"/>
        </w:rPr>
      </w:pPr>
      <w:r>
        <w:rPr>
          <w:color w:val="auto"/>
        </w:rPr>
        <w:t>l</w:t>
      </w:r>
      <w:r>
        <w:rPr>
          <w:rFonts w:hint="eastAsia"/>
          <w:color w:val="auto"/>
        </w:rPr>
        <w:t>、不相容的危险废物必须分开存放，并设有隔离间隔带。</w:t>
      </w:r>
    </w:p>
    <w:p>
      <w:pPr>
        <w:spacing w:line="360" w:lineRule="auto"/>
        <w:ind w:firstLine="480"/>
        <w:rPr>
          <w:color w:val="auto"/>
        </w:rPr>
      </w:pPr>
      <w:r>
        <w:rPr>
          <w:color w:val="auto"/>
        </w:rPr>
        <w:t>m</w:t>
      </w:r>
      <w:r>
        <w:rPr>
          <w:rFonts w:hint="eastAsia"/>
          <w:color w:val="auto"/>
        </w:rPr>
        <w:t>、危险废物贮存前应进行检验，确保同预定接收的危险废物一致，并注册登记，作好记录，记录上须注明危险废物的名称、来源、数量、特性和包装容器的类别、入库日期、存放库位、废物出库日期及接受单位名称。</w:t>
      </w:r>
    </w:p>
    <w:p>
      <w:pPr>
        <w:spacing w:line="360" w:lineRule="auto"/>
        <w:ind w:firstLine="480"/>
        <w:rPr>
          <w:color w:val="auto"/>
        </w:rPr>
      </w:pPr>
      <w:r>
        <w:rPr>
          <w:color w:val="auto"/>
        </w:rPr>
        <w:t>n</w:t>
      </w:r>
      <w:r>
        <w:rPr>
          <w:rFonts w:hint="eastAsia"/>
          <w:color w:val="auto"/>
        </w:rPr>
        <w:t>、必须定期对贮存危险废物的包装容器及贮存设施进行检查，发现破损，应及时采取措施清理更换。</w:t>
      </w:r>
    </w:p>
    <w:p>
      <w:pPr>
        <w:spacing w:line="360" w:lineRule="auto"/>
        <w:ind w:firstLine="480"/>
        <w:jc w:val="both"/>
        <w:rPr>
          <w:rFonts w:hint="eastAsia"/>
          <w:color w:val="auto"/>
        </w:rPr>
      </w:pPr>
      <w:r>
        <w:rPr>
          <w:color w:val="auto"/>
        </w:rPr>
        <w:t>o</w:t>
      </w:r>
      <w:r>
        <w:rPr>
          <w:rFonts w:hint="eastAsia"/>
          <w:color w:val="auto"/>
        </w:rPr>
        <w:t>、危险废物贮存设施内清理出来的泄漏物，一律按危险废物处理。</w:t>
      </w:r>
    </w:p>
    <w:p>
      <w:pPr>
        <w:numPr>
          <w:ilvl w:val="0"/>
          <w:numId w:val="3"/>
        </w:numPr>
        <w:spacing w:line="360" w:lineRule="auto"/>
        <w:ind w:firstLine="480"/>
        <w:jc w:val="both"/>
        <w:rPr>
          <w:rFonts w:hint="eastAsia"/>
          <w:color w:val="auto"/>
          <w:kern w:val="0"/>
          <w:sz w:val="24"/>
          <w:szCs w:val="24"/>
          <w:lang w:eastAsia="zh-CN"/>
        </w:rPr>
      </w:pPr>
      <w:r>
        <w:rPr>
          <w:rFonts w:hint="eastAsia"/>
          <w:color w:val="auto"/>
          <w:lang w:eastAsia="zh-CN"/>
        </w:rPr>
        <w:t>事故应急池的设置：</w:t>
      </w:r>
      <w:r>
        <w:rPr>
          <w:rFonts w:hint="eastAsia" w:hAnsi="宋体"/>
          <w:color w:val="auto"/>
          <w:sz w:val="24"/>
          <w:szCs w:val="24"/>
        </w:rPr>
        <w:t>设1个</w:t>
      </w:r>
      <w:r>
        <w:rPr>
          <w:color w:val="auto"/>
          <w:kern w:val="0"/>
          <w:sz w:val="24"/>
          <w:szCs w:val="24"/>
        </w:rPr>
        <w:t>725</w:t>
      </w:r>
      <w:r>
        <w:rPr>
          <w:color w:val="auto"/>
          <w:sz w:val="24"/>
          <w:szCs w:val="24"/>
        </w:rPr>
        <w:t>m</w:t>
      </w:r>
      <w:r>
        <w:rPr>
          <w:color w:val="auto"/>
          <w:sz w:val="24"/>
          <w:szCs w:val="24"/>
          <w:vertAlign w:val="superscript"/>
        </w:rPr>
        <w:t>3</w:t>
      </w:r>
      <w:r>
        <w:rPr>
          <w:rFonts w:hint="eastAsia"/>
          <w:color w:val="auto"/>
          <w:sz w:val="24"/>
          <w:szCs w:val="24"/>
        </w:rPr>
        <w:t>事故应急</w:t>
      </w:r>
      <w:r>
        <w:rPr>
          <w:color w:val="auto"/>
          <w:kern w:val="0"/>
          <w:sz w:val="24"/>
          <w:szCs w:val="24"/>
        </w:rPr>
        <w:t>池，事故应急池与</w:t>
      </w:r>
      <w:r>
        <w:rPr>
          <w:rFonts w:hint="eastAsia"/>
          <w:color w:val="auto"/>
          <w:kern w:val="0"/>
          <w:sz w:val="24"/>
          <w:szCs w:val="24"/>
        </w:rPr>
        <w:t>自建</w:t>
      </w:r>
      <w:r>
        <w:rPr>
          <w:color w:val="auto"/>
          <w:kern w:val="0"/>
          <w:sz w:val="24"/>
          <w:szCs w:val="24"/>
        </w:rPr>
        <w:t>的渗滤液处理站调节池合建</w:t>
      </w:r>
      <w:r>
        <w:rPr>
          <w:rFonts w:hint="eastAsia"/>
          <w:color w:val="auto"/>
          <w:kern w:val="0"/>
          <w:sz w:val="24"/>
          <w:szCs w:val="24"/>
          <w:lang w:eastAsia="zh-CN"/>
        </w:rPr>
        <w:t>。</w:t>
      </w:r>
    </w:p>
    <w:p>
      <w:pPr>
        <w:numPr>
          <w:ilvl w:val="0"/>
          <w:numId w:val="3"/>
        </w:numPr>
        <w:spacing w:line="360" w:lineRule="auto"/>
        <w:ind w:firstLine="480"/>
        <w:jc w:val="both"/>
        <w:rPr>
          <w:rFonts w:hint="eastAsia"/>
          <w:color w:val="auto"/>
          <w:kern w:val="0"/>
          <w:sz w:val="24"/>
          <w:szCs w:val="24"/>
          <w:lang w:eastAsia="zh-CN"/>
        </w:rPr>
      </w:pPr>
      <w:r>
        <w:rPr>
          <w:rFonts w:hint="eastAsia"/>
          <w:color w:val="auto"/>
          <w:kern w:val="0"/>
          <w:sz w:val="24"/>
          <w:szCs w:val="24"/>
          <w:lang w:eastAsia="zh-CN"/>
        </w:rPr>
        <w:t>生活垃圾焚烧工艺介绍</w:t>
      </w:r>
    </w:p>
    <w:p>
      <w:pPr>
        <w:numPr>
          <w:ilvl w:val="0"/>
          <w:numId w:val="0"/>
        </w:numPr>
        <w:tabs>
          <w:tab w:val="clear" w:pos="680"/>
        </w:tabs>
        <w:spacing w:line="360" w:lineRule="auto"/>
        <w:jc w:val="both"/>
        <w:rPr>
          <w:rFonts w:hint="eastAsia"/>
          <w:color w:val="auto"/>
          <w:sz w:val="24"/>
          <w:szCs w:val="24"/>
          <w:lang w:eastAsia="zh-CN"/>
        </w:rPr>
        <w:sectPr>
          <w:pgSz w:w="11906" w:h="16838"/>
          <w:pgMar w:top="1134" w:right="1418" w:bottom="1134" w:left="1418" w:header="851" w:footer="992" w:gutter="0"/>
          <w:pgNumType w:fmt="decimal"/>
          <w:cols w:space="720" w:num="1"/>
          <w:docGrid w:linePitch="312" w:charSpace="0"/>
        </w:sectPr>
      </w:pPr>
      <w:r>
        <w:rPr>
          <w:rFonts w:hint="eastAsia"/>
          <w:color w:val="auto"/>
          <w:kern w:val="0"/>
          <w:sz w:val="24"/>
          <w:szCs w:val="24"/>
          <w:lang w:val="en-US" w:eastAsia="zh-CN"/>
        </w:rPr>
        <w:t xml:space="preserve">    生活垃圾焚烧主厂房布置：</w:t>
      </w:r>
      <w:r>
        <w:rPr>
          <w:rFonts w:hint="eastAsia"/>
          <w:color w:val="auto"/>
          <w:kern w:val="0"/>
          <w:sz w:val="24"/>
          <w:szCs w:val="24"/>
          <w:lang w:eastAsia="zh-CN"/>
        </w:rPr>
        <w:t>主厂房、主厂房附屋及烟囱为一体化布置，主厂房包括垃圾卸料大厅、垃圾池、锅炉间、烟气净化设备及其它一些设备用房；主厂房附屋包括汽机间、综合车间。</w:t>
      </w:r>
      <w:r>
        <w:rPr>
          <w:rFonts w:hint="eastAsia"/>
          <w:color w:val="auto"/>
          <w:sz w:val="24"/>
          <w:szCs w:val="24"/>
        </w:rPr>
        <w:t>处理能力</w:t>
      </w:r>
      <w:r>
        <w:rPr>
          <w:color w:val="auto"/>
          <w:sz w:val="24"/>
          <w:szCs w:val="24"/>
        </w:rPr>
        <w:t>700t/d</w:t>
      </w:r>
      <w:r>
        <w:rPr>
          <w:rFonts w:hint="eastAsia"/>
          <w:color w:val="auto"/>
          <w:sz w:val="24"/>
          <w:szCs w:val="24"/>
        </w:rPr>
        <w:t>，</w:t>
      </w:r>
      <w:r>
        <w:rPr>
          <w:color w:val="auto"/>
          <w:sz w:val="24"/>
          <w:szCs w:val="24"/>
        </w:rPr>
        <w:t>2×350</w:t>
      </w:r>
      <w:r>
        <w:rPr>
          <w:rFonts w:hint="eastAsia"/>
          <w:color w:val="auto"/>
          <w:sz w:val="24"/>
          <w:szCs w:val="24"/>
        </w:rPr>
        <w:t>吨</w:t>
      </w:r>
      <w:r>
        <w:rPr>
          <w:color w:val="auto"/>
          <w:sz w:val="24"/>
          <w:szCs w:val="24"/>
        </w:rPr>
        <w:t>/</w:t>
      </w:r>
      <w:r>
        <w:rPr>
          <w:rFonts w:hint="eastAsia"/>
          <w:color w:val="auto"/>
          <w:sz w:val="24"/>
          <w:szCs w:val="24"/>
        </w:rPr>
        <w:t>日机焚烧线及对应配套系统</w:t>
      </w:r>
      <w:r>
        <w:rPr>
          <w:rFonts w:hint="eastAsia"/>
          <w:color w:val="auto"/>
          <w:sz w:val="24"/>
          <w:szCs w:val="24"/>
          <w:lang w:eastAsia="zh-CN"/>
        </w:rPr>
        <w:t>。</w:t>
      </w:r>
      <w:r>
        <w:rPr>
          <w:color w:val="auto"/>
          <w:sz w:val="24"/>
          <w:szCs w:val="24"/>
        </w:rPr>
        <w:t>2</w:t>
      </w:r>
      <w:r>
        <w:rPr>
          <w:rFonts w:hint="eastAsia"/>
          <w:color w:val="auto"/>
          <w:sz w:val="24"/>
          <w:szCs w:val="24"/>
        </w:rPr>
        <w:t>台，额定蒸发量</w:t>
      </w:r>
      <w:r>
        <w:rPr>
          <w:color w:val="auto"/>
          <w:sz w:val="24"/>
          <w:szCs w:val="24"/>
        </w:rPr>
        <w:t>33.6t/h</w:t>
      </w:r>
      <w:r>
        <w:rPr>
          <w:rFonts w:hint="eastAsia"/>
          <w:color w:val="auto"/>
          <w:sz w:val="24"/>
          <w:szCs w:val="24"/>
        </w:rPr>
        <w:t>。</w:t>
      </w:r>
      <w:r>
        <w:rPr>
          <w:rFonts w:hint="eastAsia"/>
          <w:color w:val="auto"/>
          <w:sz w:val="24"/>
          <w:szCs w:val="24"/>
          <w:lang w:eastAsia="zh-CN"/>
        </w:rPr>
        <w:t>设有</w:t>
      </w:r>
      <w:r>
        <w:rPr>
          <w:rFonts w:hint="eastAsia"/>
          <w:color w:val="auto"/>
          <w:sz w:val="24"/>
          <w:szCs w:val="24"/>
        </w:rPr>
        <w:t>一束两管式</w:t>
      </w:r>
      <w:r>
        <w:rPr>
          <w:rFonts w:hint="eastAsia"/>
          <w:color w:val="auto"/>
          <w:sz w:val="24"/>
          <w:szCs w:val="24"/>
          <w:lang w:eastAsia="zh-CN"/>
        </w:rPr>
        <w:t>烟囱</w:t>
      </w:r>
      <w:r>
        <w:rPr>
          <w:rFonts w:hint="eastAsia"/>
          <w:color w:val="auto"/>
          <w:sz w:val="24"/>
          <w:szCs w:val="24"/>
        </w:rPr>
        <w:t>，设计高度</w:t>
      </w:r>
      <w:r>
        <w:rPr>
          <w:color w:val="auto"/>
          <w:sz w:val="24"/>
          <w:szCs w:val="24"/>
        </w:rPr>
        <w:t>80m</w:t>
      </w:r>
      <w:r>
        <w:rPr>
          <w:rFonts w:hint="eastAsia"/>
          <w:color w:val="auto"/>
          <w:sz w:val="24"/>
          <w:szCs w:val="24"/>
        </w:rPr>
        <w:t>，内径</w:t>
      </w:r>
      <w:r>
        <w:rPr>
          <w:color w:val="auto"/>
          <w:sz w:val="24"/>
          <w:szCs w:val="24"/>
        </w:rPr>
        <w:t>1.62m×2</w:t>
      </w:r>
      <w:r>
        <w:rPr>
          <w:rFonts w:hint="eastAsia"/>
          <w:color w:val="auto"/>
          <w:sz w:val="24"/>
          <w:szCs w:val="24"/>
          <w:lang w:eastAsia="zh-CN"/>
        </w:rPr>
        <w:t>。生活垃圾焚烧处理工艺流程见下图：</w:t>
      </w:r>
    </w:p>
    <w:p>
      <w:pPr>
        <w:adjustRightInd w:val="0"/>
        <w:snapToGrid w:val="0"/>
        <w:spacing w:line="360" w:lineRule="auto"/>
        <w:jc w:val="center"/>
        <w:rPr>
          <w:color w:val="auto"/>
        </w:rPr>
      </w:pPr>
      <w:r>
        <w:rPr>
          <w:rFonts w:hint="eastAsia" w:ascii="宋体" w:hAnsi="宋体"/>
          <w:color w:val="auto"/>
        </w:rPr>
        <w:object>
          <v:shape id="_x0000_i1031" o:spt="75" type="#_x0000_t75" style="height:357.4pt;width:695.95pt;" o:ole="t" filled="f" o:preferrelative="t" stroked="f" coordsize="21600,21600">
            <v:path/>
            <v:fill on="f" focussize="0,0"/>
            <v:stroke on="f" joinstyle="miter"/>
            <v:imagedata r:id="rId70" o:title=""/>
            <o:lock v:ext="edit" aspectratio="t"/>
            <w10:wrap type="none"/>
            <w10:anchorlock/>
          </v:shape>
          <o:OLEObject Type="Embed" ProgID="Equation.DSMT4" ShapeID="_x0000_i1031" DrawAspect="Content" ObjectID="_1468075732" r:id="rId69">
            <o:LockedField>false</o:LockedField>
          </o:OLEObject>
        </w:object>
      </w:r>
    </w:p>
    <w:p>
      <w:pPr>
        <w:jc w:val="center"/>
        <w:rPr>
          <w:b/>
          <w:color w:val="auto"/>
        </w:rPr>
      </w:pPr>
      <w:r>
        <w:rPr>
          <w:rFonts w:hint="eastAsia"/>
          <w:b/>
          <w:color w:val="auto"/>
        </w:rPr>
        <w:t>图</w:t>
      </w:r>
      <w:r>
        <w:rPr>
          <w:b/>
          <w:color w:val="auto"/>
        </w:rPr>
        <w:t xml:space="preserve"> </w:t>
      </w:r>
      <w:r>
        <w:rPr>
          <w:b/>
          <w:color w:val="auto"/>
        </w:rPr>
        <w:fldChar w:fldCharType="begin"/>
      </w:r>
      <w:r>
        <w:rPr>
          <w:b/>
          <w:color w:val="auto"/>
        </w:rPr>
        <w:instrText xml:space="preserve"> STYLEREF 2 \s </w:instrText>
      </w:r>
      <w:r>
        <w:rPr>
          <w:b/>
          <w:color w:val="auto"/>
        </w:rPr>
        <w:fldChar w:fldCharType="separate"/>
      </w:r>
      <w:r>
        <w:rPr>
          <w:b/>
          <w:color w:val="auto"/>
        </w:rPr>
        <w:t>3.1</w:t>
      </w:r>
      <w:r>
        <w:rPr>
          <w:b/>
          <w:color w:val="auto"/>
        </w:rPr>
        <w:fldChar w:fldCharType="end"/>
      </w:r>
      <w:r>
        <w:rPr>
          <w:b/>
          <w:color w:val="auto"/>
        </w:rPr>
        <w:noBreakHyphen/>
      </w:r>
      <w:r>
        <w:rPr>
          <w:rFonts w:hint="eastAsia"/>
          <w:b/>
          <w:color w:val="auto"/>
          <w:lang w:val="en-US" w:eastAsia="zh-CN"/>
        </w:rPr>
        <w:t>5</w:t>
      </w:r>
      <w:r>
        <w:rPr>
          <w:b/>
          <w:color w:val="auto"/>
        </w:rPr>
        <w:t xml:space="preserve">  </w:t>
      </w:r>
      <w:r>
        <w:rPr>
          <w:rFonts w:hint="eastAsia"/>
          <w:b/>
          <w:color w:val="auto"/>
        </w:rPr>
        <w:t>垃圾焚烧工艺流程图</w:t>
      </w:r>
    </w:p>
    <w:p>
      <w:pPr>
        <w:numPr>
          <w:ilvl w:val="0"/>
          <w:numId w:val="0"/>
        </w:numPr>
        <w:tabs>
          <w:tab w:val="clear" w:pos="680"/>
        </w:tabs>
        <w:spacing w:line="360" w:lineRule="auto"/>
        <w:jc w:val="both"/>
        <w:rPr>
          <w:rFonts w:hint="eastAsia"/>
          <w:color w:val="auto"/>
          <w:sz w:val="24"/>
          <w:szCs w:val="24"/>
          <w:lang w:eastAsia="zh-CN"/>
        </w:rPr>
        <w:sectPr>
          <w:pgSz w:w="16838" w:h="11906" w:orient="landscape"/>
          <w:pgMar w:top="1418" w:right="1134" w:bottom="1418" w:left="1134" w:header="851" w:footer="992" w:gutter="0"/>
          <w:pgNumType w:fmt="decimal"/>
          <w:cols w:space="720" w:num="1"/>
          <w:docGrid w:linePitch="312" w:charSpace="0"/>
        </w:sectPr>
      </w:pPr>
    </w:p>
    <w:p>
      <w:pPr>
        <w:numPr>
          <w:ilvl w:val="0"/>
          <w:numId w:val="0"/>
        </w:numPr>
        <w:tabs>
          <w:tab w:val="clear" w:pos="680"/>
        </w:tabs>
        <w:spacing w:line="360" w:lineRule="auto"/>
        <w:jc w:val="both"/>
        <w:rPr>
          <w:rFonts w:hint="eastAsia"/>
          <w:color w:val="auto"/>
          <w:sz w:val="24"/>
          <w:szCs w:val="24"/>
          <w:lang w:eastAsia="zh-CN"/>
        </w:rPr>
      </w:pPr>
    </w:p>
    <w:p>
      <w:pPr>
        <w:pStyle w:val="298"/>
        <w:spacing w:before="42" w:after="42" w:line="360" w:lineRule="auto"/>
        <w:rPr>
          <w:color w:val="auto"/>
          <w:lang w:eastAsia="zh-CN"/>
        </w:rPr>
      </w:pPr>
      <w:bookmarkStart w:id="265" w:name="_Toc29706"/>
      <w:r>
        <w:rPr>
          <w:color w:val="auto"/>
        </w:rPr>
        <w:t>3.</w:t>
      </w:r>
      <w:r>
        <w:rPr>
          <w:rFonts w:hint="eastAsia"/>
          <w:color w:val="auto"/>
          <w:lang w:val="en-US" w:eastAsia="zh-CN"/>
        </w:rPr>
        <w:t>1</w:t>
      </w:r>
      <w:r>
        <w:rPr>
          <w:color w:val="auto"/>
        </w:rPr>
        <w:t>.</w:t>
      </w:r>
      <w:r>
        <w:rPr>
          <w:color w:val="auto"/>
          <w:lang w:eastAsia="zh-CN"/>
        </w:rPr>
        <w:t>3</w:t>
      </w:r>
      <w:r>
        <w:rPr>
          <w:rFonts w:hint="eastAsia"/>
          <w:color w:val="auto"/>
          <w:lang w:eastAsia="zh-CN"/>
        </w:rPr>
        <w:t>公辅工程</w:t>
      </w:r>
      <w:bookmarkEnd w:id="252"/>
      <w:bookmarkEnd w:id="265"/>
    </w:p>
    <w:p>
      <w:pPr>
        <w:spacing w:line="360" w:lineRule="auto"/>
        <w:rPr>
          <w:color w:val="auto"/>
        </w:rPr>
      </w:pPr>
      <w:r>
        <w:rPr>
          <w:color w:val="auto"/>
        </w:rPr>
        <w:t>3.</w:t>
      </w:r>
      <w:r>
        <w:rPr>
          <w:rFonts w:hint="eastAsia"/>
          <w:color w:val="auto"/>
          <w:lang w:val="en-US" w:eastAsia="zh-CN"/>
        </w:rPr>
        <w:t>1</w:t>
      </w:r>
      <w:r>
        <w:rPr>
          <w:color w:val="auto"/>
        </w:rPr>
        <w:t>.3.1给水设施</w:t>
      </w:r>
    </w:p>
    <w:p>
      <w:pPr>
        <w:spacing w:line="360" w:lineRule="auto"/>
        <w:ind w:firstLine="480" w:firstLineChars="200"/>
        <w:rPr>
          <w:rFonts w:ascii="宋体" w:hAnsi="宋体"/>
          <w:color w:val="auto"/>
          <w:spacing w:val="-4"/>
        </w:rPr>
      </w:pPr>
      <w:r>
        <w:rPr>
          <w:rFonts w:hint="eastAsia"/>
          <w:color w:val="auto"/>
        </w:rPr>
        <w:t>本项目与在建项目一致，其</w:t>
      </w:r>
      <w:r>
        <w:rPr>
          <w:color w:val="auto"/>
        </w:rPr>
        <w:t>生产用水</w:t>
      </w:r>
      <w:r>
        <w:rPr>
          <w:rFonts w:hint="eastAsia"/>
          <w:color w:val="auto"/>
        </w:rPr>
        <w:t>来自曾坑水库和</w:t>
      </w:r>
      <w:r>
        <w:rPr>
          <w:color w:val="auto"/>
        </w:rPr>
        <w:t>污水</w:t>
      </w:r>
      <w:r>
        <w:rPr>
          <w:rFonts w:hint="eastAsia"/>
          <w:color w:val="auto"/>
        </w:rPr>
        <w:t>处理设施产生的</w:t>
      </w:r>
      <w:r>
        <w:rPr>
          <w:color w:val="auto"/>
        </w:rPr>
        <w:t>中水</w:t>
      </w:r>
      <w:r>
        <w:rPr>
          <w:rFonts w:hint="eastAsia"/>
          <w:color w:val="auto"/>
        </w:rPr>
        <w:t>供给</w:t>
      </w:r>
      <w:r>
        <w:rPr>
          <w:rFonts w:hint="eastAsia" w:ascii="宋体" w:hAnsi="宋体"/>
          <w:color w:val="auto"/>
          <w:spacing w:val="-4"/>
        </w:rPr>
        <w:t>。</w:t>
      </w:r>
    </w:p>
    <w:p>
      <w:pPr>
        <w:spacing w:line="360" w:lineRule="auto"/>
        <w:ind w:firstLine="464" w:firstLineChars="200"/>
        <w:rPr>
          <w:color w:val="auto"/>
        </w:rPr>
      </w:pPr>
      <w:r>
        <w:rPr>
          <w:rFonts w:hint="eastAsia" w:ascii="宋体" w:hAnsi="宋体"/>
          <w:color w:val="auto"/>
          <w:spacing w:val="-4"/>
        </w:rPr>
        <w:t>其中餐厨垃圾生产用水主要为除臭系统用水、运输车辆和地面冲洗废水，</w:t>
      </w:r>
      <w:r>
        <w:rPr>
          <w:color w:val="auto"/>
        </w:rPr>
        <w:t>除臭洗涤喷淋系统日补充水量约</w:t>
      </w:r>
      <w:r>
        <w:rPr>
          <w:rFonts w:hint="eastAsia"/>
          <w:color w:val="auto"/>
        </w:rPr>
        <w:t>0.5</w:t>
      </w:r>
      <w:r>
        <w:rPr>
          <w:color w:val="auto"/>
        </w:rPr>
        <w:t>t/d</w:t>
      </w:r>
      <w:r>
        <w:rPr>
          <w:rFonts w:hint="eastAsia"/>
          <w:color w:val="auto"/>
        </w:rPr>
        <w:t>；设备冲洗用水约为2t/次，每天冲洗二次，用水量4t/d；生产车间地面冲洗用水约为1t/次，每天冲洗两次，用水量2t/d，车辆冲洗用水为每次1</w:t>
      </w:r>
      <w:r>
        <w:rPr>
          <w:rFonts w:hint="eastAsia"/>
          <w:color w:val="auto"/>
          <w:lang w:val="en-US" w:eastAsia="zh-CN"/>
        </w:rPr>
        <w:t>7</w:t>
      </w:r>
      <w:r>
        <w:rPr>
          <w:rFonts w:hint="eastAsia"/>
          <w:color w:val="auto"/>
        </w:rPr>
        <w:t>0L/辆，每天冲洗二次，共配有3辆车，车辆冲洗用水约1t/d。</w:t>
      </w:r>
      <w:r>
        <w:rPr>
          <w:rFonts w:ascii="宋体" w:hAnsi="宋体"/>
          <w:color w:val="auto"/>
          <w:spacing w:val="-4"/>
        </w:rPr>
        <w:t xml:space="preserve"> </w:t>
      </w:r>
      <w:r>
        <w:rPr>
          <w:rFonts w:hint="eastAsia" w:ascii="宋体" w:hAnsi="宋体"/>
          <w:color w:val="auto"/>
          <w:spacing w:val="-4"/>
        </w:rPr>
        <w:t>则餐厨垃圾生产用水量为</w:t>
      </w:r>
      <w:r>
        <w:rPr>
          <w:rFonts w:hint="eastAsia"/>
          <w:color w:val="auto"/>
          <w:spacing w:val="-4"/>
        </w:rPr>
        <w:t>7</w:t>
      </w:r>
      <w:r>
        <w:rPr>
          <w:color w:val="auto"/>
          <w:spacing w:val="-4"/>
        </w:rPr>
        <w:t>.5</w:t>
      </w:r>
      <w:r>
        <w:rPr>
          <w:rFonts w:hint="eastAsia"/>
          <w:color w:val="auto"/>
        </w:rPr>
        <w:t xml:space="preserve"> t/</w:t>
      </w:r>
      <w:r>
        <w:rPr>
          <w:color w:val="auto"/>
        </w:rPr>
        <w:t>d。</w:t>
      </w:r>
    </w:p>
    <w:p>
      <w:pPr>
        <w:spacing w:line="360" w:lineRule="auto"/>
        <w:ind w:firstLine="464" w:firstLineChars="200"/>
        <w:rPr>
          <w:color w:val="auto"/>
          <w:spacing w:val="-4"/>
        </w:rPr>
      </w:pPr>
      <w:r>
        <w:rPr>
          <w:color w:val="auto"/>
          <w:spacing w:val="-4"/>
        </w:rPr>
        <w:t>建筑垃圾消纳场的生产用水主要为洗车用水</w:t>
      </w:r>
      <w:r>
        <w:rPr>
          <w:rFonts w:hint="eastAsia"/>
          <w:color w:val="auto"/>
          <w:spacing w:val="-4"/>
        </w:rPr>
        <w:t>、</w:t>
      </w:r>
      <w:r>
        <w:rPr>
          <w:color w:val="auto"/>
          <w:spacing w:val="-4"/>
        </w:rPr>
        <w:t>绿化用水</w:t>
      </w:r>
      <w:r>
        <w:rPr>
          <w:rFonts w:hint="eastAsia"/>
          <w:color w:val="auto"/>
          <w:spacing w:val="-4"/>
        </w:rPr>
        <w:t>以及喷水雾炮抑尘用水。</w:t>
      </w:r>
      <w:r>
        <w:rPr>
          <w:color w:val="auto"/>
          <w:spacing w:val="-4"/>
        </w:rPr>
        <w:t>其中洗车</w:t>
      </w:r>
      <w:r>
        <w:rPr>
          <w:rFonts w:hint="eastAsia"/>
          <w:color w:val="auto"/>
          <w:spacing w:val="-4"/>
        </w:rPr>
        <w:t>用水类比同类型项目每天用水量约6t/d；</w:t>
      </w:r>
      <w:r>
        <w:rPr>
          <w:color w:val="auto"/>
          <w:spacing w:val="-4"/>
        </w:rPr>
        <w:t>填埋场周围设置绿化隔离带，绿化带面积为2930m</w:t>
      </w:r>
      <w:r>
        <w:rPr>
          <w:color w:val="auto"/>
          <w:spacing w:val="-4"/>
          <w:vertAlign w:val="superscript"/>
        </w:rPr>
        <w:t>2</w:t>
      </w:r>
      <w:r>
        <w:rPr>
          <w:color w:val="auto"/>
          <w:spacing w:val="-4"/>
        </w:rPr>
        <w:t>，用水按2.0L(m</w:t>
      </w:r>
      <w:r>
        <w:rPr>
          <w:color w:val="auto"/>
          <w:spacing w:val="-4"/>
          <w:vertAlign w:val="superscript"/>
        </w:rPr>
        <w:t>2</w:t>
      </w:r>
      <w:r>
        <w:rPr>
          <w:color w:val="auto"/>
          <w:spacing w:val="-4"/>
        </w:rPr>
        <w:t>.d)计算，全年按1</w:t>
      </w:r>
      <w:r>
        <w:rPr>
          <w:rFonts w:hint="eastAsia"/>
          <w:color w:val="auto"/>
          <w:spacing w:val="-4"/>
        </w:rPr>
        <w:t>2</w:t>
      </w:r>
      <w:r>
        <w:rPr>
          <w:color w:val="auto"/>
          <w:spacing w:val="-4"/>
        </w:rPr>
        <w:t>0d计，则本项目绿化用水量为</w:t>
      </w:r>
      <w:r>
        <w:rPr>
          <w:rFonts w:hint="eastAsia"/>
          <w:color w:val="auto"/>
          <w:spacing w:val="-4"/>
        </w:rPr>
        <w:t>7</w:t>
      </w:r>
      <w:r>
        <w:rPr>
          <w:rFonts w:hint="eastAsia"/>
          <w:color w:val="auto"/>
          <w:spacing w:val="-4"/>
          <w:lang w:val="en-US" w:eastAsia="zh-CN"/>
        </w:rPr>
        <w:t>03.2</w:t>
      </w:r>
      <w:r>
        <w:rPr>
          <w:color w:val="auto"/>
          <w:spacing w:val="-4"/>
        </w:rPr>
        <w:t>m</w:t>
      </w:r>
      <w:r>
        <w:rPr>
          <w:color w:val="auto"/>
          <w:spacing w:val="-4"/>
          <w:vertAlign w:val="superscript"/>
        </w:rPr>
        <w:t>3</w:t>
      </w:r>
      <w:r>
        <w:rPr>
          <w:rFonts w:hint="eastAsia"/>
          <w:color w:val="auto"/>
          <w:spacing w:val="-4"/>
        </w:rPr>
        <w:t>/a，平均每天绿化用水量为1.9</w:t>
      </w:r>
      <w:r>
        <w:rPr>
          <w:color w:val="auto"/>
          <w:spacing w:val="-4"/>
        </w:rPr>
        <w:t xml:space="preserve"> m</w:t>
      </w:r>
      <w:r>
        <w:rPr>
          <w:color w:val="auto"/>
          <w:spacing w:val="-4"/>
          <w:vertAlign w:val="superscript"/>
        </w:rPr>
        <w:t>3</w:t>
      </w:r>
      <w:r>
        <w:rPr>
          <w:rFonts w:hint="eastAsia"/>
          <w:color w:val="auto"/>
          <w:spacing w:val="-4"/>
        </w:rPr>
        <w:t>/</w:t>
      </w:r>
      <w:r>
        <w:rPr>
          <w:rFonts w:hint="eastAsia"/>
          <w:color w:val="auto"/>
          <w:spacing w:val="-4"/>
          <w:lang w:val="en-US" w:eastAsia="zh-CN"/>
        </w:rPr>
        <w:t>d</w:t>
      </w:r>
      <w:r>
        <w:rPr>
          <w:rFonts w:hint="eastAsia"/>
          <w:color w:val="auto"/>
          <w:spacing w:val="-4"/>
        </w:rPr>
        <w:t>；消纳场</w:t>
      </w:r>
      <w:r>
        <w:rPr>
          <w:rFonts w:hint="eastAsia" w:hAnsi="宋体"/>
          <w:color w:val="auto"/>
        </w:rPr>
        <w:t>内作业卸载、推平等机械会产生一定</w:t>
      </w:r>
      <w:r>
        <w:rPr>
          <w:rFonts w:hAnsi="宋体"/>
          <w:color w:val="auto"/>
        </w:rPr>
        <w:t>的</w:t>
      </w:r>
      <w:r>
        <w:rPr>
          <w:rFonts w:hint="eastAsia" w:hAnsi="宋体"/>
          <w:color w:val="auto"/>
        </w:rPr>
        <w:t>扬尘，项目配</w:t>
      </w:r>
      <w:r>
        <w:rPr>
          <w:rFonts w:hAnsi="宋体"/>
          <w:color w:val="auto"/>
        </w:rPr>
        <w:t>22</w:t>
      </w:r>
      <w:r>
        <w:rPr>
          <w:rFonts w:hint="eastAsia" w:hAnsi="宋体"/>
          <w:color w:val="auto"/>
        </w:rPr>
        <w:t>台喷水雾炮进行洒水</w:t>
      </w:r>
      <w:r>
        <w:rPr>
          <w:rFonts w:hint="eastAsia"/>
          <w:color w:val="auto"/>
          <w:spacing w:val="-4"/>
        </w:rPr>
        <w:t>抑尘，每台</w:t>
      </w:r>
      <w:r>
        <w:rPr>
          <w:rFonts w:hint="eastAsia" w:hAnsi="宋体"/>
          <w:color w:val="auto"/>
        </w:rPr>
        <w:t>喷水雾炮每天用水约</w:t>
      </w:r>
      <w:r>
        <w:rPr>
          <w:rFonts w:hint="eastAsia" w:hAnsi="宋体"/>
          <w:color w:val="auto"/>
          <w:lang w:val="en-US" w:eastAsia="zh-CN"/>
        </w:rPr>
        <w:t>3-3.5</w:t>
      </w:r>
      <w:r>
        <w:rPr>
          <w:color w:val="auto"/>
          <w:spacing w:val="-4"/>
        </w:rPr>
        <w:t>m</w:t>
      </w:r>
      <w:r>
        <w:rPr>
          <w:color w:val="auto"/>
          <w:spacing w:val="-4"/>
          <w:vertAlign w:val="superscript"/>
        </w:rPr>
        <w:t>3</w:t>
      </w:r>
      <w:r>
        <w:rPr>
          <w:rFonts w:hint="eastAsia"/>
          <w:color w:val="auto"/>
          <w:spacing w:val="-4"/>
        </w:rPr>
        <w:t>，则</w:t>
      </w:r>
      <w:r>
        <w:rPr>
          <w:rFonts w:hint="eastAsia" w:hAnsi="宋体"/>
          <w:color w:val="auto"/>
        </w:rPr>
        <w:t>喷水雾炮每天需用水约</w:t>
      </w:r>
      <w:r>
        <w:rPr>
          <w:rFonts w:hint="eastAsia" w:hAnsi="宋体"/>
          <w:color w:val="auto"/>
          <w:lang w:val="en-US" w:eastAsia="zh-CN"/>
        </w:rPr>
        <w:t>66-77</w:t>
      </w:r>
      <w:r>
        <w:rPr>
          <w:color w:val="auto"/>
          <w:spacing w:val="-4"/>
        </w:rPr>
        <w:t xml:space="preserve"> m</w:t>
      </w:r>
      <w:r>
        <w:rPr>
          <w:color w:val="auto"/>
          <w:spacing w:val="-4"/>
          <w:vertAlign w:val="superscript"/>
        </w:rPr>
        <w:t>3</w:t>
      </w:r>
      <w:r>
        <w:rPr>
          <w:rFonts w:hint="eastAsia"/>
          <w:color w:val="auto"/>
          <w:spacing w:val="-4"/>
        </w:rPr>
        <w:t>/d。</w:t>
      </w:r>
    </w:p>
    <w:p>
      <w:pPr>
        <w:spacing w:line="360" w:lineRule="auto"/>
        <w:rPr>
          <w:snapToGrid w:val="0"/>
          <w:color w:val="auto"/>
        </w:rPr>
      </w:pPr>
      <w:r>
        <w:rPr>
          <w:snapToGrid w:val="0"/>
          <w:color w:val="auto"/>
        </w:rPr>
        <w:t>3.</w:t>
      </w:r>
      <w:r>
        <w:rPr>
          <w:rFonts w:hint="eastAsia"/>
          <w:snapToGrid w:val="0"/>
          <w:color w:val="auto"/>
          <w:lang w:val="en-US" w:eastAsia="zh-CN"/>
        </w:rPr>
        <w:t>1</w:t>
      </w:r>
      <w:r>
        <w:rPr>
          <w:snapToGrid w:val="0"/>
          <w:color w:val="auto"/>
        </w:rPr>
        <w:t>.3.2排水设施</w:t>
      </w:r>
    </w:p>
    <w:p>
      <w:pPr>
        <w:pStyle w:val="79"/>
        <w:ind w:firstLine="480"/>
        <w:rPr>
          <w:color w:val="auto"/>
        </w:rPr>
      </w:pPr>
      <w:r>
        <w:rPr>
          <w:rFonts w:hint="eastAsia"/>
          <w:color w:val="auto"/>
          <w:lang w:eastAsia="zh-CN"/>
        </w:rPr>
        <w:t>（</w:t>
      </w:r>
      <w:r>
        <w:rPr>
          <w:rFonts w:hint="eastAsia"/>
          <w:color w:val="auto"/>
          <w:lang w:val="en-US" w:eastAsia="zh-CN"/>
        </w:rPr>
        <w:t>1</w:t>
      </w:r>
      <w:r>
        <w:rPr>
          <w:rFonts w:hint="eastAsia"/>
          <w:color w:val="auto"/>
          <w:lang w:eastAsia="zh-CN"/>
        </w:rPr>
        <w:t>）排水系统：</w:t>
      </w:r>
      <w:r>
        <w:rPr>
          <w:rFonts w:hint="eastAsia"/>
          <w:color w:val="auto"/>
        </w:rPr>
        <w:t>本项目采用</w:t>
      </w:r>
      <w:r>
        <w:rPr>
          <w:rFonts w:hint="eastAsia"/>
          <w:color w:val="auto"/>
          <w:lang w:eastAsia="zh-CN"/>
        </w:rPr>
        <w:t>后期雨水和污水</w:t>
      </w:r>
      <w:r>
        <w:rPr>
          <w:rFonts w:hint="eastAsia"/>
          <w:color w:val="auto"/>
        </w:rPr>
        <w:t>分流制，</w:t>
      </w:r>
      <w:r>
        <w:rPr>
          <w:rFonts w:hint="eastAsia"/>
          <w:color w:val="auto"/>
          <w:lang w:eastAsia="zh-CN"/>
        </w:rPr>
        <w:t>后期</w:t>
      </w:r>
      <w:r>
        <w:rPr>
          <w:rFonts w:hint="eastAsia"/>
          <w:color w:val="auto"/>
        </w:rPr>
        <w:t>雨水收集后直接排入雨水管网，餐厨垃圾产生的</w:t>
      </w:r>
      <w:r>
        <w:rPr>
          <w:rFonts w:hint="eastAsia"/>
          <w:color w:val="auto"/>
          <w:kern w:val="0"/>
        </w:rPr>
        <w:t>餐厨废水</w:t>
      </w:r>
      <w:r>
        <w:rPr>
          <w:color w:val="auto"/>
          <w:spacing w:val="2"/>
          <w:kern w:val="0"/>
        </w:rPr>
        <w:t>、</w:t>
      </w:r>
      <w:r>
        <w:rPr>
          <w:rFonts w:hint="eastAsia"/>
          <w:color w:val="auto"/>
          <w:spacing w:val="2"/>
          <w:kern w:val="0"/>
        </w:rPr>
        <w:t>除臭系统废水、车间车辆</w:t>
      </w:r>
      <w:r>
        <w:rPr>
          <w:rFonts w:hint="eastAsia"/>
          <w:color w:val="auto"/>
          <w:spacing w:val="2"/>
          <w:kern w:val="0"/>
          <w:lang w:eastAsia="zh-CN"/>
        </w:rPr>
        <w:t>、</w:t>
      </w:r>
      <w:r>
        <w:rPr>
          <w:rFonts w:hint="eastAsia"/>
          <w:color w:val="auto"/>
          <w:spacing w:val="2"/>
          <w:kern w:val="0"/>
        </w:rPr>
        <w:t>地面冲洗废水</w:t>
      </w:r>
      <w:r>
        <w:rPr>
          <w:rFonts w:hint="eastAsia"/>
          <w:color w:val="auto"/>
          <w:spacing w:val="2"/>
          <w:kern w:val="0"/>
          <w:lang w:eastAsia="zh-CN"/>
        </w:rPr>
        <w:t>和初期雨水</w:t>
      </w:r>
      <w:r>
        <w:rPr>
          <w:rFonts w:hint="eastAsia"/>
          <w:color w:val="auto"/>
          <w:spacing w:val="2"/>
          <w:kern w:val="0"/>
        </w:rPr>
        <w:t>依托</w:t>
      </w:r>
      <w:r>
        <w:rPr>
          <w:rFonts w:hint="eastAsia"/>
          <w:color w:val="auto"/>
        </w:rPr>
        <w:t>园区内在建的渗滤液处理系统处理达到</w:t>
      </w:r>
      <w:r>
        <w:rPr>
          <w:color w:val="auto"/>
        </w:rPr>
        <w:t>《城市污水再生利用-工业用水水质》</w:t>
      </w:r>
      <w:r>
        <w:rPr>
          <w:rFonts w:hint="eastAsia"/>
          <w:color w:val="auto"/>
        </w:rPr>
        <w:t>（</w:t>
      </w:r>
      <w:r>
        <w:rPr>
          <w:color w:val="auto"/>
        </w:rPr>
        <w:t>GB19923-2005</w:t>
      </w:r>
      <w:r>
        <w:rPr>
          <w:rFonts w:hint="eastAsia"/>
          <w:color w:val="auto"/>
        </w:rPr>
        <w:t>）中敞开式循环冷却水标准</w:t>
      </w:r>
      <w:r>
        <w:rPr>
          <w:color w:val="auto"/>
        </w:rPr>
        <w:t>后</w:t>
      </w:r>
      <w:r>
        <w:rPr>
          <w:rFonts w:hint="eastAsia"/>
          <w:color w:val="auto"/>
        </w:rPr>
        <w:t>，</w:t>
      </w:r>
      <w:r>
        <w:rPr>
          <w:color w:val="auto"/>
        </w:rPr>
        <w:t>回用作为汽机循环冷却水补充水及绿化用水、道路洒水。</w:t>
      </w:r>
    </w:p>
    <w:p>
      <w:pPr>
        <w:pStyle w:val="79"/>
        <w:ind w:firstLine="480"/>
        <w:rPr>
          <w:rFonts w:hint="eastAsia"/>
          <w:color w:val="auto"/>
        </w:rPr>
      </w:pPr>
      <w:r>
        <w:rPr>
          <w:rFonts w:hint="eastAsia"/>
          <w:color w:val="auto"/>
        </w:rPr>
        <w:t>建筑垃圾消纳场产生的洗车废水和淋溶液经消纳场配套建设的机械加速澄清池</w:t>
      </w:r>
      <w:r>
        <w:rPr>
          <w:color w:val="auto"/>
        </w:rPr>
        <w:t>沉淀</w:t>
      </w:r>
      <w:r>
        <w:rPr>
          <w:rFonts w:hint="eastAsia"/>
          <w:color w:val="auto"/>
        </w:rPr>
        <w:t>过滤</w:t>
      </w:r>
      <w:r>
        <w:rPr>
          <w:color w:val="auto"/>
        </w:rPr>
        <w:t>后，</w:t>
      </w:r>
      <w:r>
        <w:rPr>
          <w:rFonts w:hint="eastAsia"/>
          <w:color w:val="auto"/>
        </w:rPr>
        <w:t>回</w:t>
      </w:r>
      <w:r>
        <w:rPr>
          <w:color w:val="auto"/>
        </w:rPr>
        <w:t>用于厂内洒水抑尘，不外排</w:t>
      </w:r>
      <w:r>
        <w:rPr>
          <w:rFonts w:hint="eastAsia"/>
          <w:color w:val="auto"/>
        </w:rPr>
        <w:t>。</w:t>
      </w:r>
    </w:p>
    <w:p>
      <w:pPr>
        <w:pStyle w:val="79"/>
        <w:numPr>
          <w:ilvl w:val="0"/>
          <w:numId w:val="4"/>
        </w:numPr>
        <w:ind w:firstLine="480"/>
        <w:rPr>
          <w:rFonts w:hint="eastAsia"/>
          <w:color w:val="auto"/>
          <w:lang w:val="en-US" w:eastAsia="zh-CN"/>
        </w:rPr>
      </w:pPr>
      <w:r>
        <w:rPr>
          <w:rFonts w:hint="eastAsia"/>
          <w:color w:val="auto"/>
          <w:lang w:eastAsia="zh-CN"/>
        </w:rPr>
        <w:t>截留设施：对车间等环境风险范围，建设单位必须设置防腐、防淋溶、防流失措施，具体为：</w:t>
      </w:r>
    </w:p>
    <w:p>
      <w:pPr>
        <w:pStyle w:val="79"/>
        <w:numPr>
          <w:ilvl w:val="0"/>
          <w:numId w:val="0"/>
        </w:numPr>
        <w:tabs>
          <w:tab w:val="clear" w:pos="680"/>
        </w:tabs>
        <w:rPr>
          <w:rFonts w:hint="eastAsia"/>
          <w:color w:val="auto"/>
          <w:lang w:val="en-US" w:eastAsia="zh-CN"/>
        </w:rPr>
      </w:pPr>
      <w:r>
        <w:rPr>
          <w:rFonts w:hint="eastAsia"/>
          <w:color w:val="auto"/>
          <w:lang w:val="en-US" w:eastAsia="zh-CN"/>
        </w:rPr>
        <w:t xml:space="preserve">    a.车间内设置环形事故沟，事故沟、车间地面以及围墙采用防腐、防渗涂层；事故沟通过专管连接至事故应急池。保证车间内事故生产废水、受污染消防废水能够通过事故沟排入事故应急池，不会进入雨水管网。</w:t>
      </w:r>
    </w:p>
    <w:p>
      <w:pPr>
        <w:pStyle w:val="79"/>
        <w:numPr>
          <w:ilvl w:val="0"/>
          <w:numId w:val="0"/>
        </w:numPr>
        <w:tabs>
          <w:tab w:val="clear" w:pos="680"/>
        </w:tabs>
        <w:rPr>
          <w:rFonts w:hint="eastAsia"/>
          <w:color w:val="auto"/>
          <w:lang w:val="en-US" w:eastAsia="zh-CN"/>
        </w:rPr>
      </w:pPr>
      <w:r>
        <w:rPr>
          <w:rFonts w:hint="eastAsia"/>
          <w:color w:val="auto"/>
          <w:lang w:val="en-US" w:eastAsia="zh-CN"/>
        </w:rPr>
        <w:t xml:space="preserve">    b.初期雨水将采用截流方式，在各雨水出水口处设置截流井截流初期雨水，截流倍数n=2-3倍，将前15min的初期雨水截入初期雨水收集池，项目依托园区内在建的初期雨水收集池，可有效防止污染区初期雨水外排。</w:t>
      </w:r>
    </w:p>
    <w:p>
      <w:pPr>
        <w:pStyle w:val="79"/>
        <w:numPr>
          <w:ilvl w:val="0"/>
          <w:numId w:val="0"/>
        </w:numPr>
        <w:tabs>
          <w:tab w:val="clear" w:pos="680"/>
        </w:tabs>
        <w:ind w:firstLine="480"/>
        <w:rPr>
          <w:rFonts w:hint="eastAsia"/>
          <w:color w:val="auto"/>
          <w:lang w:val="en-US" w:eastAsia="zh-CN"/>
        </w:rPr>
      </w:pPr>
      <w:r>
        <w:rPr>
          <w:rFonts w:hint="eastAsia"/>
          <w:color w:val="auto"/>
          <w:lang w:val="en-US" w:eastAsia="zh-CN"/>
        </w:rPr>
        <w:t>c.厂区内雨水管网系统设置排水切换阀，正常情况下通向厂外雨水管网。事故情况下，一旦发生有事故废水或事故消防水流至车间外的厂区地面，立即切换雨水阀门，将雨水管网收集的废水引入应急事故池。</w:t>
      </w:r>
    </w:p>
    <w:p>
      <w:pPr>
        <w:pStyle w:val="79"/>
        <w:numPr>
          <w:ilvl w:val="0"/>
          <w:numId w:val="0"/>
        </w:numPr>
        <w:tabs>
          <w:tab w:val="clear" w:pos="680"/>
        </w:tabs>
        <w:ind w:firstLine="480"/>
        <w:rPr>
          <w:rFonts w:hint="eastAsia"/>
          <w:color w:val="auto"/>
          <w:lang w:val="en-US" w:eastAsia="zh-CN"/>
        </w:rPr>
      </w:pPr>
      <w:r>
        <w:rPr>
          <w:rFonts w:hint="eastAsia"/>
          <w:color w:val="auto"/>
          <w:lang w:val="en-US" w:eastAsia="zh-CN"/>
        </w:rPr>
        <w:t>d.要做好日常管理及维护措施，有专人负责阀门切换，保证消防废水、事故废水排入应急事故池。</w:t>
      </w:r>
    </w:p>
    <w:p>
      <w:pPr>
        <w:pStyle w:val="298"/>
        <w:spacing w:before="0" w:after="0" w:line="360" w:lineRule="auto"/>
        <w:rPr>
          <w:color w:val="auto"/>
        </w:rPr>
      </w:pPr>
      <w:bookmarkStart w:id="266" w:name="_Toc34234669"/>
      <w:bookmarkStart w:id="267" w:name="_Toc16056"/>
      <w:r>
        <w:rPr>
          <w:rFonts w:hint="eastAsia"/>
          <w:color w:val="auto"/>
        </w:rPr>
        <w:t>3.</w:t>
      </w:r>
      <w:r>
        <w:rPr>
          <w:rFonts w:hint="eastAsia"/>
          <w:color w:val="auto"/>
          <w:lang w:val="en-US" w:eastAsia="zh-CN"/>
        </w:rPr>
        <w:t>1</w:t>
      </w:r>
      <w:r>
        <w:rPr>
          <w:rFonts w:hint="eastAsia"/>
          <w:color w:val="auto"/>
        </w:rPr>
        <w:t>.</w:t>
      </w:r>
      <w:r>
        <w:rPr>
          <w:color w:val="auto"/>
          <w:lang w:eastAsia="zh-CN"/>
        </w:rPr>
        <w:t>4</w:t>
      </w:r>
      <w:r>
        <w:rPr>
          <w:color w:val="auto"/>
        </w:rPr>
        <w:t>工程主要生产设备</w:t>
      </w:r>
      <w:bookmarkEnd w:id="266"/>
      <w:bookmarkEnd w:id="267"/>
    </w:p>
    <w:p>
      <w:pPr>
        <w:pStyle w:val="149"/>
        <w:spacing w:line="360" w:lineRule="auto"/>
        <w:jc w:val="left"/>
        <w:rPr>
          <w:rFonts w:ascii="Times New Roman" w:hAnsi="Times New Roman"/>
          <w:color w:val="auto"/>
          <w:lang w:eastAsia="zh-CN"/>
        </w:rPr>
      </w:pPr>
      <w:r>
        <w:rPr>
          <w:rFonts w:ascii="Times New Roman" w:hAnsi="Times New Roman"/>
          <w:color w:val="auto"/>
        </w:rPr>
        <w:t>表</w:t>
      </w:r>
      <w:r>
        <w:rPr>
          <w:rFonts w:hint="eastAsia" w:ascii="Times New Roman" w:hAnsi="Times New Roman"/>
          <w:color w:val="auto"/>
          <w:lang w:eastAsia="zh-CN"/>
        </w:rPr>
        <w:t>3.</w:t>
      </w:r>
      <w:r>
        <w:rPr>
          <w:rFonts w:hint="eastAsia" w:ascii="Times New Roman" w:hAnsi="Times New Roman"/>
          <w:color w:val="auto"/>
          <w:lang w:val="en-US" w:eastAsia="zh-CN"/>
        </w:rPr>
        <w:t>1</w:t>
      </w:r>
      <w:r>
        <w:rPr>
          <w:rFonts w:hint="eastAsia" w:ascii="Times New Roman" w:hAnsi="Times New Roman"/>
          <w:color w:val="auto"/>
          <w:lang w:eastAsia="zh-CN"/>
        </w:rPr>
        <w:t>-</w:t>
      </w:r>
      <w:r>
        <w:rPr>
          <w:rFonts w:ascii="Times New Roman" w:hAnsi="Times New Roman"/>
          <w:color w:val="auto"/>
          <w:lang w:eastAsia="zh-CN"/>
        </w:rPr>
        <w:t>4</w:t>
      </w:r>
      <w:r>
        <w:rPr>
          <w:rFonts w:hint="eastAsia" w:ascii="Times New Roman" w:hAnsi="Times New Roman"/>
          <w:color w:val="auto"/>
          <w:lang w:eastAsia="zh-CN"/>
        </w:rPr>
        <w:t xml:space="preserve"> </w:t>
      </w:r>
      <w:r>
        <w:rPr>
          <w:rFonts w:ascii="Times New Roman" w:hAnsi="Times New Roman"/>
          <w:color w:val="auto"/>
        </w:rPr>
        <w:t>项目</w:t>
      </w:r>
      <w:r>
        <w:rPr>
          <w:rFonts w:hint="eastAsia" w:ascii="Times New Roman" w:hAnsi="Times New Roman"/>
          <w:color w:val="auto"/>
          <w:lang w:eastAsia="zh-CN"/>
        </w:rPr>
        <w:t>主要生产设备一览表</w:t>
      </w:r>
    </w:p>
    <w:tbl>
      <w:tblPr>
        <w:tblStyle w:val="53"/>
        <w:tblW w:w="851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61"/>
        <w:gridCol w:w="3132"/>
        <w:gridCol w:w="1385"/>
        <w:gridCol w:w="27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rPr>
        <w:tc>
          <w:tcPr>
            <w:tcW w:w="1261" w:type="dxa"/>
            <w:vAlign w:val="center"/>
          </w:tcPr>
          <w:p>
            <w:pPr>
              <w:spacing w:line="300" w:lineRule="exact"/>
              <w:jc w:val="center"/>
              <w:rPr>
                <w:b/>
                <w:color w:val="auto"/>
                <w:sz w:val="21"/>
                <w:szCs w:val="21"/>
              </w:rPr>
            </w:pPr>
            <w:r>
              <w:rPr>
                <w:b/>
                <w:color w:val="auto"/>
                <w:sz w:val="21"/>
                <w:szCs w:val="21"/>
              </w:rPr>
              <w:t>序号</w:t>
            </w:r>
          </w:p>
        </w:tc>
        <w:tc>
          <w:tcPr>
            <w:tcW w:w="3132" w:type="dxa"/>
            <w:vAlign w:val="center"/>
          </w:tcPr>
          <w:p>
            <w:pPr>
              <w:spacing w:line="300" w:lineRule="exact"/>
              <w:jc w:val="center"/>
              <w:rPr>
                <w:b/>
                <w:color w:val="auto"/>
                <w:sz w:val="21"/>
                <w:szCs w:val="21"/>
              </w:rPr>
            </w:pPr>
            <w:r>
              <w:rPr>
                <w:b/>
                <w:color w:val="auto"/>
                <w:sz w:val="21"/>
                <w:szCs w:val="21"/>
              </w:rPr>
              <w:t>设备名称</w:t>
            </w:r>
          </w:p>
        </w:tc>
        <w:tc>
          <w:tcPr>
            <w:tcW w:w="1385" w:type="dxa"/>
            <w:vAlign w:val="center"/>
          </w:tcPr>
          <w:p>
            <w:pPr>
              <w:spacing w:line="300" w:lineRule="exact"/>
              <w:jc w:val="center"/>
              <w:rPr>
                <w:b/>
                <w:color w:val="auto"/>
                <w:sz w:val="21"/>
                <w:szCs w:val="21"/>
              </w:rPr>
            </w:pPr>
            <w:r>
              <w:rPr>
                <w:b/>
                <w:color w:val="auto"/>
                <w:sz w:val="21"/>
                <w:szCs w:val="21"/>
              </w:rPr>
              <w:t>数量（台/套）</w:t>
            </w:r>
          </w:p>
        </w:tc>
        <w:tc>
          <w:tcPr>
            <w:tcW w:w="2735" w:type="dxa"/>
            <w:vAlign w:val="center"/>
          </w:tcPr>
          <w:p>
            <w:pPr>
              <w:spacing w:line="300" w:lineRule="exact"/>
              <w:jc w:val="center"/>
              <w:rPr>
                <w:b/>
                <w:color w:val="auto"/>
                <w:sz w:val="21"/>
                <w:szCs w:val="21"/>
              </w:rPr>
            </w:pPr>
            <w:r>
              <w:rPr>
                <w:rFonts w:hint="eastAsia"/>
                <w:b/>
                <w:color w:val="auto"/>
                <w:sz w:val="21"/>
                <w:szCs w:val="21"/>
              </w:rPr>
              <w:t>用途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1" w:hRule="atLeast"/>
        </w:trPr>
        <w:tc>
          <w:tcPr>
            <w:tcW w:w="1261" w:type="dxa"/>
            <w:vMerge w:val="restart"/>
            <w:vAlign w:val="center"/>
          </w:tcPr>
          <w:p>
            <w:pPr>
              <w:spacing w:line="300" w:lineRule="exact"/>
              <w:jc w:val="center"/>
              <w:rPr>
                <w:color w:val="auto"/>
                <w:sz w:val="21"/>
                <w:szCs w:val="21"/>
              </w:rPr>
            </w:pPr>
            <w:r>
              <w:rPr>
                <w:rFonts w:hint="eastAsia"/>
                <w:color w:val="auto"/>
                <w:sz w:val="21"/>
                <w:szCs w:val="21"/>
              </w:rPr>
              <w:t>餐厨垃圾处理厂</w:t>
            </w:r>
          </w:p>
        </w:tc>
        <w:tc>
          <w:tcPr>
            <w:tcW w:w="3132" w:type="dxa"/>
            <w:vAlign w:val="center"/>
          </w:tcPr>
          <w:p>
            <w:pPr>
              <w:snapToGrid w:val="0"/>
              <w:spacing w:line="360" w:lineRule="exact"/>
              <w:jc w:val="center"/>
              <w:rPr>
                <w:color w:val="auto"/>
                <w:sz w:val="21"/>
                <w:szCs w:val="21"/>
              </w:rPr>
            </w:pPr>
            <w:r>
              <w:rPr>
                <w:rFonts w:hint="eastAsia"/>
                <w:color w:val="auto"/>
                <w:sz w:val="21"/>
                <w:szCs w:val="21"/>
              </w:rPr>
              <w:t>接料斗螺旋输送机</w:t>
            </w:r>
          </w:p>
        </w:tc>
        <w:tc>
          <w:tcPr>
            <w:tcW w:w="1385" w:type="dxa"/>
            <w:vAlign w:val="center"/>
          </w:tcPr>
          <w:p>
            <w:pPr>
              <w:snapToGrid w:val="0"/>
              <w:spacing w:line="360" w:lineRule="exact"/>
              <w:jc w:val="center"/>
              <w:rPr>
                <w:color w:val="auto"/>
                <w:sz w:val="21"/>
                <w:szCs w:val="21"/>
              </w:rPr>
            </w:pPr>
            <w:r>
              <w:rPr>
                <w:rFonts w:hint="eastAsia"/>
                <w:color w:val="auto"/>
                <w:sz w:val="21"/>
                <w:szCs w:val="21"/>
              </w:rPr>
              <w:t>1</w:t>
            </w:r>
          </w:p>
        </w:tc>
        <w:tc>
          <w:tcPr>
            <w:tcW w:w="2735" w:type="dxa"/>
            <w:vAlign w:val="center"/>
          </w:tcPr>
          <w:p>
            <w:pPr>
              <w:snapToGrid w:val="0"/>
              <w:spacing w:line="360" w:lineRule="exact"/>
              <w:jc w:val="center"/>
              <w:rPr>
                <w:color w:val="auto"/>
                <w:sz w:val="21"/>
                <w:szCs w:val="21"/>
              </w:rPr>
            </w:pPr>
            <w:r>
              <w:rPr>
                <w:rFonts w:hint="eastAsia"/>
                <w:color w:val="auto"/>
                <w:sz w:val="21"/>
                <w:szCs w:val="21"/>
              </w:rPr>
              <w:t>餐厨垃圾接收及输送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1" w:hRule="atLeast"/>
        </w:trPr>
        <w:tc>
          <w:tcPr>
            <w:tcW w:w="1261" w:type="dxa"/>
            <w:vMerge w:val="continue"/>
            <w:vAlign w:val="center"/>
          </w:tcPr>
          <w:p>
            <w:pPr>
              <w:spacing w:line="300" w:lineRule="exact"/>
              <w:jc w:val="center"/>
              <w:rPr>
                <w:color w:val="auto"/>
                <w:sz w:val="21"/>
                <w:szCs w:val="21"/>
              </w:rPr>
            </w:pPr>
          </w:p>
        </w:tc>
        <w:tc>
          <w:tcPr>
            <w:tcW w:w="3132" w:type="dxa"/>
            <w:vAlign w:val="center"/>
          </w:tcPr>
          <w:p>
            <w:pPr>
              <w:snapToGrid w:val="0"/>
              <w:spacing w:line="360" w:lineRule="exact"/>
              <w:jc w:val="center"/>
              <w:rPr>
                <w:color w:val="auto"/>
                <w:sz w:val="21"/>
                <w:szCs w:val="21"/>
              </w:rPr>
            </w:pPr>
            <w:r>
              <w:rPr>
                <w:rFonts w:hint="eastAsia"/>
                <w:color w:val="auto"/>
                <w:sz w:val="21"/>
                <w:szCs w:val="21"/>
              </w:rPr>
              <w:t>破碎机</w:t>
            </w:r>
          </w:p>
        </w:tc>
        <w:tc>
          <w:tcPr>
            <w:tcW w:w="1385" w:type="dxa"/>
            <w:vAlign w:val="center"/>
          </w:tcPr>
          <w:p>
            <w:pPr>
              <w:snapToGrid w:val="0"/>
              <w:spacing w:line="360" w:lineRule="exact"/>
              <w:jc w:val="center"/>
              <w:rPr>
                <w:color w:val="auto"/>
                <w:sz w:val="21"/>
                <w:szCs w:val="21"/>
              </w:rPr>
            </w:pPr>
            <w:r>
              <w:rPr>
                <w:rFonts w:hint="eastAsia"/>
                <w:color w:val="auto"/>
                <w:sz w:val="21"/>
                <w:szCs w:val="21"/>
              </w:rPr>
              <w:t>1</w:t>
            </w:r>
          </w:p>
        </w:tc>
        <w:tc>
          <w:tcPr>
            <w:tcW w:w="2735" w:type="dxa"/>
            <w:vAlign w:val="center"/>
          </w:tcPr>
          <w:p>
            <w:pPr>
              <w:snapToGrid w:val="0"/>
              <w:spacing w:line="360" w:lineRule="exact"/>
              <w:jc w:val="center"/>
              <w:rPr>
                <w:color w:val="auto"/>
                <w:sz w:val="21"/>
                <w:szCs w:val="21"/>
              </w:rPr>
            </w:pPr>
            <w:r>
              <w:rPr>
                <w:rFonts w:hint="eastAsia"/>
                <w:color w:val="auto"/>
                <w:sz w:val="21"/>
                <w:szCs w:val="21"/>
              </w:rPr>
              <w:t>餐厨垃圾破碎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1" w:hRule="atLeast"/>
        </w:trPr>
        <w:tc>
          <w:tcPr>
            <w:tcW w:w="1261" w:type="dxa"/>
            <w:vMerge w:val="continue"/>
            <w:vAlign w:val="center"/>
          </w:tcPr>
          <w:p>
            <w:pPr>
              <w:spacing w:line="300" w:lineRule="exact"/>
              <w:jc w:val="center"/>
              <w:rPr>
                <w:color w:val="auto"/>
                <w:sz w:val="21"/>
                <w:szCs w:val="21"/>
              </w:rPr>
            </w:pPr>
          </w:p>
        </w:tc>
        <w:tc>
          <w:tcPr>
            <w:tcW w:w="3132" w:type="dxa"/>
            <w:vAlign w:val="center"/>
          </w:tcPr>
          <w:p>
            <w:pPr>
              <w:snapToGrid w:val="0"/>
              <w:spacing w:line="360" w:lineRule="exact"/>
              <w:jc w:val="center"/>
              <w:rPr>
                <w:color w:val="auto"/>
                <w:sz w:val="21"/>
                <w:szCs w:val="21"/>
              </w:rPr>
            </w:pPr>
            <w:r>
              <w:rPr>
                <w:rFonts w:hint="eastAsia"/>
                <w:color w:val="auto"/>
                <w:sz w:val="21"/>
                <w:szCs w:val="21"/>
              </w:rPr>
              <w:t>螺旋压榨脱水机</w:t>
            </w:r>
          </w:p>
        </w:tc>
        <w:tc>
          <w:tcPr>
            <w:tcW w:w="1385" w:type="dxa"/>
            <w:vAlign w:val="center"/>
          </w:tcPr>
          <w:p>
            <w:pPr>
              <w:snapToGrid w:val="0"/>
              <w:spacing w:line="360" w:lineRule="exact"/>
              <w:jc w:val="center"/>
              <w:rPr>
                <w:color w:val="auto"/>
                <w:sz w:val="21"/>
                <w:szCs w:val="21"/>
              </w:rPr>
            </w:pPr>
            <w:r>
              <w:rPr>
                <w:rFonts w:hint="eastAsia"/>
                <w:color w:val="auto"/>
                <w:sz w:val="21"/>
                <w:szCs w:val="21"/>
              </w:rPr>
              <w:t>1</w:t>
            </w:r>
          </w:p>
        </w:tc>
        <w:tc>
          <w:tcPr>
            <w:tcW w:w="2735" w:type="dxa"/>
            <w:vAlign w:val="center"/>
          </w:tcPr>
          <w:p>
            <w:pPr>
              <w:snapToGrid w:val="0"/>
              <w:spacing w:line="360" w:lineRule="exact"/>
              <w:jc w:val="center"/>
              <w:rPr>
                <w:color w:val="auto"/>
                <w:sz w:val="21"/>
                <w:szCs w:val="21"/>
              </w:rPr>
            </w:pPr>
            <w:r>
              <w:rPr>
                <w:rFonts w:hint="eastAsia"/>
                <w:color w:val="auto"/>
                <w:sz w:val="21"/>
                <w:szCs w:val="21"/>
              </w:rPr>
              <w:t>渣水分离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1" w:hRule="atLeast"/>
        </w:trPr>
        <w:tc>
          <w:tcPr>
            <w:tcW w:w="1261" w:type="dxa"/>
            <w:vMerge w:val="continue"/>
            <w:vAlign w:val="center"/>
          </w:tcPr>
          <w:p>
            <w:pPr>
              <w:spacing w:line="300" w:lineRule="exact"/>
              <w:jc w:val="center"/>
              <w:rPr>
                <w:color w:val="auto"/>
                <w:sz w:val="21"/>
                <w:szCs w:val="21"/>
              </w:rPr>
            </w:pPr>
          </w:p>
        </w:tc>
        <w:tc>
          <w:tcPr>
            <w:tcW w:w="3132" w:type="dxa"/>
            <w:vAlign w:val="center"/>
          </w:tcPr>
          <w:p>
            <w:pPr>
              <w:snapToGrid w:val="0"/>
              <w:spacing w:line="360" w:lineRule="exact"/>
              <w:jc w:val="center"/>
              <w:rPr>
                <w:color w:val="auto"/>
                <w:sz w:val="21"/>
                <w:szCs w:val="21"/>
              </w:rPr>
            </w:pPr>
            <w:r>
              <w:rPr>
                <w:rFonts w:hint="eastAsia"/>
                <w:color w:val="auto"/>
                <w:sz w:val="21"/>
                <w:szCs w:val="21"/>
              </w:rPr>
              <w:t>三相分离机</w:t>
            </w:r>
          </w:p>
        </w:tc>
        <w:tc>
          <w:tcPr>
            <w:tcW w:w="1385" w:type="dxa"/>
            <w:vAlign w:val="center"/>
          </w:tcPr>
          <w:p>
            <w:pPr>
              <w:snapToGrid w:val="0"/>
              <w:spacing w:line="360" w:lineRule="exact"/>
              <w:jc w:val="center"/>
              <w:rPr>
                <w:color w:val="auto"/>
                <w:sz w:val="21"/>
                <w:szCs w:val="21"/>
              </w:rPr>
            </w:pPr>
            <w:r>
              <w:rPr>
                <w:rFonts w:hint="eastAsia"/>
                <w:color w:val="auto"/>
                <w:sz w:val="21"/>
                <w:szCs w:val="21"/>
              </w:rPr>
              <w:t>1</w:t>
            </w:r>
          </w:p>
        </w:tc>
        <w:tc>
          <w:tcPr>
            <w:tcW w:w="2735" w:type="dxa"/>
            <w:vAlign w:val="center"/>
          </w:tcPr>
          <w:p>
            <w:pPr>
              <w:snapToGrid w:val="0"/>
              <w:spacing w:line="360" w:lineRule="exact"/>
              <w:jc w:val="center"/>
              <w:rPr>
                <w:color w:val="auto"/>
                <w:sz w:val="21"/>
                <w:szCs w:val="21"/>
              </w:rPr>
            </w:pPr>
            <w:r>
              <w:rPr>
                <w:rFonts w:hint="eastAsia"/>
                <w:color w:val="auto"/>
                <w:sz w:val="21"/>
                <w:szCs w:val="21"/>
              </w:rPr>
              <w:t>油水分离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1" w:hRule="atLeast"/>
        </w:trPr>
        <w:tc>
          <w:tcPr>
            <w:tcW w:w="1261" w:type="dxa"/>
            <w:vMerge w:val="continue"/>
            <w:vAlign w:val="center"/>
          </w:tcPr>
          <w:p>
            <w:pPr>
              <w:spacing w:line="300" w:lineRule="exact"/>
              <w:jc w:val="center"/>
              <w:rPr>
                <w:color w:val="auto"/>
                <w:sz w:val="21"/>
                <w:szCs w:val="21"/>
              </w:rPr>
            </w:pPr>
          </w:p>
        </w:tc>
        <w:tc>
          <w:tcPr>
            <w:tcW w:w="3132" w:type="dxa"/>
            <w:vAlign w:val="center"/>
          </w:tcPr>
          <w:p>
            <w:pPr>
              <w:snapToGrid w:val="0"/>
              <w:spacing w:line="360" w:lineRule="exact"/>
              <w:jc w:val="center"/>
              <w:rPr>
                <w:color w:val="auto"/>
                <w:sz w:val="21"/>
                <w:szCs w:val="21"/>
              </w:rPr>
            </w:pPr>
            <w:r>
              <w:rPr>
                <w:rFonts w:hint="eastAsia"/>
                <w:color w:val="auto"/>
                <w:sz w:val="21"/>
                <w:szCs w:val="21"/>
              </w:rPr>
              <w:t>除臭设备（含化学洗涤塔+光催化氧化+植物液喷淋塔）</w:t>
            </w:r>
          </w:p>
        </w:tc>
        <w:tc>
          <w:tcPr>
            <w:tcW w:w="1385" w:type="dxa"/>
            <w:vAlign w:val="center"/>
          </w:tcPr>
          <w:p>
            <w:pPr>
              <w:snapToGrid w:val="0"/>
              <w:spacing w:line="360" w:lineRule="exact"/>
              <w:jc w:val="center"/>
              <w:rPr>
                <w:color w:val="auto"/>
                <w:sz w:val="21"/>
                <w:szCs w:val="21"/>
              </w:rPr>
            </w:pPr>
            <w:r>
              <w:rPr>
                <w:rFonts w:hint="eastAsia"/>
                <w:color w:val="auto"/>
                <w:sz w:val="21"/>
                <w:szCs w:val="21"/>
              </w:rPr>
              <w:t>1</w:t>
            </w:r>
          </w:p>
        </w:tc>
        <w:tc>
          <w:tcPr>
            <w:tcW w:w="2735" w:type="dxa"/>
            <w:vAlign w:val="center"/>
          </w:tcPr>
          <w:p>
            <w:pPr>
              <w:snapToGrid w:val="0"/>
              <w:spacing w:line="360" w:lineRule="exact"/>
              <w:jc w:val="center"/>
              <w:rPr>
                <w:color w:val="auto"/>
                <w:sz w:val="21"/>
                <w:szCs w:val="21"/>
              </w:rPr>
            </w:pPr>
            <w:r>
              <w:rPr>
                <w:rFonts w:hint="eastAsia"/>
                <w:color w:val="auto"/>
                <w:sz w:val="21"/>
                <w:szCs w:val="21"/>
              </w:rPr>
              <w:t>餐厨臭气的处理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1" w:hRule="atLeast"/>
        </w:trPr>
        <w:tc>
          <w:tcPr>
            <w:tcW w:w="1261" w:type="dxa"/>
            <w:vMerge w:val="restart"/>
            <w:vAlign w:val="center"/>
          </w:tcPr>
          <w:p>
            <w:pPr>
              <w:spacing w:line="300" w:lineRule="exact"/>
              <w:jc w:val="center"/>
              <w:rPr>
                <w:color w:val="auto"/>
                <w:sz w:val="21"/>
                <w:szCs w:val="21"/>
              </w:rPr>
            </w:pPr>
            <w:r>
              <w:rPr>
                <w:rFonts w:hint="eastAsia"/>
                <w:color w:val="auto"/>
                <w:sz w:val="21"/>
                <w:szCs w:val="21"/>
              </w:rPr>
              <w:t>建筑垃圾消纳场</w:t>
            </w:r>
          </w:p>
        </w:tc>
        <w:tc>
          <w:tcPr>
            <w:tcW w:w="3132" w:type="dxa"/>
            <w:vAlign w:val="center"/>
          </w:tcPr>
          <w:p>
            <w:pPr>
              <w:snapToGrid w:val="0"/>
              <w:spacing w:line="360" w:lineRule="exact"/>
              <w:jc w:val="center"/>
              <w:rPr>
                <w:rFonts w:ascii="仿宋_GB2312" w:eastAsia="仿宋_GB2312" w:cs="仿宋_GB2312"/>
                <w:color w:val="auto"/>
                <w:kern w:val="0"/>
                <w:sz w:val="21"/>
                <w:szCs w:val="21"/>
              </w:rPr>
            </w:pPr>
            <w:r>
              <w:rPr>
                <w:color w:val="auto"/>
                <w:sz w:val="21"/>
                <w:szCs w:val="21"/>
              </w:rPr>
              <w:t>推土机</w:t>
            </w:r>
          </w:p>
        </w:tc>
        <w:tc>
          <w:tcPr>
            <w:tcW w:w="1385" w:type="dxa"/>
            <w:vAlign w:val="center"/>
          </w:tcPr>
          <w:p>
            <w:pPr>
              <w:snapToGrid w:val="0"/>
              <w:spacing w:line="360" w:lineRule="exact"/>
              <w:jc w:val="center"/>
              <w:rPr>
                <w:color w:val="auto"/>
                <w:sz w:val="21"/>
                <w:szCs w:val="21"/>
              </w:rPr>
            </w:pPr>
            <w:r>
              <w:rPr>
                <w:color w:val="auto"/>
                <w:sz w:val="21"/>
                <w:szCs w:val="21"/>
              </w:rPr>
              <w:t>1</w:t>
            </w:r>
          </w:p>
        </w:tc>
        <w:tc>
          <w:tcPr>
            <w:tcW w:w="2735" w:type="dxa"/>
            <w:vAlign w:val="center"/>
          </w:tcPr>
          <w:p>
            <w:pPr>
              <w:snapToGrid w:val="0"/>
              <w:spacing w:line="360" w:lineRule="exact"/>
              <w:jc w:val="center"/>
              <w:rPr>
                <w:color w:val="auto"/>
                <w:sz w:val="21"/>
                <w:szCs w:val="21"/>
              </w:rPr>
            </w:pPr>
            <w:r>
              <w:rPr>
                <w:rFonts w:hint="eastAsia"/>
                <w:color w:val="auto"/>
                <w:sz w:val="21"/>
                <w:szCs w:val="21"/>
              </w:rPr>
              <w:t>建筑垃圾填埋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1" w:hRule="atLeast"/>
        </w:trPr>
        <w:tc>
          <w:tcPr>
            <w:tcW w:w="1261" w:type="dxa"/>
            <w:vMerge w:val="continue"/>
            <w:vAlign w:val="center"/>
          </w:tcPr>
          <w:p>
            <w:pPr>
              <w:spacing w:line="300" w:lineRule="exact"/>
              <w:jc w:val="center"/>
              <w:rPr>
                <w:color w:val="auto"/>
                <w:sz w:val="21"/>
                <w:szCs w:val="21"/>
              </w:rPr>
            </w:pPr>
          </w:p>
        </w:tc>
        <w:tc>
          <w:tcPr>
            <w:tcW w:w="3132" w:type="dxa"/>
            <w:vAlign w:val="center"/>
          </w:tcPr>
          <w:p>
            <w:pPr>
              <w:snapToGrid w:val="0"/>
              <w:spacing w:line="360" w:lineRule="exact"/>
              <w:jc w:val="center"/>
              <w:rPr>
                <w:color w:val="auto"/>
                <w:sz w:val="21"/>
                <w:szCs w:val="21"/>
              </w:rPr>
            </w:pPr>
            <w:r>
              <w:rPr>
                <w:color w:val="auto"/>
                <w:sz w:val="21"/>
                <w:szCs w:val="21"/>
              </w:rPr>
              <w:t>推土碾压机</w:t>
            </w:r>
          </w:p>
        </w:tc>
        <w:tc>
          <w:tcPr>
            <w:tcW w:w="1385" w:type="dxa"/>
            <w:vAlign w:val="center"/>
          </w:tcPr>
          <w:p>
            <w:pPr>
              <w:snapToGrid w:val="0"/>
              <w:spacing w:line="360" w:lineRule="exact"/>
              <w:jc w:val="center"/>
              <w:rPr>
                <w:color w:val="auto"/>
                <w:sz w:val="21"/>
                <w:szCs w:val="21"/>
              </w:rPr>
            </w:pPr>
            <w:r>
              <w:rPr>
                <w:color w:val="auto"/>
                <w:sz w:val="21"/>
                <w:szCs w:val="21"/>
              </w:rPr>
              <w:t>1</w:t>
            </w:r>
          </w:p>
        </w:tc>
        <w:tc>
          <w:tcPr>
            <w:tcW w:w="2735" w:type="dxa"/>
            <w:vAlign w:val="center"/>
          </w:tcPr>
          <w:p>
            <w:pPr>
              <w:snapToGrid w:val="0"/>
              <w:spacing w:line="360" w:lineRule="exact"/>
              <w:jc w:val="center"/>
              <w:rPr>
                <w:color w:val="auto"/>
                <w:sz w:val="21"/>
                <w:szCs w:val="21"/>
              </w:rPr>
            </w:pPr>
            <w:r>
              <w:rPr>
                <w:rFonts w:hint="eastAsia"/>
                <w:color w:val="auto"/>
                <w:sz w:val="21"/>
                <w:szCs w:val="21"/>
              </w:rPr>
              <w:t>建筑垃圾填埋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1" w:hRule="atLeast"/>
        </w:trPr>
        <w:tc>
          <w:tcPr>
            <w:tcW w:w="1261" w:type="dxa"/>
            <w:vMerge w:val="continue"/>
            <w:vAlign w:val="center"/>
          </w:tcPr>
          <w:p>
            <w:pPr>
              <w:spacing w:line="300" w:lineRule="exact"/>
              <w:jc w:val="center"/>
              <w:rPr>
                <w:color w:val="auto"/>
                <w:sz w:val="21"/>
                <w:szCs w:val="21"/>
              </w:rPr>
            </w:pPr>
          </w:p>
        </w:tc>
        <w:tc>
          <w:tcPr>
            <w:tcW w:w="3132" w:type="dxa"/>
            <w:vAlign w:val="center"/>
          </w:tcPr>
          <w:p>
            <w:pPr>
              <w:snapToGrid w:val="0"/>
              <w:spacing w:line="360" w:lineRule="exact"/>
              <w:jc w:val="center"/>
              <w:rPr>
                <w:color w:val="auto"/>
                <w:sz w:val="21"/>
                <w:szCs w:val="21"/>
              </w:rPr>
            </w:pPr>
            <w:r>
              <w:rPr>
                <w:rFonts w:hint="eastAsia"/>
                <w:color w:val="auto"/>
                <w:sz w:val="21"/>
                <w:szCs w:val="21"/>
              </w:rPr>
              <w:t>自卸卡车</w:t>
            </w:r>
          </w:p>
        </w:tc>
        <w:tc>
          <w:tcPr>
            <w:tcW w:w="1385" w:type="dxa"/>
            <w:vAlign w:val="center"/>
          </w:tcPr>
          <w:p>
            <w:pPr>
              <w:snapToGrid w:val="0"/>
              <w:spacing w:line="360" w:lineRule="exact"/>
              <w:jc w:val="center"/>
              <w:rPr>
                <w:color w:val="auto"/>
                <w:sz w:val="21"/>
                <w:szCs w:val="21"/>
              </w:rPr>
            </w:pPr>
            <w:r>
              <w:rPr>
                <w:rFonts w:hint="eastAsia"/>
                <w:color w:val="auto"/>
                <w:sz w:val="21"/>
                <w:szCs w:val="21"/>
              </w:rPr>
              <w:t>3</w:t>
            </w:r>
          </w:p>
        </w:tc>
        <w:tc>
          <w:tcPr>
            <w:tcW w:w="2735" w:type="dxa"/>
            <w:vAlign w:val="center"/>
          </w:tcPr>
          <w:p>
            <w:pPr>
              <w:snapToGrid w:val="0"/>
              <w:spacing w:line="360" w:lineRule="exact"/>
              <w:jc w:val="center"/>
              <w:rPr>
                <w:color w:val="auto"/>
                <w:sz w:val="21"/>
                <w:szCs w:val="21"/>
              </w:rPr>
            </w:pPr>
            <w:r>
              <w:rPr>
                <w:rFonts w:hint="eastAsia"/>
                <w:color w:val="auto"/>
                <w:sz w:val="21"/>
                <w:szCs w:val="21"/>
              </w:rPr>
              <w:t>建筑垃圾的运输和卸载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1" w:hRule="atLeast"/>
        </w:trPr>
        <w:tc>
          <w:tcPr>
            <w:tcW w:w="1261" w:type="dxa"/>
            <w:vMerge w:val="continue"/>
            <w:vAlign w:val="center"/>
          </w:tcPr>
          <w:p>
            <w:pPr>
              <w:spacing w:line="300" w:lineRule="exact"/>
              <w:jc w:val="center"/>
              <w:rPr>
                <w:color w:val="auto"/>
                <w:sz w:val="21"/>
                <w:szCs w:val="21"/>
              </w:rPr>
            </w:pPr>
          </w:p>
        </w:tc>
        <w:tc>
          <w:tcPr>
            <w:tcW w:w="3132" w:type="dxa"/>
            <w:vAlign w:val="center"/>
          </w:tcPr>
          <w:p>
            <w:pPr>
              <w:snapToGrid w:val="0"/>
              <w:spacing w:line="360" w:lineRule="exact"/>
              <w:jc w:val="center"/>
              <w:rPr>
                <w:color w:val="auto"/>
                <w:sz w:val="21"/>
                <w:szCs w:val="21"/>
              </w:rPr>
            </w:pPr>
            <w:r>
              <w:rPr>
                <w:color w:val="auto"/>
                <w:sz w:val="21"/>
                <w:szCs w:val="21"/>
              </w:rPr>
              <w:t>洗车设备</w:t>
            </w:r>
          </w:p>
        </w:tc>
        <w:tc>
          <w:tcPr>
            <w:tcW w:w="1385" w:type="dxa"/>
            <w:vAlign w:val="center"/>
          </w:tcPr>
          <w:p>
            <w:pPr>
              <w:snapToGrid w:val="0"/>
              <w:spacing w:line="360" w:lineRule="exact"/>
              <w:jc w:val="center"/>
              <w:rPr>
                <w:color w:val="auto"/>
                <w:sz w:val="21"/>
                <w:szCs w:val="21"/>
              </w:rPr>
            </w:pPr>
            <w:r>
              <w:rPr>
                <w:color w:val="auto"/>
                <w:sz w:val="21"/>
                <w:szCs w:val="21"/>
              </w:rPr>
              <w:t>1</w:t>
            </w:r>
          </w:p>
        </w:tc>
        <w:tc>
          <w:tcPr>
            <w:tcW w:w="2735" w:type="dxa"/>
            <w:vAlign w:val="center"/>
          </w:tcPr>
          <w:p>
            <w:pPr>
              <w:snapToGrid w:val="0"/>
              <w:spacing w:line="360" w:lineRule="exact"/>
              <w:jc w:val="center"/>
              <w:rPr>
                <w:color w:val="auto"/>
                <w:sz w:val="21"/>
                <w:szCs w:val="21"/>
              </w:rPr>
            </w:pPr>
            <w:r>
              <w:rPr>
                <w:rFonts w:hint="eastAsia"/>
                <w:color w:val="auto"/>
                <w:sz w:val="21"/>
                <w:szCs w:val="21"/>
              </w:rPr>
              <w:t>运输车清洗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1" w:hRule="atLeast"/>
        </w:trPr>
        <w:tc>
          <w:tcPr>
            <w:tcW w:w="1261" w:type="dxa"/>
            <w:vMerge w:val="continue"/>
            <w:vAlign w:val="center"/>
          </w:tcPr>
          <w:p>
            <w:pPr>
              <w:spacing w:line="300" w:lineRule="exact"/>
              <w:jc w:val="center"/>
              <w:rPr>
                <w:color w:val="auto"/>
                <w:sz w:val="21"/>
                <w:szCs w:val="21"/>
              </w:rPr>
            </w:pPr>
          </w:p>
        </w:tc>
        <w:tc>
          <w:tcPr>
            <w:tcW w:w="3132" w:type="dxa"/>
            <w:vAlign w:val="center"/>
          </w:tcPr>
          <w:p>
            <w:pPr>
              <w:snapToGrid w:val="0"/>
              <w:spacing w:line="360" w:lineRule="exact"/>
              <w:jc w:val="center"/>
              <w:rPr>
                <w:color w:val="auto"/>
                <w:sz w:val="21"/>
                <w:szCs w:val="21"/>
              </w:rPr>
            </w:pPr>
            <w:r>
              <w:rPr>
                <w:rFonts w:hint="eastAsia"/>
                <w:color w:val="auto"/>
                <w:sz w:val="21"/>
                <w:szCs w:val="21"/>
              </w:rPr>
              <w:t>喷水</w:t>
            </w:r>
            <w:r>
              <w:rPr>
                <w:color w:val="auto"/>
                <w:sz w:val="21"/>
                <w:szCs w:val="21"/>
              </w:rPr>
              <w:t>雾炮</w:t>
            </w:r>
          </w:p>
        </w:tc>
        <w:tc>
          <w:tcPr>
            <w:tcW w:w="1385" w:type="dxa"/>
            <w:vAlign w:val="center"/>
          </w:tcPr>
          <w:p>
            <w:pPr>
              <w:snapToGrid w:val="0"/>
              <w:spacing w:line="360" w:lineRule="exact"/>
              <w:jc w:val="center"/>
              <w:rPr>
                <w:color w:val="auto"/>
                <w:sz w:val="21"/>
                <w:szCs w:val="21"/>
              </w:rPr>
            </w:pPr>
            <w:r>
              <w:rPr>
                <w:color w:val="auto"/>
                <w:sz w:val="21"/>
                <w:szCs w:val="21"/>
              </w:rPr>
              <w:t>22</w:t>
            </w:r>
          </w:p>
        </w:tc>
        <w:tc>
          <w:tcPr>
            <w:tcW w:w="2735" w:type="dxa"/>
            <w:vAlign w:val="center"/>
          </w:tcPr>
          <w:p>
            <w:pPr>
              <w:snapToGrid w:val="0"/>
              <w:spacing w:line="360" w:lineRule="exact"/>
              <w:jc w:val="center"/>
              <w:rPr>
                <w:color w:val="auto"/>
                <w:sz w:val="21"/>
                <w:szCs w:val="21"/>
              </w:rPr>
            </w:pPr>
            <w:r>
              <w:rPr>
                <w:rFonts w:hint="eastAsia"/>
                <w:color w:val="auto"/>
                <w:sz w:val="21"/>
                <w:szCs w:val="21"/>
              </w:rPr>
              <w:t>降尘</w:t>
            </w:r>
          </w:p>
        </w:tc>
      </w:tr>
    </w:tbl>
    <w:p>
      <w:pPr>
        <w:pStyle w:val="298"/>
        <w:spacing w:before="0" w:after="0" w:line="360" w:lineRule="auto"/>
        <w:rPr>
          <w:color w:val="auto"/>
        </w:rPr>
      </w:pPr>
      <w:bookmarkStart w:id="268" w:name="_Toc27622"/>
      <w:bookmarkStart w:id="269" w:name="_Toc34234670"/>
      <w:r>
        <w:rPr>
          <w:rFonts w:hint="eastAsia"/>
          <w:color w:val="auto"/>
        </w:rPr>
        <w:t>3.</w:t>
      </w:r>
      <w:r>
        <w:rPr>
          <w:rFonts w:hint="eastAsia"/>
          <w:color w:val="auto"/>
          <w:lang w:val="en-US" w:eastAsia="zh-CN"/>
        </w:rPr>
        <w:t>1</w:t>
      </w:r>
      <w:r>
        <w:rPr>
          <w:rFonts w:hint="eastAsia"/>
          <w:color w:val="auto"/>
        </w:rPr>
        <w:t>.</w:t>
      </w:r>
      <w:r>
        <w:rPr>
          <w:color w:val="auto"/>
          <w:lang w:eastAsia="zh-CN"/>
        </w:rPr>
        <w:t>5</w:t>
      </w:r>
      <w:r>
        <w:rPr>
          <w:rFonts w:hint="eastAsia"/>
          <w:color w:val="auto"/>
        </w:rPr>
        <w:t>主要原辅材料及能源消耗情况</w:t>
      </w:r>
      <w:bookmarkEnd w:id="268"/>
      <w:bookmarkEnd w:id="269"/>
    </w:p>
    <w:p>
      <w:pPr>
        <w:spacing w:line="360" w:lineRule="auto"/>
        <w:ind w:firstLine="480" w:firstLineChars="200"/>
        <w:rPr>
          <w:color w:val="auto"/>
        </w:rPr>
      </w:pPr>
      <w:r>
        <w:rPr>
          <w:rFonts w:hint="eastAsia"/>
          <w:color w:val="auto"/>
        </w:rPr>
        <w:t>餐厨垃圾处理厂</w:t>
      </w:r>
      <w:r>
        <w:rPr>
          <w:color w:val="auto"/>
        </w:rPr>
        <w:t>处理对象有主要餐饮企业、食堂产生的有机垃圾、废弃食用油脂。项目</w:t>
      </w:r>
      <w:r>
        <w:rPr>
          <w:rFonts w:hint="eastAsia"/>
          <w:color w:val="auto"/>
        </w:rPr>
        <w:t>近期服务范围为兴宁市的市辖街道（兴田街道、福兴街道、宁新街道），时机成熟时，可考虑在远期将近郊城镇以及运距合适的城镇纳入服务范围，扩大餐厨垃圾无害化处理范围</w:t>
      </w:r>
      <w:r>
        <w:rPr>
          <w:color w:val="auto"/>
        </w:rPr>
        <w:t>。</w:t>
      </w:r>
    </w:p>
    <w:p>
      <w:pPr>
        <w:spacing w:line="360" w:lineRule="auto"/>
        <w:ind w:firstLine="480" w:firstLineChars="200"/>
        <w:rPr>
          <w:color w:val="auto"/>
        </w:rPr>
      </w:pPr>
      <w:r>
        <w:rPr>
          <w:color w:val="auto"/>
        </w:rPr>
        <w:t>在</w:t>
      </w:r>
      <w:r>
        <w:rPr>
          <w:rFonts w:hint="eastAsia"/>
          <w:color w:val="auto"/>
        </w:rPr>
        <w:t>收运范围内</w:t>
      </w:r>
      <w:r>
        <w:rPr>
          <w:color w:val="auto"/>
        </w:rPr>
        <w:t xml:space="preserve">各个饭店、宾馆、学校食堂、餐馆等产生餐厨垃圾的餐饮单位配备专用餐厨垃圾收集桶及油水分离器。各餐饮单位要保证餐厨垃圾收集的范围，只包括餐厅的食物垃圾和厨房食品加工过程中产生的废弃物的有机质部分。收运过程严格禁止将食品调料的包装物、餐具、厨具、饮料瓶、酒瓶等其他废弃物混入。 </w:t>
      </w:r>
    </w:p>
    <w:p>
      <w:pPr>
        <w:spacing w:line="360" w:lineRule="auto"/>
        <w:ind w:firstLine="480" w:firstLineChars="200"/>
        <w:rPr>
          <w:color w:val="auto"/>
        </w:rPr>
      </w:pPr>
      <w:r>
        <w:rPr>
          <w:color w:val="auto"/>
        </w:rPr>
        <w:t>餐厨垃圾含水率较高，含水率一般在80%</w:t>
      </w:r>
      <w:r>
        <w:rPr>
          <w:rFonts w:hint="eastAsia"/>
          <w:color w:val="auto"/>
        </w:rPr>
        <w:t>～</w:t>
      </w:r>
      <w:r>
        <w:rPr>
          <w:color w:val="auto"/>
        </w:rPr>
        <w:t>90%。主要以淀粉、食物纤维、动植物脂肪等有机质为主要成分，诸如肉类、鱼类、水果、蔬菜、谷类、骨类、加工食品类等。</w:t>
      </w:r>
    </w:p>
    <w:p>
      <w:pPr>
        <w:widowControl/>
        <w:spacing w:line="360" w:lineRule="auto"/>
        <w:ind w:firstLine="480" w:firstLineChars="200"/>
        <w:jc w:val="both"/>
        <w:rPr>
          <w:color w:val="auto"/>
        </w:rPr>
      </w:pPr>
      <w:r>
        <w:rPr>
          <w:color w:val="auto"/>
        </w:rPr>
        <w:t>建筑垃圾消纳场</w:t>
      </w:r>
      <w:r>
        <w:rPr>
          <w:rFonts w:hint="eastAsia"/>
          <w:color w:val="auto"/>
        </w:rPr>
        <w:t>服务范围包括兴田街道、福兴街道、宁新街道、新陂镇，后续考虑叶塘镇、龙田镇、宁中镇、永和镇、坭陂镇、刁坊镇等周城镇，逐渐扩大服务范围。服务对象主要</w:t>
      </w:r>
      <w:r>
        <w:rPr>
          <w:rFonts w:eastAsiaTheme="minorEastAsia"/>
          <w:color w:val="auto"/>
          <w:kern w:val="0"/>
        </w:rPr>
        <w:t>为城市开发建设、旧改工程及装饰装修工程中产生的建筑垃圾（不包括余泥、余土）</w:t>
      </w:r>
      <w:r>
        <w:rPr>
          <w:rFonts w:hint="eastAsia" w:eastAsiaTheme="minorEastAsia"/>
          <w:color w:val="auto"/>
          <w:kern w:val="0"/>
        </w:rPr>
        <w:t>。</w:t>
      </w:r>
    </w:p>
    <w:p>
      <w:pPr>
        <w:spacing w:line="360" w:lineRule="auto"/>
        <w:ind w:firstLine="480" w:firstLineChars="200"/>
        <w:rPr>
          <w:color w:val="auto"/>
        </w:rPr>
      </w:pPr>
      <w:r>
        <w:rPr>
          <w:rFonts w:hint="eastAsia"/>
          <w:color w:val="auto"/>
        </w:rPr>
        <w:t>本项目主要原辅材料消耗情况及能源消耗情况见下表：</w:t>
      </w:r>
    </w:p>
    <w:p>
      <w:pPr>
        <w:spacing w:line="360" w:lineRule="auto"/>
        <w:jc w:val="center"/>
        <w:rPr>
          <w:b/>
          <w:color w:val="auto"/>
        </w:rPr>
      </w:pPr>
      <w:r>
        <w:rPr>
          <w:b/>
          <w:color w:val="auto"/>
        </w:rPr>
        <w:t>表</w:t>
      </w:r>
      <w:r>
        <w:rPr>
          <w:rFonts w:hint="eastAsia"/>
          <w:b/>
          <w:color w:val="auto"/>
        </w:rPr>
        <w:t>3.</w:t>
      </w:r>
      <w:r>
        <w:rPr>
          <w:rFonts w:hint="eastAsia"/>
          <w:b/>
          <w:color w:val="auto"/>
          <w:lang w:val="en-US" w:eastAsia="zh-CN"/>
        </w:rPr>
        <w:t>1</w:t>
      </w:r>
      <w:r>
        <w:rPr>
          <w:rFonts w:hint="eastAsia"/>
          <w:b/>
          <w:color w:val="auto"/>
        </w:rPr>
        <w:t>-</w:t>
      </w:r>
      <w:r>
        <w:rPr>
          <w:b/>
          <w:color w:val="auto"/>
        </w:rPr>
        <w:t>5</w:t>
      </w:r>
      <w:r>
        <w:rPr>
          <w:rFonts w:hint="eastAsia"/>
          <w:b/>
          <w:color w:val="auto"/>
        </w:rPr>
        <w:t xml:space="preserve"> </w:t>
      </w:r>
      <w:r>
        <w:rPr>
          <w:b/>
          <w:color w:val="auto"/>
        </w:rPr>
        <w:t>主要原辅用料消耗情况一览表</w:t>
      </w:r>
    </w:p>
    <w:tbl>
      <w:tblPr>
        <w:tblStyle w:val="53"/>
        <w:tblW w:w="9070" w:type="dxa"/>
        <w:jc w:val="center"/>
        <w:tblInd w:w="0" w:type="dxa"/>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
      <w:tblGrid>
        <w:gridCol w:w="2323"/>
        <w:gridCol w:w="1595"/>
        <w:gridCol w:w="1074"/>
        <w:gridCol w:w="1373"/>
        <w:gridCol w:w="2705"/>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cantSplit/>
          <w:trHeight w:val="312" w:hRule="atLeast"/>
          <w:jc w:val="center"/>
        </w:trPr>
        <w:tc>
          <w:tcPr>
            <w:tcW w:w="2323" w:type="dxa"/>
            <w:vAlign w:val="center"/>
          </w:tcPr>
          <w:p>
            <w:pPr>
              <w:autoSpaceDE w:val="0"/>
              <w:autoSpaceDN w:val="0"/>
              <w:spacing w:before="100" w:beforeAutospacing="1" w:after="100" w:afterAutospacing="1" w:line="360" w:lineRule="auto"/>
              <w:ind w:right="-20"/>
              <w:jc w:val="center"/>
              <w:rPr>
                <w:b/>
                <w:color w:val="auto"/>
                <w:kern w:val="0"/>
                <w:sz w:val="21"/>
                <w:szCs w:val="21"/>
              </w:rPr>
            </w:pPr>
            <w:r>
              <w:rPr>
                <w:b/>
                <w:color w:val="auto"/>
                <w:kern w:val="0"/>
                <w:sz w:val="21"/>
                <w:szCs w:val="21"/>
              </w:rPr>
              <w:t>名称</w:t>
            </w:r>
          </w:p>
        </w:tc>
        <w:tc>
          <w:tcPr>
            <w:tcW w:w="1595" w:type="dxa"/>
            <w:vAlign w:val="center"/>
          </w:tcPr>
          <w:p>
            <w:pPr>
              <w:autoSpaceDE w:val="0"/>
              <w:autoSpaceDN w:val="0"/>
              <w:spacing w:before="100" w:beforeAutospacing="1" w:after="100" w:afterAutospacing="1" w:line="360" w:lineRule="auto"/>
              <w:ind w:right="84"/>
              <w:jc w:val="center"/>
              <w:rPr>
                <w:b/>
                <w:color w:val="auto"/>
                <w:kern w:val="0"/>
                <w:sz w:val="21"/>
                <w:szCs w:val="21"/>
              </w:rPr>
            </w:pPr>
            <w:r>
              <w:rPr>
                <w:b/>
                <w:color w:val="auto"/>
                <w:kern w:val="0"/>
                <w:sz w:val="21"/>
                <w:szCs w:val="21"/>
              </w:rPr>
              <w:t>消耗量</w:t>
            </w:r>
          </w:p>
        </w:tc>
        <w:tc>
          <w:tcPr>
            <w:tcW w:w="1074" w:type="dxa"/>
            <w:vAlign w:val="center"/>
          </w:tcPr>
          <w:p>
            <w:pPr>
              <w:autoSpaceDE w:val="0"/>
              <w:autoSpaceDN w:val="0"/>
              <w:spacing w:before="100" w:beforeAutospacing="1" w:after="100" w:afterAutospacing="1" w:line="360" w:lineRule="auto"/>
              <w:ind w:right="84"/>
              <w:jc w:val="center"/>
              <w:rPr>
                <w:b/>
                <w:color w:val="auto"/>
                <w:kern w:val="0"/>
                <w:sz w:val="21"/>
                <w:szCs w:val="21"/>
              </w:rPr>
            </w:pPr>
            <w:r>
              <w:rPr>
                <w:b/>
                <w:color w:val="auto"/>
                <w:kern w:val="0"/>
                <w:sz w:val="21"/>
                <w:szCs w:val="21"/>
              </w:rPr>
              <w:t>单位</w:t>
            </w:r>
          </w:p>
        </w:tc>
        <w:tc>
          <w:tcPr>
            <w:tcW w:w="1373" w:type="dxa"/>
            <w:vAlign w:val="center"/>
          </w:tcPr>
          <w:p>
            <w:pPr>
              <w:autoSpaceDE w:val="0"/>
              <w:autoSpaceDN w:val="0"/>
              <w:spacing w:before="100" w:beforeAutospacing="1" w:after="100" w:afterAutospacing="1" w:line="360" w:lineRule="auto"/>
              <w:ind w:right="-20"/>
              <w:rPr>
                <w:b/>
                <w:color w:val="auto"/>
                <w:kern w:val="0"/>
                <w:sz w:val="21"/>
                <w:szCs w:val="21"/>
              </w:rPr>
            </w:pPr>
            <w:r>
              <w:rPr>
                <w:b/>
                <w:color w:val="auto"/>
                <w:kern w:val="0"/>
                <w:sz w:val="21"/>
                <w:szCs w:val="21"/>
              </w:rPr>
              <w:t xml:space="preserve"> 最大储存量</w:t>
            </w:r>
          </w:p>
        </w:tc>
        <w:tc>
          <w:tcPr>
            <w:tcW w:w="2705" w:type="dxa"/>
            <w:vAlign w:val="center"/>
          </w:tcPr>
          <w:p>
            <w:pPr>
              <w:autoSpaceDE w:val="0"/>
              <w:autoSpaceDN w:val="0"/>
              <w:spacing w:before="100" w:beforeAutospacing="1" w:after="100" w:afterAutospacing="1" w:line="360" w:lineRule="auto"/>
              <w:ind w:right="-20"/>
              <w:jc w:val="center"/>
              <w:rPr>
                <w:b/>
                <w:color w:val="auto"/>
                <w:kern w:val="0"/>
                <w:sz w:val="21"/>
                <w:szCs w:val="21"/>
              </w:rPr>
            </w:pPr>
            <w:r>
              <w:rPr>
                <w:b/>
                <w:color w:val="auto"/>
                <w:kern w:val="0"/>
                <w:sz w:val="21"/>
                <w:szCs w:val="21"/>
              </w:rPr>
              <w:t>备注</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cantSplit/>
          <w:trHeight w:val="397" w:hRule="atLeast"/>
          <w:jc w:val="center"/>
        </w:trPr>
        <w:tc>
          <w:tcPr>
            <w:tcW w:w="2323" w:type="dxa"/>
            <w:vAlign w:val="center"/>
          </w:tcPr>
          <w:p>
            <w:pPr>
              <w:autoSpaceDE w:val="0"/>
              <w:autoSpaceDN w:val="0"/>
              <w:spacing w:before="100" w:beforeAutospacing="1" w:after="100" w:afterAutospacing="1" w:line="360" w:lineRule="auto"/>
              <w:ind w:right="-20"/>
              <w:jc w:val="center"/>
              <w:rPr>
                <w:color w:val="auto"/>
                <w:kern w:val="0"/>
                <w:sz w:val="21"/>
                <w:szCs w:val="21"/>
              </w:rPr>
            </w:pPr>
            <w:r>
              <w:rPr>
                <w:color w:val="auto"/>
                <w:kern w:val="0"/>
                <w:sz w:val="21"/>
                <w:szCs w:val="21"/>
              </w:rPr>
              <w:t>餐厨垃圾</w:t>
            </w:r>
          </w:p>
        </w:tc>
        <w:tc>
          <w:tcPr>
            <w:tcW w:w="1595" w:type="dxa"/>
            <w:vAlign w:val="center"/>
          </w:tcPr>
          <w:p>
            <w:pPr>
              <w:autoSpaceDE w:val="0"/>
              <w:autoSpaceDN w:val="0"/>
              <w:spacing w:before="100" w:beforeAutospacing="1" w:after="100" w:afterAutospacing="1" w:line="360" w:lineRule="auto"/>
              <w:ind w:right="-20"/>
              <w:jc w:val="center"/>
              <w:rPr>
                <w:color w:val="auto"/>
                <w:kern w:val="0"/>
                <w:sz w:val="21"/>
                <w:szCs w:val="21"/>
              </w:rPr>
            </w:pPr>
            <w:r>
              <w:rPr>
                <w:rFonts w:hint="eastAsia"/>
                <w:color w:val="auto"/>
                <w:kern w:val="0"/>
                <w:sz w:val="21"/>
                <w:szCs w:val="21"/>
              </w:rPr>
              <w:t>8250</w:t>
            </w:r>
          </w:p>
        </w:tc>
        <w:tc>
          <w:tcPr>
            <w:tcW w:w="1074" w:type="dxa"/>
            <w:vAlign w:val="center"/>
          </w:tcPr>
          <w:p>
            <w:pPr>
              <w:autoSpaceDE w:val="0"/>
              <w:autoSpaceDN w:val="0"/>
              <w:spacing w:before="100" w:beforeAutospacing="1" w:after="100" w:afterAutospacing="1" w:line="360" w:lineRule="auto"/>
              <w:ind w:right="-20"/>
              <w:jc w:val="center"/>
              <w:rPr>
                <w:color w:val="auto"/>
                <w:kern w:val="0"/>
                <w:sz w:val="21"/>
                <w:szCs w:val="21"/>
              </w:rPr>
            </w:pPr>
            <w:r>
              <w:rPr>
                <w:color w:val="auto"/>
                <w:kern w:val="0"/>
                <w:sz w:val="21"/>
                <w:szCs w:val="21"/>
              </w:rPr>
              <w:t>t/a</w:t>
            </w:r>
          </w:p>
        </w:tc>
        <w:tc>
          <w:tcPr>
            <w:tcW w:w="1373" w:type="dxa"/>
            <w:vAlign w:val="center"/>
          </w:tcPr>
          <w:p>
            <w:pPr>
              <w:autoSpaceDE w:val="0"/>
              <w:autoSpaceDN w:val="0"/>
              <w:spacing w:before="100" w:beforeAutospacing="1" w:after="100" w:afterAutospacing="1" w:line="360" w:lineRule="auto"/>
              <w:ind w:right="-20"/>
              <w:jc w:val="center"/>
              <w:rPr>
                <w:color w:val="auto"/>
                <w:kern w:val="0"/>
                <w:sz w:val="21"/>
                <w:szCs w:val="21"/>
              </w:rPr>
            </w:pPr>
            <w:r>
              <w:rPr>
                <w:color w:val="auto"/>
                <w:kern w:val="0"/>
                <w:sz w:val="21"/>
                <w:szCs w:val="21"/>
              </w:rPr>
              <w:t>/</w:t>
            </w:r>
          </w:p>
        </w:tc>
        <w:tc>
          <w:tcPr>
            <w:tcW w:w="2705" w:type="dxa"/>
            <w:vAlign w:val="center"/>
          </w:tcPr>
          <w:p>
            <w:pPr>
              <w:autoSpaceDE w:val="0"/>
              <w:autoSpaceDN w:val="0"/>
              <w:spacing w:before="100" w:beforeAutospacing="1" w:after="100" w:afterAutospacing="1" w:line="360" w:lineRule="auto"/>
              <w:ind w:right="-20"/>
              <w:jc w:val="center"/>
              <w:rPr>
                <w:color w:val="auto"/>
                <w:kern w:val="0"/>
                <w:sz w:val="21"/>
                <w:szCs w:val="21"/>
              </w:rPr>
            </w:pPr>
            <w:r>
              <w:rPr>
                <w:color w:val="auto"/>
                <w:kern w:val="0"/>
                <w:sz w:val="21"/>
                <w:szCs w:val="21"/>
              </w:rPr>
              <w:t>汽车运入，密闭于车内</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cantSplit/>
          <w:trHeight w:val="397" w:hRule="atLeast"/>
          <w:jc w:val="center"/>
        </w:trPr>
        <w:tc>
          <w:tcPr>
            <w:tcW w:w="2323" w:type="dxa"/>
            <w:vAlign w:val="center"/>
          </w:tcPr>
          <w:p>
            <w:pPr>
              <w:autoSpaceDE w:val="0"/>
              <w:autoSpaceDN w:val="0"/>
              <w:spacing w:before="100" w:beforeAutospacing="1" w:after="100" w:afterAutospacing="1" w:line="360" w:lineRule="auto"/>
              <w:ind w:right="-20"/>
              <w:jc w:val="center"/>
              <w:rPr>
                <w:color w:val="auto"/>
                <w:kern w:val="0"/>
                <w:sz w:val="21"/>
                <w:szCs w:val="21"/>
              </w:rPr>
            </w:pPr>
            <w:r>
              <w:rPr>
                <w:rFonts w:hint="eastAsia"/>
                <w:color w:val="auto"/>
                <w:kern w:val="0"/>
                <w:sz w:val="21"/>
                <w:szCs w:val="21"/>
              </w:rPr>
              <w:t>建筑垃圾</w:t>
            </w:r>
          </w:p>
        </w:tc>
        <w:tc>
          <w:tcPr>
            <w:tcW w:w="1595" w:type="dxa"/>
            <w:vAlign w:val="center"/>
          </w:tcPr>
          <w:p>
            <w:pPr>
              <w:autoSpaceDE w:val="0"/>
              <w:autoSpaceDN w:val="0"/>
              <w:spacing w:before="100" w:beforeAutospacing="1" w:after="100" w:afterAutospacing="1" w:line="360" w:lineRule="auto"/>
              <w:ind w:right="-20"/>
              <w:jc w:val="center"/>
              <w:rPr>
                <w:color w:val="auto"/>
                <w:kern w:val="0"/>
                <w:sz w:val="21"/>
                <w:szCs w:val="21"/>
              </w:rPr>
            </w:pPr>
            <w:r>
              <w:rPr>
                <w:rFonts w:hint="eastAsia"/>
                <w:color w:val="auto"/>
                <w:kern w:val="0"/>
                <w:sz w:val="21"/>
                <w:szCs w:val="21"/>
              </w:rPr>
              <w:t>66000</w:t>
            </w:r>
            <w:r>
              <w:rPr>
                <w:color w:val="auto"/>
                <w:kern w:val="0"/>
                <w:sz w:val="21"/>
                <w:szCs w:val="21"/>
              </w:rPr>
              <w:t xml:space="preserve"> </w:t>
            </w:r>
          </w:p>
        </w:tc>
        <w:tc>
          <w:tcPr>
            <w:tcW w:w="1074" w:type="dxa"/>
            <w:vAlign w:val="center"/>
          </w:tcPr>
          <w:p>
            <w:pPr>
              <w:autoSpaceDE w:val="0"/>
              <w:autoSpaceDN w:val="0"/>
              <w:spacing w:before="100" w:beforeAutospacing="1" w:after="100" w:afterAutospacing="1" w:line="360" w:lineRule="auto"/>
              <w:ind w:right="-20"/>
              <w:jc w:val="center"/>
              <w:rPr>
                <w:color w:val="auto"/>
                <w:kern w:val="0"/>
                <w:sz w:val="21"/>
                <w:szCs w:val="21"/>
              </w:rPr>
            </w:pPr>
            <w:r>
              <w:rPr>
                <w:rFonts w:hint="eastAsia"/>
                <w:color w:val="auto"/>
                <w:kern w:val="0"/>
                <w:sz w:val="21"/>
                <w:szCs w:val="21"/>
                <w:lang w:val="en-US" w:eastAsia="zh-CN"/>
              </w:rPr>
              <w:t>m</w:t>
            </w:r>
            <w:r>
              <w:rPr>
                <w:rFonts w:hint="eastAsia"/>
                <w:color w:val="auto"/>
                <w:kern w:val="0"/>
                <w:sz w:val="21"/>
                <w:szCs w:val="21"/>
                <w:vertAlign w:val="superscript"/>
                <w:lang w:val="en-US" w:eastAsia="zh-CN"/>
              </w:rPr>
              <w:t>3</w:t>
            </w:r>
            <w:r>
              <w:rPr>
                <w:color w:val="auto"/>
                <w:kern w:val="0"/>
                <w:sz w:val="21"/>
                <w:szCs w:val="21"/>
              </w:rPr>
              <w:t>/a</w:t>
            </w:r>
          </w:p>
        </w:tc>
        <w:tc>
          <w:tcPr>
            <w:tcW w:w="1373" w:type="dxa"/>
            <w:vAlign w:val="center"/>
          </w:tcPr>
          <w:p>
            <w:pPr>
              <w:autoSpaceDE w:val="0"/>
              <w:autoSpaceDN w:val="0"/>
              <w:spacing w:before="100" w:beforeAutospacing="1" w:after="100" w:afterAutospacing="1" w:line="360" w:lineRule="auto"/>
              <w:ind w:right="-20"/>
              <w:jc w:val="center"/>
              <w:rPr>
                <w:color w:val="auto"/>
                <w:kern w:val="0"/>
                <w:sz w:val="21"/>
                <w:szCs w:val="21"/>
              </w:rPr>
            </w:pPr>
            <w:r>
              <w:rPr>
                <w:color w:val="auto"/>
                <w:kern w:val="0"/>
                <w:sz w:val="21"/>
                <w:szCs w:val="21"/>
              </w:rPr>
              <w:t>/</w:t>
            </w:r>
          </w:p>
        </w:tc>
        <w:tc>
          <w:tcPr>
            <w:tcW w:w="2705" w:type="dxa"/>
            <w:vAlign w:val="center"/>
          </w:tcPr>
          <w:p>
            <w:pPr>
              <w:autoSpaceDE w:val="0"/>
              <w:autoSpaceDN w:val="0"/>
              <w:spacing w:before="100" w:beforeAutospacing="1" w:after="100" w:afterAutospacing="1" w:line="360" w:lineRule="auto"/>
              <w:ind w:right="-20"/>
              <w:jc w:val="center"/>
              <w:rPr>
                <w:color w:val="auto"/>
                <w:kern w:val="0"/>
                <w:sz w:val="21"/>
                <w:szCs w:val="21"/>
              </w:rPr>
            </w:pPr>
            <w:r>
              <w:rPr>
                <w:color w:val="auto"/>
                <w:kern w:val="0"/>
                <w:sz w:val="21"/>
                <w:szCs w:val="21"/>
              </w:rPr>
              <w:t xml:space="preserve">汽车运入 </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cantSplit/>
          <w:trHeight w:val="397" w:hRule="atLeast"/>
          <w:jc w:val="center"/>
        </w:trPr>
        <w:tc>
          <w:tcPr>
            <w:tcW w:w="2323" w:type="dxa"/>
            <w:vAlign w:val="center"/>
          </w:tcPr>
          <w:p>
            <w:pPr>
              <w:autoSpaceDE w:val="0"/>
              <w:autoSpaceDN w:val="0"/>
              <w:spacing w:before="100" w:beforeAutospacing="1" w:after="100" w:afterAutospacing="1" w:line="360" w:lineRule="auto"/>
              <w:ind w:right="-20"/>
              <w:jc w:val="center"/>
              <w:rPr>
                <w:color w:val="auto"/>
                <w:kern w:val="0"/>
                <w:sz w:val="21"/>
                <w:szCs w:val="21"/>
              </w:rPr>
            </w:pPr>
            <w:r>
              <w:rPr>
                <w:color w:val="auto"/>
                <w:kern w:val="0"/>
                <w:sz w:val="21"/>
                <w:szCs w:val="21"/>
              </w:rPr>
              <w:t>氢氧化钠</w:t>
            </w:r>
          </w:p>
        </w:tc>
        <w:tc>
          <w:tcPr>
            <w:tcW w:w="1595" w:type="dxa"/>
            <w:vAlign w:val="center"/>
          </w:tcPr>
          <w:p>
            <w:pPr>
              <w:autoSpaceDE w:val="0"/>
              <w:autoSpaceDN w:val="0"/>
              <w:spacing w:before="100" w:beforeAutospacing="1" w:after="100" w:afterAutospacing="1" w:line="360" w:lineRule="auto"/>
              <w:ind w:right="-20"/>
              <w:jc w:val="center"/>
              <w:rPr>
                <w:color w:val="auto"/>
                <w:kern w:val="0"/>
                <w:sz w:val="21"/>
                <w:szCs w:val="21"/>
              </w:rPr>
            </w:pPr>
            <w:r>
              <w:rPr>
                <w:rFonts w:hint="eastAsia"/>
                <w:color w:val="auto"/>
                <w:kern w:val="0"/>
                <w:sz w:val="21"/>
                <w:szCs w:val="21"/>
              </w:rPr>
              <w:t>1</w:t>
            </w:r>
          </w:p>
        </w:tc>
        <w:tc>
          <w:tcPr>
            <w:tcW w:w="1074" w:type="dxa"/>
            <w:vAlign w:val="center"/>
          </w:tcPr>
          <w:p>
            <w:pPr>
              <w:autoSpaceDE w:val="0"/>
              <w:autoSpaceDN w:val="0"/>
              <w:spacing w:before="100" w:beforeAutospacing="1" w:after="100" w:afterAutospacing="1" w:line="360" w:lineRule="auto"/>
              <w:ind w:right="-20"/>
              <w:jc w:val="center"/>
              <w:rPr>
                <w:color w:val="auto"/>
                <w:kern w:val="0"/>
                <w:sz w:val="21"/>
                <w:szCs w:val="21"/>
              </w:rPr>
            </w:pPr>
            <w:r>
              <w:rPr>
                <w:color w:val="auto"/>
                <w:kern w:val="0"/>
                <w:sz w:val="21"/>
                <w:szCs w:val="21"/>
              </w:rPr>
              <w:t>t/a</w:t>
            </w:r>
          </w:p>
        </w:tc>
        <w:tc>
          <w:tcPr>
            <w:tcW w:w="1373" w:type="dxa"/>
            <w:vAlign w:val="center"/>
          </w:tcPr>
          <w:p>
            <w:pPr>
              <w:autoSpaceDE w:val="0"/>
              <w:autoSpaceDN w:val="0"/>
              <w:spacing w:before="100" w:beforeAutospacing="1" w:after="100" w:afterAutospacing="1" w:line="360" w:lineRule="auto"/>
              <w:ind w:right="-20"/>
              <w:jc w:val="center"/>
              <w:rPr>
                <w:color w:val="auto"/>
                <w:kern w:val="0"/>
                <w:sz w:val="21"/>
                <w:szCs w:val="21"/>
              </w:rPr>
            </w:pPr>
            <w:r>
              <w:rPr>
                <w:color w:val="auto"/>
                <w:kern w:val="0"/>
                <w:sz w:val="21"/>
                <w:szCs w:val="21"/>
              </w:rPr>
              <w:t>1</w:t>
            </w:r>
          </w:p>
        </w:tc>
        <w:tc>
          <w:tcPr>
            <w:tcW w:w="2705" w:type="dxa"/>
            <w:vAlign w:val="center"/>
          </w:tcPr>
          <w:p>
            <w:pPr>
              <w:autoSpaceDE w:val="0"/>
              <w:autoSpaceDN w:val="0"/>
              <w:spacing w:before="100" w:beforeAutospacing="1" w:after="100" w:afterAutospacing="1" w:line="360" w:lineRule="auto"/>
              <w:ind w:right="-20"/>
              <w:jc w:val="center"/>
              <w:rPr>
                <w:color w:val="auto"/>
                <w:kern w:val="0"/>
                <w:sz w:val="21"/>
                <w:szCs w:val="21"/>
              </w:rPr>
            </w:pPr>
            <w:r>
              <w:rPr>
                <w:color w:val="auto"/>
                <w:kern w:val="0"/>
                <w:sz w:val="21"/>
                <w:szCs w:val="21"/>
              </w:rPr>
              <w:t>外购，用于臭气处理</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cantSplit/>
          <w:trHeight w:val="397" w:hRule="atLeast"/>
          <w:jc w:val="center"/>
        </w:trPr>
        <w:tc>
          <w:tcPr>
            <w:tcW w:w="2323" w:type="dxa"/>
            <w:vAlign w:val="center"/>
          </w:tcPr>
          <w:p>
            <w:pPr>
              <w:autoSpaceDE w:val="0"/>
              <w:autoSpaceDN w:val="0"/>
              <w:spacing w:before="100" w:beforeAutospacing="1" w:after="100" w:afterAutospacing="1" w:line="360" w:lineRule="auto"/>
              <w:ind w:right="-20"/>
              <w:jc w:val="center"/>
              <w:rPr>
                <w:color w:val="auto"/>
                <w:kern w:val="0"/>
                <w:sz w:val="21"/>
                <w:szCs w:val="21"/>
              </w:rPr>
            </w:pPr>
            <w:r>
              <w:rPr>
                <w:rFonts w:hint="eastAsia"/>
                <w:color w:val="auto"/>
                <w:kern w:val="0"/>
                <w:sz w:val="21"/>
                <w:szCs w:val="21"/>
              </w:rPr>
              <w:t>硫酸</w:t>
            </w:r>
          </w:p>
        </w:tc>
        <w:tc>
          <w:tcPr>
            <w:tcW w:w="1595" w:type="dxa"/>
            <w:vAlign w:val="center"/>
          </w:tcPr>
          <w:p>
            <w:pPr>
              <w:autoSpaceDE w:val="0"/>
              <w:autoSpaceDN w:val="0"/>
              <w:spacing w:before="100" w:beforeAutospacing="1" w:after="100" w:afterAutospacing="1" w:line="360" w:lineRule="auto"/>
              <w:ind w:right="-20"/>
              <w:jc w:val="center"/>
              <w:rPr>
                <w:color w:val="auto"/>
                <w:kern w:val="0"/>
                <w:sz w:val="21"/>
                <w:szCs w:val="21"/>
              </w:rPr>
            </w:pPr>
            <w:r>
              <w:rPr>
                <w:rFonts w:hint="eastAsia"/>
                <w:color w:val="auto"/>
                <w:kern w:val="0"/>
                <w:sz w:val="21"/>
                <w:szCs w:val="21"/>
              </w:rPr>
              <w:t>3</w:t>
            </w:r>
          </w:p>
        </w:tc>
        <w:tc>
          <w:tcPr>
            <w:tcW w:w="1074" w:type="dxa"/>
            <w:vAlign w:val="center"/>
          </w:tcPr>
          <w:p>
            <w:pPr>
              <w:autoSpaceDE w:val="0"/>
              <w:autoSpaceDN w:val="0"/>
              <w:spacing w:before="100" w:beforeAutospacing="1" w:after="100" w:afterAutospacing="1" w:line="360" w:lineRule="auto"/>
              <w:ind w:right="-20"/>
              <w:jc w:val="center"/>
              <w:rPr>
                <w:color w:val="auto"/>
                <w:kern w:val="0"/>
                <w:sz w:val="21"/>
                <w:szCs w:val="21"/>
              </w:rPr>
            </w:pPr>
            <w:r>
              <w:rPr>
                <w:color w:val="auto"/>
                <w:kern w:val="0"/>
                <w:sz w:val="21"/>
                <w:szCs w:val="21"/>
              </w:rPr>
              <w:t>t/a</w:t>
            </w:r>
          </w:p>
        </w:tc>
        <w:tc>
          <w:tcPr>
            <w:tcW w:w="1373" w:type="dxa"/>
            <w:vAlign w:val="center"/>
          </w:tcPr>
          <w:p>
            <w:pPr>
              <w:autoSpaceDE w:val="0"/>
              <w:autoSpaceDN w:val="0"/>
              <w:spacing w:before="100" w:beforeAutospacing="1" w:after="100" w:afterAutospacing="1" w:line="360" w:lineRule="auto"/>
              <w:ind w:right="-20"/>
              <w:jc w:val="center"/>
              <w:rPr>
                <w:rFonts w:hint="eastAsia" w:eastAsia="宋体"/>
                <w:color w:val="auto"/>
                <w:kern w:val="0"/>
                <w:sz w:val="21"/>
                <w:szCs w:val="21"/>
                <w:lang w:eastAsia="zh-CN"/>
              </w:rPr>
            </w:pPr>
            <w:r>
              <w:rPr>
                <w:rFonts w:hint="eastAsia"/>
                <w:color w:val="auto"/>
                <w:kern w:val="0"/>
                <w:sz w:val="21"/>
                <w:szCs w:val="21"/>
                <w:lang w:val="en-US" w:eastAsia="zh-CN"/>
              </w:rPr>
              <w:t>0.56</w:t>
            </w:r>
          </w:p>
        </w:tc>
        <w:tc>
          <w:tcPr>
            <w:tcW w:w="2705" w:type="dxa"/>
            <w:vAlign w:val="center"/>
          </w:tcPr>
          <w:p>
            <w:pPr>
              <w:autoSpaceDE w:val="0"/>
              <w:autoSpaceDN w:val="0"/>
              <w:spacing w:before="100" w:beforeAutospacing="1" w:after="100" w:afterAutospacing="1" w:line="360" w:lineRule="auto"/>
              <w:ind w:right="-20"/>
              <w:jc w:val="center"/>
              <w:rPr>
                <w:color w:val="auto"/>
                <w:kern w:val="0"/>
                <w:sz w:val="21"/>
                <w:szCs w:val="21"/>
              </w:rPr>
            </w:pPr>
            <w:r>
              <w:rPr>
                <w:color w:val="auto"/>
                <w:kern w:val="0"/>
                <w:sz w:val="21"/>
                <w:szCs w:val="21"/>
              </w:rPr>
              <w:t>外购，用于臭气处理</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cantSplit/>
          <w:trHeight w:val="397" w:hRule="atLeast"/>
          <w:jc w:val="center"/>
        </w:trPr>
        <w:tc>
          <w:tcPr>
            <w:tcW w:w="2323" w:type="dxa"/>
            <w:vAlign w:val="center"/>
          </w:tcPr>
          <w:p>
            <w:pPr>
              <w:autoSpaceDE w:val="0"/>
              <w:autoSpaceDN w:val="0"/>
              <w:spacing w:before="100" w:beforeAutospacing="1" w:after="100" w:afterAutospacing="1" w:line="360" w:lineRule="auto"/>
              <w:ind w:right="-20"/>
              <w:jc w:val="center"/>
              <w:rPr>
                <w:color w:val="auto"/>
                <w:kern w:val="0"/>
                <w:sz w:val="21"/>
                <w:szCs w:val="21"/>
              </w:rPr>
            </w:pPr>
            <w:r>
              <w:rPr>
                <w:color w:val="auto"/>
                <w:kern w:val="0"/>
                <w:sz w:val="21"/>
                <w:szCs w:val="21"/>
              </w:rPr>
              <w:t>次氯酸钠</w:t>
            </w:r>
          </w:p>
        </w:tc>
        <w:tc>
          <w:tcPr>
            <w:tcW w:w="1595" w:type="dxa"/>
            <w:vAlign w:val="center"/>
          </w:tcPr>
          <w:p>
            <w:pPr>
              <w:autoSpaceDE w:val="0"/>
              <w:autoSpaceDN w:val="0"/>
              <w:spacing w:before="100" w:beforeAutospacing="1" w:after="100" w:afterAutospacing="1" w:line="360" w:lineRule="auto"/>
              <w:ind w:right="-20"/>
              <w:jc w:val="center"/>
              <w:rPr>
                <w:color w:val="auto"/>
                <w:kern w:val="0"/>
                <w:sz w:val="21"/>
                <w:szCs w:val="21"/>
              </w:rPr>
            </w:pPr>
            <w:r>
              <w:rPr>
                <w:rFonts w:hint="eastAsia"/>
                <w:color w:val="auto"/>
                <w:kern w:val="0"/>
                <w:sz w:val="21"/>
                <w:szCs w:val="21"/>
              </w:rPr>
              <w:t>1.5</w:t>
            </w:r>
          </w:p>
        </w:tc>
        <w:tc>
          <w:tcPr>
            <w:tcW w:w="1074" w:type="dxa"/>
            <w:vAlign w:val="center"/>
          </w:tcPr>
          <w:p>
            <w:pPr>
              <w:autoSpaceDE w:val="0"/>
              <w:autoSpaceDN w:val="0"/>
              <w:spacing w:before="100" w:beforeAutospacing="1" w:after="100" w:afterAutospacing="1" w:line="360" w:lineRule="auto"/>
              <w:ind w:right="-20"/>
              <w:jc w:val="center"/>
              <w:rPr>
                <w:color w:val="auto"/>
                <w:kern w:val="0"/>
                <w:sz w:val="21"/>
                <w:szCs w:val="21"/>
              </w:rPr>
            </w:pPr>
            <w:r>
              <w:rPr>
                <w:color w:val="auto"/>
                <w:kern w:val="0"/>
                <w:sz w:val="21"/>
                <w:szCs w:val="21"/>
              </w:rPr>
              <w:t>t/a</w:t>
            </w:r>
          </w:p>
        </w:tc>
        <w:tc>
          <w:tcPr>
            <w:tcW w:w="1373" w:type="dxa"/>
            <w:vAlign w:val="center"/>
          </w:tcPr>
          <w:p>
            <w:pPr>
              <w:autoSpaceDE w:val="0"/>
              <w:autoSpaceDN w:val="0"/>
              <w:spacing w:before="100" w:beforeAutospacing="1" w:after="100" w:afterAutospacing="1" w:line="360" w:lineRule="auto"/>
              <w:ind w:right="-20"/>
              <w:jc w:val="center"/>
              <w:rPr>
                <w:color w:val="auto"/>
                <w:kern w:val="0"/>
                <w:sz w:val="21"/>
                <w:szCs w:val="21"/>
              </w:rPr>
            </w:pPr>
            <w:r>
              <w:rPr>
                <w:rFonts w:hint="eastAsia"/>
                <w:color w:val="auto"/>
                <w:kern w:val="0"/>
                <w:sz w:val="21"/>
                <w:szCs w:val="21"/>
              </w:rPr>
              <w:t>1.5</w:t>
            </w:r>
          </w:p>
        </w:tc>
        <w:tc>
          <w:tcPr>
            <w:tcW w:w="2705" w:type="dxa"/>
            <w:vAlign w:val="center"/>
          </w:tcPr>
          <w:p>
            <w:pPr>
              <w:autoSpaceDE w:val="0"/>
              <w:autoSpaceDN w:val="0"/>
              <w:spacing w:before="100" w:beforeAutospacing="1" w:after="100" w:afterAutospacing="1" w:line="360" w:lineRule="auto"/>
              <w:ind w:right="-20"/>
              <w:jc w:val="center"/>
              <w:rPr>
                <w:color w:val="auto"/>
                <w:kern w:val="0"/>
                <w:sz w:val="21"/>
                <w:szCs w:val="21"/>
              </w:rPr>
            </w:pPr>
            <w:r>
              <w:rPr>
                <w:color w:val="auto"/>
                <w:kern w:val="0"/>
                <w:sz w:val="21"/>
                <w:szCs w:val="21"/>
              </w:rPr>
              <w:t>外购，用于臭气处理</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cantSplit/>
          <w:trHeight w:val="397" w:hRule="atLeast"/>
          <w:jc w:val="center"/>
        </w:trPr>
        <w:tc>
          <w:tcPr>
            <w:tcW w:w="2323" w:type="dxa"/>
            <w:vAlign w:val="center"/>
          </w:tcPr>
          <w:p>
            <w:pPr>
              <w:autoSpaceDE w:val="0"/>
              <w:autoSpaceDN w:val="0"/>
              <w:spacing w:before="100" w:beforeAutospacing="1" w:after="100" w:afterAutospacing="1" w:line="360" w:lineRule="auto"/>
              <w:ind w:right="-20"/>
              <w:jc w:val="center"/>
              <w:rPr>
                <w:color w:val="auto"/>
                <w:kern w:val="0"/>
                <w:sz w:val="21"/>
                <w:szCs w:val="21"/>
              </w:rPr>
            </w:pPr>
            <w:r>
              <w:rPr>
                <w:rFonts w:hint="eastAsia"/>
                <w:color w:val="auto"/>
                <w:kern w:val="0"/>
                <w:sz w:val="21"/>
                <w:szCs w:val="21"/>
              </w:rPr>
              <w:t>混凝剂</w:t>
            </w:r>
          </w:p>
        </w:tc>
        <w:tc>
          <w:tcPr>
            <w:tcW w:w="1595" w:type="dxa"/>
            <w:vAlign w:val="center"/>
          </w:tcPr>
          <w:p>
            <w:pPr>
              <w:autoSpaceDE w:val="0"/>
              <w:autoSpaceDN w:val="0"/>
              <w:spacing w:before="100" w:beforeAutospacing="1" w:after="100" w:afterAutospacing="1" w:line="360" w:lineRule="auto"/>
              <w:ind w:right="-20"/>
              <w:jc w:val="center"/>
              <w:rPr>
                <w:color w:val="auto"/>
                <w:kern w:val="0"/>
                <w:sz w:val="21"/>
                <w:szCs w:val="21"/>
              </w:rPr>
            </w:pPr>
            <w:r>
              <w:rPr>
                <w:rFonts w:hint="eastAsia"/>
                <w:color w:val="auto"/>
                <w:kern w:val="0"/>
                <w:sz w:val="21"/>
                <w:szCs w:val="21"/>
              </w:rPr>
              <w:t>50</w:t>
            </w:r>
          </w:p>
        </w:tc>
        <w:tc>
          <w:tcPr>
            <w:tcW w:w="1074" w:type="dxa"/>
            <w:vAlign w:val="center"/>
          </w:tcPr>
          <w:p>
            <w:pPr>
              <w:autoSpaceDE w:val="0"/>
              <w:autoSpaceDN w:val="0"/>
              <w:spacing w:before="100" w:beforeAutospacing="1" w:after="100" w:afterAutospacing="1" w:line="360" w:lineRule="auto"/>
              <w:ind w:right="-20"/>
              <w:jc w:val="center"/>
              <w:rPr>
                <w:color w:val="auto"/>
                <w:kern w:val="0"/>
                <w:sz w:val="21"/>
                <w:szCs w:val="21"/>
              </w:rPr>
            </w:pPr>
            <w:r>
              <w:rPr>
                <w:color w:val="auto"/>
                <w:kern w:val="0"/>
                <w:sz w:val="21"/>
                <w:szCs w:val="21"/>
              </w:rPr>
              <w:t>t/a</w:t>
            </w:r>
          </w:p>
        </w:tc>
        <w:tc>
          <w:tcPr>
            <w:tcW w:w="1373" w:type="dxa"/>
            <w:vAlign w:val="center"/>
          </w:tcPr>
          <w:p>
            <w:pPr>
              <w:autoSpaceDE w:val="0"/>
              <w:autoSpaceDN w:val="0"/>
              <w:spacing w:before="100" w:beforeAutospacing="1" w:after="100" w:afterAutospacing="1" w:line="360" w:lineRule="auto"/>
              <w:ind w:right="-20"/>
              <w:jc w:val="center"/>
              <w:rPr>
                <w:color w:val="auto"/>
                <w:kern w:val="0"/>
                <w:sz w:val="21"/>
                <w:szCs w:val="21"/>
              </w:rPr>
            </w:pPr>
            <w:r>
              <w:rPr>
                <w:rFonts w:hint="eastAsia"/>
                <w:color w:val="auto"/>
                <w:kern w:val="0"/>
                <w:sz w:val="21"/>
                <w:szCs w:val="21"/>
              </w:rPr>
              <w:t>10</w:t>
            </w:r>
          </w:p>
        </w:tc>
        <w:tc>
          <w:tcPr>
            <w:tcW w:w="2705" w:type="dxa"/>
            <w:vAlign w:val="center"/>
          </w:tcPr>
          <w:p>
            <w:pPr>
              <w:autoSpaceDE w:val="0"/>
              <w:autoSpaceDN w:val="0"/>
              <w:spacing w:before="100" w:beforeAutospacing="1" w:after="100" w:afterAutospacing="1" w:line="360" w:lineRule="auto"/>
              <w:ind w:right="-20"/>
              <w:jc w:val="center"/>
              <w:rPr>
                <w:color w:val="auto"/>
                <w:kern w:val="0"/>
                <w:sz w:val="21"/>
                <w:szCs w:val="21"/>
              </w:rPr>
            </w:pPr>
            <w:r>
              <w:rPr>
                <w:color w:val="auto"/>
                <w:kern w:val="0"/>
                <w:sz w:val="21"/>
                <w:szCs w:val="21"/>
              </w:rPr>
              <w:t>外购，用于</w:t>
            </w:r>
            <w:r>
              <w:rPr>
                <w:rFonts w:hint="eastAsia"/>
                <w:color w:val="auto"/>
                <w:kern w:val="0"/>
                <w:sz w:val="21"/>
                <w:szCs w:val="21"/>
              </w:rPr>
              <w:t>淋溶液</w:t>
            </w:r>
            <w:r>
              <w:rPr>
                <w:color w:val="auto"/>
                <w:kern w:val="0"/>
                <w:sz w:val="21"/>
                <w:szCs w:val="21"/>
              </w:rPr>
              <w:t>处理</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Ex>
        <w:trPr>
          <w:cantSplit/>
          <w:trHeight w:val="397" w:hRule="atLeast"/>
          <w:jc w:val="center"/>
        </w:trPr>
        <w:tc>
          <w:tcPr>
            <w:tcW w:w="2323" w:type="dxa"/>
            <w:vAlign w:val="center"/>
          </w:tcPr>
          <w:p>
            <w:pPr>
              <w:autoSpaceDE w:val="0"/>
              <w:autoSpaceDN w:val="0"/>
              <w:spacing w:before="100" w:beforeAutospacing="1" w:after="100" w:afterAutospacing="1" w:line="360" w:lineRule="auto"/>
              <w:ind w:right="-20"/>
              <w:jc w:val="center"/>
              <w:rPr>
                <w:color w:val="auto"/>
                <w:kern w:val="0"/>
                <w:sz w:val="21"/>
                <w:szCs w:val="21"/>
              </w:rPr>
            </w:pPr>
            <w:r>
              <w:rPr>
                <w:rFonts w:hint="eastAsia"/>
                <w:color w:val="auto"/>
                <w:kern w:val="0"/>
                <w:sz w:val="21"/>
                <w:szCs w:val="21"/>
              </w:rPr>
              <w:t>石灰</w:t>
            </w:r>
          </w:p>
        </w:tc>
        <w:tc>
          <w:tcPr>
            <w:tcW w:w="1595" w:type="dxa"/>
            <w:vAlign w:val="center"/>
          </w:tcPr>
          <w:p>
            <w:pPr>
              <w:autoSpaceDE w:val="0"/>
              <w:autoSpaceDN w:val="0"/>
              <w:spacing w:before="100" w:beforeAutospacing="1" w:after="100" w:afterAutospacing="1" w:line="360" w:lineRule="auto"/>
              <w:ind w:right="-20"/>
              <w:jc w:val="center"/>
              <w:rPr>
                <w:color w:val="auto"/>
                <w:kern w:val="0"/>
                <w:sz w:val="21"/>
                <w:szCs w:val="21"/>
              </w:rPr>
            </w:pPr>
            <w:r>
              <w:rPr>
                <w:rFonts w:hint="eastAsia"/>
                <w:color w:val="auto"/>
                <w:kern w:val="0"/>
                <w:sz w:val="21"/>
                <w:szCs w:val="21"/>
              </w:rPr>
              <w:t>40</w:t>
            </w:r>
          </w:p>
        </w:tc>
        <w:tc>
          <w:tcPr>
            <w:tcW w:w="1074" w:type="dxa"/>
            <w:vAlign w:val="center"/>
          </w:tcPr>
          <w:p>
            <w:pPr>
              <w:autoSpaceDE w:val="0"/>
              <w:autoSpaceDN w:val="0"/>
              <w:spacing w:before="100" w:beforeAutospacing="1" w:after="100" w:afterAutospacing="1" w:line="360" w:lineRule="auto"/>
              <w:ind w:right="-20"/>
              <w:jc w:val="center"/>
              <w:rPr>
                <w:color w:val="auto"/>
                <w:kern w:val="0"/>
                <w:sz w:val="21"/>
                <w:szCs w:val="21"/>
              </w:rPr>
            </w:pPr>
            <w:r>
              <w:rPr>
                <w:color w:val="auto"/>
                <w:kern w:val="0"/>
                <w:sz w:val="21"/>
                <w:szCs w:val="21"/>
              </w:rPr>
              <w:t>t/a</w:t>
            </w:r>
          </w:p>
        </w:tc>
        <w:tc>
          <w:tcPr>
            <w:tcW w:w="1373" w:type="dxa"/>
            <w:vAlign w:val="center"/>
          </w:tcPr>
          <w:p>
            <w:pPr>
              <w:autoSpaceDE w:val="0"/>
              <w:autoSpaceDN w:val="0"/>
              <w:spacing w:before="100" w:beforeAutospacing="1" w:after="100" w:afterAutospacing="1" w:line="360" w:lineRule="auto"/>
              <w:ind w:right="-20"/>
              <w:jc w:val="center"/>
              <w:rPr>
                <w:color w:val="auto"/>
                <w:kern w:val="0"/>
                <w:sz w:val="21"/>
                <w:szCs w:val="21"/>
              </w:rPr>
            </w:pPr>
            <w:r>
              <w:rPr>
                <w:rFonts w:hint="eastAsia"/>
                <w:color w:val="auto"/>
                <w:kern w:val="0"/>
                <w:sz w:val="21"/>
                <w:szCs w:val="21"/>
              </w:rPr>
              <w:t>10</w:t>
            </w:r>
          </w:p>
        </w:tc>
        <w:tc>
          <w:tcPr>
            <w:tcW w:w="2705" w:type="dxa"/>
            <w:vAlign w:val="center"/>
          </w:tcPr>
          <w:p>
            <w:pPr>
              <w:autoSpaceDE w:val="0"/>
              <w:autoSpaceDN w:val="0"/>
              <w:spacing w:before="100" w:beforeAutospacing="1" w:after="100" w:afterAutospacing="1" w:line="360" w:lineRule="auto"/>
              <w:ind w:right="-20"/>
              <w:jc w:val="center"/>
              <w:rPr>
                <w:color w:val="auto"/>
                <w:kern w:val="0"/>
                <w:sz w:val="21"/>
                <w:szCs w:val="21"/>
              </w:rPr>
            </w:pPr>
            <w:r>
              <w:rPr>
                <w:color w:val="auto"/>
                <w:kern w:val="0"/>
                <w:sz w:val="21"/>
                <w:szCs w:val="21"/>
              </w:rPr>
              <w:t>外购，用于</w:t>
            </w:r>
            <w:r>
              <w:rPr>
                <w:rFonts w:hint="eastAsia"/>
                <w:color w:val="auto"/>
                <w:kern w:val="0"/>
                <w:sz w:val="21"/>
                <w:szCs w:val="21"/>
              </w:rPr>
              <w:t>淋溶液</w:t>
            </w:r>
            <w:r>
              <w:rPr>
                <w:color w:val="auto"/>
                <w:kern w:val="0"/>
                <w:sz w:val="21"/>
                <w:szCs w:val="21"/>
              </w:rPr>
              <w:t>处理</w:t>
            </w:r>
          </w:p>
        </w:tc>
      </w:tr>
    </w:tbl>
    <w:p>
      <w:pPr>
        <w:spacing w:line="360" w:lineRule="auto"/>
        <w:ind w:firstLine="200"/>
        <w:jc w:val="center"/>
        <w:rPr>
          <w:b/>
          <w:color w:val="auto"/>
        </w:rPr>
      </w:pPr>
      <w:r>
        <w:rPr>
          <w:b/>
          <w:color w:val="auto"/>
        </w:rPr>
        <w:t>表</w:t>
      </w:r>
      <w:r>
        <w:rPr>
          <w:rFonts w:hint="eastAsia"/>
          <w:b/>
          <w:color w:val="auto"/>
        </w:rPr>
        <w:t>3.</w:t>
      </w:r>
      <w:r>
        <w:rPr>
          <w:rFonts w:hint="eastAsia"/>
          <w:b/>
          <w:color w:val="auto"/>
          <w:lang w:val="en-US" w:eastAsia="zh-CN"/>
        </w:rPr>
        <w:t>1</w:t>
      </w:r>
      <w:r>
        <w:rPr>
          <w:rFonts w:hint="eastAsia"/>
          <w:b/>
          <w:color w:val="auto"/>
        </w:rPr>
        <w:t>-</w:t>
      </w:r>
      <w:r>
        <w:rPr>
          <w:b/>
          <w:color w:val="auto"/>
        </w:rPr>
        <w:t>6  主要能源消耗情况一览表</w:t>
      </w:r>
    </w:p>
    <w:tbl>
      <w:tblPr>
        <w:tblStyle w:val="53"/>
        <w:tblW w:w="893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3040"/>
        <w:gridCol w:w="2950"/>
        <w:gridCol w:w="29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62" w:hRule="atLeast"/>
          <w:jc w:val="center"/>
        </w:trPr>
        <w:tc>
          <w:tcPr>
            <w:tcW w:w="3040" w:type="dxa"/>
            <w:vAlign w:val="center"/>
          </w:tcPr>
          <w:p>
            <w:pPr>
              <w:autoSpaceDE w:val="0"/>
              <w:autoSpaceDN w:val="0"/>
              <w:spacing w:line="360" w:lineRule="auto"/>
              <w:jc w:val="center"/>
              <w:rPr>
                <w:b/>
                <w:color w:val="auto"/>
                <w:kern w:val="0"/>
                <w:sz w:val="21"/>
                <w:szCs w:val="21"/>
              </w:rPr>
            </w:pPr>
            <w:r>
              <w:rPr>
                <w:b/>
                <w:color w:val="auto"/>
                <w:kern w:val="0"/>
                <w:sz w:val="21"/>
                <w:szCs w:val="21"/>
              </w:rPr>
              <w:t>名称</w:t>
            </w:r>
          </w:p>
        </w:tc>
        <w:tc>
          <w:tcPr>
            <w:tcW w:w="2950" w:type="dxa"/>
            <w:vAlign w:val="center"/>
          </w:tcPr>
          <w:p>
            <w:pPr>
              <w:autoSpaceDE w:val="0"/>
              <w:autoSpaceDN w:val="0"/>
              <w:spacing w:line="360" w:lineRule="auto"/>
              <w:jc w:val="center"/>
              <w:rPr>
                <w:b/>
                <w:color w:val="auto"/>
                <w:kern w:val="0"/>
                <w:sz w:val="21"/>
                <w:szCs w:val="21"/>
              </w:rPr>
            </w:pPr>
            <w:r>
              <w:rPr>
                <w:b/>
                <w:color w:val="auto"/>
                <w:kern w:val="0"/>
                <w:sz w:val="21"/>
                <w:szCs w:val="21"/>
              </w:rPr>
              <w:t>消耗量</w:t>
            </w:r>
          </w:p>
        </w:tc>
        <w:tc>
          <w:tcPr>
            <w:tcW w:w="2948" w:type="dxa"/>
            <w:vAlign w:val="center"/>
          </w:tcPr>
          <w:p>
            <w:pPr>
              <w:autoSpaceDE w:val="0"/>
              <w:autoSpaceDN w:val="0"/>
              <w:spacing w:line="360" w:lineRule="auto"/>
              <w:jc w:val="center"/>
              <w:rPr>
                <w:b/>
                <w:color w:val="auto"/>
                <w:kern w:val="0"/>
                <w:sz w:val="21"/>
                <w:szCs w:val="21"/>
              </w:rPr>
            </w:pPr>
            <w:r>
              <w:rPr>
                <w:b/>
                <w:color w:val="auto"/>
                <w:kern w:val="0"/>
                <w:sz w:val="21"/>
                <w:szCs w:val="21"/>
              </w:rPr>
              <w:t>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20" w:hRule="atLeast"/>
          <w:jc w:val="center"/>
        </w:trPr>
        <w:tc>
          <w:tcPr>
            <w:tcW w:w="3040" w:type="dxa"/>
            <w:vAlign w:val="center"/>
          </w:tcPr>
          <w:p>
            <w:pPr>
              <w:autoSpaceDE w:val="0"/>
              <w:autoSpaceDN w:val="0"/>
              <w:spacing w:line="360" w:lineRule="auto"/>
              <w:jc w:val="center"/>
              <w:rPr>
                <w:color w:val="auto"/>
                <w:kern w:val="0"/>
                <w:sz w:val="21"/>
                <w:szCs w:val="21"/>
              </w:rPr>
            </w:pPr>
            <w:r>
              <w:rPr>
                <w:color w:val="auto"/>
                <w:kern w:val="0"/>
                <w:sz w:val="21"/>
                <w:szCs w:val="21"/>
              </w:rPr>
              <w:t>新鲜水</w:t>
            </w:r>
          </w:p>
        </w:tc>
        <w:tc>
          <w:tcPr>
            <w:tcW w:w="2950" w:type="dxa"/>
            <w:vAlign w:val="center"/>
          </w:tcPr>
          <w:p>
            <w:pPr>
              <w:autoSpaceDE w:val="0"/>
              <w:autoSpaceDN w:val="0"/>
              <w:spacing w:line="360" w:lineRule="auto"/>
              <w:jc w:val="center"/>
              <w:rPr>
                <w:color w:val="auto"/>
                <w:kern w:val="0"/>
                <w:sz w:val="21"/>
                <w:szCs w:val="21"/>
              </w:rPr>
            </w:pPr>
            <w:r>
              <w:rPr>
                <w:rFonts w:hint="eastAsia"/>
                <w:color w:val="auto"/>
                <w:kern w:val="0"/>
                <w:sz w:val="21"/>
                <w:szCs w:val="21"/>
              </w:rPr>
              <w:t>2475</w:t>
            </w:r>
            <w:r>
              <w:rPr>
                <w:color w:val="auto"/>
                <w:kern w:val="0"/>
                <w:sz w:val="21"/>
                <w:szCs w:val="21"/>
              </w:rPr>
              <w:t>t/a</w:t>
            </w:r>
          </w:p>
        </w:tc>
        <w:tc>
          <w:tcPr>
            <w:tcW w:w="2948" w:type="dxa"/>
            <w:vAlign w:val="center"/>
          </w:tcPr>
          <w:p>
            <w:pPr>
              <w:autoSpaceDE w:val="0"/>
              <w:autoSpaceDN w:val="0"/>
              <w:spacing w:line="360" w:lineRule="auto"/>
              <w:jc w:val="center"/>
              <w:rPr>
                <w:color w:val="auto"/>
                <w:kern w:val="0"/>
                <w:sz w:val="21"/>
                <w:szCs w:val="21"/>
              </w:rPr>
            </w:pPr>
            <w:r>
              <w:rPr>
                <w:rFonts w:hint="eastAsia"/>
                <w:color w:val="auto"/>
                <w:kern w:val="0"/>
                <w:sz w:val="21"/>
                <w:szCs w:val="21"/>
              </w:rPr>
              <w:t>曾坑水库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20" w:hRule="atLeast"/>
          <w:jc w:val="center"/>
        </w:trPr>
        <w:tc>
          <w:tcPr>
            <w:tcW w:w="3040" w:type="dxa"/>
            <w:vAlign w:val="center"/>
          </w:tcPr>
          <w:p>
            <w:pPr>
              <w:autoSpaceDE w:val="0"/>
              <w:autoSpaceDN w:val="0"/>
              <w:spacing w:line="360" w:lineRule="auto"/>
              <w:jc w:val="center"/>
              <w:rPr>
                <w:color w:val="auto"/>
                <w:kern w:val="0"/>
                <w:sz w:val="21"/>
                <w:szCs w:val="21"/>
              </w:rPr>
            </w:pPr>
            <w:r>
              <w:rPr>
                <w:color w:val="auto"/>
                <w:kern w:val="0"/>
                <w:sz w:val="21"/>
                <w:szCs w:val="21"/>
              </w:rPr>
              <w:t>电</w:t>
            </w:r>
          </w:p>
        </w:tc>
        <w:tc>
          <w:tcPr>
            <w:tcW w:w="2950" w:type="dxa"/>
            <w:vAlign w:val="center"/>
          </w:tcPr>
          <w:p>
            <w:pPr>
              <w:autoSpaceDE w:val="0"/>
              <w:autoSpaceDN w:val="0"/>
              <w:spacing w:line="360" w:lineRule="auto"/>
              <w:jc w:val="center"/>
              <w:rPr>
                <w:color w:val="auto"/>
                <w:kern w:val="0"/>
                <w:sz w:val="21"/>
                <w:szCs w:val="21"/>
              </w:rPr>
            </w:pPr>
            <w:r>
              <w:rPr>
                <w:rFonts w:hint="eastAsia"/>
                <w:color w:val="auto"/>
                <w:kern w:val="0"/>
                <w:sz w:val="21"/>
                <w:szCs w:val="21"/>
              </w:rPr>
              <w:t>1</w:t>
            </w:r>
            <w:r>
              <w:rPr>
                <w:color w:val="auto"/>
                <w:kern w:val="0"/>
                <w:sz w:val="21"/>
                <w:szCs w:val="21"/>
              </w:rPr>
              <w:t>98万KWh/a</w:t>
            </w:r>
          </w:p>
        </w:tc>
        <w:tc>
          <w:tcPr>
            <w:tcW w:w="2948" w:type="dxa"/>
            <w:vAlign w:val="center"/>
          </w:tcPr>
          <w:p>
            <w:pPr>
              <w:autoSpaceDE w:val="0"/>
              <w:autoSpaceDN w:val="0"/>
              <w:spacing w:line="360" w:lineRule="auto"/>
              <w:jc w:val="center"/>
              <w:rPr>
                <w:color w:val="auto"/>
                <w:kern w:val="0"/>
                <w:sz w:val="21"/>
                <w:szCs w:val="21"/>
              </w:rPr>
            </w:pPr>
            <w:r>
              <w:rPr>
                <w:color w:val="auto"/>
                <w:kern w:val="0"/>
                <w:sz w:val="21"/>
                <w:szCs w:val="21"/>
              </w:rPr>
              <w:t>市政电网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20" w:hRule="atLeast"/>
          <w:jc w:val="center"/>
        </w:trPr>
        <w:tc>
          <w:tcPr>
            <w:tcW w:w="3040" w:type="dxa"/>
            <w:vAlign w:val="center"/>
          </w:tcPr>
          <w:p>
            <w:pPr>
              <w:autoSpaceDE w:val="0"/>
              <w:autoSpaceDN w:val="0"/>
              <w:spacing w:line="360" w:lineRule="auto"/>
              <w:jc w:val="center"/>
              <w:rPr>
                <w:color w:val="auto"/>
                <w:kern w:val="0"/>
                <w:sz w:val="21"/>
                <w:szCs w:val="21"/>
              </w:rPr>
            </w:pPr>
            <w:r>
              <w:rPr>
                <w:color w:val="auto"/>
                <w:kern w:val="0"/>
                <w:sz w:val="21"/>
                <w:szCs w:val="21"/>
              </w:rPr>
              <w:t>车用柴油</w:t>
            </w:r>
          </w:p>
        </w:tc>
        <w:tc>
          <w:tcPr>
            <w:tcW w:w="2950" w:type="dxa"/>
            <w:vAlign w:val="center"/>
          </w:tcPr>
          <w:p>
            <w:pPr>
              <w:autoSpaceDE w:val="0"/>
              <w:autoSpaceDN w:val="0"/>
              <w:spacing w:line="360" w:lineRule="auto"/>
              <w:jc w:val="center"/>
              <w:rPr>
                <w:color w:val="auto"/>
                <w:kern w:val="0"/>
                <w:sz w:val="21"/>
                <w:szCs w:val="21"/>
              </w:rPr>
            </w:pPr>
            <w:r>
              <w:rPr>
                <w:color w:val="auto"/>
                <w:kern w:val="0"/>
                <w:sz w:val="21"/>
                <w:szCs w:val="21"/>
              </w:rPr>
              <w:t>3万升</w:t>
            </w:r>
          </w:p>
        </w:tc>
        <w:tc>
          <w:tcPr>
            <w:tcW w:w="2948" w:type="dxa"/>
            <w:vAlign w:val="center"/>
          </w:tcPr>
          <w:p>
            <w:pPr>
              <w:autoSpaceDE w:val="0"/>
              <w:autoSpaceDN w:val="0"/>
              <w:spacing w:line="360" w:lineRule="auto"/>
              <w:jc w:val="center"/>
              <w:rPr>
                <w:color w:val="auto"/>
                <w:kern w:val="0"/>
                <w:sz w:val="21"/>
                <w:szCs w:val="21"/>
              </w:rPr>
            </w:pPr>
            <w:r>
              <w:rPr>
                <w:color w:val="auto"/>
                <w:kern w:val="0"/>
                <w:sz w:val="21"/>
                <w:szCs w:val="21"/>
              </w:rPr>
              <w:t>外加，收集车用</w:t>
            </w:r>
          </w:p>
        </w:tc>
      </w:tr>
    </w:tbl>
    <w:p>
      <w:pPr>
        <w:spacing w:line="360" w:lineRule="auto"/>
        <w:jc w:val="both"/>
        <w:rPr>
          <w:color w:val="auto"/>
          <w:spacing w:val="2"/>
        </w:rPr>
      </w:pPr>
    </w:p>
    <w:p>
      <w:pPr>
        <w:pStyle w:val="298"/>
        <w:spacing w:before="0" w:after="0" w:line="360" w:lineRule="auto"/>
        <w:rPr>
          <w:color w:val="auto"/>
          <w:lang w:eastAsia="zh-CN"/>
        </w:rPr>
      </w:pPr>
      <w:bookmarkStart w:id="270" w:name="_Toc34234671"/>
      <w:bookmarkStart w:id="271" w:name="_Toc13547"/>
      <w:r>
        <w:rPr>
          <w:rFonts w:hint="eastAsia"/>
          <w:color w:val="auto"/>
          <w:lang w:eastAsia="zh-CN"/>
        </w:rPr>
        <w:t>3</w:t>
      </w:r>
      <w:r>
        <w:rPr>
          <w:color w:val="auto"/>
          <w:lang w:eastAsia="zh-CN"/>
        </w:rPr>
        <w:t>.</w:t>
      </w:r>
      <w:r>
        <w:rPr>
          <w:rFonts w:hint="eastAsia"/>
          <w:color w:val="auto"/>
          <w:lang w:val="en-US" w:eastAsia="zh-CN"/>
        </w:rPr>
        <w:t>1</w:t>
      </w:r>
      <w:r>
        <w:rPr>
          <w:color w:val="auto"/>
          <w:lang w:eastAsia="zh-CN"/>
        </w:rPr>
        <w:t>.6</w:t>
      </w:r>
      <w:r>
        <w:rPr>
          <w:rFonts w:hint="eastAsia"/>
          <w:color w:val="auto"/>
          <w:lang w:eastAsia="zh-CN"/>
        </w:rPr>
        <w:t>兴宁市餐厨垃圾处理规模的确定</w:t>
      </w:r>
      <w:bookmarkEnd w:id="270"/>
      <w:bookmarkEnd w:id="271"/>
    </w:p>
    <w:p>
      <w:pPr>
        <w:spacing w:line="360" w:lineRule="auto"/>
        <w:ind w:firstLine="480"/>
        <w:rPr>
          <w:rFonts w:hint="eastAsia"/>
          <w:color w:val="auto"/>
          <w:lang w:val="en-US" w:eastAsia="zh-CN"/>
        </w:rPr>
      </w:pPr>
      <w:r>
        <w:rPr>
          <w:rFonts w:hint="eastAsia"/>
          <w:color w:val="auto"/>
          <w:lang w:eastAsia="zh-CN"/>
        </w:rPr>
        <w:t>本项目餐厨垃圾服务、处理现状以及产生量预测方法内容均来自《兴宁市静脉产业园项目可行性研究报告》，该报告已取得《</w:t>
      </w:r>
      <w:r>
        <w:rPr>
          <w:color w:val="auto"/>
        </w:rPr>
        <w:t>兴宁市发展和改革局关于兴宁市静脉产业园项目</w:t>
      </w:r>
      <w:r>
        <w:rPr>
          <w:rFonts w:hint="eastAsia"/>
          <w:color w:val="auto"/>
        </w:rPr>
        <w:t>可行性研究报告</w:t>
      </w:r>
      <w:r>
        <w:rPr>
          <w:color w:val="auto"/>
        </w:rPr>
        <w:t>的批复</w:t>
      </w:r>
      <w:r>
        <w:rPr>
          <w:rFonts w:hint="eastAsia"/>
          <w:color w:val="auto"/>
          <w:lang w:eastAsia="zh-CN"/>
        </w:rPr>
        <w:t>》</w:t>
      </w:r>
      <w:r>
        <w:rPr>
          <w:rFonts w:hint="eastAsia"/>
          <w:color w:val="auto"/>
          <w:lang w:val="en-US" w:eastAsia="zh-CN"/>
        </w:rPr>
        <w:t xml:space="preserve"> （详见附件9）。</w:t>
      </w:r>
    </w:p>
    <w:p>
      <w:pPr>
        <w:spacing w:line="360" w:lineRule="auto"/>
        <w:ind w:firstLine="480"/>
        <w:rPr>
          <w:color w:val="auto"/>
        </w:rPr>
      </w:pPr>
      <w:r>
        <w:rPr>
          <w:rFonts w:hint="eastAsia"/>
          <w:color w:val="auto"/>
          <w:lang w:val="en-US" w:eastAsia="zh-CN"/>
        </w:rPr>
        <w:t xml:space="preserve"> </w:t>
      </w:r>
      <w:r>
        <w:rPr>
          <w:rFonts w:hint="eastAsia"/>
          <w:color w:val="auto"/>
        </w:rPr>
        <w:t>1、服务范围</w:t>
      </w:r>
    </w:p>
    <w:p>
      <w:pPr>
        <w:spacing w:line="360" w:lineRule="auto"/>
        <w:ind w:firstLine="480" w:firstLineChars="200"/>
        <w:jc w:val="both"/>
        <w:rPr>
          <w:color w:val="auto"/>
        </w:rPr>
      </w:pPr>
      <w:r>
        <w:rPr>
          <w:rFonts w:hint="eastAsia"/>
          <w:color w:val="auto"/>
        </w:rPr>
        <w:t>餐厨垃圾的定义是指除居民日常生活以外的餐饮服务、单位供餐等活动中产生的食物残余和废弃食用油脂。一块是厨余垃圾，又名泔水、泔脚，是餐饮服务、单位供餐等活动中产生的食物残余。废弃食用油脂包括不可再食用的动植物油脂和油水混合物。从定义上，可知餐厨垃圾的主要来源于餐饮企业，学校、企事业单位、政府机关食堂等。</w:t>
      </w:r>
    </w:p>
    <w:p>
      <w:pPr>
        <w:spacing w:line="360" w:lineRule="auto"/>
        <w:ind w:firstLine="360" w:firstLineChars="150"/>
        <w:rPr>
          <w:color w:val="auto"/>
        </w:rPr>
      </w:pPr>
      <w:r>
        <w:rPr>
          <w:rFonts w:hint="eastAsia"/>
          <w:color w:val="auto"/>
        </w:rPr>
        <w:t>考虑到兴宁市经济发展水平和人口规模现状，目前主要的大型餐饮企业、学校、企事业单位均集中在城区范围之内，且人口密度较大，分布相对集中，便于收运管理。因此，本可研初拟餐厨垃圾收运系统的近期服务范围为兴宁市的市辖街道（兴田街道、福兴街道、宁新街道），根据2018 年的统计数据预测，预计服务人口25 万人左右。随着餐厨垃圾处理技术的成熟和收运系统的不断完善，以及各镇经济水平的发展和餐饮行业的规范化，在时机成熟时，可考虑在远期将近郊城镇以及运距合适的城镇纳入服务范围，扩大餐厨垃圾无害化处理范围。</w:t>
      </w:r>
    </w:p>
    <w:p>
      <w:pPr>
        <w:spacing w:line="360" w:lineRule="auto"/>
        <w:ind w:firstLine="360" w:firstLineChars="150"/>
        <w:rPr>
          <w:color w:val="auto"/>
        </w:rPr>
      </w:pPr>
      <w:r>
        <w:rPr>
          <w:rFonts w:hint="eastAsia"/>
          <w:color w:val="auto"/>
        </w:rPr>
        <w:t>2、兴宁市餐厨垃圾处理现状</w:t>
      </w:r>
    </w:p>
    <w:p>
      <w:pPr>
        <w:spacing w:line="360" w:lineRule="auto"/>
        <w:ind w:firstLine="360" w:firstLineChars="150"/>
        <w:rPr>
          <w:color w:val="auto"/>
        </w:rPr>
      </w:pPr>
      <w:r>
        <w:rPr>
          <w:rFonts w:hint="eastAsia"/>
          <w:color w:val="auto"/>
        </w:rPr>
        <w:t>目前兴宁市餐厨垃圾基本处于无专项管理状态， 除了由私人收购及回收利用之外，大部分餐厨垃圾与生活垃圾混合进行处理。目前也没有建成餐厨垃圾收运系统。采用科学手段收集处理餐厨垃圾，保证收运系统正常化运行，是实现餐厨垃圾资源化、无害化处理的前提条件。</w:t>
      </w:r>
    </w:p>
    <w:p>
      <w:pPr>
        <w:spacing w:line="360" w:lineRule="auto"/>
        <w:rPr>
          <w:color w:val="auto"/>
        </w:rPr>
      </w:pPr>
      <w:r>
        <w:rPr>
          <w:rFonts w:hint="eastAsia"/>
          <w:color w:val="auto"/>
        </w:rPr>
        <w:t xml:space="preserve">   3、产生量预测《城市建筑垃圾管理规定》及《建筑垃圾处理技术规范》</w:t>
      </w:r>
    </w:p>
    <w:p>
      <w:pPr>
        <w:spacing w:line="360" w:lineRule="auto"/>
        <w:rPr>
          <w:color w:val="auto"/>
        </w:rPr>
      </w:pPr>
      <w:r>
        <w:rPr>
          <w:rFonts w:hint="eastAsia"/>
          <w:color w:val="auto"/>
        </w:rPr>
        <w:t xml:space="preserve">   （1）预测方法</w:t>
      </w:r>
    </w:p>
    <w:p>
      <w:pPr>
        <w:autoSpaceDE w:val="0"/>
        <w:autoSpaceDN w:val="0"/>
        <w:adjustRightInd w:val="0"/>
        <w:spacing w:line="360" w:lineRule="auto"/>
        <w:ind w:firstLine="480" w:firstLineChars="200"/>
        <w:rPr>
          <w:rFonts w:cs="仿宋_GB2312" w:asciiTheme="minorEastAsia" w:hAnsiTheme="minorEastAsia" w:eastAsiaTheme="minorEastAsia"/>
          <w:color w:val="auto"/>
          <w:kern w:val="0"/>
        </w:rPr>
      </w:pPr>
      <w:r>
        <w:rPr>
          <w:rFonts w:hint="eastAsia" w:cs="仿宋_GB2312" w:asciiTheme="minorEastAsia" w:hAnsiTheme="minorEastAsia" w:eastAsiaTheme="minorEastAsia"/>
          <w:color w:val="auto"/>
          <w:kern w:val="0"/>
        </w:rPr>
        <w:t>根据国内外垃圾产生量分析计算方法，结合餐厨垃圾产生的特点，兴宁市城区餐厨垃圾产生量采用人均产生量指标估算法进行预测。即按就餐人数的人均餐厨垃圾产生量进行计算，或折算成服务范围内总人口进行计算。该方法中就餐人数随机性较强，但适合于没有对餐厨垃圾历史数据进行统计的城市。</w:t>
      </w:r>
    </w:p>
    <w:p>
      <w:pPr>
        <w:autoSpaceDE w:val="0"/>
        <w:autoSpaceDN w:val="0"/>
        <w:adjustRightInd w:val="0"/>
        <w:spacing w:line="360" w:lineRule="auto"/>
        <w:ind w:firstLine="480" w:firstLineChars="200"/>
        <w:rPr>
          <w:rFonts w:cs="仿宋_GB2312" w:asciiTheme="minorEastAsia" w:hAnsiTheme="minorEastAsia" w:eastAsiaTheme="minorEastAsia"/>
          <w:color w:val="auto"/>
          <w:kern w:val="0"/>
        </w:rPr>
      </w:pPr>
      <w:r>
        <w:rPr>
          <w:rFonts w:hint="eastAsia" w:cs="仿宋_GB2312" w:asciiTheme="minorEastAsia" w:hAnsiTheme="minorEastAsia" w:eastAsiaTheme="minorEastAsia"/>
          <w:color w:val="auto"/>
          <w:kern w:val="0"/>
        </w:rPr>
        <w:t>（2）餐厨垃圾产生量预测</w:t>
      </w:r>
    </w:p>
    <w:p>
      <w:pPr>
        <w:autoSpaceDE w:val="0"/>
        <w:autoSpaceDN w:val="0"/>
        <w:adjustRightInd w:val="0"/>
        <w:spacing w:line="360" w:lineRule="auto"/>
        <w:ind w:firstLine="600" w:firstLineChars="250"/>
        <w:rPr>
          <w:rFonts w:cs="仿宋_GB2312" w:asciiTheme="minorEastAsia" w:hAnsiTheme="minorEastAsia" w:eastAsiaTheme="minorEastAsia"/>
          <w:color w:val="auto"/>
          <w:kern w:val="0"/>
        </w:rPr>
      </w:pPr>
      <w:r>
        <w:rPr>
          <w:rFonts w:cs="TimesNewRomanPSMT" w:asciiTheme="minorEastAsia" w:hAnsiTheme="minorEastAsia" w:eastAsiaTheme="minorEastAsia"/>
          <w:color w:val="auto"/>
          <w:kern w:val="0"/>
        </w:rPr>
        <w:t>1</w:t>
      </w:r>
      <w:r>
        <w:rPr>
          <w:rFonts w:hint="eastAsia" w:cs="仿宋_GB2312" w:asciiTheme="minorEastAsia" w:hAnsiTheme="minorEastAsia" w:eastAsiaTheme="minorEastAsia"/>
          <w:color w:val="auto"/>
          <w:kern w:val="0"/>
        </w:rPr>
        <w:t>）人均餐厨产生量数据</w:t>
      </w:r>
    </w:p>
    <w:p>
      <w:pPr>
        <w:autoSpaceDE w:val="0"/>
        <w:autoSpaceDN w:val="0"/>
        <w:adjustRightInd w:val="0"/>
        <w:spacing w:line="360" w:lineRule="auto"/>
        <w:ind w:firstLine="600" w:firstLineChars="250"/>
        <w:rPr>
          <w:rFonts w:cs="仿宋_GB2312" w:asciiTheme="minorEastAsia" w:hAnsiTheme="minorEastAsia" w:eastAsiaTheme="minorEastAsia"/>
          <w:color w:val="auto"/>
          <w:kern w:val="0"/>
        </w:rPr>
      </w:pPr>
      <w:r>
        <w:rPr>
          <w:rFonts w:hint="eastAsia" w:cs="仿宋_GB2312" w:asciiTheme="minorEastAsia" w:hAnsiTheme="minorEastAsia" w:eastAsiaTheme="minorEastAsia"/>
          <w:color w:val="auto"/>
          <w:kern w:val="0"/>
        </w:rPr>
        <w:t>相关统计数据显示，国内其他大中城市的餐厨垃圾产生量及市区常住人口如下：</w:t>
      </w:r>
    </w:p>
    <w:p>
      <w:pPr>
        <w:jc w:val="center"/>
        <w:rPr>
          <w:b/>
          <w:color w:val="auto"/>
        </w:rPr>
      </w:pPr>
      <w:bookmarkStart w:id="272" w:name="_Toc24136753"/>
      <w:bookmarkStart w:id="273" w:name="_Toc483263300"/>
      <w:bookmarkStart w:id="274" w:name="_Toc15912136"/>
      <w:bookmarkStart w:id="275" w:name="_Toc14946844"/>
      <w:r>
        <w:rPr>
          <w:rFonts w:hint="eastAsia"/>
          <w:b/>
          <w:color w:val="auto"/>
        </w:rPr>
        <w:t>表3.</w:t>
      </w:r>
      <w:r>
        <w:rPr>
          <w:rFonts w:hint="eastAsia"/>
          <w:b/>
          <w:color w:val="auto"/>
          <w:lang w:val="en-US" w:eastAsia="zh-CN"/>
        </w:rPr>
        <w:t>1</w:t>
      </w:r>
      <w:r>
        <w:rPr>
          <w:rFonts w:hint="eastAsia"/>
          <w:b/>
          <w:color w:val="auto"/>
        </w:rPr>
        <w:t>-</w:t>
      </w:r>
      <w:r>
        <w:rPr>
          <w:b/>
          <w:color w:val="auto"/>
        </w:rPr>
        <w:t>7</w:t>
      </w:r>
      <w:r>
        <w:rPr>
          <w:rFonts w:hint="eastAsia"/>
          <w:b/>
          <w:color w:val="auto"/>
        </w:rPr>
        <w:t xml:space="preserve">  我国其他城市餐厨垃圾产量</w:t>
      </w:r>
    </w:p>
    <w:tbl>
      <w:tblPr>
        <w:tblStyle w:val="54"/>
        <w:tblW w:w="928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7"/>
        <w:gridCol w:w="1857"/>
        <w:gridCol w:w="1857"/>
        <w:gridCol w:w="1857"/>
        <w:gridCol w:w="18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57" w:type="dxa"/>
            <w:vAlign w:val="center"/>
          </w:tcPr>
          <w:p>
            <w:pPr>
              <w:jc w:val="center"/>
              <w:rPr>
                <w:b/>
                <w:color w:val="auto"/>
                <w:sz w:val="21"/>
                <w:szCs w:val="21"/>
              </w:rPr>
            </w:pPr>
            <w:r>
              <w:rPr>
                <w:b/>
                <w:color w:val="auto"/>
                <w:sz w:val="21"/>
                <w:szCs w:val="21"/>
              </w:rPr>
              <w:t>城市</w:t>
            </w:r>
          </w:p>
        </w:tc>
        <w:tc>
          <w:tcPr>
            <w:tcW w:w="1857" w:type="dxa"/>
            <w:vAlign w:val="center"/>
          </w:tcPr>
          <w:p>
            <w:pPr>
              <w:jc w:val="center"/>
              <w:rPr>
                <w:b/>
                <w:color w:val="auto"/>
                <w:sz w:val="21"/>
                <w:szCs w:val="21"/>
              </w:rPr>
            </w:pPr>
            <w:r>
              <w:rPr>
                <w:rFonts w:eastAsia="黑体"/>
                <w:b/>
                <w:color w:val="auto"/>
                <w:kern w:val="0"/>
                <w:sz w:val="21"/>
                <w:szCs w:val="21"/>
              </w:rPr>
              <w:t>统计区域</w:t>
            </w:r>
          </w:p>
        </w:tc>
        <w:tc>
          <w:tcPr>
            <w:tcW w:w="1857" w:type="dxa"/>
            <w:vAlign w:val="center"/>
          </w:tcPr>
          <w:p>
            <w:pPr>
              <w:jc w:val="center"/>
              <w:rPr>
                <w:rFonts w:eastAsia="黑体"/>
                <w:b/>
                <w:color w:val="auto"/>
                <w:kern w:val="0"/>
                <w:sz w:val="21"/>
                <w:szCs w:val="21"/>
              </w:rPr>
            </w:pPr>
            <w:r>
              <w:rPr>
                <w:rFonts w:eastAsia="黑体"/>
                <w:b/>
                <w:color w:val="auto"/>
                <w:kern w:val="0"/>
                <w:sz w:val="21"/>
                <w:szCs w:val="21"/>
              </w:rPr>
              <w:t>常住人口</w:t>
            </w:r>
          </w:p>
          <w:p>
            <w:pPr>
              <w:jc w:val="center"/>
              <w:rPr>
                <w:b/>
                <w:color w:val="auto"/>
                <w:sz w:val="21"/>
                <w:szCs w:val="21"/>
              </w:rPr>
            </w:pPr>
            <w:r>
              <w:rPr>
                <w:rFonts w:eastAsia="黑体"/>
                <w:b/>
                <w:color w:val="auto"/>
                <w:kern w:val="0"/>
                <w:sz w:val="21"/>
                <w:szCs w:val="21"/>
              </w:rPr>
              <w:t>（万人）</w:t>
            </w:r>
          </w:p>
        </w:tc>
        <w:tc>
          <w:tcPr>
            <w:tcW w:w="1857" w:type="dxa"/>
            <w:vAlign w:val="center"/>
          </w:tcPr>
          <w:p>
            <w:pPr>
              <w:jc w:val="center"/>
              <w:rPr>
                <w:rFonts w:eastAsia="黑体"/>
                <w:b/>
                <w:color w:val="auto"/>
                <w:kern w:val="0"/>
                <w:sz w:val="21"/>
                <w:szCs w:val="21"/>
              </w:rPr>
            </w:pPr>
            <w:r>
              <w:rPr>
                <w:rFonts w:eastAsia="黑体"/>
                <w:b/>
                <w:color w:val="auto"/>
                <w:kern w:val="0"/>
                <w:sz w:val="21"/>
                <w:szCs w:val="21"/>
              </w:rPr>
              <w:t>餐厨垃圾产生量</w:t>
            </w:r>
          </w:p>
          <w:p>
            <w:pPr>
              <w:jc w:val="center"/>
              <w:rPr>
                <w:b/>
                <w:color w:val="auto"/>
                <w:sz w:val="21"/>
                <w:szCs w:val="21"/>
              </w:rPr>
            </w:pPr>
            <w:r>
              <w:rPr>
                <w:rFonts w:eastAsia="黑体"/>
                <w:b/>
                <w:color w:val="auto"/>
                <w:kern w:val="0"/>
                <w:sz w:val="21"/>
                <w:szCs w:val="21"/>
              </w:rPr>
              <w:t>（t/d）</w:t>
            </w:r>
          </w:p>
        </w:tc>
        <w:tc>
          <w:tcPr>
            <w:tcW w:w="1858" w:type="dxa"/>
            <w:vAlign w:val="center"/>
          </w:tcPr>
          <w:p>
            <w:pPr>
              <w:jc w:val="center"/>
              <w:rPr>
                <w:rFonts w:eastAsia="黑体"/>
                <w:b/>
                <w:color w:val="auto"/>
                <w:kern w:val="0"/>
                <w:sz w:val="21"/>
                <w:szCs w:val="21"/>
              </w:rPr>
            </w:pPr>
            <w:r>
              <w:rPr>
                <w:rFonts w:eastAsia="黑体"/>
                <w:b/>
                <w:color w:val="auto"/>
                <w:kern w:val="0"/>
                <w:sz w:val="21"/>
                <w:szCs w:val="21"/>
              </w:rPr>
              <w:t>餐厨垃圾日产量</w:t>
            </w:r>
          </w:p>
          <w:p>
            <w:pPr>
              <w:jc w:val="center"/>
              <w:rPr>
                <w:b/>
                <w:color w:val="auto"/>
                <w:sz w:val="21"/>
                <w:szCs w:val="21"/>
              </w:rPr>
            </w:pPr>
            <w:r>
              <w:rPr>
                <w:rFonts w:eastAsia="黑体"/>
                <w:b/>
                <w:color w:val="auto"/>
                <w:kern w:val="0"/>
                <w:sz w:val="21"/>
                <w:szCs w:val="21"/>
              </w:rPr>
              <w:t>（kg/人）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57" w:type="dxa"/>
            <w:vAlign w:val="center"/>
          </w:tcPr>
          <w:p>
            <w:pPr>
              <w:jc w:val="center"/>
              <w:rPr>
                <w:color w:val="auto"/>
                <w:sz w:val="21"/>
                <w:szCs w:val="21"/>
              </w:rPr>
            </w:pPr>
            <w:r>
              <w:rPr>
                <w:color w:val="auto"/>
                <w:sz w:val="21"/>
                <w:szCs w:val="21"/>
              </w:rPr>
              <w:t>北京</w:t>
            </w:r>
          </w:p>
        </w:tc>
        <w:tc>
          <w:tcPr>
            <w:tcW w:w="1857" w:type="dxa"/>
            <w:vAlign w:val="center"/>
          </w:tcPr>
          <w:p>
            <w:pPr>
              <w:jc w:val="center"/>
              <w:rPr>
                <w:color w:val="auto"/>
                <w:sz w:val="21"/>
                <w:szCs w:val="21"/>
              </w:rPr>
            </w:pPr>
            <w:r>
              <w:rPr>
                <w:color w:val="auto"/>
                <w:sz w:val="21"/>
                <w:szCs w:val="21"/>
              </w:rPr>
              <w:t>市内八区</w:t>
            </w:r>
          </w:p>
        </w:tc>
        <w:tc>
          <w:tcPr>
            <w:tcW w:w="1857" w:type="dxa"/>
            <w:vAlign w:val="center"/>
          </w:tcPr>
          <w:p>
            <w:pPr>
              <w:jc w:val="center"/>
              <w:rPr>
                <w:color w:val="auto"/>
                <w:sz w:val="21"/>
                <w:szCs w:val="21"/>
              </w:rPr>
            </w:pPr>
            <w:r>
              <w:rPr>
                <w:color w:val="auto"/>
                <w:sz w:val="21"/>
                <w:szCs w:val="21"/>
              </w:rPr>
              <w:t>1356.9</w:t>
            </w:r>
          </w:p>
        </w:tc>
        <w:tc>
          <w:tcPr>
            <w:tcW w:w="1857" w:type="dxa"/>
            <w:vAlign w:val="center"/>
          </w:tcPr>
          <w:p>
            <w:pPr>
              <w:jc w:val="center"/>
              <w:rPr>
                <w:color w:val="auto"/>
                <w:sz w:val="21"/>
                <w:szCs w:val="21"/>
              </w:rPr>
            </w:pPr>
            <w:r>
              <w:rPr>
                <w:color w:val="auto"/>
                <w:sz w:val="21"/>
                <w:szCs w:val="21"/>
              </w:rPr>
              <w:t>1200</w:t>
            </w:r>
          </w:p>
        </w:tc>
        <w:tc>
          <w:tcPr>
            <w:tcW w:w="1858" w:type="dxa"/>
            <w:vAlign w:val="center"/>
          </w:tcPr>
          <w:p>
            <w:pPr>
              <w:jc w:val="center"/>
              <w:rPr>
                <w:color w:val="auto"/>
                <w:sz w:val="21"/>
                <w:szCs w:val="21"/>
              </w:rPr>
            </w:pPr>
            <w:r>
              <w:rPr>
                <w:color w:val="auto"/>
                <w:sz w:val="21"/>
                <w:szCs w:val="21"/>
              </w:rPr>
              <w:t>0.088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57" w:type="dxa"/>
            <w:vAlign w:val="center"/>
          </w:tcPr>
          <w:p>
            <w:pPr>
              <w:jc w:val="center"/>
              <w:rPr>
                <w:color w:val="auto"/>
                <w:sz w:val="21"/>
                <w:szCs w:val="21"/>
              </w:rPr>
            </w:pPr>
            <w:r>
              <w:rPr>
                <w:color w:val="auto"/>
                <w:sz w:val="21"/>
                <w:szCs w:val="21"/>
              </w:rPr>
              <w:t>天津</w:t>
            </w:r>
          </w:p>
        </w:tc>
        <w:tc>
          <w:tcPr>
            <w:tcW w:w="1857" w:type="dxa"/>
            <w:vAlign w:val="center"/>
          </w:tcPr>
          <w:p>
            <w:pPr>
              <w:jc w:val="center"/>
              <w:rPr>
                <w:color w:val="auto"/>
                <w:sz w:val="21"/>
                <w:szCs w:val="21"/>
              </w:rPr>
            </w:pPr>
            <w:r>
              <w:rPr>
                <w:color w:val="auto"/>
                <w:sz w:val="21"/>
                <w:szCs w:val="21"/>
              </w:rPr>
              <w:t>市内六区</w:t>
            </w:r>
          </w:p>
        </w:tc>
        <w:tc>
          <w:tcPr>
            <w:tcW w:w="1857" w:type="dxa"/>
            <w:vAlign w:val="center"/>
          </w:tcPr>
          <w:p>
            <w:pPr>
              <w:jc w:val="center"/>
              <w:rPr>
                <w:color w:val="auto"/>
                <w:sz w:val="21"/>
                <w:szCs w:val="21"/>
              </w:rPr>
            </w:pPr>
            <w:r>
              <w:rPr>
                <w:color w:val="auto"/>
                <w:sz w:val="21"/>
                <w:szCs w:val="21"/>
              </w:rPr>
              <w:t>386.0</w:t>
            </w:r>
          </w:p>
        </w:tc>
        <w:tc>
          <w:tcPr>
            <w:tcW w:w="1857" w:type="dxa"/>
            <w:vAlign w:val="center"/>
          </w:tcPr>
          <w:p>
            <w:pPr>
              <w:jc w:val="center"/>
              <w:rPr>
                <w:color w:val="auto"/>
                <w:sz w:val="21"/>
                <w:szCs w:val="21"/>
              </w:rPr>
            </w:pPr>
            <w:r>
              <w:rPr>
                <w:color w:val="auto"/>
                <w:sz w:val="21"/>
                <w:szCs w:val="21"/>
              </w:rPr>
              <w:t>558</w:t>
            </w:r>
          </w:p>
        </w:tc>
        <w:tc>
          <w:tcPr>
            <w:tcW w:w="1858" w:type="dxa"/>
            <w:vAlign w:val="center"/>
          </w:tcPr>
          <w:p>
            <w:pPr>
              <w:jc w:val="center"/>
              <w:rPr>
                <w:color w:val="auto"/>
                <w:sz w:val="21"/>
                <w:szCs w:val="21"/>
              </w:rPr>
            </w:pPr>
            <w:r>
              <w:rPr>
                <w:color w:val="auto"/>
                <w:sz w:val="21"/>
                <w:szCs w:val="21"/>
              </w:rPr>
              <w:t>0.145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57" w:type="dxa"/>
            <w:vAlign w:val="center"/>
          </w:tcPr>
          <w:p>
            <w:pPr>
              <w:jc w:val="center"/>
              <w:rPr>
                <w:color w:val="auto"/>
                <w:sz w:val="21"/>
                <w:szCs w:val="21"/>
              </w:rPr>
            </w:pPr>
            <w:r>
              <w:rPr>
                <w:color w:val="auto"/>
                <w:sz w:val="21"/>
                <w:szCs w:val="21"/>
              </w:rPr>
              <w:t>沈阳</w:t>
            </w:r>
          </w:p>
        </w:tc>
        <w:tc>
          <w:tcPr>
            <w:tcW w:w="1857" w:type="dxa"/>
            <w:vAlign w:val="center"/>
          </w:tcPr>
          <w:p>
            <w:pPr>
              <w:jc w:val="center"/>
              <w:rPr>
                <w:color w:val="auto"/>
                <w:sz w:val="21"/>
                <w:szCs w:val="21"/>
              </w:rPr>
            </w:pPr>
            <w:r>
              <w:rPr>
                <w:color w:val="auto"/>
                <w:sz w:val="21"/>
                <w:szCs w:val="21"/>
              </w:rPr>
              <w:t>市内五区</w:t>
            </w:r>
          </w:p>
        </w:tc>
        <w:tc>
          <w:tcPr>
            <w:tcW w:w="1857" w:type="dxa"/>
            <w:vAlign w:val="center"/>
          </w:tcPr>
          <w:p>
            <w:pPr>
              <w:jc w:val="center"/>
              <w:rPr>
                <w:color w:val="auto"/>
                <w:sz w:val="21"/>
                <w:szCs w:val="21"/>
              </w:rPr>
            </w:pPr>
            <w:r>
              <w:rPr>
                <w:color w:val="auto"/>
                <w:sz w:val="21"/>
                <w:szCs w:val="21"/>
              </w:rPr>
              <w:t>396.0</w:t>
            </w:r>
          </w:p>
        </w:tc>
        <w:tc>
          <w:tcPr>
            <w:tcW w:w="1857" w:type="dxa"/>
            <w:vAlign w:val="center"/>
          </w:tcPr>
          <w:p>
            <w:pPr>
              <w:jc w:val="center"/>
              <w:rPr>
                <w:color w:val="auto"/>
                <w:sz w:val="21"/>
                <w:szCs w:val="21"/>
              </w:rPr>
            </w:pPr>
            <w:r>
              <w:rPr>
                <w:color w:val="auto"/>
                <w:sz w:val="21"/>
                <w:szCs w:val="21"/>
              </w:rPr>
              <w:t>469</w:t>
            </w:r>
          </w:p>
        </w:tc>
        <w:tc>
          <w:tcPr>
            <w:tcW w:w="1858" w:type="dxa"/>
            <w:vAlign w:val="center"/>
          </w:tcPr>
          <w:p>
            <w:pPr>
              <w:jc w:val="center"/>
              <w:rPr>
                <w:color w:val="auto"/>
                <w:sz w:val="21"/>
                <w:szCs w:val="21"/>
              </w:rPr>
            </w:pPr>
            <w:r>
              <w:rPr>
                <w:color w:val="auto"/>
                <w:sz w:val="21"/>
                <w:szCs w:val="21"/>
              </w:rPr>
              <w:t>0.118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57" w:type="dxa"/>
            <w:vAlign w:val="center"/>
          </w:tcPr>
          <w:p>
            <w:pPr>
              <w:jc w:val="center"/>
              <w:rPr>
                <w:color w:val="auto"/>
                <w:sz w:val="21"/>
                <w:szCs w:val="21"/>
              </w:rPr>
            </w:pPr>
            <w:r>
              <w:rPr>
                <w:color w:val="auto"/>
                <w:sz w:val="21"/>
                <w:szCs w:val="21"/>
              </w:rPr>
              <w:t>宁波</w:t>
            </w:r>
          </w:p>
        </w:tc>
        <w:tc>
          <w:tcPr>
            <w:tcW w:w="1857" w:type="dxa"/>
            <w:vAlign w:val="center"/>
          </w:tcPr>
          <w:p>
            <w:pPr>
              <w:jc w:val="center"/>
              <w:rPr>
                <w:color w:val="auto"/>
                <w:sz w:val="21"/>
                <w:szCs w:val="21"/>
              </w:rPr>
            </w:pPr>
            <w:r>
              <w:rPr>
                <w:color w:val="auto"/>
                <w:sz w:val="21"/>
                <w:szCs w:val="21"/>
              </w:rPr>
              <w:t>宁波市区</w:t>
            </w:r>
          </w:p>
        </w:tc>
        <w:tc>
          <w:tcPr>
            <w:tcW w:w="1857" w:type="dxa"/>
            <w:vAlign w:val="center"/>
          </w:tcPr>
          <w:p>
            <w:pPr>
              <w:jc w:val="center"/>
              <w:rPr>
                <w:color w:val="auto"/>
                <w:sz w:val="21"/>
                <w:szCs w:val="21"/>
              </w:rPr>
            </w:pPr>
            <w:r>
              <w:rPr>
                <w:color w:val="auto"/>
                <w:sz w:val="21"/>
                <w:szCs w:val="21"/>
              </w:rPr>
              <w:t>220.0</w:t>
            </w:r>
          </w:p>
        </w:tc>
        <w:tc>
          <w:tcPr>
            <w:tcW w:w="1857" w:type="dxa"/>
            <w:vAlign w:val="center"/>
          </w:tcPr>
          <w:p>
            <w:pPr>
              <w:jc w:val="center"/>
              <w:rPr>
                <w:color w:val="auto"/>
                <w:sz w:val="21"/>
                <w:szCs w:val="21"/>
              </w:rPr>
            </w:pPr>
            <w:r>
              <w:rPr>
                <w:color w:val="auto"/>
                <w:sz w:val="21"/>
                <w:szCs w:val="21"/>
              </w:rPr>
              <w:t>300</w:t>
            </w:r>
          </w:p>
        </w:tc>
        <w:tc>
          <w:tcPr>
            <w:tcW w:w="1858" w:type="dxa"/>
            <w:vAlign w:val="center"/>
          </w:tcPr>
          <w:p>
            <w:pPr>
              <w:jc w:val="center"/>
              <w:rPr>
                <w:color w:val="auto"/>
                <w:sz w:val="21"/>
                <w:szCs w:val="21"/>
              </w:rPr>
            </w:pPr>
            <w:r>
              <w:rPr>
                <w:color w:val="auto"/>
                <w:sz w:val="21"/>
                <w:szCs w:val="21"/>
              </w:rPr>
              <w:t>0.136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57" w:type="dxa"/>
            <w:vAlign w:val="center"/>
          </w:tcPr>
          <w:p>
            <w:pPr>
              <w:jc w:val="center"/>
              <w:rPr>
                <w:color w:val="auto"/>
                <w:sz w:val="21"/>
                <w:szCs w:val="21"/>
              </w:rPr>
            </w:pPr>
            <w:r>
              <w:rPr>
                <w:color w:val="auto"/>
                <w:sz w:val="21"/>
                <w:szCs w:val="21"/>
              </w:rPr>
              <w:t>上海</w:t>
            </w:r>
          </w:p>
        </w:tc>
        <w:tc>
          <w:tcPr>
            <w:tcW w:w="1857" w:type="dxa"/>
            <w:vAlign w:val="center"/>
          </w:tcPr>
          <w:p>
            <w:pPr>
              <w:jc w:val="center"/>
              <w:rPr>
                <w:color w:val="auto"/>
                <w:sz w:val="21"/>
                <w:szCs w:val="21"/>
              </w:rPr>
            </w:pPr>
            <w:r>
              <w:rPr>
                <w:color w:val="auto"/>
                <w:sz w:val="21"/>
                <w:szCs w:val="21"/>
              </w:rPr>
              <w:t>上海市区</w:t>
            </w:r>
          </w:p>
        </w:tc>
        <w:tc>
          <w:tcPr>
            <w:tcW w:w="1857" w:type="dxa"/>
            <w:vAlign w:val="center"/>
          </w:tcPr>
          <w:p>
            <w:pPr>
              <w:jc w:val="center"/>
              <w:rPr>
                <w:color w:val="auto"/>
                <w:sz w:val="21"/>
                <w:szCs w:val="21"/>
              </w:rPr>
            </w:pPr>
            <w:r>
              <w:rPr>
                <w:color w:val="auto"/>
                <w:sz w:val="21"/>
                <w:szCs w:val="21"/>
              </w:rPr>
              <w:t>1200.0</w:t>
            </w:r>
          </w:p>
        </w:tc>
        <w:tc>
          <w:tcPr>
            <w:tcW w:w="1857" w:type="dxa"/>
            <w:vAlign w:val="center"/>
          </w:tcPr>
          <w:p>
            <w:pPr>
              <w:jc w:val="center"/>
              <w:rPr>
                <w:color w:val="auto"/>
                <w:sz w:val="21"/>
                <w:szCs w:val="21"/>
              </w:rPr>
            </w:pPr>
            <w:r>
              <w:rPr>
                <w:color w:val="auto"/>
                <w:sz w:val="21"/>
                <w:szCs w:val="21"/>
              </w:rPr>
              <w:t>1100</w:t>
            </w:r>
          </w:p>
        </w:tc>
        <w:tc>
          <w:tcPr>
            <w:tcW w:w="1858" w:type="dxa"/>
            <w:vAlign w:val="center"/>
          </w:tcPr>
          <w:p>
            <w:pPr>
              <w:jc w:val="center"/>
              <w:rPr>
                <w:color w:val="auto"/>
                <w:sz w:val="21"/>
                <w:szCs w:val="21"/>
              </w:rPr>
            </w:pPr>
            <w:r>
              <w:rPr>
                <w:color w:val="auto"/>
                <w:sz w:val="21"/>
                <w:szCs w:val="21"/>
              </w:rPr>
              <w:t>0.092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57" w:type="dxa"/>
            <w:vAlign w:val="center"/>
          </w:tcPr>
          <w:p>
            <w:pPr>
              <w:jc w:val="center"/>
              <w:rPr>
                <w:color w:val="auto"/>
                <w:sz w:val="21"/>
                <w:szCs w:val="21"/>
              </w:rPr>
            </w:pPr>
            <w:r>
              <w:rPr>
                <w:color w:val="auto"/>
                <w:sz w:val="21"/>
                <w:szCs w:val="21"/>
              </w:rPr>
              <w:t>太原</w:t>
            </w:r>
          </w:p>
        </w:tc>
        <w:tc>
          <w:tcPr>
            <w:tcW w:w="1857" w:type="dxa"/>
            <w:vAlign w:val="center"/>
          </w:tcPr>
          <w:p>
            <w:pPr>
              <w:jc w:val="center"/>
              <w:rPr>
                <w:color w:val="auto"/>
                <w:sz w:val="21"/>
                <w:szCs w:val="21"/>
              </w:rPr>
            </w:pPr>
            <w:r>
              <w:rPr>
                <w:color w:val="auto"/>
                <w:sz w:val="21"/>
                <w:szCs w:val="21"/>
              </w:rPr>
              <w:t>太原市区</w:t>
            </w:r>
          </w:p>
        </w:tc>
        <w:tc>
          <w:tcPr>
            <w:tcW w:w="1857" w:type="dxa"/>
            <w:vAlign w:val="center"/>
          </w:tcPr>
          <w:p>
            <w:pPr>
              <w:jc w:val="center"/>
              <w:rPr>
                <w:color w:val="auto"/>
                <w:sz w:val="21"/>
                <w:szCs w:val="21"/>
              </w:rPr>
            </w:pPr>
            <w:r>
              <w:rPr>
                <w:color w:val="auto"/>
                <w:sz w:val="21"/>
                <w:szCs w:val="21"/>
              </w:rPr>
              <w:t>352</w:t>
            </w:r>
          </w:p>
        </w:tc>
        <w:tc>
          <w:tcPr>
            <w:tcW w:w="1857" w:type="dxa"/>
            <w:vAlign w:val="center"/>
          </w:tcPr>
          <w:p>
            <w:pPr>
              <w:jc w:val="center"/>
              <w:rPr>
                <w:color w:val="auto"/>
                <w:sz w:val="21"/>
                <w:szCs w:val="21"/>
              </w:rPr>
            </w:pPr>
            <w:r>
              <w:rPr>
                <w:color w:val="auto"/>
                <w:sz w:val="21"/>
                <w:szCs w:val="21"/>
              </w:rPr>
              <w:t>450</w:t>
            </w:r>
          </w:p>
        </w:tc>
        <w:tc>
          <w:tcPr>
            <w:tcW w:w="1858" w:type="dxa"/>
            <w:vAlign w:val="center"/>
          </w:tcPr>
          <w:p>
            <w:pPr>
              <w:jc w:val="center"/>
              <w:rPr>
                <w:color w:val="auto"/>
                <w:sz w:val="21"/>
                <w:szCs w:val="21"/>
              </w:rPr>
            </w:pPr>
            <w:r>
              <w:rPr>
                <w:color w:val="auto"/>
                <w:sz w:val="21"/>
                <w:szCs w:val="21"/>
              </w:rPr>
              <w:t>0.128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57" w:type="dxa"/>
            <w:vAlign w:val="center"/>
          </w:tcPr>
          <w:p>
            <w:pPr>
              <w:jc w:val="center"/>
              <w:rPr>
                <w:color w:val="auto"/>
                <w:sz w:val="21"/>
                <w:szCs w:val="21"/>
              </w:rPr>
            </w:pPr>
            <w:r>
              <w:rPr>
                <w:color w:val="auto"/>
                <w:sz w:val="21"/>
                <w:szCs w:val="21"/>
              </w:rPr>
              <w:t>广州</w:t>
            </w:r>
          </w:p>
        </w:tc>
        <w:tc>
          <w:tcPr>
            <w:tcW w:w="1857" w:type="dxa"/>
            <w:vAlign w:val="center"/>
          </w:tcPr>
          <w:p>
            <w:pPr>
              <w:jc w:val="center"/>
              <w:rPr>
                <w:color w:val="auto"/>
                <w:sz w:val="21"/>
                <w:szCs w:val="21"/>
              </w:rPr>
            </w:pPr>
            <w:r>
              <w:rPr>
                <w:color w:val="auto"/>
                <w:sz w:val="21"/>
                <w:szCs w:val="21"/>
              </w:rPr>
              <w:t>市辖10区</w:t>
            </w:r>
          </w:p>
        </w:tc>
        <w:tc>
          <w:tcPr>
            <w:tcW w:w="1857" w:type="dxa"/>
            <w:vAlign w:val="center"/>
          </w:tcPr>
          <w:p>
            <w:pPr>
              <w:jc w:val="center"/>
              <w:rPr>
                <w:color w:val="auto"/>
                <w:sz w:val="21"/>
                <w:szCs w:val="21"/>
              </w:rPr>
            </w:pPr>
            <w:r>
              <w:rPr>
                <w:color w:val="auto"/>
                <w:sz w:val="21"/>
                <w:szCs w:val="21"/>
              </w:rPr>
              <w:t>600</w:t>
            </w:r>
          </w:p>
        </w:tc>
        <w:tc>
          <w:tcPr>
            <w:tcW w:w="1857" w:type="dxa"/>
            <w:vAlign w:val="center"/>
          </w:tcPr>
          <w:p>
            <w:pPr>
              <w:jc w:val="center"/>
              <w:rPr>
                <w:color w:val="auto"/>
                <w:sz w:val="21"/>
                <w:szCs w:val="21"/>
              </w:rPr>
            </w:pPr>
            <w:r>
              <w:rPr>
                <w:color w:val="auto"/>
                <w:sz w:val="21"/>
                <w:szCs w:val="21"/>
              </w:rPr>
              <w:t>900</w:t>
            </w:r>
          </w:p>
        </w:tc>
        <w:tc>
          <w:tcPr>
            <w:tcW w:w="1858" w:type="dxa"/>
            <w:vAlign w:val="center"/>
          </w:tcPr>
          <w:p>
            <w:pPr>
              <w:jc w:val="center"/>
              <w:rPr>
                <w:color w:val="auto"/>
                <w:sz w:val="21"/>
                <w:szCs w:val="21"/>
              </w:rPr>
            </w:pPr>
            <w:r>
              <w:rPr>
                <w:color w:val="auto"/>
                <w:sz w:val="21"/>
                <w:szCs w:val="21"/>
              </w:rPr>
              <w:t>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57" w:type="dxa"/>
            <w:vAlign w:val="center"/>
          </w:tcPr>
          <w:p>
            <w:pPr>
              <w:jc w:val="center"/>
              <w:rPr>
                <w:color w:val="auto"/>
                <w:sz w:val="21"/>
                <w:szCs w:val="21"/>
              </w:rPr>
            </w:pPr>
            <w:r>
              <w:rPr>
                <w:color w:val="auto"/>
                <w:sz w:val="21"/>
                <w:szCs w:val="21"/>
              </w:rPr>
              <w:t>兰州</w:t>
            </w:r>
          </w:p>
        </w:tc>
        <w:tc>
          <w:tcPr>
            <w:tcW w:w="1857" w:type="dxa"/>
            <w:vAlign w:val="center"/>
          </w:tcPr>
          <w:p>
            <w:pPr>
              <w:jc w:val="center"/>
              <w:rPr>
                <w:color w:val="auto"/>
                <w:sz w:val="21"/>
                <w:szCs w:val="21"/>
              </w:rPr>
            </w:pPr>
            <w:r>
              <w:rPr>
                <w:color w:val="auto"/>
                <w:sz w:val="21"/>
                <w:szCs w:val="21"/>
              </w:rPr>
              <w:t>主城区</w:t>
            </w:r>
          </w:p>
        </w:tc>
        <w:tc>
          <w:tcPr>
            <w:tcW w:w="1857" w:type="dxa"/>
            <w:vAlign w:val="center"/>
          </w:tcPr>
          <w:p>
            <w:pPr>
              <w:jc w:val="center"/>
              <w:rPr>
                <w:color w:val="auto"/>
                <w:sz w:val="21"/>
                <w:szCs w:val="21"/>
              </w:rPr>
            </w:pPr>
            <w:r>
              <w:rPr>
                <w:color w:val="auto"/>
                <w:sz w:val="21"/>
                <w:szCs w:val="21"/>
              </w:rPr>
              <w:t>220</w:t>
            </w:r>
          </w:p>
        </w:tc>
        <w:tc>
          <w:tcPr>
            <w:tcW w:w="1857" w:type="dxa"/>
            <w:vAlign w:val="center"/>
          </w:tcPr>
          <w:p>
            <w:pPr>
              <w:jc w:val="center"/>
              <w:rPr>
                <w:color w:val="auto"/>
                <w:sz w:val="21"/>
                <w:szCs w:val="21"/>
              </w:rPr>
            </w:pPr>
            <w:r>
              <w:rPr>
                <w:color w:val="auto"/>
                <w:sz w:val="21"/>
                <w:szCs w:val="21"/>
              </w:rPr>
              <w:t>192</w:t>
            </w:r>
          </w:p>
        </w:tc>
        <w:tc>
          <w:tcPr>
            <w:tcW w:w="1858" w:type="dxa"/>
            <w:vAlign w:val="center"/>
          </w:tcPr>
          <w:p>
            <w:pPr>
              <w:jc w:val="center"/>
              <w:rPr>
                <w:color w:val="auto"/>
                <w:sz w:val="21"/>
                <w:szCs w:val="21"/>
              </w:rPr>
            </w:pPr>
            <w:r>
              <w:rPr>
                <w:color w:val="auto"/>
                <w:sz w:val="21"/>
                <w:szCs w:val="21"/>
              </w:rPr>
              <w:t>0.087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57" w:type="dxa"/>
            <w:vAlign w:val="center"/>
          </w:tcPr>
          <w:p>
            <w:pPr>
              <w:jc w:val="center"/>
              <w:rPr>
                <w:color w:val="auto"/>
                <w:sz w:val="21"/>
                <w:szCs w:val="21"/>
              </w:rPr>
            </w:pPr>
            <w:r>
              <w:rPr>
                <w:color w:val="auto"/>
                <w:sz w:val="21"/>
                <w:szCs w:val="21"/>
              </w:rPr>
              <w:t>武汉</w:t>
            </w:r>
          </w:p>
        </w:tc>
        <w:tc>
          <w:tcPr>
            <w:tcW w:w="1857" w:type="dxa"/>
            <w:vAlign w:val="center"/>
          </w:tcPr>
          <w:p>
            <w:pPr>
              <w:jc w:val="center"/>
              <w:rPr>
                <w:color w:val="auto"/>
                <w:sz w:val="21"/>
                <w:szCs w:val="21"/>
              </w:rPr>
            </w:pPr>
            <w:r>
              <w:rPr>
                <w:color w:val="auto"/>
                <w:sz w:val="21"/>
                <w:szCs w:val="21"/>
              </w:rPr>
              <w:t>主城区</w:t>
            </w:r>
          </w:p>
        </w:tc>
        <w:tc>
          <w:tcPr>
            <w:tcW w:w="1857" w:type="dxa"/>
            <w:vAlign w:val="center"/>
          </w:tcPr>
          <w:p>
            <w:pPr>
              <w:jc w:val="center"/>
              <w:rPr>
                <w:color w:val="auto"/>
                <w:sz w:val="21"/>
                <w:szCs w:val="21"/>
              </w:rPr>
            </w:pPr>
            <w:r>
              <w:rPr>
                <w:color w:val="auto"/>
                <w:sz w:val="21"/>
                <w:szCs w:val="21"/>
              </w:rPr>
              <w:t>587</w:t>
            </w:r>
          </w:p>
        </w:tc>
        <w:tc>
          <w:tcPr>
            <w:tcW w:w="1857" w:type="dxa"/>
            <w:vAlign w:val="center"/>
          </w:tcPr>
          <w:p>
            <w:pPr>
              <w:jc w:val="center"/>
              <w:rPr>
                <w:color w:val="auto"/>
                <w:sz w:val="21"/>
                <w:szCs w:val="21"/>
              </w:rPr>
            </w:pPr>
            <w:r>
              <w:rPr>
                <w:color w:val="auto"/>
                <w:sz w:val="21"/>
                <w:szCs w:val="21"/>
              </w:rPr>
              <w:t>550</w:t>
            </w:r>
          </w:p>
        </w:tc>
        <w:tc>
          <w:tcPr>
            <w:tcW w:w="1858" w:type="dxa"/>
            <w:vAlign w:val="center"/>
          </w:tcPr>
          <w:p>
            <w:pPr>
              <w:jc w:val="center"/>
              <w:rPr>
                <w:color w:val="auto"/>
                <w:sz w:val="21"/>
                <w:szCs w:val="21"/>
              </w:rPr>
            </w:pPr>
            <w:r>
              <w:rPr>
                <w:color w:val="auto"/>
                <w:sz w:val="21"/>
                <w:szCs w:val="21"/>
              </w:rPr>
              <w:t>0.094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57" w:type="dxa"/>
            <w:vAlign w:val="center"/>
          </w:tcPr>
          <w:p>
            <w:pPr>
              <w:jc w:val="center"/>
              <w:rPr>
                <w:color w:val="auto"/>
                <w:sz w:val="21"/>
                <w:szCs w:val="21"/>
              </w:rPr>
            </w:pPr>
            <w:r>
              <w:rPr>
                <w:color w:val="auto"/>
                <w:sz w:val="21"/>
                <w:szCs w:val="21"/>
              </w:rPr>
              <w:t>银川</w:t>
            </w:r>
          </w:p>
        </w:tc>
        <w:tc>
          <w:tcPr>
            <w:tcW w:w="1857" w:type="dxa"/>
            <w:vAlign w:val="center"/>
          </w:tcPr>
          <w:p>
            <w:pPr>
              <w:jc w:val="center"/>
              <w:rPr>
                <w:color w:val="auto"/>
                <w:sz w:val="21"/>
                <w:szCs w:val="21"/>
              </w:rPr>
            </w:pPr>
            <w:r>
              <w:rPr>
                <w:color w:val="auto"/>
                <w:sz w:val="21"/>
                <w:szCs w:val="21"/>
              </w:rPr>
              <w:t>主城区</w:t>
            </w:r>
          </w:p>
        </w:tc>
        <w:tc>
          <w:tcPr>
            <w:tcW w:w="1857" w:type="dxa"/>
            <w:vAlign w:val="center"/>
          </w:tcPr>
          <w:p>
            <w:pPr>
              <w:jc w:val="center"/>
              <w:rPr>
                <w:color w:val="auto"/>
                <w:sz w:val="21"/>
                <w:szCs w:val="21"/>
              </w:rPr>
            </w:pPr>
            <w:r>
              <w:rPr>
                <w:color w:val="auto"/>
                <w:sz w:val="21"/>
                <w:szCs w:val="21"/>
              </w:rPr>
              <w:t>80</w:t>
            </w:r>
          </w:p>
        </w:tc>
        <w:tc>
          <w:tcPr>
            <w:tcW w:w="1857" w:type="dxa"/>
            <w:vAlign w:val="center"/>
          </w:tcPr>
          <w:p>
            <w:pPr>
              <w:jc w:val="center"/>
              <w:rPr>
                <w:color w:val="auto"/>
                <w:sz w:val="21"/>
                <w:szCs w:val="21"/>
              </w:rPr>
            </w:pPr>
            <w:r>
              <w:rPr>
                <w:color w:val="auto"/>
                <w:sz w:val="21"/>
                <w:szCs w:val="21"/>
              </w:rPr>
              <w:t>82</w:t>
            </w:r>
          </w:p>
        </w:tc>
        <w:tc>
          <w:tcPr>
            <w:tcW w:w="1858" w:type="dxa"/>
            <w:vAlign w:val="center"/>
          </w:tcPr>
          <w:p>
            <w:pPr>
              <w:jc w:val="center"/>
              <w:rPr>
                <w:color w:val="auto"/>
                <w:sz w:val="21"/>
                <w:szCs w:val="21"/>
              </w:rPr>
            </w:pPr>
            <w:r>
              <w:rPr>
                <w:color w:val="auto"/>
                <w:sz w:val="21"/>
                <w:szCs w:val="21"/>
              </w:rPr>
              <w:t>0.103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57" w:type="dxa"/>
            <w:vAlign w:val="center"/>
          </w:tcPr>
          <w:p>
            <w:pPr>
              <w:jc w:val="center"/>
              <w:rPr>
                <w:color w:val="auto"/>
                <w:sz w:val="21"/>
                <w:szCs w:val="21"/>
              </w:rPr>
            </w:pPr>
            <w:r>
              <w:rPr>
                <w:color w:val="auto"/>
                <w:sz w:val="21"/>
                <w:szCs w:val="21"/>
              </w:rPr>
              <w:t>济南</w:t>
            </w:r>
          </w:p>
        </w:tc>
        <w:tc>
          <w:tcPr>
            <w:tcW w:w="1857" w:type="dxa"/>
            <w:vAlign w:val="center"/>
          </w:tcPr>
          <w:p>
            <w:pPr>
              <w:jc w:val="center"/>
              <w:rPr>
                <w:color w:val="auto"/>
                <w:sz w:val="21"/>
                <w:szCs w:val="21"/>
              </w:rPr>
            </w:pPr>
            <w:r>
              <w:rPr>
                <w:color w:val="auto"/>
                <w:sz w:val="21"/>
                <w:szCs w:val="21"/>
              </w:rPr>
              <w:t>主城区</w:t>
            </w:r>
          </w:p>
        </w:tc>
        <w:tc>
          <w:tcPr>
            <w:tcW w:w="1857" w:type="dxa"/>
            <w:vAlign w:val="center"/>
          </w:tcPr>
          <w:p>
            <w:pPr>
              <w:jc w:val="center"/>
              <w:rPr>
                <w:color w:val="auto"/>
                <w:sz w:val="21"/>
                <w:szCs w:val="21"/>
              </w:rPr>
            </w:pPr>
            <w:r>
              <w:rPr>
                <w:color w:val="auto"/>
                <w:sz w:val="21"/>
                <w:szCs w:val="21"/>
              </w:rPr>
              <w:t>371</w:t>
            </w:r>
          </w:p>
        </w:tc>
        <w:tc>
          <w:tcPr>
            <w:tcW w:w="1857" w:type="dxa"/>
            <w:vAlign w:val="center"/>
          </w:tcPr>
          <w:p>
            <w:pPr>
              <w:jc w:val="center"/>
              <w:rPr>
                <w:color w:val="auto"/>
                <w:sz w:val="21"/>
                <w:szCs w:val="21"/>
              </w:rPr>
            </w:pPr>
            <w:r>
              <w:rPr>
                <w:color w:val="auto"/>
                <w:sz w:val="21"/>
                <w:szCs w:val="21"/>
              </w:rPr>
              <w:t>300</w:t>
            </w:r>
          </w:p>
        </w:tc>
        <w:tc>
          <w:tcPr>
            <w:tcW w:w="1858" w:type="dxa"/>
            <w:vAlign w:val="center"/>
          </w:tcPr>
          <w:p>
            <w:pPr>
              <w:jc w:val="center"/>
              <w:rPr>
                <w:color w:val="auto"/>
                <w:sz w:val="21"/>
                <w:szCs w:val="21"/>
              </w:rPr>
            </w:pPr>
            <w:r>
              <w:rPr>
                <w:color w:val="auto"/>
                <w:sz w:val="21"/>
                <w:szCs w:val="21"/>
              </w:rPr>
              <w:t>0.081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57" w:type="dxa"/>
            <w:vAlign w:val="center"/>
          </w:tcPr>
          <w:p>
            <w:pPr>
              <w:jc w:val="center"/>
              <w:rPr>
                <w:color w:val="auto"/>
                <w:sz w:val="21"/>
                <w:szCs w:val="21"/>
              </w:rPr>
            </w:pPr>
            <w:r>
              <w:rPr>
                <w:color w:val="auto"/>
                <w:sz w:val="21"/>
                <w:szCs w:val="21"/>
              </w:rPr>
              <w:t>石家庄</w:t>
            </w:r>
          </w:p>
        </w:tc>
        <w:tc>
          <w:tcPr>
            <w:tcW w:w="1857" w:type="dxa"/>
            <w:vAlign w:val="center"/>
          </w:tcPr>
          <w:p>
            <w:pPr>
              <w:jc w:val="center"/>
              <w:rPr>
                <w:color w:val="auto"/>
                <w:sz w:val="21"/>
                <w:szCs w:val="21"/>
              </w:rPr>
            </w:pPr>
            <w:r>
              <w:rPr>
                <w:color w:val="auto"/>
                <w:sz w:val="21"/>
                <w:szCs w:val="21"/>
              </w:rPr>
              <w:t>主城区</w:t>
            </w:r>
          </w:p>
        </w:tc>
        <w:tc>
          <w:tcPr>
            <w:tcW w:w="1857" w:type="dxa"/>
            <w:vAlign w:val="center"/>
          </w:tcPr>
          <w:p>
            <w:pPr>
              <w:jc w:val="center"/>
              <w:rPr>
                <w:color w:val="auto"/>
                <w:sz w:val="21"/>
                <w:szCs w:val="21"/>
              </w:rPr>
            </w:pPr>
            <w:r>
              <w:rPr>
                <w:color w:val="auto"/>
                <w:sz w:val="21"/>
                <w:szCs w:val="21"/>
              </w:rPr>
              <w:t>220</w:t>
            </w:r>
          </w:p>
        </w:tc>
        <w:tc>
          <w:tcPr>
            <w:tcW w:w="1857" w:type="dxa"/>
            <w:vAlign w:val="center"/>
          </w:tcPr>
          <w:p>
            <w:pPr>
              <w:jc w:val="center"/>
              <w:rPr>
                <w:color w:val="auto"/>
                <w:sz w:val="21"/>
                <w:szCs w:val="21"/>
              </w:rPr>
            </w:pPr>
            <w:r>
              <w:rPr>
                <w:color w:val="auto"/>
                <w:sz w:val="21"/>
                <w:szCs w:val="21"/>
              </w:rPr>
              <w:t>278</w:t>
            </w:r>
          </w:p>
        </w:tc>
        <w:tc>
          <w:tcPr>
            <w:tcW w:w="1858" w:type="dxa"/>
            <w:vAlign w:val="center"/>
          </w:tcPr>
          <w:p>
            <w:pPr>
              <w:jc w:val="center"/>
              <w:rPr>
                <w:color w:val="auto"/>
                <w:sz w:val="21"/>
                <w:szCs w:val="21"/>
              </w:rPr>
            </w:pPr>
            <w:r>
              <w:rPr>
                <w:color w:val="auto"/>
                <w:sz w:val="21"/>
                <w:szCs w:val="21"/>
              </w:rPr>
              <w:t>0.126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57" w:type="dxa"/>
            <w:vAlign w:val="center"/>
          </w:tcPr>
          <w:p>
            <w:pPr>
              <w:jc w:val="center"/>
              <w:rPr>
                <w:color w:val="auto"/>
                <w:sz w:val="21"/>
                <w:szCs w:val="21"/>
              </w:rPr>
            </w:pPr>
            <w:r>
              <w:rPr>
                <w:color w:val="auto"/>
                <w:sz w:val="21"/>
                <w:szCs w:val="21"/>
              </w:rPr>
              <w:t>乌鲁木齐</w:t>
            </w:r>
          </w:p>
        </w:tc>
        <w:tc>
          <w:tcPr>
            <w:tcW w:w="1857" w:type="dxa"/>
            <w:vAlign w:val="center"/>
          </w:tcPr>
          <w:p>
            <w:pPr>
              <w:jc w:val="center"/>
              <w:rPr>
                <w:color w:val="auto"/>
                <w:sz w:val="21"/>
                <w:szCs w:val="21"/>
              </w:rPr>
            </w:pPr>
            <w:r>
              <w:rPr>
                <w:color w:val="auto"/>
                <w:sz w:val="21"/>
                <w:szCs w:val="21"/>
              </w:rPr>
              <w:t>主城区</w:t>
            </w:r>
          </w:p>
        </w:tc>
        <w:tc>
          <w:tcPr>
            <w:tcW w:w="1857" w:type="dxa"/>
            <w:vAlign w:val="center"/>
          </w:tcPr>
          <w:p>
            <w:pPr>
              <w:jc w:val="center"/>
              <w:rPr>
                <w:color w:val="auto"/>
                <w:sz w:val="21"/>
                <w:szCs w:val="21"/>
              </w:rPr>
            </w:pPr>
            <w:r>
              <w:rPr>
                <w:color w:val="auto"/>
                <w:sz w:val="21"/>
                <w:szCs w:val="21"/>
              </w:rPr>
              <w:t>210</w:t>
            </w:r>
          </w:p>
        </w:tc>
        <w:tc>
          <w:tcPr>
            <w:tcW w:w="1857" w:type="dxa"/>
            <w:vAlign w:val="center"/>
          </w:tcPr>
          <w:p>
            <w:pPr>
              <w:jc w:val="center"/>
              <w:rPr>
                <w:color w:val="auto"/>
                <w:sz w:val="21"/>
                <w:szCs w:val="21"/>
              </w:rPr>
            </w:pPr>
            <w:r>
              <w:rPr>
                <w:color w:val="auto"/>
                <w:sz w:val="21"/>
                <w:szCs w:val="21"/>
              </w:rPr>
              <w:t>300</w:t>
            </w:r>
          </w:p>
        </w:tc>
        <w:tc>
          <w:tcPr>
            <w:tcW w:w="1858" w:type="dxa"/>
            <w:vAlign w:val="center"/>
          </w:tcPr>
          <w:p>
            <w:pPr>
              <w:jc w:val="center"/>
              <w:rPr>
                <w:color w:val="auto"/>
                <w:sz w:val="21"/>
                <w:szCs w:val="21"/>
              </w:rPr>
            </w:pPr>
            <w:r>
              <w:rPr>
                <w:color w:val="auto"/>
                <w:sz w:val="21"/>
                <w:szCs w:val="21"/>
              </w:rPr>
              <w:t>0.143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57" w:type="dxa"/>
            <w:vAlign w:val="center"/>
          </w:tcPr>
          <w:p>
            <w:pPr>
              <w:jc w:val="center"/>
              <w:rPr>
                <w:color w:val="auto"/>
                <w:sz w:val="21"/>
                <w:szCs w:val="21"/>
              </w:rPr>
            </w:pPr>
            <w:r>
              <w:rPr>
                <w:color w:val="auto"/>
                <w:sz w:val="21"/>
                <w:szCs w:val="21"/>
              </w:rPr>
              <w:t>贵阳</w:t>
            </w:r>
          </w:p>
        </w:tc>
        <w:tc>
          <w:tcPr>
            <w:tcW w:w="1857" w:type="dxa"/>
            <w:vAlign w:val="center"/>
          </w:tcPr>
          <w:p>
            <w:pPr>
              <w:jc w:val="center"/>
              <w:rPr>
                <w:color w:val="auto"/>
                <w:sz w:val="21"/>
                <w:szCs w:val="21"/>
              </w:rPr>
            </w:pPr>
            <w:r>
              <w:rPr>
                <w:color w:val="auto"/>
                <w:sz w:val="21"/>
                <w:szCs w:val="21"/>
              </w:rPr>
              <w:t>主城区</w:t>
            </w:r>
          </w:p>
        </w:tc>
        <w:tc>
          <w:tcPr>
            <w:tcW w:w="1857" w:type="dxa"/>
            <w:vAlign w:val="center"/>
          </w:tcPr>
          <w:p>
            <w:pPr>
              <w:jc w:val="center"/>
              <w:rPr>
                <w:color w:val="auto"/>
                <w:sz w:val="21"/>
                <w:szCs w:val="21"/>
              </w:rPr>
            </w:pPr>
            <w:r>
              <w:rPr>
                <w:color w:val="auto"/>
                <w:sz w:val="21"/>
                <w:szCs w:val="21"/>
              </w:rPr>
              <w:t>200</w:t>
            </w:r>
          </w:p>
        </w:tc>
        <w:tc>
          <w:tcPr>
            <w:tcW w:w="1857" w:type="dxa"/>
            <w:vAlign w:val="center"/>
          </w:tcPr>
          <w:p>
            <w:pPr>
              <w:jc w:val="center"/>
              <w:rPr>
                <w:color w:val="auto"/>
                <w:sz w:val="21"/>
                <w:szCs w:val="21"/>
              </w:rPr>
            </w:pPr>
            <w:r>
              <w:rPr>
                <w:color w:val="auto"/>
                <w:sz w:val="21"/>
                <w:szCs w:val="21"/>
              </w:rPr>
              <w:t>300</w:t>
            </w:r>
          </w:p>
        </w:tc>
        <w:tc>
          <w:tcPr>
            <w:tcW w:w="1858" w:type="dxa"/>
            <w:vAlign w:val="center"/>
          </w:tcPr>
          <w:p>
            <w:pPr>
              <w:jc w:val="center"/>
              <w:rPr>
                <w:color w:val="auto"/>
                <w:sz w:val="21"/>
                <w:szCs w:val="21"/>
              </w:rPr>
            </w:pPr>
            <w:r>
              <w:rPr>
                <w:color w:val="auto"/>
                <w:sz w:val="21"/>
                <w:szCs w:val="21"/>
              </w:rPr>
              <w:t>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428" w:type="dxa"/>
            <w:gridSpan w:val="4"/>
            <w:vAlign w:val="center"/>
          </w:tcPr>
          <w:p>
            <w:pPr>
              <w:jc w:val="center"/>
              <w:rPr>
                <w:color w:val="auto"/>
                <w:sz w:val="21"/>
                <w:szCs w:val="21"/>
              </w:rPr>
            </w:pPr>
            <w:r>
              <w:rPr>
                <w:color w:val="auto"/>
                <w:sz w:val="21"/>
                <w:szCs w:val="21"/>
              </w:rPr>
              <w:t>均值</w:t>
            </w:r>
          </w:p>
        </w:tc>
        <w:tc>
          <w:tcPr>
            <w:tcW w:w="1858" w:type="dxa"/>
            <w:vAlign w:val="center"/>
          </w:tcPr>
          <w:p>
            <w:pPr>
              <w:jc w:val="center"/>
              <w:rPr>
                <w:color w:val="auto"/>
                <w:sz w:val="21"/>
                <w:szCs w:val="21"/>
              </w:rPr>
            </w:pPr>
            <w:r>
              <w:rPr>
                <w:color w:val="auto"/>
                <w:sz w:val="21"/>
                <w:szCs w:val="21"/>
              </w:rPr>
              <w:t>0.117</w:t>
            </w:r>
          </w:p>
        </w:tc>
      </w:tr>
    </w:tbl>
    <w:p>
      <w:pPr>
        <w:autoSpaceDE w:val="0"/>
        <w:autoSpaceDN w:val="0"/>
        <w:adjustRightInd w:val="0"/>
        <w:spacing w:line="360" w:lineRule="auto"/>
        <w:ind w:firstLine="360" w:firstLineChars="150"/>
        <w:rPr>
          <w:rFonts w:eastAsiaTheme="minorEastAsia"/>
          <w:color w:val="auto"/>
          <w:kern w:val="0"/>
        </w:rPr>
      </w:pPr>
      <w:r>
        <w:rPr>
          <w:rFonts w:eastAsiaTheme="minorEastAsia"/>
          <w:color w:val="auto"/>
          <w:kern w:val="0"/>
        </w:rPr>
        <w:t>上述城市主城区人均餐厨垃圾日产生量为0.117 千克/天，波动范围为0.088～0.15，</w:t>
      </w:r>
      <w:r>
        <w:rPr>
          <w:rFonts w:hint="eastAsia" w:eastAsiaTheme="minorEastAsia"/>
          <w:color w:val="auto"/>
          <w:kern w:val="0"/>
          <w:lang w:eastAsia="zh-CN"/>
        </w:rPr>
        <w:t>由于目前兴宁市</w:t>
      </w:r>
      <w:r>
        <w:rPr>
          <w:rFonts w:hint="eastAsia" w:eastAsiaTheme="minorEastAsia"/>
          <w:color w:val="auto"/>
          <w:kern w:val="0"/>
        </w:rPr>
        <w:t>餐厨垃圾</w:t>
      </w:r>
      <w:r>
        <w:rPr>
          <w:rFonts w:hint="eastAsia" w:eastAsiaTheme="minorEastAsia"/>
          <w:color w:val="auto"/>
          <w:kern w:val="0"/>
          <w:lang w:eastAsia="zh-CN"/>
        </w:rPr>
        <w:t>收运系统尚不完善</w:t>
      </w:r>
      <w:r>
        <w:rPr>
          <w:rFonts w:hint="eastAsia" w:eastAsiaTheme="minorEastAsia"/>
          <w:color w:val="auto"/>
          <w:kern w:val="0"/>
        </w:rPr>
        <w:t>，建设条件</w:t>
      </w:r>
      <w:r>
        <w:rPr>
          <w:rFonts w:hint="eastAsia" w:eastAsiaTheme="minorEastAsia"/>
          <w:color w:val="auto"/>
          <w:kern w:val="0"/>
          <w:lang w:eastAsia="zh-CN"/>
        </w:rPr>
        <w:t>尚</w:t>
      </w:r>
      <w:r>
        <w:rPr>
          <w:rFonts w:hint="eastAsia" w:eastAsiaTheme="minorEastAsia"/>
          <w:color w:val="auto"/>
          <w:kern w:val="0"/>
        </w:rPr>
        <w:t>不成熟</w:t>
      </w:r>
      <w:r>
        <w:rPr>
          <w:rFonts w:hint="eastAsia" w:eastAsiaTheme="minorEastAsia"/>
          <w:color w:val="auto"/>
          <w:kern w:val="0"/>
          <w:lang w:eastAsia="zh-CN"/>
        </w:rPr>
        <w:t>，保守估计</w:t>
      </w:r>
      <w:r>
        <w:rPr>
          <w:rFonts w:eastAsiaTheme="minorEastAsia"/>
          <w:color w:val="auto"/>
          <w:kern w:val="0"/>
        </w:rPr>
        <w:t>兴宁市餐厨垃圾日产生量暂定为0.08 千克/天，位于中等偏下水平</w:t>
      </w:r>
      <w:r>
        <w:rPr>
          <w:rFonts w:hint="eastAsia" w:ascii="仿宋_GB2312" w:eastAsia="仿宋_GB2312" w:cs="仿宋_GB2312"/>
          <w:color w:val="auto"/>
          <w:kern w:val="0"/>
          <w:sz w:val="28"/>
          <w:szCs w:val="28"/>
        </w:rPr>
        <w:t>。</w:t>
      </w:r>
    </w:p>
    <w:p>
      <w:pPr>
        <w:spacing w:line="360" w:lineRule="auto"/>
        <w:rPr>
          <w:color w:val="auto"/>
        </w:rPr>
      </w:pPr>
      <w:r>
        <w:rPr>
          <w:rFonts w:hint="eastAsia"/>
          <w:color w:val="auto"/>
        </w:rPr>
        <w:t xml:space="preserve">   考虑到目前整个兴宁市的餐厨垃圾收运体系尚未建立，餐厨垃圾集中收运处理需要培育过程，因此建议该项目分期实施。餐厨垃圾的收集运输是瓶颈，目前北京、上海、广州、宁波等城市相继出台了餐厨垃圾管理办法，兴宁市的餐厨垃圾处理也需要相关政府部门大力支持及相关餐厨垃圾收运处理政策的及时出台。随着餐厨垃圾收运系统的建设完善，餐厨垃圾收运率和收运范围逐步增加，充分考虑以上因素设置兴宁市未来餐厨垃圾清运比例。</w:t>
      </w:r>
    </w:p>
    <w:p>
      <w:pPr>
        <w:spacing w:line="360" w:lineRule="auto"/>
        <w:ind w:firstLine="480" w:firstLineChars="200"/>
        <w:rPr>
          <w:color w:val="auto"/>
        </w:rPr>
      </w:pPr>
      <w:r>
        <w:rPr>
          <w:rFonts w:hint="eastAsia"/>
          <w:color w:val="auto"/>
          <w:szCs w:val="28"/>
        </w:rPr>
        <w:t>根据兴宁市餐厨垃圾日产生量预测情况，同时预测兴宁市未来餐厨垃圾清运比例如下表所示，同时结合服务范围人口及人均餐厨垃圾</w:t>
      </w:r>
      <w:r>
        <w:rPr>
          <w:rFonts w:hint="eastAsia"/>
          <w:color w:val="auto"/>
        </w:rPr>
        <w:t>产量预测，最终得到项目处理的餐厨垃圾量如下：</w:t>
      </w:r>
    </w:p>
    <w:p>
      <w:pPr>
        <w:pStyle w:val="326"/>
        <w:ind w:firstLine="482"/>
        <w:jc w:val="center"/>
        <w:rPr>
          <w:b/>
          <w:color w:val="auto"/>
          <w:sz w:val="24"/>
          <w:szCs w:val="24"/>
          <w:lang w:eastAsia="zh-CN"/>
        </w:rPr>
      </w:pPr>
      <w:r>
        <w:rPr>
          <w:rFonts w:ascii="Times New Roman" w:hAnsi="Times New Roman"/>
          <w:b/>
          <w:color w:val="auto"/>
          <w:sz w:val="24"/>
          <w:szCs w:val="24"/>
          <w:lang w:eastAsia="zh-CN"/>
        </w:rPr>
        <w:t>表3</w:t>
      </w:r>
      <w:r>
        <w:rPr>
          <w:rFonts w:hint="eastAsia" w:ascii="Times New Roman" w:hAnsi="Times New Roman"/>
          <w:b/>
          <w:color w:val="auto"/>
          <w:sz w:val="24"/>
          <w:szCs w:val="24"/>
          <w:lang w:val="en-US" w:eastAsia="zh-CN"/>
        </w:rPr>
        <w:t>.1</w:t>
      </w:r>
      <w:r>
        <w:rPr>
          <w:rFonts w:ascii="Times New Roman" w:hAnsi="Times New Roman"/>
          <w:b/>
          <w:color w:val="auto"/>
          <w:sz w:val="24"/>
          <w:szCs w:val="24"/>
          <w:lang w:eastAsia="zh-CN"/>
        </w:rPr>
        <w:t>-8</w:t>
      </w:r>
      <w:r>
        <w:rPr>
          <w:rFonts w:hint="eastAsia"/>
          <w:b/>
          <w:color w:val="auto"/>
          <w:sz w:val="24"/>
          <w:szCs w:val="24"/>
          <w:lang w:eastAsia="zh-CN"/>
        </w:rPr>
        <w:t xml:space="preserve"> </w:t>
      </w:r>
      <w:r>
        <w:rPr>
          <w:rFonts w:hint="eastAsia"/>
          <w:b/>
          <w:color w:val="auto"/>
          <w:sz w:val="24"/>
          <w:szCs w:val="24"/>
        </w:rPr>
        <w:t>兴宁市餐厨垃圾清运量预测</w:t>
      </w:r>
    </w:p>
    <w:tbl>
      <w:tblPr>
        <w:tblStyle w:val="54"/>
        <w:tblpPr w:leftFromText="180" w:rightFromText="180" w:vertAnchor="text" w:tblpY="1"/>
        <w:tblOverlap w:val="never"/>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0"/>
        <w:gridCol w:w="901"/>
        <w:gridCol w:w="956"/>
        <w:gridCol w:w="911"/>
        <w:gridCol w:w="956"/>
        <w:gridCol w:w="902"/>
        <w:gridCol w:w="956"/>
        <w:gridCol w:w="912"/>
        <w:gridCol w:w="956"/>
        <w:gridCol w:w="9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80" w:type="dxa"/>
            <w:vAlign w:val="center"/>
          </w:tcPr>
          <w:p>
            <w:pPr>
              <w:jc w:val="both"/>
              <w:rPr>
                <w:b/>
                <w:color w:val="auto"/>
                <w:sz w:val="21"/>
                <w:szCs w:val="21"/>
              </w:rPr>
            </w:pPr>
            <w:r>
              <w:rPr>
                <w:b/>
                <w:color w:val="auto"/>
                <w:sz w:val="21"/>
                <w:szCs w:val="21"/>
              </w:rPr>
              <w:t>年份</w:t>
            </w:r>
          </w:p>
        </w:tc>
        <w:tc>
          <w:tcPr>
            <w:tcW w:w="901" w:type="dxa"/>
            <w:vAlign w:val="center"/>
          </w:tcPr>
          <w:p>
            <w:pPr>
              <w:jc w:val="both"/>
              <w:rPr>
                <w:b/>
                <w:color w:val="auto"/>
                <w:sz w:val="21"/>
                <w:szCs w:val="21"/>
              </w:rPr>
            </w:pPr>
            <w:r>
              <w:rPr>
                <w:b/>
                <w:color w:val="auto"/>
                <w:sz w:val="21"/>
                <w:szCs w:val="21"/>
              </w:rPr>
              <w:t>城区人</w:t>
            </w:r>
          </w:p>
          <w:p>
            <w:pPr>
              <w:jc w:val="both"/>
              <w:rPr>
                <w:b/>
                <w:color w:val="auto"/>
                <w:sz w:val="21"/>
                <w:szCs w:val="21"/>
              </w:rPr>
            </w:pPr>
            <w:r>
              <w:rPr>
                <w:b/>
                <w:color w:val="auto"/>
                <w:sz w:val="21"/>
                <w:szCs w:val="21"/>
              </w:rPr>
              <w:t>口（万</w:t>
            </w:r>
          </w:p>
          <w:p>
            <w:pPr>
              <w:jc w:val="both"/>
              <w:rPr>
                <w:b/>
                <w:color w:val="auto"/>
                <w:sz w:val="21"/>
                <w:szCs w:val="21"/>
              </w:rPr>
            </w:pPr>
            <w:r>
              <w:rPr>
                <w:b/>
                <w:color w:val="auto"/>
                <w:sz w:val="21"/>
                <w:szCs w:val="21"/>
              </w:rPr>
              <w:t>人）</w:t>
            </w:r>
          </w:p>
        </w:tc>
        <w:tc>
          <w:tcPr>
            <w:tcW w:w="956" w:type="dxa"/>
            <w:vAlign w:val="center"/>
          </w:tcPr>
          <w:p>
            <w:pPr>
              <w:jc w:val="both"/>
              <w:rPr>
                <w:b/>
                <w:color w:val="auto"/>
                <w:sz w:val="21"/>
                <w:szCs w:val="21"/>
              </w:rPr>
            </w:pPr>
            <w:r>
              <w:rPr>
                <w:b/>
                <w:color w:val="auto"/>
                <w:sz w:val="21"/>
                <w:szCs w:val="21"/>
              </w:rPr>
              <w:t>城区产</w:t>
            </w:r>
          </w:p>
          <w:p>
            <w:pPr>
              <w:jc w:val="both"/>
              <w:rPr>
                <w:b/>
                <w:color w:val="auto"/>
                <w:sz w:val="21"/>
                <w:szCs w:val="21"/>
              </w:rPr>
            </w:pPr>
            <w:r>
              <w:rPr>
                <w:b/>
                <w:color w:val="auto"/>
                <w:sz w:val="21"/>
                <w:szCs w:val="21"/>
              </w:rPr>
              <w:t>量（t/d）</w:t>
            </w:r>
          </w:p>
        </w:tc>
        <w:tc>
          <w:tcPr>
            <w:tcW w:w="911" w:type="dxa"/>
            <w:vAlign w:val="center"/>
          </w:tcPr>
          <w:p>
            <w:pPr>
              <w:jc w:val="both"/>
              <w:rPr>
                <w:b/>
                <w:color w:val="auto"/>
                <w:sz w:val="21"/>
                <w:szCs w:val="21"/>
              </w:rPr>
            </w:pPr>
            <w:r>
              <w:rPr>
                <w:b/>
                <w:color w:val="auto"/>
                <w:sz w:val="21"/>
                <w:szCs w:val="21"/>
              </w:rPr>
              <w:t>城区收</w:t>
            </w:r>
          </w:p>
          <w:p>
            <w:pPr>
              <w:jc w:val="both"/>
              <w:rPr>
                <w:b/>
                <w:color w:val="auto"/>
                <w:sz w:val="21"/>
                <w:szCs w:val="21"/>
              </w:rPr>
            </w:pPr>
            <w:r>
              <w:rPr>
                <w:b/>
                <w:color w:val="auto"/>
                <w:sz w:val="21"/>
                <w:szCs w:val="21"/>
              </w:rPr>
              <w:t>集率</w:t>
            </w:r>
          </w:p>
          <w:p>
            <w:pPr>
              <w:jc w:val="both"/>
              <w:rPr>
                <w:b/>
                <w:color w:val="auto"/>
                <w:sz w:val="21"/>
                <w:szCs w:val="21"/>
              </w:rPr>
            </w:pPr>
            <w:r>
              <w:rPr>
                <w:b/>
                <w:color w:val="auto"/>
                <w:sz w:val="21"/>
                <w:szCs w:val="21"/>
              </w:rPr>
              <w:t>（%）</w:t>
            </w:r>
          </w:p>
        </w:tc>
        <w:tc>
          <w:tcPr>
            <w:tcW w:w="956" w:type="dxa"/>
            <w:vAlign w:val="center"/>
          </w:tcPr>
          <w:p>
            <w:pPr>
              <w:jc w:val="both"/>
              <w:rPr>
                <w:b/>
                <w:color w:val="auto"/>
                <w:sz w:val="21"/>
                <w:szCs w:val="21"/>
              </w:rPr>
            </w:pPr>
            <w:r>
              <w:rPr>
                <w:b/>
                <w:color w:val="auto"/>
                <w:sz w:val="21"/>
                <w:szCs w:val="21"/>
              </w:rPr>
              <w:t>城区处</w:t>
            </w:r>
          </w:p>
          <w:p>
            <w:pPr>
              <w:jc w:val="both"/>
              <w:rPr>
                <w:b/>
                <w:color w:val="auto"/>
                <w:sz w:val="21"/>
                <w:szCs w:val="21"/>
              </w:rPr>
            </w:pPr>
            <w:r>
              <w:rPr>
                <w:b/>
                <w:color w:val="auto"/>
                <w:sz w:val="21"/>
                <w:szCs w:val="21"/>
              </w:rPr>
              <w:t>理量</w:t>
            </w:r>
          </w:p>
          <w:p>
            <w:pPr>
              <w:jc w:val="both"/>
              <w:rPr>
                <w:b/>
                <w:color w:val="auto"/>
                <w:sz w:val="21"/>
                <w:szCs w:val="21"/>
              </w:rPr>
            </w:pPr>
            <w:r>
              <w:rPr>
                <w:b/>
                <w:color w:val="auto"/>
                <w:sz w:val="21"/>
                <w:szCs w:val="21"/>
              </w:rPr>
              <w:t>（t/d）</w:t>
            </w:r>
          </w:p>
        </w:tc>
        <w:tc>
          <w:tcPr>
            <w:tcW w:w="902" w:type="dxa"/>
            <w:vAlign w:val="center"/>
          </w:tcPr>
          <w:p>
            <w:pPr>
              <w:jc w:val="both"/>
              <w:rPr>
                <w:b/>
                <w:color w:val="auto"/>
                <w:sz w:val="21"/>
                <w:szCs w:val="21"/>
              </w:rPr>
            </w:pPr>
            <w:r>
              <w:rPr>
                <w:b/>
                <w:color w:val="auto"/>
                <w:sz w:val="21"/>
                <w:szCs w:val="21"/>
              </w:rPr>
              <w:t>其他城</w:t>
            </w:r>
          </w:p>
          <w:p>
            <w:pPr>
              <w:jc w:val="both"/>
              <w:rPr>
                <w:b/>
                <w:color w:val="auto"/>
                <w:sz w:val="21"/>
                <w:szCs w:val="21"/>
              </w:rPr>
            </w:pPr>
            <w:r>
              <w:rPr>
                <w:b/>
                <w:color w:val="auto"/>
                <w:sz w:val="21"/>
                <w:szCs w:val="21"/>
              </w:rPr>
              <w:t>镇人口</w:t>
            </w:r>
          </w:p>
          <w:p>
            <w:pPr>
              <w:jc w:val="both"/>
              <w:rPr>
                <w:b/>
                <w:color w:val="auto"/>
                <w:sz w:val="21"/>
                <w:szCs w:val="21"/>
              </w:rPr>
            </w:pPr>
            <w:r>
              <w:rPr>
                <w:b/>
                <w:color w:val="auto"/>
                <w:sz w:val="21"/>
                <w:szCs w:val="21"/>
              </w:rPr>
              <w:t>（万人）</w:t>
            </w:r>
          </w:p>
        </w:tc>
        <w:tc>
          <w:tcPr>
            <w:tcW w:w="956" w:type="dxa"/>
            <w:vAlign w:val="center"/>
          </w:tcPr>
          <w:p>
            <w:pPr>
              <w:jc w:val="both"/>
              <w:rPr>
                <w:b/>
                <w:color w:val="auto"/>
                <w:sz w:val="21"/>
                <w:szCs w:val="21"/>
              </w:rPr>
            </w:pPr>
            <w:r>
              <w:rPr>
                <w:b/>
                <w:color w:val="auto"/>
                <w:sz w:val="21"/>
                <w:szCs w:val="21"/>
              </w:rPr>
              <w:t>其他城</w:t>
            </w:r>
          </w:p>
          <w:p>
            <w:pPr>
              <w:jc w:val="both"/>
              <w:rPr>
                <w:b/>
                <w:color w:val="auto"/>
                <w:sz w:val="21"/>
                <w:szCs w:val="21"/>
              </w:rPr>
            </w:pPr>
            <w:r>
              <w:rPr>
                <w:b/>
                <w:color w:val="auto"/>
                <w:sz w:val="21"/>
                <w:szCs w:val="21"/>
              </w:rPr>
              <w:t>镇产量</w:t>
            </w:r>
          </w:p>
          <w:p>
            <w:pPr>
              <w:jc w:val="both"/>
              <w:rPr>
                <w:b/>
                <w:color w:val="auto"/>
                <w:sz w:val="21"/>
                <w:szCs w:val="21"/>
              </w:rPr>
            </w:pPr>
            <w:r>
              <w:rPr>
                <w:b/>
                <w:color w:val="auto"/>
                <w:sz w:val="21"/>
                <w:szCs w:val="21"/>
              </w:rPr>
              <w:t>（t/d）</w:t>
            </w:r>
          </w:p>
        </w:tc>
        <w:tc>
          <w:tcPr>
            <w:tcW w:w="912" w:type="dxa"/>
            <w:vAlign w:val="center"/>
          </w:tcPr>
          <w:p>
            <w:pPr>
              <w:jc w:val="both"/>
              <w:rPr>
                <w:b/>
                <w:color w:val="auto"/>
                <w:sz w:val="21"/>
                <w:szCs w:val="21"/>
              </w:rPr>
            </w:pPr>
            <w:r>
              <w:rPr>
                <w:b/>
                <w:color w:val="auto"/>
                <w:sz w:val="21"/>
                <w:szCs w:val="21"/>
              </w:rPr>
              <w:t>其他城</w:t>
            </w:r>
          </w:p>
          <w:p>
            <w:pPr>
              <w:jc w:val="both"/>
              <w:rPr>
                <w:b/>
                <w:color w:val="auto"/>
                <w:sz w:val="21"/>
                <w:szCs w:val="21"/>
              </w:rPr>
            </w:pPr>
            <w:r>
              <w:rPr>
                <w:b/>
                <w:color w:val="auto"/>
                <w:sz w:val="21"/>
                <w:szCs w:val="21"/>
              </w:rPr>
              <w:t>镇收集</w:t>
            </w:r>
          </w:p>
          <w:p>
            <w:pPr>
              <w:jc w:val="both"/>
              <w:rPr>
                <w:b/>
                <w:color w:val="auto"/>
                <w:sz w:val="21"/>
                <w:szCs w:val="21"/>
              </w:rPr>
            </w:pPr>
            <w:r>
              <w:rPr>
                <w:b/>
                <w:color w:val="auto"/>
                <w:sz w:val="21"/>
                <w:szCs w:val="21"/>
              </w:rPr>
              <w:t>率（%）</w:t>
            </w:r>
          </w:p>
        </w:tc>
        <w:tc>
          <w:tcPr>
            <w:tcW w:w="956" w:type="dxa"/>
            <w:vAlign w:val="center"/>
          </w:tcPr>
          <w:p>
            <w:pPr>
              <w:jc w:val="both"/>
              <w:rPr>
                <w:b/>
                <w:color w:val="auto"/>
                <w:sz w:val="21"/>
                <w:szCs w:val="21"/>
              </w:rPr>
            </w:pPr>
            <w:r>
              <w:rPr>
                <w:b/>
                <w:color w:val="auto"/>
                <w:sz w:val="21"/>
                <w:szCs w:val="21"/>
              </w:rPr>
              <w:t>其他城</w:t>
            </w:r>
          </w:p>
          <w:p>
            <w:pPr>
              <w:jc w:val="both"/>
              <w:rPr>
                <w:b/>
                <w:color w:val="auto"/>
                <w:sz w:val="21"/>
                <w:szCs w:val="21"/>
              </w:rPr>
            </w:pPr>
            <w:r>
              <w:rPr>
                <w:b/>
                <w:color w:val="auto"/>
                <w:sz w:val="21"/>
                <w:szCs w:val="21"/>
              </w:rPr>
              <w:t>镇处理</w:t>
            </w:r>
          </w:p>
          <w:p>
            <w:pPr>
              <w:jc w:val="both"/>
              <w:rPr>
                <w:b/>
                <w:color w:val="auto"/>
                <w:sz w:val="21"/>
                <w:szCs w:val="21"/>
              </w:rPr>
            </w:pPr>
            <w:r>
              <w:rPr>
                <w:b/>
                <w:color w:val="auto"/>
                <w:sz w:val="21"/>
                <w:szCs w:val="21"/>
              </w:rPr>
              <w:t>量（t/d）</w:t>
            </w:r>
          </w:p>
        </w:tc>
        <w:tc>
          <w:tcPr>
            <w:tcW w:w="956" w:type="dxa"/>
            <w:vAlign w:val="center"/>
          </w:tcPr>
          <w:p>
            <w:pPr>
              <w:jc w:val="both"/>
              <w:rPr>
                <w:b/>
                <w:color w:val="auto"/>
                <w:sz w:val="21"/>
                <w:szCs w:val="21"/>
              </w:rPr>
            </w:pPr>
            <w:r>
              <w:rPr>
                <w:b/>
                <w:color w:val="auto"/>
                <w:sz w:val="21"/>
                <w:szCs w:val="21"/>
              </w:rPr>
              <w:t>总处理</w:t>
            </w:r>
          </w:p>
          <w:p>
            <w:pPr>
              <w:jc w:val="both"/>
              <w:rPr>
                <w:b/>
                <w:color w:val="auto"/>
                <w:sz w:val="21"/>
                <w:szCs w:val="21"/>
              </w:rPr>
            </w:pPr>
            <w:r>
              <w:rPr>
                <w:b/>
                <w:color w:val="auto"/>
                <w:sz w:val="21"/>
                <w:szCs w:val="21"/>
              </w:rPr>
              <w:t>量（t/d）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80" w:type="dxa"/>
            <w:vAlign w:val="center"/>
          </w:tcPr>
          <w:p>
            <w:pPr>
              <w:jc w:val="center"/>
              <w:rPr>
                <w:b/>
                <w:color w:val="auto"/>
                <w:sz w:val="21"/>
                <w:szCs w:val="21"/>
              </w:rPr>
            </w:pPr>
            <w:r>
              <w:rPr>
                <w:color w:val="auto"/>
                <w:sz w:val="21"/>
                <w:szCs w:val="21"/>
              </w:rPr>
              <w:t>2020</w:t>
            </w:r>
          </w:p>
        </w:tc>
        <w:tc>
          <w:tcPr>
            <w:tcW w:w="901" w:type="dxa"/>
            <w:vAlign w:val="center"/>
          </w:tcPr>
          <w:p>
            <w:pPr>
              <w:jc w:val="center"/>
              <w:rPr>
                <w:b/>
                <w:color w:val="auto"/>
                <w:sz w:val="21"/>
                <w:szCs w:val="21"/>
              </w:rPr>
            </w:pPr>
            <w:r>
              <w:rPr>
                <w:color w:val="auto"/>
                <w:sz w:val="21"/>
                <w:szCs w:val="21"/>
              </w:rPr>
              <w:t>26.92</w:t>
            </w:r>
          </w:p>
        </w:tc>
        <w:tc>
          <w:tcPr>
            <w:tcW w:w="956" w:type="dxa"/>
            <w:vAlign w:val="center"/>
          </w:tcPr>
          <w:p>
            <w:pPr>
              <w:jc w:val="center"/>
              <w:rPr>
                <w:b/>
                <w:color w:val="auto"/>
                <w:sz w:val="21"/>
                <w:szCs w:val="21"/>
              </w:rPr>
            </w:pPr>
            <w:r>
              <w:rPr>
                <w:color w:val="auto"/>
                <w:sz w:val="21"/>
                <w:szCs w:val="21"/>
              </w:rPr>
              <w:t>21.54</w:t>
            </w:r>
          </w:p>
        </w:tc>
        <w:tc>
          <w:tcPr>
            <w:tcW w:w="911" w:type="dxa"/>
            <w:vAlign w:val="center"/>
          </w:tcPr>
          <w:p>
            <w:pPr>
              <w:jc w:val="center"/>
              <w:rPr>
                <w:b/>
                <w:color w:val="auto"/>
                <w:sz w:val="21"/>
                <w:szCs w:val="21"/>
              </w:rPr>
            </w:pPr>
            <w:r>
              <w:rPr>
                <w:color w:val="auto"/>
                <w:sz w:val="21"/>
                <w:szCs w:val="21"/>
              </w:rPr>
              <w:t>0%</w:t>
            </w:r>
          </w:p>
        </w:tc>
        <w:tc>
          <w:tcPr>
            <w:tcW w:w="956" w:type="dxa"/>
            <w:vAlign w:val="center"/>
          </w:tcPr>
          <w:p>
            <w:pPr>
              <w:jc w:val="center"/>
              <w:rPr>
                <w:b/>
                <w:color w:val="auto"/>
                <w:sz w:val="21"/>
                <w:szCs w:val="21"/>
              </w:rPr>
            </w:pPr>
            <w:r>
              <w:rPr>
                <w:color w:val="auto"/>
                <w:sz w:val="21"/>
                <w:szCs w:val="21"/>
              </w:rPr>
              <w:t>0.00</w:t>
            </w:r>
          </w:p>
        </w:tc>
        <w:tc>
          <w:tcPr>
            <w:tcW w:w="902" w:type="dxa"/>
            <w:vAlign w:val="center"/>
          </w:tcPr>
          <w:p>
            <w:pPr>
              <w:jc w:val="center"/>
              <w:rPr>
                <w:b/>
                <w:color w:val="auto"/>
                <w:sz w:val="21"/>
                <w:szCs w:val="21"/>
              </w:rPr>
            </w:pPr>
            <w:r>
              <w:rPr>
                <w:color w:val="auto"/>
                <w:sz w:val="21"/>
                <w:szCs w:val="21"/>
              </w:rPr>
              <w:t>21.47</w:t>
            </w:r>
          </w:p>
        </w:tc>
        <w:tc>
          <w:tcPr>
            <w:tcW w:w="956" w:type="dxa"/>
            <w:vAlign w:val="center"/>
          </w:tcPr>
          <w:p>
            <w:pPr>
              <w:jc w:val="center"/>
              <w:rPr>
                <w:b/>
                <w:color w:val="auto"/>
                <w:sz w:val="21"/>
                <w:szCs w:val="21"/>
              </w:rPr>
            </w:pPr>
            <w:r>
              <w:rPr>
                <w:color w:val="auto"/>
                <w:sz w:val="21"/>
                <w:szCs w:val="21"/>
              </w:rPr>
              <w:t>17.18</w:t>
            </w:r>
          </w:p>
        </w:tc>
        <w:tc>
          <w:tcPr>
            <w:tcW w:w="912" w:type="dxa"/>
            <w:vAlign w:val="center"/>
          </w:tcPr>
          <w:p>
            <w:pPr>
              <w:jc w:val="center"/>
              <w:rPr>
                <w:b/>
                <w:color w:val="auto"/>
                <w:sz w:val="21"/>
                <w:szCs w:val="21"/>
              </w:rPr>
            </w:pPr>
            <w:r>
              <w:rPr>
                <w:color w:val="auto"/>
                <w:sz w:val="21"/>
                <w:szCs w:val="21"/>
              </w:rPr>
              <w:t>0</w:t>
            </w:r>
          </w:p>
        </w:tc>
        <w:tc>
          <w:tcPr>
            <w:tcW w:w="956" w:type="dxa"/>
            <w:vAlign w:val="center"/>
          </w:tcPr>
          <w:p>
            <w:pPr>
              <w:jc w:val="center"/>
              <w:rPr>
                <w:b/>
                <w:color w:val="auto"/>
                <w:sz w:val="21"/>
                <w:szCs w:val="21"/>
              </w:rPr>
            </w:pPr>
            <w:r>
              <w:rPr>
                <w:color w:val="auto"/>
                <w:sz w:val="21"/>
                <w:szCs w:val="21"/>
              </w:rPr>
              <w:t>0</w:t>
            </w:r>
          </w:p>
        </w:tc>
        <w:tc>
          <w:tcPr>
            <w:tcW w:w="956" w:type="dxa"/>
            <w:vAlign w:val="center"/>
          </w:tcPr>
          <w:p>
            <w:pPr>
              <w:jc w:val="center"/>
              <w:rPr>
                <w:b/>
                <w:color w:val="auto"/>
                <w:sz w:val="21"/>
                <w:szCs w:val="21"/>
              </w:rPr>
            </w:pPr>
            <w:r>
              <w:rPr>
                <w:color w:val="auto"/>
                <w:sz w:val="21"/>
                <w:szCs w:val="21"/>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80" w:type="dxa"/>
            <w:vAlign w:val="center"/>
          </w:tcPr>
          <w:p>
            <w:pPr>
              <w:jc w:val="center"/>
              <w:rPr>
                <w:b/>
                <w:color w:val="auto"/>
                <w:sz w:val="21"/>
                <w:szCs w:val="21"/>
              </w:rPr>
            </w:pPr>
            <w:r>
              <w:rPr>
                <w:color w:val="auto"/>
                <w:sz w:val="21"/>
                <w:szCs w:val="21"/>
              </w:rPr>
              <w:t>2021</w:t>
            </w:r>
          </w:p>
        </w:tc>
        <w:tc>
          <w:tcPr>
            <w:tcW w:w="901" w:type="dxa"/>
            <w:vAlign w:val="center"/>
          </w:tcPr>
          <w:p>
            <w:pPr>
              <w:jc w:val="center"/>
              <w:rPr>
                <w:b/>
                <w:color w:val="auto"/>
                <w:sz w:val="21"/>
                <w:szCs w:val="21"/>
              </w:rPr>
            </w:pPr>
            <w:r>
              <w:rPr>
                <w:color w:val="auto"/>
                <w:sz w:val="21"/>
                <w:szCs w:val="21"/>
              </w:rPr>
              <w:t>27.52</w:t>
            </w:r>
          </w:p>
        </w:tc>
        <w:tc>
          <w:tcPr>
            <w:tcW w:w="956" w:type="dxa"/>
            <w:vAlign w:val="center"/>
          </w:tcPr>
          <w:p>
            <w:pPr>
              <w:jc w:val="center"/>
              <w:rPr>
                <w:b/>
                <w:color w:val="auto"/>
                <w:sz w:val="21"/>
                <w:szCs w:val="21"/>
              </w:rPr>
            </w:pPr>
            <w:r>
              <w:rPr>
                <w:color w:val="auto"/>
                <w:sz w:val="21"/>
                <w:szCs w:val="21"/>
              </w:rPr>
              <w:t>22.02</w:t>
            </w:r>
          </w:p>
        </w:tc>
        <w:tc>
          <w:tcPr>
            <w:tcW w:w="911" w:type="dxa"/>
            <w:vAlign w:val="center"/>
          </w:tcPr>
          <w:p>
            <w:pPr>
              <w:jc w:val="center"/>
              <w:rPr>
                <w:b/>
                <w:color w:val="auto"/>
                <w:sz w:val="21"/>
                <w:szCs w:val="21"/>
              </w:rPr>
            </w:pPr>
            <w:r>
              <w:rPr>
                <w:color w:val="auto"/>
                <w:sz w:val="21"/>
                <w:szCs w:val="21"/>
              </w:rPr>
              <w:t>0%</w:t>
            </w:r>
          </w:p>
        </w:tc>
        <w:tc>
          <w:tcPr>
            <w:tcW w:w="956" w:type="dxa"/>
            <w:vAlign w:val="center"/>
          </w:tcPr>
          <w:p>
            <w:pPr>
              <w:jc w:val="center"/>
              <w:rPr>
                <w:b/>
                <w:color w:val="auto"/>
                <w:sz w:val="21"/>
                <w:szCs w:val="21"/>
              </w:rPr>
            </w:pPr>
            <w:r>
              <w:rPr>
                <w:color w:val="auto"/>
                <w:sz w:val="21"/>
                <w:szCs w:val="21"/>
              </w:rPr>
              <w:t>0.00</w:t>
            </w:r>
          </w:p>
        </w:tc>
        <w:tc>
          <w:tcPr>
            <w:tcW w:w="902" w:type="dxa"/>
            <w:vAlign w:val="center"/>
          </w:tcPr>
          <w:p>
            <w:pPr>
              <w:jc w:val="center"/>
              <w:rPr>
                <w:b/>
                <w:color w:val="auto"/>
                <w:sz w:val="21"/>
                <w:szCs w:val="21"/>
              </w:rPr>
            </w:pPr>
            <w:r>
              <w:rPr>
                <w:color w:val="auto"/>
                <w:sz w:val="21"/>
                <w:szCs w:val="21"/>
              </w:rPr>
              <w:t>21.95</w:t>
            </w:r>
          </w:p>
        </w:tc>
        <w:tc>
          <w:tcPr>
            <w:tcW w:w="956" w:type="dxa"/>
            <w:vAlign w:val="center"/>
          </w:tcPr>
          <w:p>
            <w:pPr>
              <w:jc w:val="center"/>
              <w:rPr>
                <w:b/>
                <w:color w:val="auto"/>
                <w:sz w:val="21"/>
                <w:szCs w:val="21"/>
              </w:rPr>
            </w:pPr>
            <w:r>
              <w:rPr>
                <w:color w:val="auto"/>
                <w:sz w:val="21"/>
                <w:szCs w:val="21"/>
              </w:rPr>
              <w:t>17.56</w:t>
            </w:r>
          </w:p>
        </w:tc>
        <w:tc>
          <w:tcPr>
            <w:tcW w:w="912" w:type="dxa"/>
            <w:vAlign w:val="center"/>
          </w:tcPr>
          <w:p>
            <w:pPr>
              <w:jc w:val="center"/>
              <w:rPr>
                <w:b/>
                <w:color w:val="auto"/>
                <w:sz w:val="21"/>
                <w:szCs w:val="21"/>
              </w:rPr>
            </w:pPr>
            <w:r>
              <w:rPr>
                <w:color w:val="auto"/>
                <w:sz w:val="21"/>
                <w:szCs w:val="21"/>
              </w:rPr>
              <w:t>0</w:t>
            </w:r>
          </w:p>
        </w:tc>
        <w:tc>
          <w:tcPr>
            <w:tcW w:w="956" w:type="dxa"/>
            <w:vAlign w:val="center"/>
          </w:tcPr>
          <w:p>
            <w:pPr>
              <w:jc w:val="center"/>
              <w:rPr>
                <w:b/>
                <w:color w:val="auto"/>
                <w:sz w:val="21"/>
                <w:szCs w:val="21"/>
              </w:rPr>
            </w:pPr>
            <w:r>
              <w:rPr>
                <w:color w:val="auto"/>
                <w:sz w:val="21"/>
                <w:szCs w:val="21"/>
              </w:rPr>
              <w:t>0</w:t>
            </w:r>
          </w:p>
        </w:tc>
        <w:tc>
          <w:tcPr>
            <w:tcW w:w="956" w:type="dxa"/>
            <w:vAlign w:val="center"/>
          </w:tcPr>
          <w:p>
            <w:pPr>
              <w:jc w:val="center"/>
              <w:rPr>
                <w:b/>
                <w:color w:val="auto"/>
                <w:sz w:val="21"/>
                <w:szCs w:val="21"/>
              </w:rPr>
            </w:pPr>
            <w:r>
              <w:rPr>
                <w:color w:val="auto"/>
                <w:sz w:val="21"/>
                <w:szCs w:val="21"/>
              </w:rPr>
              <w:t>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80" w:type="dxa"/>
            <w:vAlign w:val="center"/>
          </w:tcPr>
          <w:p>
            <w:pPr>
              <w:jc w:val="center"/>
              <w:rPr>
                <w:b/>
                <w:color w:val="auto"/>
                <w:sz w:val="21"/>
                <w:szCs w:val="21"/>
              </w:rPr>
            </w:pPr>
            <w:r>
              <w:rPr>
                <w:color w:val="auto"/>
                <w:sz w:val="21"/>
                <w:szCs w:val="21"/>
              </w:rPr>
              <w:t>2022</w:t>
            </w:r>
          </w:p>
        </w:tc>
        <w:tc>
          <w:tcPr>
            <w:tcW w:w="901" w:type="dxa"/>
            <w:vAlign w:val="center"/>
          </w:tcPr>
          <w:p>
            <w:pPr>
              <w:jc w:val="center"/>
              <w:rPr>
                <w:b/>
                <w:color w:val="auto"/>
                <w:sz w:val="21"/>
                <w:szCs w:val="21"/>
              </w:rPr>
            </w:pPr>
            <w:r>
              <w:rPr>
                <w:color w:val="auto"/>
                <w:sz w:val="21"/>
                <w:szCs w:val="21"/>
              </w:rPr>
              <w:t>28.13</w:t>
            </w:r>
          </w:p>
        </w:tc>
        <w:tc>
          <w:tcPr>
            <w:tcW w:w="956" w:type="dxa"/>
            <w:vAlign w:val="center"/>
          </w:tcPr>
          <w:p>
            <w:pPr>
              <w:jc w:val="center"/>
              <w:rPr>
                <w:b/>
                <w:color w:val="auto"/>
                <w:sz w:val="21"/>
                <w:szCs w:val="21"/>
              </w:rPr>
            </w:pPr>
            <w:r>
              <w:rPr>
                <w:color w:val="auto"/>
                <w:sz w:val="21"/>
                <w:szCs w:val="21"/>
              </w:rPr>
              <w:t>22.50</w:t>
            </w:r>
          </w:p>
        </w:tc>
        <w:tc>
          <w:tcPr>
            <w:tcW w:w="911" w:type="dxa"/>
            <w:vAlign w:val="center"/>
          </w:tcPr>
          <w:p>
            <w:pPr>
              <w:jc w:val="center"/>
              <w:rPr>
                <w:b/>
                <w:color w:val="auto"/>
                <w:sz w:val="21"/>
                <w:szCs w:val="21"/>
              </w:rPr>
            </w:pPr>
            <w:r>
              <w:rPr>
                <w:color w:val="auto"/>
                <w:sz w:val="21"/>
                <w:szCs w:val="21"/>
              </w:rPr>
              <w:t>15%</w:t>
            </w:r>
          </w:p>
        </w:tc>
        <w:tc>
          <w:tcPr>
            <w:tcW w:w="956" w:type="dxa"/>
            <w:vAlign w:val="center"/>
          </w:tcPr>
          <w:p>
            <w:pPr>
              <w:jc w:val="center"/>
              <w:rPr>
                <w:b/>
                <w:color w:val="auto"/>
                <w:sz w:val="21"/>
                <w:szCs w:val="21"/>
              </w:rPr>
            </w:pPr>
            <w:r>
              <w:rPr>
                <w:color w:val="auto"/>
                <w:sz w:val="21"/>
                <w:szCs w:val="21"/>
              </w:rPr>
              <w:t>3.38</w:t>
            </w:r>
          </w:p>
        </w:tc>
        <w:tc>
          <w:tcPr>
            <w:tcW w:w="902" w:type="dxa"/>
            <w:vAlign w:val="center"/>
          </w:tcPr>
          <w:p>
            <w:pPr>
              <w:jc w:val="center"/>
              <w:rPr>
                <w:b/>
                <w:color w:val="auto"/>
                <w:sz w:val="21"/>
                <w:szCs w:val="21"/>
              </w:rPr>
            </w:pPr>
            <w:r>
              <w:rPr>
                <w:color w:val="auto"/>
                <w:sz w:val="21"/>
                <w:szCs w:val="21"/>
              </w:rPr>
              <w:t>22.44</w:t>
            </w:r>
          </w:p>
        </w:tc>
        <w:tc>
          <w:tcPr>
            <w:tcW w:w="956" w:type="dxa"/>
            <w:vAlign w:val="center"/>
          </w:tcPr>
          <w:p>
            <w:pPr>
              <w:jc w:val="center"/>
              <w:rPr>
                <w:b/>
                <w:color w:val="auto"/>
                <w:sz w:val="21"/>
                <w:szCs w:val="21"/>
              </w:rPr>
            </w:pPr>
            <w:r>
              <w:rPr>
                <w:color w:val="auto"/>
                <w:sz w:val="21"/>
                <w:szCs w:val="21"/>
              </w:rPr>
              <w:t>17.95</w:t>
            </w:r>
          </w:p>
        </w:tc>
        <w:tc>
          <w:tcPr>
            <w:tcW w:w="912" w:type="dxa"/>
            <w:vAlign w:val="center"/>
          </w:tcPr>
          <w:p>
            <w:pPr>
              <w:jc w:val="center"/>
              <w:rPr>
                <w:b/>
                <w:color w:val="auto"/>
                <w:sz w:val="21"/>
                <w:szCs w:val="21"/>
              </w:rPr>
            </w:pPr>
            <w:r>
              <w:rPr>
                <w:color w:val="auto"/>
                <w:sz w:val="21"/>
                <w:szCs w:val="21"/>
              </w:rPr>
              <w:t>0</w:t>
            </w:r>
          </w:p>
        </w:tc>
        <w:tc>
          <w:tcPr>
            <w:tcW w:w="956" w:type="dxa"/>
            <w:vAlign w:val="center"/>
          </w:tcPr>
          <w:p>
            <w:pPr>
              <w:jc w:val="center"/>
              <w:rPr>
                <w:b/>
                <w:color w:val="auto"/>
                <w:sz w:val="21"/>
                <w:szCs w:val="21"/>
              </w:rPr>
            </w:pPr>
            <w:r>
              <w:rPr>
                <w:color w:val="auto"/>
                <w:sz w:val="21"/>
                <w:szCs w:val="21"/>
              </w:rPr>
              <w:t>0</w:t>
            </w:r>
          </w:p>
        </w:tc>
        <w:tc>
          <w:tcPr>
            <w:tcW w:w="956" w:type="dxa"/>
            <w:vAlign w:val="center"/>
          </w:tcPr>
          <w:p>
            <w:pPr>
              <w:jc w:val="center"/>
              <w:rPr>
                <w:b/>
                <w:color w:val="auto"/>
                <w:sz w:val="21"/>
                <w:szCs w:val="21"/>
              </w:rPr>
            </w:pPr>
            <w:r>
              <w:rPr>
                <w:color w:val="auto"/>
                <w:sz w:val="21"/>
                <w:szCs w:val="21"/>
              </w:rPr>
              <w:t>3.38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80" w:type="dxa"/>
            <w:vAlign w:val="center"/>
          </w:tcPr>
          <w:p>
            <w:pPr>
              <w:jc w:val="center"/>
              <w:rPr>
                <w:b/>
                <w:color w:val="auto"/>
                <w:sz w:val="21"/>
                <w:szCs w:val="21"/>
              </w:rPr>
            </w:pPr>
            <w:r>
              <w:rPr>
                <w:color w:val="auto"/>
                <w:sz w:val="21"/>
                <w:szCs w:val="21"/>
              </w:rPr>
              <w:t>2023</w:t>
            </w:r>
          </w:p>
        </w:tc>
        <w:tc>
          <w:tcPr>
            <w:tcW w:w="901" w:type="dxa"/>
            <w:vAlign w:val="center"/>
          </w:tcPr>
          <w:p>
            <w:pPr>
              <w:jc w:val="center"/>
              <w:rPr>
                <w:b/>
                <w:color w:val="auto"/>
                <w:sz w:val="21"/>
                <w:szCs w:val="21"/>
              </w:rPr>
            </w:pPr>
            <w:r>
              <w:rPr>
                <w:color w:val="auto"/>
                <w:sz w:val="21"/>
                <w:szCs w:val="21"/>
              </w:rPr>
              <w:t>28.75</w:t>
            </w:r>
          </w:p>
        </w:tc>
        <w:tc>
          <w:tcPr>
            <w:tcW w:w="956" w:type="dxa"/>
            <w:vAlign w:val="center"/>
          </w:tcPr>
          <w:p>
            <w:pPr>
              <w:jc w:val="center"/>
              <w:rPr>
                <w:b/>
                <w:color w:val="auto"/>
                <w:sz w:val="21"/>
                <w:szCs w:val="21"/>
              </w:rPr>
            </w:pPr>
            <w:r>
              <w:rPr>
                <w:color w:val="auto"/>
                <w:sz w:val="21"/>
                <w:szCs w:val="21"/>
              </w:rPr>
              <w:t>23.00</w:t>
            </w:r>
          </w:p>
        </w:tc>
        <w:tc>
          <w:tcPr>
            <w:tcW w:w="911" w:type="dxa"/>
            <w:vAlign w:val="center"/>
          </w:tcPr>
          <w:p>
            <w:pPr>
              <w:jc w:val="center"/>
              <w:rPr>
                <w:b/>
                <w:color w:val="auto"/>
                <w:sz w:val="21"/>
                <w:szCs w:val="21"/>
              </w:rPr>
            </w:pPr>
            <w:r>
              <w:rPr>
                <w:color w:val="auto"/>
                <w:sz w:val="21"/>
                <w:szCs w:val="21"/>
              </w:rPr>
              <w:t>15%</w:t>
            </w:r>
          </w:p>
        </w:tc>
        <w:tc>
          <w:tcPr>
            <w:tcW w:w="956" w:type="dxa"/>
            <w:vAlign w:val="center"/>
          </w:tcPr>
          <w:p>
            <w:pPr>
              <w:jc w:val="center"/>
              <w:rPr>
                <w:b/>
                <w:color w:val="auto"/>
                <w:sz w:val="21"/>
                <w:szCs w:val="21"/>
              </w:rPr>
            </w:pPr>
            <w:r>
              <w:rPr>
                <w:color w:val="auto"/>
                <w:sz w:val="21"/>
                <w:szCs w:val="21"/>
              </w:rPr>
              <w:t>3.45</w:t>
            </w:r>
          </w:p>
        </w:tc>
        <w:tc>
          <w:tcPr>
            <w:tcW w:w="902" w:type="dxa"/>
            <w:vAlign w:val="center"/>
          </w:tcPr>
          <w:p>
            <w:pPr>
              <w:jc w:val="center"/>
              <w:rPr>
                <w:b/>
                <w:color w:val="auto"/>
                <w:sz w:val="21"/>
                <w:szCs w:val="21"/>
              </w:rPr>
            </w:pPr>
            <w:r>
              <w:rPr>
                <w:color w:val="auto"/>
                <w:sz w:val="21"/>
                <w:szCs w:val="21"/>
              </w:rPr>
              <w:t>22.94</w:t>
            </w:r>
          </w:p>
        </w:tc>
        <w:tc>
          <w:tcPr>
            <w:tcW w:w="956" w:type="dxa"/>
            <w:vAlign w:val="center"/>
          </w:tcPr>
          <w:p>
            <w:pPr>
              <w:jc w:val="center"/>
              <w:rPr>
                <w:b/>
                <w:color w:val="auto"/>
                <w:sz w:val="21"/>
                <w:szCs w:val="21"/>
              </w:rPr>
            </w:pPr>
            <w:r>
              <w:rPr>
                <w:color w:val="auto"/>
                <w:sz w:val="21"/>
                <w:szCs w:val="21"/>
              </w:rPr>
              <w:t>18.35</w:t>
            </w:r>
          </w:p>
        </w:tc>
        <w:tc>
          <w:tcPr>
            <w:tcW w:w="912" w:type="dxa"/>
            <w:vAlign w:val="center"/>
          </w:tcPr>
          <w:p>
            <w:pPr>
              <w:jc w:val="center"/>
              <w:rPr>
                <w:b/>
                <w:color w:val="auto"/>
                <w:sz w:val="21"/>
                <w:szCs w:val="21"/>
              </w:rPr>
            </w:pPr>
            <w:r>
              <w:rPr>
                <w:color w:val="auto"/>
                <w:sz w:val="21"/>
                <w:szCs w:val="21"/>
              </w:rPr>
              <w:t>0</w:t>
            </w:r>
          </w:p>
        </w:tc>
        <w:tc>
          <w:tcPr>
            <w:tcW w:w="956" w:type="dxa"/>
            <w:vAlign w:val="center"/>
          </w:tcPr>
          <w:p>
            <w:pPr>
              <w:jc w:val="center"/>
              <w:rPr>
                <w:b/>
                <w:color w:val="auto"/>
                <w:sz w:val="21"/>
                <w:szCs w:val="21"/>
              </w:rPr>
            </w:pPr>
            <w:r>
              <w:rPr>
                <w:color w:val="auto"/>
                <w:sz w:val="21"/>
                <w:szCs w:val="21"/>
              </w:rPr>
              <w:t>0</w:t>
            </w:r>
          </w:p>
        </w:tc>
        <w:tc>
          <w:tcPr>
            <w:tcW w:w="956" w:type="dxa"/>
            <w:vAlign w:val="center"/>
          </w:tcPr>
          <w:p>
            <w:pPr>
              <w:jc w:val="center"/>
              <w:rPr>
                <w:b/>
                <w:color w:val="auto"/>
                <w:sz w:val="21"/>
                <w:szCs w:val="21"/>
              </w:rPr>
            </w:pPr>
            <w:r>
              <w:rPr>
                <w:color w:val="auto"/>
                <w:sz w:val="21"/>
                <w:szCs w:val="21"/>
              </w:rPr>
              <w:t>3.45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80" w:type="dxa"/>
            <w:vAlign w:val="center"/>
          </w:tcPr>
          <w:p>
            <w:pPr>
              <w:jc w:val="center"/>
              <w:rPr>
                <w:b/>
                <w:color w:val="auto"/>
                <w:sz w:val="21"/>
                <w:szCs w:val="21"/>
              </w:rPr>
            </w:pPr>
            <w:r>
              <w:rPr>
                <w:color w:val="auto"/>
                <w:sz w:val="21"/>
                <w:szCs w:val="21"/>
              </w:rPr>
              <w:t>2024</w:t>
            </w:r>
          </w:p>
        </w:tc>
        <w:tc>
          <w:tcPr>
            <w:tcW w:w="901" w:type="dxa"/>
            <w:vAlign w:val="center"/>
          </w:tcPr>
          <w:p>
            <w:pPr>
              <w:jc w:val="center"/>
              <w:rPr>
                <w:b/>
                <w:color w:val="auto"/>
                <w:sz w:val="21"/>
                <w:szCs w:val="21"/>
              </w:rPr>
            </w:pPr>
            <w:r>
              <w:rPr>
                <w:color w:val="auto"/>
                <w:sz w:val="21"/>
                <w:szCs w:val="21"/>
              </w:rPr>
              <w:t>29.39</w:t>
            </w:r>
          </w:p>
        </w:tc>
        <w:tc>
          <w:tcPr>
            <w:tcW w:w="956" w:type="dxa"/>
            <w:vAlign w:val="center"/>
          </w:tcPr>
          <w:p>
            <w:pPr>
              <w:jc w:val="center"/>
              <w:rPr>
                <w:b/>
                <w:color w:val="auto"/>
                <w:sz w:val="21"/>
                <w:szCs w:val="21"/>
              </w:rPr>
            </w:pPr>
            <w:r>
              <w:rPr>
                <w:color w:val="auto"/>
                <w:sz w:val="21"/>
                <w:szCs w:val="21"/>
              </w:rPr>
              <w:t>23.51</w:t>
            </w:r>
          </w:p>
        </w:tc>
        <w:tc>
          <w:tcPr>
            <w:tcW w:w="911" w:type="dxa"/>
            <w:vAlign w:val="center"/>
          </w:tcPr>
          <w:p>
            <w:pPr>
              <w:jc w:val="center"/>
              <w:rPr>
                <w:b/>
                <w:color w:val="auto"/>
                <w:sz w:val="21"/>
                <w:szCs w:val="21"/>
              </w:rPr>
            </w:pPr>
            <w:r>
              <w:rPr>
                <w:color w:val="auto"/>
                <w:sz w:val="21"/>
                <w:szCs w:val="21"/>
              </w:rPr>
              <w:t>15%</w:t>
            </w:r>
          </w:p>
        </w:tc>
        <w:tc>
          <w:tcPr>
            <w:tcW w:w="956" w:type="dxa"/>
            <w:vAlign w:val="center"/>
          </w:tcPr>
          <w:p>
            <w:pPr>
              <w:jc w:val="center"/>
              <w:rPr>
                <w:b/>
                <w:color w:val="auto"/>
                <w:sz w:val="21"/>
                <w:szCs w:val="21"/>
              </w:rPr>
            </w:pPr>
            <w:r>
              <w:rPr>
                <w:color w:val="auto"/>
                <w:sz w:val="21"/>
                <w:szCs w:val="21"/>
              </w:rPr>
              <w:t>3.53</w:t>
            </w:r>
          </w:p>
        </w:tc>
        <w:tc>
          <w:tcPr>
            <w:tcW w:w="902" w:type="dxa"/>
            <w:vAlign w:val="center"/>
          </w:tcPr>
          <w:p>
            <w:pPr>
              <w:jc w:val="center"/>
              <w:rPr>
                <w:b/>
                <w:color w:val="auto"/>
                <w:sz w:val="21"/>
                <w:szCs w:val="21"/>
              </w:rPr>
            </w:pPr>
            <w:r>
              <w:rPr>
                <w:color w:val="auto"/>
                <w:sz w:val="21"/>
                <w:szCs w:val="21"/>
              </w:rPr>
              <w:t>23.45</w:t>
            </w:r>
          </w:p>
        </w:tc>
        <w:tc>
          <w:tcPr>
            <w:tcW w:w="956" w:type="dxa"/>
            <w:vAlign w:val="center"/>
          </w:tcPr>
          <w:p>
            <w:pPr>
              <w:jc w:val="center"/>
              <w:rPr>
                <w:b/>
                <w:color w:val="auto"/>
                <w:sz w:val="21"/>
                <w:szCs w:val="21"/>
              </w:rPr>
            </w:pPr>
            <w:r>
              <w:rPr>
                <w:color w:val="auto"/>
                <w:sz w:val="21"/>
                <w:szCs w:val="21"/>
              </w:rPr>
              <w:t>18.76</w:t>
            </w:r>
          </w:p>
        </w:tc>
        <w:tc>
          <w:tcPr>
            <w:tcW w:w="912" w:type="dxa"/>
            <w:vAlign w:val="center"/>
          </w:tcPr>
          <w:p>
            <w:pPr>
              <w:jc w:val="center"/>
              <w:rPr>
                <w:b/>
                <w:color w:val="auto"/>
                <w:sz w:val="21"/>
                <w:szCs w:val="21"/>
              </w:rPr>
            </w:pPr>
            <w:r>
              <w:rPr>
                <w:color w:val="auto"/>
                <w:sz w:val="21"/>
                <w:szCs w:val="21"/>
              </w:rPr>
              <w:t>0</w:t>
            </w:r>
          </w:p>
        </w:tc>
        <w:tc>
          <w:tcPr>
            <w:tcW w:w="956" w:type="dxa"/>
            <w:vAlign w:val="center"/>
          </w:tcPr>
          <w:p>
            <w:pPr>
              <w:jc w:val="center"/>
              <w:rPr>
                <w:b/>
                <w:color w:val="auto"/>
                <w:sz w:val="21"/>
                <w:szCs w:val="21"/>
              </w:rPr>
            </w:pPr>
            <w:r>
              <w:rPr>
                <w:color w:val="auto"/>
                <w:sz w:val="21"/>
                <w:szCs w:val="21"/>
              </w:rPr>
              <w:t>0</w:t>
            </w:r>
          </w:p>
        </w:tc>
        <w:tc>
          <w:tcPr>
            <w:tcW w:w="956" w:type="dxa"/>
            <w:vAlign w:val="center"/>
          </w:tcPr>
          <w:p>
            <w:pPr>
              <w:jc w:val="center"/>
              <w:rPr>
                <w:b/>
                <w:color w:val="auto"/>
                <w:sz w:val="21"/>
                <w:szCs w:val="21"/>
              </w:rPr>
            </w:pPr>
            <w:r>
              <w:rPr>
                <w:color w:val="auto"/>
                <w:sz w:val="21"/>
                <w:szCs w:val="21"/>
              </w:rPr>
              <w:t>3.53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80" w:type="dxa"/>
            <w:vAlign w:val="center"/>
          </w:tcPr>
          <w:p>
            <w:pPr>
              <w:jc w:val="center"/>
              <w:rPr>
                <w:b/>
                <w:color w:val="auto"/>
                <w:sz w:val="21"/>
                <w:szCs w:val="21"/>
              </w:rPr>
            </w:pPr>
            <w:r>
              <w:rPr>
                <w:color w:val="auto"/>
                <w:sz w:val="21"/>
                <w:szCs w:val="21"/>
              </w:rPr>
              <w:t>2025</w:t>
            </w:r>
          </w:p>
        </w:tc>
        <w:tc>
          <w:tcPr>
            <w:tcW w:w="901" w:type="dxa"/>
            <w:vAlign w:val="center"/>
          </w:tcPr>
          <w:p>
            <w:pPr>
              <w:jc w:val="center"/>
              <w:rPr>
                <w:b/>
                <w:color w:val="auto"/>
                <w:sz w:val="21"/>
                <w:szCs w:val="21"/>
              </w:rPr>
            </w:pPr>
            <w:r>
              <w:rPr>
                <w:color w:val="auto"/>
                <w:sz w:val="21"/>
                <w:szCs w:val="21"/>
              </w:rPr>
              <w:t>30.05</w:t>
            </w:r>
          </w:p>
        </w:tc>
        <w:tc>
          <w:tcPr>
            <w:tcW w:w="956" w:type="dxa"/>
            <w:vAlign w:val="center"/>
          </w:tcPr>
          <w:p>
            <w:pPr>
              <w:jc w:val="center"/>
              <w:rPr>
                <w:b/>
                <w:color w:val="auto"/>
                <w:sz w:val="21"/>
                <w:szCs w:val="21"/>
              </w:rPr>
            </w:pPr>
            <w:r>
              <w:rPr>
                <w:color w:val="auto"/>
                <w:sz w:val="21"/>
                <w:szCs w:val="21"/>
              </w:rPr>
              <w:t>24.04</w:t>
            </w:r>
          </w:p>
        </w:tc>
        <w:tc>
          <w:tcPr>
            <w:tcW w:w="911" w:type="dxa"/>
            <w:vAlign w:val="center"/>
          </w:tcPr>
          <w:p>
            <w:pPr>
              <w:jc w:val="center"/>
              <w:rPr>
                <w:b/>
                <w:color w:val="auto"/>
                <w:sz w:val="21"/>
                <w:szCs w:val="21"/>
              </w:rPr>
            </w:pPr>
            <w:r>
              <w:rPr>
                <w:color w:val="auto"/>
                <w:sz w:val="21"/>
                <w:szCs w:val="21"/>
              </w:rPr>
              <w:t>20%</w:t>
            </w:r>
          </w:p>
        </w:tc>
        <w:tc>
          <w:tcPr>
            <w:tcW w:w="956" w:type="dxa"/>
            <w:vAlign w:val="center"/>
          </w:tcPr>
          <w:p>
            <w:pPr>
              <w:jc w:val="center"/>
              <w:rPr>
                <w:b/>
                <w:color w:val="auto"/>
                <w:sz w:val="21"/>
                <w:szCs w:val="21"/>
              </w:rPr>
            </w:pPr>
            <w:r>
              <w:rPr>
                <w:color w:val="auto"/>
                <w:sz w:val="21"/>
                <w:szCs w:val="21"/>
              </w:rPr>
              <w:t>4.81</w:t>
            </w:r>
          </w:p>
        </w:tc>
        <w:tc>
          <w:tcPr>
            <w:tcW w:w="902" w:type="dxa"/>
            <w:vAlign w:val="center"/>
          </w:tcPr>
          <w:p>
            <w:pPr>
              <w:jc w:val="center"/>
              <w:rPr>
                <w:b/>
                <w:color w:val="auto"/>
                <w:sz w:val="21"/>
                <w:szCs w:val="21"/>
              </w:rPr>
            </w:pPr>
            <w:r>
              <w:rPr>
                <w:color w:val="auto"/>
                <w:sz w:val="21"/>
                <w:szCs w:val="21"/>
              </w:rPr>
              <w:t>23.97</w:t>
            </w:r>
          </w:p>
        </w:tc>
        <w:tc>
          <w:tcPr>
            <w:tcW w:w="956" w:type="dxa"/>
            <w:vAlign w:val="center"/>
          </w:tcPr>
          <w:p>
            <w:pPr>
              <w:jc w:val="center"/>
              <w:rPr>
                <w:b/>
                <w:color w:val="auto"/>
                <w:sz w:val="21"/>
                <w:szCs w:val="21"/>
              </w:rPr>
            </w:pPr>
            <w:r>
              <w:rPr>
                <w:color w:val="auto"/>
                <w:sz w:val="21"/>
                <w:szCs w:val="21"/>
              </w:rPr>
              <w:t>19.18</w:t>
            </w:r>
          </w:p>
        </w:tc>
        <w:tc>
          <w:tcPr>
            <w:tcW w:w="912" w:type="dxa"/>
            <w:vAlign w:val="center"/>
          </w:tcPr>
          <w:p>
            <w:pPr>
              <w:jc w:val="center"/>
              <w:rPr>
                <w:b/>
                <w:color w:val="auto"/>
                <w:sz w:val="21"/>
                <w:szCs w:val="21"/>
              </w:rPr>
            </w:pPr>
            <w:r>
              <w:rPr>
                <w:color w:val="auto"/>
                <w:sz w:val="21"/>
                <w:szCs w:val="21"/>
              </w:rPr>
              <w:t>10</w:t>
            </w:r>
          </w:p>
        </w:tc>
        <w:tc>
          <w:tcPr>
            <w:tcW w:w="956" w:type="dxa"/>
            <w:vAlign w:val="center"/>
          </w:tcPr>
          <w:p>
            <w:pPr>
              <w:jc w:val="center"/>
              <w:rPr>
                <w:b/>
                <w:color w:val="auto"/>
                <w:sz w:val="21"/>
                <w:szCs w:val="21"/>
              </w:rPr>
            </w:pPr>
            <w:r>
              <w:rPr>
                <w:color w:val="auto"/>
                <w:sz w:val="21"/>
                <w:szCs w:val="21"/>
              </w:rPr>
              <w:t>1.92</w:t>
            </w:r>
          </w:p>
        </w:tc>
        <w:tc>
          <w:tcPr>
            <w:tcW w:w="956" w:type="dxa"/>
            <w:vAlign w:val="center"/>
          </w:tcPr>
          <w:p>
            <w:pPr>
              <w:jc w:val="center"/>
              <w:rPr>
                <w:b/>
                <w:color w:val="auto"/>
                <w:sz w:val="21"/>
                <w:szCs w:val="21"/>
              </w:rPr>
            </w:pPr>
            <w:r>
              <w:rPr>
                <w:color w:val="auto"/>
                <w:sz w:val="21"/>
                <w:szCs w:val="21"/>
              </w:rPr>
              <w:t>6.73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80" w:type="dxa"/>
            <w:vAlign w:val="center"/>
          </w:tcPr>
          <w:p>
            <w:pPr>
              <w:jc w:val="center"/>
              <w:rPr>
                <w:b/>
                <w:color w:val="auto"/>
                <w:sz w:val="21"/>
                <w:szCs w:val="21"/>
              </w:rPr>
            </w:pPr>
            <w:r>
              <w:rPr>
                <w:color w:val="auto"/>
                <w:sz w:val="21"/>
                <w:szCs w:val="21"/>
              </w:rPr>
              <w:t>2026</w:t>
            </w:r>
          </w:p>
        </w:tc>
        <w:tc>
          <w:tcPr>
            <w:tcW w:w="901" w:type="dxa"/>
            <w:vAlign w:val="center"/>
          </w:tcPr>
          <w:p>
            <w:pPr>
              <w:jc w:val="center"/>
              <w:rPr>
                <w:b/>
                <w:color w:val="auto"/>
                <w:sz w:val="21"/>
                <w:szCs w:val="21"/>
              </w:rPr>
            </w:pPr>
            <w:r>
              <w:rPr>
                <w:color w:val="auto"/>
                <w:sz w:val="21"/>
                <w:szCs w:val="21"/>
              </w:rPr>
              <w:t>30.72</w:t>
            </w:r>
          </w:p>
        </w:tc>
        <w:tc>
          <w:tcPr>
            <w:tcW w:w="956" w:type="dxa"/>
            <w:vAlign w:val="center"/>
          </w:tcPr>
          <w:p>
            <w:pPr>
              <w:jc w:val="center"/>
              <w:rPr>
                <w:b/>
                <w:color w:val="auto"/>
                <w:sz w:val="21"/>
                <w:szCs w:val="21"/>
              </w:rPr>
            </w:pPr>
            <w:r>
              <w:rPr>
                <w:color w:val="auto"/>
                <w:sz w:val="21"/>
                <w:szCs w:val="21"/>
              </w:rPr>
              <w:t>24.58</w:t>
            </w:r>
          </w:p>
        </w:tc>
        <w:tc>
          <w:tcPr>
            <w:tcW w:w="911" w:type="dxa"/>
            <w:vAlign w:val="center"/>
          </w:tcPr>
          <w:p>
            <w:pPr>
              <w:jc w:val="center"/>
              <w:rPr>
                <w:b/>
                <w:color w:val="auto"/>
                <w:sz w:val="21"/>
                <w:szCs w:val="21"/>
              </w:rPr>
            </w:pPr>
            <w:r>
              <w:rPr>
                <w:color w:val="auto"/>
                <w:sz w:val="21"/>
                <w:szCs w:val="21"/>
              </w:rPr>
              <w:t>20%</w:t>
            </w:r>
          </w:p>
        </w:tc>
        <w:tc>
          <w:tcPr>
            <w:tcW w:w="956" w:type="dxa"/>
            <w:vAlign w:val="center"/>
          </w:tcPr>
          <w:p>
            <w:pPr>
              <w:jc w:val="center"/>
              <w:rPr>
                <w:b/>
                <w:color w:val="auto"/>
                <w:sz w:val="21"/>
                <w:szCs w:val="21"/>
              </w:rPr>
            </w:pPr>
            <w:r>
              <w:rPr>
                <w:color w:val="auto"/>
                <w:sz w:val="21"/>
                <w:szCs w:val="21"/>
              </w:rPr>
              <w:t>4.92</w:t>
            </w:r>
          </w:p>
        </w:tc>
        <w:tc>
          <w:tcPr>
            <w:tcW w:w="902" w:type="dxa"/>
            <w:vAlign w:val="center"/>
          </w:tcPr>
          <w:p>
            <w:pPr>
              <w:jc w:val="center"/>
              <w:rPr>
                <w:b/>
                <w:color w:val="auto"/>
                <w:sz w:val="21"/>
                <w:szCs w:val="21"/>
              </w:rPr>
            </w:pPr>
            <w:r>
              <w:rPr>
                <w:color w:val="auto"/>
                <w:sz w:val="21"/>
                <w:szCs w:val="21"/>
              </w:rPr>
              <w:t>24.5</w:t>
            </w:r>
          </w:p>
        </w:tc>
        <w:tc>
          <w:tcPr>
            <w:tcW w:w="956" w:type="dxa"/>
            <w:vAlign w:val="center"/>
          </w:tcPr>
          <w:p>
            <w:pPr>
              <w:jc w:val="center"/>
              <w:rPr>
                <w:b/>
                <w:color w:val="auto"/>
                <w:sz w:val="21"/>
                <w:szCs w:val="21"/>
              </w:rPr>
            </w:pPr>
            <w:r>
              <w:rPr>
                <w:color w:val="auto"/>
                <w:sz w:val="21"/>
                <w:szCs w:val="21"/>
              </w:rPr>
              <w:t>19.60</w:t>
            </w:r>
          </w:p>
        </w:tc>
        <w:tc>
          <w:tcPr>
            <w:tcW w:w="912" w:type="dxa"/>
            <w:vAlign w:val="center"/>
          </w:tcPr>
          <w:p>
            <w:pPr>
              <w:jc w:val="center"/>
              <w:rPr>
                <w:b/>
                <w:color w:val="auto"/>
                <w:sz w:val="21"/>
                <w:szCs w:val="21"/>
              </w:rPr>
            </w:pPr>
            <w:r>
              <w:rPr>
                <w:color w:val="auto"/>
                <w:sz w:val="21"/>
                <w:szCs w:val="21"/>
              </w:rPr>
              <w:t>10</w:t>
            </w:r>
          </w:p>
        </w:tc>
        <w:tc>
          <w:tcPr>
            <w:tcW w:w="956" w:type="dxa"/>
            <w:vAlign w:val="center"/>
          </w:tcPr>
          <w:p>
            <w:pPr>
              <w:jc w:val="center"/>
              <w:rPr>
                <w:b/>
                <w:color w:val="auto"/>
                <w:sz w:val="21"/>
                <w:szCs w:val="21"/>
              </w:rPr>
            </w:pPr>
            <w:r>
              <w:rPr>
                <w:color w:val="auto"/>
                <w:sz w:val="21"/>
                <w:szCs w:val="21"/>
              </w:rPr>
              <w:t>1.96</w:t>
            </w:r>
          </w:p>
        </w:tc>
        <w:tc>
          <w:tcPr>
            <w:tcW w:w="956" w:type="dxa"/>
            <w:vAlign w:val="center"/>
          </w:tcPr>
          <w:p>
            <w:pPr>
              <w:jc w:val="center"/>
              <w:rPr>
                <w:b/>
                <w:color w:val="auto"/>
                <w:sz w:val="21"/>
                <w:szCs w:val="21"/>
              </w:rPr>
            </w:pPr>
            <w:r>
              <w:rPr>
                <w:color w:val="auto"/>
                <w:sz w:val="21"/>
                <w:szCs w:val="21"/>
              </w:rPr>
              <w:t>6.88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80" w:type="dxa"/>
            <w:vAlign w:val="center"/>
          </w:tcPr>
          <w:p>
            <w:pPr>
              <w:jc w:val="center"/>
              <w:rPr>
                <w:b/>
                <w:color w:val="auto"/>
                <w:sz w:val="21"/>
                <w:szCs w:val="21"/>
              </w:rPr>
            </w:pPr>
            <w:r>
              <w:rPr>
                <w:color w:val="auto"/>
                <w:sz w:val="21"/>
                <w:szCs w:val="21"/>
              </w:rPr>
              <w:t>2027</w:t>
            </w:r>
          </w:p>
        </w:tc>
        <w:tc>
          <w:tcPr>
            <w:tcW w:w="901" w:type="dxa"/>
            <w:vAlign w:val="center"/>
          </w:tcPr>
          <w:p>
            <w:pPr>
              <w:jc w:val="center"/>
              <w:rPr>
                <w:b/>
                <w:color w:val="auto"/>
                <w:sz w:val="21"/>
                <w:szCs w:val="21"/>
              </w:rPr>
            </w:pPr>
            <w:r>
              <w:rPr>
                <w:color w:val="auto"/>
                <w:sz w:val="21"/>
                <w:szCs w:val="21"/>
              </w:rPr>
              <w:t>31.4</w:t>
            </w:r>
          </w:p>
        </w:tc>
        <w:tc>
          <w:tcPr>
            <w:tcW w:w="956" w:type="dxa"/>
            <w:vAlign w:val="center"/>
          </w:tcPr>
          <w:p>
            <w:pPr>
              <w:jc w:val="center"/>
              <w:rPr>
                <w:b/>
                <w:color w:val="auto"/>
                <w:sz w:val="21"/>
                <w:szCs w:val="21"/>
              </w:rPr>
            </w:pPr>
            <w:r>
              <w:rPr>
                <w:color w:val="auto"/>
                <w:sz w:val="21"/>
                <w:szCs w:val="21"/>
              </w:rPr>
              <w:t>25.12</w:t>
            </w:r>
          </w:p>
        </w:tc>
        <w:tc>
          <w:tcPr>
            <w:tcW w:w="911" w:type="dxa"/>
            <w:vAlign w:val="center"/>
          </w:tcPr>
          <w:p>
            <w:pPr>
              <w:jc w:val="center"/>
              <w:rPr>
                <w:b/>
                <w:color w:val="auto"/>
                <w:sz w:val="21"/>
                <w:szCs w:val="21"/>
              </w:rPr>
            </w:pPr>
            <w:r>
              <w:rPr>
                <w:color w:val="auto"/>
                <w:sz w:val="21"/>
                <w:szCs w:val="21"/>
              </w:rPr>
              <w:t>20%</w:t>
            </w:r>
          </w:p>
        </w:tc>
        <w:tc>
          <w:tcPr>
            <w:tcW w:w="956" w:type="dxa"/>
            <w:vAlign w:val="center"/>
          </w:tcPr>
          <w:p>
            <w:pPr>
              <w:jc w:val="center"/>
              <w:rPr>
                <w:b/>
                <w:color w:val="auto"/>
                <w:sz w:val="21"/>
                <w:szCs w:val="21"/>
              </w:rPr>
            </w:pPr>
            <w:r>
              <w:rPr>
                <w:color w:val="auto"/>
                <w:sz w:val="21"/>
                <w:szCs w:val="21"/>
              </w:rPr>
              <w:t>5.02</w:t>
            </w:r>
          </w:p>
        </w:tc>
        <w:tc>
          <w:tcPr>
            <w:tcW w:w="902" w:type="dxa"/>
            <w:vAlign w:val="center"/>
          </w:tcPr>
          <w:p>
            <w:pPr>
              <w:jc w:val="center"/>
              <w:rPr>
                <w:b/>
                <w:color w:val="auto"/>
                <w:sz w:val="21"/>
                <w:szCs w:val="21"/>
              </w:rPr>
            </w:pPr>
            <w:r>
              <w:rPr>
                <w:color w:val="auto"/>
                <w:sz w:val="21"/>
                <w:szCs w:val="21"/>
              </w:rPr>
              <w:t>25.04</w:t>
            </w:r>
          </w:p>
        </w:tc>
        <w:tc>
          <w:tcPr>
            <w:tcW w:w="956" w:type="dxa"/>
            <w:vAlign w:val="center"/>
          </w:tcPr>
          <w:p>
            <w:pPr>
              <w:jc w:val="center"/>
              <w:rPr>
                <w:b/>
                <w:color w:val="auto"/>
                <w:sz w:val="21"/>
                <w:szCs w:val="21"/>
              </w:rPr>
            </w:pPr>
            <w:r>
              <w:rPr>
                <w:color w:val="auto"/>
                <w:sz w:val="21"/>
                <w:szCs w:val="21"/>
              </w:rPr>
              <w:t>20.03</w:t>
            </w:r>
          </w:p>
        </w:tc>
        <w:tc>
          <w:tcPr>
            <w:tcW w:w="912" w:type="dxa"/>
            <w:vAlign w:val="center"/>
          </w:tcPr>
          <w:p>
            <w:pPr>
              <w:jc w:val="center"/>
              <w:rPr>
                <w:b/>
                <w:color w:val="auto"/>
                <w:sz w:val="21"/>
                <w:szCs w:val="21"/>
              </w:rPr>
            </w:pPr>
            <w:r>
              <w:rPr>
                <w:color w:val="auto"/>
                <w:sz w:val="21"/>
                <w:szCs w:val="21"/>
              </w:rPr>
              <w:t>10</w:t>
            </w:r>
          </w:p>
        </w:tc>
        <w:tc>
          <w:tcPr>
            <w:tcW w:w="956" w:type="dxa"/>
            <w:vAlign w:val="center"/>
          </w:tcPr>
          <w:p>
            <w:pPr>
              <w:jc w:val="center"/>
              <w:rPr>
                <w:b/>
                <w:color w:val="auto"/>
                <w:sz w:val="21"/>
                <w:szCs w:val="21"/>
              </w:rPr>
            </w:pPr>
            <w:r>
              <w:rPr>
                <w:color w:val="auto"/>
                <w:sz w:val="21"/>
                <w:szCs w:val="21"/>
              </w:rPr>
              <w:t>2.00</w:t>
            </w:r>
          </w:p>
        </w:tc>
        <w:tc>
          <w:tcPr>
            <w:tcW w:w="956" w:type="dxa"/>
            <w:vAlign w:val="center"/>
          </w:tcPr>
          <w:p>
            <w:pPr>
              <w:jc w:val="center"/>
              <w:rPr>
                <w:b/>
                <w:color w:val="auto"/>
                <w:sz w:val="21"/>
                <w:szCs w:val="21"/>
              </w:rPr>
            </w:pPr>
            <w:r>
              <w:rPr>
                <w:color w:val="auto"/>
                <w:sz w:val="21"/>
                <w:szCs w:val="21"/>
              </w:rPr>
              <w:t>7.03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80" w:type="dxa"/>
            <w:vAlign w:val="center"/>
          </w:tcPr>
          <w:p>
            <w:pPr>
              <w:jc w:val="center"/>
              <w:rPr>
                <w:b/>
                <w:color w:val="auto"/>
                <w:sz w:val="21"/>
                <w:szCs w:val="21"/>
              </w:rPr>
            </w:pPr>
            <w:r>
              <w:rPr>
                <w:color w:val="auto"/>
                <w:sz w:val="21"/>
                <w:szCs w:val="21"/>
              </w:rPr>
              <w:t>2028</w:t>
            </w:r>
          </w:p>
        </w:tc>
        <w:tc>
          <w:tcPr>
            <w:tcW w:w="901" w:type="dxa"/>
            <w:vAlign w:val="center"/>
          </w:tcPr>
          <w:p>
            <w:pPr>
              <w:jc w:val="center"/>
              <w:rPr>
                <w:b/>
                <w:color w:val="auto"/>
                <w:sz w:val="21"/>
                <w:szCs w:val="21"/>
              </w:rPr>
            </w:pPr>
            <w:r>
              <w:rPr>
                <w:color w:val="auto"/>
                <w:sz w:val="21"/>
                <w:szCs w:val="21"/>
              </w:rPr>
              <w:t>32.1</w:t>
            </w:r>
          </w:p>
        </w:tc>
        <w:tc>
          <w:tcPr>
            <w:tcW w:w="956" w:type="dxa"/>
            <w:vAlign w:val="center"/>
          </w:tcPr>
          <w:p>
            <w:pPr>
              <w:jc w:val="center"/>
              <w:rPr>
                <w:b/>
                <w:color w:val="auto"/>
                <w:sz w:val="21"/>
                <w:szCs w:val="21"/>
              </w:rPr>
            </w:pPr>
            <w:r>
              <w:rPr>
                <w:color w:val="auto"/>
                <w:sz w:val="21"/>
                <w:szCs w:val="21"/>
              </w:rPr>
              <w:t>25.68</w:t>
            </w:r>
          </w:p>
        </w:tc>
        <w:tc>
          <w:tcPr>
            <w:tcW w:w="911" w:type="dxa"/>
            <w:vAlign w:val="center"/>
          </w:tcPr>
          <w:p>
            <w:pPr>
              <w:jc w:val="center"/>
              <w:rPr>
                <w:b/>
                <w:color w:val="auto"/>
                <w:sz w:val="21"/>
                <w:szCs w:val="21"/>
              </w:rPr>
            </w:pPr>
            <w:r>
              <w:rPr>
                <w:color w:val="auto"/>
                <w:sz w:val="21"/>
                <w:szCs w:val="21"/>
              </w:rPr>
              <w:t>30%</w:t>
            </w:r>
          </w:p>
        </w:tc>
        <w:tc>
          <w:tcPr>
            <w:tcW w:w="956" w:type="dxa"/>
            <w:vAlign w:val="center"/>
          </w:tcPr>
          <w:p>
            <w:pPr>
              <w:jc w:val="center"/>
              <w:rPr>
                <w:b/>
                <w:color w:val="auto"/>
                <w:sz w:val="21"/>
                <w:szCs w:val="21"/>
              </w:rPr>
            </w:pPr>
            <w:r>
              <w:rPr>
                <w:color w:val="auto"/>
                <w:sz w:val="21"/>
                <w:szCs w:val="21"/>
              </w:rPr>
              <w:t>7.70</w:t>
            </w:r>
          </w:p>
        </w:tc>
        <w:tc>
          <w:tcPr>
            <w:tcW w:w="902" w:type="dxa"/>
            <w:vAlign w:val="center"/>
          </w:tcPr>
          <w:p>
            <w:pPr>
              <w:jc w:val="center"/>
              <w:rPr>
                <w:b/>
                <w:color w:val="auto"/>
                <w:sz w:val="21"/>
                <w:szCs w:val="21"/>
              </w:rPr>
            </w:pPr>
            <w:r>
              <w:rPr>
                <w:color w:val="auto"/>
                <w:sz w:val="21"/>
                <w:szCs w:val="21"/>
              </w:rPr>
              <w:t>25.6</w:t>
            </w:r>
          </w:p>
        </w:tc>
        <w:tc>
          <w:tcPr>
            <w:tcW w:w="956" w:type="dxa"/>
            <w:vAlign w:val="center"/>
          </w:tcPr>
          <w:p>
            <w:pPr>
              <w:jc w:val="center"/>
              <w:rPr>
                <w:b/>
                <w:color w:val="auto"/>
                <w:sz w:val="21"/>
                <w:szCs w:val="21"/>
              </w:rPr>
            </w:pPr>
            <w:r>
              <w:rPr>
                <w:color w:val="auto"/>
                <w:sz w:val="21"/>
                <w:szCs w:val="21"/>
              </w:rPr>
              <w:t>20.48</w:t>
            </w:r>
          </w:p>
        </w:tc>
        <w:tc>
          <w:tcPr>
            <w:tcW w:w="912" w:type="dxa"/>
            <w:vAlign w:val="center"/>
          </w:tcPr>
          <w:p>
            <w:pPr>
              <w:jc w:val="center"/>
              <w:rPr>
                <w:b/>
                <w:color w:val="auto"/>
                <w:sz w:val="21"/>
                <w:szCs w:val="21"/>
              </w:rPr>
            </w:pPr>
            <w:r>
              <w:rPr>
                <w:color w:val="auto"/>
                <w:sz w:val="21"/>
                <w:szCs w:val="21"/>
              </w:rPr>
              <w:t>10</w:t>
            </w:r>
          </w:p>
        </w:tc>
        <w:tc>
          <w:tcPr>
            <w:tcW w:w="956" w:type="dxa"/>
            <w:vAlign w:val="center"/>
          </w:tcPr>
          <w:p>
            <w:pPr>
              <w:jc w:val="center"/>
              <w:rPr>
                <w:b/>
                <w:color w:val="auto"/>
                <w:sz w:val="21"/>
                <w:szCs w:val="21"/>
              </w:rPr>
            </w:pPr>
            <w:r>
              <w:rPr>
                <w:color w:val="auto"/>
                <w:sz w:val="21"/>
                <w:szCs w:val="21"/>
              </w:rPr>
              <w:t>2.05</w:t>
            </w:r>
          </w:p>
        </w:tc>
        <w:tc>
          <w:tcPr>
            <w:tcW w:w="956" w:type="dxa"/>
            <w:vAlign w:val="center"/>
          </w:tcPr>
          <w:p>
            <w:pPr>
              <w:jc w:val="center"/>
              <w:rPr>
                <w:b/>
                <w:color w:val="auto"/>
                <w:sz w:val="21"/>
                <w:szCs w:val="21"/>
              </w:rPr>
            </w:pPr>
            <w:r>
              <w:rPr>
                <w:color w:val="auto"/>
                <w:sz w:val="21"/>
                <w:szCs w:val="21"/>
              </w:rPr>
              <w:t>9.75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80" w:type="dxa"/>
            <w:vAlign w:val="center"/>
          </w:tcPr>
          <w:p>
            <w:pPr>
              <w:jc w:val="center"/>
              <w:rPr>
                <w:b/>
                <w:color w:val="auto"/>
                <w:sz w:val="21"/>
                <w:szCs w:val="21"/>
              </w:rPr>
            </w:pPr>
            <w:r>
              <w:rPr>
                <w:color w:val="auto"/>
                <w:sz w:val="21"/>
                <w:szCs w:val="21"/>
              </w:rPr>
              <w:t>2029</w:t>
            </w:r>
          </w:p>
        </w:tc>
        <w:tc>
          <w:tcPr>
            <w:tcW w:w="901" w:type="dxa"/>
            <w:vAlign w:val="center"/>
          </w:tcPr>
          <w:p>
            <w:pPr>
              <w:jc w:val="center"/>
              <w:rPr>
                <w:b/>
                <w:color w:val="auto"/>
                <w:sz w:val="21"/>
                <w:szCs w:val="21"/>
              </w:rPr>
            </w:pPr>
            <w:r>
              <w:rPr>
                <w:color w:val="auto"/>
                <w:sz w:val="21"/>
                <w:szCs w:val="21"/>
              </w:rPr>
              <w:t>32.81</w:t>
            </w:r>
          </w:p>
        </w:tc>
        <w:tc>
          <w:tcPr>
            <w:tcW w:w="956" w:type="dxa"/>
            <w:vAlign w:val="center"/>
          </w:tcPr>
          <w:p>
            <w:pPr>
              <w:jc w:val="center"/>
              <w:rPr>
                <w:b/>
                <w:color w:val="auto"/>
                <w:sz w:val="21"/>
                <w:szCs w:val="21"/>
              </w:rPr>
            </w:pPr>
            <w:r>
              <w:rPr>
                <w:color w:val="auto"/>
                <w:sz w:val="21"/>
                <w:szCs w:val="21"/>
              </w:rPr>
              <w:t>26.25</w:t>
            </w:r>
          </w:p>
        </w:tc>
        <w:tc>
          <w:tcPr>
            <w:tcW w:w="911" w:type="dxa"/>
            <w:vAlign w:val="center"/>
          </w:tcPr>
          <w:p>
            <w:pPr>
              <w:jc w:val="center"/>
              <w:rPr>
                <w:b/>
                <w:color w:val="auto"/>
                <w:sz w:val="21"/>
                <w:szCs w:val="21"/>
              </w:rPr>
            </w:pPr>
            <w:r>
              <w:rPr>
                <w:color w:val="auto"/>
                <w:sz w:val="21"/>
                <w:szCs w:val="21"/>
              </w:rPr>
              <w:t>30%</w:t>
            </w:r>
          </w:p>
        </w:tc>
        <w:tc>
          <w:tcPr>
            <w:tcW w:w="956" w:type="dxa"/>
            <w:vAlign w:val="center"/>
          </w:tcPr>
          <w:p>
            <w:pPr>
              <w:jc w:val="center"/>
              <w:rPr>
                <w:b/>
                <w:color w:val="auto"/>
                <w:sz w:val="21"/>
                <w:szCs w:val="21"/>
              </w:rPr>
            </w:pPr>
            <w:r>
              <w:rPr>
                <w:color w:val="auto"/>
                <w:sz w:val="21"/>
                <w:szCs w:val="21"/>
              </w:rPr>
              <w:t>7.87</w:t>
            </w:r>
          </w:p>
        </w:tc>
        <w:tc>
          <w:tcPr>
            <w:tcW w:w="902" w:type="dxa"/>
            <w:vAlign w:val="center"/>
          </w:tcPr>
          <w:p>
            <w:pPr>
              <w:jc w:val="center"/>
              <w:rPr>
                <w:b/>
                <w:color w:val="auto"/>
                <w:sz w:val="21"/>
                <w:szCs w:val="21"/>
              </w:rPr>
            </w:pPr>
            <w:r>
              <w:rPr>
                <w:color w:val="auto"/>
                <w:sz w:val="21"/>
                <w:szCs w:val="21"/>
              </w:rPr>
              <w:t>26.17</w:t>
            </w:r>
          </w:p>
        </w:tc>
        <w:tc>
          <w:tcPr>
            <w:tcW w:w="956" w:type="dxa"/>
            <w:vAlign w:val="center"/>
          </w:tcPr>
          <w:p>
            <w:pPr>
              <w:jc w:val="center"/>
              <w:rPr>
                <w:b/>
                <w:color w:val="auto"/>
                <w:sz w:val="21"/>
                <w:szCs w:val="21"/>
              </w:rPr>
            </w:pPr>
            <w:r>
              <w:rPr>
                <w:color w:val="auto"/>
                <w:sz w:val="21"/>
                <w:szCs w:val="21"/>
              </w:rPr>
              <w:t>20.94</w:t>
            </w:r>
          </w:p>
        </w:tc>
        <w:tc>
          <w:tcPr>
            <w:tcW w:w="912" w:type="dxa"/>
            <w:vAlign w:val="center"/>
          </w:tcPr>
          <w:p>
            <w:pPr>
              <w:jc w:val="center"/>
              <w:rPr>
                <w:b/>
                <w:color w:val="auto"/>
                <w:sz w:val="21"/>
                <w:szCs w:val="21"/>
              </w:rPr>
            </w:pPr>
            <w:r>
              <w:rPr>
                <w:color w:val="auto"/>
                <w:sz w:val="21"/>
                <w:szCs w:val="21"/>
              </w:rPr>
              <w:t>10</w:t>
            </w:r>
          </w:p>
        </w:tc>
        <w:tc>
          <w:tcPr>
            <w:tcW w:w="956" w:type="dxa"/>
            <w:vAlign w:val="center"/>
          </w:tcPr>
          <w:p>
            <w:pPr>
              <w:jc w:val="center"/>
              <w:rPr>
                <w:b/>
                <w:color w:val="auto"/>
                <w:sz w:val="21"/>
                <w:szCs w:val="21"/>
              </w:rPr>
            </w:pPr>
            <w:r>
              <w:rPr>
                <w:color w:val="auto"/>
                <w:sz w:val="21"/>
                <w:szCs w:val="21"/>
              </w:rPr>
              <w:t>2.09</w:t>
            </w:r>
          </w:p>
        </w:tc>
        <w:tc>
          <w:tcPr>
            <w:tcW w:w="956" w:type="dxa"/>
            <w:vAlign w:val="center"/>
          </w:tcPr>
          <w:p>
            <w:pPr>
              <w:jc w:val="center"/>
              <w:rPr>
                <w:b/>
                <w:color w:val="auto"/>
                <w:sz w:val="21"/>
                <w:szCs w:val="21"/>
              </w:rPr>
            </w:pPr>
            <w:r>
              <w:rPr>
                <w:color w:val="auto"/>
                <w:sz w:val="21"/>
                <w:szCs w:val="21"/>
              </w:rPr>
              <w:t>9.97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80" w:type="dxa"/>
            <w:vAlign w:val="center"/>
          </w:tcPr>
          <w:p>
            <w:pPr>
              <w:jc w:val="center"/>
              <w:rPr>
                <w:b/>
                <w:color w:val="auto"/>
                <w:sz w:val="21"/>
                <w:szCs w:val="21"/>
              </w:rPr>
            </w:pPr>
            <w:r>
              <w:rPr>
                <w:color w:val="auto"/>
                <w:sz w:val="21"/>
                <w:szCs w:val="21"/>
              </w:rPr>
              <w:t>2030</w:t>
            </w:r>
          </w:p>
        </w:tc>
        <w:tc>
          <w:tcPr>
            <w:tcW w:w="901" w:type="dxa"/>
            <w:vAlign w:val="center"/>
          </w:tcPr>
          <w:p>
            <w:pPr>
              <w:jc w:val="center"/>
              <w:rPr>
                <w:b/>
                <w:color w:val="auto"/>
                <w:sz w:val="21"/>
                <w:szCs w:val="21"/>
              </w:rPr>
            </w:pPr>
            <w:r>
              <w:rPr>
                <w:color w:val="auto"/>
                <w:sz w:val="21"/>
                <w:szCs w:val="21"/>
              </w:rPr>
              <w:t>33.54</w:t>
            </w:r>
          </w:p>
        </w:tc>
        <w:tc>
          <w:tcPr>
            <w:tcW w:w="956" w:type="dxa"/>
            <w:vAlign w:val="center"/>
          </w:tcPr>
          <w:p>
            <w:pPr>
              <w:jc w:val="center"/>
              <w:rPr>
                <w:b/>
                <w:color w:val="auto"/>
                <w:sz w:val="21"/>
                <w:szCs w:val="21"/>
              </w:rPr>
            </w:pPr>
            <w:r>
              <w:rPr>
                <w:color w:val="auto"/>
                <w:sz w:val="21"/>
                <w:szCs w:val="21"/>
              </w:rPr>
              <w:t>26.83</w:t>
            </w:r>
          </w:p>
        </w:tc>
        <w:tc>
          <w:tcPr>
            <w:tcW w:w="911" w:type="dxa"/>
            <w:vAlign w:val="center"/>
          </w:tcPr>
          <w:p>
            <w:pPr>
              <w:jc w:val="center"/>
              <w:rPr>
                <w:b/>
                <w:color w:val="auto"/>
                <w:sz w:val="21"/>
                <w:szCs w:val="21"/>
              </w:rPr>
            </w:pPr>
            <w:r>
              <w:rPr>
                <w:color w:val="auto"/>
                <w:sz w:val="21"/>
                <w:szCs w:val="21"/>
              </w:rPr>
              <w:t>30%</w:t>
            </w:r>
          </w:p>
        </w:tc>
        <w:tc>
          <w:tcPr>
            <w:tcW w:w="956" w:type="dxa"/>
            <w:vAlign w:val="center"/>
          </w:tcPr>
          <w:p>
            <w:pPr>
              <w:jc w:val="center"/>
              <w:rPr>
                <w:b/>
                <w:color w:val="auto"/>
                <w:sz w:val="21"/>
                <w:szCs w:val="21"/>
              </w:rPr>
            </w:pPr>
            <w:r>
              <w:rPr>
                <w:color w:val="auto"/>
                <w:sz w:val="21"/>
                <w:szCs w:val="21"/>
              </w:rPr>
              <w:t>8.05</w:t>
            </w:r>
          </w:p>
        </w:tc>
        <w:tc>
          <w:tcPr>
            <w:tcW w:w="902" w:type="dxa"/>
            <w:vAlign w:val="center"/>
          </w:tcPr>
          <w:p>
            <w:pPr>
              <w:jc w:val="center"/>
              <w:rPr>
                <w:b/>
                <w:color w:val="auto"/>
                <w:sz w:val="21"/>
                <w:szCs w:val="21"/>
              </w:rPr>
            </w:pPr>
            <w:r>
              <w:rPr>
                <w:color w:val="auto"/>
                <w:sz w:val="21"/>
                <w:szCs w:val="21"/>
              </w:rPr>
              <w:t>26.75</w:t>
            </w:r>
          </w:p>
        </w:tc>
        <w:tc>
          <w:tcPr>
            <w:tcW w:w="956" w:type="dxa"/>
            <w:vAlign w:val="center"/>
          </w:tcPr>
          <w:p>
            <w:pPr>
              <w:jc w:val="center"/>
              <w:rPr>
                <w:b/>
                <w:color w:val="auto"/>
                <w:sz w:val="21"/>
                <w:szCs w:val="21"/>
              </w:rPr>
            </w:pPr>
            <w:r>
              <w:rPr>
                <w:color w:val="auto"/>
                <w:sz w:val="21"/>
                <w:szCs w:val="21"/>
              </w:rPr>
              <w:t>21.40</w:t>
            </w:r>
          </w:p>
        </w:tc>
        <w:tc>
          <w:tcPr>
            <w:tcW w:w="912" w:type="dxa"/>
            <w:vAlign w:val="center"/>
          </w:tcPr>
          <w:p>
            <w:pPr>
              <w:jc w:val="center"/>
              <w:rPr>
                <w:b/>
                <w:color w:val="auto"/>
                <w:sz w:val="21"/>
                <w:szCs w:val="21"/>
              </w:rPr>
            </w:pPr>
            <w:r>
              <w:rPr>
                <w:color w:val="auto"/>
                <w:sz w:val="21"/>
                <w:szCs w:val="21"/>
              </w:rPr>
              <w:t>20</w:t>
            </w:r>
          </w:p>
        </w:tc>
        <w:tc>
          <w:tcPr>
            <w:tcW w:w="956" w:type="dxa"/>
            <w:vAlign w:val="center"/>
          </w:tcPr>
          <w:p>
            <w:pPr>
              <w:jc w:val="center"/>
              <w:rPr>
                <w:b/>
                <w:color w:val="auto"/>
                <w:sz w:val="21"/>
                <w:szCs w:val="21"/>
              </w:rPr>
            </w:pPr>
            <w:r>
              <w:rPr>
                <w:color w:val="auto"/>
                <w:sz w:val="21"/>
                <w:szCs w:val="21"/>
              </w:rPr>
              <w:t>4.28</w:t>
            </w:r>
          </w:p>
        </w:tc>
        <w:tc>
          <w:tcPr>
            <w:tcW w:w="956" w:type="dxa"/>
            <w:vAlign w:val="center"/>
          </w:tcPr>
          <w:p>
            <w:pPr>
              <w:jc w:val="center"/>
              <w:rPr>
                <w:b/>
                <w:color w:val="auto"/>
                <w:sz w:val="21"/>
                <w:szCs w:val="21"/>
              </w:rPr>
            </w:pPr>
            <w:r>
              <w:rPr>
                <w:color w:val="auto"/>
                <w:sz w:val="21"/>
                <w:szCs w:val="21"/>
              </w:rPr>
              <w:t>12.33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80" w:type="dxa"/>
            <w:vAlign w:val="center"/>
          </w:tcPr>
          <w:p>
            <w:pPr>
              <w:jc w:val="center"/>
              <w:rPr>
                <w:b/>
                <w:color w:val="auto"/>
                <w:sz w:val="21"/>
                <w:szCs w:val="21"/>
              </w:rPr>
            </w:pPr>
            <w:r>
              <w:rPr>
                <w:color w:val="auto"/>
                <w:sz w:val="21"/>
                <w:szCs w:val="21"/>
              </w:rPr>
              <w:t>2031</w:t>
            </w:r>
          </w:p>
        </w:tc>
        <w:tc>
          <w:tcPr>
            <w:tcW w:w="901" w:type="dxa"/>
            <w:vAlign w:val="center"/>
          </w:tcPr>
          <w:p>
            <w:pPr>
              <w:jc w:val="center"/>
              <w:rPr>
                <w:b/>
                <w:color w:val="auto"/>
                <w:sz w:val="21"/>
                <w:szCs w:val="21"/>
              </w:rPr>
            </w:pPr>
            <w:r>
              <w:rPr>
                <w:color w:val="auto"/>
                <w:sz w:val="21"/>
                <w:szCs w:val="21"/>
              </w:rPr>
              <w:t>34.29</w:t>
            </w:r>
          </w:p>
        </w:tc>
        <w:tc>
          <w:tcPr>
            <w:tcW w:w="956" w:type="dxa"/>
            <w:vAlign w:val="center"/>
          </w:tcPr>
          <w:p>
            <w:pPr>
              <w:jc w:val="center"/>
              <w:rPr>
                <w:b/>
                <w:color w:val="auto"/>
                <w:sz w:val="21"/>
                <w:szCs w:val="21"/>
              </w:rPr>
            </w:pPr>
            <w:r>
              <w:rPr>
                <w:color w:val="auto"/>
                <w:sz w:val="21"/>
                <w:szCs w:val="21"/>
              </w:rPr>
              <w:t>27.43</w:t>
            </w:r>
          </w:p>
        </w:tc>
        <w:tc>
          <w:tcPr>
            <w:tcW w:w="911" w:type="dxa"/>
            <w:vAlign w:val="center"/>
          </w:tcPr>
          <w:p>
            <w:pPr>
              <w:jc w:val="center"/>
              <w:rPr>
                <w:b/>
                <w:color w:val="auto"/>
                <w:sz w:val="21"/>
                <w:szCs w:val="21"/>
              </w:rPr>
            </w:pPr>
            <w:r>
              <w:rPr>
                <w:color w:val="auto"/>
                <w:sz w:val="21"/>
                <w:szCs w:val="21"/>
              </w:rPr>
              <w:t>30%</w:t>
            </w:r>
          </w:p>
        </w:tc>
        <w:tc>
          <w:tcPr>
            <w:tcW w:w="956" w:type="dxa"/>
            <w:vAlign w:val="center"/>
          </w:tcPr>
          <w:p>
            <w:pPr>
              <w:jc w:val="center"/>
              <w:rPr>
                <w:b/>
                <w:color w:val="auto"/>
                <w:sz w:val="21"/>
                <w:szCs w:val="21"/>
              </w:rPr>
            </w:pPr>
            <w:r>
              <w:rPr>
                <w:color w:val="auto"/>
                <w:sz w:val="21"/>
                <w:szCs w:val="21"/>
              </w:rPr>
              <w:t>8.23</w:t>
            </w:r>
          </w:p>
        </w:tc>
        <w:tc>
          <w:tcPr>
            <w:tcW w:w="902" w:type="dxa"/>
            <w:vAlign w:val="center"/>
          </w:tcPr>
          <w:p>
            <w:pPr>
              <w:jc w:val="center"/>
              <w:rPr>
                <w:b/>
                <w:color w:val="auto"/>
                <w:sz w:val="21"/>
                <w:szCs w:val="21"/>
              </w:rPr>
            </w:pPr>
            <w:r>
              <w:rPr>
                <w:color w:val="auto"/>
                <w:sz w:val="21"/>
                <w:szCs w:val="21"/>
              </w:rPr>
              <w:t>27.35</w:t>
            </w:r>
          </w:p>
        </w:tc>
        <w:tc>
          <w:tcPr>
            <w:tcW w:w="956" w:type="dxa"/>
            <w:vAlign w:val="center"/>
          </w:tcPr>
          <w:p>
            <w:pPr>
              <w:jc w:val="center"/>
              <w:rPr>
                <w:b/>
                <w:color w:val="auto"/>
                <w:sz w:val="21"/>
                <w:szCs w:val="21"/>
              </w:rPr>
            </w:pPr>
            <w:r>
              <w:rPr>
                <w:color w:val="auto"/>
                <w:sz w:val="21"/>
                <w:szCs w:val="21"/>
              </w:rPr>
              <w:t>21.88</w:t>
            </w:r>
          </w:p>
        </w:tc>
        <w:tc>
          <w:tcPr>
            <w:tcW w:w="912" w:type="dxa"/>
            <w:vAlign w:val="center"/>
          </w:tcPr>
          <w:p>
            <w:pPr>
              <w:jc w:val="center"/>
              <w:rPr>
                <w:b/>
                <w:color w:val="auto"/>
                <w:sz w:val="21"/>
                <w:szCs w:val="21"/>
              </w:rPr>
            </w:pPr>
            <w:r>
              <w:rPr>
                <w:color w:val="auto"/>
                <w:sz w:val="21"/>
                <w:szCs w:val="21"/>
              </w:rPr>
              <w:t>20</w:t>
            </w:r>
          </w:p>
        </w:tc>
        <w:tc>
          <w:tcPr>
            <w:tcW w:w="956" w:type="dxa"/>
            <w:vAlign w:val="center"/>
          </w:tcPr>
          <w:p>
            <w:pPr>
              <w:jc w:val="center"/>
              <w:rPr>
                <w:b/>
                <w:color w:val="auto"/>
                <w:sz w:val="21"/>
                <w:szCs w:val="21"/>
              </w:rPr>
            </w:pPr>
            <w:r>
              <w:rPr>
                <w:color w:val="auto"/>
                <w:sz w:val="21"/>
                <w:szCs w:val="21"/>
              </w:rPr>
              <w:t>4.38</w:t>
            </w:r>
          </w:p>
        </w:tc>
        <w:tc>
          <w:tcPr>
            <w:tcW w:w="956" w:type="dxa"/>
            <w:vAlign w:val="center"/>
          </w:tcPr>
          <w:p>
            <w:pPr>
              <w:jc w:val="center"/>
              <w:rPr>
                <w:b/>
                <w:color w:val="auto"/>
                <w:sz w:val="21"/>
                <w:szCs w:val="21"/>
              </w:rPr>
            </w:pPr>
            <w:r>
              <w:rPr>
                <w:color w:val="auto"/>
                <w:sz w:val="21"/>
                <w:szCs w:val="21"/>
              </w:rPr>
              <w:t>12.61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80" w:type="dxa"/>
            <w:vAlign w:val="center"/>
          </w:tcPr>
          <w:p>
            <w:pPr>
              <w:jc w:val="center"/>
              <w:rPr>
                <w:b/>
                <w:color w:val="auto"/>
                <w:sz w:val="21"/>
                <w:szCs w:val="21"/>
              </w:rPr>
            </w:pPr>
            <w:r>
              <w:rPr>
                <w:color w:val="auto"/>
                <w:sz w:val="21"/>
                <w:szCs w:val="21"/>
              </w:rPr>
              <w:t>2032</w:t>
            </w:r>
          </w:p>
        </w:tc>
        <w:tc>
          <w:tcPr>
            <w:tcW w:w="901" w:type="dxa"/>
            <w:vAlign w:val="center"/>
          </w:tcPr>
          <w:p>
            <w:pPr>
              <w:jc w:val="center"/>
              <w:rPr>
                <w:b/>
                <w:color w:val="auto"/>
                <w:sz w:val="21"/>
                <w:szCs w:val="21"/>
              </w:rPr>
            </w:pPr>
            <w:r>
              <w:rPr>
                <w:color w:val="auto"/>
                <w:sz w:val="21"/>
                <w:szCs w:val="21"/>
              </w:rPr>
              <w:t>35.05</w:t>
            </w:r>
          </w:p>
        </w:tc>
        <w:tc>
          <w:tcPr>
            <w:tcW w:w="956" w:type="dxa"/>
            <w:vAlign w:val="center"/>
          </w:tcPr>
          <w:p>
            <w:pPr>
              <w:jc w:val="center"/>
              <w:rPr>
                <w:b/>
                <w:color w:val="auto"/>
                <w:sz w:val="21"/>
                <w:szCs w:val="21"/>
              </w:rPr>
            </w:pPr>
            <w:r>
              <w:rPr>
                <w:color w:val="auto"/>
                <w:sz w:val="21"/>
                <w:szCs w:val="21"/>
              </w:rPr>
              <w:t>28.04</w:t>
            </w:r>
          </w:p>
        </w:tc>
        <w:tc>
          <w:tcPr>
            <w:tcW w:w="911" w:type="dxa"/>
            <w:vAlign w:val="center"/>
          </w:tcPr>
          <w:p>
            <w:pPr>
              <w:jc w:val="center"/>
              <w:rPr>
                <w:b/>
                <w:color w:val="auto"/>
                <w:sz w:val="21"/>
                <w:szCs w:val="21"/>
              </w:rPr>
            </w:pPr>
            <w:r>
              <w:rPr>
                <w:color w:val="auto"/>
                <w:sz w:val="21"/>
                <w:szCs w:val="21"/>
              </w:rPr>
              <w:t>40%</w:t>
            </w:r>
          </w:p>
        </w:tc>
        <w:tc>
          <w:tcPr>
            <w:tcW w:w="956" w:type="dxa"/>
            <w:vAlign w:val="center"/>
          </w:tcPr>
          <w:p>
            <w:pPr>
              <w:jc w:val="center"/>
              <w:rPr>
                <w:b/>
                <w:color w:val="auto"/>
                <w:sz w:val="21"/>
                <w:szCs w:val="21"/>
              </w:rPr>
            </w:pPr>
            <w:r>
              <w:rPr>
                <w:color w:val="auto"/>
                <w:sz w:val="21"/>
                <w:szCs w:val="21"/>
              </w:rPr>
              <w:t>11.22</w:t>
            </w:r>
          </w:p>
        </w:tc>
        <w:tc>
          <w:tcPr>
            <w:tcW w:w="902" w:type="dxa"/>
            <w:vAlign w:val="center"/>
          </w:tcPr>
          <w:p>
            <w:pPr>
              <w:jc w:val="center"/>
              <w:rPr>
                <w:b/>
                <w:color w:val="auto"/>
                <w:sz w:val="21"/>
                <w:szCs w:val="21"/>
              </w:rPr>
            </w:pPr>
            <w:r>
              <w:rPr>
                <w:color w:val="auto"/>
                <w:sz w:val="21"/>
                <w:szCs w:val="21"/>
              </w:rPr>
              <w:t>27.96</w:t>
            </w:r>
          </w:p>
        </w:tc>
        <w:tc>
          <w:tcPr>
            <w:tcW w:w="956" w:type="dxa"/>
            <w:vAlign w:val="center"/>
          </w:tcPr>
          <w:p>
            <w:pPr>
              <w:jc w:val="center"/>
              <w:rPr>
                <w:b/>
                <w:color w:val="auto"/>
                <w:sz w:val="21"/>
                <w:szCs w:val="21"/>
              </w:rPr>
            </w:pPr>
            <w:r>
              <w:rPr>
                <w:color w:val="auto"/>
                <w:sz w:val="21"/>
                <w:szCs w:val="21"/>
              </w:rPr>
              <w:t>22.37</w:t>
            </w:r>
          </w:p>
        </w:tc>
        <w:tc>
          <w:tcPr>
            <w:tcW w:w="912" w:type="dxa"/>
            <w:vAlign w:val="center"/>
          </w:tcPr>
          <w:p>
            <w:pPr>
              <w:jc w:val="center"/>
              <w:rPr>
                <w:b/>
                <w:color w:val="auto"/>
                <w:sz w:val="21"/>
                <w:szCs w:val="21"/>
              </w:rPr>
            </w:pPr>
            <w:r>
              <w:rPr>
                <w:color w:val="auto"/>
                <w:sz w:val="21"/>
                <w:szCs w:val="21"/>
              </w:rPr>
              <w:t>20</w:t>
            </w:r>
          </w:p>
        </w:tc>
        <w:tc>
          <w:tcPr>
            <w:tcW w:w="956" w:type="dxa"/>
            <w:vAlign w:val="center"/>
          </w:tcPr>
          <w:p>
            <w:pPr>
              <w:jc w:val="center"/>
              <w:rPr>
                <w:b/>
                <w:color w:val="auto"/>
                <w:sz w:val="21"/>
                <w:szCs w:val="21"/>
              </w:rPr>
            </w:pPr>
            <w:r>
              <w:rPr>
                <w:color w:val="auto"/>
                <w:sz w:val="21"/>
                <w:szCs w:val="21"/>
              </w:rPr>
              <w:t>4.47</w:t>
            </w:r>
          </w:p>
        </w:tc>
        <w:tc>
          <w:tcPr>
            <w:tcW w:w="956" w:type="dxa"/>
            <w:vAlign w:val="center"/>
          </w:tcPr>
          <w:p>
            <w:pPr>
              <w:jc w:val="center"/>
              <w:rPr>
                <w:b/>
                <w:color w:val="auto"/>
                <w:sz w:val="21"/>
                <w:szCs w:val="21"/>
              </w:rPr>
            </w:pPr>
            <w:r>
              <w:rPr>
                <w:color w:val="auto"/>
                <w:sz w:val="21"/>
                <w:szCs w:val="21"/>
              </w:rPr>
              <w:t>15.69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80" w:type="dxa"/>
            <w:vAlign w:val="center"/>
          </w:tcPr>
          <w:p>
            <w:pPr>
              <w:jc w:val="center"/>
              <w:rPr>
                <w:b/>
                <w:color w:val="auto"/>
                <w:sz w:val="21"/>
                <w:szCs w:val="21"/>
              </w:rPr>
            </w:pPr>
            <w:r>
              <w:rPr>
                <w:color w:val="auto"/>
                <w:sz w:val="21"/>
                <w:szCs w:val="21"/>
              </w:rPr>
              <w:t>2033</w:t>
            </w:r>
          </w:p>
        </w:tc>
        <w:tc>
          <w:tcPr>
            <w:tcW w:w="901" w:type="dxa"/>
            <w:vAlign w:val="center"/>
          </w:tcPr>
          <w:p>
            <w:pPr>
              <w:jc w:val="center"/>
              <w:rPr>
                <w:b/>
                <w:color w:val="auto"/>
                <w:sz w:val="21"/>
                <w:szCs w:val="21"/>
              </w:rPr>
            </w:pPr>
            <w:r>
              <w:rPr>
                <w:color w:val="auto"/>
                <w:sz w:val="21"/>
                <w:szCs w:val="21"/>
              </w:rPr>
              <w:t>35.83</w:t>
            </w:r>
          </w:p>
        </w:tc>
        <w:tc>
          <w:tcPr>
            <w:tcW w:w="956" w:type="dxa"/>
            <w:vAlign w:val="center"/>
          </w:tcPr>
          <w:p>
            <w:pPr>
              <w:jc w:val="center"/>
              <w:rPr>
                <w:b/>
                <w:color w:val="auto"/>
                <w:sz w:val="21"/>
                <w:szCs w:val="21"/>
              </w:rPr>
            </w:pPr>
            <w:r>
              <w:rPr>
                <w:color w:val="auto"/>
                <w:sz w:val="21"/>
                <w:szCs w:val="21"/>
              </w:rPr>
              <w:t>28.66</w:t>
            </w:r>
          </w:p>
        </w:tc>
        <w:tc>
          <w:tcPr>
            <w:tcW w:w="911" w:type="dxa"/>
            <w:vAlign w:val="center"/>
          </w:tcPr>
          <w:p>
            <w:pPr>
              <w:jc w:val="center"/>
              <w:rPr>
                <w:b/>
                <w:color w:val="auto"/>
                <w:sz w:val="21"/>
                <w:szCs w:val="21"/>
              </w:rPr>
            </w:pPr>
            <w:r>
              <w:rPr>
                <w:color w:val="auto"/>
                <w:sz w:val="21"/>
                <w:szCs w:val="21"/>
              </w:rPr>
              <w:t>40%</w:t>
            </w:r>
          </w:p>
        </w:tc>
        <w:tc>
          <w:tcPr>
            <w:tcW w:w="956" w:type="dxa"/>
            <w:vAlign w:val="center"/>
          </w:tcPr>
          <w:p>
            <w:pPr>
              <w:jc w:val="center"/>
              <w:rPr>
                <w:b/>
                <w:color w:val="auto"/>
                <w:sz w:val="21"/>
                <w:szCs w:val="21"/>
              </w:rPr>
            </w:pPr>
            <w:r>
              <w:rPr>
                <w:color w:val="auto"/>
                <w:sz w:val="21"/>
                <w:szCs w:val="21"/>
              </w:rPr>
              <w:t>11.47</w:t>
            </w:r>
          </w:p>
        </w:tc>
        <w:tc>
          <w:tcPr>
            <w:tcW w:w="902" w:type="dxa"/>
            <w:vAlign w:val="center"/>
          </w:tcPr>
          <w:p>
            <w:pPr>
              <w:jc w:val="center"/>
              <w:rPr>
                <w:b/>
                <w:color w:val="auto"/>
                <w:sz w:val="21"/>
                <w:szCs w:val="21"/>
              </w:rPr>
            </w:pPr>
            <w:r>
              <w:rPr>
                <w:color w:val="auto"/>
                <w:sz w:val="21"/>
                <w:szCs w:val="21"/>
              </w:rPr>
              <w:t>28.58</w:t>
            </w:r>
          </w:p>
        </w:tc>
        <w:tc>
          <w:tcPr>
            <w:tcW w:w="956" w:type="dxa"/>
            <w:vAlign w:val="center"/>
          </w:tcPr>
          <w:p>
            <w:pPr>
              <w:jc w:val="center"/>
              <w:rPr>
                <w:b/>
                <w:color w:val="auto"/>
                <w:sz w:val="21"/>
                <w:szCs w:val="21"/>
              </w:rPr>
            </w:pPr>
            <w:r>
              <w:rPr>
                <w:color w:val="auto"/>
                <w:sz w:val="21"/>
                <w:szCs w:val="21"/>
              </w:rPr>
              <w:t>22.86</w:t>
            </w:r>
          </w:p>
        </w:tc>
        <w:tc>
          <w:tcPr>
            <w:tcW w:w="912" w:type="dxa"/>
            <w:vAlign w:val="center"/>
          </w:tcPr>
          <w:p>
            <w:pPr>
              <w:jc w:val="center"/>
              <w:rPr>
                <w:b/>
                <w:color w:val="auto"/>
                <w:sz w:val="21"/>
                <w:szCs w:val="21"/>
              </w:rPr>
            </w:pPr>
            <w:r>
              <w:rPr>
                <w:color w:val="auto"/>
                <w:sz w:val="21"/>
                <w:szCs w:val="21"/>
              </w:rPr>
              <w:t>20</w:t>
            </w:r>
          </w:p>
        </w:tc>
        <w:tc>
          <w:tcPr>
            <w:tcW w:w="956" w:type="dxa"/>
            <w:vAlign w:val="center"/>
          </w:tcPr>
          <w:p>
            <w:pPr>
              <w:jc w:val="center"/>
              <w:rPr>
                <w:b/>
                <w:color w:val="auto"/>
                <w:sz w:val="21"/>
                <w:szCs w:val="21"/>
              </w:rPr>
            </w:pPr>
            <w:r>
              <w:rPr>
                <w:color w:val="auto"/>
                <w:sz w:val="21"/>
                <w:szCs w:val="21"/>
              </w:rPr>
              <w:t>4.57</w:t>
            </w:r>
          </w:p>
        </w:tc>
        <w:tc>
          <w:tcPr>
            <w:tcW w:w="956" w:type="dxa"/>
            <w:vAlign w:val="center"/>
          </w:tcPr>
          <w:p>
            <w:pPr>
              <w:jc w:val="center"/>
              <w:rPr>
                <w:b/>
                <w:color w:val="auto"/>
                <w:sz w:val="21"/>
                <w:szCs w:val="21"/>
              </w:rPr>
            </w:pPr>
            <w:r>
              <w:rPr>
                <w:color w:val="auto"/>
                <w:sz w:val="21"/>
                <w:szCs w:val="21"/>
              </w:rPr>
              <w:t>16.04</w:t>
            </w:r>
          </w:p>
        </w:tc>
      </w:tr>
    </w:tbl>
    <w:p>
      <w:pPr>
        <w:spacing w:line="360" w:lineRule="auto"/>
        <w:rPr>
          <w:color w:val="auto"/>
        </w:rPr>
      </w:pPr>
      <w:r>
        <w:rPr>
          <w:rFonts w:hint="eastAsia"/>
          <w:color w:val="auto"/>
        </w:rPr>
        <w:t xml:space="preserve">  4、餐厨垃圾处理规模确定</w:t>
      </w:r>
    </w:p>
    <w:p>
      <w:pPr>
        <w:autoSpaceDE w:val="0"/>
        <w:autoSpaceDN w:val="0"/>
        <w:adjustRightInd w:val="0"/>
        <w:spacing w:line="360" w:lineRule="auto"/>
        <w:ind w:firstLine="480" w:firstLineChars="200"/>
        <w:rPr>
          <w:rFonts w:eastAsiaTheme="minorEastAsia"/>
          <w:color w:val="auto"/>
          <w:kern w:val="0"/>
        </w:rPr>
      </w:pPr>
      <w:r>
        <w:rPr>
          <w:rFonts w:eastAsiaTheme="minorEastAsia"/>
          <w:color w:val="auto"/>
          <w:kern w:val="0"/>
        </w:rPr>
        <w:t>综合以上分析可知，到2030年，兴宁市餐厨垃圾清运处理规模为12.33t/d，2040 年达到24.72t/d。</w:t>
      </w:r>
    </w:p>
    <w:p>
      <w:pPr>
        <w:autoSpaceDE w:val="0"/>
        <w:autoSpaceDN w:val="0"/>
        <w:adjustRightInd w:val="0"/>
        <w:spacing w:line="360" w:lineRule="auto"/>
        <w:ind w:firstLine="480" w:firstLineChars="200"/>
        <w:rPr>
          <w:rFonts w:eastAsiaTheme="minorEastAsia"/>
          <w:color w:val="auto"/>
          <w:kern w:val="0"/>
        </w:rPr>
      </w:pPr>
      <w:r>
        <w:rPr>
          <w:rFonts w:eastAsiaTheme="minorEastAsia"/>
          <w:color w:val="auto"/>
          <w:kern w:val="0"/>
        </w:rPr>
        <w:t>考虑到工程的建设周期和运行管理，依据兴宁市餐厨垃圾的清运量预测，本项目餐厨垃圾处理处置工程建设规模确定为25吨/天。</w:t>
      </w:r>
    </w:p>
    <w:p>
      <w:pPr>
        <w:numPr>
          <w:ilvl w:val="0"/>
          <w:numId w:val="5"/>
        </w:numPr>
        <w:autoSpaceDE w:val="0"/>
        <w:autoSpaceDN w:val="0"/>
        <w:adjustRightInd w:val="0"/>
        <w:spacing w:line="360" w:lineRule="auto"/>
        <w:ind w:firstLine="480" w:firstLineChars="200"/>
        <w:rPr>
          <w:rFonts w:hint="eastAsia" w:eastAsiaTheme="minorEastAsia"/>
          <w:color w:val="auto"/>
          <w:kern w:val="0"/>
          <w:lang w:val="en-US" w:eastAsia="zh-CN"/>
        </w:rPr>
      </w:pPr>
      <w:r>
        <w:rPr>
          <w:rFonts w:hint="eastAsia" w:eastAsiaTheme="minorEastAsia"/>
          <w:color w:val="auto"/>
          <w:kern w:val="0"/>
          <w:lang w:val="en-US" w:eastAsia="zh-CN"/>
        </w:rPr>
        <w:t>餐厨垃圾的成分分析</w:t>
      </w:r>
    </w:p>
    <w:p>
      <w:pPr>
        <w:numPr>
          <w:ilvl w:val="0"/>
          <w:numId w:val="0"/>
        </w:numPr>
        <w:tabs>
          <w:tab w:val="clear" w:pos="680"/>
        </w:tabs>
        <w:autoSpaceDE w:val="0"/>
        <w:autoSpaceDN w:val="0"/>
        <w:adjustRightInd w:val="0"/>
        <w:spacing w:line="360" w:lineRule="auto"/>
        <w:rPr>
          <w:rFonts w:hint="eastAsia" w:eastAsiaTheme="minorEastAsia"/>
          <w:color w:val="auto"/>
          <w:kern w:val="0"/>
          <w:lang w:val="en-US" w:eastAsia="zh-CN"/>
        </w:rPr>
      </w:pPr>
      <w:r>
        <w:rPr>
          <w:rFonts w:hint="eastAsia" w:eastAsiaTheme="minorEastAsia"/>
          <w:color w:val="auto"/>
          <w:kern w:val="0"/>
          <w:lang w:val="en-US" w:eastAsia="zh-CN"/>
        </w:rPr>
        <w:t xml:space="preserve">   参考《广州安芮洁环保科技有限公司餐厨垃圾黑水虻处理项目》竣工环境保护验收监测报告可知，根据广州安芮洁环保科技有限公司对白云区餐厨垃圾的调查分析，白云区餐厨垃圾成份如下表所示。</w:t>
      </w:r>
    </w:p>
    <w:p>
      <w:pPr>
        <w:numPr>
          <w:ilvl w:val="0"/>
          <w:numId w:val="0"/>
        </w:numPr>
        <w:tabs>
          <w:tab w:val="clear" w:pos="680"/>
        </w:tabs>
        <w:autoSpaceDE w:val="0"/>
        <w:autoSpaceDN w:val="0"/>
        <w:adjustRightInd w:val="0"/>
        <w:spacing w:line="360" w:lineRule="auto"/>
        <w:jc w:val="center"/>
        <w:rPr>
          <w:rFonts w:hint="eastAsia" w:eastAsiaTheme="minorEastAsia"/>
          <w:b/>
          <w:bCs/>
          <w:color w:val="auto"/>
          <w:kern w:val="0"/>
          <w:lang w:val="en-US" w:eastAsia="zh-CN"/>
        </w:rPr>
      </w:pPr>
    </w:p>
    <w:p>
      <w:pPr>
        <w:numPr>
          <w:ilvl w:val="0"/>
          <w:numId w:val="0"/>
        </w:numPr>
        <w:tabs>
          <w:tab w:val="clear" w:pos="680"/>
        </w:tabs>
        <w:autoSpaceDE w:val="0"/>
        <w:autoSpaceDN w:val="0"/>
        <w:adjustRightInd w:val="0"/>
        <w:spacing w:line="360" w:lineRule="auto"/>
        <w:jc w:val="center"/>
        <w:rPr>
          <w:rFonts w:hint="eastAsia" w:eastAsiaTheme="minorEastAsia"/>
          <w:b/>
          <w:bCs/>
          <w:color w:val="auto"/>
          <w:kern w:val="0"/>
          <w:lang w:val="en-US" w:eastAsia="zh-CN"/>
        </w:rPr>
      </w:pPr>
    </w:p>
    <w:p>
      <w:pPr>
        <w:numPr>
          <w:ilvl w:val="0"/>
          <w:numId w:val="0"/>
        </w:numPr>
        <w:tabs>
          <w:tab w:val="clear" w:pos="680"/>
        </w:tabs>
        <w:autoSpaceDE w:val="0"/>
        <w:autoSpaceDN w:val="0"/>
        <w:adjustRightInd w:val="0"/>
        <w:spacing w:line="360" w:lineRule="auto"/>
        <w:jc w:val="center"/>
        <w:rPr>
          <w:rFonts w:hint="eastAsia" w:eastAsiaTheme="minorEastAsia"/>
          <w:b/>
          <w:bCs/>
          <w:color w:val="auto"/>
          <w:kern w:val="0"/>
          <w:lang w:val="en-US" w:eastAsia="zh-CN"/>
        </w:rPr>
      </w:pPr>
    </w:p>
    <w:p>
      <w:pPr>
        <w:numPr>
          <w:ilvl w:val="0"/>
          <w:numId w:val="0"/>
        </w:numPr>
        <w:tabs>
          <w:tab w:val="clear" w:pos="680"/>
        </w:tabs>
        <w:autoSpaceDE w:val="0"/>
        <w:autoSpaceDN w:val="0"/>
        <w:adjustRightInd w:val="0"/>
        <w:spacing w:line="360" w:lineRule="auto"/>
        <w:jc w:val="center"/>
        <w:rPr>
          <w:rFonts w:hint="eastAsia" w:eastAsiaTheme="minorEastAsia"/>
          <w:b/>
          <w:bCs/>
          <w:color w:val="auto"/>
          <w:kern w:val="0"/>
          <w:lang w:val="en-US" w:eastAsia="zh-CN"/>
        </w:rPr>
      </w:pPr>
      <w:r>
        <w:rPr>
          <w:rFonts w:hint="eastAsia" w:eastAsiaTheme="minorEastAsia"/>
          <w:b/>
          <w:bCs/>
          <w:color w:val="auto"/>
          <w:kern w:val="0"/>
          <w:lang w:val="en-US" w:eastAsia="zh-CN"/>
        </w:rPr>
        <w:t>表3.1-9 白云区餐厨垃圾成份表</w:t>
      </w:r>
    </w:p>
    <w:p>
      <w:pPr>
        <w:numPr>
          <w:ilvl w:val="0"/>
          <w:numId w:val="0"/>
        </w:numPr>
        <w:tabs>
          <w:tab w:val="clear" w:pos="680"/>
        </w:tabs>
        <w:autoSpaceDE w:val="0"/>
        <w:autoSpaceDN w:val="0"/>
        <w:adjustRightInd w:val="0"/>
        <w:spacing w:line="360" w:lineRule="auto"/>
        <w:jc w:val="center"/>
        <w:rPr>
          <w:color w:val="auto"/>
        </w:rPr>
      </w:pPr>
      <w:r>
        <w:rPr>
          <w:color w:val="auto"/>
        </w:rPr>
        <w:drawing>
          <wp:inline distT="0" distB="0" distL="114300" distR="114300">
            <wp:extent cx="5755005" cy="1589405"/>
            <wp:effectExtent l="0" t="0" r="17145" b="10795"/>
            <wp:docPr id="10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4"/>
                    <pic:cNvPicPr>
                      <a:picLocks noChangeAspect="1"/>
                    </pic:cNvPicPr>
                  </pic:nvPicPr>
                  <pic:blipFill>
                    <a:blip r:embed="rId71"/>
                    <a:stretch>
                      <a:fillRect/>
                    </a:stretch>
                  </pic:blipFill>
                  <pic:spPr>
                    <a:xfrm>
                      <a:off x="0" y="0"/>
                      <a:ext cx="5755005" cy="1589405"/>
                    </a:xfrm>
                    <a:prstGeom prst="rect">
                      <a:avLst/>
                    </a:prstGeom>
                    <a:noFill/>
                    <a:ln w="9525">
                      <a:noFill/>
                      <a:miter/>
                    </a:ln>
                  </pic:spPr>
                </pic:pic>
              </a:graphicData>
            </a:graphic>
          </wp:inline>
        </w:drawing>
      </w:r>
    </w:p>
    <w:p>
      <w:pPr>
        <w:numPr>
          <w:ilvl w:val="0"/>
          <w:numId w:val="0"/>
        </w:numPr>
        <w:tabs>
          <w:tab w:val="clear" w:pos="680"/>
        </w:tabs>
        <w:autoSpaceDE w:val="0"/>
        <w:autoSpaceDN w:val="0"/>
        <w:adjustRightInd w:val="0"/>
        <w:spacing w:line="360" w:lineRule="auto"/>
        <w:ind w:firstLine="480"/>
        <w:jc w:val="left"/>
        <w:rPr>
          <w:rFonts w:hint="eastAsia"/>
          <w:color w:val="auto"/>
          <w:lang w:val="en-US" w:eastAsia="zh-CN"/>
        </w:rPr>
      </w:pPr>
      <w:r>
        <w:rPr>
          <w:rFonts w:hint="eastAsia"/>
          <w:color w:val="auto"/>
          <w:lang w:val="en-US" w:eastAsia="zh-CN"/>
        </w:rPr>
        <w:t>该项目处理的餐厨垃圾主要来源于白云区辖区范围内学校食堂、酒店、饭店等产生的餐厨垃圾。例如：江村小学、江高镇中心小学、江高镇幼儿园河心洲分校、江高镇幼儿园、江高二中、江高三中、广铁八小等食堂产生的餐厨垃圾。</w:t>
      </w:r>
    </w:p>
    <w:p>
      <w:pPr>
        <w:numPr>
          <w:ilvl w:val="0"/>
          <w:numId w:val="0"/>
        </w:numPr>
        <w:tabs>
          <w:tab w:val="clear" w:pos="680"/>
        </w:tabs>
        <w:autoSpaceDE w:val="0"/>
        <w:autoSpaceDN w:val="0"/>
        <w:adjustRightInd w:val="0"/>
        <w:spacing w:line="360" w:lineRule="auto"/>
        <w:ind w:firstLine="480"/>
        <w:jc w:val="left"/>
        <w:rPr>
          <w:rFonts w:hint="eastAsia"/>
          <w:color w:val="auto"/>
          <w:lang w:val="en-US" w:eastAsia="zh-CN"/>
        </w:rPr>
      </w:pPr>
      <w:r>
        <w:rPr>
          <w:rFonts w:hint="eastAsia"/>
          <w:color w:val="auto"/>
          <w:lang w:val="en-US" w:eastAsia="zh-CN"/>
        </w:rPr>
        <w:t>本项目餐厨垃圾收运范围主要是</w:t>
      </w:r>
      <w:r>
        <w:rPr>
          <w:rFonts w:hint="eastAsia"/>
          <w:color w:val="auto"/>
        </w:rPr>
        <w:t>餐饮服务、单位供餐等活动中产生的食物残余和废弃食用油脂</w:t>
      </w:r>
      <w:r>
        <w:rPr>
          <w:rFonts w:hint="eastAsia"/>
          <w:color w:val="auto"/>
          <w:lang w:eastAsia="zh-CN"/>
        </w:rPr>
        <w:t>，与</w:t>
      </w:r>
      <w:r>
        <w:rPr>
          <w:rFonts w:hint="eastAsia" w:eastAsiaTheme="minorEastAsia"/>
          <w:color w:val="auto"/>
          <w:kern w:val="0"/>
          <w:lang w:val="en-US" w:eastAsia="zh-CN"/>
        </w:rPr>
        <w:t>广州安芮洁环保科技有限公司餐厨垃圾黑水虻处理项目的收运范围类型类似，因此本项目的餐厨垃圾成分可参考白云区的餐厨垃圾成分表，主要由水分、蔬菜、肉类和骨头以及面粉类等残余等。</w:t>
      </w:r>
    </w:p>
    <w:p>
      <w:pPr>
        <w:pStyle w:val="298"/>
        <w:spacing w:before="0" w:after="0" w:line="360" w:lineRule="auto"/>
        <w:rPr>
          <w:color w:val="auto"/>
        </w:rPr>
      </w:pPr>
      <w:bookmarkStart w:id="276" w:name="_Toc34234672"/>
      <w:bookmarkStart w:id="277" w:name="_Toc2910"/>
      <w:r>
        <w:rPr>
          <w:rFonts w:hint="eastAsia"/>
          <w:color w:val="auto"/>
          <w:lang w:eastAsia="zh-CN"/>
        </w:rPr>
        <w:t>3</w:t>
      </w:r>
      <w:r>
        <w:rPr>
          <w:color w:val="auto"/>
          <w:lang w:eastAsia="zh-CN"/>
        </w:rPr>
        <w:t>.</w:t>
      </w:r>
      <w:r>
        <w:rPr>
          <w:rFonts w:hint="eastAsia"/>
          <w:color w:val="auto"/>
          <w:lang w:val="en-US" w:eastAsia="zh-CN"/>
        </w:rPr>
        <w:t>1</w:t>
      </w:r>
      <w:r>
        <w:rPr>
          <w:color w:val="auto"/>
          <w:lang w:eastAsia="zh-CN"/>
        </w:rPr>
        <w:t>.</w:t>
      </w:r>
      <w:bookmarkEnd w:id="272"/>
      <w:r>
        <w:rPr>
          <w:color w:val="auto"/>
          <w:lang w:eastAsia="zh-CN"/>
        </w:rPr>
        <w:t>7</w:t>
      </w:r>
      <w:r>
        <w:rPr>
          <w:rFonts w:hint="eastAsia"/>
          <w:color w:val="auto"/>
        </w:rPr>
        <w:t>兴宁市建筑垃圾处理规模的确定</w:t>
      </w:r>
      <w:bookmarkEnd w:id="276"/>
      <w:bookmarkEnd w:id="277"/>
    </w:p>
    <w:p>
      <w:pPr>
        <w:spacing w:line="360" w:lineRule="auto"/>
        <w:ind w:firstLine="480"/>
        <w:rPr>
          <w:rFonts w:hint="eastAsia"/>
          <w:color w:val="auto"/>
          <w:lang w:val="en-US" w:eastAsia="zh-CN"/>
        </w:rPr>
      </w:pPr>
      <w:r>
        <w:rPr>
          <w:rFonts w:hint="eastAsia"/>
          <w:color w:val="auto"/>
          <w:lang w:eastAsia="zh-CN"/>
        </w:rPr>
        <w:t>本项目建筑垃圾服务、处理现状以及产生量预测方法内容均来自《兴宁市静脉产业园项目可行性研究报告》，该报告已取得《</w:t>
      </w:r>
      <w:r>
        <w:rPr>
          <w:color w:val="auto"/>
        </w:rPr>
        <w:t>兴宁市发展和改革局关于兴宁市静脉产业园项目</w:t>
      </w:r>
      <w:r>
        <w:rPr>
          <w:rFonts w:hint="eastAsia"/>
          <w:color w:val="auto"/>
        </w:rPr>
        <w:t>可行性研究报告</w:t>
      </w:r>
      <w:r>
        <w:rPr>
          <w:color w:val="auto"/>
        </w:rPr>
        <w:t>的批复</w:t>
      </w:r>
      <w:r>
        <w:rPr>
          <w:rFonts w:hint="eastAsia"/>
          <w:color w:val="auto"/>
          <w:lang w:eastAsia="zh-CN"/>
        </w:rPr>
        <w:t>》</w:t>
      </w:r>
      <w:r>
        <w:rPr>
          <w:rFonts w:hint="eastAsia"/>
          <w:color w:val="auto"/>
          <w:lang w:val="en-US" w:eastAsia="zh-CN"/>
        </w:rPr>
        <w:t xml:space="preserve"> （详见附件9）。</w:t>
      </w:r>
    </w:p>
    <w:p>
      <w:pPr>
        <w:pStyle w:val="16"/>
        <w:spacing w:before="0" w:beforeAutospacing="0" w:after="0" w:line="360" w:lineRule="auto"/>
        <w:ind w:firstLine="456" w:firstLineChars="200"/>
        <w:jc w:val="both"/>
        <w:rPr>
          <w:color w:val="auto"/>
          <w:spacing w:val="-6"/>
        </w:rPr>
      </w:pPr>
      <w:r>
        <w:rPr>
          <w:rFonts w:hint="eastAsia"/>
          <w:color w:val="auto"/>
          <w:spacing w:val="-6"/>
        </w:rPr>
        <w:t>1、服务对象</w:t>
      </w:r>
    </w:p>
    <w:p>
      <w:pPr>
        <w:autoSpaceDE w:val="0"/>
        <w:autoSpaceDN w:val="0"/>
        <w:adjustRightInd w:val="0"/>
        <w:spacing w:line="360" w:lineRule="auto"/>
        <w:ind w:firstLine="480" w:firstLineChars="200"/>
        <w:rPr>
          <w:rFonts w:eastAsiaTheme="minorEastAsia"/>
          <w:color w:val="auto"/>
          <w:kern w:val="0"/>
        </w:rPr>
      </w:pPr>
      <w:r>
        <w:rPr>
          <w:rFonts w:eastAsiaTheme="minorEastAsia"/>
          <w:color w:val="auto"/>
          <w:kern w:val="0"/>
        </w:rPr>
        <w:t>项目服务对象为城市开发建设、旧改工程及装饰装修工程中产生的建筑垃圾（不包括余泥、余土）。建筑垃圾的来源可分为：施工类、开挖类、拆除类以及装修类建筑垃圾，下面分别对这四类的建筑垃圾产生量预测模型进行研究，对建筑垃圾的产量进行预测。项目建筑垃圾处理的服务范围包括兴田街道、福兴街道、宁新街道、新陂镇，后续考虑叶塘镇、龙田镇、宁中镇、永和镇、坭陂镇、刁坊镇等周城镇，逐渐扩大服务范围。</w:t>
      </w:r>
    </w:p>
    <w:p>
      <w:pPr>
        <w:pStyle w:val="16"/>
        <w:spacing w:before="0" w:beforeAutospacing="0" w:after="0" w:line="360" w:lineRule="auto"/>
        <w:ind w:firstLine="456" w:firstLineChars="200"/>
        <w:jc w:val="both"/>
        <w:rPr>
          <w:color w:val="auto"/>
          <w:spacing w:val="-6"/>
        </w:rPr>
      </w:pPr>
      <w:r>
        <w:rPr>
          <w:rFonts w:hint="eastAsia"/>
          <w:color w:val="auto"/>
          <w:spacing w:val="-6"/>
        </w:rPr>
        <w:t>2、兴宁市建筑垃圾处理现状</w:t>
      </w:r>
    </w:p>
    <w:p>
      <w:pPr>
        <w:pStyle w:val="16"/>
        <w:spacing w:before="0" w:beforeAutospacing="0" w:after="0" w:line="360" w:lineRule="auto"/>
        <w:ind w:firstLine="456" w:firstLineChars="200"/>
        <w:jc w:val="both"/>
        <w:rPr>
          <w:color w:val="auto"/>
          <w:spacing w:val="-6"/>
        </w:rPr>
      </w:pPr>
      <w:r>
        <w:rPr>
          <w:rFonts w:hint="eastAsia"/>
          <w:color w:val="auto"/>
          <w:spacing w:val="-6"/>
        </w:rPr>
        <w:t>随着兴宁市经济社会建设快速发展，尤其是城市化进程不断推进，大型建设工地日益增多的背景下，兴宁市产生的建筑垃圾已经达到了一定规模。但目前兴宁市尚未建设有大型的建筑垃圾消纳场，产生的大量建筑垃圾仅能运往南部新城消化或用于土方平衡，资源化程度低，同时严重浪费了土地资源。建筑垃圾收运、受纳以责任主体自行处理为主，非法排放建筑垃圾现象有所发生。</w:t>
      </w:r>
    </w:p>
    <w:p>
      <w:pPr>
        <w:pStyle w:val="16"/>
        <w:spacing w:before="0" w:beforeAutospacing="0" w:after="0" w:line="360" w:lineRule="auto"/>
        <w:ind w:firstLine="456" w:firstLineChars="200"/>
        <w:jc w:val="both"/>
        <w:rPr>
          <w:color w:val="auto"/>
          <w:spacing w:val="-6"/>
        </w:rPr>
      </w:pPr>
      <w:r>
        <w:rPr>
          <w:rFonts w:hint="eastAsia"/>
          <w:color w:val="auto"/>
          <w:spacing w:val="-6"/>
        </w:rPr>
        <w:t>3、建筑垃圾产量预测</w:t>
      </w:r>
    </w:p>
    <w:p>
      <w:pPr>
        <w:pStyle w:val="16"/>
        <w:spacing w:before="0" w:beforeAutospacing="0" w:after="0" w:line="360" w:lineRule="auto"/>
        <w:ind w:firstLine="456" w:firstLineChars="200"/>
        <w:jc w:val="both"/>
        <w:rPr>
          <w:color w:val="auto"/>
          <w:spacing w:val="-6"/>
        </w:rPr>
      </w:pPr>
      <w:r>
        <w:rPr>
          <w:rFonts w:hint="eastAsia"/>
          <w:color w:val="auto"/>
          <w:spacing w:val="-6"/>
        </w:rPr>
        <w:t>（1）预测方法</w:t>
      </w:r>
    </w:p>
    <w:p>
      <w:pPr>
        <w:pStyle w:val="16"/>
        <w:spacing w:before="0" w:beforeAutospacing="0" w:after="0" w:line="360" w:lineRule="auto"/>
        <w:ind w:firstLine="570" w:firstLineChars="250"/>
        <w:jc w:val="both"/>
        <w:rPr>
          <w:color w:val="auto"/>
          <w:spacing w:val="-6"/>
        </w:rPr>
      </w:pPr>
      <w:r>
        <w:rPr>
          <w:rFonts w:hint="eastAsia"/>
          <w:color w:val="auto"/>
          <w:spacing w:val="-6"/>
        </w:rPr>
        <w:t>1）新建类建筑垃圾</w:t>
      </w:r>
    </w:p>
    <w:p>
      <w:pPr>
        <w:pStyle w:val="16"/>
        <w:spacing w:before="0" w:beforeAutospacing="0" w:after="0" w:line="360" w:lineRule="auto"/>
        <w:ind w:firstLine="570" w:firstLineChars="250"/>
        <w:jc w:val="both"/>
        <w:rPr>
          <w:color w:val="auto"/>
          <w:spacing w:val="-6"/>
        </w:rPr>
      </w:pPr>
      <w:r>
        <w:rPr>
          <w:rFonts w:hint="eastAsia"/>
          <w:color w:val="auto"/>
          <w:spacing w:val="-6"/>
        </w:rPr>
        <w:t>根据中国多个城市建筑行业建设经验，新建建（构）筑物建设施工废弃物的产生量与新建建（构）筑物的施工建筑面积一般成正比关系。经过对砖混结构、全现浇结构和框架结构等建筑施工材料损耗的粗略统计，在1 万平方米建筑面积的施工过程中，产生的废弃砖和水泥块等建筑废渣的产量为500～600 吨。建筑废弃物可按1m³=1.5 吨换算。结合广东省建筑行业的实际情况，规划新建建筑物建设施工废弃物的产生量按照300m³/万m²进行估算，推算新建建筑物建设施工废弃物产生量。其预测模型为：</w:t>
      </w:r>
    </w:p>
    <w:p>
      <w:pPr>
        <w:pStyle w:val="16"/>
        <w:spacing w:before="0" w:beforeAutospacing="0" w:after="0" w:line="360" w:lineRule="auto"/>
        <w:ind w:firstLine="560" w:firstLineChars="200"/>
        <w:jc w:val="center"/>
        <w:rPr>
          <w:color w:val="auto"/>
          <w:spacing w:val="-6"/>
        </w:rPr>
      </w:pPr>
      <w:r>
        <w:rPr>
          <w:rFonts w:ascii="TimesNewRomanPSMT" w:eastAsia="TimesNewRomanPSMT" w:cs="TimesNewRomanPSMT"/>
          <w:color w:val="auto"/>
          <w:kern w:val="0"/>
          <w:sz w:val="28"/>
          <w:szCs w:val="28"/>
        </w:rPr>
        <w:t>Qn=300</w:t>
      </w:r>
      <w:r>
        <w:rPr>
          <w:rFonts w:hint="eastAsia" w:ascii="TimesNewRomanPSMT" w:eastAsia="TimesNewRomanPSMT" w:cs="TimesNewRomanPSMT"/>
          <w:color w:val="auto"/>
          <w:kern w:val="0"/>
          <w:sz w:val="28"/>
          <w:szCs w:val="28"/>
        </w:rPr>
        <w:t>×</w:t>
      </w:r>
      <w:r>
        <w:rPr>
          <w:rFonts w:ascii="TimesNewRomanPSMT" w:eastAsia="TimesNewRomanPSMT" w:cs="TimesNewRomanPSMT"/>
          <w:color w:val="auto"/>
          <w:kern w:val="0"/>
          <w:sz w:val="28"/>
          <w:szCs w:val="28"/>
        </w:rPr>
        <w:t>10</w:t>
      </w:r>
      <w:r>
        <w:rPr>
          <w:rFonts w:ascii="TimesNewRomanPSMT" w:eastAsia="TimesNewRomanPSMT" w:cs="TimesNewRomanPSMT"/>
          <w:color w:val="auto"/>
          <w:kern w:val="0"/>
          <w:szCs w:val="24"/>
          <w:vertAlign w:val="superscript"/>
        </w:rPr>
        <w:t>-4</w:t>
      </w:r>
      <w:r>
        <w:rPr>
          <w:rFonts w:hint="eastAsia" w:ascii="TimesNewRomanPSMT" w:eastAsia="TimesNewRomanPSMT" w:cs="TimesNewRomanPSMT"/>
          <w:color w:val="auto"/>
          <w:kern w:val="0"/>
          <w:sz w:val="28"/>
          <w:szCs w:val="28"/>
        </w:rPr>
        <w:t>×</w:t>
      </w:r>
      <w:r>
        <w:rPr>
          <w:rFonts w:ascii="TimesNewRomanPSMT" w:eastAsia="TimesNewRomanPSMT" w:cs="TimesNewRomanPSMT"/>
          <w:color w:val="auto"/>
          <w:kern w:val="0"/>
          <w:sz w:val="28"/>
          <w:szCs w:val="28"/>
        </w:rPr>
        <w:t>S</w:t>
      </w:r>
      <w:r>
        <w:rPr>
          <w:rFonts w:ascii="TimesNewRomanPSMT" w:eastAsia="TimesNewRomanPSMT" w:cs="TimesNewRomanPSMT"/>
          <w:color w:val="auto"/>
          <w:kern w:val="0"/>
          <w:sz w:val="18"/>
          <w:szCs w:val="18"/>
        </w:rPr>
        <w:t>con</w:t>
      </w:r>
    </w:p>
    <w:p>
      <w:pPr>
        <w:autoSpaceDE w:val="0"/>
        <w:autoSpaceDN w:val="0"/>
        <w:adjustRightInd w:val="0"/>
        <w:spacing w:line="360" w:lineRule="auto"/>
        <w:ind w:firstLine="360" w:firstLineChars="150"/>
        <w:rPr>
          <w:rFonts w:eastAsiaTheme="minorEastAsia"/>
          <w:color w:val="auto"/>
          <w:kern w:val="0"/>
        </w:rPr>
      </w:pPr>
      <w:r>
        <w:rPr>
          <w:rFonts w:eastAsiaTheme="minorEastAsia"/>
          <w:color w:val="auto"/>
          <w:kern w:val="0"/>
        </w:rPr>
        <w:t>其中，Qn—新建建筑物建设施工垃圾的产生量，万m</w:t>
      </w:r>
      <w:r>
        <w:rPr>
          <w:rFonts w:eastAsiaTheme="minorEastAsia"/>
          <w:color w:val="auto"/>
          <w:kern w:val="0"/>
          <w:vertAlign w:val="superscript"/>
        </w:rPr>
        <w:t>3</w:t>
      </w:r>
      <w:r>
        <w:rPr>
          <w:rFonts w:eastAsiaTheme="minorEastAsia"/>
          <w:color w:val="auto"/>
          <w:kern w:val="0"/>
        </w:rPr>
        <w:t>；</w:t>
      </w:r>
    </w:p>
    <w:p>
      <w:pPr>
        <w:spacing w:line="360" w:lineRule="auto"/>
        <w:ind w:firstLine="1080" w:firstLineChars="450"/>
        <w:rPr>
          <w:b/>
          <w:color w:val="auto"/>
        </w:rPr>
      </w:pPr>
      <w:r>
        <w:rPr>
          <w:rFonts w:eastAsiaTheme="minorEastAsia"/>
          <w:color w:val="auto"/>
          <w:kern w:val="0"/>
        </w:rPr>
        <w:t>Scon—新建建筑物的施工建筑面积，万m</w:t>
      </w:r>
      <w:r>
        <w:rPr>
          <w:rFonts w:eastAsiaTheme="minorEastAsia"/>
          <w:color w:val="auto"/>
          <w:kern w:val="0"/>
          <w:vertAlign w:val="superscript"/>
        </w:rPr>
        <w:t>2</w:t>
      </w:r>
      <w:r>
        <w:rPr>
          <w:rFonts w:hint="eastAsia" w:ascii="仿宋_GB2312" w:eastAsia="仿宋_GB2312" w:cs="仿宋_GB2312"/>
          <w:color w:val="auto"/>
          <w:kern w:val="0"/>
          <w:sz w:val="28"/>
          <w:szCs w:val="28"/>
        </w:rPr>
        <w:t>。</w:t>
      </w:r>
    </w:p>
    <w:p>
      <w:pPr>
        <w:spacing w:line="360" w:lineRule="auto"/>
        <w:ind w:firstLine="720" w:firstLineChars="300"/>
        <w:rPr>
          <w:rFonts w:eastAsiaTheme="minorEastAsia"/>
          <w:b/>
          <w:color w:val="auto"/>
        </w:rPr>
      </w:pPr>
      <w:r>
        <w:rPr>
          <w:rFonts w:hint="eastAsia" w:eastAsiaTheme="minorEastAsia"/>
          <w:color w:val="auto"/>
          <w:kern w:val="0"/>
        </w:rPr>
        <w:t>2）</w:t>
      </w:r>
      <w:r>
        <w:rPr>
          <w:rFonts w:eastAsiaTheme="minorEastAsia"/>
          <w:color w:val="auto"/>
          <w:kern w:val="0"/>
        </w:rPr>
        <w:t>拆旧类建筑垃圾</w:t>
      </w:r>
    </w:p>
    <w:p>
      <w:pPr>
        <w:spacing w:line="360" w:lineRule="auto"/>
        <w:rPr>
          <w:color w:val="auto"/>
        </w:rPr>
      </w:pPr>
      <w:r>
        <w:rPr>
          <w:rFonts w:hint="eastAsia"/>
          <w:b/>
          <w:color w:val="auto"/>
        </w:rPr>
        <w:t xml:space="preserve">     </w:t>
      </w:r>
      <w:r>
        <w:rPr>
          <w:rFonts w:hint="eastAsia"/>
          <w:color w:val="auto"/>
        </w:rPr>
        <w:t>房屋拆除时产生的建筑垃圾是最多的，但因其成分复杂而无准确的统计数据，通常只能对其估算。</w:t>
      </w:r>
    </w:p>
    <w:p>
      <w:pPr>
        <w:spacing w:line="360" w:lineRule="auto"/>
        <w:ind w:firstLine="600" w:firstLineChars="250"/>
        <w:rPr>
          <w:rFonts w:eastAsiaTheme="minorEastAsia"/>
          <w:color w:val="auto"/>
        </w:rPr>
      </w:pPr>
      <w:r>
        <w:rPr>
          <w:rFonts w:eastAsiaTheme="minorEastAsia"/>
          <w:color w:val="auto"/>
          <w:kern w:val="0"/>
        </w:rPr>
        <w:t>房屋拆除工程建筑垃圾量＝建筑面积×单位面积垃圾量</w:t>
      </w:r>
    </w:p>
    <w:p>
      <w:pPr>
        <w:pStyle w:val="222"/>
        <w:numPr>
          <w:ilvl w:val="0"/>
          <w:numId w:val="6"/>
        </w:numPr>
        <w:autoSpaceDE w:val="0"/>
        <w:autoSpaceDN w:val="0"/>
        <w:adjustRightInd w:val="0"/>
        <w:spacing w:line="360" w:lineRule="auto"/>
        <w:rPr>
          <w:rFonts w:eastAsiaTheme="minorEastAsia"/>
          <w:color w:val="auto"/>
          <w:lang w:eastAsia="zh-CN"/>
        </w:rPr>
      </w:pPr>
      <w:r>
        <w:rPr>
          <w:rFonts w:eastAsiaTheme="minorEastAsia"/>
          <w:color w:val="auto"/>
          <w:lang w:eastAsia="zh-CN"/>
        </w:rPr>
        <w:t>民用房屋建筑按照每平方米1.3 吨计算；有旧物利用的，在考虑综合因素后按结构类型确定为：砖木结构每平方米0.8 吨，砖混结构每平方米0.9 吨，钢筋混凝土结构每平方米1 吨，钢结构每平方米0.2 吨。</w:t>
      </w:r>
    </w:p>
    <w:p>
      <w:pPr>
        <w:pStyle w:val="222"/>
        <w:numPr>
          <w:ilvl w:val="0"/>
          <w:numId w:val="6"/>
        </w:numPr>
        <w:autoSpaceDE w:val="0"/>
        <w:autoSpaceDN w:val="0"/>
        <w:adjustRightInd w:val="0"/>
        <w:spacing w:line="360" w:lineRule="auto"/>
        <w:rPr>
          <w:rFonts w:asciiTheme="minorEastAsia" w:hAnsiTheme="minorEastAsia" w:eastAsiaTheme="minorEastAsia"/>
          <w:color w:val="auto"/>
          <w:lang w:eastAsia="zh-CN"/>
        </w:rPr>
      </w:pPr>
      <w:r>
        <w:rPr>
          <w:rFonts w:asciiTheme="minorEastAsia" w:hAnsiTheme="minorEastAsia" w:eastAsiaTheme="minorEastAsia"/>
          <w:color w:val="auto"/>
          <w:lang w:eastAsia="zh-CN"/>
        </w:rPr>
        <w:t>业厂房和跨度9 米以上的仓储类房屋按结构类型确定为：钢结构每平方米0.2 吨，其他按同类结构民用房屋建筑单位面积垃圾量</w:t>
      </w:r>
      <w:r>
        <w:rPr>
          <w:rFonts w:hint="eastAsia" w:asciiTheme="minorEastAsia" w:hAnsiTheme="minorEastAsia" w:eastAsiaTheme="minorEastAsia"/>
          <w:color w:val="auto"/>
          <w:lang w:eastAsia="zh-CN"/>
        </w:rPr>
        <w:t>的40-60%。</w:t>
      </w:r>
    </w:p>
    <w:p>
      <w:pPr>
        <w:autoSpaceDE w:val="0"/>
        <w:autoSpaceDN w:val="0"/>
        <w:adjustRightInd w:val="0"/>
        <w:spacing w:line="360" w:lineRule="auto"/>
        <w:ind w:firstLine="600" w:firstLineChars="250"/>
        <w:jc w:val="both"/>
        <w:rPr>
          <w:rFonts w:eastAsiaTheme="minorEastAsia"/>
          <w:color w:val="auto"/>
        </w:rPr>
      </w:pPr>
      <w:r>
        <w:rPr>
          <w:rFonts w:eastAsiaTheme="minorEastAsia"/>
          <w:color w:val="auto"/>
          <w:kern w:val="0"/>
        </w:rPr>
        <w:t>综上，在进行拆旧类建筑垃圾预测时，综合考虑上述参数进行预</w:t>
      </w:r>
      <w:r>
        <w:rPr>
          <w:rFonts w:eastAsiaTheme="minorEastAsia"/>
          <w:color w:val="auto"/>
        </w:rPr>
        <w:t>测，本次预测按照拆旧类建筑垃圾产量系数1t/m</w:t>
      </w:r>
      <w:r>
        <w:rPr>
          <w:rFonts w:eastAsiaTheme="minorEastAsia"/>
          <w:color w:val="auto"/>
          <w:vertAlign w:val="superscript"/>
        </w:rPr>
        <w:t>2</w:t>
      </w:r>
      <w:r>
        <w:rPr>
          <w:rFonts w:eastAsiaTheme="minorEastAsia"/>
          <w:color w:val="auto"/>
        </w:rPr>
        <w:t>来计，建筑垃圾的密度按照1.5t/m</w:t>
      </w:r>
      <w:r>
        <w:rPr>
          <w:rFonts w:eastAsiaTheme="minorEastAsia"/>
          <w:color w:val="auto"/>
          <w:vertAlign w:val="superscript"/>
        </w:rPr>
        <w:t>3</w:t>
      </w:r>
      <w:r>
        <w:rPr>
          <w:rFonts w:eastAsiaTheme="minorEastAsia"/>
          <w:color w:val="auto"/>
        </w:rPr>
        <w:t>进行折算，即拆旧类建筑垃圾的产生量预测公式为：</w:t>
      </w:r>
    </w:p>
    <w:p>
      <w:pPr>
        <w:autoSpaceDE w:val="0"/>
        <w:autoSpaceDN w:val="0"/>
        <w:adjustRightInd w:val="0"/>
        <w:spacing w:line="360" w:lineRule="auto"/>
        <w:ind w:firstLine="700" w:firstLineChars="250"/>
        <w:jc w:val="both"/>
        <w:rPr>
          <w:rFonts w:ascii="TimesNewRomanPSMT" w:eastAsia="TimesNewRomanPSMT" w:cs="TimesNewRomanPSMT"/>
          <w:color w:val="auto"/>
          <w:kern w:val="0"/>
          <w:sz w:val="28"/>
          <w:szCs w:val="28"/>
        </w:rPr>
      </w:pPr>
      <w:r>
        <w:rPr>
          <w:rFonts w:ascii="TimesNewRomanPSMT" w:eastAsia="TimesNewRomanPSMT" w:cs="TimesNewRomanPSMT"/>
          <w:color w:val="auto"/>
          <w:kern w:val="0"/>
          <w:sz w:val="28"/>
          <w:szCs w:val="28"/>
        </w:rPr>
        <w:t>Q</w:t>
      </w:r>
      <w:r>
        <w:rPr>
          <w:rFonts w:ascii="TimesNewRomanPSMT" w:eastAsia="TimesNewRomanPSMT" w:cs="TimesNewRomanPSMT"/>
          <w:color w:val="auto"/>
          <w:kern w:val="0"/>
          <w:sz w:val="18"/>
          <w:szCs w:val="18"/>
        </w:rPr>
        <w:t>o</w:t>
      </w:r>
      <w:r>
        <w:rPr>
          <w:rFonts w:hint="eastAsia" w:ascii="仿宋_GB2312" w:eastAsia="仿宋_GB2312" w:cs="仿宋_GB2312"/>
          <w:color w:val="auto"/>
          <w:kern w:val="0"/>
          <w:sz w:val="28"/>
          <w:szCs w:val="28"/>
        </w:rPr>
        <w:t>＝</w:t>
      </w:r>
      <w:r>
        <w:rPr>
          <w:rFonts w:ascii="TimesNewRomanPSMT" w:eastAsia="TimesNewRomanPSMT" w:cs="TimesNewRomanPSMT"/>
          <w:color w:val="auto"/>
          <w:kern w:val="0"/>
          <w:sz w:val="28"/>
          <w:szCs w:val="28"/>
        </w:rPr>
        <w:t>1</w:t>
      </w:r>
      <w:r>
        <w:rPr>
          <w:rFonts w:hint="eastAsia" w:ascii="仿宋_GB2312" w:eastAsia="仿宋_GB2312" w:cs="仿宋_GB2312"/>
          <w:color w:val="auto"/>
          <w:kern w:val="0"/>
          <w:sz w:val="28"/>
          <w:szCs w:val="28"/>
        </w:rPr>
        <w:t>×</w:t>
      </w:r>
      <w:r>
        <w:rPr>
          <w:rFonts w:ascii="TimesNewRomanPSMT" w:eastAsia="TimesNewRomanPSMT" w:cs="TimesNewRomanPSMT"/>
          <w:color w:val="auto"/>
          <w:kern w:val="0"/>
          <w:sz w:val="28"/>
          <w:szCs w:val="28"/>
        </w:rPr>
        <w:t>S</w:t>
      </w:r>
      <w:r>
        <w:rPr>
          <w:rFonts w:ascii="TimesNewRomanPSMT" w:eastAsia="TimesNewRomanPSMT" w:cs="TimesNewRomanPSMT"/>
          <w:color w:val="auto"/>
          <w:kern w:val="0"/>
          <w:sz w:val="18"/>
          <w:szCs w:val="18"/>
        </w:rPr>
        <w:t>sdm</w:t>
      </w:r>
      <w:r>
        <w:rPr>
          <w:rFonts w:hint="eastAsia" w:ascii="仿宋_GB2312" w:eastAsia="仿宋_GB2312" w:cs="仿宋_GB2312"/>
          <w:color w:val="auto"/>
          <w:kern w:val="0"/>
          <w:sz w:val="28"/>
          <w:szCs w:val="28"/>
        </w:rPr>
        <w:t>÷</w:t>
      </w:r>
      <w:r>
        <w:rPr>
          <w:rFonts w:ascii="TimesNewRomanPSMT" w:eastAsia="TimesNewRomanPSMT" w:cs="TimesNewRomanPSMT"/>
          <w:color w:val="auto"/>
          <w:kern w:val="0"/>
          <w:sz w:val="28"/>
          <w:szCs w:val="28"/>
        </w:rPr>
        <w:t>1.5</w:t>
      </w:r>
    </w:p>
    <w:p>
      <w:pPr>
        <w:autoSpaceDE w:val="0"/>
        <w:autoSpaceDN w:val="0"/>
        <w:adjustRightInd w:val="0"/>
        <w:spacing w:line="360" w:lineRule="auto"/>
        <w:rPr>
          <w:rFonts w:eastAsiaTheme="minorEastAsia"/>
          <w:color w:val="auto"/>
          <w:kern w:val="0"/>
        </w:rPr>
      </w:pPr>
      <w:r>
        <w:rPr>
          <w:rFonts w:eastAsiaTheme="minorEastAsia"/>
          <w:color w:val="auto"/>
          <w:kern w:val="0"/>
        </w:rPr>
        <w:t>其中，Qo—拆旧类建筑垃圾的产生量，万m</w:t>
      </w:r>
      <w:r>
        <w:rPr>
          <w:rFonts w:eastAsiaTheme="minorEastAsia"/>
          <w:color w:val="auto"/>
          <w:kern w:val="0"/>
          <w:vertAlign w:val="superscript"/>
        </w:rPr>
        <w:t>3</w:t>
      </w:r>
      <w:r>
        <w:rPr>
          <w:rFonts w:eastAsiaTheme="minorEastAsia"/>
          <w:color w:val="auto"/>
          <w:kern w:val="0"/>
        </w:rPr>
        <w:t>；</w:t>
      </w:r>
    </w:p>
    <w:p>
      <w:pPr>
        <w:autoSpaceDE w:val="0"/>
        <w:autoSpaceDN w:val="0"/>
        <w:adjustRightInd w:val="0"/>
        <w:spacing w:line="360" w:lineRule="auto"/>
        <w:ind w:firstLine="600" w:firstLineChars="250"/>
        <w:jc w:val="both"/>
        <w:rPr>
          <w:rFonts w:eastAsiaTheme="minorEastAsia"/>
          <w:color w:val="auto"/>
          <w:kern w:val="0"/>
        </w:rPr>
      </w:pPr>
      <w:r>
        <w:rPr>
          <w:rFonts w:eastAsiaTheme="minorEastAsia"/>
          <w:color w:val="auto"/>
          <w:kern w:val="0"/>
        </w:rPr>
        <w:t>Ssdm—旧建筑物拆除的施工建筑面积，万m</w:t>
      </w:r>
      <w:r>
        <w:rPr>
          <w:rFonts w:eastAsiaTheme="minorEastAsia"/>
          <w:color w:val="auto"/>
          <w:kern w:val="0"/>
          <w:vertAlign w:val="superscript"/>
        </w:rPr>
        <w:t>2</w:t>
      </w:r>
      <w:r>
        <w:rPr>
          <w:rFonts w:eastAsiaTheme="minorEastAsia"/>
          <w:color w:val="auto"/>
          <w:kern w:val="0"/>
        </w:rPr>
        <w:t>。</w:t>
      </w:r>
    </w:p>
    <w:p>
      <w:pPr>
        <w:autoSpaceDE w:val="0"/>
        <w:autoSpaceDN w:val="0"/>
        <w:adjustRightInd w:val="0"/>
        <w:spacing w:line="360" w:lineRule="auto"/>
        <w:ind w:firstLine="600" w:firstLineChars="250"/>
        <w:jc w:val="both"/>
        <w:rPr>
          <w:rFonts w:eastAsiaTheme="minorEastAsia"/>
          <w:color w:val="auto"/>
          <w:kern w:val="0"/>
        </w:rPr>
      </w:pPr>
      <w:r>
        <w:rPr>
          <w:rFonts w:eastAsiaTheme="minorEastAsia"/>
          <w:color w:val="auto"/>
          <w:kern w:val="0"/>
        </w:rPr>
        <w:t>3）装修类建筑垃圾</w:t>
      </w:r>
    </w:p>
    <w:p>
      <w:pPr>
        <w:autoSpaceDE w:val="0"/>
        <w:autoSpaceDN w:val="0"/>
        <w:adjustRightInd w:val="0"/>
        <w:spacing w:line="360" w:lineRule="auto"/>
        <w:ind w:firstLine="480" w:firstLineChars="200"/>
        <w:rPr>
          <w:rFonts w:eastAsiaTheme="minorEastAsia"/>
          <w:color w:val="auto"/>
          <w:kern w:val="0"/>
        </w:rPr>
      </w:pPr>
      <w:r>
        <w:rPr>
          <w:rFonts w:eastAsiaTheme="minorEastAsia"/>
          <w:color w:val="auto"/>
          <w:kern w:val="0"/>
        </w:rPr>
        <w:t>装修垃圾产生于对现有房屋的装饰维修过程。在社会生活中，通常装修活动的计量和计价依托于所装修房屋的建筑面积。因此，通过估算现有房屋建筑面积和预测未来房屋建筑面积的情况，可以对装修垃圾产生量进行预测。</w:t>
      </w:r>
    </w:p>
    <w:p>
      <w:pPr>
        <w:autoSpaceDE w:val="0"/>
        <w:autoSpaceDN w:val="0"/>
        <w:adjustRightInd w:val="0"/>
        <w:spacing w:line="360" w:lineRule="auto"/>
        <w:ind w:firstLine="480" w:firstLineChars="200"/>
        <w:rPr>
          <w:rFonts w:eastAsiaTheme="minorEastAsia"/>
          <w:color w:val="auto"/>
          <w:kern w:val="0"/>
        </w:rPr>
      </w:pPr>
      <w:r>
        <w:rPr>
          <w:rFonts w:eastAsiaTheme="minorEastAsia"/>
          <w:color w:val="auto"/>
          <w:kern w:val="0"/>
        </w:rPr>
        <w:t>参考《建筑垃圾量计算标准》，装修垃圾产生量按以下公式进行计算：</w:t>
      </w:r>
    </w:p>
    <w:p>
      <w:pPr>
        <w:autoSpaceDE w:val="0"/>
        <w:autoSpaceDN w:val="0"/>
        <w:adjustRightInd w:val="0"/>
        <w:spacing w:line="360" w:lineRule="auto"/>
        <w:ind w:firstLine="480" w:firstLineChars="200"/>
        <w:rPr>
          <w:rFonts w:eastAsiaTheme="minorEastAsia"/>
          <w:color w:val="auto"/>
          <w:kern w:val="0"/>
        </w:rPr>
      </w:pPr>
      <w:r>
        <w:rPr>
          <w:rFonts w:eastAsiaTheme="minorEastAsia"/>
          <w:color w:val="auto"/>
          <w:kern w:val="0"/>
        </w:rPr>
        <w:t>装修垃圾= 装修面积×单位面积垃圾量（单位面积垃圾量取0.1t/m</w:t>
      </w:r>
      <w:r>
        <w:rPr>
          <w:rFonts w:eastAsiaTheme="minorEastAsia"/>
          <w:color w:val="auto"/>
          <w:kern w:val="0"/>
          <w:vertAlign w:val="superscript"/>
        </w:rPr>
        <w:t>2</w:t>
      </w:r>
      <w:r>
        <w:rPr>
          <w:rFonts w:eastAsiaTheme="minorEastAsia"/>
          <w:color w:val="auto"/>
          <w:kern w:val="0"/>
        </w:rPr>
        <w:t>）</w:t>
      </w:r>
    </w:p>
    <w:p>
      <w:pPr>
        <w:autoSpaceDE w:val="0"/>
        <w:autoSpaceDN w:val="0"/>
        <w:adjustRightInd w:val="0"/>
        <w:spacing w:line="360" w:lineRule="auto"/>
        <w:ind w:firstLine="480" w:firstLineChars="200"/>
        <w:rPr>
          <w:rFonts w:eastAsiaTheme="minorEastAsia"/>
          <w:color w:val="auto"/>
          <w:kern w:val="0"/>
        </w:rPr>
      </w:pPr>
      <w:r>
        <w:rPr>
          <w:rFonts w:eastAsiaTheme="minorEastAsia"/>
          <w:color w:val="auto"/>
          <w:kern w:val="0"/>
        </w:rPr>
        <w:t>装修面积=当年现有房屋建筑面积×6.7%（即以15 年为周期进行装修）</w:t>
      </w:r>
    </w:p>
    <w:p>
      <w:pPr>
        <w:autoSpaceDE w:val="0"/>
        <w:autoSpaceDN w:val="0"/>
        <w:adjustRightInd w:val="0"/>
        <w:spacing w:line="360" w:lineRule="auto"/>
        <w:rPr>
          <w:rFonts w:eastAsiaTheme="minorEastAsia"/>
          <w:color w:val="auto"/>
          <w:kern w:val="0"/>
        </w:rPr>
      </w:pPr>
      <w:r>
        <w:rPr>
          <w:rFonts w:eastAsiaTheme="minorEastAsia"/>
          <w:color w:val="auto"/>
          <w:kern w:val="0"/>
        </w:rPr>
        <w:t>当年房屋的建筑面积=城市人口人均居住面积×当年总人口</w:t>
      </w:r>
    </w:p>
    <w:p>
      <w:pPr>
        <w:autoSpaceDE w:val="0"/>
        <w:autoSpaceDN w:val="0"/>
        <w:adjustRightInd w:val="0"/>
        <w:spacing w:line="360" w:lineRule="auto"/>
        <w:ind w:firstLine="480" w:firstLineChars="200"/>
        <w:jc w:val="both"/>
        <w:rPr>
          <w:rFonts w:eastAsiaTheme="minorEastAsia"/>
          <w:color w:val="auto"/>
          <w:kern w:val="0"/>
        </w:rPr>
      </w:pPr>
      <w:r>
        <w:rPr>
          <w:rFonts w:eastAsiaTheme="minorEastAsia"/>
          <w:color w:val="auto"/>
          <w:kern w:val="0"/>
        </w:rPr>
        <w:t>装修类建筑垃圾密度可按照1.5t/m</w:t>
      </w:r>
      <w:r>
        <w:rPr>
          <w:rFonts w:eastAsiaTheme="minorEastAsia"/>
          <w:color w:val="auto"/>
          <w:kern w:val="0"/>
          <w:vertAlign w:val="superscript"/>
        </w:rPr>
        <w:t>3</w:t>
      </w:r>
      <w:r>
        <w:rPr>
          <w:rFonts w:eastAsiaTheme="minorEastAsia"/>
          <w:color w:val="auto"/>
          <w:kern w:val="0"/>
        </w:rPr>
        <w:t xml:space="preserve"> 来计，则预测模型为：</w:t>
      </w:r>
    </w:p>
    <w:p>
      <w:pPr>
        <w:autoSpaceDE w:val="0"/>
        <w:autoSpaceDN w:val="0"/>
        <w:adjustRightInd w:val="0"/>
        <w:spacing w:line="360" w:lineRule="auto"/>
        <w:ind w:firstLine="1200" w:firstLineChars="500"/>
        <w:jc w:val="both"/>
        <w:rPr>
          <w:rFonts w:eastAsiaTheme="minorEastAsia"/>
          <w:color w:val="auto"/>
          <w:kern w:val="0"/>
        </w:rPr>
      </w:pPr>
      <w:r>
        <w:rPr>
          <w:rFonts w:eastAsiaTheme="minorEastAsia"/>
          <w:color w:val="auto"/>
          <w:kern w:val="0"/>
        </w:rPr>
        <w:t>Qd=0.1×0.067×S×Nn÷1.5</w:t>
      </w:r>
    </w:p>
    <w:p>
      <w:pPr>
        <w:autoSpaceDE w:val="0"/>
        <w:autoSpaceDN w:val="0"/>
        <w:adjustRightInd w:val="0"/>
        <w:spacing w:line="360" w:lineRule="auto"/>
        <w:ind w:firstLine="360" w:firstLineChars="150"/>
        <w:rPr>
          <w:rFonts w:eastAsiaTheme="minorEastAsia"/>
          <w:color w:val="auto"/>
          <w:kern w:val="0"/>
        </w:rPr>
      </w:pPr>
      <w:r>
        <w:rPr>
          <w:rFonts w:eastAsiaTheme="minorEastAsia"/>
          <w:color w:val="auto"/>
          <w:kern w:val="0"/>
        </w:rPr>
        <w:t>其中，Qd——房屋装修类垃圾的产生量，万m</w:t>
      </w:r>
      <w:r>
        <w:rPr>
          <w:rFonts w:eastAsiaTheme="minorEastAsia"/>
          <w:color w:val="auto"/>
          <w:kern w:val="0"/>
          <w:vertAlign w:val="superscript"/>
        </w:rPr>
        <w:t>3</w:t>
      </w:r>
      <w:r>
        <w:rPr>
          <w:rFonts w:eastAsiaTheme="minorEastAsia"/>
          <w:color w:val="auto"/>
          <w:kern w:val="0"/>
        </w:rPr>
        <w:t>；</w:t>
      </w:r>
    </w:p>
    <w:p>
      <w:pPr>
        <w:autoSpaceDE w:val="0"/>
        <w:autoSpaceDN w:val="0"/>
        <w:adjustRightInd w:val="0"/>
        <w:spacing w:line="360" w:lineRule="auto"/>
        <w:ind w:firstLine="1080" w:firstLineChars="450"/>
        <w:rPr>
          <w:rFonts w:eastAsiaTheme="minorEastAsia"/>
          <w:color w:val="auto"/>
          <w:kern w:val="0"/>
        </w:rPr>
      </w:pPr>
      <w:r>
        <w:rPr>
          <w:rFonts w:eastAsiaTheme="minorEastAsia"/>
          <w:color w:val="auto"/>
          <w:kern w:val="0"/>
        </w:rPr>
        <w:t>Nn——当年总人口，万人，根据项目服务范围城镇人口计算；</w:t>
      </w:r>
    </w:p>
    <w:p>
      <w:pPr>
        <w:autoSpaceDE w:val="0"/>
        <w:autoSpaceDN w:val="0"/>
        <w:adjustRightInd w:val="0"/>
        <w:spacing w:line="360" w:lineRule="auto"/>
        <w:ind w:firstLine="1080" w:firstLineChars="450"/>
        <w:jc w:val="both"/>
        <w:rPr>
          <w:rFonts w:eastAsiaTheme="minorEastAsia"/>
          <w:color w:val="auto"/>
        </w:rPr>
      </w:pPr>
      <w:r>
        <w:rPr>
          <w:rFonts w:eastAsiaTheme="minorEastAsia"/>
          <w:color w:val="auto"/>
          <w:kern w:val="0"/>
        </w:rPr>
        <w:t>S——当年人均居住面积，参考周边项目经验，按20m</w:t>
      </w:r>
      <w:r>
        <w:rPr>
          <w:rFonts w:eastAsiaTheme="minorEastAsia"/>
          <w:color w:val="auto"/>
          <w:kern w:val="0"/>
          <w:vertAlign w:val="superscript"/>
        </w:rPr>
        <w:t>2</w:t>
      </w:r>
    </w:p>
    <w:p>
      <w:pPr>
        <w:pStyle w:val="16"/>
        <w:spacing w:before="0" w:beforeAutospacing="0" w:after="0" w:line="360" w:lineRule="auto"/>
        <w:ind w:firstLine="456" w:firstLineChars="200"/>
        <w:jc w:val="both"/>
        <w:rPr>
          <w:color w:val="auto"/>
          <w:spacing w:val="-6"/>
        </w:rPr>
      </w:pPr>
      <w:r>
        <w:rPr>
          <w:rFonts w:hint="eastAsia"/>
          <w:color w:val="auto"/>
          <w:spacing w:val="-6"/>
        </w:rPr>
        <w:t>（2）建筑垃圾产量预测</w:t>
      </w:r>
    </w:p>
    <w:p>
      <w:pPr>
        <w:spacing w:line="360" w:lineRule="auto"/>
        <w:ind w:firstLine="480" w:firstLineChars="200"/>
        <w:rPr>
          <w:rFonts w:eastAsiaTheme="minorEastAsia"/>
          <w:color w:val="auto"/>
        </w:rPr>
      </w:pPr>
      <w:r>
        <w:rPr>
          <w:rFonts w:hint="eastAsia" w:eastAsiaTheme="minorEastAsia"/>
          <w:color w:val="auto"/>
        </w:rPr>
        <w:t>本项目只包含服务范围内的城市开发建设、旧改工程及装饰装修工程中产生的建筑垃圾（不包括余泥、余土），因此，只计算上述的施工类垃圾、拆旧类垃圾和装修类垃圾，依据上述的公式进行预测。根据兴宁市历年年鉴以及主管部门提供数据（2013-201</w:t>
      </w:r>
      <w:r>
        <w:rPr>
          <w:rFonts w:eastAsiaTheme="minorEastAsia"/>
          <w:color w:val="auto"/>
        </w:rPr>
        <w:t>8</w:t>
      </w:r>
      <w:r>
        <w:rPr>
          <w:rFonts w:hint="eastAsia" w:eastAsiaTheme="minorEastAsia"/>
          <w:color w:val="auto"/>
        </w:rPr>
        <w:t xml:space="preserve"> 拆旧面积为暂估数），可以得到兴宁市全域相关的历史数据：</w:t>
      </w:r>
    </w:p>
    <w:p>
      <w:pPr>
        <w:spacing w:line="360" w:lineRule="auto"/>
        <w:jc w:val="center"/>
        <w:rPr>
          <w:b/>
          <w:color w:val="auto"/>
        </w:rPr>
      </w:pPr>
      <w:r>
        <w:rPr>
          <w:rFonts w:hint="eastAsia"/>
          <w:b/>
          <w:color w:val="auto"/>
        </w:rPr>
        <w:t>表3.</w:t>
      </w:r>
      <w:r>
        <w:rPr>
          <w:rFonts w:hint="eastAsia"/>
          <w:b/>
          <w:color w:val="auto"/>
          <w:lang w:val="en-US" w:eastAsia="zh-CN"/>
        </w:rPr>
        <w:t>1</w:t>
      </w:r>
      <w:r>
        <w:rPr>
          <w:rFonts w:hint="eastAsia"/>
          <w:b/>
          <w:color w:val="auto"/>
        </w:rPr>
        <w:t>-</w:t>
      </w:r>
      <w:r>
        <w:rPr>
          <w:rFonts w:hint="eastAsia"/>
          <w:b/>
          <w:color w:val="auto"/>
          <w:lang w:val="en-US" w:eastAsia="zh-CN"/>
        </w:rPr>
        <w:t>10</w:t>
      </w:r>
      <w:r>
        <w:rPr>
          <w:rFonts w:hint="eastAsia"/>
          <w:b/>
          <w:color w:val="auto"/>
        </w:rPr>
        <w:t xml:space="preserve"> 兴宁市新开工、拆除、装修建筑面积统计</w:t>
      </w:r>
    </w:p>
    <w:tbl>
      <w:tblPr>
        <w:tblStyle w:val="54"/>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7"/>
        <w:gridCol w:w="1028"/>
        <w:gridCol w:w="1029"/>
        <w:gridCol w:w="1029"/>
        <w:gridCol w:w="1028"/>
        <w:gridCol w:w="1029"/>
        <w:gridCol w:w="1028"/>
        <w:gridCol w:w="1030"/>
        <w:gridCol w:w="10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42" w:hRule="atLeast"/>
        </w:trPr>
        <w:tc>
          <w:tcPr>
            <w:tcW w:w="1027" w:type="dxa"/>
            <w:vAlign w:val="center"/>
          </w:tcPr>
          <w:p>
            <w:pPr>
              <w:spacing w:line="360" w:lineRule="auto"/>
              <w:jc w:val="center"/>
              <w:rPr>
                <w:rFonts w:eastAsiaTheme="minorEastAsia"/>
                <w:b/>
                <w:color w:val="auto"/>
                <w:sz w:val="21"/>
                <w:szCs w:val="21"/>
              </w:rPr>
            </w:pPr>
            <w:r>
              <w:rPr>
                <w:rFonts w:eastAsiaTheme="minorEastAsia"/>
                <w:b/>
                <w:color w:val="auto"/>
                <w:kern w:val="0"/>
                <w:sz w:val="21"/>
                <w:szCs w:val="21"/>
              </w:rPr>
              <w:t>年份</w:t>
            </w:r>
          </w:p>
        </w:tc>
        <w:tc>
          <w:tcPr>
            <w:tcW w:w="1028" w:type="dxa"/>
            <w:vAlign w:val="center"/>
          </w:tcPr>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施工面</w:t>
            </w:r>
          </w:p>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积（万</w:t>
            </w:r>
          </w:p>
          <w:p>
            <w:pPr>
              <w:spacing w:line="360" w:lineRule="auto"/>
              <w:jc w:val="center"/>
              <w:rPr>
                <w:rFonts w:eastAsiaTheme="minorEastAsia"/>
                <w:b/>
                <w:color w:val="auto"/>
                <w:sz w:val="21"/>
                <w:szCs w:val="21"/>
              </w:rPr>
            </w:pPr>
            <w:r>
              <w:rPr>
                <w:rFonts w:eastAsiaTheme="minorEastAsia"/>
                <w:b/>
                <w:color w:val="auto"/>
                <w:kern w:val="0"/>
                <w:sz w:val="21"/>
                <w:szCs w:val="21"/>
              </w:rPr>
              <w:t>m</w:t>
            </w:r>
            <w:r>
              <w:rPr>
                <w:rFonts w:eastAsiaTheme="minorEastAsia"/>
                <w:b/>
                <w:color w:val="auto"/>
                <w:kern w:val="0"/>
                <w:sz w:val="21"/>
                <w:szCs w:val="21"/>
                <w:vertAlign w:val="superscript"/>
              </w:rPr>
              <w:t>2</w:t>
            </w:r>
            <w:r>
              <w:rPr>
                <w:rFonts w:eastAsiaTheme="minorEastAsia"/>
                <w:b/>
                <w:color w:val="auto"/>
                <w:kern w:val="0"/>
                <w:sz w:val="21"/>
                <w:szCs w:val="21"/>
              </w:rPr>
              <w:t>）</w:t>
            </w:r>
          </w:p>
        </w:tc>
        <w:tc>
          <w:tcPr>
            <w:tcW w:w="1029" w:type="dxa"/>
            <w:vAlign w:val="center"/>
          </w:tcPr>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拆旧面</w:t>
            </w:r>
          </w:p>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积（万</w:t>
            </w:r>
          </w:p>
          <w:p>
            <w:pPr>
              <w:spacing w:line="360" w:lineRule="auto"/>
              <w:jc w:val="center"/>
              <w:rPr>
                <w:rFonts w:eastAsiaTheme="minorEastAsia"/>
                <w:b/>
                <w:color w:val="auto"/>
                <w:sz w:val="21"/>
                <w:szCs w:val="21"/>
              </w:rPr>
            </w:pPr>
            <w:r>
              <w:rPr>
                <w:rFonts w:eastAsiaTheme="minorEastAsia"/>
                <w:b/>
                <w:color w:val="auto"/>
                <w:kern w:val="0"/>
                <w:sz w:val="21"/>
                <w:szCs w:val="21"/>
              </w:rPr>
              <w:t>m</w:t>
            </w:r>
            <w:r>
              <w:rPr>
                <w:rFonts w:eastAsiaTheme="minorEastAsia"/>
                <w:b/>
                <w:color w:val="auto"/>
                <w:kern w:val="0"/>
                <w:sz w:val="21"/>
                <w:szCs w:val="21"/>
                <w:vertAlign w:val="superscript"/>
              </w:rPr>
              <w:t>2</w:t>
            </w:r>
            <w:r>
              <w:rPr>
                <w:rFonts w:eastAsiaTheme="minorEastAsia"/>
                <w:b/>
                <w:color w:val="auto"/>
                <w:kern w:val="0"/>
                <w:sz w:val="21"/>
                <w:szCs w:val="21"/>
              </w:rPr>
              <w:t>）</w:t>
            </w:r>
          </w:p>
        </w:tc>
        <w:tc>
          <w:tcPr>
            <w:tcW w:w="1029" w:type="dxa"/>
            <w:vAlign w:val="center"/>
          </w:tcPr>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装修面</w:t>
            </w:r>
          </w:p>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积（万</w:t>
            </w:r>
          </w:p>
          <w:p>
            <w:pPr>
              <w:spacing w:line="360" w:lineRule="auto"/>
              <w:jc w:val="center"/>
              <w:rPr>
                <w:rFonts w:eastAsiaTheme="minorEastAsia"/>
                <w:b/>
                <w:color w:val="auto"/>
                <w:sz w:val="21"/>
                <w:szCs w:val="21"/>
              </w:rPr>
            </w:pPr>
            <w:r>
              <w:rPr>
                <w:rFonts w:eastAsiaTheme="minorEastAsia"/>
                <w:b/>
                <w:color w:val="auto"/>
                <w:kern w:val="0"/>
                <w:sz w:val="21"/>
                <w:szCs w:val="21"/>
              </w:rPr>
              <w:t>m</w:t>
            </w:r>
            <w:r>
              <w:rPr>
                <w:rFonts w:eastAsiaTheme="minorEastAsia"/>
                <w:b/>
                <w:color w:val="auto"/>
                <w:kern w:val="0"/>
                <w:sz w:val="21"/>
                <w:szCs w:val="21"/>
                <w:vertAlign w:val="superscript"/>
              </w:rPr>
              <w:t>2</w:t>
            </w:r>
            <w:r>
              <w:rPr>
                <w:rFonts w:eastAsiaTheme="minorEastAsia"/>
                <w:b/>
                <w:color w:val="auto"/>
                <w:kern w:val="0"/>
                <w:sz w:val="21"/>
                <w:szCs w:val="21"/>
              </w:rPr>
              <w:t>）</w:t>
            </w:r>
          </w:p>
        </w:tc>
        <w:tc>
          <w:tcPr>
            <w:tcW w:w="1028" w:type="dxa"/>
            <w:vAlign w:val="center"/>
          </w:tcPr>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建筑垃</w:t>
            </w:r>
          </w:p>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圾产量</w:t>
            </w:r>
          </w:p>
          <w:p>
            <w:pPr>
              <w:spacing w:line="360" w:lineRule="auto"/>
              <w:jc w:val="center"/>
              <w:rPr>
                <w:rFonts w:eastAsiaTheme="minorEastAsia"/>
                <w:b/>
                <w:color w:val="auto"/>
                <w:sz w:val="21"/>
                <w:szCs w:val="21"/>
              </w:rPr>
            </w:pPr>
            <w:r>
              <w:rPr>
                <w:rFonts w:eastAsiaTheme="minorEastAsia"/>
                <w:b/>
                <w:color w:val="auto"/>
                <w:kern w:val="0"/>
                <w:sz w:val="21"/>
                <w:szCs w:val="21"/>
              </w:rPr>
              <w:t>(万m</w:t>
            </w:r>
            <w:r>
              <w:rPr>
                <w:rFonts w:eastAsiaTheme="minorEastAsia"/>
                <w:b/>
                <w:color w:val="auto"/>
                <w:kern w:val="0"/>
                <w:sz w:val="21"/>
                <w:szCs w:val="21"/>
                <w:vertAlign w:val="superscript"/>
              </w:rPr>
              <w:t>3</w:t>
            </w:r>
            <w:r>
              <w:rPr>
                <w:rFonts w:eastAsiaTheme="minorEastAsia"/>
                <w:b/>
                <w:color w:val="auto"/>
                <w:kern w:val="0"/>
                <w:sz w:val="21"/>
                <w:szCs w:val="21"/>
              </w:rPr>
              <w:t>)</w:t>
            </w:r>
          </w:p>
        </w:tc>
        <w:tc>
          <w:tcPr>
            <w:tcW w:w="1029" w:type="dxa"/>
            <w:vAlign w:val="center"/>
          </w:tcPr>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拆旧垃</w:t>
            </w:r>
          </w:p>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圾产量</w:t>
            </w:r>
          </w:p>
          <w:p>
            <w:pPr>
              <w:spacing w:line="360" w:lineRule="auto"/>
              <w:jc w:val="center"/>
              <w:rPr>
                <w:rFonts w:eastAsiaTheme="minorEastAsia"/>
                <w:b/>
                <w:color w:val="auto"/>
                <w:sz w:val="21"/>
                <w:szCs w:val="21"/>
              </w:rPr>
            </w:pPr>
            <w:r>
              <w:rPr>
                <w:rFonts w:eastAsiaTheme="minorEastAsia"/>
                <w:b/>
                <w:color w:val="auto"/>
                <w:kern w:val="0"/>
                <w:sz w:val="21"/>
                <w:szCs w:val="21"/>
              </w:rPr>
              <w:t>(万m</w:t>
            </w:r>
            <w:r>
              <w:rPr>
                <w:rFonts w:eastAsiaTheme="minorEastAsia"/>
                <w:b/>
                <w:color w:val="auto"/>
                <w:kern w:val="0"/>
                <w:sz w:val="21"/>
                <w:szCs w:val="21"/>
                <w:vertAlign w:val="superscript"/>
              </w:rPr>
              <w:t>3</w:t>
            </w:r>
            <w:r>
              <w:rPr>
                <w:rFonts w:eastAsiaTheme="minorEastAsia"/>
                <w:b/>
                <w:color w:val="auto"/>
                <w:kern w:val="0"/>
                <w:sz w:val="21"/>
                <w:szCs w:val="21"/>
              </w:rPr>
              <w:t>)</w:t>
            </w:r>
          </w:p>
        </w:tc>
        <w:tc>
          <w:tcPr>
            <w:tcW w:w="1028" w:type="dxa"/>
            <w:vAlign w:val="center"/>
          </w:tcPr>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装修垃</w:t>
            </w:r>
          </w:p>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圾产量</w:t>
            </w:r>
          </w:p>
          <w:p>
            <w:pPr>
              <w:spacing w:line="360" w:lineRule="auto"/>
              <w:jc w:val="center"/>
              <w:rPr>
                <w:rFonts w:eastAsiaTheme="minorEastAsia"/>
                <w:b/>
                <w:color w:val="auto"/>
                <w:sz w:val="21"/>
                <w:szCs w:val="21"/>
              </w:rPr>
            </w:pPr>
            <w:r>
              <w:rPr>
                <w:rFonts w:eastAsiaTheme="minorEastAsia"/>
                <w:b/>
                <w:color w:val="auto"/>
                <w:kern w:val="0"/>
                <w:sz w:val="21"/>
                <w:szCs w:val="21"/>
              </w:rPr>
              <w:t>(万m</w:t>
            </w:r>
            <w:r>
              <w:rPr>
                <w:rFonts w:eastAsiaTheme="minorEastAsia"/>
                <w:b/>
                <w:color w:val="auto"/>
                <w:kern w:val="0"/>
                <w:sz w:val="21"/>
                <w:szCs w:val="21"/>
                <w:vertAlign w:val="superscript"/>
              </w:rPr>
              <w:t>3</w:t>
            </w:r>
            <w:r>
              <w:rPr>
                <w:rFonts w:eastAsiaTheme="minorEastAsia"/>
                <w:b/>
                <w:color w:val="auto"/>
                <w:kern w:val="0"/>
                <w:sz w:val="21"/>
                <w:szCs w:val="21"/>
              </w:rPr>
              <w:t>)</w:t>
            </w:r>
          </w:p>
        </w:tc>
        <w:tc>
          <w:tcPr>
            <w:tcW w:w="1030" w:type="dxa"/>
            <w:vAlign w:val="center"/>
          </w:tcPr>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建筑垃</w:t>
            </w:r>
          </w:p>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圾日均</w:t>
            </w:r>
          </w:p>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量(万</w:t>
            </w:r>
          </w:p>
          <w:p>
            <w:pPr>
              <w:spacing w:line="360" w:lineRule="auto"/>
              <w:jc w:val="center"/>
              <w:rPr>
                <w:rFonts w:eastAsiaTheme="minorEastAsia"/>
                <w:b/>
                <w:color w:val="auto"/>
                <w:sz w:val="21"/>
                <w:szCs w:val="21"/>
              </w:rPr>
            </w:pPr>
            <w:r>
              <w:rPr>
                <w:rFonts w:eastAsiaTheme="minorEastAsia"/>
                <w:b/>
                <w:color w:val="auto"/>
                <w:kern w:val="0"/>
                <w:sz w:val="21"/>
                <w:szCs w:val="21"/>
              </w:rPr>
              <w:t>m</w:t>
            </w:r>
            <w:r>
              <w:rPr>
                <w:rFonts w:eastAsiaTheme="minorEastAsia"/>
                <w:b/>
                <w:color w:val="auto"/>
                <w:kern w:val="0"/>
                <w:sz w:val="21"/>
                <w:szCs w:val="21"/>
                <w:vertAlign w:val="superscript"/>
              </w:rPr>
              <w:t>3</w:t>
            </w:r>
            <w:r>
              <w:rPr>
                <w:rFonts w:eastAsiaTheme="minorEastAsia"/>
                <w:b/>
                <w:color w:val="auto"/>
                <w:kern w:val="0"/>
                <w:sz w:val="21"/>
                <w:szCs w:val="21"/>
              </w:rPr>
              <w:t>/d)</w:t>
            </w:r>
          </w:p>
        </w:tc>
        <w:tc>
          <w:tcPr>
            <w:tcW w:w="1058" w:type="dxa"/>
            <w:vAlign w:val="center"/>
          </w:tcPr>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人均建</w:t>
            </w:r>
          </w:p>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筑垃圾</w:t>
            </w:r>
          </w:p>
          <w:p>
            <w:pPr>
              <w:spacing w:line="360" w:lineRule="auto"/>
              <w:jc w:val="center"/>
              <w:rPr>
                <w:rFonts w:eastAsiaTheme="minorEastAsia"/>
                <w:b/>
                <w:color w:val="auto"/>
                <w:sz w:val="21"/>
                <w:szCs w:val="21"/>
              </w:rPr>
            </w:pPr>
            <w:r>
              <w:rPr>
                <w:rFonts w:eastAsiaTheme="minorEastAsia"/>
                <w:b/>
                <w:color w:val="auto"/>
                <w:kern w:val="0"/>
                <w:sz w:val="21"/>
                <w:szCs w:val="21"/>
              </w:rPr>
              <w:t>量（m</w:t>
            </w:r>
            <w:r>
              <w:rPr>
                <w:rFonts w:eastAsiaTheme="minorEastAsia"/>
                <w:b/>
                <w:color w:val="auto"/>
                <w:kern w:val="0"/>
                <w:sz w:val="21"/>
                <w:szCs w:val="21"/>
                <w:vertAlign w:val="superscript"/>
              </w:rPr>
              <w:t>3</w:t>
            </w:r>
            <w:r>
              <w:rPr>
                <w:rFonts w:eastAsiaTheme="minorEastAsia"/>
                <w:b/>
                <w:color w:val="auto"/>
                <w:kern w:val="0"/>
                <w:sz w:val="21"/>
                <w:szCs w:val="21"/>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027" w:type="dxa"/>
            <w:vAlign w:val="center"/>
          </w:tcPr>
          <w:p>
            <w:pPr>
              <w:spacing w:line="360" w:lineRule="auto"/>
              <w:jc w:val="center"/>
              <w:rPr>
                <w:rFonts w:eastAsiaTheme="minorEastAsia"/>
                <w:color w:val="auto"/>
                <w:sz w:val="21"/>
                <w:szCs w:val="21"/>
              </w:rPr>
            </w:pPr>
            <w:r>
              <w:rPr>
                <w:rFonts w:eastAsiaTheme="minorEastAsia"/>
                <w:color w:val="auto"/>
                <w:sz w:val="21"/>
                <w:szCs w:val="21"/>
              </w:rPr>
              <w:t>2013</w:t>
            </w:r>
          </w:p>
        </w:tc>
        <w:tc>
          <w:tcPr>
            <w:tcW w:w="1028" w:type="dxa"/>
            <w:vAlign w:val="center"/>
          </w:tcPr>
          <w:p>
            <w:pPr>
              <w:spacing w:line="360" w:lineRule="auto"/>
              <w:jc w:val="center"/>
              <w:rPr>
                <w:rFonts w:eastAsiaTheme="minorEastAsia"/>
                <w:color w:val="auto"/>
                <w:sz w:val="21"/>
                <w:szCs w:val="21"/>
              </w:rPr>
            </w:pPr>
            <w:r>
              <w:rPr>
                <w:rFonts w:eastAsiaTheme="minorEastAsia"/>
                <w:color w:val="auto"/>
                <w:sz w:val="21"/>
                <w:szCs w:val="21"/>
              </w:rPr>
              <w:t>109</w:t>
            </w:r>
          </w:p>
        </w:tc>
        <w:tc>
          <w:tcPr>
            <w:tcW w:w="1029" w:type="dxa"/>
            <w:vAlign w:val="center"/>
          </w:tcPr>
          <w:p>
            <w:pPr>
              <w:spacing w:line="360" w:lineRule="auto"/>
              <w:jc w:val="center"/>
              <w:rPr>
                <w:rFonts w:eastAsiaTheme="minorEastAsia"/>
                <w:color w:val="auto"/>
                <w:sz w:val="21"/>
                <w:szCs w:val="21"/>
              </w:rPr>
            </w:pPr>
            <w:r>
              <w:rPr>
                <w:rFonts w:eastAsiaTheme="minorEastAsia"/>
                <w:color w:val="auto"/>
                <w:sz w:val="21"/>
                <w:szCs w:val="21"/>
              </w:rPr>
              <w:t>10</w:t>
            </w:r>
          </w:p>
        </w:tc>
        <w:tc>
          <w:tcPr>
            <w:tcW w:w="1029" w:type="dxa"/>
            <w:vAlign w:val="center"/>
          </w:tcPr>
          <w:p>
            <w:pPr>
              <w:spacing w:line="360" w:lineRule="auto"/>
              <w:jc w:val="center"/>
              <w:rPr>
                <w:rFonts w:eastAsiaTheme="minorEastAsia"/>
                <w:color w:val="auto"/>
                <w:sz w:val="21"/>
                <w:szCs w:val="21"/>
              </w:rPr>
            </w:pPr>
            <w:r>
              <w:rPr>
                <w:rFonts w:eastAsiaTheme="minorEastAsia"/>
                <w:color w:val="auto"/>
                <w:sz w:val="21"/>
                <w:szCs w:val="21"/>
              </w:rPr>
              <w:t>55.63</w:t>
            </w:r>
          </w:p>
        </w:tc>
        <w:tc>
          <w:tcPr>
            <w:tcW w:w="1028" w:type="dxa"/>
            <w:vAlign w:val="center"/>
          </w:tcPr>
          <w:p>
            <w:pPr>
              <w:spacing w:line="360" w:lineRule="auto"/>
              <w:jc w:val="center"/>
              <w:rPr>
                <w:rFonts w:eastAsiaTheme="minorEastAsia"/>
                <w:color w:val="auto"/>
                <w:sz w:val="21"/>
                <w:szCs w:val="21"/>
              </w:rPr>
            </w:pPr>
            <w:r>
              <w:rPr>
                <w:rFonts w:eastAsiaTheme="minorEastAsia"/>
                <w:color w:val="auto"/>
                <w:sz w:val="21"/>
                <w:szCs w:val="21"/>
              </w:rPr>
              <w:t>3.27</w:t>
            </w:r>
          </w:p>
        </w:tc>
        <w:tc>
          <w:tcPr>
            <w:tcW w:w="1029" w:type="dxa"/>
            <w:vAlign w:val="center"/>
          </w:tcPr>
          <w:p>
            <w:pPr>
              <w:spacing w:line="360" w:lineRule="auto"/>
              <w:jc w:val="center"/>
              <w:rPr>
                <w:rFonts w:eastAsiaTheme="minorEastAsia"/>
                <w:color w:val="auto"/>
                <w:sz w:val="21"/>
                <w:szCs w:val="21"/>
              </w:rPr>
            </w:pPr>
            <w:r>
              <w:rPr>
                <w:rFonts w:eastAsiaTheme="minorEastAsia"/>
                <w:color w:val="auto"/>
                <w:sz w:val="21"/>
                <w:szCs w:val="21"/>
              </w:rPr>
              <w:t>6.67</w:t>
            </w:r>
          </w:p>
        </w:tc>
        <w:tc>
          <w:tcPr>
            <w:tcW w:w="1028" w:type="dxa"/>
            <w:vAlign w:val="center"/>
          </w:tcPr>
          <w:p>
            <w:pPr>
              <w:spacing w:line="360" w:lineRule="auto"/>
              <w:jc w:val="center"/>
              <w:rPr>
                <w:rFonts w:eastAsiaTheme="minorEastAsia"/>
                <w:color w:val="auto"/>
                <w:sz w:val="21"/>
                <w:szCs w:val="21"/>
              </w:rPr>
            </w:pPr>
            <w:r>
              <w:rPr>
                <w:rFonts w:eastAsiaTheme="minorEastAsia"/>
                <w:color w:val="auto"/>
                <w:sz w:val="21"/>
                <w:szCs w:val="21"/>
              </w:rPr>
              <w:t>5.56</w:t>
            </w:r>
          </w:p>
        </w:tc>
        <w:tc>
          <w:tcPr>
            <w:tcW w:w="1030" w:type="dxa"/>
            <w:vAlign w:val="center"/>
          </w:tcPr>
          <w:p>
            <w:pPr>
              <w:spacing w:line="360" w:lineRule="auto"/>
              <w:jc w:val="center"/>
              <w:rPr>
                <w:rFonts w:eastAsiaTheme="minorEastAsia"/>
                <w:color w:val="auto"/>
                <w:sz w:val="21"/>
                <w:szCs w:val="21"/>
              </w:rPr>
            </w:pPr>
            <w:r>
              <w:rPr>
                <w:rFonts w:eastAsiaTheme="minorEastAsia"/>
                <w:color w:val="auto"/>
                <w:sz w:val="21"/>
                <w:szCs w:val="21"/>
              </w:rPr>
              <w:t>430.54</w:t>
            </w:r>
          </w:p>
        </w:tc>
        <w:tc>
          <w:tcPr>
            <w:tcW w:w="1058" w:type="dxa"/>
            <w:vAlign w:val="center"/>
          </w:tcPr>
          <w:p>
            <w:pPr>
              <w:spacing w:line="360" w:lineRule="auto"/>
              <w:jc w:val="center"/>
              <w:rPr>
                <w:rFonts w:eastAsiaTheme="minorEastAsia"/>
                <w:color w:val="auto"/>
                <w:sz w:val="21"/>
                <w:szCs w:val="21"/>
              </w:rPr>
            </w:pPr>
            <w:r>
              <w:rPr>
                <w:rFonts w:eastAsiaTheme="minorEastAsia"/>
                <w:color w:val="auto"/>
                <w:sz w:val="21"/>
                <w:szCs w:val="21"/>
              </w:rPr>
              <w:t>4.40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027" w:type="dxa"/>
            <w:vAlign w:val="center"/>
          </w:tcPr>
          <w:p>
            <w:pPr>
              <w:spacing w:line="360" w:lineRule="auto"/>
              <w:jc w:val="center"/>
              <w:rPr>
                <w:rFonts w:eastAsiaTheme="minorEastAsia"/>
                <w:color w:val="auto"/>
                <w:sz w:val="21"/>
                <w:szCs w:val="21"/>
              </w:rPr>
            </w:pPr>
            <w:r>
              <w:rPr>
                <w:rFonts w:eastAsiaTheme="minorEastAsia"/>
                <w:color w:val="auto"/>
                <w:sz w:val="21"/>
                <w:szCs w:val="21"/>
              </w:rPr>
              <w:t>2014</w:t>
            </w:r>
          </w:p>
        </w:tc>
        <w:tc>
          <w:tcPr>
            <w:tcW w:w="1028" w:type="dxa"/>
            <w:vAlign w:val="center"/>
          </w:tcPr>
          <w:p>
            <w:pPr>
              <w:spacing w:line="360" w:lineRule="auto"/>
              <w:jc w:val="center"/>
              <w:rPr>
                <w:rFonts w:eastAsiaTheme="minorEastAsia"/>
                <w:color w:val="auto"/>
                <w:sz w:val="21"/>
                <w:szCs w:val="21"/>
              </w:rPr>
            </w:pPr>
            <w:r>
              <w:rPr>
                <w:rFonts w:eastAsiaTheme="minorEastAsia"/>
                <w:color w:val="auto"/>
                <w:sz w:val="21"/>
                <w:szCs w:val="21"/>
              </w:rPr>
              <w:t>167.9</w:t>
            </w:r>
          </w:p>
        </w:tc>
        <w:tc>
          <w:tcPr>
            <w:tcW w:w="1029" w:type="dxa"/>
            <w:vAlign w:val="center"/>
          </w:tcPr>
          <w:p>
            <w:pPr>
              <w:spacing w:line="360" w:lineRule="auto"/>
              <w:jc w:val="center"/>
              <w:rPr>
                <w:rFonts w:eastAsiaTheme="minorEastAsia"/>
                <w:color w:val="auto"/>
                <w:sz w:val="21"/>
                <w:szCs w:val="21"/>
              </w:rPr>
            </w:pPr>
            <w:r>
              <w:rPr>
                <w:rFonts w:eastAsiaTheme="minorEastAsia"/>
                <w:color w:val="auto"/>
                <w:sz w:val="21"/>
                <w:szCs w:val="21"/>
              </w:rPr>
              <w:t>10</w:t>
            </w:r>
          </w:p>
        </w:tc>
        <w:tc>
          <w:tcPr>
            <w:tcW w:w="1029" w:type="dxa"/>
            <w:vAlign w:val="center"/>
          </w:tcPr>
          <w:p>
            <w:pPr>
              <w:spacing w:line="360" w:lineRule="auto"/>
              <w:jc w:val="center"/>
              <w:rPr>
                <w:rFonts w:eastAsiaTheme="minorEastAsia"/>
                <w:color w:val="auto"/>
                <w:sz w:val="21"/>
                <w:szCs w:val="21"/>
              </w:rPr>
            </w:pPr>
            <w:r>
              <w:rPr>
                <w:rFonts w:eastAsiaTheme="minorEastAsia"/>
                <w:color w:val="auto"/>
                <w:sz w:val="21"/>
                <w:szCs w:val="21"/>
              </w:rPr>
              <w:t>57.57</w:t>
            </w:r>
          </w:p>
        </w:tc>
        <w:tc>
          <w:tcPr>
            <w:tcW w:w="1028" w:type="dxa"/>
            <w:vAlign w:val="center"/>
          </w:tcPr>
          <w:p>
            <w:pPr>
              <w:spacing w:line="360" w:lineRule="auto"/>
              <w:jc w:val="center"/>
              <w:rPr>
                <w:rFonts w:eastAsiaTheme="minorEastAsia"/>
                <w:color w:val="auto"/>
                <w:sz w:val="21"/>
                <w:szCs w:val="21"/>
              </w:rPr>
            </w:pPr>
            <w:r>
              <w:rPr>
                <w:rFonts w:eastAsiaTheme="minorEastAsia"/>
                <w:color w:val="auto"/>
                <w:sz w:val="21"/>
                <w:szCs w:val="21"/>
              </w:rPr>
              <w:t>5.04</w:t>
            </w:r>
          </w:p>
        </w:tc>
        <w:tc>
          <w:tcPr>
            <w:tcW w:w="1029" w:type="dxa"/>
            <w:vAlign w:val="center"/>
          </w:tcPr>
          <w:p>
            <w:pPr>
              <w:spacing w:line="360" w:lineRule="auto"/>
              <w:jc w:val="center"/>
              <w:rPr>
                <w:rFonts w:eastAsiaTheme="minorEastAsia"/>
                <w:color w:val="auto"/>
                <w:sz w:val="21"/>
                <w:szCs w:val="21"/>
              </w:rPr>
            </w:pPr>
            <w:r>
              <w:rPr>
                <w:rFonts w:eastAsiaTheme="minorEastAsia"/>
                <w:color w:val="auto"/>
                <w:sz w:val="21"/>
                <w:szCs w:val="21"/>
              </w:rPr>
              <w:t>6.67</w:t>
            </w:r>
          </w:p>
        </w:tc>
        <w:tc>
          <w:tcPr>
            <w:tcW w:w="1028" w:type="dxa"/>
            <w:vAlign w:val="center"/>
          </w:tcPr>
          <w:p>
            <w:pPr>
              <w:spacing w:line="360" w:lineRule="auto"/>
              <w:jc w:val="center"/>
              <w:rPr>
                <w:rFonts w:eastAsiaTheme="minorEastAsia"/>
                <w:color w:val="auto"/>
                <w:sz w:val="21"/>
                <w:szCs w:val="21"/>
              </w:rPr>
            </w:pPr>
            <w:r>
              <w:rPr>
                <w:rFonts w:eastAsiaTheme="minorEastAsia"/>
                <w:color w:val="auto"/>
                <w:sz w:val="21"/>
                <w:szCs w:val="21"/>
              </w:rPr>
              <w:t>5.77</w:t>
            </w:r>
          </w:p>
        </w:tc>
        <w:tc>
          <w:tcPr>
            <w:tcW w:w="1030" w:type="dxa"/>
            <w:vAlign w:val="center"/>
          </w:tcPr>
          <w:p>
            <w:pPr>
              <w:spacing w:line="360" w:lineRule="auto"/>
              <w:jc w:val="center"/>
              <w:rPr>
                <w:rFonts w:eastAsiaTheme="minorEastAsia"/>
                <w:color w:val="auto"/>
                <w:sz w:val="21"/>
                <w:szCs w:val="21"/>
              </w:rPr>
            </w:pPr>
            <w:r>
              <w:rPr>
                <w:rFonts w:eastAsiaTheme="minorEastAsia"/>
                <w:color w:val="auto"/>
                <w:sz w:val="21"/>
                <w:szCs w:val="21"/>
              </w:rPr>
              <w:t>485.51</w:t>
            </w:r>
          </w:p>
        </w:tc>
        <w:tc>
          <w:tcPr>
            <w:tcW w:w="1058" w:type="dxa"/>
            <w:vAlign w:val="center"/>
          </w:tcPr>
          <w:p>
            <w:pPr>
              <w:spacing w:line="360" w:lineRule="auto"/>
              <w:jc w:val="center"/>
              <w:rPr>
                <w:rFonts w:eastAsiaTheme="minorEastAsia"/>
                <w:color w:val="auto"/>
                <w:sz w:val="21"/>
                <w:szCs w:val="21"/>
              </w:rPr>
            </w:pPr>
            <w:r>
              <w:rPr>
                <w:rFonts w:eastAsiaTheme="minorEastAsia"/>
                <w:color w:val="auto"/>
                <w:sz w:val="21"/>
                <w:szCs w:val="21"/>
              </w:rPr>
              <w:t>4.94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027" w:type="dxa"/>
            <w:vAlign w:val="center"/>
          </w:tcPr>
          <w:p>
            <w:pPr>
              <w:spacing w:line="360" w:lineRule="auto"/>
              <w:jc w:val="center"/>
              <w:rPr>
                <w:rFonts w:eastAsiaTheme="minorEastAsia"/>
                <w:color w:val="auto"/>
                <w:sz w:val="21"/>
                <w:szCs w:val="21"/>
              </w:rPr>
            </w:pPr>
            <w:r>
              <w:rPr>
                <w:rFonts w:eastAsiaTheme="minorEastAsia"/>
                <w:color w:val="auto"/>
                <w:sz w:val="21"/>
                <w:szCs w:val="21"/>
              </w:rPr>
              <w:t>2015</w:t>
            </w:r>
          </w:p>
        </w:tc>
        <w:tc>
          <w:tcPr>
            <w:tcW w:w="1028" w:type="dxa"/>
            <w:vAlign w:val="center"/>
          </w:tcPr>
          <w:p>
            <w:pPr>
              <w:spacing w:line="360" w:lineRule="auto"/>
              <w:jc w:val="center"/>
              <w:rPr>
                <w:rFonts w:eastAsiaTheme="minorEastAsia"/>
                <w:color w:val="auto"/>
                <w:sz w:val="21"/>
                <w:szCs w:val="21"/>
              </w:rPr>
            </w:pPr>
            <w:r>
              <w:rPr>
                <w:rFonts w:eastAsiaTheme="minorEastAsia"/>
                <w:color w:val="auto"/>
                <w:sz w:val="21"/>
                <w:szCs w:val="21"/>
              </w:rPr>
              <w:t>190</w:t>
            </w:r>
          </w:p>
        </w:tc>
        <w:tc>
          <w:tcPr>
            <w:tcW w:w="1029" w:type="dxa"/>
            <w:vAlign w:val="center"/>
          </w:tcPr>
          <w:p>
            <w:pPr>
              <w:spacing w:line="360" w:lineRule="auto"/>
              <w:jc w:val="center"/>
              <w:rPr>
                <w:rFonts w:eastAsiaTheme="minorEastAsia"/>
                <w:color w:val="auto"/>
                <w:sz w:val="21"/>
                <w:szCs w:val="21"/>
              </w:rPr>
            </w:pPr>
            <w:r>
              <w:rPr>
                <w:rFonts w:eastAsiaTheme="minorEastAsia"/>
                <w:color w:val="auto"/>
                <w:sz w:val="21"/>
                <w:szCs w:val="21"/>
              </w:rPr>
              <w:t>10</w:t>
            </w:r>
          </w:p>
        </w:tc>
        <w:tc>
          <w:tcPr>
            <w:tcW w:w="1029" w:type="dxa"/>
            <w:vAlign w:val="center"/>
          </w:tcPr>
          <w:p>
            <w:pPr>
              <w:spacing w:line="360" w:lineRule="auto"/>
              <w:jc w:val="center"/>
              <w:rPr>
                <w:rFonts w:eastAsiaTheme="minorEastAsia"/>
                <w:color w:val="auto"/>
                <w:sz w:val="21"/>
                <w:szCs w:val="21"/>
              </w:rPr>
            </w:pPr>
            <w:r>
              <w:rPr>
                <w:rFonts w:eastAsiaTheme="minorEastAsia"/>
                <w:color w:val="auto"/>
                <w:sz w:val="21"/>
                <w:szCs w:val="21"/>
              </w:rPr>
              <w:t>58.12</w:t>
            </w:r>
          </w:p>
        </w:tc>
        <w:tc>
          <w:tcPr>
            <w:tcW w:w="1028" w:type="dxa"/>
            <w:vAlign w:val="center"/>
          </w:tcPr>
          <w:p>
            <w:pPr>
              <w:spacing w:line="360" w:lineRule="auto"/>
              <w:jc w:val="center"/>
              <w:rPr>
                <w:rFonts w:eastAsiaTheme="minorEastAsia"/>
                <w:color w:val="auto"/>
                <w:sz w:val="21"/>
                <w:szCs w:val="21"/>
              </w:rPr>
            </w:pPr>
            <w:r>
              <w:rPr>
                <w:rFonts w:eastAsiaTheme="minorEastAsia"/>
                <w:color w:val="auto"/>
                <w:sz w:val="21"/>
                <w:szCs w:val="21"/>
              </w:rPr>
              <w:t>5.70</w:t>
            </w:r>
          </w:p>
        </w:tc>
        <w:tc>
          <w:tcPr>
            <w:tcW w:w="1029" w:type="dxa"/>
            <w:vAlign w:val="center"/>
          </w:tcPr>
          <w:p>
            <w:pPr>
              <w:spacing w:line="360" w:lineRule="auto"/>
              <w:jc w:val="center"/>
              <w:rPr>
                <w:rFonts w:eastAsiaTheme="minorEastAsia"/>
                <w:color w:val="auto"/>
                <w:sz w:val="21"/>
                <w:szCs w:val="21"/>
              </w:rPr>
            </w:pPr>
            <w:r>
              <w:rPr>
                <w:rFonts w:eastAsiaTheme="minorEastAsia"/>
                <w:color w:val="auto"/>
                <w:sz w:val="21"/>
                <w:szCs w:val="21"/>
              </w:rPr>
              <w:t>6.67</w:t>
            </w:r>
          </w:p>
        </w:tc>
        <w:tc>
          <w:tcPr>
            <w:tcW w:w="1028" w:type="dxa"/>
            <w:vAlign w:val="center"/>
          </w:tcPr>
          <w:p>
            <w:pPr>
              <w:spacing w:line="360" w:lineRule="auto"/>
              <w:jc w:val="center"/>
              <w:rPr>
                <w:rFonts w:eastAsiaTheme="minorEastAsia"/>
                <w:color w:val="auto"/>
                <w:sz w:val="21"/>
                <w:szCs w:val="21"/>
              </w:rPr>
            </w:pPr>
            <w:r>
              <w:rPr>
                <w:rFonts w:eastAsiaTheme="minorEastAsia"/>
                <w:color w:val="auto"/>
                <w:sz w:val="21"/>
                <w:szCs w:val="21"/>
              </w:rPr>
              <w:t>5.81</w:t>
            </w:r>
          </w:p>
        </w:tc>
        <w:tc>
          <w:tcPr>
            <w:tcW w:w="1030" w:type="dxa"/>
            <w:vAlign w:val="center"/>
          </w:tcPr>
          <w:p>
            <w:pPr>
              <w:spacing w:line="360" w:lineRule="auto"/>
              <w:jc w:val="center"/>
              <w:rPr>
                <w:rFonts w:eastAsiaTheme="minorEastAsia"/>
                <w:color w:val="auto"/>
                <w:sz w:val="21"/>
                <w:szCs w:val="21"/>
              </w:rPr>
            </w:pPr>
            <w:r>
              <w:rPr>
                <w:rFonts w:eastAsiaTheme="minorEastAsia"/>
                <w:color w:val="auto"/>
                <w:sz w:val="21"/>
                <w:szCs w:val="21"/>
              </w:rPr>
              <w:t>504.96</w:t>
            </w:r>
          </w:p>
        </w:tc>
        <w:tc>
          <w:tcPr>
            <w:tcW w:w="1058" w:type="dxa"/>
            <w:vAlign w:val="center"/>
          </w:tcPr>
          <w:p>
            <w:pPr>
              <w:spacing w:line="360" w:lineRule="auto"/>
              <w:jc w:val="center"/>
              <w:rPr>
                <w:rFonts w:eastAsiaTheme="minorEastAsia"/>
                <w:color w:val="auto"/>
                <w:sz w:val="21"/>
                <w:szCs w:val="21"/>
              </w:rPr>
            </w:pPr>
            <w:r>
              <w:rPr>
                <w:rFonts w:eastAsiaTheme="minorEastAsia"/>
                <w:color w:val="auto"/>
                <w:sz w:val="21"/>
                <w:szCs w:val="21"/>
              </w:rPr>
              <w:t>5.12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027" w:type="dxa"/>
            <w:vAlign w:val="center"/>
          </w:tcPr>
          <w:p>
            <w:pPr>
              <w:spacing w:line="360" w:lineRule="auto"/>
              <w:jc w:val="center"/>
              <w:rPr>
                <w:rFonts w:eastAsiaTheme="minorEastAsia"/>
                <w:color w:val="auto"/>
                <w:sz w:val="21"/>
                <w:szCs w:val="21"/>
              </w:rPr>
            </w:pPr>
            <w:r>
              <w:rPr>
                <w:rFonts w:eastAsiaTheme="minorEastAsia"/>
                <w:color w:val="auto"/>
                <w:sz w:val="21"/>
                <w:szCs w:val="21"/>
              </w:rPr>
              <w:t>2016</w:t>
            </w:r>
          </w:p>
        </w:tc>
        <w:tc>
          <w:tcPr>
            <w:tcW w:w="1028" w:type="dxa"/>
            <w:vAlign w:val="center"/>
          </w:tcPr>
          <w:p>
            <w:pPr>
              <w:spacing w:line="360" w:lineRule="auto"/>
              <w:jc w:val="center"/>
              <w:rPr>
                <w:rFonts w:eastAsiaTheme="minorEastAsia"/>
                <w:color w:val="auto"/>
                <w:sz w:val="21"/>
                <w:szCs w:val="21"/>
              </w:rPr>
            </w:pPr>
            <w:r>
              <w:rPr>
                <w:rFonts w:eastAsiaTheme="minorEastAsia"/>
                <w:color w:val="auto"/>
                <w:sz w:val="21"/>
                <w:szCs w:val="21"/>
              </w:rPr>
              <w:t>170</w:t>
            </w:r>
          </w:p>
        </w:tc>
        <w:tc>
          <w:tcPr>
            <w:tcW w:w="1029" w:type="dxa"/>
            <w:vAlign w:val="center"/>
          </w:tcPr>
          <w:p>
            <w:pPr>
              <w:spacing w:line="360" w:lineRule="auto"/>
              <w:jc w:val="center"/>
              <w:rPr>
                <w:rFonts w:eastAsiaTheme="minorEastAsia"/>
                <w:color w:val="auto"/>
                <w:sz w:val="21"/>
                <w:szCs w:val="21"/>
              </w:rPr>
            </w:pPr>
            <w:r>
              <w:rPr>
                <w:rFonts w:eastAsiaTheme="minorEastAsia"/>
                <w:color w:val="auto"/>
                <w:sz w:val="21"/>
                <w:szCs w:val="21"/>
              </w:rPr>
              <w:t>10</w:t>
            </w:r>
          </w:p>
        </w:tc>
        <w:tc>
          <w:tcPr>
            <w:tcW w:w="1029" w:type="dxa"/>
            <w:vAlign w:val="center"/>
          </w:tcPr>
          <w:p>
            <w:pPr>
              <w:spacing w:line="360" w:lineRule="auto"/>
              <w:jc w:val="center"/>
              <w:rPr>
                <w:rFonts w:eastAsiaTheme="minorEastAsia"/>
                <w:color w:val="auto"/>
                <w:sz w:val="21"/>
                <w:szCs w:val="21"/>
              </w:rPr>
            </w:pPr>
            <w:r>
              <w:rPr>
                <w:rFonts w:eastAsiaTheme="minorEastAsia"/>
                <w:color w:val="auto"/>
                <w:sz w:val="21"/>
                <w:szCs w:val="21"/>
              </w:rPr>
              <w:t>59.39</w:t>
            </w:r>
          </w:p>
        </w:tc>
        <w:tc>
          <w:tcPr>
            <w:tcW w:w="1028" w:type="dxa"/>
            <w:vAlign w:val="center"/>
          </w:tcPr>
          <w:p>
            <w:pPr>
              <w:spacing w:line="360" w:lineRule="auto"/>
              <w:jc w:val="center"/>
              <w:rPr>
                <w:rFonts w:eastAsiaTheme="minorEastAsia"/>
                <w:color w:val="auto"/>
                <w:sz w:val="21"/>
                <w:szCs w:val="21"/>
              </w:rPr>
            </w:pPr>
            <w:r>
              <w:rPr>
                <w:rFonts w:eastAsiaTheme="minorEastAsia"/>
                <w:color w:val="auto"/>
                <w:sz w:val="21"/>
                <w:szCs w:val="21"/>
              </w:rPr>
              <w:t>5.10</w:t>
            </w:r>
          </w:p>
        </w:tc>
        <w:tc>
          <w:tcPr>
            <w:tcW w:w="1029" w:type="dxa"/>
            <w:vAlign w:val="center"/>
          </w:tcPr>
          <w:p>
            <w:pPr>
              <w:spacing w:line="360" w:lineRule="auto"/>
              <w:jc w:val="center"/>
              <w:rPr>
                <w:rFonts w:eastAsiaTheme="minorEastAsia"/>
                <w:color w:val="auto"/>
                <w:sz w:val="21"/>
                <w:szCs w:val="21"/>
              </w:rPr>
            </w:pPr>
            <w:r>
              <w:rPr>
                <w:rFonts w:eastAsiaTheme="minorEastAsia"/>
                <w:color w:val="auto"/>
                <w:sz w:val="21"/>
                <w:szCs w:val="21"/>
              </w:rPr>
              <w:t>6.67</w:t>
            </w:r>
          </w:p>
        </w:tc>
        <w:tc>
          <w:tcPr>
            <w:tcW w:w="1028" w:type="dxa"/>
            <w:vAlign w:val="center"/>
          </w:tcPr>
          <w:p>
            <w:pPr>
              <w:spacing w:line="360" w:lineRule="auto"/>
              <w:jc w:val="center"/>
              <w:rPr>
                <w:rFonts w:eastAsiaTheme="minorEastAsia"/>
                <w:color w:val="auto"/>
                <w:sz w:val="21"/>
                <w:szCs w:val="21"/>
              </w:rPr>
            </w:pPr>
            <w:r>
              <w:rPr>
                <w:rFonts w:eastAsiaTheme="minorEastAsia"/>
                <w:color w:val="auto"/>
                <w:sz w:val="21"/>
                <w:szCs w:val="21"/>
              </w:rPr>
              <w:t>5.94</w:t>
            </w:r>
          </w:p>
        </w:tc>
        <w:tc>
          <w:tcPr>
            <w:tcW w:w="1030" w:type="dxa"/>
            <w:vAlign w:val="center"/>
          </w:tcPr>
          <w:p>
            <w:pPr>
              <w:spacing w:line="360" w:lineRule="auto"/>
              <w:jc w:val="center"/>
              <w:rPr>
                <w:rFonts w:eastAsiaTheme="minorEastAsia"/>
                <w:color w:val="auto"/>
                <w:sz w:val="21"/>
                <w:szCs w:val="21"/>
              </w:rPr>
            </w:pPr>
            <w:r>
              <w:rPr>
                <w:rFonts w:eastAsiaTheme="minorEastAsia"/>
                <w:color w:val="auto"/>
                <w:sz w:val="21"/>
                <w:szCs w:val="21"/>
              </w:rPr>
              <w:t>491.81</w:t>
            </w:r>
          </w:p>
        </w:tc>
        <w:tc>
          <w:tcPr>
            <w:tcW w:w="1058" w:type="dxa"/>
            <w:vAlign w:val="center"/>
          </w:tcPr>
          <w:p>
            <w:pPr>
              <w:spacing w:line="360" w:lineRule="auto"/>
              <w:jc w:val="center"/>
              <w:rPr>
                <w:rFonts w:eastAsiaTheme="minorEastAsia"/>
                <w:color w:val="auto"/>
                <w:sz w:val="21"/>
                <w:szCs w:val="21"/>
              </w:rPr>
            </w:pPr>
            <w:r>
              <w:rPr>
                <w:rFonts w:eastAsiaTheme="minorEastAsia"/>
                <w:color w:val="auto"/>
                <w:sz w:val="21"/>
                <w:szCs w:val="21"/>
              </w:rPr>
              <w:t>4.97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027" w:type="dxa"/>
            <w:vAlign w:val="center"/>
          </w:tcPr>
          <w:p>
            <w:pPr>
              <w:spacing w:line="360" w:lineRule="auto"/>
              <w:jc w:val="center"/>
              <w:rPr>
                <w:rFonts w:eastAsiaTheme="minorEastAsia"/>
                <w:color w:val="auto"/>
                <w:sz w:val="21"/>
                <w:szCs w:val="21"/>
              </w:rPr>
            </w:pPr>
            <w:r>
              <w:rPr>
                <w:rFonts w:eastAsiaTheme="minorEastAsia"/>
                <w:color w:val="auto"/>
                <w:sz w:val="21"/>
                <w:szCs w:val="21"/>
              </w:rPr>
              <w:t>2017</w:t>
            </w:r>
          </w:p>
        </w:tc>
        <w:tc>
          <w:tcPr>
            <w:tcW w:w="1028" w:type="dxa"/>
            <w:vAlign w:val="center"/>
          </w:tcPr>
          <w:p>
            <w:pPr>
              <w:spacing w:line="360" w:lineRule="auto"/>
              <w:jc w:val="center"/>
              <w:rPr>
                <w:rFonts w:eastAsiaTheme="minorEastAsia"/>
                <w:color w:val="auto"/>
                <w:sz w:val="21"/>
                <w:szCs w:val="21"/>
              </w:rPr>
            </w:pPr>
            <w:r>
              <w:rPr>
                <w:rFonts w:eastAsiaTheme="minorEastAsia"/>
                <w:color w:val="auto"/>
                <w:sz w:val="21"/>
                <w:szCs w:val="21"/>
              </w:rPr>
              <w:t>124</w:t>
            </w:r>
          </w:p>
        </w:tc>
        <w:tc>
          <w:tcPr>
            <w:tcW w:w="1029" w:type="dxa"/>
            <w:vAlign w:val="center"/>
          </w:tcPr>
          <w:p>
            <w:pPr>
              <w:spacing w:line="360" w:lineRule="auto"/>
              <w:jc w:val="center"/>
              <w:rPr>
                <w:rFonts w:eastAsiaTheme="minorEastAsia"/>
                <w:color w:val="auto"/>
                <w:sz w:val="21"/>
                <w:szCs w:val="21"/>
              </w:rPr>
            </w:pPr>
            <w:r>
              <w:rPr>
                <w:rFonts w:eastAsiaTheme="minorEastAsia"/>
                <w:color w:val="auto"/>
                <w:sz w:val="21"/>
                <w:szCs w:val="21"/>
              </w:rPr>
              <w:t>10</w:t>
            </w:r>
          </w:p>
        </w:tc>
        <w:tc>
          <w:tcPr>
            <w:tcW w:w="1029" w:type="dxa"/>
            <w:vAlign w:val="center"/>
          </w:tcPr>
          <w:p>
            <w:pPr>
              <w:spacing w:line="360" w:lineRule="auto"/>
              <w:jc w:val="center"/>
              <w:rPr>
                <w:rFonts w:eastAsiaTheme="minorEastAsia"/>
                <w:color w:val="auto"/>
                <w:sz w:val="21"/>
                <w:szCs w:val="21"/>
              </w:rPr>
            </w:pPr>
            <w:r>
              <w:rPr>
                <w:rFonts w:eastAsiaTheme="minorEastAsia"/>
                <w:color w:val="auto"/>
                <w:sz w:val="21"/>
                <w:szCs w:val="21"/>
              </w:rPr>
              <w:t>60.40</w:t>
            </w:r>
          </w:p>
        </w:tc>
        <w:tc>
          <w:tcPr>
            <w:tcW w:w="1028" w:type="dxa"/>
            <w:vAlign w:val="center"/>
          </w:tcPr>
          <w:p>
            <w:pPr>
              <w:spacing w:line="360" w:lineRule="auto"/>
              <w:jc w:val="center"/>
              <w:rPr>
                <w:rFonts w:eastAsiaTheme="minorEastAsia"/>
                <w:color w:val="auto"/>
                <w:sz w:val="21"/>
                <w:szCs w:val="21"/>
              </w:rPr>
            </w:pPr>
            <w:r>
              <w:rPr>
                <w:rFonts w:eastAsiaTheme="minorEastAsia"/>
                <w:color w:val="auto"/>
                <w:sz w:val="21"/>
                <w:szCs w:val="21"/>
              </w:rPr>
              <w:t>3.72</w:t>
            </w:r>
          </w:p>
        </w:tc>
        <w:tc>
          <w:tcPr>
            <w:tcW w:w="1029" w:type="dxa"/>
            <w:vAlign w:val="center"/>
          </w:tcPr>
          <w:p>
            <w:pPr>
              <w:spacing w:line="360" w:lineRule="auto"/>
              <w:jc w:val="center"/>
              <w:rPr>
                <w:rFonts w:eastAsiaTheme="minorEastAsia"/>
                <w:color w:val="auto"/>
                <w:sz w:val="21"/>
                <w:szCs w:val="21"/>
              </w:rPr>
            </w:pPr>
            <w:r>
              <w:rPr>
                <w:rFonts w:eastAsiaTheme="minorEastAsia"/>
                <w:color w:val="auto"/>
                <w:sz w:val="21"/>
                <w:szCs w:val="21"/>
              </w:rPr>
              <w:t>6.67</w:t>
            </w:r>
          </w:p>
        </w:tc>
        <w:tc>
          <w:tcPr>
            <w:tcW w:w="1028" w:type="dxa"/>
            <w:vAlign w:val="center"/>
          </w:tcPr>
          <w:p>
            <w:pPr>
              <w:spacing w:line="360" w:lineRule="auto"/>
              <w:jc w:val="center"/>
              <w:rPr>
                <w:rFonts w:eastAsiaTheme="minorEastAsia"/>
                <w:color w:val="auto"/>
                <w:sz w:val="21"/>
                <w:szCs w:val="21"/>
              </w:rPr>
            </w:pPr>
            <w:r>
              <w:rPr>
                <w:rFonts w:eastAsiaTheme="minorEastAsia"/>
                <w:color w:val="auto"/>
                <w:sz w:val="21"/>
                <w:szCs w:val="21"/>
              </w:rPr>
              <w:t>6.04</w:t>
            </w:r>
          </w:p>
        </w:tc>
        <w:tc>
          <w:tcPr>
            <w:tcW w:w="1030" w:type="dxa"/>
            <w:vAlign w:val="center"/>
          </w:tcPr>
          <w:p>
            <w:pPr>
              <w:spacing w:line="360" w:lineRule="auto"/>
              <w:jc w:val="center"/>
              <w:rPr>
                <w:rFonts w:eastAsiaTheme="minorEastAsia"/>
                <w:color w:val="auto"/>
                <w:sz w:val="21"/>
                <w:szCs w:val="21"/>
              </w:rPr>
            </w:pPr>
            <w:r>
              <w:rPr>
                <w:rFonts w:eastAsiaTheme="minorEastAsia"/>
                <w:color w:val="auto"/>
                <w:sz w:val="21"/>
                <w:szCs w:val="21"/>
              </w:rPr>
              <w:t>456.30</w:t>
            </w:r>
          </w:p>
        </w:tc>
        <w:tc>
          <w:tcPr>
            <w:tcW w:w="1058" w:type="dxa"/>
            <w:vAlign w:val="center"/>
          </w:tcPr>
          <w:p>
            <w:pPr>
              <w:spacing w:line="360" w:lineRule="auto"/>
              <w:jc w:val="center"/>
              <w:rPr>
                <w:rFonts w:eastAsiaTheme="minorEastAsia"/>
                <w:color w:val="auto"/>
                <w:sz w:val="21"/>
                <w:szCs w:val="21"/>
              </w:rPr>
            </w:pPr>
            <w:r>
              <w:rPr>
                <w:rFonts w:eastAsiaTheme="minorEastAsia"/>
                <w:color w:val="auto"/>
                <w:sz w:val="21"/>
                <w:szCs w:val="21"/>
              </w:rPr>
              <w:t>4.60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027" w:type="dxa"/>
            <w:vAlign w:val="center"/>
          </w:tcPr>
          <w:p>
            <w:pPr>
              <w:spacing w:line="360" w:lineRule="auto"/>
              <w:jc w:val="center"/>
              <w:rPr>
                <w:rFonts w:eastAsiaTheme="minorEastAsia"/>
                <w:color w:val="auto"/>
                <w:sz w:val="21"/>
                <w:szCs w:val="21"/>
              </w:rPr>
            </w:pPr>
            <w:r>
              <w:rPr>
                <w:rFonts w:eastAsiaTheme="minorEastAsia"/>
                <w:color w:val="auto"/>
                <w:sz w:val="21"/>
                <w:szCs w:val="21"/>
              </w:rPr>
              <w:t>2018</w:t>
            </w:r>
          </w:p>
        </w:tc>
        <w:tc>
          <w:tcPr>
            <w:tcW w:w="1028" w:type="dxa"/>
            <w:vAlign w:val="center"/>
          </w:tcPr>
          <w:p>
            <w:pPr>
              <w:spacing w:line="360" w:lineRule="auto"/>
              <w:jc w:val="center"/>
              <w:rPr>
                <w:rFonts w:eastAsiaTheme="minorEastAsia"/>
                <w:color w:val="auto"/>
                <w:sz w:val="21"/>
                <w:szCs w:val="21"/>
              </w:rPr>
            </w:pPr>
            <w:r>
              <w:rPr>
                <w:rFonts w:eastAsiaTheme="minorEastAsia"/>
                <w:color w:val="auto"/>
                <w:sz w:val="21"/>
                <w:szCs w:val="21"/>
              </w:rPr>
              <w:t>120</w:t>
            </w:r>
          </w:p>
        </w:tc>
        <w:tc>
          <w:tcPr>
            <w:tcW w:w="1029" w:type="dxa"/>
            <w:vAlign w:val="center"/>
          </w:tcPr>
          <w:p>
            <w:pPr>
              <w:spacing w:line="360" w:lineRule="auto"/>
              <w:jc w:val="center"/>
              <w:rPr>
                <w:rFonts w:eastAsiaTheme="minorEastAsia"/>
                <w:color w:val="auto"/>
                <w:sz w:val="21"/>
                <w:szCs w:val="21"/>
              </w:rPr>
            </w:pPr>
            <w:r>
              <w:rPr>
                <w:rFonts w:eastAsiaTheme="minorEastAsia"/>
                <w:color w:val="auto"/>
                <w:sz w:val="21"/>
                <w:szCs w:val="21"/>
              </w:rPr>
              <w:t>17</w:t>
            </w:r>
          </w:p>
        </w:tc>
        <w:tc>
          <w:tcPr>
            <w:tcW w:w="1029" w:type="dxa"/>
            <w:vAlign w:val="center"/>
          </w:tcPr>
          <w:p>
            <w:pPr>
              <w:spacing w:line="360" w:lineRule="auto"/>
              <w:jc w:val="center"/>
              <w:rPr>
                <w:rFonts w:eastAsiaTheme="minorEastAsia"/>
                <w:color w:val="auto"/>
                <w:sz w:val="21"/>
                <w:szCs w:val="21"/>
              </w:rPr>
            </w:pPr>
            <w:r>
              <w:rPr>
                <w:rFonts w:eastAsiaTheme="minorEastAsia"/>
                <w:color w:val="auto"/>
                <w:sz w:val="21"/>
                <w:szCs w:val="21"/>
              </w:rPr>
              <w:t>61.74</w:t>
            </w:r>
          </w:p>
        </w:tc>
        <w:tc>
          <w:tcPr>
            <w:tcW w:w="1028" w:type="dxa"/>
            <w:vAlign w:val="center"/>
          </w:tcPr>
          <w:p>
            <w:pPr>
              <w:spacing w:line="360" w:lineRule="auto"/>
              <w:jc w:val="center"/>
              <w:rPr>
                <w:rFonts w:eastAsiaTheme="minorEastAsia"/>
                <w:color w:val="auto"/>
                <w:sz w:val="21"/>
                <w:szCs w:val="21"/>
              </w:rPr>
            </w:pPr>
            <w:r>
              <w:rPr>
                <w:rFonts w:eastAsiaTheme="minorEastAsia"/>
                <w:color w:val="auto"/>
                <w:sz w:val="21"/>
                <w:szCs w:val="21"/>
              </w:rPr>
              <w:t>3.60</w:t>
            </w:r>
          </w:p>
        </w:tc>
        <w:tc>
          <w:tcPr>
            <w:tcW w:w="1029" w:type="dxa"/>
            <w:vAlign w:val="center"/>
          </w:tcPr>
          <w:p>
            <w:pPr>
              <w:spacing w:line="360" w:lineRule="auto"/>
              <w:jc w:val="center"/>
              <w:rPr>
                <w:rFonts w:eastAsiaTheme="minorEastAsia"/>
                <w:color w:val="auto"/>
                <w:sz w:val="21"/>
                <w:szCs w:val="21"/>
              </w:rPr>
            </w:pPr>
            <w:r>
              <w:rPr>
                <w:rFonts w:eastAsiaTheme="minorEastAsia"/>
                <w:color w:val="auto"/>
                <w:sz w:val="21"/>
                <w:szCs w:val="21"/>
              </w:rPr>
              <w:t>11.33</w:t>
            </w:r>
          </w:p>
        </w:tc>
        <w:tc>
          <w:tcPr>
            <w:tcW w:w="1028" w:type="dxa"/>
            <w:vAlign w:val="center"/>
          </w:tcPr>
          <w:p>
            <w:pPr>
              <w:spacing w:line="360" w:lineRule="auto"/>
              <w:jc w:val="center"/>
              <w:rPr>
                <w:rFonts w:eastAsiaTheme="minorEastAsia"/>
                <w:color w:val="auto"/>
                <w:sz w:val="21"/>
                <w:szCs w:val="21"/>
              </w:rPr>
            </w:pPr>
            <w:r>
              <w:rPr>
                <w:rFonts w:eastAsiaTheme="minorEastAsia"/>
                <w:color w:val="auto"/>
                <w:sz w:val="21"/>
                <w:szCs w:val="21"/>
              </w:rPr>
              <w:t>6.17</w:t>
            </w:r>
          </w:p>
        </w:tc>
        <w:tc>
          <w:tcPr>
            <w:tcW w:w="1030" w:type="dxa"/>
            <w:vAlign w:val="center"/>
          </w:tcPr>
          <w:p>
            <w:pPr>
              <w:spacing w:line="360" w:lineRule="auto"/>
              <w:jc w:val="center"/>
              <w:rPr>
                <w:rFonts w:eastAsiaTheme="minorEastAsia"/>
                <w:color w:val="auto"/>
                <w:sz w:val="21"/>
                <w:szCs w:val="21"/>
              </w:rPr>
            </w:pPr>
            <w:r>
              <w:rPr>
                <w:rFonts w:eastAsiaTheme="minorEastAsia"/>
                <w:color w:val="auto"/>
                <w:sz w:val="21"/>
                <w:szCs w:val="21"/>
              </w:rPr>
              <w:t>586.32</w:t>
            </w:r>
          </w:p>
        </w:tc>
        <w:tc>
          <w:tcPr>
            <w:tcW w:w="1058" w:type="dxa"/>
            <w:vAlign w:val="center"/>
          </w:tcPr>
          <w:p>
            <w:pPr>
              <w:spacing w:line="360" w:lineRule="auto"/>
              <w:jc w:val="center"/>
              <w:rPr>
                <w:rFonts w:eastAsiaTheme="minorEastAsia"/>
                <w:color w:val="auto"/>
                <w:sz w:val="21"/>
                <w:szCs w:val="21"/>
              </w:rPr>
            </w:pPr>
            <w:r>
              <w:rPr>
                <w:rFonts w:eastAsiaTheme="minorEastAsia"/>
                <w:color w:val="auto"/>
                <w:sz w:val="21"/>
                <w:szCs w:val="21"/>
              </w:rPr>
              <w:t>5.88</w:t>
            </w:r>
          </w:p>
        </w:tc>
      </w:tr>
    </w:tbl>
    <w:p>
      <w:pPr>
        <w:autoSpaceDE w:val="0"/>
        <w:autoSpaceDN w:val="0"/>
        <w:adjustRightInd w:val="0"/>
        <w:spacing w:line="360" w:lineRule="auto"/>
        <w:ind w:firstLine="480" w:firstLineChars="200"/>
        <w:rPr>
          <w:b/>
          <w:color w:val="auto"/>
        </w:rPr>
      </w:pPr>
      <w:r>
        <w:rPr>
          <w:rFonts w:hint="eastAsia"/>
          <w:color w:val="auto"/>
        </w:rPr>
        <w:t>综合计算得出，兴宁市人均建筑垃圾日产量约为5m</w:t>
      </w:r>
      <w:r>
        <w:rPr>
          <w:rFonts w:hint="eastAsia"/>
          <w:color w:val="auto"/>
          <w:vertAlign w:val="superscript"/>
        </w:rPr>
        <w:t>3</w:t>
      </w:r>
      <w:r>
        <w:rPr>
          <w:rFonts w:hint="eastAsia"/>
          <w:color w:val="auto"/>
        </w:rPr>
        <w:t>。</w:t>
      </w:r>
      <w:r>
        <w:rPr>
          <w:rFonts w:hint="eastAsia"/>
          <w:color w:val="auto"/>
          <w:lang w:eastAsia="zh-CN"/>
        </w:rPr>
        <w:t>由于本项目建筑垃圾</w:t>
      </w:r>
      <w:r>
        <w:rPr>
          <w:rFonts w:eastAsiaTheme="minorEastAsia"/>
          <w:color w:val="auto"/>
          <w:kern w:val="0"/>
        </w:rPr>
        <w:t>服务范围包括兴田街道、福兴街道、宁新街道、新陂</w:t>
      </w:r>
      <w:r>
        <w:rPr>
          <w:rFonts w:hint="eastAsia" w:eastAsiaTheme="minorEastAsia"/>
          <w:color w:val="auto"/>
          <w:kern w:val="0"/>
          <w:lang w:eastAsia="zh-CN"/>
        </w:rPr>
        <w:t>镇</w:t>
      </w:r>
      <w:r>
        <w:rPr>
          <w:rFonts w:eastAsiaTheme="minorEastAsia"/>
          <w:color w:val="auto"/>
          <w:kern w:val="0"/>
        </w:rPr>
        <w:t>，后续</w:t>
      </w:r>
      <w:r>
        <w:rPr>
          <w:rFonts w:hint="eastAsia" w:eastAsiaTheme="minorEastAsia"/>
          <w:color w:val="auto"/>
          <w:kern w:val="0"/>
          <w:lang w:eastAsia="zh-CN"/>
        </w:rPr>
        <w:t>才</w:t>
      </w:r>
      <w:r>
        <w:rPr>
          <w:rFonts w:eastAsiaTheme="minorEastAsia"/>
          <w:color w:val="auto"/>
          <w:kern w:val="0"/>
        </w:rPr>
        <w:t>考虑叶塘镇、龙田镇、宁中镇、永和镇、坭陂镇、刁坊镇等周城镇。</w:t>
      </w:r>
      <w:r>
        <w:rPr>
          <w:rFonts w:hint="eastAsia"/>
          <w:color w:val="auto"/>
          <w:lang w:eastAsia="zh-CN"/>
        </w:rPr>
        <w:t>收运范围主要为</w:t>
      </w:r>
      <w:r>
        <w:rPr>
          <w:rFonts w:hint="eastAsia"/>
          <w:color w:val="auto"/>
        </w:rPr>
        <w:t>城区</w:t>
      </w:r>
      <w:r>
        <w:rPr>
          <w:rFonts w:hint="eastAsia"/>
          <w:color w:val="auto"/>
          <w:lang w:eastAsia="zh-CN"/>
        </w:rPr>
        <w:t>，其</w:t>
      </w:r>
      <w:r>
        <w:rPr>
          <w:rFonts w:hint="eastAsia"/>
          <w:color w:val="auto"/>
        </w:rPr>
        <w:t>人口约占兴宁市常住人口的25%，因此暂按25%收运率进行预测，后续逐渐增长到40%，则兴宁市建筑垃圾产生量预测如下</w:t>
      </w:r>
      <w:r>
        <w:rPr>
          <w:rFonts w:hint="eastAsia"/>
          <w:b/>
          <w:color w:val="auto"/>
        </w:rPr>
        <w:t>。</w:t>
      </w:r>
    </w:p>
    <w:p>
      <w:pPr>
        <w:spacing w:line="360" w:lineRule="auto"/>
        <w:jc w:val="center"/>
        <w:rPr>
          <w:b/>
          <w:color w:val="auto"/>
        </w:rPr>
      </w:pPr>
      <w:r>
        <w:rPr>
          <w:rFonts w:hint="eastAsia"/>
          <w:b/>
          <w:color w:val="auto"/>
        </w:rPr>
        <w:t>表3.</w:t>
      </w:r>
      <w:r>
        <w:rPr>
          <w:rFonts w:hint="eastAsia"/>
          <w:b/>
          <w:color w:val="auto"/>
          <w:lang w:val="en-US" w:eastAsia="zh-CN"/>
        </w:rPr>
        <w:t>1</w:t>
      </w:r>
      <w:r>
        <w:rPr>
          <w:rFonts w:hint="eastAsia"/>
          <w:b/>
          <w:color w:val="auto"/>
        </w:rPr>
        <w:t>-</w:t>
      </w:r>
      <w:r>
        <w:rPr>
          <w:b/>
          <w:color w:val="auto"/>
        </w:rPr>
        <w:t>1</w:t>
      </w:r>
      <w:r>
        <w:rPr>
          <w:rFonts w:hint="eastAsia"/>
          <w:b/>
          <w:color w:val="auto"/>
          <w:lang w:val="en-US" w:eastAsia="zh-CN"/>
        </w:rPr>
        <w:t>1</w:t>
      </w:r>
      <w:r>
        <w:rPr>
          <w:rFonts w:hint="eastAsia"/>
          <w:b/>
          <w:color w:val="auto"/>
        </w:rPr>
        <w:t xml:space="preserve">  兴宁市建筑垃圾产生量预测</w:t>
      </w:r>
    </w:p>
    <w:tbl>
      <w:tblPr>
        <w:tblStyle w:val="54"/>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7"/>
        <w:gridCol w:w="1857"/>
        <w:gridCol w:w="1857"/>
        <w:gridCol w:w="1857"/>
        <w:gridCol w:w="18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vAlign w:val="center"/>
          </w:tcPr>
          <w:p>
            <w:pPr>
              <w:spacing w:line="360" w:lineRule="auto"/>
              <w:jc w:val="center"/>
              <w:rPr>
                <w:rFonts w:eastAsiaTheme="minorEastAsia"/>
                <w:b/>
                <w:color w:val="auto"/>
                <w:sz w:val="21"/>
                <w:szCs w:val="21"/>
              </w:rPr>
            </w:pPr>
            <w:r>
              <w:rPr>
                <w:rFonts w:eastAsiaTheme="minorEastAsia"/>
                <w:b/>
                <w:color w:val="auto"/>
                <w:sz w:val="21"/>
                <w:szCs w:val="21"/>
              </w:rPr>
              <w:t>年份</w:t>
            </w:r>
          </w:p>
        </w:tc>
        <w:tc>
          <w:tcPr>
            <w:tcW w:w="1857" w:type="dxa"/>
            <w:vAlign w:val="center"/>
          </w:tcPr>
          <w:p>
            <w:pPr>
              <w:spacing w:line="360" w:lineRule="auto"/>
              <w:jc w:val="center"/>
              <w:rPr>
                <w:rFonts w:eastAsiaTheme="minorEastAsia"/>
                <w:b/>
                <w:color w:val="auto"/>
                <w:sz w:val="21"/>
                <w:szCs w:val="21"/>
              </w:rPr>
            </w:pPr>
            <w:r>
              <w:rPr>
                <w:rFonts w:eastAsiaTheme="minorEastAsia"/>
                <w:b/>
                <w:color w:val="auto"/>
                <w:kern w:val="0"/>
                <w:sz w:val="21"/>
                <w:szCs w:val="21"/>
              </w:rPr>
              <w:t>常住人口（万人）</w:t>
            </w:r>
          </w:p>
        </w:tc>
        <w:tc>
          <w:tcPr>
            <w:tcW w:w="1857" w:type="dxa"/>
            <w:vAlign w:val="center"/>
          </w:tcPr>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建筑垃圾产量</w:t>
            </w:r>
          </w:p>
          <w:p>
            <w:pPr>
              <w:spacing w:line="360" w:lineRule="auto"/>
              <w:jc w:val="center"/>
              <w:rPr>
                <w:rFonts w:eastAsiaTheme="minorEastAsia"/>
                <w:b/>
                <w:color w:val="auto"/>
                <w:sz w:val="21"/>
                <w:szCs w:val="21"/>
              </w:rPr>
            </w:pPr>
            <w:r>
              <w:rPr>
                <w:rFonts w:eastAsiaTheme="minorEastAsia"/>
                <w:b/>
                <w:color w:val="auto"/>
                <w:kern w:val="0"/>
                <w:sz w:val="21"/>
                <w:szCs w:val="21"/>
              </w:rPr>
              <w:t>（m</w:t>
            </w:r>
            <w:r>
              <w:rPr>
                <w:rFonts w:eastAsiaTheme="minorEastAsia"/>
                <w:b/>
                <w:color w:val="auto"/>
                <w:kern w:val="0"/>
                <w:sz w:val="21"/>
                <w:szCs w:val="21"/>
                <w:vertAlign w:val="superscript"/>
              </w:rPr>
              <w:t>3</w:t>
            </w:r>
            <w:r>
              <w:rPr>
                <w:rFonts w:eastAsiaTheme="minorEastAsia"/>
                <w:b/>
                <w:color w:val="auto"/>
                <w:kern w:val="0"/>
                <w:sz w:val="21"/>
                <w:szCs w:val="21"/>
              </w:rPr>
              <w:t>/d）</w:t>
            </w:r>
          </w:p>
        </w:tc>
        <w:tc>
          <w:tcPr>
            <w:tcW w:w="1857" w:type="dxa"/>
            <w:vAlign w:val="center"/>
          </w:tcPr>
          <w:p>
            <w:pPr>
              <w:spacing w:line="360" w:lineRule="auto"/>
              <w:jc w:val="center"/>
              <w:rPr>
                <w:rFonts w:eastAsiaTheme="minorEastAsia"/>
                <w:b/>
                <w:color w:val="auto"/>
                <w:sz w:val="21"/>
                <w:szCs w:val="21"/>
              </w:rPr>
            </w:pPr>
            <w:r>
              <w:rPr>
                <w:rFonts w:eastAsiaTheme="minorEastAsia"/>
                <w:b/>
                <w:color w:val="auto"/>
                <w:kern w:val="0"/>
                <w:sz w:val="21"/>
                <w:szCs w:val="21"/>
              </w:rPr>
              <w:t>收运率（%）</w:t>
            </w:r>
          </w:p>
        </w:tc>
        <w:tc>
          <w:tcPr>
            <w:tcW w:w="1858" w:type="dxa"/>
            <w:vAlign w:val="center"/>
          </w:tcPr>
          <w:p>
            <w:pPr>
              <w:spacing w:line="360" w:lineRule="auto"/>
              <w:jc w:val="center"/>
              <w:rPr>
                <w:rFonts w:eastAsiaTheme="minorEastAsia"/>
                <w:b/>
                <w:color w:val="auto"/>
                <w:sz w:val="21"/>
                <w:szCs w:val="21"/>
              </w:rPr>
            </w:pPr>
            <w:r>
              <w:rPr>
                <w:rFonts w:eastAsiaTheme="minorEastAsia"/>
                <w:b/>
                <w:color w:val="auto"/>
                <w:kern w:val="0"/>
                <w:sz w:val="21"/>
                <w:szCs w:val="21"/>
              </w:rPr>
              <w:t>处理量（m</w:t>
            </w:r>
            <w:r>
              <w:rPr>
                <w:rFonts w:eastAsiaTheme="minorEastAsia"/>
                <w:b/>
                <w:color w:val="auto"/>
                <w:kern w:val="0"/>
                <w:sz w:val="21"/>
                <w:szCs w:val="21"/>
                <w:vertAlign w:val="superscript"/>
              </w:rPr>
              <w:t>3</w:t>
            </w:r>
            <w:r>
              <w:rPr>
                <w:rFonts w:eastAsiaTheme="minorEastAsia"/>
                <w:b/>
                <w:color w:val="auto"/>
                <w:kern w:val="0"/>
                <w:sz w:val="21"/>
                <w:szCs w:val="21"/>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pacing w:line="360" w:lineRule="auto"/>
              <w:jc w:val="center"/>
              <w:rPr>
                <w:rFonts w:eastAsiaTheme="minorEastAsia"/>
                <w:color w:val="auto"/>
                <w:sz w:val="21"/>
                <w:szCs w:val="21"/>
              </w:rPr>
            </w:pPr>
            <w:r>
              <w:rPr>
                <w:rFonts w:eastAsiaTheme="minorEastAsia"/>
                <w:color w:val="auto"/>
                <w:sz w:val="21"/>
                <w:szCs w:val="21"/>
              </w:rPr>
              <w:t>2020</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100.51</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502.54</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25</w:t>
            </w:r>
          </w:p>
        </w:tc>
        <w:tc>
          <w:tcPr>
            <w:tcW w:w="1858" w:type="dxa"/>
          </w:tcPr>
          <w:p>
            <w:pPr>
              <w:spacing w:line="360" w:lineRule="auto"/>
              <w:jc w:val="center"/>
              <w:rPr>
                <w:rFonts w:eastAsiaTheme="minorEastAsia"/>
                <w:color w:val="auto"/>
                <w:sz w:val="21"/>
                <w:szCs w:val="21"/>
              </w:rPr>
            </w:pPr>
            <w:r>
              <w:rPr>
                <w:rFonts w:eastAsiaTheme="minorEastAsia"/>
                <w:color w:val="auto"/>
                <w:sz w:val="21"/>
                <w:szCs w:val="21"/>
              </w:rPr>
              <w:t>125.63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pacing w:line="360" w:lineRule="auto"/>
              <w:jc w:val="center"/>
              <w:rPr>
                <w:rFonts w:eastAsiaTheme="minorEastAsia"/>
                <w:color w:val="auto"/>
                <w:sz w:val="21"/>
                <w:szCs w:val="21"/>
              </w:rPr>
            </w:pPr>
            <w:r>
              <w:rPr>
                <w:rFonts w:eastAsiaTheme="minorEastAsia"/>
                <w:color w:val="auto"/>
                <w:sz w:val="21"/>
                <w:szCs w:val="21"/>
              </w:rPr>
              <w:t>2021</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100.92</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504.62</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25</w:t>
            </w:r>
          </w:p>
        </w:tc>
        <w:tc>
          <w:tcPr>
            <w:tcW w:w="1858" w:type="dxa"/>
          </w:tcPr>
          <w:p>
            <w:pPr>
              <w:spacing w:line="360" w:lineRule="auto"/>
              <w:jc w:val="center"/>
              <w:rPr>
                <w:rFonts w:eastAsiaTheme="minorEastAsia"/>
                <w:color w:val="auto"/>
                <w:sz w:val="21"/>
                <w:szCs w:val="21"/>
              </w:rPr>
            </w:pPr>
            <w:r>
              <w:rPr>
                <w:rFonts w:eastAsiaTheme="minorEastAsia"/>
                <w:color w:val="auto"/>
                <w:sz w:val="21"/>
                <w:szCs w:val="21"/>
              </w:rPr>
              <w:t>126.15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pacing w:line="360" w:lineRule="auto"/>
              <w:jc w:val="center"/>
              <w:rPr>
                <w:rFonts w:eastAsiaTheme="minorEastAsia"/>
                <w:color w:val="auto"/>
                <w:sz w:val="21"/>
                <w:szCs w:val="21"/>
              </w:rPr>
            </w:pPr>
            <w:r>
              <w:rPr>
                <w:rFonts w:eastAsiaTheme="minorEastAsia"/>
                <w:color w:val="auto"/>
                <w:sz w:val="21"/>
                <w:szCs w:val="21"/>
              </w:rPr>
              <w:t>2022</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101.34</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506.71</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25</w:t>
            </w:r>
          </w:p>
        </w:tc>
        <w:tc>
          <w:tcPr>
            <w:tcW w:w="1858" w:type="dxa"/>
          </w:tcPr>
          <w:p>
            <w:pPr>
              <w:spacing w:line="360" w:lineRule="auto"/>
              <w:jc w:val="center"/>
              <w:rPr>
                <w:rFonts w:eastAsiaTheme="minorEastAsia"/>
                <w:color w:val="auto"/>
                <w:sz w:val="21"/>
                <w:szCs w:val="21"/>
              </w:rPr>
            </w:pPr>
            <w:r>
              <w:rPr>
                <w:rFonts w:eastAsiaTheme="minorEastAsia"/>
                <w:color w:val="auto"/>
                <w:sz w:val="21"/>
                <w:szCs w:val="21"/>
              </w:rPr>
              <w:t>126.68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pacing w:line="360" w:lineRule="auto"/>
              <w:jc w:val="center"/>
              <w:rPr>
                <w:rFonts w:eastAsiaTheme="minorEastAsia"/>
                <w:color w:val="auto"/>
                <w:sz w:val="21"/>
                <w:szCs w:val="21"/>
              </w:rPr>
            </w:pPr>
            <w:r>
              <w:rPr>
                <w:rFonts w:eastAsiaTheme="minorEastAsia"/>
                <w:color w:val="auto"/>
                <w:sz w:val="21"/>
                <w:szCs w:val="21"/>
              </w:rPr>
              <w:t>2023</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101.76</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508.80</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25</w:t>
            </w:r>
          </w:p>
        </w:tc>
        <w:tc>
          <w:tcPr>
            <w:tcW w:w="1858" w:type="dxa"/>
          </w:tcPr>
          <w:p>
            <w:pPr>
              <w:spacing w:line="360" w:lineRule="auto"/>
              <w:jc w:val="center"/>
              <w:rPr>
                <w:rFonts w:eastAsiaTheme="minorEastAsia"/>
                <w:color w:val="auto"/>
                <w:sz w:val="21"/>
                <w:szCs w:val="21"/>
              </w:rPr>
            </w:pPr>
            <w:r>
              <w:rPr>
                <w:rFonts w:eastAsiaTheme="minorEastAsia"/>
                <w:color w:val="auto"/>
                <w:sz w:val="21"/>
                <w:szCs w:val="21"/>
              </w:rPr>
              <w:t>127.20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pacing w:line="360" w:lineRule="auto"/>
              <w:jc w:val="center"/>
              <w:rPr>
                <w:rFonts w:eastAsiaTheme="minorEastAsia"/>
                <w:color w:val="auto"/>
                <w:sz w:val="21"/>
                <w:szCs w:val="21"/>
              </w:rPr>
            </w:pPr>
            <w:r>
              <w:rPr>
                <w:rFonts w:eastAsiaTheme="minorEastAsia"/>
                <w:color w:val="auto"/>
                <w:sz w:val="21"/>
                <w:szCs w:val="21"/>
              </w:rPr>
              <w:t>2024</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102.18</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510.91</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25</w:t>
            </w:r>
          </w:p>
        </w:tc>
        <w:tc>
          <w:tcPr>
            <w:tcW w:w="1858" w:type="dxa"/>
          </w:tcPr>
          <w:p>
            <w:pPr>
              <w:spacing w:line="360" w:lineRule="auto"/>
              <w:jc w:val="center"/>
              <w:rPr>
                <w:rFonts w:eastAsiaTheme="minorEastAsia"/>
                <w:color w:val="auto"/>
                <w:sz w:val="21"/>
                <w:szCs w:val="21"/>
              </w:rPr>
            </w:pPr>
            <w:r>
              <w:rPr>
                <w:rFonts w:eastAsiaTheme="minorEastAsia"/>
                <w:color w:val="auto"/>
                <w:sz w:val="21"/>
                <w:szCs w:val="21"/>
              </w:rPr>
              <w:t>127.73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pacing w:line="360" w:lineRule="auto"/>
              <w:jc w:val="center"/>
              <w:rPr>
                <w:rFonts w:eastAsiaTheme="minorEastAsia"/>
                <w:color w:val="auto"/>
                <w:sz w:val="21"/>
                <w:szCs w:val="21"/>
              </w:rPr>
            </w:pPr>
            <w:r>
              <w:rPr>
                <w:rFonts w:eastAsiaTheme="minorEastAsia"/>
                <w:color w:val="auto"/>
                <w:sz w:val="21"/>
                <w:szCs w:val="21"/>
              </w:rPr>
              <w:t>2025</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102.61</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513.03</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30</w:t>
            </w:r>
          </w:p>
        </w:tc>
        <w:tc>
          <w:tcPr>
            <w:tcW w:w="1858" w:type="dxa"/>
          </w:tcPr>
          <w:p>
            <w:pPr>
              <w:spacing w:line="360" w:lineRule="auto"/>
              <w:jc w:val="center"/>
              <w:rPr>
                <w:rFonts w:eastAsiaTheme="minorEastAsia"/>
                <w:color w:val="auto"/>
                <w:sz w:val="21"/>
                <w:szCs w:val="21"/>
              </w:rPr>
            </w:pPr>
            <w:r>
              <w:rPr>
                <w:rFonts w:eastAsiaTheme="minorEastAsia"/>
                <w:color w:val="auto"/>
                <w:sz w:val="21"/>
                <w:szCs w:val="21"/>
              </w:rPr>
              <w:t>153.91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pacing w:line="360" w:lineRule="auto"/>
              <w:jc w:val="center"/>
              <w:rPr>
                <w:rFonts w:eastAsiaTheme="minorEastAsia"/>
                <w:color w:val="auto"/>
                <w:sz w:val="21"/>
                <w:szCs w:val="21"/>
              </w:rPr>
            </w:pPr>
            <w:r>
              <w:rPr>
                <w:rFonts w:eastAsiaTheme="minorEastAsia"/>
                <w:color w:val="auto"/>
                <w:sz w:val="21"/>
                <w:szCs w:val="21"/>
              </w:rPr>
              <w:t>2026</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103.03</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515.15</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30</w:t>
            </w:r>
          </w:p>
        </w:tc>
        <w:tc>
          <w:tcPr>
            <w:tcW w:w="1858" w:type="dxa"/>
          </w:tcPr>
          <w:p>
            <w:pPr>
              <w:spacing w:line="360" w:lineRule="auto"/>
              <w:jc w:val="center"/>
              <w:rPr>
                <w:rFonts w:eastAsiaTheme="minorEastAsia"/>
                <w:color w:val="auto"/>
                <w:sz w:val="21"/>
                <w:szCs w:val="21"/>
              </w:rPr>
            </w:pPr>
            <w:r>
              <w:rPr>
                <w:rFonts w:eastAsiaTheme="minorEastAsia"/>
                <w:color w:val="auto"/>
                <w:sz w:val="21"/>
                <w:szCs w:val="21"/>
              </w:rPr>
              <w:t>154.54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pacing w:line="360" w:lineRule="auto"/>
              <w:jc w:val="center"/>
              <w:rPr>
                <w:rFonts w:eastAsiaTheme="minorEastAsia"/>
                <w:color w:val="auto"/>
                <w:sz w:val="21"/>
                <w:szCs w:val="21"/>
              </w:rPr>
            </w:pPr>
            <w:r>
              <w:rPr>
                <w:rFonts w:eastAsiaTheme="minorEastAsia"/>
                <w:color w:val="auto"/>
                <w:sz w:val="21"/>
                <w:szCs w:val="21"/>
              </w:rPr>
              <w:t>2027</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103.46</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517.28</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30</w:t>
            </w:r>
          </w:p>
        </w:tc>
        <w:tc>
          <w:tcPr>
            <w:tcW w:w="1858" w:type="dxa"/>
          </w:tcPr>
          <w:p>
            <w:pPr>
              <w:spacing w:line="360" w:lineRule="auto"/>
              <w:jc w:val="center"/>
              <w:rPr>
                <w:rFonts w:eastAsiaTheme="minorEastAsia"/>
                <w:color w:val="auto"/>
                <w:sz w:val="21"/>
                <w:szCs w:val="21"/>
              </w:rPr>
            </w:pPr>
            <w:r>
              <w:rPr>
                <w:rFonts w:eastAsiaTheme="minorEastAsia"/>
                <w:color w:val="auto"/>
                <w:sz w:val="21"/>
                <w:szCs w:val="21"/>
              </w:rPr>
              <w:t>155.18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pacing w:line="360" w:lineRule="auto"/>
              <w:jc w:val="center"/>
              <w:rPr>
                <w:rFonts w:eastAsiaTheme="minorEastAsia"/>
                <w:color w:val="auto"/>
                <w:sz w:val="21"/>
                <w:szCs w:val="21"/>
              </w:rPr>
            </w:pPr>
            <w:r>
              <w:rPr>
                <w:rFonts w:eastAsiaTheme="minorEastAsia"/>
                <w:color w:val="auto"/>
                <w:sz w:val="21"/>
                <w:szCs w:val="21"/>
              </w:rPr>
              <w:t>2028</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103.88</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519.42</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30</w:t>
            </w:r>
          </w:p>
        </w:tc>
        <w:tc>
          <w:tcPr>
            <w:tcW w:w="1858" w:type="dxa"/>
          </w:tcPr>
          <w:p>
            <w:pPr>
              <w:spacing w:line="360" w:lineRule="auto"/>
              <w:jc w:val="center"/>
              <w:rPr>
                <w:rFonts w:eastAsiaTheme="minorEastAsia"/>
                <w:color w:val="auto"/>
                <w:sz w:val="21"/>
                <w:szCs w:val="21"/>
              </w:rPr>
            </w:pPr>
            <w:r>
              <w:rPr>
                <w:rFonts w:eastAsiaTheme="minorEastAsia"/>
                <w:color w:val="auto"/>
                <w:sz w:val="21"/>
                <w:szCs w:val="21"/>
              </w:rPr>
              <w:t>155.83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pacing w:line="360" w:lineRule="auto"/>
              <w:jc w:val="center"/>
              <w:rPr>
                <w:rFonts w:eastAsiaTheme="minorEastAsia"/>
                <w:color w:val="auto"/>
                <w:sz w:val="21"/>
                <w:szCs w:val="21"/>
              </w:rPr>
            </w:pPr>
            <w:r>
              <w:rPr>
                <w:rFonts w:eastAsiaTheme="minorEastAsia"/>
                <w:color w:val="auto"/>
                <w:sz w:val="21"/>
                <w:szCs w:val="21"/>
              </w:rPr>
              <w:t>2029</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104.31</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521.57</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30</w:t>
            </w:r>
          </w:p>
        </w:tc>
        <w:tc>
          <w:tcPr>
            <w:tcW w:w="1858" w:type="dxa"/>
          </w:tcPr>
          <w:p>
            <w:pPr>
              <w:spacing w:line="360" w:lineRule="auto"/>
              <w:jc w:val="center"/>
              <w:rPr>
                <w:rFonts w:eastAsiaTheme="minorEastAsia"/>
                <w:color w:val="auto"/>
                <w:sz w:val="21"/>
                <w:szCs w:val="21"/>
              </w:rPr>
            </w:pPr>
            <w:r>
              <w:rPr>
                <w:rFonts w:eastAsiaTheme="minorEastAsia"/>
                <w:color w:val="auto"/>
                <w:sz w:val="21"/>
                <w:szCs w:val="21"/>
              </w:rPr>
              <w:t>156.47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pacing w:line="360" w:lineRule="auto"/>
              <w:jc w:val="center"/>
              <w:rPr>
                <w:rFonts w:eastAsiaTheme="minorEastAsia"/>
                <w:color w:val="auto"/>
                <w:sz w:val="21"/>
                <w:szCs w:val="21"/>
              </w:rPr>
            </w:pPr>
            <w:r>
              <w:rPr>
                <w:rFonts w:eastAsiaTheme="minorEastAsia"/>
                <w:color w:val="auto"/>
                <w:sz w:val="21"/>
                <w:szCs w:val="21"/>
              </w:rPr>
              <w:t>2030</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104.75</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523.73</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35</w:t>
            </w:r>
          </w:p>
        </w:tc>
        <w:tc>
          <w:tcPr>
            <w:tcW w:w="1858" w:type="dxa"/>
          </w:tcPr>
          <w:p>
            <w:pPr>
              <w:spacing w:line="360" w:lineRule="auto"/>
              <w:jc w:val="center"/>
              <w:rPr>
                <w:rFonts w:eastAsiaTheme="minorEastAsia"/>
                <w:color w:val="auto"/>
                <w:sz w:val="21"/>
                <w:szCs w:val="21"/>
              </w:rPr>
            </w:pPr>
            <w:r>
              <w:rPr>
                <w:rFonts w:eastAsiaTheme="minorEastAsia"/>
                <w:color w:val="auto"/>
                <w:sz w:val="21"/>
                <w:szCs w:val="21"/>
              </w:rPr>
              <w:t>183.31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pacing w:line="360" w:lineRule="auto"/>
              <w:jc w:val="center"/>
              <w:rPr>
                <w:rFonts w:eastAsiaTheme="minorEastAsia"/>
                <w:color w:val="auto"/>
                <w:sz w:val="21"/>
                <w:szCs w:val="21"/>
              </w:rPr>
            </w:pPr>
            <w:r>
              <w:rPr>
                <w:rFonts w:eastAsiaTheme="minorEastAsia"/>
                <w:color w:val="auto"/>
                <w:sz w:val="21"/>
                <w:szCs w:val="21"/>
              </w:rPr>
              <w:t>2031</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105.18</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525.90</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35</w:t>
            </w:r>
          </w:p>
        </w:tc>
        <w:tc>
          <w:tcPr>
            <w:tcW w:w="1858" w:type="dxa"/>
          </w:tcPr>
          <w:p>
            <w:pPr>
              <w:spacing w:line="360" w:lineRule="auto"/>
              <w:jc w:val="center"/>
              <w:rPr>
                <w:rFonts w:eastAsiaTheme="minorEastAsia"/>
                <w:color w:val="auto"/>
                <w:sz w:val="21"/>
                <w:szCs w:val="21"/>
              </w:rPr>
            </w:pPr>
            <w:r>
              <w:rPr>
                <w:rFonts w:eastAsiaTheme="minorEastAsia"/>
                <w:color w:val="auto"/>
                <w:sz w:val="21"/>
                <w:szCs w:val="21"/>
              </w:rPr>
              <w:t>184.06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pacing w:line="360" w:lineRule="auto"/>
              <w:jc w:val="center"/>
              <w:rPr>
                <w:rFonts w:eastAsiaTheme="minorEastAsia"/>
                <w:color w:val="auto"/>
                <w:sz w:val="21"/>
                <w:szCs w:val="21"/>
              </w:rPr>
            </w:pPr>
            <w:r>
              <w:rPr>
                <w:rFonts w:eastAsiaTheme="minorEastAsia"/>
                <w:color w:val="auto"/>
                <w:sz w:val="21"/>
                <w:szCs w:val="21"/>
              </w:rPr>
              <w:t>2032</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105.62</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528.08</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35</w:t>
            </w:r>
          </w:p>
        </w:tc>
        <w:tc>
          <w:tcPr>
            <w:tcW w:w="1858" w:type="dxa"/>
          </w:tcPr>
          <w:p>
            <w:pPr>
              <w:spacing w:line="360" w:lineRule="auto"/>
              <w:jc w:val="center"/>
              <w:rPr>
                <w:rFonts w:eastAsiaTheme="minorEastAsia"/>
                <w:color w:val="auto"/>
                <w:sz w:val="21"/>
                <w:szCs w:val="21"/>
              </w:rPr>
            </w:pPr>
            <w:r>
              <w:rPr>
                <w:rFonts w:eastAsiaTheme="minorEastAsia"/>
                <w:color w:val="auto"/>
                <w:sz w:val="21"/>
                <w:szCs w:val="21"/>
              </w:rPr>
              <w:t>184.83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pacing w:line="360" w:lineRule="auto"/>
              <w:jc w:val="center"/>
              <w:rPr>
                <w:rFonts w:eastAsiaTheme="minorEastAsia"/>
                <w:color w:val="auto"/>
                <w:sz w:val="21"/>
                <w:szCs w:val="21"/>
              </w:rPr>
            </w:pPr>
            <w:r>
              <w:rPr>
                <w:rFonts w:eastAsiaTheme="minorEastAsia"/>
                <w:color w:val="auto"/>
                <w:sz w:val="21"/>
                <w:szCs w:val="21"/>
              </w:rPr>
              <w:t>2033</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106.05</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530.26</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35</w:t>
            </w:r>
          </w:p>
        </w:tc>
        <w:tc>
          <w:tcPr>
            <w:tcW w:w="1858" w:type="dxa"/>
          </w:tcPr>
          <w:p>
            <w:pPr>
              <w:spacing w:line="360" w:lineRule="auto"/>
              <w:jc w:val="center"/>
              <w:rPr>
                <w:rFonts w:eastAsiaTheme="minorEastAsia"/>
                <w:color w:val="auto"/>
                <w:sz w:val="21"/>
                <w:szCs w:val="21"/>
              </w:rPr>
            </w:pPr>
            <w:r>
              <w:rPr>
                <w:rFonts w:eastAsiaTheme="minorEastAsia"/>
                <w:color w:val="auto"/>
                <w:sz w:val="21"/>
                <w:szCs w:val="21"/>
              </w:rPr>
              <w:t>185.59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pacing w:line="360" w:lineRule="auto"/>
              <w:jc w:val="center"/>
              <w:rPr>
                <w:rFonts w:eastAsiaTheme="minorEastAsia"/>
                <w:color w:val="auto"/>
                <w:sz w:val="21"/>
                <w:szCs w:val="21"/>
              </w:rPr>
            </w:pPr>
            <w:r>
              <w:rPr>
                <w:rFonts w:eastAsiaTheme="minorEastAsia"/>
                <w:color w:val="auto"/>
                <w:sz w:val="21"/>
                <w:szCs w:val="21"/>
              </w:rPr>
              <w:t>2034</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106.49</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532.46</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35</w:t>
            </w:r>
          </w:p>
        </w:tc>
        <w:tc>
          <w:tcPr>
            <w:tcW w:w="1858" w:type="dxa"/>
          </w:tcPr>
          <w:p>
            <w:pPr>
              <w:spacing w:line="360" w:lineRule="auto"/>
              <w:jc w:val="center"/>
              <w:rPr>
                <w:rFonts w:eastAsiaTheme="minorEastAsia"/>
                <w:color w:val="auto"/>
                <w:sz w:val="21"/>
                <w:szCs w:val="21"/>
              </w:rPr>
            </w:pPr>
            <w:r>
              <w:rPr>
                <w:rFonts w:eastAsiaTheme="minorEastAsia"/>
                <w:color w:val="auto"/>
                <w:sz w:val="21"/>
                <w:szCs w:val="21"/>
              </w:rPr>
              <w:t>186.36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pacing w:line="360" w:lineRule="auto"/>
              <w:jc w:val="center"/>
              <w:rPr>
                <w:rFonts w:eastAsiaTheme="minorEastAsia"/>
                <w:color w:val="auto"/>
                <w:sz w:val="21"/>
                <w:szCs w:val="21"/>
              </w:rPr>
            </w:pPr>
            <w:r>
              <w:rPr>
                <w:rFonts w:eastAsiaTheme="minorEastAsia"/>
                <w:color w:val="auto"/>
                <w:sz w:val="21"/>
                <w:szCs w:val="21"/>
              </w:rPr>
              <w:t>2035</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106.93</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534.66</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40</w:t>
            </w:r>
          </w:p>
        </w:tc>
        <w:tc>
          <w:tcPr>
            <w:tcW w:w="1858" w:type="dxa"/>
          </w:tcPr>
          <w:p>
            <w:pPr>
              <w:spacing w:line="360" w:lineRule="auto"/>
              <w:jc w:val="center"/>
              <w:rPr>
                <w:rFonts w:eastAsiaTheme="minorEastAsia"/>
                <w:color w:val="auto"/>
                <w:sz w:val="21"/>
                <w:szCs w:val="21"/>
              </w:rPr>
            </w:pPr>
            <w:r>
              <w:rPr>
                <w:rFonts w:eastAsiaTheme="minorEastAsia"/>
                <w:color w:val="auto"/>
                <w:sz w:val="21"/>
                <w:szCs w:val="21"/>
              </w:rPr>
              <w:t>213.86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pacing w:line="360" w:lineRule="auto"/>
              <w:jc w:val="center"/>
              <w:rPr>
                <w:rFonts w:eastAsiaTheme="minorEastAsia"/>
                <w:color w:val="auto"/>
                <w:sz w:val="21"/>
                <w:szCs w:val="21"/>
              </w:rPr>
            </w:pPr>
            <w:r>
              <w:rPr>
                <w:rFonts w:eastAsiaTheme="minorEastAsia"/>
                <w:color w:val="auto"/>
                <w:sz w:val="21"/>
                <w:szCs w:val="21"/>
              </w:rPr>
              <w:t>2036</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107.37</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536.87</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40</w:t>
            </w:r>
          </w:p>
        </w:tc>
        <w:tc>
          <w:tcPr>
            <w:tcW w:w="1858" w:type="dxa"/>
          </w:tcPr>
          <w:p>
            <w:pPr>
              <w:spacing w:line="360" w:lineRule="auto"/>
              <w:jc w:val="center"/>
              <w:rPr>
                <w:rFonts w:eastAsiaTheme="minorEastAsia"/>
                <w:color w:val="auto"/>
                <w:sz w:val="21"/>
                <w:szCs w:val="21"/>
              </w:rPr>
            </w:pPr>
            <w:r>
              <w:rPr>
                <w:rFonts w:eastAsiaTheme="minorEastAsia"/>
                <w:color w:val="auto"/>
                <w:sz w:val="21"/>
                <w:szCs w:val="21"/>
              </w:rPr>
              <w:t>214.75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pacing w:line="360" w:lineRule="auto"/>
              <w:jc w:val="center"/>
              <w:rPr>
                <w:rFonts w:eastAsiaTheme="minorEastAsia"/>
                <w:color w:val="auto"/>
                <w:sz w:val="21"/>
                <w:szCs w:val="21"/>
              </w:rPr>
            </w:pPr>
            <w:r>
              <w:rPr>
                <w:rFonts w:eastAsiaTheme="minorEastAsia"/>
                <w:color w:val="auto"/>
                <w:sz w:val="21"/>
                <w:szCs w:val="21"/>
              </w:rPr>
              <w:t>2037</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107.82</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539.10</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40</w:t>
            </w:r>
          </w:p>
        </w:tc>
        <w:tc>
          <w:tcPr>
            <w:tcW w:w="1858" w:type="dxa"/>
          </w:tcPr>
          <w:p>
            <w:pPr>
              <w:spacing w:line="360" w:lineRule="auto"/>
              <w:jc w:val="center"/>
              <w:rPr>
                <w:rFonts w:eastAsiaTheme="minorEastAsia"/>
                <w:color w:val="auto"/>
                <w:sz w:val="21"/>
                <w:szCs w:val="21"/>
              </w:rPr>
            </w:pPr>
            <w:r>
              <w:rPr>
                <w:rFonts w:eastAsiaTheme="minorEastAsia"/>
                <w:color w:val="auto"/>
                <w:sz w:val="21"/>
                <w:szCs w:val="21"/>
              </w:rPr>
              <w:t>215.64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pacing w:line="360" w:lineRule="auto"/>
              <w:jc w:val="center"/>
              <w:rPr>
                <w:rFonts w:eastAsiaTheme="minorEastAsia"/>
                <w:color w:val="auto"/>
                <w:sz w:val="21"/>
                <w:szCs w:val="21"/>
              </w:rPr>
            </w:pPr>
            <w:r>
              <w:rPr>
                <w:rFonts w:eastAsiaTheme="minorEastAsia"/>
                <w:color w:val="auto"/>
                <w:sz w:val="21"/>
                <w:szCs w:val="21"/>
              </w:rPr>
              <w:t>2038</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108.27</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541.33</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40</w:t>
            </w:r>
          </w:p>
        </w:tc>
        <w:tc>
          <w:tcPr>
            <w:tcW w:w="1858" w:type="dxa"/>
          </w:tcPr>
          <w:p>
            <w:pPr>
              <w:spacing w:line="360" w:lineRule="auto"/>
              <w:jc w:val="center"/>
              <w:rPr>
                <w:rFonts w:eastAsiaTheme="minorEastAsia"/>
                <w:color w:val="auto"/>
                <w:sz w:val="21"/>
                <w:szCs w:val="21"/>
              </w:rPr>
            </w:pPr>
            <w:r>
              <w:rPr>
                <w:rFonts w:eastAsiaTheme="minorEastAsia"/>
                <w:color w:val="auto"/>
                <w:sz w:val="21"/>
                <w:szCs w:val="21"/>
              </w:rPr>
              <w:t>216.53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pacing w:line="360" w:lineRule="auto"/>
              <w:jc w:val="center"/>
              <w:rPr>
                <w:rFonts w:eastAsiaTheme="minorEastAsia"/>
                <w:color w:val="auto"/>
                <w:sz w:val="21"/>
                <w:szCs w:val="21"/>
              </w:rPr>
            </w:pPr>
            <w:r>
              <w:rPr>
                <w:rFonts w:eastAsiaTheme="minorEastAsia"/>
                <w:color w:val="auto"/>
                <w:sz w:val="21"/>
                <w:szCs w:val="21"/>
              </w:rPr>
              <w:t>2039</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108.71</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534.57</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40</w:t>
            </w:r>
          </w:p>
        </w:tc>
        <w:tc>
          <w:tcPr>
            <w:tcW w:w="1858" w:type="dxa"/>
          </w:tcPr>
          <w:p>
            <w:pPr>
              <w:spacing w:line="360" w:lineRule="auto"/>
              <w:jc w:val="center"/>
              <w:rPr>
                <w:rFonts w:eastAsiaTheme="minorEastAsia"/>
                <w:color w:val="auto"/>
                <w:sz w:val="21"/>
                <w:szCs w:val="21"/>
              </w:rPr>
            </w:pPr>
            <w:r>
              <w:rPr>
                <w:rFonts w:eastAsiaTheme="minorEastAsia"/>
                <w:color w:val="auto"/>
                <w:sz w:val="21"/>
                <w:szCs w:val="21"/>
              </w:rPr>
              <w:t>217.43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pacing w:line="360" w:lineRule="auto"/>
              <w:jc w:val="center"/>
              <w:rPr>
                <w:rFonts w:eastAsiaTheme="minorEastAsia"/>
                <w:color w:val="auto"/>
                <w:sz w:val="21"/>
                <w:szCs w:val="21"/>
              </w:rPr>
            </w:pPr>
            <w:r>
              <w:rPr>
                <w:rFonts w:eastAsiaTheme="minorEastAsia"/>
                <w:color w:val="auto"/>
                <w:sz w:val="21"/>
                <w:szCs w:val="21"/>
              </w:rPr>
              <w:t>2040</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109.16</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545.82</w:t>
            </w:r>
          </w:p>
        </w:tc>
        <w:tc>
          <w:tcPr>
            <w:tcW w:w="1857" w:type="dxa"/>
          </w:tcPr>
          <w:p>
            <w:pPr>
              <w:spacing w:line="360" w:lineRule="auto"/>
              <w:jc w:val="center"/>
              <w:rPr>
                <w:rFonts w:eastAsiaTheme="minorEastAsia"/>
                <w:color w:val="auto"/>
                <w:sz w:val="21"/>
                <w:szCs w:val="21"/>
              </w:rPr>
            </w:pPr>
            <w:r>
              <w:rPr>
                <w:rFonts w:eastAsiaTheme="minorEastAsia"/>
                <w:color w:val="auto"/>
                <w:sz w:val="21"/>
                <w:szCs w:val="21"/>
              </w:rPr>
              <w:t>40</w:t>
            </w:r>
          </w:p>
        </w:tc>
        <w:tc>
          <w:tcPr>
            <w:tcW w:w="1858" w:type="dxa"/>
          </w:tcPr>
          <w:p>
            <w:pPr>
              <w:spacing w:line="360" w:lineRule="auto"/>
              <w:jc w:val="center"/>
              <w:rPr>
                <w:rFonts w:eastAsiaTheme="minorEastAsia"/>
                <w:color w:val="auto"/>
                <w:sz w:val="21"/>
                <w:szCs w:val="21"/>
              </w:rPr>
            </w:pPr>
            <w:r>
              <w:rPr>
                <w:rFonts w:eastAsiaTheme="minorEastAsia"/>
                <w:color w:val="auto"/>
                <w:sz w:val="21"/>
                <w:szCs w:val="21"/>
              </w:rPr>
              <w:t>218.33</w:t>
            </w:r>
          </w:p>
        </w:tc>
      </w:tr>
    </w:tbl>
    <w:p>
      <w:pPr>
        <w:pStyle w:val="16"/>
        <w:spacing w:before="0" w:beforeAutospacing="0" w:after="0" w:line="360" w:lineRule="auto"/>
        <w:ind w:firstLine="456" w:firstLineChars="200"/>
        <w:jc w:val="both"/>
        <w:rPr>
          <w:color w:val="auto"/>
          <w:spacing w:val="-6"/>
        </w:rPr>
      </w:pPr>
      <w:r>
        <w:rPr>
          <w:rFonts w:hint="eastAsia"/>
          <w:color w:val="auto"/>
          <w:spacing w:val="-6"/>
        </w:rPr>
        <w:t>4、建筑垃圾消纳场处理规模的确定</w:t>
      </w:r>
    </w:p>
    <w:p>
      <w:pPr>
        <w:autoSpaceDE w:val="0"/>
        <w:autoSpaceDN w:val="0"/>
        <w:adjustRightInd w:val="0"/>
        <w:spacing w:line="360" w:lineRule="auto"/>
        <w:ind w:firstLine="360" w:firstLineChars="150"/>
        <w:rPr>
          <w:rFonts w:eastAsiaTheme="minorEastAsia"/>
          <w:color w:val="auto"/>
          <w:kern w:val="0"/>
        </w:rPr>
      </w:pPr>
      <w:r>
        <w:rPr>
          <w:rFonts w:eastAsiaTheme="minorEastAsia"/>
          <w:color w:val="auto"/>
          <w:kern w:val="0"/>
        </w:rPr>
        <w:t>根据预测结果，该建筑垃圾消纳场的日处理规模为200m</w:t>
      </w:r>
      <w:r>
        <w:rPr>
          <w:rFonts w:eastAsiaTheme="minorEastAsia"/>
          <w:color w:val="auto"/>
          <w:kern w:val="0"/>
          <w:vertAlign w:val="superscript"/>
        </w:rPr>
        <w:t>3</w:t>
      </w:r>
      <w:r>
        <w:rPr>
          <w:rFonts w:eastAsiaTheme="minorEastAsia"/>
          <w:color w:val="auto"/>
          <w:kern w:val="0"/>
        </w:rPr>
        <w:t>/d，使用年限暂定为28 年，堆填的总库容需求为205万m</w:t>
      </w:r>
      <w:r>
        <w:rPr>
          <w:rFonts w:eastAsiaTheme="minorEastAsia"/>
          <w:color w:val="auto"/>
          <w:kern w:val="0"/>
          <w:vertAlign w:val="superscript"/>
        </w:rPr>
        <w:t>3</w:t>
      </w:r>
      <w:r>
        <w:rPr>
          <w:rFonts w:eastAsiaTheme="minorEastAsia"/>
          <w:color w:val="auto"/>
          <w:kern w:val="0"/>
        </w:rPr>
        <w:t>。</w:t>
      </w:r>
    </w:p>
    <w:p>
      <w:pPr>
        <w:autoSpaceDE w:val="0"/>
        <w:autoSpaceDN w:val="0"/>
        <w:adjustRightInd w:val="0"/>
        <w:spacing w:line="360" w:lineRule="auto"/>
        <w:rPr>
          <w:rFonts w:eastAsiaTheme="minorEastAsia"/>
          <w:b/>
          <w:color w:val="auto"/>
          <w:kern w:val="0"/>
        </w:rPr>
      </w:pPr>
      <w:r>
        <w:rPr>
          <w:rFonts w:hint="eastAsia" w:eastAsiaTheme="minorEastAsia"/>
          <w:b/>
          <w:color w:val="auto"/>
          <w:kern w:val="0"/>
        </w:rPr>
        <w:t>根据前文</w:t>
      </w:r>
      <w:r>
        <w:rPr>
          <w:rFonts w:eastAsiaTheme="minorEastAsia"/>
          <w:b/>
          <w:color w:val="auto"/>
          <w:kern w:val="0"/>
        </w:rPr>
        <w:t>，本项目建设规模设置如下：</w:t>
      </w:r>
    </w:p>
    <w:p>
      <w:pPr>
        <w:autoSpaceDE w:val="0"/>
        <w:autoSpaceDN w:val="0"/>
        <w:adjustRightInd w:val="0"/>
        <w:spacing w:line="360" w:lineRule="auto"/>
        <w:ind w:firstLine="482" w:firstLineChars="200"/>
        <w:rPr>
          <w:rFonts w:eastAsiaTheme="minorEastAsia"/>
          <w:b/>
          <w:color w:val="auto"/>
          <w:kern w:val="0"/>
        </w:rPr>
      </w:pPr>
      <w:r>
        <w:rPr>
          <w:rFonts w:eastAsiaTheme="minorEastAsia"/>
          <w:b/>
          <w:color w:val="auto"/>
          <w:kern w:val="0"/>
        </w:rPr>
        <w:t>1、餐厨垃圾处理厂建设规模为25吨/日；</w:t>
      </w:r>
    </w:p>
    <w:p>
      <w:pPr>
        <w:autoSpaceDE w:val="0"/>
        <w:autoSpaceDN w:val="0"/>
        <w:adjustRightInd w:val="0"/>
        <w:spacing w:line="360" w:lineRule="auto"/>
        <w:ind w:firstLine="482" w:firstLineChars="200"/>
        <w:rPr>
          <w:rFonts w:eastAsiaTheme="minorEastAsia"/>
          <w:b/>
          <w:color w:val="auto"/>
          <w:kern w:val="0"/>
        </w:rPr>
      </w:pPr>
      <w:r>
        <w:rPr>
          <w:rFonts w:eastAsiaTheme="minorEastAsia"/>
          <w:b/>
          <w:color w:val="auto"/>
          <w:kern w:val="0"/>
        </w:rPr>
        <w:t>2、建筑垃圾消纳场建设规模为200m</w:t>
      </w:r>
      <w:r>
        <w:rPr>
          <w:rFonts w:eastAsiaTheme="minorEastAsia"/>
          <w:b/>
          <w:color w:val="auto"/>
          <w:kern w:val="0"/>
          <w:vertAlign w:val="superscript"/>
        </w:rPr>
        <w:t>3</w:t>
      </w:r>
      <w:r>
        <w:rPr>
          <w:rFonts w:eastAsiaTheme="minorEastAsia"/>
          <w:b/>
          <w:color w:val="auto"/>
          <w:kern w:val="0"/>
        </w:rPr>
        <w:t xml:space="preserve"> /日，库容需求为205万m</w:t>
      </w:r>
      <w:r>
        <w:rPr>
          <w:rFonts w:eastAsiaTheme="minorEastAsia"/>
          <w:b/>
          <w:color w:val="auto"/>
          <w:kern w:val="0"/>
          <w:vertAlign w:val="superscript"/>
        </w:rPr>
        <w:t>3</w:t>
      </w:r>
      <w:r>
        <w:rPr>
          <w:rFonts w:eastAsiaTheme="minorEastAsia"/>
          <w:b/>
          <w:color w:val="auto"/>
          <w:kern w:val="0"/>
        </w:rPr>
        <w:t>。</w:t>
      </w:r>
    </w:p>
    <w:p>
      <w:pPr>
        <w:spacing w:line="360" w:lineRule="auto"/>
        <w:rPr>
          <w:b/>
          <w:color w:val="auto"/>
        </w:rPr>
      </w:pPr>
    </w:p>
    <w:bookmarkEnd w:id="273"/>
    <w:bookmarkEnd w:id="274"/>
    <w:bookmarkEnd w:id="275"/>
    <w:p>
      <w:pPr>
        <w:spacing w:line="360" w:lineRule="auto"/>
        <w:outlineLvl w:val="2"/>
        <w:rPr>
          <w:b/>
          <w:color w:val="auto"/>
        </w:rPr>
      </w:pPr>
      <w:bookmarkStart w:id="278" w:name="_Toc18926"/>
      <w:bookmarkStart w:id="279" w:name="_Toc34234673"/>
      <w:bookmarkStart w:id="280" w:name="_Toc25509152"/>
      <w:bookmarkStart w:id="281" w:name="_Toc524703882"/>
      <w:r>
        <w:rPr>
          <w:rFonts w:hint="eastAsia"/>
          <w:b/>
          <w:color w:val="auto"/>
        </w:rPr>
        <w:t>3.</w:t>
      </w:r>
      <w:r>
        <w:rPr>
          <w:rFonts w:hint="eastAsia"/>
          <w:b/>
          <w:color w:val="auto"/>
          <w:lang w:val="en-US" w:eastAsia="zh-CN"/>
        </w:rPr>
        <w:t>1</w:t>
      </w:r>
      <w:r>
        <w:rPr>
          <w:rFonts w:hint="eastAsia"/>
          <w:b/>
          <w:color w:val="auto"/>
        </w:rPr>
        <w:t>.8 收运方案及入场要求</w:t>
      </w:r>
      <w:bookmarkEnd w:id="278"/>
      <w:bookmarkEnd w:id="279"/>
    </w:p>
    <w:p>
      <w:pPr>
        <w:spacing w:line="360" w:lineRule="auto"/>
        <w:rPr>
          <w:b/>
          <w:color w:val="auto"/>
        </w:rPr>
      </w:pPr>
      <w:r>
        <w:rPr>
          <w:rFonts w:hint="eastAsia"/>
          <w:b/>
          <w:color w:val="auto"/>
        </w:rPr>
        <w:t>3.</w:t>
      </w:r>
      <w:r>
        <w:rPr>
          <w:rFonts w:hint="eastAsia"/>
          <w:b/>
          <w:color w:val="auto"/>
          <w:lang w:val="en-US" w:eastAsia="zh-CN"/>
        </w:rPr>
        <w:t>1</w:t>
      </w:r>
      <w:r>
        <w:rPr>
          <w:rFonts w:hint="eastAsia"/>
          <w:b/>
          <w:color w:val="auto"/>
        </w:rPr>
        <w:t>.8.1</w:t>
      </w:r>
      <w:r>
        <w:rPr>
          <w:b/>
          <w:color w:val="auto"/>
        </w:rPr>
        <w:t>餐厨废弃物收运方案</w:t>
      </w:r>
      <w:bookmarkEnd w:id="280"/>
      <w:bookmarkEnd w:id="281"/>
    </w:p>
    <w:p>
      <w:pPr>
        <w:spacing w:line="360" w:lineRule="auto"/>
        <w:ind w:firstLine="480" w:firstLineChars="200"/>
        <w:rPr>
          <w:color w:val="auto"/>
        </w:rPr>
      </w:pPr>
      <w:r>
        <w:rPr>
          <w:color w:val="auto"/>
        </w:rPr>
        <w:t>（1）收运范围</w:t>
      </w:r>
    </w:p>
    <w:p>
      <w:pPr>
        <w:spacing w:line="360" w:lineRule="auto"/>
        <w:ind w:firstLine="480" w:firstLineChars="200"/>
        <w:rPr>
          <w:color w:val="auto"/>
          <w:szCs w:val="28"/>
        </w:rPr>
      </w:pPr>
      <w:r>
        <w:rPr>
          <w:rFonts w:hint="eastAsia"/>
          <w:color w:val="auto"/>
          <w:szCs w:val="28"/>
        </w:rPr>
        <w:t>餐厨</w:t>
      </w:r>
      <w:r>
        <w:rPr>
          <w:color w:val="auto"/>
          <w:szCs w:val="28"/>
        </w:rPr>
        <w:t>项目收运范围为</w:t>
      </w:r>
      <w:r>
        <w:rPr>
          <w:rFonts w:hint="eastAsia"/>
          <w:color w:val="auto"/>
        </w:rPr>
        <w:t>兴宁市的市辖街道（兴田街道、福兴街道、宁新街道），时机成熟时，可考虑在远期将近郊城镇以及运距合适的城镇纳入服务范围，扩大餐厨垃圾无害化处理范围</w:t>
      </w:r>
      <w:r>
        <w:rPr>
          <w:rFonts w:hint="eastAsia"/>
          <w:color w:val="auto"/>
          <w:szCs w:val="28"/>
        </w:rPr>
        <w:t>，</w:t>
      </w:r>
      <w:r>
        <w:rPr>
          <w:color w:val="auto"/>
          <w:szCs w:val="28"/>
        </w:rPr>
        <w:t>主要包括餐馆、酒店、机关和学校的食堂等企业产生的餐厨废弃物。各餐饮单位要保证餐厨垃圾收集的范围，只包括餐厅的食物垃圾和厨房食品加工过程中产生的废弃物的有机质部分。严格禁止将食品调料的包装物、餐具、厨具、饮料瓶、酒瓶等其他废弃物混入。</w:t>
      </w:r>
    </w:p>
    <w:p>
      <w:pPr>
        <w:spacing w:line="360" w:lineRule="auto"/>
        <w:rPr>
          <w:color w:val="auto"/>
        </w:rPr>
      </w:pPr>
      <w:r>
        <w:rPr>
          <w:color w:val="auto"/>
        </w:rPr>
        <w:t xml:space="preserve">  </w:t>
      </w:r>
      <w:r>
        <w:rPr>
          <w:color w:val="auto"/>
          <w:szCs w:val="28"/>
        </w:rPr>
        <w:t xml:space="preserve">  （2）收运流程</w:t>
      </w:r>
    </w:p>
    <w:p>
      <w:pPr>
        <w:pStyle w:val="366"/>
        <w:spacing w:line="360" w:lineRule="auto"/>
        <w:ind w:firstLine="480"/>
        <w:rPr>
          <w:rFonts w:cs="Times New Roman"/>
          <w:color w:val="auto"/>
          <w:lang w:eastAsia="zh-CN"/>
        </w:rPr>
      </w:pPr>
      <w:r>
        <w:rPr>
          <w:rFonts w:cs="Times New Roman"/>
          <w:color w:val="auto"/>
          <w:lang w:eastAsia="zh-CN"/>
        </w:rPr>
        <w:t>餐厨废弃物产生后，由宾馆、食堂等产生单位将其收入120L标准两轮移动塑料垃圾桶内，每桶的装载重量按50 kg计算，每天收运2次，考虑1.2倍的备用系数及现有餐厨垃圾桶的情况，项目计划配置1200（120L/个）个桶，随着项目的推进逐渐增加餐厨废弃物收集容器的数量。通过专用的餐厨废弃物收集车将其清运至垃圾处理厂内。一般餐厨企业和宾馆的餐厨废弃物收运作业时间为15：00～17：30；21：30～1：00，食堂餐厨废弃物的收运作业时间为14：00～16：30；20：00～23：30，收集时间避开城区道路交通车辆行驶高峰期。</w:t>
      </w:r>
    </w:p>
    <w:p>
      <w:pPr>
        <w:pStyle w:val="366"/>
        <w:spacing w:line="360" w:lineRule="auto"/>
        <w:ind w:firstLine="480"/>
        <w:rPr>
          <w:rFonts w:cs="Times New Roman"/>
          <w:color w:val="auto"/>
          <w:lang w:eastAsia="zh-CN"/>
        </w:rPr>
      </w:pPr>
      <w:r>
        <w:rPr>
          <w:rFonts w:cs="Times New Roman"/>
          <w:color w:val="auto"/>
          <w:lang w:eastAsia="zh-CN"/>
        </w:rPr>
        <w:t>根据运输距离的远近，运输车辆采用罐体6.0m³的密闭式运输车，车上设有挂桶机构，将垃圾标准桶提升至车厢顶部，再通过翻料机构将垃圾倒入车厢内，厢体内设推板装置，可适度压缩和推卸垃圾。收集车下部有大容积污水箱，可贮存压缩沥出的油水，实现固液的初步分离，后密封盖采用液压装置开启和关闭，特殊的结构和密封材料有效地防止了污水的跑漏现象，避免对环境的二次污染。此外，运输车备有密封式排料装置，垃圾输送口与餐厨废弃物处理设备对接，实现密封排放，避免二次污染。</w:t>
      </w:r>
    </w:p>
    <w:p>
      <w:pPr>
        <w:pStyle w:val="366"/>
        <w:spacing w:line="360" w:lineRule="auto"/>
        <w:ind w:firstLine="480"/>
        <w:rPr>
          <w:rFonts w:cs="Times New Roman"/>
          <w:color w:val="auto"/>
          <w:lang w:eastAsia="zh-CN"/>
        </w:rPr>
      </w:pPr>
      <w:r>
        <w:rPr>
          <w:rFonts w:cs="Times New Roman"/>
          <w:color w:val="auto"/>
          <w:lang w:eastAsia="zh-CN"/>
        </w:rPr>
        <w:t>垃圾被运至处理厂卸料平台之后，密封后盖打开，推料机构将固体垃圾推出，污水则进入油水分离系统进行后续处理。车上设有喷水系统，能随时对车上污渍进行清洗。车上所有操作为液压自动控制，可分别在驾驶室和车旁操作。</w:t>
      </w:r>
    </w:p>
    <w:p>
      <w:pPr>
        <w:pStyle w:val="366"/>
        <w:spacing w:line="360" w:lineRule="auto"/>
        <w:ind w:firstLine="480"/>
        <w:rPr>
          <w:rFonts w:cs="Times New Roman"/>
          <w:color w:val="auto"/>
          <w:lang w:eastAsia="zh-CN"/>
        </w:rPr>
      </w:pPr>
      <w:r>
        <w:rPr>
          <w:rFonts w:cs="Times New Roman"/>
          <w:color w:val="auto"/>
          <w:lang w:eastAsia="zh-CN"/>
        </w:rPr>
        <w:t>收运流程为：宾馆、食堂、餐厅标准桶——收集点——运输车——处理厂计量——卸料平台卸料——车辆清洗——再次收运。</w:t>
      </w:r>
    </w:p>
    <w:p>
      <w:pPr>
        <w:pStyle w:val="366"/>
        <w:spacing w:line="360" w:lineRule="auto"/>
        <w:ind w:firstLine="480"/>
        <w:rPr>
          <w:rFonts w:cs="Times New Roman"/>
          <w:color w:val="auto"/>
          <w:lang w:eastAsia="zh-CN"/>
        </w:rPr>
      </w:pPr>
      <w:r>
        <w:rPr>
          <w:rFonts w:cs="Times New Roman"/>
          <w:color w:val="auto"/>
          <w:lang w:eastAsia="zh-CN"/>
        </w:rPr>
        <w:t>（3）收运体系</w:t>
      </w:r>
    </w:p>
    <w:p>
      <w:pPr>
        <w:pStyle w:val="366"/>
        <w:spacing w:line="360" w:lineRule="auto"/>
        <w:ind w:firstLine="480"/>
        <w:rPr>
          <w:rFonts w:cs="Times New Roman"/>
          <w:color w:val="auto"/>
          <w:lang w:eastAsia="zh-CN"/>
        </w:rPr>
      </w:pPr>
      <w:bookmarkStart w:id="282" w:name="OLE_LINK3"/>
      <w:r>
        <w:rPr>
          <w:rFonts w:cs="Times New Roman"/>
          <w:color w:val="auto"/>
          <w:lang w:eastAsia="zh-CN"/>
        </w:rPr>
        <w:t>根据</w:t>
      </w:r>
      <w:r>
        <w:rPr>
          <w:rFonts w:hint="eastAsia" w:cs="Times New Roman"/>
          <w:color w:val="auto"/>
          <w:lang w:eastAsia="zh-CN"/>
        </w:rPr>
        <w:t>兴宁市</w:t>
      </w:r>
      <w:r>
        <w:rPr>
          <w:rFonts w:cs="Times New Roman"/>
          <w:color w:val="auto"/>
          <w:lang w:eastAsia="zh-CN"/>
        </w:rPr>
        <w:t>餐饮行业分布特点，以及各区餐饮行业的分布情况和密集程度不同，以街道划分收运区域，采取“分区收运、街道设点、多点一线、数字管理”的收集方式，形成统一、有序的餐厨废弃物收运网络。结合餐饮企业和企事业单位分布状况、参考城区交通道路图，规划餐厨废弃物收运线路。</w:t>
      </w:r>
      <w:bookmarkEnd w:id="282"/>
    </w:p>
    <w:p>
      <w:pPr>
        <w:pStyle w:val="366"/>
        <w:spacing w:line="360" w:lineRule="auto"/>
        <w:ind w:firstLine="480"/>
        <w:rPr>
          <w:rFonts w:cs="Times New Roman"/>
          <w:color w:val="auto"/>
          <w:lang w:eastAsia="zh-CN"/>
        </w:rPr>
      </w:pPr>
      <w:r>
        <w:rPr>
          <w:rFonts w:cs="Times New Roman"/>
          <w:color w:val="auto"/>
          <w:lang w:eastAsia="zh-CN"/>
        </w:rPr>
        <w:t>（4）收运路线</w:t>
      </w:r>
    </w:p>
    <w:p>
      <w:pPr>
        <w:pStyle w:val="366"/>
        <w:spacing w:line="360" w:lineRule="auto"/>
        <w:ind w:firstLine="480"/>
        <w:rPr>
          <w:rFonts w:cs="Times New Roman"/>
          <w:color w:val="auto"/>
          <w:lang w:eastAsia="zh-CN"/>
        </w:rPr>
      </w:pPr>
      <w:r>
        <w:rPr>
          <w:rFonts w:cs="Times New Roman"/>
          <w:color w:val="auto"/>
          <w:lang w:eastAsia="zh-CN"/>
        </w:rPr>
        <w:t>收运范围为</w:t>
      </w:r>
      <w:r>
        <w:rPr>
          <w:rFonts w:hint="eastAsia"/>
          <w:color w:val="auto"/>
          <w:lang w:eastAsia="zh-CN"/>
        </w:rPr>
        <w:t>兴宁市的市辖街道的</w:t>
      </w:r>
      <w:r>
        <w:rPr>
          <w:rFonts w:cs="Times New Roman"/>
          <w:color w:val="auto"/>
          <w:lang w:eastAsia="zh-CN"/>
        </w:rPr>
        <w:t>餐厨垃圾，包括</w:t>
      </w:r>
      <w:r>
        <w:rPr>
          <w:rFonts w:hint="eastAsia"/>
          <w:color w:val="auto"/>
          <w:lang w:eastAsia="zh-CN"/>
        </w:rPr>
        <w:t>兴田街道、福兴街道、宁新街道</w:t>
      </w:r>
      <w:r>
        <w:rPr>
          <w:rFonts w:hint="eastAsia" w:cs="Times New Roman"/>
          <w:color w:val="auto"/>
          <w:lang w:eastAsia="zh-CN"/>
        </w:rPr>
        <w:t>，</w:t>
      </w:r>
      <w:r>
        <w:rPr>
          <w:rFonts w:cs="Times New Roman"/>
          <w:color w:val="auto"/>
          <w:lang w:eastAsia="zh-CN"/>
        </w:rPr>
        <w:t>收运路线由</w:t>
      </w:r>
      <w:r>
        <w:rPr>
          <w:rFonts w:hint="eastAsia" w:cs="Times New Roman"/>
          <w:color w:val="auto"/>
          <w:szCs w:val="24"/>
          <w:lang w:eastAsia="zh-CN"/>
        </w:rPr>
        <w:t>兴宁市城市管理和综合执法局</w:t>
      </w:r>
      <w:r>
        <w:rPr>
          <w:rFonts w:cs="Times New Roman"/>
          <w:color w:val="auto"/>
          <w:szCs w:val="24"/>
          <w:lang w:eastAsia="zh-CN"/>
        </w:rPr>
        <w:t>负责制定。</w:t>
      </w:r>
    </w:p>
    <w:p>
      <w:pPr>
        <w:pStyle w:val="366"/>
        <w:spacing w:line="360" w:lineRule="auto"/>
        <w:ind w:firstLine="480"/>
        <w:rPr>
          <w:rFonts w:cs="Times New Roman"/>
          <w:color w:val="auto"/>
          <w:lang w:eastAsia="zh-CN"/>
        </w:rPr>
      </w:pPr>
      <w:r>
        <w:rPr>
          <w:rFonts w:cs="Times New Roman"/>
          <w:color w:val="auto"/>
          <w:lang w:eastAsia="zh-CN"/>
        </w:rPr>
        <w:t>（5）收运车辆</w:t>
      </w:r>
    </w:p>
    <w:p>
      <w:pPr>
        <w:pStyle w:val="366"/>
        <w:spacing w:line="360" w:lineRule="auto"/>
        <w:ind w:firstLine="480"/>
        <w:rPr>
          <w:rFonts w:cs="Times New Roman"/>
          <w:color w:val="auto"/>
          <w:lang w:eastAsia="zh-CN"/>
        </w:rPr>
      </w:pPr>
      <w:r>
        <w:rPr>
          <w:rFonts w:hint="eastAsia" w:cs="Times New Roman"/>
          <w:color w:val="auto"/>
          <w:lang w:eastAsia="zh-CN"/>
        </w:rPr>
        <w:t>A</w:t>
      </w:r>
      <w:r>
        <w:rPr>
          <w:rFonts w:cs="Times New Roman"/>
          <w:color w:val="auto"/>
          <w:lang w:eastAsia="zh-CN"/>
        </w:rPr>
        <w:t>、车辆数量</w:t>
      </w:r>
    </w:p>
    <w:p>
      <w:pPr>
        <w:pStyle w:val="366"/>
        <w:spacing w:line="360" w:lineRule="auto"/>
        <w:ind w:firstLine="480"/>
        <w:rPr>
          <w:rFonts w:cs="Times New Roman"/>
          <w:color w:val="auto"/>
          <w:lang w:eastAsia="zh-CN"/>
        </w:rPr>
      </w:pPr>
      <w:r>
        <w:rPr>
          <w:rFonts w:cs="Times New Roman"/>
          <w:color w:val="auto"/>
          <w:lang w:eastAsia="zh-CN"/>
        </w:rPr>
        <w:t>a：餐厨垃圾收运车</w:t>
      </w:r>
    </w:p>
    <w:p>
      <w:pPr>
        <w:pStyle w:val="366"/>
        <w:spacing w:line="360" w:lineRule="auto"/>
        <w:ind w:firstLine="480"/>
        <w:rPr>
          <w:rFonts w:cs="Times New Roman"/>
          <w:color w:val="auto"/>
          <w:lang w:eastAsia="zh-CN"/>
        </w:rPr>
      </w:pPr>
      <w:r>
        <w:rPr>
          <w:rFonts w:cs="Times New Roman"/>
          <w:color w:val="auto"/>
          <w:lang w:eastAsia="zh-CN"/>
        </w:rPr>
        <w:t>餐厨废弃物含水率很高，在运输过程中极易造成撒漏等二次污染的产生，因此需要专用的密封性能好的收集运输车，需要配备的餐厨废弃物收集车辆如下：</w:t>
      </w:r>
    </w:p>
    <w:p>
      <w:pPr>
        <w:pStyle w:val="366"/>
        <w:spacing w:line="360" w:lineRule="auto"/>
        <w:ind w:firstLine="480"/>
        <w:rPr>
          <w:rFonts w:cs="Times New Roman"/>
          <w:color w:val="auto"/>
          <w:lang w:eastAsia="zh-CN"/>
        </w:rPr>
      </w:pPr>
      <w:r>
        <w:rPr>
          <w:rFonts w:cs="Times New Roman"/>
          <w:color w:val="auto"/>
          <w:lang w:eastAsia="zh-CN"/>
        </w:rPr>
        <w:t>拟采用罐体容积6.0m</w:t>
      </w:r>
      <w:r>
        <w:rPr>
          <w:rFonts w:cs="Times New Roman"/>
          <w:color w:val="auto"/>
          <w:vertAlign w:val="superscript"/>
          <w:lang w:eastAsia="zh-CN"/>
        </w:rPr>
        <w:t>3</w:t>
      </w:r>
      <w:r>
        <w:rPr>
          <w:rFonts w:cs="Times New Roman"/>
          <w:color w:val="auto"/>
          <w:lang w:eastAsia="zh-CN"/>
        </w:rPr>
        <w:t>的餐厨废弃物收运车辆，按每车完成一次收运工作需要3小时估算，两班工作制（每车每天运输餐厨废弃物2次），6.0m</w:t>
      </w:r>
      <w:r>
        <w:rPr>
          <w:rFonts w:cs="Times New Roman"/>
          <w:color w:val="auto"/>
          <w:vertAlign w:val="superscript"/>
          <w:lang w:eastAsia="zh-CN"/>
        </w:rPr>
        <w:t>3</w:t>
      </w:r>
      <w:r>
        <w:rPr>
          <w:rFonts w:cs="Times New Roman"/>
          <w:color w:val="auto"/>
          <w:lang w:eastAsia="zh-CN"/>
        </w:rPr>
        <w:t>餐厨废弃物收运车每车实际装载量按5.0t估算，</w:t>
      </w:r>
      <w:r>
        <w:rPr>
          <w:rFonts w:hint="eastAsia" w:cs="Times New Roman"/>
          <w:color w:val="auto"/>
          <w:lang w:eastAsia="zh-CN"/>
        </w:rPr>
        <w:t>25</w:t>
      </w:r>
      <w:r>
        <w:rPr>
          <w:rFonts w:cs="Times New Roman"/>
          <w:color w:val="auto"/>
          <w:lang w:eastAsia="zh-CN"/>
        </w:rPr>
        <w:t>t/d共需6.0m</w:t>
      </w:r>
      <w:r>
        <w:rPr>
          <w:rFonts w:cs="Times New Roman"/>
          <w:color w:val="auto"/>
          <w:vertAlign w:val="superscript"/>
          <w:lang w:eastAsia="zh-CN"/>
        </w:rPr>
        <w:t>3</w:t>
      </w:r>
      <w:r>
        <w:rPr>
          <w:rFonts w:cs="Times New Roman"/>
          <w:color w:val="auto"/>
          <w:lang w:eastAsia="zh-CN"/>
        </w:rPr>
        <w:t>餐厨废弃物收运车为</w:t>
      </w:r>
      <w:r>
        <w:rPr>
          <w:rFonts w:hint="eastAsia" w:cs="Times New Roman"/>
          <w:color w:val="auto"/>
          <w:lang w:eastAsia="zh-CN"/>
        </w:rPr>
        <w:t>2.5</w:t>
      </w:r>
      <w:r>
        <w:rPr>
          <w:rFonts w:cs="Times New Roman"/>
          <w:color w:val="auto"/>
          <w:lang w:eastAsia="zh-CN"/>
        </w:rPr>
        <w:t>辆。考虑到餐厨废弃物收集范围逐渐覆盖周边区域，并兼顾维修、保养、机动等情餐厨废弃物产生点或收集点餐厨废弃物处理厂餐厨废弃物收运车况，考虑维修、保养、机动等情况，备用系数按1.2考虑，则6.0m</w:t>
      </w:r>
      <w:r>
        <w:rPr>
          <w:rFonts w:cs="Times New Roman"/>
          <w:color w:val="auto"/>
          <w:vertAlign w:val="superscript"/>
          <w:lang w:eastAsia="zh-CN"/>
        </w:rPr>
        <w:t>3</w:t>
      </w:r>
      <w:r>
        <w:rPr>
          <w:rFonts w:cs="Times New Roman"/>
          <w:color w:val="auto"/>
          <w:lang w:eastAsia="zh-CN"/>
        </w:rPr>
        <w:t>餐厨废弃物收运车为</w:t>
      </w:r>
      <w:r>
        <w:rPr>
          <w:rFonts w:hint="eastAsia" w:cs="Times New Roman"/>
          <w:color w:val="auto"/>
          <w:lang w:eastAsia="zh-CN"/>
        </w:rPr>
        <w:t>3</w:t>
      </w:r>
      <w:r>
        <w:rPr>
          <w:rFonts w:cs="Times New Roman"/>
          <w:color w:val="auto"/>
          <w:lang w:eastAsia="zh-CN"/>
        </w:rPr>
        <w:t>辆。</w:t>
      </w:r>
    </w:p>
    <w:p>
      <w:pPr>
        <w:pStyle w:val="366"/>
        <w:spacing w:line="360" w:lineRule="auto"/>
        <w:ind w:firstLine="480"/>
        <w:rPr>
          <w:rFonts w:cs="Times New Roman"/>
          <w:color w:val="auto"/>
          <w:lang w:eastAsia="zh-CN"/>
        </w:rPr>
      </w:pPr>
      <w:r>
        <w:rPr>
          <w:rFonts w:hint="eastAsia" w:cs="Times New Roman"/>
          <w:color w:val="auto"/>
          <w:lang w:eastAsia="zh-CN"/>
        </w:rPr>
        <w:t>B</w:t>
      </w:r>
      <w:r>
        <w:rPr>
          <w:rFonts w:cs="Times New Roman"/>
          <w:color w:val="auto"/>
          <w:lang w:eastAsia="zh-CN"/>
        </w:rPr>
        <w:t>、车辆性能</w:t>
      </w:r>
    </w:p>
    <w:p>
      <w:pPr>
        <w:pStyle w:val="366"/>
        <w:spacing w:line="360" w:lineRule="auto"/>
        <w:ind w:firstLine="482"/>
        <w:rPr>
          <w:rFonts w:cs="Times New Roman"/>
          <w:b/>
          <w:color w:val="auto"/>
          <w:lang w:eastAsia="zh-CN"/>
        </w:rPr>
      </w:pPr>
      <w:r>
        <w:rPr>
          <w:rFonts w:cs="Times New Roman"/>
          <w:b/>
          <w:color w:val="auto"/>
          <w:lang w:eastAsia="zh-CN"/>
        </w:rPr>
        <w:t>a：餐厨垃圾收运车</w:t>
      </w:r>
    </w:p>
    <w:p>
      <w:pPr>
        <w:pStyle w:val="366"/>
        <w:spacing w:line="360" w:lineRule="auto"/>
        <w:ind w:firstLine="480"/>
        <w:rPr>
          <w:rFonts w:cs="Times New Roman"/>
          <w:color w:val="auto"/>
          <w:lang w:eastAsia="zh-CN"/>
        </w:rPr>
      </w:pPr>
      <w:r>
        <w:rPr>
          <w:rFonts w:cs="Times New Roman"/>
          <w:color w:val="auto"/>
          <w:lang w:eastAsia="zh-CN"/>
        </w:rPr>
        <w:t>本项目选用的餐厨废弃物收集车辆外形美观，性能优良，操纵控制先进，并配置有高、低压清洗系统；箱体、后门体、螺旋机以及水箱等采用不锈钢制造，耐酸碱等腐蚀性物质能力强；该车采用侧面桶装、推挤压缩，实现餐厨废弃物固液初步分离和垃圾减容以及定位密封排放卸料，其综合性能达到国内同类产品的先进水平。</w:t>
      </w:r>
    </w:p>
    <w:p>
      <w:pPr>
        <w:pStyle w:val="366"/>
        <w:spacing w:line="360" w:lineRule="auto"/>
        <w:ind w:firstLine="482"/>
        <w:rPr>
          <w:rFonts w:cs="Times New Roman"/>
          <w:b/>
          <w:color w:val="auto"/>
          <w:lang w:eastAsia="zh-CN"/>
        </w:rPr>
      </w:pPr>
      <w:r>
        <w:rPr>
          <w:rFonts w:cs="Times New Roman"/>
          <w:b/>
          <w:color w:val="auto"/>
          <w:lang w:eastAsia="zh-CN"/>
        </w:rPr>
        <w:t>收集车辆主要性能与特点：</w:t>
      </w:r>
    </w:p>
    <w:p>
      <w:pPr>
        <w:pStyle w:val="363"/>
        <w:spacing w:line="360" w:lineRule="auto"/>
        <w:ind w:firstLine="480"/>
        <w:rPr>
          <w:rFonts w:cs="Times New Roman"/>
          <w:color w:val="auto"/>
          <w:lang w:eastAsia="zh-CN"/>
        </w:rPr>
      </w:pPr>
      <w:r>
        <w:rPr>
          <w:rFonts w:hint="eastAsia" w:ascii="宋体" w:hAnsi="宋体"/>
          <w:color w:val="auto"/>
          <w:lang w:eastAsia="zh-CN"/>
        </w:rPr>
        <w:t>①</w:t>
      </w:r>
      <w:r>
        <w:rPr>
          <w:rFonts w:cs="Times New Roman"/>
          <w:color w:val="auto"/>
          <w:lang w:eastAsia="zh-CN"/>
        </w:rPr>
        <w:t>主要构件耐酸碱等腐蚀性物质能力强</w:t>
      </w:r>
    </w:p>
    <w:p>
      <w:pPr>
        <w:pStyle w:val="366"/>
        <w:spacing w:line="360" w:lineRule="auto"/>
        <w:ind w:firstLine="480"/>
        <w:rPr>
          <w:rFonts w:cs="Times New Roman"/>
          <w:color w:val="auto"/>
          <w:lang w:eastAsia="zh-CN"/>
        </w:rPr>
      </w:pPr>
      <w:r>
        <w:rPr>
          <w:rFonts w:cs="Times New Roman"/>
          <w:color w:val="auto"/>
          <w:lang w:eastAsia="zh-CN"/>
        </w:rPr>
        <w:t>主要构件箱体、后门体、螺旋机和水箱等设备采用不锈钢制造，耐酸碱等腐蚀性物质能力强。</w:t>
      </w:r>
    </w:p>
    <w:p>
      <w:pPr>
        <w:pStyle w:val="363"/>
        <w:spacing w:line="360" w:lineRule="auto"/>
        <w:ind w:firstLine="480"/>
        <w:rPr>
          <w:rFonts w:cs="Times New Roman"/>
          <w:color w:val="auto"/>
          <w:lang w:eastAsia="zh-CN"/>
        </w:rPr>
      </w:pPr>
      <w:r>
        <w:rPr>
          <w:rFonts w:hint="eastAsia" w:ascii="宋体" w:hAnsi="宋体"/>
          <w:color w:val="auto"/>
          <w:lang w:eastAsia="zh-CN"/>
        </w:rPr>
        <w:t>②</w:t>
      </w:r>
      <w:r>
        <w:rPr>
          <w:rFonts w:cs="Times New Roman"/>
          <w:color w:val="auto"/>
          <w:lang w:eastAsia="zh-CN"/>
        </w:rPr>
        <w:t xml:space="preserve">外观造型美观大方 </w:t>
      </w:r>
    </w:p>
    <w:p>
      <w:pPr>
        <w:pStyle w:val="366"/>
        <w:spacing w:line="360" w:lineRule="auto"/>
        <w:ind w:firstLine="480"/>
        <w:rPr>
          <w:rFonts w:cs="Times New Roman"/>
          <w:color w:val="auto"/>
          <w:lang w:eastAsia="zh-CN"/>
        </w:rPr>
      </w:pPr>
      <w:r>
        <w:rPr>
          <w:rFonts w:cs="Times New Roman"/>
          <w:color w:val="auto"/>
          <w:lang w:eastAsia="zh-CN"/>
        </w:rPr>
        <w:t>收集箱横向截面为矩形框架、纵向截面为梯形框架，两侧及顶面均为圆弧造型，整机显得美观大方。</w:t>
      </w:r>
    </w:p>
    <w:p>
      <w:pPr>
        <w:pStyle w:val="363"/>
        <w:spacing w:line="360" w:lineRule="auto"/>
        <w:ind w:firstLine="480"/>
        <w:rPr>
          <w:rFonts w:cs="Times New Roman"/>
          <w:color w:val="auto"/>
          <w:lang w:eastAsia="zh-CN"/>
        </w:rPr>
      </w:pPr>
      <w:r>
        <w:rPr>
          <w:rFonts w:hint="eastAsia" w:ascii="宋体" w:hAnsi="宋体"/>
          <w:color w:val="auto"/>
          <w:lang w:eastAsia="zh-CN"/>
        </w:rPr>
        <w:t>③</w:t>
      </w:r>
      <w:r>
        <w:rPr>
          <w:rFonts w:cs="Times New Roman"/>
          <w:color w:val="auto"/>
          <w:lang w:eastAsia="zh-CN"/>
        </w:rPr>
        <w:t>垃圾箱与后门总成之间密封性好</w:t>
      </w:r>
    </w:p>
    <w:p>
      <w:pPr>
        <w:pStyle w:val="366"/>
        <w:spacing w:line="360" w:lineRule="auto"/>
        <w:ind w:firstLine="480"/>
        <w:rPr>
          <w:rFonts w:cs="Times New Roman"/>
          <w:color w:val="auto"/>
          <w:lang w:eastAsia="zh-CN"/>
        </w:rPr>
      </w:pPr>
      <w:r>
        <w:rPr>
          <w:rFonts w:cs="Times New Roman"/>
          <w:color w:val="auto"/>
          <w:lang w:eastAsia="zh-CN"/>
        </w:rPr>
        <w:t>垃圾箱与后门总成之间采用特制加强型橡胶条密封，密封性好，杜绝了二次污染。</w:t>
      </w:r>
    </w:p>
    <w:p>
      <w:pPr>
        <w:pStyle w:val="363"/>
        <w:spacing w:line="360" w:lineRule="auto"/>
        <w:ind w:firstLine="480"/>
        <w:rPr>
          <w:rFonts w:cs="Times New Roman"/>
          <w:color w:val="auto"/>
          <w:lang w:eastAsia="zh-CN"/>
        </w:rPr>
      </w:pPr>
      <w:r>
        <w:rPr>
          <w:rFonts w:hint="eastAsia" w:ascii="宋体" w:hAnsi="宋体"/>
          <w:color w:val="auto"/>
          <w:lang w:eastAsia="zh-CN"/>
        </w:rPr>
        <w:t>④</w:t>
      </w:r>
      <w:r>
        <w:rPr>
          <w:rFonts w:cs="Times New Roman"/>
          <w:color w:val="auto"/>
          <w:lang w:eastAsia="zh-CN"/>
        </w:rPr>
        <w:t xml:space="preserve">完善的清洗系统 </w:t>
      </w:r>
    </w:p>
    <w:p>
      <w:pPr>
        <w:pStyle w:val="366"/>
        <w:spacing w:line="360" w:lineRule="auto"/>
        <w:ind w:firstLine="480"/>
        <w:rPr>
          <w:rFonts w:cs="Times New Roman"/>
          <w:color w:val="auto"/>
          <w:lang w:eastAsia="zh-CN"/>
        </w:rPr>
      </w:pPr>
      <w:r>
        <w:rPr>
          <w:rFonts w:cs="Times New Roman"/>
          <w:color w:val="auto"/>
          <w:lang w:eastAsia="zh-CN"/>
        </w:rPr>
        <w:t>既可使用由液压马达驱动的高压力、小流量清洗方式清洗整车，也可直接接消防水以大流量方式清洗箱体下部的污水箱。</w:t>
      </w:r>
    </w:p>
    <w:p>
      <w:pPr>
        <w:pStyle w:val="363"/>
        <w:spacing w:line="360" w:lineRule="auto"/>
        <w:ind w:firstLine="480"/>
        <w:rPr>
          <w:rFonts w:cs="Times New Roman"/>
          <w:color w:val="auto"/>
          <w:lang w:eastAsia="zh-CN"/>
        </w:rPr>
      </w:pPr>
      <w:r>
        <w:rPr>
          <w:rFonts w:hint="eastAsia" w:ascii="宋体" w:hAnsi="宋体"/>
          <w:color w:val="auto"/>
          <w:lang w:eastAsia="zh-CN"/>
        </w:rPr>
        <w:t>⑤</w:t>
      </w:r>
      <w:r>
        <w:rPr>
          <w:rFonts w:cs="Times New Roman"/>
          <w:color w:val="auto"/>
          <w:lang w:eastAsia="zh-CN"/>
        </w:rPr>
        <w:t xml:space="preserve">高可靠性与安全性 </w:t>
      </w:r>
    </w:p>
    <w:p>
      <w:pPr>
        <w:pStyle w:val="366"/>
        <w:spacing w:line="360" w:lineRule="auto"/>
        <w:ind w:firstLine="480"/>
        <w:rPr>
          <w:rFonts w:cs="Times New Roman"/>
          <w:color w:val="auto"/>
          <w:lang w:eastAsia="zh-CN"/>
        </w:rPr>
      </w:pPr>
      <w:r>
        <w:rPr>
          <w:rFonts w:cs="Times New Roman"/>
          <w:color w:val="auto"/>
          <w:lang w:eastAsia="zh-CN"/>
        </w:rPr>
        <w:t>采用电、液联合控制，并设置了安全保护开关，保证了各机构动作准确、可靠。</w:t>
      </w:r>
    </w:p>
    <w:p>
      <w:pPr>
        <w:pStyle w:val="363"/>
        <w:spacing w:line="360" w:lineRule="auto"/>
        <w:ind w:firstLine="480"/>
        <w:rPr>
          <w:rFonts w:cs="Times New Roman"/>
          <w:color w:val="auto"/>
          <w:lang w:eastAsia="zh-CN"/>
        </w:rPr>
      </w:pPr>
      <w:r>
        <w:rPr>
          <w:rFonts w:hint="eastAsia" w:ascii="宋体" w:hAnsi="宋体"/>
          <w:color w:val="auto"/>
          <w:lang w:eastAsia="zh-CN"/>
        </w:rPr>
        <w:t>⑥</w:t>
      </w:r>
      <w:r>
        <w:rPr>
          <w:rFonts w:cs="Times New Roman"/>
          <w:color w:val="auto"/>
          <w:lang w:eastAsia="zh-CN"/>
        </w:rPr>
        <w:t xml:space="preserve">发动机功率输出自动控制 </w:t>
      </w:r>
    </w:p>
    <w:p>
      <w:pPr>
        <w:pStyle w:val="366"/>
        <w:spacing w:line="360" w:lineRule="auto"/>
        <w:ind w:firstLine="480"/>
        <w:rPr>
          <w:rFonts w:cs="Times New Roman"/>
          <w:color w:val="auto"/>
          <w:lang w:eastAsia="zh-CN"/>
        </w:rPr>
      </w:pPr>
      <w:r>
        <w:rPr>
          <w:rFonts w:cs="Times New Roman"/>
          <w:color w:val="auto"/>
          <w:lang w:eastAsia="zh-CN"/>
        </w:rPr>
        <w:t>发动机功率输出实现全自动控制，非作业时，发动机怠速状态，作业时，发动机自动加速，满足作业功率的要求。避免了功率损耗和系统发热，耗油降低，经济性好。</w:t>
      </w:r>
    </w:p>
    <w:p>
      <w:pPr>
        <w:pStyle w:val="363"/>
        <w:spacing w:line="360" w:lineRule="auto"/>
        <w:ind w:firstLine="480"/>
        <w:rPr>
          <w:rFonts w:cs="Times New Roman"/>
          <w:color w:val="auto"/>
          <w:lang w:eastAsia="zh-CN"/>
        </w:rPr>
      </w:pPr>
      <w:r>
        <w:rPr>
          <w:rFonts w:hint="eastAsia" w:ascii="宋体" w:hAnsi="宋体"/>
          <w:color w:val="auto"/>
          <w:lang w:eastAsia="zh-CN"/>
        </w:rPr>
        <w:t>⑦</w:t>
      </w:r>
      <w:r>
        <w:rPr>
          <w:rFonts w:cs="Times New Roman"/>
          <w:color w:val="auto"/>
          <w:lang w:eastAsia="zh-CN"/>
        </w:rPr>
        <w:t xml:space="preserve">先进的电控系统 </w:t>
      </w:r>
    </w:p>
    <w:p>
      <w:pPr>
        <w:pStyle w:val="366"/>
        <w:spacing w:line="360" w:lineRule="auto"/>
        <w:ind w:firstLine="480"/>
        <w:rPr>
          <w:rFonts w:cs="Times New Roman"/>
          <w:color w:val="auto"/>
          <w:lang w:eastAsia="zh-CN"/>
        </w:rPr>
      </w:pPr>
      <w:r>
        <w:rPr>
          <w:rFonts w:cs="Times New Roman"/>
          <w:color w:val="auto"/>
          <w:lang w:eastAsia="zh-CN"/>
        </w:rPr>
        <w:t>采用进口PLC（可编程序控制器）集成控制，控制电路在PLC内生成，并采用逻辑回路保证各操作指令按顺序执行，外部只有线路连接，降低了故障发生率，避免了误操作造成的事故，提高了可靠性；特别设置的紧急停止按钮可使各循环作业在任何状态或任何位置停止，保障作业人员、设备的安全</w:t>
      </w:r>
      <w:r>
        <w:rPr>
          <w:rFonts w:hint="eastAsia" w:cs="Times New Roman"/>
          <w:color w:val="auto"/>
          <w:lang w:eastAsia="zh-CN"/>
        </w:rPr>
        <w:t>。</w:t>
      </w:r>
    </w:p>
    <w:p>
      <w:pPr>
        <w:pStyle w:val="363"/>
        <w:spacing w:line="360" w:lineRule="auto"/>
        <w:ind w:firstLine="480"/>
        <w:rPr>
          <w:rFonts w:cs="Times New Roman"/>
          <w:color w:val="auto"/>
          <w:lang w:eastAsia="zh-CN"/>
        </w:rPr>
      </w:pPr>
      <w:r>
        <w:rPr>
          <w:rFonts w:hint="eastAsia" w:ascii="宋体" w:hAnsi="宋体"/>
          <w:color w:val="auto"/>
          <w:lang w:eastAsia="zh-CN"/>
        </w:rPr>
        <w:t>⑧</w:t>
      </w:r>
      <w:r>
        <w:rPr>
          <w:rFonts w:cs="Times New Roman"/>
          <w:color w:val="auto"/>
          <w:lang w:eastAsia="zh-CN"/>
        </w:rPr>
        <w:t xml:space="preserve">方便的操作控制 </w:t>
      </w:r>
    </w:p>
    <w:p>
      <w:pPr>
        <w:pStyle w:val="366"/>
        <w:spacing w:line="360" w:lineRule="auto"/>
        <w:ind w:firstLine="480"/>
        <w:rPr>
          <w:rFonts w:cs="Times New Roman"/>
          <w:color w:val="auto"/>
          <w:lang w:eastAsia="zh-CN"/>
        </w:rPr>
      </w:pPr>
      <w:r>
        <w:rPr>
          <w:rFonts w:cs="Times New Roman"/>
          <w:color w:val="auto"/>
          <w:lang w:eastAsia="zh-CN"/>
        </w:rPr>
        <w:t>设置了“自动”与“手动”操作系统，自动控制为“投料”、“密封排料”、“推挤排料”循环动作，省去烦琐操作及减少误操作，使用十分顺手；手动控制为调试、维修提供极大方便。</w:t>
      </w:r>
    </w:p>
    <w:p>
      <w:pPr>
        <w:spacing w:line="360" w:lineRule="auto"/>
        <w:ind w:firstLine="480" w:firstLineChars="200"/>
        <w:rPr>
          <w:color w:val="auto"/>
          <w:kern w:val="0"/>
          <w:szCs w:val="20"/>
          <w:lang w:bidi="en-US"/>
        </w:rPr>
      </w:pPr>
      <w:r>
        <w:rPr>
          <w:color w:val="auto"/>
          <w:kern w:val="0"/>
          <w:szCs w:val="20"/>
          <w:lang w:bidi="en-US"/>
        </w:rPr>
        <w:t>（6）盛装容器</w:t>
      </w:r>
    </w:p>
    <w:p>
      <w:pPr>
        <w:spacing w:line="360" w:lineRule="auto"/>
        <w:ind w:firstLine="482" w:firstLineChars="200"/>
        <w:rPr>
          <w:b/>
          <w:color w:val="auto"/>
          <w:kern w:val="0"/>
          <w:szCs w:val="20"/>
          <w:lang w:bidi="en-US"/>
        </w:rPr>
      </w:pPr>
      <w:r>
        <w:rPr>
          <w:b/>
          <w:color w:val="auto"/>
          <w:kern w:val="0"/>
          <w:szCs w:val="20"/>
          <w:lang w:bidi="en-US"/>
        </w:rPr>
        <w:t>a：容器规格及品质</w:t>
      </w:r>
    </w:p>
    <w:p>
      <w:pPr>
        <w:pStyle w:val="366"/>
        <w:spacing w:line="360" w:lineRule="auto"/>
        <w:ind w:firstLine="480"/>
        <w:rPr>
          <w:rFonts w:cs="Times New Roman"/>
          <w:color w:val="auto"/>
          <w:lang w:eastAsia="zh-CN"/>
        </w:rPr>
      </w:pPr>
      <w:r>
        <w:rPr>
          <w:rFonts w:cs="Times New Roman"/>
          <w:color w:val="auto"/>
          <w:lang w:eastAsia="zh-CN"/>
        </w:rPr>
        <w:t>餐厨垃圾收运容器选择 120L容积桶。加盖密封，防止异味外溢。桶提升处卡口背脊使用加强材料。桶体正面喷涂监管部门名称及监督电话。并符合《塑料垃圾桶通用技术条件》CJ/T280-2008 相关要求。</w:t>
      </w:r>
    </w:p>
    <w:p>
      <w:pPr>
        <w:pStyle w:val="364"/>
        <w:spacing w:line="360" w:lineRule="auto"/>
        <w:ind w:firstLine="482"/>
        <w:rPr>
          <w:rFonts w:ascii="Times New Roman" w:hAnsi="Times New Roman" w:cs="Times New Roman"/>
          <w:b/>
          <w:color w:val="auto"/>
          <w:lang w:eastAsia="zh-CN"/>
        </w:rPr>
      </w:pPr>
      <w:r>
        <w:rPr>
          <w:rFonts w:ascii="Times New Roman" w:hAnsi="Times New Roman" w:cs="Times New Roman"/>
          <w:b/>
          <w:color w:val="auto"/>
          <w:lang w:eastAsia="zh-CN"/>
        </w:rPr>
        <w:t>b：数量</w:t>
      </w:r>
    </w:p>
    <w:p>
      <w:pPr>
        <w:spacing w:line="360" w:lineRule="auto"/>
        <w:ind w:firstLine="480" w:firstLineChars="200"/>
        <w:rPr>
          <w:color w:val="auto"/>
          <w:kern w:val="0"/>
          <w:szCs w:val="20"/>
          <w:lang w:bidi="en-US"/>
        </w:rPr>
      </w:pPr>
      <w:r>
        <w:rPr>
          <w:color w:val="auto"/>
          <w:kern w:val="0"/>
          <w:szCs w:val="20"/>
          <w:lang w:bidi="en-US"/>
        </w:rPr>
        <w:t xml:space="preserve">餐厨废弃物收集容器采用120L标准两轮移动塑料垃圾桶，每桶的装载重量按50kg计算，每天收运2次，考虑1.2倍的备用系数及现有餐厨垃圾桶的情况，项目计划配置1200 个桶，随着项目的推进逐渐增加餐厨废弃物收集容器的数量。  </w:t>
      </w:r>
    </w:p>
    <w:p>
      <w:pPr>
        <w:spacing w:line="360" w:lineRule="auto"/>
        <w:rPr>
          <w:color w:val="auto"/>
          <w:kern w:val="0"/>
          <w:szCs w:val="20"/>
          <w:lang w:bidi="en-US"/>
        </w:rPr>
      </w:pPr>
      <w:r>
        <w:rPr>
          <w:color w:val="auto"/>
          <w:kern w:val="0"/>
          <w:szCs w:val="20"/>
          <w:lang w:bidi="en-US"/>
        </w:rPr>
        <w:t xml:space="preserve">  （7）收运配套设施</w:t>
      </w:r>
    </w:p>
    <w:p>
      <w:pPr>
        <w:pStyle w:val="363"/>
        <w:spacing w:line="360" w:lineRule="auto"/>
        <w:ind w:firstLine="482"/>
        <w:rPr>
          <w:rFonts w:cs="Times New Roman"/>
          <w:b/>
          <w:color w:val="auto"/>
          <w:lang w:eastAsia="zh-CN"/>
        </w:rPr>
      </w:pPr>
      <w:r>
        <w:rPr>
          <w:rFonts w:cs="Times New Roman"/>
          <w:b/>
          <w:color w:val="auto"/>
          <w:lang w:eastAsia="zh-CN"/>
        </w:rPr>
        <w:t>a：备品备件间</w:t>
      </w:r>
    </w:p>
    <w:p>
      <w:pPr>
        <w:pStyle w:val="366"/>
        <w:spacing w:line="360" w:lineRule="auto"/>
        <w:ind w:firstLine="480"/>
        <w:rPr>
          <w:rFonts w:cs="Times New Roman"/>
          <w:color w:val="auto"/>
          <w:lang w:eastAsia="zh-CN"/>
        </w:rPr>
      </w:pPr>
      <w:r>
        <w:rPr>
          <w:rFonts w:cs="Times New Roman"/>
          <w:color w:val="auto"/>
          <w:lang w:eastAsia="zh-CN"/>
        </w:rPr>
        <w:t>备品备件间用于储备车辆和垃圾盛装容器等备品备件。车辆备品备件主要有：液压油管、密封胶圈，提升机构及推板装置控制阀、电磁阀等易损件。盛装容器主要储备桶体底部的滑动轮及销轴等易损件。</w:t>
      </w:r>
    </w:p>
    <w:p>
      <w:pPr>
        <w:pStyle w:val="368"/>
        <w:spacing w:line="360" w:lineRule="auto"/>
        <w:ind w:firstLine="482"/>
        <w:rPr>
          <w:rFonts w:cs="Times New Roman"/>
          <w:b/>
          <w:color w:val="auto"/>
          <w:lang w:eastAsia="zh-CN"/>
        </w:rPr>
      </w:pPr>
      <w:r>
        <w:rPr>
          <w:rFonts w:cs="Times New Roman"/>
          <w:b/>
          <w:color w:val="auto"/>
          <w:lang w:eastAsia="zh-CN"/>
        </w:rPr>
        <w:t>b：维护维修车间</w:t>
      </w:r>
    </w:p>
    <w:p>
      <w:pPr>
        <w:pStyle w:val="367"/>
        <w:spacing w:line="360" w:lineRule="auto"/>
        <w:ind w:firstLine="480"/>
        <w:rPr>
          <w:rFonts w:cs="Times New Roman"/>
          <w:color w:val="auto"/>
          <w:lang w:eastAsia="zh-CN"/>
        </w:rPr>
      </w:pPr>
      <w:r>
        <w:rPr>
          <w:rFonts w:cs="Times New Roman"/>
          <w:color w:val="auto"/>
          <w:lang w:eastAsia="zh-CN"/>
        </w:rPr>
        <w:t>维修车间约70平方米左右，主要用于餐厨项目预处理设备和餐厨收运车辆日常维修保养以及简单故障的排除修理。车间内配置有3t电动葫芦起重机、空压机、液压千斤顶、电动加油脂小车、手提电焊机、小型钻床、小型车床、砂轮机等设备。车辆的一般维护、轮胎加气在车间内进行，大修安排厂外维修站点。</w:t>
      </w:r>
    </w:p>
    <w:p>
      <w:pPr>
        <w:spacing w:line="360" w:lineRule="auto"/>
        <w:rPr>
          <w:b/>
          <w:color w:val="auto"/>
        </w:rPr>
      </w:pPr>
      <w:r>
        <w:rPr>
          <w:rFonts w:hint="eastAsia"/>
          <w:b/>
          <w:color w:val="auto"/>
        </w:rPr>
        <w:t>3.</w:t>
      </w:r>
      <w:r>
        <w:rPr>
          <w:rFonts w:hint="eastAsia"/>
          <w:b/>
          <w:color w:val="auto"/>
          <w:lang w:val="en-US" w:eastAsia="zh-CN"/>
        </w:rPr>
        <w:t>1</w:t>
      </w:r>
      <w:r>
        <w:rPr>
          <w:rFonts w:hint="eastAsia"/>
          <w:b/>
          <w:color w:val="auto"/>
        </w:rPr>
        <w:t>.7.2建筑垃圾</w:t>
      </w:r>
      <w:r>
        <w:rPr>
          <w:b/>
          <w:color w:val="auto"/>
        </w:rPr>
        <w:t>收运方案</w:t>
      </w:r>
    </w:p>
    <w:p>
      <w:pPr>
        <w:spacing w:line="360" w:lineRule="auto"/>
        <w:ind w:firstLine="480" w:firstLineChars="200"/>
        <w:rPr>
          <w:color w:val="auto"/>
        </w:rPr>
      </w:pPr>
      <w:r>
        <w:rPr>
          <w:color w:val="auto"/>
        </w:rPr>
        <w:t>（1）建筑垃圾来源及基本情况</w:t>
      </w:r>
    </w:p>
    <w:p>
      <w:pPr>
        <w:pStyle w:val="13"/>
        <w:spacing w:line="360" w:lineRule="auto"/>
        <w:ind w:firstLine="480" w:firstLineChars="200"/>
        <w:jc w:val="both"/>
        <w:rPr>
          <w:rFonts w:eastAsiaTheme="minorEastAsia"/>
          <w:color w:val="auto"/>
        </w:rPr>
      </w:pPr>
      <w:r>
        <w:rPr>
          <w:rFonts w:hint="eastAsia" w:ascii="宋体" w:hAnsi="宋体" w:eastAsia="宋体" w:cs="宋体"/>
          <w:color w:val="auto"/>
        </w:rPr>
        <w:t>建筑垃圾消纳场服务范围包括兴田街道、福兴街道、宁新街道、新陂镇，后续考虑叶塘镇、龙田镇、宁中镇、永和镇、坭陂镇、刁坊镇等周边城镇，逐渐扩大服务范围，</w:t>
      </w:r>
      <w:r>
        <w:rPr>
          <w:rFonts w:eastAsiaTheme="minorEastAsia"/>
          <w:color w:val="auto"/>
          <w:kern w:val="0"/>
        </w:rPr>
        <w:t>服务对象为城市开发建设、旧改工程及装饰装修工程中产生的建筑垃圾（不包括余泥、余土）。建筑垃圾的来源可分为：施工类、开挖类、拆除类以及装修类建筑垃圾</w:t>
      </w:r>
      <w:r>
        <w:rPr>
          <w:rFonts w:hint="eastAsia" w:eastAsiaTheme="minorEastAsia"/>
          <w:color w:val="auto"/>
        </w:rPr>
        <w:t>。</w:t>
      </w:r>
      <w:r>
        <w:rPr>
          <w:rFonts w:eastAsiaTheme="minorEastAsia"/>
          <w:color w:val="auto"/>
        </w:rPr>
        <w:t>本项目建筑垃圾在运输前已在拆迁区进行分选，本项目不在厂内建设分选区。本项目建筑垃圾的运输委托专业运输公司负责。</w:t>
      </w:r>
    </w:p>
    <w:p>
      <w:pPr>
        <w:spacing w:line="360" w:lineRule="auto"/>
        <w:ind w:firstLine="480" w:firstLineChars="200"/>
        <w:rPr>
          <w:color w:val="auto"/>
        </w:rPr>
      </w:pPr>
      <w:r>
        <w:rPr>
          <w:color w:val="auto"/>
        </w:rPr>
        <w:t>（2）消纳</w:t>
      </w:r>
      <w:r>
        <w:rPr>
          <w:rFonts w:hint="eastAsia"/>
          <w:color w:val="auto"/>
        </w:rPr>
        <w:t>场</w:t>
      </w:r>
      <w:r>
        <w:rPr>
          <w:color w:val="auto"/>
        </w:rPr>
        <w:t>入场要求</w:t>
      </w:r>
    </w:p>
    <w:p>
      <w:pPr>
        <w:pStyle w:val="16"/>
        <w:kinsoku w:val="0"/>
        <w:overflowPunct w:val="0"/>
        <w:spacing w:before="0" w:beforeAutospacing="0" w:after="0" w:line="360" w:lineRule="auto"/>
        <w:ind w:firstLine="480" w:firstLineChars="200"/>
        <w:rPr>
          <w:color w:val="auto"/>
          <w:szCs w:val="24"/>
        </w:rPr>
      </w:pPr>
      <w:r>
        <w:rPr>
          <w:rFonts w:hint="eastAsia"/>
          <w:color w:val="auto"/>
          <w:szCs w:val="24"/>
        </w:rPr>
        <w:t>1、入场要求</w:t>
      </w:r>
    </w:p>
    <w:p>
      <w:pPr>
        <w:pStyle w:val="16"/>
        <w:kinsoku w:val="0"/>
        <w:overflowPunct w:val="0"/>
        <w:spacing w:before="0" w:beforeAutospacing="0" w:after="0" w:line="360" w:lineRule="auto"/>
        <w:ind w:firstLine="480" w:firstLineChars="200"/>
        <w:rPr>
          <w:color w:val="auto"/>
          <w:szCs w:val="24"/>
        </w:rPr>
      </w:pPr>
      <w:r>
        <w:rPr>
          <w:rFonts w:hint="eastAsia"/>
          <w:color w:val="auto"/>
          <w:szCs w:val="24"/>
        </w:rPr>
        <w:t>根据《城市建筑垃圾管理规定》及《建筑垃圾处理技术规范》（CJJ 134-2009），对建筑垃圾填埋入场提出如下控制性要求：</w:t>
      </w:r>
    </w:p>
    <w:p>
      <w:pPr>
        <w:pStyle w:val="16"/>
        <w:kinsoku w:val="0"/>
        <w:overflowPunct w:val="0"/>
        <w:spacing w:before="0" w:beforeAutospacing="0" w:after="0" w:line="360" w:lineRule="auto"/>
        <w:ind w:firstLine="480" w:firstLineChars="200"/>
        <w:rPr>
          <w:color w:val="auto"/>
          <w:szCs w:val="24"/>
        </w:rPr>
      </w:pPr>
      <w:r>
        <w:rPr>
          <w:color w:val="auto"/>
          <w:szCs w:val="24"/>
        </w:rPr>
        <w:fldChar w:fldCharType="begin"/>
      </w:r>
      <w:r>
        <w:rPr>
          <w:color w:val="auto"/>
          <w:szCs w:val="24"/>
        </w:rPr>
        <w:instrText xml:space="preserve"> </w:instrText>
      </w:r>
      <w:r>
        <w:rPr>
          <w:rFonts w:hint="eastAsia"/>
          <w:color w:val="auto"/>
          <w:szCs w:val="24"/>
        </w:rPr>
        <w:instrText xml:space="preserve">= 1 \* GB3</w:instrText>
      </w:r>
      <w:r>
        <w:rPr>
          <w:color w:val="auto"/>
          <w:szCs w:val="24"/>
        </w:rPr>
        <w:instrText xml:space="preserve"> </w:instrText>
      </w:r>
      <w:r>
        <w:rPr>
          <w:color w:val="auto"/>
          <w:szCs w:val="24"/>
        </w:rPr>
        <w:fldChar w:fldCharType="separate"/>
      </w:r>
      <w:r>
        <w:rPr>
          <w:rFonts w:hint="eastAsia"/>
          <w:color w:val="auto"/>
          <w:szCs w:val="24"/>
        </w:rPr>
        <w:t>①</w:t>
      </w:r>
      <w:r>
        <w:rPr>
          <w:color w:val="auto"/>
          <w:szCs w:val="24"/>
        </w:rPr>
        <w:fldChar w:fldCharType="end"/>
      </w:r>
      <w:r>
        <w:rPr>
          <w:rFonts w:hint="eastAsia"/>
          <w:color w:val="auto"/>
          <w:szCs w:val="24"/>
        </w:rPr>
        <w:t>建设过程中旧建筑拆除、建筑施工过程产生的碎石块、砖瓦碎块、混凝土块、废竹木等可以进入消纳场填埋，不包括沥青块、废塑料、废金属料；</w:t>
      </w:r>
    </w:p>
    <w:p>
      <w:pPr>
        <w:pStyle w:val="16"/>
        <w:kinsoku w:val="0"/>
        <w:overflowPunct w:val="0"/>
        <w:spacing w:before="0" w:beforeAutospacing="0" w:after="0" w:line="360" w:lineRule="auto"/>
        <w:ind w:firstLine="480" w:firstLineChars="200"/>
        <w:rPr>
          <w:color w:val="auto"/>
          <w:szCs w:val="24"/>
        </w:rPr>
      </w:pPr>
      <w:r>
        <w:rPr>
          <w:color w:val="auto"/>
          <w:szCs w:val="24"/>
        </w:rPr>
        <w:fldChar w:fldCharType="begin"/>
      </w:r>
      <w:r>
        <w:rPr>
          <w:color w:val="auto"/>
          <w:szCs w:val="24"/>
        </w:rPr>
        <w:instrText xml:space="preserve"> </w:instrText>
      </w:r>
      <w:r>
        <w:rPr>
          <w:rFonts w:hint="eastAsia"/>
          <w:color w:val="auto"/>
          <w:szCs w:val="24"/>
        </w:rPr>
        <w:instrText xml:space="preserve">= 2 \* GB3</w:instrText>
      </w:r>
      <w:r>
        <w:rPr>
          <w:color w:val="auto"/>
          <w:szCs w:val="24"/>
        </w:rPr>
        <w:instrText xml:space="preserve"> </w:instrText>
      </w:r>
      <w:r>
        <w:rPr>
          <w:color w:val="auto"/>
          <w:szCs w:val="24"/>
        </w:rPr>
        <w:fldChar w:fldCharType="separate"/>
      </w:r>
      <w:r>
        <w:rPr>
          <w:rFonts w:hint="eastAsia"/>
          <w:color w:val="auto"/>
          <w:szCs w:val="24"/>
        </w:rPr>
        <w:t>②</w:t>
      </w:r>
      <w:r>
        <w:rPr>
          <w:color w:val="auto"/>
          <w:szCs w:val="24"/>
        </w:rPr>
        <w:fldChar w:fldCharType="end"/>
      </w:r>
      <w:r>
        <w:rPr>
          <w:rFonts w:hint="eastAsia"/>
          <w:color w:val="auto"/>
          <w:szCs w:val="24"/>
        </w:rPr>
        <w:t>禁止工业垃圾、生活垃圾、医疗垃圾、危险废物及有毒有害垃圾进入建筑垃圾场；</w:t>
      </w:r>
    </w:p>
    <w:p>
      <w:pPr>
        <w:pStyle w:val="16"/>
        <w:kinsoku w:val="0"/>
        <w:overflowPunct w:val="0"/>
        <w:spacing w:before="0" w:beforeAutospacing="0" w:after="0" w:line="360" w:lineRule="auto"/>
        <w:ind w:firstLine="480" w:firstLineChars="200"/>
        <w:rPr>
          <w:color w:val="auto"/>
          <w:szCs w:val="24"/>
        </w:rPr>
      </w:pPr>
      <w:r>
        <w:rPr>
          <w:color w:val="auto"/>
          <w:szCs w:val="24"/>
        </w:rPr>
        <w:fldChar w:fldCharType="begin"/>
      </w:r>
      <w:r>
        <w:rPr>
          <w:color w:val="auto"/>
          <w:szCs w:val="24"/>
        </w:rPr>
        <w:instrText xml:space="preserve"> </w:instrText>
      </w:r>
      <w:r>
        <w:rPr>
          <w:rFonts w:hint="eastAsia"/>
          <w:color w:val="auto"/>
          <w:szCs w:val="24"/>
        </w:rPr>
        <w:instrText xml:space="preserve">= 3 \* GB3</w:instrText>
      </w:r>
      <w:r>
        <w:rPr>
          <w:color w:val="auto"/>
          <w:szCs w:val="24"/>
        </w:rPr>
        <w:instrText xml:space="preserve"> </w:instrText>
      </w:r>
      <w:r>
        <w:rPr>
          <w:color w:val="auto"/>
          <w:szCs w:val="24"/>
        </w:rPr>
        <w:fldChar w:fldCharType="separate"/>
      </w:r>
      <w:r>
        <w:rPr>
          <w:rFonts w:hint="eastAsia"/>
          <w:color w:val="auto"/>
          <w:szCs w:val="24"/>
        </w:rPr>
        <w:t>③</w:t>
      </w:r>
      <w:r>
        <w:rPr>
          <w:color w:val="auto"/>
          <w:szCs w:val="24"/>
        </w:rPr>
        <w:fldChar w:fldCharType="end"/>
      </w:r>
      <w:r>
        <w:rPr>
          <w:rFonts w:hint="eastAsia"/>
          <w:color w:val="auto"/>
          <w:szCs w:val="24"/>
        </w:rPr>
        <w:t>由环境卫生机构收集或者自行收集的混合生活垃圾，以及企事业单位产生的办公废物禁止入场；</w:t>
      </w:r>
    </w:p>
    <w:p>
      <w:pPr>
        <w:pStyle w:val="16"/>
        <w:kinsoku w:val="0"/>
        <w:overflowPunct w:val="0"/>
        <w:spacing w:before="0" w:beforeAutospacing="0" w:after="0" w:line="360" w:lineRule="auto"/>
        <w:ind w:firstLine="480" w:firstLineChars="200"/>
        <w:rPr>
          <w:color w:val="auto"/>
          <w:szCs w:val="24"/>
        </w:rPr>
      </w:pPr>
      <w:r>
        <w:rPr>
          <w:color w:val="auto"/>
          <w:szCs w:val="24"/>
        </w:rPr>
        <w:fldChar w:fldCharType="begin"/>
      </w:r>
      <w:r>
        <w:rPr>
          <w:color w:val="auto"/>
          <w:szCs w:val="24"/>
        </w:rPr>
        <w:instrText xml:space="preserve"> </w:instrText>
      </w:r>
      <w:r>
        <w:rPr>
          <w:rFonts w:hint="eastAsia"/>
          <w:color w:val="auto"/>
          <w:szCs w:val="24"/>
        </w:rPr>
        <w:instrText xml:space="preserve">= 4 \* GB3</w:instrText>
      </w:r>
      <w:r>
        <w:rPr>
          <w:color w:val="auto"/>
          <w:szCs w:val="24"/>
        </w:rPr>
        <w:instrText xml:space="preserve"> </w:instrText>
      </w:r>
      <w:r>
        <w:rPr>
          <w:color w:val="auto"/>
          <w:szCs w:val="24"/>
        </w:rPr>
        <w:fldChar w:fldCharType="separate"/>
      </w:r>
      <w:r>
        <w:rPr>
          <w:rFonts w:hint="eastAsia"/>
          <w:color w:val="auto"/>
          <w:szCs w:val="24"/>
        </w:rPr>
        <w:t>④</w:t>
      </w:r>
      <w:r>
        <w:rPr>
          <w:color w:val="auto"/>
          <w:szCs w:val="24"/>
        </w:rPr>
        <w:fldChar w:fldCharType="end"/>
      </w:r>
      <w:r>
        <w:rPr>
          <w:rFonts w:hint="eastAsia"/>
          <w:color w:val="auto"/>
          <w:szCs w:val="24"/>
        </w:rPr>
        <w:t>生活垃圾焚烧炉渣以及焚烧飞灰禁止入场；</w:t>
      </w:r>
    </w:p>
    <w:p>
      <w:pPr>
        <w:pStyle w:val="16"/>
        <w:kinsoku w:val="0"/>
        <w:overflowPunct w:val="0"/>
        <w:spacing w:before="0" w:beforeAutospacing="0" w:after="0" w:line="360" w:lineRule="auto"/>
        <w:ind w:firstLine="480" w:firstLineChars="200"/>
        <w:rPr>
          <w:color w:val="auto"/>
          <w:szCs w:val="24"/>
        </w:rPr>
      </w:pPr>
      <w:r>
        <w:rPr>
          <w:color w:val="auto"/>
          <w:szCs w:val="24"/>
        </w:rPr>
        <w:fldChar w:fldCharType="begin"/>
      </w:r>
      <w:r>
        <w:rPr>
          <w:color w:val="auto"/>
          <w:szCs w:val="24"/>
        </w:rPr>
        <w:instrText xml:space="preserve"> </w:instrText>
      </w:r>
      <w:r>
        <w:rPr>
          <w:rFonts w:hint="eastAsia"/>
          <w:color w:val="auto"/>
          <w:szCs w:val="24"/>
        </w:rPr>
        <w:instrText xml:space="preserve">= 5 \* GB3</w:instrText>
      </w:r>
      <w:r>
        <w:rPr>
          <w:color w:val="auto"/>
          <w:szCs w:val="24"/>
        </w:rPr>
        <w:instrText xml:space="preserve"> </w:instrText>
      </w:r>
      <w:r>
        <w:rPr>
          <w:color w:val="auto"/>
          <w:szCs w:val="24"/>
        </w:rPr>
        <w:fldChar w:fldCharType="separate"/>
      </w:r>
      <w:r>
        <w:rPr>
          <w:rFonts w:hint="eastAsia"/>
          <w:color w:val="auto"/>
          <w:szCs w:val="24"/>
        </w:rPr>
        <w:t>⑤</w:t>
      </w:r>
      <w:r>
        <w:rPr>
          <w:color w:val="auto"/>
          <w:szCs w:val="24"/>
        </w:rPr>
        <w:fldChar w:fldCharType="end"/>
      </w:r>
      <w:r>
        <w:rPr>
          <w:rFonts w:hint="eastAsia"/>
          <w:color w:val="auto"/>
          <w:szCs w:val="24"/>
        </w:rPr>
        <w:t>生活垃圾堆肥处理产生的固态残余物禁止入场；</w:t>
      </w:r>
    </w:p>
    <w:p>
      <w:pPr>
        <w:pStyle w:val="16"/>
        <w:kinsoku w:val="0"/>
        <w:overflowPunct w:val="0"/>
        <w:spacing w:before="0" w:beforeAutospacing="0" w:after="0" w:line="360" w:lineRule="auto"/>
        <w:ind w:firstLine="480" w:firstLineChars="200"/>
        <w:rPr>
          <w:color w:val="auto"/>
          <w:szCs w:val="24"/>
        </w:rPr>
      </w:pPr>
      <w:r>
        <w:rPr>
          <w:rFonts w:hint="eastAsia"/>
          <w:color w:val="auto"/>
          <w:szCs w:val="24"/>
        </w:rPr>
        <w:t>2、保障措施</w:t>
      </w:r>
    </w:p>
    <w:p>
      <w:pPr>
        <w:pStyle w:val="16"/>
        <w:kinsoku w:val="0"/>
        <w:overflowPunct w:val="0"/>
        <w:spacing w:before="0" w:beforeAutospacing="0" w:after="0" w:line="360" w:lineRule="auto"/>
        <w:ind w:firstLine="480" w:firstLineChars="200"/>
        <w:rPr>
          <w:rFonts w:hint="eastAsia"/>
          <w:color w:val="auto"/>
          <w:szCs w:val="24"/>
          <w:lang w:eastAsia="zh-CN"/>
        </w:rPr>
      </w:pPr>
      <w:r>
        <w:rPr>
          <w:color w:val="auto"/>
          <w:szCs w:val="24"/>
        </w:rPr>
        <w:fldChar w:fldCharType="begin"/>
      </w:r>
      <w:r>
        <w:rPr>
          <w:color w:val="auto"/>
          <w:szCs w:val="24"/>
        </w:rPr>
        <w:instrText xml:space="preserve"> </w:instrText>
      </w:r>
      <w:r>
        <w:rPr>
          <w:rFonts w:hint="eastAsia"/>
          <w:color w:val="auto"/>
          <w:szCs w:val="24"/>
        </w:rPr>
        <w:instrText xml:space="preserve">= 1 \* GB3</w:instrText>
      </w:r>
      <w:r>
        <w:rPr>
          <w:color w:val="auto"/>
          <w:szCs w:val="24"/>
        </w:rPr>
        <w:instrText xml:space="preserve"> </w:instrText>
      </w:r>
      <w:r>
        <w:rPr>
          <w:color w:val="auto"/>
          <w:szCs w:val="24"/>
        </w:rPr>
        <w:fldChar w:fldCharType="separate"/>
      </w:r>
      <w:r>
        <w:rPr>
          <w:rFonts w:hint="eastAsia"/>
          <w:color w:val="auto"/>
          <w:szCs w:val="24"/>
        </w:rPr>
        <w:t>①</w:t>
      </w:r>
      <w:r>
        <w:rPr>
          <w:color w:val="auto"/>
          <w:szCs w:val="24"/>
        </w:rPr>
        <w:fldChar w:fldCharType="end"/>
      </w:r>
      <w:r>
        <w:rPr>
          <w:rFonts w:hint="eastAsia"/>
          <w:color w:val="auto"/>
          <w:szCs w:val="24"/>
          <w:lang w:eastAsia="zh-CN"/>
        </w:rPr>
        <w:t>本项目不设置建筑垃圾分拣工序，在收集前端已由中转站进行机械和人工分拣，通过机械和人工的目测操作将有一些废旧金属、有毒有害物质分拣出来，同时建设单位需与运输单位签订收运责任书，明确在收集过程中不能混入</w:t>
      </w:r>
      <w:r>
        <w:rPr>
          <w:rFonts w:hint="eastAsia"/>
          <w:color w:val="auto"/>
          <w:szCs w:val="24"/>
        </w:rPr>
        <w:t>工业垃圾、生活垃圾、医疗垃圾、危险废物</w:t>
      </w:r>
      <w:r>
        <w:rPr>
          <w:rFonts w:hint="eastAsia"/>
          <w:color w:val="auto"/>
          <w:szCs w:val="24"/>
          <w:lang w:eastAsia="zh-CN"/>
        </w:rPr>
        <w:t>等</w:t>
      </w:r>
      <w:r>
        <w:rPr>
          <w:rFonts w:hint="eastAsia"/>
          <w:color w:val="auto"/>
          <w:szCs w:val="24"/>
        </w:rPr>
        <w:t>有毒有害垃圾</w:t>
      </w:r>
      <w:r>
        <w:rPr>
          <w:rFonts w:hint="eastAsia"/>
          <w:color w:val="auto"/>
          <w:szCs w:val="24"/>
          <w:lang w:eastAsia="zh-CN"/>
        </w:rPr>
        <w:t>，确保在源头对进场建筑垃圾的控制。</w:t>
      </w:r>
    </w:p>
    <w:p>
      <w:pPr>
        <w:pStyle w:val="16"/>
        <w:kinsoku w:val="0"/>
        <w:overflowPunct w:val="0"/>
        <w:spacing w:before="0" w:beforeAutospacing="0" w:after="0" w:line="360" w:lineRule="auto"/>
        <w:ind w:firstLine="480" w:firstLineChars="200"/>
        <w:rPr>
          <w:color w:val="auto"/>
          <w:szCs w:val="24"/>
        </w:rPr>
      </w:pPr>
      <w:r>
        <w:rPr>
          <w:color w:val="auto"/>
          <w:szCs w:val="24"/>
        </w:rPr>
        <w:fldChar w:fldCharType="begin"/>
      </w:r>
      <w:r>
        <w:rPr>
          <w:color w:val="auto"/>
          <w:szCs w:val="24"/>
        </w:rPr>
        <w:instrText xml:space="preserve"> </w:instrText>
      </w:r>
      <w:r>
        <w:rPr>
          <w:rFonts w:hint="eastAsia"/>
          <w:color w:val="auto"/>
          <w:szCs w:val="24"/>
        </w:rPr>
        <w:instrText xml:space="preserve">= 2 \* GB3</w:instrText>
      </w:r>
      <w:r>
        <w:rPr>
          <w:color w:val="auto"/>
          <w:szCs w:val="24"/>
        </w:rPr>
        <w:instrText xml:space="preserve"> </w:instrText>
      </w:r>
      <w:r>
        <w:rPr>
          <w:color w:val="auto"/>
          <w:szCs w:val="24"/>
        </w:rPr>
        <w:fldChar w:fldCharType="separate"/>
      </w:r>
      <w:r>
        <w:rPr>
          <w:rFonts w:hint="eastAsia"/>
          <w:color w:val="auto"/>
          <w:szCs w:val="24"/>
        </w:rPr>
        <w:t>②</w:t>
      </w:r>
      <w:r>
        <w:rPr>
          <w:color w:val="auto"/>
          <w:szCs w:val="24"/>
        </w:rPr>
        <w:fldChar w:fldCharType="end"/>
      </w:r>
      <w:r>
        <w:rPr>
          <w:rFonts w:hint="eastAsia"/>
          <w:color w:val="auto"/>
          <w:szCs w:val="24"/>
        </w:rPr>
        <w:t>运输建筑垃圾的单位在运输建筑垃圾时，应按照城市人民政府有关部门规定的运输路线、时间运行，不得丢弃、遗撒建筑垃圾。</w:t>
      </w:r>
    </w:p>
    <w:p>
      <w:pPr>
        <w:pStyle w:val="16"/>
        <w:kinsoku w:val="0"/>
        <w:overflowPunct w:val="0"/>
        <w:spacing w:before="0" w:beforeAutospacing="0" w:after="0" w:line="360" w:lineRule="auto"/>
        <w:ind w:firstLine="480" w:firstLineChars="200"/>
        <w:rPr>
          <w:color w:val="auto"/>
          <w:szCs w:val="24"/>
        </w:rPr>
      </w:pPr>
      <w:r>
        <w:rPr>
          <w:color w:val="auto"/>
          <w:szCs w:val="24"/>
        </w:rPr>
        <w:fldChar w:fldCharType="begin"/>
      </w:r>
      <w:r>
        <w:rPr>
          <w:color w:val="auto"/>
          <w:szCs w:val="24"/>
        </w:rPr>
        <w:instrText xml:space="preserve"> </w:instrText>
      </w:r>
      <w:r>
        <w:rPr>
          <w:rFonts w:hint="eastAsia"/>
          <w:color w:val="auto"/>
          <w:szCs w:val="24"/>
        </w:rPr>
        <w:instrText xml:space="preserve">= 3 \* GB3</w:instrText>
      </w:r>
      <w:r>
        <w:rPr>
          <w:color w:val="auto"/>
          <w:szCs w:val="24"/>
        </w:rPr>
        <w:instrText xml:space="preserve"> </w:instrText>
      </w:r>
      <w:r>
        <w:rPr>
          <w:color w:val="auto"/>
          <w:szCs w:val="24"/>
        </w:rPr>
        <w:fldChar w:fldCharType="separate"/>
      </w:r>
      <w:r>
        <w:rPr>
          <w:rFonts w:hint="eastAsia"/>
          <w:color w:val="auto"/>
          <w:szCs w:val="24"/>
        </w:rPr>
        <w:t>③</w:t>
      </w:r>
      <w:r>
        <w:rPr>
          <w:color w:val="auto"/>
          <w:szCs w:val="24"/>
        </w:rPr>
        <w:fldChar w:fldCharType="end"/>
      </w:r>
      <w:r>
        <w:rPr>
          <w:rFonts w:hint="eastAsia"/>
          <w:color w:val="auto"/>
          <w:szCs w:val="24"/>
        </w:rPr>
        <w:t>装卸垃圾过程中应有填埋场工作人员进行监督核验，一经发现不符合入场要求的垃圾均拒绝装卸，对不服从的车辆吊销核准文件。</w:t>
      </w:r>
    </w:p>
    <w:p>
      <w:pPr>
        <w:pStyle w:val="16"/>
        <w:kinsoku w:val="0"/>
        <w:overflowPunct w:val="0"/>
        <w:spacing w:before="0" w:beforeAutospacing="0" w:after="0" w:line="360" w:lineRule="auto"/>
        <w:ind w:firstLine="480" w:firstLineChars="200"/>
        <w:rPr>
          <w:color w:val="auto"/>
          <w:szCs w:val="24"/>
          <w:shd w:val="clear" w:color="auto" w:fill="FFFFFF"/>
        </w:rPr>
      </w:pPr>
      <w:r>
        <w:rPr>
          <w:color w:val="auto"/>
          <w:szCs w:val="24"/>
          <w:shd w:val="clear" w:color="auto" w:fill="FFFFFF"/>
        </w:rPr>
        <w:fldChar w:fldCharType="begin"/>
      </w:r>
      <w:r>
        <w:rPr>
          <w:color w:val="auto"/>
          <w:szCs w:val="24"/>
          <w:shd w:val="clear" w:color="auto" w:fill="FFFFFF"/>
        </w:rPr>
        <w:instrText xml:space="preserve"> </w:instrText>
      </w:r>
      <w:r>
        <w:rPr>
          <w:rFonts w:hint="eastAsia"/>
          <w:color w:val="auto"/>
          <w:szCs w:val="24"/>
          <w:shd w:val="clear" w:color="auto" w:fill="FFFFFF"/>
        </w:rPr>
        <w:instrText xml:space="preserve">= 4 \* GB3</w:instrText>
      </w:r>
      <w:r>
        <w:rPr>
          <w:color w:val="auto"/>
          <w:szCs w:val="24"/>
          <w:shd w:val="clear" w:color="auto" w:fill="FFFFFF"/>
        </w:rPr>
        <w:instrText xml:space="preserve"> </w:instrText>
      </w:r>
      <w:r>
        <w:rPr>
          <w:color w:val="auto"/>
          <w:szCs w:val="24"/>
          <w:shd w:val="clear" w:color="auto" w:fill="FFFFFF"/>
        </w:rPr>
        <w:fldChar w:fldCharType="separate"/>
      </w:r>
      <w:r>
        <w:rPr>
          <w:rFonts w:hint="eastAsia"/>
          <w:color w:val="auto"/>
          <w:szCs w:val="24"/>
          <w:shd w:val="clear" w:color="auto" w:fill="FFFFFF"/>
        </w:rPr>
        <w:t>④</w:t>
      </w:r>
      <w:r>
        <w:rPr>
          <w:color w:val="auto"/>
          <w:szCs w:val="24"/>
          <w:shd w:val="clear" w:color="auto" w:fill="FFFFFF"/>
        </w:rPr>
        <w:fldChar w:fldCharType="end"/>
      </w:r>
      <w:r>
        <w:rPr>
          <w:rFonts w:hint="eastAsia"/>
          <w:color w:val="auto"/>
          <w:szCs w:val="24"/>
          <w:shd w:val="clear" w:color="auto" w:fill="FFFFFF"/>
        </w:rPr>
        <w:t>对于拆除工地的现场应提前到相关部门报备，并说明垃圾成分，含量，数量，并在装车前单位内部进行检查</w:t>
      </w:r>
      <w:r>
        <w:rPr>
          <w:color w:val="auto"/>
          <w:szCs w:val="24"/>
          <w:shd w:val="clear" w:color="auto" w:fill="FFFFFF"/>
        </w:rPr>
        <w:t>。</w:t>
      </w:r>
    </w:p>
    <w:p>
      <w:pPr>
        <w:pStyle w:val="16"/>
        <w:kinsoku w:val="0"/>
        <w:overflowPunct w:val="0"/>
        <w:spacing w:before="0" w:beforeAutospacing="0" w:after="0" w:line="360" w:lineRule="auto"/>
        <w:ind w:firstLine="480" w:firstLineChars="200"/>
        <w:rPr>
          <w:color w:val="auto"/>
          <w:szCs w:val="24"/>
          <w:shd w:val="clear" w:color="auto" w:fill="FFFFFF"/>
        </w:rPr>
      </w:pPr>
      <w:r>
        <w:rPr>
          <w:color w:val="auto"/>
          <w:szCs w:val="24"/>
          <w:shd w:val="clear" w:color="auto" w:fill="FFFFFF"/>
        </w:rPr>
        <w:fldChar w:fldCharType="begin"/>
      </w:r>
      <w:r>
        <w:rPr>
          <w:color w:val="auto"/>
          <w:szCs w:val="24"/>
          <w:shd w:val="clear" w:color="auto" w:fill="FFFFFF"/>
        </w:rPr>
        <w:instrText xml:space="preserve"> </w:instrText>
      </w:r>
      <w:r>
        <w:rPr>
          <w:rFonts w:hint="eastAsia"/>
          <w:color w:val="auto"/>
          <w:szCs w:val="24"/>
          <w:shd w:val="clear" w:color="auto" w:fill="FFFFFF"/>
        </w:rPr>
        <w:instrText xml:space="preserve">= 5 \* GB3</w:instrText>
      </w:r>
      <w:r>
        <w:rPr>
          <w:color w:val="auto"/>
          <w:szCs w:val="24"/>
          <w:shd w:val="clear" w:color="auto" w:fill="FFFFFF"/>
        </w:rPr>
        <w:instrText xml:space="preserve"> </w:instrText>
      </w:r>
      <w:r>
        <w:rPr>
          <w:color w:val="auto"/>
          <w:szCs w:val="24"/>
          <w:shd w:val="clear" w:color="auto" w:fill="FFFFFF"/>
        </w:rPr>
        <w:fldChar w:fldCharType="separate"/>
      </w:r>
      <w:r>
        <w:rPr>
          <w:rFonts w:hint="eastAsia"/>
          <w:color w:val="auto"/>
          <w:szCs w:val="24"/>
          <w:shd w:val="clear" w:color="auto" w:fill="FFFFFF"/>
        </w:rPr>
        <w:t>⑤</w:t>
      </w:r>
      <w:r>
        <w:rPr>
          <w:color w:val="auto"/>
          <w:szCs w:val="24"/>
          <w:shd w:val="clear" w:color="auto" w:fill="FFFFFF"/>
        </w:rPr>
        <w:fldChar w:fldCharType="end"/>
      </w:r>
      <w:r>
        <w:rPr>
          <w:rFonts w:hint="eastAsia"/>
          <w:color w:val="auto"/>
          <w:szCs w:val="24"/>
          <w:shd w:val="clear" w:color="auto" w:fill="FFFFFF"/>
        </w:rPr>
        <w:t>建筑垃圾现场交接时应认真核对建筑垃圾的数量、种类、标识等，同时对接收的建筑垃圾及时登记</w:t>
      </w:r>
      <w:r>
        <w:rPr>
          <w:rFonts w:hint="eastAsia"/>
          <w:color w:val="auto"/>
          <w:szCs w:val="24"/>
          <w:shd w:val="clear" w:color="auto" w:fill="FFFFFF"/>
          <w:lang w:eastAsia="zh-CN"/>
        </w:rPr>
        <w:t>。</w:t>
      </w:r>
    </w:p>
    <w:p>
      <w:pPr>
        <w:pStyle w:val="16"/>
        <w:kinsoku w:val="0"/>
        <w:overflowPunct w:val="0"/>
        <w:spacing w:before="0" w:beforeAutospacing="0" w:after="0" w:line="360" w:lineRule="auto"/>
        <w:ind w:firstLine="480" w:firstLineChars="200"/>
        <w:rPr>
          <w:color w:val="auto"/>
          <w:szCs w:val="24"/>
          <w:shd w:val="clear" w:color="auto" w:fill="FFFFFF"/>
        </w:rPr>
      </w:pPr>
      <w:r>
        <w:rPr>
          <w:color w:val="auto"/>
          <w:szCs w:val="24"/>
          <w:shd w:val="clear" w:color="auto" w:fill="FFFFFF"/>
        </w:rPr>
        <w:fldChar w:fldCharType="begin"/>
      </w:r>
      <w:r>
        <w:rPr>
          <w:color w:val="auto"/>
          <w:szCs w:val="24"/>
          <w:shd w:val="clear" w:color="auto" w:fill="FFFFFF"/>
        </w:rPr>
        <w:instrText xml:space="preserve"> </w:instrText>
      </w:r>
      <w:r>
        <w:rPr>
          <w:rFonts w:hint="eastAsia"/>
          <w:color w:val="auto"/>
          <w:szCs w:val="24"/>
          <w:shd w:val="clear" w:color="auto" w:fill="FFFFFF"/>
        </w:rPr>
        <w:instrText xml:space="preserve">= 6 \* GB3</w:instrText>
      </w:r>
      <w:r>
        <w:rPr>
          <w:color w:val="auto"/>
          <w:szCs w:val="24"/>
          <w:shd w:val="clear" w:color="auto" w:fill="FFFFFF"/>
        </w:rPr>
        <w:instrText xml:space="preserve"> </w:instrText>
      </w:r>
      <w:r>
        <w:rPr>
          <w:color w:val="auto"/>
          <w:szCs w:val="24"/>
          <w:shd w:val="clear" w:color="auto" w:fill="FFFFFF"/>
        </w:rPr>
        <w:fldChar w:fldCharType="separate"/>
      </w:r>
      <w:r>
        <w:rPr>
          <w:rFonts w:hint="eastAsia"/>
          <w:color w:val="auto"/>
          <w:szCs w:val="24"/>
          <w:shd w:val="clear" w:color="auto" w:fill="FFFFFF"/>
        </w:rPr>
        <w:t>⑥</w:t>
      </w:r>
      <w:r>
        <w:rPr>
          <w:color w:val="auto"/>
          <w:szCs w:val="24"/>
          <w:shd w:val="clear" w:color="auto" w:fill="FFFFFF"/>
        </w:rPr>
        <w:fldChar w:fldCharType="end"/>
      </w:r>
      <w:r>
        <w:rPr>
          <w:rFonts w:hint="eastAsia"/>
          <w:color w:val="auto"/>
          <w:szCs w:val="24"/>
          <w:shd w:val="clear" w:color="auto" w:fill="FFFFFF"/>
        </w:rPr>
        <w:t>本项目对来源复杂、成分难以确定以及定期对入场建筑垃圾进行检测</w:t>
      </w:r>
      <w:r>
        <w:rPr>
          <w:rFonts w:hint="eastAsia"/>
          <w:color w:val="auto"/>
          <w:szCs w:val="24"/>
          <w:shd w:val="clear" w:color="auto" w:fill="FFFFFF"/>
          <w:lang w:eastAsia="zh-CN"/>
        </w:rPr>
        <w:t>，主要是委托有资质的单位进行浸出检验，同时</w:t>
      </w:r>
      <w:r>
        <w:rPr>
          <w:rFonts w:hint="eastAsia"/>
          <w:color w:val="auto"/>
          <w:szCs w:val="24"/>
          <w:shd w:val="clear" w:color="auto" w:fill="FFFFFF"/>
        </w:rPr>
        <w:t>配备负责入场建筑垃圾检测、评价工作的机构和人员，一旦发现检测结果为危险废物，则禁止接收</w:t>
      </w:r>
      <w:r>
        <w:rPr>
          <w:rFonts w:hint="eastAsia"/>
          <w:color w:val="auto"/>
          <w:szCs w:val="24"/>
          <w:shd w:val="clear" w:color="auto" w:fill="FFFFFF"/>
          <w:lang w:eastAsia="zh-CN"/>
        </w:rPr>
        <w:t>。</w:t>
      </w:r>
    </w:p>
    <w:p>
      <w:pPr>
        <w:pStyle w:val="16"/>
        <w:kinsoku w:val="0"/>
        <w:overflowPunct w:val="0"/>
        <w:spacing w:before="0" w:beforeAutospacing="0" w:after="0" w:line="360" w:lineRule="auto"/>
        <w:ind w:firstLine="480" w:firstLineChars="200"/>
        <w:rPr>
          <w:color w:val="auto"/>
          <w:szCs w:val="24"/>
          <w:shd w:val="clear" w:color="auto" w:fill="FFFFFF"/>
        </w:rPr>
      </w:pPr>
      <w:r>
        <w:rPr>
          <w:color w:val="auto"/>
          <w:szCs w:val="24"/>
          <w:shd w:val="clear" w:color="auto" w:fill="FFFFFF"/>
        </w:rPr>
        <w:fldChar w:fldCharType="begin"/>
      </w:r>
      <w:r>
        <w:rPr>
          <w:color w:val="auto"/>
          <w:szCs w:val="24"/>
          <w:shd w:val="clear" w:color="auto" w:fill="FFFFFF"/>
        </w:rPr>
        <w:instrText xml:space="preserve"> = 7 \* GB3 \* MERGEFORMAT </w:instrText>
      </w:r>
      <w:r>
        <w:rPr>
          <w:color w:val="auto"/>
          <w:szCs w:val="24"/>
          <w:shd w:val="clear" w:color="auto" w:fill="FFFFFF"/>
        </w:rPr>
        <w:fldChar w:fldCharType="separate"/>
      </w:r>
      <w:r>
        <w:rPr>
          <w:color w:val="auto"/>
        </w:rPr>
        <w:t>⑦</w:t>
      </w:r>
      <w:r>
        <w:rPr>
          <w:color w:val="auto"/>
          <w:szCs w:val="24"/>
          <w:shd w:val="clear" w:color="auto" w:fill="FFFFFF"/>
        </w:rPr>
        <w:fldChar w:fldCharType="end"/>
      </w:r>
      <w:r>
        <w:rPr>
          <w:rFonts w:hint="eastAsia"/>
          <w:color w:val="auto"/>
          <w:szCs w:val="24"/>
          <w:shd w:val="clear" w:color="auto" w:fill="FFFFFF"/>
        </w:rPr>
        <w:t>应对管理人员、技术人员和操作人员进行相关法律法规和专业技术、安全防护、紧急处理等理论知识和操作技能培训。</w:t>
      </w:r>
    </w:p>
    <w:p>
      <w:pPr>
        <w:pStyle w:val="16"/>
        <w:kinsoku w:val="0"/>
        <w:overflowPunct w:val="0"/>
        <w:spacing w:before="0" w:beforeAutospacing="0" w:after="0" w:line="360" w:lineRule="auto"/>
        <w:ind w:firstLine="480" w:firstLineChars="200"/>
        <w:rPr>
          <w:color w:val="auto"/>
          <w:szCs w:val="24"/>
          <w:shd w:val="clear" w:color="auto" w:fill="FFFFFF"/>
        </w:rPr>
      </w:pPr>
    </w:p>
    <w:p>
      <w:pPr>
        <w:pStyle w:val="298"/>
        <w:spacing w:before="42" w:after="42" w:line="360" w:lineRule="auto"/>
        <w:rPr>
          <w:color w:val="auto"/>
          <w:lang w:eastAsia="zh-CN"/>
        </w:rPr>
      </w:pPr>
      <w:bookmarkStart w:id="283" w:name="_Toc165083509"/>
      <w:bookmarkStart w:id="284" w:name="_Toc166495081"/>
      <w:bookmarkStart w:id="285" w:name="_Toc165021245"/>
      <w:bookmarkStart w:id="286" w:name="_Toc165083724"/>
      <w:bookmarkStart w:id="287" w:name="_Toc14946852"/>
      <w:bookmarkStart w:id="288" w:name="_Toc162926564"/>
      <w:bookmarkStart w:id="289" w:name="_Toc164577399"/>
      <w:bookmarkStart w:id="290" w:name="_Toc162858115"/>
      <w:bookmarkStart w:id="291" w:name="_Toc165083262"/>
      <w:bookmarkStart w:id="292" w:name="_Toc162772239"/>
      <w:bookmarkStart w:id="293" w:name="_Toc15912144"/>
      <w:bookmarkStart w:id="294" w:name="_Toc165977467"/>
      <w:bookmarkStart w:id="295" w:name="_Toc1336"/>
      <w:bookmarkStart w:id="296" w:name="_Toc24136756"/>
      <w:bookmarkStart w:id="297" w:name="_Toc34234674"/>
      <w:bookmarkStart w:id="298" w:name="_Toc116178888"/>
      <w:bookmarkStart w:id="299" w:name="_Toc161254184"/>
      <w:r>
        <w:rPr>
          <w:color w:val="auto"/>
        </w:rPr>
        <w:t>3.</w:t>
      </w:r>
      <w:r>
        <w:rPr>
          <w:rFonts w:hint="eastAsia"/>
          <w:color w:val="auto"/>
          <w:lang w:val="en-US" w:eastAsia="zh-CN"/>
        </w:rPr>
        <w:t>1</w:t>
      </w:r>
      <w:r>
        <w:rPr>
          <w:color w:val="auto"/>
        </w:rPr>
        <w:t>.</w:t>
      </w:r>
      <w:bookmarkEnd w:id="283"/>
      <w:bookmarkEnd w:id="284"/>
      <w:bookmarkEnd w:id="285"/>
      <w:bookmarkEnd w:id="286"/>
      <w:bookmarkEnd w:id="287"/>
      <w:bookmarkEnd w:id="288"/>
      <w:bookmarkEnd w:id="289"/>
      <w:bookmarkEnd w:id="290"/>
      <w:bookmarkEnd w:id="291"/>
      <w:bookmarkEnd w:id="292"/>
      <w:bookmarkEnd w:id="293"/>
      <w:bookmarkEnd w:id="294"/>
      <w:r>
        <w:rPr>
          <w:rFonts w:hint="eastAsia"/>
          <w:color w:val="auto"/>
          <w:lang w:eastAsia="zh-CN"/>
        </w:rPr>
        <w:t>9平衡分析</w:t>
      </w:r>
      <w:bookmarkEnd w:id="295"/>
      <w:bookmarkEnd w:id="296"/>
      <w:bookmarkEnd w:id="297"/>
    </w:p>
    <w:p>
      <w:pPr>
        <w:spacing w:line="360" w:lineRule="auto"/>
        <w:rPr>
          <w:b/>
          <w:bCs/>
          <w:color w:val="auto"/>
        </w:rPr>
      </w:pPr>
      <w:r>
        <w:rPr>
          <w:b/>
          <w:bCs/>
          <w:color w:val="auto"/>
        </w:rPr>
        <w:t>3.</w:t>
      </w:r>
      <w:r>
        <w:rPr>
          <w:rFonts w:hint="eastAsia"/>
          <w:b/>
          <w:bCs/>
          <w:color w:val="auto"/>
          <w:lang w:val="en-US" w:eastAsia="zh-CN"/>
        </w:rPr>
        <w:t>1</w:t>
      </w:r>
      <w:r>
        <w:rPr>
          <w:b/>
          <w:bCs/>
          <w:color w:val="auto"/>
        </w:rPr>
        <w:t>.</w:t>
      </w:r>
      <w:r>
        <w:rPr>
          <w:rFonts w:hint="eastAsia"/>
          <w:b/>
          <w:bCs/>
          <w:color w:val="auto"/>
        </w:rPr>
        <w:t>9</w:t>
      </w:r>
      <w:r>
        <w:rPr>
          <w:b/>
          <w:bCs/>
          <w:color w:val="auto"/>
        </w:rPr>
        <w:t>.1 物料平衡</w:t>
      </w:r>
    </w:p>
    <w:p>
      <w:pPr>
        <w:spacing w:line="360" w:lineRule="auto"/>
        <w:ind w:firstLine="480" w:firstLineChars="200"/>
        <w:jc w:val="both"/>
        <w:rPr>
          <w:color w:val="auto"/>
        </w:rPr>
      </w:pPr>
      <w:bookmarkStart w:id="300" w:name="_Hlk23792998"/>
      <w:r>
        <w:rPr>
          <w:rFonts w:hint="eastAsia"/>
          <w:color w:val="auto"/>
        </w:rPr>
        <w:t>本项目物料平衡见下图：</w:t>
      </w:r>
    </w:p>
    <w:p>
      <w:pPr>
        <w:spacing w:line="360" w:lineRule="auto"/>
        <w:jc w:val="center"/>
        <w:rPr>
          <w:color w:val="auto"/>
        </w:rPr>
      </w:pPr>
      <w:r>
        <w:rPr>
          <w:color w:val="auto"/>
        </w:rPr>
        <w:drawing>
          <wp:inline distT="0" distB="0" distL="114300" distR="114300">
            <wp:extent cx="5363845" cy="3712210"/>
            <wp:effectExtent l="0" t="0" r="8255" b="2540"/>
            <wp:docPr id="5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6"/>
                    <pic:cNvPicPr>
                      <a:picLocks noChangeAspect="1"/>
                    </pic:cNvPicPr>
                  </pic:nvPicPr>
                  <pic:blipFill>
                    <a:blip r:embed="rId72"/>
                    <a:stretch>
                      <a:fillRect/>
                    </a:stretch>
                  </pic:blipFill>
                  <pic:spPr>
                    <a:xfrm>
                      <a:off x="0" y="0"/>
                      <a:ext cx="5363845" cy="3712210"/>
                    </a:xfrm>
                    <a:prstGeom prst="rect">
                      <a:avLst/>
                    </a:prstGeom>
                    <a:noFill/>
                    <a:ln w="9525">
                      <a:noFill/>
                      <a:miter/>
                    </a:ln>
                  </pic:spPr>
                </pic:pic>
              </a:graphicData>
            </a:graphic>
          </wp:inline>
        </w:drawing>
      </w:r>
    </w:p>
    <w:bookmarkEnd w:id="300"/>
    <w:p>
      <w:pPr>
        <w:spacing w:line="360" w:lineRule="auto"/>
        <w:jc w:val="center"/>
        <w:rPr>
          <w:b/>
          <w:color w:val="auto"/>
        </w:rPr>
      </w:pPr>
      <w:r>
        <w:rPr>
          <w:b/>
          <w:bCs/>
          <w:color w:val="auto"/>
        </w:rPr>
        <mc:AlternateContent>
          <mc:Choice Requires="wps">
            <w:drawing>
              <wp:anchor distT="0" distB="0" distL="114300" distR="114300" simplePos="0" relativeHeight="251763712" behindDoc="0" locked="0" layoutInCell="1" allowOverlap="1">
                <wp:simplePos x="0" y="0"/>
                <wp:positionH relativeFrom="column">
                  <wp:posOffset>1471295</wp:posOffset>
                </wp:positionH>
                <wp:positionV relativeFrom="paragraph">
                  <wp:posOffset>3471545</wp:posOffset>
                </wp:positionV>
                <wp:extent cx="779145" cy="1403985"/>
                <wp:effectExtent l="0" t="0" r="0" b="5715"/>
                <wp:wrapNone/>
                <wp:docPr id="30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79145" cy="1403985"/>
                        </a:xfrm>
                        <a:prstGeom prst="rect">
                          <a:avLst/>
                        </a:prstGeom>
                        <a:noFill/>
                        <a:ln w="9525">
                          <a:noFill/>
                          <a:miter lim="800000"/>
                        </a:ln>
                      </wps:spPr>
                      <wps:txbx>
                        <w:txbxContent>
                          <w:p>
                            <w:pPr>
                              <w:rPr>
                                <w:sz w:val="22"/>
                              </w:rPr>
                            </w:pPr>
                            <w:r>
                              <w:rPr>
                                <w:rFonts w:hint="eastAsia"/>
                                <w:sz w:val="22"/>
                              </w:rPr>
                              <w:t>200m</w:t>
                            </w:r>
                            <w:r>
                              <w:rPr>
                                <w:rFonts w:hint="eastAsia"/>
                                <w:sz w:val="22"/>
                                <w:vertAlign w:val="superscript"/>
                              </w:rPr>
                              <w:t>3</w:t>
                            </w:r>
                            <w:r>
                              <w:rPr>
                                <w:rFonts w:hint="eastAsia"/>
                                <w:sz w:val="22"/>
                              </w:rPr>
                              <w:t>/d</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15.85pt;margin-top:273.35pt;height:110.55pt;width:61.35pt;z-index:251763712;mso-width-relative:page;mso-height-relative:margin;mso-height-percent:200;" filled="f" stroked="f" coordsize="21600,21600" o:gfxdata="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G5Gxc2gAAAAsBAAAPAAAAAAAAAAEAIAAA&#10;ACIAAABkcnMvZG93bnJldi54bWxQSwECFAAUAAAACACHTuJAlPyN9woCAADdAwAADgAAAAAAAAAB&#10;ACAAAAApAQAAZHJzL2Uyb0RvYy54bWxQSwUGAAAAAAYABgBZAQAApQUAAAAA&#10;">
                <v:fill on="f" focussize="0,0"/>
                <v:stroke on="f" miterlimit="8" joinstyle="miter"/>
                <v:imagedata o:title=""/>
                <o:lock v:ext="edit" aspectratio="f"/>
                <v:textbox style="mso-fit-shape-to-text:t;">
                  <w:txbxContent>
                    <w:p>
                      <w:pPr>
                        <w:rPr>
                          <w:sz w:val="22"/>
                        </w:rPr>
                      </w:pPr>
                      <w:r>
                        <w:rPr>
                          <w:rFonts w:hint="eastAsia"/>
                          <w:sz w:val="22"/>
                        </w:rPr>
                        <w:t>200m</w:t>
                      </w:r>
                      <w:r>
                        <w:rPr>
                          <w:rFonts w:hint="eastAsia"/>
                          <w:sz w:val="22"/>
                          <w:vertAlign w:val="superscript"/>
                        </w:rPr>
                        <w:t>3</w:t>
                      </w:r>
                      <w:r>
                        <w:rPr>
                          <w:rFonts w:hint="eastAsia"/>
                          <w:sz w:val="22"/>
                        </w:rPr>
                        <w:t>/d</w:t>
                      </w:r>
                    </w:p>
                  </w:txbxContent>
                </v:textbox>
              </v:shape>
            </w:pict>
          </mc:Fallback>
        </mc:AlternateContent>
      </w:r>
      <w:r>
        <w:rPr>
          <w:color w:val="auto"/>
        </w:rPr>
        <mc:AlternateContent>
          <mc:Choice Requires="wps">
            <w:drawing>
              <wp:anchor distT="0" distB="0" distL="114300" distR="114300" simplePos="0" relativeHeight="251761664" behindDoc="0" locked="0" layoutInCell="1" allowOverlap="1">
                <wp:simplePos x="0" y="0"/>
                <wp:positionH relativeFrom="column">
                  <wp:posOffset>1508760</wp:posOffset>
                </wp:positionH>
                <wp:positionV relativeFrom="paragraph">
                  <wp:posOffset>3502660</wp:posOffset>
                </wp:positionV>
                <wp:extent cx="516890" cy="206375"/>
                <wp:effectExtent l="0" t="0" r="0" b="3810"/>
                <wp:wrapNone/>
                <wp:docPr id="30" name="矩形 30"/>
                <wp:cNvGraphicFramePr/>
                <a:graphic xmlns:a="http://schemas.openxmlformats.org/drawingml/2006/main">
                  <a:graphicData uri="http://schemas.microsoft.com/office/word/2010/wordprocessingShape">
                    <wps:wsp>
                      <wps:cNvSpPr/>
                      <wps:spPr>
                        <a:xfrm>
                          <a:off x="0" y="0"/>
                          <a:ext cx="516835" cy="206154"/>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8.8pt;margin-top:275.8pt;height:16.25pt;width:40.7pt;z-index:251761664;v-text-anchor:middle;mso-width-relative:page;mso-height-relative:page;" fillcolor="#F2F2F2 [3052]" filled="t" stroked="f" coordsize="21600,21600" o:gfxdata="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BmYXM/aAAAA&#10;CwEAAA8AAAAAAAAAAQAgAAAAIgAAAGRycy9kb3ducmV2LnhtbFBLAQIUABQAAAAIAIdO4kC3gxRu&#10;VAIAAIkEAAAOAAAAAAAAAAEAIAAAACkBAABkcnMvZTJvRG9jLnhtbFBLBQYAAAAABgAGAFkBAADv&#10;BQAAAAA=&#10;">
                <v:fill on="t" focussize="0,0"/>
                <v:stroke on="f" weight="2pt"/>
                <v:imagedata o:title=""/>
                <o:lock v:ext="edit" aspectratio="f"/>
              </v:rect>
            </w:pict>
          </mc:Fallback>
        </mc:AlternateContent>
      </w:r>
      <w:r>
        <w:rPr>
          <w:b/>
          <w:color w:val="auto"/>
        </w:rPr>
        <w:t>图3.</w:t>
      </w:r>
      <w:r>
        <w:rPr>
          <w:rFonts w:hint="eastAsia"/>
          <w:b/>
          <w:color w:val="auto"/>
          <w:lang w:val="en-US" w:eastAsia="zh-CN"/>
        </w:rPr>
        <w:t>1</w:t>
      </w:r>
      <w:r>
        <w:rPr>
          <w:b/>
          <w:color w:val="auto"/>
        </w:rPr>
        <w:noBreakHyphen/>
      </w:r>
      <w:r>
        <w:rPr>
          <w:rFonts w:hint="eastAsia"/>
          <w:b/>
          <w:color w:val="auto"/>
          <w:lang w:val="en-US" w:eastAsia="zh-CN"/>
        </w:rPr>
        <w:t>6</w:t>
      </w:r>
      <w:r>
        <w:rPr>
          <w:b/>
          <w:color w:val="auto"/>
        </w:rPr>
        <w:t xml:space="preserve">  </w:t>
      </w:r>
      <w:r>
        <w:rPr>
          <w:rFonts w:hint="eastAsia"/>
          <w:b/>
          <w:color w:val="auto"/>
        </w:rPr>
        <w:t>本项目</w:t>
      </w:r>
      <w:r>
        <w:rPr>
          <w:b/>
          <w:color w:val="auto"/>
        </w:rPr>
        <w:t>物料平衡</w:t>
      </w:r>
      <w:r>
        <w:rPr>
          <w:rFonts w:hint="eastAsia"/>
          <w:b/>
          <w:color w:val="auto"/>
        </w:rPr>
        <w:t>图</w:t>
      </w:r>
    </w:p>
    <w:p>
      <w:pPr>
        <w:spacing w:line="360" w:lineRule="auto"/>
        <w:rPr>
          <w:b/>
          <w:bCs/>
          <w:color w:val="auto"/>
        </w:rPr>
      </w:pPr>
      <w:r>
        <w:rPr>
          <w:b/>
          <w:bCs/>
          <w:color w:val="auto"/>
        </w:rPr>
        <w:t>3.</w:t>
      </w:r>
      <w:r>
        <w:rPr>
          <w:rFonts w:hint="eastAsia"/>
          <w:b/>
          <w:bCs/>
          <w:color w:val="auto"/>
          <w:lang w:val="en-US" w:eastAsia="zh-CN"/>
        </w:rPr>
        <w:t>1</w:t>
      </w:r>
      <w:r>
        <w:rPr>
          <w:rFonts w:hint="eastAsia"/>
          <w:b/>
          <w:bCs/>
          <w:color w:val="auto"/>
        </w:rPr>
        <w:t>.8</w:t>
      </w:r>
      <w:r>
        <w:rPr>
          <w:b/>
          <w:bCs/>
          <w:color w:val="auto"/>
        </w:rPr>
        <w:t>.2 水平衡</w:t>
      </w:r>
    </w:p>
    <w:p>
      <w:pPr>
        <w:pStyle w:val="72"/>
        <w:ind w:firstLine="480" w:firstLineChars="200"/>
        <w:rPr>
          <w:rFonts w:ascii="Times New Roman" w:hAnsi="Times New Roman" w:cs="Times New Roman"/>
          <w:color w:val="auto"/>
        </w:rPr>
      </w:pPr>
      <w:r>
        <w:rPr>
          <w:rFonts w:ascii="Times New Roman" w:hAnsi="Times New Roman" w:cs="Times New Roman"/>
          <w:color w:val="auto"/>
        </w:rPr>
        <w:t>本项目主要用水系统为：</w:t>
      </w:r>
      <w:r>
        <w:rPr>
          <w:rFonts w:hint="eastAsia" w:ascii="Times New Roman" w:hAnsi="Times New Roman" w:cs="Times New Roman"/>
          <w:color w:val="auto"/>
        </w:rPr>
        <w:t>餐厨垃圾处理厂</w:t>
      </w:r>
      <w:r>
        <w:rPr>
          <w:rFonts w:hint="eastAsia"/>
          <w:color w:val="auto"/>
          <w:spacing w:val="2"/>
        </w:rPr>
        <w:t>车间车辆和地面冲洗用水、除臭系统用水、</w:t>
      </w:r>
      <w:r>
        <w:rPr>
          <w:rFonts w:ascii="Times New Roman"/>
          <w:color w:val="auto"/>
        </w:rPr>
        <w:t>喷水雾炮</w:t>
      </w:r>
      <w:r>
        <w:rPr>
          <w:rFonts w:hint="eastAsia" w:ascii="Times New Roman"/>
          <w:color w:val="auto"/>
        </w:rPr>
        <w:t>用水以及洗车用水</w:t>
      </w:r>
      <w:r>
        <w:rPr>
          <w:rFonts w:ascii="Times New Roman" w:hAnsi="Times New Roman" w:cs="Times New Roman"/>
          <w:color w:val="auto"/>
        </w:rPr>
        <w:t>，用水来源包括</w:t>
      </w:r>
      <w:r>
        <w:rPr>
          <w:rFonts w:hint="eastAsia" w:ascii="Times New Roman" w:hAnsi="Times New Roman" w:cs="Times New Roman"/>
          <w:color w:val="auto"/>
        </w:rPr>
        <w:t>曾坑水库、</w:t>
      </w:r>
      <w:r>
        <w:rPr>
          <w:rFonts w:ascii="Times New Roman" w:hAnsi="Times New Roman" w:cs="Times New Roman"/>
          <w:color w:val="auto"/>
        </w:rPr>
        <w:t>厂内污水站的中水以及生产中产生的可以循环利用的水。</w:t>
      </w:r>
    </w:p>
    <w:p>
      <w:pPr>
        <w:pStyle w:val="72"/>
        <w:rPr>
          <w:rFonts w:ascii="Times New Roman" w:hAnsi="Times New Roman" w:cs="Times New Roman"/>
          <w:color w:val="auto"/>
        </w:rPr>
      </w:pPr>
      <w:r>
        <w:rPr>
          <w:rFonts w:hint="eastAsia" w:ascii="Times New Roman" w:hAnsi="Times New Roman" w:cs="Times New Roman"/>
          <w:color w:val="auto"/>
        </w:rPr>
        <w:t>本项目产生的废水主要为：餐厨垃圾处理产生的</w:t>
      </w:r>
      <w:r>
        <w:rPr>
          <w:rFonts w:hint="eastAsia"/>
          <w:color w:val="auto"/>
        </w:rPr>
        <w:t>餐厨废水</w:t>
      </w:r>
      <w:r>
        <w:rPr>
          <w:color w:val="auto"/>
          <w:spacing w:val="2"/>
        </w:rPr>
        <w:t>、</w:t>
      </w:r>
      <w:r>
        <w:rPr>
          <w:rFonts w:hint="eastAsia"/>
          <w:color w:val="auto"/>
          <w:spacing w:val="2"/>
        </w:rPr>
        <w:t>除臭系统废水、车间车辆</w:t>
      </w:r>
      <w:r>
        <w:rPr>
          <w:rFonts w:hint="eastAsia"/>
          <w:color w:val="auto"/>
          <w:spacing w:val="2"/>
          <w:lang w:eastAsia="zh-CN"/>
        </w:rPr>
        <w:t>、</w:t>
      </w:r>
      <w:r>
        <w:rPr>
          <w:rFonts w:hint="eastAsia"/>
          <w:color w:val="auto"/>
          <w:spacing w:val="2"/>
        </w:rPr>
        <w:t>地面冲洗废水</w:t>
      </w:r>
      <w:r>
        <w:rPr>
          <w:rFonts w:hint="eastAsia"/>
          <w:color w:val="auto"/>
          <w:spacing w:val="2"/>
          <w:lang w:eastAsia="zh-CN"/>
        </w:rPr>
        <w:t>和初期雨水</w:t>
      </w:r>
      <w:r>
        <w:rPr>
          <w:rFonts w:hint="eastAsia"/>
          <w:color w:val="auto"/>
          <w:spacing w:val="2"/>
        </w:rPr>
        <w:t>；</w:t>
      </w:r>
      <w:r>
        <w:rPr>
          <w:rFonts w:hint="eastAsia" w:ascii="Times New Roman" w:hAnsi="Times New Roman" w:cs="Times New Roman"/>
          <w:color w:val="auto"/>
        </w:rPr>
        <w:t>建筑垃圾消纳场的</w:t>
      </w:r>
      <w:r>
        <w:rPr>
          <w:bCs/>
          <w:color w:val="auto"/>
          <w:spacing w:val="2"/>
        </w:rPr>
        <w:t>洗车废水、填埋区</w:t>
      </w:r>
      <w:r>
        <w:rPr>
          <w:rFonts w:hint="eastAsia"/>
          <w:bCs/>
          <w:color w:val="auto"/>
          <w:spacing w:val="2"/>
        </w:rPr>
        <w:t>淋溶液</w:t>
      </w:r>
      <w:r>
        <w:rPr>
          <w:rFonts w:ascii="Times New Roman" w:hAnsi="Times New Roman" w:cs="Times New Roman"/>
          <w:color w:val="auto"/>
        </w:rPr>
        <w:t>。</w:t>
      </w:r>
    </w:p>
    <w:p>
      <w:pPr>
        <w:pStyle w:val="72"/>
        <w:rPr>
          <w:rFonts w:ascii="Times New Roman" w:hAnsi="Times New Roman" w:cs="Times New Roman"/>
          <w:color w:val="auto"/>
        </w:rPr>
      </w:pPr>
      <w:r>
        <w:rPr>
          <w:rFonts w:hint="eastAsia" w:ascii="Times New Roman" w:hAnsi="Times New Roman" w:cs="Times New Roman"/>
          <w:color w:val="auto"/>
        </w:rPr>
        <w:t>本项目</w:t>
      </w:r>
      <w:r>
        <w:rPr>
          <w:rFonts w:ascii="Times New Roman" w:hAnsi="Times New Roman" w:cs="Times New Roman"/>
          <w:color w:val="auto"/>
        </w:rPr>
        <w:t>工程用排水情况及水平衡分析见</w:t>
      </w:r>
      <w:r>
        <w:rPr>
          <w:rFonts w:hint="eastAsia" w:ascii="Times New Roman" w:hAnsi="Times New Roman" w:cs="Times New Roman"/>
          <w:color w:val="auto"/>
          <w:lang w:eastAsia="zh-CN"/>
        </w:rPr>
        <w:t>下图</w:t>
      </w:r>
      <w:r>
        <w:rPr>
          <w:rFonts w:hint="eastAsia" w:ascii="Times New Roman" w:hAnsi="Times New Roman" w:cs="Times New Roman"/>
          <w:color w:val="auto"/>
        </w:rPr>
        <w:t>。</w:t>
      </w:r>
    </w:p>
    <w:p>
      <w:pPr>
        <w:pStyle w:val="72"/>
        <w:rPr>
          <w:rFonts w:ascii="Times New Roman" w:hAnsi="Times New Roman" w:cs="Times New Roman"/>
          <w:color w:val="auto"/>
        </w:rPr>
      </w:pPr>
    </w:p>
    <w:p>
      <w:pPr>
        <w:pStyle w:val="72"/>
        <w:rPr>
          <w:rFonts w:hint="eastAsia" w:eastAsia="宋体"/>
          <w:b/>
          <w:color w:val="auto"/>
          <w:lang w:eastAsia="zh-CN"/>
        </w:rPr>
      </w:pPr>
      <w:r>
        <w:rPr>
          <w:rFonts w:hint="eastAsia" w:eastAsia="宋体"/>
          <w:b/>
          <w:color w:val="auto"/>
          <w:lang w:eastAsia="zh-CN"/>
        </w:rPr>
        <w:object>
          <v:shape id="_x0000_i1032" o:spt="75" type="#_x0000_t75" style="height:226.95pt;width:465.2pt;" o:ole="t" filled="f" o:preferrelative="t" stroked="f" coordsize="21600,21600">
            <v:path/>
            <v:fill on="f" focussize="0,0"/>
            <v:stroke on="f" joinstyle="miter"/>
            <v:imagedata r:id="rId74" o:title=""/>
            <o:lock v:ext="edit" aspectratio="t"/>
            <w10:wrap type="none"/>
            <w10:anchorlock/>
          </v:shape>
          <o:OLEObject Type="Embed" ProgID="Visio.Drawing.11" ShapeID="_x0000_i1032" DrawAspect="Content" ObjectID="_1468075733" r:id="rId73">
            <o:LockedField>false</o:LockedField>
          </o:OLEObject>
        </w:object>
      </w:r>
    </w:p>
    <w:p>
      <w:pPr>
        <w:spacing w:line="360" w:lineRule="auto"/>
        <w:jc w:val="center"/>
        <w:rPr>
          <w:b/>
          <w:color w:val="auto"/>
          <w:highlight w:val="none"/>
        </w:rPr>
      </w:pPr>
      <w:r>
        <w:rPr>
          <w:b/>
          <w:color w:val="auto"/>
          <w:highlight w:val="none"/>
        </w:rPr>
        <w:t>图</w:t>
      </w:r>
      <w:r>
        <w:rPr>
          <w:rFonts w:hint="eastAsia"/>
          <w:b/>
          <w:color w:val="auto"/>
          <w:highlight w:val="none"/>
          <w:lang w:val="en-US" w:eastAsia="zh-CN"/>
        </w:rPr>
        <w:t>3.1</w:t>
      </w:r>
      <w:r>
        <w:rPr>
          <w:b/>
          <w:color w:val="auto"/>
          <w:highlight w:val="none"/>
        </w:rPr>
        <w:noBreakHyphen/>
      </w:r>
      <w:r>
        <w:rPr>
          <w:rFonts w:hint="eastAsia"/>
          <w:b/>
          <w:color w:val="auto"/>
          <w:highlight w:val="none"/>
          <w:lang w:val="en-US" w:eastAsia="zh-CN"/>
        </w:rPr>
        <w:t>7</w:t>
      </w:r>
      <w:r>
        <w:rPr>
          <w:b/>
          <w:color w:val="auto"/>
          <w:highlight w:val="none"/>
        </w:rPr>
        <w:t xml:space="preserve">  </w:t>
      </w:r>
      <w:r>
        <w:rPr>
          <w:rFonts w:hint="eastAsia"/>
          <w:b/>
          <w:color w:val="auto"/>
          <w:highlight w:val="none"/>
        </w:rPr>
        <w:t>本项目</w:t>
      </w:r>
      <w:r>
        <w:rPr>
          <w:b/>
          <w:color w:val="auto"/>
          <w:highlight w:val="none"/>
        </w:rPr>
        <w:t>水平衡图</w:t>
      </w:r>
      <w:bookmarkStart w:id="301" w:name="_Toc24136757"/>
    </w:p>
    <w:p>
      <w:pPr>
        <w:pStyle w:val="298"/>
        <w:spacing w:before="42" w:after="42" w:line="360" w:lineRule="auto"/>
        <w:rPr>
          <w:color w:val="auto"/>
          <w:lang w:eastAsia="zh-CN"/>
        </w:rPr>
      </w:pPr>
      <w:bookmarkStart w:id="302" w:name="_Toc30811"/>
      <w:bookmarkStart w:id="303" w:name="_Toc34234675"/>
      <w:r>
        <w:rPr>
          <w:color w:val="auto"/>
        </w:rPr>
        <w:t>3.</w:t>
      </w:r>
      <w:r>
        <w:rPr>
          <w:rFonts w:hint="eastAsia"/>
          <w:color w:val="auto"/>
          <w:lang w:val="en-US" w:eastAsia="zh-CN"/>
        </w:rPr>
        <w:t>1</w:t>
      </w:r>
      <w:r>
        <w:rPr>
          <w:color w:val="auto"/>
        </w:rPr>
        <w:t>.</w:t>
      </w:r>
      <w:r>
        <w:rPr>
          <w:rFonts w:hint="eastAsia"/>
          <w:color w:val="auto"/>
          <w:lang w:eastAsia="zh-CN"/>
        </w:rPr>
        <w:t>10工艺流程</w:t>
      </w:r>
      <w:bookmarkEnd w:id="302"/>
      <w:bookmarkEnd w:id="303"/>
    </w:p>
    <w:p>
      <w:pPr>
        <w:spacing w:line="360" w:lineRule="auto"/>
        <w:rPr>
          <w:b/>
          <w:color w:val="auto"/>
        </w:rPr>
      </w:pPr>
      <w:r>
        <w:rPr>
          <w:rFonts w:hint="eastAsia"/>
          <w:b/>
          <w:color w:val="auto"/>
        </w:rPr>
        <w:t>3.</w:t>
      </w:r>
      <w:r>
        <w:rPr>
          <w:rFonts w:hint="eastAsia"/>
          <w:b/>
          <w:color w:val="auto"/>
          <w:lang w:val="en-US" w:eastAsia="zh-CN"/>
        </w:rPr>
        <w:t>1</w:t>
      </w:r>
      <w:r>
        <w:rPr>
          <w:rFonts w:hint="eastAsia"/>
          <w:b/>
          <w:color w:val="auto"/>
        </w:rPr>
        <w:t>.10.1餐厨垃圾处理工艺比选</w:t>
      </w:r>
    </w:p>
    <w:p>
      <w:pPr>
        <w:spacing w:line="360" w:lineRule="auto"/>
        <w:rPr>
          <w:color w:val="auto"/>
        </w:rPr>
      </w:pPr>
      <w:r>
        <w:rPr>
          <w:rFonts w:hint="eastAsia"/>
          <w:color w:val="auto"/>
        </w:rPr>
        <w:t>（1）填埋处理</w:t>
      </w:r>
    </w:p>
    <w:p>
      <w:pPr>
        <w:spacing w:line="360" w:lineRule="auto"/>
        <w:ind w:firstLine="600" w:firstLineChars="250"/>
        <w:rPr>
          <w:color w:val="auto"/>
        </w:rPr>
      </w:pPr>
      <w:r>
        <w:rPr>
          <w:rFonts w:hint="eastAsia"/>
          <w:color w:val="auto"/>
        </w:rPr>
        <w:t>填埋是大多数国家生活垃圾无害化处理的主要处理方式。但是，由于其占用大量土地，耗用大量征地等费用，填埋场占地面积大，处理能力有限，服务期满后仍需新建填埋场，进一步占用土地资源；餐厨垃圾的渗沥液会污染地下水及土壤，垃圾堆放产生的臭气严重影响空气质量，形成不可逆的对周围大范围的大气及水土的二次污染，没对垃圾进行资源化利用等原因，无论在欧美、日本还是中国，餐厨垃圾的填埋率都正在呈现下降的趋势，有很多国家已明令禁止餐厨垃圾进入填埋场处理。在当前土地资源紧缺、人们对环境影响的关注度越来越高的大前提下，填埋处理技术明显不适合我国餐厨垃圾的实际情况，但作为餐厨垃圾分选处理后固相无机杂质的一种最终处理手段具有一定可行性，因此填埋可作为餐厨垃圾处理的一个辅助处理环节。</w:t>
      </w:r>
    </w:p>
    <w:p>
      <w:pPr>
        <w:spacing w:line="360" w:lineRule="auto"/>
        <w:ind w:firstLine="600" w:firstLineChars="250"/>
        <w:rPr>
          <w:color w:val="auto"/>
        </w:rPr>
      </w:pPr>
      <w:r>
        <w:rPr>
          <w:rFonts w:hint="eastAsia"/>
          <w:color w:val="auto"/>
        </w:rPr>
        <w:t>（2）焚烧处理</w:t>
      </w:r>
    </w:p>
    <w:p>
      <w:pPr>
        <w:spacing w:line="360" w:lineRule="auto"/>
        <w:ind w:firstLine="600" w:firstLineChars="250"/>
        <w:rPr>
          <w:color w:val="auto"/>
        </w:rPr>
      </w:pPr>
      <w:r>
        <w:rPr>
          <w:rFonts w:hint="eastAsia"/>
          <w:color w:val="auto"/>
        </w:rPr>
        <w:t>焚烧是垃圾中的可燃物在焚烧炉中与氧进行燃烧过程，焚烧处理量大，减容性好，焚烧过程产生的热量用来发电可以实现垃圾的能源化。但由于餐厨垃圾80%以上为液体部分，不适合焚烧处理。由于生活习惯不同及餐厨垃圾收集分类程度的不同，我国餐厨垃圾与国外餐厨垃圾差异较大，其特点是含水量高、热值低，很难进行焚烧处理，另外焚烧处理投资过高，国内外利用焚烧处理餐厨垃圾的应用经验极少，不是餐厨垃圾处理的主流技术。</w:t>
      </w:r>
    </w:p>
    <w:p>
      <w:pPr>
        <w:spacing w:line="360" w:lineRule="auto"/>
        <w:ind w:firstLine="600" w:firstLineChars="250"/>
        <w:rPr>
          <w:color w:val="auto"/>
        </w:rPr>
      </w:pPr>
      <w:r>
        <w:rPr>
          <w:rFonts w:hint="eastAsia"/>
          <w:color w:val="auto"/>
        </w:rPr>
        <w:t>（3）饲料化处理</w:t>
      </w:r>
    </w:p>
    <w:p>
      <w:pPr>
        <w:spacing w:line="360" w:lineRule="auto"/>
        <w:ind w:firstLine="600" w:firstLineChars="250"/>
        <w:rPr>
          <w:color w:val="auto"/>
        </w:rPr>
      </w:pPr>
      <w:r>
        <w:rPr>
          <w:rFonts w:hint="eastAsia"/>
          <w:color w:val="auto"/>
        </w:rPr>
        <w:t>目前，城市餐厨垃圾饲料化处理主要有三种方式：生物处理、高温消毒处理以及直接作为动物饲料。其中，生物处理餐厨垃圾是利用餐厨垃圾中的特殊菌种提升餐厨垃圾中的蛋白质含量，达到提升饲料中蛋白质含量的效果；高温消毒处理则是利用高温达到杀死餐厨中的病原体，然后对处理后的餐厨垃圾进行脱水、干燥、破碎等深度处理，</w:t>
      </w:r>
    </w:p>
    <w:p>
      <w:pPr>
        <w:spacing w:line="360" w:lineRule="auto"/>
        <w:rPr>
          <w:color w:val="auto"/>
        </w:rPr>
      </w:pPr>
      <w:r>
        <w:rPr>
          <w:rFonts w:hint="eastAsia"/>
          <w:color w:val="auto"/>
        </w:rPr>
        <w:t>从而达到卫生饲料的应用标准，实现餐厨垃圾的资源化利用效果。但高温消毒处理的不足是一些病毒在高温中无法完全杀灭，难以完全避免疾病的传播。餐厨垃圾直接用作动物饲料，可以减少处理成本，但鉴于餐厨垃圾中的复杂组分，加上同源性污染危险性较大，欧盟等已经禁止餐厨垃圾饲料进入食物链中</w:t>
      </w:r>
      <w:r>
        <w:rPr>
          <w:rFonts w:hint="eastAsia"/>
          <w:b/>
          <w:color w:val="auto"/>
        </w:rPr>
        <w:t>。</w:t>
      </w:r>
    </w:p>
    <w:p>
      <w:pPr>
        <w:spacing w:line="360" w:lineRule="auto"/>
        <w:ind w:firstLine="480" w:firstLineChars="200"/>
        <w:rPr>
          <w:color w:val="auto"/>
        </w:rPr>
      </w:pPr>
      <w:r>
        <w:rPr>
          <w:rFonts w:hint="eastAsia"/>
          <w:color w:val="auto"/>
        </w:rPr>
        <w:t>餐厨垃圾饲料化工艺流程一般包括：预处理-高温灭菌-混合搅拌-发酵-调质、制粒与烘干。其中预处理包括分选、破碎、蒸煮、脱水、固液分离、油水分离等步骤，主要目的是为了使复杂的餐厨垃圾转变成统一的工艺原料。自然存放的餐厨垃圾极易变质，通过高温灭菌可使餐厨垃圾的病毒及致病微生物大部分被杀灭，很大程度上减少了杂</w:t>
      </w:r>
    </w:p>
    <w:p>
      <w:pPr>
        <w:spacing w:line="360" w:lineRule="auto"/>
        <w:rPr>
          <w:color w:val="auto"/>
        </w:rPr>
      </w:pPr>
      <w:r>
        <w:rPr>
          <w:rFonts w:hint="eastAsia"/>
          <w:color w:val="auto"/>
        </w:rPr>
        <w:t>菌与接种菌争食营养现象，同时淀粉糖、蛋白质等大分子有机质被热分解为小分子物质，更有利于微生物对营养物质的吸收利用。混合搅拌即是将培养好的菌种和经过处理的餐厨垃圾进行均匀的混合，使菌种与物料充分混合接触。在发酵过程中，添加的菌种微生物与工艺原料发生反应，大幅度提高原料的蛋白质及营养物质含量，使得餐厨垃圾转化成为具备营养价值的饲料材料。最终通过调质、制粒与烘干即可产出蛋白饲料。</w:t>
      </w:r>
    </w:p>
    <w:p>
      <w:pPr>
        <w:spacing w:line="360" w:lineRule="auto"/>
        <w:rPr>
          <w:color w:val="auto"/>
        </w:rPr>
      </w:pPr>
      <w:r>
        <w:rPr>
          <w:rFonts w:hint="eastAsia"/>
          <w:color w:val="auto"/>
        </w:rPr>
        <w:t xml:space="preserve">     （4）堆肥处理</w:t>
      </w:r>
    </w:p>
    <w:p>
      <w:pPr>
        <w:spacing w:line="360" w:lineRule="auto"/>
        <w:rPr>
          <w:color w:val="auto"/>
        </w:rPr>
      </w:pPr>
      <w:r>
        <w:rPr>
          <w:rFonts w:hint="eastAsia"/>
          <w:color w:val="auto"/>
        </w:rPr>
        <w:t xml:space="preserve">     堆肥法处理城市餐厨垃圾是利用自然界中的真菌、细菌以及放线菌等微生物，辅助以人工控制技术，结合电子化、机械化设备，将餐厨垃圾处理处于一定的水分、C/N 条件下，创造出一个好氧或厌氧环境，再利用生物化学反应将餐厨垃圾中的有机物转化成为具有较强稳定性的肥料的一种处理方法。因此，餐厨垃圾的堆肥处理工艺又分为</w:t>
      </w:r>
    </w:p>
    <w:p>
      <w:pPr>
        <w:spacing w:line="360" w:lineRule="auto"/>
        <w:rPr>
          <w:color w:val="auto"/>
        </w:rPr>
      </w:pPr>
      <w:r>
        <w:rPr>
          <w:rFonts w:hint="eastAsia"/>
          <w:color w:val="auto"/>
        </w:rPr>
        <w:t>好氧堆肥、厌氧堆肥以及传统堆肥三种处理工艺。堆肥法处理餐厨垃圾具有工艺技术简单等优势，但容易产生有害气体，堆肥时间久还会加剧土壤的盐碱化。</w:t>
      </w:r>
    </w:p>
    <w:p>
      <w:pPr>
        <w:spacing w:line="360" w:lineRule="auto"/>
        <w:ind w:firstLine="480"/>
        <w:rPr>
          <w:color w:val="auto"/>
        </w:rPr>
      </w:pPr>
      <w:r>
        <w:rPr>
          <w:rFonts w:hint="eastAsia"/>
          <w:color w:val="auto"/>
        </w:rPr>
        <w:t>传统堆肥耗时长、腐熟慢，现国内已基本没有大规模的应用案例。厌氧堆肥是在无氧条件下借助厌氧微生物的作用来进行的，通过微生物的代谢活动而被稳定化，同时伴有甲烷和CO2 产生。好氧堆肥是在有氧条件下，好氧菌对物料进行吸收、氧化、分解。微生物通过自身的生命活动，把一部分被吸收的有机物氧化成简单的无机物，同时释放出可供微生物生长活动所需的能量，而另一部分有机物则被合成新的细胞质，使微生物不断生长繁殖，产生出更多生物体的过程。</w:t>
      </w:r>
    </w:p>
    <w:p>
      <w:pPr>
        <w:spacing w:line="360" w:lineRule="auto"/>
        <w:ind w:firstLine="480"/>
        <w:rPr>
          <w:color w:val="auto"/>
        </w:rPr>
      </w:pPr>
      <w:r>
        <w:rPr>
          <w:rFonts w:hint="eastAsia"/>
          <w:color w:val="auto"/>
        </w:rPr>
        <w:t>餐厨垃圾的好氧堆肥工艺一般包含：预处理-堆肥-筛下物处理等过程。预处理过程主要通过分离器把餐厨垃圾进行固液分离，其中固态物质作为原料进入堆肥系统，液态物质则送进油水分离器回收油脂。堆肥过程中，原料与好氧菌充分混合后发生中温或高温发酵，产生肥料。堆肥处理后，筛下物一般进行填埋或焚烧处理。</w:t>
      </w:r>
    </w:p>
    <w:p>
      <w:pPr>
        <w:spacing w:line="360" w:lineRule="auto"/>
        <w:ind w:firstLine="480"/>
        <w:rPr>
          <w:color w:val="auto"/>
        </w:rPr>
      </w:pPr>
      <w:r>
        <w:rPr>
          <w:rFonts w:hint="eastAsia"/>
          <w:color w:val="auto"/>
        </w:rPr>
        <w:t>（5）厌氧发酵处理</w:t>
      </w:r>
    </w:p>
    <w:p>
      <w:pPr>
        <w:spacing w:line="360" w:lineRule="auto"/>
        <w:ind w:firstLine="480"/>
        <w:rPr>
          <w:color w:val="auto"/>
        </w:rPr>
      </w:pPr>
      <w:r>
        <w:rPr>
          <w:rFonts w:hint="eastAsia"/>
          <w:color w:val="auto"/>
        </w:rPr>
        <w:t>厌氧发酵技术作为一种绿色环保的技术，近20 年来在国内有了较大的发展。它是利用厌氧微生物、将有机废弃物高效地降解利用并产生清洁能源气体的技术，不但能够满足当今社会人们对环保的需求，还可以有效地解决餐厨垃圾处理的问题。国内早期的厌氧发酵技术主要用于废弃污泥和高浓度有机质废水处理，在处理餐厨垃圾方面的应用较少，然而随着国内餐厨垃圾排放量日趋增大，餐厨垃圾产生的社会问题逐渐增多，利用厌氧发酵技术处理餐厨垃圾的实例逐年增多。</w:t>
      </w:r>
    </w:p>
    <w:p>
      <w:pPr>
        <w:spacing w:line="360" w:lineRule="auto"/>
        <w:ind w:firstLine="480"/>
        <w:rPr>
          <w:color w:val="auto"/>
        </w:rPr>
      </w:pPr>
      <w:r>
        <w:rPr>
          <w:rFonts w:hint="eastAsia"/>
          <w:color w:val="auto"/>
        </w:rPr>
        <w:t>厌氧微生物降解大分子有机质包含四个阶段：即水解、酸化、乙酸化和甲烷化。在厌氧发酵罐中，餐厨垃圾中的碳水化物、蛋白质和脂肪等有机质首先被微生物水解成分子量较小的物质，如多糖、多肽和长链脂肪酸等。颗粒有机质的水解阶段被大多数研究人员证实是限速步骤，这是由于水解过程中，水解酶或辅酶首先需要附着在有机质颗粒上，将长链的多聚物在酶的作用下分解成短链的聚合物，所以，整个厌氧发酵的降解速度主要取决于水解过程的快慢。生成的短链有机质在酸化阶段被产酸菌继续降解，生成小分子物质，如葡萄糖、氨基酸和短链有机酸，同时，此过程也会产生NH3 和H2S 等次级代谢产物。第三阶段为产乙酸过程，葡萄糖和氨基酸被产乙酸菌利用，生成挥发性脂肪酸，如乙酸和丁酸，同时也会生成H</w:t>
      </w:r>
      <w:r>
        <w:rPr>
          <w:rFonts w:hint="eastAsia"/>
          <w:color w:val="auto"/>
          <w:vertAlign w:val="subscript"/>
        </w:rPr>
        <w:t>2</w:t>
      </w:r>
      <w:r>
        <w:rPr>
          <w:rFonts w:hint="eastAsia"/>
          <w:color w:val="auto"/>
        </w:rPr>
        <w:t>和CO</w:t>
      </w:r>
      <w:r>
        <w:rPr>
          <w:rFonts w:hint="eastAsia"/>
          <w:color w:val="auto"/>
          <w:vertAlign w:val="subscript"/>
        </w:rPr>
        <w:t>2</w:t>
      </w:r>
      <w:r>
        <w:rPr>
          <w:rFonts w:hint="eastAsia"/>
          <w:color w:val="auto"/>
        </w:rPr>
        <w:t>等物质；最后经过产甲烷菌的甲烷化作用，将挥发性脂肪酸、H</w:t>
      </w:r>
      <w:r>
        <w:rPr>
          <w:rFonts w:hint="eastAsia"/>
          <w:color w:val="auto"/>
          <w:vertAlign w:val="subscript"/>
        </w:rPr>
        <w:t>2</w:t>
      </w:r>
      <w:r>
        <w:rPr>
          <w:rFonts w:hint="eastAsia"/>
          <w:color w:val="auto"/>
        </w:rPr>
        <w:t>/CO</w:t>
      </w:r>
      <w:r>
        <w:rPr>
          <w:rFonts w:hint="eastAsia"/>
          <w:color w:val="auto"/>
          <w:vertAlign w:val="subscript"/>
        </w:rPr>
        <w:t>2</w:t>
      </w:r>
      <w:r>
        <w:rPr>
          <w:rFonts w:hint="eastAsia"/>
          <w:color w:val="auto"/>
        </w:rPr>
        <w:t>转化成甲烷，整个发酵过程中，大部分的能量储存于甲烷中，少部分供微生物的生长需求。</w:t>
      </w:r>
    </w:p>
    <w:p>
      <w:pPr>
        <w:spacing w:line="360" w:lineRule="auto"/>
        <w:ind w:firstLine="480"/>
        <w:rPr>
          <w:color w:val="auto"/>
        </w:rPr>
      </w:pPr>
      <w:r>
        <w:rPr>
          <w:rFonts w:hint="eastAsia"/>
          <w:color w:val="auto"/>
        </w:rPr>
        <w:t>目前的厌氧发酵技术主要采用厌氧活性污泥对有机质进行高效降解，然而该技术却易受多种参数的影响，例如有机质的进料负荷、发酵温度、C/N 比、氨氮、挥发性脂肪酸、长链脂肪酸、pH、物料粒径和微量元素等，较适宜的厌氧发酵条件是厌氧发酵高效运行的先决条件。</w:t>
      </w:r>
    </w:p>
    <w:p>
      <w:pPr>
        <w:spacing w:line="360" w:lineRule="auto"/>
        <w:ind w:firstLine="480"/>
        <w:rPr>
          <w:color w:val="auto"/>
        </w:rPr>
      </w:pPr>
      <w:r>
        <w:rPr>
          <w:rFonts w:hint="eastAsia"/>
          <w:color w:val="auto"/>
        </w:rPr>
        <w:t>厌氧发酵工艺包括单相工艺及双相工艺两种，单相工艺是指厌氧发酵降解有机质的过程在一个反应器中进行。餐厨垃圾经过预处理之后进入发酵罐，在厌氧微生物的作用下，有机质被转化成沼气，发酵结束后废水直接排出。单相工艺对体系的稳定性要求较高，当进料负荷过高时，发酵液中有机酸会发生积累，下降的pH 会抑制厌氧发酵效率。双相厌氧发酵工艺则分两阶段进行，第一阶段为餐厨垃圾酸化，主要发生在酸化罐中，酸化过程会产生一定量的H</w:t>
      </w:r>
      <w:r>
        <w:rPr>
          <w:rFonts w:hint="eastAsia"/>
          <w:color w:val="auto"/>
          <w:vertAlign w:val="subscript"/>
        </w:rPr>
        <w:t>2</w:t>
      </w:r>
      <w:r>
        <w:rPr>
          <w:rFonts w:hint="eastAsia"/>
          <w:color w:val="auto"/>
        </w:rPr>
        <w:t>和CO</w:t>
      </w:r>
      <w:r>
        <w:rPr>
          <w:rFonts w:hint="eastAsia"/>
          <w:color w:val="auto"/>
          <w:vertAlign w:val="subscript"/>
        </w:rPr>
        <w:t>2</w:t>
      </w:r>
      <w:r>
        <w:rPr>
          <w:rFonts w:hint="eastAsia"/>
          <w:color w:val="auto"/>
        </w:rPr>
        <w:t>，气体可以通过气体储罐收集，酸化后的发酵中主要含有乙酸、丙酸等小分子物质。第二阶段主要是甲烷化，第一部分的酸化产物进入产甲烷发酵罐中，在产甲烷菌的作用下，乙酸、H</w:t>
      </w:r>
      <w:r>
        <w:rPr>
          <w:rFonts w:hint="eastAsia"/>
          <w:color w:val="auto"/>
          <w:vertAlign w:val="subscript"/>
        </w:rPr>
        <w:t>2</w:t>
      </w:r>
      <w:r>
        <w:rPr>
          <w:rFonts w:hint="eastAsia"/>
          <w:color w:val="auto"/>
        </w:rPr>
        <w:t>/CO</w:t>
      </w:r>
      <w:r>
        <w:rPr>
          <w:rFonts w:hint="eastAsia"/>
          <w:color w:val="auto"/>
          <w:vertAlign w:val="subscript"/>
        </w:rPr>
        <w:t>2</w:t>
      </w:r>
      <w:r>
        <w:rPr>
          <w:rFonts w:hint="eastAsia"/>
          <w:color w:val="auto"/>
        </w:rPr>
        <w:t xml:space="preserve"> 迅速转化为CH</w:t>
      </w:r>
      <w:r>
        <w:rPr>
          <w:rFonts w:hint="eastAsia"/>
          <w:color w:val="auto"/>
          <w:vertAlign w:val="subscript"/>
        </w:rPr>
        <w:t>4</w:t>
      </w:r>
      <w:r>
        <w:rPr>
          <w:rFonts w:hint="eastAsia"/>
          <w:color w:val="auto"/>
        </w:rPr>
        <w:t xml:space="preserve"> 和CO</w:t>
      </w:r>
      <w:r>
        <w:rPr>
          <w:rFonts w:hint="eastAsia"/>
          <w:color w:val="auto"/>
          <w:vertAlign w:val="subscript"/>
        </w:rPr>
        <w:t>2</w:t>
      </w:r>
      <w:r>
        <w:rPr>
          <w:rFonts w:hint="eastAsia"/>
          <w:color w:val="auto"/>
        </w:rPr>
        <w:t>。虽然双相工艺的产气效率和对有机质的降解能力均比单相工艺高，但双相工艺复杂，经济成本较高，因此尚未被广泛地应用。</w:t>
      </w:r>
    </w:p>
    <w:p>
      <w:pPr>
        <w:spacing w:line="360" w:lineRule="auto"/>
        <w:rPr>
          <w:b/>
          <w:color w:val="auto"/>
        </w:rPr>
      </w:pPr>
      <w:r>
        <w:rPr>
          <w:rFonts w:hint="eastAsia"/>
          <w:b/>
          <w:color w:val="auto"/>
        </w:rPr>
        <w:t>3.</w:t>
      </w:r>
      <w:r>
        <w:rPr>
          <w:rFonts w:hint="eastAsia"/>
          <w:b/>
          <w:color w:val="auto"/>
          <w:lang w:val="en-US" w:eastAsia="zh-CN"/>
        </w:rPr>
        <w:t>1</w:t>
      </w:r>
      <w:r>
        <w:rPr>
          <w:rFonts w:hint="eastAsia"/>
          <w:b/>
          <w:color w:val="auto"/>
        </w:rPr>
        <w:t>.</w:t>
      </w:r>
      <w:r>
        <w:rPr>
          <w:rFonts w:hint="eastAsia"/>
          <w:b/>
          <w:color w:val="auto"/>
          <w:lang w:val="en-US" w:eastAsia="zh-CN"/>
        </w:rPr>
        <w:t>10</w:t>
      </w:r>
      <w:r>
        <w:rPr>
          <w:rFonts w:hint="eastAsia"/>
          <w:b/>
          <w:color w:val="auto"/>
        </w:rPr>
        <w:t>.2餐厨处理工艺确定</w:t>
      </w:r>
    </w:p>
    <w:p>
      <w:pPr>
        <w:spacing w:line="360" w:lineRule="auto"/>
        <w:ind w:firstLine="480"/>
        <w:rPr>
          <w:color w:val="auto"/>
        </w:rPr>
      </w:pPr>
      <w:r>
        <w:rPr>
          <w:rFonts w:hint="eastAsia"/>
          <w:color w:val="auto"/>
        </w:rPr>
        <w:t>餐厨垃圾产生量较大，处理难度较大。因此在选择餐厨垃圾处理技术时需要重点考虑以下几点：</w:t>
      </w:r>
    </w:p>
    <w:p>
      <w:pPr>
        <w:spacing w:line="360" w:lineRule="auto"/>
        <w:ind w:firstLine="480"/>
        <w:rPr>
          <w:color w:val="auto"/>
        </w:rPr>
      </w:pPr>
      <w:r>
        <w:rPr>
          <w:rFonts w:hint="eastAsia"/>
          <w:color w:val="auto"/>
        </w:rPr>
        <w:t>1、无害化、减量化、资源化程度高，真正做到无害化的同时考虑资源化利用。</w:t>
      </w:r>
    </w:p>
    <w:p>
      <w:pPr>
        <w:spacing w:line="360" w:lineRule="auto"/>
        <w:ind w:firstLine="480"/>
        <w:rPr>
          <w:color w:val="auto"/>
        </w:rPr>
      </w:pPr>
      <w:r>
        <w:rPr>
          <w:rFonts w:hint="eastAsia"/>
          <w:color w:val="auto"/>
        </w:rPr>
        <w:t>2、技术先进、可靠，工艺高效、稳定，不但能够有效的降解有机污染物，同时还能够妥善处理那些不能为生物所降解的污染物，避免其对环境的再次污染。</w:t>
      </w:r>
    </w:p>
    <w:p>
      <w:pPr>
        <w:spacing w:line="360" w:lineRule="auto"/>
        <w:ind w:firstLine="480"/>
        <w:rPr>
          <w:color w:val="auto"/>
        </w:rPr>
      </w:pPr>
      <w:r>
        <w:rPr>
          <w:rFonts w:hint="eastAsia"/>
          <w:color w:val="auto"/>
        </w:rPr>
        <w:t>3、技术安全性好，符合国家产业政策和发展方向，能耗要低。</w:t>
      </w:r>
    </w:p>
    <w:p>
      <w:pPr>
        <w:spacing w:line="360" w:lineRule="auto"/>
        <w:ind w:firstLine="480"/>
        <w:rPr>
          <w:color w:val="auto"/>
        </w:rPr>
      </w:pPr>
      <w:r>
        <w:rPr>
          <w:rFonts w:hint="eastAsia"/>
          <w:color w:val="auto"/>
        </w:rPr>
        <w:t>4、运行的持续性好，产品可平稳销售，可持续性处理餐厨垃圾。</w:t>
      </w:r>
    </w:p>
    <w:p>
      <w:pPr>
        <w:spacing w:line="360" w:lineRule="auto"/>
        <w:ind w:firstLine="480"/>
        <w:rPr>
          <w:color w:val="auto"/>
        </w:rPr>
      </w:pPr>
      <w:r>
        <w:rPr>
          <w:rFonts w:hint="eastAsia"/>
          <w:color w:val="auto"/>
        </w:rPr>
        <w:t>5、适合规模化生产，处理能力大。</w:t>
      </w:r>
    </w:p>
    <w:p>
      <w:pPr>
        <w:spacing w:line="360" w:lineRule="auto"/>
        <w:ind w:firstLine="480"/>
        <w:rPr>
          <w:color w:val="auto"/>
        </w:rPr>
      </w:pPr>
      <w:r>
        <w:rPr>
          <w:rFonts w:hint="eastAsia"/>
          <w:color w:val="auto"/>
        </w:rPr>
        <w:t>6、选址比较容易。</w:t>
      </w:r>
    </w:p>
    <w:p>
      <w:pPr>
        <w:spacing w:line="360" w:lineRule="auto"/>
        <w:ind w:firstLine="480"/>
        <w:rPr>
          <w:color w:val="auto"/>
        </w:rPr>
      </w:pPr>
      <w:r>
        <w:rPr>
          <w:rFonts w:hint="eastAsia"/>
          <w:color w:val="auto"/>
        </w:rPr>
        <w:t>7、二次污染小，工厂环境质量高。</w:t>
      </w:r>
    </w:p>
    <w:p>
      <w:pPr>
        <w:spacing w:line="360" w:lineRule="auto"/>
        <w:ind w:firstLine="480"/>
        <w:rPr>
          <w:color w:val="auto"/>
        </w:rPr>
      </w:pPr>
      <w:r>
        <w:rPr>
          <w:rFonts w:hint="eastAsia"/>
          <w:color w:val="auto"/>
        </w:rPr>
        <w:t>8、工程投资适中。</w:t>
      </w:r>
    </w:p>
    <w:p>
      <w:pPr>
        <w:spacing w:line="360" w:lineRule="auto"/>
        <w:ind w:firstLine="480"/>
        <w:rPr>
          <w:color w:val="auto"/>
        </w:rPr>
      </w:pPr>
      <w:r>
        <w:rPr>
          <w:rFonts w:hint="eastAsia"/>
          <w:color w:val="auto"/>
        </w:rPr>
        <w:t>9、国内外成功应用案例较多。</w:t>
      </w:r>
    </w:p>
    <w:p>
      <w:pPr>
        <w:spacing w:line="360" w:lineRule="auto"/>
        <w:ind w:firstLine="480"/>
        <w:rPr>
          <w:color w:val="auto"/>
        </w:rPr>
      </w:pPr>
      <w:r>
        <w:rPr>
          <w:rFonts w:hint="eastAsia"/>
          <w:color w:val="auto"/>
        </w:rPr>
        <w:t>综上对目前餐厨垃圾主流处理技术的介绍，列表比较如下：</w:t>
      </w:r>
    </w:p>
    <w:p>
      <w:pPr>
        <w:spacing w:line="360" w:lineRule="auto"/>
        <w:ind w:firstLine="480"/>
        <w:jc w:val="center"/>
        <w:rPr>
          <w:b/>
          <w:color w:val="auto"/>
        </w:rPr>
      </w:pPr>
      <w:r>
        <w:rPr>
          <w:rFonts w:hint="eastAsia"/>
          <w:b/>
          <w:color w:val="auto"/>
        </w:rPr>
        <w:t>表3.</w:t>
      </w:r>
      <w:r>
        <w:rPr>
          <w:rFonts w:hint="eastAsia"/>
          <w:b/>
          <w:color w:val="auto"/>
          <w:lang w:val="en-US" w:eastAsia="zh-CN"/>
        </w:rPr>
        <w:t>1</w:t>
      </w:r>
      <w:r>
        <w:rPr>
          <w:rFonts w:hint="eastAsia"/>
          <w:b/>
          <w:color w:val="auto"/>
        </w:rPr>
        <w:t>-1</w:t>
      </w:r>
      <w:r>
        <w:rPr>
          <w:rFonts w:hint="eastAsia"/>
          <w:b/>
          <w:color w:val="auto"/>
          <w:lang w:val="en-US" w:eastAsia="zh-CN"/>
        </w:rPr>
        <w:t>2</w:t>
      </w:r>
      <w:r>
        <w:rPr>
          <w:rFonts w:hint="eastAsia"/>
          <w:b/>
          <w:color w:val="auto"/>
        </w:rPr>
        <w:t xml:space="preserve">  餐厨垃圾处理技术</w:t>
      </w:r>
    </w:p>
    <w:tbl>
      <w:tblPr>
        <w:tblStyle w:val="54"/>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7"/>
        <w:gridCol w:w="2079"/>
        <w:gridCol w:w="1635"/>
        <w:gridCol w:w="1857"/>
        <w:gridCol w:w="18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vAlign w:val="center"/>
          </w:tcPr>
          <w:p>
            <w:pPr>
              <w:jc w:val="center"/>
              <w:rPr>
                <w:b/>
                <w:color w:val="auto"/>
                <w:sz w:val="21"/>
                <w:szCs w:val="21"/>
              </w:rPr>
            </w:pPr>
            <w:r>
              <w:rPr>
                <w:rFonts w:hint="eastAsia"/>
                <w:b/>
                <w:color w:val="auto"/>
                <w:sz w:val="21"/>
                <w:szCs w:val="21"/>
              </w:rPr>
              <w:t>比较项目</w:t>
            </w:r>
          </w:p>
        </w:tc>
        <w:tc>
          <w:tcPr>
            <w:tcW w:w="2079" w:type="dxa"/>
            <w:vAlign w:val="center"/>
          </w:tcPr>
          <w:p>
            <w:pPr>
              <w:jc w:val="center"/>
              <w:rPr>
                <w:b/>
                <w:color w:val="auto"/>
                <w:sz w:val="21"/>
                <w:szCs w:val="21"/>
              </w:rPr>
            </w:pPr>
            <w:r>
              <w:rPr>
                <w:rFonts w:hint="eastAsia"/>
                <w:b/>
                <w:color w:val="auto"/>
                <w:sz w:val="21"/>
                <w:szCs w:val="21"/>
              </w:rPr>
              <w:t>厌氧消化</w:t>
            </w:r>
          </w:p>
        </w:tc>
        <w:tc>
          <w:tcPr>
            <w:tcW w:w="1635" w:type="dxa"/>
            <w:vAlign w:val="center"/>
          </w:tcPr>
          <w:p>
            <w:pPr>
              <w:jc w:val="center"/>
              <w:rPr>
                <w:b/>
                <w:color w:val="auto"/>
                <w:sz w:val="21"/>
                <w:szCs w:val="21"/>
              </w:rPr>
            </w:pPr>
            <w:r>
              <w:rPr>
                <w:rFonts w:hint="eastAsia"/>
                <w:b/>
                <w:color w:val="auto"/>
                <w:sz w:val="21"/>
                <w:szCs w:val="21"/>
              </w:rPr>
              <w:t>肥料化</w:t>
            </w:r>
          </w:p>
        </w:tc>
        <w:tc>
          <w:tcPr>
            <w:tcW w:w="1857" w:type="dxa"/>
            <w:vAlign w:val="center"/>
          </w:tcPr>
          <w:p>
            <w:pPr>
              <w:jc w:val="center"/>
              <w:rPr>
                <w:b/>
                <w:color w:val="auto"/>
                <w:sz w:val="21"/>
                <w:szCs w:val="21"/>
              </w:rPr>
            </w:pPr>
            <w:r>
              <w:rPr>
                <w:rFonts w:hint="eastAsia"/>
                <w:b/>
                <w:color w:val="auto"/>
                <w:sz w:val="21"/>
                <w:szCs w:val="21"/>
              </w:rPr>
              <w:t>饲料化</w:t>
            </w:r>
          </w:p>
        </w:tc>
        <w:tc>
          <w:tcPr>
            <w:tcW w:w="1858" w:type="dxa"/>
            <w:vAlign w:val="center"/>
          </w:tcPr>
          <w:p>
            <w:pPr>
              <w:jc w:val="center"/>
              <w:rPr>
                <w:b/>
                <w:color w:val="auto"/>
                <w:sz w:val="21"/>
                <w:szCs w:val="21"/>
              </w:rPr>
            </w:pPr>
            <w:r>
              <w:rPr>
                <w:rFonts w:hint="eastAsia"/>
                <w:b/>
                <w:color w:val="auto"/>
                <w:sz w:val="21"/>
                <w:szCs w:val="21"/>
              </w:rPr>
              <w:t>焚烧法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vAlign w:val="center"/>
          </w:tcPr>
          <w:p>
            <w:pPr>
              <w:jc w:val="center"/>
              <w:rPr>
                <w:color w:val="auto"/>
                <w:sz w:val="21"/>
                <w:szCs w:val="21"/>
              </w:rPr>
            </w:pPr>
            <w:r>
              <w:rPr>
                <w:rFonts w:hint="eastAsia"/>
                <w:color w:val="auto"/>
                <w:sz w:val="21"/>
                <w:szCs w:val="21"/>
              </w:rPr>
              <w:t>无害化程度</w:t>
            </w:r>
          </w:p>
        </w:tc>
        <w:tc>
          <w:tcPr>
            <w:tcW w:w="2079" w:type="dxa"/>
            <w:vAlign w:val="center"/>
          </w:tcPr>
          <w:p>
            <w:pPr>
              <w:jc w:val="center"/>
              <w:rPr>
                <w:color w:val="auto"/>
                <w:sz w:val="21"/>
                <w:szCs w:val="21"/>
              </w:rPr>
            </w:pPr>
            <w:r>
              <w:rPr>
                <w:rFonts w:hint="eastAsia"/>
                <w:color w:val="auto"/>
                <w:sz w:val="21"/>
                <w:szCs w:val="21"/>
              </w:rPr>
              <w:t>高</w:t>
            </w:r>
          </w:p>
        </w:tc>
        <w:tc>
          <w:tcPr>
            <w:tcW w:w="1635" w:type="dxa"/>
            <w:vAlign w:val="center"/>
          </w:tcPr>
          <w:p>
            <w:pPr>
              <w:jc w:val="center"/>
              <w:rPr>
                <w:color w:val="auto"/>
                <w:sz w:val="21"/>
                <w:szCs w:val="21"/>
              </w:rPr>
            </w:pPr>
            <w:r>
              <w:rPr>
                <w:rFonts w:hint="eastAsia"/>
                <w:color w:val="auto"/>
                <w:sz w:val="21"/>
                <w:szCs w:val="21"/>
              </w:rPr>
              <w:t>较高</w:t>
            </w:r>
          </w:p>
        </w:tc>
        <w:tc>
          <w:tcPr>
            <w:tcW w:w="1857" w:type="dxa"/>
            <w:vAlign w:val="center"/>
          </w:tcPr>
          <w:p>
            <w:pPr>
              <w:jc w:val="center"/>
              <w:rPr>
                <w:color w:val="auto"/>
                <w:sz w:val="21"/>
                <w:szCs w:val="21"/>
              </w:rPr>
            </w:pPr>
            <w:r>
              <w:rPr>
                <w:rFonts w:hint="eastAsia"/>
                <w:color w:val="auto"/>
                <w:sz w:val="21"/>
                <w:szCs w:val="21"/>
              </w:rPr>
              <w:t>较高</w:t>
            </w:r>
          </w:p>
        </w:tc>
        <w:tc>
          <w:tcPr>
            <w:tcW w:w="1858" w:type="dxa"/>
            <w:vAlign w:val="center"/>
          </w:tcPr>
          <w:p>
            <w:pPr>
              <w:jc w:val="center"/>
              <w:rPr>
                <w:color w:val="auto"/>
                <w:sz w:val="21"/>
                <w:szCs w:val="21"/>
              </w:rPr>
            </w:pPr>
            <w:r>
              <w:rPr>
                <w:rFonts w:hint="eastAsia"/>
                <w:color w:val="auto"/>
                <w:sz w:val="21"/>
                <w:szCs w:val="21"/>
              </w:rPr>
              <w:t>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vAlign w:val="center"/>
          </w:tcPr>
          <w:p>
            <w:pPr>
              <w:jc w:val="center"/>
              <w:rPr>
                <w:color w:val="auto"/>
                <w:sz w:val="21"/>
                <w:szCs w:val="21"/>
              </w:rPr>
            </w:pPr>
            <w:r>
              <w:rPr>
                <w:rFonts w:hint="eastAsia"/>
                <w:color w:val="auto"/>
                <w:sz w:val="21"/>
                <w:szCs w:val="21"/>
              </w:rPr>
              <w:t>减量化程度</w:t>
            </w:r>
          </w:p>
        </w:tc>
        <w:tc>
          <w:tcPr>
            <w:tcW w:w="2079" w:type="dxa"/>
            <w:vAlign w:val="center"/>
          </w:tcPr>
          <w:p>
            <w:pPr>
              <w:jc w:val="center"/>
              <w:rPr>
                <w:color w:val="auto"/>
                <w:sz w:val="21"/>
                <w:szCs w:val="21"/>
              </w:rPr>
            </w:pPr>
            <w:r>
              <w:rPr>
                <w:rFonts w:hint="eastAsia"/>
                <w:color w:val="auto"/>
                <w:sz w:val="21"/>
                <w:szCs w:val="21"/>
              </w:rPr>
              <w:t>较高</w:t>
            </w:r>
          </w:p>
        </w:tc>
        <w:tc>
          <w:tcPr>
            <w:tcW w:w="1635" w:type="dxa"/>
            <w:vAlign w:val="center"/>
          </w:tcPr>
          <w:p>
            <w:pPr>
              <w:jc w:val="center"/>
              <w:rPr>
                <w:color w:val="auto"/>
                <w:sz w:val="21"/>
                <w:szCs w:val="21"/>
              </w:rPr>
            </w:pPr>
            <w:r>
              <w:rPr>
                <w:rFonts w:hint="eastAsia"/>
                <w:color w:val="auto"/>
                <w:sz w:val="21"/>
                <w:szCs w:val="21"/>
              </w:rPr>
              <w:t>较高</w:t>
            </w:r>
          </w:p>
        </w:tc>
        <w:tc>
          <w:tcPr>
            <w:tcW w:w="1857" w:type="dxa"/>
            <w:vAlign w:val="center"/>
          </w:tcPr>
          <w:p>
            <w:pPr>
              <w:jc w:val="center"/>
              <w:rPr>
                <w:color w:val="auto"/>
                <w:sz w:val="21"/>
                <w:szCs w:val="21"/>
              </w:rPr>
            </w:pPr>
            <w:r>
              <w:rPr>
                <w:rFonts w:hint="eastAsia"/>
                <w:color w:val="auto"/>
                <w:sz w:val="21"/>
                <w:szCs w:val="21"/>
              </w:rPr>
              <w:t>高</w:t>
            </w:r>
          </w:p>
        </w:tc>
        <w:tc>
          <w:tcPr>
            <w:tcW w:w="1858" w:type="dxa"/>
            <w:vAlign w:val="center"/>
          </w:tcPr>
          <w:p>
            <w:pPr>
              <w:jc w:val="center"/>
              <w:rPr>
                <w:color w:val="auto"/>
                <w:sz w:val="21"/>
                <w:szCs w:val="21"/>
              </w:rPr>
            </w:pPr>
            <w:r>
              <w:rPr>
                <w:rFonts w:hint="eastAsia"/>
                <w:color w:val="auto"/>
                <w:sz w:val="21"/>
                <w:szCs w:val="21"/>
              </w:rPr>
              <w:t>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vAlign w:val="center"/>
          </w:tcPr>
          <w:p>
            <w:pPr>
              <w:jc w:val="center"/>
              <w:rPr>
                <w:color w:val="auto"/>
                <w:sz w:val="21"/>
                <w:szCs w:val="21"/>
              </w:rPr>
            </w:pPr>
            <w:r>
              <w:rPr>
                <w:rFonts w:hint="eastAsia"/>
                <w:color w:val="auto"/>
                <w:sz w:val="21"/>
                <w:szCs w:val="21"/>
              </w:rPr>
              <w:t>资源化程度</w:t>
            </w:r>
          </w:p>
        </w:tc>
        <w:tc>
          <w:tcPr>
            <w:tcW w:w="2079" w:type="dxa"/>
            <w:vAlign w:val="center"/>
          </w:tcPr>
          <w:p>
            <w:pPr>
              <w:jc w:val="center"/>
              <w:rPr>
                <w:color w:val="auto"/>
                <w:sz w:val="21"/>
                <w:szCs w:val="21"/>
              </w:rPr>
            </w:pPr>
            <w:r>
              <w:rPr>
                <w:rFonts w:hint="eastAsia"/>
                <w:color w:val="auto"/>
                <w:sz w:val="21"/>
                <w:szCs w:val="21"/>
              </w:rPr>
              <w:t>高</w:t>
            </w:r>
          </w:p>
        </w:tc>
        <w:tc>
          <w:tcPr>
            <w:tcW w:w="1635" w:type="dxa"/>
            <w:vAlign w:val="center"/>
          </w:tcPr>
          <w:p>
            <w:pPr>
              <w:jc w:val="center"/>
              <w:rPr>
                <w:color w:val="auto"/>
                <w:sz w:val="21"/>
                <w:szCs w:val="21"/>
              </w:rPr>
            </w:pPr>
            <w:r>
              <w:rPr>
                <w:rFonts w:hint="eastAsia"/>
                <w:color w:val="auto"/>
                <w:sz w:val="21"/>
                <w:szCs w:val="21"/>
              </w:rPr>
              <w:t>高</w:t>
            </w:r>
          </w:p>
        </w:tc>
        <w:tc>
          <w:tcPr>
            <w:tcW w:w="1857" w:type="dxa"/>
            <w:vAlign w:val="center"/>
          </w:tcPr>
          <w:p>
            <w:pPr>
              <w:jc w:val="center"/>
              <w:rPr>
                <w:color w:val="auto"/>
                <w:sz w:val="21"/>
                <w:szCs w:val="21"/>
              </w:rPr>
            </w:pPr>
            <w:r>
              <w:rPr>
                <w:rFonts w:hint="eastAsia"/>
                <w:color w:val="auto"/>
                <w:sz w:val="21"/>
                <w:szCs w:val="21"/>
              </w:rPr>
              <w:t>高</w:t>
            </w:r>
          </w:p>
        </w:tc>
        <w:tc>
          <w:tcPr>
            <w:tcW w:w="1858" w:type="dxa"/>
            <w:vAlign w:val="center"/>
          </w:tcPr>
          <w:p>
            <w:pPr>
              <w:jc w:val="center"/>
              <w:rPr>
                <w:color w:val="auto"/>
                <w:sz w:val="21"/>
                <w:szCs w:val="21"/>
              </w:rPr>
            </w:pPr>
            <w:r>
              <w:rPr>
                <w:rFonts w:hint="eastAsia"/>
                <w:color w:val="auto"/>
                <w:sz w:val="21"/>
                <w:szCs w:val="21"/>
              </w:rPr>
              <w:t>较高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vAlign w:val="center"/>
          </w:tcPr>
          <w:p>
            <w:pPr>
              <w:jc w:val="center"/>
              <w:rPr>
                <w:color w:val="auto"/>
                <w:sz w:val="21"/>
                <w:szCs w:val="21"/>
              </w:rPr>
            </w:pPr>
            <w:r>
              <w:rPr>
                <w:rFonts w:hint="eastAsia"/>
                <w:color w:val="auto"/>
                <w:sz w:val="21"/>
                <w:szCs w:val="21"/>
              </w:rPr>
              <w:t>技术安全性</w:t>
            </w:r>
          </w:p>
        </w:tc>
        <w:tc>
          <w:tcPr>
            <w:tcW w:w="2079" w:type="dxa"/>
            <w:vAlign w:val="center"/>
          </w:tcPr>
          <w:p>
            <w:pPr>
              <w:jc w:val="center"/>
              <w:rPr>
                <w:color w:val="auto"/>
                <w:sz w:val="21"/>
                <w:szCs w:val="21"/>
              </w:rPr>
            </w:pPr>
            <w:r>
              <w:rPr>
                <w:rFonts w:hint="eastAsia"/>
                <w:color w:val="auto"/>
                <w:sz w:val="21"/>
                <w:szCs w:val="21"/>
              </w:rPr>
              <w:t>好</w:t>
            </w:r>
          </w:p>
        </w:tc>
        <w:tc>
          <w:tcPr>
            <w:tcW w:w="1635" w:type="dxa"/>
            <w:vAlign w:val="center"/>
          </w:tcPr>
          <w:p>
            <w:pPr>
              <w:jc w:val="center"/>
              <w:rPr>
                <w:color w:val="auto"/>
                <w:sz w:val="21"/>
                <w:szCs w:val="21"/>
              </w:rPr>
            </w:pPr>
            <w:r>
              <w:rPr>
                <w:rFonts w:hint="eastAsia"/>
                <w:color w:val="auto"/>
                <w:sz w:val="21"/>
                <w:szCs w:val="21"/>
              </w:rPr>
              <w:t>较好</w:t>
            </w:r>
          </w:p>
        </w:tc>
        <w:tc>
          <w:tcPr>
            <w:tcW w:w="1857" w:type="dxa"/>
            <w:vAlign w:val="center"/>
          </w:tcPr>
          <w:p>
            <w:pPr>
              <w:jc w:val="center"/>
              <w:rPr>
                <w:color w:val="auto"/>
                <w:sz w:val="21"/>
                <w:szCs w:val="21"/>
              </w:rPr>
            </w:pPr>
            <w:r>
              <w:rPr>
                <w:rFonts w:hint="eastAsia"/>
                <w:color w:val="auto"/>
                <w:sz w:val="21"/>
                <w:szCs w:val="21"/>
              </w:rPr>
              <w:t>较好</w:t>
            </w:r>
          </w:p>
        </w:tc>
        <w:tc>
          <w:tcPr>
            <w:tcW w:w="1858" w:type="dxa"/>
            <w:vAlign w:val="center"/>
          </w:tcPr>
          <w:p>
            <w:pPr>
              <w:jc w:val="center"/>
              <w:rPr>
                <w:color w:val="auto"/>
                <w:sz w:val="21"/>
                <w:szCs w:val="21"/>
              </w:rPr>
            </w:pPr>
            <w:r>
              <w:rPr>
                <w:rFonts w:hint="eastAsia"/>
                <w:color w:val="auto"/>
                <w:sz w:val="21"/>
                <w:szCs w:val="21"/>
              </w:rPr>
              <w:t>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vAlign w:val="center"/>
          </w:tcPr>
          <w:p>
            <w:pPr>
              <w:jc w:val="center"/>
              <w:rPr>
                <w:color w:val="auto"/>
                <w:sz w:val="21"/>
                <w:szCs w:val="21"/>
              </w:rPr>
            </w:pPr>
            <w:r>
              <w:rPr>
                <w:rFonts w:hint="eastAsia"/>
                <w:color w:val="auto"/>
                <w:sz w:val="21"/>
                <w:szCs w:val="21"/>
              </w:rPr>
              <w:t>技术先进性</w:t>
            </w:r>
          </w:p>
        </w:tc>
        <w:tc>
          <w:tcPr>
            <w:tcW w:w="2079" w:type="dxa"/>
            <w:vAlign w:val="center"/>
          </w:tcPr>
          <w:p>
            <w:pPr>
              <w:jc w:val="center"/>
              <w:rPr>
                <w:color w:val="auto"/>
                <w:sz w:val="21"/>
                <w:szCs w:val="21"/>
              </w:rPr>
            </w:pPr>
            <w:r>
              <w:rPr>
                <w:rFonts w:hint="eastAsia"/>
                <w:color w:val="auto"/>
                <w:sz w:val="21"/>
                <w:szCs w:val="21"/>
              </w:rPr>
              <w:t>先进</w:t>
            </w:r>
          </w:p>
        </w:tc>
        <w:tc>
          <w:tcPr>
            <w:tcW w:w="1635" w:type="dxa"/>
            <w:vAlign w:val="center"/>
          </w:tcPr>
          <w:p>
            <w:pPr>
              <w:jc w:val="center"/>
              <w:rPr>
                <w:color w:val="auto"/>
                <w:sz w:val="21"/>
                <w:szCs w:val="21"/>
              </w:rPr>
            </w:pPr>
            <w:r>
              <w:rPr>
                <w:rFonts w:hint="eastAsia"/>
                <w:color w:val="auto"/>
                <w:sz w:val="21"/>
                <w:szCs w:val="21"/>
              </w:rPr>
              <w:t>较好</w:t>
            </w:r>
          </w:p>
        </w:tc>
        <w:tc>
          <w:tcPr>
            <w:tcW w:w="1857" w:type="dxa"/>
            <w:vAlign w:val="center"/>
          </w:tcPr>
          <w:p>
            <w:pPr>
              <w:jc w:val="center"/>
              <w:rPr>
                <w:color w:val="auto"/>
                <w:sz w:val="21"/>
                <w:szCs w:val="21"/>
              </w:rPr>
            </w:pPr>
            <w:r>
              <w:rPr>
                <w:rFonts w:hint="eastAsia"/>
                <w:color w:val="auto"/>
                <w:sz w:val="21"/>
                <w:szCs w:val="21"/>
              </w:rPr>
              <w:t>较好</w:t>
            </w:r>
          </w:p>
        </w:tc>
        <w:tc>
          <w:tcPr>
            <w:tcW w:w="1858" w:type="dxa"/>
            <w:vAlign w:val="center"/>
          </w:tcPr>
          <w:p>
            <w:pPr>
              <w:jc w:val="center"/>
              <w:rPr>
                <w:color w:val="auto"/>
                <w:sz w:val="21"/>
                <w:szCs w:val="21"/>
              </w:rPr>
            </w:pPr>
            <w:r>
              <w:rPr>
                <w:rFonts w:hint="eastAsia"/>
                <w:color w:val="auto"/>
                <w:sz w:val="21"/>
                <w:szCs w:val="21"/>
              </w:rPr>
              <w:t>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vAlign w:val="center"/>
          </w:tcPr>
          <w:p>
            <w:pPr>
              <w:jc w:val="center"/>
              <w:rPr>
                <w:color w:val="auto"/>
                <w:sz w:val="21"/>
                <w:szCs w:val="21"/>
              </w:rPr>
            </w:pPr>
            <w:r>
              <w:rPr>
                <w:rFonts w:hint="eastAsia"/>
                <w:color w:val="auto"/>
                <w:sz w:val="21"/>
                <w:szCs w:val="21"/>
              </w:rPr>
              <w:t>技术可靠性</w:t>
            </w:r>
          </w:p>
        </w:tc>
        <w:tc>
          <w:tcPr>
            <w:tcW w:w="2079" w:type="dxa"/>
            <w:vAlign w:val="center"/>
          </w:tcPr>
          <w:p>
            <w:pPr>
              <w:jc w:val="center"/>
              <w:rPr>
                <w:color w:val="auto"/>
                <w:sz w:val="21"/>
                <w:szCs w:val="21"/>
              </w:rPr>
            </w:pPr>
            <w:r>
              <w:rPr>
                <w:rFonts w:hint="eastAsia"/>
                <w:color w:val="auto"/>
                <w:sz w:val="21"/>
                <w:szCs w:val="21"/>
              </w:rPr>
              <w:t>较好，在国外有很多工程实例</w:t>
            </w:r>
          </w:p>
        </w:tc>
        <w:tc>
          <w:tcPr>
            <w:tcW w:w="1635" w:type="dxa"/>
            <w:vAlign w:val="center"/>
          </w:tcPr>
          <w:p>
            <w:pPr>
              <w:jc w:val="center"/>
              <w:rPr>
                <w:color w:val="auto"/>
                <w:sz w:val="21"/>
                <w:szCs w:val="21"/>
              </w:rPr>
            </w:pPr>
            <w:r>
              <w:rPr>
                <w:rFonts w:hint="eastAsia"/>
                <w:color w:val="auto"/>
                <w:sz w:val="21"/>
                <w:szCs w:val="21"/>
              </w:rPr>
              <w:t>好</w:t>
            </w:r>
          </w:p>
        </w:tc>
        <w:tc>
          <w:tcPr>
            <w:tcW w:w="1857" w:type="dxa"/>
            <w:vAlign w:val="center"/>
          </w:tcPr>
          <w:p>
            <w:pPr>
              <w:jc w:val="center"/>
              <w:rPr>
                <w:color w:val="auto"/>
                <w:sz w:val="21"/>
                <w:szCs w:val="21"/>
              </w:rPr>
            </w:pPr>
            <w:r>
              <w:rPr>
                <w:rFonts w:hint="eastAsia"/>
                <w:color w:val="auto"/>
                <w:sz w:val="21"/>
                <w:szCs w:val="21"/>
              </w:rPr>
              <w:t>好</w:t>
            </w:r>
          </w:p>
        </w:tc>
        <w:tc>
          <w:tcPr>
            <w:tcW w:w="1858" w:type="dxa"/>
            <w:vAlign w:val="center"/>
          </w:tcPr>
          <w:p>
            <w:pPr>
              <w:jc w:val="center"/>
              <w:rPr>
                <w:color w:val="auto"/>
                <w:sz w:val="21"/>
                <w:szCs w:val="21"/>
              </w:rPr>
            </w:pPr>
            <w:r>
              <w:rPr>
                <w:rFonts w:hint="eastAsia"/>
                <w:color w:val="auto"/>
                <w:sz w:val="21"/>
                <w:szCs w:val="21"/>
              </w:rPr>
              <w:t>较好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vAlign w:val="center"/>
          </w:tcPr>
          <w:p>
            <w:pPr>
              <w:jc w:val="center"/>
              <w:rPr>
                <w:color w:val="auto"/>
                <w:sz w:val="21"/>
                <w:szCs w:val="21"/>
              </w:rPr>
            </w:pPr>
            <w:r>
              <w:rPr>
                <w:rFonts w:hint="eastAsia"/>
                <w:color w:val="auto"/>
                <w:sz w:val="21"/>
                <w:szCs w:val="21"/>
              </w:rPr>
              <w:t>能耗</w:t>
            </w:r>
          </w:p>
        </w:tc>
        <w:tc>
          <w:tcPr>
            <w:tcW w:w="2079" w:type="dxa"/>
            <w:vAlign w:val="center"/>
          </w:tcPr>
          <w:p>
            <w:pPr>
              <w:jc w:val="center"/>
              <w:rPr>
                <w:color w:val="auto"/>
                <w:sz w:val="21"/>
                <w:szCs w:val="21"/>
              </w:rPr>
            </w:pPr>
            <w:r>
              <w:rPr>
                <w:rFonts w:hint="eastAsia"/>
                <w:color w:val="auto"/>
                <w:sz w:val="21"/>
                <w:szCs w:val="21"/>
              </w:rPr>
              <w:t>较少</w:t>
            </w:r>
          </w:p>
        </w:tc>
        <w:tc>
          <w:tcPr>
            <w:tcW w:w="1635" w:type="dxa"/>
            <w:vAlign w:val="center"/>
          </w:tcPr>
          <w:p>
            <w:pPr>
              <w:jc w:val="center"/>
              <w:rPr>
                <w:color w:val="auto"/>
                <w:sz w:val="21"/>
                <w:szCs w:val="21"/>
              </w:rPr>
            </w:pPr>
            <w:r>
              <w:rPr>
                <w:rFonts w:hint="eastAsia"/>
                <w:color w:val="auto"/>
                <w:sz w:val="21"/>
                <w:szCs w:val="21"/>
              </w:rPr>
              <w:t>一般</w:t>
            </w:r>
          </w:p>
        </w:tc>
        <w:tc>
          <w:tcPr>
            <w:tcW w:w="1857" w:type="dxa"/>
            <w:vAlign w:val="center"/>
          </w:tcPr>
          <w:p>
            <w:pPr>
              <w:jc w:val="center"/>
              <w:rPr>
                <w:color w:val="auto"/>
                <w:sz w:val="21"/>
                <w:szCs w:val="21"/>
              </w:rPr>
            </w:pPr>
            <w:r>
              <w:rPr>
                <w:rFonts w:hint="eastAsia"/>
                <w:color w:val="auto"/>
                <w:sz w:val="21"/>
                <w:szCs w:val="21"/>
              </w:rPr>
              <w:t>大，需要大量的电能和天然气加热</w:t>
            </w:r>
          </w:p>
        </w:tc>
        <w:tc>
          <w:tcPr>
            <w:tcW w:w="1858" w:type="dxa"/>
            <w:vAlign w:val="center"/>
          </w:tcPr>
          <w:p>
            <w:pPr>
              <w:jc w:val="center"/>
              <w:rPr>
                <w:color w:val="auto"/>
                <w:sz w:val="21"/>
                <w:szCs w:val="21"/>
              </w:rPr>
            </w:pPr>
            <w:r>
              <w:rPr>
                <w:rFonts w:hint="eastAsia"/>
                <w:color w:val="auto"/>
                <w:sz w:val="21"/>
                <w:szCs w:val="21"/>
              </w:rPr>
              <w:t>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vAlign w:val="center"/>
          </w:tcPr>
          <w:p>
            <w:pPr>
              <w:jc w:val="center"/>
              <w:rPr>
                <w:color w:val="auto"/>
                <w:sz w:val="21"/>
                <w:szCs w:val="21"/>
              </w:rPr>
            </w:pPr>
            <w:r>
              <w:rPr>
                <w:rFonts w:hint="eastAsia"/>
                <w:color w:val="auto"/>
                <w:sz w:val="21"/>
                <w:szCs w:val="21"/>
              </w:rPr>
              <w:t>工程占地</w:t>
            </w:r>
          </w:p>
        </w:tc>
        <w:tc>
          <w:tcPr>
            <w:tcW w:w="2079" w:type="dxa"/>
            <w:vAlign w:val="center"/>
          </w:tcPr>
          <w:p>
            <w:pPr>
              <w:jc w:val="center"/>
              <w:rPr>
                <w:color w:val="auto"/>
                <w:sz w:val="21"/>
                <w:szCs w:val="21"/>
              </w:rPr>
            </w:pPr>
            <w:r>
              <w:rPr>
                <w:rFonts w:hint="eastAsia"/>
                <w:color w:val="auto"/>
                <w:sz w:val="21"/>
                <w:szCs w:val="21"/>
              </w:rPr>
              <w:t>较少</w:t>
            </w:r>
          </w:p>
        </w:tc>
        <w:tc>
          <w:tcPr>
            <w:tcW w:w="1635" w:type="dxa"/>
            <w:vAlign w:val="center"/>
          </w:tcPr>
          <w:p>
            <w:pPr>
              <w:jc w:val="center"/>
              <w:rPr>
                <w:color w:val="auto"/>
                <w:sz w:val="21"/>
                <w:szCs w:val="21"/>
              </w:rPr>
            </w:pPr>
            <w:r>
              <w:rPr>
                <w:rFonts w:hint="eastAsia"/>
                <w:color w:val="auto"/>
                <w:sz w:val="21"/>
                <w:szCs w:val="21"/>
              </w:rPr>
              <w:t>少</w:t>
            </w:r>
          </w:p>
        </w:tc>
        <w:tc>
          <w:tcPr>
            <w:tcW w:w="1857" w:type="dxa"/>
            <w:vAlign w:val="center"/>
          </w:tcPr>
          <w:p>
            <w:pPr>
              <w:jc w:val="center"/>
              <w:rPr>
                <w:color w:val="auto"/>
                <w:sz w:val="21"/>
                <w:szCs w:val="21"/>
              </w:rPr>
            </w:pPr>
            <w:r>
              <w:rPr>
                <w:rFonts w:hint="eastAsia"/>
                <w:color w:val="auto"/>
                <w:sz w:val="21"/>
                <w:szCs w:val="21"/>
              </w:rPr>
              <w:t>较大</w:t>
            </w:r>
          </w:p>
        </w:tc>
        <w:tc>
          <w:tcPr>
            <w:tcW w:w="1858" w:type="dxa"/>
            <w:vAlign w:val="center"/>
          </w:tcPr>
          <w:p>
            <w:pPr>
              <w:jc w:val="center"/>
              <w:rPr>
                <w:color w:val="auto"/>
                <w:sz w:val="21"/>
                <w:szCs w:val="21"/>
              </w:rPr>
            </w:pPr>
            <w:r>
              <w:rPr>
                <w:rFonts w:hint="eastAsia"/>
                <w:color w:val="auto"/>
                <w:sz w:val="21"/>
                <w:szCs w:val="21"/>
              </w:rPr>
              <w:t>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vAlign w:val="center"/>
          </w:tcPr>
          <w:p>
            <w:pPr>
              <w:jc w:val="center"/>
              <w:rPr>
                <w:color w:val="auto"/>
                <w:sz w:val="21"/>
                <w:szCs w:val="21"/>
              </w:rPr>
            </w:pPr>
            <w:r>
              <w:rPr>
                <w:rFonts w:hint="eastAsia"/>
                <w:color w:val="auto"/>
                <w:sz w:val="21"/>
                <w:szCs w:val="21"/>
              </w:rPr>
              <w:t>投资金额（万元/吨）</w:t>
            </w:r>
          </w:p>
        </w:tc>
        <w:tc>
          <w:tcPr>
            <w:tcW w:w="2079" w:type="dxa"/>
            <w:vAlign w:val="center"/>
          </w:tcPr>
          <w:p>
            <w:pPr>
              <w:jc w:val="center"/>
              <w:rPr>
                <w:color w:val="auto"/>
                <w:sz w:val="21"/>
                <w:szCs w:val="21"/>
              </w:rPr>
            </w:pPr>
            <w:r>
              <w:rPr>
                <w:rFonts w:hint="eastAsia"/>
                <w:color w:val="auto"/>
                <w:sz w:val="21"/>
                <w:szCs w:val="21"/>
              </w:rPr>
              <w:t>40-50</w:t>
            </w:r>
          </w:p>
        </w:tc>
        <w:tc>
          <w:tcPr>
            <w:tcW w:w="1635" w:type="dxa"/>
            <w:vAlign w:val="center"/>
          </w:tcPr>
          <w:p>
            <w:pPr>
              <w:jc w:val="center"/>
              <w:rPr>
                <w:color w:val="auto"/>
                <w:sz w:val="21"/>
                <w:szCs w:val="21"/>
              </w:rPr>
            </w:pPr>
            <w:r>
              <w:rPr>
                <w:rFonts w:hint="eastAsia"/>
                <w:color w:val="auto"/>
                <w:sz w:val="21"/>
                <w:szCs w:val="21"/>
              </w:rPr>
              <w:t>20-40</w:t>
            </w:r>
          </w:p>
        </w:tc>
        <w:tc>
          <w:tcPr>
            <w:tcW w:w="1857" w:type="dxa"/>
            <w:vAlign w:val="center"/>
          </w:tcPr>
          <w:p>
            <w:pPr>
              <w:jc w:val="center"/>
              <w:rPr>
                <w:color w:val="auto"/>
                <w:sz w:val="21"/>
                <w:szCs w:val="21"/>
              </w:rPr>
            </w:pPr>
            <w:r>
              <w:rPr>
                <w:rFonts w:hint="eastAsia"/>
                <w:color w:val="auto"/>
                <w:sz w:val="21"/>
                <w:szCs w:val="21"/>
              </w:rPr>
              <w:t>20-40</w:t>
            </w:r>
          </w:p>
        </w:tc>
        <w:tc>
          <w:tcPr>
            <w:tcW w:w="1858" w:type="dxa"/>
            <w:vAlign w:val="center"/>
          </w:tcPr>
          <w:p>
            <w:pPr>
              <w:jc w:val="center"/>
              <w:rPr>
                <w:color w:val="auto"/>
                <w:sz w:val="21"/>
                <w:szCs w:val="21"/>
              </w:rPr>
            </w:pPr>
            <w:r>
              <w:rPr>
                <w:rFonts w:hint="eastAsia"/>
                <w:color w:val="auto"/>
                <w:sz w:val="21"/>
                <w:szCs w:val="21"/>
              </w:rPr>
              <w:t>10-20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vAlign w:val="center"/>
          </w:tcPr>
          <w:p>
            <w:pPr>
              <w:jc w:val="center"/>
              <w:rPr>
                <w:color w:val="auto"/>
                <w:sz w:val="21"/>
                <w:szCs w:val="21"/>
              </w:rPr>
            </w:pPr>
            <w:r>
              <w:rPr>
                <w:rFonts w:hint="eastAsia"/>
                <w:color w:val="auto"/>
                <w:sz w:val="21"/>
                <w:szCs w:val="21"/>
              </w:rPr>
              <w:t>运营成本（不含收运系统，元/吨）</w:t>
            </w:r>
          </w:p>
        </w:tc>
        <w:tc>
          <w:tcPr>
            <w:tcW w:w="2079" w:type="dxa"/>
            <w:vAlign w:val="center"/>
          </w:tcPr>
          <w:p>
            <w:pPr>
              <w:jc w:val="center"/>
              <w:rPr>
                <w:color w:val="auto"/>
                <w:sz w:val="21"/>
                <w:szCs w:val="21"/>
              </w:rPr>
            </w:pPr>
            <w:r>
              <w:rPr>
                <w:rFonts w:hint="eastAsia"/>
                <w:color w:val="auto"/>
                <w:sz w:val="21"/>
                <w:szCs w:val="21"/>
              </w:rPr>
              <w:t>120-130</w:t>
            </w:r>
          </w:p>
        </w:tc>
        <w:tc>
          <w:tcPr>
            <w:tcW w:w="1635" w:type="dxa"/>
            <w:vAlign w:val="center"/>
          </w:tcPr>
          <w:p>
            <w:pPr>
              <w:jc w:val="center"/>
              <w:rPr>
                <w:color w:val="auto"/>
                <w:sz w:val="21"/>
                <w:szCs w:val="21"/>
              </w:rPr>
            </w:pPr>
            <w:r>
              <w:rPr>
                <w:rFonts w:hint="eastAsia"/>
                <w:color w:val="auto"/>
                <w:sz w:val="21"/>
                <w:szCs w:val="21"/>
              </w:rPr>
              <w:t>110-130</w:t>
            </w:r>
          </w:p>
        </w:tc>
        <w:tc>
          <w:tcPr>
            <w:tcW w:w="1857" w:type="dxa"/>
            <w:vAlign w:val="center"/>
          </w:tcPr>
          <w:p>
            <w:pPr>
              <w:jc w:val="center"/>
              <w:rPr>
                <w:color w:val="auto"/>
                <w:sz w:val="21"/>
                <w:szCs w:val="21"/>
              </w:rPr>
            </w:pPr>
            <w:r>
              <w:rPr>
                <w:rFonts w:hint="eastAsia"/>
                <w:color w:val="auto"/>
                <w:sz w:val="21"/>
                <w:szCs w:val="21"/>
              </w:rPr>
              <w:t>120-130</w:t>
            </w:r>
          </w:p>
        </w:tc>
        <w:tc>
          <w:tcPr>
            <w:tcW w:w="1858" w:type="dxa"/>
            <w:vAlign w:val="center"/>
          </w:tcPr>
          <w:p>
            <w:pPr>
              <w:jc w:val="center"/>
              <w:rPr>
                <w:color w:val="auto"/>
                <w:sz w:val="21"/>
                <w:szCs w:val="21"/>
              </w:rPr>
            </w:pPr>
            <w:r>
              <w:rPr>
                <w:rFonts w:hint="eastAsia"/>
                <w:color w:val="auto"/>
                <w:sz w:val="21"/>
                <w:szCs w:val="21"/>
              </w:rPr>
              <w:t>90-100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vAlign w:val="center"/>
          </w:tcPr>
          <w:p>
            <w:pPr>
              <w:jc w:val="center"/>
              <w:rPr>
                <w:color w:val="auto"/>
                <w:sz w:val="21"/>
                <w:szCs w:val="21"/>
              </w:rPr>
            </w:pPr>
            <w:r>
              <w:rPr>
                <w:rFonts w:hint="eastAsia"/>
                <w:color w:val="auto"/>
                <w:sz w:val="21"/>
                <w:szCs w:val="21"/>
              </w:rPr>
              <w:t>终端产品</w:t>
            </w:r>
          </w:p>
        </w:tc>
        <w:tc>
          <w:tcPr>
            <w:tcW w:w="2079" w:type="dxa"/>
            <w:vAlign w:val="center"/>
          </w:tcPr>
          <w:p>
            <w:pPr>
              <w:jc w:val="center"/>
              <w:rPr>
                <w:color w:val="auto"/>
                <w:sz w:val="21"/>
                <w:szCs w:val="21"/>
              </w:rPr>
            </w:pPr>
            <w:r>
              <w:rPr>
                <w:rFonts w:hint="eastAsia"/>
                <w:color w:val="auto"/>
                <w:sz w:val="21"/>
                <w:szCs w:val="21"/>
              </w:rPr>
              <w:t>发电或制备CNG</w:t>
            </w:r>
          </w:p>
        </w:tc>
        <w:tc>
          <w:tcPr>
            <w:tcW w:w="1635" w:type="dxa"/>
            <w:vAlign w:val="center"/>
          </w:tcPr>
          <w:p>
            <w:pPr>
              <w:jc w:val="center"/>
              <w:rPr>
                <w:color w:val="auto"/>
                <w:sz w:val="21"/>
                <w:szCs w:val="21"/>
              </w:rPr>
            </w:pPr>
            <w:r>
              <w:rPr>
                <w:rFonts w:hint="eastAsia"/>
                <w:color w:val="auto"/>
                <w:sz w:val="21"/>
                <w:szCs w:val="21"/>
              </w:rPr>
              <w:t>肥料</w:t>
            </w:r>
          </w:p>
        </w:tc>
        <w:tc>
          <w:tcPr>
            <w:tcW w:w="1857" w:type="dxa"/>
            <w:vAlign w:val="center"/>
          </w:tcPr>
          <w:p>
            <w:pPr>
              <w:jc w:val="center"/>
              <w:rPr>
                <w:color w:val="auto"/>
                <w:sz w:val="21"/>
                <w:szCs w:val="21"/>
              </w:rPr>
            </w:pPr>
            <w:r>
              <w:rPr>
                <w:rFonts w:hint="eastAsia"/>
                <w:color w:val="auto"/>
                <w:sz w:val="21"/>
                <w:szCs w:val="21"/>
              </w:rPr>
              <w:t>饲料</w:t>
            </w:r>
          </w:p>
        </w:tc>
        <w:tc>
          <w:tcPr>
            <w:tcW w:w="1858" w:type="dxa"/>
            <w:vAlign w:val="center"/>
          </w:tcPr>
          <w:p>
            <w:pPr>
              <w:jc w:val="center"/>
              <w:rPr>
                <w:color w:val="auto"/>
                <w:sz w:val="21"/>
                <w:szCs w:val="21"/>
              </w:rPr>
            </w:pPr>
            <w:r>
              <w:rPr>
                <w:rFonts w:hint="eastAsia"/>
                <w:color w:val="auto"/>
                <w:sz w:val="21"/>
                <w:szCs w:val="21"/>
              </w:rPr>
              <w:t>电能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vAlign w:val="center"/>
          </w:tcPr>
          <w:p>
            <w:pPr>
              <w:jc w:val="center"/>
              <w:rPr>
                <w:color w:val="auto"/>
                <w:sz w:val="21"/>
                <w:szCs w:val="21"/>
              </w:rPr>
            </w:pPr>
            <w:r>
              <w:rPr>
                <w:rFonts w:hint="eastAsia"/>
                <w:color w:val="auto"/>
                <w:sz w:val="21"/>
                <w:szCs w:val="21"/>
              </w:rPr>
              <w:t>产品销路</w:t>
            </w:r>
          </w:p>
        </w:tc>
        <w:tc>
          <w:tcPr>
            <w:tcW w:w="2079" w:type="dxa"/>
            <w:vAlign w:val="center"/>
          </w:tcPr>
          <w:p>
            <w:pPr>
              <w:jc w:val="center"/>
              <w:rPr>
                <w:color w:val="auto"/>
                <w:sz w:val="21"/>
                <w:szCs w:val="21"/>
              </w:rPr>
            </w:pPr>
            <w:r>
              <w:rPr>
                <w:rFonts w:hint="eastAsia"/>
                <w:color w:val="auto"/>
                <w:sz w:val="21"/>
                <w:szCs w:val="21"/>
              </w:rPr>
              <w:t>畅通</w:t>
            </w:r>
          </w:p>
        </w:tc>
        <w:tc>
          <w:tcPr>
            <w:tcW w:w="1635" w:type="dxa"/>
            <w:vAlign w:val="center"/>
          </w:tcPr>
          <w:p>
            <w:pPr>
              <w:jc w:val="center"/>
              <w:rPr>
                <w:color w:val="auto"/>
                <w:sz w:val="21"/>
                <w:szCs w:val="21"/>
              </w:rPr>
            </w:pPr>
            <w:r>
              <w:rPr>
                <w:rFonts w:hint="eastAsia"/>
                <w:color w:val="auto"/>
                <w:sz w:val="21"/>
                <w:szCs w:val="21"/>
              </w:rPr>
              <w:t>盐分较高，市场推广难度大</w:t>
            </w:r>
          </w:p>
        </w:tc>
        <w:tc>
          <w:tcPr>
            <w:tcW w:w="1857" w:type="dxa"/>
            <w:vAlign w:val="center"/>
          </w:tcPr>
          <w:p>
            <w:pPr>
              <w:jc w:val="center"/>
              <w:rPr>
                <w:color w:val="auto"/>
                <w:sz w:val="21"/>
                <w:szCs w:val="21"/>
              </w:rPr>
            </w:pPr>
            <w:r>
              <w:rPr>
                <w:rFonts w:hint="eastAsia"/>
                <w:color w:val="auto"/>
                <w:sz w:val="21"/>
                <w:szCs w:val="21"/>
              </w:rPr>
              <w:t>存在同源性隐患</w:t>
            </w:r>
          </w:p>
        </w:tc>
        <w:tc>
          <w:tcPr>
            <w:tcW w:w="1858" w:type="dxa"/>
            <w:vAlign w:val="center"/>
          </w:tcPr>
          <w:p>
            <w:pPr>
              <w:jc w:val="center"/>
              <w:rPr>
                <w:color w:val="auto"/>
                <w:sz w:val="21"/>
                <w:szCs w:val="21"/>
              </w:rPr>
            </w:pPr>
            <w:r>
              <w:rPr>
                <w:rFonts w:hint="eastAsia"/>
                <w:color w:val="auto"/>
                <w:sz w:val="21"/>
                <w:szCs w:val="21"/>
              </w:rPr>
              <w:t>畅通</w:t>
            </w:r>
          </w:p>
        </w:tc>
      </w:tr>
    </w:tbl>
    <w:p>
      <w:pPr>
        <w:spacing w:line="360" w:lineRule="auto"/>
        <w:ind w:firstLine="480"/>
        <w:rPr>
          <w:color w:val="auto"/>
        </w:rPr>
      </w:pPr>
      <w:r>
        <w:rPr>
          <w:rFonts w:hint="eastAsia"/>
          <w:color w:val="auto"/>
        </w:rPr>
        <w:t>根据上表各种主要餐厨垃圾处理方式与本项目的适应性分析，结合兴宁市餐厨垃圾的特性，对兴宁市餐厨垃圾处理方式的选择做出如下分析：</w:t>
      </w:r>
    </w:p>
    <w:p>
      <w:pPr>
        <w:spacing w:line="360" w:lineRule="auto"/>
        <w:ind w:firstLine="480"/>
        <w:rPr>
          <w:color w:val="auto"/>
        </w:rPr>
      </w:pPr>
      <w:r>
        <w:rPr>
          <w:rFonts w:hint="eastAsia"/>
          <w:color w:val="auto"/>
        </w:rPr>
        <w:t>1）利用厌氧消化处理技术处理餐厨垃圾在国内具有较多的应用，该技术无害化程度最高，可将餐厨垃圾转化为清洁能源沼气，符合目前我国大力倡导的节能减排循环经济理念。但该技术对预处理设备要求较高，因此投资成本和运营成本较高，适合于200t/d 及以上规模的项目。</w:t>
      </w:r>
    </w:p>
    <w:p>
      <w:pPr>
        <w:spacing w:line="360" w:lineRule="auto"/>
        <w:ind w:firstLine="480"/>
        <w:rPr>
          <w:color w:val="auto"/>
        </w:rPr>
      </w:pPr>
      <w:r>
        <w:rPr>
          <w:rFonts w:hint="eastAsia"/>
          <w:color w:val="auto"/>
        </w:rPr>
        <w:t>2）好氧制肥技术成熟，投资小，运营成本也不高，但市场认可度低，如环境较差、容易引发二次污染；高盐分的产品会抑制种子发芽并容易导致土壤的盐碱化等问题</w:t>
      </w:r>
    </w:p>
    <w:p>
      <w:pPr>
        <w:spacing w:line="360" w:lineRule="auto"/>
        <w:ind w:firstLine="480"/>
        <w:rPr>
          <w:color w:val="auto"/>
        </w:rPr>
      </w:pPr>
      <w:r>
        <w:rPr>
          <w:rFonts w:hint="eastAsia"/>
          <w:color w:val="auto"/>
        </w:rPr>
        <w:t>3）饲料技术具有机械化程度高，资源化程度高、占地面积小，投资省等优点。该技术发源于日本、韩国等国家，一度占据很重要的位置，但是近年来，该技术逐渐在上述两国市场逐渐退缩，相反厌氧消化在上述两国逐渐占据主导地位。究其原因，主要因为人们担心的是饲料的同源性问题，但是在工艺中难以避免。因此，应慎重选择该技术。</w:t>
      </w:r>
    </w:p>
    <w:p>
      <w:pPr>
        <w:spacing w:line="360" w:lineRule="auto"/>
        <w:ind w:firstLine="480"/>
        <w:rPr>
          <w:color w:val="auto"/>
        </w:rPr>
      </w:pPr>
      <w:r>
        <w:rPr>
          <w:rFonts w:hint="eastAsia"/>
          <w:color w:val="auto"/>
        </w:rPr>
        <w:t>4）由于我国餐厨垃圾收运处理设施相对不完善，混入生活垃圾中采用焚烧技术处理在国内较为普遍。但由于餐厨垃圾含水率较高，易影响焚烧效果等原因，该工艺长期以来属于没有将餐厨垃圾作为单独处理时的一种“简便”方法。增加了压榨脱水、油水分离等工序后的餐厨垃圾焚烧工艺不但克服了含水率高、含油率高等技术劣势，且具有投资小、占地小、经济效益高等特点，由此协同焚烧处理技术逐渐兴起。</w:t>
      </w:r>
    </w:p>
    <w:p>
      <w:pPr>
        <w:spacing w:line="360" w:lineRule="auto"/>
        <w:ind w:firstLine="480"/>
        <w:jc w:val="center"/>
        <w:rPr>
          <w:b/>
          <w:color w:val="auto"/>
        </w:rPr>
      </w:pPr>
      <w:r>
        <w:rPr>
          <w:rFonts w:hint="eastAsia"/>
          <w:color w:val="auto"/>
        </w:rPr>
        <w:t>以上分析表明，厌氧消化技术与焚烧技术具有较佳的市场通路，均为目前的主流工艺。相比较而言，应用厌氧消化技术处理餐厨垃圾在生态环境方面具有突出的优势，但是投资较大、仅适合于200t/d 及以上规模项目等问题；而焚烧技术具有减量化程度最彻底、投资小、收益高等特点。结合的兴宁市餐厨垃圾处理的现状，兴宁市餐厨废弃物无害化处理及资源化利用项目的餐厨垃圾处理规模为25 吨/日，且建设在兴宁静脉产业园内，具有得天独厚的焚烧处理优势，因此推荐采用压榨脱水+餐厨残渣焚烧处理技术。</w:t>
      </w:r>
    </w:p>
    <w:p>
      <w:pPr>
        <w:spacing w:line="360" w:lineRule="auto"/>
        <w:rPr>
          <w:b/>
          <w:color w:val="auto"/>
        </w:rPr>
      </w:pPr>
      <w:r>
        <w:rPr>
          <w:rFonts w:hint="eastAsia"/>
          <w:b/>
          <w:color w:val="auto"/>
        </w:rPr>
        <w:t>3.</w:t>
      </w:r>
      <w:r>
        <w:rPr>
          <w:rFonts w:hint="eastAsia"/>
          <w:b/>
          <w:color w:val="auto"/>
          <w:lang w:val="en-US" w:eastAsia="zh-CN"/>
        </w:rPr>
        <w:t>1</w:t>
      </w:r>
      <w:r>
        <w:rPr>
          <w:rFonts w:hint="eastAsia"/>
          <w:b/>
          <w:color w:val="auto"/>
        </w:rPr>
        <w:t>.</w:t>
      </w:r>
      <w:r>
        <w:rPr>
          <w:rFonts w:hint="eastAsia"/>
          <w:b/>
          <w:color w:val="auto"/>
          <w:lang w:val="en-US" w:eastAsia="zh-CN"/>
        </w:rPr>
        <w:t>10</w:t>
      </w:r>
      <w:r>
        <w:rPr>
          <w:rFonts w:hint="eastAsia"/>
          <w:b/>
          <w:color w:val="auto"/>
        </w:rPr>
        <w:t>.3餐厨处理工艺流程介绍</w:t>
      </w:r>
    </w:p>
    <w:p>
      <w:pPr>
        <w:autoSpaceDE w:val="0"/>
        <w:autoSpaceDN w:val="0"/>
        <w:adjustRightInd w:val="0"/>
        <w:spacing w:line="360" w:lineRule="auto"/>
        <w:ind w:firstLine="480" w:firstLineChars="200"/>
        <w:rPr>
          <w:rFonts w:eastAsiaTheme="minorEastAsia"/>
          <w:color w:val="auto"/>
          <w:kern w:val="0"/>
        </w:rPr>
      </w:pPr>
      <w:r>
        <w:rPr>
          <w:rFonts w:eastAsiaTheme="minorEastAsia"/>
          <w:color w:val="auto"/>
          <w:kern w:val="0"/>
        </w:rPr>
        <w:t>本项目采用“破碎+压榨脱水（餐厨垃圾残渣脱水后含水率不高于65%）+油水分离+干化焚烧”的工艺，详细工艺流程如下：</w:t>
      </w:r>
    </w:p>
    <w:p>
      <w:pPr>
        <w:jc w:val="center"/>
        <w:rPr>
          <w:rFonts w:hint="eastAsia" w:eastAsia="宋体"/>
          <w:color w:val="auto"/>
          <w:lang w:eastAsia="zh-CN"/>
        </w:rPr>
      </w:pPr>
      <w:r>
        <w:rPr>
          <w:rFonts w:hint="eastAsia" w:eastAsia="宋体"/>
          <w:color w:val="auto"/>
          <w:lang w:eastAsia="zh-CN"/>
        </w:rPr>
        <w:object>
          <v:shape id="_x0000_i1033" o:spt="75" type="#_x0000_t75" style="height:137.6pt;width:456.7pt;" o:ole="t" filled="f" o:preferrelative="t" stroked="f" coordsize="21600,21600">
            <v:path/>
            <v:fill on="f" focussize="0,0"/>
            <v:stroke on="f" joinstyle="miter"/>
            <v:imagedata r:id="rId76" o:title=""/>
            <o:lock v:ext="edit" aspectratio="t"/>
            <w10:wrap type="none"/>
            <w10:anchorlock/>
          </v:shape>
          <o:OLEObject Type="Embed" ProgID="Visio.Drawing.11" ShapeID="_x0000_i1033" DrawAspect="Content" ObjectID="_1468075734" r:id="rId75">
            <o:LockedField>false</o:LockedField>
          </o:OLEObject>
        </w:object>
      </w:r>
    </w:p>
    <w:p>
      <w:pPr>
        <w:jc w:val="center"/>
        <w:rPr>
          <w:b/>
          <w:color w:val="auto"/>
        </w:rPr>
      </w:pPr>
      <w:r>
        <w:rPr>
          <w:rFonts w:hint="eastAsia"/>
          <w:b/>
          <w:color w:val="auto"/>
        </w:rPr>
        <w:t>图3.</w:t>
      </w:r>
      <w:r>
        <w:rPr>
          <w:rFonts w:hint="eastAsia"/>
          <w:b/>
          <w:color w:val="auto"/>
          <w:lang w:val="en-US" w:eastAsia="zh-CN"/>
        </w:rPr>
        <w:t>1</w:t>
      </w:r>
      <w:r>
        <w:rPr>
          <w:rFonts w:hint="eastAsia"/>
          <w:b/>
          <w:color w:val="auto"/>
        </w:rPr>
        <w:t>-</w:t>
      </w:r>
      <w:r>
        <w:rPr>
          <w:rFonts w:hint="eastAsia"/>
          <w:b/>
          <w:color w:val="auto"/>
          <w:lang w:val="en-US" w:eastAsia="zh-CN"/>
        </w:rPr>
        <w:t>8</w:t>
      </w:r>
      <w:r>
        <w:rPr>
          <w:rFonts w:hint="eastAsia"/>
          <w:b/>
          <w:color w:val="auto"/>
        </w:rPr>
        <w:t xml:space="preserve">  餐厨垃圾焚烧处理工艺原理流程图</w:t>
      </w:r>
    </w:p>
    <w:p>
      <w:pPr>
        <w:autoSpaceDE w:val="0"/>
        <w:autoSpaceDN w:val="0"/>
        <w:adjustRightInd w:val="0"/>
        <w:spacing w:line="360" w:lineRule="auto"/>
        <w:rPr>
          <w:rFonts w:hint="eastAsia" w:eastAsiaTheme="minorEastAsia"/>
          <w:b/>
          <w:color w:val="auto"/>
          <w:kern w:val="0"/>
        </w:rPr>
      </w:pPr>
    </w:p>
    <w:p>
      <w:pPr>
        <w:autoSpaceDE w:val="0"/>
        <w:autoSpaceDN w:val="0"/>
        <w:adjustRightInd w:val="0"/>
        <w:spacing w:line="360" w:lineRule="auto"/>
        <w:rPr>
          <w:rFonts w:eastAsiaTheme="minorEastAsia"/>
          <w:b/>
          <w:color w:val="auto"/>
          <w:kern w:val="0"/>
        </w:rPr>
      </w:pPr>
      <w:r>
        <w:rPr>
          <w:rFonts w:hint="eastAsia" w:eastAsiaTheme="minorEastAsia"/>
          <w:b/>
          <w:color w:val="auto"/>
          <w:kern w:val="0"/>
        </w:rPr>
        <w:t>一、</w:t>
      </w:r>
      <w:r>
        <w:rPr>
          <w:rFonts w:eastAsiaTheme="minorEastAsia"/>
          <w:b/>
          <w:color w:val="auto"/>
          <w:kern w:val="0"/>
        </w:rPr>
        <w:t>工艺流程说明</w:t>
      </w:r>
    </w:p>
    <w:p>
      <w:pPr>
        <w:autoSpaceDE w:val="0"/>
        <w:autoSpaceDN w:val="0"/>
        <w:adjustRightInd w:val="0"/>
        <w:spacing w:line="360" w:lineRule="auto"/>
        <w:ind w:firstLine="360" w:firstLineChars="150"/>
        <w:rPr>
          <w:rFonts w:hint="eastAsia" w:eastAsiaTheme="minorEastAsia"/>
          <w:color w:val="auto"/>
          <w:kern w:val="0"/>
        </w:rPr>
      </w:pPr>
      <w:r>
        <w:rPr>
          <w:rFonts w:hint="eastAsia" w:eastAsiaTheme="minorEastAsia"/>
          <w:color w:val="auto"/>
          <w:kern w:val="0"/>
          <w:lang w:eastAsia="zh-CN"/>
        </w:rPr>
        <w:t>（</w:t>
      </w:r>
      <w:r>
        <w:rPr>
          <w:rFonts w:hint="eastAsia" w:eastAsiaTheme="minorEastAsia"/>
          <w:color w:val="auto"/>
          <w:kern w:val="0"/>
          <w:lang w:val="en-US" w:eastAsia="zh-CN"/>
        </w:rPr>
        <w:t>1</w:t>
      </w:r>
      <w:r>
        <w:rPr>
          <w:rFonts w:hint="eastAsia" w:eastAsiaTheme="minorEastAsia"/>
          <w:color w:val="auto"/>
          <w:kern w:val="0"/>
          <w:lang w:eastAsia="zh-CN"/>
        </w:rPr>
        <w:t>）</w:t>
      </w:r>
      <w:r>
        <w:rPr>
          <w:rFonts w:hint="eastAsia" w:eastAsiaTheme="minorEastAsia"/>
          <w:color w:val="auto"/>
          <w:kern w:val="0"/>
        </w:rPr>
        <w:t>餐厨垃圾分类收集</w:t>
      </w:r>
      <w:r>
        <w:rPr>
          <w:rFonts w:hint="eastAsia" w:eastAsiaTheme="minorEastAsia"/>
          <w:color w:val="auto"/>
          <w:kern w:val="0"/>
          <w:lang w:eastAsia="zh-CN"/>
        </w:rPr>
        <w:t>：</w:t>
      </w:r>
      <w:r>
        <w:rPr>
          <w:rFonts w:hint="eastAsia" w:eastAsiaTheme="minorEastAsia"/>
          <w:color w:val="auto"/>
          <w:kern w:val="0"/>
        </w:rPr>
        <w:t>项目餐厨垃圾来源主要为</w:t>
      </w:r>
      <w:r>
        <w:rPr>
          <w:rFonts w:hint="eastAsia" w:eastAsiaTheme="minorEastAsia"/>
          <w:color w:val="auto"/>
          <w:kern w:val="0"/>
          <w:lang w:eastAsia="zh-CN"/>
        </w:rPr>
        <w:t>兴宁市</w:t>
      </w:r>
      <w:r>
        <w:rPr>
          <w:rFonts w:hint="eastAsia" w:eastAsiaTheme="minorEastAsia"/>
          <w:color w:val="auto"/>
          <w:kern w:val="0"/>
        </w:rPr>
        <w:t>辖区范围内居民厨余垃圾及餐饮企业、学校、机关单位等产生的餐饮垃圾，各餐厨垃圾产生点按照有关规定将餐厨垃圾分类，放置在不同的回收桶里暂存。由当地市政环卫部门负责采用专用餐厨垃圾罐车到餐厨垃圾产生点回收餐厨垃圾</w:t>
      </w:r>
      <w:r>
        <w:rPr>
          <w:rFonts w:hint="eastAsia" w:eastAsiaTheme="minorEastAsia"/>
          <w:color w:val="auto"/>
          <w:kern w:val="0"/>
          <w:sz w:val="24"/>
          <w:szCs w:val="24"/>
        </w:rPr>
        <w:t>。</w:t>
      </w:r>
      <w:r>
        <w:rPr>
          <w:rFonts w:hint="eastAsia"/>
          <w:color w:val="auto"/>
          <w:sz w:val="24"/>
          <w:szCs w:val="24"/>
        </w:rPr>
        <w:t>本项目</w:t>
      </w:r>
      <w:r>
        <w:rPr>
          <w:color w:val="auto"/>
          <w:sz w:val="24"/>
          <w:szCs w:val="24"/>
        </w:rPr>
        <w:t>收运车辆的维修、保养统一在附近车辆修理厂进行。收运车辆卸料后，在餐厨废弃物预处理车间卸料区清洗后再出场。收运系统实行</w:t>
      </w:r>
      <w:r>
        <w:rPr>
          <w:rFonts w:hint="eastAsia"/>
          <w:color w:val="auto"/>
          <w:sz w:val="24"/>
          <w:szCs w:val="24"/>
        </w:rPr>
        <w:t>8小时</w:t>
      </w:r>
      <w:r>
        <w:rPr>
          <w:color w:val="auto"/>
          <w:sz w:val="24"/>
          <w:szCs w:val="24"/>
        </w:rPr>
        <w:t>制，生产天数为</w:t>
      </w:r>
      <w:r>
        <w:rPr>
          <w:rFonts w:hint="eastAsia"/>
          <w:color w:val="auto"/>
          <w:sz w:val="24"/>
          <w:szCs w:val="24"/>
          <w:lang w:val="en-US" w:eastAsia="zh-CN"/>
        </w:rPr>
        <w:t>330</w:t>
      </w:r>
      <w:r>
        <w:rPr>
          <w:color w:val="auto"/>
          <w:sz w:val="24"/>
          <w:szCs w:val="24"/>
        </w:rPr>
        <w:t>天。</w:t>
      </w:r>
      <w:r>
        <w:rPr>
          <w:rFonts w:hint="eastAsia"/>
          <w:color w:val="auto"/>
          <w:sz w:val="24"/>
          <w:szCs w:val="24"/>
        </w:rPr>
        <w:t>收运车辆运行时间应与餐厨废弃物产生单位约定，并按照规定的路线和时间进行清运，避免餐厨废弃物过久存放于暂存点。</w:t>
      </w:r>
      <w:r>
        <w:rPr>
          <w:rFonts w:hint="eastAsia"/>
          <w:color w:val="auto"/>
          <w:sz w:val="24"/>
          <w:szCs w:val="24"/>
          <w:highlight w:val="none"/>
          <w:lang w:val="en-US" w:eastAsia="zh-CN"/>
        </w:rPr>
        <w:t>建议收运时间分为两个时间段：9:00~13:00和19:00~23:00，避开交通高峰期和拥堵路段。</w:t>
      </w:r>
    </w:p>
    <w:p>
      <w:pPr>
        <w:autoSpaceDE w:val="0"/>
        <w:autoSpaceDN w:val="0"/>
        <w:adjustRightInd w:val="0"/>
        <w:spacing w:line="360" w:lineRule="auto"/>
        <w:ind w:firstLine="360" w:firstLineChars="150"/>
        <w:rPr>
          <w:rFonts w:eastAsiaTheme="minorEastAsia"/>
          <w:color w:val="auto"/>
          <w:kern w:val="0"/>
        </w:rPr>
      </w:pPr>
      <w:r>
        <w:rPr>
          <w:rFonts w:hint="eastAsia" w:eastAsiaTheme="minorEastAsia"/>
          <w:color w:val="auto"/>
          <w:kern w:val="0"/>
          <w:lang w:eastAsia="zh-CN"/>
        </w:rPr>
        <w:t>（</w:t>
      </w:r>
      <w:r>
        <w:rPr>
          <w:rFonts w:hint="eastAsia" w:eastAsiaTheme="minorEastAsia"/>
          <w:color w:val="auto"/>
          <w:kern w:val="0"/>
          <w:lang w:val="en-US" w:eastAsia="zh-CN"/>
        </w:rPr>
        <w:t>2</w:t>
      </w:r>
      <w:r>
        <w:rPr>
          <w:rFonts w:hint="eastAsia" w:eastAsiaTheme="minorEastAsia"/>
          <w:color w:val="auto"/>
          <w:kern w:val="0"/>
          <w:lang w:eastAsia="zh-CN"/>
        </w:rPr>
        <w:t>）</w:t>
      </w:r>
      <w:r>
        <w:rPr>
          <w:rFonts w:hint="eastAsia" w:eastAsiaTheme="minorEastAsia"/>
          <w:color w:val="auto"/>
          <w:kern w:val="0"/>
        </w:rPr>
        <w:t>装满餐厨垃圾的运输车辆入厂时，过电子地磅称重、记录。之后</w:t>
      </w:r>
      <w:r>
        <w:rPr>
          <w:rFonts w:eastAsiaTheme="minorEastAsia"/>
          <w:color w:val="auto"/>
          <w:kern w:val="0"/>
        </w:rPr>
        <w:t>收运车辆在指定位置将车内的垃圾卸入物料接收装置内；接料斗底部配置双无轴螺旋输送机，设备带沥水功能。</w:t>
      </w:r>
      <w:r>
        <w:rPr>
          <w:rFonts w:hint="eastAsia" w:eastAsiaTheme="minorEastAsia"/>
          <w:color w:val="auto"/>
          <w:kern w:val="0"/>
        </w:rPr>
        <w:t>原料卸料槽使用铁板密封，并在池上设置了一个长3.2米*宽2.3米的盖子，仅在来料卸车时打开，平时基本处于密闭状态。原料卸料槽除卸料口一侧留有入料口外，四周用隔板封闭，并在入料口上方安装一台风幕机，卸料时打开，防止臭气外散。将制浆机及提升通道分隔出来，整体密闭成一个长9米*宽8米*高4.5米的空间，通过密闭抽气到废气处理设施处理</w:t>
      </w:r>
      <w:r>
        <w:rPr>
          <w:rFonts w:hint="eastAsia" w:eastAsiaTheme="minorEastAsia"/>
          <w:color w:val="auto"/>
          <w:kern w:val="0"/>
          <w:lang w:eastAsia="zh-CN"/>
        </w:rPr>
        <w:t>。</w:t>
      </w:r>
    </w:p>
    <w:p>
      <w:pPr>
        <w:autoSpaceDE w:val="0"/>
        <w:autoSpaceDN w:val="0"/>
        <w:adjustRightInd w:val="0"/>
        <w:spacing w:line="360" w:lineRule="auto"/>
        <w:ind w:firstLine="360" w:firstLineChars="150"/>
        <w:rPr>
          <w:rFonts w:eastAsiaTheme="minorEastAsia"/>
          <w:color w:val="auto"/>
          <w:kern w:val="0"/>
        </w:rPr>
      </w:pPr>
      <w:r>
        <w:rPr>
          <w:rFonts w:eastAsiaTheme="minorEastAsia"/>
          <w:color w:val="auto"/>
          <w:kern w:val="0"/>
        </w:rPr>
        <w:t>（3）储存在接料斗内的垃圾经双无轴螺旋输送机输送至餐厨垃圾破碎机进行破碎处理。餐厨垃圾首先进入破碎机，通过将袋装餐厨垃圾和大块的餐厨垃圾进行破袋和破碎处理，以利于释放出更多的餐厨垃圾；破碎后的餐厨垃圾经重力作用投入压榨脱水机进行脱水</w:t>
      </w:r>
      <w:r>
        <w:rPr>
          <w:rFonts w:hint="eastAsia" w:eastAsiaTheme="minorEastAsia"/>
          <w:color w:val="auto"/>
          <w:kern w:val="0"/>
        </w:rPr>
        <w:t>处理。</w:t>
      </w:r>
    </w:p>
    <w:p>
      <w:pPr>
        <w:autoSpaceDE w:val="0"/>
        <w:autoSpaceDN w:val="0"/>
        <w:adjustRightInd w:val="0"/>
        <w:spacing w:line="360" w:lineRule="auto"/>
        <w:ind w:firstLine="360" w:firstLineChars="150"/>
        <w:rPr>
          <w:rFonts w:eastAsiaTheme="minorEastAsia"/>
          <w:color w:val="auto"/>
          <w:kern w:val="0"/>
        </w:rPr>
      </w:pPr>
      <w:r>
        <w:rPr>
          <w:rFonts w:hint="eastAsia" w:eastAsiaTheme="minorEastAsia"/>
          <w:color w:val="auto"/>
          <w:kern w:val="0"/>
        </w:rPr>
        <w:t>（</w:t>
      </w:r>
      <w:r>
        <w:rPr>
          <w:rFonts w:eastAsiaTheme="minorEastAsia"/>
          <w:color w:val="auto"/>
          <w:kern w:val="0"/>
        </w:rPr>
        <w:t>4</w:t>
      </w:r>
      <w:r>
        <w:rPr>
          <w:rFonts w:hint="eastAsia" w:eastAsiaTheme="minorEastAsia"/>
          <w:color w:val="auto"/>
          <w:kern w:val="0"/>
        </w:rPr>
        <w:t>）脱水机通过螺旋压榨作用将物料进行脱水，脱水后残渣含水率约</w:t>
      </w:r>
      <w:r>
        <w:rPr>
          <w:rFonts w:eastAsiaTheme="minorEastAsia"/>
          <w:color w:val="auto"/>
          <w:kern w:val="0"/>
        </w:rPr>
        <w:t>60-70%</w:t>
      </w:r>
      <w:r>
        <w:rPr>
          <w:rFonts w:hint="eastAsia" w:eastAsiaTheme="minorEastAsia"/>
          <w:color w:val="auto"/>
          <w:kern w:val="0"/>
        </w:rPr>
        <w:t>，送往焚烧厂进行焚烧；脱水后的脱水滤液在脱水机下部的缓存槽中缓存，通过外置螺杆泵送往油水分离系统。</w:t>
      </w:r>
    </w:p>
    <w:p>
      <w:pPr>
        <w:autoSpaceDE w:val="0"/>
        <w:autoSpaceDN w:val="0"/>
        <w:adjustRightInd w:val="0"/>
        <w:spacing w:line="360" w:lineRule="auto"/>
        <w:ind w:firstLine="480" w:firstLineChars="200"/>
        <w:rPr>
          <w:rFonts w:eastAsiaTheme="minorEastAsia"/>
          <w:color w:val="auto"/>
          <w:kern w:val="0"/>
        </w:rPr>
      </w:pPr>
      <w:r>
        <w:rPr>
          <w:rFonts w:hint="eastAsia" w:eastAsiaTheme="minorEastAsia"/>
          <w:color w:val="auto"/>
          <w:kern w:val="0"/>
        </w:rPr>
        <w:t>（</w:t>
      </w:r>
      <w:r>
        <w:rPr>
          <w:rFonts w:eastAsiaTheme="minorEastAsia"/>
          <w:color w:val="auto"/>
          <w:kern w:val="0"/>
        </w:rPr>
        <w:t>5</w:t>
      </w:r>
      <w:r>
        <w:rPr>
          <w:rFonts w:hint="eastAsia" w:eastAsiaTheme="minorEastAsia"/>
          <w:color w:val="auto"/>
          <w:kern w:val="0"/>
        </w:rPr>
        <w:t>）脱水滤液由泵输送至油水分离系统，经过</w:t>
      </w:r>
      <w:r>
        <w:rPr>
          <w:rFonts w:hint="eastAsia" w:eastAsiaTheme="minorEastAsia"/>
          <w:color w:val="auto"/>
          <w:kern w:val="0"/>
          <w:highlight w:val="none"/>
        </w:rPr>
        <w:t>加热后的脱</w:t>
      </w:r>
      <w:r>
        <w:rPr>
          <w:rFonts w:hint="eastAsia" w:eastAsiaTheme="minorEastAsia"/>
          <w:color w:val="auto"/>
          <w:kern w:val="0"/>
        </w:rPr>
        <w:t>水滤液</w:t>
      </w:r>
      <w:r>
        <w:rPr>
          <w:rFonts w:hint="eastAsia" w:eastAsiaTheme="minorEastAsia"/>
          <w:color w:val="auto"/>
          <w:kern w:val="0"/>
          <w:lang w:eastAsia="zh-CN"/>
        </w:rPr>
        <w:t>（使用园区内在建焚烧发电厂的饱和蒸汽对脱水滤液进行加热）</w:t>
      </w:r>
      <w:r>
        <w:rPr>
          <w:color w:val="auto"/>
        </w:rPr>
        <w:t>采用螺杆泵均匀输送至卧式油水固三相分离机，在卧式三相分离机中，通过高速旋转的离心力实现轻、重物料的分离，实现油脂、水相、固相的分离。</w:t>
      </w:r>
      <w:r>
        <w:rPr>
          <w:rFonts w:hint="eastAsia" w:eastAsiaTheme="minorEastAsia"/>
          <w:color w:val="auto"/>
          <w:kern w:val="0"/>
        </w:rPr>
        <w:t>分离出的渣相通过除渣无轴螺旋输送至皮带输送机，由皮带输送机装车</w:t>
      </w:r>
      <w:r>
        <w:rPr>
          <w:rFonts w:hint="eastAsia" w:eastAsiaTheme="minorEastAsia"/>
          <w:color w:val="auto"/>
          <w:kern w:val="0"/>
          <w:lang w:eastAsia="zh-CN"/>
        </w:rPr>
        <w:t>送至园区内生活焚烧炉惨烧</w:t>
      </w:r>
      <w:r>
        <w:rPr>
          <w:rFonts w:hint="eastAsia" w:eastAsiaTheme="minorEastAsia"/>
          <w:color w:val="auto"/>
          <w:kern w:val="0"/>
        </w:rPr>
        <w:t>处理</w:t>
      </w:r>
      <w:r>
        <w:rPr>
          <w:color w:val="auto"/>
        </w:rPr>
        <w:t>；分离出的水相</w:t>
      </w:r>
      <w:r>
        <w:rPr>
          <w:rFonts w:hint="eastAsia" w:eastAsiaTheme="minorEastAsia"/>
          <w:color w:val="auto"/>
          <w:kern w:val="0"/>
        </w:rPr>
        <w:t>通过泵送至污水处理系统</w:t>
      </w:r>
      <w:r>
        <w:rPr>
          <w:color w:val="auto"/>
        </w:rPr>
        <w:t>；分离出的粗油脂通过油泵输送至油脂暂存罐</w:t>
      </w:r>
      <w:r>
        <w:rPr>
          <w:color w:val="auto"/>
          <w:kern w:val="0"/>
        </w:rPr>
        <w:t>。</w:t>
      </w:r>
    </w:p>
    <w:p>
      <w:pPr>
        <w:pStyle w:val="326"/>
        <w:ind w:firstLine="0" w:firstLineChars="0"/>
        <w:rPr>
          <w:b/>
          <w:color w:val="auto"/>
          <w:sz w:val="24"/>
          <w:szCs w:val="24"/>
        </w:rPr>
      </w:pPr>
      <w:r>
        <w:rPr>
          <w:rFonts w:hint="eastAsia"/>
          <w:b/>
          <w:color w:val="auto"/>
          <w:sz w:val="24"/>
          <w:szCs w:val="24"/>
        </w:rPr>
        <w:t>二、餐厨垃圾处理系统的目的</w:t>
      </w:r>
    </w:p>
    <w:p>
      <w:pPr>
        <w:spacing w:line="360" w:lineRule="auto"/>
        <w:ind w:firstLine="480" w:firstLineChars="200"/>
        <w:rPr>
          <w:color w:val="auto"/>
        </w:rPr>
      </w:pPr>
      <w:r>
        <w:rPr>
          <w:color w:val="auto"/>
        </w:rPr>
        <w:t>餐厨垃圾具有高含水率和高浓度的废弃油脂。这些物质必须经过处理，才能保证其餐厨残渣焚烧处理的正常运行。因此设置餐厨垃圾预处理系统的目的包括：</w:t>
      </w:r>
    </w:p>
    <w:p>
      <w:pPr>
        <w:spacing w:line="360" w:lineRule="auto"/>
        <w:ind w:firstLine="360" w:firstLineChars="150"/>
        <w:rPr>
          <w:color w:val="auto"/>
        </w:rPr>
      </w:pPr>
      <w:r>
        <w:rPr>
          <w:color w:val="auto"/>
        </w:rPr>
        <w:t>（1）对餐厨垃圾进行破碎处理，使餐厨垃圾达到一定的粒径范围，保障后端设备的安全、稳定运行；</w:t>
      </w:r>
    </w:p>
    <w:p>
      <w:pPr>
        <w:spacing w:line="360" w:lineRule="auto"/>
        <w:ind w:firstLine="360" w:firstLineChars="150"/>
        <w:rPr>
          <w:color w:val="auto"/>
        </w:rPr>
      </w:pPr>
      <w:r>
        <w:rPr>
          <w:color w:val="auto"/>
        </w:rPr>
        <w:t>（2）尽可能的脱除餐厨垃圾中的水分，为后端餐厨残渣焚烧处理做好铺垫；</w:t>
      </w:r>
    </w:p>
    <w:p>
      <w:pPr>
        <w:spacing w:line="360" w:lineRule="auto"/>
        <w:ind w:firstLine="360" w:firstLineChars="150"/>
        <w:rPr>
          <w:color w:val="auto"/>
        </w:rPr>
      </w:pPr>
      <w:r>
        <w:rPr>
          <w:color w:val="auto"/>
        </w:rPr>
        <w:t>（3）对餐厨垃圾进行油脂分离，为后续废油深加工提供保证，实现油脂最大程度的资源化。</w:t>
      </w:r>
    </w:p>
    <w:p>
      <w:pPr>
        <w:spacing w:line="360" w:lineRule="auto"/>
        <w:rPr>
          <w:b/>
          <w:color w:val="auto"/>
        </w:rPr>
      </w:pPr>
      <w:r>
        <w:rPr>
          <w:rFonts w:hint="eastAsia"/>
          <w:b/>
          <w:color w:val="auto"/>
        </w:rPr>
        <w:t>三、餐厨垃圾处理系统设计</w:t>
      </w:r>
    </w:p>
    <w:p>
      <w:pPr>
        <w:spacing w:line="360" w:lineRule="auto"/>
        <w:ind w:firstLine="600" w:firstLineChars="250"/>
        <w:rPr>
          <w:color w:val="auto"/>
        </w:rPr>
      </w:pPr>
      <w:r>
        <w:rPr>
          <w:rFonts w:hint="eastAsia"/>
          <w:color w:val="auto"/>
        </w:rPr>
        <w:t>1、物料投料系统</w:t>
      </w:r>
    </w:p>
    <w:p>
      <w:pPr>
        <w:spacing w:line="360" w:lineRule="auto"/>
        <w:ind w:firstLine="600" w:firstLineChars="250"/>
        <w:rPr>
          <w:color w:val="auto"/>
        </w:rPr>
      </w:pPr>
      <w:r>
        <w:rPr>
          <w:rFonts w:hint="eastAsia"/>
          <w:color w:val="auto"/>
        </w:rPr>
        <w:t>餐厨垃圾的卸料及投料均实现密闭作业，投料仓应能够满足来料高峰时段餐厨垃圾卸载量的储存需要，能满足不同收运质量情况下的物料状况的输送，并对餐厨垃圾进行初步破碎。</w:t>
      </w:r>
    </w:p>
    <w:p>
      <w:pPr>
        <w:spacing w:line="360" w:lineRule="auto"/>
        <w:ind w:firstLine="600" w:firstLineChars="250"/>
        <w:rPr>
          <w:color w:val="auto"/>
        </w:rPr>
      </w:pPr>
      <w:r>
        <w:rPr>
          <w:color w:val="auto"/>
        </w:rPr>
        <w:drawing>
          <wp:inline distT="0" distB="0" distL="0" distR="0">
            <wp:extent cx="5486400" cy="2165350"/>
            <wp:effectExtent l="0" t="0" r="0" b="6350"/>
            <wp:docPr id="1186" name="图片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 name="图片 1186"/>
                    <pic:cNvPicPr>
                      <a:picLocks noChangeAspect="1"/>
                    </pic:cNvPicPr>
                  </pic:nvPicPr>
                  <pic:blipFill>
                    <a:blip r:embed="rId77"/>
                    <a:stretch>
                      <a:fillRect/>
                    </a:stretch>
                  </pic:blipFill>
                  <pic:spPr>
                    <a:xfrm>
                      <a:off x="0" y="0"/>
                      <a:ext cx="5486400" cy="2165350"/>
                    </a:xfrm>
                    <a:prstGeom prst="rect">
                      <a:avLst/>
                    </a:prstGeom>
                  </pic:spPr>
                </pic:pic>
              </a:graphicData>
            </a:graphic>
          </wp:inline>
        </w:drawing>
      </w:r>
    </w:p>
    <w:p>
      <w:pPr>
        <w:spacing w:line="360" w:lineRule="auto"/>
        <w:ind w:firstLine="602" w:firstLineChars="250"/>
        <w:jc w:val="center"/>
        <w:rPr>
          <w:b/>
          <w:color w:val="auto"/>
        </w:rPr>
      </w:pPr>
      <w:r>
        <w:rPr>
          <w:rFonts w:hint="eastAsia"/>
          <w:b/>
          <w:color w:val="auto"/>
        </w:rPr>
        <w:t>图3.</w:t>
      </w:r>
      <w:r>
        <w:rPr>
          <w:rFonts w:hint="eastAsia"/>
          <w:b/>
          <w:color w:val="auto"/>
          <w:lang w:val="en-US" w:eastAsia="zh-CN"/>
        </w:rPr>
        <w:t>1</w:t>
      </w:r>
      <w:r>
        <w:rPr>
          <w:rFonts w:hint="eastAsia"/>
          <w:b/>
          <w:color w:val="auto"/>
        </w:rPr>
        <w:t>-</w:t>
      </w:r>
      <w:r>
        <w:rPr>
          <w:rFonts w:hint="eastAsia"/>
          <w:b/>
          <w:color w:val="auto"/>
          <w:lang w:val="en-US" w:eastAsia="zh-CN"/>
        </w:rPr>
        <w:t>9</w:t>
      </w:r>
      <w:r>
        <w:rPr>
          <w:rFonts w:hint="eastAsia"/>
          <w:b/>
          <w:color w:val="auto"/>
        </w:rPr>
        <w:t xml:space="preserve"> 接收斗输送餐厨垃圾运行实例</w:t>
      </w:r>
    </w:p>
    <w:p>
      <w:pPr>
        <w:spacing w:line="360" w:lineRule="auto"/>
        <w:ind w:firstLine="600" w:firstLineChars="250"/>
        <w:rPr>
          <w:color w:val="auto"/>
        </w:rPr>
      </w:pPr>
      <w:r>
        <w:rPr>
          <w:rFonts w:hint="eastAsia"/>
          <w:color w:val="auto"/>
        </w:rPr>
        <w:t>（1）工艺流程</w:t>
      </w:r>
    </w:p>
    <w:p>
      <w:pPr>
        <w:spacing w:line="360" w:lineRule="auto"/>
        <w:ind w:firstLine="600" w:firstLineChars="250"/>
        <w:rPr>
          <w:color w:val="auto"/>
        </w:rPr>
      </w:pPr>
      <w:r>
        <w:rPr>
          <w:rFonts w:hint="eastAsia"/>
          <w:color w:val="auto"/>
        </w:rPr>
        <w:t>接料间采用电动卷帘门密闭，通过交通信号系统调度餐厨垃圾转运车辆卸料，达到降低臭气外泄的目的。</w:t>
      </w:r>
    </w:p>
    <w:p>
      <w:pPr>
        <w:spacing w:line="360" w:lineRule="auto"/>
        <w:ind w:firstLine="600" w:firstLineChars="250"/>
        <w:rPr>
          <w:color w:val="auto"/>
        </w:rPr>
      </w:pPr>
      <w:r>
        <w:rPr>
          <w:rFonts w:hint="eastAsia"/>
          <w:color w:val="auto"/>
        </w:rPr>
        <w:t>转运车驶入餐厨垃圾接收工位，当卷帘门打开时，液压密封盖开启，转运车向接收斗内卸料，作业完成后，转运车驶离接收工位，卷帘门关闭，接收斗液压密封盖自动关闭。</w:t>
      </w:r>
    </w:p>
    <w:p>
      <w:pPr>
        <w:spacing w:line="360" w:lineRule="auto"/>
        <w:ind w:firstLine="600" w:firstLineChars="250"/>
        <w:rPr>
          <w:color w:val="auto"/>
        </w:rPr>
      </w:pPr>
      <w:r>
        <w:rPr>
          <w:rFonts w:hint="eastAsia"/>
          <w:color w:val="auto"/>
        </w:rPr>
        <w:t>接收斗输送机启动，双无轴螺旋带动餐厨垃圾向出料口运动，将物料投入后续破碎机处理。餐厨垃圾中的游离水流入到脱水机下部的缓冲罐中。</w:t>
      </w:r>
    </w:p>
    <w:p>
      <w:pPr>
        <w:spacing w:line="360" w:lineRule="auto"/>
        <w:ind w:firstLine="600" w:firstLineChars="250"/>
        <w:rPr>
          <w:color w:val="auto"/>
        </w:rPr>
      </w:pPr>
      <w:r>
        <w:rPr>
          <w:rFonts w:hint="eastAsia"/>
          <w:color w:val="auto"/>
        </w:rPr>
        <w:t>（2）工艺构成</w:t>
      </w:r>
    </w:p>
    <w:p>
      <w:pPr>
        <w:spacing w:line="360" w:lineRule="auto"/>
        <w:ind w:firstLine="600" w:firstLineChars="250"/>
        <w:rPr>
          <w:color w:val="auto"/>
        </w:rPr>
      </w:pPr>
      <w:r>
        <w:rPr>
          <w:color w:val="auto"/>
        </w:rPr>
        <w:t xml:space="preserve"> </w:t>
      </w:r>
      <w:r>
        <w:rPr>
          <w:color w:val="auto"/>
        </w:rPr>
        <w:fldChar w:fldCharType="begin"/>
      </w:r>
      <w:r>
        <w:rPr>
          <w:color w:val="auto"/>
        </w:rPr>
        <w:instrText xml:space="preserve"> </w:instrText>
      </w:r>
      <w:r>
        <w:rPr>
          <w:rFonts w:hint="eastAsia"/>
          <w:color w:val="auto"/>
        </w:rPr>
        <w:instrText xml:space="preserve">= 1 \* GB3</w:instrText>
      </w:r>
      <w:r>
        <w:rPr>
          <w:color w:val="auto"/>
        </w:rPr>
        <w:instrText xml:space="preserve"> </w:instrText>
      </w:r>
      <w:r>
        <w:rPr>
          <w:color w:val="auto"/>
        </w:rPr>
        <w:fldChar w:fldCharType="separate"/>
      </w:r>
      <w:r>
        <w:rPr>
          <w:rFonts w:hint="eastAsia"/>
          <w:color w:val="auto"/>
        </w:rPr>
        <w:t>①</w:t>
      </w:r>
      <w:r>
        <w:rPr>
          <w:color w:val="auto"/>
        </w:rPr>
        <w:fldChar w:fldCharType="end"/>
      </w:r>
      <w:r>
        <w:rPr>
          <w:rFonts w:hint="eastAsia"/>
          <w:color w:val="auto"/>
        </w:rPr>
        <w:t>接收斗采用钢结构，抗冲击性强。</w:t>
      </w:r>
    </w:p>
    <w:p>
      <w:pPr>
        <w:spacing w:line="360" w:lineRule="auto"/>
        <w:ind w:firstLine="960" w:firstLineChars="400"/>
        <w:rPr>
          <w:color w:val="auto"/>
        </w:rPr>
      </w:pPr>
      <w:r>
        <w:rPr>
          <w:color w:val="auto"/>
        </w:rPr>
        <w:fldChar w:fldCharType="begin"/>
      </w:r>
      <w:r>
        <w:rPr>
          <w:color w:val="auto"/>
        </w:rPr>
        <w:instrText xml:space="preserve"> </w:instrText>
      </w:r>
      <w:r>
        <w:rPr>
          <w:rFonts w:hint="eastAsia"/>
          <w:color w:val="auto"/>
        </w:rPr>
        <w:instrText xml:space="preserve">= 2 \* GB3</w:instrText>
      </w:r>
      <w:r>
        <w:rPr>
          <w:color w:val="auto"/>
        </w:rPr>
        <w:instrText xml:space="preserve"> </w:instrText>
      </w:r>
      <w:r>
        <w:rPr>
          <w:color w:val="auto"/>
        </w:rPr>
        <w:fldChar w:fldCharType="separate"/>
      </w:r>
      <w:r>
        <w:rPr>
          <w:rFonts w:hint="eastAsia"/>
          <w:color w:val="auto"/>
        </w:rPr>
        <w:t>②</w:t>
      </w:r>
      <w:r>
        <w:rPr>
          <w:color w:val="auto"/>
        </w:rPr>
        <w:fldChar w:fldCharType="end"/>
      </w:r>
      <w:r>
        <w:rPr>
          <w:rFonts w:hint="eastAsia"/>
          <w:color w:val="auto"/>
        </w:rPr>
        <w:t>与物料接触部位采用不锈钢材质，抗腐蚀性强。</w:t>
      </w:r>
    </w:p>
    <w:p>
      <w:pPr>
        <w:spacing w:line="360" w:lineRule="auto"/>
        <w:ind w:firstLine="600" w:firstLineChars="250"/>
        <w:rPr>
          <w:color w:val="auto"/>
        </w:rPr>
      </w:pPr>
      <w:r>
        <w:rPr>
          <w:color w:val="auto"/>
        </w:rPr>
        <w:t xml:space="preserve"> </w:t>
      </w:r>
      <w:r>
        <w:rPr>
          <w:color w:val="auto"/>
        </w:rPr>
        <w:fldChar w:fldCharType="begin"/>
      </w:r>
      <w:r>
        <w:rPr>
          <w:color w:val="auto"/>
        </w:rPr>
        <w:instrText xml:space="preserve"> </w:instrText>
      </w:r>
      <w:r>
        <w:rPr>
          <w:rFonts w:hint="eastAsia"/>
          <w:color w:val="auto"/>
        </w:rPr>
        <w:instrText xml:space="preserve">= 3 \* GB3</w:instrText>
      </w:r>
      <w:r>
        <w:rPr>
          <w:color w:val="auto"/>
        </w:rPr>
        <w:instrText xml:space="preserve"> </w:instrText>
      </w:r>
      <w:r>
        <w:rPr>
          <w:color w:val="auto"/>
        </w:rPr>
        <w:fldChar w:fldCharType="separate"/>
      </w:r>
      <w:r>
        <w:rPr>
          <w:rFonts w:hint="eastAsia"/>
          <w:color w:val="auto"/>
        </w:rPr>
        <w:t>③</w:t>
      </w:r>
      <w:r>
        <w:rPr>
          <w:color w:val="auto"/>
        </w:rPr>
        <w:fldChar w:fldCharType="end"/>
      </w:r>
      <w:r>
        <w:rPr>
          <w:rFonts w:hint="eastAsia"/>
          <w:color w:val="auto"/>
        </w:rPr>
        <w:t>接收斗顶部需设置有电动或液压顶盖。</w:t>
      </w:r>
    </w:p>
    <w:p>
      <w:pPr>
        <w:spacing w:line="360" w:lineRule="auto"/>
        <w:ind w:firstLine="600" w:firstLineChars="250"/>
        <w:rPr>
          <w:color w:val="auto"/>
        </w:rPr>
      </w:pPr>
      <w:r>
        <w:rPr>
          <w:color w:val="auto"/>
        </w:rPr>
        <w:t xml:space="preserve"> </w:t>
      </w:r>
      <w:r>
        <w:rPr>
          <w:color w:val="auto"/>
        </w:rPr>
        <w:fldChar w:fldCharType="begin"/>
      </w:r>
      <w:r>
        <w:rPr>
          <w:color w:val="auto"/>
        </w:rPr>
        <w:instrText xml:space="preserve"> </w:instrText>
      </w:r>
      <w:r>
        <w:rPr>
          <w:rFonts w:hint="eastAsia"/>
          <w:color w:val="auto"/>
        </w:rPr>
        <w:instrText xml:space="preserve">= 4 \* GB3</w:instrText>
      </w:r>
      <w:r>
        <w:rPr>
          <w:color w:val="auto"/>
        </w:rPr>
        <w:instrText xml:space="preserve"> </w:instrText>
      </w:r>
      <w:r>
        <w:rPr>
          <w:color w:val="auto"/>
        </w:rPr>
        <w:fldChar w:fldCharType="separate"/>
      </w:r>
      <w:r>
        <w:rPr>
          <w:rFonts w:hint="eastAsia"/>
          <w:color w:val="auto"/>
        </w:rPr>
        <w:t>④</w:t>
      </w:r>
      <w:r>
        <w:rPr>
          <w:color w:val="auto"/>
        </w:rPr>
        <w:fldChar w:fldCharType="end"/>
      </w:r>
      <w:r>
        <w:rPr>
          <w:rFonts w:hint="eastAsia"/>
          <w:color w:val="auto"/>
        </w:rPr>
        <w:t>接收斗顶部设密封顶盖，无倾卸作业时保持接收斗密封及输送螺旋采用密封，防止臭气外泄，并设置抽臭气接口，以有效防止臭气外溢。</w:t>
      </w:r>
    </w:p>
    <w:p>
      <w:pPr>
        <w:spacing w:line="360" w:lineRule="auto"/>
        <w:ind w:firstLine="600" w:firstLineChars="250"/>
        <w:rPr>
          <w:color w:val="auto"/>
        </w:rPr>
      </w:pPr>
      <w:r>
        <w:rPr>
          <w:color w:val="auto"/>
        </w:rPr>
        <w:t xml:space="preserve"> </w:t>
      </w:r>
      <w:r>
        <w:rPr>
          <w:color w:val="auto"/>
        </w:rPr>
        <w:fldChar w:fldCharType="begin"/>
      </w:r>
      <w:r>
        <w:rPr>
          <w:color w:val="auto"/>
        </w:rPr>
        <w:instrText xml:space="preserve"> </w:instrText>
      </w:r>
      <w:r>
        <w:rPr>
          <w:rFonts w:hint="eastAsia"/>
          <w:color w:val="auto"/>
        </w:rPr>
        <w:instrText xml:space="preserve">= 5 \* GB3</w:instrText>
      </w:r>
      <w:r>
        <w:rPr>
          <w:color w:val="auto"/>
        </w:rPr>
        <w:instrText xml:space="preserve"> </w:instrText>
      </w:r>
      <w:r>
        <w:rPr>
          <w:color w:val="auto"/>
        </w:rPr>
        <w:fldChar w:fldCharType="separate"/>
      </w:r>
      <w:r>
        <w:rPr>
          <w:rFonts w:hint="eastAsia"/>
          <w:color w:val="auto"/>
        </w:rPr>
        <w:t>⑤</w:t>
      </w:r>
      <w:r>
        <w:rPr>
          <w:color w:val="auto"/>
        </w:rPr>
        <w:fldChar w:fldCharType="end"/>
      </w:r>
      <w:r>
        <w:rPr>
          <w:rFonts w:hint="eastAsia"/>
          <w:color w:val="auto"/>
        </w:rPr>
        <w:t>水平四无轴螺旋输送机，倾斜双无轴螺旋输送机</w:t>
      </w:r>
    </w:p>
    <w:p>
      <w:pPr>
        <w:spacing w:line="360" w:lineRule="auto"/>
        <w:ind w:firstLine="600" w:firstLineChars="250"/>
        <w:rPr>
          <w:color w:val="auto"/>
        </w:rPr>
      </w:pPr>
      <w:r>
        <w:rPr>
          <w:rFonts w:hint="eastAsia"/>
          <w:color w:val="auto"/>
        </w:rPr>
        <w:t>（3）物料接收系统设备的特点</w:t>
      </w:r>
    </w:p>
    <w:p>
      <w:pPr>
        <w:spacing w:line="360" w:lineRule="auto"/>
        <w:ind w:firstLine="600" w:firstLineChars="250"/>
        <w:rPr>
          <w:color w:val="auto"/>
        </w:rPr>
      </w:pPr>
      <w:r>
        <w:rPr>
          <w:color w:val="auto"/>
        </w:rPr>
        <w:t></w:t>
      </w:r>
      <w:r>
        <w:rPr>
          <w:color w:val="auto"/>
        </w:rPr>
        <w:fldChar w:fldCharType="begin"/>
      </w:r>
      <w:r>
        <w:rPr>
          <w:color w:val="auto"/>
        </w:rPr>
        <w:instrText xml:space="preserve"> </w:instrText>
      </w:r>
      <w:r>
        <w:rPr>
          <w:rFonts w:hint="eastAsia"/>
          <w:color w:val="auto"/>
        </w:rPr>
        <w:instrText xml:space="preserve">= 1 \* GB3</w:instrText>
      </w:r>
      <w:r>
        <w:rPr>
          <w:color w:val="auto"/>
        </w:rPr>
        <w:instrText xml:space="preserve"> </w:instrText>
      </w:r>
      <w:r>
        <w:rPr>
          <w:color w:val="auto"/>
        </w:rPr>
        <w:fldChar w:fldCharType="separate"/>
      </w:r>
      <w:r>
        <w:rPr>
          <w:rFonts w:hint="eastAsia"/>
          <w:color w:val="auto"/>
        </w:rPr>
        <w:t>①</w:t>
      </w:r>
      <w:r>
        <w:rPr>
          <w:color w:val="auto"/>
        </w:rPr>
        <w:fldChar w:fldCharType="end"/>
      </w:r>
      <w:r>
        <w:rPr>
          <w:rFonts w:hint="eastAsia"/>
          <w:color w:val="auto"/>
        </w:rPr>
        <w:t>接料斗配置液压驱动密封盖，在防止臭气四溢的同时，能防止人员跌入接料斗。</w:t>
      </w:r>
    </w:p>
    <w:p>
      <w:pPr>
        <w:spacing w:line="360" w:lineRule="auto"/>
        <w:ind w:firstLine="600" w:firstLineChars="250"/>
        <w:rPr>
          <w:color w:val="auto"/>
        </w:rPr>
      </w:pPr>
      <w:r>
        <w:rPr>
          <w:color w:val="auto"/>
        </w:rPr>
        <w:t></w:t>
      </w:r>
      <w:r>
        <w:rPr>
          <w:color w:val="auto"/>
        </w:rPr>
        <w:fldChar w:fldCharType="begin"/>
      </w:r>
      <w:r>
        <w:rPr>
          <w:color w:val="auto"/>
        </w:rPr>
        <w:instrText xml:space="preserve"> </w:instrText>
      </w:r>
      <w:r>
        <w:rPr>
          <w:rFonts w:hint="eastAsia"/>
          <w:color w:val="auto"/>
        </w:rPr>
        <w:instrText xml:space="preserve">= 2 \* GB3</w:instrText>
      </w:r>
      <w:r>
        <w:rPr>
          <w:color w:val="auto"/>
        </w:rPr>
        <w:instrText xml:space="preserve"> </w:instrText>
      </w:r>
      <w:r>
        <w:rPr>
          <w:color w:val="auto"/>
        </w:rPr>
        <w:fldChar w:fldCharType="separate"/>
      </w:r>
      <w:r>
        <w:rPr>
          <w:rFonts w:hint="eastAsia"/>
          <w:color w:val="auto"/>
        </w:rPr>
        <w:t>②</w:t>
      </w:r>
      <w:r>
        <w:rPr>
          <w:color w:val="auto"/>
        </w:rPr>
        <w:fldChar w:fldCharType="end"/>
      </w:r>
      <w:r>
        <w:rPr>
          <w:rFonts w:hint="eastAsia"/>
          <w:color w:val="auto"/>
        </w:rPr>
        <w:t>接料斗上部设置安全围挡，在防止卸料时垃圾外溢的同时，也能防止人员跌入接料斗。</w:t>
      </w:r>
    </w:p>
    <w:p>
      <w:pPr>
        <w:spacing w:line="360" w:lineRule="auto"/>
        <w:ind w:firstLine="600" w:firstLineChars="250"/>
        <w:rPr>
          <w:color w:val="auto"/>
        </w:rPr>
      </w:pPr>
      <w:r>
        <w:rPr>
          <w:color w:val="auto"/>
        </w:rPr>
        <w:t></w:t>
      </w:r>
      <w:r>
        <w:rPr>
          <w:color w:val="auto"/>
        </w:rPr>
        <w:fldChar w:fldCharType="begin"/>
      </w:r>
      <w:r>
        <w:rPr>
          <w:color w:val="auto"/>
        </w:rPr>
        <w:instrText xml:space="preserve"> </w:instrText>
      </w:r>
      <w:r>
        <w:rPr>
          <w:rFonts w:hint="eastAsia"/>
          <w:color w:val="auto"/>
        </w:rPr>
        <w:instrText xml:space="preserve">= 3 \* GB3</w:instrText>
      </w:r>
      <w:r>
        <w:rPr>
          <w:color w:val="auto"/>
        </w:rPr>
        <w:instrText xml:space="preserve"> </w:instrText>
      </w:r>
      <w:r>
        <w:rPr>
          <w:color w:val="auto"/>
        </w:rPr>
        <w:fldChar w:fldCharType="separate"/>
      </w:r>
      <w:r>
        <w:rPr>
          <w:rFonts w:hint="eastAsia"/>
          <w:color w:val="auto"/>
        </w:rPr>
        <w:t>③</w:t>
      </w:r>
      <w:r>
        <w:rPr>
          <w:color w:val="auto"/>
        </w:rPr>
        <w:fldChar w:fldCharType="end"/>
      </w:r>
      <w:r>
        <w:rPr>
          <w:rFonts w:hint="eastAsia"/>
          <w:color w:val="auto"/>
        </w:rPr>
        <w:t>接料斗螺旋输送机采用正反转设计，在发生物料卡阻情况时，可有效保证设备安全。</w:t>
      </w:r>
    </w:p>
    <w:p>
      <w:pPr>
        <w:spacing w:line="360" w:lineRule="auto"/>
        <w:ind w:firstLine="600" w:firstLineChars="250"/>
        <w:rPr>
          <w:color w:val="auto"/>
        </w:rPr>
      </w:pPr>
      <w:r>
        <w:rPr>
          <w:color w:val="auto"/>
        </w:rPr>
        <w:t></w:t>
      </w:r>
      <w:r>
        <w:rPr>
          <w:color w:val="auto"/>
        </w:rPr>
        <w:fldChar w:fldCharType="begin"/>
      </w:r>
      <w:r>
        <w:rPr>
          <w:color w:val="auto"/>
        </w:rPr>
        <w:instrText xml:space="preserve"> </w:instrText>
      </w:r>
      <w:r>
        <w:rPr>
          <w:rFonts w:hint="eastAsia"/>
          <w:color w:val="auto"/>
        </w:rPr>
        <w:instrText xml:space="preserve">= 4 \* GB3</w:instrText>
      </w:r>
      <w:r>
        <w:rPr>
          <w:color w:val="auto"/>
        </w:rPr>
        <w:instrText xml:space="preserve"> </w:instrText>
      </w:r>
      <w:r>
        <w:rPr>
          <w:color w:val="auto"/>
        </w:rPr>
        <w:fldChar w:fldCharType="separate"/>
      </w:r>
      <w:r>
        <w:rPr>
          <w:rFonts w:hint="eastAsia"/>
          <w:color w:val="auto"/>
        </w:rPr>
        <w:t>④</w:t>
      </w:r>
      <w:r>
        <w:rPr>
          <w:color w:val="auto"/>
        </w:rPr>
        <w:fldChar w:fldCharType="end"/>
      </w:r>
      <w:r>
        <w:rPr>
          <w:rFonts w:hint="eastAsia"/>
          <w:color w:val="auto"/>
        </w:rPr>
        <w:t>进料工位设置急停按钮，权限为最高等级，当发生紧急情况时，可按下按钮，停止设备运行。</w:t>
      </w:r>
    </w:p>
    <w:p>
      <w:pPr>
        <w:spacing w:line="360" w:lineRule="auto"/>
        <w:ind w:firstLine="600" w:firstLineChars="250"/>
        <w:rPr>
          <w:color w:val="auto"/>
        </w:rPr>
      </w:pPr>
      <w:r>
        <w:rPr>
          <w:color w:val="auto"/>
        </w:rPr>
        <w:t></w:t>
      </w:r>
      <w:r>
        <w:rPr>
          <w:color w:val="auto"/>
        </w:rPr>
        <w:fldChar w:fldCharType="begin"/>
      </w:r>
      <w:r>
        <w:rPr>
          <w:color w:val="auto"/>
        </w:rPr>
        <w:instrText xml:space="preserve"> </w:instrText>
      </w:r>
      <w:r>
        <w:rPr>
          <w:rFonts w:hint="eastAsia"/>
          <w:color w:val="auto"/>
        </w:rPr>
        <w:instrText xml:space="preserve">= 5 \* GB3</w:instrText>
      </w:r>
      <w:r>
        <w:rPr>
          <w:color w:val="auto"/>
        </w:rPr>
        <w:instrText xml:space="preserve"> </w:instrText>
      </w:r>
      <w:r>
        <w:rPr>
          <w:color w:val="auto"/>
        </w:rPr>
        <w:fldChar w:fldCharType="separate"/>
      </w:r>
      <w:r>
        <w:rPr>
          <w:rFonts w:hint="eastAsia"/>
          <w:color w:val="auto"/>
        </w:rPr>
        <w:t>⑤</w:t>
      </w:r>
      <w:r>
        <w:rPr>
          <w:color w:val="auto"/>
        </w:rPr>
        <w:fldChar w:fldCharType="end"/>
      </w:r>
      <w:r>
        <w:rPr>
          <w:rFonts w:hint="eastAsia"/>
          <w:color w:val="auto"/>
        </w:rPr>
        <w:t>接料斗槽体接触餐厨垃圾部位采用的</w:t>
      </w:r>
      <w:r>
        <w:rPr>
          <w:color w:val="auto"/>
        </w:rPr>
        <w:t xml:space="preserve">SUS304 </w:t>
      </w:r>
      <w:r>
        <w:rPr>
          <w:rFonts w:hint="eastAsia"/>
          <w:color w:val="auto"/>
        </w:rPr>
        <w:t>材料，能有效防止设备腐蚀</w:t>
      </w:r>
    </w:p>
    <w:p>
      <w:pPr>
        <w:spacing w:line="360" w:lineRule="auto"/>
        <w:ind w:firstLine="600" w:firstLineChars="250"/>
        <w:rPr>
          <w:color w:val="auto"/>
        </w:rPr>
      </w:pPr>
      <w:r>
        <w:rPr>
          <w:color w:val="auto"/>
        </w:rPr>
        <w:t></w:t>
      </w:r>
      <w:r>
        <w:rPr>
          <w:color w:val="auto"/>
        </w:rPr>
        <w:fldChar w:fldCharType="begin"/>
      </w:r>
      <w:r>
        <w:rPr>
          <w:color w:val="auto"/>
        </w:rPr>
        <w:instrText xml:space="preserve"> </w:instrText>
      </w:r>
      <w:r>
        <w:rPr>
          <w:rFonts w:hint="eastAsia"/>
          <w:color w:val="auto"/>
        </w:rPr>
        <w:instrText xml:space="preserve">= 6 \* GB3</w:instrText>
      </w:r>
      <w:r>
        <w:rPr>
          <w:color w:val="auto"/>
        </w:rPr>
        <w:instrText xml:space="preserve"> </w:instrText>
      </w:r>
      <w:r>
        <w:rPr>
          <w:color w:val="auto"/>
        </w:rPr>
        <w:fldChar w:fldCharType="separate"/>
      </w:r>
      <w:r>
        <w:rPr>
          <w:rFonts w:hint="eastAsia"/>
          <w:color w:val="auto"/>
        </w:rPr>
        <w:t>⑥</w:t>
      </w:r>
      <w:r>
        <w:rPr>
          <w:color w:val="auto"/>
        </w:rPr>
        <w:fldChar w:fldCharType="end"/>
      </w:r>
      <w:r>
        <w:rPr>
          <w:rFonts w:hint="eastAsia"/>
          <w:color w:val="auto"/>
        </w:rPr>
        <w:t>螺旋本体采用变截面、特殊设计的精密铸钢件，在保证高含水率餐厨垃圾输送能力的同时，有效减少螺旋本体的磨损。</w:t>
      </w:r>
    </w:p>
    <w:p>
      <w:pPr>
        <w:spacing w:line="360" w:lineRule="auto"/>
        <w:ind w:firstLine="600" w:firstLineChars="250"/>
        <w:rPr>
          <w:color w:val="auto"/>
        </w:rPr>
      </w:pPr>
      <w:r>
        <w:rPr>
          <w:rFonts w:hint="eastAsia"/>
          <w:color w:val="auto"/>
        </w:rPr>
        <w:t>2、破碎系统</w:t>
      </w:r>
    </w:p>
    <w:p>
      <w:pPr>
        <w:spacing w:line="360" w:lineRule="auto"/>
        <w:ind w:firstLine="600" w:firstLineChars="250"/>
        <w:rPr>
          <w:color w:val="auto"/>
        </w:rPr>
      </w:pPr>
      <w:r>
        <w:rPr>
          <w:rFonts w:hint="eastAsia"/>
          <w:color w:val="auto"/>
        </w:rPr>
        <w:t>破碎系统主要是将餐厨垃圾破碎，一方面将袋装的餐厨废弃物能够释放出来，保证油脂量的提取和有机质的损失量为最低；另一方面将垃圾破碎为小粒径，保护后续设备正常运营。</w:t>
      </w:r>
    </w:p>
    <w:p>
      <w:pPr>
        <w:spacing w:line="360" w:lineRule="auto"/>
        <w:ind w:firstLine="600" w:firstLineChars="250"/>
        <w:jc w:val="center"/>
        <w:rPr>
          <w:color w:val="auto"/>
        </w:rPr>
      </w:pPr>
      <w:r>
        <w:rPr>
          <w:color w:val="auto"/>
        </w:rPr>
        <w:drawing>
          <wp:inline distT="0" distB="0" distL="0" distR="0">
            <wp:extent cx="2695575" cy="3313430"/>
            <wp:effectExtent l="0" t="0" r="0" b="1270"/>
            <wp:docPr id="1187" name="图片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图片 1187"/>
                    <pic:cNvPicPr>
                      <a:picLocks noChangeAspect="1"/>
                    </pic:cNvPicPr>
                  </pic:nvPicPr>
                  <pic:blipFill>
                    <a:blip r:embed="rId78"/>
                    <a:stretch>
                      <a:fillRect/>
                    </a:stretch>
                  </pic:blipFill>
                  <pic:spPr>
                    <a:xfrm>
                      <a:off x="0" y="0"/>
                      <a:ext cx="2695575" cy="3313621"/>
                    </a:xfrm>
                    <a:prstGeom prst="rect">
                      <a:avLst/>
                    </a:prstGeom>
                  </pic:spPr>
                </pic:pic>
              </a:graphicData>
            </a:graphic>
          </wp:inline>
        </w:drawing>
      </w:r>
    </w:p>
    <w:p>
      <w:pPr>
        <w:jc w:val="center"/>
        <w:rPr>
          <w:rFonts w:eastAsiaTheme="minorEastAsia"/>
          <w:b/>
          <w:color w:val="auto"/>
        </w:rPr>
      </w:pPr>
      <w:r>
        <w:rPr>
          <w:rFonts w:eastAsiaTheme="minorEastAsia"/>
          <w:b/>
          <w:color w:val="auto"/>
        </w:rPr>
        <w:t>图</w:t>
      </w:r>
      <w:r>
        <w:rPr>
          <w:rFonts w:hint="eastAsia" w:eastAsiaTheme="minorEastAsia"/>
          <w:b/>
          <w:color w:val="auto"/>
        </w:rPr>
        <w:t>3.</w:t>
      </w:r>
      <w:r>
        <w:rPr>
          <w:rFonts w:hint="eastAsia" w:eastAsiaTheme="minorEastAsia"/>
          <w:b/>
          <w:color w:val="auto"/>
          <w:lang w:val="en-US" w:eastAsia="zh-CN"/>
        </w:rPr>
        <w:t>1</w:t>
      </w:r>
      <w:r>
        <w:rPr>
          <w:rFonts w:hint="eastAsia" w:eastAsiaTheme="minorEastAsia"/>
          <w:b/>
          <w:color w:val="auto"/>
        </w:rPr>
        <w:t>-</w:t>
      </w:r>
      <w:r>
        <w:rPr>
          <w:rFonts w:hint="eastAsia" w:eastAsiaTheme="minorEastAsia"/>
          <w:b/>
          <w:color w:val="auto"/>
          <w:lang w:val="en-US" w:eastAsia="zh-CN"/>
        </w:rPr>
        <w:t>10</w:t>
      </w:r>
      <w:r>
        <w:rPr>
          <w:rFonts w:eastAsiaTheme="minorEastAsia"/>
          <w:b/>
          <w:color w:val="auto"/>
        </w:rPr>
        <w:t xml:space="preserve"> 破碎机</w:t>
      </w:r>
    </w:p>
    <w:p>
      <w:pPr>
        <w:autoSpaceDE w:val="0"/>
        <w:autoSpaceDN w:val="0"/>
        <w:adjustRightInd w:val="0"/>
        <w:spacing w:line="360" w:lineRule="auto"/>
        <w:rPr>
          <w:rFonts w:eastAsiaTheme="minorEastAsia"/>
          <w:color w:val="auto"/>
          <w:kern w:val="0"/>
        </w:rPr>
      </w:pPr>
      <w:r>
        <w:rPr>
          <w:rFonts w:eastAsiaTheme="minorEastAsia"/>
          <w:color w:val="auto"/>
          <w:kern w:val="0"/>
        </w:rPr>
        <w:t>（1）工艺流程</w:t>
      </w:r>
    </w:p>
    <w:p>
      <w:pPr>
        <w:autoSpaceDE w:val="0"/>
        <w:autoSpaceDN w:val="0"/>
        <w:adjustRightInd w:val="0"/>
        <w:spacing w:line="360" w:lineRule="auto"/>
        <w:ind w:firstLine="480" w:firstLineChars="200"/>
        <w:rPr>
          <w:rFonts w:eastAsiaTheme="minorEastAsia"/>
          <w:color w:val="auto"/>
          <w:kern w:val="0"/>
        </w:rPr>
      </w:pPr>
      <w:r>
        <w:rPr>
          <w:rFonts w:eastAsiaTheme="minorEastAsia"/>
          <w:color w:val="auto"/>
          <w:kern w:val="0"/>
        </w:rPr>
        <w:t>接料斗输送机将餐厨垃圾均匀投入破碎设备；破碎机通过双轴回转式运行将餐厨垃圾进行破碎。</w:t>
      </w:r>
    </w:p>
    <w:p>
      <w:pPr>
        <w:autoSpaceDE w:val="0"/>
        <w:autoSpaceDN w:val="0"/>
        <w:adjustRightInd w:val="0"/>
        <w:spacing w:line="360" w:lineRule="auto"/>
        <w:rPr>
          <w:rFonts w:eastAsiaTheme="minorEastAsia"/>
          <w:color w:val="auto"/>
          <w:kern w:val="0"/>
        </w:rPr>
      </w:pPr>
      <w:r>
        <w:rPr>
          <w:rFonts w:eastAsiaTheme="minorEastAsia"/>
          <w:color w:val="auto"/>
          <w:kern w:val="0"/>
        </w:rPr>
        <w:t>（2）工艺特点</w:t>
      </w:r>
    </w:p>
    <w:p>
      <w:pPr>
        <w:autoSpaceDE w:val="0"/>
        <w:autoSpaceDN w:val="0"/>
        <w:adjustRightInd w:val="0"/>
        <w:spacing w:line="360" w:lineRule="auto"/>
        <w:ind w:firstLine="480" w:firstLineChars="200"/>
        <w:rPr>
          <w:rFonts w:eastAsiaTheme="minorEastAsia"/>
          <w:color w:val="auto"/>
          <w:kern w:val="0"/>
        </w:rPr>
      </w:pPr>
      <w:r>
        <w:rPr>
          <w:rFonts w:eastAsiaTheme="minorEastAsia"/>
          <w:color w:val="auto"/>
          <w:kern w:val="0"/>
        </w:rPr>
        <w:t>破碎机能将餐厨垃圾破碎至工艺所需的大小，实现破碎功能并满足后续工艺需要；</w:t>
      </w:r>
    </w:p>
    <w:p>
      <w:pPr>
        <w:autoSpaceDE w:val="0"/>
        <w:autoSpaceDN w:val="0"/>
        <w:adjustRightInd w:val="0"/>
        <w:spacing w:line="360" w:lineRule="auto"/>
        <w:rPr>
          <w:rFonts w:eastAsiaTheme="minorEastAsia"/>
          <w:color w:val="auto"/>
          <w:kern w:val="0"/>
        </w:rPr>
      </w:pPr>
      <w:r>
        <w:rPr>
          <w:rFonts w:eastAsiaTheme="minorEastAsia"/>
          <w:color w:val="auto"/>
          <w:kern w:val="0"/>
        </w:rPr>
        <w:t>破碎机和物料输送装置采用密封设计，设置臭气抽吸接口，工作过程中无臭气向外扩散。</w:t>
      </w:r>
    </w:p>
    <w:p>
      <w:pPr>
        <w:autoSpaceDE w:val="0"/>
        <w:autoSpaceDN w:val="0"/>
        <w:adjustRightInd w:val="0"/>
        <w:spacing w:line="360" w:lineRule="auto"/>
        <w:ind w:firstLine="360" w:firstLineChars="150"/>
        <w:rPr>
          <w:rFonts w:eastAsiaTheme="minorEastAsia"/>
          <w:color w:val="auto"/>
          <w:kern w:val="0"/>
        </w:rPr>
      </w:pPr>
      <w:r>
        <w:rPr>
          <w:rFonts w:hint="eastAsia" w:eastAsiaTheme="minorEastAsia"/>
          <w:color w:val="auto"/>
          <w:kern w:val="0"/>
        </w:rPr>
        <w:t>本系统通过一级破碎即可达到破碎要求，最终出料颗粒尺寸宽度80～120mm，长度150mm 以内，小部分韧性较强物料尺寸大于150mm，可以有效达到破袋的要求，设计处理能力12.5t/hr·台。</w:t>
      </w:r>
    </w:p>
    <w:p>
      <w:pPr>
        <w:autoSpaceDE w:val="0"/>
        <w:autoSpaceDN w:val="0"/>
        <w:adjustRightInd w:val="0"/>
        <w:spacing w:line="360" w:lineRule="auto"/>
        <w:rPr>
          <w:rFonts w:eastAsiaTheme="minorEastAsia"/>
          <w:color w:val="auto"/>
          <w:kern w:val="0"/>
        </w:rPr>
      </w:pPr>
      <w:r>
        <w:rPr>
          <w:rFonts w:hint="eastAsia" w:eastAsiaTheme="minorEastAsia"/>
          <w:color w:val="auto"/>
          <w:kern w:val="0"/>
        </w:rPr>
        <w:t>（3）工艺构成</w:t>
      </w:r>
    </w:p>
    <w:p>
      <w:pPr>
        <w:autoSpaceDE w:val="0"/>
        <w:autoSpaceDN w:val="0"/>
        <w:adjustRightInd w:val="0"/>
        <w:spacing w:line="360" w:lineRule="auto"/>
        <w:ind w:firstLine="600" w:firstLineChars="250"/>
        <w:rPr>
          <w:rFonts w:eastAsiaTheme="minorEastAsia"/>
          <w:color w:val="auto"/>
          <w:kern w:val="0"/>
        </w:rPr>
      </w:pPr>
      <w:r>
        <w:rPr>
          <w:rFonts w:hint="eastAsia" w:eastAsiaTheme="minorEastAsia"/>
          <w:color w:val="auto"/>
          <w:kern w:val="0"/>
        </w:rPr>
        <w:t>本系统主要是由一台双轴破碎机及其附属管道、控制等组件构成。</w:t>
      </w:r>
    </w:p>
    <w:p>
      <w:pPr>
        <w:autoSpaceDE w:val="0"/>
        <w:autoSpaceDN w:val="0"/>
        <w:adjustRightInd w:val="0"/>
        <w:spacing w:line="360" w:lineRule="auto"/>
        <w:rPr>
          <w:rFonts w:eastAsiaTheme="minorEastAsia"/>
          <w:color w:val="auto"/>
          <w:kern w:val="0"/>
        </w:rPr>
      </w:pPr>
      <w:r>
        <w:rPr>
          <w:rFonts w:hint="eastAsia" w:eastAsiaTheme="minorEastAsia"/>
          <w:color w:val="auto"/>
          <w:kern w:val="0"/>
        </w:rPr>
        <w:t>（4）设备特点</w:t>
      </w:r>
    </w:p>
    <w:p>
      <w:pPr>
        <w:autoSpaceDE w:val="0"/>
        <w:autoSpaceDN w:val="0"/>
        <w:adjustRightInd w:val="0"/>
        <w:spacing w:line="360" w:lineRule="auto"/>
        <w:ind w:firstLine="600" w:firstLineChars="250"/>
        <w:rPr>
          <w:rFonts w:eastAsiaTheme="minorEastAsia"/>
          <w:color w:val="auto"/>
          <w:kern w:val="0"/>
        </w:rPr>
      </w:pPr>
      <w:r>
        <w:rPr>
          <w:rFonts w:hint="eastAsia" w:eastAsiaTheme="minorEastAsia"/>
          <w:color w:val="auto"/>
          <w:kern w:val="0"/>
        </w:rPr>
        <w:t>旋转刀头采用进口高合金钢材料，可更换型式，能有效防止设备磨损及减少设备更换维护周期；破碎机设备布置合理，充分考虑到了维护作业空间预留及大小，减少维护作业工作量。</w:t>
      </w:r>
    </w:p>
    <w:p>
      <w:pPr>
        <w:autoSpaceDE w:val="0"/>
        <w:autoSpaceDN w:val="0"/>
        <w:adjustRightInd w:val="0"/>
        <w:spacing w:line="360" w:lineRule="auto"/>
        <w:ind w:firstLine="360" w:firstLineChars="150"/>
        <w:rPr>
          <w:rFonts w:eastAsiaTheme="minorEastAsia"/>
          <w:color w:val="auto"/>
          <w:kern w:val="0"/>
        </w:rPr>
      </w:pPr>
      <w:r>
        <w:rPr>
          <w:rFonts w:hint="eastAsia" w:eastAsiaTheme="minorEastAsia"/>
          <w:color w:val="auto"/>
          <w:kern w:val="0"/>
        </w:rPr>
        <w:t>破碎机刀轴可进行正反两个方向的旋转撕碎，既能增加撕碎效率又可防止材料堵塞和缠绕，在运行过程中发生卡阻情况时，有效保证设备安全；超负载自动保护功能有效地保护刀轴和驱动单元不受装载负荷或碰到非可破碎物时对设备的损害。</w:t>
      </w:r>
    </w:p>
    <w:p>
      <w:pPr>
        <w:autoSpaceDE w:val="0"/>
        <w:autoSpaceDN w:val="0"/>
        <w:adjustRightInd w:val="0"/>
        <w:spacing w:line="360" w:lineRule="auto"/>
        <w:ind w:firstLine="360" w:firstLineChars="150"/>
        <w:rPr>
          <w:rFonts w:eastAsiaTheme="minorEastAsia"/>
          <w:color w:val="auto"/>
          <w:kern w:val="0"/>
        </w:rPr>
      </w:pPr>
      <w:r>
        <w:rPr>
          <w:rFonts w:hint="eastAsia" w:eastAsiaTheme="minorEastAsia"/>
          <w:color w:val="auto"/>
          <w:kern w:val="0"/>
        </w:rPr>
        <w:t>3、脱水系统</w:t>
      </w:r>
    </w:p>
    <w:p>
      <w:pPr>
        <w:autoSpaceDE w:val="0"/>
        <w:autoSpaceDN w:val="0"/>
        <w:adjustRightInd w:val="0"/>
        <w:spacing w:line="360" w:lineRule="auto"/>
        <w:ind w:firstLine="480" w:firstLineChars="200"/>
        <w:rPr>
          <w:rFonts w:eastAsiaTheme="minorEastAsia"/>
          <w:color w:val="auto"/>
          <w:kern w:val="0"/>
        </w:rPr>
      </w:pPr>
      <w:r>
        <w:rPr>
          <w:rFonts w:hint="eastAsia" w:eastAsiaTheme="minorEastAsia"/>
          <w:color w:val="auto"/>
          <w:kern w:val="0"/>
        </w:rPr>
        <w:t>破碎后的物料进入脱水机后，脱水机通过螺旋压榨作用将物料进行脱水，脱水后的残渣通过脱水物输送机送往焚烧厂进行焚烧；物料经脱水机后，液相可以满足后续油脂提取设备的进料要求。</w:t>
      </w:r>
    </w:p>
    <w:p>
      <w:pPr>
        <w:autoSpaceDE w:val="0"/>
        <w:autoSpaceDN w:val="0"/>
        <w:adjustRightInd w:val="0"/>
        <w:spacing w:line="360" w:lineRule="auto"/>
        <w:ind w:firstLine="480" w:firstLineChars="200"/>
        <w:rPr>
          <w:rFonts w:eastAsiaTheme="minorEastAsia"/>
          <w:color w:val="auto"/>
          <w:kern w:val="0"/>
        </w:rPr>
      </w:pPr>
      <w:r>
        <w:rPr>
          <w:color w:val="auto"/>
        </w:rPr>
        <w:drawing>
          <wp:inline distT="0" distB="0" distL="0" distR="0">
            <wp:extent cx="5486400" cy="2167255"/>
            <wp:effectExtent l="0" t="0" r="0" b="4445"/>
            <wp:docPr id="1188" name="图片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 name="图片 1188"/>
                    <pic:cNvPicPr>
                      <a:picLocks noChangeAspect="1"/>
                    </pic:cNvPicPr>
                  </pic:nvPicPr>
                  <pic:blipFill>
                    <a:blip r:embed="rId79"/>
                    <a:stretch>
                      <a:fillRect/>
                    </a:stretch>
                  </pic:blipFill>
                  <pic:spPr>
                    <a:xfrm>
                      <a:off x="0" y="0"/>
                      <a:ext cx="5486400" cy="2167255"/>
                    </a:xfrm>
                    <a:prstGeom prst="rect">
                      <a:avLst/>
                    </a:prstGeom>
                  </pic:spPr>
                </pic:pic>
              </a:graphicData>
            </a:graphic>
          </wp:inline>
        </w:drawing>
      </w:r>
    </w:p>
    <w:p>
      <w:pPr>
        <w:autoSpaceDE w:val="0"/>
        <w:autoSpaceDN w:val="0"/>
        <w:adjustRightInd w:val="0"/>
        <w:spacing w:line="360" w:lineRule="auto"/>
        <w:ind w:firstLine="482" w:firstLineChars="200"/>
        <w:jc w:val="center"/>
        <w:rPr>
          <w:rFonts w:eastAsiaTheme="minorEastAsia"/>
          <w:b/>
          <w:color w:val="auto"/>
          <w:kern w:val="0"/>
        </w:rPr>
      </w:pPr>
      <w:r>
        <w:rPr>
          <w:rFonts w:hint="eastAsia" w:eastAsiaTheme="minorEastAsia"/>
          <w:b/>
          <w:color w:val="auto"/>
          <w:kern w:val="0"/>
        </w:rPr>
        <w:t>图3.</w:t>
      </w:r>
      <w:r>
        <w:rPr>
          <w:rFonts w:hint="eastAsia" w:eastAsiaTheme="minorEastAsia"/>
          <w:b/>
          <w:color w:val="auto"/>
          <w:kern w:val="0"/>
          <w:lang w:val="en-US" w:eastAsia="zh-CN"/>
        </w:rPr>
        <w:t>1</w:t>
      </w:r>
      <w:r>
        <w:rPr>
          <w:rFonts w:hint="eastAsia" w:eastAsiaTheme="minorEastAsia"/>
          <w:b/>
          <w:color w:val="auto"/>
          <w:kern w:val="0"/>
        </w:rPr>
        <w:t>-</w:t>
      </w:r>
      <w:r>
        <w:rPr>
          <w:rFonts w:hint="eastAsia" w:eastAsiaTheme="minorEastAsia"/>
          <w:b/>
          <w:color w:val="auto"/>
          <w:kern w:val="0"/>
          <w:lang w:val="en-US" w:eastAsia="zh-CN"/>
        </w:rPr>
        <w:t>11</w:t>
      </w:r>
      <w:r>
        <w:rPr>
          <w:rFonts w:hint="eastAsia" w:eastAsiaTheme="minorEastAsia"/>
          <w:b/>
          <w:color w:val="auto"/>
          <w:kern w:val="0"/>
        </w:rPr>
        <w:t xml:space="preserve"> 螺旋压榨脱水机运行实例</w:t>
      </w:r>
    </w:p>
    <w:p>
      <w:pPr>
        <w:autoSpaceDE w:val="0"/>
        <w:autoSpaceDN w:val="0"/>
        <w:adjustRightInd w:val="0"/>
        <w:spacing w:line="360" w:lineRule="auto"/>
        <w:rPr>
          <w:rFonts w:eastAsiaTheme="minorEastAsia"/>
          <w:color w:val="auto"/>
          <w:kern w:val="0"/>
        </w:rPr>
      </w:pPr>
      <w:r>
        <w:rPr>
          <w:rFonts w:eastAsiaTheme="minorEastAsia"/>
          <w:color w:val="auto"/>
          <w:kern w:val="0"/>
        </w:rPr>
        <w:t>（1）工艺流程</w:t>
      </w:r>
    </w:p>
    <w:p>
      <w:pPr>
        <w:autoSpaceDE w:val="0"/>
        <w:autoSpaceDN w:val="0"/>
        <w:adjustRightInd w:val="0"/>
        <w:spacing w:line="360" w:lineRule="auto"/>
        <w:ind w:firstLine="600" w:firstLineChars="250"/>
        <w:rPr>
          <w:rFonts w:eastAsiaTheme="minorEastAsia"/>
          <w:color w:val="auto"/>
          <w:kern w:val="0"/>
        </w:rPr>
      </w:pPr>
      <w:r>
        <w:rPr>
          <w:rFonts w:eastAsiaTheme="minorEastAsia"/>
          <w:color w:val="auto"/>
          <w:kern w:val="0"/>
        </w:rPr>
        <w:t>破碎后的物料进入脱水机后，脱水机通过螺旋压榨作用将物料进行脱水，物料从进料箱均匀进入，进机后的物料在螺旋旋转叶片推动下沿轴向前进，前进过程中物料受变化的螺距和调节档板的作用，形成巨大的挤压力，使物料在外力作用下进行机械脱水，脱水后的残渣通过脱水物输送机至垃圾桶再送往焚烧厂进行焚烧；水份通过筛网在出水口处排出，脱水滤液在脱水机下部的缓存槽中缓存，通过外置泵送往湿热水解反应罐。</w:t>
      </w:r>
    </w:p>
    <w:p>
      <w:pPr>
        <w:autoSpaceDE w:val="0"/>
        <w:autoSpaceDN w:val="0"/>
        <w:adjustRightInd w:val="0"/>
        <w:spacing w:line="360" w:lineRule="auto"/>
        <w:rPr>
          <w:rFonts w:eastAsiaTheme="minorEastAsia"/>
          <w:color w:val="auto"/>
          <w:kern w:val="0"/>
        </w:rPr>
      </w:pPr>
      <w:r>
        <w:rPr>
          <w:rFonts w:hint="eastAsia" w:eastAsiaTheme="minorEastAsia"/>
          <w:color w:val="auto"/>
          <w:kern w:val="0"/>
        </w:rPr>
        <w:t>（2）工艺构成</w:t>
      </w:r>
    </w:p>
    <w:p>
      <w:pPr>
        <w:autoSpaceDE w:val="0"/>
        <w:autoSpaceDN w:val="0"/>
        <w:adjustRightInd w:val="0"/>
        <w:spacing w:line="360" w:lineRule="auto"/>
        <w:ind w:firstLine="480" w:firstLineChars="200"/>
        <w:rPr>
          <w:rFonts w:eastAsiaTheme="minorEastAsia"/>
          <w:color w:val="auto"/>
          <w:kern w:val="0"/>
        </w:rPr>
      </w:pPr>
      <w:r>
        <w:rPr>
          <w:rFonts w:eastAsiaTheme="minorEastAsia"/>
          <w:color w:val="auto"/>
          <w:kern w:val="0"/>
        </w:rPr>
        <w:t xml:space="preserve"> </w:t>
      </w:r>
      <w:r>
        <w:rPr>
          <w:rFonts w:hint="eastAsia" w:eastAsiaTheme="minorEastAsia"/>
          <w:color w:val="auto"/>
          <w:kern w:val="0"/>
        </w:rPr>
        <w:t>设备主要材质：</w:t>
      </w:r>
      <w:r>
        <w:rPr>
          <w:rFonts w:eastAsiaTheme="minorEastAsia"/>
          <w:color w:val="auto"/>
          <w:kern w:val="0"/>
        </w:rPr>
        <w:t xml:space="preserve">304 </w:t>
      </w:r>
      <w:r>
        <w:rPr>
          <w:rFonts w:hint="eastAsia" w:eastAsiaTheme="minorEastAsia"/>
          <w:color w:val="auto"/>
          <w:kern w:val="0"/>
        </w:rPr>
        <w:t>不锈钢。</w:t>
      </w:r>
    </w:p>
    <w:p>
      <w:pPr>
        <w:autoSpaceDE w:val="0"/>
        <w:autoSpaceDN w:val="0"/>
        <w:adjustRightInd w:val="0"/>
        <w:spacing w:line="360" w:lineRule="auto"/>
        <w:ind w:firstLine="600" w:firstLineChars="250"/>
        <w:rPr>
          <w:rFonts w:eastAsiaTheme="minorEastAsia"/>
          <w:color w:val="auto"/>
          <w:kern w:val="0"/>
        </w:rPr>
      </w:pPr>
      <w:r>
        <w:rPr>
          <w:rFonts w:hint="eastAsia" w:eastAsiaTheme="minorEastAsia"/>
          <w:color w:val="auto"/>
          <w:kern w:val="0"/>
        </w:rPr>
        <w:t>设备主体及输送螺旋均采用密封，防止臭气外泄，设置抽臭气接口，以有效防止臭气外溢。</w:t>
      </w:r>
    </w:p>
    <w:p>
      <w:pPr>
        <w:autoSpaceDE w:val="0"/>
        <w:autoSpaceDN w:val="0"/>
        <w:adjustRightInd w:val="0"/>
        <w:spacing w:line="360" w:lineRule="auto"/>
        <w:rPr>
          <w:rFonts w:eastAsiaTheme="minorEastAsia"/>
          <w:color w:val="auto"/>
          <w:kern w:val="0"/>
        </w:rPr>
      </w:pPr>
      <w:r>
        <w:rPr>
          <w:rFonts w:hint="eastAsia" w:eastAsiaTheme="minorEastAsia"/>
          <w:color w:val="auto"/>
          <w:kern w:val="0"/>
        </w:rPr>
        <w:t>（3）脱水系统设备的特点</w:t>
      </w:r>
    </w:p>
    <w:p>
      <w:pPr>
        <w:autoSpaceDE w:val="0"/>
        <w:autoSpaceDN w:val="0"/>
        <w:adjustRightInd w:val="0"/>
        <w:spacing w:line="360" w:lineRule="auto"/>
        <w:ind w:firstLine="600" w:firstLineChars="250"/>
        <w:rPr>
          <w:rFonts w:eastAsiaTheme="minorEastAsia"/>
          <w:color w:val="auto"/>
          <w:kern w:val="0"/>
        </w:rPr>
      </w:pPr>
      <w:r>
        <w:rPr>
          <w:rFonts w:eastAsiaTheme="minorEastAsia"/>
          <w:color w:val="auto"/>
          <w:kern w:val="0"/>
        </w:rPr>
        <w:fldChar w:fldCharType="begin"/>
      </w:r>
      <w:r>
        <w:rPr>
          <w:rFonts w:eastAsiaTheme="minorEastAsia"/>
          <w:color w:val="auto"/>
          <w:kern w:val="0"/>
        </w:rPr>
        <w:instrText xml:space="preserve"> </w:instrText>
      </w:r>
      <w:r>
        <w:rPr>
          <w:rFonts w:hint="eastAsia" w:eastAsiaTheme="minorEastAsia"/>
          <w:color w:val="auto"/>
          <w:kern w:val="0"/>
        </w:rPr>
        <w:instrText xml:space="preserve">= 1 \* GB3</w:instrText>
      </w:r>
      <w:r>
        <w:rPr>
          <w:rFonts w:eastAsiaTheme="minorEastAsia"/>
          <w:color w:val="auto"/>
          <w:kern w:val="0"/>
        </w:rPr>
        <w:instrText xml:space="preserve"> </w:instrText>
      </w:r>
      <w:r>
        <w:rPr>
          <w:rFonts w:eastAsiaTheme="minorEastAsia"/>
          <w:color w:val="auto"/>
          <w:kern w:val="0"/>
        </w:rPr>
        <w:fldChar w:fldCharType="separate"/>
      </w:r>
      <w:r>
        <w:rPr>
          <w:rFonts w:hint="eastAsia" w:eastAsiaTheme="minorEastAsia"/>
          <w:color w:val="auto"/>
          <w:kern w:val="0"/>
        </w:rPr>
        <w:t>①</w:t>
      </w:r>
      <w:r>
        <w:rPr>
          <w:rFonts w:eastAsiaTheme="minorEastAsia"/>
          <w:color w:val="auto"/>
          <w:kern w:val="0"/>
        </w:rPr>
        <w:fldChar w:fldCharType="end"/>
      </w:r>
      <w:r>
        <w:rPr>
          <w:rFonts w:hint="eastAsia" w:eastAsiaTheme="minorEastAsia"/>
          <w:color w:val="auto"/>
          <w:kern w:val="0"/>
        </w:rPr>
        <w:t>采用变径变螺距脱水原理；</w:t>
      </w:r>
    </w:p>
    <w:p>
      <w:pPr>
        <w:autoSpaceDE w:val="0"/>
        <w:autoSpaceDN w:val="0"/>
        <w:adjustRightInd w:val="0"/>
        <w:spacing w:line="360" w:lineRule="auto"/>
        <w:rPr>
          <w:rFonts w:eastAsiaTheme="minorEastAsia"/>
          <w:color w:val="auto"/>
          <w:kern w:val="0"/>
        </w:rPr>
      </w:pPr>
      <w:r>
        <w:rPr>
          <w:rFonts w:eastAsiaTheme="minorEastAsia"/>
          <w:color w:val="auto"/>
          <w:kern w:val="0"/>
        </w:rPr>
        <w:t></w:t>
      </w:r>
      <w:r>
        <w:rPr>
          <w:rFonts w:hint="eastAsia" w:eastAsiaTheme="minorEastAsia"/>
          <w:color w:val="auto"/>
          <w:kern w:val="0"/>
        </w:rPr>
        <w:t xml:space="preserve">  </w:t>
      </w:r>
      <w:r>
        <w:rPr>
          <w:rFonts w:eastAsiaTheme="minorEastAsia"/>
          <w:color w:val="auto"/>
          <w:kern w:val="0"/>
        </w:rPr>
        <w:t xml:space="preserve"> </w:t>
      </w:r>
      <w:r>
        <w:rPr>
          <w:rFonts w:eastAsiaTheme="minorEastAsia"/>
          <w:color w:val="auto"/>
          <w:kern w:val="0"/>
        </w:rPr>
        <w:fldChar w:fldCharType="begin"/>
      </w:r>
      <w:r>
        <w:rPr>
          <w:rFonts w:eastAsiaTheme="minorEastAsia"/>
          <w:color w:val="auto"/>
          <w:kern w:val="0"/>
        </w:rPr>
        <w:instrText xml:space="preserve"> </w:instrText>
      </w:r>
      <w:r>
        <w:rPr>
          <w:rFonts w:hint="eastAsia" w:eastAsiaTheme="minorEastAsia"/>
          <w:color w:val="auto"/>
          <w:kern w:val="0"/>
        </w:rPr>
        <w:instrText xml:space="preserve">= 2 \* GB3</w:instrText>
      </w:r>
      <w:r>
        <w:rPr>
          <w:rFonts w:eastAsiaTheme="minorEastAsia"/>
          <w:color w:val="auto"/>
          <w:kern w:val="0"/>
        </w:rPr>
        <w:instrText xml:space="preserve"> </w:instrText>
      </w:r>
      <w:r>
        <w:rPr>
          <w:rFonts w:eastAsiaTheme="minorEastAsia"/>
          <w:color w:val="auto"/>
          <w:kern w:val="0"/>
        </w:rPr>
        <w:fldChar w:fldCharType="separate"/>
      </w:r>
      <w:r>
        <w:rPr>
          <w:rFonts w:hint="eastAsia" w:eastAsiaTheme="minorEastAsia"/>
          <w:color w:val="auto"/>
          <w:kern w:val="0"/>
        </w:rPr>
        <w:t>②</w:t>
      </w:r>
      <w:r>
        <w:rPr>
          <w:rFonts w:eastAsiaTheme="minorEastAsia"/>
          <w:color w:val="auto"/>
          <w:kern w:val="0"/>
        </w:rPr>
        <w:fldChar w:fldCharType="end"/>
      </w:r>
      <w:r>
        <w:rPr>
          <w:rFonts w:hint="eastAsia" w:eastAsiaTheme="minorEastAsia"/>
          <w:color w:val="auto"/>
          <w:kern w:val="0"/>
        </w:rPr>
        <w:t>设备结构简单、驱动装置外置，不易发生故障；</w:t>
      </w:r>
    </w:p>
    <w:p>
      <w:pPr>
        <w:autoSpaceDE w:val="0"/>
        <w:autoSpaceDN w:val="0"/>
        <w:adjustRightInd w:val="0"/>
        <w:spacing w:line="360" w:lineRule="auto"/>
        <w:rPr>
          <w:rFonts w:eastAsiaTheme="minorEastAsia"/>
          <w:color w:val="auto"/>
          <w:kern w:val="0"/>
        </w:rPr>
      </w:pPr>
      <w:r>
        <w:rPr>
          <w:rFonts w:eastAsiaTheme="minorEastAsia"/>
          <w:color w:val="auto"/>
          <w:kern w:val="0"/>
        </w:rPr>
        <w:t xml:space="preserve"> </w:t>
      </w:r>
      <w:r>
        <w:rPr>
          <w:rFonts w:hint="eastAsia" w:eastAsiaTheme="minorEastAsia"/>
          <w:color w:val="auto"/>
          <w:kern w:val="0"/>
        </w:rPr>
        <w:t xml:space="preserve">  </w:t>
      </w:r>
      <w:r>
        <w:rPr>
          <w:rFonts w:eastAsiaTheme="minorEastAsia"/>
          <w:color w:val="auto"/>
          <w:kern w:val="0"/>
        </w:rPr>
        <w:fldChar w:fldCharType="begin"/>
      </w:r>
      <w:r>
        <w:rPr>
          <w:rFonts w:eastAsiaTheme="minorEastAsia"/>
          <w:color w:val="auto"/>
          <w:kern w:val="0"/>
        </w:rPr>
        <w:instrText xml:space="preserve"> </w:instrText>
      </w:r>
      <w:r>
        <w:rPr>
          <w:rFonts w:hint="eastAsia" w:eastAsiaTheme="minorEastAsia"/>
          <w:color w:val="auto"/>
          <w:kern w:val="0"/>
        </w:rPr>
        <w:instrText xml:space="preserve">= 3 \* GB3</w:instrText>
      </w:r>
      <w:r>
        <w:rPr>
          <w:rFonts w:eastAsiaTheme="minorEastAsia"/>
          <w:color w:val="auto"/>
          <w:kern w:val="0"/>
        </w:rPr>
        <w:instrText xml:space="preserve"> </w:instrText>
      </w:r>
      <w:r>
        <w:rPr>
          <w:rFonts w:eastAsiaTheme="minorEastAsia"/>
          <w:color w:val="auto"/>
          <w:kern w:val="0"/>
        </w:rPr>
        <w:fldChar w:fldCharType="separate"/>
      </w:r>
      <w:r>
        <w:rPr>
          <w:rFonts w:hint="eastAsia" w:eastAsiaTheme="minorEastAsia"/>
          <w:color w:val="auto"/>
          <w:kern w:val="0"/>
        </w:rPr>
        <w:t>③</w:t>
      </w:r>
      <w:r>
        <w:rPr>
          <w:rFonts w:eastAsiaTheme="minorEastAsia"/>
          <w:color w:val="auto"/>
          <w:kern w:val="0"/>
        </w:rPr>
        <w:fldChar w:fldCharType="end"/>
      </w:r>
      <w:r>
        <w:rPr>
          <w:rFonts w:hint="eastAsia" w:eastAsiaTheme="minorEastAsia"/>
          <w:color w:val="auto"/>
          <w:kern w:val="0"/>
        </w:rPr>
        <w:t>与物料接触部位采用</w:t>
      </w:r>
      <w:r>
        <w:rPr>
          <w:rFonts w:eastAsiaTheme="minorEastAsia"/>
          <w:color w:val="auto"/>
          <w:kern w:val="0"/>
        </w:rPr>
        <w:t xml:space="preserve">SUS304 </w:t>
      </w:r>
      <w:r>
        <w:rPr>
          <w:rFonts w:hint="eastAsia" w:eastAsiaTheme="minorEastAsia"/>
          <w:color w:val="auto"/>
          <w:kern w:val="0"/>
        </w:rPr>
        <w:t>材质，使用寿命长；</w:t>
      </w:r>
    </w:p>
    <w:p>
      <w:pPr>
        <w:autoSpaceDE w:val="0"/>
        <w:autoSpaceDN w:val="0"/>
        <w:adjustRightInd w:val="0"/>
        <w:spacing w:line="360" w:lineRule="auto"/>
        <w:rPr>
          <w:rFonts w:eastAsiaTheme="minorEastAsia"/>
          <w:color w:val="auto"/>
          <w:kern w:val="0"/>
        </w:rPr>
      </w:pPr>
      <w:r>
        <w:rPr>
          <w:rFonts w:eastAsiaTheme="minorEastAsia"/>
          <w:color w:val="auto"/>
          <w:kern w:val="0"/>
        </w:rPr>
        <w:t></w:t>
      </w:r>
      <w:r>
        <w:rPr>
          <w:rFonts w:hint="eastAsia" w:eastAsiaTheme="minorEastAsia"/>
          <w:color w:val="auto"/>
          <w:kern w:val="0"/>
        </w:rPr>
        <w:t xml:space="preserve">   </w:t>
      </w:r>
      <w:r>
        <w:rPr>
          <w:rFonts w:eastAsiaTheme="minorEastAsia"/>
          <w:color w:val="auto"/>
          <w:kern w:val="0"/>
        </w:rPr>
        <w:fldChar w:fldCharType="begin"/>
      </w:r>
      <w:r>
        <w:rPr>
          <w:rFonts w:eastAsiaTheme="minorEastAsia"/>
          <w:color w:val="auto"/>
          <w:kern w:val="0"/>
        </w:rPr>
        <w:instrText xml:space="preserve"> </w:instrText>
      </w:r>
      <w:r>
        <w:rPr>
          <w:rFonts w:hint="eastAsia" w:eastAsiaTheme="minorEastAsia"/>
          <w:color w:val="auto"/>
          <w:kern w:val="0"/>
        </w:rPr>
        <w:instrText xml:space="preserve">= 4 \* GB3</w:instrText>
      </w:r>
      <w:r>
        <w:rPr>
          <w:rFonts w:eastAsiaTheme="minorEastAsia"/>
          <w:color w:val="auto"/>
          <w:kern w:val="0"/>
        </w:rPr>
        <w:instrText xml:space="preserve"> </w:instrText>
      </w:r>
      <w:r>
        <w:rPr>
          <w:rFonts w:eastAsiaTheme="minorEastAsia"/>
          <w:color w:val="auto"/>
          <w:kern w:val="0"/>
        </w:rPr>
        <w:fldChar w:fldCharType="separate"/>
      </w:r>
      <w:r>
        <w:rPr>
          <w:rFonts w:hint="eastAsia" w:eastAsiaTheme="minorEastAsia"/>
          <w:color w:val="auto"/>
          <w:kern w:val="0"/>
        </w:rPr>
        <w:t>④</w:t>
      </w:r>
      <w:r>
        <w:rPr>
          <w:rFonts w:eastAsiaTheme="minorEastAsia"/>
          <w:color w:val="auto"/>
          <w:kern w:val="0"/>
        </w:rPr>
        <w:fldChar w:fldCharType="end"/>
      </w:r>
      <w:r>
        <w:rPr>
          <w:rFonts w:hint="eastAsia" w:eastAsiaTheme="minorEastAsia"/>
          <w:color w:val="auto"/>
          <w:kern w:val="0"/>
        </w:rPr>
        <w:t>防止臭气四溢，并通过风管将臭气外送处理，对人员和环境友善；</w:t>
      </w:r>
    </w:p>
    <w:p>
      <w:pPr>
        <w:autoSpaceDE w:val="0"/>
        <w:autoSpaceDN w:val="0"/>
        <w:adjustRightInd w:val="0"/>
        <w:spacing w:line="360" w:lineRule="auto"/>
        <w:rPr>
          <w:rFonts w:eastAsiaTheme="minorEastAsia"/>
          <w:color w:val="auto"/>
          <w:kern w:val="0"/>
        </w:rPr>
      </w:pPr>
      <w:r>
        <w:rPr>
          <w:rFonts w:eastAsiaTheme="minorEastAsia"/>
          <w:color w:val="auto"/>
          <w:kern w:val="0"/>
        </w:rPr>
        <w:t></w:t>
      </w:r>
      <w:r>
        <w:rPr>
          <w:rFonts w:hint="eastAsia" w:eastAsiaTheme="minorEastAsia"/>
          <w:color w:val="auto"/>
          <w:kern w:val="0"/>
        </w:rPr>
        <w:t xml:space="preserve">  </w:t>
      </w:r>
      <w:r>
        <w:rPr>
          <w:rFonts w:eastAsiaTheme="minorEastAsia"/>
          <w:color w:val="auto"/>
          <w:kern w:val="0"/>
        </w:rPr>
        <w:t xml:space="preserve"> </w:t>
      </w:r>
      <w:r>
        <w:rPr>
          <w:rFonts w:eastAsiaTheme="minorEastAsia"/>
          <w:color w:val="auto"/>
          <w:kern w:val="0"/>
        </w:rPr>
        <w:fldChar w:fldCharType="begin"/>
      </w:r>
      <w:r>
        <w:rPr>
          <w:rFonts w:eastAsiaTheme="minorEastAsia"/>
          <w:color w:val="auto"/>
          <w:kern w:val="0"/>
        </w:rPr>
        <w:instrText xml:space="preserve"> </w:instrText>
      </w:r>
      <w:r>
        <w:rPr>
          <w:rFonts w:hint="eastAsia" w:eastAsiaTheme="minorEastAsia"/>
          <w:color w:val="auto"/>
          <w:kern w:val="0"/>
        </w:rPr>
        <w:instrText xml:space="preserve">= 5 \* GB3</w:instrText>
      </w:r>
      <w:r>
        <w:rPr>
          <w:rFonts w:eastAsiaTheme="minorEastAsia"/>
          <w:color w:val="auto"/>
          <w:kern w:val="0"/>
        </w:rPr>
        <w:instrText xml:space="preserve"> </w:instrText>
      </w:r>
      <w:r>
        <w:rPr>
          <w:rFonts w:eastAsiaTheme="minorEastAsia"/>
          <w:color w:val="auto"/>
          <w:kern w:val="0"/>
        </w:rPr>
        <w:fldChar w:fldCharType="separate"/>
      </w:r>
      <w:r>
        <w:rPr>
          <w:rFonts w:hint="eastAsia" w:eastAsiaTheme="minorEastAsia"/>
          <w:color w:val="auto"/>
          <w:kern w:val="0"/>
        </w:rPr>
        <w:t>⑤</w:t>
      </w:r>
      <w:r>
        <w:rPr>
          <w:rFonts w:eastAsiaTheme="minorEastAsia"/>
          <w:color w:val="auto"/>
          <w:kern w:val="0"/>
        </w:rPr>
        <w:fldChar w:fldCharType="end"/>
      </w:r>
      <w:r>
        <w:rPr>
          <w:rFonts w:hint="eastAsia" w:eastAsiaTheme="minorEastAsia"/>
          <w:color w:val="auto"/>
          <w:kern w:val="0"/>
        </w:rPr>
        <w:t>本压榨脱水机利用重力自流方式进行投料和排料。防止餐厨浆料中的砂类异杂物对输送设备的过渡磨损。</w:t>
      </w:r>
    </w:p>
    <w:p>
      <w:pPr>
        <w:autoSpaceDE w:val="0"/>
        <w:autoSpaceDN w:val="0"/>
        <w:adjustRightInd w:val="0"/>
        <w:spacing w:line="360" w:lineRule="auto"/>
        <w:rPr>
          <w:rFonts w:eastAsiaTheme="minorEastAsia"/>
          <w:color w:val="auto"/>
          <w:kern w:val="0"/>
        </w:rPr>
      </w:pPr>
      <w:r>
        <w:rPr>
          <w:rFonts w:eastAsiaTheme="minorEastAsia"/>
          <w:color w:val="auto"/>
          <w:kern w:val="0"/>
        </w:rPr>
        <w:t xml:space="preserve"> </w:t>
      </w:r>
      <w:r>
        <w:rPr>
          <w:rFonts w:hint="eastAsia" w:eastAsiaTheme="minorEastAsia"/>
          <w:color w:val="auto"/>
          <w:kern w:val="0"/>
        </w:rPr>
        <w:t xml:space="preserve">  </w:t>
      </w:r>
      <w:r>
        <w:rPr>
          <w:rFonts w:eastAsiaTheme="minorEastAsia"/>
          <w:color w:val="auto"/>
          <w:kern w:val="0"/>
        </w:rPr>
        <w:fldChar w:fldCharType="begin"/>
      </w:r>
      <w:r>
        <w:rPr>
          <w:rFonts w:eastAsiaTheme="minorEastAsia"/>
          <w:color w:val="auto"/>
          <w:kern w:val="0"/>
        </w:rPr>
        <w:instrText xml:space="preserve"> </w:instrText>
      </w:r>
      <w:r>
        <w:rPr>
          <w:rFonts w:hint="eastAsia" w:eastAsiaTheme="minorEastAsia"/>
          <w:color w:val="auto"/>
          <w:kern w:val="0"/>
        </w:rPr>
        <w:instrText xml:space="preserve">= 6 \* GB3</w:instrText>
      </w:r>
      <w:r>
        <w:rPr>
          <w:rFonts w:eastAsiaTheme="minorEastAsia"/>
          <w:color w:val="auto"/>
          <w:kern w:val="0"/>
        </w:rPr>
        <w:instrText xml:space="preserve"> </w:instrText>
      </w:r>
      <w:r>
        <w:rPr>
          <w:rFonts w:eastAsiaTheme="minorEastAsia"/>
          <w:color w:val="auto"/>
          <w:kern w:val="0"/>
        </w:rPr>
        <w:fldChar w:fldCharType="separate"/>
      </w:r>
      <w:r>
        <w:rPr>
          <w:rFonts w:hint="eastAsia" w:eastAsiaTheme="minorEastAsia"/>
          <w:color w:val="auto"/>
          <w:kern w:val="0"/>
        </w:rPr>
        <w:t>⑥</w:t>
      </w:r>
      <w:r>
        <w:rPr>
          <w:rFonts w:eastAsiaTheme="minorEastAsia"/>
          <w:color w:val="auto"/>
          <w:kern w:val="0"/>
        </w:rPr>
        <w:fldChar w:fldCharType="end"/>
      </w:r>
      <w:r>
        <w:rPr>
          <w:rFonts w:hint="eastAsia" w:eastAsiaTheme="minorEastAsia"/>
          <w:color w:val="auto"/>
          <w:kern w:val="0"/>
        </w:rPr>
        <w:t>在压榨脱水机上设置清洗口，便于清洗设备和浆料油脂。</w:t>
      </w:r>
    </w:p>
    <w:p>
      <w:pPr>
        <w:autoSpaceDE w:val="0"/>
        <w:autoSpaceDN w:val="0"/>
        <w:adjustRightInd w:val="0"/>
        <w:spacing w:line="360" w:lineRule="auto"/>
        <w:rPr>
          <w:rFonts w:eastAsiaTheme="minorEastAsia"/>
          <w:color w:val="auto"/>
          <w:kern w:val="0"/>
        </w:rPr>
      </w:pPr>
      <w:r>
        <w:rPr>
          <w:rFonts w:eastAsiaTheme="minorEastAsia"/>
          <w:color w:val="auto"/>
          <w:kern w:val="0"/>
        </w:rPr>
        <w:t xml:space="preserve"> </w:t>
      </w:r>
      <w:r>
        <w:rPr>
          <w:rFonts w:hint="eastAsia" w:eastAsiaTheme="minorEastAsia"/>
          <w:color w:val="auto"/>
          <w:kern w:val="0"/>
        </w:rPr>
        <w:t xml:space="preserve">  </w:t>
      </w:r>
      <w:r>
        <w:rPr>
          <w:rFonts w:eastAsiaTheme="minorEastAsia"/>
          <w:color w:val="auto"/>
          <w:kern w:val="0"/>
        </w:rPr>
        <w:fldChar w:fldCharType="begin"/>
      </w:r>
      <w:r>
        <w:rPr>
          <w:rFonts w:eastAsiaTheme="minorEastAsia"/>
          <w:color w:val="auto"/>
          <w:kern w:val="0"/>
        </w:rPr>
        <w:instrText xml:space="preserve"> </w:instrText>
      </w:r>
      <w:r>
        <w:rPr>
          <w:rFonts w:hint="eastAsia" w:eastAsiaTheme="minorEastAsia"/>
          <w:color w:val="auto"/>
          <w:kern w:val="0"/>
        </w:rPr>
        <w:instrText xml:space="preserve">= 7 \* GB3</w:instrText>
      </w:r>
      <w:r>
        <w:rPr>
          <w:rFonts w:eastAsiaTheme="minorEastAsia"/>
          <w:color w:val="auto"/>
          <w:kern w:val="0"/>
        </w:rPr>
        <w:instrText xml:space="preserve"> </w:instrText>
      </w:r>
      <w:r>
        <w:rPr>
          <w:rFonts w:eastAsiaTheme="minorEastAsia"/>
          <w:color w:val="auto"/>
          <w:kern w:val="0"/>
        </w:rPr>
        <w:fldChar w:fldCharType="separate"/>
      </w:r>
      <w:r>
        <w:rPr>
          <w:rFonts w:hint="eastAsia" w:eastAsiaTheme="minorEastAsia"/>
          <w:color w:val="auto"/>
          <w:kern w:val="0"/>
        </w:rPr>
        <w:t>⑦</w:t>
      </w:r>
      <w:r>
        <w:rPr>
          <w:rFonts w:eastAsiaTheme="minorEastAsia"/>
          <w:color w:val="auto"/>
          <w:kern w:val="0"/>
        </w:rPr>
        <w:fldChar w:fldCharType="end"/>
      </w:r>
      <w:r>
        <w:rPr>
          <w:rFonts w:hint="eastAsia" w:eastAsiaTheme="minorEastAsia"/>
          <w:color w:val="auto"/>
          <w:kern w:val="0"/>
        </w:rPr>
        <w:t>出料口侧设置检查盖，便于进行内部清理。</w:t>
      </w:r>
    </w:p>
    <w:p>
      <w:pPr>
        <w:autoSpaceDE w:val="0"/>
        <w:autoSpaceDN w:val="0"/>
        <w:adjustRightInd w:val="0"/>
        <w:spacing w:line="360" w:lineRule="auto"/>
        <w:rPr>
          <w:rFonts w:eastAsiaTheme="minorEastAsia"/>
          <w:color w:val="auto"/>
          <w:kern w:val="0"/>
        </w:rPr>
      </w:pPr>
      <w:r>
        <w:rPr>
          <w:rFonts w:eastAsiaTheme="minorEastAsia"/>
          <w:color w:val="auto"/>
          <w:kern w:val="0"/>
        </w:rPr>
        <w:t xml:space="preserve"> </w:t>
      </w:r>
      <w:r>
        <w:rPr>
          <w:rFonts w:hint="eastAsia" w:eastAsiaTheme="minorEastAsia"/>
          <w:color w:val="auto"/>
          <w:kern w:val="0"/>
        </w:rPr>
        <w:t xml:space="preserve">   </w:t>
      </w:r>
      <w:r>
        <w:rPr>
          <w:rFonts w:eastAsiaTheme="minorEastAsia"/>
          <w:color w:val="auto"/>
          <w:kern w:val="0"/>
        </w:rPr>
        <w:fldChar w:fldCharType="begin"/>
      </w:r>
      <w:r>
        <w:rPr>
          <w:rFonts w:eastAsiaTheme="minorEastAsia"/>
          <w:color w:val="auto"/>
          <w:kern w:val="0"/>
        </w:rPr>
        <w:instrText xml:space="preserve"> </w:instrText>
      </w:r>
      <w:r>
        <w:rPr>
          <w:rFonts w:hint="eastAsia" w:eastAsiaTheme="minorEastAsia"/>
          <w:color w:val="auto"/>
          <w:kern w:val="0"/>
        </w:rPr>
        <w:instrText xml:space="preserve">= 8 \* GB3</w:instrText>
      </w:r>
      <w:r>
        <w:rPr>
          <w:rFonts w:eastAsiaTheme="minorEastAsia"/>
          <w:color w:val="auto"/>
          <w:kern w:val="0"/>
        </w:rPr>
        <w:instrText xml:space="preserve"> </w:instrText>
      </w:r>
      <w:r>
        <w:rPr>
          <w:rFonts w:eastAsiaTheme="minorEastAsia"/>
          <w:color w:val="auto"/>
          <w:kern w:val="0"/>
        </w:rPr>
        <w:fldChar w:fldCharType="separate"/>
      </w:r>
      <w:r>
        <w:rPr>
          <w:rFonts w:hint="eastAsia" w:eastAsiaTheme="minorEastAsia"/>
          <w:color w:val="auto"/>
          <w:kern w:val="0"/>
        </w:rPr>
        <w:t>⑧</w:t>
      </w:r>
      <w:r>
        <w:rPr>
          <w:rFonts w:eastAsiaTheme="minorEastAsia"/>
          <w:color w:val="auto"/>
          <w:kern w:val="0"/>
        </w:rPr>
        <w:fldChar w:fldCharType="end"/>
      </w:r>
      <w:r>
        <w:rPr>
          <w:rFonts w:hint="eastAsia" w:eastAsiaTheme="minorEastAsia"/>
          <w:color w:val="auto"/>
          <w:kern w:val="0"/>
        </w:rPr>
        <w:t>设备侧面设置检修口，可方便、快捷进行清理作业和日常巡检。</w:t>
      </w:r>
    </w:p>
    <w:p>
      <w:pPr>
        <w:autoSpaceDE w:val="0"/>
        <w:autoSpaceDN w:val="0"/>
        <w:adjustRightInd w:val="0"/>
        <w:spacing w:line="360" w:lineRule="auto"/>
        <w:rPr>
          <w:rFonts w:eastAsiaTheme="minorEastAsia"/>
          <w:color w:val="auto"/>
          <w:kern w:val="0"/>
        </w:rPr>
      </w:pPr>
      <w:r>
        <w:rPr>
          <w:rFonts w:hint="eastAsia" w:eastAsiaTheme="minorEastAsia"/>
          <w:color w:val="auto"/>
          <w:kern w:val="0"/>
        </w:rPr>
        <w:t>4、油脂提取系统</w:t>
      </w:r>
    </w:p>
    <w:p>
      <w:pPr>
        <w:autoSpaceDE w:val="0"/>
        <w:autoSpaceDN w:val="0"/>
        <w:adjustRightInd w:val="0"/>
        <w:spacing w:line="360" w:lineRule="auto"/>
        <w:ind w:firstLine="480" w:firstLineChars="200"/>
        <w:rPr>
          <w:rFonts w:eastAsiaTheme="minorEastAsia"/>
          <w:color w:val="auto"/>
          <w:kern w:val="0"/>
        </w:rPr>
      </w:pPr>
      <w:r>
        <w:rPr>
          <w:rFonts w:hint="eastAsia" w:eastAsiaTheme="minorEastAsia"/>
          <w:color w:val="auto"/>
          <w:kern w:val="0"/>
        </w:rPr>
        <w:t>脱水滤液由泵泵送至湿热水解反应罐中，采用饱和蒸汽对脱水滤液进行预处理加热；通过对物料的加热，提高后续的油水分离系统的油脂分离率。</w:t>
      </w:r>
    </w:p>
    <w:p>
      <w:pPr>
        <w:autoSpaceDE w:val="0"/>
        <w:autoSpaceDN w:val="0"/>
        <w:adjustRightInd w:val="0"/>
        <w:spacing w:line="360" w:lineRule="auto"/>
        <w:ind w:firstLine="480" w:firstLineChars="200"/>
        <w:rPr>
          <w:rFonts w:eastAsiaTheme="minorEastAsia"/>
          <w:color w:val="auto"/>
          <w:kern w:val="0"/>
        </w:rPr>
      </w:pPr>
      <w:r>
        <w:rPr>
          <w:rFonts w:hint="eastAsia" w:eastAsiaTheme="minorEastAsia"/>
          <w:color w:val="auto"/>
          <w:kern w:val="0"/>
        </w:rPr>
        <w:t>湿热水解反应罐中内通过蒸汽加热后由移送泵输送至三相分离机进行油脂提取作业。加热滤液经离心分离将油脂分离、提纯，实现油脂的回收。</w:t>
      </w:r>
    </w:p>
    <w:p>
      <w:pPr>
        <w:autoSpaceDE w:val="0"/>
        <w:autoSpaceDN w:val="0"/>
        <w:adjustRightInd w:val="0"/>
        <w:spacing w:line="360" w:lineRule="auto"/>
        <w:rPr>
          <w:rFonts w:eastAsiaTheme="minorEastAsia"/>
          <w:color w:val="auto"/>
          <w:kern w:val="0"/>
        </w:rPr>
      </w:pPr>
      <w:r>
        <w:rPr>
          <w:rFonts w:hint="eastAsia" w:eastAsiaTheme="minorEastAsia"/>
          <w:color w:val="auto"/>
          <w:kern w:val="0"/>
        </w:rPr>
        <w:t>（1）工艺流程</w:t>
      </w:r>
    </w:p>
    <w:p>
      <w:pPr>
        <w:autoSpaceDE w:val="0"/>
        <w:autoSpaceDN w:val="0"/>
        <w:adjustRightInd w:val="0"/>
        <w:spacing w:line="360" w:lineRule="auto"/>
        <w:ind w:firstLine="480" w:firstLineChars="200"/>
        <w:rPr>
          <w:rFonts w:eastAsiaTheme="minorEastAsia"/>
          <w:color w:val="auto"/>
          <w:kern w:val="0"/>
        </w:rPr>
      </w:pPr>
      <w:r>
        <w:rPr>
          <w:rFonts w:hint="eastAsia" w:eastAsiaTheme="minorEastAsia"/>
          <w:color w:val="auto"/>
          <w:kern w:val="0"/>
        </w:rPr>
        <w:t>脱水滤液由泵输送至湿热水解反应罐中。由饱和蒸汽加热、搅拌，将滤液均匀加热。加热后的脱水滤液，经泵送至三相分离机中进行油水分离；油相就近自流入毛油罐中，再由毛油输送泵外送。</w:t>
      </w:r>
    </w:p>
    <w:p>
      <w:pPr>
        <w:autoSpaceDE w:val="0"/>
        <w:autoSpaceDN w:val="0"/>
        <w:adjustRightInd w:val="0"/>
        <w:spacing w:line="360" w:lineRule="auto"/>
        <w:ind w:firstLine="480" w:firstLineChars="200"/>
        <w:rPr>
          <w:rFonts w:eastAsiaTheme="minorEastAsia"/>
          <w:color w:val="auto"/>
          <w:kern w:val="0"/>
        </w:rPr>
      </w:pPr>
      <w:r>
        <w:rPr>
          <w:rFonts w:hint="eastAsia" w:eastAsiaTheme="minorEastAsia"/>
          <w:color w:val="auto"/>
          <w:kern w:val="0"/>
        </w:rPr>
        <w:t>分离出的渣相通过三相分离机固体输送机输送至垃圾桶中，再由车辆运至焚烧炉焚烧处理，分离出的水相就近自流入污水处理系统。</w:t>
      </w:r>
    </w:p>
    <w:p>
      <w:pPr>
        <w:autoSpaceDE w:val="0"/>
        <w:autoSpaceDN w:val="0"/>
        <w:adjustRightInd w:val="0"/>
        <w:spacing w:line="360" w:lineRule="auto"/>
        <w:rPr>
          <w:rFonts w:eastAsiaTheme="minorEastAsia"/>
          <w:color w:val="auto"/>
          <w:kern w:val="0"/>
        </w:rPr>
      </w:pPr>
      <w:r>
        <w:rPr>
          <w:rFonts w:hint="eastAsia" w:eastAsiaTheme="minorEastAsia"/>
          <w:color w:val="auto"/>
          <w:kern w:val="0"/>
        </w:rPr>
        <w:t>（2）油脂提取系统设备的特点</w:t>
      </w:r>
    </w:p>
    <w:p>
      <w:pPr>
        <w:autoSpaceDE w:val="0"/>
        <w:autoSpaceDN w:val="0"/>
        <w:adjustRightInd w:val="0"/>
        <w:spacing w:line="360" w:lineRule="auto"/>
        <w:ind w:firstLine="360" w:firstLineChars="150"/>
        <w:rPr>
          <w:rFonts w:eastAsiaTheme="minorEastAsia"/>
          <w:color w:val="auto"/>
          <w:kern w:val="0"/>
        </w:rPr>
      </w:pPr>
      <w:r>
        <w:rPr>
          <w:rFonts w:hint="eastAsia" w:eastAsiaTheme="minorEastAsia"/>
          <w:color w:val="auto"/>
          <w:kern w:val="0"/>
        </w:rPr>
        <w:t>1）设备的成熟性和可靠性</w:t>
      </w:r>
    </w:p>
    <w:p>
      <w:pPr>
        <w:autoSpaceDE w:val="0"/>
        <w:autoSpaceDN w:val="0"/>
        <w:adjustRightInd w:val="0"/>
        <w:spacing w:line="360" w:lineRule="auto"/>
        <w:ind w:firstLine="360" w:firstLineChars="150"/>
        <w:rPr>
          <w:rFonts w:eastAsiaTheme="minorEastAsia"/>
          <w:color w:val="auto"/>
          <w:kern w:val="0"/>
        </w:rPr>
      </w:pPr>
      <w:r>
        <w:rPr>
          <w:rFonts w:hint="eastAsia" w:eastAsiaTheme="minorEastAsia"/>
          <w:color w:val="auto"/>
          <w:kern w:val="0"/>
        </w:rPr>
        <w:t>三相离心机是一种高效的除渣脱水设备，高速旋转的转鼓所产生的离心力取代了重力的作用，并提高离心加速度加速高达3000G 以上的离心力，依靠强大的离心力使油、水、渣三相分离，是一种全自动化处理设备，改变以往需要在贮槽内加温、保温、静置几十个小时的预处理模式。</w:t>
      </w:r>
    </w:p>
    <w:p>
      <w:pPr>
        <w:autoSpaceDE w:val="0"/>
        <w:autoSpaceDN w:val="0"/>
        <w:adjustRightInd w:val="0"/>
        <w:spacing w:line="360" w:lineRule="auto"/>
        <w:ind w:firstLine="360" w:firstLineChars="150"/>
        <w:rPr>
          <w:rFonts w:eastAsiaTheme="minorEastAsia"/>
          <w:color w:val="auto"/>
          <w:kern w:val="0"/>
        </w:rPr>
      </w:pPr>
      <w:r>
        <w:rPr>
          <w:rFonts w:hint="eastAsia" w:eastAsiaTheme="minorEastAsia"/>
          <w:color w:val="auto"/>
          <w:kern w:val="0"/>
        </w:rPr>
        <w:t>三相离心机实现了油、水、渣一次性分离，改变以往二相分离和油水分离相结合的模式，优化了工艺，减少了成本，其构造和工作原理如下。</w:t>
      </w:r>
    </w:p>
    <w:p>
      <w:pPr>
        <w:autoSpaceDE w:val="0"/>
        <w:autoSpaceDN w:val="0"/>
        <w:adjustRightInd w:val="0"/>
        <w:spacing w:line="360" w:lineRule="auto"/>
        <w:ind w:firstLine="360" w:firstLineChars="150"/>
        <w:rPr>
          <w:rFonts w:eastAsiaTheme="minorEastAsia"/>
          <w:color w:val="auto"/>
          <w:kern w:val="0"/>
        </w:rPr>
      </w:pPr>
      <w:r>
        <w:rPr>
          <w:rFonts w:hint="eastAsia" w:eastAsiaTheme="minorEastAsia"/>
          <w:color w:val="auto"/>
          <w:kern w:val="0"/>
        </w:rPr>
        <w:t>a 构造：</w:t>
      </w:r>
    </w:p>
    <w:p>
      <w:pPr>
        <w:autoSpaceDE w:val="0"/>
        <w:autoSpaceDN w:val="0"/>
        <w:adjustRightInd w:val="0"/>
        <w:spacing w:line="360" w:lineRule="auto"/>
        <w:ind w:firstLine="360" w:firstLineChars="150"/>
        <w:rPr>
          <w:rFonts w:eastAsiaTheme="minorEastAsia"/>
          <w:color w:val="auto"/>
          <w:kern w:val="0"/>
        </w:rPr>
      </w:pPr>
      <w:r>
        <w:rPr>
          <w:rFonts w:hint="eastAsia" w:eastAsiaTheme="minorEastAsia"/>
          <w:color w:val="auto"/>
          <w:kern w:val="0"/>
        </w:rPr>
        <w:t>三相分离机主要由转鼓、螺旋、减速器、机架、罩壳、电机等部件组成。转鼓采用双椎角设计，转鼓内壁专门设计了纵向凹凸槽，用于提高螺旋输送固相的效率。螺旋叶片的工作面有硬质合金保护层，有效提高螺旋叶片的耐磨寿命。主电机由主变频器控制，副电机由副变频器控制，电机的频率可任意调节。副变频器的电源是由主变频器提供的，称为直流共母线供电，直流共母线供电实现了副电机呈发电机工作状态时的能量回馈，可有效节约电能。</w:t>
      </w:r>
    </w:p>
    <w:p>
      <w:pPr>
        <w:autoSpaceDE w:val="0"/>
        <w:autoSpaceDN w:val="0"/>
        <w:adjustRightInd w:val="0"/>
        <w:spacing w:line="360" w:lineRule="auto"/>
        <w:ind w:firstLine="360" w:firstLineChars="150"/>
        <w:rPr>
          <w:rFonts w:eastAsiaTheme="minorEastAsia"/>
          <w:color w:val="auto"/>
          <w:kern w:val="0"/>
        </w:rPr>
      </w:pPr>
      <w:r>
        <w:rPr>
          <w:rFonts w:hint="eastAsia" w:eastAsiaTheme="minorEastAsia"/>
          <w:color w:val="auto"/>
          <w:kern w:val="0"/>
        </w:rPr>
        <w:t>b 工作原理：</w:t>
      </w:r>
    </w:p>
    <w:p>
      <w:pPr>
        <w:autoSpaceDE w:val="0"/>
        <w:autoSpaceDN w:val="0"/>
        <w:adjustRightInd w:val="0"/>
        <w:spacing w:line="360" w:lineRule="auto"/>
        <w:ind w:firstLine="360" w:firstLineChars="150"/>
        <w:rPr>
          <w:rFonts w:eastAsiaTheme="minorEastAsia"/>
          <w:color w:val="auto"/>
          <w:kern w:val="0"/>
        </w:rPr>
      </w:pPr>
      <w:r>
        <w:rPr>
          <w:rFonts w:hint="eastAsia" w:eastAsiaTheme="minorEastAsia"/>
          <w:color w:val="auto"/>
          <w:kern w:val="0"/>
        </w:rPr>
        <w:t>含油废液经过预处理之后，通过进料泵进入三相卧螺离心机内，离心机高速旋转，在较大离心力的作用下，密度大的固体沉降到转鼓壁上。两相密度不同的液体形成同心圆柱，较轻的液相(油)处于内层，较重的液相(水)处于外层。不同液体环的厚度可通过调液板调节，沉积在转筒壁上的渣由螺旋输送器传送到转筒体的锥体端，从排料口排</w:t>
      </w:r>
    </w:p>
    <w:p>
      <w:pPr>
        <w:autoSpaceDE w:val="0"/>
        <w:autoSpaceDN w:val="0"/>
        <w:adjustRightInd w:val="0"/>
        <w:spacing w:line="360" w:lineRule="auto"/>
        <w:rPr>
          <w:rFonts w:eastAsiaTheme="minorEastAsia"/>
          <w:color w:val="auto"/>
          <w:kern w:val="0"/>
        </w:rPr>
      </w:pPr>
      <w:r>
        <w:rPr>
          <w:rFonts w:hint="eastAsia" w:eastAsiaTheme="minorEastAsia"/>
          <w:color w:val="auto"/>
          <w:kern w:val="0"/>
        </w:rPr>
        <w:t>出。分离出来的油通过排油管道输送到储存罐，分离出来的水也通过排水管道排出。三相离心机处理含油废液是一个全封闭、全自动、连续式处理工艺，脱渣脱水同步进行，生产效率高。</w:t>
      </w:r>
    </w:p>
    <w:p>
      <w:pPr>
        <w:autoSpaceDE w:val="0"/>
        <w:autoSpaceDN w:val="0"/>
        <w:adjustRightInd w:val="0"/>
        <w:spacing w:line="360" w:lineRule="auto"/>
        <w:ind w:firstLine="360" w:firstLineChars="150"/>
        <w:rPr>
          <w:rFonts w:eastAsiaTheme="minorEastAsia"/>
          <w:color w:val="auto"/>
          <w:kern w:val="0"/>
        </w:rPr>
      </w:pPr>
      <w:r>
        <w:rPr>
          <w:rFonts w:hint="eastAsia" w:eastAsiaTheme="minorEastAsia"/>
          <w:color w:val="auto"/>
          <w:kern w:val="0"/>
        </w:rPr>
        <w:t>2）设备的安全性</w:t>
      </w:r>
    </w:p>
    <w:p>
      <w:pPr>
        <w:autoSpaceDE w:val="0"/>
        <w:autoSpaceDN w:val="0"/>
        <w:adjustRightInd w:val="0"/>
        <w:spacing w:line="360" w:lineRule="auto"/>
        <w:ind w:firstLine="360" w:firstLineChars="150"/>
        <w:rPr>
          <w:rFonts w:eastAsiaTheme="minorEastAsia"/>
          <w:color w:val="auto"/>
          <w:kern w:val="0"/>
        </w:rPr>
      </w:pPr>
      <w:r>
        <w:rPr>
          <w:rFonts w:hint="eastAsia" w:eastAsiaTheme="minorEastAsia"/>
          <w:color w:val="auto"/>
          <w:kern w:val="0"/>
        </w:rPr>
        <w:t>离心系统中为防止臭气外泄。设备设置有用于抽吸臭气的法兰接口，用于将臭气引出至除臭系统处理，对人员操作环境友善。</w:t>
      </w:r>
    </w:p>
    <w:p>
      <w:pPr>
        <w:autoSpaceDE w:val="0"/>
        <w:autoSpaceDN w:val="0"/>
        <w:adjustRightInd w:val="0"/>
        <w:spacing w:line="360" w:lineRule="auto"/>
        <w:rPr>
          <w:rFonts w:eastAsiaTheme="minorEastAsia"/>
          <w:color w:val="auto"/>
          <w:kern w:val="0"/>
        </w:rPr>
      </w:pPr>
      <w:r>
        <w:rPr>
          <w:rFonts w:eastAsiaTheme="minorEastAsia"/>
          <w:color w:val="auto"/>
          <w:kern w:val="0"/>
        </w:rPr>
        <w:t></w:t>
      </w:r>
      <w:r>
        <w:rPr>
          <w:rFonts w:hint="eastAsia" w:eastAsiaTheme="minorEastAsia"/>
          <w:color w:val="auto"/>
          <w:kern w:val="0"/>
        </w:rPr>
        <w:t xml:space="preserve"> 卧式离心机液压差速系统的驱动独立于转鼓的驱动，在转鼓启动、停止、或者启停之间时液压差速系统均能实现最大扭矩。基本消除堵料风险和拆卸设备的麻烦。</w:t>
      </w:r>
    </w:p>
    <w:p>
      <w:pPr>
        <w:autoSpaceDE w:val="0"/>
        <w:autoSpaceDN w:val="0"/>
        <w:adjustRightInd w:val="0"/>
        <w:spacing w:line="360" w:lineRule="auto"/>
        <w:ind w:firstLine="480" w:firstLineChars="200"/>
        <w:rPr>
          <w:rFonts w:eastAsiaTheme="minorEastAsia"/>
          <w:color w:val="auto"/>
          <w:kern w:val="0"/>
        </w:rPr>
      </w:pPr>
      <w:r>
        <w:rPr>
          <w:rFonts w:hint="eastAsia" w:eastAsiaTheme="minorEastAsia"/>
          <w:color w:val="auto"/>
          <w:kern w:val="0"/>
        </w:rPr>
        <w:t>预拌罐侧壁覆盖有保温层，一定程度上减少了热损失，同时高温的部位也能得到有效的隔断，保证人身安全。</w:t>
      </w:r>
    </w:p>
    <w:p>
      <w:pPr>
        <w:spacing w:line="360" w:lineRule="auto"/>
        <w:rPr>
          <w:b/>
          <w:color w:val="auto"/>
        </w:rPr>
      </w:pPr>
      <w:r>
        <w:rPr>
          <w:rFonts w:hint="eastAsia"/>
          <w:b/>
          <w:color w:val="auto"/>
        </w:rPr>
        <w:t>3.</w:t>
      </w:r>
      <w:r>
        <w:rPr>
          <w:rFonts w:hint="eastAsia"/>
          <w:b/>
          <w:color w:val="auto"/>
          <w:lang w:val="en-US" w:eastAsia="zh-CN"/>
        </w:rPr>
        <w:t>1</w:t>
      </w:r>
      <w:r>
        <w:rPr>
          <w:rFonts w:hint="eastAsia"/>
          <w:b/>
          <w:color w:val="auto"/>
        </w:rPr>
        <w:t>.</w:t>
      </w:r>
      <w:r>
        <w:rPr>
          <w:rFonts w:hint="eastAsia"/>
          <w:b/>
          <w:color w:val="auto"/>
          <w:lang w:val="en-US" w:eastAsia="zh-CN"/>
        </w:rPr>
        <w:t>10</w:t>
      </w:r>
      <w:r>
        <w:rPr>
          <w:rFonts w:hint="eastAsia"/>
          <w:b/>
          <w:color w:val="auto"/>
        </w:rPr>
        <w:t>.4建筑消纳场处理工艺论证</w:t>
      </w:r>
    </w:p>
    <w:p>
      <w:pPr>
        <w:spacing w:line="360" w:lineRule="auto"/>
        <w:rPr>
          <w:color w:val="auto"/>
        </w:rPr>
      </w:pPr>
      <w:r>
        <w:rPr>
          <w:rFonts w:hint="eastAsia"/>
          <w:b/>
          <w:color w:val="auto"/>
        </w:rPr>
        <w:t xml:space="preserve">    </w:t>
      </w:r>
      <w:r>
        <w:rPr>
          <w:rFonts w:hint="eastAsia"/>
          <w:color w:val="auto"/>
        </w:rPr>
        <w:t xml:space="preserve"> 1、国外建筑垃圾处理现状概况</w:t>
      </w:r>
    </w:p>
    <w:p>
      <w:pPr>
        <w:spacing w:line="360" w:lineRule="auto"/>
        <w:ind w:firstLine="600" w:firstLineChars="250"/>
        <w:rPr>
          <w:color w:val="auto"/>
        </w:rPr>
      </w:pPr>
      <w:r>
        <w:rPr>
          <w:rFonts w:hint="eastAsia"/>
          <w:color w:val="auto"/>
        </w:rPr>
        <w:t>建筑垃圾处理一直以来都是一个全世界都面临的问题，一些发达国家在建筑垃圾再利用方面具有成功的经验，并做了大量基础性研究工作，各种管理方式，处理技术设备都已经成熟，处理效果也比较好。</w:t>
      </w:r>
    </w:p>
    <w:p>
      <w:pPr>
        <w:spacing w:line="360" w:lineRule="auto"/>
        <w:rPr>
          <w:color w:val="auto"/>
        </w:rPr>
      </w:pPr>
      <w:r>
        <w:rPr>
          <w:rFonts w:hint="eastAsia"/>
          <w:b/>
          <w:color w:val="auto"/>
        </w:rPr>
        <w:t xml:space="preserve">  </w:t>
      </w:r>
      <w:r>
        <w:rPr>
          <w:rFonts w:hint="eastAsia"/>
          <w:color w:val="auto"/>
        </w:rPr>
        <w:t xml:space="preserve">  美国是最早进行建筑垃圾综合处理的发达国家之一，早在1915年就对筑路中产生的废旧沥青进行了研究利用；在长达近一个世纪的实践中，美国在建筑垃圾处理方面，形成了一系列完整、全面、有效的管理措施和政策、法规，使得美国建筑垃圾再生利用率接近100%，同时美国也具有100%回收利用旧沥青混凝土废料的先进技术。日本由于国土面积狭小，资源十分匮乏，因此十分重视资源的再生利用。日本也是对环境保护、资源再生利用立法最为完备的国家，自从上世纪初就开始制定建筑垃圾处理的相关法律，并认为建筑垃圾是“建筑副产品”，不能随意丢弃。经过几十年的努力，建筑垃圾的再生利用取得了明显的效果，1995 年时再生利用率都已超过65%，在2000 年时达到90%的利用率。德国的建筑垃圾循环利用率也较高，例如混凝土的再利用率有望达到80%以上。发达国家积极的将建筑垃圾处理当成一种新兴产业来打造，据统计，20 世纪末发达国家再生资源产业规模为2500 亿美元，到本世纪初已增至6000 亿美元，2010 年可达18000 亿美元。在未来30 年间，将出现“十大新兴技术”，发达国家将其中有关“垃圾处理”的新兴技术列为第二位。丹麦、韩国等国也都以立法的形式确立了建筑垃圾处理产业优先发展的原则。在各国政策支持和法规引导下，建筑垃圾处理产业蓬勃发展。目前大量成熟的企业成为产业主体。在外国建筑垃圾从回收、处理均由企业负责，比如，韩国有数百家建筑垃圾处理企业，仅汉城就有二百多家。企业在激烈的竞争中，不断采用新技术提高了建筑垃圾回收利用率，目前欧洲各国回收利用率在80%左右，美国在75%左右，亚洲的日本和韩国均超过了95%。</w:t>
      </w:r>
    </w:p>
    <w:p>
      <w:pPr>
        <w:spacing w:line="360" w:lineRule="auto"/>
        <w:ind w:firstLine="480"/>
        <w:rPr>
          <w:color w:val="auto"/>
        </w:rPr>
      </w:pPr>
      <w:r>
        <w:rPr>
          <w:rFonts w:hint="eastAsia"/>
          <w:color w:val="auto"/>
        </w:rPr>
        <w:t>综合美、日等国的成功经验我们可以看出：它们均实行“源头削减策略”，即通过有效的管理方法和严格的法律手段控制建筑垃圾的产生，这是从源头上控制最有效的方法，其次是利用成熟的回收技术和政府的积极导向使得已经产生的建筑垃圾达到最大化的重生利用。</w:t>
      </w:r>
    </w:p>
    <w:p>
      <w:pPr>
        <w:spacing w:line="360" w:lineRule="auto"/>
        <w:ind w:firstLine="480"/>
        <w:rPr>
          <w:color w:val="auto"/>
        </w:rPr>
      </w:pPr>
      <w:r>
        <w:rPr>
          <w:rFonts w:hint="eastAsia"/>
          <w:color w:val="auto"/>
        </w:rPr>
        <w:t>2、国内建筑垃圾处理现状概况</w:t>
      </w:r>
    </w:p>
    <w:p>
      <w:pPr>
        <w:spacing w:line="360" w:lineRule="auto"/>
        <w:ind w:firstLine="480"/>
        <w:rPr>
          <w:color w:val="auto"/>
        </w:rPr>
      </w:pPr>
      <w:r>
        <w:rPr>
          <w:rFonts w:hint="eastAsia"/>
          <w:color w:val="auto"/>
        </w:rPr>
        <w:t>我国对建筑垃圾的管理起步较晚，开始于上世纪80 年代末90 年代初，范围仅限于一些大城市。近几年我国处于建筑业大发展时期，建筑垃圾产量急剧增长，容纳城市垃圾的填埋场已捉襟见肘，对建筑垃圾的再生利用已到迫在眉睫的地步。为此全国人大于1995 年11月通过了《城市固体垃圾处理法》，要求产生垃圾的部门必须缴纳垃圾处理费，虽然，这种办法一定程度上限制了建筑垃圾的产生，但并不能从根本上消除已经产生的巨量建筑垃圾，由于取费偏低，建筑垃圾总量仍然有增无减。建筑垃圾常常处于粗放的混杂状态，综合利用价值偏低。社会、公众和企业单位对垃圾的危害及处理过程中应负的责任认识不清，垃圾处理的巨大压力和费用都由政府独自承担，对于垃圾处置缺乏长远的规划。</w:t>
      </w:r>
    </w:p>
    <w:p>
      <w:pPr>
        <w:spacing w:line="360" w:lineRule="auto"/>
        <w:ind w:firstLine="480"/>
        <w:rPr>
          <w:color w:val="auto"/>
        </w:rPr>
      </w:pPr>
      <w:r>
        <w:rPr>
          <w:rFonts w:hint="eastAsia"/>
          <w:color w:val="auto"/>
        </w:rPr>
        <w:t>我国建筑垃圾存量巨大，综合处理利用率还不到5%，如果仅靠填埋使之自然降解需要一个长期的过程，因此必须对这些建筑垃圾予以人工处理，使之循环使用，尽量减轻对环境的压力。而技术水平是建筑垃圾循环使用的前提条件，没有合适的处理工艺、消减方案，同样是对资源的巨大浪费。</w:t>
      </w:r>
    </w:p>
    <w:p>
      <w:pPr>
        <w:spacing w:line="360" w:lineRule="auto"/>
        <w:rPr>
          <w:b/>
          <w:color w:val="auto"/>
        </w:rPr>
      </w:pPr>
      <w:r>
        <w:rPr>
          <w:rFonts w:hint="eastAsia"/>
          <w:b/>
          <w:color w:val="auto"/>
        </w:rPr>
        <w:t>3.</w:t>
      </w:r>
      <w:r>
        <w:rPr>
          <w:rFonts w:hint="eastAsia"/>
          <w:b/>
          <w:color w:val="auto"/>
          <w:lang w:val="en-US" w:eastAsia="zh-CN"/>
        </w:rPr>
        <w:t>1</w:t>
      </w:r>
      <w:r>
        <w:rPr>
          <w:rFonts w:hint="eastAsia"/>
          <w:b/>
          <w:color w:val="auto"/>
        </w:rPr>
        <w:t>.</w:t>
      </w:r>
      <w:r>
        <w:rPr>
          <w:rFonts w:hint="eastAsia"/>
          <w:b/>
          <w:color w:val="auto"/>
          <w:lang w:val="en-US" w:eastAsia="zh-CN"/>
        </w:rPr>
        <w:t>10</w:t>
      </w:r>
      <w:r>
        <w:rPr>
          <w:rFonts w:hint="eastAsia"/>
          <w:b/>
          <w:color w:val="auto"/>
        </w:rPr>
        <w:t>.5建筑垃圾处理工艺确定</w:t>
      </w:r>
    </w:p>
    <w:p>
      <w:pPr>
        <w:spacing w:line="360" w:lineRule="auto"/>
        <w:ind w:firstLine="480"/>
        <w:rPr>
          <w:color w:val="auto"/>
        </w:rPr>
      </w:pPr>
      <w:r>
        <w:rPr>
          <w:rFonts w:hint="eastAsia"/>
          <w:color w:val="auto"/>
        </w:rPr>
        <w:t>建筑垃圾经分拣、剔除或粉碎后，大多可以作为再生资源重新利用如：废钢筋、废铁丝、废电线等金属，经分拣、集中、重新回炉后，可以再加工制造成各种规格的钢材；废竹木材则可以用于制造人造木材；砖、石、混凝土等废料经粉碎后，可以代砂，用于砌筑砂浆、抹灰砂浆等，还可以用于制作铺道砖、花格砖等建材制品。这都使得建筑垃圾再生具有利用率高、生产成本低、使用范围广、环境与经济效益好的突出优势。</w:t>
      </w:r>
    </w:p>
    <w:p>
      <w:pPr>
        <w:spacing w:line="360" w:lineRule="auto"/>
        <w:ind w:firstLine="480"/>
        <w:rPr>
          <w:color w:val="auto"/>
        </w:rPr>
      </w:pPr>
      <w:r>
        <w:rPr>
          <w:rFonts w:hint="eastAsia"/>
          <w:color w:val="auto"/>
        </w:rPr>
        <w:t>在建筑垃圾处理这一领域，建筑垃圾处理设备破碎站是一种专业针对建筑垃圾进行回收处理破碎的新颖的破碎筛分设备，它整合了振动筛，给料机，皮带输送机，一级、二级、三级破碎机而成。该产品的研制完全站在用户的角度上，为客户解决了大型设备高昂的运输跟安装成本，大大缩短了破碎工期。其中该产品的一体化机组设备安装形式，消除了分体组件的繁杂场地基础设施安装作业，降低了物料、工时消耗。机组合理紧凑的空间布局，提高了场地驻扎的灵活性。同时也降低了无聊的运输费用，提高了设备的机动性灵活性，大大提高了室外作业的适应性。</w:t>
      </w:r>
    </w:p>
    <w:p>
      <w:pPr>
        <w:spacing w:line="360" w:lineRule="auto"/>
        <w:ind w:firstLine="480"/>
        <w:rPr>
          <w:color w:val="auto"/>
        </w:rPr>
      </w:pPr>
      <w:r>
        <w:rPr>
          <w:rFonts w:hint="eastAsia"/>
          <w:color w:val="auto"/>
        </w:rPr>
        <w:t>从技术上来看，建筑垃圾处理设备的性能不稳定，而且结合中国市场需求，国内厂家除了技术不先进外加上容易产生二次环境粉尘、噪声的污染、以及设备的维修，造成建筑垃圾的处理过于理论的理想化，不利用生态环境的要求，因此目前我国建筑垃圾的主要处理方法是将其填埋地下。其好处在于：</w:t>
      </w:r>
    </w:p>
    <w:p>
      <w:pPr>
        <w:spacing w:line="360" w:lineRule="auto"/>
        <w:ind w:firstLine="480"/>
        <w:rPr>
          <w:color w:val="auto"/>
        </w:rPr>
      </w:pPr>
      <w:r>
        <w:rPr>
          <w:rFonts w:hint="eastAsia"/>
          <w:color w:val="auto"/>
        </w:rPr>
        <w:t>首先是填埋相应的地势山地土地。以兴宁为例，据相关资料显示：工程建设前对原有建筑的拆除，以及新工地的建设，兴宁每年都要设置二三十个建筑垃圾消纳场，造成不小的环境污染压力，因此需要设置集中处理的填埋综合处理。</w:t>
      </w:r>
    </w:p>
    <w:p>
      <w:pPr>
        <w:spacing w:line="360" w:lineRule="auto"/>
        <w:ind w:firstLine="480"/>
        <w:rPr>
          <w:color w:val="auto"/>
        </w:rPr>
      </w:pPr>
      <w:r>
        <w:rPr>
          <w:rFonts w:hint="eastAsia"/>
          <w:color w:val="auto"/>
        </w:rPr>
        <w:t>其次是充分结合现在的场地效率，比较成熟的方案是：垃圾填埋垃圾或建筑垃圾稳定物填埋后，再结合建筑垃圾的特点，8 米后加埋2 米土层，土层之上基本重长植被，这样充分利用场地低洼地势，通过填埋相应的建筑垃圾，可以起到稳定地基的作用，保证工业用地场地综合效率的提升。而填埋区域的地表则不会产生沉降和下陷，要经过一段的时间就能达到稳定状态。</w:t>
      </w:r>
    </w:p>
    <w:p>
      <w:pPr>
        <w:spacing w:line="360" w:lineRule="auto"/>
        <w:rPr>
          <w:b/>
          <w:color w:val="auto"/>
        </w:rPr>
      </w:pPr>
      <w:r>
        <w:rPr>
          <w:rFonts w:hint="eastAsia"/>
          <w:b/>
          <w:color w:val="auto"/>
        </w:rPr>
        <w:t>3.</w:t>
      </w:r>
      <w:r>
        <w:rPr>
          <w:rFonts w:hint="eastAsia"/>
          <w:b/>
          <w:color w:val="auto"/>
          <w:lang w:val="en-US" w:eastAsia="zh-CN"/>
        </w:rPr>
        <w:t>1</w:t>
      </w:r>
      <w:r>
        <w:rPr>
          <w:rFonts w:hint="eastAsia"/>
          <w:b/>
          <w:color w:val="auto"/>
        </w:rPr>
        <w:t>.</w:t>
      </w:r>
      <w:r>
        <w:rPr>
          <w:rFonts w:hint="eastAsia"/>
          <w:b/>
          <w:color w:val="auto"/>
          <w:lang w:val="en-US" w:eastAsia="zh-CN"/>
        </w:rPr>
        <w:t>10</w:t>
      </w:r>
      <w:r>
        <w:rPr>
          <w:rFonts w:hint="eastAsia"/>
          <w:b/>
          <w:color w:val="auto"/>
        </w:rPr>
        <w:t>.6本建筑垃圾消纳场工艺流程</w:t>
      </w:r>
    </w:p>
    <w:p>
      <w:pPr>
        <w:spacing w:line="360" w:lineRule="auto"/>
        <w:ind w:firstLine="480" w:firstLineChars="200"/>
        <w:rPr>
          <w:color w:val="auto"/>
        </w:rPr>
      </w:pPr>
      <w:r>
        <w:rPr>
          <w:color w:val="auto"/>
        </w:rPr>
        <w:t>本项目消纳场主要用于建筑垃圾填埋使用，建筑垃圾分类不在本场内进行。</w:t>
      </w:r>
    </w:p>
    <w:p>
      <w:pPr>
        <w:jc w:val="center"/>
        <w:rPr>
          <w:rFonts w:hint="eastAsia"/>
          <w:b/>
          <w:color w:val="auto"/>
        </w:rPr>
      </w:pPr>
      <w:r>
        <w:rPr>
          <w:rFonts w:hint="eastAsia" w:eastAsia="宋体"/>
          <w:color w:val="auto"/>
          <w:lang w:eastAsia="zh-CN"/>
        </w:rPr>
        <w:object>
          <v:shape id="_x0000_i1034" o:spt="75" type="#_x0000_t75" style="height:108.65pt;width:449.8pt;" o:ole="t" filled="f" o:preferrelative="t" stroked="f" coordsize="21600,21600">
            <v:path/>
            <v:fill on="f" focussize="0,0"/>
            <v:stroke on="f"/>
            <v:imagedata r:id="rId81" o:title=""/>
            <o:lock v:ext="edit" aspectratio="t"/>
            <w10:wrap type="none"/>
            <w10:anchorlock/>
          </v:shape>
          <o:OLEObject Type="Embed" ProgID="Visio.Drawing.11" ShapeID="_x0000_i1034" DrawAspect="Content" ObjectID="_1468075735" r:id="rId80">
            <o:LockedField>false</o:LockedField>
          </o:OLEObject>
        </w:object>
      </w:r>
      <w:r>
        <w:rPr>
          <w:rFonts w:hint="eastAsia"/>
          <w:b/>
          <w:color w:val="auto"/>
        </w:rPr>
        <w:t>图3.</w:t>
      </w:r>
      <w:r>
        <w:rPr>
          <w:rFonts w:hint="eastAsia"/>
          <w:b/>
          <w:color w:val="auto"/>
          <w:lang w:val="en-US" w:eastAsia="zh-CN"/>
        </w:rPr>
        <w:t>1</w:t>
      </w:r>
      <w:r>
        <w:rPr>
          <w:rFonts w:hint="eastAsia"/>
          <w:b/>
          <w:color w:val="auto"/>
        </w:rPr>
        <w:t>-</w:t>
      </w:r>
      <w:r>
        <w:rPr>
          <w:rFonts w:hint="eastAsia"/>
          <w:b/>
          <w:color w:val="auto"/>
          <w:lang w:val="en-US" w:eastAsia="zh-CN"/>
        </w:rPr>
        <w:t>12</w:t>
      </w:r>
      <w:r>
        <w:rPr>
          <w:rFonts w:hint="eastAsia"/>
          <w:b/>
          <w:color w:val="auto"/>
        </w:rPr>
        <w:t xml:space="preserve">  建筑垃圾填埋工艺流程图</w:t>
      </w:r>
    </w:p>
    <w:p>
      <w:pPr>
        <w:spacing w:line="360" w:lineRule="auto"/>
        <w:ind w:firstLine="480" w:firstLineChars="200"/>
        <w:rPr>
          <w:color w:val="auto"/>
        </w:rPr>
      </w:pPr>
    </w:p>
    <w:p>
      <w:pPr>
        <w:spacing w:line="360" w:lineRule="auto"/>
        <w:ind w:firstLine="480" w:firstLineChars="200"/>
        <w:rPr>
          <w:color w:val="auto"/>
        </w:rPr>
      </w:pPr>
      <w:r>
        <w:rPr>
          <w:color w:val="auto"/>
        </w:rPr>
        <w:t>（1）</w:t>
      </w:r>
      <w:r>
        <w:rPr>
          <w:rFonts w:hint="eastAsia"/>
          <w:color w:val="auto"/>
          <w:lang w:eastAsia="zh-CN"/>
        </w:rPr>
        <w:t>地磅称重和倾倒</w:t>
      </w:r>
    </w:p>
    <w:p>
      <w:pPr>
        <w:spacing w:line="360" w:lineRule="auto"/>
        <w:ind w:firstLine="480" w:firstLineChars="200"/>
        <w:rPr>
          <w:rFonts w:hint="eastAsia" w:eastAsia="宋体"/>
          <w:color w:val="auto"/>
          <w:lang w:eastAsia="zh-CN"/>
        </w:rPr>
      </w:pPr>
      <w:r>
        <w:rPr>
          <w:rFonts w:hint="eastAsia"/>
          <w:color w:val="auto"/>
          <w:lang w:eastAsia="zh-CN"/>
        </w:rPr>
        <w:t>建筑垃圾通过汽车运输至厂区内，然后称重计量，按照规定检查后运至指定填埋区调度卸车。</w:t>
      </w:r>
    </w:p>
    <w:p>
      <w:pPr>
        <w:spacing w:line="360" w:lineRule="auto"/>
        <w:ind w:firstLine="480" w:firstLineChars="200"/>
        <w:rPr>
          <w:color w:val="auto"/>
        </w:rPr>
      </w:pPr>
      <w:r>
        <w:rPr>
          <w:color w:val="auto"/>
        </w:rPr>
        <w:t>（2）</w:t>
      </w:r>
      <w:r>
        <w:rPr>
          <w:rFonts w:hint="eastAsia"/>
          <w:color w:val="auto"/>
          <w:lang w:eastAsia="zh-CN"/>
        </w:rPr>
        <w:t>分单元</w:t>
      </w:r>
      <w:r>
        <w:rPr>
          <w:color w:val="auto"/>
        </w:rPr>
        <w:t>填埋</w:t>
      </w:r>
    </w:p>
    <w:p>
      <w:pPr>
        <w:spacing w:line="360" w:lineRule="auto"/>
        <w:ind w:firstLine="480" w:firstLineChars="200"/>
        <w:rPr>
          <w:color w:val="auto"/>
        </w:rPr>
      </w:pPr>
      <w:r>
        <w:rPr>
          <w:color w:val="auto"/>
        </w:rPr>
        <w:t>进场建筑垃圾分单元进行填埋，</w:t>
      </w:r>
      <w:r>
        <w:rPr>
          <w:rFonts w:hint="eastAsia"/>
          <w:color w:val="auto"/>
        </w:rPr>
        <w:t>每日作业只在其中一填埋单元进行，每日填埋完毕后，需对填埋物进行覆盖。当天采用160g 防渗纤维膜覆盖，覆盖时间较长的采用190g 覆盖膜。</w:t>
      </w:r>
    </w:p>
    <w:p>
      <w:pPr>
        <w:spacing w:line="360" w:lineRule="auto"/>
        <w:ind w:firstLine="480" w:firstLineChars="200"/>
        <w:rPr>
          <w:color w:val="auto"/>
        </w:rPr>
      </w:pPr>
      <w:r>
        <w:rPr>
          <w:color w:val="auto"/>
        </w:rPr>
        <w:t>填埋作业过程中包括场地准备、运输、倾倒、摊铺、压实及覆土。运输车填埋作业时需在现场人员的指挥下运送到</w:t>
      </w:r>
      <w:r>
        <w:rPr>
          <w:rFonts w:hint="eastAsia"/>
          <w:color w:val="auto"/>
        </w:rPr>
        <w:t>指定</w:t>
      </w:r>
      <w:r>
        <w:rPr>
          <w:color w:val="auto"/>
        </w:rPr>
        <w:t>位置，有组织倾倒，倾倒后物料用推土机推平，然后用推土机进行压实作业，填埋单元按一定的作业单元逐步推进，当第一层全部填满压实后</w:t>
      </w:r>
      <w:r>
        <w:rPr>
          <w:rFonts w:hint="eastAsia"/>
          <w:color w:val="auto"/>
        </w:rPr>
        <w:t>再</w:t>
      </w:r>
      <w:r>
        <w:rPr>
          <w:color w:val="auto"/>
        </w:rPr>
        <w:t>按照作业工序</w:t>
      </w:r>
      <w:r>
        <w:rPr>
          <w:rFonts w:hint="eastAsia"/>
          <w:color w:val="auto"/>
        </w:rPr>
        <w:t>依次</w:t>
      </w:r>
      <w:r>
        <w:rPr>
          <w:color w:val="auto"/>
        </w:rPr>
        <w:t>填埋第二层、第三层等，</w:t>
      </w:r>
      <w:r>
        <w:rPr>
          <w:rFonts w:hint="eastAsia"/>
          <w:color w:val="auto"/>
        </w:rPr>
        <w:t>当压实</w:t>
      </w:r>
      <w:r>
        <w:rPr>
          <w:color w:val="auto"/>
        </w:rPr>
        <w:t>厚度达到2</w:t>
      </w:r>
      <w:r>
        <w:rPr>
          <w:rFonts w:hint="eastAsia"/>
          <w:color w:val="auto"/>
        </w:rPr>
        <w:t>m</w:t>
      </w:r>
      <w:r>
        <w:rPr>
          <w:color w:val="auto"/>
        </w:rPr>
        <w:t>左右时，立即用0.2m厚的土层覆盖，并予以压实。当最终填埋至封场高程后，进行统一封场。</w:t>
      </w:r>
    </w:p>
    <w:p>
      <w:pPr>
        <w:spacing w:line="360" w:lineRule="auto"/>
        <w:ind w:firstLine="480" w:firstLineChars="200"/>
        <w:rPr>
          <w:color w:val="auto"/>
        </w:rPr>
      </w:pPr>
      <w:r>
        <w:rPr>
          <w:rFonts w:hint="eastAsia"/>
          <w:color w:val="auto"/>
        </w:rPr>
        <w:t>建筑垃圾的填埋可选用的施工方法有上推或下推两种，根据场地情况具体选择。</w:t>
      </w:r>
    </w:p>
    <w:p>
      <w:pPr>
        <w:spacing w:line="360" w:lineRule="auto"/>
        <w:ind w:firstLine="480" w:firstLineChars="200"/>
        <w:rPr>
          <w:color w:val="auto"/>
        </w:rPr>
      </w:pPr>
      <w:r>
        <w:rPr>
          <w:color w:val="auto"/>
        </w:rPr>
        <w:drawing>
          <wp:inline distT="0" distB="0" distL="0" distR="0">
            <wp:extent cx="5486400" cy="1030605"/>
            <wp:effectExtent l="0" t="0" r="0" b="0"/>
            <wp:docPr id="1361" name="图片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 name="图片 1361"/>
                    <pic:cNvPicPr>
                      <a:picLocks noChangeAspect="1"/>
                    </pic:cNvPicPr>
                  </pic:nvPicPr>
                  <pic:blipFill>
                    <a:blip r:embed="rId82"/>
                    <a:stretch>
                      <a:fillRect/>
                    </a:stretch>
                  </pic:blipFill>
                  <pic:spPr>
                    <a:xfrm>
                      <a:off x="0" y="0"/>
                      <a:ext cx="5486400" cy="1030605"/>
                    </a:xfrm>
                    <a:prstGeom prst="rect">
                      <a:avLst/>
                    </a:prstGeom>
                  </pic:spPr>
                </pic:pic>
              </a:graphicData>
            </a:graphic>
          </wp:inline>
        </w:drawing>
      </w:r>
    </w:p>
    <w:p>
      <w:pPr>
        <w:spacing w:line="360" w:lineRule="auto"/>
        <w:ind w:firstLine="482" w:firstLineChars="200"/>
        <w:jc w:val="center"/>
        <w:rPr>
          <w:b/>
          <w:color w:val="auto"/>
        </w:rPr>
      </w:pPr>
      <w:r>
        <w:rPr>
          <w:rFonts w:hint="eastAsia"/>
          <w:b/>
          <w:color w:val="auto"/>
        </w:rPr>
        <w:t>图3.</w:t>
      </w:r>
      <w:r>
        <w:rPr>
          <w:rFonts w:hint="eastAsia"/>
          <w:b/>
          <w:color w:val="auto"/>
          <w:lang w:val="en-US" w:eastAsia="zh-CN"/>
        </w:rPr>
        <w:t>1</w:t>
      </w:r>
      <w:r>
        <w:rPr>
          <w:rFonts w:hint="eastAsia"/>
          <w:b/>
          <w:color w:val="auto"/>
        </w:rPr>
        <w:t>-1</w:t>
      </w:r>
      <w:r>
        <w:rPr>
          <w:rFonts w:hint="eastAsia"/>
          <w:b/>
          <w:color w:val="auto"/>
          <w:lang w:val="en-US" w:eastAsia="zh-CN"/>
        </w:rPr>
        <w:t>3</w:t>
      </w:r>
      <w:r>
        <w:rPr>
          <w:rFonts w:hint="eastAsia"/>
          <w:b/>
          <w:color w:val="auto"/>
        </w:rPr>
        <w:t xml:space="preserve"> 填埋作业过程分层压实示意图</w:t>
      </w:r>
    </w:p>
    <w:p>
      <w:pPr>
        <w:spacing w:line="360" w:lineRule="auto"/>
        <w:ind w:firstLine="480" w:firstLineChars="200"/>
        <w:jc w:val="center"/>
        <w:rPr>
          <w:b/>
          <w:color w:val="auto"/>
        </w:rPr>
      </w:pPr>
      <w:r>
        <w:rPr>
          <w:color w:val="auto"/>
        </w:rPr>
        <w:drawing>
          <wp:inline distT="0" distB="0" distL="0" distR="0">
            <wp:extent cx="5486400" cy="2689860"/>
            <wp:effectExtent l="0" t="0" r="0" b="0"/>
            <wp:docPr id="1362" name="图片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 name="图片 1362"/>
                    <pic:cNvPicPr>
                      <a:picLocks noChangeAspect="1"/>
                    </pic:cNvPicPr>
                  </pic:nvPicPr>
                  <pic:blipFill>
                    <a:blip r:embed="rId83"/>
                    <a:stretch>
                      <a:fillRect/>
                    </a:stretch>
                  </pic:blipFill>
                  <pic:spPr>
                    <a:xfrm>
                      <a:off x="0" y="0"/>
                      <a:ext cx="5486400" cy="2689860"/>
                    </a:xfrm>
                    <a:prstGeom prst="rect">
                      <a:avLst/>
                    </a:prstGeom>
                  </pic:spPr>
                </pic:pic>
              </a:graphicData>
            </a:graphic>
          </wp:inline>
        </w:drawing>
      </w:r>
    </w:p>
    <w:p>
      <w:pPr>
        <w:spacing w:line="360" w:lineRule="auto"/>
        <w:ind w:firstLine="482" w:firstLineChars="200"/>
        <w:jc w:val="center"/>
        <w:rPr>
          <w:b/>
          <w:color w:val="auto"/>
        </w:rPr>
      </w:pPr>
      <w:r>
        <w:rPr>
          <w:rFonts w:hint="eastAsia"/>
          <w:b/>
          <w:color w:val="auto"/>
        </w:rPr>
        <w:t>图3.</w:t>
      </w:r>
      <w:r>
        <w:rPr>
          <w:rFonts w:hint="eastAsia"/>
          <w:b/>
          <w:color w:val="auto"/>
          <w:lang w:val="en-US" w:eastAsia="zh-CN"/>
        </w:rPr>
        <w:t>1</w:t>
      </w:r>
      <w:r>
        <w:rPr>
          <w:rFonts w:hint="eastAsia"/>
          <w:b/>
          <w:color w:val="auto"/>
        </w:rPr>
        <w:t>-1</w:t>
      </w:r>
      <w:r>
        <w:rPr>
          <w:rFonts w:hint="eastAsia"/>
          <w:b/>
          <w:color w:val="auto"/>
          <w:lang w:val="en-US" w:eastAsia="zh-CN"/>
        </w:rPr>
        <w:t>4</w:t>
      </w:r>
      <w:r>
        <w:rPr>
          <w:rFonts w:hint="eastAsia"/>
          <w:b/>
          <w:color w:val="auto"/>
        </w:rPr>
        <w:t xml:space="preserve"> 建筑垃圾摊铺作业方法示意图</w:t>
      </w:r>
    </w:p>
    <w:p>
      <w:pPr>
        <w:spacing w:line="360" w:lineRule="auto"/>
        <w:ind w:firstLine="480" w:firstLineChars="200"/>
        <w:rPr>
          <w:rFonts w:hint="eastAsia" w:eastAsia="宋体"/>
          <w:color w:val="auto"/>
          <w:lang w:eastAsia="zh-CN"/>
        </w:rPr>
      </w:pPr>
      <w:r>
        <w:rPr>
          <w:rFonts w:hint="eastAsia"/>
          <w:color w:val="auto"/>
          <w:lang w:eastAsia="zh-CN"/>
        </w:rPr>
        <w:t>（</w:t>
      </w:r>
      <w:r>
        <w:rPr>
          <w:rFonts w:hint="eastAsia"/>
          <w:color w:val="auto"/>
          <w:lang w:val="en-US" w:eastAsia="zh-CN"/>
        </w:rPr>
        <w:t>3</w:t>
      </w:r>
      <w:r>
        <w:rPr>
          <w:rFonts w:hint="eastAsia"/>
          <w:color w:val="auto"/>
          <w:lang w:eastAsia="zh-CN"/>
        </w:rPr>
        <w:t>）分层压实</w:t>
      </w:r>
    </w:p>
    <w:p>
      <w:pPr>
        <w:spacing w:line="360" w:lineRule="auto"/>
        <w:ind w:firstLine="480" w:firstLineChars="200"/>
        <w:rPr>
          <w:color w:val="auto"/>
        </w:rPr>
      </w:pPr>
      <w:r>
        <w:rPr>
          <w:color w:val="auto"/>
        </w:rPr>
        <w:t>建筑垃圾回填采用分层填筑、均衡上升的施工方法，用自卸车运料，每次堆填高度为60~70cm，推土机推平，采用推土机进行碾压压密，碾压次数至少不低于8次，满足设计要求压实度。按照有关规定，在施工过程中，应对填土压实质量进行控制，土料含水量较大的应进行翻晾，大块土料要打碎，严格控制土料的含水量接近最优含水量Wop±2%，分层碾压，每施工完一层，可检验该层的平均压实系数与施工含水量，当压实系数符合设计要求的0.85左右后进行下一层的施工。且</w:t>
      </w:r>
      <w:r>
        <w:rPr>
          <w:rFonts w:hint="eastAsia"/>
          <w:color w:val="auto"/>
        </w:rPr>
        <w:t>当压实</w:t>
      </w:r>
      <w:r>
        <w:rPr>
          <w:color w:val="auto"/>
        </w:rPr>
        <w:t>厚度达到2</w:t>
      </w:r>
      <w:r>
        <w:rPr>
          <w:rFonts w:hint="eastAsia"/>
          <w:color w:val="auto"/>
        </w:rPr>
        <w:t>m</w:t>
      </w:r>
      <w:r>
        <w:rPr>
          <w:color w:val="auto"/>
        </w:rPr>
        <w:t>左右时，立即用0.2m厚的土层覆盖，并予以压实。</w:t>
      </w:r>
    </w:p>
    <w:p>
      <w:pPr>
        <w:numPr>
          <w:ilvl w:val="0"/>
          <w:numId w:val="7"/>
        </w:numPr>
        <w:spacing w:line="360" w:lineRule="auto"/>
        <w:ind w:firstLine="480" w:firstLineChars="200"/>
        <w:rPr>
          <w:rFonts w:hint="eastAsia"/>
          <w:color w:val="auto"/>
          <w:lang w:eastAsia="zh-CN"/>
        </w:rPr>
      </w:pPr>
      <w:r>
        <w:rPr>
          <w:rFonts w:hint="eastAsia"/>
          <w:color w:val="auto"/>
          <w:lang w:eastAsia="zh-CN"/>
        </w:rPr>
        <w:t>封场覆土绿化</w:t>
      </w:r>
    </w:p>
    <w:p>
      <w:pPr>
        <w:numPr>
          <w:ilvl w:val="0"/>
          <w:numId w:val="0"/>
        </w:numPr>
        <w:tabs>
          <w:tab w:val="clear" w:pos="680"/>
        </w:tabs>
        <w:spacing w:line="360" w:lineRule="auto"/>
        <w:rPr>
          <w:rFonts w:hint="eastAsia"/>
          <w:color w:val="auto"/>
          <w:lang w:eastAsia="zh-CN"/>
        </w:rPr>
      </w:pPr>
      <w:r>
        <w:rPr>
          <w:rFonts w:hint="eastAsia"/>
          <w:color w:val="auto"/>
          <w:lang w:val="en-US" w:eastAsia="zh-CN"/>
        </w:rPr>
        <w:t xml:space="preserve">   </w:t>
      </w:r>
      <w:r>
        <w:rPr>
          <w:rFonts w:hint="eastAsia"/>
          <w:color w:val="auto"/>
        </w:rPr>
        <w:t>在填埋过程对已经形成的堆体和边坡进行覆土压实，并在堆体表面和边坡进行植草绿化，封场后填埋区最终达到整体绿化，创建一个新的人工植物群落，人工生态系统的建设逐步取代原有的自然生态系统。</w:t>
      </w:r>
    </w:p>
    <w:p>
      <w:pPr>
        <w:spacing w:line="360" w:lineRule="auto"/>
        <w:ind w:firstLine="480" w:firstLineChars="200"/>
        <w:rPr>
          <w:color w:val="auto"/>
        </w:rPr>
      </w:pPr>
      <w:r>
        <w:rPr>
          <w:rFonts w:hint="eastAsia"/>
          <w:color w:val="auto"/>
        </w:rPr>
        <w:t>（</w:t>
      </w:r>
      <w:r>
        <w:rPr>
          <w:rFonts w:hint="eastAsia"/>
          <w:color w:val="auto"/>
          <w:lang w:val="en-US" w:eastAsia="zh-CN"/>
        </w:rPr>
        <w:t>5</w:t>
      </w:r>
      <w:r>
        <w:rPr>
          <w:rFonts w:hint="eastAsia"/>
          <w:color w:val="auto"/>
        </w:rPr>
        <w:t>）防护工程</w:t>
      </w:r>
    </w:p>
    <w:p>
      <w:pPr>
        <w:spacing w:line="360" w:lineRule="auto"/>
        <w:ind w:firstLine="480" w:firstLineChars="200"/>
        <w:rPr>
          <w:color w:val="auto"/>
        </w:rPr>
      </w:pPr>
      <w:r>
        <w:rPr>
          <w:rFonts w:hint="eastAsia"/>
          <w:color w:val="auto"/>
        </w:rPr>
        <w:t xml:space="preserve">  堆体在水、溶、冰冻等自然因素的长期作用下，易发生变形和破坏。为保证堆体的稳定性，堆体坡度设计控制在1:3的范围内，顶面坡度5%，利于雨水外排，同时应做好边坡防护措施。</w:t>
      </w:r>
    </w:p>
    <w:p>
      <w:pPr>
        <w:spacing w:line="360" w:lineRule="auto"/>
        <w:ind w:firstLine="480" w:firstLineChars="200"/>
        <w:rPr>
          <w:color w:val="auto"/>
        </w:rPr>
      </w:pPr>
      <w:r>
        <w:rPr>
          <w:color w:val="auto"/>
        </w:rPr>
        <w:fldChar w:fldCharType="begin"/>
      </w:r>
      <w:r>
        <w:rPr>
          <w:color w:val="auto"/>
        </w:rPr>
        <w:instrText xml:space="preserve"> </w:instrText>
      </w:r>
      <w:r>
        <w:rPr>
          <w:rFonts w:hint="eastAsia"/>
          <w:color w:val="auto"/>
        </w:rPr>
        <w:instrText xml:space="preserve">= 1 \* GB3</w:instrText>
      </w:r>
      <w:r>
        <w:rPr>
          <w:color w:val="auto"/>
        </w:rPr>
        <w:instrText xml:space="preserve"> </w:instrText>
      </w:r>
      <w:r>
        <w:rPr>
          <w:color w:val="auto"/>
        </w:rPr>
        <w:fldChar w:fldCharType="separate"/>
      </w:r>
      <w:r>
        <w:rPr>
          <w:rFonts w:hint="eastAsia"/>
          <w:color w:val="auto"/>
        </w:rPr>
        <w:t>①</w:t>
      </w:r>
      <w:r>
        <w:rPr>
          <w:color w:val="auto"/>
        </w:rPr>
        <w:fldChar w:fldCharType="end"/>
      </w:r>
      <w:r>
        <w:rPr>
          <w:rFonts w:hint="eastAsia"/>
          <w:color w:val="auto"/>
        </w:rPr>
        <w:t>堆体顶面（坡度5%）撒播草籽和种植树木，形成多层次的绿化共层；</w:t>
      </w:r>
    </w:p>
    <w:p>
      <w:pPr>
        <w:spacing w:line="360" w:lineRule="auto"/>
        <w:ind w:firstLine="480" w:firstLineChars="200"/>
        <w:rPr>
          <w:color w:val="auto"/>
        </w:rPr>
      </w:pPr>
      <w:r>
        <w:rPr>
          <w:color w:val="auto"/>
        </w:rPr>
        <w:fldChar w:fldCharType="begin"/>
      </w:r>
      <w:r>
        <w:rPr>
          <w:color w:val="auto"/>
        </w:rPr>
        <w:instrText xml:space="preserve"> </w:instrText>
      </w:r>
      <w:r>
        <w:rPr>
          <w:rFonts w:hint="eastAsia"/>
          <w:color w:val="auto"/>
        </w:rPr>
        <w:instrText xml:space="preserve">= 2 \* GB3</w:instrText>
      </w:r>
      <w:r>
        <w:rPr>
          <w:color w:val="auto"/>
        </w:rPr>
        <w:instrText xml:space="preserve"> </w:instrText>
      </w:r>
      <w:r>
        <w:rPr>
          <w:color w:val="auto"/>
        </w:rPr>
        <w:fldChar w:fldCharType="separate"/>
      </w:r>
      <w:r>
        <w:rPr>
          <w:rFonts w:hint="eastAsia"/>
          <w:color w:val="auto"/>
        </w:rPr>
        <w:t>②</w:t>
      </w:r>
      <w:r>
        <w:rPr>
          <w:color w:val="auto"/>
        </w:rPr>
        <w:fldChar w:fldCharType="end"/>
      </w:r>
      <w:r>
        <w:rPr>
          <w:rFonts w:hint="eastAsia"/>
          <w:color w:val="auto"/>
        </w:rPr>
        <w:t>在堆体边坡（坡度1:3）处采用草皮、小型灌木和种植攀援性藤木植物相结合的措施吗，应选用耐旱、适于地区土质和气候及边坡朝向等特点的植物，防止雨水冲刷、滑坡等。</w:t>
      </w:r>
    </w:p>
    <w:p>
      <w:pPr>
        <w:spacing w:line="360" w:lineRule="auto"/>
        <w:ind w:firstLine="480" w:firstLineChars="200"/>
        <w:rPr>
          <w:color w:val="auto"/>
        </w:rPr>
      </w:pPr>
      <w:r>
        <w:rPr>
          <w:color w:val="auto"/>
        </w:rPr>
        <w:fldChar w:fldCharType="begin"/>
      </w:r>
      <w:r>
        <w:rPr>
          <w:color w:val="auto"/>
        </w:rPr>
        <w:instrText xml:space="preserve"> </w:instrText>
      </w:r>
      <w:r>
        <w:rPr>
          <w:rFonts w:hint="eastAsia"/>
          <w:color w:val="auto"/>
        </w:rPr>
        <w:instrText xml:space="preserve">= 3 \* GB3</w:instrText>
      </w:r>
      <w:r>
        <w:rPr>
          <w:color w:val="auto"/>
        </w:rPr>
        <w:instrText xml:space="preserve"> </w:instrText>
      </w:r>
      <w:r>
        <w:rPr>
          <w:color w:val="auto"/>
        </w:rPr>
        <w:fldChar w:fldCharType="separate"/>
      </w:r>
      <w:r>
        <w:rPr>
          <w:rFonts w:hint="eastAsia"/>
          <w:color w:val="auto"/>
        </w:rPr>
        <w:t>③</w:t>
      </w:r>
      <w:r>
        <w:rPr>
          <w:color w:val="auto"/>
        </w:rPr>
        <w:fldChar w:fldCharType="end"/>
      </w:r>
      <w:r>
        <w:rPr>
          <w:rFonts w:hint="eastAsia"/>
          <w:color w:val="auto"/>
        </w:rPr>
        <w:t>局部可用多钟挡土墙、种植藤木植物及土工网垫、液压喷插植草、护坡技术。</w:t>
      </w:r>
    </w:p>
    <w:p>
      <w:pPr>
        <w:spacing w:line="360" w:lineRule="auto"/>
        <w:ind w:firstLine="480" w:firstLineChars="200"/>
        <w:rPr>
          <w:color w:val="auto"/>
        </w:rPr>
      </w:pPr>
      <w:r>
        <w:rPr>
          <w:rFonts w:hint="eastAsia"/>
          <w:color w:val="auto"/>
        </w:rPr>
        <w:t>（</w:t>
      </w:r>
      <w:r>
        <w:rPr>
          <w:rFonts w:hint="eastAsia"/>
          <w:color w:val="auto"/>
          <w:lang w:val="en-US" w:eastAsia="zh-CN"/>
        </w:rPr>
        <w:t>6</w:t>
      </w:r>
      <w:r>
        <w:rPr>
          <w:rFonts w:hint="eastAsia"/>
          <w:color w:val="auto"/>
        </w:rPr>
        <w:t>）垃圾坝设计</w:t>
      </w:r>
    </w:p>
    <w:p>
      <w:pPr>
        <w:spacing w:line="360" w:lineRule="auto"/>
        <w:ind w:firstLine="480" w:firstLineChars="200"/>
        <w:rPr>
          <w:color w:val="auto"/>
        </w:rPr>
      </w:pPr>
      <w:r>
        <w:rPr>
          <w:rFonts w:hint="eastAsia"/>
          <w:color w:val="auto"/>
        </w:rPr>
        <w:t>为有效防止垃圾堆体的坍塌，保证垃圾堆体的稳定，设计在垃圾填埋作业区的周边设置垃圾坝。垃圾坝采用碾压式土石坝坝型，主要有以下原因：1、可以就近、就地取材，充分利用当地建筑材料筑坝；2、较易适应各种不同的地形和地址条件，一般不良的坝址地基，经工程处理后均可修筑；3、机械化设备的大量使用，提高了坝体的施工质量，且施工工序较简单，一般只有采挖、运输、碾压三道工序；4、设计手段的提高，完善了设计的科学依据，提高了坝体设计的安全可靠性；5、投资较低。另外，从填埋区取土后，能有效地协调平基弃土的堆放与扩大库容的关系。</w:t>
      </w:r>
    </w:p>
    <w:p>
      <w:pPr>
        <w:spacing w:line="360" w:lineRule="auto"/>
        <w:rPr>
          <w:color w:val="auto"/>
        </w:rPr>
      </w:pPr>
      <w:r>
        <w:rPr>
          <w:rFonts w:hint="eastAsia"/>
          <w:color w:val="auto"/>
        </w:rPr>
        <w:t xml:space="preserve">    （</w:t>
      </w:r>
      <w:r>
        <w:rPr>
          <w:rFonts w:hint="eastAsia"/>
          <w:color w:val="auto"/>
          <w:lang w:val="en-US" w:eastAsia="zh-CN"/>
        </w:rPr>
        <w:t>7</w:t>
      </w:r>
      <w:r>
        <w:rPr>
          <w:rFonts w:hint="eastAsia"/>
          <w:color w:val="auto"/>
        </w:rPr>
        <w:t>）</w:t>
      </w:r>
      <w:r>
        <w:rPr>
          <w:rFonts w:hint="eastAsia"/>
          <w:color w:val="auto"/>
          <w:lang w:eastAsia="zh-CN"/>
        </w:rPr>
        <w:t>填埋消纳场</w:t>
      </w:r>
      <w:r>
        <w:rPr>
          <w:rFonts w:hint="eastAsia"/>
          <w:color w:val="auto"/>
        </w:rPr>
        <w:t>雨污分流系统</w:t>
      </w:r>
    </w:p>
    <w:p>
      <w:pPr>
        <w:spacing w:line="360" w:lineRule="auto"/>
        <w:ind w:firstLine="480" w:firstLineChars="200"/>
        <w:rPr>
          <w:color w:val="auto"/>
        </w:rPr>
      </w:pPr>
      <w:r>
        <w:rPr>
          <w:rFonts w:hint="eastAsia"/>
          <w:color w:val="auto"/>
        </w:rPr>
        <w:t>垃圾填埋体的渗出水量与降雨量、湿度、地下水的涌入、覆膜及其性质、填埋区内及周边排水设施是否完善等条件有密切关系。为减小淋溶水处理站规模，进而降低工程建设投资和运行费用，填埋库区的建设必须将库区汇水面积以内的大气降雨和地下水合理有效地加以引导，实现未被垃圾污染的径流（清水）和流经填埋物的径流（淋溶水）分流。</w:t>
      </w:r>
    </w:p>
    <w:p>
      <w:pPr>
        <w:spacing w:line="360" w:lineRule="auto"/>
        <w:ind w:firstLine="480" w:firstLineChars="200"/>
        <w:rPr>
          <w:color w:val="auto"/>
        </w:rPr>
      </w:pPr>
      <w:r>
        <w:rPr>
          <w:rFonts w:hint="eastAsia"/>
          <w:color w:val="auto"/>
        </w:rPr>
        <w:t>清污分流方案包括洪雨水导排系统、地下水导排系统和淋溶水收集系统的设计。</w:t>
      </w:r>
    </w:p>
    <w:p>
      <w:pPr>
        <w:spacing w:line="360" w:lineRule="auto"/>
        <w:ind w:firstLine="480" w:firstLineChars="200"/>
        <w:rPr>
          <w:color w:val="auto"/>
        </w:rPr>
      </w:pPr>
      <w:r>
        <w:rPr>
          <w:rFonts w:hint="eastAsia"/>
          <w:color w:val="auto"/>
        </w:rPr>
        <w:t>1）洪雨水导排系统</w:t>
      </w:r>
    </w:p>
    <w:p>
      <w:pPr>
        <w:spacing w:line="360" w:lineRule="auto"/>
        <w:ind w:firstLine="480" w:firstLineChars="200"/>
        <w:rPr>
          <w:color w:val="auto"/>
        </w:rPr>
      </w:pPr>
      <w:r>
        <w:rPr>
          <w:rFonts w:hint="eastAsia"/>
          <w:color w:val="auto"/>
        </w:rPr>
        <w:t>洪雨水导排系统由场外径流截排设施和场内径流截排设施等组成，可有效地减少进入垃圾填埋体的径流量。</w:t>
      </w:r>
    </w:p>
    <w:p>
      <w:pPr>
        <w:spacing w:line="360" w:lineRule="auto"/>
        <w:ind w:firstLine="480" w:firstLineChars="200"/>
        <w:rPr>
          <w:color w:val="auto"/>
        </w:rPr>
      </w:pPr>
      <w:r>
        <w:rPr>
          <w:rFonts w:hint="eastAsia"/>
          <w:color w:val="auto"/>
        </w:rPr>
        <w:t>场外径流截排设施：包括沿库区垃圾最终填埋边界线设置的环库截洪沟和在库区HDPE 土工膜各锚固平台上设置的排水边沟，可将垃圾填埋体以外区域的地表径流截排至场外天然水沟。</w:t>
      </w:r>
    </w:p>
    <w:p>
      <w:pPr>
        <w:spacing w:line="360" w:lineRule="auto"/>
        <w:ind w:firstLine="480" w:firstLineChars="200"/>
        <w:rPr>
          <w:color w:val="auto"/>
        </w:rPr>
      </w:pPr>
      <w:r>
        <w:rPr>
          <w:rFonts w:hint="eastAsia"/>
          <w:color w:val="auto"/>
        </w:rPr>
        <w:t>场内径流截排设施：即填埋平台面排水设施。其作用是减少雨水对覆盖膜的冲刷和向垃圾堆体的渗漏。已完成填埋作业坡面上的径流由各分层平台内侧的半圆形排水沟分别接入环库截洪沟，再经消力池沉砂后排入场外天然水沟。</w:t>
      </w:r>
    </w:p>
    <w:p>
      <w:pPr>
        <w:spacing w:line="360" w:lineRule="auto"/>
        <w:ind w:firstLine="480" w:firstLineChars="200"/>
        <w:rPr>
          <w:bCs/>
          <w:color w:val="auto"/>
        </w:rPr>
      </w:pPr>
      <w:r>
        <w:rPr>
          <w:rFonts w:hint="eastAsia"/>
          <w:bCs/>
          <w:color w:val="auto"/>
        </w:rPr>
        <w:t>2）地下水导排系统</w:t>
      </w:r>
    </w:p>
    <w:p>
      <w:pPr>
        <w:spacing w:line="360" w:lineRule="auto"/>
        <w:ind w:firstLine="480" w:firstLineChars="200"/>
        <w:rPr>
          <w:color w:val="auto"/>
        </w:rPr>
      </w:pPr>
      <w:r>
        <w:rPr>
          <w:rFonts w:hint="eastAsia"/>
          <w:color w:val="auto"/>
        </w:rPr>
        <w:t>①地下水导排主盲沟</w:t>
      </w:r>
    </w:p>
    <w:p>
      <w:pPr>
        <w:spacing w:line="360" w:lineRule="auto"/>
        <w:ind w:firstLine="480" w:firstLineChars="200"/>
        <w:jc w:val="both"/>
        <w:rPr>
          <w:color w:val="auto"/>
        </w:rPr>
      </w:pPr>
      <w:r>
        <w:rPr>
          <w:rFonts w:hint="eastAsia"/>
          <w:color w:val="auto"/>
        </w:rPr>
        <w:t>地下水导排主盲沟位于地下水导排层中，断面采用梯形断面，最大断面尺寸为下底宽</w:t>
      </w:r>
      <w:r>
        <w:rPr>
          <w:color w:val="auto"/>
        </w:rPr>
        <w:t>1000mm</w:t>
      </w:r>
      <w:r>
        <w:rPr>
          <w:rFonts w:hint="eastAsia"/>
          <w:color w:val="auto"/>
        </w:rPr>
        <w:t>，两侧边坡为</w:t>
      </w:r>
      <w:r>
        <w:rPr>
          <w:color w:val="auto"/>
        </w:rPr>
        <w:t>1</w:t>
      </w:r>
      <w:r>
        <w:rPr>
          <w:rFonts w:hint="eastAsia"/>
          <w:color w:val="auto"/>
        </w:rPr>
        <w:t>：</w:t>
      </w:r>
      <w:r>
        <w:rPr>
          <w:color w:val="auto"/>
        </w:rPr>
        <w:t>1</w:t>
      </w:r>
      <w:r>
        <w:rPr>
          <w:rFonts w:hint="eastAsia"/>
          <w:color w:val="auto"/>
        </w:rPr>
        <w:t>，深</w:t>
      </w:r>
      <w:r>
        <w:rPr>
          <w:color w:val="auto"/>
        </w:rPr>
        <w:t>1000mm</w:t>
      </w:r>
      <w:r>
        <w:rPr>
          <w:rFonts w:hint="eastAsia"/>
          <w:color w:val="auto"/>
        </w:rPr>
        <w:t>，先在盲沟内敷设</w:t>
      </w:r>
      <w:r>
        <w:rPr>
          <w:color w:val="auto"/>
        </w:rPr>
        <w:t>200g/m</w:t>
      </w:r>
      <w:r>
        <w:rPr>
          <w:color w:val="auto"/>
          <w:vertAlign w:val="superscript"/>
        </w:rPr>
        <w:t>2</w:t>
      </w:r>
      <w:r>
        <w:rPr>
          <w:rFonts w:hint="eastAsia"/>
          <w:color w:val="auto"/>
        </w:rPr>
        <w:t>有纺土工布，然后再敷设</w:t>
      </w:r>
      <w:r>
        <w:rPr>
          <w:color w:val="auto"/>
        </w:rPr>
        <w:t>DN315</w:t>
      </w:r>
      <w:r>
        <w:rPr>
          <w:rFonts w:hint="eastAsia"/>
          <w:color w:val="auto"/>
        </w:rPr>
        <w:t>的</w:t>
      </w:r>
      <w:r>
        <w:rPr>
          <w:color w:val="auto"/>
        </w:rPr>
        <w:t>HDPE</w:t>
      </w:r>
      <w:r>
        <w:rPr>
          <w:rFonts w:hint="eastAsia"/>
          <w:color w:val="auto"/>
        </w:rPr>
        <w:t>穿孔花管，最后回填级配卵石至地下水导排盲沟沟顶（盲沟由土工布包裹），地下水导排主盲沟坡度均不小于</w:t>
      </w:r>
      <w:r>
        <w:rPr>
          <w:color w:val="auto"/>
        </w:rPr>
        <w:t>1%</w:t>
      </w:r>
      <w:r>
        <w:rPr>
          <w:rFonts w:hint="eastAsia"/>
          <w:color w:val="auto"/>
        </w:rPr>
        <w:t>，主盲沟将收集的地下水通过垃圾坝，排入地下水收集井，经检测达标后，最终散排至填埋场下游。</w:t>
      </w:r>
    </w:p>
    <w:p>
      <w:pPr>
        <w:pStyle w:val="222"/>
        <w:numPr>
          <w:ilvl w:val="0"/>
          <w:numId w:val="6"/>
        </w:numPr>
        <w:spacing w:line="360" w:lineRule="auto"/>
        <w:rPr>
          <w:color w:val="auto"/>
        </w:rPr>
      </w:pPr>
      <w:r>
        <w:rPr>
          <w:rFonts w:hint="eastAsia"/>
          <w:color w:val="auto"/>
        </w:rPr>
        <w:t>下水导排支盲沟</w:t>
      </w:r>
    </w:p>
    <w:p>
      <w:pPr>
        <w:spacing w:line="360" w:lineRule="auto"/>
        <w:ind w:firstLine="480" w:firstLineChars="200"/>
        <w:jc w:val="both"/>
        <w:rPr>
          <w:color w:val="auto"/>
        </w:rPr>
      </w:pPr>
      <w:r>
        <w:rPr>
          <w:rFonts w:hint="eastAsia"/>
          <w:color w:val="auto"/>
        </w:rPr>
        <w:t>在沿主盲沟纵线上，依照场地整平实际地形情况，敷设地下水导排支盲沟。地下水导排支盲沟坡度均不小于</w:t>
      </w:r>
      <w:r>
        <w:rPr>
          <w:color w:val="auto"/>
        </w:rPr>
        <w:t>1%</w:t>
      </w:r>
      <w:r>
        <w:rPr>
          <w:rFonts w:hint="eastAsia"/>
          <w:color w:val="auto"/>
        </w:rPr>
        <w:t>。地下水导排支盲沟中填充卵石，支盲沟断面形式为等腰梯形，支盲沟由</w:t>
      </w:r>
      <w:r>
        <w:rPr>
          <w:color w:val="auto"/>
        </w:rPr>
        <w:t>200g/m</w:t>
      </w:r>
      <w:r>
        <w:rPr>
          <w:color w:val="auto"/>
          <w:vertAlign w:val="superscript"/>
        </w:rPr>
        <w:t>2</w:t>
      </w:r>
      <w:r>
        <w:rPr>
          <w:rFonts w:hint="eastAsia"/>
          <w:color w:val="auto"/>
        </w:rPr>
        <w:t>有纺土工布包裹。</w:t>
      </w:r>
    </w:p>
    <w:p>
      <w:pPr>
        <w:spacing w:line="360" w:lineRule="auto"/>
        <w:ind w:firstLine="480" w:firstLineChars="200"/>
        <w:jc w:val="both"/>
        <w:rPr>
          <w:color w:val="auto"/>
        </w:rPr>
      </w:pPr>
      <w:r>
        <w:rPr>
          <w:rFonts w:hint="eastAsia"/>
          <w:color w:val="auto"/>
        </w:rPr>
        <w:t>3）淋溶液收集系统</w:t>
      </w:r>
    </w:p>
    <w:p>
      <w:pPr>
        <w:spacing w:line="360" w:lineRule="auto"/>
        <w:ind w:firstLine="480" w:firstLineChars="200"/>
        <w:rPr>
          <w:color w:val="auto"/>
        </w:rPr>
      </w:pPr>
      <w:r>
        <w:rPr>
          <w:rFonts w:hint="eastAsia"/>
          <w:color w:val="auto"/>
        </w:rPr>
        <w:t>建筑垃圾稳定化产物淋溶水来源有以下几个方面：直接降水、地表径流等产生的水份，其中大气降水是最主要的，其它因素对淋溶水水量的影响很小。影响淋溶水产生量的因素有填埋场构造、蒸发量、地下层的结构、表层覆盖等。其中填埋场的构造对淋溶水的产生量有很大关系。一个设计合理的填埋场应尽量避免地下水和地表径流进入填埋场。设计建筑垃圾作业区填埋面积为500m</w:t>
      </w:r>
      <w:r>
        <w:rPr>
          <w:rFonts w:hint="eastAsia"/>
          <w:color w:val="auto"/>
          <w:vertAlign w:val="superscript"/>
        </w:rPr>
        <w:t>2</w:t>
      </w:r>
      <w:r>
        <w:rPr>
          <w:rFonts w:hint="eastAsia"/>
          <w:color w:val="auto"/>
        </w:rPr>
        <w:t>，作业区采用160g 防渗纤维膜覆盖，其他非作业区采用190g 防渗纤维膜覆盖，覆盖表面的雨水排到雨水收集管网。但同时，也有一定的雨水会渗透到地下，从而就可以减少建筑垃圾稳定化产物淋溶水的水量。</w:t>
      </w:r>
    </w:p>
    <w:p>
      <w:pPr>
        <w:spacing w:line="360" w:lineRule="auto"/>
        <w:ind w:firstLine="360" w:firstLineChars="150"/>
        <w:rPr>
          <w:color w:val="auto"/>
        </w:rPr>
      </w:pPr>
      <w:r>
        <w:rPr>
          <w:rFonts w:hint="eastAsia"/>
          <w:color w:val="auto"/>
        </w:rPr>
        <w:t>本项目按照兴宁市最大月降雨量产生的建筑垃圾淋溶水核算。</w:t>
      </w:r>
    </w:p>
    <w:p>
      <w:pPr>
        <w:spacing w:line="360" w:lineRule="auto"/>
        <w:ind w:firstLine="361" w:firstLineChars="150"/>
        <w:jc w:val="center"/>
        <w:rPr>
          <w:b/>
          <w:color w:val="auto"/>
        </w:rPr>
      </w:pPr>
      <w:r>
        <w:rPr>
          <w:rFonts w:hint="eastAsia"/>
          <w:b/>
          <w:color w:val="auto"/>
        </w:rPr>
        <w:t>表3.</w:t>
      </w:r>
      <w:r>
        <w:rPr>
          <w:rFonts w:hint="eastAsia"/>
          <w:b/>
          <w:color w:val="auto"/>
          <w:lang w:val="en-US" w:eastAsia="zh-CN"/>
        </w:rPr>
        <w:t>1</w:t>
      </w:r>
      <w:r>
        <w:rPr>
          <w:rFonts w:hint="eastAsia"/>
          <w:b/>
          <w:color w:val="auto"/>
        </w:rPr>
        <w:t>-12 建筑垃圾淋溶水产生量</w:t>
      </w:r>
    </w:p>
    <w:tbl>
      <w:tblPr>
        <w:tblStyle w:val="54"/>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95"/>
        <w:gridCol w:w="3095"/>
        <w:gridCol w:w="30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095" w:type="dxa"/>
          </w:tcPr>
          <w:p>
            <w:pPr>
              <w:spacing w:line="360" w:lineRule="auto"/>
              <w:jc w:val="center"/>
              <w:rPr>
                <w:rFonts w:eastAsiaTheme="minorEastAsia"/>
                <w:b/>
                <w:color w:val="auto"/>
                <w:sz w:val="21"/>
                <w:szCs w:val="21"/>
              </w:rPr>
            </w:pPr>
            <w:r>
              <w:rPr>
                <w:rFonts w:eastAsiaTheme="minorEastAsia"/>
                <w:b/>
                <w:color w:val="auto"/>
                <w:kern w:val="0"/>
                <w:sz w:val="21"/>
                <w:szCs w:val="21"/>
              </w:rPr>
              <w:t>最大降雨月份</w:t>
            </w:r>
          </w:p>
        </w:tc>
        <w:tc>
          <w:tcPr>
            <w:tcW w:w="3095" w:type="dxa"/>
          </w:tcPr>
          <w:p>
            <w:pPr>
              <w:spacing w:line="360" w:lineRule="auto"/>
              <w:jc w:val="center"/>
              <w:rPr>
                <w:rFonts w:eastAsiaTheme="minorEastAsia"/>
                <w:b/>
                <w:color w:val="auto"/>
                <w:sz w:val="21"/>
                <w:szCs w:val="21"/>
              </w:rPr>
            </w:pPr>
            <w:r>
              <w:rPr>
                <w:rFonts w:eastAsiaTheme="minorEastAsia"/>
                <w:b/>
                <w:color w:val="auto"/>
                <w:kern w:val="0"/>
                <w:sz w:val="21"/>
                <w:szCs w:val="21"/>
              </w:rPr>
              <w:t>月降雨量(mm)</w:t>
            </w:r>
          </w:p>
        </w:tc>
        <w:tc>
          <w:tcPr>
            <w:tcW w:w="3096" w:type="dxa"/>
          </w:tcPr>
          <w:p>
            <w:pPr>
              <w:spacing w:line="360" w:lineRule="auto"/>
              <w:jc w:val="center"/>
              <w:rPr>
                <w:rFonts w:eastAsiaTheme="minorEastAsia"/>
                <w:b/>
                <w:color w:val="auto"/>
                <w:sz w:val="21"/>
                <w:szCs w:val="21"/>
              </w:rPr>
            </w:pPr>
            <w:r>
              <w:rPr>
                <w:rFonts w:eastAsiaTheme="minorEastAsia"/>
                <w:b/>
                <w:color w:val="auto"/>
                <w:kern w:val="0"/>
                <w:sz w:val="21"/>
                <w:szCs w:val="21"/>
              </w:rPr>
              <w:t>填埋区月渗滤液产生量（t）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095" w:type="dxa"/>
          </w:tcPr>
          <w:p>
            <w:pPr>
              <w:spacing w:line="360" w:lineRule="auto"/>
              <w:jc w:val="center"/>
              <w:rPr>
                <w:rFonts w:eastAsiaTheme="minorEastAsia"/>
                <w:color w:val="auto"/>
                <w:sz w:val="21"/>
                <w:szCs w:val="21"/>
              </w:rPr>
            </w:pPr>
            <w:r>
              <w:rPr>
                <w:rFonts w:eastAsiaTheme="minorEastAsia"/>
                <w:color w:val="auto"/>
                <w:sz w:val="21"/>
                <w:szCs w:val="21"/>
              </w:rPr>
              <w:t>8月</w:t>
            </w:r>
          </w:p>
        </w:tc>
        <w:tc>
          <w:tcPr>
            <w:tcW w:w="3095" w:type="dxa"/>
          </w:tcPr>
          <w:p>
            <w:pPr>
              <w:spacing w:line="360" w:lineRule="auto"/>
              <w:jc w:val="center"/>
              <w:rPr>
                <w:rFonts w:eastAsiaTheme="minorEastAsia"/>
                <w:color w:val="auto"/>
                <w:sz w:val="21"/>
                <w:szCs w:val="21"/>
              </w:rPr>
            </w:pPr>
            <w:r>
              <w:rPr>
                <w:rFonts w:eastAsiaTheme="minorEastAsia"/>
                <w:color w:val="auto"/>
                <w:sz w:val="21"/>
                <w:szCs w:val="21"/>
              </w:rPr>
              <w:t>360</w:t>
            </w:r>
          </w:p>
        </w:tc>
        <w:tc>
          <w:tcPr>
            <w:tcW w:w="3096" w:type="dxa"/>
          </w:tcPr>
          <w:p>
            <w:pPr>
              <w:spacing w:line="360" w:lineRule="auto"/>
              <w:jc w:val="center"/>
              <w:rPr>
                <w:rFonts w:eastAsiaTheme="minorEastAsia"/>
                <w:color w:val="auto"/>
                <w:sz w:val="21"/>
                <w:szCs w:val="21"/>
              </w:rPr>
            </w:pPr>
            <w:r>
              <w:rPr>
                <w:rFonts w:eastAsiaTheme="minorEastAsia"/>
                <w:color w:val="auto"/>
                <w:kern w:val="0"/>
                <w:sz w:val="21"/>
                <w:szCs w:val="21"/>
              </w:rPr>
              <w:t>6428.412</w:t>
            </w:r>
          </w:p>
        </w:tc>
      </w:tr>
    </w:tbl>
    <w:p>
      <w:pPr>
        <w:spacing w:line="360" w:lineRule="auto"/>
        <w:rPr>
          <w:rFonts w:eastAsiaTheme="minorEastAsia"/>
          <w:color w:val="auto"/>
          <w:kern w:val="0"/>
        </w:rPr>
      </w:pPr>
      <w:r>
        <w:rPr>
          <w:rFonts w:hint="eastAsia" w:eastAsiaTheme="minorEastAsia"/>
          <w:b/>
          <w:color w:val="auto"/>
          <w:kern w:val="0"/>
        </w:rPr>
        <w:t xml:space="preserve">    </w:t>
      </w:r>
      <w:r>
        <w:rPr>
          <w:rFonts w:hint="eastAsia" w:eastAsiaTheme="minorEastAsia"/>
          <w:color w:val="auto"/>
          <w:kern w:val="0"/>
        </w:rPr>
        <w:t>调节池的作用是储存和调节填埋场淋溶水。可按最大月的淋溶水量确定调节池的容积，拟定为2500m</w:t>
      </w:r>
      <w:r>
        <w:rPr>
          <w:rFonts w:hint="eastAsia" w:eastAsiaTheme="minorEastAsia"/>
          <w:color w:val="auto"/>
          <w:kern w:val="0"/>
          <w:vertAlign w:val="superscript"/>
        </w:rPr>
        <w:t>3</w:t>
      </w:r>
      <w:r>
        <w:rPr>
          <w:rFonts w:hint="eastAsia" w:eastAsiaTheme="minorEastAsia"/>
          <w:color w:val="auto"/>
          <w:kern w:val="0"/>
          <w:vertAlign w:val="baseline"/>
          <w:lang w:eastAsia="zh-CN"/>
        </w:rPr>
        <w:t>。</w:t>
      </w:r>
    </w:p>
    <w:p>
      <w:pPr>
        <w:spacing w:line="360" w:lineRule="auto"/>
        <w:ind w:firstLine="480" w:firstLineChars="200"/>
        <w:jc w:val="both"/>
        <w:rPr>
          <w:bCs/>
          <w:color w:val="auto"/>
        </w:rPr>
      </w:pPr>
      <w:r>
        <w:rPr>
          <w:rFonts w:hint="eastAsia"/>
          <w:color w:val="auto"/>
        </w:rPr>
        <w:t>淋溶液收集导排系统由场底导排盲沟、集水坑、淋溶液抽排设施组成。为有利于淋溶液导排收集，在对场底进行平衡后构建淋溶液导排盲沟，盲沟内安装DN300 HDPE穿孔管，以2%的坡度倾向集水坑，再通过淋溶液抽排设施将淋溶液抽出。</w:t>
      </w:r>
    </w:p>
    <w:p>
      <w:pPr>
        <w:spacing w:line="360" w:lineRule="auto"/>
        <w:ind w:firstLine="480" w:firstLineChars="200"/>
        <w:rPr>
          <w:color w:val="auto"/>
        </w:rPr>
      </w:pPr>
      <w:r>
        <w:rPr>
          <w:rFonts w:hint="eastAsia"/>
          <w:color w:val="auto"/>
        </w:rPr>
        <w:t>（</w:t>
      </w:r>
      <w:r>
        <w:rPr>
          <w:rFonts w:hint="eastAsia"/>
          <w:color w:val="auto"/>
          <w:lang w:val="en-US" w:eastAsia="zh-CN"/>
        </w:rPr>
        <w:t>8</w:t>
      </w:r>
      <w:r>
        <w:rPr>
          <w:rFonts w:hint="eastAsia"/>
          <w:color w:val="auto"/>
        </w:rPr>
        <w:t>）防渗系统</w:t>
      </w:r>
    </w:p>
    <w:p>
      <w:pPr>
        <w:spacing w:line="360" w:lineRule="auto"/>
        <w:ind w:firstLine="480" w:firstLineChars="200"/>
        <w:rPr>
          <w:color w:val="auto"/>
        </w:rPr>
      </w:pPr>
      <w:r>
        <w:rPr>
          <w:rFonts w:hint="eastAsia"/>
          <w:color w:val="auto"/>
        </w:rPr>
        <w:t>填埋场区场地防渗结构由下至上依次为：平整、压实的场底、200g/m</w:t>
      </w:r>
      <w:r>
        <w:rPr>
          <w:rFonts w:hint="eastAsia"/>
          <w:color w:val="auto"/>
          <w:vertAlign w:val="superscript"/>
        </w:rPr>
        <w:t>2</w:t>
      </w:r>
      <w:r>
        <w:rPr>
          <w:rFonts w:hint="eastAsia"/>
          <w:color w:val="auto"/>
        </w:rPr>
        <w:t>有纺土工布、350mm厚碎石导流层（内设收集管）、400 g/m</w:t>
      </w:r>
      <w:r>
        <w:rPr>
          <w:rFonts w:hint="eastAsia"/>
          <w:color w:val="auto"/>
          <w:vertAlign w:val="superscript"/>
        </w:rPr>
        <w:t>2</w:t>
      </w:r>
      <w:r>
        <w:rPr>
          <w:rFonts w:hint="eastAsia"/>
          <w:color w:val="auto"/>
        </w:rPr>
        <w:t>长丝土工布、500mm厚压实土壤保护层、2mm厚HDPE光面膜；500mm厚袋装中土保护层。库区边坡防渗结构由下至上依次为：修正的边坡、天然钠基膨润土防水垫（GCL）、2mm厚HDPE糙面膜、500mm厚袋装中土保护层。</w:t>
      </w:r>
    </w:p>
    <w:p>
      <w:pPr>
        <w:spacing w:line="360" w:lineRule="auto"/>
        <w:rPr>
          <w:rFonts w:eastAsiaTheme="minorEastAsia"/>
          <w:b/>
          <w:color w:val="auto"/>
        </w:rPr>
      </w:pPr>
      <w:r>
        <w:rPr>
          <w:rFonts w:hint="eastAsia"/>
          <w:b/>
          <w:color w:val="auto"/>
        </w:rPr>
        <w:t>3.</w:t>
      </w:r>
      <w:r>
        <w:rPr>
          <w:rFonts w:hint="eastAsia"/>
          <w:b/>
          <w:color w:val="auto"/>
          <w:lang w:val="en-US" w:eastAsia="zh-CN"/>
        </w:rPr>
        <w:t>1</w:t>
      </w:r>
      <w:r>
        <w:rPr>
          <w:rFonts w:hint="eastAsia"/>
          <w:b/>
          <w:color w:val="auto"/>
        </w:rPr>
        <w:t>.</w:t>
      </w:r>
      <w:r>
        <w:rPr>
          <w:rFonts w:hint="eastAsia"/>
          <w:b/>
          <w:color w:val="auto"/>
          <w:lang w:val="en-US" w:eastAsia="zh-CN"/>
        </w:rPr>
        <w:t>10</w:t>
      </w:r>
      <w:r>
        <w:rPr>
          <w:rFonts w:hint="eastAsia"/>
          <w:b/>
          <w:color w:val="auto"/>
        </w:rPr>
        <w:t>.</w:t>
      </w:r>
      <w:r>
        <w:rPr>
          <w:rFonts w:hint="eastAsia"/>
          <w:b/>
          <w:color w:val="auto"/>
          <w:lang w:val="en-US" w:eastAsia="zh-CN"/>
        </w:rPr>
        <w:t>7</w:t>
      </w:r>
      <w:r>
        <w:rPr>
          <w:rFonts w:hint="eastAsia" w:eastAsiaTheme="minorEastAsia"/>
          <w:b/>
          <w:color w:val="auto"/>
        </w:rPr>
        <w:t>封场方案</w:t>
      </w:r>
    </w:p>
    <w:p>
      <w:pPr>
        <w:spacing w:line="360" w:lineRule="auto"/>
        <w:ind w:firstLine="720" w:firstLineChars="300"/>
        <w:rPr>
          <w:rFonts w:eastAsiaTheme="minorEastAsia"/>
          <w:color w:val="auto"/>
        </w:rPr>
      </w:pPr>
      <w:r>
        <w:rPr>
          <w:rFonts w:hint="eastAsia" w:eastAsiaTheme="minorEastAsia"/>
          <w:color w:val="auto"/>
        </w:rPr>
        <w:t>填埋场达到设计标高后将实施封闭。达到设计封场条件要求时，经市级环保、环卫行政主管部门鉴定、核准后关闭。关闭后进行妥善封场。封场覆盖应符合下列规定：</w:t>
      </w:r>
    </w:p>
    <w:p>
      <w:pPr>
        <w:spacing w:line="360" w:lineRule="auto"/>
        <w:ind w:firstLine="720" w:firstLineChars="300"/>
        <w:rPr>
          <w:rFonts w:eastAsiaTheme="minorEastAsia"/>
          <w:color w:val="auto"/>
        </w:rPr>
      </w:pPr>
      <w:r>
        <w:rPr>
          <w:rFonts w:eastAsiaTheme="minorEastAsia"/>
          <w:color w:val="auto"/>
        </w:rPr>
        <w:fldChar w:fldCharType="begin"/>
      </w:r>
      <w:r>
        <w:rPr>
          <w:rFonts w:eastAsiaTheme="minorEastAsia"/>
          <w:color w:val="auto"/>
        </w:rPr>
        <w:instrText xml:space="preserve"> </w:instrText>
      </w:r>
      <w:r>
        <w:rPr>
          <w:rFonts w:hint="eastAsia" w:eastAsiaTheme="minorEastAsia"/>
          <w:color w:val="auto"/>
        </w:rPr>
        <w:instrText xml:space="preserve">= 1 \* GB3</w:instrText>
      </w:r>
      <w:r>
        <w:rPr>
          <w:rFonts w:eastAsiaTheme="minorEastAsia"/>
          <w:color w:val="auto"/>
        </w:rPr>
        <w:instrText xml:space="preserve"> </w:instrText>
      </w:r>
      <w:r>
        <w:rPr>
          <w:rFonts w:eastAsiaTheme="minorEastAsia"/>
          <w:color w:val="auto"/>
        </w:rPr>
        <w:fldChar w:fldCharType="separate"/>
      </w:r>
      <w:r>
        <w:rPr>
          <w:rFonts w:hint="eastAsia" w:eastAsiaTheme="minorEastAsia"/>
          <w:color w:val="auto"/>
        </w:rPr>
        <w:t>①</w:t>
      </w:r>
      <w:r>
        <w:rPr>
          <w:rFonts w:eastAsiaTheme="minorEastAsia"/>
          <w:color w:val="auto"/>
        </w:rPr>
        <w:fldChar w:fldCharType="end"/>
      </w:r>
      <w:r>
        <w:rPr>
          <w:rFonts w:hint="eastAsia" w:eastAsiaTheme="minorEastAsia"/>
          <w:color w:val="auto"/>
        </w:rPr>
        <w:t>防渗层：采用黏土层，采用黏土层，黏土层的渗透系数不应大于1.0×10</w:t>
      </w:r>
      <w:r>
        <w:rPr>
          <w:rFonts w:hint="eastAsia" w:eastAsiaTheme="minorEastAsia"/>
          <w:color w:val="auto"/>
          <w:vertAlign w:val="superscript"/>
        </w:rPr>
        <w:t>-7</w:t>
      </w:r>
      <w:r>
        <w:rPr>
          <w:rFonts w:hint="eastAsia" w:eastAsiaTheme="minorEastAsia"/>
          <w:color w:val="auto"/>
        </w:rPr>
        <w:t>cm/s，厚度为30cm；</w:t>
      </w:r>
    </w:p>
    <w:p>
      <w:pPr>
        <w:spacing w:line="360" w:lineRule="auto"/>
        <w:ind w:firstLine="720" w:firstLineChars="300"/>
        <w:rPr>
          <w:rFonts w:eastAsiaTheme="minorEastAsia"/>
          <w:color w:val="auto"/>
        </w:rPr>
      </w:pPr>
      <w:r>
        <w:rPr>
          <w:rFonts w:eastAsiaTheme="minorEastAsia"/>
          <w:color w:val="auto"/>
        </w:rPr>
        <w:fldChar w:fldCharType="begin"/>
      </w:r>
      <w:r>
        <w:rPr>
          <w:rFonts w:eastAsiaTheme="minorEastAsia"/>
          <w:color w:val="auto"/>
        </w:rPr>
        <w:instrText xml:space="preserve"> </w:instrText>
      </w:r>
      <w:r>
        <w:rPr>
          <w:rFonts w:hint="eastAsia" w:eastAsiaTheme="minorEastAsia"/>
          <w:color w:val="auto"/>
        </w:rPr>
        <w:instrText xml:space="preserve">= 2 \* GB3</w:instrText>
      </w:r>
      <w:r>
        <w:rPr>
          <w:rFonts w:eastAsiaTheme="minorEastAsia"/>
          <w:color w:val="auto"/>
        </w:rPr>
        <w:instrText xml:space="preserve"> </w:instrText>
      </w:r>
      <w:r>
        <w:rPr>
          <w:rFonts w:eastAsiaTheme="minorEastAsia"/>
          <w:color w:val="auto"/>
        </w:rPr>
        <w:fldChar w:fldCharType="separate"/>
      </w:r>
      <w:r>
        <w:rPr>
          <w:rFonts w:hint="eastAsia" w:eastAsiaTheme="minorEastAsia"/>
          <w:color w:val="auto"/>
        </w:rPr>
        <w:t>②</w:t>
      </w:r>
      <w:r>
        <w:rPr>
          <w:rFonts w:eastAsiaTheme="minorEastAsia"/>
          <w:color w:val="auto"/>
        </w:rPr>
        <w:fldChar w:fldCharType="end"/>
      </w:r>
      <w:r>
        <w:rPr>
          <w:rFonts w:hint="eastAsia" w:eastAsiaTheme="minorEastAsia"/>
          <w:color w:val="auto"/>
        </w:rPr>
        <w:t>排水层：采用卵石，厚度为30cm；</w:t>
      </w:r>
    </w:p>
    <w:p>
      <w:pPr>
        <w:spacing w:line="360" w:lineRule="auto"/>
        <w:ind w:firstLine="720" w:firstLineChars="300"/>
        <w:rPr>
          <w:rFonts w:eastAsiaTheme="minorEastAsia"/>
          <w:color w:val="auto"/>
        </w:rPr>
      </w:pPr>
      <w:r>
        <w:rPr>
          <w:rFonts w:eastAsiaTheme="minorEastAsia"/>
          <w:color w:val="auto"/>
        </w:rPr>
        <w:fldChar w:fldCharType="begin"/>
      </w:r>
      <w:r>
        <w:rPr>
          <w:rFonts w:eastAsiaTheme="minorEastAsia"/>
          <w:color w:val="auto"/>
        </w:rPr>
        <w:instrText xml:space="preserve"> </w:instrText>
      </w:r>
      <w:r>
        <w:rPr>
          <w:rFonts w:hint="eastAsia" w:eastAsiaTheme="minorEastAsia"/>
          <w:color w:val="auto"/>
        </w:rPr>
        <w:instrText xml:space="preserve">= 3 \* GB3</w:instrText>
      </w:r>
      <w:r>
        <w:rPr>
          <w:rFonts w:eastAsiaTheme="minorEastAsia"/>
          <w:color w:val="auto"/>
        </w:rPr>
        <w:instrText xml:space="preserve"> </w:instrText>
      </w:r>
      <w:r>
        <w:rPr>
          <w:rFonts w:eastAsiaTheme="minorEastAsia"/>
          <w:color w:val="auto"/>
        </w:rPr>
        <w:fldChar w:fldCharType="separate"/>
      </w:r>
      <w:r>
        <w:rPr>
          <w:rFonts w:hint="eastAsia" w:eastAsiaTheme="minorEastAsia"/>
          <w:color w:val="auto"/>
        </w:rPr>
        <w:t>③</w:t>
      </w:r>
      <w:r>
        <w:rPr>
          <w:rFonts w:eastAsiaTheme="minorEastAsia"/>
          <w:color w:val="auto"/>
        </w:rPr>
        <w:fldChar w:fldCharType="end"/>
      </w:r>
      <w:r>
        <w:rPr>
          <w:rFonts w:hint="eastAsia" w:eastAsiaTheme="minorEastAsia"/>
          <w:color w:val="auto"/>
        </w:rPr>
        <w:t>植被层：应采用自然土加表层营养土，营养土厚度大于15cm，堆体顶面撒播草籽和种植树木，形成多层次的绿化结构。在堆体边坡处采用草皮、小型灌木和种植攀援性藤木植物相结合的措施，防止雨水冲刷、滑坡等。</w:t>
      </w:r>
    </w:p>
    <w:p>
      <w:pPr>
        <w:spacing w:line="360" w:lineRule="auto"/>
        <w:rPr>
          <w:rFonts w:eastAsiaTheme="minorEastAsia"/>
          <w:b/>
          <w:color w:val="auto"/>
        </w:rPr>
      </w:pPr>
      <w:r>
        <w:rPr>
          <w:rFonts w:hint="eastAsia"/>
          <w:b/>
          <w:color w:val="auto"/>
        </w:rPr>
        <w:t>3</w:t>
      </w:r>
      <w:r>
        <w:rPr>
          <w:rFonts w:hint="eastAsia"/>
          <w:b/>
          <w:color w:val="auto"/>
          <w:lang w:val="en-US" w:eastAsia="zh-CN"/>
        </w:rPr>
        <w:t>.1</w:t>
      </w:r>
      <w:r>
        <w:rPr>
          <w:rFonts w:hint="eastAsia"/>
          <w:b/>
          <w:color w:val="auto"/>
        </w:rPr>
        <w:t>.</w:t>
      </w:r>
      <w:r>
        <w:rPr>
          <w:rFonts w:hint="eastAsia"/>
          <w:b/>
          <w:color w:val="auto"/>
          <w:lang w:val="en-US" w:eastAsia="zh-CN"/>
        </w:rPr>
        <w:t>10</w:t>
      </w:r>
      <w:r>
        <w:rPr>
          <w:rFonts w:hint="eastAsia"/>
          <w:b/>
          <w:color w:val="auto"/>
        </w:rPr>
        <w:t>.</w:t>
      </w:r>
      <w:r>
        <w:rPr>
          <w:rFonts w:hint="eastAsia"/>
          <w:b/>
          <w:color w:val="auto"/>
          <w:lang w:val="en-US" w:eastAsia="zh-CN"/>
        </w:rPr>
        <w:t>8</w:t>
      </w:r>
      <w:r>
        <w:rPr>
          <w:rFonts w:hint="eastAsia" w:eastAsiaTheme="minorEastAsia"/>
          <w:b/>
          <w:color w:val="auto"/>
        </w:rPr>
        <w:t>填埋场防洪</w:t>
      </w:r>
    </w:p>
    <w:p>
      <w:pPr>
        <w:spacing w:line="360" w:lineRule="auto"/>
        <w:ind w:firstLine="600" w:firstLineChars="250"/>
        <w:rPr>
          <w:rFonts w:eastAsiaTheme="minorEastAsia"/>
          <w:color w:val="auto"/>
        </w:rPr>
      </w:pPr>
      <w:r>
        <w:rPr>
          <w:rFonts w:hint="eastAsia" w:eastAsiaTheme="minorEastAsia"/>
          <w:color w:val="auto"/>
        </w:rPr>
        <w:t>为确保填埋场防洪安全，在工程上应设置永久性环填埋区截洪沟和垃圾封场设置表面排水沟方式组成库区防洪系统，永久性截洪沟承担规划范围内全部雨水排泄，库区外雨水直接排入永久性截洪沟，填埋区封场后库内雨水主要由表面排水沟汇集后接入永久截洪沟内。本项目按照Ⅰ级Ⅰ类填埋场设计其防洪能力，永久性截洪沟的设计标准按五十年一遇山区防洪标准进行设计，按照一百年一遇标准进行校核。</w:t>
      </w:r>
    </w:p>
    <w:p>
      <w:pPr>
        <w:pStyle w:val="298"/>
        <w:spacing w:before="42" w:after="42" w:line="360" w:lineRule="auto"/>
        <w:rPr>
          <w:color w:val="auto"/>
        </w:rPr>
      </w:pPr>
      <w:bookmarkStart w:id="304" w:name="_Toc34234676"/>
      <w:bookmarkStart w:id="305" w:name="_Toc21020"/>
      <w:r>
        <w:rPr>
          <w:color w:val="auto"/>
        </w:rPr>
        <w:t>3.</w:t>
      </w:r>
      <w:r>
        <w:rPr>
          <w:rFonts w:hint="eastAsia"/>
          <w:color w:val="auto"/>
          <w:lang w:val="en-US" w:eastAsia="zh-CN"/>
        </w:rPr>
        <w:t>1</w:t>
      </w:r>
      <w:r>
        <w:rPr>
          <w:color w:val="auto"/>
        </w:rPr>
        <w:t>.</w:t>
      </w:r>
      <w:r>
        <w:rPr>
          <w:rFonts w:hint="eastAsia"/>
          <w:color w:val="auto"/>
          <w:lang w:eastAsia="zh-CN"/>
        </w:rPr>
        <w:t>11</w:t>
      </w:r>
      <w:r>
        <w:rPr>
          <w:color w:val="auto"/>
        </w:rPr>
        <w:t>主要产污环节</w:t>
      </w:r>
      <w:bookmarkEnd w:id="301"/>
      <w:bookmarkEnd w:id="304"/>
      <w:bookmarkEnd w:id="305"/>
    </w:p>
    <w:bookmarkEnd w:id="298"/>
    <w:bookmarkEnd w:id="299"/>
    <w:p>
      <w:pPr>
        <w:pStyle w:val="67"/>
        <w:spacing w:line="360" w:lineRule="auto"/>
        <w:ind w:firstLine="480" w:firstLineChars="200"/>
        <w:jc w:val="left"/>
        <w:rPr>
          <w:rFonts w:ascii="Times New Roman" w:hAnsi="Times New Roman" w:cs="Times New Roman"/>
          <w:b w:val="0"/>
          <w:bCs/>
          <w:color w:val="auto"/>
        </w:rPr>
      </w:pPr>
      <w:r>
        <w:rPr>
          <w:rFonts w:hint="eastAsia" w:ascii="Times New Roman" w:hAnsi="Times New Roman" w:cs="Times New Roman"/>
          <w:b w:val="0"/>
          <w:bCs/>
          <w:color w:val="auto"/>
        </w:rPr>
        <w:t>（1）餐厨垃圾处理厂</w:t>
      </w:r>
    </w:p>
    <w:p>
      <w:pPr>
        <w:spacing w:line="360" w:lineRule="auto"/>
        <w:ind w:firstLine="480" w:firstLineChars="200"/>
        <w:rPr>
          <w:color w:val="auto"/>
        </w:rPr>
      </w:pPr>
      <w:r>
        <w:rPr>
          <w:rFonts w:hint="eastAsia"/>
          <w:color w:val="auto"/>
        </w:rPr>
        <w:t>餐厨垃圾处理过程中污染物产排情况见下表：</w:t>
      </w:r>
    </w:p>
    <w:p>
      <w:pPr>
        <w:ind w:firstLine="482"/>
        <w:jc w:val="center"/>
        <w:rPr>
          <w:b/>
          <w:color w:val="auto"/>
        </w:rPr>
      </w:pPr>
      <w:r>
        <w:rPr>
          <w:rFonts w:hint="eastAsia"/>
          <w:b/>
          <w:color w:val="auto"/>
        </w:rPr>
        <w:t>表</w:t>
      </w:r>
      <w:r>
        <w:rPr>
          <w:b/>
          <w:color w:val="auto"/>
        </w:rPr>
        <w:t>3.</w:t>
      </w:r>
      <w:r>
        <w:rPr>
          <w:rFonts w:hint="eastAsia"/>
          <w:b/>
          <w:color w:val="auto"/>
          <w:lang w:val="en-US" w:eastAsia="zh-CN"/>
        </w:rPr>
        <w:t>1</w:t>
      </w:r>
      <w:r>
        <w:rPr>
          <w:rFonts w:hint="eastAsia"/>
          <w:b/>
          <w:color w:val="auto"/>
        </w:rPr>
        <w:t>-13</w:t>
      </w:r>
      <w:r>
        <w:rPr>
          <w:b/>
          <w:color w:val="auto"/>
        </w:rPr>
        <w:t xml:space="preserve">  </w:t>
      </w:r>
      <w:r>
        <w:rPr>
          <w:rFonts w:hint="eastAsia"/>
          <w:b/>
          <w:color w:val="auto"/>
        </w:rPr>
        <w:t>餐厨垃圾处理过程排污节点一览表</w:t>
      </w:r>
    </w:p>
    <w:tbl>
      <w:tblPr>
        <w:tblStyle w:val="53"/>
        <w:tblW w:w="8946"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59"/>
        <w:gridCol w:w="992"/>
        <w:gridCol w:w="1985"/>
        <w:gridCol w:w="1417"/>
        <w:gridCol w:w="1276"/>
        <w:gridCol w:w="231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959" w:type="dxa"/>
            <w:vAlign w:val="center"/>
          </w:tcPr>
          <w:p>
            <w:pPr>
              <w:spacing w:line="300" w:lineRule="exact"/>
              <w:jc w:val="center"/>
              <w:rPr>
                <w:b/>
                <w:color w:val="auto"/>
                <w:sz w:val="21"/>
                <w:szCs w:val="21"/>
              </w:rPr>
            </w:pPr>
            <w:r>
              <w:rPr>
                <w:b/>
                <w:color w:val="auto"/>
                <w:sz w:val="21"/>
                <w:szCs w:val="21"/>
              </w:rPr>
              <w:t>项目</w:t>
            </w:r>
          </w:p>
        </w:tc>
        <w:tc>
          <w:tcPr>
            <w:tcW w:w="992" w:type="dxa"/>
            <w:vAlign w:val="center"/>
          </w:tcPr>
          <w:p>
            <w:pPr>
              <w:spacing w:line="300" w:lineRule="exact"/>
              <w:jc w:val="center"/>
              <w:rPr>
                <w:b/>
                <w:color w:val="auto"/>
                <w:sz w:val="21"/>
                <w:szCs w:val="21"/>
              </w:rPr>
            </w:pPr>
            <w:r>
              <w:rPr>
                <w:b/>
                <w:color w:val="auto"/>
                <w:sz w:val="21"/>
                <w:szCs w:val="21"/>
              </w:rPr>
              <w:t>产污节点编号</w:t>
            </w:r>
          </w:p>
        </w:tc>
        <w:tc>
          <w:tcPr>
            <w:tcW w:w="1985" w:type="dxa"/>
            <w:vAlign w:val="center"/>
          </w:tcPr>
          <w:p>
            <w:pPr>
              <w:spacing w:line="300" w:lineRule="exact"/>
              <w:jc w:val="center"/>
              <w:rPr>
                <w:b/>
                <w:color w:val="auto"/>
                <w:sz w:val="21"/>
                <w:szCs w:val="21"/>
              </w:rPr>
            </w:pPr>
            <w:r>
              <w:rPr>
                <w:b/>
                <w:color w:val="auto"/>
                <w:sz w:val="21"/>
                <w:szCs w:val="21"/>
              </w:rPr>
              <w:t>产污环节</w:t>
            </w:r>
          </w:p>
        </w:tc>
        <w:tc>
          <w:tcPr>
            <w:tcW w:w="1417" w:type="dxa"/>
            <w:vAlign w:val="center"/>
          </w:tcPr>
          <w:p>
            <w:pPr>
              <w:spacing w:line="300" w:lineRule="exact"/>
              <w:jc w:val="center"/>
              <w:rPr>
                <w:b/>
                <w:color w:val="auto"/>
                <w:sz w:val="21"/>
                <w:szCs w:val="21"/>
              </w:rPr>
            </w:pPr>
            <w:r>
              <w:rPr>
                <w:b/>
                <w:color w:val="auto"/>
                <w:sz w:val="21"/>
                <w:szCs w:val="21"/>
              </w:rPr>
              <w:t>主要污染物</w:t>
            </w:r>
          </w:p>
        </w:tc>
        <w:tc>
          <w:tcPr>
            <w:tcW w:w="1276" w:type="dxa"/>
            <w:vAlign w:val="center"/>
          </w:tcPr>
          <w:p>
            <w:pPr>
              <w:spacing w:line="300" w:lineRule="exact"/>
              <w:jc w:val="center"/>
              <w:rPr>
                <w:b/>
                <w:color w:val="auto"/>
                <w:sz w:val="21"/>
                <w:szCs w:val="21"/>
              </w:rPr>
            </w:pPr>
            <w:r>
              <w:rPr>
                <w:b/>
                <w:color w:val="auto"/>
                <w:sz w:val="21"/>
                <w:szCs w:val="21"/>
              </w:rPr>
              <w:t>排放情况</w:t>
            </w:r>
          </w:p>
        </w:tc>
        <w:tc>
          <w:tcPr>
            <w:tcW w:w="2317" w:type="dxa"/>
            <w:vAlign w:val="center"/>
          </w:tcPr>
          <w:p>
            <w:pPr>
              <w:spacing w:line="300" w:lineRule="exact"/>
              <w:jc w:val="center"/>
              <w:rPr>
                <w:b/>
                <w:color w:val="auto"/>
                <w:sz w:val="21"/>
                <w:szCs w:val="21"/>
              </w:rPr>
            </w:pPr>
            <w:r>
              <w:rPr>
                <w:b/>
                <w:color w:val="auto"/>
                <w:sz w:val="21"/>
                <w:szCs w:val="21"/>
              </w:rPr>
              <w:t>治理措施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509" w:hRule="atLeast"/>
        </w:trPr>
        <w:tc>
          <w:tcPr>
            <w:tcW w:w="959" w:type="dxa"/>
            <w:vMerge w:val="restart"/>
            <w:vAlign w:val="center"/>
          </w:tcPr>
          <w:p>
            <w:pPr>
              <w:spacing w:line="300" w:lineRule="exact"/>
              <w:jc w:val="center"/>
              <w:rPr>
                <w:color w:val="auto"/>
                <w:sz w:val="21"/>
                <w:szCs w:val="21"/>
              </w:rPr>
            </w:pPr>
            <w:r>
              <w:rPr>
                <w:color w:val="auto"/>
                <w:sz w:val="21"/>
                <w:szCs w:val="21"/>
              </w:rPr>
              <w:t>废气</w:t>
            </w:r>
          </w:p>
        </w:tc>
        <w:tc>
          <w:tcPr>
            <w:tcW w:w="992" w:type="dxa"/>
            <w:vAlign w:val="center"/>
          </w:tcPr>
          <w:p>
            <w:pPr>
              <w:spacing w:line="300" w:lineRule="exact"/>
              <w:jc w:val="center"/>
              <w:rPr>
                <w:color w:val="auto"/>
                <w:sz w:val="21"/>
                <w:szCs w:val="21"/>
              </w:rPr>
            </w:pPr>
            <w:r>
              <w:rPr>
                <w:color w:val="auto"/>
                <w:sz w:val="21"/>
                <w:szCs w:val="21"/>
              </w:rPr>
              <w:t>G</w:t>
            </w:r>
            <w:r>
              <w:rPr>
                <w:color w:val="auto"/>
                <w:sz w:val="21"/>
                <w:szCs w:val="21"/>
                <w:vertAlign w:val="subscript"/>
              </w:rPr>
              <w:t>1</w:t>
            </w:r>
          </w:p>
        </w:tc>
        <w:tc>
          <w:tcPr>
            <w:tcW w:w="1985" w:type="dxa"/>
            <w:vAlign w:val="center"/>
          </w:tcPr>
          <w:p>
            <w:pPr>
              <w:spacing w:line="300" w:lineRule="exact"/>
              <w:jc w:val="center"/>
              <w:rPr>
                <w:color w:val="auto"/>
                <w:sz w:val="21"/>
                <w:szCs w:val="21"/>
              </w:rPr>
            </w:pPr>
            <w:r>
              <w:rPr>
                <w:rFonts w:hint="eastAsia"/>
                <w:color w:val="auto"/>
                <w:sz w:val="21"/>
                <w:szCs w:val="21"/>
              </w:rPr>
              <w:t>卸料间</w:t>
            </w:r>
          </w:p>
        </w:tc>
        <w:tc>
          <w:tcPr>
            <w:tcW w:w="1417" w:type="dxa"/>
            <w:vAlign w:val="center"/>
          </w:tcPr>
          <w:p>
            <w:pPr>
              <w:spacing w:line="300" w:lineRule="exact"/>
              <w:jc w:val="center"/>
              <w:rPr>
                <w:color w:val="auto"/>
                <w:sz w:val="21"/>
                <w:szCs w:val="21"/>
              </w:rPr>
            </w:pPr>
            <w:r>
              <w:rPr>
                <w:rFonts w:hint="eastAsia"/>
                <w:color w:val="auto"/>
                <w:sz w:val="21"/>
                <w:szCs w:val="21"/>
              </w:rPr>
              <w:t>NH</w:t>
            </w:r>
            <w:r>
              <w:rPr>
                <w:rFonts w:hint="eastAsia"/>
                <w:color w:val="auto"/>
                <w:sz w:val="21"/>
                <w:szCs w:val="21"/>
                <w:vertAlign w:val="subscript"/>
              </w:rPr>
              <w:t>3</w:t>
            </w:r>
            <w:r>
              <w:rPr>
                <w:rFonts w:hint="eastAsia"/>
                <w:color w:val="auto"/>
                <w:sz w:val="21"/>
                <w:szCs w:val="21"/>
              </w:rPr>
              <w:t>、H</w:t>
            </w:r>
            <w:r>
              <w:rPr>
                <w:rFonts w:hint="eastAsia"/>
                <w:color w:val="auto"/>
                <w:sz w:val="21"/>
                <w:szCs w:val="21"/>
                <w:vertAlign w:val="subscript"/>
              </w:rPr>
              <w:t>2</w:t>
            </w:r>
            <w:r>
              <w:rPr>
                <w:rFonts w:hint="eastAsia"/>
                <w:color w:val="auto"/>
                <w:sz w:val="21"/>
                <w:szCs w:val="21"/>
              </w:rPr>
              <w:t>S</w:t>
            </w:r>
          </w:p>
        </w:tc>
        <w:tc>
          <w:tcPr>
            <w:tcW w:w="1276" w:type="dxa"/>
            <w:vMerge w:val="restart"/>
            <w:vAlign w:val="center"/>
          </w:tcPr>
          <w:p>
            <w:pPr>
              <w:spacing w:line="300" w:lineRule="exact"/>
              <w:jc w:val="center"/>
              <w:rPr>
                <w:color w:val="auto"/>
                <w:sz w:val="21"/>
                <w:szCs w:val="21"/>
              </w:rPr>
            </w:pPr>
            <w:r>
              <w:rPr>
                <w:rFonts w:hint="eastAsia"/>
                <w:color w:val="auto"/>
                <w:sz w:val="21"/>
                <w:szCs w:val="21"/>
              </w:rPr>
              <w:t>15m高排气筒排放</w:t>
            </w:r>
          </w:p>
        </w:tc>
        <w:tc>
          <w:tcPr>
            <w:tcW w:w="2317" w:type="dxa"/>
            <w:vMerge w:val="restart"/>
            <w:vAlign w:val="center"/>
          </w:tcPr>
          <w:p>
            <w:pPr>
              <w:spacing w:line="300" w:lineRule="exact"/>
              <w:jc w:val="center"/>
              <w:rPr>
                <w:color w:val="auto"/>
                <w:sz w:val="21"/>
                <w:szCs w:val="21"/>
              </w:rPr>
            </w:pPr>
            <w:r>
              <w:rPr>
                <w:rFonts w:hint="eastAsia"/>
                <w:bCs/>
                <w:color w:val="auto"/>
                <w:sz w:val="21"/>
                <w:szCs w:val="21"/>
              </w:rPr>
              <w:t>密闭设备局部抽吸，同时对整体车间进行抽气，保持负压</w:t>
            </w:r>
            <w:r>
              <w:rPr>
                <w:rFonts w:hint="eastAsia"/>
                <w:color w:val="auto"/>
                <w:sz w:val="21"/>
                <w:szCs w:val="21"/>
              </w:rPr>
              <w:t>，经引风管导入除臭设备，经“化学洗涤塔+光催化氧化+植物液喷淋”装置处理后由出风管道排放</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558" w:hRule="atLeast"/>
        </w:trPr>
        <w:tc>
          <w:tcPr>
            <w:tcW w:w="959" w:type="dxa"/>
            <w:vMerge w:val="continue"/>
            <w:vAlign w:val="center"/>
          </w:tcPr>
          <w:p>
            <w:pPr>
              <w:spacing w:line="300" w:lineRule="exact"/>
              <w:jc w:val="center"/>
              <w:rPr>
                <w:color w:val="auto"/>
                <w:sz w:val="21"/>
                <w:szCs w:val="21"/>
              </w:rPr>
            </w:pPr>
          </w:p>
        </w:tc>
        <w:tc>
          <w:tcPr>
            <w:tcW w:w="992" w:type="dxa"/>
            <w:vAlign w:val="center"/>
          </w:tcPr>
          <w:p>
            <w:pPr>
              <w:spacing w:line="300" w:lineRule="exact"/>
              <w:jc w:val="center"/>
              <w:rPr>
                <w:color w:val="auto"/>
                <w:sz w:val="21"/>
                <w:szCs w:val="21"/>
              </w:rPr>
            </w:pPr>
            <w:r>
              <w:rPr>
                <w:color w:val="auto"/>
                <w:sz w:val="21"/>
                <w:szCs w:val="21"/>
              </w:rPr>
              <w:t>G</w:t>
            </w:r>
            <w:r>
              <w:rPr>
                <w:color w:val="auto"/>
                <w:sz w:val="21"/>
                <w:szCs w:val="21"/>
                <w:vertAlign w:val="subscript"/>
              </w:rPr>
              <w:t>2</w:t>
            </w:r>
          </w:p>
        </w:tc>
        <w:tc>
          <w:tcPr>
            <w:tcW w:w="1985" w:type="dxa"/>
            <w:vAlign w:val="center"/>
          </w:tcPr>
          <w:p>
            <w:pPr>
              <w:spacing w:line="300" w:lineRule="exact"/>
              <w:jc w:val="center"/>
              <w:rPr>
                <w:color w:val="auto"/>
                <w:sz w:val="21"/>
                <w:szCs w:val="21"/>
              </w:rPr>
            </w:pPr>
            <w:r>
              <w:rPr>
                <w:rFonts w:hint="eastAsia"/>
                <w:bCs/>
                <w:color w:val="auto"/>
                <w:sz w:val="21"/>
                <w:szCs w:val="21"/>
              </w:rPr>
              <w:t>卸料斗、破碎机、脱水机、油水分离机等设备</w:t>
            </w:r>
          </w:p>
        </w:tc>
        <w:tc>
          <w:tcPr>
            <w:tcW w:w="1417" w:type="dxa"/>
            <w:vAlign w:val="center"/>
          </w:tcPr>
          <w:p>
            <w:pPr>
              <w:jc w:val="center"/>
              <w:rPr>
                <w:color w:val="auto"/>
                <w:sz w:val="21"/>
                <w:szCs w:val="21"/>
              </w:rPr>
            </w:pPr>
            <w:r>
              <w:rPr>
                <w:rFonts w:hint="eastAsia"/>
                <w:color w:val="auto"/>
                <w:sz w:val="21"/>
                <w:szCs w:val="21"/>
              </w:rPr>
              <w:t>NH</w:t>
            </w:r>
            <w:r>
              <w:rPr>
                <w:rFonts w:hint="eastAsia"/>
                <w:color w:val="auto"/>
                <w:sz w:val="21"/>
                <w:szCs w:val="21"/>
                <w:vertAlign w:val="subscript"/>
              </w:rPr>
              <w:t>3</w:t>
            </w:r>
            <w:r>
              <w:rPr>
                <w:rFonts w:hint="eastAsia"/>
                <w:color w:val="auto"/>
                <w:sz w:val="21"/>
                <w:szCs w:val="21"/>
              </w:rPr>
              <w:t>、H</w:t>
            </w:r>
            <w:r>
              <w:rPr>
                <w:rFonts w:hint="eastAsia"/>
                <w:color w:val="auto"/>
                <w:sz w:val="21"/>
                <w:szCs w:val="21"/>
                <w:vertAlign w:val="subscript"/>
              </w:rPr>
              <w:t>2</w:t>
            </w:r>
            <w:r>
              <w:rPr>
                <w:rFonts w:hint="eastAsia"/>
                <w:color w:val="auto"/>
                <w:sz w:val="21"/>
                <w:szCs w:val="21"/>
              </w:rPr>
              <w:t>S</w:t>
            </w:r>
          </w:p>
        </w:tc>
        <w:tc>
          <w:tcPr>
            <w:tcW w:w="1276" w:type="dxa"/>
            <w:vMerge w:val="continue"/>
            <w:vAlign w:val="center"/>
          </w:tcPr>
          <w:p>
            <w:pPr>
              <w:jc w:val="center"/>
              <w:rPr>
                <w:color w:val="auto"/>
                <w:sz w:val="21"/>
                <w:szCs w:val="21"/>
              </w:rPr>
            </w:pPr>
          </w:p>
        </w:tc>
        <w:tc>
          <w:tcPr>
            <w:tcW w:w="2317" w:type="dxa"/>
            <w:vMerge w:val="continue"/>
            <w:vAlign w:val="center"/>
          </w:tcPr>
          <w:p>
            <w:pPr>
              <w:spacing w:line="300" w:lineRule="exact"/>
              <w:jc w:val="center"/>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959" w:type="dxa"/>
            <w:vMerge w:val="continue"/>
            <w:vAlign w:val="center"/>
          </w:tcPr>
          <w:p>
            <w:pPr>
              <w:spacing w:line="300" w:lineRule="exact"/>
              <w:jc w:val="center"/>
              <w:rPr>
                <w:color w:val="auto"/>
                <w:sz w:val="21"/>
                <w:szCs w:val="21"/>
              </w:rPr>
            </w:pPr>
          </w:p>
        </w:tc>
        <w:tc>
          <w:tcPr>
            <w:tcW w:w="992" w:type="dxa"/>
            <w:vAlign w:val="center"/>
          </w:tcPr>
          <w:p>
            <w:pPr>
              <w:spacing w:line="300" w:lineRule="exact"/>
              <w:jc w:val="center"/>
              <w:rPr>
                <w:color w:val="auto"/>
                <w:sz w:val="21"/>
                <w:szCs w:val="21"/>
              </w:rPr>
            </w:pPr>
            <w:r>
              <w:rPr>
                <w:color w:val="auto"/>
                <w:sz w:val="21"/>
                <w:szCs w:val="21"/>
              </w:rPr>
              <w:t>G</w:t>
            </w:r>
            <w:r>
              <w:rPr>
                <w:color w:val="auto"/>
                <w:sz w:val="21"/>
                <w:szCs w:val="21"/>
                <w:vertAlign w:val="subscript"/>
              </w:rPr>
              <w:t>3</w:t>
            </w:r>
          </w:p>
        </w:tc>
        <w:tc>
          <w:tcPr>
            <w:tcW w:w="1985" w:type="dxa"/>
            <w:vAlign w:val="center"/>
          </w:tcPr>
          <w:p>
            <w:pPr>
              <w:spacing w:line="300" w:lineRule="exact"/>
              <w:jc w:val="center"/>
              <w:rPr>
                <w:color w:val="auto"/>
                <w:sz w:val="21"/>
                <w:szCs w:val="21"/>
              </w:rPr>
            </w:pPr>
            <w:r>
              <w:rPr>
                <w:rFonts w:hint="eastAsia"/>
                <w:bCs/>
                <w:color w:val="auto"/>
                <w:sz w:val="21"/>
                <w:szCs w:val="21"/>
              </w:rPr>
              <w:t>整体车间</w:t>
            </w:r>
          </w:p>
        </w:tc>
        <w:tc>
          <w:tcPr>
            <w:tcW w:w="1417" w:type="dxa"/>
            <w:vAlign w:val="center"/>
          </w:tcPr>
          <w:p>
            <w:pPr>
              <w:jc w:val="center"/>
              <w:rPr>
                <w:color w:val="auto"/>
                <w:sz w:val="21"/>
                <w:szCs w:val="21"/>
              </w:rPr>
            </w:pPr>
            <w:r>
              <w:rPr>
                <w:rFonts w:hint="eastAsia"/>
                <w:color w:val="auto"/>
                <w:sz w:val="21"/>
                <w:szCs w:val="21"/>
              </w:rPr>
              <w:t>NH</w:t>
            </w:r>
            <w:r>
              <w:rPr>
                <w:rFonts w:hint="eastAsia"/>
                <w:color w:val="auto"/>
                <w:sz w:val="21"/>
                <w:szCs w:val="21"/>
                <w:vertAlign w:val="subscript"/>
              </w:rPr>
              <w:t>3</w:t>
            </w:r>
            <w:r>
              <w:rPr>
                <w:rFonts w:hint="eastAsia"/>
                <w:color w:val="auto"/>
                <w:sz w:val="21"/>
                <w:szCs w:val="21"/>
              </w:rPr>
              <w:t>、H</w:t>
            </w:r>
            <w:r>
              <w:rPr>
                <w:rFonts w:hint="eastAsia"/>
                <w:color w:val="auto"/>
                <w:sz w:val="21"/>
                <w:szCs w:val="21"/>
                <w:vertAlign w:val="subscript"/>
              </w:rPr>
              <w:t>2</w:t>
            </w:r>
            <w:r>
              <w:rPr>
                <w:rFonts w:hint="eastAsia"/>
                <w:color w:val="auto"/>
                <w:sz w:val="21"/>
                <w:szCs w:val="21"/>
              </w:rPr>
              <w:t>S</w:t>
            </w:r>
          </w:p>
        </w:tc>
        <w:tc>
          <w:tcPr>
            <w:tcW w:w="1276" w:type="dxa"/>
            <w:vMerge w:val="continue"/>
            <w:vAlign w:val="center"/>
          </w:tcPr>
          <w:p>
            <w:pPr>
              <w:jc w:val="center"/>
              <w:rPr>
                <w:color w:val="auto"/>
                <w:sz w:val="21"/>
                <w:szCs w:val="21"/>
              </w:rPr>
            </w:pPr>
          </w:p>
        </w:tc>
        <w:tc>
          <w:tcPr>
            <w:tcW w:w="2317" w:type="dxa"/>
            <w:vMerge w:val="continue"/>
            <w:vAlign w:val="center"/>
          </w:tcPr>
          <w:p>
            <w:pPr>
              <w:spacing w:line="300" w:lineRule="exact"/>
              <w:jc w:val="center"/>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959" w:type="dxa"/>
            <w:vMerge w:val="restart"/>
            <w:vAlign w:val="center"/>
          </w:tcPr>
          <w:p>
            <w:pPr>
              <w:spacing w:line="300" w:lineRule="exact"/>
              <w:jc w:val="center"/>
              <w:rPr>
                <w:color w:val="auto"/>
                <w:sz w:val="21"/>
                <w:szCs w:val="21"/>
              </w:rPr>
            </w:pPr>
            <w:r>
              <w:rPr>
                <w:color w:val="auto"/>
                <w:sz w:val="21"/>
                <w:szCs w:val="21"/>
              </w:rPr>
              <w:t>废水</w:t>
            </w:r>
          </w:p>
        </w:tc>
        <w:tc>
          <w:tcPr>
            <w:tcW w:w="992" w:type="dxa"/>
            <w:vAlign w:val="center"/>
          </w:tcPr>
          <w:p>
            <w:pPr>
              <w:spacing w:line="300" w:lineRule="exact"/>
              <w:jc w:val="center"/>
              <w:rPr>
                <w:color w:val="auto"/>
                <w:sz w:val="21"/>
                <w:szCs w:val="21"/>
              </w:rPr>
            </w:pPr>
            <w:r>
              <w:rPr>
                <w:color w:val="auto"/>
                <w:sz w:val="21"/>
                <w:szCs w:val="21"/>
              </w:rPr>
              <w:t>W</w:t>
            </w:r>
            <w:r>
              <w:rPr>
                <w:color w:val="auto"/>
                <w:sz w:val="21"/>
                <w:szCs w:val="21"/>
                <w:vertAlign w:val="subscript"/>
              </w:rPr>
              <w:t>1</w:t>
            </w:r>
          </w:p>
        </w:tc>
        <w:tc>
          <w:tcPr>
            <w:tcW w:w="1985" w:type="dxa"/>
            <w:vAlign w:val="center"/>
          </w:tcPr>
          <w:p>
            <w:pPr>
              <w:spacing w:line="300" w:lineRule="exact"/>
              <w:jc w:val="center"/>
              <w:rPr>
                <w:color w:val="auto"/>
                <w:sz w:val="21"/>
                <w:szCs w:val="21"/>
              </w:rPr>
            </w:pPr>
            <w:r>
              <w:rPr>
                <w:rFonts w:hint="eastAsia"/>
                <w:color w:val="auto"/>
                <w:sz w:val="21"/>
                <w:szCs w:val="21"/>
              </w:rPr>
              <w:t>餐厨废水</w:t>
            </w:r>
          </w:p>
        </w:tc>
        <w:tc>
          <w:tcPr>
            <w:tcW w:w="1417" w:type="dxa"/>
            <w:vAlign w:val="center"/>
          </w:tcPr>
          <w:p>
            <w:pPr>
              <w:spacing w:line="300" w:lineRule="exact"/>
              <w:jc w:val="center"/>
              <w:rPr>
                <w:color w:val="auto"/>
                <w:sz w:val="21"/>
                <w:szCs w:val="21"/>
              </w:rPr>
            </w:pPr>
            <w:r>
              <w:rPr>
                <w:rFonts w:hint="eastAsia"/>
                <w:color w:val="auto"/>
                <w:sz w:val="21"/>
                <w:szCs w:val="21"/>
              </w:rPr>
              <w:t>动植物油、</w:t>
            </w:r>
            <w:r>
              <w:rPr>
                <w:color w:val="auto"/>
                <w:sz w:val="21"/>
                <w:szCs w:val="21"/>
              </w:rPr>
              <w:t>COD、SS</w:t>
            </w:r>
          </w:p>
        </w:tc>
        <w:tc>
          <w:tcPr>
            <w:tcW w:w="1276" w:type="dxa"/>
            <w:vAlign w:val="center"/>
          </w:tcPr>
          <w:p>
            <w:pPr>
              <w:spacing w:line="300" w:lineRule="exact"/>
              <w:jc w:val="center"/>
              <w:rPr>
                <w:color w:val="auto"/>
                <w:sz w:val="21"/>
                <w:szCs w:val="21"/>
              </w:rPr>
            </w:pPr>
            <w:r>
              <w:rPr>
                <w:color w:val="auto"/>
                <w:sz w:val="21"/>
                <w:szCs w:val="21"/>
              </w:rPr>
              <w:t>不外排</w:t>
            </w:r>
          </w:p>
        </w:tc>
        <w:tc>
          <w:tcPr>
            <w:tcW w:w="2317" w:type="dxa"/>
            <w:vMerge w:val="restart"/>
            <w:vAlign w:val="center"/>
          </w:tcPr>
          <w:p>
            <w:pPr>
              <w:spacing w:line="300" w:lineRule="exact"/>
              <w:jc w:val="center"/>
              <w:rPr>
                <w:color w:val="auto"/>
                <w:sz w:val="21"/>
                <w:szCs w:val="21"/>
              </w:rPr>
            </w:pPr>
            <w:r>
              <w:rPr>
                <w:rFonts w:hint="eastAsia"/>
                <w:color w:val="auto"/>
                <w:sz w:val="21"/>
                <w:szCs w:val="21"/>
              </w:rPr>
              <w:t>依托园区内在建的渗滤液处理站处理，处理后回用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959" w:type="dxa"/>
            <w:vMerge w:val="continue"/>
            <w:vAlign w:val="center"/>
          </w:tcPr>
          <w:p>
            <w:pPr>
              <w:spacing w:line="300" w:lineRule="exact"/>
              <w:jc w:val="center"/>
              <w:rPr>
                <w:color w:val="auto"/>
                <w:sz w:val="21"/>
                <w:szCs w:val="21"/>
              </w:rPr>
            </w:pPr>
          </w:p>
        </w:tc>
        <w:tc>
          <w:tcPr>
            <w:tcW w:w="992" w:type="dxa"/>
            <w:vAlign w:val="center"/>
          </w:tcPr>
          <w:p>
            <w:pPr>
              <w:spacing w:line="300" w:lineRule="exact"/>
              <w:jc w:val="center"/>
              <w:rPr>
                <w:color w:val="auto"/>
                <w:sz w:val="21"/>
                <w:szCs w:val="21"/>
              </w:rPr>
            </w:pPr>
            <w:r>
              <w:rPr>
                <w:color w:val="auto"/>
                <w:sz w:val="21"/>
                <w:szCs w:val="21"/>
              </w:rPr>
              <w:t>W</w:t>
            </w:r>
            <w:r>
              <w:rPr>
                <w:color w:val="auto"/>
                <w:sz w:val="21"/>
                <w:szCs w:val="21"/>
                <w:vertAlign w:val="subscript"/>
              </w:rPr>
              <w:t>2</w:t>
            </w:r>
          </w:p>
        </w:tc>
        <w:tc>
          <w:tcPr>
            <w:tcW w:w="1985" w:type="dxa"/>
            <w:vAlign w:val="center"/>
          </w:tcPr>
          <w:p>
            <w:pPr>
              <w:spacing w:line="300" w:lineRule="exact"/>
              <w:jc w:val="center"/>
              <w:rPr>
                <w:color w:val="auto"/>
                <w:sz w:val="21"/>
                <w:szCs w:val="21"/>
              </w:rPr>
            </w:pPr>
            <w:r>
              <w:rPr>
                <w:rFonts w:hint="eastAsia"/>
                <w:color w:val="auto"/>
                <w:sz w:val="21"/>
                <w:szCs w:val="21"/>
              </w:rPr>
              <w:t>除臭系统废水</w:t>
            </w:r>
          </w:p>
        </w:tc>
        <w:tc>
          <w:tcPr>
            <w:tcW w:w="1417" w:type="dxa"/>
            <w:vAlign w:val="center"/>
          </w:tcPr>
          <w:p>
            <w:pPr>
              <w:spacing w:line="300" w:lineRule="exact"/>
              <w:jc w:val="center"/>
              <w:rPr>
                <w:color w:val="auto"/>
                <w:sz w:val="21"/>
                <w:szCs w:val="21"/>
              </w:rPr>
            </w:pPr>
            <w:r>
              <w:rPr>
                <w:color w:val="auto"/>
                <w:sz w:val="21"/>
                <w:szCs w:val="21"/>
              </w:rPr>
              <w:t>COD、BOD</w:t>
            </w:r>
            <w:r>
              <w:rPr>
                <w:color w:val="auto"/>
                <w:sz w:val="21"/>
                <w:szCs w:val="21"/>
                <w:vertAlign w:val="subscript"/>
              </w:rPr>
              <w:t>5</w:t>
            </w:r>
            <w:r>
              <w:rPr>
                <w:color w:val="auto"/>
                <w:sz w:val="21"/>
                <w:szCs w:val="21"/>
              </w:rPr>
              <w:t>、SS、NH</w:t>
            </w:r>
            <w:r>
              <w:rPr>
                <w:color w:val="auto"/>
                <w:sz w:val="21"/>
                <w:szCs w:val="21"/>
                <w:vertAlign w:val="subscript"/>
              </w:rPr>
              <w:t>3</w:t>
            </w:r>
            <w:r>
              <w:rPr>
                <w:color w:val="auto"/>
                <w:sz w:val="21"/>
                <w:szCs w:val="21"/>
              </w:rPr>
              <w:t>-N</w:t>
            </w:r>
          </w:p>
        </w:tc>
        <w:tc>
          <w:tcPr>
            <w:tcW w:w="1276" w:type="dxa"/>
            <w:vAlign w:val="center"/>
          </w:tcPr>
          <w:p>
            <w:pPr>
              <w:spacing w:line="300" w:lineRule="exact"/>
              <w:jc w:val="center"/>
              <w:rPr>
                <w:color w:val="auto"/>
                <w:sz w:val="21"/>
                <w:szCs w:val="21"/>
              </w:rPr>
            </w:pPr>
            <w:r>
              <w:rPr>
                <w:color w:val="auto"/>
                <w:sz w:val="21"/>
                <w:szCs w:val="21"/>
              </w:rPr>
              <w:t>不外排</w:t>
            </w:r>
          </w:p>
        </w:tc>
        <w:tc>
          <w:tcPr>
            <w:tcW w:w="2317" w:type="dxa"/>
            <w:vMerge w:val="continue"/>
            <w:vAlign w:val="center"/>
          </w:tcPr>
          <w:p>
            <w:pPr>
              <w:spacing w:line="300" w:lineRule="exact"/>
              <w:jc w:val="center"/>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959" w:type="dxa"/>
            <w:vMerge w:val="continue"/>
            <w:vAlign w:val="center"/>
          </w:tcPr>
          <w:p>
            <w:pPr>
              <w:spacing w:line="300" w:lineRule="exact"/>
              <w:jc w:val="center"/>
              <w:rPr>
                <w:color w:val="auto"/>
                <w:sz w:val="21"/>
                <w:szCs w:val="21"/>
              </w:rPr>
            </w:pPr>
          </w:p>
        </w:tc>
        <w:tc>
          <w:tcPr>
            <w:tcW w:w="992" w:type="dxa"/>
            <w:vAlign w:val="center"/>
          </w:tcPr>
          <w:p>
            <w:pPr>
              <w:spacing w:line="300" w:lineRule="exact"/>
              <w:jc w:val="center"/>
              <w:rPr>
                <w:color w:val="auto"/>
                <w:sz w:val="21"/>
                <w:szCs w:val="21"/>
              </w:rPr>
            </w:pPr>
            <w:r>
              <w:rPr>
                <w:color w:val="auto"/>
                <w:sz w:val="21"/>
                <w:szCs w:val="21"/>
              </w:rPr>
              <w:t>W</w:t>
            </w:r>
            <w:r>
              <w:rPr>
                <w:color w:val="auto"/>
                <w:sz w:val="21"/>
                <w:szCs w:val="21"/>
                <w:vertAlign w:val="subscript"/>
              </w:rPr>
              <w:t>3</w:t>
            </w:r>
          </w:p>
        </w:tc>
        <w:tc>
          <w:tcPr>
            <w:tcW w:w="1985" w:type="dxa"/>
            <w:vAlign w:val="center"/>
          </w:tcPr>
          <w:p>
            <w:pPr>
              <w:spacing w:line="300" w:lineRule="exact"/>
              <w:jc w:val="center"/>
              <w:rPr>
                <w:color w:val="auto"/>
                <w:sz w:val="21"/>
                <w:szCs w:val="21"/>
              </w:rPr>
            </w:pPr>
            <w:r>
              <w:rPr>
                <w:rFonts w:hint="eastAsia"/>
                <w:color w:val="auto"/>
                <w:sz w:val="21"/>
                <w:szCs w:val="21"/>
              </w:rPr>
              <w:t>车间车辆和地面冲洗废水</w:t>
            </w:r>
          </w:p>
        </w:tc>
        <w:tc>
          <w:tcPr>
            <w:tcW w:w="1417" w:type="dxa"/>
            <w:vAlign w:val="center"/>
          </w:tcPr>
          <w:p>
            <w:pPr>
              <w:spacing w:line="300" w:lineRule="exact"/>
              <w:jc w:val="center"/>
              <w:rPr>
                <w:color w:val="auto"/>
                <w:sz w:val="21"/>
                <w:szCs w:val="21"/>
              </w:rPr>
            </w:pPr>
            <w:r>
              <w:rPr>
                <w:color w:val="auto"/>
                <w:sz w:val="21"/>
                <w:szCs w:val="21"/>
              </w:rPr>
              <w:t>COD、BOD</w:t>
            </w:r>
            <w:r>
              <w:rPr>
                <w:color w:val="auto"/>
                <w:sz w:val="21"/>
                <w:szCs w:val="21"/>
                <w:vertAlign w:val="subscript"/>
              </w:rPr>
              <w:t>5</w:t>
            </w:r>
            <w:r>
              <w:rPr>
                <w:color w:val="auto"/>
                <w:sz w:val="21"/>
                <w:szCs w:val="21"/>
              </w:rPr>
              <w:t>、SS</w:t>
            </w:r>
          </w:p>
        </w:tc>
        <w:tc>
          <w:tcPr>
            <w:tcW w:w="1276" w:type="dxa"/>
            <w:vAlign w:val="center"/>
          </w:tcPr>
          <w:p>
            <w:pPr>
              <w:spacing w:line="300" w:lineRule="exact"/>
              <w:jc w:val="center"/>
              <w:rPr>
                <w:color w:val="auto"/>
                <w:sz w:val="21"/>
                <w:szCs w:val="21"/>
              </w:rPr>
            </w:pPr>
            <w:r>
              <w:rPr>
                <w:color w:val="auto"/>
                <w:sz w:val="21"/>
                <w:szCs w:val="21"/>
              </w:rPr>
              <w:t>不外排</w:t>
            </w:r>
          </w:p>
        </w:tc>
        <w:tc>
          <w:tcPr>
            <w:tcW w:w="2317" w:type="dxa"/>
            <w:vMerge w:val="continue"/>
            <w:vAlign w:val="center"/>
          </w:tcPr>
          <w:p>
            <w:pPr>
              <w:spacing w:line="300" w:lineRule="exact"/>
              <w:jc w:val="center"/>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630" w:hRule="atLeast"/>
        </w:trPr>
        <w:tc>
          <w:tcPr>
            <w:tcW w:w="959" w:type="dxa"/>
            <w:vMerge w:val="restart"/>
            <w:vAlign w:val="center"/>
          </w:tcPr>
          <w:p>
            <w:pPr>
              <w:spacing w:line="300" w:lineRule="exact"/>
              <w:jc w:val="center"/>
              <w:rPr>
                <w:color w:val="auto"/>
                <w:sz w:val="21"/>
                <w:szCs w:val="21"/>
              </w:rPr>
            </w:pPr>
            <w:r>
              <w:rPr>
                <w:color w:val="auto"/>
                <w:sz w:val="21"/>
                <w:szCs w:val="21"/>
              </w:rPr>
              <w:t>固废</w:t>
            </w:r>
          </w:p>
        </w:tc>
        <w:tc>
          <w:tcPr>
            <w:tcW w:w="992" w:type="dxa"/>
            <w:vAlign w:val="center"/>
          </w:tcPr>
          <w:p>
            <w:pPr>
              <w:spacing w:line="300" w:lineRule="exact"/>
              <w:jc w:val="center"/>
              <w:rPr>
                <w:color w:val="auto"/>
                <w:sz w:val="21"/>
                <w:szCs w:val="21"/>
              </w:rPr>
            </w:pPr>
            <w:r>
              <w:rPr>
                <w:color w:val="auto"/>
                <w:sz w:val="21"/>
                <w:szCs w:val="21"/>
              </w:rPr>
              <w:t>S</w:t>
            </w:r>
            <w:r>
              <w:rPr>
                <w:color w:val="auto"/>
                <w:sz w:val="21"/>
                <w:szCs w:val="21"/>
                <w:vertAlign w:val="subscript"/>
              </w:rPr>
              <w:t>1</w:t>
            </w:r>
          </w:p>
        </w:tc>
        <w:tc>
          <w:tcPr>
            <w:tcW w:w="1985" w:type="dxa"/>
            <w:vAlign w:val="center"/>
          </w:tcPr>
          <w:p>
            <w:pPr>
              <w:spacing w:line="300" w:lineRule="exact"/>
              <w:jc w:val="center"/>
              <w:rPr>
                <w:color w:val="auto"/>
                <w:sz w:val="21"/>
                <w:szCs w:val="21"/>
              </w:rPr>
            </w:pPr>
            <w:r>
              <w:rPr>
                <w:rFonts w:hint="eastAsia"/>
                <w:color w:val="auto"/>
                <w:sz w:val="21"/>
                <w:szCs w:val="21"/>
              </w:rPr>
              <w:t>脱水、除油系统</w:t>
            </w:r>
          </w:p>
        </w:tc>
        <w:tc>
          <w:tcPr>
            <w:tcW w:w="1417" w:type="dxa"/>
            <w:vAlign w:val="center"/>
          </w:tcPr>
          <w:p>
            <w:pPr>
              <w:spacing w:line="300" w:lineRule="exact"/>
              <w:jc w:val="center"/>
              <w:rPr>
                <w:color w:val="auto"/>
                <w:sz w:val="21"/>
                <w:szCs w:val="21"/>
              </w:rPr>
            </w:pPr>
            <w:r>
              <w:rPr>
                <w:rFonts w:hint="eastAsia"/>
                <w:color w:val="auto"/>
                <w:sz w:val="21"/>
                <w:szCs w:val="21"/>
              </w:rPr>
              <w:t>固渣</w:t>
            </w:r>
          </w:p>
        </w:tc>
        <w:tc>
          <w:tcPr>
            <w:tcW w:w="1276" w:type="dxa"/>
            <w:vAlign w:val="center"/>
          </w:tcPr>
          <w:p>
            <w:pPr>
              <w:spacing w:line="300" w:lineRule="exact"/>
              <w:jc w:val="center"/>
              <w:rPr>
                <w:color w:val="auto"/>
                <w:sz w:val="21"/>
                <w:szCs w:val="21"/>
              </w:rPr>
            </w:pPr>
            <w:r>
              <w:rPr>
                <w:color w:val="auto"/>
                <w:sz w:val="21"/>
                <w:szCs w:val="21"/>
              </w:rPr>
              <w:t>不外排</w:t>
            </w:r>
          </w:p>
        </w:tc>
        <w:tc>
          <w:tcPr>
            <w:tcW w:w="2317" w:type="dxa"/>
            <w:vAlign w:val="center"/>
          </w:tcPr>
          <w:p>
            <w:pPr>
              <w:spacing w:line="300" w:lineRule="exact"/>
              <w:jc w:val="center"/>
              <w:rPr>
                <w:color w:val="auto"/>
                <w:sz w:val="21"/>
                <w:szCs w:val="21"/>
              </w:rPr>
            </w:pPr>
            <w:r>
              <w:rPr>
                <w:color w:val="auto"/>
                <w:sz w:val="21"/>
                <w:szCs w:val="21"/>
              </w:rPr>
              <w:t>收集后，</w:t>
            </w:r>
            <w:r>
              <w:rPr>
                <w:rFonts w:hint="eastAsia"/>
                <w:color w:val="auto"/>
                <w:sz w:val="21"/>
                <w:szCs w:val="21"/>
              </w:rPr>
              <w:t>依托园区内在建生活垃圾焚烧发电项目焚烧处理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630" w:hRule="atLeast"/>
        </w:trPr>
        <w:tc>
          <w:tcPr>
            <w:tcW w:w="959" w:type="dxa"/>
            <w:vMerge w:val="continue"/>
            <w:vAlign w:val="center"/>
          </w:tcPr>
          <w:p>
            <w:pPr>
              <w:spacing w:line="300" w:lineRule="exact"/>
              <w:jc w:val="center"/>
              <w:rPr>
                <w:color w:val="auto"/>
                <w:sz w:val="21"/>
                <w:szCs w:val="21"/>
              </w:rPr>
            </w:pPr>
          </w:p>
        </w:tc>
        <w:tc>
          <w:tcPr>
            <w:tcW w:w="992" w:type="dxa"/>
            <w:vAlign w:val="center"/>
          </w:tcPr>
          <w:p>
            <w:pPr>
              <w:spacing w:line="300" w:lineRule="exact"/>
              <w:jc w:val="center"/>
              <w:rPr>
                <w:color w:val="auto"/>
                <w:sz w:val="21"/>
                <w:szCs w:val="21"/>
              </w:rPr>
            </w:pPr>
            <w:r>
              <w:rPr>
                <w:color w:val="auto"/>
                <w:sz w:val="21"/>
                <w:szCs w:val="21"/>
              </w:rPr>
              <w:t>S</w:t>
            </w:r>
            <w:r>
              <w:rPr>
                <w:rFonts w:hint="eastAsia"/>
                <w:color w:val="auto"/>
                <w:sz w:val="21"/>
                <w:szCs w:val="21"/>
                <w:vertAlign w:val="subscript"/>
              </w:rPr>
              <w:t>2</w:t>
            </w:r>
          </w:p>
        </w:tc>
        <w:tc>
          <w:tcPr>
            <w:tcW w:w="1985" w:type="dxa"/>
            <w:vAlign w:val="center"/>
          </w:tcPr>
          <w:p>
            <w:pPr>
              <w:spacing w:line="300" w:lineRule="exact"/>
              <w:jc w:val="center"/>
              <w:rPr>
                <w:color w:val="auto"/>
                <w:sz w:val="21"/>
                <w:szCs w:val="21"/>
              </w:rPr>
            </w:pPr>
            <w:r>
              <w:rPr>
                <w:rFonts w:hint="eastAsia"/>
                <w:color w:val="auto"/>
                <w:sz w:val="21"/>
                <w:szCs w:val="21"/>
              </w:rPr>
              <w:t>三相分离机</w:t>
            </w:r>
          </w:p>
        </w:tc>
        <w:tc>
          <w:tcPr>
            <w:tcW w:w="1417" w:type="dxa"/>
            <w:vAlign w:val="center"/>
          </w:tcPr>
          <w:p>
            <w:pPr>
              <w:spacing w:line="300" w:lineRule="exact"/>
              <w:jc w:val="center"/>
              <w:rPr>
                <w:color w:val="auto"/>
                <w:sz w:val="21"/>
                <w:szCs w:val="21"/>
              </w:rPr>
            </w:pPr>
            <w:r>
              <w:rPr>
                <w:rFonts w:hint="eastAsia"/>
                <w:color w:val="auto"/>
                <w:sz w:val="21"/>
                <w:szCs w:val="21"/>
              </w:rPr>
              <w:t>粗油脂</w:t>
            </w:r>
          </w:p>
        </w:tc>
        <w:tc>
          <w:tcPr>
            <w:tcW w:w="1276" w:type="dxa"/>
            <w:vAlign w:val="center"/>
          </w:tcPr>
          <w:p>
            <w:pPr>
              <w:spacing w:line="300" w:lineRule="exact"/>
              <w:jc w:val="center"/>
              <w:rPr>
                <w:color w:val="auto"/>
                <w:sz w:val="21"/>
                <w:szCs w:val="21"/>
              </w:rPr>
            </w:pPr>
            <w:r>
              <w:rPr>
                <w:color w:val="auto"/>
                <w:sz w:val="21"/>
                <w:szCs w:val="21"/>
              </w:rPr>
              <w:t>不外排</w:t>
            </w:r>
          </w:p>
        </w:tc>
        <w:tc>
          <w:tcPr>
            <w:tcW w:w="2317" w:type="dxa"/>
            <w:vAlign w:val="center"/>
          </w:tcPr>
          <w:p>
            <w:pPr>
              <w:spacing w:line="300" w:lineRule="exact"/>
              <w:jc w:val="center"/>
              <w:rPr>
                <w:color w:val="auto"/>
                <w:sz w:val="21"/>
                <w:szCs w:val="21"/>
              </w:rPr>
            </w:pPr>
            <w:r>
              <w:rPr>
                <w:color w:val="auto"/>
                <w:sz w:val="21"/>
                <w:szCs w:val="21"/>
              </w:rPr>
              <w:t>收集后，</w:t>
            </w:r>
            <w:r>
              <w:rPr>
                <w:rFonts w:hint="eastAsia"/>
                <w:color w:val="auto"/>
                <w:sz w:val="21"/>
                <w:szCs w:val="21"/>
              </w:rPr>
              <w:t>交由回收单位综合处理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630" w:hRule="atLeast"/>
        </w:trPr>
        <w:tc>
          <w:tcPr>
            <w:tcW w:w="959" w:type="dxa"/>
            <w:vMerge w:val="continue"/>
            <w:vAlign w:val="center"/>
          </w:tcPr>
          <w:p>
            <w:pPr>
              <w:spacing w:line="300" w:lineRule="exact"/>
              <w:jc w:val="center"/>
              <w:rPr>
                <w:color w:val="auto"/>
                <w:sz w:val="21"/>
                <w:szCs w:val="21"/>
              </w:rPr>
            </w:pPr>
          </w:p>
        </w:tc>
        <w:tc>
          <w:tcPr>
            <w:tcW w:w="992" w:type="dxa"/>
            <w:vAlign w:val="center"/>
          </w:tcPr>
          <w:p>
            <w:pPr>
              <w:spacing w:line="300" w:lineRule="exact"/>
              <w:jc w:val="center"/>
              <w:rPr>
                <w:color w:val="auto"/>
                <w:sz w:val="21"/>
                <w:szCs w:val="21"/>
              </w:rPr>
            </w:pPr>
            <w:r>
              <w:rPr>
                <w:rFonts w:hint="eastAsia"/>
                <w:color w:val="auto"/>
                <w:sz w:val="21"/>
                <w:szCs w:val="21"/>
              </w:rPr>
              <w:t>S</w:t>
            </w:r>
            <w:r>
              <w:rPr>
                <w:rFonts w:hint="eastAsia"/>
                <w:color w:val="auto"/>
                <w:sz w:val="21"/>
                <w:szCs w:val="21"/>
                <w:vertAlign w:val="subscript"/>
              </w:rPr>
              <w:t>3</w:t>
            </w:r>
          </w:p>
        </w:tc>
        <w:tc>
          <w:tcPr>
            <w:tcW w:w="1985" w:type="dxa"/>
            <w:vAlign w:val="center"/>
          </w:tcPr>
          <w:p>
            <w:pPr>
              <w:spacing w:line="300" w:lineRule="exact"/>
              <w:jc w:val="center"/>
              <w:rPr>
                <w:color w:val="auto"/>
                <w:sz w:val="21"/>
                <w:szCs w:val="21"/>
              </w:rPr>
            </w:pPr>
            <w:r>
              <w:rPr>
                <w:rFonts w:hint="eastAsia"/>
                <w:color w:val="auto"/>
                <w:sz w:val="21"/>
                <w:szCs w:val="21"/>
              </w:rPr>
              <w:t>机械维护</w:t>
            </w:r>
          </w:p>
        </w:tc>
        <w:tc>
          <w:tcPr>
            <w:tcW w:w="1417" w:type="dxa"/>
            <w:vAlign w:val="center"/>
          </w:tcPr>
          <w:p>
            <w:pPr>
              <w:spacing w:line="300" w:lineRule="exact"/>
              <w:jc w:val="center"/>
              <w:rPr>
                <w:color w:val="auto"/>
                <w:sz w:val="21"/>
                <w:szCs w:val="21"/>
              </w:rPr>
            </w:pPr>
            <w:r>
              <w:rPr>
                <w:color w:val="auto"/>
                <w:kern w:val="0"/>
                <w:sz w:val="21"/>
                <w:szCs w:val="21"/>
              </w:rPr>
              <w:t>废机油</w:t>
            </w:r>
          </w:p>
        </w:tc>
        <w:tc>
          <w:tcPr>
            <w:tcW w:w="1276" w:type="dxa"/>
            <w:vAlign w:val="center"/>
          </w:tcPr>
          <w:p>
            <w:pPr>
              <w:spacing w:line="300" w:lineRule="exact"/>
              <w:jc w:val="center"/>
              <w:rPr>
                <w:color w:val="auto"/>
                <w:sz w:val="21"/>
                <w:szCs w:val="21"/>
              </w:rPr>
            </w:pPr>
            <w:r>
              <w:rPr>
                <w:color w:val="auto"/>
                <w:sz w:val="21"/>
                <w:szCs w:val="21"/>
              </w:rPr>
              <w:t>不外排</w:t>
            </w:r>
          </w:p>
        </w:tc>
        <w:tc>
          <w:tcPr>
            <w:tcW w:w="2317" w:type="dxa"/>
            <w:vAlign w:val="center"/>
          </w:tcPr>
          <w:p>
            <w:pPr>
              <w:spacing w:line="300" w:lineRule="exact"/>
              <w:jc w:val="center"/>
              <w:rPr>
                <w:color w:val="auto"/>
                <w:sz w:val="21"/>
                <w:szCs w:val="21"/>
              </w:rPr>
            </w:pPr>
            <w:r>
              <w:rPr>
                <w:rFonts w:hint="eastAsia"/>
                <w:color w:val="auto"/>
                <w:sz w:val="21"/>
                <w:szCs w:val="21"/>
              </w:rPr>
              <w:t>委托有资质的单位回收</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959" w:type="dxa"/>
            <w:vMerge w:val="continue"/>
            <w:vAlign w:val="center"/>
          </w:tcPr>
          <w:p>
            <w:pPr>
              <w:spacing w:line="300" w:lineRule="exact"/>
              <w:jc w:val="center"/>
              <w:rPr>
                <w:color w:val="auto"/>
                <w:sz w:val="21"/>
                <w:szCs w:val="21"/>
              </w:rPr>
            </w:pPr>
          </w:p>
        </w:tc>
        <w:tc>
          <w:tcPr>
            <w:tcW w:w="992" w:type="dxa"/>
            <w:vAlign w:val="center"/>
          </w:tcPr>
          <w:p>
            <w:pPr>
              <w:spacing w:line="300" w:lineRule="exact"/>
              <w:jc w:val="center"/>
              <w:rPr>
                <w:color w:val="auto"/>
                <w:sz w:val="21"/>
                <w:szCs w:val="21"/>
              </w:rPr>
            </w:pPr>
            <w:r>
              <w:rPr>
                <w:rFonts w:hint="eastAsia"/>
                <w:color w:val="auto"/>
                <w:sz w:val="21"/>
                <w:szCs w:val="21"/>
              </w:rPr>
              <w:t>S</w:t>
            </w:r>
            <w:r>
              <w:rPr>
                <w:rFonts w:hint="eastAsia"/>
                <w:color w:val="auto"/>
                <w:sz w:val="21"/>
                <w:szCs w:val="21"/>
                <w:vertAlign w:val="subscript"/>
              </w:rPr>
              <w:t>4</w:t>
            </w:r>
          </w:p>
        </w:tc>
        <w:tc>
          <w:tcPr>
            <w:tcW w:w="1985" w:type="dxa"/>
            <w:vAlign w:val="center"/>
          </w:tcPr>
          <w:p>
            <w:pPr>
              <w:spacing w:line="300" w:lineRule="exact"/>
              <w:jc w:val="center"/>
              <w:rPr>
                <w:color w:val="auto"/>
                <w:sz w:val="21"/>
                <w:szCs w:val="21"/>
              </w:rPr>
            </w:pPr>
            <w:r>
              <w:rPr>
                <w:rFonts w:hint="eastAsia"/>
                <w:color w:val="auto"/>
                <w:sz w:val="21"/>
                <w:szCs w:val="21"/>
              </w:rPr>
              <w:t>光催化氧化</w:t>
            </w:r>
          </w:p>
        </w:tc>
        <w:tc>
          <w:tcPr>
            <w:tcW w:w="1417" w:type="dxa"/>
            <w:vAlign w:val="center"/>
          </w:tcPr>
          <w:p>
            <w:pPr>
              <w:spacing w:line="300" w:lineRule="exact"/>
              <w:jc w:val="center"/>
              <w:rPr>
                <w:color w:val="auto"/>
                <w:sz w:val="21"/>
                <w:szCs w:val="21"/>
              </w:rPr>
            </w:pPr>
            <w:r>
              <w:rPr>
                <w:rFonts w:hint="eastAsia"/>
                <w:color w:val="auto"/>
                <w:sz w:val="21"/>
                <w:szCs w:val="21"/>
              </w:rPr>
              <w:t>废UV光解灯管</w:t>
            </w:r>
          </w:p>
        </w:tc>
        <w:tc>
          <w:tcPr>
            <w:tcW w:w="1276" w:type="dxa"/>
            <w:vAlign w:val="center"/>
          </w:tcPr>
          <w:p>
            <w:pPr>
              <w:spacing w:line="300" w:lineRule="exact"/>
              <w:jc w:val="center"/>
              <w:rPr>
                <w:color w:val="auto"/>
                <w:sz w:val="21"/>
                <w:szCs w:val="21"/>
              </w:rPr>
            </w:pPr>
            <w:r>
              <w:rPr>
                <w:rFonts w:hint="eastAsia"/>
                <w:color w:val="auto"/>
                <w:sz w:val="21"/>
                <w:szCs w:val="21"/>
              </w:rPr>
              <w:t>不外排</w:t>
            </w:r>
          </w:p>
        </w:tc>
        <w:tc>
          <w:tcPr>
            <w:tcW w:w="2317" w:type="dxa"/>
            <w:vAlign w:val="center"/>
          </w:tcPr>
          <w:p>
            <w:pPr>
              <w:spacing w:line="300" w:lineRule="exact"/>
              <w:jc w:val="center"/>
              <w:rPr>
                <w:color w:val="auto"/>
                <w:sz w:val="21"/>
                <w:szCs w:val="21"/>
              </w:rPr>
            </w:pPr>
            <w:r>
              <w:rPr>
                <w:rFonts w:hint="eastAsia"/>
                <w:color w:val="auto"/>
                <w:sz w:val="21"/>
                <w:szCs w:val="21"/>
              </w:rPr>
              <w:t>委托有资质的单位回收</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959" w:type="dxa"/>
            <w:vAlign w:val="center"/>
          </w:tcPr>
          <w:p>
            <w:pPr>
              <w:spacing w:line="300" w:lineRule="exact"/>
              <w:jc w:val="center"/>
              <w:rPr>
                <w:color w:val="auto"/>
                <w:sz w:val="21"/>
                <w:szCs w:val="21"/>
              </w:rPr>
            </w:pPr>
            <w:r>
              <w:rPr>
                <w:color w:val="auto"/>
                <w:sz w:val="21"/>
                <w:szCs w:val="21"/>
              </w:rPr>
              <w:t>噪声</w:t>
            </w:r>
          </w:p>
        </w:tc>
        <w:tc>
          <w:tcPr>
            <w:tcW w:w="992" w:type="dxa"/>
            <w:vAlign w:val="center"/>
          </w:tcPr>
          <w:p>
            <w:pPr>
              <w:spacing w:line="300" w:lineRule="exact"/>
              <w:jc w:val="center"/>
              <w:rPr>
                <w:color w:val="auto"/>
                <w:sz w:val="21"/>
                <w:szCs w:val="21"/>
              </w:rPr>
            </w:pPr>
            <w:r>
              <w:rPr>
                <w:color w:val="auto"/>
                <w:sz w:val="21"/>
                <w:szCs w:val="21"/>
              </w:rPr>
              <w:t>N</w:t>
            </w:r>
            <w:r>
              <w:rPr>
                <w:color w:val="auto"/>
                <w:sz w:val="21"/>
                <w:szCs w:val="21"/>
                <w:vertAlign w:val="subscript"/>
              </w:rPr>
              <w:t>1</w:t>
            </w:r>
          </w:p>
        </w:tc>
        <w:tc>
          <w:tcPr>
            <w:tcW w:w="1985" w:type="dxa"/>
            <w:vAlign w:val="center"/>
          </w:tcPr>
          <w:p>
            <w:pPr>
              <w:pStyle w:val="286"/>
              <w:kinsoku w:val="0"/>
              <w:overflowPunct w:val="0"/>
              <w:ind w:right="125"/>
              <w:jc w:val="center"/>
              <w:rPr>
                <w:rFonts w:ascii="Times New Roman" w:hAnsi="Times New Roman"/>
                <w:color w:val="auto"/>
                <w:sz w:val="21"/>
                <w:szCs w:val="21"/>
              </w:rPr>
            </w:pPr>
            <w:r>
              <w:rPr>
                <w:rFonts w:hint="eastAsia" w:ascii="Times New Roman" w:hAnsi="Times New Roman"/>
                <w:color w:val="auto"/>
                <w:sz w:val="21"/>
                <w:szCs w:val="21"/>
              </w:rPr>
              <w:t>破碎机、三相离心机、空气压缩机和泵等</w:t>
            </w:r>
          </w:p>
        </w:tc>
        <w:tc>
          <w:tcPr>
            <w:tcW w:w="1417" w:type="dxa"/>
            <w:vAlign w:val="center"/>
          </w:tcPr>
          <w:p>
            <w:pPr>
              <w:spacing w:line="300" w:lineRule="exact"/>
              <w:jc w:val="center"/>
              <w:rPr>
                <w:color w:val="auto"/>
                <w:sz w:val="21"/>
                <w:szCs w:val="21"/>
              </w:rPr>
            </w:pPr>
            <w:r>
              <w:rPr>
                <w:color w:val="auto"/>
                <w:sz w:val="21"/>
                <w:szCs w:val="21"/>
              </w:rPr>
              <w:t>噪声</w:t>
            </w:r>
          </w:p>
        </w:tc>
        <w:tc>
          <w:tcPr>
            <w:tcW w:w="1276" w:type="dxa"/>
            <w:vAlign w:val="center"/>
          </w:tcPr>
          <w:p>
            <w:pPr>
              <w:spacing w:line="300" w:lineRule="exact"/>
              <w:jc w:val="center"/>
              <w:rPr>
                <w:color w:val="auto"/>
                <w:sz w:val="21"/>
                <w:szCs w:val="21"/>
              </w:rPr>
            </w:pPr>
            <w:r>
              <w:rPr>
                <w:color w:val="auto"/>
                <w:sz w:val="21"/>
                <w:szCs w:val="21"/>
              </w:rPr>
              <w:t>/</w:t>
            </w:r>
          </w:p>
        </w:tc>
        <w:tc>
          <w:tcPr>
            <w:tcW w:w="2317" w:type="dxa"/>
            <w:vAlign w:val="center"/>
          </w:tcPr>
          <w:p>
            <w:pPr>
              <w:spacing w:line="300" w:lineRule="exact"/>
              <w:jc w:val="center"/>
              <w:rPr>
                <w:color w:val="auto"/>
                <w:sz w:val="21"/>
                <w:szCs w:val="21"/>
              </w:rPr>
            </w:pPr>
            <w:r>
              <w:rPr>
                <w:color w:val="auto"/>
                <w:sz w:val="21"/>
                <w:szCs w:val="21"/>
              </w:rPr>
              <w:t>隔声、减振</w:t>
            </w:r>
          </w:p>
        </w:tc>
      </w:tr>
    </w:tbl>
    <w:p>
      <w:pPr>
        <w:pStyle w:val="67"/>
        <w:spacing w:line="360" w:lineRule="auto"/>
        <w:ind w:firstLine="480" w:firstLineChars="200"/>
        <w:jc w:val="left"/>
        <w:rPr>
          <w:rFonts w:ascii="Times New Roman" w:hAnsi="Times New Roman" w:cs="Times New Roman"/>
          <w:b w:val="0"/>
          <w:bCs/>
          <w:color w:val="auto"/>
        </w:rPr>
      </w:pPr>
    </w:p>
    <w:p>
      <w:pPr>
        <w:pStyle w:val="67"/>
        <w:spacing w:line="360" w:lineRule="auto"/>
        <w:ind w:firstLine="480" w:firstLineChars="200"/>
        <w:jc w:val="left"/>
        <w:rPr>
          <w:rFonts w:ascii="Times New Roman" w:hAnsi="Times New Roman" w:cs="Times New Roman"/>
          <w:b w:val="0"/>
          <w:bCs/>
          <w:color w:val="auto"/>
        </w:rPr>
      </w:pPr>
      <w:r>
        <w:rPr>
          <w:rFonts w:hint="eastAsia" w:ascii="Times New Roman" w:hAnsi="Times New Roman" w:cs="Times New Roman"/>
          <w:b w:val="0"/>
          <w:bCs/>
          <w:color w:val="auto"/>
        </w:rPr>
        <w:t>（2）建筑垃圾消纳场</w:t>
      </w:r>
    </w:p>
    <w:p>
      <w:pPr>
        <w:spacing w:line="360" w:lineRule="auto"/>
        <w:ind w:firstLine="480" w:firstLineChars="200"/>
        <w:rPr>
          <w:color w:val="auto"/>
        </w:rPr>
      </w:pPr>
      <w:r>
        <w:rPr>
          <w:rFonts w:hint="eastAsia"/>
          <w:color w:val="auto"/>
        </w:rPr>
        <w:t>餐厨垃圾处理过程中污染物产排情况见下表：</w:t>
      </w:r>
    </w:p>
    <w:p>
      <w:pPr>
        <w:pStyle w:val="357"/>
        <w:rPr>
          <w:rFonts w:ascii="Times New Roman" w:hAnsi="Times New Roman" w:eastAsiaTheme="minorEastAsia"/>
          <w:b/>
          <w:color w:val="auto"/>
        </w:rPr>
      </w:pPr>
      <w:r>
        <w:rPr>
          <w:rFonts w:ascii="Times New Roman" w:hAnsi="Times New Roman" w:eastAsiaTheme="minorEastAsia"/>
          <w:b/>
          <w:color w:val="auto"/>
        </w:rPr>
        <w:t>表3.</w:t>
      </w:r>
      <w:r>
        <w:rPr>
          <w:rFonts w:hint="eastAsia" w:ascii="Times New Roman" w:hAnsi="Times New Roman" w:eastAsiaTheme="minorEastAsia"/>
          <w:b/>
          <w:color w:val="auto"/>
          <w:lang w:val="en-US" w:eastAsia="zh-CN"/>
        </w:rPr>
        <w:t>1</w:t>
      </w:r>
      <w:r>
        <w:rPr>
          <w:rFonts w:ascii="Times New Roman" w:hAnsi="Times New Roman" w:eastAsiaTheme="minorEastAsia"/>
          <w:b/>
          <w:color w:val="auto"/>
        </w:rPr>
        <w:t>-1</w:t>
      </w:r>
      <w:r>
        <w:rPr>
          <w:rFonts w:hint="eastAsia" w:ascii="Times New Roman" w:hAnsi="Times New Roman" w:eastAsiaTheme="minorEastAsia"/>
          <w:b/>
          <w:color w:val="auto"/>
        </w:rPr>
        <w:t>4</w:t>
      </w:r>
      <w:r>
        <w:rPr>
          <w:rFonts w:ascii="Times New Roman" w:hAnsi="Times New Roman" w:eastAsiaTheme="minorEastAsia"/>
          <w:b/>
          <w:color w:val="auto"/>
        </w:rPr>
        <w:t xml:space="preserve">  </w:t>
      </w:r>
      <w:r>
        <w:rPr>
          <w:rFonts w:hint="eastAsia" w:ascii="Times New Roman" w:hAnsi="Times New Roman" w:eastAsiaTheme="minorEastAsia"/>
          <w:b/>
          <w:color w:val="auto"/>
        </w:rPr>
        <w:t>建筑垃圾消纳场</w:t>
      </w:r>
      <w:r>
        <w:rPr>
          <w:rFonts w:ascii="Times New Roman" w:hAnsi="Times New Roman" w:eastAsiaTheme="minorEastAsia"/>
          <w:b/>
          <w:color w:val="auto"/>
        </w:rPr>
        <w:t>主要产污环节</w:t>
      </w:r>
    </w:p>
    <w:tbl>
      <w:tblPr>
        <w:tblStyle w:val="53"/>
        <w:tblW w:w="8946"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59"/>
        <w:gridCol w:w="992"/>
        <w:gridCol w:w="1985"/>
        <w:gridCol w:w="1417"/>
        <w:gridCol w:w="1276"/>
        <w:gridCol w:w="231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959" w:type="dxa"/>
            <w:vAlign w:val="center"/>
          </w:tcPr>
          <w:p>
            <w:pPr>
              <w:spacing w:line="300" w:lineRule="exact"/>
              <w:jc w:val="center"/>
              <w:rPr>
                <w:b/>
                <w:color w:val="auto"/>
                <w:sz w:val="21"/>
                <w:szCs w:val="21"/>
              </w:rPr>
            </w:pPr>
            <w:r>
              <w:rPr>
                <w:b/>
                <w:color w:val="auto"/>
                <w:sz w:val="21"/>
                <w:szCs w:val="21"/>
              </w:rPr>
              <w:t>项目</w:t>
            </w:r>
          </w:p>
        </w:tc>
        <w:tc>
          <w:tcPr>
            <w:tcW w:w="992" w:type="dxa"/>
            <w:vAlign w:val="center"/>
          </w:tcPr>
          <w:p>
            <w:pPr>
              <w:spacing w:line="300" w:lineRule="exact"/>
              <w:jc w:val="center"/>
              <w:rPr>
                <w:b/>
                <w:color w:val="auto"/>
                <w:sz w:val="21"/>
                <w:szCs w:val="21"/>
              </w:rPr>
            </w:pPr>
            <w:r>
              <w:rPr>
                <w:b/>
                <w:color w:val="auto"/>
                <w:sz w:val="21"/>
                <w:szCs w:val="21"/>
              </w:rPr>
              <w:t>产污节点编号</w:t>
            </w:r>
          </w:p>
        </w:tc>
        <w:tc>
          <w:tcPr>
            <w:tcW w:w="1985" w:type="dxa"/>
            <w:vAlign w:val="center"/>
          </w:tcPr>
          <w:p>
            <w:pPr>
              <w:spacing w:line="300" w:lineRule="exact"/>
              <w:jc w:val="center"/>
              <w:rPr>
                <w:b/>
                <w:color w:val="auto"/>
                <w:sz w:val="21"/>
                <w:szCs w:val="21"/>
              </w:rPr>
            </w:pPr>
            <w:r>
              <w:rPr>
                <w:b/>
                <w:color w:val="auto"/>
                <w:sz w:val="21"/>
                <w:szCs w:val="21"/>
              </w:rPr>
              <w:t>产污环节</w:t>
            </w:r>
          </w:p>
        </w:tc>
        <w:tc>
          <w:tcPr>
            <w:tcW w:w="1417" w:type="dxa"/>
            <w:vAlign w:val="center"/>
          </w:tcPr>
          <w:p>
            <w:pPr>
              <w:spacing w:line="300" w:lineRule="exact"/>
              <w:jc w:val="center"/>
              <w:rPr>
                <w:b/>
                <w:color w:val="auto"/>
                <w:sz w:val="21"/>
                <w:szCs w:val="21"/>
              </w:rPr>
            </w:pPr>
            <w:r>
              <w:rPr>
                <w:b/>
                <w:color w:val="auto"/>
                <w:sz w:val="21"/>
                <w:szCs w:val="21"/>
              </w:rPr>
              <w:t>主要污染物</w:t>
            </w:r>
          </w:p>
        </w:tc>
        <w:tc>
          <w:tcPr>
            <w:tcW w:w="1276" w:type="dxa"/>
            <w:vAlign w:val="center"/>
          </w:tcPr>
          <w:p>
            <w:pPr>
              <w:spacing w:line="300" w:lineRule="exact"/>
              <w:jc w:val="center"/>
              <w:rPr>
                <w:b/>
                <w:color w:val="auto"/>
                <w:sz w:val="21"/>
                <w:szCs w:val="21"/>
              </w:rPr>
            </w:pPr>
            <w:r>
              <w:rPr>
                <w:b/>
                <w:color w:val="auto"/>
                <w:sz w:val="21"/>
                <w:szCs w:val="21"/>
              </w:rPr>
              <w:t>排放情况</w:t>
            </w:r>
          </w:p>
        </w:tc>
        <w:tc>
          <w:tcPr>
            <w:tcW w:w="2317" w:type="dxa"/>
            <w:vAlign w:val="center"/>
          </w:tcPr>
          <w:p>
            <w:pPr>
              <w:spacing w:line="300" w:lineRule="exact"/>
              <w:jc w:val="center"/>
              <w:rPr>
                <w:b/>
                <w:color w:val="auto"/>
                <w:sz w:val="21"/>
                <w:szCs w:val="21"/>
              </w:rPr>
            </w:pPr>
            <w:r>
              <w:rPr>
                <w:b/>
                <w:color w:val="auto"/>
                <w:sz w:val="21"/>
                <w:szCs w:val="21"/>
              </w:rPr>
              <w:t>治理措施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959" w:type="dxa"/>
            <w:vMerge w:val="restart"/>
            <w:vAlign w:val="center"/>
          </w:tcPr>
          <w:p>
            <w:pPr>
              <w:spacing w:line="300" w:lineRule="exact"/>
              <w:jc w:val="center"/>
              <w:rPr>
                <w:color w:val="auto"/>
                <w:sz w:val="21"/>
                <w:szCs w:val="21"/>
              </w:rPr>
            </w:pPr>
            <w:r>
              <w:rPr>
                <w:color w:val="auto"/>
                <w:sz w:val="21"/>
                <w:szCs w:val="21"/>
              </w:rPr>
              <w:t>废气</w:t>
            </w:r>
          </w:p>
        </w:tc>
        <w:tc>
          <w:tcPr>
            <w:tcW w:w="992" w:type="dxa"/>
            <w:vAlign w:val="center"/>
          </w:tcPr>
          <w:p>
            <w:pPr>
              <w:spacing w:line="300" w:lineRule="exact"/>
              <w:jc w:val="center"/>
              <w:rPr>
                <w:color w:val="auto"/>
                <w:sz w:val="21"/>
                <w:szCs w:val="21"/>
              </w:rPr>
            </w:pPr>
            <w:r>
              <w:rPr>
                <w:color w:val="auto"/>
                <w:sz w:val="21"/>
                <w:szCs w:val="21"/>
              </w:rPr>
              <w:t>G</w:t>
            </w:r>
            <w:r>
              <w:rPr>
                <w:color w:val="auto"/>
                <w:sz w:val="21"/>
                <w:szCs w:val="21"/>
                <w:vertAlign w:val="subscript"/>
              </w:rPr>
              <w:t>1</w:t>
            </w:r>
          </w:p>
        </w:tc>
        <w:tc>
          <w:tcPr>
            <w:tcW w:w="1985" w:type="dxa"/>
            <w:vAlign w:val="center"/>
          </w:tcPr>
          <w:p>
            <w:pPr>
              <w:spacing w:line="300" w:lineRule="exact"/>
              <w:jc w:val="center"/>
              <w:rPr>
                <w:color w:val="auto"/>
                <w:sz w:val="21"/>
                <w:szCs w:val="21"/>
              </w:rPr>
            </w:pPr>
            <w:r>
              <w:rPr>
                <w:color w:val="auto"/>
                <w:sz w:val="21"/>
                <w:szCs w:val="21"/>
              </w:rPr>
              <w:t>建筑垃圾卸载</w:t>
            </w:r>
          </w:p>
        </w:tc>
        <w:tc>
          <w:tcPr>
            <w:tcW w:w="1417" w:type="dxa"/>
            <w:vAlign w:val="center"/>
          </w:tcPr>
          <w:p>
            <w:pPr>
              <w:spacing w:line="300" w:lineRule="exact"/>
              <w:jc w:val="center"/>
              <w:rPr>
                <w:color w:val="auto"/>
                <w:sz w:val="21"/>
                <w:szCs w:val="21"/>
              </w:rPr>
            </w:pPr>
            <w:r>
              <w:rPr>
                <w:color w:val="auto"/>
                <w:sz w:val="21"/>
                <w:szCs w:val="21"/>
              </w:rPr>
              <w:t>扬尘</w:t>
            </w:r>
          </w:p>
        </w:tc>
        <w:tc>
          <w:tcPr>
            <w:tcW w:w="1276" w:type="dxa"/>
            <w:vAlign w:val="center"/>
          </w:tcPr>
          <w:p>
            <w:pPr>
              <w:spacing w:line="300" w:lineRule="exact"/>
              <w:jc w:val="center"/>
              <w:rPr>
                <w:color w:val="auto"/>
                <w:sz w:val="21"/>
                <w:szCs w:val="21"/>
              </w:rPr>
            </w:pPr>
            <w:r>
              <w:rPr>
                <w:color w:val="auto"/>
                <w:sz w:val="21"/>
                <w:szCs w:val="21"/>
              </w:rPr>
              <w:t>间断，无组织排放</w:t>
            </w:r>
          </w:p>
        </w:tc>
        <w:tc>
          <w:tcPr>
            <w:tcW w:w="2317" w:type="dxa"/>
            <w:vMerge w:val="restart"/>
            <w:vAlign w:val="center"/>
          </w:tcPr>
          <w:p>
            <w:pPr>
              <w:spacing w:line="300" w:lineRule="exact"/>
              <w:jc w:val="center"/>
              <w:rPr>
                <w:color w:val="auto"/>
                <w:sz w:val="21"/>
                <w:szCs w:val="21"/>
              </w:rPr>
            </w:pPr>
            <w:r>
              <w:rPr>
                <w:rFonts w:hint="eastAsia"/>
                <w:color w:val="auto"/>
                <w:sz w:val="21"/>
                <w:szCs w:val="21"/>
              </w:rPr>
              <w:t>喷水</w:t>
            </w:r>
            <w:r>
              <w:rPr>
                <w:color w:val="auto"/>
                <w:sz w:val="21"/>
                <w:szCs w:val="21"/>
              </w:rPr>
              <w:t>雾炮洒水抑尘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959" w:type="dxa"/>
            <w:vMerge w:val="continue"/>
            <w:vAlign w:val="center"/>
          </w:tcPr>
          <w:p>
            <w:pPr>
              <w:spacing w:line="300" w:lineRule="exact"/>
              <w:jc w:val="center"/>
              <w:rPr>
                <w:color w:val="auto"/>
                <w:sz w:val="21"/>
                <w:szCs w:val="21"/>
              </w:rPr>
            </w:pPr>
          </w:p>
        </w:tc>
        <w:tc>
          <w:tcPr>
            <w:tcW w:w="992" w:type="dxa"/>
            <w:vAlign w:val="center"/>
          </w:tcPr>
          <w:p>
            <w:pPr>
              <w:spacing w:line="300" w:lineRule="exact"/>
              <w:jc w:val="center"/>
              <w:rPr>
                <w:color w:val="auto"/>
                <w:sz w:val="21"/>
                <w:szCs w:val="21"/>
              </w:rPr>
            </w:pPr>
            <w:r>
              <w:rPr>
                <w:color w:val="auto"/>
                <w:sz w:val="21"/>
                <w:szCs w:val="21"/>
              </w:rPr>
              <w:t>G</w:t>
            </w:r>
            <w:r>
              <w:rPr>
                <w:color w:val="auto"/>
                <w:sz w:val="21"/>
                <w:szCs w:val="21"/>
                <w:vertAlign w:val="subscript"/>
              </w:rPr>
              <w:t>2</w:t>
            </w:r>
          </w:p>
        </w:tc>
        <w:tc>
          <w:tcPr>
            <w:tcW w:w="1985" w:type="dxa"/>
            <w:vAlign w:val="center"/>
          </w:tcPr>
          <w:p>
            <w:pPr>
              <w:spacing w:line="300" w:lineRule="exact"/>
              <w:jc w:val="center"/>
              <w:rPr>
                <w:color w:val="auto"/>
                <w:sz w:val="21"/>
                <w:szCs w:val="21"/>
              </w:rPr>
            </w:pPr>
            <w:r>
              <w:rPr>
                <w:color w:val="auto"/>
                <w:sz w:val="21"/>
                <w:szCs w:val="21"/>
              </w:rPr>
              <w:t>建筑堆场风力扬尘</w:t>
            </w:r>
          </w:p>
        </w:tc>
        <w:tc>
          <w:tcPr>
            <w:tcW w:w="1417" w:type="dxa"/>
            <w:vAlign w:val="center"/>
          </w:tcPr>
          <w:p>
            <w:pPr>
              <w:jc w:val="center"/>
              <w:rPr>
                <w:color w:val="auto"/>
                <w:sz w:val="21"/>
                <w:szCs w:val="21"/>
              </w:rPr>
            </w:pPr>
            <w:r>
              <w:rPr>
                <w:color w:val="auto"/>
                <w:sz w:val="21"/>
                <w:szCs w:val="21"/>
              </w:rPr>
              <w:t>扬尘</w:t>
            </w:r>
          </w:p>
        </w:tc>
        <w:tc>
          <w:tcPr>
            <w:tcW w:w="1276" w:type="dxa"/>
            <w:vAlign w:val="center"/>
          </w:tcPr>
          <w:p>
            <w:pPr>
              <w:jc w:val="center"/>
              <w:rPr>
                <w:color w:val="auto"/>
                <w:sz w:val="21"/>
                <w:szCs w:val="21"/>
              </w:rPr>
            </w:pPr>
            <w:r>
              <w:rPr>
                <w:color w:val="auto"/>
                <w:sz w:val="21"/>
                <w:szCs w:val="21"/>
              </w:rPr>
              <w:t>间断，无组织排放</w:t>
            </w:r>
          </w:p>
        </w:tc>
        <w:tc>
          <w:tcPr>
            <w:tcW w:w="2317" w:type="dxa"/>
            <w:vMerge w:val="continue"/>
            <w:vAlign w:val="center"/>
          </w:tcPr>
          <w:p>
            <w:pPr>
              <w:spacing w:line="300" w:lineRule="exact"/>
              <w:jc w:val="center"/>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959" w:type="dxa"/>
            <w:vMerge w:val="continue"/>
            <w:vAlign w:val="center"/>
          </w:tcPr>
          <w:p>
            <w:pPr>
              <w:spacing w:line="300" w:lineRule="exact"/>
              <w:jc w:val="center"/>
              <w:rPr>
                <w:color w:val="auto"/>
                <w:sz w:val="21"/>
                <w:szCs w:val="21"/>
              </w:rPr>
            </w:pPr>
          </w:p>
        </w:tc>
        <w:tc>
          <w:tcPr>
            <w:tcW w:w="992" w:type="dxa"/>
            <w:vAlign w:val="center"/>
          </w:tcPr>
          <w:p>
            <w:pPr>
              <w:spacing w:line="300" w:lineRule="exact"/>
              <w:jc w:val="center"/>
              <w:rPr>
                <w:color w:val="auto"/>
                <w:sz w:val="21"/>
                <w:szCs w:val="21"/>
              </w:rPr>
            </w:pPr>
            <w:r>
              <w:rPr>
                <w:color w:val="auto"/>
                <w:sz w:val="21"/>
                <w:szCs w:val="21"/>
              </w:rPr>
              <w:t>G</w:t>
            </w:r>
            <w:r>
              <w:rPr>
                <w:color w:val="auto"/>
                <w:sz w:val="21"/>
                <w:szCs w:val="21"/>
                <w:vertAlign w:val="subscript"/>
              </w:rPr>
              <w:t>3</w:t>
            </w:r>
          </w:p>
        </w:tc>
        <w:tc>
          <w:tcPr>
            <w:tcW w:w="1985" w:type="dxa"/>
            <w:vAlign w:val="center"/>
          </w:tcPr>
          <w:p>
            <w:pPr>
              <w:spacing w:line="300" w:lineRule="exact"/>
              <w:jc w:val="center"/>
              <w:rPr>
                <w:color w:val="auto"/>
                <w:sz w:val="21"/>
                <w:szCs w:val="21"/>
              </w:rPr>
            </w:pPr>
            <w:r>
              <w:rPr>
                <w:color w:val="auto"/>
                <w:sz w:val="21"/>
                <w:szCs w:val="21"/>
              </w:rPr>
              <w:t>运输车辆进</w:t>
            </w:r>
            <w:r>
              <w:rPr>
                <w:rFonts w:hint="eastAsia"/>
                <w:color w:val="auto"/>
                <w:sz w:val="21"/>
                <w:szCs w:val="21"/>
              </w:rPr>
              <w:t>出</w:t>
            </w:r>
            <w:r>
              <w:rPr>
                <w:color w:val="auto"/>
                <w:sz w:val="21"/>
                <w:szCs w:val="21"/>
              </w:rPr>
              <w:t>场</w:t>
            </w:r>
          </w:p>
        </w:tc>
        <w:tc>
          <w:tcPr>
            <w:tcW w:w="1417" w:type="dxa"/>
            <w:vAlign w:val="center"/>
          </w:tcPr>
          <w:p>
            <w:pPr>
              <w:jc w:val="center"/>
              <w:rPr>
                <w:color w:val="auto"/>
                <w:sz w:val="21"/>
                <w:szCs w:val="21"/>
              </w:rPr>
            </w:pPr>
            <w:r>
              <w:rPr>
                <w:color w:val="auto"/>
                <w:sz w:val="21"/>
                <w:szCs w:val="21"/>
              </w:rPr>
              <w:t>扬尘</w:t>
            </w:r>
          </w:p>
        </w:tc>
        <w:tc>
          <w:tcPr>
            <w:tcW w:w="1276" w:type="dxa"/>
            <w:vAlign w:val="center"/>
          </w:tcPr>
          <w:p>
            <w:pPr>
              <w:jc w:val="center"/>
              <w:rPr>
                <w:color w:val="auto"/>
                <w:sz w:val="21"/>
                <w:szCs w:val="21"/>
              </w:rPr>
            </w:pPr>
            <w:r>
              <w:rPr>
                <w:color w:val="auto"/>
                <w:sz w:val="21"/>
                <w:szCs w:val="21"/>
              </w:rPr>
              <w:t>间断，无组织排放</w:t>
            </w:r>
          </w:p>
        </w:tc>
        <w:tc>
          <w:tcPr>
            <w:tcW w:w="2317" w:type="dxa"/>
            <w:vAlign w:val="center"/>
          </w:tcPr>
          <w:p>
            <w:pPr>
              <w:spacing w:line="300" w:lineRule="exact"/>
              <w:jc w:val="center"/>
              <w:rPr>
                <w:color w:val="auto"/>
                <w:sz w:val="21"/>
                <w:szCs w:val="21"/>
              </w:rPr>
            </w:pPr>
            <w:r>
              <w:rPr>
                <w:color w:val="auto"/>
                <w:sz w:val="21"/>
                <w:szCs w:val="21"/>
              </w:rPr>
              <w:t>道路洒水抑尘，车辆清洗</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959" w:type="dxa"/>
            <w:vMerge w:val="restart"/>
            <w:vAlign w:val="center"/>
          </w:tcPr>
          <w:p>
            <w:pPr>
              <w:spacing w:line="300" w:lineRule="exact"/>
              <w:jc w:val="center"/>
              <w:rPr>
                <w:color w:val="auto"/>
                <w:sz w:val="21"/>
                <w:szCs w:val="21"/>
              </w:rPr>
            </w:pPr>
            <w:r>
              <w:rPr>
                <w:color w:val="auto"/>
                <w:sz w:val="21"/>
                <w:szCs w:val="21"/>
              </w:rPr>
              <w:t>废水</w:t>
            </w:r>
          </w:p>
        </w:tc>
        <w:tc>
          <w:tcPr>
            <w:tcW w:w="992" w:type="dxa"/>
            <w:vAlign w:val="center"/>
          </w:tcPr>
          <w:p>
            <w:pPr>
              <w:spacing w:line="300" w:lineRule="exact"/>
              <w:jc w:val="center"/>
              <w:rPr>
                <w:color w:val="auto"/>
                <w:sz w:val="21"/>
                <w:szCs w:val="21"/>
              </w:rPr>
            </w:pPr>
            <w:r>
              <w:rPr>
                <w:color w:val="auto"/>
                <w:sz w:val="21"/>
                <w:szCs w:val="21"/>
              </w:rPr>
              <w:t>W</w:t>
            </w:r>
            <w:r>
              <w:rPr>
                <w:color w:val="auto"/>
                <w:sz w:val="21"/>
                <w:szCs w:val="21"/>
                <w:vertAlign w:val="subscript"/>
              </w:rPr>
              <w:t>1</w:t>
            </w:r>
          </w:p>
        </w:tc>
        <w:tc>
          <w:tcPr>
            <w:tcW w:w="1985" w:type="dxa"/>
            <w:vAlign w:val="center"/>
          </w:tcPr>
          <w:p>
            <w:pPr>
              <w:spacing w:line="300" w:lineRule="exact"/>
              <w:jc w:val="center"/>
              <w:rPr>
                <w:color w:val="auto"/>
                <w:sz w:val="21"/>
                <w:szCs w:val="21"/>
              </w:rPr>
            </w:pPr>
            <w:r>
              <w:rPr>
                <w:color w:val="auto"/>
                <w:sz w:val="21"/>
                <w:szCs w:val="21"/>
              </w:rPr>
              <w:t>洗车废水</w:t>
            </w:r>
          </w:p>
        </w:tc>
        <w:tc>
          <w:tcPr>
            <w:tcW w:w="1417" w:type="dxa"/>
            <w:vAlign w:val="center"/>
          </w:tcPr>
          <w:p>
            <w:pPr>
              <w:spacing w:line="300" w:lineRule="exact"/>
              <w:jc w:val="center"/>
              <w:rPr>
                <w:color w:val="auto"/>
                <w:sz w:val="21"/>
                <w:szCs w:val="21"/>
              </w:rPr>
            </w:pPr>
            <w:r>
              <w:rPr>
                <w:color w:val="auto"/>
                <w:sz w:val="21"/>
                <w:szCs w:val="21"/>
              </w:rPr>
              <w:t>SS、石油类</w:t>
            </w:r>
          </w:p>
        </w:tc>
        <w:tc>
          <w:tcPr>
            <w:tcW w:w="1276" w:type="dxa"/>
            <w:vAlign w:val="center"/>
          </w:tcPr>
          <w:p>
            <w:pPr>
              <w:spacing w:line="300" w:lineRule="exact"/>
              <w:jc w:val="center"/>
              <w:rPr>
                <w:color w:val="auto"/>
                <w:sz w:val="21"/>
                <w:szCs w:val="21"/>
              </w:rPr>
            </w:pPr>
            <w:r>
              <w:rPr>
                <w:color w:val="auto"/>
                <w:sz w:val="21"/>
                <w:szCs w:val="21"/>
              </w:rPr>
              <w:t>不外排</w:t>
            </w:r>
          </w:p>
        </w:tc>
        <w:tc>
          <w:tcPr>
            <w:tcW w:w="2317" w:type="dxa"/>
            <w:vMerge w:val="restart"/>
            <w:vAlign w:val="center"/>
          </w:tcPr>
          <w:p>
            <w:pPr>
              <w:spacing w:line="300" w:lineRule="exact"/>
              <w:jc w:val="center"/>
              <w:rPr>
                <w:color w:val="auto"/>
                <w:sz w:val="21"/>
                <w:szCs w:val="21"/>
              </w:rPr>
            </w:pPr>
            <w:r>
              <w:rPr>
                <w:color w:val="auto"/>
                <w:sz w:val="21"/>
                <w:szCs w:val="21"/>
              </w:rPr>
              <w:t>沉淀</w:t>
            </w:r>
            <w:r>
              <w:rPr>
                <w:rFonts w:hint="eastAsia"/>
                <w:color w:val="auto"/>
                <w:sz w:val="21"/>
                <w:szCs w:val="21"/>
              </w:rPr>
              <w:t>过滤</w:t>
            </w:r>
            <w:r>
              <w:rPr>
                <w:color w:val="auto"/>
                <w:sz w:val="21"/>
                <w:szCs w:val="21"/>
              </w:rPr>
              <w:t>用于场内洒水抑尘</w:t>
            </w:r>
            <w:r>
              <w:rPr>
                <w:rFonts w:hint="eastAsia"/>
                <w:color w:val="auto"/>
                <w:sz w:val="21"/>
                <w:szCs w:val="21"/>
              </w:rPr>
              <w:t>和车辆清洗</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959" w:type="dxa"/>
            <w:vMerge w:val="continue"/>
            <w:vAlign w:val="center"/>
          </w:tcPr>
          <w:p>
            <w:pPr>
              <w:spacing w:line="300" w:lineRule="exact"/>
              <w:jc w:val="center"/>
              <w:rPr>
                <w:color w:val="auto"/>
                <w:sz w:val="21"/>
                <w:szCs w:val="21"/>
              </w:rPr>
            </w:pPr>
          </w:p>
        </w:tc>
        <w:tc>
          <w:tcPr>
            <w:tcW w:w="992" w:type="dxa"/>
            <w:vAlign w:val="center"/>
          </w:tcPr>
          <w:p>
            <w:pPr>
              <w:spacing w:line="300" w:lineRule="exact"/>
              <w:jc w:val="center"/>
              <w:rPr>
                <w:color w:val="auto"/>
                <w:sz w:val="21"/>
                <w:szCs w:val="21"/>
              </w:rPr>
            </w:pPr>
            <w:r>
              <w:rPr>
                <w:color w:val="auto"/>
                <w:sz w:val="21"/>
                <w:szCs w:val="21"/>
              </w:rPr>
              <w:t>W</w:t>
            </w:r>
            <w:r>
              <w:rPr>
                <w:color w:val="auto"/>
                <w:sz w:val="21"/>
                <w:szCs w:val="21"/>
                <w:vertAlign w:val="subscript"/>
              </w:rPr>
              <w:t>2</w:t>
            </w:r>
          </w:p>
        </w:tc>
        <w:tc>
          <w:tcPr>
            <w:tcW w:w="1985" w:type="dxa"/>
            <w:vAlign w:val="center"/>
          </w:tcPr>
          <w:p>
            <w:pPr>
              <w:spacing w:line="300" w:lineRule="exact"/>
              <w:jc w:val="center"/>
              <w:rPr>
                <w:color w:val="auto"/>
                <w:sz w:val="21"/>
                <w:szCs w:val="21"/>
              </w:rPr>
            </w:pPr>
            <w:r>
              <w:rPr>
                <w:rFonts w:hint="eastAsia"/>
                <w:color w:val="auto"/>
                <w:sz w:val="21"/>
                <w:szCs w:val="21"/>
              </w:rPr>
              <w:t>淋溶液</w:t>
            </w:r>
          </w:p>
        </w:tc>
        <w:tc>
          <w:tcPr>
            <w:tcW w:w="1417" w:type="dxa"/>
            <w:vAlign w:val="center"/>
          </w:tcPr>
          <w:p>
            <w:pPr>
              <w:spacing w:line="300" w:lineRule="exact"/>
              <w:jc w:val="center"/>
              <w:rPr>
                <w:color w:val="auto"/>
                <w:sz w:val="21"/>
                <w:szCs w:val="21"/>
              </w:rPr>
            </w:pPr>
            <w:r>
              <w:rPr>
                <w:color w:val="auto"/>
                <w:sz w:val="21"/>
                <w:szCs w:val="21"/>
              </w:rPr>
              <w:t>SS</w:t>
            </w:r>
          </w:p>
        </w:tc>
        <w:tc>
          <w:tcPr>
            <w:tcW w:w="1276" w:type="dxa"/>
            <w:vAlign w:val="center"/>
          </w:tcPr>
          <w:p>
            <w:pPr>
              <w:spacing w:line="300" w:lineRule="exact"/>
              <w:jc w:val="center"/>
              <w:rPr>
                <w:color w:val="auto"/>
                <w:sz w:val="21"/>
                <w:szCs w:val="21"/>
              </w:rPr>
            </w:pPr>
            <w:r>
              <w:rPr>
                <w:color w:val="auto"/>
                <w:sz w:val="21"/>
                <w:szCs w:val="21"/>
              </w:rPr>
              <w:t>不外排</w:t>
            </w:r>
          </w:p>
        </w:tc>
        <w:tc>
          <w:tcPr>
            <w:tcW w:w="2317" w:type="dxa"/>
            <w:vMerge w:val="continue"/>
            <w:vAlign w:val="center"/>
          </w:tcPr>
          <w:p>
            <w:pPr>
              <w:spacing w:line="300" w:lineRule="exact"/>
              <w:jc w:val="center"/>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630" w:hRule="atLeast"/>
        </w:trPr>
        <w:tc>
          <w:tcPr>
            <w:tcW w:w="959" w:type="dxa"/>
            <w:vAlign w:val="center"/>
          </w:tcPr>
          <w:p>
            <w:pPr>
              <w:spacing w:line="300" w:lineRule="exact"/>
              <w:jc w:val="center"/>
              <w:rPr>
                <w:color w:val="auto"/>
                <w:sz w:val="21"/>
                <w:szCs w:val="21"/>
              </w:rPr>
            </w:pPr>
            <w:r>
              <w:rPr>
                <w:color w:val="auto"/>
                <w:sz w:val="21"/>
                <w:szCs w:val="21"/>
              </w:rPr>
              <w:t>固废</w:t>
            </w:r>
          </w:p>
        </w:tc>
        <w:tc>
          <w:tcPr>
            <w:tcW w:w="992" w:type="dxa"/>
            <w:vAlign w:val="center"/>
          </w:tcPr>
          <w:p>
            <w:pPr>
              <w:spacing w:line="300" w:lineRule="exact"/>
              <w:jc w:val="center"/>
              <w:rPr>
                <w:color w:val="auto"/>
                <w:sz w:val="21"/>
                <w:szCs w:val="21"/>
              </w:rPr>
            </w:pPr>
            <w:r>
              <w:rPr>
                <w:color w:val="auto"/>
                <w:sz w:val="21"/>
                <w:szCs w:val="21"/>
              </w:rPr>
              <w:t>S</w:t>
            </w:r>
            <w:r>
              <w:rPr>
                <w:color w:val="auto"/>
                <w:sz w:val="21"/>
                <w:szCs w:val="21"/>
                <w:vertAlign w:val="subscript"/>
              </w:rPr>
              <w:t>1</w:t>
            </w:r>
          </w:p>
        </w:tc>
        <w:tc>
          <w:tcPr>
            <w:tcW w:w="1985" w:type="dxa"/>
            <w:vAlign w:val="center"/>
          </w:tcPr>
          <w:p>
            <w:pPr>
              <w:spacing w:line="300" w:lineRule="exact"/>
              <w:jc w:val="center"/>
              <w:rPr>
                <w:color w:val="auto"/>
                <w:sz w:val="21"/>
                <w:szCs w:val="21"/>
              </w:rPr>
            </w:pPr>
            <w:r>
              <w:rPr>
                <w:rFonts w:hint="eastAsia"/>
                <w:color w:val="auto"/>
                <w:sz w:val="21"/>
                <w:szCs w:val="21"/>
              </w:rPr>
              <w:t>淋溶液处理系统</w:t>
            </w:r>
          </w:p>
        </w:tc>
        <w:tc>
          <w:tcPr>
            <w:tcW w:w="1417" w:type="dxa"/>
            <w:vAlign w:val="center"/>
          </w:tcPr>
          <w:p>
            <w:pPr>
              <w:spacing w:line="300" w:lineRule="exact"/>
              <w:jc w:val="center"/>
              <w:rPr>
                <w:color w:val="auto"/>
                <w:sz w:val="21"/>
                <w:szCs w:val="21"/>
              </w:rPr>
            </w:pPr>
            <w:r>
              <w:rPr>
                <w:color w:val="auto"/>
                <w:sz w:val="21"/>
                <w:szCs w:val="21"/>
              </w:rPr>
              <w:t>沉淀池沉渣</w:t>
            </w:r>
          </w:p>
        </w:tc>
        <w:tc>
          <w:tcPr>
            <w:tcW w:w="1276" w:type="dxa"/>
            <w:vAlign w:val="center"/>
          </w:tcPr>
          <w:p>
            <w:pPr>
              <w:spacing w:line="300" w:lineRule="exact"/>
              <w:jc w:val="center"/>
              <w:rPr>
                <w:color w:val="auto"/>
                <w:sz w:val="21"/>
                <w:szCs w:val="21"/>
              </w:rPr>
            </w:pPr>
            <w:r>
              <w:rPr>
                <w:color w:val="auto"/>
                <w:sz w:val="21"/>
                <w:szCs w:val="21"/>
              </w:rPr>
              <w:t>不外排</w:t>
            </w:r>
          </w:p>
        </w:tc>
        <w:tc>
          <w:tcPr>
            <w:tcW w:w="2317" w:type="dxa"/>
            <w:vAlign w:val="center"/>
          </w:tcPr>
          <w:p>
            <w:pPr>
              <w:spacing w:line="300" w:lineRule="exact"/>
              <w:jc w:val="center"/>
              <w:rPr>
                <w:color w:val="auto"/>
                <w:sz w:val="21"/>
                <w:szCs w:val="21"/>
              </w:rPr>
            </w:pPr>
            <w:r>
              <w:rPr>
                <w:color w:val="auto"/>
                <w:sz w:val="21"/>
                <w:szCs w:val="21"/>
              </w:rPr>
              <w:t>收集后，于</w:t>
            </w:r>
          </w:p>
          <w:p>
            <w:pPr>
              <w:spacing w:line="300" w:lineRule="exact"/>
              <w:jc w:val="center"/>
              <w:rPr>
                <w:color w:val="auto"/>
                <w:sz w:val="21"/>
                <w:szCs w:val="21"/>
              </w:rPr>
            </w:pPr>
            <w:r>
              <w:rPr>
                <w:rFonts w:hint="eastAsia"/>
                <w:color w:val="auto"/>
                <w:sz w:val="21"/>
                <w:szCs w:val="21"/>
              </w:rPr>
              <w:t>消纳</w:t>
            </w:r>
            <w:r>
              <w:rPr>
                <w:color w:val="auto"/>
                <w:sz w:val="21"/>
                <w:szCs w:val="21"/>
              </w:rPr>
              <w:t>库区填埋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959" w:type="dxa"/>
            <w:vAlign w:val="center"/>
          </w:tcPr>
          <w:p>
            <w:pPr>
              <w:spacing w:line="300" w:lineRule="exact"/>
              <w:jc w:val="center"/>
              <w:rPr>
                <w:color w:val="auto"/>
                <w:sz w:val="21"/>
                <w:szCs w:val="21"/>
              </w:rPr>
            </w:pPr>
            <w:r>
              <w:rPr>
                <w:color w:val="auto"/>
                <w:sz w:val="21"/>
                <w:szCs w:val="21"/>
              </w:rPr>
              <w:t>噪声</w:t>
            </w:r>
          </w:p>
        </w:tc>
        <w:tc>
          <w:tcPr>
            <w:tcW w:w="992" w:type="dxa"/>
            <w:vAlign w:val="center"/>
          </w:tcPr>
          <w:p>
            <w:pPr>
              <w:spacing w:line="300" w:lineRule="exact"/>
              <w:jc w:val="center"/>
              <w:rPr>
                <w:color w:val="auto"/>
                <w:sz w:val="21"/>
                <w:szCs w:val="21"/>
              </w:rPr>
            </w:pPr>
            <w:r>
              <w:rPr>
                <w:color w:val="auto"/>
                <w:sz w:val="21"/>
                <w:szCs w:val="21"/>
              </w:rPr>
              <w:t>N</w:t>
            </w:r>
            <w:r>
              <w:rPr>
                <w:color w:val="auto"/>
                <w:sz w:val="21"/>
                <w:szCs w:val="21"/>
                <w:vertAlign w:val="subscript"/>
              </w:rPr>
              <w:t>1</w:t>
            </w:r>
          </w:p>
        </w:tc>
        <w:tc>
          <w:tcPr>
            <w:tcW w:w="1985" w:type="dxa"/>
            <w:vAlign w:val="center"/>
          </w:tcPr>
          <w:p>
            <w:pPr>
              <w:pStyle w:val="286"/>
              <w:kinsoku w:val="0"/>
              <w:overflowPunct w:val="0"/>
              <w:ind w:right="125"/>
              <w:jc w:val="center"/>
              <w:rPr>
                <w:rFonts w:ascii="Times New Roman" w:hAnsi="Times New Roman"/>
                <w:color w:val="auto"/>
                <w:sz w:val="21"/>
                <w:szCs w:val="21"/>
              </w:rPr>
            </w:pPr>
            <w:r>
              <w:rPr>
                <w:rFonts w:ascii="Times New Roman" w:hAnsi="Times New Roman"/>
                <w:color w:val="auto"/>
                <w:sz w:val="21"/>
                <w:szCs w:val="21"/>
              </w:rPr>
              <w:t>填埋机械、运输车辆</w:t>
            </w:r>
          </w:p>
        </w:tc>
        <w:tc>
          <w:tcPr>
            <w:tcW w:w="1417" w:type="dxa"/>
            <w:vAlign w:val="center"/>
          </w:tcPr>
          <w:p>
            <w:pPr>
              <w:spacing w:line="300" w:lineRule="exact"/>
              <w:jc w:val="center"/>
              <w:rPr>
                <w:color w:val="auto"/>
                <w:sz w:val="21"/>
                <w:szCs w:val="21"/>
              </w:rPr>
            </w:pPr>
            <w:r>
              <w:rPr>
                <w:color w:val="auto"/>
                <w:sz w:val="21"/>
                <w:szCs w:val="21"/>
              </w:rPr>
              <w:t>噪声</w:t>
            </w:r>
          </w:p>
        </w:tc>
        <w:tc>
          <w:tcPr>
            <w:tcW w:w="1276" w:type="dxa"/>
            <w:vAlign w:val="center"/>
          </w:tcPr>
          <w:p>
            <w:pPr>
              <w:spacing w:line="300" w:lineRule="exact"/>
              <w:jc w:val="center"/>
              <w:rPr>
                <w:color w:val="auto"/>
                <w:sz w:val="21"/>
                <w:szCs w:val="21"/>
              </w:rPr>
            </w:pPr>
            <w:r>
              <w:rPr>
                <w:color w:val="auto"/>
                <w:sz w:val="21"/>
                <w:szCs w:val="21"/>
              </w:rPr>
              <w:t>/</w:t>
            </w:r>
          </w:p>
        </w:tc>
        <w:tc>
          <w:tcPr>
            <w:tcW w:w="2317" w:type="dxa"/>
            <w:vAlign w:val="center"/>
          </w:tcPr>
          <w:p>
            <w:pPr>
              <w:spacing w:line="300" w:lineRule="exact"/>
              <w:jc w:val="center"/>
              <w:rPr>
                <w:color w:val="auto"/>
                <w:sz w:val="21"/>
                <w:szCs w:val="21"/>
              </w:rPr>
            </w:pPr>
            <w:r>
              <w:rPr>
                <w:color w:val="auto"/>
                <w:sz w:val="21"/>
                <w:szCs w:val="21"/>
              </w:rPr>
              <w:t>隔声、减振</w:t>
            </w:r>
          </w:p>
        </w:tc>
      </w:tr>
    </w:tbl>
    <w:p>
      <w:pPr>
        <w:ind w:firstLine="482"/>
        <w:jc w:val="center"/>
        <w:rPr>
          <w:b/>
          <w:color w:val="auto"/>
        </w:rPr>
      </w:pPr>
    </w:p>
    <w:p>
      <w:pPr>
        <w:ind w:firstLine="482"/>
        <w:jc w:val="center"/>
        <w:rPr>
          <w:b/>
          <w:color w:val="auto"/>
        </w:rPr>
      </w:pPr>
    </w:p>
    <w:p>
      <w:pPr>
        <w:pStyle w:val="3"/>
        <w:numPr>
          <w:ilvl w:val="0"/>
          <w:numId w:val="0"/>
        </w:numPr>
        <w:tabs>
          <w:tab w:val="clear" w:pos="680"/>
        </w:tabs>
        <w:rPr>
          <w:rFonts w:ascii="Times New Roman"/>
          <w:bCs/>
          <w:color w:val="auto"/>
        </w:rPr>
      </w:pPr>
      <w:bookmarkStart w:id="306" w:name="_Toc24136758"/>
      <w:bookmarkStart w:id="307" w:name="_Toc23263158"/>
      <w:bookmarkStart w:id="308" w:name="_Toc1233"/>
      <w:bookmarkStart w:id="309" w:name="_Toc483263306"/>
      <w:bookmarkStart w:id="310" w:name="_Toc14943317"/>
      <w:r>
        <w:rPr>
          <w:rFonts w:hint="eastAsia" w:ascii="Times New Roman"/>
          <w:bCs/>
          <w:color w:val="auto"/>
          <w:lang w:eastAsia="zh-CN"/>
        </w:rPr>
        <w:t>3.</w:t>
      </w:r>
      <w:r>
        <w:rPr>
          <w:rFonts w:hint="eastAsia" w:ascii="Times New Roman"/>
          <w:bCs/>
          <w:color w:val="auto"/>
          <w:lang w:val="en-US" w:eastAsia="zh-CN"/>
        </w:rPr>
        <w:t>2</w:t>
      </w:r>
      <w:r>
        <w:rPr>
          <w:rFonts w:hint="eastAsia" w:ascii="Times New Roman"/>
          <w:bCs/>
          <w:color w:val="auto"/>
          <w:lang w:eastAsia="zh-CN"/>
        </w:rPr>
        <w:t>施工期污染源分析</w:t>
      </w:r>
      <w:bookmarkEnd w:id="306"/>
      <w:bookmarkEnd w:id="307"/>
      <w:bookmarkEnd w:id="308"/>
    </w:p>
    <w:p>
      <w:pPr>
        <w:autoSpaceDE w:val="0"/>
        <w:autoSpaceDN w:val="0"/>
        <w:adjustRightInd w:val="0"/>
        <w:spacing w:line="360" w:lineRule="auto"/>
        <w:ind w:firstLine="480" w:firstLineChars="200"/>
        <w:jc w:val="both"/>
        <w:rPr>
          <w:rFonts w:ascii="宋体" w:cs="宋体"/>
          <w:color w:val="auto"/>
          <w:kern w:val="0"/>
        </w:rPr>
      </w:pPr>
      <w:r>
        <w:rPr>
          <w:rFonts w:hint="eastAsia" w:ascii="宋体" w:cs="宋体"/>
          <w:color w:val="auto"/>
          <w:kern w:val="0"/>
        </w:rPr>
        <w:t>1、水土流失</w:t>
      </w:r>
      <w:r>
        <w:rPr>
          <w:rFonts w:ascii="宋体" w:cs="宋体"/>
          <w:color w:val="auto"/>
          <w:kern w:val="0"/>
        </w:rPr>
        <w:t xml:space="preserve"> </w:t>
      </w:r>
    </w:p>
    <w:p>
      <w:pPr>
        <w:spacing w:line="360" w:lineRule="auto"/>
        <w:ind w:firstLine="480" w:firstLineChars="200"/>
        <w:rPr>
          <w:color w:val="auto"/>
        </w:rPr>
      </w:pPr>
      <w:r>
        <w:rPr>
          <w:color w:val="auto"/>
        </w:rPr>
        <w:t xml:space="preserve">施工过程中需要挖土方，因此导致土壤暴露在雨、风和其它干扰之中，使水土流失情况加剧。施工过程中，泥土转运装卸作业过程中和泥土堆放时，都可能出现散落和水土流失。项目所在地年平均降雨量大，多暴雨，降雨量大部分集中在雨季，夏季暴雨较集中，降雨大，降雨时间长，这些气象条件可能引发本项目在建设期出现水土流失现象。 </w:t>
      </w:r>
    </w:p>
    <w:p>
      <w:pPr>
        <w:spacing w:line="360" w:lineRule="auto"/>
        <w:rPr>
          <w:color w:val="auto"/>
        </w:rPr>
      </w:pPr>
      <w:r>
        <w:rPr>
          <w:color w:val="auto"/>
        </w:rPr>
        <w:t>本项目土石方开挖主要是建设区表土剥离、土石方开挖及回填</w:t>
      </w:r>
      <w:r>
        <w:rPr>
          <w:rFonts w:hint="eastAsia"/>
          <w:color w:val="auto"/>
        </w:rPr>
        <w:t>等</w:t>
      </w:r>
      <w:r>
        <w:rPr>
          <w:color w:val="auto"/>
        </w:rPr>
        <w:t>。</w:t>
      </w:r>
    </w:p>
    <w:p>
      <w:pPr>
        <w:spacing w:line="360" w:lineRule="auto"/>
        <w:ind w:firstLine="480" w:firstLineChars="200"/>
        <w:rPr>
          <w:color w:val="auto"/>
        </w:rPr>
      </w:pPr>
      <w:r>
        <w:rPr>
          <w:color w:val="auto"/>
        </w:rPr>
        <w:t>工程造成的水土流失主要表现在施工过程中对地面的扰动，在一定程度上改变、破坏了原有地貌及植被，在不同程度上对原有水土保持设施造成了一定的损坏，形成土层松散、表土层抗侵蚀能力减弱，加剧了水土流失的发生与发展。随着工程的竣工，工程措施和植物措施的实施，工程措施首先发挥出有效的作用，而植物措施则需要一年的自然恢复期，地表逐步被林草覆盖，水土流失强度逐步减弱。本工程水土流失主要集中在主体工程区，占水土流失总量的90%，应作为水土流失防治和监测的重点区域。工程应针对不同时段不同区域的水土流失特点，因地制宜，因害设防，设</w:t>
      </w:r>
      <w:r>
        <w:rPr>
          <w:rFonts w:hint="eastAsia"/>
          <w:color w:val="auto"/>
        </w:rPr>
        <w:t>置相应的防治措施，制定行之有效的防治方案，遏制新增水土流失的发生与发展。</w:t>
      </w:r>
    </w:p>
    <w:p>
      <w:pPr>
        <w:spacing w:line="360" w:lineRule="auto"/>
        <w:ind w:firstLine="480" w:firstLineChars="200"/>
        <w:rPr>
          <w:color w:val="auto"/>
        </w:rPr>
      </w:pPr>
      <w:r>
        <w:rPr>
          <w:rFonts w:hint="eastAsia"/>
          <w:color w:val="auto"/>
        </w:rPr>
        <w:t>生产运行期是水土流失的重点时段。水土流失的重点区域是填埋库区。自然恢复期产生的水土流失较小，由于各项水土保持基本到位，能够满足水土保持防治要求，对环境的影响较小。工程建设过程中，项目区征地范围内的地表将遭受不同程度的破坏，局部地貌将发生较大的改变，如不采取水土保持措施，严重的水土流失很容易对区域土地生产力，区域生态环境等造成不同程度的危害。</w:t>
      </w:r>
    </w:p>
    <w:p>
      <w:pPr>
        <w:spacing w:line="360" w:lineRule="auto"/>
        <w:ind w:firstLine="480" w:firstLineChars="200"/>
        <w:jc w:val="both"/>
        <w:rPr>
          <w:rFonts w:ascii="宋体" w:cs="宋体"/>
          <w:color w:val="auto"/>
          <w:kern w:val="0"/>
        </w:rPr>
      </w:pPr>
      <w:r>
        <w:rPr>
          <w:color w:val="auto"/>
          <w:kern w:val="0"/>
        </w:rPr>
        <w:t>2、</w:t>
      </w:r>
      <w:r>
        <w:rPr>
          <w:rFonts w:hint="eastAsia" w:ascii="宋体" w:cs="宋体"/>
          <w:color w:val="auto"/>
          <w:kern w:val="0"/>
        </w:rPr>
        <w:t>水污染源</w:t>
      </w:r>
      <w:r>
        <w:rPr>
          <w:rFonts w:ascii="宋体" w:cs="宋体"/>
          <w:color w:val="auto"/>
          <w:kern w:val="0"/>
        </w:rPr>
        <w:t xml:space="preserve"> </w:t>
      </w:r>
    </w:p>
    <w:p>
      <w:pPr>
        <w:spacing w:line="360" w:lineRule="auto"/>
        <w:ind w:firstLine="480" w:firstLineChars="200"/>
        <w:jc w:val="both"/>
        <w:rPr>
          <w:b/>
          <w:color w:val="auto"/>
        </w:rPr>
      </w:pPr>
      <w:r>
        <w:rPr>
          <w:rFonts w:hint="eastAsia" w:ascii="宋体" w:cs="宋体"/>
          <w:color w:val="auto"/>
          <w:kern w:val="0"/>
        </w:rPr>
        <w:t>在场地平整阶段，整个建设地将需要挖、填土方，如果控制不当，裸露的地表因雨水径流的冲刷将含有大量的悬浮固体（包括泥沙）进入当地的产生系统，从而影响地表水环境。因此，水土保持是建设期间非常重要的环节。另外，施工人员的生活污水等也是应考虑的问题。</w:t>
      </w:r>
    </w:p>
    <w:p>
      <w:pPr>
        <w:spacing w:line="360" w:lineRule="auto"/>
        <w:ind w:firstLine="480" w:firstLineChars="200"/>
        <w:jc w:val="both"/>
        <w:rPr>
          <w:b/>
          <w:color w:val="auto"/>
        </w:rPr>
      </w:pPr>
      <w:r>
        <w:rPr>
          <w:rFonts w:hint="eastAsia"/>
          <w:color w:val="auto"/>
        </w:rPr>
        <w:t>（1）生活污水</w:t>
      </w:r>
    </w:p>
    <w:p>
      <w:pPr>
        <w:autoSpaceDE w:val="0"/>
        <w:autoSpaceDN w:val="0"/>
        <w:adjustRightInd w:val="0"/>
        <w:spacing w:line="360" w:lineRule="auto"/>
        <w:ind w:firstLine="480" w:firstLineChars="200"/>
        <w:jc w:val="both"/>
        <w:rPr>
          <w:rFonts w:ascii="宋体" w:cs="宋体"/>
          <w:color w:val="auto"/>
          <w:kern w:val="0"/>
        </w:rPr>
      </w:pPr>
      <w:r>
        <w:rPr>
          <w:rFonts w:hint="eastAsia" w:ascii="宋体" w:cs="宋体"/>
          <w:color w:val="auto"/>
          <w:kern w:val="0"/>
        </w:rPr>
        <w:t>施工期间污水主要来自厂区施工工人的生活污水和施工设备、车辆的冲洗水以及施工期间下雨的泥泞水，主要污染物是</w:t>
      </w:r>
      <w:r>
        <w:rPr>
          <w:color w:val="auto"/>
          <w:kern w:val="0"/>
        </w:rPr>
        <w:t>COD</w:t>
      </w:r>
      <w:r>
        <w:rPr>
          <w:rFonts w:hint="eastAsia" w:ascii="宋体" w:cs="宋体"/>
          <w:color w:val="auto"/>
          <w:kern w:val="0"/>
        </w:rPr>
        <w:t>、泥沙。</w:t>
      </w:r>
      <w:r>
        <w:rPr>
          <w:rFonts w:ascii="宋体" w:cs="宋体"/>
          <w:color w:val="auto"/>
          <w:kern w:val="0"/>
        </w:rPr>
        <w:t xml:space="preserve"> </w:t>
      </w:r>
    </w:p>
    <w:p>
      <w:pPr>
        <w:autoSpaceDE w:val="0"/>
        <w:autoSpaceDN w:val="0"/>
        <w:adjustRightInd w:val="0"/>
        <w:spacing w:line="360" w:lineRule="auto"/>
        <w:ind w:firstLine="480" w:firstLineChars="200"/>
        <w:jc w:val="both"/>
        <w:rPr>
          <w:rFonts w:ascii="宋体" w:cs="宋体"/>
          <w:color w:val="auto"/>
          <w:kern w:val="0"/>
        </w:rPr>
      </w:pPr>
      <w:r>
        <w:rPr>
          <w:rFonts w:hint="eastAsia" w:ascii="宋体" w:cs="宋体"/>
          <w:color w:val="auto"/>
          <w:kern w:val="0"/>
        </w:rPr>
        <w:t>施工生活废水量将依据施工高峰人数，采取同类型项目的类比调查分析结果进行估算。</w:t>
      </w:r>
      <w:r>
        <w:rPr>
          <w:rFonts w:hint="eastAsia" w:ascii="宋体" w:cs="宋体"/>
          <w:color w:val="auto"/>
        </w:rPr>
        <w:t>施工队伍按照</w:t>
      </w:r>
      <w:r>
        <w:rPr>
          <w:rFonts w:hint="eastAsia"/>
          <w:color w:val="auto"/>
        </w:rPr>
        <w:t>20</w:t>
      </w:r>
      <w:r>
        <w:rPr>
          <w:rFonts w:hint="eastAsia" w:ascii="宋体" w:cs="宋体"/>
          <w:color w:val="auto"/>
        </w:rPr>
        <w:t>人估算，生活污水产生量约为</w:t>
      </w:r>
      <w:r>
        <w:rPr>
          <w:rFonts w:hint="eastAsia"/>
          <w:color w:val="auto"/>
        </w:rPr>
        <w:t>4</w:t>
      </w:r>
      <w:r>
        <w:rPr>
          <w:color w:val="auto"/>
        </w:rPr>
        <w:t>m</w:t>
      </w:r>
      <w:r>
        <w:rPr>
          <w:color w:val="auto"/>
          <w:vertAlign w:val="superscript"/>
        </w:rPr>
        <w:t>3</w:t>
      </w:r>
      <w:r>
        <w:rPr>
          <w:color w:val="auto"/>
        </w:rPr>
        <w:t>/d</w:t>
      </w:r>
      <w:r>
        <w:rPr>
          <w:rFonts w:hint="eastAsia" w:ascii="宋体" w:cs="宋体"/>
          <w:color w:val="auto"/>
        </w:rPr>
        <w:t>（每人按照每日排污量</w:t>
      </w:r>
      <w:r>
        <w:rPr>
          <w:color w:val="auto"/>
        </w:rPr>
        <w:t>0.2m</w:t>
      </w:r>
      <w:r>
        <w:rPr>
          <w:color w:val="auto"/>
          <w:vertAlign w:val="superscript"/>
        </w:rPr>
        <w:t>3</w:t>
      </w:r>
      <w:r>
        <w:rPr>
          <w:color w:val="auto"/>
        </w:rPr>
        <w:t>/d</w:t>
      </w:r>
      <w:r>
        <w:rPr>
          <w:rFonts w:hint="eastAsia" w:ascii="宋体" w:cs="宋体"/>
          <w:color w:val="auto"/>
        </w:rPr>
        <w:t>估算）。</w:t>
      </w:r>
      <w:r>
        <w:rPr>
          <w:rFonts w:hint="eastAsia" w:ascii="宋体" w:cs="宋体"/>
          <w:color w:val="auto"/>
          <w:kern w:val="0"/>
        </w:rPr>
        <w:t>类比同类型生活污水中主要污染物的浓度，本项目施工期生活污水中主要污染物的浓度和污染负荷如表</w:t>
      </w:r>
      <w:r>
        <w:rPr>
          <w:rFonts w:hint="eastAsia"/>
          <w:color w:val="auto"/>
          <w:kern w:val="0"/>
        </w:rPr>
        <w:t>3.</w:t>
      </w:r>
      <w:r>
        <w:rPr>
          <w:rFonts w:hint="eastAsia"/>
          <w:color w:val="auto"/>
          <w:kern w:val="0"/>
          <w:lang w:val="en-US" w:eastAsia="zh-CN"/>
        </w:rPr>
        <w:t>2</w:t>
      </w:r>
      <w:r>
        <w:rPr>
          <w:color w:val="auto"/>
          <w:kern w:val="0"/>
        </w:rPr>
        <w:t>-1</w:t>
      </w:r>
      <w:r>
        <w:rPr>
          <w:rFonts w:hint="eastAsia" w:ascii="宋体" w:cs="宋体"/>
          <w:color w:val="auto"/>
          <w:kern w:val="0"/>
        </w:rPr>
        <w:t>。</w:t>
      </w:r>
    </w:p>
    <w:p>
      <w:pPr>
        <w:ind w:firstLine="361" w:firstLineChars="150"/>
        <w:jc w:val="center"/>
        <w:rPr>
          <w:b/>
          <w:color w:val="auto"/>
        </w:rPr>
      </w:pPr>
      <w:r>
        <w:rPr>
          <w:rFonts w:hint="eastAsia"/>
          <w:b/>
          <w:color w:val="auto"/>
        </w:rPr>
        <w:t>表</w:t>
      </w:r>
      <w:r>
        <w:rPr>
          <w:b/>
          <w:color w:val="auto"/>
        </w:rPr>
        <w:t xml:space="preserve"> </w:t>
      </w:r>
      <w:r>
        <w:rPr>
          <w:rFonts w:hint="eastAsia"/>
          <w:b/>
          <w:bCs/>
          <w:color w:val="auto"/>
        </w:rPr>
        <w:t>3.</w:t>
      </w:r>
      <w:r>
        <w:rPr>
          <w:rFonts w:hint="eastAsia"/>
          <w:b/>
          <w:bCs/>
          <w:color w:val="auto"/>
          <w:lang w:val="en-US" w:eastAsia="zh-CN"/>
        </w:rPr>
        <w:t>2</w:t>
      </w:r>
      <w:r>
        <w:rPr>
          <w:b/>
          <w:bCs/>
          <w:color w:val="auto"/>
        </w:rPr>
        <w:t>-1</w:t>
      </w:r>
      <w:r>
        <w:rPr>
          <w:rFonts w:hint="eastAsia"/>
          <w:b/>
          <w:bCs/>
          <w:color w:val="auto"/>
        </w:rPr>
        <w:t xml:space="preserve"> </w:t>
      </w:r>
      <w:r>
        <w:rPr>
          <w:b/>
          <w:bCs/>
          <w:color w:val="auto"/>
        </w:rPr>
        <w:t xml:space="preserve"> </w:t>
      </w:r>
      <w:r>
        <w:rPr>
          <w:rFonts w:hint="eastAsia"/>
          <w:b/>
          <w:color w:val="auto"/>
        </w:rPr>
        <w:t>施工人员生活污水主要污染物</w:t>
      </w:r>
    </w:p>
    <w:tbl>
      <w:tblPr>
        <w:tblStyle w:val="54"/>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7"/>
        <w:gridCol w:w="1857"/>
        <w:gridCol w:w="1857"/>
        <w:gridCol w:w="1857"/>
        <w:gridCol w:w="18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jc w:val="center"/>
              <w:rPr>
                <w:b/>
                <w:color w:val="auto"/>
                <w:sz w:val="21"/>
                <w:szCs w:val="21"/>
              </w:rPr>
            </w:pPr>
            <w:r>
              <w:rPr>
                <w:b/>
                <w:color w:val="auto"/>
                <w:sz w:val="21"/>
                <w:szCs w:val="21"/>
              </w:rPr>
              <w:t>污染物</w:t>
            </w:r>
          </w:p>
        </w:tc>
        <w:tc>
          <w:tcPr>
            <w:tcW w:w="1857" w:type="dxa"/>
            <w:vAlign w:val="center"/>
          </w:tcPr>
          <w:p>
            <w:pPr>
              <w:pStyle w:val="97"/>
              <w:jc w:val="center"/>
              <w:rPr>
                <w:rFonts w:ascii="Times New Roman" w:cs="Times New Roman"/>
                <w:b/>
                <w:color w:val="auto"/>
                <w:sz w:val="21"/>
                <w:szCs w:val="21"/>
              </w:rPr>
            </w:pPr>
            <w:r>
              <w:rPr>
                <w:rFonts w:ascii="Times New Roman" w:cs="Times New Roman"/>
                <w:b/>
                <w:bCs/>
                <w:color w:val="auto"/>
                <w:sz w:val="21"/>
                <w:szCs w:val="21"/>
              </w:rPr>
              <w:t>CODcr</w:t>
            </w:r>
          </w:p>
        </w:tc>
        <w:tc>
          <w:tcPr>
            <w:tcW w:w="1857" w:type="dxa"/>
            <w:vAlign w:val="center"/>
          </w:tcPr>
          <w:p>
            <w:pPr>
              <w:pStyle w:val="97"/>
              <w:jc w:val="center"/>
              <w:rPr>
                <w:rFonts w:ascii="Times New Roman" w:cs="Times New Roman"/>
                <w:b/>
                <w:color w:val="auto"/>
                <w:sz w:val="21"/>
                <w:szCs w:val="21"/>
              </w:rPr>
            </w:pPr>
            <w:r>
              <w:rPr>
                <w:rFonts w:ascii="Times New Roman" w:cs="Times New Roman"/>
                <w:b/>
                <w:bCs/>
                <w:color w:val="auto"/>
                <w:sz w:val="21"/>
                <w:szCs w:val="21"/>
              </w:rPr>
              <w:t>BOD</w:t>
            </w:r>
            <w:r>
              <w:rPr>
                <w:rFonts w:ascii="Times New Roman" w:cs="Times New Roman"/>
                <w:b/>
                <w:bCs/>
                <w:color w:val="auto"/>
                <w:sz w:val="21"/>
                <w:szCs w:val="21"/>
                <w:vertAlign w:val="subscript"/>
              </w:rPr>
              <w:t>5</w:t>
            </w:r>
          </w:p>
        </w:tc>
        <w:tc>
          <w:tcPr>
            <w:tcW w:w="1857" w:type="dxa"/>
            <w:vAlign w:val="center"/>
          </w:tcPr>
          <w:p>
            <w:pPr>
              <w:pStyle w:val="97"/>
              <w:jc w:val="center"/>
              <w:rPr>
                <w:rFonts w:ascii="Times New Roman" w:cs="Times New Roman"/>
                <w:b/>
                <w:color w:val="auto"/>
                <w:sz w:val="21"/>
                <w:szCs w:val="21"/>
              </w:rPr>
            </w:pPr>
            <w:r>
              <w:rPr>
                <w:rFonts w:ascii="Times New Roman" w:cs="Times New Roman"/>
                <w:b/>
                <w:bCs/>
                <w:color w:val="auto"/>
                <w:sz w:val="21"/>
                <w:szCs w:val="21"/>
              </w:rPr>
              <w:t>NH</w:t>
            </w:r>
            <w:r>
              <w:rPr>
                <w:rFonts w:ascii="Times New Roman" w:cs="Times New Roman"/>
                <w:b/>
                <w:bCs/>
                <w:color w:val="auto"/>
                <w:sz w:val="21"/>
                <w:szCs w:val="21"/>
                <w:vertAlign w:val="subscript"/>
              </w:rPr>
              <w:t>3</w:t>
            </w:r>
            <w:r>
              <w:rPr>
                <w:rFonts w:ascii="Times New Roman" w:cs="Times New Roman"/>
                <w:b/>
                <w:bCs/>
                <w:color w:val="auto"/>
                <w:sz w:val="21"/>
                <w:szCs w:val="21"/>
              </w:rPr>
              <w:t>-N</w:t>
            </w:r>
          </w:p>
        </w:tc>
        <w:tc>
          <w:tcPr>
            <w:tcW w:w="1858" w:type="dxa"/>
            <w:vAlign w:val="center"/>
          </w:tcPr>
          <w:p>
            <w:pPr>
              <w:jc w:val="center"/>
              <w:rPr>
                <w:b/>
                <w:color w:val="auto"/>
                <w:sz w:val="21"/>
                <w:szCs w:val="21"/>
              </w:rPr>
            </w:pPr>
            <w:r>
              <w:rPr>
                <w:b/>
                <w:color w:val="auto"/>
                <w:sz w:val="21"/>
                <w:szCs w:val="21"/>
              </w:rPr>
              <w:t>SS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jc w:val="center"/>
              <w:rPr>
                <w:color w:val="auto"/>
                <w:sz w:val="21"/>
                <w:szCs w:val="21"/>
              </w:rPr>
            </w:pPr>
            <w:r>
              <w:rPr>
                <w:color w:val="auto"/>
                <w:sz w:val="21"/>
                <w:szCs w:val="21"/>
              </w:rPr>
              <w:t>浓度mg/L</w:t>
            </w:r>
          </w:p>
        </w:tc>
        <w:tc>
          <w:tcPr>
            <w:tcW w:w="1857" w:type="dxa"/>
          </w:tcPr>
          <w:p>
            <w:pPr>
              <w:jc w:val="center"/>
              <w:rPr>
                <w:color w:val="auto"/>
                <w:sz w:val="21"/>
                <w:szCs w:val="21"/>
              </w:rPr>
            </w:pPr>
            <w:r>
              <w:rPr>
                <w:color w:val="auto"/>
                <w:sz w:val="21"/>
                <w:szCs w:val="21"/>
              </w:rPr>
              <w:t>250</w:t>
            </w:r>
          </w:p>
        </w:tc>
        <w:tc>
          <w:tcPr>
            <w:tcW w:w="1857" w:type="dxa"/>
          </w:tcPr>
          <w:p>
            <w:pPr>
              <w:jc w:val="center"/>
              <w:rPr>
                <w:color w:val="auto"/>
                <w:sz w:val="21"/>
                <w:szCs w:val="21"/>
              </w:rPr>
            </w:pPr>
            <w:r>
              <w:rPr>
                <w:color w:val="auto"/>
                <w:sz w:val="21"/>
                <w:szCs w:val="21"/>
              </w:rPr>
              <w:t>110</w:t>
            </w:r>
          </w:p>
        </w:tc>
        <w:tc>
          <w:tcPr>
            <w:tcW w:w="1857" w:type="dxa"/>
          </w:tcPr>
          <w:p>
            <w:pPr>
              <w:jc w:val="center"/>
              <w:rPr>
                <w:color w:val="auto"/>
                <w:sz w:val="21"/>
                <w:szCs w:val="21"/>
              </w:rPr>
            </w:pPr>
            <w:r>
              <w:rPr>
                <w:color w:val="auto"/>
                <w:sz w:val="21"/>
                <w:szCs w:val="21"/>
              </w:rPr>
              <w:t>25</w:t>
            </w:r>
          </w:p>
        </w:tc>
        <w:tc>
          <w:tcPr>
            <w:tcW w:w="1858" w:type="dxa"/>
          </w:tcPr>
          <w:p>
            <w:pPr>
              <w:jc w:val="center"/>
              <w:rPr>
                <w:color w:val="auto"/>
                <w:sz w:val="21"/>
                <w:szCs w:val="21"/>
              </w:rPr>
            </w:pPr>
            <w:r>
              <w:rPr>
                <w:color w:val="auto"/>
                <w:sz w:val="21"/>
                <w:szCs w:val="21"/>
              </w:rPr>
              <w: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jc w:val="center"/>
              <w:rPr>
                <w:color w:val="auto"/>
                <w:sz w:val="21"/>
                <w:szCs w:val="21"/>
              </w:rPr>
            </w:pPr>
            <w:r>
              <w:rPr>
                <w:color w:val="auto"/>
                <w:sz w:val="21"/>
                <w:szCs w:val="21"/>
              </w:rPr>
              <w:t>污染负荷kg/d</w:t>
            </w:r>
          </w:p>
        </w:tc>
        <w:tc>
          <w:tcPr>
            <w:tcW w:w="1857" w:type="dxa"/>
          </w:tcPr>
          <w:p>
            <w:pPr>
              <w:jc w:val="center"/>
              <w:rPr>
                <w:color w:val="auto"/>
                <w:sz w:val="21"/>
                <w:szCs w:val="21"/>
              </w:rPr>
            </w:pPr>
            <w:r>
              <w:rPr>
                <w:rFonts w:hint="eastAsia"/>
                <w:color w:val="auto"/>
                <w:sz w:val="21"/>
                <w:szCs w:val="21"/>
              </w:rPr>
              <w:t>1</w:t>
            </w:r>
          </w:p>
        </w:tc>
        <w:tc>
          <w:tcPr>
            <w:tcW w:w="1857" w:type="dxa"/>
          </w:tcPr>
          <w:p>
            <w:pPr>
              <w:jc w:val="center"/>
              <w:rPr>
                <w:color w:val="auto"/>
                <w:sz w:val="21"/>
                <w:szCs w:val="21"/>
              </w:rPr>
            </w:pPr>
            <w:r>
              <w:rPr>
                <w:rFonts w:hint="eastAsia"/>
                <w:color w:val="auto"/>
                <w:sz w:val="21"/>
                <w:szCs w:val="21"/>
              </w:rPr>
              <w:t>0.44</w:t>
            </w:r>
          </w:p>
        </w:tc>
        <w:tc>
          <w:tcPr>
            <w:tcW w:w="1857" w:type="dxa"/>
          </w:tcPr>
          <w:p>
            <w:pPr>
              <w:jc w:val="center"/>
              <w:rPr>
                <w:color w:val="auto"/>
                <w:sz w:val="21"/>
                <w:szCs w:val="21"/>
              </w:rPr>
            </w:pPr>
            <w:r>
              <w:rPr>
                <w:color w:val="auto"/>
                <w:sz w:val="21"/>
                <w:szCs w:val="21"/>
              </w:rPr>
              <w:t>0.</w:t>
            </w:r>
            <w:r>
              <w:rPr>
                <w:rFonts w:hint="eastAsia"/>
                <w:color w:val="auto"/>
                <w:sz w:val="21"/>
                <w:szCs w:val="21"/>
              </w:rPr>
              <w:t>1</w:t>
            </w:r>
          </w:p>
        </w:tc>
        <w:tc>
          <w:tcPr>
            <w:tcW w:w="1858" w:type="dxa"/>
          </w:tcPr>
          <w:p>
            <w:pPr>
              <w:jc w:val="center"/>
              <w:rPr>
                <w:color w:val="auto"/>
                <w:sz w:val="21"/>
                <w:szCs w:val="21"/>
              </w:rPr>
            </w:pPr>
            <w:r>
              <w:rPr>
                <w:rFonts w:hint="eastAsia"/>
                <w:color w:val="auto"/>
                <w:sz w:val="21"/>
                <w:szCs w:val="21"/>
              </w:rPr>
              <w:t>0.6</w:t>
            </w:r>
          </w:p>
        </w:tc>
      </w:tr>
    </w:tbl>
    <w:p>
      <w:pPr>
        <w:spacing w:line="360" w:lineRule="auto"/>
        <w:ind w:firstLine="360" w:firstLineChars="150"/>
        <w:rPr>
          <w:b/>
          <w:color w:val="auto"/>
        </w:rPr>
      </w:pPr>
      <w:r>
        <w:rPr>
          <w:rFonts w:hint="eastAsia" w:ascii="宋体" w:cs="宋体"/>
          <w:color w:val="auto"/>
          <w:kern w:val="0"/>
        </w:rPr>
        <w:t>施工期生活废水经临时旱厕收集，粪渣由当地环卫部门清掏。</w:t>
      </w:r>
    </w:p>
    <w:p>
      <w:pPr>
        <w:autoSpaceDE w:val="0"/>
        <w:autoSpaceDN w:val="0"/>
        <w:adjustRightInd w:val="0"/>
        <w:spacing w:line="360" w:lineRule="auto"/>
        <w:ind w:firstLine="480" w:firstLineChars="200"/>
        <w:rPr>
          <w:rFonts w:eastAsiaTheme="minorEastAsia"/>
          <w:color w:val="auto"/>
        </w:rPr>
      </w:pPr>
      <w:r>
        <w:rPr>
          <w:rFonts w:eastAsiaTheme="minorEastAsia"/>
          <w:color w:val="auto"/>
        </w:rPr>
        <w:t xml:space="preserve">（2）施工场地生产废水 </w:t>
      </w:r>
    </w:p>
    <w:p>
      <w:pPr>
        <w:spacing w:line="360" w:lineRule="auto"/>
        <w:ind w:firstLine="480" w:firstLineChars="200"/>
        <w:rPr>
          <w:rFonts w:eastAsiaTheme="minorEastAsia"/>
          <w:b/>
          <w:color w:val="auto"/>
        </w:rPr>
      </w:pPr>
      <w:r>
        <w:rPr>
          <w:rFonts w:eastAsiaTheme="minorEastAsia"/>
          <w:color w:val="auto"/>
          <w:kern w:val="0"/>
        </w:rPr>
        <w:t>施工场地生产废水主要是指施工过程设备的冲洗产生地废水，废水中主要污染物为悬浮物（SS）和少量含油污水，工程施工产生的少量废水经沉淀处理后回用于厂区洒水抑尘。</w:t>
      </w:r>
    </w:p>
    <w:p>
      <w:pPr>
        <w:autoSpaceDE w:val="0"/>
        <w:autoSpaceDN w:val="0"/>
        <w:adjustRightInd w:val="0"/>
        <w:spacing w:line="360" w:lineRule="auto"/>
        <w:ind w:firstLine="480" w:firstLineChars="200"/>
        <w:rPr>
          <w:rFonts w:eastAsiaTheme="minorEastAsia"/>
          <w:color w:val="auto"/>
          <w:kern w:val="0"/>
        </w:rPr>
      </w:pPr>
      <w:r>
        <w:rPr>
          <w:rFonts w:eastAsiaTheme="minorEastAsia"/>
          <w:color w:val="auto"/>
          <w:kern w:val="0"/>
        </w:rPr>
        <w:t xml:space="preserve">3、大气污染源 </w:t>
      </w:r>
    </w:p>
    <w:p>
      <w:pPr>
        <w:spacing w:line="360" w:lineRule="auto"/>
        <w:ind w:firstLine="480" w:firstLineChars="200"/>
        <w:rPr>
          <w:rFonts w:eastAsiaTheme="minorEastAsia"/>
          <w:color w:val="auto"/>
          <w:kern w:val="0"/>
        </w:rPr>
      </w:pPr>
      <w:r>
        <w:rPr>
          <w:rFonts w:eastAsiaTheme="minorEastAsia"/>
          <w:color w:val="auto"/>
          <w:kern w:val="0"/>
        </w:rPr>
        <w:t>建设期扬尘的产生主要来自场地的平整、填土的运输和压实，工地的风蚀、基础挖掘等环节，汽车在未铺砌的路面和场地上行驶也将产生较大的扬尘。此外，汽车运输排放的尾气中也有CO、NO</w:t>
      </w:r>
      <w:r>
        <w:rPr>
          <w:rFonts w:eastAsiaTheme="minorEastAsia"/>
          <w:color w:val="auto"/>
          <w:kern w:val="0"/>
          <w:vertAlign w:val="subscript"/>
        </w:rPr>
        <w:t>2</w:t>
      </w:r>
      <w:r>
        <w:rPr>
          <w:rFonts w:eastAsiaTheme="minorEastAsia"/>
          <w:color w:val="auto"/>
          <w:kern w:val="0"/>
        </w:rPr>
        <w:t>、TSP等污染物质。</w:t>
      </w:r>
    </w:p>
    <w:p>
      <w:pPr>
        <w:autoSpaceDE w:val="0"/>
        <w:autoSpaceDN w:val="0"/>
        <w:adjustRightInd w:val="0"/>
        <w:spacing w:line="360" w:lineRule="auto"/>
        <w:ind w:firstLine="480" w:firstLineChars="200"/>
        <w:rPr>
          <w:rFonts w:eastAsiaTheme="minorEastAsia"/>
          <w:color w:val="auto"/>
          <w:kern w:val="0"/>
        </w:rPr>
      </w:pPr>
      <w:r>
        <w:rPr>
          <w:rFonts w:eastAsiaTheme="minorEastAsia"/>
          <w:color w:val="auto"/>
          <w:kern w:val="0"/>
        </w:rPr>
        <w:t xml:space="preserve">4、施工期噪声 </w:t>
      </w:r>
    </w:p>
    <w:p>
      <w:pPr>
        <w:spacing w:line="360" w:lineRule="auto"/>
        <w:ind w:firstLine="480" w:firstLineChars="200"/>
        <w:rPr>
          <w:rFonts w:ascii="宋体" w:cs="宋体"/>
          <w:color w:val="auto"/>
          <w:kern w:val="0"/>
        </w:rPr>
      </w:pPr>
      <w:r>
        <w:rPr>
          <w:rFonts w:eastAsiaTheme="minorEastAsia"/>
          <w:color w:val="auto"/>
          <w:kern w:val="0"/>
        </w:rPr>
        <w:t>工业区在建设期中使用的机械设备</w:t>
      </w:r>
      <w:r>
        <w:rPr>
          <w:rFonts w:hint="eastAsia" w:ascii="宋体" w:cs="宋体"/>
          <w:color w:val="auto"/>
          <w:kern w:val="0"/>
        </w:rPr>
        <w:t>种类较多，一般施工所使用的典型机械设备有：推土机、混凝土搅拌机、震捣机、运输车辆等等；厂房建设施工时，有时还用打桩机等。一般施工所使用的典型机械设备的噪声源特点及其噪声源强情况详见表</w:t>
      </w:r>
      <w:r>
        <w:rPr>
          <w:rFonts w:hint="eastAsia"/>
          <w:color w:val="auto"/>
          <w:kern w:val="0"/>
        </w:rPr>
        <w:t>3.</w:t>
      </w:r>
      <w:r>
        <w:rPr>
          <w:rFonts w:hint="eastAsia"/>
          <w:color w:val="auto"/>
          <w:kern w:val="0"/>
          <w:lang w:val="en-US" w:eastAsia="zh-CN"/>
        </w:rPr>
        <w:t>2</w:t>
      </w:r>
      <w:r>
        <w:rPr>
          <w:color w:val="auto"/>
          <w:kern w:val="0"/>
        </w:rPr>
        <w:t>-2</w:t>
      </w:r>
    </w:p>
    <w:p>
      <w:pPr>
        <w:ind w:firstLine="361" w:firstLineChars="150"/>
        <w:jc w:val="center"/>
        <w:rPr>
          <w:b/>
          <w:bCs/>
          <w:color w:val="auto"/>
        </w:rPr>
      </w:pPr>
      <w:r>
        <w:rPr>
          <w:b/>
          <w:bCs/>
          <w:color w:val="auto"/>
        </w:rPr>
        <w:t>表3.</w:t>
      </w:r>
      <w:r>
        <w:rPr>
          <w:rFonts w:hint="eastAsia"/>
          <w:b/>
          <w:bCs/>
          <w:color w:val="auto"/>
          <w:lang w:val="en-US" w:eastAsia="zh-CN"/>
        </w:rPr>
        <w:t>2</w:t>
      </w:r>
      <w:r>
        <w:rPr>
          <w:b/>
          <w:bCs/>
          <w:color w:val="auto"/>
        </w:rPr>
        <w:t>-2  典型施工机械噪声特性及其噪声值 单位[dB(A)]</w:t>
      </w:r>
    </w:p>
    <w:tbl>
      <w:tblPr>
        <w:tblStyle w:val="54"/>
        <w:tblW w:w="928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26"/>
        <w:gridCol w:w="3116"/>
        <w:gridCol w:w="2322"/>
        <w:gridCol w:w="23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526" w:type="dxa"/>
            <w:vAlign w:val="center"/>
          </w:tcPr>
          <w:p>
            <w:pPr>
              <w:jc w:val="center"/>
              <w:rPr>
                <w:b/>
                <w:color w:val="auto"/>
                <w:sz w:val="21"/>
                <w:szCs w:val="21"/>
              </w:rPr>
            </w:pPr>
            <w:r>
              <w:rPr>
                <w:b/>
                <w:color w:val="auto"/>
                <w:sz w:val="21"/>
                <w:szCs w:val="21"/>
              </w:rPr>
              <w:t>序号</w:t>
            </w:r>
          </w:p>
        </w:tc>
        <w:tc>
          <w:tcPr>
            <w:tcW w:w="3116" w:type="dxa"/>
            <w:vAlign w:val="center"/>
          </w:tcPr>
          <w:p>
            <w:pPr>
              <w:jc w:val="center"/>
              <w:rPr>
                <w:b/>
                <w:color w:val="auto"/>
                <w:sz w:val="21"/>
                <w:szCs w:val="21"/>
              </w:rPr>
            </w:pPr>
            <w:r>
              <w:rPr>
                <w:b/>
                <w:color w:val="auto"/>
                <w:sz w:val="21"/>
                <w:szCs w:val="21"/>
              </w:rPr>
              <w:t>机械类型</w:t>
            </w:r>
          </w:p>
        </w:tc>
        <w:tc>
          <w:tcPr>
            <w:tcW w:w="2322" w:type="dxa"/>
            <w:vAlign w:val="center"/>
          </w:tcPr>
          <w:p>
            <w:pPr>
              <w:pStyle w:val="97"/>
              <w:jc w:val="center"/>
              <w:rPr>
                <w:rFonts w:ascii="Times New Roman" w:cs="Times New Roman"/>
                <w:b/>
                <w:color w:val="auto"/>
                <w:sz w:val="21"/>
                <w:szCs w:val="21"/>
              </w:rPr>
            </w:pPr>
            <w:r>
              <w:rPr>
                <w:rFonts w:ascii="Times New Roman" w:cs="Times New Roman"/>
                <w:b/>
                <w:color w:val="auto"/>
                <w:sz w:val="21"/>
                <w:szCs w:val="21"/>
              </w:rPr>
              <w:t>声源特点</w:t>
            </w:r>
          </w:p>
        </w:tc>
        <w:tc>
          <w:tcPr>
            <w:tcW w:w="2322" w:type="dxa"/>
            <w:vAlign w:val="center"/>
          </w:tcPr>
          <w:p>
            <w:pPr>
              <w:pStyle w:val="97"/>
              <w:jc w:val="center"/>
              <w:rPr>
                <w:rFonts w:ascii="Times New Roman" w:cs="Times New Roman"/>
                <w:b/>
                <w:color w:val="auto"/>
                <w:sz w:val="21"/>
                <w:szCs w:val="21"/>
              </w:rPr>
            </w:pPr>
            <w:r>
              <w:rPr>
                <w:rFonts w:ascii="Times New Roman" w:cs="Times New Roman"/>
                <w:b/>
                <w:color w:val="auto"/>
                <w:sz w:val="21"/>
                <w:szCs w:val="21"/>
              </w:rPr>
              <w:t>噪声值（</w:t>
            </w:r>
            <w:r>
              <w:rPr>
                <w:rFonts w:ascii="Times New Roman" w:cs="Times New Roman"/>
                <w:b/>
                <w:bCs/>
                <w:color w:val="auto"/>
                <w:sz w:val="21"/>
                <w:szCs w:val="21"/>
              </w:rPr>
              <w:t>5m</w:t>
            </w:r>
            <w:r>
              <w:rPr>
                <w:rFonts w:ascii="Times New Roman" w:cs="Times New Roman"/>
                <w:b/>
                <w:color w:val="auto"/>
                <w:sz w:val="21"/>
                <w:szCs w:val="21"/>
              </w:rPr>
              <w:t>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26" w:type="dxa"/>
            <w:vAlign w:val="center"/>
          </w:tcPr>
          <w:p>
            <w:pPr>
              <w:jc w:val="center"/>
              <w:rPr>
                <w:color w:val="auto"/>
                <w:sz w:val="21"/>
                <w:szCs w:val="21"/>
              </w:rPr>
            </w:pPr>
            <w:r>
              <w:rPr>
                <w:color w:val="auto"/>
                <w:sz w:val="21"/>
                <w:szCs w:val="21"/>
              </w:rPr>
              <w:t>1</w:t>
            </w:r>
          </w:p>
        </w:tc>
        <w:tc>
          <w:tcPr>
            <w:tcW w:w="3116" w:type="dxa"/>
            <w:vAlign w:val="center"/>
          </w:tcPr>
          <w:p>
            <w:pPr>
              <w:pStyle w:val="97"/>
              <w:jc w:val="center"/>
              <w:rPr>
                <w:rFonts w:ascii="Times New Roman" w:cs="Times New Roman"/>
                <w:color w:val="auto"/>
                <w:sz w:val="21"/>
                <w:szCs w:val="21"/>
              </w:rPr>
            </w:pPr>
            <w:r>
              <w:rPr>
                <w:rFonts w:ascii="Times New Roman" w:cs="Times New Roman"/>
                <w:color w:val="auto"/>
                <w:sz w:val="21"/>
                <w:szCs w:val="21"/>
              </w:rPr>
              <w:t>发电机</w:t>
            </w:r>
          </w:p>
        </w:tc>
        <w:tc>
          <w:tcPr>
            <w:tcW w:w="2322" w:type="dxa"/>
            <w:vAlign w:val="center"/>
          </w:tcPr>
          <w:p>
            <w:pPr>
              <w:jc w:val="center"/>
              <w:rPr>
                <w:color w:val="auto"/>
                <w:sz w:val="21"/>
                <w:szCs w:val="21"/>
              </w:rPr>
            </w:pPr>
            <w:r>
              <w:rPr>
                <w:color w:val="auto"/>
                <w:sz w:val="21"/>
                <w:szCs w:val="21"/>
              </w:rPr>
              <w:t>固定，稳定源</w:t>
            </w:r>
          </w:p>
        </w:tc>
        <w:tc>
          <w:tcPr>
            <w:tcW w:w="2322" w:type="dxa"/>
            <w:vAlign w:val="center"/>
          </w:tcPr>
          <w:p>
            <w:pPr>
              <w:jc w:val="center"/>
              <w:rPr>
                <w:color w:val="auto"/>
                <w:sz w:val="21"/>
                <w:szCs w:val="21"/>
              </w:rPr>
            </w:pPr>
            <w:r>
              <w:rPr>
                <w:color w:val="auto"/>
                <w:sz w:val="21"/>
                <w:szCs w:val="21"/>
              </w:rPr>
              <w:t>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26" w:type="dxa"/>
            <w:vAlign w:val="center"/>
          </w:tcPr>
          <w:p>
            <w:pPr>
              <w:jc w:val="center"/>
              <w:rPr>
                <w:color w:val="auto"/>
                <w:sz w:val="21"/>
                <w:szCs w:val="21"/>
              </w:rPr>
            </w:pPr>
            <w:r>
              <w:rPr>
                <w:color w:val="auto"/>
                <w:sz w:val="21"/>
                <w:szCs w:val="21"/>
              </w:rPr>
              <w:t>2</w:t>
            </w:r>
          </w:p>
        </w:tc>
        <w:tc>
          <w:tcPr>
            <w:tcW w:w="3116" w:type="dxa"/>
            <w:vAlign w:val="center"/>
          </w:tcPr>
          <w:p>
            <w:pPr>
              <w:pStyle w:val="97"/>
              <w:jc w:val="center"/>
              <w:rPr>
                <w:rFonts w:ascii="Times New Roman" w:cs="Times New Roman"/>
                <w:color w:val="auto"/>
                <w:sz w:val="21"/>
                <w:szCs w:val="21"/>
              </w:rPr>
            </w:pPr>
            <w:r>
              <w:rPr>
                <w:rFonts w:ascii="Times New Roman" w:cs="Times New Roman"/>
                <w:color w:val="auto"/>
                <w:sz w:val="21"/>
                <w:szCs w:val="21"/>
              </w:rPr>
              <w:t>冲击式钻机</w:t>
            </w:r>
          </w:p>
        </w:tc>
        <w:tc>
          <w:tcPr>
            <w:tcW w:w="2322" w:type="dxa"/>
            <w:vAlign w:val="center"/>
          </w:tcPr>
          <w:p>
            <w:pPr>
              <w:jc w:val="center"/>
              <w:rPr>
                <w:color w:val="auto"/>
                <w:sz w:val="21"/>
                <w:szCs w:val="21"/>
              </w:rPr>
            </w:pPr>
            <w:r>
              <w:rPr>
                <w:color w:val="auto"/>
                <w:sz w:val="21"/>
                <w:szCs w:val="21"/>
              </w:rPr>
              <w:t>不稳定源</w:t>
            </w:r>
          </w:p>
        </w:tc>
        <w:tc>
          <w:tcPr>
            <w:tcW w:w="2322" w:type="dxa"/>
            <w:vAlign w:val="center"/>
          </w:tcPr>
          <w:p>
            <w:pPr>
              <w:jc w:val="center"/>
              <w:rPr>
                <w:color w:val="auto"/>
                <w:sz w:val="21"/>
                <w:szCs w:val="21"/>
              </w:rPr>
            </w:pPr>
            <w:r>
              <w:rPr>
                <w:color w:val="auto"/>
                <w:sz w:val="21"/>
                <w:szCs w:val="21"/>
              </w:rPr>
              <w:t>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26" w:type="dxa"/>
            <w:vAlign w:val="center"/>
          </w:tcPr>
          <w:p>
            <w:pPr>
              <w:jc w:val="center"/>
              <w:rPr>
                <w:color w:val="auto"/>
                <w:sz w:val="21"/>
                <w:szCs w:val="21"/>
              </w:rPr>
            </w:pPr>
            <w:r>
              <w:rPr>
                <w:color w:val="auto"/>
                <w:sz w:val="21"/>
                <w:szCs w:val="21"/>
              </w:rPr>
              <w:t>3</w:t>
            </w:r>
          </w:p>
        </w:tc>
        <w:tc>
          <w:tcPr>
            <w:tcW w:w="3116" w:type="dxa"/>
            <w:vAlign w:val="center"/>
          </w:tcPr>
          <w:p>
            <w:pPr>
              <w:pStyle w:val="97"/>
              <w:jc w:val="center"/>
              <w:rPr>
                <w:rFonts w:ascii="Times New Roman" w:cs="Times New Roman"/>
                <w:color w:val="auto"/>
                <w:sz w:val="21"/>
                <w:szCs w:val="21"/>
              </w:rPr>
            </w:pPr>
            <w:r>
              <w:rPr>
                <w:rFonts w:ascii="Times New Roman" w:cs="Times New Roman"/>
                <w:color w:val="auto"/>
                <w:sz w:val="21"/>
                <w:szCs w:val="21"/>
              </w:rPr>
              <w:t>冲击打桩机</w:t>
            </w:r>
          </w:p>
        </w:tc>
        <w:tc>
          <w:tcPr>
            <w:tcW w:w="2322" w:type="dxa"/>
            <w:vAlign w:val="center"/>
          </w:tcPr>
          <w:p>
            <w:pPr>
              <w:jc w:val="center"/>
              <w:rPr>
                <w:color w:val="auto"/>
                <w:sz w:val="21"/>
                <w:szCs w:val="21"/>
              </w:rPr>
            </w:pPr>
            <w:r>
              <w:rPr>
                <w:color w:val="auto"/>
                <w:sz w:val="21"/>
                <w:szCs w:val="21"/>
              </w:rPr>
              <w:t>不稳定源</w:t>
            </w:r>
          </w:p>
        </w:tc>
        <w:tc>
          <w:tcPr>
            <w:tcW w:w="2322" w:type="dxa"/>
            <w:vAlign w:val="center"/>
          </w:tcPr>
          <w:p>
            <w:pPr>
              <w:jc w:val="center"/>
              <w:rPr>
                <w:color w:val="auto"/>
                <w:sz w:val="21"/>
                <w:szCs w:val="21"/>
              </w:rPr>
            </w:pPr>
            <w:r>
              <w:rPr>
                <w:color w:val="auto"/>
                <w:sz w:val="21"/>
                <w:szCs w:val="21"/>
              </w:rPr>
              <w:t>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26" w:type="dxa"/>
            <w:vAlign w:val="center"/>
          </w:tcPr>
          <w:p>
            <w:pPr>
              <w:jc w:val="center"/>
              <w:rPr>
                <w:color w:val="auto"/>
                <w:sz w:val="21"/>
                <w:szCs w:val="21"/>
              </w:rPr>
            </w:pPr>
            <w:r>
              <w:rPr>
                <w:color w:val="auto"/>
                <w:sz w:val="21"/>
                <w:szCs w:val="21"/>
              </w:rPr>
              <w:t>4</w:t>
            </w:r>
          </w:p>
        </w:tc>
        <w:tc>
          <w:tcPr>
            <w:tcW w:w="3116" w:type="dxa"/>
            <w:vAlign w:val="center"/>
          </w:tcPr>
          <w:p>
            <w:pPr>
              <w:pStyle w:val="97"/>
              <w:jc w:val="center"/>
              <w:rPr>
                <w:rFonts w:ascii="Times New Roman" w:cs="Times New Roman"/>
                <w:color w:val="auto"/>
                <w:sz w:val="21"/>
                <w:szCs w:val="21"/>
              </w:rPr>
            </w:pPr>
            <w:r>
              <w:rPr>
                <w:rFonts w:ascii="Times New Roman" w:cs="Times New Roman"/>
                <w:color w:val="auto"/>
                <w:sz w:val="21"/>
                <w:szCs w:val="21"/>
              </w:rPr>
              <w:t>卡车</w:t>
            </w:r>
          </w:p>
        </w:tc>
        <w:tc>
          <w:tcPr>
            <w:tcW w:w="2322" w:type="dxa"/>
            <w:vAlign w:val="center"/>
          </w:tcPr>
          <w:p>
            <w:pPr>
              <w:jc w:val="center"/>
              <w:rPr>
                <w:color w:val="auto"/>
                <w:sz w:val="21"/>
                <w:szCs w:val="21"/>
              </w:rPr>
            </w:pPr>
            <w:r>
              <w:rPr>
                <w:color w:val="auto"/>
                <w:sz w:val="21"/>
                <w:szCs w:val="21"/>
              </w:rPr>
              <w:t>流动，不稳定源</w:t>
            </w:r>
          </w:p>
        </w:tc>
        <w:tc>
          <w:tcPr>
            <w:tcW w:w="2322" w:type="dxa"/>
            <w:vAlign w:val="center"/>
          </w:tcPr>
          <w:p>
            <w:pPr>
              <w:jc w:val="center"/>
              <w:rPr>
                <w:color w:val="auto"/>
                <w:sz w:val="21"/>
                <w:szCs w:val="21"/>
              </w:rPr>
            </w:pPr>
            <w:r>
              <w:rPr>
                <w:color w:val="auto"/>
                <w:sz w:val="21"/>
                <w:szCs w:val="21"/>
              </w:rPr>
              <w:t>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26" w:type="dxa"/>
            <w:vAlign w:val="center"/>
          </w:tcPr>
          <w:p>
            <w:pPr>
              <w:jc w:val="center"/>
              <w:rPr>
                <w:color w:val="auto"/>
                <w:sz w:val="21"/>
                <w:szCs w:val="21"/>
              </w:rPr>
            </w:pPr>
            <w:r>
              <w:rPr>
                <w:color w:val="auto"/>
                <w:sz w:val="21"/>
                <w:szCs w:val="21"/>
              </w:rPr>
              <w:t>5</w:t>
            </w:r>
          </w:p>
        </w:tc>
        <w:tc>
          <w:tcPr>
            <w:tcW w:w="3116" w:type="dxa"/>
            <w:vAlign w:val="center"/>
          </w:tcPr>
          <w:p>
            <w:pPr>
              <w:pStyle w:val="97"/>
              <w:jc w:val="center"/>
              <w:rPr>
                <w:rFonts w:ascii="Times New Roman" w:cs="Times New Roman"/>
                <w:color w:val="auto"/>
                <w:sz w:val="21"/>
                <w:szCs w:val="21"/>
              </w:rPr>
            </w:pPr>
            <w:r>
              <w:rPr>
                <w:rFonts w:ascii="Times New Roman" w:cs="Times New Roman"/>
                <w:color w:val="auto"/>
                <w:sz w:val="21"/>
                <w:szCs w:val="21"/>
              </w:rPr>
              <w:t>混凝土搅拌机</w:t>
            </w:r>
          </w:p>
        </w:tc>
        <w:tc>
          <w:tcPr>
            <w:tcW w:w="2322" w:type="dxa"/>
            <w:vAlign w:val="center"/>
          </w:tcPr>
          <w:p>
            <w:pPr>
              <w:jc w:val="center"/>
              <w:rPr>
                <w:color w:val="auto"/>
                <w:sz w:val="21"/>
                <w:szCs w:val="21"/>
              </w:rPr>
            </w:pPr>
            <w:r>
              <w:rPr>
                <w:color w:val="auto"/>
                <w:sz w:val="21"/>
                <w:szCs w:val="21"/>
              </w:rPr>
              <w:t>固定稳定源</w:t>
            </w:r>
          </w:p>
        </w:tc>
        <w:tc>
          <w:tcPr>
            <w:tcW w:w="2322" w:type="dxa"/>
            <w:vAlign w:val="center"/>
          </w:tcPr>
          <w:p>
            <w:pPr>
              <w:jc w:val="center"/>
              <w:rPr>
                <w:color w:val="auto"/>
                <w:sz w:val="21"/>
                <w:szCs w:val="21"/>
              </w:rPr>
            </w:pPr>
            <w:r>
              <w:rPr>
                <w:color w:val="auto"/>
                <w:sz w:val="21"/>
                <w:szCs w:val="21"/>
              </w:rPr>
              <w:t>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26" w:type="dxa"/>
            <w:vAlign w:val="center"/>
          </w:tcPr>
          <w:p>
            <w:pPr>
              <w:jc w:val="center"/>
              <w:rPr>
                <w:color w:val="auto"/>
                <w:sz w:val="21"/>
                <w:szCs w:val="21"/>
              </w:rPr>
            </w:pPr>
            <w:r>
              <w:rPr>
                <w:color w:val="auto"/>
                <w:sz w:val="21"/>
                <w:szCs w:val="21"/>
              </w:rPr>
              <w:t>6</w:t>
            </w:r>
          </w:p>
        </w:tc>
        <w:tc>
          <w:tcPr>
            <w:tcW w:w="3116" w:type="dxa"/>
            <w:vAlign w:val="center"/>
          </w:tcPr>
          <w:p>
            <w:pPr>
              <w:pStyle w:val="97"/>
              <w:jc w:val="center"/>
              <w:rPr>
                <w:rFonts w:ascii="Times New Roman" w:cs="Times New Roman"/>
                <w:color w:val="auto"/>
                <w:sz w:val="21"/>
                <w:szCs w:val="21"/>
              </w:rPr>
            </w:pPr>
            <w:r>
              <w:rPr>
                <w:rFonts w:ascii="Times New Roman" w:cs="Times New Roman"/>
                <w:color w:val="auto"/>
                <w:sz w:val="21"/>
                <w:szCs w:val="21"/>
              </w:rPr>
              <w:t>混凝土泵</w:t>
            </w:r>
          </w:p>
        </w:tc>
        <w:tc>
          <w:tcPr>
            <w:tcW w:w="2322" w:type="dxa"/>
            <w:vAlign w:val="center"/>
          </w:tcPr>
          <w:p>
            <w:pPr>
              <w:jc w:val="center"/>
              <w:rPr>
                <w:color w:val="auto"/>
                <w:sz w:val="21"/>
                <w:szCs w:val="21"/>
              </w:rPr>
            </w:pPr>
            <w:r>
              <w:rPr>
                <w:color w:val="auto"/>
                <w:sz w:val="21"/>
                <w:szCs w:val="21"/>
              </w:rPr>
              <w:t>固定稳定源</w:t>
            </w:r>
          </w:p>
        </w:tc>
        <w:tc>
          <w:tcPr>
            <w:tcW w:w="2322" w:type="dxa"/>
            <w:vAlign w:val="center"/>
          </w:tcPr>
          <w:p>
            <w:pPr>
              <w:jc w:val="center"/>
              <w:rPr>
                <w:color w:val="auto"/>
                <w:sz w:val="21"/>
                <w:szCs w:val="21"/>
              </w:rPr>
            </w:pPr>
            <w:r>
              <w:rPr>
                <w:color w:val="auto"/>
                <w:sz w:val="21"/>
                <w:szCs w:val="21"/>
              </w:rPr>
              <w:t>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26" w:type="dxa"/>
            <w:vAlign w:val="center"/>
          </w:tcPr>
          <w:p>
            <w:pPr>
              <w:jc w:val="center"/>
              <w:rPr>
                <w:color w:val="auto"/>
                <w:sz w:val="21"/>
                <w:szCs w:val="21"/>
              </w:rPr>
            </w:pPr>
            <w:r>
              <w:rPr>
                <w:color w:val="auto"/>
                <w:sz w:val="21"/>
                <w:szCs w:val="21"/>
              </w:rPr>
              <w:t>7</w:t>
            </w:r>
          </w:p>
        </w:tc>
        <w:tc>
          <w:tcPr>
            <w:tcW w:w="3116" w:type="dxa"/>
            <w:vAlign w:val="center"/>
          </w:tcPr>
          <w:p>
            <w:pPr>
              <w:pStyle w:val="97"/>
              <w:jc w:val="center"/>
              <w:rPr>
                <w:rFonts w:ascii="Times New Roman" w:cs="Times New Roman"/>
                <w:color w:val="auto"/>
                <w:sz w:val="21"/>
                <w:szCs w:val="21"/>
              </w:rPr>
            </w:pPr>
            <w:r>
              <w:rPr>
                <w:rFonts w:ascii="Times New Roman" w:cs="Times New Roman"/>
                <w:color w:val="auto"/>
                <w:sz w:val="21"/>
                <w:szCs w:val="21"/>
              </w:rPr>
              <w:t>风锤及岩凿</w:t>
            </w:r>
          </w:p>
        </w:tc>
        <w:tc>
          <w:tcPr>
            <w:tcW w:w="2322" w:type="dxa"/>
            <w:vAlign w:val="center"/>
          </w:tcPr>
          <w:p>
            <w:pPr>
              <w:jc w:val="center"/>
              <w:rPr>
                <w:color w:val="auto"/>
                <w:sz w:val="21"/>
                <w:szCs w:val="21"/>
              </w:rPr>
            </w:pPr>
            <w:r>
              <w:rPr>
                <w:color w:val="auto"/>
                <w:sz w:val="21"/>
                <w:szCs w:val="21"/>
              </w:rPr>
              <w:t>不稳定源</w:t>
            </w:r>
          </w:p>
        </w:tc>
        <w:tc>
          <w:tcPr>
            <w:tcW w:w="2322" w:type="dxa"/>
            <w:vAlign w:val="center"/>
          </w:tcPr>
          <w:p>
            <w:pPr>
              <w:jc w:val="center"/>
              <w:rPr>
                <w:color w:val="auto"/>
                <w:sz w:val="21"/>
                <w:szCs w:val="21"/>
              </w:rPr>
            </w:pPr>
            <w:r>
              <w:rPr>
                <w:color w:val="auto"/>
                <w:sz w:val="21"/>
                <w:szCs w:val="21"/>
              </w:rPr>
              <w:t>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26" w:type="dxa"/>
            <w:vAlign w:val="center"/>
          </w:tcPr>
          <w:p>
            <w:pPr>
              <w:jc w:val="center"/>
              <w:rPr>
                <w:color w:val="auto"/>
                <w:sz w:val="21"/>
                <w:szCs w:val="21"/>
              </w:rPr>
            </w:pPr>
            <w:r>
              <w:rPr>
                <w:color w:val="auto"/>
                <w:sz w:val="21"/>
                <w:szCs w:val="21"/>
              </w:rPr>
              <w:t>8</w:t>
            </w:r>
          </w:p>
        </w:tc>
        <w:tc>
          <w:tcPr>
            <w:tcW w:w="3116" w:type="dxa"/>
            <w:vAlign w:val="center"/>
          </w:tcPr>
          <w:p>
            <w:pPr>
              <w:pStyle w:val="97"/>
              <w:jc w:val="center"/>
              <w:rPr>
                <w:rFonts w:ascii="Times New Roman" w:cs="Times New Roman"/>
                <w:color w:val="auto"/>
                <w:sz w:val="21"/>
                <w:szCs w:val="21"/>
              </w:rPr>
            </w:pPr>
            <w:r>
              <w:rPr>
                <w:rFonts w:ascii="Times New Roman" w:cs="Times New Roman"/>
                <w:color w:val="auto"/>
                <w:sz w:val="21"/>
                <w:szCs w:val="21"/>
              </w:rPr>
              <w:t>震捣机</w:t>
            </w:r>
          </w:p>
        </w:tc>
        <w:tc>
          <w:tcPr>
            <w:tcW w:w="2322" w:type="dxa"/>
            <w:vAlign w:val="center"/>
          </w:tcPr>
          <w:p>
            <w:pPr>
              <w:jc w:val="center"/>
              <w:rPr>
                <w:color w:val="auto"/>
                <w:sz w:val="21"/>
                <w:szCs w:val="21"/>
              </w:rPr>
            </w:pPr>
            <w:r>
              <w:rPr>
                <w:color w:val="auto"/>
                <w:sz w:val="21"/>
                <w:szCs w:val="21"/>
              </w:rPr>
              <w:t>不稳定源</w:t>
            </w:r>
          </w:p>
        </w:tc>
        <w:tc>
          <w:tcPr>
            <w:tcW w:w="2322" w:type="dxa"/>
            <w:vAlign w:val="center"/>
          </w:tcPr>
          <w:p>
            <w:pPr>
              <w:jc w:val="center"/>
              <w:rPr>
                <w:color w:val="auto"/>
                <w:sz w:val="21"/>
                <w:szCs w:val="21"/>
              </w:rPr>
            </w:pPr>
            <w:r>
              <w:rPr>
                <w:color w:val="auto"/>
                <w:sz w:val="21"/>
                <w:szCs w:val="21"/>
              </w:rPr>
              <w:t>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26" w:type="dxa"/>
            <w:vAlign w:val="center"/>
          </w:tcPr>
          <w:p>
            <w:pPr>
              <w:jc w:val="center"/>
              <w:rPr>
                <w:color w:val="auto"/>
                <w:sz w:val="21"/>
                <w:szCs w:val="21"/>
              </w:rPr>
            </w:pPr>
            <w:r>
              <w:rPr>
                <w:color w:val="auto"/>
                <w:sz w:val="21"/>
                <w:szCs w:val="21"/>
              </w:rPr>
              <w:t>9</w:t>
            </w:r>
          </w:p>
        </w:tc>
        <w:tc>
          <w:tcPr>
            <w:tcW w:w="3116" w:type="dxa"/>
            <w:vAlign w:val="center"/>
          </w:tcPr>
          <w:p>
            <w:pPr>
              <w:pStyle w:val="97"/>
              <w:jc w:val="center"/>
              <w:rPr>
                <w:rFonts w:ascii="Times New Roman" w:cs="Times New Roman"/>
                <w:color w:val="auto"/>
                <w:sz w:val="21"/>
                <w:szCs w:val="21"/>
              </w:rPr>
            </w:pPr>
            <w:r>
              <w:rPr>
                <w:rFonts w:ascii="Times New Roman" w:cs="Times New Roman"/>
                <w:color w:val="auto"/>
                <w:sz w:val="21"/>
                <w:szCs w:val="21"/>
              </w:rPr>
              <w:t>推土机</w:t>
            </w:r>
          </w:p>
        </w:tc>
        <w:tc>
          <w:tcPr>
            <w:tcW w:w="2322" w:type="dxa"/>
            <w:vAlign w:val="center"/>
          </w:tcPr>
          <w:p>
            <w:pPr>
              <w:jc w:val="center"/>
              <w:rPr>
                <w:color w:val="auto"/>
                <w:sz w:val="21"/>
                <w:szCs w:val="21"/>
              </w:rPr>
            </w:pPr>
            <w:r>
              <w:rPr>
                <w:color w:val="auto"/>
                <w:sz w:val="21"/>
                <w:szCs w:val="21"/>
              </w:rPr>
              <w:t>流动，不稳定源</w:t>
            </w:r>
          </w:p>
        </w:tc>
        <w:tc>
          <w:tcPr>
            <w:tcW w:w="2322" w:type="dxa"/>
            <w:vAlign w:val="center"/>
          </w:tcPr>
          <w:p>
            <w:pPr>
              <w:jc w:val="center"/>
              <w:rPr>
                <w:color w:val="auto"/>
                <w:sz w:val="21"/>
                <w:szCs w:val="21"/>
              </w:rPr>
            </w:pPr>
            <w:r>
              <w:rPr>
                <w:color w:val="auto"/>
                <w:sz w:val="21"/>
                <w:szCs w:val="21"/>
              </w:rPr>
              <w:t>86</w:t>
            </w:r>
          </w:p>
        </w:tc>
      </w:tr>
    </w:tbl>
    <w:p>
      <w:pPr>
        <w:autoSpaceDE w:val="0"/>
        <w:autoSpaceDN w:val="0"/>
        <w:adjustRightInd w:val="0"/>
        <w:spacing w:line="360" w:lineRule="auto"/>
        <w:ind w:firstLine="480" w:firstLineChars="200"/>
        <w:rPr>
          <w:rFonts w:ascii="宋体" w:cs="宋体"/>
          <w:color w:val="auto"/>
          <w:kern w:val="0"/>
        </w:rPr>
      </w:pPr>
      <w:r>
        <w:rPr>
          <w:color w:val="auto"/>
          <w:kern w:val="0"/>
        </w:rPr>
        <w:t>5</w:t>
      </w:r>
      <w:r>
        <w:rPr>
          <w:rFonts w:hint="eastAsia" w:ascii="宋体" w:cs="宋体"/>
          <w:color w:val="auto"/>
          <w:kern w:val="0"/>
        </w:rPr>
        <w:t>、施工期固体废物</w:t>
      </w:r>
    </w:p>
    <w:p>
      <w:pPr>
        <w:autoSpaceDE w:val="0"/>
        <w:autoSpaceDN w:val="0"/>
        <w:adjustRightInd w:val="0"/>
        <w:spacing w:line="360" w:lineRule="auto"/>
        <w:ind w:firstLine="480" w:firstLineChars="200"/>
        <w:rPr>
          <w:rFonts w:ascii="宋体" w:cs="宋体"/>
          <w:color w:val="auto"/>
          <w:kern w:val="0"/>
        </w:rPr>
      </w:pPr>
      <w:r>
        <w:rPr>
          <w:rFonts w:hint="eastAsia" w:ascii="宋体" w:cs="宋体"/>
          <w:color w:val="auto"/>
          <w:kern w:val="0"/>
        </w:rPr>
        <w:t>建设期产生的固体废物主要是施工过程中产生的建筑垃圾、渣土，以及施工人员的生活垃圾等。</w:t>
      </w:r>
      <w:r>
        <w:rPr>
          <w:rFonts w:ascii="宋体" w:cs="宋体"/>
          <w:color w:val="auto"/>
          <w:kern w:val="0"/>
        </w:rPr>
        <w:t xml:space="preserve"> </w:t>
      </w:r>
    </w:p>
    <w:p>
      <w:pPr>
        <w:spacing w:line="360" w:lineRule="auto"/>
        <w:ind w:firstLine="480" w:firstLineChars="200"/>
        <w:rPr>
          <w:b/>
          <w:color w:val="auto"/>
        </w:rPr>
      </w:pPr>
      <w:r>
        <w:rPr>
          <w:rFonts w:hint="eastAsia" w:ascii="宋体" w:cs="宋体"/>
          <w:color w:val="auto"/>
          <w:kern w:val="0"/>
        </w:rPr>
        <w:t>建筑施工废弃物是在建筑施工阶段产生的，一般包括碎砖、碎石、砂砾、泥土、废水泥、包装箱、包装袋等，这部分废弃物产量与各个建设项目有关，并与工程建设过程的管理水平、施工质量、工人个人素质、天气状况等因素有密切的关系，一般很难预测其产生量。</w:t>
      </w:r>
    </w:p>
    <w:p>
      <w:pPr>
        <w:pStyle w:val="3"/>
        <w:numPr>
          <w:ilvl w:val="0"/>
          <w:numId w:val="0"/>
        </w:numPr>
        <w:tabs>
          <w:tab w:val="clear" w:pos="680"/>
        </w:tabs>
        <w:ind w:left="576" w:hanging="576"/>
        <w:rPr>
          <w:rFonts w:ascii="Times New Roman"/>
          <w:bCs/>
          <w:color w:val="auto"/>
        </w:rPr>
      </w:pPr>
      <w:bookmarkStart w:id="311" w:name="_Toc24136759"/>
      <w:bookmarkStart w:id="312" w:name="_Toc24695"/>
      <w:bookmarkStart w:id="313" w:name="_Toc23263159"/>
      <w:r>
        <w:rPr>
          <w:rFonts w:hint="eastAsia" w:ascii="Times New Roman"/>
          <w:bCs/>
          <w:color w:val="auto"/>
          <w:lang w:eastAsia="zh-CN"/>
        </w:rPr>
        <w:t>3</w:t>
      </w:r>
      <w:r>
        <w:rPr>
          <w:rFonts w:ascii="Times New Roman"/>
          <w:bCs/>
          <w:color w:val="auto"/>
          <w:lang w:eastAsia="zh-CN"/>
        </w:rPr>
        <w:t>.</w:t>
      </w:r>
      <w:r>
        <w:rPr>
          <w:rFonts w:hint="eastAsia" w:ascii="Times New Roman"/>
          <w:bCs/>
          <w:color w:val="auto"/>
          <w:lang w:val="en-US" w:eastAsia="zh-CN"/>
        </w:rPr>
        <w:t>3</w:t>
      </w:r>
      <w:r>
        <w:rPr>
          <w:rFonts w:hint="eastAsia" w:ascii="Times New Roman"/>
          <w:bCs/>
          <w:color w:val="auto"/>
          <w:lang w:eastAsia="zh-CN"/>
        </w:rPr>
        <w:t>运营期</w:t>
      </w:r>
      <w:r>
        <w:rPr>
          <w:rFonts w:ascii="Times New Roman"/>
          <w:bCs/>
          <w:color w:val="auto"/>
        </w:rPr>
        <w:t>污染</w:t>
      </w:r>
      <w:r>
        <w:rPr>
          <w:rFonts w:hint="eastAsia" w:ascii="Times New Roman"/>
          <w:bCs/>
          <w:color w:val="auto"/>
          <w:lang w:eastAsia="zh-CN"/>
        </w:rPr>
        <w:t>源</w:t>
      </w:r>
      <w:bookmarkEnd w:id="309"/>
      <w:bookmarkEnd w:id="310"/>
      <w:r>
        <w:rPr>
          <w:rFonts w:hint="eastAsia" w:ascii="Times New Roman"/>
          <w:bCs/>
          <w:color w:val="auto"/>
          <w:lang w:eastAsia="zh-CN"/>
        </w:rPr>
        <w:t>分析</w:t>
      </w:r>
      <w:bookmarkEnd w:id="311"/>
      <w:bookmarkEnd w:id="312"/>
      <w:bookmarkEnd w:id="313"/>
    </w:p>
    <w:p>
      <w:pPr>
        <w:pStyle w:val="298"/>
        <w:spacing w:before="42" w:after="42" w:line="360" w:lineRule="auto"/>
        <w:rPr>
          <w:color w:val="auto"/>
        </w:rPr>
      </w:pPr>
      <w:bookmarkStart w:id="314" w:name="_Toc15912147"/>
      <w:bookmarkStart w:id="315" w:name="_Toc5927"/>
      <w:bookmarkStart w:id="316" w:name="_Toc14946855"/>
      <w:bookmarkStart w:id="317" w:name="_Toc34234679"/>
      <w:bookmarkStart w:id="318" w:name="_Toc24136760"/>
      <w:r>
        <w:rPr>
          <w:color w:val="auto"/>
        </w:rPr>
        <w:t>3.</w:t>
      </w:r>
      <w:r>
        <w:rPr>
          <w:rFonts w:hint="eastAsia"/>
          <w:color w:val="auto"/>
          <w:lang w:val="en-US" w:eastAsia="zh-CN"/>
        </w:rPr>
        <w:t>3</w:t>
      </w:r>
      <w:r>
        <w:rPr>
          <w:color w:val="auto"/>
        </w:rPr>
        <w:t>.</w:t>
      </w:r>
      <w:r>
        <w:rPr>
          <w:rFonts w:hint="eastAsia"/>
          <w:color w:val="auto"/>
          <w:lang w:eastAsia="zh-CN"/>
        </w:rPr>
        <w:t>1</w:t>
      </w:r>
      <w:r>
        <w:rPr>
          <w:color w:val="auto"/>
        </w:rPr>
        <w:t>污染</w:t>
      </w:r>
      <w:r>
        <w:rPr>
          <w:rFonts w:hint="eastAsia"/>
          <w:color w:val="auto"/>
          <w:lang w:eastAsia="zh-CN"/>
        </w:rPr>
        <w:t>源强</w:t>
      </w:r>
      <w:r>
        <w:rPr>
          <w:color w:val="auto"/>
        </w:rPr>
        <w:t>（</w:t>
      </w:r>
      <w:r>
        <w:rPr>
          <w:rFonts w:hint="eastAsia"/>
          <w:color w:val="auto"/>
          <w:lang w:eastAsia="zh-CN"/>
        </w:rPr>
        <w:t>餐厨垃圾处理厂</w:t>
      </w:r>
      <w:r>
        <w:rPr>
          <w:color w:val="auto"/>
        </w:rPr>
        <w:t>）</w:t>
      </w:r>
      <w:bookmarkEnd w:id="314"/>
      <w:bookmarkEnd w:id="315"/>
      <w:bookmarkEnd w:id="316"/>
      <w:bookmarkEnd w:id="317"/>
      <w:bookmarkEnd w:id="318"/>
    </w:p>
    <w:p>
      <w:pPr>
        <w:spacing w:line="360" w:lineRule="auto"/>
        <w:rPr>
          <w:b/>
          <w:color w:val="auto"/>
        </w:rPr>
      </w:pPr>
      <w:r>
        <w:rPr>
          <w:b/>
          <w:color w:val="auto"/>
        </w:rPr>
        <w:t>3.</w:t>
      </w:r>
      <w:r>
        <w:rPr>
          <w:rFonts w:hint="eastAsia"/>
          <w:b/>
          <w:color w:val="auto"/>
          <w:lang w:val="en-US" w:eastAsia="zh-CN"/>
        </w:rPr>
        <w:t>3</w:t>
      </w:r>
      <w:r>
        <w:rPr>
          <w:b/>
          <w:color w:val="auto"/>
        </w:rPr>
        <w:t>.</w:t>
      </w:r>
      <w:r>
        <w:rPr>
          <w:rFonts w:hint="eastAsia"/>
          <w:b/>
          <w:color w:val="auto"/>
        </w:rPr>
        <w:t>1</w:t>
      </w:r>
      <w:r>
        <w:rPr>
          <w:b/>
          <w:color w:val="auto"/>
        </w:rPr>
        <w:t>.1废气污染源分析及污染负荷预测</w:t>
      </w:r>
    </w:p>
    <w:p>
      <w:pPr>
        <w:spacing w:line="360" w:lineRule="auto"/>
        <w:ind w:firstLine="482" w:firstLineChars="200"/>
        <w:jc w:val="both"/>
        <w:rPr>
          <w:b/>
          <w:color w:val="auto"/>
        </w:rPr>
      </w:pPr>
      <w:r>
        <w:rPr>
          <w:rFonts w:hint="eastAsia"/>
          <w:b/>
          <w:color w:val="auto"/>
        </w:rPr>
        <w:t>一、臭气来源</w:t>
      </w:r>
    </w:p>
    <w:p>
      <w:pPr>
        <w:spacing w:line="360" w:lineRule="auto"/>
        <w:ind w:firstLine="480" w:firstLineChars="200"/>
        <w:jc w:val="both"/>
        <w:rPr>
          <w:color w:val="auto"/>
        </w:rPr>
      </w:pPr>
      <w:r>
        <w:rPr>
          <w:rFonts w:hint="eastAsia"/>
          <w:color w:val="auto"/>
        </w:rPr>
        <w:t>餐厨垃圾综合预处理车间车间分为卸料间、</w:t>
      </w:r>
      <w:r>
        <w:rPr>
          <w:rFonts w:hint="eastAsia" w:ascii="宋体" w:cs="宋体" w:eastAsiaTheme="minorEastAsia"/>
          <w:color w:val="auto"/>
        </w:rPr>
        <w:t>破碎脱水分离</w:t>
      </w:r>
      <w:r>
        <w:rPr>
          <w:rFonts w:hint="eastAsia" w:ascii="宋体" w:cs="宋体"/>
          <w:color w:val="auto"/>
        </w:rPr>
        <w:t>处理</w:t>
      </w:r>
      <w:r>
        <w:rPr>
          <w:rFonts w:hint="eastAsia" w:ascii="宋体" w:cs="宋体" w:eastAsiaTheme="minorEastAsia"/>
          <w:color w:val="auto"/>
        </w:rPr>
        <w:t>设备</w:t>
      </w:r>
      <w:r>
        <w:rPr>
          <w:rFonts w:hint="eastAsia" w:ascii="宋体" w:cs="宋体"/>
          <w:color w:val="auto"/>
        </w:rPr>
        <w:t>间</w:t>
      </w:r>
      <w:r>
        <w:rPr>
          <w:rFonts w:hint="eastAsia"/>
          <w:color w:val="auto"/>
        </w:rPr>
        <w:t>等区域，主要臭气来源：</w:t>
      </w:r>
    </w:p>
    <w:p>
      <w:pPr>
        <w:autoSpaceDE w:val="0"/>
        <w:autoSpaceDN w:val="0"/>
        <w:adjustRightInd w:val="0"/>
        <w:spacing w:line="360" w:lineRule="auto"/>
        <w:rPr>
          <w:rFonts w:ascii="宋体" w:cs="宋体"/>
          <w:color w:val="auto"/>
          <w:kern w:val="0"/>
        </w:rPr>
      </w:pPr>
      <w:r>
        <w:rPr>
          <w:rFonts w:hint="eastAsia" w:cs="宋体" w:asciiTheme="minorEastAsia" w:hAnsiTheme="minorEastAsia" w:eastAsiaTheme="minorEastAsia"/>
          <w:color w:val="auto"/>
          <w:kern w:val="0"/>
        </w:rPr>
        <w:t xml:space="preserve">    </w:t>
      </w:r>
      <w:r>
        <w:rPr>
          <w:rFonts w:hint="eastAsia" w:ascii="宋体" w:cs="宋体"/>
          <w:color w:val="auto"/>
          <w:kern w:val="0"/>
        </w:rPr>
        <w:t>①卸料</w:t>
      </w:r>
      <w:r>
        <w:rPr>
          <w:rFonts w:hint="eastAsia" w:ascii="宋体" w:cs="宋体" w:eastAsiaTheme="minorEastAsia"/>
          <w:color w:val="auto"/>
          <w:kern w:val="0"/>
        </w:rPr>
        <w:t>间</w:t>
      </w:r>
      <w:r>
        <w:rPr>
          <w:rFonts w:hint="eastAsia" w:ascii="宋体" w:cs="宋体"/>
          <w:color w:val="auto"/>
          <w:kern w:val="0"/>
        </w:rPr>
        <w:t>：料仓自动卷闸门开启时的散发和关闭后的渗透；频繁出入大厅的垃圾运输车辆；受垃圾与污水沾染的地面；</w:t>
      </w:r>
    </w:p>
    <w:p>
      <w:pPr>
        <w:spacing w:line="360" w:lineRule="auto"/>
        <w:jc w:val="both"/>
        <w:rPr>
          <w:rFonts w:eastAsiaTheme="minorEastAsia"/>
          <w:color w:val="auto"/>
        </w:rPr>
      </w:pPr>
      <w:r>
        <w:rPr>
          <w:rFonts w:hint="eastAsia" w:ascii="宋体" w:cs="宋体" w:eastAsiaTheme="minorEastAsia"/>
          <w:color w:val="auto"/>
        </w:rPr>
        <w:t xml:space="preserve">    </w:t>
      </w:r>
      <w:r>
        <w:rPr>
          <w:rFonts w:ascii="宋体" w:cs="宋体" w:eastAsiaTheme="minorEastAsia"/>
          <w:color w:val="auto"/>
        </w:rPr>
        <w:fldChar w:fldCharType="begin"/>
      </w:r>
      <w:r>
        <w:rPr>
          <w:rFonts w:ascii="宋体" w:cs="宋体" w:eastAsiaTheme="minorEastAsia"/>
          <w:color w:val="auto"/>
        </w:rPr>
        <w:instrText xml:space="preserve"> </w:instrText>
      </w:r>
      <w:r>
        <w:rPr>
          <w:rFonts w:hint="eastAsia" w:ascii="宋体" w:cs="宋体" w:eastAsiaTheme="minorEastAsia"/>
          <w:color w:val="auto"/>
        </w:rPr>
        <w:instrText xml:space="preserve">= 2 \* GB3</w:instrText>
      </w:r>
      <w:r>
        <w:rPr>
          <w:rFonts w:ascii="宋体" w:cs="宋体" w:eastAsiaTheme="minorEastAsia"/>
          <w:color w:val="auto"/>
        </w:rPr>
        <w:instrText xml:space="preserve"> </w:instrText>
      </w:r>
      <w:r>
        <w:rPr>
          <w:rFonts w:ascii="宋体" w:cs="宋体" w:eastAsiaTheme="minorEastAsia"/>
          <w:color w:val="auto"/>
        </w:rPr>
        <w:fldChar w:fldCharType="separate"/>
      </w:r>
      <w:r>
        <w:rPr>
          <w:rFonts w:hint="eastAsia" w:ascii="宋体" w:cs="宋体" w:eastAsiaTheme="minorEastAsia"/>
          <w:color w:val="auto"/>
        </w:rPr>
        <w:t>②</w:t>
      </w:r>
      <w:r>
        <w:rPr>
          <w:rFonts w:ascii="宋体" w:cs="宋体" w:eastAsiaTheme="minorEastAsia"/>
          <w:color w:val="auto"/>
        </w:rPr>
        <w:fldChar w:fldCharType="end"/>
      </w:r>
      <w:r>
        <w:rPr>
          <w:rFonts w:hint="eastAsia" w:ascii="宋体" w:cs="宋体" w:eastAsiaTheme="minorEastAsia"/>
          <w:color w:val="auto"/>
        </w:rPr>
        <w:t>破碎脱水分离</w:t>
      </w:r>
      <w:r>
        <w:rPr>
          <w:rFonts w:hint="eastAsia" w:ascii="宋体" w:cs="宋体"/>
          <w:color w:val="auto"/>
        </w:rPr>
        <w:t>处理</w:t>
      </w:r>
      <w:r>
        <w:rPr>
          <w:rFonts w:hint="eastAsia" w:ascii="宋体" w:cs="宋体" w:eastAsiaTheme="minorEastAsia"/>
          <w:color w:val="auto"/>
        </w:rPr>
        <w:t>设备</w:t>
      </w:r>
      <w:r>
        <w:rPr>
          <w:rFonts w:hint="eastAsia" w:ascii="宋体" w:cs="宋体"/>
          <w:color w:val="auto"/>
        </w:rPr>
        <w:t>间：因设备密封性及设备渗出液溢出臭气</w:t>
      </w:r>
      <w:r>
        <w:rPr>
          <w:rFonts w:hint="eastAsia" w:ascii="宋体" w:cs="宋体" w:eastAsiaTheme="minorEastAsia"/>
          <w:color w:val="auto"/>
        </w:rPr>
        <w:t>。</w:t>
      </w:r>
    </w:p>
    <w:p>
      <w:pPr>
        <w:spacing w:line="360" w:lineRule="auto"/>
        <w:ind w:firstLine="482" w:firstLineChars="200"/>
        <w:rPr>
          <w:b/>
          <w:bCs/>
          <w:color w:val="auto"/>
        </w:rPr>
      </w:pPr>
      <w:r>
        <w:rPr>
          <w:rFonts w:hint="eastAsia"/>
          <w:b/>
          <w:bCs/>
          <w:color w:val="auto"/>
        </w:rPr>
        <w:t>二</w:t>
      </w:r>
      <w:r>
        <w:rPr>
          <w:b/>
          <w:bCs/>
          <w:color w:val="auto"/>
        </w:rPr>
        <w:t>、</w:t>
      </w:r>
      <w:r>
        <w:rPr>
          <w:rFonts w:hint="eastAsia"/>
          <w:b/>
          <w:bCs/>
          <w:color w:val="auto"/>
        </w:rPr>
        <w:t>臭气量计算</w:t>
      </w:r>
    </w:p>
    <w:p>
      <w:pPr>
        <w:spacing w:line="360" w:lineRule="auto"/>
        <w:ind w:firstLine="480" w:firstLineChars="200"/>
        <w:rPr>
          <w:color w:val="auto"/>
        </w:rPr>
      </w:pPr>
      <w:r>
        <w:rPr>
          <w:rFonts w:hint="eastAsia"/>
          <w:color w:val="auto"/>
        </w:rPr>
        <w:t>由于臭气在管道中进行收集、输送，其较快的过流速度将带来较大的压力损失，除臭设施的建设应采用就近处理原则，避免臭气传输的距离过长。因此，结合各个车间处理设施的平面布置，根据不同工艺环节臭气产生的特点，采用不同的收集方式</w:t>
      </w:r>
      <w:r>
        <w:rPr>
          <w:color w:val="auto"/>
        </w:rPr>
        <w:t>。</w:t>
      </w:r>
    </w:p>
    <w:p>
      <w:pPr>
        <w:spacing w:line="360" w:lineRule="auto"/>
        <w:ind w:firstLine="480" w:firstLineChars="200"/>
        <w:rPr>
          <w:rFonts w:hint="eastAsia" w:eastAsia="宋体"/>
          <w:color w:val="auto"/>
          <w:lang w:eastAsia="zh-CN"/>
        </w:rPr>
      </w:pPr>
      <w:r>
        <w:rPr>
          <w:color w:val="auto"/>
        </w:rPr>
        <w:t>餐厨废弃物收运车入厂后进入</w:t>
      </w:r>
      <w:r>
        <w:rPr>
          <w:rFonts w:hint="eastAsia"/>
          <w:color w:val="auto"/>
          <w:lang w:eastAsia="zh-CN"/>
        </w:rPr>
        <w:t>综合</w:t>
      </w:r>
      <w:r>
        <w:rPr>
          <w:color w:val="auto"/>
        </w:rPr>
        <w:t>处理车间卸料区进行卸料，卸料区为双道门设计，收运车到达时，外门打开，内门关闭；进入卸料间后，外门关闭，内门打开，收运车进行卸料作业；作业完毕后，逆向操作；外门打开时，卸料间通过除臭系统保持负压。卸料间与</w:t>
      </w:r>
      <w:r>
        <w:rPr>
          <w:rFonts w:hint="eastAsia"/>
          <w:color w:val="auto"/>
          <w:lang w:eastAsia="zh-CN"/>
        </w:rPr>
        <w:t>综合</w:t>
      </w:r>
      <w:r>
        <w:rPr>
          <w:color w:val="auto"/>
        </w:rPr>
        <w:t>处理车间其他区域通过隔离墙物理分隔，卸料仓顶部设置液压顶盖和除臭吸气口，不卸料时可以关闭并进行局部引风。卸料仓顶盖关闭时，卸料仓内部可维持微负压以进一步防止臭气外溢。</w:t>
      </w:r>
      <w:r>
        <w:rPr>
          <w:rFonts w:hint="eastAsia"/>
          <w:color w:val="auto"/>
          <w:lang w:val="en-US" w:eastAsia="zh-CN"/>
        </w:rPr>
        <w:t>在卸料口、清杂平台、螺旋输送器、脱水系统等主要产污节点上方设置集气装置，整个综合</w:t>
      </w:r>
      <w:r>
        <w:rPr>
          <w:color w:val="auto"/>
        </w:rPr>
        <w:t>处理工序及其配套的物料输送均在密闭环境下完成，设备预留除臭管道接入的法兰接口，实现</w:t>
      </w:r>
      <w:r>
        <w:rPr>
          <w:rFonts w:hint="eastAsia"/>
          <w:color w:val="auto"/>
          <w:lang w:val="en-US" w:eastAsia="zh-CN"/>
        </w:rPr>
        <w:t>对主要产污节点</w:t>
      </w:r>
      <w:r>
        <w:rPr>
          <w:color w:val="auto"/>
        </w:rPr>
        <w:t>恶臭废气的对接精准收集；出渣间安装快速启闭门，保持常闭；</w:t>
      </w:r>
      <w:r>
        <w:rPr>
          <w:rFonts w:hint="eastAsia"/>
          <w:color w:val="auto"/>
          <w:lang w:val="en-US" w:eastAsia="zh-CN"/>
        </w:rPr>
        <w:t>综合</w:t>
      </w:r>
      <w:r>
        <w:rPr>
          <w:color w:val="auto"/>
        </w:rPr>
        <w:t>处理车间正常生产时段内整体密闭</w:t>
      </w:r>
      <w:r>
        <w:rPr>
          <w:rFonts w:hint="eastAsia"/>
          <w:color w:val="auto"/>
          <w:lang w:eastAsia="zh-CN"/>
        </w:rPr>
        <w:t>，</w:t>
      </w:r>
      <w:r>
        <w:rPr>
          <w:rFonts w:hint="eastAsia"/>
          <w:color w:val="auto"/>
          <w:lang w:val="en-US" w:eastAsia="zh-CN"/>
        </w:rPr>
        <w:t>车间内控制微负压，换气量3次/小时，同时控制车间内环境温度在25℃以下</w:t>
      </w:r>
      <w:r>
        <w:rPr>
          <w:color w:val="auto"/>
        </w:rPr>
        <w:t>。</w:t>
      </w:r>
      <w:r>
        <w:rPr>
          <w:rFonts w:hint="eastAsia"/>
          <w:color w:val="auto"/>
          <w:lang w:eastAsia="zh-CN"/>
        </w:rPr>
        <w:t>车间臭气量计算见下表：</w:t>
      </w:r>
    </w:p>
    <w:p>
      <w:pPr>
        <w:spacing w:line="360" w:lineRule="auto"/>
        <w:ind w:firstLine="482" w:firstLineChars="200"/>
        <w:jc w:val="center"/>
        <w:rPr>
          <w:b/>
          <w:bCs/>
          <w:color w:val="auto"/>
        </w:rPr>
      </w:pPr>
      <w:r>
        <w:rPr>
          <w:rFonts w:hint="eastAsia"/>
          <w:b/>
          <w:bCs/>
          <w:color w:val="auto"/>
        </w:rPr>
        <w:t>表3.</w:t>
      </w:r>
      <w:r>
        <w:rPr>
          <w:rFonts w:hint="eastAsia"/>
          <w:b/>
          <w:bCs/>
          <w:color w:val="auto"/>
          <w:lang w:val="en-US" w:eastAsia="zh-CN"/>
        </w:rPr>
        <w:t>3</w:t>
      </w:r>
      <w:r>
        <w:rPr>
          <w:rFonts w:hint="eastAsia"/>
          <w:b/>
          <w:bCs/>
          <w:color w:val="auto"/>
        </w:rPr>
        <w:t>-1 臭气量汇总表</w:t>
      </w:r>
    </w:p>
    <w:tbl>
      <w:tblPr>
        <w:tblStyle w:val="54"/>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9"/>
        <w:gridCol w:w="2410"/>
        <w:gridCol w:w="1417"/>
        <w:gridCol w:w="1701"/>
        <w:gridCol w:w="27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59" w:type="dxa"/>
            <w:vAlign w:val="center"/>
          </w:tcPr>
          <w:p>
            <w:pPr>
              <w:spacing w:line="360" w:lineRule="auto"/>
              <w:jc w:val="center"/>
              <w:rPr>
                <w:b/>
                <w:bCs/>
                <w:color w:val="auto"/>
                <w:sz w:val="21"/>
                <w:szCs w:val="21"/>
              </w:rPr>
            </w:pPr>
            <w:r>
              <w:rPr>
                <w:rFonts w:hint="eastAsia"/>
                <w:b/>
                <w:bCs/>
                <w:color w:val="auto"/>
                <w:sz w:val="21"/>
                <w:szCs w:val="21"/>
              </w:rPr>
              <w:t>序号</w:t>
            </w:r>
          </w:p>
        </w:tc>
        <w:tc>
          <w:tcPr>
            <w:tcW w:w="2410" w:type="dxa"/>
            <w:vAlign w:val="center"/>
          </w:tcPr>
          <w:p>
            <w:pPr>
              <w:spacing w:line="360" w:lineRule="auto"/>
              <w:jc w:val="center"/>
              <w:rPr>
                <w:b/>
                <w:bCs/>
                <w:color w:val="auto"/>
                <w:sz w:val="21"/>
                <w:szCs w:val="21"/>
              </w:rPr>
            </w:pPr>
            <w:r>
              <w:rPr>
                <w:rFonts w:hint="eastAsia"/>
                <w:b/>
                <w:bCs/>
                <w:color w:val="auto"/>
                <w:sz w:val="21"/>
                <w:szCs w:val="21"/>
              </w:rPr>
              <w:t>臭气产生源</w:t>
            </w:r>
          </w:p>
        </w:tc>
        <w:tc>
          <w:tcPr>
            <w:tcW w:w="1417" w:type="dxa"/>
            <w:vAlign w:val="center"/>
          </w:tcPr>
          <w:p>
            <w:pPr>
              <w:spacing w:line="360" w:lineRule="auto"/>
              <w:jc w:val="center"/>
              <w:rPr>
                <w:b/>
                <w:bCs/>
                <w:color w:val="auto"/>
                <w:sz w:val="21"/>
                <w:szCs w:val="21"/>
              </w:rPr>
            </w:pPr>
            <w:r>
              <w:rPr>
                <w:rFonts w:hint="eastAsia"/>
                <w:b/>
                <w:bCs/>
                <w:color w:val="auto"/>
                <w:sz w:val="21"/>
                <w:szCs w:val="21"/>
              </w:rPr>
              <w:t>换气次数</w:t>
            </w:r>
          </w:p>
          <w:p>
            <w:pPr>
              <w:spacing w:line="360" w:lineRule="auto"/>
              <w:jc w:val="center"/>
              <w:rPr>
                <w:rFonts w:eastAsiaTheme="minorEastAsia"/>
                <w:b/>
                <w:bCs/>
                <w:color w:val="auto"/>
                <w:sz w:val="21"/>
                <w:szCs w:val="21"/>
              </w:rPr>
            </w:pPr>
            <w:r>
              <w:rPr>
                <w:rFonts w:hint="eastAsia"/>
                <w:b/>
                <w:bCs/>
                <w:color w:val="auto"/>
                <w:sz w:val="21"/>
                <w:szCs w:val="21"/>
              </w:rPr>
              <w:t>（</w:t>
            </w:r>
            <w:r>
              <w:rPr>
                <w:rFonts w:hint="eastAsia" w:ascii="宋体" w:cs="宋体"/>
                <w:b/>
                <w:color w:val="auto"/>
                <w:kern w:val="0"/>
                <w:sz w:val="21"/>
                <w:szCs w:val="21"/>
              </w:rPr>
              <w:t>次</w:t>
            </w:r>
            <w:r>
              <w:rPr>
                <w:b/>
                <w:color w:val="auto"/>
                <w:kern w:val="0"/>
                <w:sz w:val="21"/>
                <w:szCs w:val="21"/>
              </w:rPr>
              <w:t>/h</w:t>
            </w:r>
            <w:r>
              <w:rPr>
                <w:rFonts w:hint="eastAsia"/>
                <w:b/>
                <w:bCs/>
                <w:color w:val="auto"/>
                <w:sz w:val="21"/>
                <w:szCs w:val="21"/>
              </w:rPr>
              <w:t>）</w:t>
            </w:r>
          </w:p>
        </w:tc>
        <w:tc>
          <w:tcPr>
            <w:tcW w:w="1701" w:type="dxa"/>
            <w:vAlign w:val="center"/>
          </w:tcPr>
          <w:p>
            <w:pPr>
              <w:spacing w:line="360" w:lineRule="auto"/>
              <w:jc w:val="center"/>
              <w:rPr>
                <w:b/>
                <w:bCs/>
                <w:color w:val="auto"/>
                <w:sz w:val="21"/>
                <w:szCs w:val="21"/>
              </w:rPr>
            </w:pPr>
            <w:r>
              <w:rPr>
                <w:rFonts w:hint="eastAsia"/>
                <w:b/>
                <w:bCs/>
                <w:color w:val="auto"/>
                <w:sz w:val="21"/>
                <w:szCs w:val="21"/>
              </w:rPr>
              <w:t>风量</w:t>
            </w:r>
          </w:p>
          <w:p>
            <w:pPr>
              <w:spacing w:line="360" w:lineRule="auto"/>
              <w:jc w:val="center"/>
              <w:rPr>
                <w:b/>
                <w:bCs/>
                <w:color w:val="auto"/>
                <w:sz w:val="21"/>
                <w:szCs w:val="21"/>
              </w:rPr>
            </w:pPr>
            <w:r>
              <w:rPr>
                <w:rFonts w:hint="eastAsia" w:eastAsiaTheme="minorEastAsia"/>
                <w:b/>
                <w:color w:val="auto"/>
                <w:kern w:val="0"/>
                <w:sz w:val="21"/>
                <w:szCs w:val="21"/>
              </w:rPr>
              <w:t>（</w:t>
            </w:r>
            <w:r>
              <w:rPr>
                <w:b/>
                <w:color w:val="auto"/>
                <w:kern w:val="0"/>
                <w:sz w:val="21"/>
                <w:szCs w:val="21"/>
              </w:rPr>
              <w:t>m</w:t>
            </w:r>
            <w:r>
              <w:rPr>
                <w:b/>
                <w:color w:val="auto"/>
                <w:kern w:val="0"/>
                <w:sz w:val="21"/>
                <w:szCs w:val="21"/>
                <w:vertAlign w:val="superscript"/>
              </w:rPr>
              <w:t>3</w:t>
            </w:r>
            <w:r>
              <w:rPr>
                <w:b/>
                <w:color w:val="auto"/>
                <w:kern w:val="0"/>
                <w:sz w:val="21"/>
                <w:szCs w:val="21"/>
              </w:rPr>
              <w:t>/h</w:t>
            </w:r>
            <w:r>
              <w:rPr>
                <w:rFonts w:hint="eastAsia" w:eastAsiaTheme="minorEastAsia"/>
                <w:b/>
                <w:color w:val="auto"/>
                <w:kern w:val="0"/>
                <w:sz w:val="21"/>
                <w:szCs w:val="21"/>
              </w:rPr>
              <w:t>）</w:t>
            </w:r>
          </w:p>
        </w:tc>
        <w:tc>
          <w:tcPr>
            <w:tcW w:w="2799" w:type="dxa"/>
            <w:vAlign w:val="center"/>
          </w:tcPr>
          <w:p>
            <w:pPr>
              <w:spacing w:line="360" w:lineRule="auto"/>
              <w:jc w:val="center"/>
              <w:rPr>
                <w:b/>
                <w:bCs/>
                <w:color w:val="auto"/>
                <w:sz w:val="21"/>
                <w:szCs w:val="21"/>
              </w:rPr>
            </w:pPr>
            <w:r>
              <w:rPr>
                <w:rFonts w:hint="eastAsia"/>
                <w:b/>
                <w:bCs/>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59" w:type="dxa"/>
            <w:vAlign w:val="center"/>
          </w:tcPr>
          <w:p>
            <w:pPr>
              <w:spacing w:line="360" w:lineRule="auto"/>
              <w:jc w:val="center"/>
              <w:rPr>
                <w:bCs/>
                <w:color w:val="auto"/>
                <w:sz w:val="21"/>
                <w:szCs w:val="21"/>
              </w:rPr>
            </w:pPr>
            <w:r>
              <w:rPr>
                <w:rFonts w:hint="eastAsia"/>
                <w:bCs/>
                <w:color w:val="auto"/>
                <w:sz w:val="21"/>
                <w:szCs w:val="21"/>
              </w:rPr>
              <w:t>1</w:t>
            </w:r>
          </w:p>
        </w:tc>
        <w:tc>
          <w:tcPr>
            <w:tcW w:w="2410" w:type="dxa"/>
            <w:vAlign w:val="center"/>
          </w:tcPr>
          <w:p>
            <w:pPr>
              <w:spacing w:line="360" w:lineRule="auto"/>
              <w:jc w:val="center"/>
              <w:rPr>
                <w:bCs/>
                <w:color w:val="auto"/>
                <w:sz w:val="21"/>
                <w:szCs w:val="21"/>
              </w:rPr>
            </w:pPr>
            <w:r>
              <w:rPr>
                <w:rFonts w:hint="eastAsia"/>
                <w:bCs/>
                <w:color w:val="auto"/>
                <w:sz w:val="21"/>
                <w:szCs w:val="21"/>
              </w:rPr>
              <w:t>卸料间</w:t>
            </w:r>
          </w:p>
        </w:tc>
        <w:tc>
          <w:tcPr>
            <w:tcW w:w="1417" w:type="dxa"/>
            <w:vAlign w:val="center"/>
          </w:tcPr>
          <w:p>
            <w:pPr>
              <w:spacing w:line="360" w:lineRule="auto"/>
              <w:jc w:val="center"/>
              <w:rPr>
                <w:bCs/>
                <w:color w:val="auto"/>
                <w:sz w:val="21"/>
                <w:szCs w:val="21"/>
              </w:rPr>
            </w:pPr>
            <w:r>
              <w:rPr>
                <w:rFonts w:hint="eastAsia"/>
                <w:bCs/>
                <w:color w:val="auto"/>
                <w:sz w:val="21"/>
                <w:szCs w:val="21"/>
              </w:rPr>
              <w:t>-</w:t>
            </w:r>
          </w:p>
        </w:tc>
        <w:tc>
          <w:tcPr>
            <w:tcW w:w="1701" w:type="dxa"/>
            <w:vAlign w:val="center"/>
          </w:tcPr>
          <w:p>
            <w:pPr>
              <w:spacing w:line="360" w:lineRule="auto"/>
              <w:jc w:val="center"/>
              <w:rPr>
                <w:bCs/>
                <w:color w:val="auto"/>
                <w:sz w:val="21"/>
                <w:szCs w:val="21"/>
              </w:rPr>
            </w:pPr>
            <w:r>
              <w:rPr>
                <w:rFonts w:hint="eastAsia"/>
                <w:bCs/>
                <w:color w:val="auto"/>
                <w:sz w:val="21"/>
                <w:szCs w:val="21"/>
              </w:rPr>
              <w:t>3000</w:t>
            </w:r>
          </w:p>
        </w:tc>
        <w:tc>
          <w:tcPr>
            <w:tcW w:w="2799" w:type="dxa"/>
            <w:vAlign w:val="center"/>
          </w:tcPr>
          <w:p>
            <w:pPr>
              <w:spacing w:line="360" w:lineRule="auto"/>
              <w:jc w:val="center"/>
              <w:rPr>
                <w:bCs/>
                <w:color w:val="auto"/>
                <w:sz w:val="21"/>
                <w:szCs w:val="21"/>
              </w:rPr>
            </w:pPr>
            <w:r>
              <w:rPr>
                <w:rFonts w:hint="eastAsia"/>
                <w:bCs/>
                <w:color w:val="auto"/>
                <w:sz w:val="21"/>
                <w:szCs w:val="21"/>
              </w:rPr>
              <w:t>在餐厨垃圾卸料时开启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59" w:type="dxa"/>
            <w:vAlign w:val="center"/>
          </w:tcPr>
          <w:p>
            <w:pPr>
              <w:spacing w:line="360" w:lineRule="auto"/>
              <w:jc w:val="center"/>
              <w:rPr>
                <w:bCs/>
                <w:color w:val="auto"/>
                <w:sz w:val="21"/>
                <w:szCs w:val="21"/>
              </w:rPr>
            </w:pPr>
            <w:r>
              <w:rPr>
                <w:rFonts w:hint="eastAsia"/>
                <w:bCs/>
                <w:color w:val="auto"/>
                <w:sz w:val="21"/>
                <w:szCs w:val="21"/>
              </w:rPr>
              <w:t>2</w:t>
            </w:r>
          </w:p>
        </w:tc>
        <w:tc>
          <w:tcPr>
            <w:tcW w:w="2410" w:type="dxa"/>
            <w:vAlign w:val="center"/>
          </w:tcPr>
          <w:p>
            <w:pPr>
              <w:spacing w:line="360" w:lineRule="auto"/>
              <w:jc w:val="center"/>
              <w:rPr>
                <w:bCs/>
                <w:color w:val="auto"/>
                <w:sz w:val="21"/>
                <w:szCs w:val="21"/>
              </w:rPr>
            </w:pPr>
            <w:r>
              <w:rPr>
                <w:rFonts w:hint="eastAsia"/>
                <w:bCs/>
                <w:color w:val="auto"/>
                <w:sz w:val="21"/>
                <w:szCs w:val="21"/>
              </w:rPr>
              <w:t>卸料斗、破碎机、脱水机、油水分离机等设备</w:t>
            </w:r>
          </w:p>
        </w:tc>
        <w:tc>
          <w:tcPr>
            <w:tcW w:w="1417" w:type="dxa"/>
            <w:vAlign w:val="center"/>
          </w:tcPr>
          <w:p>
            <w:pPr>
              <w:spacing w:line="360" w:lineRule="auto"/>
              <w:jc w:val="center"/>
              <w:rPr>
                <w:bCs/>
                <w:color w:val="auto"/>
                <w:sz w:val="21"/>
                <w:szCs w:val="21"/>
              </w:rPr>
            </w:pPr>
            <w:r>
              <w:rPr>
                <w:rFonts w:hint="eastAsia"/>
                <w:bCs/>
                <w:color w:val="auto"/>
                <w:sz w:val="21"/>
                <w:szCs w:val="21"/>
              </w:rPr>
              <w:t>-</w:t>
            </w:r>
          </w:p>
        </w:tc>
        <w:tc>
          <w:tcPr>
            <w:tcW w:w="1701" w:type="dxa"/>
            <w:vAlign w:val="center"/>
          </w:tcPr>
          <w:p>
            <w:pPr>
              <w:spacing w:line="360" w:lineRule="auto"/>
              <w:jc w:val="center"/>
              <w:rPr>
                <w:bCs/>
                <w:color w:val="auto"/>
                <w:sz w:val="21"/>
                <w:szCs w:val="21"/>
              </w:rPr>
            </w:pPr>
            <w:r>
              <w:rPr>
                <w:rFonts w:hint="eastAsia"/>
                <w:bCs/>
                <w:color w:val="auto"/>
                <w:sz w:val="21"/>
                <w:szCs w:val="21"/>
              </w:rPr>
              <w:t>3000</w:t>
            </w:r>
          </w:p>
        </w:tc>
        <w:tc>
          <w:tcPr>
            <w:tcW w:w="2799" w:type="dxa"/>
            <w:vMerge w:val="restart"/>
            <w:vAlign w:val="center"/>
          </w:tcPr>
          <w:p>
            <w:pPr>
              <w:spacing w:line="360" w:lineRule="auto"/>
              <w:jc w:val="center"/>
              <w:rPr>
                <w:bCs/>
                <w:color w:val="auto"/>
                <w:sz w:val="21"/>
                <w:szCs w:val="21"/>
              </w:rPr>
            </w:pPr>
            <w:r>
              <w:rPr>
                <w:rFonts w:hint="eastAsia"/>
                <w:bCs/>
                <w:color w:val="auto"/>
                <w:sz w:val="21"/>
                <w:szCs w:val="21"/>
              </w:rPr>
              <w:t>密闭设备局部抽吸，同时对整体车间进行抽气，保持负压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59" w:type="dxa"/>
            <w:vAlign w:val="center"/>
          </w:tcPr>
          <w:p>
            <w:pPr>
              <w:spacing w:line="360" w:lineRule="auto"/>
              <w:jc w:val="center"/>
              <w:rPr>
                <w:bCs/>
                <w:color w:val="auto"/>
                <w:sz w:val="21"/>
                <w:szCs w:val="21"/>
              </w:rPr>
            </w:pPr>
            <w:r>
              <w:rPr>
                <w:rFonts w:hint="eastAsia"/>
                <w:bCs/>
                <w:color w:val="auto"/>
                <w:sz w:val="21"/>
                <w:szCs w:val="21"/>
              </w:rPr>
              <w:t>3</w:t>
            </w:r>
          </w:p>
        </w:tc>
        <w:tc>
          <w:tcPr>
            <w:tcW w:w="2410" w:type="dxa"/>
            <w:vAlign w:val="center"/>
          </w:tcPr>
          <w:p>
            <w:pPr>
              <w:spacing w:line="360" w:lineRule="auto"/>
              <w:jc w:val="center"/>
              <w:rPr>
                <w:bCs/>
                <w:color w:val="auto"/>
                <w:sz w:val="21"/>
                <w:szCs w:val="21"/>
              </w:rPr>
            </w:pPr>
            <w:r>
              <w:rPr>
                <w:rFonts w:hint="eastAsia"/>
                <w:bCs/>
                <w:color w:val="auto"/>
                <w:sz w:val="21"/>
                <w:szCs w:val="21"/>
              </w:rPr>
              <w:t>整体车间</w:t>
            </w:r>
          </w:p>
        </w:tc>
        <w:tc>
          <w:tcPr>
            <w:tcW w:w="1417" w:type="dxa"/>
            <w:vAlign w:val="center"/>
          </w:tcPr>
          <w:p>
            <w:pPr>
              <w:spacing w:line="360" w:lineRule="auto"/>
              <w:jc w:val="center"/>
              <w:rPr>
                <w:bCs/>
                <w:color w:val="auto"/>
                <w:sz w:val="21"/>
                <w:szCs w:val="21"/>
              </w:rPr>
            </w:pPr>
            <w:r>
              <w:rPr>
                <w:rFonts w:hint="eastAsia"/>
                <w:bCs/>
                <w:color w:val="auto"/>
                <w:sz w:val="21"/>
                <w:szCs w:val="21"/>
              </w:rPr>
              <w:t>3</w:t>
            </w:r>
          </w:p>
        </w:tc>
        <w:tc>
          <w:tcPr>
            <w:tcW w:w="1701" w:type="dxa"/>
            <w:vAlign w:val="center"/>
          </w:tcPr>
          <w:p>
            <w:pPr>
              <w:spacing w:line="360" w:lineRule="auto"/>
              <w:jc w:val="center"/>
              <w:rPr>
                <w:bCs/>
                <w:color w:val="auto"/>
                <w:sz w:val="21"/>
                <w:szCs w:val="21"/>
              </w:rPr>
            </w:pPr>
            <w:r>
              <w:rPr>
                <w:rFonts w:hint="eastAsia"/>
                <w:bCs/>
                <w:color w:val="auto"/>
                <w:sz w:val="21"/>
                <w:szCs w:val="21"/>
              </w:rPr>
              <w:t>58000</w:t>
            </w:r>
          </w:p>
        </w:tc>
        <w:tc>
          <w:tcPr>
            <w:tcW w:w="2799" w:type="dxa"/>
            <w:vMerge w:val="continue"/>
            <w:vAlign w:val="center"/>
          </w:tcPr>
          <w:p>
            <w:pPr>
              <w:spacing w:line="360" w:lineRule="auto"/>
              <w:jc w:val="center"/>
              <w:rPr>
                <w:bCs/>
                <w:color w:val="auto"/>
                <w:sz w:val="21"/>
                <w:szCs w:val="21"/>
              </w:rPr>
            </w:pPr>
          </w:p>
        </w:tc>
      </w:tr>
    </w:tbl>
    <w:p>
      <w:pPr>
        <w:spacing w:line="360" w:lineRule="auto"/>
        <w:ind w:firstLine="482" w:firstLineChars="200"/>
        <w:rPr>
          <w:rFonts w:eastAsiaTheme="minorEastAsia"/>
          <w:b/>
          <w:bCs/>
          <w:color w:val="auto"/>
        </w:rPr>
      </w:pPr>
      <w:r>
        <w:rPr>
          <w:b/>
          <w:bCs/>
          <w:color w:val="auto"/>
        </w:rPr>
        <w:t>根据上表，除臭系统的总风量为</w:t>
      </w:r>
      <w:r>
        <w:rPr>
          <w:rFonts w:hint="eastAsia"/>
          <w:b/>
          <w:bCs/>
          <w:color w:val="auto"/>
        </w:rPr>
        <w:t>64</w:t>
      </w:r>
      <w:r>
        <w:rPr>
          <w:b/>
          <w:bCs/>
          <w:color w:val="auto"/>
        </w:rPr>
        <w:t>000</w:t>
      </w:r>
      <w:r>
        <w:rPr>
          <w:b/>
          <w:color w:val="auto"/>
          <w:kern w:val="0"/>
        </w:rPr>
        <w:t xml:space="preserve"> m</w:t>
      </w:r>
      <w:r>
        <w:rPr>
          <w:b/>
          <w:color w:val="auto"/>
          <w:kern w:val="0"/>
          <w:vertAlign w:val="superscript"/>
        </w:rPr>
        <w:t>3</w:t>
      </w:r>
      <w:r>
        <w:rPr>
          <w:b/>
          <w:color w:val="auto"/>
          <w:kern w:val="0"/>
        </w:rPr>
        <w:t>/h</w:t>
      </w:r>
      <w:r>
        <w:rPr>
          <w:rFonts w:eastAsiaTheme="minorEastAsia"/>
          <w:b/>
          <w:color w:val="auto"/>
          <w:kern w:val="0"/>
        </w:rPr>
        <w:t>，因此设计规模取值</w:t>
      </w:r>
      <w:r>
        <w:rPr>
          <w:rFonts w:hint="eastAsia" w:eastAsiaTheme="minorEastAsia"/>
          <w:b/>
          <w:color w:val="auto"/>
          <w:kern w:val="0"/>
        </w:rPr>
        <w:t>70</w:t>
      </w:r>
      <w:r>
        <w:rPr>
          <w:rFonts w:eastAsiaTheme="minorEastAsia"/>
          <w:b/>
          <w:color w:val="auto"/>
          <w:kern w:val="0"/>
        </w:rPr>
        <w:t>000</w:t>
      </w:r>
      <w:r>
        <w:rPr>
          <w:b/>
          <w:color w:val="auto"/>
          <w:kern w:val="0"/>
        </w:rPr>
        <w:t xml:space="preserve"> m</w:t>
      </w:r>
      <w:r>
        <w:rPr>
          <w:b/>
          <w:color w:val="auto"/>
          <w:kern w:val="0"/>
          <w:vertAlign w:val="superscript"/>
        </w:rPr>
        <w:t>3</w:t>
      </w:r>
      <w:r>
        <w:rPr>
          <w:b/>
          <w:color w:val="auto"/>
          <w:kern w:val="0"/>
        </w:rPr>
        <w:t>/h</w:t>
      </w:r>
      <w:r>
        <w:rPr>
          <w:rFonts w:eastAsiaTheme="minorEastAsia"/>
          <w:b/>
          <w:color w:val="auto"/>
          <w:kern w:val="0"/>
        </w:rPr>
        <w:t>。</w:t>
      </w:r>
    </w:p>
    <w:p>
      <w:pPr>
        <w:spacing w:line="360" w:lineRule="auto"/>
        <w:ind w:firstLine="482" w:firstLineChars="200"/>
        <w:rPr>
          <w:b/>
          <w:bCs/>
          <w:color w:val="auto"/>
        </w:rPr>
      </w:pPr>
      <w:r>
        <w:rPr>
          <w:rFonts w:hint="eastAsia"/>
          <w:b/>
          <w:bCs/>
          <w:color w:val="auto"/>
        </w:rPr>
        <w:t>三</w:t>
      </w:r>
      <w:r>
        <w:rPr>
          <w:b/>
          <w:bCs/>
          <w:color w:val="auto"/>
        </w:rPr>
        <w:t>、</w:t>
      </w:r>
      <w:r>
        <w:rPr>
          <w:rFonts w:hint="eastAsia"/>
          <w:b/>
          <w:bCs/>
          <w:color w:val="auto"/>
        </w:rPr>
        <w:t>臭气源强计算</w:t>
      </w:r>
    </w:p>
    <w:p>
      <w:pPr>
        <w:spacing w:line="360" w:lineRule="auto"/>
        <w:ind w:firstLine="482" w:firstLineChars="200"/>
        <w:rPr>
          <w:b/>
          <w:bCs/>
          <w:color w:val="auto"/>
        </w:rPr>
      </w:pPr>
      <w:r>
        <w:rPr>
          <w:rFonts w:hint="eastAsia"/>
          <w:b/>
          <w:bCs/>
          <w:color w:val="auto"/>
        </w:rPr>
        <w:t>（1）有组织排放</w:t>
      </w:r>
    </w:p>
    <w:p>
      <w:pPr>
        <w:adjustRightInd w:val="0"/>
        <w:snapToGrid w:val="0"/>
        <w:spacing w:line="360" w:lineRule="auto"/>
        <w:ind w:firstLine="482" w:firstLineChars="200"/>
        <w:rPr>
          <w:color w:val="auto"/>
        </w:rPr>
      </w:pPr>
      <w:r>
        <w:rPr>
          <w:rFonts w:hint="eastAsia"/>
          <w:b/>
          <w:bCs/>
          <w:color w:val="auto"/>
        </w:rPr>
        <w:t xml:space="preserve"> </w:t>
      </w:r>
      <w:r>
        <w:rPr>
          <w:rFonts w:hint="eastAsia"/>
          <w:color w:val="auto"/>
        </w:rPr>
        <w:t>由于本项目主体生产工艺流程及控制参数、生产设备、主要产品与</w:t>
      </w:r>
      <w:r>
        <w:rPr>
          <w:rFonts w:hint="eastAsia"/>
          <w:b w:val="0"/>
          <w:bCs w:val="0"/>
          <w:color w:val="auto"/>
          <w:lang w:eastAsia="zh-CN"/>
        </w:rPr>
        <w:t xml:space="preserve">广州安芮洁环保科技有限公司餐厨垃圾黑水虻处理项目 </w:t>
      </w:r>
      <w:r>
        <w:rPr>
          <w:rFonts w:hint="eastAsia"/>
          <w:color w:val="auto"/>
        </w:rPr>
        <w:t>（已竣工验收）相似，且本项目针对各废气污染源采取的防治措施也相似，满足类比对象选取原则，类比分析情况见表 3.</w:t>
      </w:r>
      <w:r>
        <w:rPr>
          <w:rFonts w:hint="eastAsia"/>
          <w:color w:val="auto"/>
          <w:lang w:val="en-US" w:eastAsia="zh-CN"/>
        </w:rPr>
        <w:t>3</w:t>
      </w:r>
      <w:r>
        <w:rPr>
          <w:rFonts w:hint="eastAsia"/>
          <w:color w:val="auto"/>
        </w:rPr>
        <w:t>-2。</w:t>
      </w:r>
    </w:p>
    <w:p>
      <w:pPr>
        <w:adjustRightInd w:val="0"/>
        <w:snapToGrid w:val="0"/>
        <w:spacing w:line="360" w:lineRule="auto"/>
        <w:ind w:firstLine="482" w:firstLineChars="200"/>
        <w:jc w:val="center"/>
        <w:rPr>
          <w:b/>
          <w:color w:val="auto"/>
        </w:rPr>
      </w:pPr>
      <w:r>
        <w:rPr>
          <w:rFonts w:hint="eastAsia"/>
          <w:b/>
          <w:color w:val="auto"/>
        </w:rPr>
        <w:t>表3.</w:t>
      </w:r>
      <w:r>
        <w:rPr>
          <w:rFonts w:hint="eastAsia"/>
          <w:b/>
          <w:color w:val="auto"/>
          <w:lang w:val="en-US" w:eastAsia="zh-CN"/>
        </w:rPr>
        <w:t>3</w:t>
      </w:r>
      <w:r>
        <w:rPr>
          <w:rFonts w:hint="eastAsia"/>
          <w:b/>
          <w:color w:val="auto"/>
        </w:rPr>
        <w:t>-2   类比情况分析表</w:t>
      </w:r>
    </w:p>
    <w:tbl>
      <w:tblPr>
        <w:tblStyle w:val="54"/>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7"/>
        <w:gridCol w:w="709"/>
        <w:gridCol w:w="1701"/>
        <w:gridCol w:w="2551"/>
        <w:gridCol w:w="2268"/>
        <w:gridCol w:w="12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17" w:type="dxa"/>
            <w:vAlign w:val="center"/>
          </w:tcPr>
          <w:p>
            <w:pPr>
              <w:adjustRightInd w:val="0"/>
              <w:snapToGrid w:val="0"/>
              <w:spacing w:line="360" w:lineRule="auto"/>
              <w:jc w:val="center"/>
              <w:rPr>
                <w:b/>
                <w:color w:val="auto"/>
                <w:sz w:val="21"/>
                <w:szCs w:val="21"/>
              </w:rPr>
            </w:pPr>
            <w:r>
              <w:rPr>
                <w:rFonts w:hint="eastAsia"/>
                <w:b/>
                <w:color w:val="auto"/>
                <w:sz w:val="21"/>
                <w:szCs w:val="21"/>
              </w:rPr>
              <w:t>序号</w:t>
            </w:r>
          </w:p>
        </w:tc>
        <w:tc>
          <w:tcPr>
            <w:tcW w:w="2410" w:type="dxa"/>
            <w:gridSpan w:val="2"/>
            <w:vAlign w:val="center"/>
          </w:tcPr>
          <w:p>
            <w:pPr>
              <w:adjustRightInd w:val="0"/>
              <w:snapToGrid w:val="0"/>
              <w:spacing w:line="360" w:lineRule="auto"/>
              <w:jc w:val="center"/>
              <w:rPr>
                <w:b/>
                <w:color w:val="auto"/>
                <w:sz w:val="21"/>
                <w:szCs w:val="21"/>
              </w:rPr>
            </w:pPr>
            <w:r>
              <w:rPr>
                <w:rFonts w:hint="eastAsia"/>
                <w:b/>
                <w:color w:val="auto"/>
                <w:sz w:val="21"/>
                <w:szCs w:val="21"/>
              </w:rPr>
              <w:t>项目名称</w:t>
            </w:r>
          </w:p>
        </w:tc>
        <w:tc>
          <w:tcPr>
            <w:tcW w:w="2551" w:type="dxa"/>
            <w:vAlign w:val="center"/>
          </w:tcPr>
          <w:p>
            <w:pPr>
              <w:adjustRightInd w:val="0"/>
              <w:snapToGrid w:val="0"/>
              <w:spacing w:line="360" w:lineRule="auto"/>
              <w:jc w:val="center"/>
              <w:rPr>
                <w:b/>
                <w:color w:val="auto"/>
                <w:sz w:val="21"/>
                <w:szCs w:val="21"/>
              </w:rPr>
            </w:pPr>
            <w:r>
              <w:rPr>
                <w:rFonts w:hint="eastAsia"/>
                <w:b/>
                <w:color w:val="auto"/>
                <w:sz w:val="21"/>
                <w:szCs w:val="21"/>
              </w:rPr>
              <w:t xml:space="preserve">广州安芮洁环保科技有限公司餐厨垃圾黑水虻处理项目 </w:t>
            </w:r>
          </w:p>
        </w:tc>
        <w:tc>
          <w:tcPr>
            <w:tcW w:w="2268" w:type="dxa"/>
            <w:vAlign w:val="center"/>
          </w:tcPr>
          <w:p>
            <w:pPr>
              <w:adjustRightInd w:val="0"/>
              <w:snapToGrid w:val="0"/>
              <w:spacing w:line="360" w:lineRule="auto"/>
              <w:jc w:val="center"/>
              <w:rPr>
                <w:b/>
                <w:color w:val="auto"/>
                <w:sz w:val="21"/>
                <w:szCs w:val="21"/>
              </w:rPr>
            </w:pPr>
            <w:r>
              <w:rPr>
                <w:rFonts w:hint="eastAsia"/>
                <w:b/>
                <w:color w:val="auto"/>
                <w:sz w:val="21"/>
                <w:szCs w:val="21"/>
              </w:rPr>
              <w:t>本项目</w:t>
            </w:r>
          </w:p>
        </w:tc>
        <w:tc>
          <w:tcPr>
            <w:tcW w:w="1240" w:type="dxa"/>
            <w:vAlign w:val="center"/>
          </w:tcPr>
          <w:p>
            <w:pPr>
              <w:adjustRightInd w:val="0"/>
              <w:snapToGrid w:val="0"/>
              <w:spacing w:line="360" w:lineRule="auto"/>
              <w:jc w:val="center"/>
              <w:rPr>
                <w:b/>
                <w:color w:val="auto"/>
                <w:sz w:val="21"/>
                <w:szCs w:val="21"/>
              </w:rPr>
            </w:pPr>
            <w:r>
              <w:rPr>
                <w:rFonts w:hint="eastAsia"/>
                <w:b/>
                <w:color w:val="auto"/>
                <w:sz w:val="21"/>
                <w:szCs w:val="21"/>
              </w:rPr>
              <w:t>相似性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17" w:type="dxa"/>
            <w:vAlign w:val="center"/>
          </w:tcPr>
          <w:p>
            <w:pPr>
              <w:adjustRightInd w:val="0"/>
              <w:snapToGrid w:val="0"/>
              <w:spacing w:line="360" w:lineRule="auto"/>
              <w:jc w:val="center"/>
              <w:rPr>
                <w:color w:val="auto"/>
                <w:sz w:val="21"/>
                <w:szCs w:val="21"/>
              </w:rPr>
            </w:pPr>
            <w:r>
              <w:rPr>
                <w:rFonts w:hint="eastAsia"/>
                <w:color w:val="auto"/>
                <w:sz w:val="21"/>
                <w:szCs w:val="21"/>
              </w:rPr>
              <w:t>1</w:t>
            </w:r>
          </w:p>
        </w:tc>
        <w:tc>
          <w:tcPr>
            <w:tcW w:w="2410" w:type="dxa"/>
            <w:gridSpan w:val="2"/>
            <w:vAlign w:val="center"/>
          </w:tcPr>
          <w:p>
            <w:pPr>
              <w:adjustRightInd w:val="0"/>
              <w:snapToGrid w:val="0"/>
              <w:spacing w:line="360" w:lineRule="auto"/>
              <w:jc w:val="center"/>
              <w:rPr>
                <w:color w:val="auto"/>
                <w:sz w:val="21"/>
                <w:szCs w:val="21"/>
              </w:rPr>
            </w:pPr>
            <w:r>
              <w:rPr>
                <w:rFonts w:hint="eastAsia"/>
                <w:color w:val="auto"/>
                <w:sz w:val="21"/>
                <w:szCs w:val="21"/>
              </w:rPr>
              <w:t>处理规模</w:t>
            </w:r>
          </w:p>
        </w:tc>
        <w:tc>
          <w:tcPr>
            <w:tcW w:w="2551" w:type="dxa"/>
            <w:vAlign w:val="center"/>
          </w:tcPr>
          <w:p>
            <w:pPr>
              <w:adjustRightInd w:val="0"/>
              <w:snapToGrid w:val="0"/>
              <w:spacing w:line="360" w:lineRule="auto"/>
              <w:jc w:val="center"/>
              <w:rPr>
                <w:color w:val="auto"/>
                <w:sz w:val="21"/>
                <w:szCs w:val="21"/>
              </w:rPr>
            </w:pPr>
            <w:r>
              <w:rPr>
                <w:rFonts w:hint="eastAsia"/>
                <w:color w:val="auto"/>
                <w:sz w:val="21"/>
                <w:szCs w:val="21"/>
              </w:rPr>
              <w:t>日处理餐厨废弃物</w:t>
            </w:r>
            <w:r>
              <w:rPr>
                <w:rFonts w:hint="eastAsia"/>
                <w:color w:val="auto"/>
                <w:sz w:val="21"/>
                <w:szCs w:val="21"/>
                <w:lang w:val="en-US" w:eastAsia="zh-CN"/>
              </w:rPr>
              <w:t>1</w:t>
            </w:r>
            <w:r>
              <w:rPr>
                <w:color w:val="auto"/>
                <w:sz w:val="21"/>
                <w:szCs w:val="21"/>
              </w:rPr>
              <w:t>00t</w:t>
            </w:r>
          </w:p>
        </w:tc>
        <w:tc>
          <w:tcPr>
            <w:tcW w:w="2268" w:type="dxa"/>
            <w:vAlign w:val="center"/>
          </w:tcPr>
          <w:p>
            <w:pPr>
              <w:adjustRightInd w:val="0"/>
              <w:snapToGrid w:val="0"/>
              <w:spacing w:line="360" w:lineRule="auto"/>
              <w:jc w:val="center"/>
              <w:rPr>
                <w:color w:val="auto"/>
                <w:sz w:val="21"/>
                <w:szCs w:val="21"/>
              </w:rPr>
            </w:pPr>
            <w:r>
              <w:rPr>
                <w:rFonts w:hint="eastAsia"/>
                <w:color w:val="auto"/>
                <w:sz w:val="21"/>
                <w:szCs w:val="21"/>
              </w:rPr>
              <w:t>日处理餐厨废弃物25</w:t>
            </w:r>
            <w:r>
              <w:rPr>
                <w:color w:val="auto"/>
                <w:sz w:val="21"/>
                <w:szCs w:val="21"/>
              </w:rPr>
              <w:t>t</w:t>
            </w:r>
          </w:p>
        </w:tc>
        <w:tc>
          <w:tcPr>
            <w:tcW w:w="1240" w:type="dxa"/>
            <w:vAlign w:val="center"/>
          </w:tcPr>
          <w:p>
            <w:pPr>
              <w:adjustRightInd w:val="0"/>
              <w:snapToGrid w:val="0"/>
              <w:spacing w:line="360" w:lineRule="auto"/>
              <w:jc w:val="center"/>
              <w:rPr>
                <w:color w:val="auto"/>
                <w:sz w:val="21"/>
                <w:szCs w:val="21"/>
              </w:rPr>
            </w:pPr>
            <w:r>
              <w:rPr>
                <w:rFonts w:hint="eastAsia"/>
                <w:color w:val="auto"/>
                <w:sz w:val="21"/>
                <w:szCs w:val="21"/>
              </w:rPr>
              <w:t>处理规模较小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17" w:type="dxa"/>
            <w:vAlign w:val="center"/>
          </w:tcPr>
          <w:p>
            <w:pPr>
              <w:adjustRightInd w:val="0"/>
              <w:snapToGrid w:val="0"/>
              <w:spacing w:line="360" w:lineRule="auto"/>
              <w:jc w:val="center"/>
              <w:rPr>
                <w:color w:val="auto"/>
                <w:sz w:val="21"/>
                <w:szCs w:val="21"/>
              </w:rPr>
            </w:pPr>
            <w:r>
              <w:rPr>
                <w:rFonts w:hint="eastAsia"/>
                <w:color w:val="auto"/>
                <w:sz w:val="21"/>
                <w:szCs w:val="21"/>
              </w:rPr>
              <w:t>2</w:t>
            </w:r>
          </w:p>
        </w:tc>
        <w:tc>
          <w:tcPr>
            <w:tcW w:w="2410" w:type="dxa"/>
            <w:gridSpan w:val="2"/>
            <w:vAlign w:val="center"/>
          </w:tcPr>
          <w:p>
            <w:pPr>
              <w:adjustRightInd w:val="0"/>
              <w:snapToGrid w:val="0"/>
              <w:spacing w:line="360" w:lineRule="auto"/>
              <w:jc w:val="center"/>
              <w:rPr>
                <w:color w:val="auto"/>
                <w:sz w:val="21"/>
                <w:szCs w:val="21"/>
              </w:rPr>
            </w:pPr>
            <w:r>
              <w:rPr>
                <w:rFonts w:hint="eastAsia"/>
                <w:color w:val="auto"/>
                <w:sz w:val="21"/>
                <w:szCs w:val="21"/>
              </w:rPr>
              <w:t>主要建设内容</w:t>
            </w:r>
          </w:p>
        </w:tc>
        <w:tc>
          <w:tcPr>
            <w:tcW w:w="2551" w:type="dxa"/>
            <w:vAlign w:val="center"/>
          </w:tcPr>
          <w:p>
            <w:pPr>
              <w:adjustRightInd w:val="0"/>
              <w:snapToGrid w:val="0"/>
              <w:spacing w:line="360" w:lineRule="auto"/>
              <w:jc w:val="center"/>
              <w:rPr>
                <w:color w:val="auto"/>
                <w:sz w:val="21"/>
                <w:szCs w:val="21"/>
              </w:rPr>
            </w:pPr>
            <w:r>
              <w:rPr>
                <w:rFonts w:hint="eastAsia"/>
                <w:color w:val="auto"/>
                <w:sz w:val="21"/>
                <w:szCs w:val="21"/>
              </w:rPr>
              <w:t>餐厨废弃物预处理系统、</w:t>
            </w:r>
            <w:r>
              <w:rPr>
                <w:rFonts w:hint="eastAsia"/>
                <w:color w:val="auto"/>
                <w:sz w:val="21"/>
                <w:szCs w:val="21"/>
                <w:lang w:eastAsia="zh-CN"/>
              </w:rPr>
              <w:t>养殖系统</w:t>
            </w:r>
            <w:r>
              <w:rPr>
                <w:rFonts w:hint="eastAsia"/>
                <w:color w:val="auto"/>
                <w:sz w:val="21"/>
                <w:szCs w:val="21"/>
              </w:rPr>
              <w:t>、污水处理系统、臭气处理系统等</w:t>
            </w:r>
          </w:p>
        </w:tc>
        <w:tc>
          <w:tcPr>
            <w:tcW w:w="2268" w:type="dxa"/>
            <w:vAlign w:val="center"/>
          </w:tcPr>
          <w:p>
            <w:pPr>
              <w:adjustRightInd w:val="0"/>
              <w:snapToGrid w:val="0"/>
              <w:spacing w:line="360" w:lineRule="auto"/>
              <w:jc w:val="center"/>
              <w:rPr>
                <w:color w:val="auto"/>
                <w:sz w:val="21"/>
                <w:szCs w:val="21"/>
              </w:rPr>
            </w:pPr>
            <w:r>
              <w:rPr>
                <w:rFonts w:hint="eastAsia"/>
                <w:color w:val="auto"/>
                <w:sz w:val="21"/>
                <w:szCs w:val="21"/>
              </w:rPr>
              <w:t>餐厨废弃物预处理系统、臭气处理系统</w:t>
            </w:r>
          </w:p>
        </w:tc>
        <w:tc>
          <w:tcPr>
            <w:tcW w:w="1240" w:type="dxa"/>
            <w:vAlign w:val="center"/>
          </w:tcPr>
          <w:p>
            <w:pPr>
              <w:adjustRightInd w:val="0"/>
              <w:snapToGrid w:val="0"/>
              <w:spacing w:line="360" w:lineRule="auto"/>
              <w:jc w:val="center"/>
              <w:rPr>
                <w:color w:val="auto"/>
                <w:sz w:val="21"/>
                <w:szCs w:val="21"/>
              </w:rPr>
            </w:pPr>
            <w:r>
              <w:rPr>
                <w:rFonts w:hint="eastAsia"/>
                <w:color w:val="auto"/>
                <w:sz w:val="21"/>
                <w:szCs w:val="21"/>
              </w:rPr>
              <w:t>建设内容较简单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17" w:type="dxa"/>
            <w:vMerge w:val="restart"/>
            <w:vAlign w:val="center"/>
          </w:tcPr>
          <w:p>
            <w:pPr>
              <w:adjustRightInd w:val="0"/>
              <w:snapToGrid w:val="0"/>
              <w:spacing w:line="360" w:lineRule="auto"/>
              <w:jc w:val="center"/>
              <w:rPr>
                <w:color w:val="auto"/>
                <w:sz w:val="21"/>
                <w:szCs w:val="21"/>
              </w:rPr>
            </w:pPr>
            <w:r>
              <w:rPr>
                <w:rFonts w:hint="eastAsia"/>
                <w:color w:val="auto"/>
                <w:sz w:val="21"/>
                <w:szCs w:val="21"/>
              </w:rPr>
              <w:t>3</w:t>
            </w:r>
          </w:p>
        </w:tc>
        <w:tc>
          <w:tcPr>
            <w:tcW w:w="709" w:type="dxa"/>
            <w:vMerge w:val="restart"/>
            <w:vAlign w:val="center"/>
          </w:tcPr>
          <w:p>
            <w:pPr>
              <w:adjustRightInd w:val="0"/>
              <w:snapToGrid w:val="0"/>
              <w:spacing w:line="360" w:lineRule="auto"/>
              <w:jc w:val="center"/>
              <w:rPr>
                <w:color w:val="auto"/>
                <w:sz w:val="21"/>
                <w:szCs w:val="21"/>
              </w:rPr>
            </w:pPr>
          </w:p>
          <w:p>
            <w:pPr>
              <w:adjustRightInd w:val="0"/>
              <w:snapToGrid w:val="0"/>
              <w:spacing w:line="360" w:lineRule="auto"/>
              <w:jc w:val="center"/>
              <w:rPr>
                <w:color w:val="auto"/>
                <w:sz w:val="21"/>
                <w:szCs w:val="21"/>
              </w:rPr>
            </w:pPr>
          </w:p>
          <w:p>
            <w:pPr>
              <w:adjustRightInd w:val="0"/>
              <w:snapToGrid w:val="0"/>
              <w:spacing w:line="360" w:lineRule="auto"/>
              <w:jc w:val="center"/>
              <w:rPr>
                <w:color w:val="auto"/>
                <w:sz w:val="21"/>
                <w:szCs w:val="21"/>
              </w:rPr>
            </w:pPr>
          </w:p>
          <w:p>
            <w:pPr>
              <w:adjustRightInd w:val="0"/>
              <w:snapToGrid w:val="0"/>
              <w:spacing w:line="360" w:lineRule="auto"/>
              <w:jc w:val="center"/>
              <w:rPr>
                <w:color w:val="auto"/>
                <w:sz w:val="21"/>
                <w:szCs w:val="21"/>
              </w:rPr>
            </w:pPr>
          </w:p>
          <w:p>
            <w:pPr>
              <w:adjustRightInd w:val="0"/>
              <w:snapToGrid w:val="0"/>
              <w:spacing w:line="360" w:lineRule="auto"/>
              <w:jc w:val="center"/>
              <w:rPr>
                <w:color w:val="auto"/>
                <w:sz w:val="21"/>
                <w:szCs w:val="21"/>
              </w:rPr>
            </w:pPr>
            <w:r>
              <w:rPr>
                <w:rFonts w:hint="eastAsia"/>
                <w:color w:val="auto"/>
                <w:sz w:val="21"/>
                <w:szCs w:val="21"/>
              </w:rPr>
              <w:t>主</w:t>
            </w:r>
          </w:p>
          <w:p>
            <w:pPr>
              <w:adjustRightInd w:val="0"/>
              <w:snapToGrid w:val="0"/>
              <w:spacing w:line="360" w:lineRule="auto"/>
              <w:jc w:val="center"/>
              <w:rPr>
                <w:color w:val="auto"/>
                <w:sz w:val="21"/>
                <w:szCs w:val="21"/>
              </w:rPr>
            </w:pPr>
            <w:r>
              <w:rPr>
                <w:rFonts w:hint="eastAsia"/>
                <w:color w:val="auto"/>
                <w:sz w:val="21"/>
                <w:szCs w:val="21"/>
              </w:rPr>
              <w:t>体</w:t>
            </w:r>
          </w:p>
          <w:p>
            <w:pPr>
              <w:adjustRightInd w:val="0"/>
              <w:snapToGrid w:val="0"/>
              <w:spacing w:line="360" w:lineRule="auto"/>
              <w:jc w:val="center"/>
              <w:rPr>
                <w:color w:val="auto"/>
                <w:sz w:val="21"/>
                <w:szCs w:val="21"/>
              </w:rPr>
            </w:pPr>
            <w:r>
              <w:rPr>
                <w:rFonts w:hint="eastAsia"/>
                <w:color w:val="auto"/>
                <w:sz w:val="21"/>
                <w:szCs w:val="21"/>
              </w:rPr>
              <w:t>工</w:t>
            </w:r>
          </w:p>
          <w:p>
            <w:pPr>
              <w:adjustRightInd w:val="0"/>
              <w:snapToGrid w:val="0"/>
              <w:spacing w:line="360" w:lineRule="auto"/>
              <w:jc w:val="center"/>
              <w:rPr>
                <w:color w:val="auto"/>
                <w:sz w:val="21"/>
                <w:szCs w:val="21"/>
              </w:rPr>
            </w:pPr>
            <w:r>
              <w:rPr>
                <w:rFonts w:hint="eastAsia"/>
                <w:color w:val="auto"/>
                <w:sz w:val="21"/>
                <w:szCs w:val="21"/>
              </w:rPr>
              <w:t>艺</w:t>
            </w:r>
          </w:p>
        </w:tc>
        <w:tc>
          <w:tcPr>
            <w:tcW w:w="1701" w:type="dxa"/>
            <w:vAlign w:val="center"/>
          </w:tcPr>
          <w:p>
            <w:pPr>
              <w:adjustRightInd w:val="0"/>
              <w:snapToGrid w:val="0"/>
              <w:spacing w:line="360" w:lineRule="auto"/>
              <w:jc w:val="center"/>
              <w:rPr>
                <w:color w:val="auto"/>
                <w:sz w:val="21"/>
                <w:szCs w:val="21"/>
              </w:rPr>
            </w:pPr>
            <w:r>
              <w:rPr>
                <w:rFonts w:hint="eastAsia"/>
                <w:color w:val="auto"/>
                <w:sz w:val="21"/>
                <w:szCs w:val="21"/>
              </w:rPr>
              <w:t>预处理系统</w:t>
            </w:r>
          </w:p>
        </w:tc>
        <w:tc>
          <w:tcPr>
            <w:tcW w:w="2551" w:type="dxa"/>
            <w:vAlign w:val="center"/>
          </w:tcPr>
          <w:p>
            <w:pPr>
              <w:adjustRightInd w:val="0"/>
              <w:snapToGrid w:val="0"/>
              <w:spacing w:line="360" w:lineRule="auto"/>
              <w:jc w:val="center"/>
              <w:rPr>
                <w:color w:val="auto"/>
                <w:sz w:val="21"/>
                <w:szCs w:val="21"/>
              </w:rPr>
            </w:pPr>
            <w:r>
              <w:rPr>
                <w:rFonts w:hint="eastAsia"/>
                <w:color w:val="auto"/>
                <w:sz w:val="21"/>
                <w:szCs w:val="21"/>
                <w:lang w:eastAsia="zh-CN"/>
              </w:rPr>
              <w:t>称重、卸料</w:t>
            </w:r>
            <w:r>
              <w:rPr>
                <w:rFonts w:hint="eastAsia"/>
                <w:color w:val="auto"/>
                <w:sz w:val="21"/>
                <w:szCs w:val="21"/>
              </w:rPr>
              <w:t>、分离</w:t>
            </w:r>
            <w:r>
              <w:rPr>
                <w:rFonts w:hint="eastAsia"/>
                <w:color w:val="auto"/>
                <w:sz w:val="21"/>
                <w:szCs w:val="21"/>
                <w:lang w:eastAsia="zh-CN"/>
              </w:rPr>
              <w:t>、送料</w:t>
            </w:r>
          </w:p>
        </w:tc>
        <w:tc>
          <w:tcPr>
            <w:tcW w:w="2268" w:type="dxa"/>
            <w:vAlign w:val="center"/>
          </w:tcPr>
          <w:p>
            <w:pPr>
              <w:adjustRightInd w:val="0"/>
              <w:snapToGrid w:val="0"/>
              <w:spacing w:line="360" w:lineRule="auto"/>
              <w:jc w:val="center"/>
              <w:rPr>
                <w:color w:val="auto"/>
                <w:sz w:val="21"/>
                <w:szCs w:val="21"/>
              </w:rPr>
            </w:pPr>
            <w:r>
              <w:rPr>
                <w:rFonts w:hint="eastAsia"/>
                <w:color w:val="auto"/>
                <w:sz w:val="21"/>
                <w:szCs w:val="21"/>
              </w:rPr>
              <w:t>接料、破碎、压榨脱水、油水分离</w:t>
            </w:r>
          </w:p>
        </w:tc>
        <w:tc>
          <w:tcPr>
            <w:tcW w:w="1240" w:type="dxa"/>
            <w:vAlign w:val="center"/>
          </w:tcPr>
          <w:p>
            <w:pPr>
              <w:adjustRightInd w:val="0"/>
              <w:snapToGrid w:val="0"/>
              <w:spacing w:line="360" w:lineRule="auto"/>
              <w:jc w:val="center"/>
              <w:rPr>
                <w:color w:val="auto"/>
                <w:sz w:val="21"/>
                <w:szCs w:val="21"/>
              </w:rPr>
            </w:pPr>
            <w:r>
              <w:rPr>
                <w:rFonts w:hint="eastAsia"/>
                <w:color w:val="auto"/>
                <w:sz w:val="21"/>
                <w:szCs w:val="21"/>
              </w:rPr>
              <w:t>相似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17" w:type="dxa"/>
            <w:vMerge w:val="continue"/>
            <w:vAlign w:val="center"/>
          </w:tcPr>
          <w:p>
            <w:pPr>
              <w:adjustRightInd w:val="0"/>
              <w:snapToGrid w:val="0"/>
              <w:spacing w:line="360" w:lineRule="auto"/>
              <w:jc w:val="center"/>
              <w:rPr>
                <w:color w:val="auto"/>
                <w:sz w:val="21"/>
                <w:szCs w:val="21"/>
              </w:rPr>
            </w:pPr>
          </w:p>
        </w:tc>
        <w:tc>
          <w:tcPr>
            <w:tcW w:w="709" w:type="dxa"/>
            <w:vMerge w:val="continue"/>
            <w:vAlign w:val="center"/>
          </w:tcPr>
          <w:p>
            <w:pPr>
              <w:adjustRightInd w:val="0"/>
              <w:snapToGrid w:val="0"/>
              <w:spacing w:line="360" w:lineRule="auto"/>
              <w:jc w:val="center"/>
              <w:rPr>
                <w:color w:val="auto"/>
                <w:sz w:val="21"/>
                <w:szCs w:val="21"/>
              </w:rPr>
            </w:pPr>
          </w:p>
        </w:tc>
        <w:tc>
          <w:tcPr>
            <w:tcW w:w="1701" w:type="dxa"/>
            <w:vAlign w:val="center"/>
          </w:tcPr>
          <w:p>
            <w:pPr>
              <w:adjustRightInd w:val="0"/>
              <w:snapToGrid w:val="0"/>
              <w:spacing w:line="360" w:lineRule="auto"/>
              <w:jc w:val="center"/>
              <w:rPr>
                <w:color w:val="auto"/>
                <w:sz w:val="21"/>
                <w:szCs w:val="21"/>
              </w:rPr>
            </w:pPr>
            <w:r>
              <w:rPr>
                <w:rFonts w:hint="eastAsia"/>
                <w:color w:val="auto"/>
                <w:sz w:val="21"/>
                <w:szCs w:val="21"/>
                <w:lang w:eastAsia="zh-CN"/>
              </w:rPr>
              <w:t>养殖</w:t>
            </w:r>
            <w:r>
              <w:rPr>
                <w:rFonts w:hint="eastAsia"/>
                <w:color w:val="auto"/>
                <w:sz w:val="21"/>
                <w:szCs w:val="21"/>
              </w:rPr>
              <w:t>工艺</w:t>
            </w:r>
          </w:p>
        </w:tc>
        <w:tc>
          <w:tcPr>
            <w:tcW w:w="2551" w:type="dxa"/>
            <w:vAlign w:val="center"/>
          </w:tcPr>
          <w:p>
            <w:pPr>
              <w:adjustRightInd w:val="0"/>
              <w:snapToGrid w:val="0"/>
              <w:spacing w:line="360" w:lineRule="auto"/>
              <w:jc w:val="center"/>
              <w:rPr>
                <w:rFonts w:hint="eastAsia" w:eastAsia="宋体"/>
                <w:color w:val="auto"/>
                <w:sz w:val="21"/>
                <w:szCs w:val="21"/>
                <w:lang w:eastAsia="zh-CN"/>
              </w:rPr>
            </w:pPr>
            <w:r>
              <w:rPr>
                <w:rFonts w:hint="eastAsia"/>
                <w:color w:val="auto"/>
                <w:sz w:val="21"/>
                <w:szCs w:val="21"/>
                <w:lang w:eastAsia="zh-CN"/>
              </w:rPr>
              <w:t>养殖、孵化</w:t>
            </w:r>
          </w:p>
        </w:tc>
        <w:tc>
          <w:tcPr>
            <w:tcW w:w="2268" w:type="dxa"/>
            <w:vAlign w:val="center"/>
          </w:tcPr>
          <w:p>
            <w:pPr>
              <w:adjustRightInd w:val="0"/>
              <w:snapToGrid w:val="0"/>
              <w:spacing w:line="360" w:lineRule="auto"/>
              <w:jc w:val="center"/>
              <w:rPr>
                <w:color w:val="auto"/>
                <w:sz w:val="21"/>
                <w:szCs w:val="21"/>
              </w:rPr>
            </w:pPr>
            <w:r>
              <w:rPr>
                <w:rFonts w:hint="eastAsia"/>
                <w:color w:val="auto"/>
                <w:sz w:val="21"/>
                <w:szCs w:val="21"/>
              </w:rPr>
              <w:t>/</w:t>
            </w:r>
          </w:p>
        </w:tc>
        <w:tc>
          <w:tcPr>
            <w:tcW w:w="1240" w:type="dxa"/>
            <w:vAlign w:val="center"/>
          </w:tcPr>
          <w:p>
            <w:pPr>
              <w:adjustRightInd w:val="0"/>
              <w:snapToGrid w:val="0"/>
              <w:spacing w:line="360" w:lineRule="auto"/>
              <w:jc w:val="center"/>
              <w:rPr>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17" w:type="dxa"/>
            <w:vMerge w:val="continue"/>
            <w:vAlign w:val="center"/>
          </w:tcPr>
          <w:p>
            <w:pPr>
              <w:adjustRightInd w:val="0"/>
              <w:snapToGrid w:val="0"/>
              <w:spacing w:line="360" w:lineRule="auto"/>
              <w:jc w:val="center"/>
              <w:rPr>
                <w:color w:val="auto"/>
                <w:sz w:val="21"/>
                <w:szCs w:val="21"/>
              </w:rPr>
            </w:pPr>
          </w:p>
        </w:tc>
        <w:tc>
          <w:tcPr>
            <w:tcW w:w="709" w:type="dxa"/>
            <w:vMerge w:val="continue"/>
            <w:vAlign w:val="center"/>
          </w:tcPr>
          <w:p>
            <w:pPr>
              <w:adjustRightInd w:val="0"/>
              <w:snapToGrid w:val="0"/>
              <w:spacing w:line="360" w:lineRule="auto"/>
              <w:jc w:val="center"/>
              <w:rPr>
                <w:color w:val="auto"/>
                <w:sz w:val="21"/>
                <w:szCs w:val="21"/>
              </w:rPr>
            </w:pPr>
          </w:p>
        </w:tc>
        <w:tc>
          <w:tcPr>
            <w:tcW w:w="1701" w:type="dxa"/>
            <w:vAlign w:val="center"/>
          </w:tcPr>
          <w:p>
            <w:pPr>
              <w:adjustRightInd w:val="0"/>
              <w:snapToGrid w:val="0"/>
              <w:spacing w:line="360" w:lineRule="auto"/>
              <w:jc w:val="center"/>
              <w:rPr>
                <w:rFonts w:hint="eastAsia"/>
                <w:color w:val="auto"/>
                <w:sz w:val="21"/>
                <w:szCs w:val="21"/>
                <w:lang w:eastAsia="zh-CN"/>
              </w:rPr>
            </w:pPr>
            <w:r>
              <w:rPr>
                <w:rFonts w:hint="eastAsia"/>
                <w:color w:val="auto"/>
                <w:sz w:val="21"/>
                <w:szCs w:val="21"/>
                <w:lang w:eastAsia="zh-CN"/>
              </w:rPr>
              <w:t>后处理系统</w:t>
            </w:r>
          </w:p>
        </w:tc>
        <w:tc>
          <w:tcPr>
            <w:tcW w:w="2551" w:type="dxa"/>
            <w:vAlign w:val="center"/>
          </w:tcPr>
          <w:p>
            <w:pPr>
              <w:adjustRightInd w:val="0"/>
              <w:snapToGrid w:val="0"/>
              <w:spacing w:line="360" w:lineRule="auto"/>
              <w:jc w:val="center"/>
              <w:rPr>
                <w:rFonts w:hint="eastAsia"/>
                <w:color w:val="auto"/>
                <w:sz w:val="21"/>
                <w:szCs w:val="21"/>
                <w:lang w:eastAsia="zh-CN"/>
              </w:rPr>
            </w:pPr>
            <w:r>
              <w:rPr>
                <w:rFonts w:hint="eastAsia"/>
                <w:color w:val="auto"/>
                <w:sz w:val="21"/>
                <w:szCs w:val="21"/>
                <w:lang w:eastAsia="zh-CN"/>
              </w:rPr>
              <w:t>分离、烘干</w:t>
            </w:r>
          </w:p>
        </w:tc>
        <w:tc>
          <w:tcPr>
            <w:tcW w:w="2268" w:type="dxa"/>
            <w:textDirection w:val="lrTb"/>
            <w:vAlign w:val="center"/>
          </w:tcPr>
          <w:p>
            <w:pPr>
              <w:adjustRightInd w:val="0"/>
              <w:snapToGrid w:val="0"/>
              <w:spacing w:line="360" w:lineRule="auto"/>
              <w:jc w:val="center"/>
              <w:rPr>
                <w:rFonts w:hint="eastAsia"/>
                <w:color w:val="auto"/>
                <w:sz w:val="21"/>
                <w:szCs w:val="21"/>
              </w:rPr>
            </w:pPr>
            <w:r>
              <w:rPr>
                <w:rFonts w:hint="eastAsia"/>
                <w:color w:val="auto"/>
                <w:sz w:val="21"/>
                <w:szCs w:val="21"/>
              </w:rPr>
              <w:t>/</w:t>
            </w:r>
          </w:p>
        </w:tc>
        <w:tc>
          <w:tcPr>
            <w:tcW w:w="1240" w:type="dxa"/>
            <w:textDirection w:val="lrTb"/>
            <w:vAlign w:val="center"/>
          </w:tcPr>
          <w:p>
            <w:pPr>
              <w:adjustRightInd w:val="0"/>
              <w:snapToGrid w:val="0"/>
              <w:spacing w:line="360" w:lineRule="auto"/>
              <w:jc w:val="center"/>
              <w:rPr>
                <w:rFonts w:hint="eastAsia"/>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17" w:type="dxa"/>
            <w:vMerge w:val="continue"/>
            <w:vAlign w:val="center"/>
          </w:tcPr>
          <w:p>
            <w:pPr>
              <w:adjustRightInd w:val="0"/>
              <w:snapToGrid w:val="0"/>
              <w:spacing w:line="360" w:lineRule="auto"/>
              <w:jc w:val="center"/>
              <w:rPr>
                <w:color w:val="auto"/>
                <w:sz w:val="21"/>
                <w:szCs w:val="21"/>
              </w:rPr>
            </w:pPr>
          </w:p>
        </w:tc>
        <w:tc>
          <w:tcPr>
            <w:tcW w:w="709" w:type="dxa"/>
            <w:vMerge w:val="continue"/>
            <w:vAlign w:val="center"/>
          </w:tcPr>
          <w:p>
            <w:pPr>
              <w:adjustRightInd w:val="0"/>
              <w:snapToGrid w:val="0"/>
              <w:spacing w:line="360" w:lineRule="auto"/>
              <w:jc w:val="center"/>
              <w:rPr>
                <w:color w:val="auto"/>
                <w:sz w:val="21"/>
                <w:szCs w:val="21"/>
              </w:rPr>
            </w:pPr>
          </w:p>
        </w:tc>
        <w:tc>
          <w:tcPr>
            <w:tcW w:w="1701" w:type="dxa"/>
            <w:vAlign w:val="center"/>
          </w:tcPr>
          <w:p>
            <w:pPr>
              <w:adjustRightInd w:val="0"/>
              <w:snapToGrid w:val="0"/>
              <w:spacing w:line="360" w:lineRule="auto"/>
              <w:jc w:val="left"/>
              <w:rPr>
                <w:color w:val="auto"/>
                <w:sz w:val="21"/>
                <w:szCs w:val="21"/>
              </w:rPr>
            </w:pPr>
            <w:r>
              <w:rPr>
                <w:rFonts w:hint="eastAsia"/>
                <w:color w:val="auto"/>
                <w:sz w:val="21"/>
                <w:szCs w:val="21"/>
              </w:rPr>
              <w:t>沼气化、精制天然气系统</w:t>
            </w:r>
          </w:p>
        </w:tc>
        <w:tc>
          <w:tcPr>
            <w:tcW w:w="2551" w:type="dxa"/>
            <w:vAlign w:val="center"/>
          </w:tcPr>
          <w:p>
            <w:pPr>
              <w:adjustRightInd w:val="0"/>
              <w:snapToGrid w:val="0"/>
              <w:spacing w:line="360" w:lineRule="auto"/>
              <w:jc w:val="center"/>
              <w:rPr>
                <w:color w:val="auto"/>
                <w:sz w:val="21"/>
                <w:szCs w:val="21"/>
              </w:rPr>
            </w:pPr>
            <w:r>
              <w:rPr>
                <w:rFonts w:hint="eastAsia"/>
                <w:color w:val="auto"/>
                <w:sz w:val="21"/>
                <w:szCs w:val="21"/>
              </w:rPr>
              <w:t>采用</w:t>
            </w:r>
            <w:r>
              <w:rPr>
                <w:rFonts w:hint="eastAsia"/>
                <w:color w:val="auto"/>
                <w:sz w:val="21"/>
                <w:szCs w:val="21"/>
                <w:lang w:eastAsia="zh-CN"/>
              </w:rPr>
              <w:t>湿法</w:t>
            </w:r>
            <w:r>
              <w:rPr>
                <w:rFonts w:hint="eastAsia"/>
                <w:color w:val="auto"/>
                <w:sz w:val="21"/>
                <w:szCs w:val="21"/>
              </w:rPr>
              <w:t>脱硫+干式脱硫+变压吸附脱碳工艺</w:t>
            </w:r>
          </w:p>
        </w:tc>
        <w:tc>
          <w:tcPr>
            <w:tcW w:w="2268" w:type="dxa"/>
            <w:vAlign w:val="center"/>
          </w:tcPr>
          <w:p>
            <w:pPr>
              <w:adjustRightInd w:val="0"/>
              <w:snapToGrid w:val="0"/>
              <w:spacing w:line="360" w:lineRule="auto"/>
              <w:jc w:val="center"/>
              <w:rPr>
                <w:color w:val="auto"/>
                <w:sz w:val="21"/>
                <w:szCs w:val="21"/>
              </w:rPr>
            </w:pPr>
            <w:r>
              <w:rPr>
                <w:rFonts w:hint="eastAsia"/>
                <w:color w:val="auto"/>
                <w:sz w:val="21"/>
                <w:szCs w:val="21"/>
              </w:rPr>
              <w:t>/</w:t>
            </w:r>
          </w:p>
        </w:tc>
        <w:tc>
          <w:tcPr>
            <w:tcW w:w="1240" w:type="dxa"/>
            <w:vAlign w:val="center"/>
          </w:tcPr>
          <w:p>
            <w:pPr>
              <w:adjustRightInd w:val="0"/>
              <w:snapToGrid w:val="0"/>
              <w:spacing w:line="360" w:lineRule="auto"/>
              <w:jc w:val="center"/>
              <w:rPr>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17" w:type="dxa"/>
            <w:vAlign w:val="center"/>
          </w:tcPr>
          <w:p>
            <w:pPr>
              <w:adjustRightInd w:val="0"/>
              <w:snapToGrid w:val="0"/>
              <w:spacing w:line="360" w:lineRule="auto"/>
              <w:jc w:val="center"/>
              <w:rPr>
                <w:color w:val="auto"/>
                <w:sz w:val="21"/>
                <w:szCs w:val="21"/>
              </w:rPr>
            </w:pPr>
            <w:r>
              <w:rPr>
                <w:rFonts w:hint="eastAsia"/>
                <w:color w:val="auto"/>
                <w:sz w:val="21"/>
                <w:szCs w:val="21"/>
              </w:rPr>
              <w:t>4</w:t>
            </w:r>
          </w:p>
        </w:tc>
        <w:tc>
          <w:tcPr>
            <w:tcW w:w="709" w:type="dxa"/>
            <w:vMerge w:val="continue"/>
            <w:vAlign w:val="center"/>
          </w:tcPr>
          <w:p>
            <w:pPr>
              <w:adjustRightInd w:val="0"/>
              <w:snapToGrid w:val="0"/>
              <w:spacing w:line="360" w:lineRule="auto"/>
              <w:jc w:val="center"/>
              <w:rPr>
                <w:color w:val="auto"/>
                <w:sz w:val="21"/>
                <w:szCs w:val="21"/>
              </w:rPr>
            </w:pPr>
          </w:p>
        </w:tc>
        <w:tc>
          <w:tcPr>
            <w:tcW w:w="1701" w:type="dxa"/>
            <w:vAlign w:val="center"/>
          </w:tcPr>
          <w:p>
            <w:pPr>
              <w:adjustRightInd w:val="0"/>
              <w:snapToGrid w:val="0"/>
              <w:spacing w:line="360" w:lineRule="auto"/>
              <w:jc w:val="center"/>
              <w:rPr>
                <w:color w:val="auto"/>
                <w:sz w:val="21"/>
                <w:szCs w:val="21"/>
              </w:rPr>
            </w:pPr>
            <w:r>
              <w:rPr>
                <w:rFonts w:hint="eastAsia"/>
                <w:color w:val="auto"/>
                <w:sz w:val="21"/>
                <w:szCs w:val="21"/>
              </w:rPr>
              <w:t>臭气收集及处理系统</w:t>
            </w:r>
          </w:p>
        </w:tc>
        <w:tc>
          <w:tcPr>
            <w:tcW w:w="2551" w:type="dxa"/>
            <w:vAlign w:val="center"/>
          </w:tcPr>
          <w:p>
            <w:pPr>
              <w:adjustRightInd w:val="0"/>
              <w:snapToGrid w:val="0"/>
              <w:spacing w:line="360" w:lineRule="auto"/>
              <w:jc w:val="center"/>
              <w:rPr>
                <w:color w:val="auto"/>
                <w:sz w:val="21"/>
                <w:szCs w:val="21"/>
              </w:rPr>
            </w:pPr>
            <w:r>
              <w:rPr>
                <w:rFonts w:hint="eastAsia"/>
                <w:color w:val="auto"/>
                <w:sz w:val="21"/>
                <w:szCs w:val="21"/>
                <w:lang w:eastAsia="zh-CN"/>
              </w:rPr>
              <w:t>前处理车间采用</w:t>
            </w:r>
            <w:r>
              <w:rPr>
                <w:rFonts w:hint="eastAsia"/>
                <w:color w:val="auto"/>
                <w:sz w:val="21"/>
                <w:szCs w:val="21"/>
              </w:rPr>
              <w:t>“</w:t>
            </w:r>
            <w:r>
              <w:rPr>
                <w:rFonts w:hint="eastAsia"/>
                <w:color w:val="auto"/>
                <w:sz w:val="21"/>
                <w:szCs w:val="21"/>
                <w:lang w:eastAsia="zh-CN"/>
              </w:rPr>
              <w:t xml:space="preserve">喷淋塔除臭+UV 紫外线光解 </w:t>
            </w:r>
            <w:r>
              <w:rPr>
                <w:rFonts w:hint="eastAsia"/>
                <w:color w:val="auto"/>
                <w:sz w:val="21"/>
                <w:szCs w:val="21"/>
              </w:rPr>
              <w:t>”</w:t>
            </w:r>
          </w:p>
        </w:tc>
        <w:tc>
          <w:tcPr>
            <w:tcW w:w="2268" w:type="dxa"/>
            <w:vAlign w:val="center"/>
          </w:tcPr>
          <w:p>
            <w:pPr>
              <w:adjustRightInd w:val="0"/>
              <w:snapToGrid w:val="0"/>
              <w:spacing w:line="360" w:lineRule="auto"/>
              <w:jc w:val="center"/>
              <w:rPr>
                <w:color w:val="auto"/>
                <w:sz w:val="21"/>
                <w:szCs w:val="21"/>
              </w:rPr>
            </w:pPr>
            <w:r>
              <w:rPr>
                <w:rFonts w:hint="eastAsia"/>
                <w:color w:val="auto"/>
                <w:sz w:val="21"/>
                <w:szCs w:val="21"/>
              </w:rPr>
              <w:t>预处理车间恶臭废气采用“化学洗涤塔+光催化氧化+植物液喷淋”工艺</w:t>
            </w:r>
          </w:p>
        </w:tc>
        <w:tc>
          <w:tcPr>
            <w:tcW w:w="1240" w:type="dxa"/>
            <w:vAlign w:val="center"/>
          </w:tcPr>
          <w:p>
            <w:pPr>
              <w:adjustRightInd w:val="0"/>
              <w:snapToGrid w:val="0"/>
              <w:spacing w:line="360" w:lineRule="auto"/>
              <w:jc w:val="center"/>
              <w:rPr>
                <w:color w:val="auto"/>
                <w:sz w:val="21"/>
                <w:szCs w:val="21"/>
              </w:rPr>
            </w:pPr>
            <w:r>
              <w:rPr>
                <w:rFonts w:hint="eastAsia"/>
                <w:color w:val="auto"/>
                <w:sz w:val="21"/>
                <w:szCs w:val="21"/>
              </w:rPr>
              <w:t xml:space="preserve">相似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286" w:type="dxa"/>
            <w:gridSpan w:val="6"/>
            <w:vAlign w:val="center"/>
          </w:tcPr>
          <w:p>
            <w:pPr>
              <w:adjustRightInd w:val="0"/>
              <w:snapToGrid w:val="0"/>
              <w:spacing w:line="360" w:lineRule="auto"/>
              <w:jc w:val="left"/>
              <w:rPr>
                <w:rFonts w:hint="eastAsia" w:eastAsia="宋体"/>
                <w:color w:val="auto"/>
                <w:sz w:val="21"/>
                <w:szCs w:val="21"/>
                <w:lang w:eastAsia="zh-CN"/>
              </w:rPr>
            </w:pPr>
            <w:r>
              <w:rPr>
                <w:rFonts w:hint="eastAsia"/>
                <w:color w:val="auto"/>
                <w:sz w:val="21"/>
                <w:szCs w:val="21"/>
                <w:lang w:eastAsia="zh-CN"/>
              </w:rPr>
              <w:t>备注：广州安芮洁环保科技有限公司在广州市白云区江高镇茅山村威士邦工业聚集区内设厂，建设餐厨垃圾黑水虻处理项目，通过黑水虻处理餐厨垃圾，处理能力为 100 吨/日。项目工艺是利用食腐昆虫黑水虻幼虫采食餐厨垃圾，实现对餐厨垃圾进行减量化、无害化处理。主要建设内容包括：餐厨垃圾预处理车间，存储罐区，养殖车间、后处理车间，除臭系统等。该项目在2017年8月29 日获得广州市白云区环境保护局对该环境影响报告书的批复（云环保建［2017］192 号），于2017 年 9 月开始动工建设，在 2017 年 12 月竣工完成建设，</w:t>
            </w:r>
            <w:r>
              <w:rPr>
                <w:rFonts w:hint="eastAsia"/>
                <w:color w:val="auto"/>
                <w:sz w:val="21"/>
                <w:szCs w:val="21"/>
                <w:lang w:val="en-US" w:eastAsia="zh-CN"/>
              </w:rPr>
              <w:t>2018年8月完成竣工验收。</w:t>
            </w:r>
          </w:p>
        </w:tc>
      </w:tr>
    </w:tbl>
    <w:p>
      <w:pPr>
        <w:adjustRightInd w:val="0"/>
        <w:snapToGrid w:val="0"/>
        <w:spacing w:line="360" w:lineRule="auto"/>
        <w:ind w:firstLine="480" w:firstLineChars="200"/>
        <w:rPr>
          <w:rFonts w:hint="eastAsia"/>
          <w:color w:val="auto"/>
        </w:rPr>
      </w:pPr>
      <w:r>
        <w:rPr>
          <w:rFonts w:hint="eastAsia"/>
          <w:color w:val="auto"/>
        </w:rPr>
        <w:t>根据表 3.</w:t>
      </w:r>
      <w:r>
        <w:rPr>
          <w:rFonts w:hint="eastAsia"/>
          <w:color w:val="auto"/>
          <w:lang w:val="en-US" w:eastAsia="zh-CN"/>
        </w:rPr>
        <w:t>3</w:t>
      </w:r>
      <w:r>
        <w:rPr>
          <w:rFonts w:hint="eastAsia"/>
          <w:color w:val="auto"/>
        </w:rPr>
        <w:t>-2 可知，本项目处理规模较小，预处理生产工艺相似，除臭工艺也相似，</w:t>
      </w:r>
      <w:r>
        <w:rPr>
          <w:rFonts w:hint="eastAsia"/>
          <w:color w:val="auto"/>
          <w:lang w:eastAsia="zh-CN"/>
        </w:rPr>
        <w:t>在预处理车间内</w:t>
      </w:r>
      <w:r>
        <w:rPr>
          <w:rFonts w:hint="eastAsia"/>
          <w:color w:val="auto"/>
        </w:rPr>
        <w:t>具有相似性和可类比性。因此，评价类比其污染物源强，数据可行。因此，本项目臭气污染源强采用类比</w:t>
      </w:r>
      <w:r>
        <w:rPr>
          <w:rFonts w:hint="eastAsia"/>
          <w:b w:val="0"/>
          <w:bCs w:val="0"/>
          <w:color w:val="auto"/>
          <w:lang w:eastAsia="zh-CN"/>
        </w:rPr>
        <w:t>广州安芮洁环保科技有限公司餐厨垃圾黑水虻处理项目</w:t>
      </w:r>
      <w:r>
        <w:rPr>
          <w:rFonts w:hint="eastAsia"/>
          <w:color w:val="auto"/>
        </w:rPr>
        <w:t>预处理车间产生源强的现场监测数据</w:t>
      </w:r>
      <w:r>
        <w:rPr>
          <w:rFonts w:hint="eastAsia"/>
          <w:color w:val="auto"/>
          <w:lang w:eastAsia="zh-CN"/>
        </w:rPr>
        <w:t>（监测单位为广东中润检测技术有限公司，监测是日期为</w:t>
      </w:r>
      <w:r>
        <w:rPr>
          <w:rFonts w:hint="eastAsia"/>
          <w:color w:val="auto"/>
          <w:lang w:val="en-US" w:eastAsia="zh-CN"/>
        </w:rPr>
        <w:t>2018年8月1日-2日，检测报告见附件13</w:t>
      </w:r>
      <w:r>
        <w:rPr>
          <w:rFonts w:hint="eastAsia"/>
          <w:color w:val="auto"/>
          <w:lang w:eastAsia="zh-CN"/>
        </w:rPr>
        <w:t>）</w:t>
      </w:r>
      <w:r>
        <w:rPr>
          <w:rFonts w:hint="eastAsia"/>
          <w:color w:val="auto"/>
        </w:rPr>
        <w:t>，具体监测结果见表 3.</w:t>
      </w:r>
      <w:r>
        <w:rPr>
          <w:rFonts w:hint="eastAsia"/>
          <w:color w:val="auto"/>
          <w:lang w:val="en-US" w:eastAsia="zh-CN"/>
        </w:rPr>
        <w:t>3</w:t>
      </w:r>
      <w:r>
        <w:rPr>
          <w:rFonts w:hint="eastAsia"/>
          <w:color w:val="auto"/>
        </w:rPr>
        <w:t>-3。</w:t>
      </w:r>
    </w:p>
    <w:p>
      <w:pPr>
        <w:adjustRightInd w:val="0"/>
        <w:snapToGrid w:val="0"/>
        <w:spacing w:line="360" w:lineRule="auto"/>
        <w:ind w:firstLine="482" w:firstLineChars="200"/>
        <w:jc w:val="center"/>
        <w:rPr>
          <w:rFonts w:hint="eastAsia"/>
          <w:b/>
          <w:color w:val="auto"/>
        </w:rPr>
      </w:pPr>
      <w:r>
        <w:rPr>
          <w:rFonts w:hint="eastAsia"/>
          <w:b/>
          <w:color w:val="auto"/>
        </w:rPr>
        <w:t>表 3.</w:t>
      </w:r>
      <w:r>
        <w:rPr>
          <w:rFonts w:hint="eastAsia"/>
          <w:b/>
          <w:color w:val="auto"/>
          <w:lang w:val="en-US" w:eastAsia="zh-CN"/>
        </w:rPr>
        <w:t>3</w:t>
      </w:r>
      <w:r>
        <w:rPr>
          <w:rFonts w:hint="eastAsia"/>
          <w:b/>
          <w:color w:val="auto"/>
        </w:rPr>
        <w:t>-3  广州安芮洁环保科技有限公司餐厨垃圾黑水虻处理项目</w:t>
      </w:r>
    </w:p>
    <w:p>
      <w:pPr>
        <w:adjustRightInd w:val="0"/>
        <w:snapToGrid w:val="0"/>
        <w:spacing w:line="240" w:lineRule="auto"/>
        <w:ind w:firstLine="0" w:firstLineChars="0"/>
        <w:jc w:val="center"/>
        <w:rPr>
          <w:rFonts w:hint="eastAsia"/>
          <w:b/>
          <w:color w:val="auto"/>
        </w:rPr>
      </w:pPr>
      <w:r>
        <w:rPr>
          <w:rFonts w:hint="eastAsia"/>
          <w:b/>
          <w:color w:val="auto"/>
        </w:rPr>
        <w:t>预处理车间废气监测结果</w:t>
      </w:r>
    </w:p>
    <w:tbl>
      <w:tblPr>
        <w:tblStyle w:val="54"/>
        <w:tblW w:w="926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36"/>
        <w:gridCol w:w="868"/>
        <w:gridCol w:w="868"/>
        <w:gridCol w:w="1"/>
        <w:gridCol w:w="1263"/>
        <w:gridCol w:w="1570"/>
        <w:gridCol w:w="1315"/>
        <w:gridCol w:w="1644"/>
        <w:gridCol w:w="1"/>
        <w:gridCol w:w="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After w:val="2"/>
          <w:wAfter w:w="2" w:type="dxa"/>
        </w:trPr>
        <w:tc>
          <w:tcPr>
            <w:tcW w:w="1736" w:type="dxa"/>
            <w:vMerge w:val="restart"/>
            <w:vAlign w:val="center"/>
          </w:tcPr>
          <w:p>
            <w:pPr>
              <w:jc w:val="center"/>
              <w:rPr>
                <w:color w:val="auto"/>
                <w:sz w:val="21"/>
                <w:szCs w:val="21"/>
              </w:rPr>
            </w:pPr>
            <w:r>
              <w:rPr>
                <w:rFonts w:hint="eastAsia"/>
                <w:color w:val="auto"/>
                <w:sz w:val="21"/>
                <w:szCs w:val="21"/>
              </w:rPr>
              <w:t>监测位置</w:t>
            </w:r>
          </w:p>
        </w:tc>
        <w:tc>
          <w:tcPr>
            <w:tcW w:w="1736" w:type="dxa"/>
            <w:gridSpan w:val="2"/>
            <w:vMerge w:val="restart"/>
            <w:vAlign w:val="center"/>
          </w:tcPr>
          <w:p>
            <w:pPr>
              <w:jc w:val="center"/>
              <w:rPr>
                <w:rFonts w:hint="eastAsia"/>
                <w:color w:val="auto"/>
                <w:sz w:val="21"/>
                <w:szCs w:val="21"/>
                <w:lang w:eastAsia="zh-CN"/>
              </w:rPr>
            </w:pPr>
            <w:r>
              <w:rPr>
                <w:rFonts w:hint="eastAsia"/>
                <w:color w:val="auto"/>
                <w:sz w:val="21"/>
                <w:szCs w:val="21"/>
                <w:lang w:eastAsia="zh-CN"/>
              </w:rPr>
              <w:t>采样日期</w:t>
            </w:r>
          </w:p>
        </w:tc>
        <w:tc>
          <w:tcPr>
            <w:tcW w:w="1264" w:type="dxa"/>
            <w:gridSpan w:val="2"/>
            <w:vMerge w:val="restart"/>
            <w:vAlign w:val="center"/>
          </w:tcPr>
          <w:p>
            <w:pPr>
              <w:jc w:val="center"/>
              <w:rPr>
                <w:rFonts w:hint="eastAsia"/>
                <w:color w:val="auto"/>
                <w:sz w:val="21"/>
                <w:szCs w:val="21"/>
                <w:lang w:eastAsia="zh-CN"/>
              </w:rPr>
            </w:pPr>
            <w:r>
              <w:rPr>
                <w:rFonts w:hint="eastAsia"/>
                <w:color w:val="auto"/>
                <w:sz w:val="21"/>
                <w:szCs w:val="21"/>
                <w:lang w:eastAsia="zh-CN"/>
              </w:rPr>
              <w:t>监测项目</w:t>
            </w:r>
          </w:p>
        </w:tc>
        <w:tc>
          <w:tcPr>
            <w:tcW w:w="4529" w:type="dxa"/>
            <w:gridSpan w:val="3"/>
            <w:vAlign w:val="center"/>
          </w:tcPr>
          <w:p>
            <w:pPr>
              <w:jc w:val="center"/>
              <w:rPr>
                <w:rFonts w:hint="eastAsia"/>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After w:val="2"/>
          <w:wAfter w:w="2" w:type="dxa"/>
        </w:trPr>
        <w:tc>
          <w:tcPr>
            <w:tcW w:w="1736" w:type="dxa"/>
            <w:vMerge w:val="continue"/>
            <w:vAlign w:val="center"/>
          </w:tcPr>
          <w:p>
            <w:pPr>
              <w:jc w:val="center"/>
              <w:rPr>
                <w:rFonts w:hint="eastAsia"/>
                <w:color w:val="auto"/>
                <w:sz w:val="21"/>
                <w:szCs w:val="21"/>
              </w:rPr>
            </w:pPr>
          </w:p>
        </w:tc>
        <w:tc>
          <w:tcPr>
            <w:tcW w:w="1736" w:type="dxa"/>
            <w:gridSpan w:val="2"/>
            <w:vMerge w:val="continue"/>
            <w:vAlign w:val="center"/>
          </w:tcPr>
          <w:p>
            <w:pPr>
              <w:jc w:val="center"/>
              <w:rPr>
                <w:rFonts w:hint="eastAsia"/>
                <w:color w:val="auto"/>
                <w:sz w:val="21"/>
                <w:szCs w:val="21"/>
                <w:lang w:eastAsia="zh-CN"/>
              </w:rPr>
            </w:pPr>
          </w:p>
        </w:tc>
        <w:tc>
          <w:tcPr>
            <w:tcW w:w="1264" w:type="dxa"/>
            <w:gridSpan w:val="2"/>
            <w:vMerge w:val="continue"/>
            <w:vAlign w:val="center"/>
          </w:tcPr>
          <w:p>
            <w:pPr>
              <w:jc w:val="center"/>
              <w:rPr>
                <w:rFonts w:hint="eastAsia"/>
                <w:color w:val="auto"/>
                <w:sz w:val="21"/>
                <w:szCs w:val="21"/>
                <w:lang w:eastAsia="zh-CN"/>
              </w:rPr>
            </w:pPr>
          </w:p>
        </w:tc>
        <w:tc>
          <w:tcPr>
            <w:tcW w:w="1570" w:type="dxa"/>
            <w:textDirection w:val="lrTb"/>
            <w:vAlign w:val="center"/>
          </w:tcPr>
          <w:p>
            <w:pPr>
              <w:jc w:val="center"/>
              <w:rPr>
                <w:rFonts w:hint="eastAsia"/>
                <w:color w:val="auto"/>
                <w:sz w:val="21"/>
                <w:szCs w:val="21"/>
              </w:rPr>
            </w:pPr>
            <w:r>
              <w:rPr>
                <w:rFonts w:hint="eastAsia"/>
                <w:color w:val="auto"/>
                <w:sz w:val="21"/>
                <w:szCs w:val="21"/>
                <w:lang w:eastAsia="zh-CN"/>
              </w:rPr>
              <w:t>排放</w:t>
            </w:r>
            <w:r>
              <w:rPr>
                <w:rFonts w:hint="eastAsia"/>
                <w:color w:val="auto"/>
                <w:sz w:val="21"/>
                <w:szCs w:val="21"/>
              </w:rPr>
              <w:t>浓度（mg/m3）</w:t>
            </w:r>
          </w:p>
        </w:tc>
        <w:tc>
          <w:tcPr>
            <w:tcW w:w="1315" w:type="dxa"/>
            <w:textDirection w:val="lrTb"/>
            <w:vAlign w:val="center"/>
          </w:tcPr>
          <w:p>
            <w:pPr>
              <w:jc w:val="center"/>
              <w:rPr>
                <w:rFonts w:hint="eastAsia"/>
                <w:color w:val="auto"/>
                <w:sz w:val="21"/>
                <w:szCs w:val="21"/>
              </w:rPr>
            </w:pPr>
            <w:r>
              <w:rPr>
                <w:rFonts w:hint="eastAsia"/>
                <w:color w:val="auto"/>
                <w:sz w:val="21"/>
                <w:szCs w:val="21"/>
                <w:lang w:eastAsia="zh-CN"/>
              </w:rPr>
              <w:t>排放</w:t>
            </w:r>
            <w:r>
              <w:rPr>
                <w:rFonts w:hint="eastAsia"/>
                <w:color w:val="auto"/>
                <w:sz w:val="21"/>
                <w:szCs w:val="21"/>
              </w:rPr>
              <w:t>速率（kg/h）</w:t>
            </w:r>
          </w:p>
        </w:tc>
        <w:tc>
          <w:tcPr>
            <w:tcW w:w="1644" w:type="dxa"/>
            <w:vAlign w:val="center"/>
          </w:tcPr>
          <w:p>
            <w:pPr>
              <w:jc w:val="center"/>
              <w:rPr>
                <w:rFonts w:hint="eastAsia"/>
                <w:color w:val="auto"/>
                <w:sz w:val="21"/>
                <w:szCs w:val="21"/>
                <w:lang w:eastAsia="zh-CN"/>
              </w:rPr>
            </w:pPr>
            <w:r>
              <w:rPr>
                <w:rFonts w:hint="eastAsia"/>
                <w:color w:val="auto"/>
                <w:sz w:val="21"/>
                <w:szCs w:val="21"/>
                <w:lang w:eastAsia="zh-CN"/>
              </w:rPr>
              <w:t>标杆烟气流量（</w:t>
            </w:r>
            <w:r>
              <w:rPr>
                <w:rFonts w:hint="eastAsia"/>
                <w:color w:val="auto"/>
                <w:sz w:val="21"/>
                <w:szCs w:val="21"/>
                <w:lang w:val="en-US" w:eastAsia="zh-CN"/>
              </w:rPr>
              <w:t>m3/h</w:t>
            </w:r>
            <w:r>
              <w:rPr>
                <w:rFonts w:hint="eastAsia"/>
                <w:color w:val="auto"/>
                <w:sz w:val="21"/>
                <w:szCs w:val="21"/>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 w:type="dxa"/>
          <w:trHeight w:val="90" w:hRule="atLeast"/>
        </w:trPr>
        <w:tc>
          <w:tcPr>
            <w:tcW w:w="1736" w:type="dxa"/>
            <w:vMerge w:val="restart"/>
            <w:vAlign w:val="center"/>
          </w:tcPr>
          <w:p>
            <w:pPr>
              <w:jc w:val="center"/>
              <w:rPr>
                <w:rFonts w:hint="eastAsia"/>
                <w:color w:val="auto"/>
                <w:sz w:val="21"/>
                <w:szCs w:val="21"/>
                <w:lang w:eastAsia="zh-CN"/>
              </w:rPr>
            </w:pPr>
            <w:r>
              <w:rPr>
                <w:rFonts w:hint="eastAsia"/>
                <w:color w:val="auto"/>
                <w:sz w:val="21"/>
                <w:szCs w:val="21"/>
                <w:lang w:eastAsia="zh-CN"/>
              </w:rPr>
              <w:t>前处理车间废气处理前采样口</w:t>
            </w:r>
          </w:p>
        </w:tc>
        <w:tc>
          <w:tcPr>
            <w:tcW w:w="868" w:type="dxa"/>
            <w:vMerge w:val="restart"/>
            <w:vAlign w:val="center"/>
          </w:tcPr>
          <w:p>
            <w:pPr>
              <w:jc w:val="center"/>
              <w:rPr>
                <w:rFonts w:hint="eastAsia"/>
                <w:color w:val="auto"/>
                <w:sz w:val="21"/>
                <w:szCs w:val="21"/>
                <w:lang w:eastAsia="zh-CN"/>
              </w:rPr>
            </w:pPr>
            <w:r>
              <w:rPr>
                <w:rFonts w:hint="eastAsia"/>
                <w:color w:val="auto"/>
                <w:sz w:val="21"/>
                <w:szCs w:val="21"/>
                <w:lang w:val="en-US" w:eastAsia="zh-CN"/>
              </w:rPr>
              <w:t>8月1日</w:t>
            </w:r>
          </w:p>
        </w:tc>
        <w:tc>
          <w:tcPr>
            <w:tcW w:w="869" w:type="dxa"/>
            <w:gridSpan w:val="2"/>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1次</w:t>
            </w:r>
          </w:p>
        </w:tc>
        <w:tc>
          <w:tcPr>
            <w:tcW w:w="1263" w:type="dxa"/>
            <w:vMerge w:val="restart"/>
            <w:vAlign w:val="center"/>
          </w:tcPr>
          <w:p>
            <w:pPr>
              <w:jc w:val="center"/>
              <w:rPr>
                <w:color w:val="auto"/>
                <w:sz w:val="21"/>
                <w:szCs w:val="21"/>
              </w:rPr>
            </w:pPr>
            <w:r>
              <w:rPr>
                <w:rFonts w:hint="eastAsia"/>
                <w:color w:val="auto"/>
                <w:sz w:val="21"/>
                <w:szCs w:val="21"/>
              </w:rPr>
              <w:t>NH</w:t>
            </w:r>
            <w:r>
              <w:rPr>
                <w:rFonts w:hint="eastAsia"/>
                <w:color w:val="auto"/>
                <w:sz w:val="21"/>
                <w:szCs w:val="21"/>
                <w:vertAlign w:val="subscript"/>
              </w:rPr>
              <w:t>3</w:t>
            </w: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15.0</w:t>
            </w:r>
          </w:p>
        </w:tc>
        <w:tc>
          <w:tcPr>
            <w:tcW w:w="1315" w:type="dxa"/>
            <w:vAlign w:val="center"/>
          </w:tcPr>
          <w:p>
            <w:pPr>
              <w:jc w:val="center"/>
              <w:rPr>
                <w:rFonts w:hint="eastAsia"/>
                <w:color w:val="auto"/>
                <w:sz w:val="21"/>
                <w:szCs w:val="21"/>
                <w:lang w:val="en-US" w:eastAsia="zh-CN"/>
              </w:rPr>
            </w:pPr>
            <w:r>
              <w:rPr>
                <w:rFonts w:hint="eastAsia"/>
                <w:color w:val="auto"/>
                <w:sz w:val="21"/>
                <w:szCs w:val="21"/>
                <w:lang w:val="en-US" w:eastAsia="zh-CN"/>
              </w:rPr>
              <w:t>0.147</w:t>
            </w:r>
          </w:p>
        </w:tc>
        <w:tc>
          <w:tcPr>
            <w:tcW w:w="1645" w:type="dxa"/>
            <w:gridSpan w:val="2"/>
            <w:vAlign w:val="center"/>
          </w:tcPr>
          <w:p>
            <w:pPr>
              <w:jc w:val="center"/>
              <w:rPr>
                <w:rFonts w:hint="eastAsia"/>
                <w:color w:val="auto"/>
                <w:sz w:val="21"/>
                <w:szCs w:val="21"/>
                <w:lang w:val="en-US" w:eastAsia="zh-CN"/>
              </w:rPr>
            </w:pPr>
            <w:r>
              <w:rPr>
                <w:rFonts w:hint="eastAsia"/>
                <w:color w:val="auto"/>
                <w:sz w:val="21"/>
                <w:szCs w:val="21"/>
                <w:lang w:val="en-US" w:eastAsia="zh-CN"/>
              </w:rPr>
              <w:t>9830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 w:type="dxa"/>
        </w:trPr>
        <w:tc>
          <w:tcPr>
            <w:tcW w:w="1736" w:type="dxa"/>
            <w:vMerge w:val="continue"/>
            <w:vAlign w:val="center"/>
          </w:tcPr>
          <w:p>
            <w:pPr>
              <w:jc w:val="center"/>
              <w:rPr>
                <w:color w:val="auto"/>
                <w:sz w:val="21"/>
                <w:szCs w:val="21"/>
              </w:rPr>
            </w:pPr>
          </w:p>
        </w:tc>
        <w:tc>
          <w:tcPr>
            <w:tcW w:w="868" w:type="dxa"/>
            <w:vMerge w:val="continue"/>
            <w:vAlign w:val="center"/>
          </w:tcPr>
          <w:p>
            <w:pPr>
              <w:jc w:val="center"/>
              <w:rPr>
                <w:color w:val="auto"/>
                <w:sz w:val="21"/>
                <w:szCs w:val="21"/>
              </w:rPr>
            </w:pPr>
          </w:p>
        </w:tc>
        <w:tc>
          <w:tcPr>
            <w:tcW w:w="869" w:type="dxa"/>
            <w:gridSpan w:val="2"/>
            <w:vAlign w:val="center"/>
          </w:tcPr>
          <w:p>
            <w:pPr>
              <w:jc w:val="center"/>
              <w:rPr>
                <w:color w:val="auto"/>
                <w:sz w:val="21"/>
                <w:szCs w:val="21"/>
              </w:rPr>
            </w:pPr>
            <w:r>
              <w:rPr>
                <w:rFonts w:hint="eastAsia"/>
                <w:color w:val="auto"/>
                <w:sz w:val="21"/>
                <w:szCs w:val="21"/>
                <w:lang w:eastAsia="zh-CN"/>
              </w:rPr>
              <w:t>第</w:t>
            </w:r>
            <w:r>
              <w:rPr>
                <w:rFonts w:hint="eastAsia"/>
                <w:color w:val="auto"/>
                <w:sz w:val="21"/>
                <w:szCs w:val="21"/>
                <w:lang w:val="en-US" w:eastAsia="zh-CN"/>
              </w:rPr>
              <w:t>2次</w:t>
            </w:r>
          </w:p>
        </w:tc>
        <w:tc>
          <w:tcPr>
            <w:tcW w:w="1263" w:type="dxa"/>
            <w:vMerge w:val="continue"/>
            <w:vAlign w:val="center"/>
          </w:tcPr>
          <w:p>
            <w:pPr>
              <w:jc w:val="center"/>
              <w:rPr>
                <w:color w:val="auto"/>
                <w:sz w:val="21"/>
                <w:szCs w:val="21"/>
              </w:rPr>
            </w:pP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14.1</w:t>
            </w:r>
          </w:p>
        </w:tc>
        <w:tc>
          <w:tcPr>
            <w:tcW w:w="1315" w:type="dxa"/>
            <w:vAlign w:val="center"/>
          </w:tcPr>
          <w:p>
            <w:pPr>
              <w:jc w:val="center"/>
              <w:rPr>
                <w:rFonts w:hint="eastAsia"/>
                <w:color w:val="auto"/>
                <w:sz w:val="21"/>
                <w:szCs w:val="21"/>
                <w:lang w:val="en-US" w:eastAsia="zh-CN"/>
              </w:rPr>
            </w:pPr>
            <w:r>
              <w:rPr>
                <w:rFonts w:hint="eastAsia"/>
                <w:color w:val="auto"/>
                <w:sz w:val="21"/>
                <w:szCs w:val="21"/>
                <w:lang w:val="en-US" w:eastAsia="zh-CN"/>
              </w:rPr>
              <w:t>0.137</w:t>
            </w:r>
          </w:p>
        </w:tc>
        <w:tc>
          <w:tcPr>
            <w:tcW w:w="1645" w:type="dxa"/>
            <w:gridSpan w:val="2"/>
            <w:vAlign w:val="center"/>
          </w:tcPr>
          <w:p>
            <w:pPr>
              <w:jc w:val="center"/>
              <w:rPr>
                <w:rFonts w:hint="eastAsia"/>
                <w:color w:val="auto"/>
                <w:sz w:val="21"/>
                <w:szCs w:val="21"/>
                <w:lang w:val="en-US" w:eastAsia="zh-CN"/>
              </w:rPr>
            </w:pPr>
            <w:r>
              <w:rPr>
                <w:rFonts w:hint="eastAsia"/>
                <w:color w:val="auto"/>
                <w:sz w:val="21"/>
                <w:szCs w:val="21"/>
                <w:lang w:val="en-US" w:eastAsia="zh-CN"/>
              </w:rPr>
              <w:t>9684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continue"/>
            <w:vAlign w:val="center"/>
          </w:tcPr>
          <w:p>
            <w:pPr>
              <w:jc w:val="center"/>
              <w:rPr>
                <w:color w:val="auto"/>
                <w:sz w:val="21"/>
                <w:szCs w:val="21"/>
              </w:rPr>
            </w:pPr>
          </w:p>
        </w:tc>
        <w:tc>
          <w:tcPr>
            <w:tcW w:w="869" w:type="dxa"/>
            <w:gridSpan w:val="2"/>
            <w:vAlign w:val="center"/>
          </w:tcPr>
          <w:p>
            <w:pPr>
              <w:jc w:val="center"/>
              <w:rPr>
                <w:color w:val="auto"/>
                <w:sz w:val="21"/>
                <w:szCs w:val="21"/>
              </w:rPr>
            </w:pPr>
            <w:r>
              <w:rPr>
                <w:rFonts w:hint="eastAsia"/>
                <w:color w:val="auto"/>
                <w:sz w:val="21"/>
                <w:szCs w:val="21"/>
                <w:lang w:eastAsia="zh-CN"/>
              </w:rPr>
              <w:t>第</w:t>
            </w:r>
            <w:r>
              <w:rPr>
                <w:rFonts w:hint="eastAsia"/>
                <w:color w:val="auto"/>
                <w:sz w:val="21"/>
                <w:szCs w:val="21"/>
                <w:lang w:val="en-US" w:eastAsia="zh-CN"/>
              </w:rPr>
              <w:t>3次</w:t>
            </w:r>
          </w:p>
        </w:tc>
        <w:tc>
          <w:tcPr>
            <w:tcW w:w="1263" w:type="dxa"/>
            <w:vMerge w:val="continue"/>
            <w:vAlign w:val="center"/>
          </w:tcPr>
          <w:p>
            <w:pPr>
              <w:jc w:val="center"/>
              <w:rPr>
                <w:color w:val="auto"/>
                <w:sz w:val="21"/>
                <w:szCs w:val="21"/>
              </w:rPr>
            </w:pP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14.4</w:t>
            </w:r>
          </w:p>
        </w:tc>
        <w:tc>
          <w:tcPr>
            <w:tcW w:w="1315" w:type="dxa"/>
            <w:vAlign w:val="center"/>
          </w:tcPr>
          <w:p>
            <w:pPr>
              <w:jc w:val="center"/>
              <w:rPr>
                <w:rFonts w:hint="eastAsia"/>
                <w:color w:val="auto"/>
                <w:sz w:val="21"/>
                <w:szCs w:val="21"/>
                <w:lang w:val="en-US" w:eastAsia="zh-CN"/>
              </w:rPr>
            </w:pPr>
            <w:r>
              <w:rPr>
                <w:rFonts w:hint="eastAsia"/>
                <w:color w:val="auto"/>
                <w:sz w:val="21"/>
                <w:szCs w:val="21"/>
                <w:lang w:val="en-US" w:eastAsia="zh-CN"/>
              </w:rPr>
              <w:t>0.140</w:t>
            </w: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9712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restart"/>
            <w:vAlign w:val="center"/>
          </w:tcPr>
          <w:p>
            <w:pPr>
              <w:jc w:val="center"/>
              <w:rPr>
                <w:color w:val="auto"/>
                <w:sz w:val="21"/>
                <w:szCs w:val="21"/>
              </w:rPr>
            </w:pPr>
            <w:r>
              <w:rPr>
                <w:rFonts w:hint="eastAsia"/>
                <w:color w:val="auto"/>
                <w:sz w:val="21"/>
                <w:szCs w:val="21"/>
                <w:lang w:val="en-US" w:eastAsia="zh-CN"/>
              </w:rPr>
              <w:t>8月1日</w:t>
            </w: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1次</w:t>
            </w:r>
          </w:p>
        </w:tc>
        <w:tc>
          <w:tcPr>
            <w:tcW w:w="1263" w:type="dxa"/>
            <w:vMerge w:val="restart"/>
            <w:textDirection w:val="lrTb"/>
            <w:vAlign w:val="center"/>
          </w:tcPr>
          <w:p>
            <w:pPr>
              <w:jc w:val="center"/>
              <w:rPr>
                <w:rFonts w:hint="eastAsia"/>
                <w:color w:val="auto"/>
                <w:sz w:val="21"/>
                <w:szCs w:val="21"/>
              </w:rPr>
            </w:pPr>
            <w:r>
              <w:rPr>
                <w:color w:val="auto"/>
                <w:sz w:val="21"/>
                <w:szCs w:val="21"/>
              </w:rPr>
              <w:t>H</w:t>
            </w:r>
            <w:r>
              <w:rPr>
                <w:rFonts w:hint="eastAsia"/>
                <w:color w:val="auto"/>
                <w:sz w:val="21"/>
                <w:szCs w:val="21"/>
                <w:vertAlign w:val="subscript"/>
              </w:rPr>
              <w:t>2</w:t>
            </w:r>
            <w:r>
              <w:rPr>
                <w:rFonts w:hint="eastAsia"/>
                <w:color w:val="auto"/>
                <w:sz w:val="21"/>
                <w:szCs w:val="21"/>
              </w:rPr>
              <w:t>S</w:t>
            </w: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6.04</w:t>
            </w:r>
          </w:p>
        </w:tc>
        <w:tc>
          <w:tcPr>
            <w:tcW w:w="1315" w:type="dxa"/>
            <w:vAlign w:val="center"/>
          </w:tcPr>
          <w:p>
            <w:pPr>
              <w:jc w:val="center"/>
              <w:rPr>
                <w:rFonts w:hint="eastAsia"/>
                <w:color w:val="auto"/>
                <w:sz w:val="21"/>
                <w:szCs w:val="21"/>
                <w:lang w:val="en-US" w:eastAsia="zh-CN"/>
              </w:rPr>
            </w:pPr>
            <w:r>
              <w:rPr>
                <w:rFonts w:hint="eastAsia"/>
                <w:color w:val="auto"/>
                <w:sz w:val="21"/>
                <w:szCs w:val="21"/>
                <w:lang w:val="en-US" w:eastAsia="zh-CN"/>
              </w:rPr>
              <w:t>0.059</w:t>
            </w: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9830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continue"/>
            <w:vAlign w:val="center"/>
          </w:tcPr>
          <w:p>
            <w:pPr>
              <w:jc w:val="center"/>
              <w:rPr>
                <w:color w:val="auto"/>
                <w:sz w:val="21"/>
                <w:szCs w:val="21"/>
              </w:rPr>
            </w:pP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2次</w:t>
            </w:r>
          </w:p>
        </w:tc>
        <w:tc>
          <w:tcPr>
            <w:tcW w:w="1263" w:type="dxa"/>
            <w:vMerge w:val="continue"/>
            <w:textDirection w:val="lrTb"/>
            <w:vAlign w:val="center"/>
          </w:tcPr>
          <w:p>
            <w:pPr>
              <w:jc w:val="center"/>
              <w:rPr>
                <w:rFonts w:hint="eastAsia"/>
                <w:color w:val="auto"/>
                <w:sz w:val="21"/>
                <w:szCs w:val="21"/>
              </w:rPr>
            </w:pP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5.73</w:t>
            </w:r>
          </w:p>
        </w:tc>
        <w:tc>
          <w:tcPr>
            <w:tcW w:w="1315" w:type="dxa"/>
            <w:vAlign w:val="center"/>
          </w:tcPr>
          <w:p>
            <w:pPr>
              <w:jc w:val="center"/>
              <w:rPr>
                <w:rFonts w:hint="eastAsia"/>
                <w:color w:val="auto"/>
                <w:sz w:val="21"/>
                <w:szCs w:val="21"/>
                <w:lang w:val="en-US" w:eastAsia="zh-CN"/>
              </w:rPr>
            </w:pPr>
            <w:r>
              <w:rPr>
                <w:rFonts w:hint="eastAsia"/>
                <w:color w:val="auto"/>
                <w:sz w:val="21"/>
                <w:szCs w:val="21"/>
                <w:lang w:val="en-US" w:eastAsia="zh-CN"/>
              </w:rPr>
              <w:t>0.055</w:t>
            </w: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9684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continue"/>
            <w:vAlign w:val="center"/>
          </w:tcPr>
          <w:p>
            <w:pPr>
              <w:jc w:val="center"/>
              <w:rPr>
                <w:color w:val="auto"/>
                <w:sz w:val="21"/>
                <w:szCs w:val="21"/>
              </w:rPr>
            </w:pP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3次</w:t>
            </w:r>
          </w:p>
        </w:tc>
        <w:tc>
          <w:tcPr>
            <w:tcW w:w="1263" w:type="dxa"/>
            <w:vMerge w:val="continue"/>
            <w:textDirection w:val="lrTb"/>
            <w:vAlign w:val="center"/>
          </w:tcPr>
          <w:p>
            <w:pPr>
              <w:jc w:val="center"/>
              <w:rPr>
                <w:rFonts w:hint="eastAsia"/>
                <w:color w:val="auto"/>
                <w:sz w:val="21"/>
                <w:szCs w:val="21"/>
              </w:rPr>
            </w:pP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5.91</w:t>
            </w:r>
          </w:p>
        </w:tc>
        <w:tc>
          <w:tcPr>
            <w:tcW w:w="1315" w:type="dxa"/>
            <w:vAlign w:val="center"/>
          </w:tcPr>
          <w:p>
            <w:pPr>
              <w:jc w:val="center"/>
              <w:rPr>
                <w:rFonts w:hint="eastAsia"/>
                <w:color w:val="auto"/>
                <w:sz w:val="21"/>
                <w:szCs w:val="21"/>
                <w:lang w:val="en-US" w:eastAsia="zh-CN"/>
              </w:rPr>
            </w:pPr>
            <w:r>
              <w:rPr>
                <w:rFonts w:hint="eastAsia"/>
                <w:color w:val="auto"/>
                <w:sz w:val="21"/>
                <w:szCs w:val="21"/>
                <w:lang w:val="en-US" w:eastAsia="zh-CN"/>
              </w:rPr>
              <w:t>0.057</w:t>
            </w: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9712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restart"/>
            <w:vAlign w:val="center"/>
          </w:tcPr>
          <w:p>
            <w:pPr>
              <w:jc w:val="center"/>
              <w:rPr>
                <w:color w:val="auto"/>
                <w:sz w:val="21"/>
                <w:szCs w:val="21"/>
              </w:rPr>
            </w:pPr>
            <w:r>
              <w:rPr>
                <w:rFonts w:hint="eastAsia"/>
                <w:color w:val="auto"/>
                <w:sz w:val="21"/>
                <w:szCs w:val="21"/>
                <w:lang w:val="en-US" w:eastAsia="zh-CN"/>
              </w:rPr>
              <w:t>8月1日</w:t>
            </w: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1次</w:t>
            </w:r>
          </w:p>
        </w:tc>
        <w:tc>
          <w:tcPr>
            <w:tcW w:w="1263" w:type="dxa"/>
            <w:vMerge w:val="restart"/>
            <w:textDirection w:val="lrTb"/>
            <w:vAlign w:val="center"/>
          </w:tcPr>
          <w:p>
            <w:pPr>
              <w:jc w:val="center"/>
              <w:rPr>
                <w:rFonts w:hint="eastAsia"/>
                <w:color w:val="auto"/>
                <w:sz w:val="21"/>
                <w:szCs w:val="21"/>
              </w:rPr>
            </w:pPr>
            <w:r>
              <w:rPr>
                <w:rFonts w:hint="eastAsia"/>
                <w:color w:val="auto"/>
                <w:sz w:val="21"/>
                <w:szCs w:val="21"/>
              </w:rPr>
              <w:t>臭气浓度</w:t>
            </w:r>
            <w:r>
              <w:rPr>
                <w:rFonts w:hint="eastAsia"/>
                <w:color w:val="auto"/>
                <w:sz w:val="21"/>
                <w:szCs w:val="21"/>
                <w:lang w:eastAsia="zh-CN"/>
              </w:rPr>
              <w:t>（无量纲）</w:t>
            </w: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7244</w:t>
            </w:r>
          </w:p>
        </w:tc>
        <w:tc>
          <w:tcPr>
            <w:tcW w:w="1315" w:type="dxa"/>
            <w:vAlign w:val="center"/>
          </w:tcPr>
          <w:p>
            <w:pPr>
              <w:jc w:val="center"/>
              <w:rPr>
                <w:rFonts w:hint="eastAsia"/>
                <w:color w:val="auto"/>
                <w:sz w:val="21"/>
                <w:szCs w:val="21"/>
              </w:rPr>
            </w:pP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9830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continue"/>
            <w:vAlign w:val="center"/>
          </w:tcPr>
          <w:p>
            <w:pPr>
              <w:jc w:val="center"/>
              <w:rPr>
                <w:color w:val="auto"/>
                <w:sz w:val="21"/>
                <w:szCs w:val="21"/>
              </w:rPr>
            </w:pP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2次</w:t>
            </w:r>
          </w:p>
        </w:tc>
        <w:tc>
          <w:tcPr>
            <w:tcW w:w="1263" w:type="dxa"/>
            <w:vMerge w:val="continue"/>
            <w:textDirection w:val="lrTb"/>
            <w:vAlign w:val="center"/>
          </w:tcPr>
          <w:p>
            <w:pPr>
              <w:jc w:val="center"/>
              <w:rPr>
                <w:rFonts w:hint="eastAsia"/>
                <w:color w:val="auto"/>
                <w:sz w:val="21"/>
                <w:szCs w:val="21"/>
              </w:rPr>
            </w:pP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7244</w:t>
            </w:r>
          </w:p>
        </w:tc>
        <w:tc>
          <w:tcPr>
            <w:tcW w:w="1315" w:type="dxa"/>
            <w:vAlign w:val="center"/>
          </w:tcPr>
          <w:p>
            <w:pPr>
              <w:jc w:val="center"/>
              <w:rPr>
                <w:rFonts w:hint="eastAsia"/>
                <w:color w:val="auto"/>
                <w:sz w:val="21"/>
                <w:szCs w:val="21"/>
              </w:rPr>
            </w:pP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9684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continue"/>
            <w:vAlign w:val="center"/>
          </w:tcPr>
          <w:p>
            <w:pPr>
              <w:jc w:val="center"/>
              <w:rPr>
                <w:color w:val="auto"/>
                <w:sz w:val="21"/>
                <w:szCs w:val="21"/>
              </w:rPr>
            </w:pP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3次</w:t>
            </w:r>
          </w:p>
        </w:tc>
        <w:tc>
          <w:tcPr>
            <w:tcW w:w="1263" w:type="dxa"/>
            <w:vMerge w:val="continue"/>
            <w:textDirection w:val="lrTb"/>
            <w:vAlign w:val="center"/>
          </w:tcPr>
          <w:p>
            <w:pPr>
              <w:jc w:val="center"/>
              <w:rPr>
                <w:rFonts w:hint="eastAsia"/>
                <w:color w:val="auto"/>
                <w:sz w:val="21"/>
                <w:szCs w:val="21"/>
              </w:rPr>
            </w:pP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9772</w:t>
            </w:r>
          </w:p>
        </w:tc>
        <w:tc>
          <w:tcPr>
            <w:tcW w:w="1315" w:type="dxa"/>
            <w:vAlign w:val="center"/>
          </w:tcPr>
          <w:p>
            <w:pPr>
              <w:jc w:val="center"/>
              <w:rPr>
                <w:rFonts w:hint="eastAsia"/>
                <w:color w:val="auto"/>
                <w:sz w:val="21"/>
                <w:szCs w:val="21"/>
              </w:rPr>
            </w:pP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9712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restart"/>
            <w:vAlign w:val="center"/>
          </w:tcPr>
          <w:p>
            <w:pPr>
              <w:jc w:val="center"/>
              <w:rPr>
                <w:color w:val="auto"/>
                <w:sz w:val="21"/>
                <w:szCs w:val="21"/>
              </w:rPr>
            </w:pPr>
            <w:r>
              <w:rPr>
                <w:rFonts w:hint="eastAsia"/>
                <w:color w:val="auto"/>
                <w:sz w:val="21"/>
                <w:szCs w:val="21"/>
                <w:lang w:eastAsia="zh-CN"/>
              </w:rPr>
              <w:t>前处理车间废气处理后排放口</w:t>
            </w:r>
          </w:p>
        </w:tc>
        <w:tc>
          <w:tcPr>
            <w:tcW w:w="868" w:type="dxa"/>
            <w:vMerge w:val="restart"/>
            <w:textDirection w:val="lrTb"/>
            <w:vAlign w:val="center"/>
          </w:tcPr>
          <w:p>
            <w:pPr>
              <w:jc w:val="center"/>
              <w:rPr>
                <w:color w:val="auto"/>
                <w:sz w:val="21"/>
                <w:szCs w:val="21"/>
              </w:rPr>
            </w:pPr>
            <w:r>
              <w:rPr>
                <w:rFonts w:hint="eastAsia"/>
                <w:color w:val="auto"/>
                <w:sz w:val="21"/>
                <w:szCs w:val="21"/>
                <w:lang w:val="en-US" w:eastAsia="zh-CN"/>
              </w:rPr>
              <w:t>8月1日</w:t>
            </w: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1次</w:t>
            </w:r>
          </w:p>
        </w:tc>
        <w:tc>
          <w:tcPr>
            <w:tcW w:w="1263" w:type="dxa"/>
            <w:vMerge w:val="restart"/>
            <w:textDirection w:val="lrTb"/>
            <w:vAlign w:val="center"/>
          </w:tcPr>
          <w:p>
            <w:pPr>
              <w:jc w:val="center"/>
              <w:rPr>
                <w:rFonts w:hint="eastAsia"/>
                <w:color w:val="auto"/>
                <w:sz w:val="21"/>
                <w:szCs w:val="21"/>
              </w:rPr>
            </w:pPr>
            <w:r>
              <w:rPr>
                <w:rFonts w:hint="eastAsia"/>
                <w:color w:val="auto"/>
                <w:sz w:val="21"/>
                <w:szCs w:val="21"/>
              </w:rPr>
              <w:t>NH</w:t>
            </w:r>
            <w:r>
              <w:rPr>
                <w:rFonts w:hint="eastAsia"/>
                <w:color w:val="auto"/>
                <w:sz w:val="21"/>
                <w:szCs w:val="21"/>
                <w:vertAlign w:val="subscript"/>
              </w:rPr>
              <w:t>3</w:t>
            </w: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3.01</w:t>
            </w:r>
          </w:p>
        </w:tc>
        <w:tc>
          <w:tcPr>
            <w:tcW w:w="1315" w:type="dxa"/>
            <w:vAlign w:val="center"/>
          </w:tcPr>
          <w:p>
            <w:pPr>
              <w:jc w:val="center"/>
              <w:rPr>
                <w:rFonts w:hint="eastAsia"/>
                <w:color w:val="auto"/>
                <w:sz w:val="21"/>
                <w:szCs w:val="21"/>
                <w:lang w:val="en-US" w:eastAsia="zh-CN"/>
              </w:rPr>
            </w:pPr>
            <w:r>
              <w:rPr>
                <w:rFonts w:hint="eastAsia"/>
                <w:color w:val="auto"/>
                <w:sz w:val="21"/>
                <w:szCs w:val="21"/>
                <w:lang w:val="en-US" w:eastAsia="zh-CN"/>
              </w:rPr>
              <w:t>0.026</w:t>
            </w: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8746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continue"/>
            <w:vAlign w:val="center"/>
          </w:tcPr>
          <w:p>
            <w:pPr>
              <w:jc w:val="center"/>
              <w:rPr>
                <w:color w:val="auto"/>
                <w:sz w:val="21"/>
                <w:szCs w:val="21"/>
              </w:rPr>
            </w:pP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2次</w:t>
            </w:r>
          </w:p>
        </w:tc>
        <w:tc>
          <w:tcPr>
            <w:tcW w:w="1263" w:type="dxa"/>
            <w:vMerge w:val="continue"/>
            <w:vAlign w:val="center"/>
          </w:tcPr>
          <w:p>
            <w:pPr>
              <w:jc w:val="center"/>
              <w:rPr>
                <w:rFonts w:hint="eastAsia"/>
                <w:color w:val="auto"/>
                <w:sz w:val="21"/>
                <w:szCs w:val="21"/>
              </w:rPr>
            </w:pP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2.68</w:t>
            </w:r>
          </w:p>
        </w:tc>
        <w:tc>
          <w:tcPr>
            <w:tcW w:w="1315" w:type="dxa"/>
            <w:vAlign w:val="center"/>
          </w:tcPr>
          <w:p>
            <w:pPr>
              <w:jc w:val="center"/>
              <w:rPr>
                <w:rFonts w:hint="eastAsia"/>
                <w:color w:val="auto"/>
                <w:sz w:val="21"/>
                <w:szCs w:val="21"/>
                <w:lang w:val="en-US" w:eastAsia="zh-CN"/>
              </w:rPr>
            </w:pPr>
            <w:r>
              <w:rPr>
                <w:rFonts w:hint="eastAsia"/>
                <w:color w:val="auto"/>
                <w:sz w:val="21"/>
                <w:szCs w:val="21"/>
                <w:lang w:val="en-US" w:eastAsia="zh-CN"/>
              </w:rPr>
              <w:t>0.023</w:t>
            </w: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8624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continue"/>
            <w:vAlign w:val="center"/>
          </w:tcPr>
          <w:p>
            <w:pPr>
              <w:jc w:val="center"/>
              <w:rPr>
                <w:color w:val="auto"/>
                <w:sz w:val="21"/>
                <w:szCs w:val="21"/>
              </w:rPr>
            </w:pP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3次</w:t>
            </w:r>
          </w:p>
        </w:tc>
        <w:tc>
          <w:tcPr>
            <w:tcW w:w="1263" w:type="dxa"/>
            <w:vMerge w:val="continue"/>
            <w:vAlign w:val="center"/>
          </w:tcPr>
          <w:p>
            <w:pPr>
              <w:jc w:val="center"/>
              <w:rPr>
                <w:rFonts w:hint="eastAsia"/>
                <w:color w:val="auto"/>
                <w:sz w:val="21"/>
                <w:szCs w:val="21"/>
              </w:rPr>
            </w:pP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2.74</w:t>
            </w:r>
          </w:p>
        </w:tc>
        <w:tc>
          <w:tcPr>
            <w:tcW w:w="1315" w:type="dxa"/>
            <w:vAlign w:val="center"/>
          </w:tcPr>
          <w:p>
            <w:pPr>
              <w:jc w:val="center"/>
              <w:rPr>
                <w:rFonts w:hint="eastAsia"/>
                <w:color w:val="auto"/>
                <w:sz w:val="21"/>
                <w:szCs w:val="21"/>
                <w:lang w:val="en-US" w:eastAsia="zh-CN"/>
              </w:rPr>
            </w:pPr>
            <w:r>
              <w:rPr>
                <w:rFonts w:hint="eastAsia"/>
                <w:color w:val="auto"/>
                <w:sz w:val="21"/>
                <w:szCs w:val="21"/>
                <w:lang w:val="en-US" w:eastAsia="zh-CN"/>
              </w:rPr>
              <w:t>0.024</w:t>
            </w: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8696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restart"/>
            <w:textDirection w:val="lrTb"/>
            <w:vAlign w:val="center"/>
          </w:tcPr>
          <w:p>
            <w:pPr>
              <w:jc w:val="center"/>
              <w:rPr>
                <w:color w:val="auto"/>
                <w:sz w:val="21"/>
                <w:szCs w:val="21"/>
              </w:rPr>
            </w:pPr>
            <w:r>
              <w:rPr>
                <w:rFonts w:hint="eastAsia"/>
                <w:color w:val="auto"/>
                <w:sz w:val="21"/>
                <w:szCs w:val="21"/>
                <w:lang w:val="en-US" w:eastAsia="zh-CN"/>
              </w:rPr>
              <w:t>8月1日</w:t>
            </w: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1次</w:t>
            </w:r>
          </w:p>
        </w:tc>
        <w:tc>
          <w:tcPr>
            <w:tcW w:w="1263" w:type="dxa"/>
            <w:vMerge w:val="restart"/>
            <w:textDirection w:val="lrTb"/>
            <w:vAlign w:val="center"/>
          </w:tcPr>
          <w:p>
            <w:pPr>
              <w:jc w:val="center"/>
              <w:rPr>
                <w:rFonts w:hint="eastAsia"/>
                <w:color w:val="auto"/>
                <w:sz w:val="21"/>
                <w:szCs w:val="21"/>
              </w:rPr>
            </w:pPr>
            <w:r>
              <w:rPr>
                <w:color w:val="auto"/>
                <w:sz w:val="21"/>
                <w:szCs w:val="21"/>
              </w:rPr>
              <w:t>H</w:t>
            </w:r>
            <w:r>
              <w:rPr>
                <w:rFonts w:hint="eastAsia"/>
                <w:color w:val="auto"/>
                <w:sz w:val="21"/>
                <w:szCs w:val="21"/>
                <w:vertAlign w:val="subscript"/>
              </w:rPr>
              <w:t>2</w:t>
            </w:r>
            <w:r>
              <w:rPr>
                <w:rFonts w:hint="eastAsia"/>
                <w:color w:val="auto"/>
                <w:sz w:val="21"/>
                <w:szCs w:val="21"/>
              </w:rPr>
              <w:t>S</w:t>
            </w: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1.21</w:t>
            </w:r>
          </w:p>
        </w:tc>
        <w:tc>
          <w:tcPr>
            <w:tcW w:w="1315" w:type="dxa"/>
            <w:vAlign w:val="center"/>
          </w:tcPr>
          <w:p>
            <w:pPr>
              <w:jc w:val="center"/>
              <w:rPr>
                <w:rFonts w:hint="eastAsia"/>
                <w:color w:val="auto"/>
                <w:sz w:val="21"/>
                <w:szCs w:val="21"/>
                <w:lang w:val="en-US" w:eastAsia="zh-CN"/>
              </w:rPr>
            </w:pPr>
            <w:r>
              <w:rPr>
                <w:rFonts w:hint="eastAsia"/>
                <w:color w:val="auto"/>
                <w:sz w:val="21"/>
                <w:szCs w:val="21"/>
                <w:lang w:val="en-US" w:eastAsia="zh-CN"/>
              </w:rPr>
              <w:t>0.011</w:t>
            </w: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8746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continue"/>
            <w:vAlign w:val="center"/>
          </w:tcPr>
          <w:p>
            <w:pPr>
              <w:jc w:val="center"/>
              <w:rPr>
                <w:color w:val="auto"/>
                <w:sz w:val="21"/>
                <w:szCs w:val="21"/>
              </w:rPr>
            </w:pP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2次</w:t>
            </w:r>
          </w:p>
        </w:tc>
        <w:tc>
          <w:tcPr>
            <w:tcW w:w="1263" w:type="dxa"/>
            <w:vMerge w:val="continue"/>
            <w:vAlign w:val="center"/>
          </w:tcPr>
          <w:p>
            <w:pPr>
              <w:jc w:val="center"/>
              <w:rPr>
                <w:rFonts w:hint="eastAsia"/>
                <w:color w:val="auto"/>
                <w:sz w:val="21"/>
                <w:szCs w:val="21"/>
              </w:rPr>
            </w:pP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1.15</w:t>
            </w:r>
          </w:p>
        </w:tc>
        <w:tc>
          <w:tcPr>
            <w:tcW w:w="1315" w:type="dxa"/>
            <w:vAlign w:val="center"/>
          </w:tcPr>
          <w:p>
            <w:pPr>
              <w:jc w:val="center"/>
              <w:rPr>
                <w:rFonts w:hint="eastAsia"/>
                <w:color w:val="auto"/>
                <w:sz w:val="21"/>
                <w:szCs w:val="21"/>
                <w:lang w:val="en-US" w:eastAsia="zh-CN"/>
              </w:rPr>
            </w:pPr>
            <w:r>
              <w:rPr>
                <w:rFonts w:hint="eastAsia"/>
                <w:color w:val="auto"/>
                <w:sz w:val="21"/>
                <w:szCs w:val="21"/>
                <w:lang w:val="en-US" w:eastAsia="zh-CN"/>
              </w:rPr>
              <w:t>0.010</w:t>
            </w: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8624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continue"/>
            <w:vAlign w:val="center"/>
          </w:tcPr>
          <w:p>
            <w:pPr>
              <w:jc w:val="center"/>
              <w:rPr>
                <w:color w:val="auto"/>
                <w:sz w:val="21"/>
                <w:szCs w:val="21"/>
              </w:rPr>
            </w:pP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3次</w:t>
            </w:r>
          </w:p>
        </w:tc>
        <w:tc>
          <w:tcPr>
            <w:tcW w:w="1263" w:type="dxa"/>
            <w:vMerge w:val="continue"/>
            <w:vAlign w:val="center"/>
          </w:tcPr>
          <w:p>
            <w:pPr>
              <w:jc w:val="center"/>
              <w:rPr>
                <w:rFonts w:hint="eastAsia"/>
                <w:color w:val="auto"/>
                <w:sz w:val="21"/>
                <w:szCs w:val="21"/>
              </w:rPr>
            </w:pP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1.18</w:t>
            </w:r>
          </w:p>
        </w:tc>
        <w:tc>
          <w:tcPr>
            <w:tcW w:w="1315" w:type="dxa"/>
            <w:vAlign w:val="center"/>
          </w:tcPr>
          <w:p>
            <w:pPr>
              <w:jc w:val="center"/>
              <w:rPr>
                <w:rFonts w:hint="eastAsia"/>
                <w:color w:val="auto"/>
                <w:sz w:val="21"/>
                <w:szCs w:val="21"/>
                <w:lang w:val="en-US" w:eastAsia="zh-CN"/>
              </w:rPr>
            </w:pPr>
            <w:r>
              <w:rPr>
                <w:rFonts w:hint="eastAsia"/>
                <w:color w:val="auto"/>
                <w:sz w:val="21"/>
                <w:szCs w:val="21"/>
                <w:lang w:val="en-US" w:eastAsia="zh-CN"/>
              </w:rPr>
              <w:t>0.010</w:t>
            </w: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8696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restart"/>
            <w:textDirection w:val="lrTb"/>
            <w:vAlign w:val="center"/>
          </w:tcPr>
          <w:p>
            <w:pPr>
              <w:jc w:val="center"/>
              <w:rPr>
                <w:color w:val="auto"/>
                <w:sz w:val="21"/>
                <w:szCs w:val="21"/>
              </w:rPr>
            </w:pPr>
            <w:r>
              <w:rPr>
                <w:rFonts w:hint="eastAsia"/>
                <w:color w:val="auto"/>
                <w:sz w:val="21"/>
                <w:szCs w:val="21"/>
                <w:lang w:val="en-US" w:eastAsia="zh-CN"/>
              </w:rPr>
              <w:t>8月1日</w:t>
            </w: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1次</w:t>
            </w:r>
          </w:p>
        </w:tc>
        <w:tc>
          <w:tcPr>
            <w:tcW w:w="1263" w:type="dxa"/>
            <w:vMerge w:val="restart"/>
            <w:textDirection w:val="lrTb"/>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olor w:val="auto"/>
                <w:sz w:val="21"/>
                <w:szCs w:val="21"/>
              </w:rPr>
            </w:pPr>
            <w:r>
              <w:rPr>
                <w:rFonts w:hint="eastAsia"/>
                <w:color w:val="auto"/>
                <w:sz w:val="21"/>
                <w:szCs w:val="21"/>
              </w:rPr>
              <w:t>臭气浓度</w:t>
            </w:r>
            <w:r>
              <w:rPr>
                <w:rFonts w:hint="eastAsia"/>
                <w:color w:val="auto"/>
                <w:sz w:val="21"/>
                <w:szCs w:val="21"/>
                <w:lang w:eastAsia="zh-CN"/>
              </w:rPr>
              <w:t>（无量纲）</w:t>
            </w: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977</w:t>
            </w:r>
          </w:p>
        </w:tc>
        <w:tc>
          <w:tcPr>
            <w:tcW w:w="1315" w:type="dxa"/>
            <w:vAlign w:val="center"/>
          </w:tcPr>
          <w:p>
            <w:pPr>
              <w:jc w:val="center"/>
              <w:rPr>
                <w:rFonts w:hint="eastAsia"/>
                <w:color w:val="auto"/>
                <w:sz w:val="21"/>
                <w:szCs w:val="21"/>
              </w:rPr>
            </w:pP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8746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continue"/>
            <w:vAlign w:val="center"/>
          </w:tcPr>
          <w:p>
            <w:pPr>
              <w:jc w:val="center"/>
              <w:rPr>
                <w:color w:val="auto"/>
                <w:sz w:val="21"/>
                <w:szCs w:val="21"/>
              </w:rPr>
            </w:pP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2次</w:t>
            </w:r>
          </w:p>
        </w:tc>
        <w:tc>
          <w:tcPr>
            <w:tcW w:w="1263" w:type="dxa"/>
            <w:vMerge w:val="continue"/>
            <w:vAlign w:val="center"/>
          </w:tcPr>
          <w:p>
            <w:pPr>
              <w:jc w:val="center"/>
              <w:rPr>
                <w:rFonts w:hint="eastAsia"/>
                <w:color w:val="auto"/>
                <w:sz w:val="21"/>
                <w:szCs w:val="21"/>
              </w:rPr>
            </w:pP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977</w:t>
            </w:r>
          </w:p>
        </w:tc>
        <w:tc>
          <w:tcPr>
            <w:tcW w:w="1315" w:type="dxa"/>
            <w:vAlign w:val="center"/>
          </w:tcPr>
          <w:p>
            <w:pPr>
              <w:jc w:val="center"/>
              <w:rPr>
                <w:rFonts w:hint="eastAsia"/>
                <w:color w:val="auto"/>
                <w:sz w:val="21"/>
                <w:szCs w:val="21"/>
              </w:rPr>
            </w:pP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8624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continue"/>
            <w:vAlign w:val="center"/>
          </w:tcPr>
          <w:p>
            <w:pPr>
              <w:jc w:val="center"/>
              <w:rPr>
                <w:color w:val="auto"/>
                <w:sz w:val="21"/>
                <w:szCs w:val="21"/>
              </w:rPr>
            </w:pP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3次</w:t>
            </w:r>
          </w:p>
        </w:tc>
        <w:tc>
          <w:tcPr>
            <w:tcW w:w="1263" w:type="dxa"/>
            <w:vMerge w:val="continue"/>
            <w:vAlign w:val="center"/>
          </w:tcPr>
          <w:p>
            <w:pPr>
              <w:jc w:val="center"/>
              <w:rPr>
                <w:rFonts w:hint="eastAsia"/>
                <w:color w:val="auto"/>
                <w:sz w:val="21"/>
                <w:szCs w:val="21"/>
              </w:rPr>
            </w:pP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1318</w:t>
            </w:r>
          </w:p>
        </w:tc>
        <w:tc>
          <w:tcPr>
            <w:tcW w:w="1315" w:type="dxa"/>
            <w:vAlign w:val="center"/>
          </w:tcPr>
          <w:p>
            <w:pPr>
              <w:jc w:val="center"/>
              <w:rPr>
                <w:rFonts w:hint="eastAsia"/>
                <w:color w:val="auto"/>
                <w:sz w:val="21"/>
                <w:szCs w:val="21"/>
              </w:rPr>
            </w:pP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8696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restart"/>
            <w:vAlign w:val="center"/>
          </w:tcPr>
          <w:p>
            <w:pPr>
              <w:jc w:val="center"/>
              <w:rPr>
                <w:color w:val="auto"/>
                <w:sz w:val="21"/>
                <w:szCs w:val="21"/>
              </w:rPr>
            </w:pPr>
            <w:r>
              <w:rPr>
                <w:rFonts w:hint="eastAsia"/>
                <w:color w:val="auto"/>
                <w:sz w:val="21"/>
                <w:szCs w:val="21"/>
                <w:lang w:eastAsia="zh-CN"/>
              </w:rPr>
              <w:t>前处理车间废气处理前采样口</w:t>
            </w:r>
          </w:p>
        </w:tc>
        <w:tc>
          <w:tcPr>
            <w:tcW w:w="868" w:type="dxa"/>
            <w:vMerge w:val="restart"/>
            <w:vAlign w:val="center"/>
          </w:tcPr>
          <w:p>
            <w:pPr>
              <w:jc w:val="center"/>
              <w:rPr>
                <w:color w:val="auto"/>
                <w:sz w:val="21"/>
                <w:szCs w:val="21"/>
              </w:rPr>
            </w:pPr>
            <w:r>
              <w:rPr>
                <w:rFonts w:hint="eastAsia"/>
                <w:color w:val="auto"/>
                <w:sz w:val="21"/>
                <w:szCs w:val="21"/>
                <w:lang w:val="en-US" w:eastAsia="zh-CN"/>
              </w:rPr>
              <w:t>8月2日</w:t>
            </w: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1次</w:t>
            </w:r>
          </w:p>
        </w:tc>
        <w:tc>
          <w:tcPr>
            <w:tcW w:w="1263" w:type="dxa"/>
            <w:vMerge w:val="restart"/>
            <w:textDirection w:val="lrTb"/>
            <w:vAlign w:val="center"/>
          </w:tcPr>
          <w:p>
            <w:pPr>
              <w:jc w:val="center"/>
              <w:rPr>
                <w:rFonts w:hint="eastAsia"/>
                <w:color w:val="auto"/>
                <w:sz w:val="21"/>
                <w:szCs w:val="21"/>
              </w:rPr>
            </w:pPr>
            <w:r>
              <w:rPr>
                <w:rFonts w:hint="eastAsia"/>
                <w:color w:val="auto"/>
                <w:sz w:val="21"/>
                <w:szCs w:val="21"/>
              </w:rPr>
              <w:t>NH</w:t>
            </w:r>
            <w:r>
              <w:rPr>
                <w:rFonts w:hint="eastAsia"/>
                <w:color w:val="auto"/>
                <w:sz w:val="21"/>
                <w:szCs w:val="21"/>
                <w:vertAlign w:val="subscript"/>
              </w:rPr>
              <w:t>3</w:t>
            </w: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14.8</w:t>
            </w:r>
          </w:p>
        </w:tc>
        <w:tc>
          <w:tcPr>
            <w:tcW w:w="1315" w:type="dxa"/>
            <w:vAlign w:val="center"/>
          </w:tcPr>
          <w:p>
            <w:pPr>
              <w:jc w:val="center"/>
              <w:rPr>
                <w:rFonts w:hint="eastAsia" w:eastAsia="宋体"/>
                <w:color w:val="auto"/>
                <w:sz w:val="21"/>
                <w:szCs w:val="21"/>
                <w:lang w:val="en-US" w:eastAsia="zh-CN"/>
              </w:rPr>
            </w:pPr>
            <w:r>
              <w:rPr>
                <w:rFonts w:hint="eastAsia"/>
                <w:color w:val="auto"/>
                <w:sz w:val="21"/>
                <w:szCs w:val="21"/>
                <w:lang w:val="en-US" w:eastAsia="zh-CN"/>
              </w:rPr>
              <w:t>0.146</w:t>
            </w: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9850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continue"/>
            <w:vAlign w:val="center"/>
          </w:tcPr>
          <w:p>
            <w:pPr>
              <w:jc w:val="center"/>
              <w:rPr>
                <w:color w:val="auto"/>
                <w:sz w:val="21"/>
                <w:szCs w:val="21"/>
              </w:rPr>
            </w:pP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3次</w:t>
            </w:r>
          </w:p>
        </w:tc>
        <w:tc>
          <w:tcPr>
            <w:tcW w:w="1263" w:type="dxa"/>
            <w:vMerge w:val="continue"/>
            <w:vAlign w:val="center"/>
          </w:tcPr>
          <w:p>
            <w:pPr>
              <w:jc w:val="center"/>
              <w:rPr>
                <w:rFonts w:hint="eastAsia"/>
                <w:color w:val="auto"/>
                <w:sz w:val="21"/>
                <w:szCs w:val="21"/>
              </w:rPr>
            </w:pP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14.6</w:t>
            </w:r>
          </w:p>
        </w:tc>
        <w:tc>
          <w:tcPr>
            <w:tcW w:w="1315" w:type="dxa"/>
            <w:vAlign w:val="center"/>
          </w:tcPr>
          <w:p>
            <w:pPr>
              <w:jc w:val="center"/>
              <w:rPr>
                <w:rFonts w:hint="eastAsia" w:eastAsia="宋体"/>
                <w:color w:val="auto"/>
                <w:sz w:val="21"/>
                <w:szCs w:val="21"/>
                <w:lang w:val="en-US" w:eastAsia="zh-CN"/>
              </w:rPr>
            </w:pPr>
            <w:r>
              <w:rPr>
                <w:rFonts w:hint="eastAsia"/>
                <w:color w:val="auto"/>
                <w:sz w:val="21"/>
                <w:szCs w:val="21"/>
                <w:lang w:val="en-US" w:eastAsia="zh-CN"/>
              </w:rPr>
              <w:t>0.142</w:t>
            </w: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9700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continue"/>
            <w:vAlign w:val="center"/>
          </w:tcPr>
          <w:p>
            <w:pPr>
              <w:jc w:val="center"/>
              <w:rPr>
                <w:color w:val="auto"/>
                <w:sz w:val="21"/>
                <w:szCs w:val="21"/>
              </w:rPr>
            </w:pPr>
          </w:p>
        </w:tc>
        <w:tc>
          <w:tcPr>
            <w:tcW w:w="869" w:type="dxa"/>
            <w:gridSpan w:val="2"/>
            <w:textDirection w:val="lrTb"/>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2次</w:t>
            </w:r>
          </w:p>
        </w:tc>
        <w:tc>
          <w:tcPr>
            <w:tcW w:w="1263" w:type="dxa"/>
            <w:vMerge w:val="continue"/>
            <w:vAlign w:val="center"/>
          </w:tcPr>
          <w:p>
            <w:pPr>
              <w:jc w:val="center"/>
              <w:rPr>
                <w:rFonts w:hint="eastAsia"/>
                <w:color w:val="auto"/>
                <w:sz w:val="21"/>
                <w:szCs w:val="21"/>
              </w:rPr>
            </w:pP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14.3</w:t>
            </w:r>
          </w:p>
        </w:tc>
        <w:tc>
          <w:tcPr>
            <w:tcW w:w="1315" w:type="dxa"/>
            <w:vAlign w:val="center"/>
          </w:tcPr>
          <w:p>
            <w:pPr>
              <w:jc w:val="center"/>
              <w:rPr>
                <w:rFonts w:hint="eastAsia" w:eastAsia="宋体"/>
                <w:color w:val="auto"/>
                <w:sz w:val="21"/>
                <w:szCs w:val="21"/>
                <w:lang w:val="en-US" w:eastAsia="zh-CN"/>
              </w:rPr>
            </w:pPr>
            <w:r>
              <w:rPr>
                <w:rFonts w:hint="eastAsia"/>
                <w:color w:val="auto"/>
                <w:sz w:val="21"/>
                <w:szCs w:val="21"/>
                <w:lang w:val="en-US" w:eastAsia="zh-CN"/>
              </w:rPr>
              <w:t>0.138</w:t>
            </w: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9652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restart"/>
            <w:vAlign w:val="center"/>
          </w:tcPr>
          <w:p>
            <w:pPr>
              <w:jc w:val="center"/>
              <w:rPr>
                <w:color w:val="auto"/>
                <w:sz w:val="21"/>
                <w:szCs w:val="21"/>
              </w:rPr>
            </w:pPr>
            <w:r>
              <w:rPr>
                <w:rFonts w:hint="eastAsia"/>
                <w:color w:val="auto"/>
                <w:sz w:val="21"/>
                <w:szCs w:val="21"/>
                <w:lang w:val="en-US" w:eastAsia="zh-CN"/>
              </w:rPr>
              <w:t>8月2日</w:t>
            </w: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1次</w:t>
            </w:r>
          </w:p>
        </w:tc>
        <w:tc>
          <w:tcPr>
            <w:tcW w:w="1263" w:type="dxa"/>
            <w:vMerge w:val="restart"/>
            <w:textDirection w:val="lrTb"/>
            <w:vAlign w:val="center"/>
          </w:tcPr>
          <w:p>
            <w:pPr>
              <w:jc w:val="center"/>
              <w:rPr>
                <w:rFonts w:hint="eastAsia"/>
                <w:color w:val="auto"/>
                <w:sz w:val="21"/>
                <w:szCs w:val="21"/>
              </w:rPr>
            </w:pPr>
            <w:r>
              <w:rPr>
                <w:color w:val="auto"/>
                <w:sz w:val="21"/>
                <w:szCs w:val="21"/>
              </w:rPr>
              <w:t>H</w:t>
            </w:r>
            <w:r>
              <w:rPr>
                <w:rFonts w:hint="eastAsia"/>
                <w:color w:val="auto"/>
                <w:sz w:val="21"/>
                <w:szCs w:val="21"/>
                <w:vertAlign w:val="subscript"/>
              </w:rPr>
              <w:t>2</w:t>
            </w:r>
            <w:r>
              <w:rPr>
                <w:rFonts w:hint="eastAsia"/>
                <w:color w:val="auto"/>
                <w:sz w:val="21"/>
                <w:szCs w:val="21"/>
              </w:rPr>
              <w:t>S</w:t>
            </w: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5.98</w:t>
            </w:r>
          </w:p>
        </w:tc>
        <w:tc>
          <w:tcPr>
            <w:tcW w:w="1315" w:type="dxa"/>
            <w:vAlign w:val="center"/>
          </w:tcPr>
          <w:p>
            <w:pPr>
              <w:jc w:val="center"/>
              <w:rPr>
                <w:rFonts w:hint="eastAsia" w:eastAsia="宋体"/>
                <w:color w:val="auto"/>
                <w:sz w:val="21"/>
                <w:szCs w:val="21"/>
                <w:lang w:val="en-US" w:eastAsia="zh-CN"/>
              </w:rPr>
            </w:pPr>
            <w:r>
              <w:rPr>
                <w:rFonts w:hint="eastAsia"/>
                <w:color w:val="auto"/>
                <w:sz w:val="21"/>
                <w:szCs w:val="21"/>
                <w:lang w:val="en-US" w:eastAsia="zh-CN"/>
              </w:rPr>
              <w:t>0.059</w:t>
            </w: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9850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continue"/>
            <w:vAlign w:val="center"/>
          </w:tcPr>
          <w:p>
            <w:pPr>
              <w:jc w:val="center"/>
              <w:rPr>
                <w:color w:val="auto"/>
                <w:sz w:val="21"/>
                <w:szCs w:val="21"/>
              </w:rPr>
            </w:pPr>
            <w:r>
              <w:rPr>
                <w:rFonts w:hint="eastAsia"/>
                <w:color w:val="auto"/>
                <w:sz w:val="21"/>
                <w:szCs w:val="21"/>
                <w:lang w:val="en-US" w:eastAsia="zh-CN"/>
              </w:rPr>
              <w:t>8月2日</w:t>
            </w: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3次</w:t>
            </w:r>
          </w:p>
        </w:tc>
        <w:tc>
          <w:tcPr>
            <w:tcW w:w="1263" w:type="dxa"/>
            <w:vMerge w:val="continue"/>
            <w:vAlign w:val="center"/>
          </w:tcPr>
          <w:p>
            <w:pPr>
              <w:jc w:val="center"/>
              <w:rPr>
                <w:rFonts w:hint="eastAsia"/>
                <w:color w:val="auto"/>
                <w:sz w:val="21"/>
                <w:szCs w:val="21"/>
              </w:rPr>
            </w:pP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5.93</w:t>
            </w:r>
          </w:p>
        </w:tc>
        <w:tc>
          <w:tcPr>
            <w:tcW w:w="1315" w:type="dxa"/>
            <w:vAlign w:val="center"/>
          </w:tcPr>
          <w:p>
            <w:pPr>
              <w:jc w:val="center"/>
              <w:rPr>
                <w:rFonts w:hint="eastAsia" w:eastAsia="宋体"/>
                <w:color w:val="auto"/>
                <w:sz w:val="21"/>
                <w:szCs w:val="21"/>
                <w:lang w:val="en-US" w:eastAsia="zh-CN"/>
              </w:rPr>
            </w:pPr>
            <w:r>
              <w:rPr>
                <w:rFonts w:hint="eastAsia"/>
                <w:color w:val="auto"/>
                <w:sz w:val="21"/>
                <w:szCs w:val="21"/>
                <w:lang w:val="en-US" w:eastAsia="zh-CN"/>
              </w:rPr>
              <w:t>0.058</w:t>
            </w: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9700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continue"/>
            <w:vAlign w:val="center"/>
          </w:tcPr>
          <w:p>
            <w:pPr>
              <w:jc w:val="center"/>
              <w:rPr>
                <w:color w:val="auto"/>
                <w:sz w:val="21"/>
                <w:szCs w:val="21"/>
              </w:rPr>
            </w:pPr>
            <w:r>
              <w:rPr>
                <w:rFonts w:hint="eastAsia"/>
                <w:color w:val="auto"/>
                <w:sz w:val="21"/>
                <w:szCs w:val="21"/>
                <w:lang w:val="en-US" w:eastAsia="zh-CN"/>
              </w:rPr>
              <w:t>8月2日</w:t>
            </w: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2次</w:t>
            </w:r>
          </w:p>
        </w:tc>
        <w:tc>
          <w:tcPr>
            <w:tcW w:w="1263" w:type="dxa"/>
            <w:vMerge w:val="continue"/>
            <w:vAlign w:val="center"/>
          </w:tcPr>
          <w:p>
            <w:pPr>
              <w:jc w:val="center"/>
              <w:rPr>
                <w:rFonts w:hint="eastAsia"/>
                <w:color w:val="auto"/>
                <w:sz w:val="21"/>
                <w:szCs w:val="21"/>
              </w:rPr>
            </w:pP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5.79</w:t>
            </w:r>
          </w:p>
        </w:tc>
        <w:tc>
          <w:tcPr>
            <w:tcW w:w="1315" w:type="dxa"/>
            <w:vAlign w:val="center"/>
          </w:tcPr>
          <w:p>
            <w:pPr>
              <w:jc w:val="center"/>
              <w:rPr>
                <w:rFonts w:hint="eastAsia" w:eastAsia="宋体"/>
                <w:color w:val="auto"/>
                <w:sz w:val="21"/>
                <w:szCs w:val="21"/>
                <w:lang w:val="en-US" w:eastAsia="zh-CN"/>
              </w:rPr>
            </w:pPr>
            <w:r>
              <w:rPr>
                <w:rFonts w:hint="eastAsia"/>
                <w:color w:val="auto"/>
                <w:sz w:val="21"/>
                <w:szCs w:val="21"/>
                <w:lang w:val="en-US" w:eastAsia="zh-CN"/>
              </w:rPr>
              <w:t>0.056</w:t>
            </w: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9652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restart"/>
            <w:vAlign w:val="center"/>
          </w:tcPr>
          <w:p>
            <w:pPr>
              <w:jc w:val="center"/>
              <w:rPr>
                <w:color w:val="auto"/>
                <w:sz w:val="21"/>
                <w:szCs w:val="21"/>
              </w:rPr>
            </w:pPr>
            <w:r>
              <w:rPr>
                <w:rFonts w:hint="eastAsia"/>
                <w:color w:val="auto"/>
                <w:sz w:val="21"/>
                <w:szCs w:val="21"/>
                <w:lang w:val="en-US" w:eastAsia="zh-CN"/>
              </w:rPr>
              <w:t>8月2日</w:t>
            </w: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1次</w:t>
            </w:r>
          </w:p>
        </w:tc>
        <w:tc>
          <w:tcPr>
            <w:tcW w:w="1263" w:type="dxa"/>
            <w:vMerge w:val="restart"/>
            <w:vAlign w:val="center"/>
          </w:tcPr>
          <w:p>
            <w:pPr>
              <w:jc w:val="center"/>
              <w:rPr>
                <w:rFonts w:hint="eastAsia"/>
                <w:color w:val="auto"/>
                <w:sz w:val="21"/>
                <w:szCs w:val="21"/>
              </w:rPr>
            </w:pPr>
            <w:r>
              <w:rPr>
                <w:rFonts w:hint="eastAsia"/>
                <w:color w:val="auto"/>
                <w:sz w:val="21"/>
                <w:szCs w:val="21"/>
              </w:rPr>
              <w:t>臭气浓度</w:t>
            </w:r>
            <w:r>
              <w:rPr>
                <w:rFonts w:hint="eastAsia"/>
                <w:color w:val="auto"/>
                <w:sz w:val="21"/>
                <w:szCs w:val="21"/>
                <w:lang w:eastAsia="zh-CN"/>
              </w:rPr>
              <w:t>（无量纲）</w:t>
            </w: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5495</w:t>
            </w:r>
          </w:p>
        </w:tc>
        <w:tc>
          <w:tcPr>
            <w:tcW w:w="1315" w:type="dxa"/>
            <w:vAlign w:val="center"/>
          </w:tcPr>
          <w:p>
            <w:pPr>
              <w:jc w:val="center"/>
              <w:rPr>
                <w:rFonts w:hint="eastAsia"/>
                <w:color w:val="auto"/>
                <w:sz w:val="21"/>
                <w:szCs w:val="21"/>
              </w:rPr>
            </w:pP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9850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continue"/>
            <w:vAlign w:val="center"/>
          </w:tcPr>
          <w:p>
            <w:pPr>
              <w:jc w:val="center"/>
              <w:rPr>
                <w:color w:val="auto"/>
                <w:sz w:val="21"/>
                <w:szCs w:val="21"/>
              </w:rPr>
            </w:pPr>
            <w:r>
              <w:rPr>
                <w:rFonts w:hint="eastAsia"/>
                <w:color w:val="auto"/>
                <w:sz w:val="21"/>
                <w:szCs w:val="21"/>
                <w:lang w:val="en-US" w:eastAsia="zh-CN"/>
              </w:rPr>
              <w:t>8月2日</w:t>
            </w: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3次</w:t>
            </w:r>
          </w:p>
        </w:tc>
        <w:tc>
          <w:tcPr>
            <w:tcW w:w="1263" w:type="dxa"/>
            <w:vMerge w:val="continue"/>
            <w:vAlign w:val="center"/>
          </w:tcPr>
          <w:p>
            <w:pPr>
              <w:jc w:val="center"/>
              <w:rPr>
                <w:rFonts w:hint="eastAsia"/>
                <w:color w:val="auto"/>
                <w:sz w:val="21"/>
                <w:szCs w:val="21"/>
              </w:rPr>
            </w:pP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7244</w:t>
            </w:r>
          </w:p>
        </w:tc>
        <w:tc>
          <w:tcPr>
            <w:tcW w:w="1315" w:type="dxa"/>
            <w:vAlign w:val="center"/>
          </w:tcPr>
          <w:p>
            <w:pPr>
              <w:jc w:val="center"/>
              <w:rPr>
                <w:rFonts w:hint="eastAsia"/>
                <w:color w:val="auto"/>
                <w:sz w:val="21"/>
                <w:szCs w:val="21"/>
              </w:rPr>
            </w:pP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9700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continue"/>
            <w:vAlign w:val="center"/>
          </w:tcPr>
          <w:p>
            <w:pPr>
              <w:jc w:val="center"/>
              <w:rPr>
                <w:color w:val="auto"/>
                <w:sz w:val="21"/>
                <w:szCs w:val="21"/>
              </w:rPr>
            </w:pPr>
            <w:r>
              <w:rPr>
                <w:rFonts w:hint="eastAsia"/>
                <w:color w:val="auto"/>
                <w:sz w:val="21"/>
                <w:szCs w:val="21"/>
                <w:lang w:val="en-US" w:eastAsia="zh-CN"/>
              </w:rPr>
              <w:t>8月2日</w:t>
            </w: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2次</w:t>
            </w:r>
          </w:p>
        </w:tc>
        <w:tc>
          <w:tcPr>
            <w:tcW w:w="1263" w:type="dxa"/>
            <w:vMerge w:val="continue"/>
            <w:vAlign w:val="center"/>
          </w:tcPr>
          <w:p>
            <w:pPr>
              <w:jc w:val="center"/>
              <w:rPr>
                <w:rFonts w:hint="eastAsia"/>
                <w:color w:val="auto"/>
                <w:sz w:val="21"/>
                <w:szCs w:val="21"/>
              </w:rPr>
            </w:pP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7244</w:t>
            </w:r>
          </w:p>
        </w:tc>
        <w:tc>
          <w:tcPr>
            <w:tcW w:w="1315" w:type="dxa"/>
            <w:vAlign w:val="center"/>
          </w:tcPr>
          <w:p>
            <w:pPr>
              <w:jc w:val="center"/>
              <w:rPr>
                <w:rFonts w:hint="eastAsia"/>
                <w:color w:val="auto"/>
                <w:sz w:val="21"/>
                <w:szCs w:val="21"/>
              </w:rPr>
            </w:pP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9652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restart"/>
            <w:vAlign w:val="center"/>
          </w:tcPr>
          <w:p>
            <w:pPr>
              <w:jc w:val="center"/>
              <w:rPr>
                <w:color w:val="auto"/>
                <w:sz w:val="21"/>
                <w:szCs w:val="21"/>
              </w:rPr>
            </w:pPr>
            <w:r>
              <w:rPr>
                <w:rFonts w:hint="eastAsia"/>
                <w:color w:val="auto"/>
                <w:sz w:val="21"/>
                <w:szCs w:val="21"/>
                <w:lang w:eastAsia="zh-CN"/>
              </w:rPr>
              <w:t>前处理车间废气处理后排放口</w:t>
            </w:r>
          </w:p>
        </w:tc>
        <w:tc>
          <w:tcPr>
            <w:tcW w:w="868" w:type="dxa"/>
            <w:vMerge w:val="restart"/>
            <w:vAlign w:val="center"/>
          </w:tcPr>
          <w:p>
            <w:pPr>
              <w:jc w:val="center"/>
              <w:rPr>
                <w:color w:val="auto"/>
                <w:sz w:val="21"/>
                <w:szCs w:val="21"/>
              </w:rPr>
            </w:pPr>
            <w:r>
              <w:rPr>
                <w:rFonts w:hint="eastAsia"/>
                <w:color w:val="auto"/>
                <w:sz w:val="21"/>
                <w:szCs w:val="21"/>
                <w:lang w:val="en-US" w:eastAsia="zh-CN"/>
              </w:rPr>
              <w:t>8月2日</w:t>
            </w: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1次</w:t>
            </w:r>
          </w:p>
        </w:tc>
        <w:tc>
          <w:tcPr>
            <w:tcW w:w="1263" w:type="dxa"/>
            <w:vMerge w:val="restart"/>
            <w:textDirection w:val="lrTb"/>
            <w:vAlign w:val="center"/>
          </w:tcPr>
          <w:p>
            <w:pPr>
              <w:jc w:val="center"/>
              <w:rPr>
                <w:rFonts w:hint="eastAsia"/>
                <w:color w:val="auto"/>
                <w:sz w:val="21"/>
                <w:szCs w:val="21"/>
              </w:rPr>
            </w:pPr>
            <w:r>
              <w:rPr>
                <w:rFonts w:hint="eastAsia"/>
                <w:color w:val="auto"/>
                <w:sz w:val="21"/>
                <w:szCs w:val="21"/>
              </w:rPr>
              <w:t>NH</w:t>
            </w:r>
            <w:r>
              <w:rPr>
                <w:rFonts w:hint="eastAsia"/>
                <w:color w:val="auto"/>
                <w:sz w:val="21"/>
                <w:szCs w:val="21"/>
                <w:vertAlign w:val="subscript"/>
              </w:rPr>
              <w:t>3</w:t>
            </w:r>
          </w:p>
        </w:tc>
        <w:tc>
          <w:tcPr>
            <w:tcW w:w="1570" w:type="dxa"/>
            <w:textDirection w:val="lrTb"/>
            <w:vAlign w:val="center"/>
          </w:tcPr>
          <w:p>
            <w:pPr>
              <w:jc w:val="center"/>
              <w:rPr>
                <w:rFonts w:hint="eastAsia"/>
                <w:color w:val="auto"/>
                <w:sz w:val="21"/>
                <w:szCs w:val="21"/>
                <w:lang w:val="en-US" w:eastAsia="zh-CN"/>
              </w:rPr>
            </w:pPr>
            <w:r>
              <w:rPr>
                <w:rFonts w:hint="eastAsia"/>
                <w:color w:val="auto"/>
                <w:sz w:val="21"/>
                <w:szCs w:val="21"/>
                <w:lang w:val="en-US" w:eastAsia="zh-CN"/>
              </w:rPr>
              <w:t>2.81</w:t>
            </w:r>
          </w:p>
        </w:tc>
        <w:tc>
          <w:tcPr>
            <w:tcW w:w="1315" w:type="dxa"/>
            <w:vAlign w:val="center"/>
          </w:tcPr>
          <w:p>
            <w:pPr>
              <w:jc w:val="center"/>
              <w:rPr>
                <w:rFonts w:hint="eastAsia" w:eastAsia="宋体"/>
                <w:color w:val="auto"/>
                <w:sz w:val="21"/>
                <w:szCs w:val="21"/>
                <w:lang w:val="en-US" w:eastAsia="zh-CN"/>
              </w:rPr>
            </w:pPr>
            <w:r>
              <w:rPr>
                <w:rFonts w:hint="eastAsia"/>
                <w:color w:val="auto"/>
                <w:sz w:val="21"/>
                <w:szCs w:val="21"/>
                <w:lang w:val="en-US" w:eastAsia="zh-CN"/>
              </w:rPr>
              <w:t>0.026</w:t>
            </w: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9199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continue"/>
            <w:vAlign w:val="center"/>
          </w:tcPr>
          <w:p>
            <w:pPr>
              <w:jc w:val="center"/>
              <w:rPr>
                <w:color w:val="auto"/>
                <w:sz w:val="21"/>
                <w:szCs w:val="21"/>
              </w:rPr>
            </w:pPr>
            <w:r>
              <w:rPr>
                <w:rFonts w:hint="eastAsia"/>
                <w:color w:val="auto"/>
                <w:sz w:val="21"/>
                <w:szCs w:val="21"/>
                <w:lang w:val="en-US" w:eastAsia="zh-CN"/>
              </w:rPr>
              <w:t>8月2日</w:t>
            </w: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3次</w:t>
            </w:r>
          </w:p>
        </w:tc>
        <w:tc>
          <w:tcPr>
            <w:tcW w:w="1263" w:type="dxa"/>
            <w:vMerge w:val="continue"/>
            <w:vAlign w:val="center"/>
          </w:tcPr>
          <w:p>
            <w:pPr>
              <w:jc w:val="center"/>
              <w:rPr>
                <w:rFonts w:hint="eastAsia"/>
                <w:color w:val="auto"/>
                <w:sz w:val="21"/>
                <w:szCs w:val="21"/>
              </w:rPr>
            </w:pPr>
          </w:p>
        </w:tc>
        <w:tc>
          <w:tcPr>
            <w:tcW w:w="1570" w:type="dxa"/>
            <w:textDirection w:val="lrTb"/>
            <w:vAlign w:val="center"/>
          </w:tcPr>
          <w:p>
            <w:pPr>
              <w:jc w:val="center"/>
              <w:rPr>
                <w:rFonts w:hint="eastAsia"/>
                <w:color w:val="auto"/>
                <w:sz w:val="21"/>
                <w:szCs w:val="21"/>
                <w:lang w:val="en-US" w:eastAsia="zh-CN"/>
              </w:rPr>
            </w:pPr>
            <w:r>
              <w:rPr>
                <w:rFonts w:hint="eastAsia"/>
                <w:color w:val="auto"/>
                <w:sz w:val="21"/>
                <w:szCs w:val="21"/>
                <w:lang w:val="en-US" w:eastAsia="zh-CN"/>
              </w:rPr>
              <w:t>2.92</w:t>
            </w:r>
          </w:p>
        </w:tc>
        <w:tc>
          <w:tcPr>
            <w:tcW w:w="1315" w:type="dxa"/>
            <w:vAlign w:val="center"/>
          </w:tcPr>
          <w:p>
            <w:pPr>
              <w:jc w:val="center"/>
              <w:rPr>
                <w:rFonts w:hint="eastAsia" w:eastAsia="宋体"/>
                <w:color w:val="auto"/>
                <w:sz w:val="21"/>
                <w:szCs w:val="21"/>
                <w:lang w:val="en-US" w:eastAsia="zh-CN"/>
              </w:rPr>
            </w:pPr>
            <w:r>
              <w:rPr>
                <w:rFonts w:hint="eastAsia"/>
                <w:color w:val="auto"/>
                <w:sz w:val="21"/>
                <w:szCs w:val="21"/>
                <w:lang w:val="en-US" w:eastAsia="zh-CN"/>
              </w:rPr>
              <w:t>0.027</w:t>
            </w: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9309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continue"/>
            <w:vAlign w:val="center"/>
          </w:tcPr>
          <w:p>
            <w:pPr>
              <w:jc w:val="center"/>
              <w:rPr>
                <w:color w:val="auto"/>
                <w:sz w:val="21"/>
                <w:szCs w:val="21"/>
              </w:rPr>
            </w:pPr>
            <w:r>
              <w:rPr>
                <w:rFonts w:hint="eastAsia"/>
                <w:color w:val="auto"/>
                <w:sz w:val="21"/>
                <w:szCs w:val="21"/>
                <w:lang w:val="en-US" w:eastAsia="zh-CN"/>
              </w:rPr>
              <w:t>8月2日</w:t>
            </w: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2次</w:t>
            </w:r>
          </w:p>
        </w:tc>
        <w:tc>
          <w:tcPr>
            <w:tcW w:w="1263" w:type="dxa"/>
            <w:vMerge w:val="continue"/>
            <w:vAlign w:val="center"/>
          </w:tcPr>
          <w:p>
            <w:pPr>
              <w:jc w:val="center"/>
              <w:rPr>
                <w:rFonts w:hint="eastAsia"/>
                <w:color w:val="auto"/>
                <w:sz w:val="21"/>
                <w:szCs w:val="21"/>
              </w:rPr>
            </w:pPr>
          </w:p>
        </w:tc>
        <w:tc>
          <w:tcPr>
            <w:tcW w:w="1570" w:type="dxa"/>
            <w:textDirection w:val="lrTb"/>
            <w:vAlign w:val="center"/>
          </w:tcPr>
          <w:p>
            <w:pPr>
              <w:jc w:val="center"/>
              <w:rPr>
                <w:rFonts w:hint="eastAsia"/>
                <w:color w:val="auto"/>
                <w:sz w:val="21"/>
                <w:szCs w:val="21"/>
                <w:lang w:val="en-US" w:eastAsia="zh-CN"/>
              </w:rPr>
            </w:pPr>
            <w:r>
              <w:rPr>
                <w:rFonts w:hint="eastAsia"/>
                <w:color w:val="auto"/>
                <w:sz w:val="21"/>
                <w:szCs w:val="21"/>
                <w:lang w:val="en-US" w:eastAsia="zh-CN"/>
              </w:rPr>
              <w:t>2.86</w:t>
            </w:r>
          </w:p>
        </w:tc>
        <w:tc>
          <w:tcPr>
            <w:tcW w:w="1315" w:type="dxa"/>
            <w:vAlign w:val="center"/>
          </w:tcPr>
          <w:p>
            <w:pPr>
              <w:jc w:val="center"/>
              <w:rPr>
                <w:rFonts w:hint="eastAsia" w:eastAsia="宋体"/>
                <w:color w:val="auto"/>
                <w:sz w:val="21"/>
                <w:szCs w:val="21"/>
                <w:lang w:val="en-US" w:eastAsia="zh-CN"/>
              </w:rPr>
            </w:pPr>
            <w:r>
              <w:rPr>
                <w:rFonts w:hint="eastAsia"/>
                <w:color w:val="auto"/>
                <w:sz w:val="21"/>
                <w:szCs w:val="21"/>
                <w:lang w:val="en-US" w:eastAsia="zh-CN"/>
              </w:rPr>
              <w:t>0.028</w:t>
            </w: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9763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restart"/>
            <w:vAlign w:val="center"/>
          </w:tcPr>
          <w:p>
            <w:pPr>
              <w:jc w:val="center"/>
              <w:rPr>
                <w:color w:val="auto"/>
                <w:sz w:val="21"/>
                <w:szCs w:val="21"/>
              </w:rPr>
            </w:pPr>
            <w:r>
              <w:rPr>
                <w:rFonts w:hint="eastAsia"/>
                <w:color w:val="auto"/>
                <w:sz w:val="21"/>
                <w:szCs w:val="21"/>
                <w:lang w:val="en-US" w:eastAsia="zh-CN"/>
              </w:rPr>
              <w:t>8月2日</w:t>
            </w: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1次</w:t>
            </w:r>
          </w:p>
        </w:tc>
        <w:tc>
          <w:tcPr>
            <w:tcW w:w="1263" w:type="dxa"/>
            <w:vMerge w:val="restart"/>
            <w:textDirection w:val="lrTb"/>
            <w:vAlign w:val="center"/>
          </w:tcPr>
          <w:p>
            <w:pPr>
              <w:jc w:val="center"/>
              <w:rPr>
                <w:rFonts w:hint="eastAsia"/>
                <w:color w:val="auto"/>
                <w:sz w:val="21"/>
                <w:szCs w:val="21"/>
              </w:rPr>
            </w:pPr>
            <w:r>
              <w:rPr>
                <w:color w:val="auto"/>
                <w:sz w:val="21"/>
                <w:szCs w:val="21"/>
              </w:rPr>
              <w:t>H</w:t>
            </w:r>
            <w:r>
              <w:rPr>
                <w:rFonts w:hint="eastAsia"/>
                <w:color w:val="auto"/>
                <w:sz w:val="21"/>
                <w:szCs w:val="21"/>
                <w:vertAlign w:val="subscript"/>
              </w:rPr>
              <w:t>2</w:t>
            </w:r>
            <w:r>
              <w:rPr>
                <w:rFonts w:hint="eastAsia"/>
                <w:color w:val="auto"/>
                <w:sz w:val="21"/>
                <w:szCs w:val="21"/>
              </w:rPr>
              <w:t>S</w:t>
            </w: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1.20</w:t>
            </w:r>
          </w:p>
        </w:tc>
        <w:tc>
          <w:tcPr>
            <w:tcW w:w="1315" w:type="dxa"/>
            <w:vAlign w:val="center"/>
          </w:tcPr>
          <w:p>
            <w:pPr>
              <w:jc w:val="center"/>
              <w:rPr>
                <w:rFonts w:hint="eastAsia" w:eastAsia="宋体"/>
                <w:color w:val="auto"/>
                <w:sz w:val="21"/>
                <w:szCs w:val="21"/>
                <w:lang w:val="en-US" w:eastAsia="zh-CN"/>
              </w:rPr>
            </w:pPr>
            <w:r>
              <w:rPr>
                <w:rFonts w:hint="eastAsia"/>
                <w:color w:val="auto"/>
                <w:sz w:val="21"/>
                <w:szCs w:val="21"/>
                <w:lang w:val="en-US" w:eastAsia="zh-CN"/>
              </w:rPr>
              <w:t>0.011</w:t>
            </w: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9199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continue"/>
            <w:vAlign w:val="center"/>
          </w:tcPr>
          <w:p>
            <w:pPr>
              <w:jc w:val="center"/>
              <w:rPr>
                <w:color w:val="auto"/>
                <w:sz w:val="21"/>
                <w:szCs w:val="21"/>
              </w:rPr>
            </w:pPr>
            <w:r>
              <w:rPr>
                <w:rFonts w:hint="eastAsia"/>
                <w:color w:val="auto"/>
                <w:sz w:val="21"/>
                <w:szCs w:val="21"/>
                <w:lang w:val="en-US" w:eastAsia="zh-CN"/>
              </w:rPr>
              <w:t>8月2日</w:t>
            </w: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3次</w:t>
            </w:r>
          </w:p>
        </w:tc>
        <w:tc>
          <w:tcPr>
            <w:tcW w:w="1263" w:type="dxa"/>
            <w:vMerge w:val="continue"/>
            <w:vAlign w:val="center"/>
          </w:tcPr>
          <w:p>
            <w:pPr>
              <w:jc w:val="center"/>
              <w:rPr>
                <w:rFonts w:hint="eastAsia"/>
                <w:color w:val="auto"/>
                <w:sz w:val="21"/>
                <w:szCs w:val="21"/>
              </w:rPr>
            </w:pP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1.19</w:t>
            </w:r>
          </w:p>
        </w:tc>
        <w:tc>
          <w:tcPr>
            <w:tcW w:w="1315" w:type="dxa"/>
            <w:vAlign w:val="center"/>
          </w:tcPr>
          <w:p>
            <w:pPr>
              <w:jc w:val="center"/>
              <w:rPr>
                <w:rFonts w:hint="eastAsia" w:eastAsia="宋体"/>
                <w:color w:val="auto"/>
                <w:sz w:val="21"/>
                <w:szCs w:val="21"/>
                <w:lang w:val="en-US" w:eastAsia="zh-CN"/>
              </w:rPr>
            </w:pPr>
            <w:r>
              <w:rPr>
                <w:rFonts w:hint="eastAsia"/>
                <w:color w:val="auto"/>
                <w:sz w:val="21"/>
                <w:szCs w:val="21"/>
                <w:lang w:val="en-US" w:eastAsia="zh-CN"/>
              </w:rPr>
              <w:t>0.011</w:t>
            </w: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9309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continue"/>
            <w:vAlign w:val="center"/>
          </w:tcPr>
          <w:p>
            <w:pPr>
              <w:jc w:val="center"/>
              <w:rPr>
                <w:color w:val="auto"/>
                <w:sz w:val="21"/>
                <w:szCs w:val="21"/>
              </w:rPr>
            </w:pPr>
            <w:r>
              <w:rPr>
                <w:rFonts w:hint="eastAsia"/>
                <w:color w:val="auto"/>
                <w:sz w:val="21"/>
                <w:szCs w:val="21"/>
                <w:lang w:val="en-US" w:eastAsia="zh-CN"/>
              </w:rPr>
              <w:t>8月2日</w:t>
            </w: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2次</w:t>
            </w:r>
          </w:p>
        </w:tc>
        <w:tc>
          <w:tcPr>
            <w:tcW w:w="1263" w:type="dxa"/>
            <w:vMerge w:val="continue"/>
            <w:vAlign w:val="center"/>
          </w:tcPr>
          <w:p>
            <w:pPr>
              <w:jc w:val="center"/>
              <w:rPr>
                <w:rFonts w:hint="eastAsia"/>
                <w:color w:val="auto"/>
                <w:sz w:val="21"/>
                <w:szCs w:val="21"/>
              </w:rPr>
            </w:pP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1.16</w:t>
            </w:r>
          </w:p>
        </w:tc>
        <w:tc>
          <w:tcPr>
            <w:tcW w:w="1315" w:type="dxa"/>
            <w:vAlign w:val="center"/>
          </w:tcPr>
          <w:p>
            <w:pPr>
              <w:jc w:val="center"/>
              <w:rPr>
                <w:rFonts w:hint="eastAsia" w:eastAsia="宋体"/>
                <w:color w:val="auto"/>
                <w:sz w:val="21"/>
                <w:szCs w:val="21"/>
                <w:lang w:val="en-US" w:eastAsia="zh-CN"/>
              </w:rPr>
            </w:pPr>
            <w:r>
              <w:rPr>
                <w:rFonts w:hint="eastAsia"/>
                <w:color w:val="auto"/>
                <w:sz w:val="21"/>
                <w:szCs w:val="21"/>
                <w:lang w:val="en-US" w:eastAsia="zh-CN"/>
              </w:rPr>
              <w:t>0.011</w:t>
            </w:r>
          </w:p>
        </w:tc>
        <w:tc>
          <w:tcPr>
            <w:tcW w:w="1646" w:type="dxa"/>
            <w:gridSpan w:val="3"/>
            <w:vAlign w:val="center"/>
          </w:tcPr>
          <w:p>
            <w:pPr>
              <w:jc w:val="center"/>
              <w:rPr>
                <w:rFonts w:hint="eastAsia"/>
                <w:color w:val="auto"/>
                <w:sz w:val="21"/>
                <w:szCs w:val="21"/>
                <w:lang w:val="en-US" w:eastAsia="zh-CN"/>
              </w:rPr>
            </w:pPr>
            <w:r>
              <w:rPr>
                <w:rFonts w:hint="eastAsia"/>
                <w:color w:val="auto"/>
                <w:sz w:val="21"/>
                <w:szCs w:val="21"/>
                <w:lang w:val="en-US" w:eastAsia="zh-CN"/>
              </w:rPr>
              <w:t>9763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restart"/>
            <w:vAlign w:val="center"/>
          </w:tcPr>
          <w:p>
            <w:pPr>
              <w:jc w:val="center"/>
              <w:rPr>
                <w:color w:val="auto"/>
                <w:sz w:val="21"/>
                <w:szCs w:val="21"/>
              </w:rPr>
            </w:pPr>
            <w:r>
              <w:rPr>
                <w:rFonts w:hint="eastAsia"/>
                <w:color w:val="auto"/>
                <w:sz w:val="21"/>
                <w:szCs w:val="21"/>
                <w:lang w:val="en-US" w:eastAsia="zh-CN"/>
              </w:rPr>
              <w:t>8月2日</w:t>
            </w: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1次</w:t>
            </w:r>
          </w:p>
        </w:tc>
        <w:tc>
          <w:tcPr>
            <w:tcW w:w="1263" w:type="dxa"/>
            <w:vMerge w:val="restart"/>
            <w:textDirection w:val="lrTb"/>
            <w:vAlign w:val="center"/>
          </w:tcPr>
          <w:p>
            <w:pPr>
              <w:jc w:val="center"/>
              <w:rPr>
                <w:rFonts w:hint="eastAsia"/>
                <w:color w:val="auto"/>
                <w:sz w:val="21"/>
                <w:szCs w:val="21"/>
              </w:rPr>
            </w:pPr>
            <w:r>
              <w:rPr>
                <w:rFonts w:hint="eastAsia"/>
                <w:color w:val="auto"/>
                <w:sz w:val="21"/>
                <w:szCs w:val="21"/>
              </w:rPr>
              <w:t>臭气浓度</w:t>
            </w:r>
            <w:r>
              <w:rPr>
                <w:rFonts w:hint="eastAsia"/>
                <w:color w:val="auto"/>
                <w:sz w:val="21"/>
                <w:szCs w:val="21"/>
                <w:lang w:eastAsia="zh-CN"/>
              </w:rPr>
              <w:t>（无量纲）</w:t>
            </w: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724</w:t>
            </w:r>
          </w:p>
        </w:tc>
        <w:tc>
          <w:tcPr>
            <w:tcW w:w="1315" w:type="dxa"/>
            <w:vAlign w:val="center"/>
          </w:tcPr>
          <w:p>
            <w:pPr>
              <w:jc w:val="center"/>
              <w:rPr>
                <w:rFonts w:hint="eastAsia"/>
                <w:color w:val="auto"/>
                <w:sz w:val="21"/>
                <w:szCs w:val="21"/>
              </w:rPr>
            </w:pPr>
          </w:p>
        </w:tc>
        <w:tc>
          <w:tcPr>
            <w:tcW w:w="1646" w:type="dxa"/>
            <w:gridSpan w:val="3"/>
            <w:textDirection w:val="lrTb"/>
            <w:vAlign w:val="center"/>
          </w:tcPr>
          <w:p>
            <w:pPr>
              <w:jc w:val="center"/>
              <w:rPr>
                <w:rFonts w:hint="eastAsia"/>
                <w:color w:val="auto"/>
                <w:sz w:val="21"/>
                <w:szCs w:val="21"/>
                <w:lang w:val="en-US" w:eastAsia="zh-CN"/>
              </w:rPr>
            </w:pPr>
            <w:r>
              <w:rPr>
                <w:rFonts w:hint="eastAsia"/>
                <w:color w:val="auto"/>
                <w:sz w:val="21"/>
                <w:szCs w:val="21"/>
                <w:lang w:val="en-US" w:eastAsia="zh-CN"/>
              </w:rPr>
              <w:t>9199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continue"/>
            <w:vAlign w:val="center"/>
          </w:tcPr>
          <w:p>
            <w:pPr>
              <w:jc w:val="center"/>
              <w:rPr>
                <w:color w:val="auto"/>
                <w:sz w:val="21"/>
                <w:szCs w:val="21"/>
              </w:rPr>
            </w:pP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3次</w:t>
            </w:r>
          </w:p>
        </w:tc>
        <w:tc>
          <w:tcPr>
            <w:tcW w:w="1263" w:type="dxa"/>
            <w:vMerge w:val="continue"/>
            <w:vAlign w:val="center"/>
          </w:tcPr>
          <w:p>
            <w:pPr>
              <w:jc w:val="center"/>
              <w:rPr>
                <w:rFonts w:hint="eastAsia"/>
                <w:color w:val="auto"/>
                <w:sz w:val="21"/>
                <w:szCs w:val="21"/>
              </w:rPr>
            </w:pP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977</w:t>
            </w:r>
          </w:p>
        </w:tc>
        <w:tc>
          <w:tcPr>
            <w:tcW w:w="1315" w:type="dxa"/>
            <w:vAlign w:val="center"/>
          </w:tcPr>
          <w:p>
            <w:pPr>
              <w:jc w:val="center"/>
              <w:rPr>
                <w:rFonts w:hint="eastAsia"/>
                <w:color w:val="auto"/>
                <w:sz w:val="21"/>
                <w:szCs w:val="21"/>
              </w:rPr>
            </w:pPr>
          </w:p>
        </w:tc>
        <w:tc>
          <w:tcPr>
            <w:tcW w:w="1646" w:type="dxa"/>
            <w:gridSpan w:val="3"/>
            <w:textDirection w:val="lrTb"/>
            <w:vAlign w:val="center"/>
          </w:tcPr>
          <w:p>
            <w:pPr>
              <w:jc w:val="center"/>
              <w:rPr>
                <w:rFonts w:hint="eastAsia"/>
                <w:color w:val="auto"/>
                <w:sz w:val="21"/>
                <w:szCs w:val="21"/>
                <w:lang w:val="en-US" w:eastAsia="zh-CN"/>
              </w:rPr>
            </w:pPr>
            <w:r>
              <w:rPr>
                <w:rFonts w:hint="eastAsia"/>
                <w:color w:val="auto"/>
                <w:sz w:val="21"/>
                <w:szCs w:val="21"/>
                <w:lang w:val="en-US" w:eastAsia="zh-CN"/>
              </w:rPr>
              <w:t>9309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36" w:type="dxa"/>
            <w:vMerge w:val="continue"/>
            <w:vAlign w:val="center"/>
          </w:tcPr>
          <w:p>
            <w:pPr>
              <w:jc w:val="center"/>
              <w:rPr>
                <w:color w:val="auto"/>
                <w:sz w:val="21"/>
                <w:szCs w:val="21"/>
              </w:rPr>
            </w:pPr>
          </w:p>
        </w:tc>
        <w:tc>
          <w:tcPr>
            <w:tcW w:w="868" w:type="dxa"/>
            <w:vMerge w:val="continue"/>
            <w:vAlign w:val="center"/>
          </w:tcPr>
          <w:p>
            <w:pPr>
              <w:jc w:val="center"/>
              <w:rPr>
                <w:color w:val="auto"/>
                <w:sz w:val="21"/>
                <w:szCs w:val="21"/>
              </w:rPr>
            </w:pPr>
          </w:p>
        </w:tc>
        <w:tc>
          <w:tcPr>
            <w:tcW w:w="869" w:type="dxa"/>
            <w:gridSpan w:val="2"/>
            <w:textDirection w:val="lrTb"/>
            <w:vAlign w:val="center"/>
          </w:tcPr>
          <w:p>
            <w:pPr>
              <w:jc w:val="center"/>
              <w:rPr>
                <w:rFonts w:hint="eastAsia"/>
                <w:color w:val="auto"/>
                <w:sz w:val="21"/>
                <w:szCs w:val="21"/>
                <w:lang w:eastAsia="zh-CN"/>
              </w:rPr>
            </w:pPr>
            <w:r>
              <w:rPr>
                <w:rFonts w:hint="eastAsia"/>
                <w:color w:val="auto"/>
                <w:sz w:val="21"/>
                <w:szCs w:val="21"/>
                <w:lang w:eastAsia="zh-CN"/>
              </w:rPr>
              <w:t>第</w:t>
            </w:r>
            <w:r>
              <w:rPr>
                <w:rFonts w:hint="eastAsia"/>
                <w:color w:val="auto"/>
                <w:sz w:val="21"/>
                <w:szCs w:val="21"/>
                <w:lang w:val="en-US" w:eastAsia="zh-CN"/>
              </w:rPr>
              <w:t>2次</w:t>
            </w:r>
          </w:p>
        </w:tc>
        <w:tc>
          <w:tcPr>
            <w:tcW w:w="1263" w:type="dxa"/>
            <w:vMerge w:val="continue"/>
            <w:vAlign w:val="center"/>
          </w:tcPr>
          <w:p>
            <w:pPr>
              <w:jc w:val="center"/>
              <w:rPr>
                <w:rFonts w:hint="eastAsia"/>
                <w:color w:val="auto"/>
                <w:sz w:val="21"/>
                <w:szCs w:val="21"/>
              </w:rPr>
            </w:pPr>
          </w:p>
        </w:tc>
        <w:tc>
          <w:tcPr>
            <w:tcW w:w="1570" w:type="dxa"/>
            <w:vAlign w:val="center"/>
          </w:tcPr>
          <w:p>
            <w:pPr>
              <w:jc w:val="center"/>
              <w:rPr>
                <w:rFonts w:hint="eastAsia"/>
                <w:color w:val="auto"/>
                <w:sz w:val="21"/>
                <w:szCs w:val="21"/>
                <w:lang w:val="en-US" w:eastAsia="zh-CN"/>
              </w:rPr>
            </w:pPr>
            <w:r>
              <w:rPr>
                <w:rFonts w:hint="eastAsia"/>
                <w:color w:val="auto"/>
                <w:sz w:val="21"/>
                <w:szCs w:val="21"/>
                <w:lang w:val="en-US" w:eastAsia="zh-CN"/>
              </w:rPr>
              <w:t>977</w:t>
            </w:r>
          </w:p>
        </w:tc>
        <w:tc>
          <w:tcPr>
            <w:tcW w:w="1315" w:type="dxa"/>
            <w:vAlign w:val="center"/>
          </w:tcPr>
          <w:p>
            <w:pPr>
              <w:jc w:val="center"/>
              <w:rPr>
                <w:rFonts w:hint="eastAsia"/>
                <w:color w:val="auto"/>
                <w:sz w:val="21"/>
                <w:szCs w:val="21"/>
              </w:rPr>
            </w:pPr>
          </w:p>
        </w:tc>
        <w:tc>
          <w:tcPr>
            <w:tcW w:w="1646" w:type="dxa"/>
            <w:gridSpan w:val="3"/>
            <w:textDirection w:val="lrTb"/>
            <w:vAlign w:val="center"/>
          </w:tcPr>
          <w:p>
            <w:pPr>
              <w:jc w:val="center"/>
              <w:rPr>
                <w:rFonts w:hint="eastAsia"/>
                <w:color w:val="auto"/>
                <w:sz w:val="21"/>
                <w:szCs w:val="21"/>
                <w:lang w:val="en-US" w:eastAsia="zh-CN"/>
              </w:rPr>
            </w:pPr>
            <w:r>
              <w:rPr>
                <w:rFonts w:hint="eastAsia"/>
                <w:color w:val="auto"/>
                <w:sz w:val="21"/>
                <w:szCs w:val="21"/>
                <w:lang w:val="en-US" w:eastAsia="zh-CN"/>
              </w:rPr>
              <w:t>9763</w:t>
            </w:r>
          </w:p>
        </w:tc>
      </w:tr>
    </w:tbl>
    <w:p>
      <w:pPr>
        <w:spacing w:line="360" w:lineRule="auto"/>
        <w:ind w:firstLine="480" w:firstLineChars="200"/>
        <w:rPr>
          <w:color w:val="auto"/>
        </w:rPr>
      </w:pPr>
      <w:r>
        <w:rPr>
          <w:rFonts w:hint="eastAsia"/>
          <w:color w:val="auto"/>
        </w:rPr>
        <w:t>从环境影响较大角度考虑，</w:t>
      </w:r>
      <w:r>
        <w:rPr>
          <w:rFonts w:hint="eastAsia"/>
          <w:b w:val="0"/>
          <w:bCs w:val="0"/>
          <w:color w:val="auto"/>
          <w:lang w:eastAsia="zh-CN"/>
        </w:rPr>
        <w:t>广州安芮洁环保科技有限公司餐厨垃圾黑水虻处理项目</w:t>
      </w:r>
      <w:r>
        <w:rPr>
          <w:rFonts w:hint="eastAsia"/>
          <w:color w:val="auto"/>
        </w:rPr>
        <w:t>日处理餐厨垃圾100t，预处理车间废气产生速率为（取大值计算）H</w:t>
      </w:r>
      <w:r>
        <w:rPr>
          <w:rFonts w:hint="eastAsia"/>
          <w:color w:val="auto"/>
          <w:vertAlign w:val="subscript"/>
        </w:rPr>
        <w:t>2</w:t>
      </w:r>
      <w:r>
        <w:rPr>
          <w:rFonts w:hint="eastAsia"/>
          <w:color w:val="auto"/>
        </w:rPr>
        <w:t>S0.0</w:t>
      </w:r>
      <w:r>
        <w:rPr>
          <w:rFonts w:hint="eastAsia"/>
          <w:color w:val="auto"/>
          <w:lang w:val="en-US" w:eastAsia="zh-CN"/>
        </w:rPr>
        <w:t>59</w:t>
      </w:r>
      <w:r>
        <w:rPr>
          <w:rFonts w:hint="eastAsia"/>
          <w:color w:val="auto"/>
        </w:rPr>
        <w:t>kg/h、NH</w:t>
      </w:r>
      <w:r>
        <w:rPr>
          <w:rFonts w:hint="eastAsia"/>
          <w:color w:val="auto"/>
          <w:vertAlign w:val="subscript"/>
        </w:rPr>
        <w:t>3</w:t>
      </w:r>
      <w:r>
        <w:rPr>
          <w:rFonts w:hint="eastAsia"/>
          <w:color w:val="auto"/>
        </w:rPr>
        <w:t>0.</w:t>
      </w:r>
      <w:r>
        <w:rPr>
          <w:rFonts w:hint="eastAsia"/>
          <w:color w:val="auto"/>
          <w:lang w:val="en-US" w:eastAsia="zh-CN"/>
        </w:rPr>
        <w:t>147</w:t>
      </w:r>
      <w:r>
        <w:rPr>
          <w:rFonts w:hint="eastAsia"/>
          <w:color w:val="auto"/>
        </w:rPr>
        <w:t>kg/h</w:t>
      </w:r>
      <w:r>
        <w:rPr>
          <w:rFonts w:hint="eastAsia"/>
          <w:color w:val="auto"/>
          <w:lang w:eastAsia="zh-CN"/>
        </w:rPr>
        <w:t>，臭气浓度</w:t>
      </w:r>
      <w:r>
        <w:rPr>
          <w:rFonts w:hint="eastAsia"/>
          <w:color w:val="auto"/>
          <w:lang w:val="en-US" w:eastAsia="zh-CN"/>
        </w:rPr>
        <w:t>9772。</w:t>
      </w:r>
    </w:p>
    <w:p>
      <w:pPr>
        <w:spacing w:line="360" w:lineRule="auto"/>
        <w:ind w:firstLine="480" w:firstLineChars="200"/>
        <w:rPr>
          <w:rFonts w:hint="eastAsia"/>
          <w:color w:val="auto"/>
          <w:lang w:val="en-US" w:eastAsia="zh-CN"/>
        </w:rPr>
      </w:pPr>
      <w:r>
        <w:rPr>
          <w:rFonts w:hint="eastAsia"/>
          <w:color w:val="auto"/>
        </w:rPr>
        <w:t>经类比分析，拟建项目日处理餐厨垃圾25t，预处理车间废气产生速率为：H</w:t>
      </w:r>
      <w:r>
        <w:rPr>
          <w:rFonts w:hint="eastAsia"/>
          <w:color w:val="auto"/>
          <w:vertAlign w:val="subscript"/>
        </w:rPr>
        <w:t>2</w:t>
      </w:r>
      <w:r>
        <w:rPr>
          <w:rFonts w:hint="eastAsia"/>
          <w:color w:val="auto"/>
        </w:rPr>
        <w:t>S 0.0</w:t>
      </w:r>
      <w:r>
        <w:rPr>
          <w:rFonts w:hint="eastAsia"/>
          <w:color w:val="auto"/>
          <w:lang w:val="en-US" w:eastAsia="zh-CN"/>
        </w:rPr>
        <w:t>15</w:t>
      </w:r>
      <w:r>
        <w:rPr>
          <w:rFonts w:hint="eastAsia"/>
          <w:color w:val="auto"/>
        </w:rPr>
        <w:t>kg/h，NH</w:t>
      </w:r>
      <w:r>
        <w:rPr>
          <w:rFonts w:hint="eastAsia"/>
          <w:color w:val="auto"/>
          <w:vertAlign w:val="subscript"/>
        </w:rPr>
        <w:t>3</w:t>
      </w:r>
      <w:r>
        <w:rPr>
          <w:rFonts w:hint="eastAsia"/>
          <w:color w:val="auto"/>
        </w:rPr>
        <w:t xml:space="preserve"> 0.0</w:t>
      </w:r>
      <w:r>
        <w:rPr>
          <w:rFonts w:hint="eastAsia"/>
          <w:color w:val="auto"/>
          <w:lang w:val="en-US" w:eastAsia="zh-CN"/>
        </w:rPr>
        <w:t>37</w:t>
      </w:r>
      <w:r>
        <w:rPr>
          <w:rFonts w:hint="eastAsia"/>
          <w:color w:val="auto"/>
        </w:rPr>
        <w:t>kg/h</w:t>
      </w:r>
      <w:r>
        <w:rPr>
          <w:rFonts w:hint="eastAsia"/>
          <w:color w:val="auto"/>
          <w:lang w:eastAsia="zh-CN"/>
        </w:rPr>
        <w:t>，臭气浓度</w:t>
      </w:r>
      <w:r>
        <w:rPr>
          <w:rFonts w:hint="eastAsia"/>
          <w:color w:val="auto"/>
          <w:lang w:val="en-US" w:eastAsia="zh-CN"/>
        </w:rPr>
        <w:t>2443。</w:t>
      </w:r>
    </w:p>
    <w:p>
      <w:pPr>
        <w:spacing w:line="360" w:lineRule="auto"/>
        <w:ind w:firstLine="480" w:firstLineChars="200"/>
        <w:rPr>
          <w:color w:val="auto"/>
        </w:rPr>
      </w:pPr>
    </w:p>
    <w:p>
      <w:pPr>
        <w:autoSpaceDE w:val="0"/>
        <w:autoSpaceDN w:val="0"/>
        <w:adjustRightInd w:val="0"/>
        <w:spacing w:line="360" w:lineRule="auto"/>
        <w:ind w:firstLine="480" w:firstLineChars="200"/>
        <w:rPr>
          <w:rFonts w:ascii="宋体" w:cs="宋体" w:eastAsiaTheme="minorEastAsia"/>
          <w:color w:val="auto"/>
          <w:kern w:val="0"/>
        </w:rPr>
        <w:sectPr>
          <w:pgSz w:w="11906" w:h="16838"/>
          <w:pgMar w:top="1134" w:right="1418" w:bottom="1134" w:left="1418" w:header="851" w:footer="992" w:gutter="0"/>
          <w:pgNumType w:fmt="decimal"/>
          <w:cols w:space="720" w:num="1"/>
          <w:docGrid w:linePitch="312" w:charSpace="0"/>
        </w:sectPr>
      </w:pPr>
    </w:p>
    <w:p>
      <w:pPr>
        <w:autoSpaceDE w:val="0"/>
        <w:autoSpaceDN w:val="0"/>
        <w:adjustRightInd w:val="0"/>
        <w:spacing w:line="360" w:lineRule="auto"/>
        <w:ind w:firstLine="480" w:firstLineChars="200"/>
        <w:rPr>
          <w:rFonts w:ascii="宋体" w:cs="宋体" w:eastAsiaTheme="minorEastAsia"/>
          <w:color w:val="auto"/>
        </w:rPr>
      </w:pPr>
      <w:r>
        <w:rPr>
          <w:color w:val="auto"/>
        </w:rPr>
        <w:t>项目臭气处理方式采用</w:t>
      </w:r>
      <w:r>
        <w:rPr>
          <w:rFonts w:hint="eastAsia"/>
          <w:color w:val="auto"/>
        </w:rPr>
        <w:t>“化学洗涤塔+光催化氧化+植物液喷淋</w:t>
      </w:r>
      <w:r>
        <w:rPr>
          <w:rFonts w:hint="eastAsia"/>
          <w:bCs/>
          <w:color w:val="auto"/>
        </w:rPr>
        <w:t>”装置处理后由15m高排气筒排放，根据设计资料，该工艺对硫化氢处理效率可达到65%以上，对氨气处理效率可达到75%以上，治理后的臭气排放浓度及排放速率均低于《恶臭污染物排放标准》（GB14554-93）二级标准中相应限值，能够达标排放</w:t>
      </w:r>
      <w:r>
        <w:rPr>
          <w:rFonts w:hint="eastAsia" w:ascii="宋体" w:cs="宋体" w:eastAsiaTheme="minorEastAsia"/>
          <w:color w:val="auto"/>
        </w:rPr>
        <w:t>。</w:t>
      </w:r>
    </w:p>
    <w:p>
      <w:pPr>
        <w:autoSpaceDE w:val="0"/>
        <w:autoSpaceDN w:val="0"/>
        <w:adjustRightInd w:val="0"/>
        <w:spacing w:line="360" w:lineRule="auto"/>
        <w:ind w:firstLine="482" w:firstLineChars="200"/>
        <w:jc w:val="center"/>
        <w:rPr>
          <w:rFonts w:ascii="宋体" w:cs="宋体" w:eastAsiaTheme="minorEastAsia"/>
          <w:b/>
          <w:color w:val="auto"/>
        </w:rPr>
      </w:pPr>
      <w:r>
        <w:rPr>
          <w:rFonts w:eastAsiaTheme="minorEastAsia"/>
          <w:b/>
          <w:color w:val="auto"/>
        </w:rPr>
        <w:t>表3.</w:t>
      </w:r>
      <w:r>
        <w:rPr>
          <w:rFonts w:hint="eastAsia" w:eastAsiaTheme="minorEastAsia"/>
          <w:b/>
          <w:color w:val="auto"/>
          <w:lang w:val="en-US" w:eastAsia="zh-CN"/>
        </w:rPr>
        <w:t>3</w:t>
      </w:r>
      <w:r>
        <w:rPr>
          <w:rFonts w:eastAsiaTheme="minorEastAsia"/>
          <w:b/>
          <w:color w:val="auto"/>
        </w:rPr>
        <w:t>-</w:t>
      </w:r>
      <w:r>
        <w:rPr>
          <w:rFonts w:hint="eastAsia" w:eastAsiaTheme="minorEastAsia"/>
          <w:b/>
          <w:color w:val="auto"/>
        </w:rPr>
        <w:t>5</w:t>
      </w:r>
      <w:r>
        <w:rPr>
          <w:rFonts w:eastAsiaTheme="minorEastAsia"/>
          <w:b/>
          <w:color w:val="auto"/>
        </w:rPr>
        <w:t xml:space="preserve"> </w:t>
      </w:r>
      <w:r>
        <w:rPr>
          <w:rFonts w:hint="eastAsia" w:eastAsiaTheme="minorEastAsia"/>
          <w:b/>
          <w:color w:val="auto"/>
        </w:rPr>
        <w:t xml:space="preserve"> </w:t>
      </w:r>
      <w:r>
        <w:rPr>
          <w:rFonts w:hint="eastAsia" w:ascii="宋体" w:cs="宋体" w:eastAsiaTheme="minorEastAsia"/>
          <w:b/>
          <w:color w:val="auto"/>
        </w:rPr>
        <w:t>本项目餐厨垃圾处理厂臭气产生情况</w:t>
      </w:r>
    </w:p>
    <w:tbl>
      <w:tblPr>
        <w:tblStyle w:val="54"/>
        <w:tblW w:w="147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50"/>
        <w:gridCol w:w="1210"/>
        <w:gridCol w:w="1060"/>
        <w:gridCol w:w="1181"/>
        <w:gridCol w:w="1111"/>
        <w:gridCol w:w="1218"/>
        <w:gridCol w:w="975"/>
        <w:gridCol w:w="1169"/>
        <w:gridCol w:w="866"/>
        <w:gridCol w:w="1246"/>
        <w:gridCol w:w="1221"/>
        <w:gridCol w:w="1150"/>
        <w:gridCol w:w="12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21" w:hRule="atLeast"/>
        </w:trPr>
        <w:tc>
          <w:tcPr>
            <w:tcW w:w="1150" w:type="dxa"/>
            <w:vAlign w:val="center"/>
          </w:tcPr>
          <w:p>
            <w:pPr>
              <w:autoSpaceDE w:val="0"/>
              <w:autoSpaceDN w:val="0"/>
              <w:adjustRightInd w:val="0"/>
              <w:jc w:val="center"/>
              <w:rPr>
                <w:rFonts w:hint="default" w:ascii="Times New Roman" w:hAnsi="Times New Roman" w:cs="Times New Roman" w:eastAsiaTheme="minorEastAsia"/>
                <w:b/>
                <w:color w:val="auto"/>
                <w:kern w:val="0"/>
                <w:sz w:val="21"/>
                <w:szCs w:val="21"/>
              </w:rPr>
            </w:pPr>
            <w:r>
              <w:rPr>
                <w:rFonts w:hint="default" w:ascii="Times New Roman" w:hAnsi="Times New Roman" w:cs="Times New Roman" w:eastAsiaTheme="minorEastAsia"/>
                <w:b/>
                <w:color w:val="auto"/>
                <w:kern w:val="0"/>
                <w:sz w:val="21"/>
                <w:szCs w:val="21"/>
              </w:rPr>
              <w:t>排气筒编号</w:t>
            </w:r>
          </w:p>
        </w:tc>
        <w:tc>
          <w:tcPr>
            <w:tcW w:w="1210" w:type="dxa"/>
            <w:vAlign w:val="center"/>
          </w:tcPr>
          <w:p>
            <w:pPr>
              <w:spacing w:line="360" w:lineRule="auto"/>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废气产生位置</w:t>
            </w:r>
          </w:p>
        </w:tc>
        <w:tc>
          <w:tcPr>
            <w:tcW w:w="1060" w:type="dxa"/>
            <w:vAlign w:val="center"/>
          </w:tcPr>
          <w:p>
            <w:pPr>
              <w:spacing w:line="360" w:lineRule="auto"/>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污染物</w:t>
            </w:r>
          </w:p>
        </w:tc>
        <w:tc>
          <w:tcPr>
            <w:tcW w:w="1181" w:type="dxa"/>
            <w:vAlign w:val="center"/>
          </w:tcPr>
          <w:p>
            <w:pPr>
              <w:spacing w:line="360" w:lineRule="auto"/>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产生浓度</w:t>
            </w:r>
          </w:p>
          <w:p>
            <w:pPr>
              <w:spacing w:line="360" w:lineRule="auto"/>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(mg/ m</w:t>
            </w:r>
            <w:r>
              <w:rPr>
                <w:rFonts w:hint="default" w:ascii="Times New Roman" w:hAnsi="Times New Roman" w:cs="Times New Roman" w:eastAsiaTheme="minorEastAsia"/>
                <w:b/>
                <w:color w:val="auto"/>
                <w:sz w:val="21"/>
                <w:szCs w:val="21"/>
                <w:vertAlign w:val="superscript"/>
              </w:rPr>
              <w:t>3</w:t>
            </w:r>
            <w:r>
              <w:rPr>
                <w:rFonts w:hint="default" w:ascii="Times New Roman" w:hAnsi="Times New Roman" w:cs="Times New Roman" w:eastAsiaTheme="minorEastAsia"/>
                <w:b/>
                <w:color w:val="auto"/>
                <w:sz w:val="21"/>
                <w:szCs w:val="21"/>
              </w:rPr>
              <w:t>)</w:t>
            </w:r>
          </w:p>
        </w:tc>
        <w:tc>
          <w:tcPr>
            <w:tcW w:w="1111" w:type="dxa"/>
            <w:vAlign w:val="center"/>
          </w:tcPr>
          <w:p>
            <w:pPr>
              <w:spacing w:line="360" w:lineRule="auto"/>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产生速率</w:t>
            </w:r>
          </w:p>
          <w:p>
            <w:pPr>
              <w:spacing w:line="360" w:lineRule="auto"/>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(kg/h)</w:t>
            </w:r>
          </w:p>
        </w:tc>
        <w:tc>
          <w:tcPr>
            <w:tcW w:w="1218" w:type="dxa"/>
            <w:vAlign w:val="center"/>
          </w:tcPr>
          <w:p>
            <w:pPr>
              <w:spacing w:line="360" w:lineRule="auto"/>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产生量</w:t>
            </w:r>
          </w:p>
          <w:p>
            <w:pPr>
              <w:spacing w:line="360" w:lineRule="auto"/>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（t/a）</w:t>
            </w:r>
          </w:p>
        </w:tc>
        <w:tc>
          <w:tcPr>
            <w:tcW w:w="975" w:type="dxa"/>
            <w:vAlign w:val="center"/>
          </w:tcPr>
          <w:p>
            <w:pPr>
              <w:spacing w:line="360" w:lineRule="auto"/>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风量</w:t>
            </w:r>
          </w:p>
          <w:p>
            <w:pPr>
              <w:spacing w:line="360" w:lineRule="auto"/>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w:t>
            </w:r>
            <w:r>
              <w:rPr>
                <w:rFonts w:hint="default" w:ascii="Times New Roman" w:hAnsi="Times New Roman" w:cs="Times New Roman" w:eastAsiaTheme="minorEastAsia"/>
                <w:b/>
                <w:color w:val="auto"/>
                <w:kern w:val="0"/>
                <w:sz w:val="21"/>
                <w:szCs w:val="21"/>
              </w:rPr>
              <w:t>m</w:t>
            </w:r>
            <w:r>
              <w:rPr>
                <w:rFonts w:hint="default" w:ascii="Times New Roman" w:hAnsi="Times New Roman" w:cs="Times New Roman" w:eastAsiaTheme="minorEastAsia"/>
                <w:b/>
                <w:color w:val="auto"/>
                <w:kern w:val="0"/>
                <w:sz w:val="21"/>
                <w:szCs w:val="21"/>
                <w:vertAlign w:val="superscript"/>
              </w:rPr>
              <w:t>3</w:t>
            </w:r>
            <w:r>
              <w:rPr>
                <w:rFonts w:hint="default" w:ascii="Times New Roman" w:hAnsi="Times New Roman" w:cs="Times New Roman" w:eastAsiaTheme="minorEastAsia"/>
                <w:b/>
                <w:color w:val="auto"/>
                <w:kern w:val="0"/>
                <w:sz w:val="21"/>
                <w:szCs w:val="21"/>
              </w:rPr>
              <w:t>/h)</w:t>
            </w:r>
          </w:p>
        </w:tc>
        <w:tc>
          <w:tcPr>
            <w:tcW w:w="1169" w:type="dxa"/>
            <w:vAlign w:val="center"/>
          </w:tcPr>
          <w:p>
            <w:pPr>
              <w:spacing w:line="360" w:lineRule="auto"/>
              <w:jc w:val="center"/>
              <w:rPr>
                <w:rFonts w:hint="default" w:ascii="Times New Roman" w:hAnsi="Times New Roman" w:cs="Times New Roman" w:eastAsiaTheme="minorEastAsia"/>
                <w:b/>
                <w:color w:val="auto"/>
                <w:sz w:val="21"/>
                <w:szCs w:val="21"/>
              </w:rPr>
            </w:pPr>
            <w:r>
              <w:rPr>
                <w:rFonts w:hint="default" w:ascii="Times New Roman" w:hAnsi="Times New Roman" w:cs="Times New Roman" w:eastAsiaTheme="minorEastAsia"/>
                <w:b/>
                <w:color w:val="auto"/>
                <w:sz w:val="21"/>
                <w:szCs w:val="21"/>
              </w:rPr>
              <w:t>治理措施</w:t>
            </w:r>
          </w:p>
        </w:tc>
        <w:tc>
          <w:tcPr>
            <w:tcW w:w="866" w:type="dxa"/>
            <w:vAlign w:val="center"/>
          </w:tcPr>
          <w:p>
            <w:pPr>
              <w:snapToGrid w:val="0"/>
              <w:spacing w:line="36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去除</w:t>
            </w:r>
          </w:p>
          <w:p>
            <w:pPr>
              <w:snapToGrid w:val="0"/>
              <w:spacing w:line="36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效率</w:t>
            </w:r>
          </w:p>
          <w:p>
            <w:pPr>
              <w:spacing w:line="360" w:lineRule="auto"/>
              <w:jc w:val="center"/>
              <w:rPr>
                <w:rFonts w:hint="default" w:ascii="Times New Roman" w:hAnsi="Times New Roman" w:cs="Times New Roman" w:eastAsiaTheme="minorEastAsia"/>
                <w:b/>
                <w:color w:val="auto"/>
                <w:sz w:val="21"/>
                <w:szCs w:val="21"/>
              </w:rPr>
            </w:pPr>
            <w:r>
              <w:rPr>
                <w:rFonts w:hint="default" w:ascii="Times New Roman" w:hAnsi="Times New Roman" w:cs="Times New Roman"/>
                <w:b/>
                <w:bCs/>
                <w:color w:val="auto"/>
                <w:sz w:val="21"/>
                <w:szCs w:val="21"/>
              </w:rPr>
              <w:t>(%)</w:t>
            </w:r>
          </w:p>
        </w:tc>
        <w:tc>
          <w:tcPr>
            <w:tcW w:w="1246" w:type="dxa"/>
            <w:vAlign w:val="center"/>
          </w:tcPr>
          <w:p>
            <w:pPr>
              <w:snapToGrid w:val="0"/>
              <w:spacing w:line="36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w:t>
            </w:r>
          </w:p>
          <w:p>
            <w:pPr>
              <w:snapToGrid w:val="0"/>
              <w:spacing w:line="36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浓度</w:t>
            </w:r>
          </w:p>
          <w:p>
            <w:pPr>
              <w:spacing w:line="360" w:lineRule="auto"/>
              <w:jc w:val="center"/>
              <w:rPr>
                <w:rFonts w:hint="default" w:ascii="Times New Roman" w:hAnsi="Times New Roman" w:cs="Times New Roman" w:eastAsiaTheme="minorEastAsia"/>
                <w:b/>
                <w:color w:val="auto"/>
                <w:sz w:val="21"/>
                <w:szCs w:val="21"/>
              </w:rPr>
            </w:pPr>
            <w:r>
              <w:rPr>
                <w:rFonts w:hint="default" w:ascii="Times New Roman" w:hAnsi="Times New Roman" w:cs="Times New Roman"/>
                <w:b/>
                <w:bCs/>
                <w:color w:val="auto"/>
                <w:sz w:val="21"/>
                <w:szCs w:val="21"/>
              </w:rPr>
              <w:t>(mg/m</w:t>
            </w:r>
            <w:r>
              <w:rPr>
                <w:rFonts w:hint="default" w:ascii="Times New Roman" w:hAnsi="Times New Roman" w:cs="Times New Roman"/>
                <w:b/>
                <w:bCs/>
                <w:color w:val="auto"/>
                <w:sz w:val="21"/>
                <w:szCs w:val="21"/>
                <w:vertAlign w:val="superscript"/>
              </w:rPr>
              <w:t>3</w:t>
            </w:r>
            <w:r>
              <w:rPr>
                <w:rFonts w:hint="default" w:ascii="Times New Roman" w:hAnsi="Times New Roman" w:cs="Times New Roman"/>
                <w:b/>
                <w:bCs/>
                <w:color w:val="auto"/>
                <w:sz w:val="21"/>
                <w:szCs w:val="21"/>
              </w:rPr>
              <w:t>)</w:t>
            </w:r>
          </w:p>
        </w:tc>
        <w:tc>
          <w:tcPr>
            <w:tcW w:w="1221" w:type="dxa"/>
            <w:vAlign w:val="center"/>
          </w:tcPr>
          <w:p>
            <w:pPr>
              <w:snapToGrid w:val="0"/>
              <w:spacing w:line="36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排放速率(kg/h)</w:t>
            </w:r>
          </w:p>
        </w:tc>
        <w:tc>
          <w:tcPr>
            <w:tcW w:w="1150" w:type="dxa"/>
            <w:vAlign w:val="center"/>
          </w:tcPr>
          <w:p>
            <w:pPr>
              <w:snapToGrid w:val="0"/>
              <w:spacing w:line="36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排放量</w:t>
            </w:r>
          </w:p>
          <w:p>
            <w:pPr>
              <w:snapToGrid w:val="0"/>
              <w:spacing w:line="360" w:lineRule="auto"/>
              <w:jc w:val="center"/>
              <w:rPr>
                <w:rFonts w:hint="default" w:ascii="Times New Roman" w:hAnsi="Times New Roman" w:cs="Times New Roman"/>
                <w:b/>
                <w:bCs/>
                <w:color w:val="auto"/>
                <w:sz w:val="21"/>
                <w:szCs w:val="21"/>
                <w:highlight w:val="yellow"/>
              </w:rPr>
            </w:pPr>
            <w:r>
              <w:rPr>
                <w:rFonts w:hint="default" w:ascii="Times New Roman" w:hAnsi="Times New Roman" w:cs="Times New Roman" w:eastAsiaTheme="minorEastAsia"/>
                <w:b/>
                <w:color w:val="auto"/>
                <w:sz w:val="21"/>
                <w:szCs w:val="21"/>
              </w:rPr>
              <w:t>（t/a）</w:t>
            </w:r>
          </w:p>
        </w:tc>
        <w:tc>
          <w:tcPr>
            <w:tcW w:w="1229" w:type="dxa"/>
            <w:vAlign w:val="center"/>
          </w:tcPr>
          <w:p>
            <w:pPr>
              <w:snapToGrid w:val="0"/>
              <w:spacing w:line="36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排气筒高度（m）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59" w:hRule="atLeast"/>
        </w:trPr>
        <w:tc>
          <w:tcPr>
            <w:tcW w:w="1150" w:type="dxa"/>
            <w:vMerge w:val="restart"/>
            <w:vAlign w:val="center"/>
          </w:tcPr>
          <w:p>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FQ-05</w:t>
            </w:r>
          </w:p>
        </w:tc>
        <w:tc>
          <w:tcPr>
            <w:tcW w:w="1210" w:type="dxa"/>
            <w:vMerge w:val="restart"/>
            <w:vAlign w:val="center"/>
          </w:tcPr>
          <w:p>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color w:val="auto"/>
                <w:sz w:val="21"/>
                <w:szCs w:val="21"/>
              </w:rPr>
              <w:t>卸料间、接料斗、破碎机、油水分离机等设备、整体车间</w:t>
            </w:r>
          </w:p>
        </w:tc>
        <w:tc>
          <w:tcPr>
            <w:tcW w:w="1060" w:type="dxa"/>
            <w:vAlign w:val="center"/>
          </w:tcPr>
          <w:p>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H</w:t>
            </w:r>
            <w:r>
              <w:rPr>
                <w:rFonts w:hint="default" w:ascii="Times New Roman" w:hAnsi="Times New Roman" w:cs="Times New Roman" w:eastAsiaTheme="minorEastAsia"/>
                <w:color w:val="auto"/>
                <w:sz w:val="21"/>
                <w:szCs w:val="21"/>
                <w:vertAlign w:val="subscript"/>
              </w:rPr>
              <w:t>2</w:t>
            </w:r>
            <w:r>
              <w:rPr>
                <w:rFonts w:hint="default" w:ascii="Times New Roman" w:hAnsi="Times New Roman" w:cs="Times New Roman" w:eastAsiaTheme="minorEastAsia"/>
                <w:color w:val="auto"/>
                <w:sz w:val="21"/>
                <w:szCs w:val="21"/>
              </w:rPr>
              <w:t>S</w:t>
            </w:r>
          </w:p>
        </w:tc>
        <w:tc>
          <w:tcPr>
            <w:tcW w:w="1181" w:type="dxa"/>
            <w:textDirection w:val="lrTb"/>
            <w:vAlign w:val="center"/>
          </w:tcPr>
          <w:p>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0.214</w:t>
            </w:r>
          </w:p>
        </w:tc>
        <w:tc>
          <w:tcPr>
            <w:tcW w:w="1111" w:type="dxa"/>
            <w:vAlign w:val="center"/>
          </w:tcPr>
          <w:p>
            <w:pPr>
              <w:spacing w:line="36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w:t>
            </w:r>
            <w:r>
              <w:rPr>
                <w:rFonts w:hint="default" w:ascii="Times New Roman" w:hAnsi="Times New Roman" w:cs="Times New Roman"/>
                <w:color w:val="auto"/>
                <w:sz w:val="21"/>
                <w:szCs w:val="21"/>
                <w:lang w:val="en-US" w:eastAsia="zh-CN"/>
              </w:rPr>
              <w:t>15</w:t>
            </w:r>
          </w:p>
        </w:tc>
        <w:tc>
          <w:tcPr>
            <w:tcW w:w="1218" w:type="dxa"/>
            <w:textDirection w:val="lrTb"/>
            <w:vAlign w:val="center"/>
          </w:tcPr>
          <w:p>
            <w:pPr>
              <w:spacing w:line="36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0.040</w:t>
            </w:r>
          </w:p>
        </w:tc>
        <w:tc>
          <w:tcPr>
            <w:tcW w:w="975" w:type="dxa"/>
            <w:vMerge w:val="restart"/>
            <w:vAlign w:val="center"/>
          </w:tcPr>
          <w:p>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70000</w:t>
            </w:r>
          </w:p>
        </w:tc>
        <w:tc>
          <w:tcPr>
            <w:tcW w:w="1169" w:type="dxa"/>
            <w:vMerge w:val="restart"/>
            <w:vAlign w:val="center"/>
          </w:tcPr>
          <w:p>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化学洗涤塔+光催化氧化+植物液喷淋</w:t>
            </w:r>
          </w:p>
        </w:tc>
        <w:tc>
          <w:tcPr>
            <w:tcW w:w="866" w:type="dxa"/>
            <w:vAlign w:val="center"/>
          </w:tcPr>
          <w:p>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65%</w:t>
            </w:r>
          </w:p>
        </w:tc>
        <w:tc>
          <w:tcPr>
            <w:tcW w:w="1246" w:type="dxa"/>
            <w:textDirection w:val="lrTb"/>
            <w:vAlign w:val="center"/>
          </w:tcPr>
          <w:p>
            <w:pPr>
              <w:keepNext w:val="0"/>
              <w:keepLines w:val="0"/>
              <w:widowControl/>
              <w:suppressLineNumbers w:val="0"/>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0.</w:t>
            </w:r>
            <w:r>
              <w:rPr>
                <w:rFonts w:hint="default" w:ascii="Times New Roman" w:hAnsi="Times New Roman" w:cs="Times New Roman"/>
                <w:color w:val="auto"/>
                <w:sz w:val="21"/>
                <w:szCs w:val="21"/>
                <w:lang w:val="en-US" w:eastAsia="zh-CN"/>
              </w:rPr>
              <w:t>075</w:t>
            </w:r>
          </w:p>
        </w:tc>
        <w:tc>
          <w:tcPr>
            <w:tcW w:w="1221" w:type="dxa"/>
            <w:textDirection w:val="lrTb"/>
            <w:vAlign w:val="center"/>
          </w:tcPr>
          <w:p>
            <w:pPr>
              <w:keepNext w:val="0"/>
              <w:keepLines w:val="0"/>
              <w:widowControl/>
              <w:suppressLineNumbers w:val="0"/>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0.005</w:t>
            </w:r>
          </w:p>
        </w:tc>
        <w:tc>
          <w:tcPr>
            <w:tcW w:w="1150" w:type="dxa"/>
            <w:textDirection w:val="lrTb"/>
            <w:vAlign w:val="center"/>
          </w:tcPr>
          <w:p>
            <w:pPr>
              <w:keepNext w:val="0"/>
              <w:keepLines w:val="0"/>
              <w:widowControl/>
              <w:suppressLineNumbers w:val="0"/>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0.014</w:t>
            </w:r>
          </w:p>
        </w:tc>
        <w:tc>
          <w:tcPr>
            <w:tcW w:w="1229" w:type="dxa"/>
            <w:vMerge w:val="restart"/>
            <w:vAlign w:val="center"/>
          </w:tcPr>
          <w:p>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6" w:hRule="atLeast"/>
        </w:trPr>
        <w:tc>
          <w:tcPr>
            <w:tcW w:w="1150" w:type="dxa"/>
            <w:vMerge w:val="continue"/>
            <w:vAlign w:val="center"/>
          </w:tcPr>
          <w:p>
            <w:pPr>
              <w:spacing w:line="360" w:lineRule="auto"/>
              <w:jc w:val="center"/>
              <w:rPr>
                <w:rFonts w:hint="default" w:ascii="Times New Roman" w:hAnsi="Times New Roman" w:cs="Times New Roman" w:eastAsiaTheme="minorEastAsia"/>
                <w:color w:val="auto"/>
                <w:sz w:val="21"/>
                <w:szCs w:val="21"/>
              </w:rPr>
            </w:pPr>
          </w:p>
        </w:tc>
        <w:tc>
          <w:tcPr>
            <w:tcW w:w="1210" w:type="dxa"/>
            <w:vMerge w:val="continue"/>
            <w:vAlign w:val="center"/>
          </w:tcPr>
          <w:p>
            <w:pPr>
              <w:spacing w:line="360" w:lineRule="auto"/>
              <w:jc w:val="center"/>
              <w:rPr>
                <w:rFonts w:hint="default" w:ascii="Times New Roman" w:hAnsi="Times New Roman" w:cs="Times New Roman" w:eastAsiaTheme="minorEastAsia"/>
                <w:color w:val="auto"/>
                <w:sz w:val="21"/>
                <w:szCs w:val="21"/>
              </w:rPr>
            </w:pPr>
          </w:p>
        </w:tc>
        <w:tc>
          <w:tcPr>
            <w:tcW w:w="1060" w:type="dxa"/>
            <w:vAlign w:val="center"/>
          </w:tcPr>
          <w:p>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NH</w:t>
            </w:r>
            <w:r>
              <w:rPr>
                <w:rFonts w:hint="default" w:ascii="Times New Roman" w:hAnsi="Times New Roman" w:cs="Times New Roman" w:eastAsiaTheme="minorEastAsia"/>
                <w:color w:val="auto"/>
                <w:sz w:val="21"/>
                <w:szCs w:val="21"/>
                <w:vertAlign w:val="subscript"/>
              </w:rPr>
              <w:t>3</w:t>
            </w:r>
          </w:p>
        </w:tc>
        <w:tc>
          <w:tcPr>
            <w:tcW w:w="1181" w:type="dxa"/>
            <w:textDirection w:val="lrTb"/>
            <w:vAlign w:val="center"/>
          </w:tcPr>
          <w:p>
            <w:pPr>
              <w:spacing w:line="36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0.529</w:t>
            </w:r>
          </w:p>
        </w:tc>
        <w:tc>
          <w:tcPr>
            <w:tcW w:w="1111" w:type="dxa"/>
            <w:vAlign w:val="center"/>
          </w:tcPr>
          <w:p>
            <w:pPr>
              <w:spacing w:line="36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w:t>
            </w:r>
            <w:r>
              <w:rPr>
                <w:rFonts w:hint="default" w:ascii="Times New Roman" w:hAnsi="Times New Roman" w:cs="Times New Roman"/>
                <w:color w:val="auto"/>
                <w:sz w:val="21"/>
                <w:szCs w:val="21"/>
                <w:lang w:val="en-US" w:eastAsia="zh-CN"/>
              </w:rPr>
              <w:t>37</w:t>
            </w:r>
          </w:p>
        </w:tc>
        <w:tc>
          <w:tcPr>
            <w:tcW w:w="1218" w:type="dxa"/>
            <w:textDirection w:val="lrTb"/>
            <w:vAlign w:val="center"/>
          </w:tcPr>
          <w:p>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0.098</w:t>
            </w:r>
          </w:p>
        </w:tc>
        <w:tc>
          <w:tcPr>
            <w:tcW w:w="975" w:type="dxa"/>
            <w:vMerge w:val="continue"/>
            <w:vAlign w:val="center"/>
          </w:tcPr>
          <w:p>
            <w:pPr>
              <w:spacing w:line="360" w:lineRule="auto"/>
              <w:jc w:val="center"/>
              <w:rPr>
                <w:rFonts w:hint="default" w:ascii="Times New Roman" w:hAnsi="Times New Roman" w:cs="Times New Roman" w:eastAsiaTheme="minorEastAsia"/>
                <w:color w:val="auto"/>
                <w:sz w:val="21"/>
                <w:szCs w:val="21"/>
              </w:rPr>
            </w:pPr>
          </w:p>
        </w:tc>
        <w:tc>
          <w:tcPr>
            <w:tcW w:w="1169" w:type="dxa"/>
            <w:vMerge w:val="continue"/>
            <w:vAlign w:val="center"/>
          </w:tcPr>
          <w:p>
            <w:pPr>
              <w:spacing w:line="360" w:lineRule="auto"/>
              <w:jc w:val="center"/>
              <w:rPr>
                <w:rFonts w:hint="default" w:ascii="Times New Roman" w:hAnsi="Times New Roman" w:cs="Times New Roman" w:eastAsiaTheme="minorEastAsia"/>
                <w:color w:val="auto"/>
                <w:sz w:val="21"/>
                <w:szCs w:val="21"/>
              </w:rPr>
            </w:pPr>
          </w:p>
        </w:tc>
        <w:tc>
          <w:tcPr>
            <w:tcW w:w="866" w:type="dxa"/>
            <w:vAlign w:val="center"/>
          </w:tcPr>
          <w:p>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75%</w:t>
            </w:r>
          </w:p>
        </w:tc>
        <w:tc>
          <w:tcPr>
            <w:tcW w:w="1246" w:type="dxa"/>
            <w:textDirection w:val="lrTb"/>
            <w:vAlign w:val="center"/>
          </w:tcPr>
          <w:p>
            <w:pPr>
              <w:keepNext w:val="0"/>
              <w:keepLines w:val="0"/>
              <w:widowControl/>
              <w:suppressLineNumbers w:val="0"/>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0.132</w:t>
            </w:r>
          </w:p>
        </w:tc>
        <w:tc>
          <w:tcPr>
            <w:tcW w:w="1221" w:type="dxa"/>
            <w:textDirection w:val="lrTb"/>
            <w:vAlign w:val="center"/>
          </w:tcPr>
          <w:p>
            <w:pPr>
              <w:keepNext w:val="0"/>
              <w:keepLines w:val="0"/>
              <w:widowControl/>
              <w:suppressLineNumbers w:val="0"/>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0.009</w:t>
            </w:r>
          </w:p>
        </w:tc>
        <w:tc>
          <w:tcPr>
            <w:tcW w:w="1150" w:type="dxa"/>
            <w:textDirection w:val="lrTb"/>
            <w:vAlign w:val="center"/>
          </w:tcPr>
          <w:p>
            <w:pPr>
              <w:keepNext w:val="0"/>
              <w:keepLines w:val="0"/>
              <w:widowControl/>
              <w:suppressLineNumbers w:val="0"/>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0.025</w:t>
            </w:r>
          </w:p>
        </w:tc>
        <w:tc>
          <w:tcPr>
            <w:tcW w:w="1229" w:type="dxa"/>
            <w:vMerge w:val="continue"/>
            <w:vAlign w:val="center"/>
          </w:tcPr>
          <w:p>
            <w:pPr>
              <w:spacing w:line="360" w:lineRule="auto"/>
              <w:jc w:val="center"/>
              <w:rPr>
                <w:rFonts w:hint="default" w:ascii="Times New Roman" w:hAnsi="Times New Roman" w:cs="Times New Roman" w:eastAsiaTheme="minorEastAsia"/>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1" w:hRule="atLeast"/>
        </w:trPr>
        <w:tc>
          <w:tcPr>
            <w:tcW w:w="1150" w:type="dxa"/>
            <w:vMerge w:val="continue"/>
            <w:vAlign w:val="center"/>
          </w:tcPr>
          <w:p>
            <w:pPr>
              <w:spacing w:line="360" w:lineRule="auto"/>
              <w:jc w:val="center"/>
              <w:rPr>
                <w:rFonts w:hint="default" w:ascii="Times New Roman" w:hAnsi="Times New Roman" w:cs="Times New Roman" w:eastAsiaTheme="minorEastAsia"/>
                <w:color w:val="auto"/>
                <w:sz w:val="21"/>
                <w:szCs w:val="21"/>
              </w:rPr>
            </w:pPr>
          </w:p>
        </w:tc>
        <w:tc>
          <w:tcPr>
            <w:tcW w:w="1210" w:type="dxa"/>
            <w:vMerge w:val="continue"/>
            <w:vAlign w:val="center"/>
          </w:tcPr>
          <w:p>
            <w:pPr>
              <w:spacing w:line="360" w:lineRule="auto"/>
              <w:jc w:val="center"/>
              <w:rPr>
                <w:rFonts w:hint="default" w:ascii="Times New Roman" w:hAnsi="Times New Roman" w:cs="Times New Roman" w:eastAsiaTheme="minorEastAsia"/>
                <w:color w:val="auto"/>
                <w:sz w:val="21"/>
                <w:szCs w:val="21"/>
              </w:rPr>
            </w:pPr>
          </w:p>
        </w:tc>
        <w:tc>
          <w:tcPr>
            <w:tcW w:w="1060" w:type="dxa"/>
            <w:vAlign w:val="center"/>
          </w:tcPr>
          <w:p>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臭气浓度</w:t>
            </w:r>
          </w:p>
        </w:tc>
        <w:tc>
          <w:tcPr>
            <w:tcW w:w="1181" w:type="dxa"/>
            <w:vAlign w:val="center"/>
          </w:tcPr>
          <w:p>
            <w:pPr>
              <w:spacing w:line="360" w:lineRule="auto"/>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2443</w:t>
            </w:r>
          </w:p>
          <w:p>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（无量纲）</w:t>
            </w:r>
          </w:p>
        </w:tc>
        <w:tc>
          <w:tcPr>
            <w:tcW w:w="1111" w:type="dxa"/>
            <w:vAlign w:val="center"/>
          </w:tcPr>
          <w:p>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w:t>
            </w:r>
          </w:p>
        </w:tc>
        <w:tc>
          <w:tcPr>
            <w:tcW w:w="1218" w:type="dxa"/>
            <w:vAlign w:val="center"/>
          </w:tcPr>
          <w:p>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w:t>
            </w:r>
          </w:p>
        </w:tc>
        <w:tc>
          <w:tcPr>
            <w:tcW w:w="975" w:type="dxa"/>
            <w:vMerge w:val="continue"/>
            <w:vAlign w:val="center"/>
          </w:tcPr>
          <w:p>
            <w:pPr>
              <w:spacing w:line="360" w:lineRule="auto"/>
              <w:jc w:val="center"/>
              <w:rPr>
                <w:rFonts w:hint="default" w:ascii="Times New Roman" w:hAnsi="Times New Roman" w:cs="Times New Roman" w:eastAsiaTheme="minorEastAsia"/>
                <w:color w:val="auto"/>
                <w:sz w:val="21"/>
                <w:szCs w:val="21"/>
              </w:rPr>
            </w:pPr>
          </w:p>
        </w:tc>
        <w:tc>
          <w:tcPr>
            <w:tcW w:w="1169" w:type="dxa"/>
            <w:vMerge w:val="continue"/>
            <w:vAlign w:val="center"/>
          </w:tcPr>
          <w:p>
            <w:pPr>
              <w:spacing w:line="360" w:lineRule="auto"/>
              <w:jc w:val="center"/>
              <w:rPr>
                <w:rFonts w:hint="default" w:ascii="Times New Roman" w:hAnsi="Times New Roman" w:cs="Times New Roman" w:eastAsiaTheme="minorEastAsia"/>
                <w:color w:val="auto"/>
                <w:sz w:val="21"/>
                <w:szCs w:val="21"/>
              </w:rPr>
            </w:pPr>
          </w:p>
        </w:tc>
        <w:tc>
          <w:tcPr>
            <w:tcW w:w="866" w:type="dxa"/>
            <w:vAlign w:val="center"/>
          </w:tcPr>
          <w:p>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75%</w:t>
            </w:r>
          </w:p>
        </w:tc>
        <w:tc>
          <w:tcPr>
            <w:tcW w:w="1246" w:type="dxa"/>
            <w:vAlign w:val="center"/>
          </w:tcPr>
          <w:p>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610.75</w:t>
            </w:r>
            <w:r>
              <w:rPr>
                <w:rFonts w:hint="default" w:ascii="Times New Roman" w:hAnsi="Times New Roman" w:cs="Times New Roman" w:eastAsiaTheme="minorEastAsia"/>
                <w:color w:val="auto"/>
                <w:sz w:val="21"/>
                <w:szCs w:val="21"/>
              </w:rPr>
              <w:t>（无量纲）</w:t>
            </w:r>
          </w:p>
        </w:tc>
        <w:tc>
          <w:tcPr>
            <w:tcW w:w="1221" w:type="dxa"/>
            <w:vAlign w:val="center"/>
          </w:tcPr>
          <w:p>
            <w:pPr>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150" w:type="dxa"/>
            <w:vAlign w:val="center"/>
          </w:tcPr>
          <w:p>
            <w:pPr>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229" w:type="dxa"/>
            <w:vMerge w:val="continue"/>
            <w:vAlign w:val="center"/>
          </w:tcPr>
          <w:p>
            <w:pPr>
              <w:spacing w:line="360" w:lineRule="auto"/>
              <w:jc w:val="center"/>
              <w:rPr>
                <w:rFonts w:hint="default" w:ascii="Times New Roman" w:hAnsi="Times New Roman" w:cs="Times New Roman" w:eastAsiaTheme="minorEastAsia"/>
                <w:color w:val="auto"/>
                <w:sz w:val="21"/>
                <w:szCs w:val="21"/>
              </w:rPr>
            </w:pPr>
          </w:p>
        </w:tc>
      </w:tr>
    </w:tbl>
    <w:p>
      <w:pPr>
        <w:autoSpaceDE w:val="0"/>
        <w:autoSpaceDN w:val="0"/>
        <w:adjustRightInd w:val="0"/>
        <w:spacing w:line="360" w:lineRule="auto"/>
        <w:rPr>
          <w:rFonts w:ascii="宋体" w:cs="宋体" w:eastAsiaTheme="minorEastAsia"/>
          <w:color w:val="auto"/>
          <w:kern w:val="0"/>
        </w:rPr>
      </w:pPr>
      <w:r>
        <w:rPr>
          <w:rFonts w:hint="eastAsia" w:ascii="宋体" w:cs="宋体" w:eastAsiaTheme="minorEastAsia"/>
          <w:color w:val="auto"/>
          <w:kern w:val="0"/>
        </w:rPr>
        <w:t>特别说明：</w:t>
      </w:r>
    </w:p>
    <w:p>
      <w:pPr>
        <w:autoSpaceDE w:val="0"/>
        <w:autoSpaceDN w:val="0"/>
        <w:adjustRightInd w:val="0"/>
        <w:spacing w:line="360" w:lineRule="auto"/>
        <w:ind w:firstLine="480" w:firstLineChars="200"/>
        <w:rPr>
          <w:rFonts w:ascii="宋体" w:cs="宋体" w:eastAsiaTheme="minorEastAsia"/>
          <w:color w:val="auto"/>
          <w:kern w:val="0"/>
        </w:rPr>
      </w:pPr>
      <w:r>
        <w:rPr>
          <w:rFonts w:hint="eastAsia" w:ascii="宋体" w:cs="宋体" w:eastAsiaTheme="minorEastAsia"/>
          <w:color w:val="auto"/>
          <w:kern w:val="0"/>
        </w:rPr>
        <w:t>本项目餐厨垃圾产生的废水依托在建项目的渗滤液处理站进行处理，</w:t>
      </w:r>
      <w:r>
        <w:rPr>
          <w:rFonts w:hint="eastAsia"/>
          <w:color w:val="auto"/>
        </w:rPr>
        <w:t>根据《兴宁市静脉产业园PPP项目环境影响报告书》可知，在建项目的渗滤液处理站的臭气引至生活垃圾焚烧炉进行焚烧处理，此外，关于渗滤液处理站的臭气计算系数，项目臭气产生量仅与渗滤液处理站的面积有关，由于在建项目渗滤液处理站处理面积在本项目依托前后不变，因为产生的臭气源强也不变，此次源强在《兴宁市静脉产业园PPP项目环境影响报告书》里已详细论述，因此本次环评将不重复论述</w:t>
      </w:r>
      <w:r>
        <w:rPr>
          <w:color w:val="auto"/>
        </w:rPr>
        <w:t>。</w:t>
      </w:r>
    </w:p>
    <w:p>
      <w:pPr>
        <w:autoSpaceDE w:val="0"/>
        <w:autoSpaceDN w:val="0"/>
        <w:adjustRightInd w:val="0"/>
        <w:spacing w:line="360" w:lineRule="auto"/>
        <w:ind w:firstLine="480" w:firstLineChars="200"/>
        <w:rPr>
          <w:rFonts w:ascii="宋体" w:cs="宋体" w:eastAsiaTheme="minorEastAsia"/>
          <w:color w:val="auto"/>
          <w:kern w:val="0"/>
        </w:rPr>
        <w:sectPr>
          <w:pgSz w:w="16838" w:h="11906" w:orient="landscape"/>
          <w:pgMar w:top="1418" w:right="1134" w:bottom="1418" w:left="1134" w:header="851" w:footer="992" w:gutter="0"/>
          <w:pgNumType w:fmt="decimal"/>
          <w:cols w:space="720" w:num="1"/>
          <w:docGrid w:linePitch="326" w:charSpace="0"/>
        </w:sectPr>
      </w:pPr>
    </w:p>
    <w:p>
      <w:pPr>
        <w:autoSpaceDE w:val="0"/>
        <w:autoSpaceDN w:val="0"/>
        <w:adjustRightInd w:val="0"/>
        <w:spacing w:line="360" w:lineRule="auto"/>
        <w:ind w:firstLine="482" w:firstLineChars="200"/>
        <w:rPr>
          <w:rFonts w:ascii="宋体" w:cs="宋体" w:eastAsiaTheme="minorEastAsia"/>
          <w:b/>
          <w:color w:val="auto"/>
          <w:kern w:val="0"/>
        </w:rPr>
      </w:pPr>
      <w:r>
        <w:rPr>
          <w:rFonts w:hint="eastAsia" w:ascii="宋体" w:cs="宋体" w:eastAsiaTheme="minorEastAsia"/>
          <w:b/>
          <w:color w:val="auto"/>
          <w:kern w:val="0"/>
        </w:rPr>
        <w:t>（2）无组织排放</w:t>
      </w:r>
    </w:p>
    <w:p>
      <w:pPr>
        <w:spacing w:line="360" w:lineRule="auto"/>
        <w:ind w:firstLine="482" w:firstLineChars="200"/>
        <w:rPr>
          <w:b/>
          <w:color w:val="auto"/>
        </w:rPr>
      </w:pPr>
      <w:r>
        <w:rPr>
          <w:b/>
          <w:color w:val="auto"/>
        </w:rPr>
        <w:fldChar w:fldCharType="begin"/>
      </w:r>
      <w:r>
        <w:rPr>
          <w:b/>
          <w:color w:val="auto"/>
        </w:rPr>
        <w:instrText xml:space="preserve"> </w:instrText>
      </w:r>
      <w:r>
        <w:rPr>
          <w:rFonts w:hint="eastAsia"/>
          <w:b/>
          <w:color w:val="auto"/>
        </w:rPr>
        <w:instrText xml:space="preserve">= 1 \* GB3</w:instrText>
      </w:r>
      <w:r>
        <w:rPr>
          <w:b/>
          <w:color w:val="auto"/>
        </w:rPr>
        <w:instrText xml:space="preserve"> </w:instrText>
      </w:r>
      <w:r>
        <w:rPr>
          <w:b/>
          <w:color w:val="auto"/>
        </w:rPr>
        <w:fldChar w:fldCharType="separate"/>
      </w:r>
      <w:r>
        <w:rPr>
          <w:rFonts w:hint="eastAsia"/>
          <w:b/>
          <w:color w:val="auto"/>
        </w:rPr>
        <w:t>①</w:t>
      </w:r>
      <w:r>
        <w:rPr>
          <w:b/>
          <w:color w:val="auto"/>
        </w:rPr>
        <w:fldChar w:fldCharType="end"/>
      </w:r>
      <w:r>
        <w:rPr>
          <w:rFonts w:hint="eastAsia"/>
          <w:b/>
          <w:color w:val="auto"/>
        </w:rPr>
        <w:t>生产车间无组织排放源</w:t>
      </w:r>
    </w:p>
    <w:p>
      <w:pPr>
        <w:spacing w:line="360" w:lineRule="auto"/>
        <w:ind w:firstLine="480" w:firstLineChars="200"/>
        <w:rPr>
          <w:bCs/>
          <w:color w:val="auto"/>
        </w:rPr>
      </w:pPr>
      <w:r>
        <w:rPr>
          <w:color w:val="auto"/>
        </w:rPr>
        <w:t>本项目设计日处理餐厨垃圾</w:t>
      </w:r>
      <w:r>
        <w:rPr>
          <w:rFonts w:hint="eastAsia"/>
          <w:color w:val="auto"/>
        </w:rPr>
        <w:t>25</w:t>
      </w:r>
      <w:r>
        <w:rPr>
          <w:color w:val="auto"/>
        </w:rPr>
        <w:t>t，餐厨垃圾处理工艺与参考项目</w:t>
      </w:r>
      <w:r>
        <w:rPr>
          <w:rFonts w:hint="eastAsia"/>
          <w:color w:val="auto"/>
        </w:rPr>
        <w:t>预处理</w:t>
      </w:r>
      <w:r>
        <w:rPr>
          <w:color w:val="auto"/>
        </w:rPr>
        <w:t>的工艺相同，均是</w:t>
      </w:r>
      <w:r>
        <w:rPr>
          <w:rFonts w:hint="eastAsia"/>
          <w:color w:val="auto"/>
        </w:rPr>
        <w:t>破碎+脱水+油水分离</w:t>
      </w:r>
      <w:r>
        <w:rPr>
          <w:color w:val="auto"/>
        </w:rPr>
        <w:t>，项目臭气处理方式采用</w:t>
      </w:r>
      <w:r>
        <w:rPr>
          <w:rFonts w:hint="eastAsia"/>
          <w:color w:val="auto"/>
        </w:rPr>
        <w:t>“化学洗涤塔+光催化氧化+植物液喷淋</w:t>
      </w:r>
      <w:r>
        <w:rPr>
          <w:rFonts w:hint="eastAsia"/>
          <w:bCs/>
          <w:color w:val="auto"/>
        </w:rPr>
        <w:t>”装置处理后由15m高排气筒排放。</w:t>
      </w:r>
    </w:p>
    <w:p>
      <w:pPr>
        <w:spacing w:line="360" w:lineRule="auto"/>
        <w:ind w:firstLine="480" w:firstLineChars="200"/>
        <w:rPr>
          <w:bCs/>
          <w:color w:val="auto"/>
        </w:rPr>
      </w:pPr>
      <w:r>
        <w:rPr>
          <w:rFonts w:hint="eastAsia"/>
          <w:bCs/>
          <w:color w:val="auto"/>
        </w:rPr>
        <w:t>无组织排放部分主要为卸料间以及设备间负压收集未能完全收集所逸散的少部分臭气，本次评价按照5%的臭气溢散率进行计算无组织排放，计算结果如下表：</w:t>
      </w:r>
    </w:p>
    <w:p>
      <w:pPr>
        <w:spacing w:line="360" w:lineRule="auto"/>
        <w:ind w:firstLine="482" w:firstLineChars="200"/>
        <w:jc w:val="center"/>
        <w:rPr>
          <w:b/>
          <w:bCs/>
          <w:color w:val="auto"/>
        </w:rPr>
      </w:pPr>
      <w:r>
        <w:rPr>
          <w:rFonts w:hint="eastAsia"/>
          <w:b/>
          <w:bCs/>
          <w:color w:val="auto"/>
        </w:rPr>
        <w:t>表3.</w:t>
      </w:r>
      <w:r>
        <w:rPr>
          <w:rFonts w:hint="eastAsia"/>
          <w:b/>
          <w:bCs/>
          <w:color w:val="auto"/>
          <w:lang w:val="en-US" w:eastAsia="zh-CN"/>
        </w:rPr>
        <w:t>3</w:t>
      </w:r>
      <w:r>
        <w:rPr>
          <w:rFonts w:hint="eastAsia"/>
          <w:b/>
          <w:bCs/>
          <w:color w:val="auto"/>
        </w:rPr>
        <w:t>-6 本项目餐厨垃圾恶臭污染物无组织排放状况</w:t>
      </w:r>
    </w:p>
    <w:tbl>
      <w:tblPr>
        <w:tblStyle w:val="54"/>
        <w:tblW w:w="937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17"/>
        <w:gridCol w:w="1553"/>
        <w:gridCol w:w="1598"/>
        <w:gridCol w:w="1554"/>
        <w:gridCol w:w="1599"/>
        <w:gridCol w:w="15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40" w:hRule="atLeast"/>
        </w:trPr>
        <w:tc>
          <w:tcPr>
            <w:tcW w:w="1517" w:type="dxa"/>
            <w:vAlign w:val="center"/>
          </w:tcPr>
          <w:p>
            <w:pPr>
              <w:spacing w:line="360" w:lineRule="auto"/>
              <w:jc w:val="center"/>
              <w:rPr>
                <w:b/>
                <w:bCs/>
                <w:color w:val="auto"/>
                <w:sz w:val="21"/>
                <w:szCs w:val="21"/>
              </w:rPr>
            </w:pPr>
            <w:r>
              <w:rPr>
                <w:b/>
                <w:bCs/>
                <w:color w:val="auto"/>
                <w:sz w:val="21"/>
                <w:szCs w:val="21"/>
              </w:rPr>
              <w:t>污染源位置</w:t>
            </w:r>
          </w:p>
        </w:tc>
        <w:tc>
          <w:tcPr>
            <w:tcW w:w="1553" w:type="dxa"/>
            <w:vAlign w:val="center"/>
          </w:tcPr>
          <w:p>
            <w:pPr>
              <w:spacing w:line="360" w:lineRule="auto"/>
              <w:jc w:val="center"/>
              <w:rPr>
                <w:b/>
                <w:bCs/>
                <w:color w:val="auto"/>
                <w:sz w:val="21"/>
                <w:szCs w:val="21"/>
              </w:rPr>
            </w:pPr>
            <w:r>
              <w:rPr>
                <w:b/>
                <w:bCs/>
                <w:color w:val="auto"/>
                <w:sz w:val="21"/>
                <w:szCs w:val="21"/>
              </w:rPr>
              <w:t>污染物名称</w:t>
            </w:r>
          </w:p>
        </w:tc>
        <w:tc>
          <w:tcPr>
            <w:tcW w:w="1598" w:type="dxa"/>
            <w:vAlign w:val="center"/>
          </w:tcPr>
          <w:p>
            <w:pPr>
              <w:spacing w:line="360" w:lineRule="auto"/>
              <w:jc w:val="center"/>
              <w:rPr>
                <w:b/>
                <w:bCs/>
                <w:color w:val="auto"/>
                <w:sz w:val="21"/>
                <w:szCs w:val="21"/>
              </w:rPr>
            </w:pPr>
            <w:r>
              <w:rPr>
                <w:b/>
                <w:bCs/>
                <w:color w:val="auto"/>
                <w:sz w:val="21"/>
                <w:szCs w:val="21"/>
              </w:rPr>
              <w:t>产生速率</w:t>
            </w:r>
          </w:p>
          <w:p>
            <w:pPr>
              <w:spacing w:line="360" w:lineRule="auto"/>
              <w:jc w:val="center"/>
              <w:rPr>
                <w:b/>
                <w:bCs/>
                <w:color w:val="auto"/>
                <w:sz w:val="21"/>
                <w:szCs w:val="21"/>
              </w:rPr>
            </w:pPr>
            <w:r>
              <w:rPr>
                <w:rFonts w:eastAsiaTheme="minorEastAsia"/>
                <w:b/>
                <w:color w:val="auto"/>
                <w:sz w:val="21"/>
                <w:szCs w:val="21"/>
              </w:rPr>
              <w:t>(kg/h)</w:t>
            </w:r>
          </w:p>
        </w:tc>
        <w:tc>
          <w:tcPr>
            <w:tcW w:w="1554" w:type="dxa"/>
            <w:vAlign w:val="center"/>
          </w:tcPr>
          <w:p>
            <w:pPr>
              <w:spacing w:line="360" w:lineRule="auto"/>
              <w:jc w:val="center"/>
              <w:rPr>
                <w:b/>
                <w:bCs/>
                <w:color w:val="auto"/>
                <w:sz w:val="21"/>
                <w:szCs w:val="21"/>
              </w:rPr>
            </w:pPr>
            <w:r>
              <w:rPr>
                <w:b/>
                <w:bCs/>
                <w:color w:val="auto"/>
                <w:sz w:val="21"/>
                <w:szCs w:val="21"/>
              </w:rPr>
              <w:t>产生量</w:t>
            </w:r>
          </w:p>
          <w:p>
            <w:pPr>
              <w:spacing w:line="360" w:lineRule="auto"/>
              <w:jc w:val="center"/>
              <w:rPr>
                <w:b/>
                <w:bCs/>
                <w:color w:val="auto"/>
                <w:sz w:val="21"/>
                <w:szCs w:val="21"/>
              </w:rPr>
            </w:pPr>
            <w:r>
              <w:rPr>
                <w:rFonts w:eastAsiaTheme="minorEastAsia"/>
                <w:b/>
                <w:color w:val="auto"/>
                <w:sz w:val="21"/>
                <w:szCs w:val="21"/>
              </w:rPr>
              <w:t>(t/a)</w:t>
            </w:r>
          </w:p>
        </w:tc>
        <w:tc>
          <w:tcPr>
            <w:tcW w:w="1599" w:type="dxa"/>
            <w:vAlign w:val="center"/>
          </w:tcPr>
          <w:p>
            <w:pPr>
              <w:spacing w:line="360" w:lineRule="auto"/>
              <w:jc w:val="center"/>
              <w:rPr>
                <w:b/>
                <w:bCs/>
                <w:color w:val="auto"/>
                <w:sz w:val="21"/>
                <w:szCs w:val="21"/>
              </w:rPr>
            </w:pPr>
            <w:r>
              <w:rPr>
                <w:b/>
                <w:bCs/>
                <w:color w:val="auto"/>
                <w:sz w:val="21"/>
                <w:szCs w:val="21"/>
              </w:rPr>
              <w:t>排放速率</w:t>
            </w:r>
          </w:p>
          <w:p>
            <w:pPr>
              <w:spacing w:line="360" w:lineRule="auto"/>
              <w:jc w:val="center"/>
              <w:rPr>
                <w:b/>
                <w:bCs/>
                <w:color w:val="auto"/>
                <w:sz w:val="21"/>
                <w:szCs w:val="21"/>
              </w:rPr>
            </w:pPr>
            <w:r>
              <w:rPr>
                <w:rFonts w:eastAsiaTheme="minorEastAsia"/>
                <w:b/>
                <w:color w:val="auto"/>
                <w:sz w:val="21"/>
                <w:szCs w:val="21"/>
              </w:rPr>
              <w:t>(kg/h)</w:t>
            </w:r>
          </w:p>
        </w:tc>
        <w:tc>
          <w:tcPr>
            <w:tcW w:w="1554" w:type="dxa"/>
            <w:vAlign w:val="center"/>
          </w:tcPr>
          <w:p>
            <w:pPr>
              <w:spacing w:line="360" w:lineRule="auto"/>
              <w:jc w:val="center"/>
              <w:rPr>
                <w:b/>
                <w:bCs/>
                <w:color w:val="auto"/>
                <w:sz w:val="21"/>
                <w:szCs w:val="21"/>
              </w:rPr>
            </w:pPr>
            <w:r>
              <w:rPr>
                <w:b/>
                <w:bCs/>
                <w:color w:val="auto"/>
                <w:sz w:val="21"/>
                <w:szCs w:val="21"/>
              </w:rPr>
              <w:t>排放量</w:t>
            </w:r>
          </w:p>
          <w:p>
            <w:pPr>
              <w:spacing w:line="360" w:lineRule="auto"/>
              <w:jc w:val="center"/>
              <w:rPr>
                <w:b/>
                <w:bCs/>
                <w:color w:val="auto"/>
                <w:sz w:val="21"/>
                <w:szCs w:val="21"/>
              </w:rPr>
            </w:pPr>
            <w:r>
              <w:rPr>
                <w:rFonts w:eastAsiaTheme="minorEastAsia"/>
                <w:b/>
                <w:color w:val="auto"/>
                <w:sz w:val="21"/>
                <w:szCs w:val="21"/>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93" w:hRule="atLeast"/>
        </w:trPr>
        <w:tc>
          <w:tcPr>
            <w:tcW w:w="1517" w:type="dxa"/>
            <w:vMerge w:val="restart"/>
            <w:vAlign w:val="center"/>
          </w:tcPr>
          <w:p>
            <w:pPr>
              <w:spacing w:line="360" w:lineRule="auto"/>
              <w:jc w:val="center"/>
              <w:rPr>
                <w:bCs/>
                <w:color w:val="auto"/>
                <w:sz w:val="21"/>
                <w:szCs w:val="21"/>
              </w:rPr>
            </w:pPr>
            <w:r>
              <w:rPr>
                <w:bCs/>
                <w:color w:val="auto"/>
                <w:sz w:val="21"/>
                <w:szCs w:val="21"/>
              </w:rPr>
              <w:t>卸料间和设备间</w:t>
            </w:r>
          </w:p>
        </w:tc>
        <w:tc>
          <w:tcPr>
            <w:tcW w:w="1553" w:type="dxa"/>
            <w:vAlign w:val="center"/>
          </w:tcPr>
          <w:p>
            <w:pPr>
              <w:spacing w:line="360" w:lineRule="auto"/>
              <w:jc w:val="center"/>
              <w:rPr>
                <w:rFonts w:hint="default" w:ascii="Times New Roman" w:hAnsi="Times New Roman" w:cs="Times New Roman"/>
                <w:bCs/>
                <w:color w:val="auto"/>
                <w:sz w:val="21"/>
                <w:szCs w:val="21"/>
              </w:rPr>
            </w:pPr>
            <w:r>
              <w:rPr>
                <w:rFonts w:hint="default" w:ascii="Times New Roman" w:hAnsi="Times New Roman" w:cs="Times New Roman" w:eastAsiaTheme="minorEastAsia"/>
                <w:color w:val="auto"/>
                <w:sz w:val="21"/>
                <w:szCs w:val="21"/>
              </w:rPr>
              <w:t>H</w:t>
            </w:r>
            <w:r>
              <w:rPr>
                <w:rFonts w:hint="default" w:ascii="Times New Roman" w:hAnsi="Times New Roman" w:cs="Times New Roman" w:eastAsiaTheme="minorEastAsia"/>
                <w:color w:val="auto"/>
                <w:sz w:val="21"/>
                <w:szCs w:val="21"/>
                <w:vertAlign w:val="subscript"/>
              </w:rPr>
              <w:t>2</w:t>
            </w:r>
            <w:r>
              <w:rPr>
                <w:rFonts w:hint="default" w:ascii="Times New Roman" w:hAnsi="Times New Roman" w:cs="Times New Roman" w:eastAsiaTheme="minorEastAsia"/>
                <w:color w:val="auto"/>
                <w:sz w:val="21"/>
                <w:szCs w:val="21"/>
              </w:rPr>
              <w:t>S</w:t>
            </w:r>
          </w:p>
        </w:tc>
        <w:tc>
          <w:tcPr>
            <w:tcW w:w="1598" w:type="dxa"/>
            <w:textDirection w:val="lrTb"/>
            <w:vAlign w:val="center"/>
          </w:tcPr>
          <w:p>
            <w:pPr>
              <w:keepNext w:val="0"/>
              <w:keepLines w:val="0"/>
              <w:widowControl/>
              <w:suppressLineNumbers w:val="0"/>
              <w:jc w:val="center"/>
              <w:textAlignment w:val="bottom"/>
              <w:rPr>
                <w:rFonts w:hint="default" w:ascii="Times New Roman" w:hAnsi="Times New Roman" w:cs="Times New Roman"/>
                <w:bCs/>
                <w:color w:val="auto"/>
                <w:sz w:val="21"/>
                <w:szCs w:val="21"/>
              </w:rPr>
            </w:pPr>
            <w:r>
              <w:rPr>
                <w:rFonts w:hint="default" w:ascii="Times New Roman" w:hAnsi="Times New Roman" w:eastAsia="宋体" w:cs="Times New Roman"/>
                <w:i w:val="0"/>
                <w:color w:val="auto"/>
                <w:kern w:val="0"/>
                <w:sz w:val="21"/>
                <w:szCs w:val="21"/>
                <w:u w:val="none"/>
                <w:lang w:val="en-US" w:eastAsia="zh-CN" w:bidi="ar"/>
              </w:rPr>
              <w:t>0.0008</w:t>
            </w:r>
          </w:p>
        </w:tc>
        <w:tc>
          <w:tcPr>
            <w:tcW w:w="1554" w:type="dxa"/>
            <w:textDirection w:val="lrTb"/>
            <w:vAlign w:val="center"/>
          </w:tcPr>
          <w:p>
            <w:pPr>
              <w:keepNext w:val="0"/>
              <w:keepLines w:val="0"/>
              <w:widowControl/>
              <w:suppressLineNumbers w:val="0"/>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0.0021</w:t>
            </w:r>
          </w:p>
        </w:tc>
        <w:tc>
          <w:tcPr>
            <w:tcW w:w="1599" w:type="dxa"/>
            <w:textDirection w:val="lrTb"/>
            <w:vAlign w:val="center"/>
          </w:tcPr>
          <w:p>
            <w:pPr>
              <w:keepNext w:val="0"/>
              <w:keepLines w:val="0"/>
              <w:widowControl/>
              <w:suppressLineNumbers w:val="0"/>
              <w:jc w:val="center"/>
              <w:textAlignment w:val="bottom"/>
              <w:rPr>
                <w:rFonts w:hint="default" w:ascii="Times New Roman" w:hAnsi="Times New Roman" w:cs="Times New Roman"/>
                <w:bCs/>
                <w:color w:val="auto"/>
                <w:sz w:val="21"/>
                <w:szCs w:val="21"/>
              </w:rPr>
            </w:pPr>
            <w:r>
              <w:rPr>
                <w:rFonts w:hint="default" w:ascii="Times New Roman" w:hAnsi="Times New Roman" w:eastAsia="宋体" w:cs="Times New Roman"/>
                <w:i w:val="0"/>
                <w:color w:val="auto"/>
                <w:kern w:val="0"/>
                <w:sz w:val="21"/>
                <w:szCs w:val="21"/>
                <w:u w:val="none"/>
                <w:lang w:val="en-US" w:eastAsia="zh-CN" w:bidi="ar"/>
              </w:rPr>
              <w:t>0.0008</w:t>
            </w:r>
          </w:p>
        </w:tc>
        <w:tc>
          <w:tcPr>
            <w:tcW w:w="1554" w:type="dxa"/>
            <w:textDirection w:val="lrTb"/>
            <w:vAlign w:val="center"/>
          </w:tcPr>
          <w:p>
            <w:pPr>
              <w:keepNext w:val="0"/>
              <w:keepLines w:val="0"/>
              <w:widowControl/>
              <w:suppressLineNumbers w:val="0"/>
              <w:jc w:val="center"/>
              <w:textAlignment w:val="bottom"/>
              <w:rPr>
                <w:rFonts w:hint="default" w:ascii="Times New Roman" w:hAnsi="Times New Roman" w:cs="Times New Roman"/>
                <w:bCs/>
                <w:color w:val="auto"/>
                <w:sz w:val="21"/>
                <w:szCs w:val="21"/>
              </w:rPr>
            </w:pPr>
            <w:r>
              <w:rPr>
                <w:rFonts w:hint="default" w:ascii="Times New Roman" w:hAnsi="Times New Roman" w:eastAsia="宋体" w:cs="Times New Roman"/>
                <w:i w:val="0"/>
                <w:color w:val="auto"/>
                <w:kern w:val="0"/>
                <w:sz w:val="21"/>
                <w:szCs w:val="21"/>
                <w:u w:val="none"/>
                <w:lang w:val="en-US" w:eastAsia="zh-CN" w:bidi="ar"/>
              </w:rPr>
              <w:t>0.0021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79" w:hRule="atLeast"/>
        </w:trPr>
        <w:tc>
          <w:tcPr>
            <w:tcW w:w="1517" w:type="dxa"/>
            <w:vMerge w:val="continue"/>
            <w:vAlign w:val="center"/>
          </w:tcPr>
          <w:p>
            <w:pPr>
              <w:spacing w:line="360" w:lineRule="auto"/>
              <w:jc w:val="center"/>
              <w:rPr>
                <w:bCs/>
                <w:color w:val="auto"/>
                <w:sz w:val="21"/>
                <w:szCs w:val="21"/>
              </w:rPr>
            </w:pPr>
          </w:p>
        </w:tc>
        <w:tc>
          <w:tcPr>
            <w:tcW w:w="1553" w:type="dxa"/>
            <w:vAlign w:val="center"/>
          </w:tcPr>
          <w:p>
            <w:pPr>
              <w:spacing w:line="360" w:lineRule="auto"/>
              <w:jc w:val="center"/>
              <w:rPr>
                <w:rFonts w:hint="default" w:ascii="Times New Roman" w:hAnsi="Times New Roman" w:cs="Times New Roman"/>
                <w:bCs/>
                <w:color w:val="auto"/>
                <w:sz w:val="21"/>
                <w:szCs w:val="21"/>
              </w:rPr>
            </w:pPr>
            <w:r>
              <w:rPr>
                <w:rFonts w:hint="default" w:ascii="Times New Roman" w:hAnsi="Times New Roman" w:cs="Times New Roman" w:eastAsiaTheme="minorEastAsia"/>
                <w:color w:val="auto"/>
                <w:sz w:val="21"/>
                <w:szCs w:val="21"/>
              </w:rPr>
              <w:t>NH</w:t>
            </w:r>
            <w:r>
              <w:rPr>
                <w:rFonts w:hint="default" w:ascii="Times New Roman" w:hAnsi="Times New Roman" w:cs="Times New Roman" w:eastAsiaTheme="minorEastAsia"/>
                <w:color w:val="auto"/>
                <w:sz w:val="21"/>
                <w:szCs w:val="21"/>
                <w:vertAlign w:val="subscript"/>
              </w:rPr>
              <w:t>3</w:t>
            </w:r>
          </w:p>
        </w:tc>
        <w:tc>
          <w:tcPr>
            <w:tcW w:w="1598" w:type="dxa"/>
            <w:textDirection w:val="lrTb"/>
            <w:vAlign w:val="center"/>
          </w:tcPr>
          <w:p>
            <w:pPr>
              <w:keepNext w:val="0"/>
              <w:keepLines w:val="0"/>
              <w:widowControl/>
              <w:suppressLineNumbers w:val="0"/>
              <w:jc w:val="center"/>
              <w:textAlignment w:val="bottom"/>
              <w:rPr>
                <w:rFonts w:hint="default" w:ascii="Times New Roman" w:hAnsi="Times New Roman" w:cs="Times New Roman"/>
                <w:bCs/>
                <w:color w:val="auto"/>
                <w:sz w:val="21"/>
                <w:szCs w:val="21"/>
              </w:rPr>
            </w:pPr>
            <w:r>
              <w:rPr>
                <w:rFonts w:hint="default" w:ascii="Times New Roman" w:hAnsi="Times New Roman" w:eastAsia="宋体" w:cs="Times New Roman"/>
                <w:i w:val="0"/>
                <w:color w:val="auto"/>
                <w:kern w:val="0"/>
                <w:sz w:val="21"/>
                <w:szCs w:val="21"/>
                <w:u w:val="none"/>
                <w:lang w:val="en-US" w:eastAsia="zh-CN" w:bidi="ar"/>
              </w:rPr>
              <w:t>0.0020</w:t>
            </w:r>
          </w:p>
        </w:tc>
        <w:tc>
          <w:tcPr>
            <w:tcW w:w="1554" w:type="dxa"/>
            <w:textDirection w:val="lrTb"/>
            <w:vAlign w:val="center"/>
          </w:tcPr>
          <w:p>
            <w:pPr>
              <w:keepNext w:val="0"/>
              <w:keepLines w:val="0"/>
              <w:widowControl/>
              <w:suppressLineNumbers w:val="0"/>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0.0052</w:t>
            </w:r>
          </w:p>
        </w:tc>
        <w:tc>
          <w:tcPr>
            <w:tcW w:w="1599" w:type="dxa"/>
            <w:textDirection w:val="lrTb"/>
            <w:vAlign w:val="center"/>
          </w:tcPr>
          <w:p>
            <w:pPr>
              <w:keepNext w:val="0"/>
              <w:keepLines w:val="0"/>
              <w:widowControl/>
              <w:suppressLineNumbers w:val="0"/>
              <w:jc w:val="center"/>
              <w:textAlignment w:val="bottom"/>
              <w:rPr>
                <w:rFonts w:hint="default" w:ascii="Times New Roman" w:hAnsi="Times New Roman" w:cs="Times New Roman"/>
                <w:bCs/>
                <w:color w:val="auto"/>
                <w:sz w:val="21"/>
                <w:szCs w:val="21"/>
              </w:rPr>
            </w:pPr>
            <w:r>
              <w:rPr>
                <w:rFonts w:hint="default" w:ascii="Times New Roman" w:hAnsi="Times New Roman" w:eastAsia="宋体" w:cs="Times New Roman"/>
                <w:i w:val="0"/>
                <w:color w:val="auto"/>
                <w:kern w:val="0"/>
                <w:sz w:val="21"/>
                <w:szCs w:val="21"/>
                <w:u w:val="none"/>
                <w:lang w:val="en-US" w:eastAsia="zh-CN" w:bidi="ar"/>
              </w:rPr>
              <w:t>0.0020</w:t>
            </w:r>
          </w:p>
        </w:tc>
        <w:tc>
          <w:tcPr>
            <w:tcW w:w="1554" w:type="dxa"/>
            <w:textDirection w:val="lrTb"/>
            <w:vAlign w:val="center"/>
          </w:tcPr>
          <w:p>
            <w:pPr>
              <w:keepNext w:val="0"/>
              <w:keepLines w:val="0"/>
              <w:widowControl/>
              <w:suppressLineNumbers w:val="0"/>
              <w:jc w:val="center"/>
              <w:textAlignment w:val="bottom"/>
              <w:rPr>
                <w:rFonts w:hint="default" w:ascii="Times New Roman" w:hAnsi="Times New Roman" w:cs="Times New Roman"/>
                <w:bCs/>
                <w:color w:val="auto"/>
                <w:sz w:val="21"/>
                <w:szCs w:val="21"/>
              </w:rPr>
            </w:pPr>
            <w:r>
              <w:rPr>
                <w:rFonts w:hint="default" w:ascii="Times New Roman" w:hAnsi="Times New Roman" w:eastAsia="宋体" w:cs="Times New Roman"/>
                <w:i w:val="0"/>
                <w:color w:val="auto"/>
                <w:kern w:val="0"/>
                <w:sz w:val="21"/>
                <w:szCs w:val="21"/>
                <w:u w:val="none"/>
                <w:lang w:val="en-US" w:eastAsia="zh-CN" w:bidi="ar"/>
              </w:rPr>
              <w:t>0.0052</w:t>
            </w:r>
          </w:p>
        </w:tc>
      </w:tr>
    </w:tbl>
    <w:p>
      <w:pPr>
        <w:spacing w:line="360" w:lineRule="auto"/>
        <w:ind w:firstLine="480" w:firstLineChars="200"/>
        <w:rPr>
          <w:bCs/>
          <w:color w:val="auto"/>
        </w:rPr>
      </w:pPr>
      <w:r>
        <w:rPr>
          <w:rFonts w:hint="eastAsia"/>
          <w:bCs/>
          <w:color w:val="auto"/>
        </w:rPr>
        <w:t>备注：由于卸料间与设备间同处一个区域，无组织排放量核算时统一考虑</w:t>
      </w:r>
    </w:p>
    <w:p>
      <w:pPr>
        <w:jc w:val="center"/>
        <w:rPr>
          <w:rFonts w:eastAsiaTheme="minorEastAsia"/>
          <w:b/>
          <w:color w:val="auto"/>
        </w:rPr>
      </w:pPr>
    </w:p>
    <w:p>
      <w:pPr>
        <w:pStyle w:val="99"/>
        <w:ind w:firstLine="482"/>
        <w:rPr>
          <w:b/>
          <w:color w:val="auto"/>
          <w:lang w:eastAsia="zh-CN"/>
        </w:rPr>
      </w:pPr>
      <w:r>
        <w:rPr>
          <w:b/>
          <w:color w:val="auto"/>
        </w:rPr>
        <w:fldChar w:fldCharType="begin"/>
      </w:r>
      <w:r>
        <w:rPr>
          <w:b/>
          <w:color w:val="auto"/>
          <w:lang w:eastAsia="zh-CN"/>
        </w:rPr>
        <w:instrText xml:space="preserve"> </w:instrText>
      </w:r>
      <w:r>
        <w:rPr>
          <w:rFonts w:hint="eastAsia"/>
          <w:b/>
          <w:color w:val="auto"/>
          <w:lang w:eastAsia="zh-CN"/>
        </w:rPr>
        <w:instrText xml:space="preserve">= 2 \* GB3</w:instrText>
      </w:r>
      <w:r>
        <w:rPr>
          <w:b/>
          <w:color w:val="auto"/>
          <w:lang w:eastAsia="zh-CN"/>
        </w:rPr>
        <w:instrText xml:space="preserve"> </w:instrText>
      </w:r>
      <w:r>
        <w:rPr>
          <w:b/>
          <w:color w:val="auto"/>
        </w:rPr>
        <w:fldChar w:fldCharType="separate"/>
      </w:r>
      <w:r>
        <w:rPr>
          <w:rFonts w:hint="eastAsia"/>
          <w:b/>
          <w:color w:val="auto"/>
          <w:lang w:eastAsia="zh-CN"/>
        </w:rPr>
        <w:t>②</w:t>
      </w:r>
      <w:r>
        <w:rPr>
          <w:b/>
          <w:color w:val="auto"/>
        </w:rPr>
        <w:fldChar w:fldCharType="end"/>
      </w:r>
      <w:r>
        <w:rPr>
          <w:b/>
          <w:color w:val="auto"/>
        </w:rPr>
        <w:t>垃圾运输</w:t>
      </w:r>
      <w:r>
        <w:rPr>
          <w:rStyle w:val="288"/>
          <w:b/>
          <w:color w:val="auto"/>
        </w:rPr>
        <w:t>道</w:t>
      </w:r>
      <w:r>
        <w:rPr>
          <w:b/>
          <w:color w:val="auto"/>
        </w:rPr>
        <w:t>路臭气源</w:t>
      </w:r>
    </w:p>
    <w:p>
      <w:pPr>
        <w:pStyle w:val="99"/>
        <w:ind w:firstLine="480"/>
        <w:jc w:val="both"/>
        <w:rPr>
          <w:color w:val="auto"/>
        </w:rPr>
      </w:pPr>
      <w:r>
        <w:rPr>
          <w:color w:val="auto"/>
        </w:rPr>
        <w:t>本工程服务区域内</w:t>
      </w:r>
      <w:r>
        <w:rPr>
          <w:rFonts w:hint="eastAsia"/>
          <w:color w:val="auto"/>
          <w:lang w:eastAsia="zh-CN"/>
        </w:rPr>
        <w:t>餐厨</w:t>
      </w:r>
      <w:r>
        <w:rPr>
          <w:color w:val="auto"/>
        </w:rPr>
        <w:t>垃圾经过压缩站压缩后，采用专用密闭式的垃圾运输车辆运输，同时对垃圾运输车辆进行定期清洗，可有效防止</w:t>
      </w:r>
      <w:r>
        <w:rPr>
          <w:rFonts w:hint="eastAsia"/>
          <w:color w:val="auto"/>
          <w:lang w:eastAsia="zh-CN"/>
        </w:rPr>
        <w:t>餐厨</w:t>
      </w:r>
      <w:r>
        <w:rPr>
          <w:color w:val="auto"/>
        </w:rPr>
        <w:t>垃圾渗滤液的跑冒滴漏和臭气扩散逸出，尽可能减少对空气和道路的二次污染。因此，厂区运输道路臭气对周围环境影响较小。</w:t>
      </w:r>
    </w:p>
    <w:p>
      <w:pPr>
        <w:rPr>
          <w:color w:val="auto"/>
        </w:rPr>
      </w:pPr>
    </w:p>
    <w:p>
      <w:pPr>
        <w:spacing w:line="360" w:lineRule="auto"/>
        <w:rPr>
          <w:b/>
          <w:color w:val="auto"/>
        </w:rPr>
      </w:pPr>
      <w:r>
        <w:rPr>
          <w:b/>
          <w:color w:val="auto"/>
        </w:rPr>
        <w:t>3.</w:t>
      </w:r>
      <w:r>
        <w:rPr>
          <w:rFonts w:hint="eastAsia"/>
          <w:b/>
          <w:color w:val="auto"/>
          <w:lang w:val="en-US" w:eastAsia="zh-CN"/>
        </w:rPr>
        <w:t>3</w:t>
      </w:r>
      <w:r>
        <w:rPr>
          <w:b/>
          <w:color w:val="auto"/>
        </w:rPr>
        <w:t>.</w:t>
      </w:r>
      <w:r>
        <w:rPr>
          <w:rFonts w:hint="eastAsia"/>
          <w:b/>
          <w:color w:val="auto"/>
        </w:rPr>
        <w:t>1</w:t>
      </w:r>
      <w:r>
        <w:rPr>
          <w:b/>
          <w:color w:val="auto"/>
        </w:rPr>
        <w:t>.2 废水污染源分析及污染负荷预测</w:t>
      </w:r>
    </w:p>
    <w:p>
      <w:pPr>
        <w:autoSpaceDE w:val="0"/>
        <w:autoSpaceDN w:val="0"/>
        <w:adjustRightInd w:val="0"/>
        <w:spacing w:line="360" w:lineRule="auto"/>
        <w:ind w:firstLine="480" w:firstLineChars="200"/>
        <w:jc w:val="both"/>
        <w:rPr>
          <w:color w:val="auto"/>
          <w:kern w:val="0"/>
        </w:rPr>
      </w:pPr>
      <w:r>
        <w:rPr>
          <w:color w:val="auto"/>
          <w:kern w:val="0"/>
        </w:rPr>
        <w:t>本项目运营过程中产生的</w:t>
      </w:r>
      <w:r>
        <w:rPr>
          <w:rFonts w:hint="eastAsia"/>
          <w:color w:val="auto"/>
          <w:kern w:val="0"/>
        </w:rPr>
        <w:t>废水</w:t>
      </w:r>
      <w:r>
        <w:rPr>
          <w:color w:val="auto"/>
          <w:kern w:val="0"/>
        </w:rPr>
        <w:t>主要包括</w:t>
      </w:r>
      <w:r>
        <w:rPr>
          <w:rFonts w:hint="eastAsia"/>
          <w:color w:val="auto"/>
          <w:kern w:val="0"/>
        </w:rPr>
        <w:t>餐厨废水</w:t>
      </w:r>
      <w:r>
        <w:rPr>
          <w:color w:val="auto"/>
          <w:spacing w:val="2"/>
          <w:kern w:val="0"/>
        </w:rPr>
        <w:t>、</w:t>
      </w:r>
      <w:r>
        <w:rPr>
          <w:rFonts w:hint="eastAsia"/>
          <w:color w:val="auto"/>
          <w:spacing w:val="2"/>
          <w:kern w:val="0"/>
        </w:rPr>
        <w:t>除臭系统废水、车间车辆和地面冲洗废水</w:t>
      </w:r>
      <w:r>
        <w:rPr>
          <w:color w:val="auto"/>
          <w:kern w:val="0"/>
        </w:rPr>
        <w:t>等。</w:t>
      </w:r>
    </w:p>
    <w:p>
      <w:pPr>
        <w:pStyle w:val="222"/>
        <w:numPr>
          <w:ilvl w:val="0"/>
          <w:numId w:val="0"/>
        </w:numPr>
        <w:tabs>
          <w:tab w:val="clear" w:pos="680"/>
        </w:tabs>
        <w:autoSpaceDE w:val="0"/>
        <w:autoSpaceDN w:val="0"/>
        <w:adjustRightInd w:val="0"/>
        <w:spacing w:line="360" w:lineRule="auto"/>
        <w:ind w:left="480" w:leftChars="0"/>
        <w:jc w:val="both"/>
        <w:rPr>
          <w:color w:val="auto"/>
        </w:rPr>
      </w:pPr>
      <w:r>
        <w:rPr>
          <w:rFonts w:hint="eastAsia"/>
          <w:color w:val="auto"/>
          <w:lang w:val="en-US" w:eastAsia="zh-CN"/>
        </w:rPr>
        <w:t>1、</w:t>
      </w:r>
      <w:r>
        <w:rPr>
          <w:rFonts w:hint="eastAsia"/>
          <w:color w:val="auto"/>
          <w:lang w:eastAsia="zh-CN"/>
        </w:rPr>
        <w:t>餐厨废水</w:t>
      </w:r>
    </w:p>
    <w:p>
      <w:pPr>
        <w:autoSpaceDE w:val="0"/>
        <w:autoSpaceDN w:val="0"/>
        <w:adjustRightInd w:val="0"/>
        <w:spacing w:line="360" w:lineRule="auto"/>
        <w:ind w:firstLine="360" w:firstLineChars="150"/>
        <w:jc w:val="both"/>
        <w:rPr>
          <w:color w:val="auto"/>
          <w:kern w:val="0"/>
        </w:rPr>
      </w:pPr>
      <w:r>
        <w:rPr>
          <w:rFonts w:hint="eastAsia"/>
          <w:color w:val="auto"/>
        </w:rPr>
        <w:t>餐厨垃圾进场的含水率为80%，经脱水处理后含水率为65%，本项目餐厨垃圾处理规模为25t/d，即根据物料平衡计算，在处理过程中产生的餐厨废水为10.7t/d（25-25*（1-0.8）/（1-0.65）），依托园区内在建的渗漏液处理站处理。油脂废水</w:t>
      </w:r>
      <w:r>
        <w:rPr>
          <w:color w:val="auto"/>
        </w:rPr>
        <w:t>水质为COD：</w:t>
      </w:r>
      <w:r>
        <w:rPr>
          <w:rFonts w:hint="eastAsia"/>
          <w:color w:val="auto"/>
          <w:lang w:val="en-US" w:eastAsia="zh-CN"/>
        </w:rPr>
        <w:t>6</w:t>
      </w:r>
      <w:r>
        <w:rPr>
          <w:rFonts w:hint="eastAsia"/>
          <w:color w:val="auto"/>
        </w:rPr>
        <w:t>0</w:t>
      </w:r>
      <w:r>
        <w:rPr>
          <w:color w:val="auto"/>
        </w:rPr>
        <w:t>00mg/L/、BOD</w:t>
      </w:r>
      <w:r>
        <w:rPr>
          <w:color w:val="auto"/>
          <w:vertAlign w:val="subscript"/>
        </w:rPr>
        <w:t>5</w:t>
      </w:r>
      <w:r>
        <w:rPr>
          <w:color w:val="auto"/>
        </w:rPr>
        <w:t>：</w:t>
      </w:r>
      <w:r>
        <w:rPr>
          <w:rFonts w:hint="eastAsia"/>
          <w:color w:val="auto"/>
          <w:lang w:val="en-US" w:eastAsia="zh-CN"/>
        </w:rPr>
        <w:t>1</w:t>
      </w:r>
      <w:r>
        <w:rPr>
          <w:rFonts w:hint="eastAsia"/>
          <w:color w:val="auto"/>
        </w:rPr>
        <w:t>5</w:t>
      </w:r>
      <w:r>
        <w:rPr>
          <w:color w:val="auto"/>
        </w:rPr>
        <w:t>00mg/L、氨氮：</w:t>
      </w:r>
      <w:r>
        <w:rPr>
          <w:rFonts w:hint="eastAsia"/>
          <w:color w:val="auto"/>
          <w:lang w:val="en-US" w:eastAsia="zh-CN"/>
        </w:rPr>
        <w:t>10</w:t>
      </w:r>
      <w:r>
        <w:rPr>
          <w:rFonts w:hint="eastAsia"/>
          <w:color w:val="auto"/>
        </w:rPr>
        <w:t>0</w:t>
      </w:r>
      <w:r>
        <w:rPr>
          <w:color w:val="auto"/>
        </w:rPr>
        <w:t>0mg/L、SS：</w:t>
      </w:r>
      <w:r>
        <w:rPr>
          <w:rFonts w:hint="eastAsia"/>
          <w:color w:val="auto"/>
          <w:lang w:val="en-US" w:eastAsia="zh-CN"/>
        </w:rPr>
        <w:t>150</w:t>
      </w:r>
      <w:r>
        <w:rPr>
          <w:color w:val="auto"/>
        </w:rPr>
        <w:t>mg/L</w:t>
      </w:r>
      <w:r>
        <w:rPr>
          <w:rFonts w:hint="eastAsia"/>
          <w:color w:val="auto"/>
        </w:rPr>
        <w:t>，动植物油</w:t>
      </w:r>
      <w:r>
        <w:rPr>
          <w:rFonts w:hint="eastAsia"/>
          <w:color w:val="auto"/>
          <w:lang w:val="en-US" w:eastAsia="zh-CN"/>
        </w:rPr>
        <w:t>100</w:t>
      </w:r>
      <w:r>
        <w:rPr>
          <w:color w:val="auto"/>
        </w:rPr>
        <w:t>mg/L</w:t>
      </w:r>
      <w:r>
        <w:rPr>
          <w:rFonts w:hint="eastAsia"/>
          <w:color w:val="auto"/>
        </w:rPr>
        <w:t>，经渗滤液处理系统处理达到</w:t>
      </w:r>
      <w:r>
        <w:rPr>
          <w:color w:val="auto"/>
        </w:rPr>
        <w:t>《城市污水再生利用-工业用水水质》</w:t>
      </w:r>
      <w:r>
        <w:rPr>
          <w:rFonts w:hint="eastAsia"/>
          <w:color w:val="auto"/>
        </w:rPr>
        <w:t>（</w:t>
      </w:r>
      <w:r>
        <w:rPr>
          <w:color w:val="auto"/>
        </w:rPr>
        <w:t>GB19923-2005</w:t>
      </w:r>
      <w:r>
        <w:rPr>
          <w:rFonts w:hint="eastAsia"/>
          <w:color w:val="auto"/>
        </w:rPr>
        <w:t>）中敞开式循环冷却水标准</w:t>
      </w:r>
      <w:r>
        <w:rPr>
          <w:color w:val="auto"/>
        </w:rPr>
        <w:t>后</w:t>
      </w:r>
      <w:r>
        <w:rPr>
          <w:rFonts w:hint="eastAsia"/>
          <w:color w:val="auto"/>
        </w:rPr>
        <w:t>，</w:t>
      </w:r>
      <w:r>
        <w:rPr>
          <w:color w:val="auto"/>
        </w:rPr>
        <w:t>回用作为汽机循环冷却水补充水及绿化用水、道路洒水。</w:t>
      </w:r>
    </w:p>
    <w:p>
      <w:pPr>
        <w:autoSpaceDE w:val="0"/>
        <w:autoSpaceDN w:val="0"/>
        <w:adjustRightInd w:val="0"/>
        <w:spacing w:line="360" w:lineRule="auto"/>
        <w:ind w:firstLine="480" w:firstLineChars="200"/>
        <w:jc w:val="both"/>
        <w:rPr>
          <w:color w:val="auto"/>
        </w:rPr>
      </w:pPr>
      <w:r>
        <w:rPr>
          <w:rFonts w:hint="eastAsia"/>
          <w:color w:val="auto"/>
        </w:rPr>
        <w:t>2、除臭系统废水</w:t>
      </w:r>
    </w:p>
    <w:p>
      <w:pPr>
        <w:spacing w:line="360" w:lineRule="auto"/>
        <w:ind w:firstLine="480" w:firstLineChars="200"/>
        <w:rPr>
          <w:color w:val="auto"/>
        </w:rPr>
      </w:pPr>
      <w:r>
        <w:rPr>
          <w:rFonts w:hint="eastAsia"/>
          <w:color w:val="auto"/>
        </w:rPr>
        <w:t>餐厨处理过程产生的臭气</w:t>
      </w:r>
      <w:r>
        <w:rPr>
          <w:color w:val="auto"/>
        </w:rPr>
        <w:t>采用</w:t>
      </w:r>
      <w:r>
        <w:rPr>
          <w:rFonts w:hint="eastAsia"/>
          <w:color w:val="auto"/>
        </w:rPr>
        <w:t>“</w:t>
      </w:r>
      <w:r>
        <w:rPr>
          <w:rFonts w:hint="eastAsia"/>
          <w:b/>
          <w:color w:val="auto"/>
        </w:rPr>
        <w:t>化学洗涤塔+光催化氧化+植物液喷淋</w:t>
      </w:r>
      <w:r>
        <w:rPr>
          <w:rFonts w:hint="eastAsia"/>
          <w:color w:val="auto"/>
        </w:rPr>
        <w:t>”</w:t>
      </w:r>
      <w:r>
        <w:rPr>
          <w:color w:val="auto"/>
        </w:rPr>
        <w:t>工艺</w:t>
      </w:r>
      <w:r>
        <w:rPr>
          <w:rFonts w:hint="eastAsia"/>
          <w:color w:val="auto"/>
        </w:rPr>
        <w:t>处理</w:t>
      </w:r>
      <w:r>
        <w:rPr>
          <w:color w:val="auto"/>
        </w:rPr>
        <w:t>。化学洗涤采用强酸（硫酸）、强碱（氢氧化钠）、强氧化剂（次氯酸钠）作为洗涤喷淋溶液与臭气反应，吸收液循环使用，定期排放。</w:t>
      </w:r>
    </w:p>
    <w:p>
      <w:pPr>
        <w:spacing w:line="360" w:lineRule="auto"/>
        <w:ind w:firstLine="480" w:firstLineChars="200"/>
        <w:rPr>
          <w:color w:val="auto"/>
        </w:rPr>
      </w:pPr>
      <w:r>
        <w:rPr>
          <w:color w:val="auto"/>
        </w:rPr>
        <w:t>根据生产经验，除臭洗涤喷淋系统日补充水量约</w:t>
      </w:r>
      <w:r>
        <w:rPr>
          <w:rFonts w:hint="eastAsia"/>
          <w:color w:val="auto"/>
        </w:rPr>
        <w:t>0.5</w:t>
      </w:r>
      <w:r>
        <w:rPr>
          <w:color w:val="auto"/>
        </w:rPr>
        <w:t>t/d，排放水量约</w:t>
      </w:r>
      <w:r>
        <w:rPr>
          <w:rFonts w:hint="eastAsia"/>
          <w:color w:val="auto"/>
        </w:rPr>
        <w:t>0.5</w:t>
      </w:r>
      <w:r>
        <w:rPr>
          <w:color w:val="auto"/>
        </w:rPr>
        <w:t>t/d，废水水质为COD：</w:t>
      </w:r>
      <w:r>
        <w:rPr>
          <w:rFonts w:hint="eastAsia"/>
          <w:color w:val="auto"/>
          <w:lang w:val="en-US" w:eastAsia="zh-CN"/>
        </w:rPr>
        <w:t>6</w:t>
      </w:r>
      <w:r>
        <w:rPr>
          <w:color w:val="auto"/>
        </w:rPr>
        <w:t>00mg/L、BOD</w:t>
      </w:r>
      <w:r>
        <w:rPr>
          <w:color w:val="auto"/>
          <w:vertAlign w:val="subscript"/>
        </w:rPr>
        <w:t>5</w:t>
      </w:r>
      <w:r>
        <w:rPr>
          <w:color w:val="auto"/>
        </w:rPr>
        <w:t>：200mg/L、氨氮：60mg/L、SS：150mg/L。除臭系统废水</w:t>
      </w:r>
      <w:r>
        <w:rPr>
          <w:rFonts w:hint="eastAsia"/>
          <w:color w:val="auto"/>
        </w:rPr>
        <w:t>依托园区内在建的渗漏液处理站处理达到</w:t>
      </w:r>
      <w:r>
        <w:rPr>
          <w:color w:val="auto"/>
        </w:rPr>
        <w:t>《城市污水再生利用-工业用水水质》</w:t>
      </w:r>
      <w:r>
        <w:rPr>
          <w:rFonts w:hint="eastAsia"/>
          <w:color w:val="auto"/>
        </w:rPr>
        <w:t>（</w:t>
      </w:r>
      <w:r>
        <w:rPr>
          <w:color w:val="auto"/>
        </w:rPr>
        <w:t>GB19923-2005</w:t>
      </w:r>
      <w:r>
        <w:rPr>
          <w:rFonts w:hint="eastAsia"/>
          <w:color w:val="auto"/>
        </w:rPr>
        <w:t>）中敞开式循环冷却水标准</w:t>
      </w:r>
      <w:r>
        <w:rPr>
          <w:color w:val="auto"/>
        </w:rPr>
        <w:t>后</w:t>
      </w:r>
      <w:r>
        <w:rPr>
          <w:rFonts w:hint="eastAsia"/>
          <w:color w:val="auto"/>
        </w:rPr>
        <w:t>，</w:t>
      </w:r>
      <w:r>
        <w:rPr>
          <w:color w:val="auto"/>
        </w:rPr>
        <w:t>回用作为汽机循环冷却水补充水及绿化用水、道路洒水。</w:t>
      </w:r>
    </w:p>
    <w:p>
      <w:pPr>
        <w:autoSpaceDE w:val="0"/>
        <w:autoSpaceDN w:val="0"/>
        <w:adjustRightInd w:val="0"/>
        <w:spacing w:line="360" w:lineRule="auto"/>
        <w:ind w:left="480"/>
        <w:jc w:val="both"/>
        <w:rPr>
          <w:color w:val="auto"/>
        </w:rPr>
      </w:pPr>
      <w:r>
        <w:rPr>
          <w:rFonts w:hint="eastAsia"/>
          <w:color w:val="auto"/>
        </w:rPr>
        <w:t>3、冲洗废水</w:t>
      </w:r>
    </w:p>
    <w:p>
      <w:pPr>
        <w:autoSpaceDE w:val="0"/>
        <w:autoSpaceDN w:val="0"/>
        <w:adjustRightInd w:val="0"/>
        <w:spacing w:line="360" w:lineRule="auto"/>
        <w:ind w:firstLine="480" w:firstLineChars="200"/>
        <w:jc w:val="both"/>
        <w:rPr>
          <w:rFonts w:hint="eastAsia"/>
          <w:color w:val="auto"/>
        </w:rPr>
      </w:pPr>
      <w:r>
        <w:rPr>
          <w:rFonts w:hint="eastAsia"/>
          <w:color w:val="auto"/>
        </w:rPr>
        <w:t>拟建项目生产过程中需要对设备、车间地面、运输车辆进行冲洗处理。设备冲洗用水约为2t/次，每天冲洗二次，排放量3.6t/d，主要污染物为COD：800mg/L、BOD</w:t>
      </w:r>
      <w:r>
        <w:rPr>
          <w:rFonts w:hint="eastAsia"/>
          <w:color w:val="auto"/>
          <w:vertAlign w:val="subscript"/>
        </w:rPr>
        <w:t>5</w:t>
      </w:r>
      <w:r>
        <w:rPr>
          <w:rFonts w:hint="eastAsia"/>
          <w:color w:val="auto"/>
        </w:rPr>
        <w:t>：500mg/L、氨氮：100mg/L、SS：150mg/L。生产车间地面冲洗用水约为1t/次，每天冲洗两次；排放量1.8t/d，主要污染物为COD：600mg/L、BOD</w:t>
      </w:r>
      <w:r>
        <w:rPr>
          <w:rFonts w:hint="eastAsia"/>
          <w:color w:val="auto"/>
          <w:vertAlign w:val="subscript"/>
        </w:rPr>
        <w:t>5</w:t>
      </w:r>
      <w:r>
        <w:rPr>
          <w:rFonts w:hint="eastAsia"/>
          <w:color w:val="auto"/>
        </w:rPr>
        <w:t>：300mg/L、氨氮：50mg/L、SS：100mg/L。车辆冲洗用水为每次1</w:t>
      </w:r>
      <w:r>
        <w:rPr>
          <w:rFonts w:hint="eastAsia"/>
          <w:color w:val="auto"/>
          <w:lang w:val="en-US" w:eastAsia="zh-CN"/>
        </w:rPr>
        <w:t>7</w:t>
      </w:r>
      <w:r>
        <w:rPr>
          <w:rFonts w:hint="eastAsia"/>
          <w:color w:val="auto"/>
        </w:rPr>
        <w:t>0L/辆，每天冲洗二次，共配有3辆车，车辆冲洗用水约1t/d，排放量0.8t/d，主要污染物为COD：500mg/L、BOD</w:t>
      </w:r>
      <w:r>
        <w:rPr>
          <w:rFonts w:hint="eastAsia"/>
          <w:color w:val="auto"/>
          <w:vertAlign w:val="subscript"/>
        </w:rPr>
        <w:t>5</w:t>
      </w:r>
      <w:r>
        <w:rPr>
          <w:rFonts w:hint="eastAsia"/>
          <w:color w:val="auto"/>
        </w:rPr>
        <w:t>：300mg/L、氨氮：20mg/L、SS：100mg/L。所有冲洗废水依托园区内在建的渗漏液处理站处理达到</w:t>
      </w:r>
      <w:r>
        <w:rPr>
          <w:color w:val="auto"/>
        </w:rPr>
        <w:t>《城市污水再生利用-工业用水水质》</w:t>
      </w:r>
      <w:r>
        <w:rPr>
          <w:rFonts w:hint="eastAsia"/>
          <w:color w:val="auto"/>
        </w:rPr>
        <w:t>（</w:t>
      </w:r>
      <w:r>
        <w:rPr>
          <w:color w:val="auto"/>
        </w:rPr>
        <w:t>GB19923-2005</w:t>
      </w:r>
      <w:r>
        <w:rPr>
          <w:rFonts w:hint="eastAsia"/>
          <w:color w:val="auto"/>
        </w:rPr>
        <w:t>）中敞开式循环冷却水标准</w:t>
      </w:r>
      <w:r>
        <w:rPr>
          <w:color w:val="auto"/>
        </w:rPr>
        <w:t>后</w:t>
      </w:r>
      <w:r>
        <w:rPr>
          <w:rFonts w:hint="eastAsia"/>
          <w:color w:val="auto"/>
        </w:rPr>
        <w:t>，</w:t>
      </w:r>
      <w:r>
        <w:rPr>
          <w:color w:val="auto"/>
        </w:rPr>
        <w:t>回用作为汽机循环冷却水补充水及绿化用水、道路洒水</w:t>
      </w:r>
      <w:r>
        <w:rPr>
          <w:rFonts w:hint="eastAsia"/>
          <w:color w:val="auto"/>
        </w:rPr>
        <w:t>。</w:t>
      </w:r>
    </w:p>
    <w:p>
      <w:pPr>
        <w:autoSpaceDE w:val="0"/>
        <w:autoSpaceDN w:val="0"/>
        <w:adjustRightInd w:val="0"/>
        <w:spacing w:line="360" w:lineRule="auto"/>
        <w:ind w:firstLine="480" w:firstLineChars="200"/>
        <w:jc w:val="both"/>
        <w:rPr>
          <w:rFonts w:hint="eastAsia" w:eastAsia="宋体"/>
          <w:color w:val="auto"/>
          <w:lang w:val="en-US" w:eastAsia="zh-CN"/>
        </w:rPr>
      </w:pPr>
      <w:r>
        <w:rPr>
          <w:rFonts w:hint="eastAsia"/>
          <w:color w:val="auto"/>
          <w:lang w:val="en-US" w:eastAsia="zh-CN"/>
        </w:rPr>
        <w:t>4、初期雨水</w:t>
      </w:r>
    </w:p>
    <w:p>
      <w:pPr>
        <w:autoSpaceDE w:val="0"/>
        <w:autoSpaceDN w:val="0"/>
        <w:adjustRightInd w:val="0"/>
        <w:spacing w:line="360" w:lineRule="auto"/>
        <w:ind w:firstLine="480" w:firstLineChars="200"/>
        <w:jc w:val="both"/>
        <w:rPr>
          <w:color w:val="auto"/>
        </w:rPr>
      </w:pPr>
      <w:r>
        <w:rPr>
          <w:rFonts w:hint="eastAsia"/>
          <w:color w:val="auto"/>
        </w:rPr>
        <w:t>在降雨天气情况下，前15min 的雨水称为厂区初期雨水，这股雨水可能会夹带少量粉尘和生产过程中涉及的各类原料等</w:t>
      </w:r>
      <w:r>
        <w:rPr>
          <w:rFonts w:hint="eastAsia"/>
          <w:color w:val="auto"/>
          <w:lang w:eastAsia="zh-CN"/>
        </w:rPr>
        <w:t>。</w:t>
      </w:r>
      <w:r>
        <w:rPr>
          <w:color w:val="auto"/>
        </w:rPr>
        <w:t>雨水设计流量按下列公式计算：</w:t>
      </w:r>
    </w:p>
    <w:p>
      <w:pPr>
        <w:pStyle w:val="79"/>
        <w:ind w:firstLine="480"/>
        <w:rPr>
          <w:color w:val="auto"/>
        </w:rPr>
      </w:pPr>
      <w:r>
        <w:rPr>
          <w:color w:val="auto"/>
        </w:rPr>
        <w:t>Q=qΨF</w:t>
      </w:r>
    </w:p>
    <w:p>
      <w:pPr>
        <w:pStyle w:val="79"/>
        <w:ind w:firstLine="480"/>
        <w:rPr>
          <w:color w:val="auto"/>
        </w:rPr>
      </w:pPr>
      <w:r>
        <w:rPr>
          <w:color w:val="auto"/>
        </w:rPr>
        <w:t>Q--雨水设计流量   (L/s)</w:t>
      </w:r>
    </w:p>
    <w:p>
      <w:pPr>
        <w:pStyle w:val="79"/>
        <w:ind w:firstLine="480"/>
        <w:rPr>
          <w:color w:val="auto"/>
        </w:rPr>
      </w:pPr>
      <w:r>
        <w:rPr>
          <w:color w:val="auto"/>
        </w:rPr>
        <w:t>q--设计暴雨强度  （L/s.ha）</w:t>
      </w:r>
    </w:p>
    <w:p>
      <w:pPr>
        <w:pStyle w:val="79"/>
        <w:ind w:firstLine="480"/>
        <w:rPr>
          <w:color w:val="auto"/>
        </w:rPr>
      </w:pPr>
      <w:r>
        <w:rPr>
          <w:color w:val="auto"/>
        </w:rPr>
        <w:t>Ψ--径流系数---- Ψ=0.65</w:t>
      </w:r>
    </w:p>
    <w:p>
      <w:pPr>
        <w:pStyle w:val="79"/>
        <w:ind w:firstLine="480"/>
        <w:rPr>
          <w:color w:val="auto"/>
        </w:rPr>
      </w:pPr>
      <w:r>
        <w:rPr>
          <w:color w:val="auto"/>
        </w:rPr>
        <w:t>F--汇水面积 （ha）</w:t>
      </w:r>
      <w:r>
        <w:rPr>
          <w:rFonts w:hint="eastAsia"/>
          <w:color w:val="auto"/>
          <w:lang w:eastAsia="zh-CN"/>
        </w:rPr>
        <w:t>，</w:t>
      </w:r>
      <w:r>
        <w:rPr>
          <w:color w:val="auto"/>
        </w:rPr>
        <w:t>厂区需收集初期雨水的地面</w:t>
      </w:r>
      <w:r>
        <w:rPr>
          <w:rFonts w:hint="eastAsia"/>
          <w:color w:val="auto"/>
          <w:lang w:eastAsia="zh-CN"/>
        </w:rPr>
        <w:t>（主要为餐厨垃圾运输车辆计量称重以及进厂的运输道路）</w:t>
      </w:r>
      <w:r>
        <w:rPr>
          <w:color w:val="auto"/>
        </w:rPr>
        <w:t>约</w:t>
      </w:r>
      <w:r>
        <w:rPr>
          <w:rFonts w:hint="eastAsia"/>
          <w:color w:val="auto"/>
          <w:lang w:val="en-US" w:eastAsia="zh-CN"/>
        </w:rPr>
        <w:t>250</w:t>
      </w:r>
      <w:r>
        <w:rPr>
          <w:rFonts w:hint="eastAsia"/>
          <w:color w:val="auto"/>
        </w:rPr>
        <w:t>m</w:t>
      </w:r>
      <w:r>
        <w:rPr>
          <w:color w:val="auto"/>
          <w:vertAlign w:val="superscript"/>
        </w:rPr>
        <w:t>2</w:t>
      </w:r>
      <w:r>
        <w:rPr>
          <w:rFonts w:hint="eastAsia"/>
          <w:color w:val="auto"/>
          <w:vertAlign w:val="baseline"/>
          <w:lang w:eastAsia="zh-CN"/>
        </w:rPr>
        <w:t>（</w:t>
      </w:r>
      <w:r>
        <w:rPr>
          <w:rFonts w:hint="eastAsia"/>
          <w:color w:val="auto"/>
          <w:vertAlign w:val="baseline"/>
          <w:lang w:val="en-US" w:eastAsia="zh-CN"/>
        </w:rPr>
        <w:t>0.025</w:t>
      </w:r>
      <w:r>
        <w:rPr>
          <w:color w:val="auto"/>
        </w:rPr>
        <w:t>ha</w:t>
      </w:r>
      <w:r>
        <w:rPr>
          <w:rFonts w:hint="eastAsia"/>
          <w:color w:val="auto"/>
          <w:vertAlign w:val="baseline"/>
          <w:lang w:eastAsia="zh-CN"/>
        </w:rPr>
        <w:t>）</w:t>
      </w:r>
    </w:p>
    <w:p>
      <w:pPr>
        <w:pStyle w:val="79"/>
        <w:ind w:firstLine="480"/>
        <w:rPr>
          <w:color w:val="auto"/>
        </w:rPr>
      </w:pPr>
      <w:r>
        <w:rPr>
          <w:rFonts w:hint="eastAsia"/>
          <w:color w:val="auto"/>
          <w:lang w:eastAsia="zh-CN"/>
        </w:rPr>
        <w:t>其中</w:t>
      </w:r>
      <w:r>
        <w:rPr>
          <w:color w:val="auto"/>
        </w:rPr>
        <w:t>设计暴雨强度参考附近汕头市暴雨强度公式计算：</w:t>
      </w:r>
    </w:p>
    <w:p>
      <w:pPr>
        <w:pStyle w:val="79"/>
        <w:ind w:firstLine="480"/>
        <w:rPr>
          <w:color w:val="auto"/>
        </w:rPr>
      </w:pPr>
      <w:r>
        <w:rPr>
          <w:color w:val="auto"/>
        </w:rPr>
        <w:t>q=1042(1+0.56lgP)/t</w:t>
      </w:r>
      <w:r>
        <w:rPr>
          <w:color w:val="auto"/>
          <w:vertAlign w:val="superscript"/>
        </w:rPr>
        <w:t>0.488</w:t>
      </w:r>
    </w:p>
    <w:p>
      <w:pPr>
        <w:pStyle w:val="79"/>
        <w:ind w:firstLine="480"/>
        <w:rPr>
          <w:color w:val="auto"/>
        </w:rPr>
      </w:pPr>
      <w:r>
        <w:rPr>
          <w:color w:val="auto"/>
        </w:rPr>
        <w:t>P--设计重现期（a），</w:t>
      </w:r>
      <w:r>
        <w:rPr>
          <w:rFonts w:hint="eastAsia"/>
          <w:color w:val="auto"/>
          <w:lang w:eastAsia="zh-CN"/>
        </w:rPr>
        <w:t>根据《室外排水设计规范》(GB50014-2006)，本次计算取</w:t>
      </w:r>
      <w:r>
        <w:rPr>
          <w:color w:val="auto"/>
        </w:rPr>
        <w:t>2年。</w:t>
      </w:r>
    </w:p>
    <w:p>
      <w:pPr>
        <w:pStyle w:val="79"/>
        <w:ind w:firstLine="480"/>
        <w:rPr>
          <w:color w:val="auto"/>
        </w:rPr>
      </w:pPr>
      <w:r>
        <w:rPr>
          <w:color w:val="auto"/>
        </w:rPr>
        <w:t>t--降雨历时，当</w:t>
      </w:r>
      <w:r>
        <w:rPr>
          <w:rFonts w:hint="eastAsia"/>
          <w:color w:val="auto"/>
          <w:lang w:val="en-US" w:eastAsia="zh-CN"/>
        </w:rPr>
        <w:t>1</w:t>
      </w:r>
      <w:r>
        <w:rPr>
          <w:color w:val="auto"/>
        </w:rPr>
        <w:t>5min时</w:t>
      </w:r>
    </w:p>
    <w:p>
      <w:pPr>
        <w:pStyle w:val="79"/>
        <w:ind w:firstLine="480"/>
        <w:rPr>
          <w:color w:val="auto"/>
        </w:rPr>
      </w:pPr>
      <w:r>
        <w:rPr>
          <w:color w:val="auto"/>
        </w:rPr>
        <w:t>设计暴雨强度：q=</w:t>
      </w:r>
      <w:r>
        <w:rPr>
          <w:rFonts w:hint="eastAsia"/>
          <w:color w:val="auto"/>
          <w:lang w:val="en-US" w:eastAsia="zh-CN"/>
        </w:rPr>
        <w:t>324.78</w:t>
      </w:r>
      <w:r>
        <w:rPr>
          <w:color w:val="auto"/>
        </w:rPr>
        <w:t>升/秒.公顷</w:t>
      </w:r>
    </w:p>
    <w:p>
      <w:pPr>
        <w:autoSpaceDE w:val="0"/>
        <w:autoSpaceDN w:val="0"/>
        <w:adjustRightInd w:val="0"/>
        <w:spacing w:line="360" w:lineRule="auto"/>
        <w:ind w:firstLine="480" w:firstLineChars="200"/>
        <w:jc w:val="both"/>
        <w:rPr>
          <w:rFonts w:hint="eastAsia"/>
          <w:color w:val="auto"/>
        </w:rPr>
      </w:pPr>
    </w:p>
    <w:p>
      <w:pPr>
        <w:autoSpaceDE w:val="0"/>
        <w:autoSpaceDN w:val="0"/>
        <w:adjustRightInd w:val="0"/>
        <w:spacing w:line="360" w:lineRule="auto"/>
        <w:ind w:firstLine="480" w:firstLineChars="200"/>
        <w:jc w:val="both"/>
        <w:rPr>
          <w:rFonts w:hint="eastAsia"/>
          <w:color w:val="auto"/>
        </w:rPr>
        <w:sectPr>
          <w:footerReference r:id="rId15" w:type="first"/>
          <w:footerReference r:id="rId13" w:type="default"/>
          <w:footerReference r:id="rId14" w:type="even"/>
          <w:pgSz w:w="11906" w:h="16838"/>
          <w:pgMar w:top="1134" w:right="1134" w:bottom="1134" w:left="1701" w:header="851" w:footer="992" w:gutter="0"/>
          <w:pgNumType w:fmt="decimal"/>
          <w:cols w:space="720" w:num="1"/>
          <w:docGrid w:linePitch="312" w:charSpace="0"/>
        </w:sectPr>
      </w:pPr>
      <w:r>
        <w:rPr>
          <w:rFonts w:hint="eastAsia"/>
          <w:color w:val="auto"/>
          <w:lang w:eastAsia="zh-CN"/>
        </w:rPr>
        <w:t>通过计算，</w:t>
      </w:r>
      <w:r>
        <w:rPr>
          <w:rFonts w:hint="eastAsia"/>
          <w:color w:val="auto"/>
        </w:rPr>
        <w:t>则一次收集雨水量为</w:t>
      </w:r>
      <w:r>
        <w:rPr>
          <w:rFonts w:hint="eastAsia"/>
          <w:color w:val="auto"/>
          <w:lang w:val="en-US" w:eastAsia="zh-CN"/>
        </w:rPr>
        <w:t>4.75</w:t>
      </w:r>
      <w:r>
        <w:rPr>
          <w:rFonts w:hint="eastAsia"/>
          <w:color w:val="auto"/>
        </w:rPr>
        <w:t>t。初期雨水主要污染物为 COD、SS</w:t>
      </w:r>
      <w:r>
        <w:rPr>
          <w:rFonts w:hint="eastAsia"/>
          <w:color w:val="auto"/>
          <w:lang w:eastAsia="zh-CN"/>
        </w:rPr>
        <w:t>。通过初期雨水管道引至园区内的初期雨水收集池进行后续处理，园区内</w:t>
      </w:r>
      <w:r>
        <w:rPr>
          <w:color w:val="auto"/>
        </w:rPr>
        <w:t>设地下初期雨水收集池1座</w:t>
      </w:r>
      <w:r>
        <w:rPr>
          <w:rFonts w:hint="eastAsia"/>
          <w:color w:val="auto"/>
        </w:rPr>
        <w:t>（</w:t>
      </w:r>
      <w:r>
        <w:rPr>
          <w:color w:val="auto"/>
        </w:rPr>
        <w:t>有效容量</w:t>
      </w:r>
      <w:r>
        <w:rPr>
          <w:rFonts w:hint="eastAsia"/>
          <w:color w:val="auto"/>
        </w:rPr>
        <w:t>约</w:t>
      </w:r>
      <w:r>
        <w:rPr>
          <w:color w:val="auto"/>
        </w:rPr>
        <w:t>V=150m</w:t>
      </w:r>
      <w:r>
        <w:rPr>
          <w:color w:val="auto"/>
          <w:vertAlign w:val="superscript"/>
        </w:rPr>
        <w:t>3</w:t>
      </w:r>
      <w:r>
        <w:rPr>
          <w:rFonts w:hint="eastAsia"/>
          <w:color w:val="auto"/>
        </w:rPr>
        <w:t>）</w:t>
      </w:r>
      <w:r>
        <w:rPr>
          <w:color w:val="auto"/>
        </w:rPr>
        <w:t>。</w:t>
      </w:r>
      <w:r>
        <w:rPr>
          <w:rFonts w:hint="eastAsia"/>
          <w:color w:val="auto"/>
          <w:lang w:eastAsia="zh-CN"/>
        </w:rPr>
        <w:t>在建项目</w:t>
      </w:r>
      <w:r>
        <w:rPr>
          <w:color w:val="auto"/>
        </w:rPr>
        <w:t>最大初期雨水需收集量</w:t>
      </w:r>
      <w:r>
        <w:rPr>
          <w:rFonts w:hint="eastAsia"/>
          <w:color w:val="auto"/>
          <w:lang w:eastAsia="zh-CN"/>
        </w:rPr>
        <w:t>为</w:t>
      </w:r>
      <w:r>
        <w:rPr>
          <w:color w:val="auto"/>
        </w:rPr>
        <w:t>41.4m</w:t>
      </w:r>
      <w:r>
        <w:rPr>
          <w:color w:val="auto"/>
          <w:vertAlign w:val="superscript"/>
        </w:rPr>
        <w:t>3</w:t>
      </w:r>
      <w:r>
        <w:rPr>
          <w:rFonts w:hint="eastAsia"/>
          <w:color w:val="auto"/>
          <w:vertAlign w:val="baseline"/>
          <w:lang w:eastAsia="zh-CN"/>
        </w:rPr>
        <w:t>，</w:t>
      </w:r>
      <w:r>
        <w:rPr>
          <w:rFonts w:hint="eastAsia"/>
          <w:color w:val="auto"/>
          <w:lang w:eastAsia="zh-CN"/>
        </w:rPr>
        <w:t>有足够容量容纳本项目产生的初期雨水。</w:t>
      </w:r>
    </w:p>
    <w:p>
      <w:pPr>
        <w:autoSpaceDE w:val="0"/>
        <w:autoSpaceDN w:val="0"/>
        <w:adjustRightInd w:val="0"/>
        <w:ind w:firstLine="482" w:firstLineChars="200"/>
        <w:jc w:val="center"/>
        <w:rPr>
          <w:color w:val="auto"/>
        </w:rPr>
      </w:pPr>
      <w:r>
        <w:rPr>
          <w:b/>
          <w:color w:val="auto"/>
        </w:rPr>
        <w:t>表</w:t>
      </w:r>
      <w:r>
        <w:rPr>
          <w:rFonts w:hint="eastAsia"/>
          <w:b/>
          <w:color w:val="auto"/>
        </w:rPr>
        <w:t>3.</w:t>
      </w:r>
      <w:r>
        <w:rPr>
          <w:rFonts w:hint="eastAsia"/>
          <w:b/>
          <w:color w:val="auto"/>
          <w:lang w:val="en-US" w:eastAsia="zh-CN"/>
        </w:rPr>
        <w:t>3</w:t>
      </w:r>
      <w:r>
        <w:rPr>
          <w:b/>
          <w:color w:val="auto"/>
        </w:rPr>
        <w:noBreakHyphen/>
      </w:r>
      <w:r>
        <w:rPr>
          <w:rFonts w:hint="eastAsia"/>
          <w:b/>
          <w:color w:val="auto"/>
        </w:rPr>
        <w:t>7</w:t>
      </w:r>
      <w:r>
        <w:rPr>
          <w:b/>
          <w:color w:val="auto"/>
          <w:kern w:val="0"/>
        </w:rPr>
        <w:t xml:space="preserve">  </w:t>
      </w:r>
      <w:r>
        <w:rPr>
          <w:rFonts w:hint="eastAsia"/>
          <w:b/>
          <w:color w:val="auto"/>
          <w:kern w:val="0"/>
        </w:rPr>
        <w:t>餐厨垃圾项目</w:t>
      </w:r>
      <w:r>
        <w:rPr>
          <w:b/>
          <w:color w:val="auto"/>
          <w:kern w:val="0"/>
        </w:rPr>
        <w:t>废水污染源强核算结果及相关参数一览表</w:t>
      </w:r>
    </w:p>
    <w:tbl>
      <w:tblPr>
        <w:tblStyle w:val="53"/>
        <w:tblW w:w="147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4"/>
        <w:gridCol w:w="1399"/>
        <w:gridCol w:w="1650"/>
        <w:gridCol w:w="1378"/>
        <w:gridCol w:w="1529"/>
        <w:gridCol w:w="1713"/>
        <w:gridCol w:w="1810"/>
        <w:gridCol w:w="1718"/>
        <w:gridCol w:w="1373"/>
        <w:gridCol w:w="12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tblHeader/>
        </w:trPr>
        <w:tc>
          <w:tcPr>
            <w:tcW w:w="964" w:type="dxa"/>
            <w:vMerge w:val="restart"/>
            <w:shd w:val="clear" w:color="auto" w:fill="auto"/>
            <w:vAlign w:val="center"/>
          </w:tcPr>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工序</w:t>
            </w:r>
          </w:p>
        </w:tc>
        <w:tc>
          <w:tcPr>
            <w:tcW w:w="1399" w:type="dxa"/>
            <w:vMerge w:val="restart"/>
            <w:shd w:val="clear" w:color="auto" w:fill="auto"/>
            <w:vAlign w:val="center"/>
          </w:tcPr>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污染物</w:t>
            </w:r>
          </w:p>
        </w:tc>
        <w:tc>
          <w:tcPr>
            <w:tcW w:w="6270" w:type="dxa"/>
            <w:gridSpan w:val="4"/>
            <w:vAlign w:val="center"/>
          </w:tcPr>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进入废水处理系统污染物情况</w:t>
            </w:r>
          </w:p>
        </w:tc>
        <w:tc>
          <w:tcPr>
            <w:tcW w:w="1810" w:type="dxa"/>
            <w:shd w:val="clear" w:color="auto" w:fill="auto"/>
            <w:vAlign w:val="center"/>
          </w:tcPr>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治理措施</w:t>
            </w:r>
          </w:p>
        </w:tc>
        <w:tc>
          <w:tcPr>
            <w:tcW w:w="3091" w:type="dxa"/>
            <w:gridSpan w:val="2"/>
            <w:vAlign w:val="center"/>
          </w:tcPr>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污染物处理后</w:t>
            </w:r>
          </w:p>
        </w:tc>
        <w:tc>
          <w:tcPr>
            <w:tcW w:w="1252" w:type="dxa"/>
            <w:vMerge w:val="restart"/>
            <w:shd w:val="clear" w:color="auto" w:fill="auto"/>
            <w:vAlign w:val="center"/>
          </w:tcPr>
          <w:p>
            <w:pPr>
              <w:autoSpaceDE w:val="0"/>
              <w:autoSpaceDN w:val="0"/>
              <w:adjustRightInd w:val="0"/>
              <w:jc w:val="center"/>
              <w:rPr>
                <w:b/>
                <w:color w:val="auto"/>
                <w:kern w:val="0"/>
                <w:sz w:val="21"/>
                <w:szCs w:val="21"/>
              </w:rPr>
            </w:pPr>
            <w:r>
              <w:rPr>
                <w:b/>
                <w:color w:val="auto"/>
                <w:kern w:val="0"/>
                <w:sz w:val="21"/>
                <w:szCs w:val="21"/>
              </w:rPr>
              <w:t>运行时间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tblHeader/>
        </w:trPr>
        <w:tc>
          <w:tcPr>
            <w:tcW w:w="964" w:type="dxa"/>
            <w:vMerge w:val="continue"/>
            <w:shd w:val="clear" w:color="auto" w:fill="auto"/>
            <w:vAlign w:val="center"/>
          </w:tcPr>
          <w:p>
            <w:pPr>
              <w:autoSpaceDE w:val="0"/>
              <w:autoSpaceDN w:val="0"/>
              <w:adjustRightInd w:val="0"/>
              <w:jc w:val="center"/>
              <w:rPr>
                <w:rFonts w:eastAsiaTheme="minorEastAsia"/>
                <w:b/>
                <w:color w:val="auto"/>
                <w:kern w:val="0"/>
                <w:sz w:val="21"/>
                <w:szCs w:val="21"/>
              </w:rPr>
            </w:pPr>
          </w:p>
        </w:tc>
        <w:tc>
          <w:tcPr>
            <w:tcW w:w="1399" w:type="dxa"/>
            <w:vMerge w:val="continue"/>
            <w:shd w:val="clear" w:color="auto" w:fill="auto"/>
            <w:vAlign w:val="center"/>
          </w:tcPr>
          <w:p>
            <w:pPr>
              <w:autoSpaceDE w:val="0"/>
              <w:autoSpaceDN w:val="0"/>
              <w:adjustRightInd w:val="0"/>
              <w:jc w:val="center"/>
              <w:rPr>
                <w:rFonts w:eastAsiaTheme="minorEastAsia"/>
                <w:b/>
                <w:color w:val="auto"/>
                <w:kern w:val="0"/>
                <w:sz w:val="21"/>
                <w:szCs w:val="21"/>
              </w:rPr>
            </w:pPr>
          </w:p>
        </w:tc>
        <w:tc>
          <w:tcPr>
            <w:tcW w:w="1650" w:type="dxa"/>
            <w:shd w:val="clear" w:color="auto" w:fill="auto"/>
            <w:vAlign w:val="center"/>
          </w:tcPr>
          <w:p>
            <w:pPr>
              <w:autoSpaceDE w:val="0"/>
              <w:autoSpaceDN w:val="0"/>
              <w:adjustRightInd w:val="0"/>
              <w:jc w:val="center"/>
              <w:rPr>
                <w:rFonts w:eastAsiaTheme="minorEastAsia"/>
                <w:b/>
                <w:color w:val="auto"/>
                <w:kern w:val="0"/>
                <w:sz w:val="21"/>
                <w:szCs w:val="21"/>
              </w:rPr>
            </w:pPr>
            <w:r>
              <w:rPr>
                <w:rFonts w:hint="eastAsia" w:eastAsiaTheme="minorEastAsia"/>
                <w:b/>
                <w:color w:val="auto"/>
                <w:kern w:val="0"/>
                <w:sz w:val="21"/>
                <w:szCs w:val="21"/>
              </w:rPr>
              <w:t>废水</w:t>
            </w:r>
            <w:r>
              <w:rPr>
                <w:rFonts w:eastAsiaTheme="minorEastAsia"/>
                <w:b/>
                <w:color w:val="auto"/>
                <w:kern w:val="0"/>
                <w:sz w:val="21"/>
                <w:szCs w:val="21"/>
              </w:rPr>
              <w:t>产生量（m</w:t>
            </w:r>
            <w:r>
              <w:rPr>
                <w:rFonts w:eastAsiaTheme="minorEastAsia"/>
                <w:b/>
                <w:color w:val="auto"/>
                <w:kern w:val="0"/>
                <w:sz w:val="21"/>
                <w:szCs w:val="21"/>
                <w:vertAlign w:val="superscript"/>
              </w:rPr>
              <w:t>3</w:t>
            </w:r>
            <w:r>
              <w:rPr>
                <w:rFonts w:eastAsiaTheme="minorEastAsia"/>
                <w:b/>
                <w:color w:val="auto"/>
                <w:kern w:val="0"/>
                <w:sz w:val="21"/>
                <w:szCs w:val="21"/>
              </w:rPr>
              <w:t>/d）</w:t>
            </w:r>
          </w:p>
        </w:tc>
        <w:tc>
          <w:tcPr>
            <w:tcW w:w="1378" w:type="dxa"/>
            <w:vAlign w:val="center"/>
          </w:tcPr>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废水产生量（t/a）</w:t>
            </w:r>
          </w:p>
        </w:tc>
        <w:tc>
          <w:tcPr>
            <w:tcW w:w="1529" w:type="dxa"/>
            <w:shd w:val="clear" w:color="auto" w:fill="auto"/>
            <w:vAlign w:val="center"/>
          </w:tcPr>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产生浓度（mg/L）</w:t>
            </w:r>
          </w:p>
        </w:tc>
        <w:tc>
          <w:tcPr>
            <w:tcW w:w="1713" w:type="dxa"/>
            <w:vAlign w:val="center"/>
          </w:tcPr>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污染物产生量（t/a）</w:t>
            </w:r>
          </w:p>
        </w:tc>
        <w:tc>
          <w:tcPr>
            <w:tcW w:w="1810" w:type="dxa"/>
            <w:shd w:val="clear" w:color="auto" w:fill="auto"/>
            <w:vAlign w:val="center"/>
          </w:tcPr>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工艺</w:t>
            </w:r>
          </w:p>
        </w:tc>
        <w:tc>
          <w:tcPr>
            <w:tcW w:w="1718" w:type="dxa"/>
            <w:shd w:val="clear" w:color="auto" w:fill="auto"/>
            <w:vAlign w:val="center"/>
          </w:tcPr>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设计处理后浓度（mg/L）</w:t>
            </w:r>
          </w:p>
        </w:tc>
        <w:tc>
          <w:tcPr>
            <w:tcW w:w="1373" w:type="dxa"/>
            <w:vAlign w:val="center"/>
          </w:tcPr>
          <w:p>
            <w:pPr>
              <w:autoSpaceDE w:val="0"/>
              <w:autoSpaceDN w:val="0"/>
              <w:adjustRightInd w:val="0"/>
              <w:jc w:val="center"/>
              <w:rPr>
                <w:rFonts w:eastAsiaTheme="minorEastAsia"/>
                <w:b/>
                <w:color w:val="auto"/>
                <w:kern w:val="0"/>
                <w:sz w:val="21"/>
                <w:szCs w:val="21"/>
              </w:rPr>
            </w:pPr>
            <w:r>
              <w:rPr>
                <w:rFonts w:eastAsiaTheme="minorEastAsia"/>
                <w:b/>
                <w:color w:val="auto"/>
                <w:kern w:val="0"/>
                <w:sz w:val="21"/>
                <w:szCs w:val="21"/>
              </w:rPr>
              <w:t>污染物处理后量（t/a）</w:t>
            </w:r>
          </w:p>
        </w:tc>
        <w:tc>
          <w:tcPr>
            <w:tcW w:w="1252" w:type="dxa"/>
            <w:vMerge w:val="continue"/>
            <w:shd w:val="clear" w:color="auto" w:fill="auto"/>
            <w:vAlign w:val="center"/>
          </w:tcPr>
          <w:p>
            <w:pPr>
              <w:autoSpaceDE w:val="0"/>
              <w:autoSpaceDN w:val="0"/>
              <w:adjustRightInd w:val="0"/>
              <w:jc w:val="center"/>
              <w:rPr>
                <w:b/>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1" w:hRule="atLeast"/>
        </w:trPr>
        <w:tc>
          <w:tcPr>
            <w:tcW w:w="964" w:type="dxa"/>
            <w:vMerge w:val="restart"/>
            <w:shd w:val="clear" w:color="auto" w:fill="auto"/>
            <w:vAlign w:val="center"/>
          </w:tcPr>
          <w:p>
            <w:pPr>
              <w:autoSpaceDE w:val="0"/>
              <w:autoSpaceDN w:val="0"/>
              <w:adjustRightInd w:val="0"/>
              <w:jc w:val="center"/>
              <w:rPr>
                <w:rFonts w:eastAsiaTheme="minorEastAsia"/>
                <w:color w:val="auto"/>
                <w:kern w:val="0"/>
                <w:sz w:val="21"/>
                <w:szCs w:val="21"/>
              </w:rPr>
            </w:pPr>
            <w:r>
              <w:rPr>
                <w:rFonts w:hint="eastAsia" w:eastAsiaTheme="minorEastAsia"/>
                <w:color w:val="auto"/>
                <w:kern w:val="0"/>
                <w:sz w:val="21"/>
                <w:szCs w:val="21"/>
              </w:rPr>
              <w:t>油水分离器产生</w:t>
            </w:r>
            <w:r>
              <w:rPr>
                <w:rFonts w:eastAsiaTheme="minorEastAsia"/>
                <w:color w:val="auto"/>
                <w:kern w:val="0"/>
                <w:sz w:val="21"/>
                <w:szCs w:val="21"/>
              </w:rPr>
              <w:t>的</w:t>
            </w:r>
            <w:r>
              <w:rPr>
                <w:rFonts w:hint="eastAsia" w:eastAsiaTheme="minorEastAsia"/>
                <w:color w:val="auto"/>
                <w:kern w:val="0"/>
                <w:sz w:val="21"/>
                <w:szCs w:val="21"/>
              </w:rPr>
              <w:t>废水、除臭系统废水以及冲洗废水</w:t>
            </w:r>
          </w:p>
        </w:tc>
        <w:tc>
          <w:tcPr>
            <w:tcW w:w="1399" w:type="dxa"/>
            <w:shd w:val="clear" w:color="auto" w:fill="auto"/>
            <w:vAlign w:val="center"/>
          </w:tcPr>
          <w:p>
            <w:pPr>
              <w:autoSpaceDE w:val="0"/>
              <w:autoSpaceDN w:val="0"/>
              <w:adjustRightInd w:val="0"/>
              <w:jc w:val="center"/>
              <w:rPr>
                <w:rFonts w:eastAsiaTheme="minorEastAsia"/>
                <w:color w:val="auto"/>
                <w:kern w:val="0"/>
                <w:sz w:val="21"/>
                <w:szCs w:val="21"/>
              </w:rPr>
            </w:pPr>
            <w:r>
              <w:rPr>
                <w:rFonts w:eastAsiaTheme="minorEastAsia"/>
                <w:color w:val="auto"/>
                <w:kern w:val="0"/>
                <w:sz w:val="21"/>
                <w:szCs w:val="21"/>
              </w:rPr>
              <w:t>BOD</w:t>
            </w:r>
            <w:r>
              <w:rPr>
                <w:rFonts w:eastAsiaTheme="minorEastAsia"/>
                <w:color w:val="auto"/>
                <w:kern w:val="0"/>
                <w:sz w:val="21"/>
                <w:szCs w:val="21"/>
                <w:vertAlign w:val="subscript"/>
              </w:rPr>
              <w:t>5</w:t>
            </w:r>
          </w:p>
        </w:tc>
        <w:tc>
          <w:tcPr>
            <w:tcW w:w="1650" w:type="dxa"/>
            <w:vMerge w:val="restart"/>
            <w:shd w:val="clear" w:color="auto" w:fill="auto"/>
            <w:vAlign w:val="center"/>
          </w:tcPr>
          <w:p>
            <w:pPr>
              <w:autoSpaceDE w:val="0"/>
              <w:autoSpaceDN w:val="0"/>
              <w:adjustRightInd w:val="0"/>
              <w:jc w:val="center"/>
              <w:rPr>
                <w:rFonts w:hint="eastAsia" w:eastAsiaTheme="minorEastAsia"/>
                <w:color w:val="auto"/>
                <w:kern w:val="0"/>
                <w:sz w:val="21"/>
                <w:szCs w:val="21"/>
                <w:lang w:eastAsia="zh-CN"/>
              </w:rPr>
            </w:pPr>
            <w:r>
              <w:rPr>
                <w:rFonts w:hint="eastAsia" w:eastAsiaTheme="minorEastAsia"/>
                <w:color w:val="auto"/>
                <w:kern w:val="0"/>
                <w:sz w:val="21"/>
                <w:szCs w:val="21"/>
                <w:lang w:val="en-US" w:eastAsia="zh-CN"/>
              </w:rPr>
              <w:t>18.84</w:t>
            </w:r>
          </w:p>
        </w:tc>
        <w:tc>
          <w:tcPr>
            <w:tcW w:w="1378" w:type="dxa"/>
            <w:vMerge w:val="restart"/>
            <w:textDirection w:val="lrTb"/>
            <w:vAlign w:val="center"/>
          </w:tcPr>
          <w:p>
            <w:pPr>
              <w:keepNext w:val="0"/>
              <w:keepLines w:val="0"/>
              <w:widowControl/>
              <w:suppressLineNumbers w:val="0"/>
              <w:jc w:val="center"/>
              <w:textAlignment w:val="center"/>
              <w:rPr>
                <w:rFonts w:hint="eastAsia" w:eastAsiaTheme="minorEastAsia"/>
                <w:color w:val="auto"/>
                <w:sz w:val="21"/>
                <w:szCs w:val="21"/>
                <w:lang w:eastAsia="zh-CN"/>
              </w:rPr>
            </w:pPr>
            <w:r>
              <w:rPr>
                <w:rFonts w:hint="eastAsia" w:eastAsiaTheme="minorEastAsia"/>
                <w:color w:val="auto"/>
                <w:kern w:val="0"/>
                <w:sz w:val="21"/>
                <w:szCs w:val="21"/>
                <w:lang w:val="en-US" w:eastAsia="zh-CN"/>
              </w:rPr>
              <w:t>6217.2</w:t>
            </w:r>
          </w:p>
        </w:tc>
        <w:tc>
          <w:tcPr>
            <w:tcW w:w="1529" w:type="dxa"/>
            <w:shd w:val="clear" w:color="auto" w:fill="auto"/>
            <w:vAlign w:val="center"/>
          </w:tcPr>
          <w:p>
            <w:pPr>
              <w:autoSpaceDE w:val="0"/>
              <w:autoSpaceDN w:val="0"/>
              <w:adjustRightInd w:val="0"/>
              <w:jc w:val="center"/>
              <w:rPr>
                <w:rFonts w:hint="eastAsia" w:eastAsiaTheme="minorEastAsia"/>
                <w:color w:val="auto"/>
                <w:kern w:val="0"/>
                <w:sz w:val="21"/>
                <w:szCs w:val="21"/>
                <w:lang w:eastAsia="zh-CN"/>
              </w:rPr>
            </w:pPr>
            <w:r>
              <w:rPr>
                <w:rFonts w:hint="eastAsia" w:eastAsiaTheme="minorEastAsia"/>
                <w:color w:val="auto"/>
                <w:sz w:val="21"/>
                <w:szCs w:val="21"/>
                <w:lang w:val="en-US" w:eastAsia="zh-CN"/>
              </w:rPr>
              <w:t>1500</w:t>
            </w:r>
          </w:p>
        </w:tc>
        <w:tc>
          <w:tcPr>
            <w:tcW w:w="1713" w:type="dxa"/>
            <w:textDirection w:val="lrTb"/>
            <w:vAlign w:val="center"/>
          </w:tcPr>
          <w:p>
            <w:pPr>
              <w:autoSpaceDE w:val="0"/>
              <w:autoSpaceDN w:val="0"/>
              <w:adjustRightInd w:val="0"/>
              <w:jc w:val="center"/>
              <w:rPr>
                <w:rFonts w:hint="eastAsia" w:eastAsiaTheme="minorEastAsia"/>
                <w:color w:val="auto"/>
                <w:kern w:val="0"/>
                <w:sz w:val="21"/>
                <w:szCs w:val="21"/>
                <w:lang w:val="en-US" w:eastAsia="zh-CN"/>
              </w:rPr>
            </w:pPr>
            <w:r>
              <w:rPr>
                <w:rFonts w:hint="eastAsia" w:eastAsiaTheme="minorEastAsia"/>
                <w:color w:val="auto"/>
                <w:kern w:val="0"/>
                <w:sz w:val="21"/>
                <w:szCs w:val="21"/>
                <w:lang w:val="en-US" w:eastAsia="zh-CN"/>
              </w:rPr>
              <w:t xml:space="preserve">9.33 </w:t>
            </w:r>
          </w:p>
        </w:tc>
        <w:tc>
          <w:tcPr>
            <w:tcW w:w="1810" w:type="dxa"/>
            <w:vMerge w:val="restart"/>
            <w:shd w:val="clear" w:color="auto" w:fill="auto"/>
            <w:vAlign w:val="center"/>
          </w:tcPr>
          <w:p>
            <w:pPr>
              <w:autoSpaceDE w:val="0"/>
              <w:autoSpaceDN w:val="0"/>
              <w:adjustRightInd w:val="0"/>
              <w:jc w:val="center"/>
              <w:rPr>
                <w:rFonts w:eastAsiaTheme="minorEastAsia"/>
                <w:color w:val="auto"/>
                <w:kern w:val="0"/>
                <w:sz w:val="21"/>
                <w:szCs w:val="21"/>
              </w:rPr>
            </w:pPr>
            <w:r>
              <w:rPr>
                <w:rFonts w:asciiTheme="minorEastAsia" w:hAnsiTheme="minorEastAsia" w:eastAsiaTheme="minorEastAsia"/>
                <w:color w:val="auto"/>
                <w:sz w:val="21"/>
                <w:szCs w:val="21"/>
              </w:rPr>
              <w:t>预处</w:t>
            </w:r>
            <w:r>
              <w:rPr>
                <w:rFonts w:eastAsiaTheme="minorEastAsia"/>
                <w:color w:val="auto"/>
                <w:sz w:val="21"/>
                <w:szCs w:val="21"/>
              </w:rPr>
              <w:t>理+ UASB厌氧反应器+MBR生化处理系统+NF纳滤膜系统+RO反渗透系统+DTRO</w:t>
            </w:r>
          </w:p>
        </w:tc>
        <w:tc>
          <w:tcPr>
            <w:tcW w:w="1718" w:type="dxa"/>
            <w:shd w:val="clear" w:color="auto" w:fill="auto"/>
            <w:vAlign w:val="center"/>
          </w:tcPr>
          <w:p>
            <w:pPr>
              <w:autoSpaceDE w:val="0"/>
              <w:autoSpaceDN w:val="0"/>
              <w:adjustRightInd w:val="0"/>
              <w:jc w:val="center"/>
              <w:rPr>
                <w:rFonts w:eastAsiaTheme="minorEastAsia"/>
                <w:color w:val="auto"/>
                <w:kern w:val="0"/>
                <w:sz w:val="21"/>
                <w:szCs w:val="21"/>
              </w:rPr>
            </w:pPr>
            <w:r>
              <w:rPr>
                <w:rFonts w:eastAsiaTheme="minorEastAsia"/>
                <w:color w:val="auto"/>
                <w:kern w:val="0"/>
                <w:sz w:val="21"/>
                <w:szCs w:val="21"/>
              </w:rPr>
              <w:t>10</w:t>
            </w:r>
          </w:p>
        </w:tc>
        <w:tc>
          <w:tcPr>
            <w:tcW w:w="1373" w:type="dxa"/>
            <w:textDirection w:val="lrTb"/>
            <w:vAlign w:val="center"/>
          </w:tcPr>
          <w:p>
            <w:pPr>
              <w:autoSpaceDE w:val="0"/>
              <w:autoSpaceDN w:val="0"/>
              <w:adjustRightInd w:val="0"/>
              <w:jc w:val="center"/>
              <w:rPr>
                <w:rFonts w:hint="default" w:eastAsiaTheme="minorEastAsia"/>
                <w:color w:val="auto"/>
                <w:kern w:val="0"/>
                <w:sz w:val="21"/>
                <w:szCs w:val="21"/>
              </w:rPr>
            </w:pPr>
            <w:r>
              <w:rPr>
                <w:rFonts w:hint="eastAsia" w:eastAsiaTheme="minorEastAsia"/>
                <w:color w:val="auto"/>
                <w:kern w:val="0"/>
                <w:sz w:val="21"/>
                <w:szCs w:val="21"/>
                <w:lang w:val="en-US" w:eastAsia="zh-CN"/>
              </w:rPr>
              <w:t xml:space="preserve">0.06 </w:t>
            </w:r>
          </w:p>
        </w:tc>
        <w:tc>
          <w:tcPr>
            <w:tcW w:w="1252" w:type="dxa"/>
            <w:vMerge w:val="restart"/>
            <w:shd w:val="clear" w:color="auto" w:fill="auto"/>
            <w:vAlign w:val="center"/>
          </w:tcPr>
          <w:p>
            <w:pPr>
              <w:autoSpaceDE w:val="0"/>
              <w:autoSpaceDN w:val="0"/>
              <w:adjustRightInd w:val="0"/>
              <w:jc w:val="center"/>
              <w:rPr>
                <w:color w:val="auto"/>
                <w:kern w:val="0"/>
                <w:sz w:val="21"/>
                <w:szCs w:val="21"/>
              </w:rPr>
            </w:pPr>
            <w:r>
              <w:rPr>
                <w:color w:val="auto"/>
                <w:kern w:val="0"/>
                <w:sz w:val="21"/>
                <w:szCs w:val="21"/>
              </w:rPr>
              <w:t>24h/d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trPr>
        <w:tc>
          <w:tcPr>
            <w:tcW w:w="964" w:type="dxa"/>
            <w:vMerge w:val="continue"/>
            <w:shd w:val="clear" w:color="auto" w:fill="auto"/>
            <w:vAlign w:val="center"/>
          </w:tcPr>
          <w:p>
            <w:pPr>
              <w:autoSpaceDE w:val="0"/>
              <w:autoSpaceDN w:val="0"/>
              <w:adjustRightInd w:val="0"/>
              <w:jc w:val="center"/>
              <w:rPr>
                <w:rFonts w:eastAsiaTheme="minorEastAsia"/>
                <w:color w:val="auto"/>
                <w:kern w:val="0"/>
                <w:sz w:val="21"/>
                <w:szCs w:val="21"/>
              </w:rPr>
            </w:pPr>
          </w:p>
        </w:tc>
        <w:tc>
          <w:tcPr>
            <w:tcW w:w="1399" w:type="dxa"/>
            <w:shd w:val="clear" w:color="auto" w:fill="auto"/>
            <w:vAlign w:val="center"/>
          </w:tcPr>
          <w:p>
            <w:pPr>
              <w:autoSpaceDE w:val="0"/>
              <w:autoSpaceDN w:val="0"/>
              <w:adjustRightInd w:val="0"/>
              <w:jc w:val="center"/>
              <w:rPr>
                <w:rFonts w:eastAsiaTheme="minorEastAsia"/>
                <w:color w:val="auto"/>
                <w:kern w:val="0"/>
                <w:sz w:val="21"/>
                <w:szCs w:val="21"/>
              </w:rPr>
            </w:pPr>
            <w:r>
              <w:rPr>
                <w:rFonts w:eastAsiaTheme="minorEastAsia"/>
                <w:color w:val="auto"/>
                <w:sz w:val="21"/>
                <w:szCs w:val="21"/>
              </w:rPr>
              <w:t>CODcr</w:t>
            </w:r>
          </w:p>
        </w:tc>
        <w:tc>
          <w:tcPr>
            <w:tcW w:w="1650" w:type="dxa"/>
            <w:vMerge w:val="continue"/>
            <w:shd w:val="clear" w:color="auto" w:fill="auto"/>
            <w:vAlign w:val="center"/>
          </w:tcPr>
          <w:p>
            <w:pPr>
              <w:autoSpaceDE w:val="0"/>
              <w:autoSpaceDN w:val="0"/>
              <w:adjustRightInd w:val="0"/>
              <w:jc w:val="center"/>
              <w:rPr>
                <w:rFonts w:eastAsiaTheme="minorEastAsia"/>
                <w:color w:val="auto"/>
                <w:kern w:val="0"/>
                <w:sz w:val="21"/>
                <w:szCs w:val="21"/>
              </w:rPr>
            </w:pPr>
          </w:p>
        </w:tc>
        <w:tc>
          <w:tcPr>
            <w:tcW w:w="1378" w:type="dxa"/>
            <w:vMerge w:val="continue"/>
            <w:vAlign w:val="center"/>
          </w:tcPr>
          <w:p>
            <w:pPr>
              <w:autoSpaceDE w:val="0"/>
              <w:autoSpaceDN w:val="0"/>
              <w:adjustRightInd w:val="0"/>
              <w:jc w:val="center"/>
              <w:rPr>
                <w:rFonts w:eastAsiaTheme="minorEastAsia"/>
                <w:color w:val="auto"/>
                <w:sz w:val="21"/>
                <w:szCs w:val="21"/>
              </w:rPr>
            </w:pPr>
          </w:p>
        </w:tc>
        <w:tc>
          <w:tcPr>
            <w:tcW w:w="1529" w:type="dxa"/>
            <w:shd w:val="clear" w:color="auto" w:fill="auto"/>
            <w:vAlign w:val="center"/>
          </w:tcPr>
          <w:p>
            <w:pPr>
              <w:autoSpaceDE w:val="0"/>
              <w:autoSpaceDN w:val="0"/>
              <w:adjustRightInd w:val="0"/>
              <w:jc w:val="center"/>
              <w:rPr>
                <w:rFonts w:eastAsiaTheme="minorEastAsia"/>
                <w:color w:val="auto"/>
                <w:kern w:val="0"/>
                <w:sz w:val="21"/>
                <w:szCs w:val="21"/>
              </w:rPr>
            </w:pPr>
            <w:r>
              <w:rPr>
                <w:rFonts w:hint="eastAsia" w:eastAsiaTheme="minorEastAsia"/>
                <w:color w:val="auto"/>
                <w:sz w:val="21"/>
                <w:szCs w:val="21"/>
                <w:lang w:val="en-US" w:eastAsia="zh-CN"/>
              </w:rPr>
              <w:t>6</w:t>
            </w:r>
            <w:r>
              <w:rPr>
                <w:rFonts w:hint="eastAsia" w:eastAsiaTheme="minorEastAsia"/>
                <w:color w:val="auto"/>
                <w:sz w:val="21"/>
                <w:szCs w:val="21"/>
              </w:rPr>
              <w:t>000</w:t>
            </w:r>
          </w:p>
        </w:tc>
        <w:tc>
          <w:tcPr>
            <w:tcW w:w="1713" w:type="dxa"/>
            <w:textDirection w:val="lrTb"/>
            <w:vAlign w:val="center"/>
          </w:tcPr>
          <w:p>
            <w:pPr>
              <w:autoSpaceDE w:val="0"/>
              <w:autoSpaceDN w:val="0"/>
              <w:adjustRightInd w:val="0"/>
              <w:jc w:val="center"/>
              <w:rPr>
                <w:rFonts w:hint="eastAsia" w:eastAsiaTheme="minorEastAsia"/>
                <w:color w:val="auto"/>
                <w:kern w:val="0"/>
                <w:sz w:val="21"/>
                <w:szCs w:val="21"/>
                <w:lang w:val="en-US" w:eastAsia="zh-CN"/>
              </w:rPr>
            </w:pPr>
            <w:r>
              <w:rPr>
                <w:rFonts w:hint="eastAsia" w:eastAsiaTheme="minorEastAsia"/>
                <w:color w:val="auto"/>
                <w:kern w:val="0"/>
                <w:sz w:val="21"/>
                <w:szCs w:val="21"/>
                <w:lang w:val="en-US" w:eastAsia="zh-CN"/>
              </w:rPr>
              <w:t xml:space="preserve">37.30 </w:t>
            </w:r>
          </w:p>
        </w:tc>
        <w:tc>
          <w:tcPr>
            <w:tcW w:w="1810" w:type="dxa"/>
            <w:vMerge w:val="continue"/>
            <w:shd w:val="clear" w:color="auto" w:fill="auto"/>
            <w:vAlign w:val="center"/>
          </w:tcPr>
          <w:p>
            <w:pPr>
              <w:autoSpaceDE w:val="0"/>
              <w:autoSpaceDN w:val="0"/>
              <w:adjustRightInd w:val="0"/>
              <w:jc w:val="center"/>
              <w:rPr>
                <w:rFonts w:eastAsiaTheme="minorEastAsia"/>
                <w:color w:val="auto"/>
                <w:kern w:val="0"/>
                <w:sz w:val="21"/>
                <w:szCs w:val="21"/>
              </w:rPr>
            </w:pPr>
          </w:p>
        </w:tc>
        <w:tc>
          <w:tcPr>
            <w:tcW w:w="1718" w:type="dxa"/>
            <w:shd w:val="clear" w:color="auto" w:fill="auto"/>
            <w:vAlign w:val="center"/>
          </w:tcPr>
          <w:p>
            <w:pPr>
              <w:autoSpaceDE w:val="0"/>
              <w:autoSpaceDN w:val="0"/>
              <w:adjustRightInd w:val="0"/>
              <w:jc w:val="center"/>
              <w:rPr>
                <w:rFonts w:eastAsiaTheme="minorEastAsia"/>
                <w:color w:val="auto"/>
                <w:kern w:val="0"/>
                <w:sz w:val="21"/>
                <w:szCs w:val="21"/>
              </w:rPr>
            </w:pPr>
            <w:r>
              <w:rPr>
                <w:rFonts w:eastAsiaTheme="minorEastAsia"/>
                <w:color w:val="auto"/>
                <w:kern w:val="0"/>
                <w:sz w:val="21"/>
                <w:szCs w:val="21"/>
              </w:rPr>
              <w:t>60</w:t>
            </w:r>
          </w:p>
        </w:tc>
        <w:tc>
          <w:tcPr>
            <w:tcW w:w="1373" w:type="dxa"/>
            <w:textDirection w:val="lrTb"/>
            <w:vAlign w:val="center"/>
          </w:tcPr>
          <w:p>
            <w:pPr>
              <w:autoSpaceDE w:val="0"/>
              <w:autoSpaceDN w:val="0"/>
              <w:adjustRightInd w:val="0"/>
              <w:jc w:val="center"/>
              <w:rPr>
                <w:rFonts w:hint="default" w:eastAsiaTheme="minorEastAsia"/>
                <w:color w:val="auto"/>
                <w:kern w:val="0"/>
                <w:sz w:val="21"/>
                <w:szCs w:val="21"/>
              </w:rPr>
            </w:pPr>
            <w:r>
              <w:rPr>
                <w:rFonts w:hint="eastAsia" w:eastAsiaTheme="minorEastAsia"/>
                <w:color w:val="auto"/>
                <w:kern w:val="0"/>
                <w:sz w:val="21"/>
                <w:szCs w:val="21"/>
                <w:lang w:val="en-US" w:eastAsia="zh-CN"/>
              </w:rPr>
              <w:t xml:space="preserve">0.36 </w:t>
            </w:r>
          </w:p>
        </w:tc>
        <w:tc>
          <w:tcPr>
            <w:tcW w:w="1252" w:type="dxa"/>
            <w:vMerge w:val="continue"/>
            <w:shd w:val="clear" w:color="auto" w:fill="auto"/>
            <w:vAlign w:val="center"/>
          </w:tcPr>
          <w:p>
            <w:pPr>
              <w:autoSpaceDE w:val="0"/>
              <w:autoSpaceDN w:val="0"/>
              <w:adjustRightInd w:val="0"/>
              <w:jc w:val="center"/>
              <w:rPr>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trPr>
        <w:tc>
          <w:tcPr>
            <w:tcW w:w="964" w:type="dxa"/>
            <w:vMerge w:val="continue"/>
            <w:shd w:val="clear" w:color="auto" w:fill="auto"/>
            <w:vAlign w:val="center"/>
          </w:tcPr>
          <w:p>
            <w:pPr>
              <w:autoSpaceDE w:val="0"/>
              <w:autoSpaceDN w:val="0"/>
              <w:adjustRightInd w:val="0"/>
              <w:jc w:val="center"/>
              <w:rPr>
                <w:rFonts w:eastAsiaTheme="minorEastAsia"/>
                <w:color w:val="auto"/>
                <w:kern w:val="0"/>
                <w:sz w:val="21"/>
                <w:szCs w:val="21"/>
              </w:rPr>
            </w:pPr>
          </w:p>
        </w:tc>
        <w:tc>
          <w:tcPr>
            <w:tcW w:w="1399" w:type="dxa"/>
            <w:shd w:val="clear" w:color="auto" w:fill="auto"/>
            <w:vAlign w:val="center"/>
          </w:tcPr>
          <w:p>
            <w:pPr>
              <w:autoSpaceDE w:val="0"/>
              <w:autoSpaceDN w:val="0"/>
              <w:adjustRightInd w:val="0"/>
              <w:jc w:val="center"/>
              <w:rPr>
                <w:rFonts w:eastAsiaTheme="minorEastAsia"/>
                <w:color w:val="auto"/>
                <w:kern w:val="0"/>
                <w:sz w:val="21"/>
                <w:szCs w:val="21"/>
              </w:rPr>
            </w:pPr>
            <w:r>
              <w:rPr>
                <w:rFonts w:eastAsiaTheme="minorEastAsia"/>
                <w:color w:val="auto"/>
                <w:sz w:val="21"/>
                <w:szCs w:val="21"/>
              </w:rPr>
              <w:t>SS</w:t>
            </w:r>
          </w:p>
        </w:tc>
        <w:tc>
          <w:tcPr>
            <w:tcW w:w="1650" w:type="dxa"/>
            <w:vMerge w:val="continue"/>
            <w:shd w:val="clear" w:color="auto" w:fill="auto"/>
            <w:vAlign w:val="center"/>
          </w:tcPr>
          <w:p>
            <w:pPr>
              <w:autoSpaceDE w:val="0"/>
              <w:autoSpaceDN w:val="0"/>
              <w:adjustRightInd w:val="0"/>
              <w:jc w:val="center"/>
              <w:rPr>
                <w:rFonts w:eastAsiaTheme="minorEastAsia"/>
                <w:color w:val="auto"/>
                <w:kern w:val="0"/>
                <w:sz w:val="21"/>
                <w:szCs w:val="21"/>
              </w:rPr>
            </w:pPr>
          </w:p>
        </w:tc>
        <w:tc>
          <w:tcPr>
            <w:tcW w:w="1378" w:type="dxa"/>
            <w:vMerge w:val="continue"/>
            <w:vAlign w:val="center"/>
          </w:tcPr>
          <w:p>
            <w:pPr>
              <w:autoSpaceDE w:val="0"/>
              <w:autoSpaceDN w:val="0"/>
              <w:adjustRightInd w:val="0"/>
              <w:jc w:val="center"/>
              <w:rPr>
                <w:rFonts w:eastAsiaTheme="minorEastAsia"/>
                <w:color w:val="auto"/>
                <w:sz w:val="21"/>
                <w:szCs w:val="21"/>
              </w:rPr>
            </w:pPr>
          </w:p>
        </w:tc>
        <w:tc>
          <w:tcPr>
            <w:tcW w:w="1529" w:type="dxa"/>
            <w:shd w:val="clear" w:color="auto" w:fill="auto"/>
            <w:vAlign w:val="center"/>
          </w:tcPr>
          <w:p>
            <w:pPr>
              <w:autoSpaceDE w:val="0"/>
              <w:autoSpaceDN w:val="0"/>
              <w:adjustRightInd w:val="0"/>
              <w:jc w:val="center"/>
              <w:rPr>
                <w:rFonts w:hint="eastAsia" w:eastAsiaTheme="minorEastAsia"/>
                <w:color w:val="auto"/>
                <w:kern w:val="0"/>
                <w:sz w:val="21"/>
                <w:szCs w:val="21"/>
                <w:lang w:eastAsia="zh-CN"/>
              </w:rPr>
            </w:pPr>
            <w:r>
              <w:rPr>
                <w:rFonts w:hint="eastAsia" w:eastAsiaTheme="minorEastAsia"/>
                <w:color w:val="auto"/>
                <w:sz w:val="21"/>
                <w:szCs w:val="21"/>
                <w:lang w:val="en-US" w:eastAsia="zh-CN"/>
              </w:rPr>
              <w:t>150</w:t>
            </w:r>
          </w:p>
        </w:tc>
        <w:tc>
          <w:tcPr>
            <w:tcW w:w="1713" w:type="dxa"/>
            <w:textDirection w:val="lrTb"/>
            <w:vAlign w:val="center"/>
          </w:tcPr>
          <w:p>
            <w:pPr>
              <w:autoSpaceDE w:val="0"/>
              <w:autoSpaceDN w:val="0"/>
              <w:adjustRightInd w:val="0"/>
              <w:jc w:val="center"/>
              <w:rPr>
                <w:rFonts w:hint="eastAsia" w:eastAsiaTheme="minorEastAsia"/>
                <w:color w:val="auto"/>
                <w:kern w:val="0"/>
                <w:sz w:val="21"/>
                <w:szCs w:val="21"/>
                <w:lang w:val="en-US" w:eastAsia="zh-CN"/>
              </w:rPr>
            </w:pPr>
            <w:r>
              <w:rPr>
                <w:rFonts w:hint="eastAsia" w:eastAsiaTheme="minorEastAsia"/>
                <w:color w:val="auto"/>
                <w:kern w:val="0"/>
                <w:sz w:val="21"/>
                <w:szCs w:val="21"/>
                <w:lang w:val="en-US" w:eastAsia="zh-CN"/>
              </w:rPr>
              <w:t xml:space="preserve">0.93 </w:t>
            </w:r>
          </w:p>
        </w:tc>
        <w:tc>
          <w:tcPr>
            <w:tcW w:w="1810" w:type="dxa"/>
            <w:vMerge w:val="continue"/>
            <w:shd w:val="clear" w:color="auto" w:fill="auto"/>
            <w:vAlign w:val="center"/>
          </w:tcPr>
          <w:p>
            <w:pPr>
              <w:autoSpaceDE w:val="0"/>
              <w:autoSpaceDN w:val="0"/>
              <w:adjustRightInd w:val="0"/>
              <w:jc w:val="center"/>
              <w:rPr>
                <w:rFonts w:eastAsiaTheme="minorEastAsia"/>
                <w:color w:val="auto"/>
                <w:kern w:val="0"/>
                <w:sz w:val="21"/>
                <w:szCs w:val="21"/>
              </w:rPr>
            </w:pPr>
          </w:p>
        </w:tc>
        <w:tc>
          <w:tcPr>
            <w:tcW w:w="1718" w:type="dxa"/>
            <w:shd w:val="clear" w:color="auto" w:fill="auto"/>
            <w:vAlign w:val="center"/>
          </w:tcPr>
          <w:p>
            <w:pPr>
              <w:autoSpaceDE w:val="0"/>
              <w:autoSpaceDN w:val="0"/>
              <w:adjustRightInd w:val="0"/>
              <w:jc w:val="center"/>
              <w:rPr>
                <w:rFonts w:eastAsiaTheme="minorEastAsia"/>
                <w:color w:val="auto"/>
                <w:kern w:val="0"/>
                <w:sz w:val="21"/>
                <w:szCs w:val="21"/>
              </w:rPr>
            </w:pPr>
            <w:r>
              <w:rPr>
                <w:rFonts w:eastAsiaTheme="minorEastAsia"/>
                <w:color w:val="auto"/>
                <w:kern w:val="0"/>
                <w:sz w:val="21"/>
                <w:szCs w:val="21"/>
              </w:rPr>
              <w:t>10</w:t>
            </w:r>
          </w:p>
        </w:tc>
        <w:tc>
          <w:tcPr>
            <w:tcW w:w="1373" w:type="dxa"/>
            <w:textDirection w:val="lrTb"/>
            <w:vAlign w:val="center"/>
          </w:tcPr>
          <w:p>
            <w:pPr>
              <w:autoSpaceDE w:val="0"/>
              <w:autoSpaceDN w:val="0"/>
              <w:adjustRightInd w:val="0"/>
              <w:jc w:val="center"/>
              <w:rPr>
                <w:rFonts w:hint="default" w:eastAsiaTheme="minorEastAsia"/>
                <w:color w:val="auto"/>
                <w:kern w:val="0"/>
                <w:sz w:val="21"/>
                <w:szCs w:val="21"/>
              </w:rPr>
            </w:pPr>
            <w:r>
              <w:rPr>
                <w:rFonts w:hint="eastAsia" w:eastAsiaTheme="minorEastAsia"/>
                <w:color w:val="auto"/>
                <w:kern w:val="0"/>
                <w:sz w:val="21"/>
                <w:szCs w:val="21"/>
                <w:lang w:val="en-US" w:eastAsia="zh-CN"/>
              </w:rPr>
              <w:t xml:space="preserve">0.06 </w:t>
            </w:r>
          </w:p>
        </w:tc>
        <w:tc>
          <w:tcPr>
            <w:tcW w:w="1252" w:type="dxa"/>
            <w:vMerge w:val="continue"/>
            <w:shd w:val="clear" w:color="auto" w:fill="auto"/>
            <w:vAlign w:val="center"/>
          </w:tcPr>
          <w:p>
            <w:pPr>
              <w:autoSpaceDE w:val="0"/>
              <w:autoSpaceDN w:val="0"/>
              <w:adjustRightInd w:val="0"/>
              <w:jc w:val="center"/>
              <w:rPr>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trPr>
        <w:tc>
          <w:tcPr>
            <w:tcW w:w="964" w:type="dxa"/>
            <w:vMerge w:val="continue"/>
            <w:shd w:val="clear" w:color="auto" w:fill="auto"/>
            <w:vAlign w:val="center"/>
          </w:tcPr>
          <w:p>
            <w:pPr>
              <w:autoSpaceDE w:val="0"/>
              <w:autoSpaceDN w:val="0"/>
              <w:adjustRightInd w:val="0"/>
              <w:jc w:val="center"/>
              <w:rPr>
                <w:rFonts w:eastAsiaTheme="minorEastAsia"/>
                <w:color w:val="auto"/>
                <w:kern w:val="0"/>
                <w:sz w:val="21"/>
                <w:szCs w:val="21"/>
              </w:rPr>
            </w:pPr>
          </w:p>
        </w:tc>
        <w:tc>
          <w:tcPr>
            <w:tcW w:w="1399" w:type="dxa"/>
            <w:shd w:val="clear" w:color="auto" w:fill="auto"/>
            <w:vAlign w:val="center"/>
          </w:tcPr>
          <w:p>
            <w:pPr>
              <w:autoSpaceDE w:val="0"/>
              <w:autoSpaceDN w:val="0"/>
              <w:adjustRightInd w:val="0"/>
              <w:jc w:val="center"/>
              <w:rPr>
                <w:rFonts w:eastAsiaTheme="minorEastAsia"/>
                <w:color w:val="auto"/>
                <w:kern w:val="0"/>
                <w:sz w:val="21"/>
                <w:szCs w:val="21"/>
              </w:rPr>
            </w:pPr>
            <w:r>
              <w:rPr>
                <w:rFonts w:eastAsiaTheme="minorEastAsia"/>
                <w:color w:val="auto"/>
                <w:sz w:val="21"/>
                <w:szCs w:val="21"/>
              </w:rPr>
              <w:t>NH</w:t>
            </w:r>
            <w:r>
              <w:rPr>
                <w:rFonts w:eastAsiaTheme="minorEastAsia"/>
                <w:color w:val="auto"/>
                <w:sz w:val="21"/>
                <w:szCs w:val="21"/>
                <w:vertAlign w:val="subscript"/>
              </w:rPr>
              <w:t>3</w:t>
            </w:r>
            <w:r>
              <w:rPr>
                <w:rFonts w:eastAsiaTheme="minorEastAsia"/>
                <w:color w:val="auto"/>
                <w:sz w:val="21"/>
                <w:szCs w:val="21"/>
              </w:rPr>
              <w:t>-N</w:t>
            </w:r>
          </w:p>
        </w:tc>
        <w:tc>
          <w:tcPr>
            <w:tcW w:w="1650" w:type="dxa"/>
            <w:vMerge w:val="continue"/>
            <w:shd w:val="clear" w:color="auto" w:fill="auto"/>
            <w:vAlign w:val="center"/>
          </w:tcPr>
          <w:p>
            <w:pPr>
              <w:autoSpaceDE w:val="0"/>
              <w:autoSpaceDN w:val="0"/>
              <w:adjustRightInd w:val="0"/>
              <w:jc w:val="center"/>
              <w:rPr>
                <w:rFonts w:eastAsiaTheme="minorEastAsia"/>
                <w:color w:val="auto"/>
                <w:kern w:val="0"/>
                <w:sz w:val="21"/>
                <w:szCs w:val="21"/>
              </w:rPr>
            </w:pPr>
          </w:p>
        </w:tc>
        <w:tc>
          <w:tcPr>
            <w:tcW w:w="1378" w:type="dxa"/>
            <w:vMerge w:val="continue"/>
            <w:vAlign w:val="center"/>
          </w:tcPr>
          <w:p>
            <w:pPr>
              <w:autoSpaceDE w:val="0"/>
              <w:autoSpaceDN w:val="0"/>
              <w:adjustRightInd w:val="0"/>
              <w:jc w:val="center"/>
              <w:rPr>
                <w:rFonts w:eastAsiaTheme="minorEastAsia"/>
                <w:color w:val="auto"/>
                <w:sz w:val="21"/>
                <w:szCs w:val="21"/>
              </w:rPr>
            </w:pPr>
          </w:p>
        </w:tc>
        <w:tc>
          <w:tcPr>
            <w:tcW w:w="1529" w:type="dxa"/>
            <w:shd w:val="clear" w:color="auto" w:fill="auto"/>
            <w:vAlign w:val="center"/>
          </w:tcPr>
          <w:p>
            <w:pPr>
              <w:autoSpaceDE w:val="0"/>
              <w:autoSpaceDN w:val="0"/>
              <w:adjustRightInd w:val="0"/>
              <w:jc w:val="center"/>
              <w:rPr>
                <w:rFonts w:hint="eastAsia" w:eastAsiaTheme="minorEastAsia"/>
                <w:color w:val="auto"/>
                <w:kern w:val="0"/>
                <w:sz w:val="21"/>
                <w:szCs w:val="21"/>
                <w:lang w:eastAsia="zh-CN"/>
              </w:rPr>
            </w:pPr>
            <w:r>
              <w:rPr>
                <w:rFonts w:hint="eastAsia" w:eastAsiaTheme="minorEastAsia"/>
                <w:color w:val="auto"/>
                <w:sz w:val="21"/>
                <w:szCs w:val="21"/>
                <w:lang w:val="en-US" w:eastAsia="zh-CN"/>
              </w:rPr>
              <w:t>1000</w:t>
            </w:r>
          </w:p>
        </w:tc>
        <w:tc>
          <w:tcPr>
            <w:tcW w:w="1713" w:type="dxa"/>
            <w:textDirection w:val="lrTb"/>
            <w:vAlign w:val="center"/>
          </w:tcPr>
          <w:p>
            <w:pPr>
              <w:autoSpaceDE w:val="0"/>
              <w:autoSpaceDN w:val="0"/>
              <w:adjustRightInd w:val="0"/>
              <w:jc w:val="center"/>
              <w:rPr>
                <w:rFonts w:hint="eastAsia" w:eastAsiaTheme="minorEastAsia"/>
                <w:color w:val="auto"/>
                <w:kern w:val="0"/>
                <w:sz w:val="21"/>
                <w:szCs w:val="21"/>
                <w:lang w:val="en-US" w:eastAsia="zh-CN"/>
              </w:rPr>
            </w:pPr>
            <w:r>
              <w:rPr>
                <w:rFonts w:hint="eastAsia" w:eastAsiaTheme="minorEastAsia"/>
                <w:color w:val="auto"/>
                <w:kern w:val="0"/>
                <w:sz w:val="21"/>
                <w:szCs w:val="21"/>
                <w:lang w:val="en-US" w:eastAsia="zh-CN"/>
              </w:rPr>
              <w:t xml:space="preserve">6.22 </w:t>
            </w:r>
          </w:p>
        </w:tc>
        <w:tc>
          <w:tcPr>
            <w:tcW w:w="1810" w:type="dxa"/>
            <w:vMerge w:val="continue"/>
            <w:shd w:val="clear" w:color="auto" w:fill="auto"/>
            <w:vAlign w:val="center"/>
          </w:tcPr>
          <w:p>
            <w:pPr>
              <w:autoSpaceDE w:val="0"/>
              <w:autoSpaceDN w:val="0"/>
              <w:adjustRightInd w:val="0"/>
              <w:jc w:val="center"/>
              <w:rPr>
                <w:rFonts w:eastAsiaTheme="minorEastAsia"/>
                <w:color w:val="auto"/>
                <w:kern w:val="0"/>
                <w:sz w:val="21"/>
                <w:szCs w:val="21"/>
              </w:rPr>
            </w:pPr>
          </w:p>
        </w:tc>
        <w:tc>
          <w:tcPr>
            <w:tcW w:w="1718" w:type="dxa"/>
            <w:shd w:val="clear" w:color="auto" w:fill="auto"/>
            <w:vAlign w:val="center"/>
          </w:tcPr>
          <w:p>
            <w:pPr>
              <w:autoSpaceDE w:val="0"/>
              <w:autoSpaceDN w:val="0"/>
              <w:adjustRightInd w:val="0"/>
              <w:jc w:val="center"/>
              <w:rPr>
                <w:rFonts w:eastAsiaTheme="minorEastAsia"/>
                <w:color w:val="auto"/>
                <w:kern w:val="0"/>
                <w:sz w:val="21"/>
                <w:szCs w:val="21"/>
              </w:rPr>
            </w:pPr>
            <w:r>
              <w:rPr>
                <w:rFonts w:eastAsiaTheme="minorEastAsia"/>
                <w:color w:val="auto"/>
                <w:kern w:val="0"/>
                <w:sz w:val="21"/>
                <w:szCs w:val="21"/>
              </w:rPr>
              <w:t>10</w:t>
            </w:r>
          </w:p>
        </w:tc>
        <w:tc>
          <w:tcPr>
            <w:tcW w:w="1373" w:type="dxa"/>
            <w:textDirection w:val="lrTb"/>
            <w:vAlign w:val="center"/>
          </w:tcPr>
          <w:p>
            <w:pPr>
              <w:autoSpaceDE w:val="0"/>
              <w:autoSpaceDN w:val="0"/>
              <w:adjustRightInd w:val="0"/>
              <w:jc w:val="center"/>
              <w:rPr>
                <w:rFonts w:hint="default" w:eastAsiaTheme="minorEastAsia"/>
                <w:color w:val="auto"/>
                <w:kern w:val="0"/>
                <w:sz w:val="21"/>
                <w:szCs w:val="21"/>
                <w:lang w:val="en-US" w:eastAsia="zh-CN"/>
              </w:rPr>
            </w:pPr>
            <w:r>
              <w:rPr>
                <w:rFonts w:hint="eastAsia" w:eastAsiaTheme="minorEastAsia"/>
                <w:color w:val="auto"/>
                <w:kern w:val="0"/>
                <w:sz w:val="21"/>
                <w:szCs w:val="21"/>
                <w:lang w:val="en-US" w:eastAsia="zh-CN"/>
              </w:rPr>
              <w:t xml:space="preserve">0.06 </w:t>
            </w:r>
          </w:p>
        </w:tc>
        <w:tc>
          <w:tcPr>
            <w:tcW w:w="1252" w:type="dxa"/>
            <w:vMerge w:val="continue"/>
            <w:shd w:val="clear" w:color="auto" w:fill="auto"/>
            <w:vAlign w:val="center"/>
          </w:tcPr>
          <w:p>
            <w:pPr>
              <w:autoSpaceDE w:val="0"/>
              <w:autoSpaceDN w:val="0"/>
              <w:adjustRightInd w:val="0"/>
              <w:jc w:val="center"/>
              <w:rPr>
                <w:color w:val="auto"/>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trPr>
        <w:tc>
          <w:tcPr>
            <w:tcW w:w="964" w:type="dxa"/>
            <w:vMerge w:val="continue"/>
            <w:shd w:val="clear" w:color="auto" w:fill="auto"/>
            <w:vAlign w:val="center"/>
          </w:tcPr>
          <w:p>
            <w:pPr>
              <w:autoSpaceDE w:val="0"/>
              <w:autoSpaceDN w:val="0"/>
              <w:adjustRightInd w:val="0"/>
              <w:jc w:val="center"/>
              <w:rPr>
                <w:rFonts w:eastAsiaTheme="minorEastAsia"/>
                <w:color w:val="auto"/>
                <w:kern w:val="0"/>
                <w:sz w:val="21"/>
                <w:szCs w:val="21"/>
              </w:rPr>
            </w:pPr>
          </w:p>
        </w:tc>
        <w:tc>
          <w:tcPr>
            <w:tcW w:w="1399" w:type="dxa"/>
            <w:shd w:val="clear" w:color="auto" w:fill="auto"/>
            <w:vAlign w:val="center"/>
          </w:tcPr>
          <w:p>
            <w:pPr>
              <w:autoSpaceDE w:val="0"/>
              <w:autoSpaceDN w:val="0"/>
              <w:adjustRightInd w:val="0"/>
              <w:jc w:val="center"/>
              <w:rPr>
                <w:rFonts w:eastAsiaTheme="minorEastAsia"/>
                <w:color w:val="auto"/>
                <w:sz w:val="21"/>
                <w:szCs w:val="21"/>
              </w:rPr>
            </w:pPr>
            <w:r>
              <w:rPr>
                <w:rFonts w:hint="eastAsia" w:eastAsiaTheme="minorEastAsia"/>
                <w:color w:val="auto"/>
                <w:sz w:val="21"/>
                <w:szCs w:val="21"/>
              </w:rPr>
              <w:t>动植物油</w:t>
            </w:r>
          </w:p>
        </w:tc>
        <w:tc>
          <w:tcPr>
            <w:tcW w:w="1650" w:type="dxa"/>
            <w:vMerge w:val="continue"/>
            <w:shd w:val="clear" w:color="auto" w:fill="auto"/>
            <w:vAlign w:val="center"/>
          </w:tcPr>
          <w:p>
            <w:pPr>
              <w:autoSpaceDE w:val="0"/>
              <w:autoSpaceDN w:val="0"/>
              <w:adjustRightInd w:val="0"/>
              <w:jc w:val="center"/>
              <w:rPr>
                <w:rFonts w:eastAsiaTheme="minorEastAsia"/>
                <w:color w:val="auto"/>
                <w:kern w:val="0"/>
                <w:sz w:val="21"/>
                <w:szCs w:val="21"/>
              </w:rPr>
            </w:pPr>
          </w:p>
        </w:tc>
        <w:tc>
          <w:tcPr>
            <w:tcW w:w="1378" w:type="dxa"/>
            <w:vMerge w:val="continue"/>
            <w:vAlign w:val="center"/>
          </w:tcPr>
          <w:p>
            <w:pPr>
              <w:autoSpaceDE w:val="0"/>
              <w:autoSpaceDN w:val="0"/>
              <w:adjustRightInd w:val="0"/>
              <w:jc w:val="center"/>
              <w:rPr>
                <w:rFonts w:eastAsiaTheme="minorEastAsia"/>
                <w:color w:val="auto"/>
                <w:sz w:val="21"/>
                <w:szCs w:val="21"/>
              </w:rPr>
            </w:pPr>
          </w:p>
        </w:tc>
        <w:tc>
          <w:tcPr>
            <w:tcW w:w="1529" w:type="dxa"/>
            <w:shd w:val="clear" w:color="auto" w:fill="auto"/>
            <w:vAlign w:val="center"/>
          </w:tcPr>
          <w:p>
            <w:pPr>
              <w:autoSpaceDE w:val="0"/>
              <w:autoSpaceDN w:val="0"/>
              <w:adjustRightInd w:val="0"/>
              <w:jc w:val="center"/>
              <w:rPr>
                <w:rFonts w:hint="eastAsia" w:eastAsiaTheme="minorEastAsia"/>
                <w:color w:val="auto"/>
                <w:sz w:val="21"/>
                <w:szCs w:val="21"/>
                <w:highlight w:val="yellow"/>
                <w:lang w:val="en-US" w:eastAsia="zh-CN"/>
              </w:rPr>
            </w:pPr>
            <w:r>
              <w:rPr>
                <w:rFonts w:hint="eastAsia" w:eastAsiaTheme="minorEastAsia"/>
                <w:color w:val="auto"/>
                <w:sz w:val="21"/>
                <w:szCs w:val="21"/>
                <w:highlight w:val="none"/>
                <w:lang w:val="en-US" w:eastAsia="zh-CN"/>
              </w:rPr>
              <w:t>100</w:t>
            </w:r>
          </w:p>
        </w:tc>
        <w:tc>
          <w:tcPr>
            <w:tcW w:w="1713" w:type="dxa"/>
            <w:textDirection w:val="lrTb"/>
            <w:vAlign w:val="center"/>
          </w:tcPr>
          <w:p>
            <w:pPr>
              <w:autoSpaceDE w:val="0"/>
              <w:autoSpaceDN w:val="0"/>
              <w:adjustRightInd w:val="0"/>
              <w:jc w:val="center"/>
              <w:rPr>
                <w:rFonts w:hint="eastAsia" w:eastAsiaTheme="minorEastAsia"/>
                <w:color w:val="auto"/>
                <w:kern w:val="0"/>
                <w:sz w:val="21"/>
                <w:szCs w:val="21"/>
                <w:lang w:val="en-US" w:eastAsia="zh-CN"/>
              </w:rPr>
            </w:pPr>
            <w:r>
              <w:rPr>
                <w:rFonts w:hint="eastAsia" w:eastAsiaTheme="minorEastAsia"/>
                <w:color w:val="auto"/>
                <w:kern w:val="0"/>
                <w:sz w:val="21"/>
                <w:szCs w:val="21"/>
                <w:lang w:val="en-US" w:eastAsia="zh-CN"/>
              </w:rPr>
              <w:t xml:space="preserve">0.62 </w:t>
            </w:r>
          </w:p>
        </w:tc>
        <w:tc>
          <w:tcPr>
            <w:tcW w:w="1810" w:type="dxa"/>
            <w:vMerge w:val="continue"/>
            <w:shd w:val="clear" w:color="auto" w:fill="auto"/>
            <w:vAlign w:val="center"/>
          </w:tcPr>
          <w:p>
            <w:pPr>
              <w:autoSpaceDE w:val="0"/>
              <w:autoSpaceDN w:val="0"/>
              <w:adjustRightInd w:val="0"/>
              <w:jc w:val="center"/>
              <w:rPr>
                <w:rFonts w:eastAsiaTheme="minorEastAsia"/>
                <w:color w:val="auto"/>
                <w:kern w:val="0"/>
                <w:sz w:val="21"/>
                <w:szCs w:val="21"/>
              </w:rPr>
            </w:pPr>
          </w:p>
        </w:tc>
        <w:tc>
          <w:tcPr>
            <w:tcW w:w="1718" w:type="dxa"/>
            <w:shd w:val="clear" w:color="auto" w:fill="auto"/>
            <w:vAlign w:val="center"/>
          </w:tcPr>
          <w:p>
            <w:pPr>
              <w:autoSpaceDE w:val="0"/>
              <w:autoSpaceDN w:val="0"/>
              <w:adjustRightInd w:val="0"/>
              <w:jc w:val="center"/>
              <w:rPr>
                <w:rFonts w:eastAsiaTheme="minorEastAsia"/>
                <w:color w:val="auto"/>
                <w:kern w:val="0"/>
                <w:sz w:val="21"/>
                <w:szCs w:val="21"/>
              </w:rPr>
            </w:pPr>
            <w:r>
              <w:rPr>
                <w:rFonts w:eastAsiaTheme="minorEastAsia"/>
                <w:color w:val="auto"/>
                <w:kern w:val="0"/>
                <w:sz w:val="21"/>
                <w:szCs w:val="21"/>
              </w:rPr>
              <w:t>1</w:t>
            </w:r>
          </w:p>
        </w:tc>
        <w:tc>
          <w:tcPr>
            <w:tcW w:w="1373" w:type="dxa"/>
            <w:textDirection w:val="lrTb"/>
            <w:vAlign w:val="center"/>
          </w:tcPr>
          <w:p>
            <w:pPr>
              <w:autoSpaceDE w:val="0"/>
              <w:autoSpaceDN w:val="0"/>
              <w:adjustRightInd w:val="0"/>
              <w:jc w:val="center"/>
              <w:rPr>
                <w:rFonts w:hint="default" w:eastAsiaTheme="minorEastAsia"/>
                <w:color w:val="auto"/>
                <w:kern w:val="0"/>
                <w:sz w:val="21"/>
                <w:szCs w:val="21"/>
                <w:lang w:val="en-US" w:eastAsia="zh-CN"/>
              </w:rPr>
            </w:pPr>
            <w:r>
              <w:rPr>
                <w:rFonts w:hint="eastAsia" w:eastAsiaTheme="minorEastAsia"/>
                <w:color w:val="auto"/>
                <w:kern w:val="0"/>
                <w:sz w:val="21"/>
                <w:szCs w:val="21"/>
                <w:lang w:val="en-US" w:eastAsia="zh-CN"/>
              </w:rPr>
              <w:t xml:space="preserve">0.01 </w:t>
            </w:r>
          </w:p>
        </w:tc>
        <w:tc>
          <w:tcPr>
            <w:tcW w:w="1252" w:type="dxa"/>
            <w:vMerge w:val="continue"/>
            <w:shd w:val="clear" w:color="auto" w:fill="auto"/>
            <w:vAlign w:val="center"/>
          </w:tcPr>
          <w:p>
            <w:pPr>
              <w:autoSpaceDE w:val="0"/>
              <w:autoSpaceDN w:val="0"/>
              <w:adjustRightInd w:val="0"/>
              <w:jc w:val="center"/>
              <w:rPr>
                <w:color w:val="auto"/>
                <w:kern w:val="0"/>
                <w:sz w:val="21"/>
                <w:szCs w:val="21"/>
              </w:rPr>
            </w:pPr>
          </w:p>
        </w:tc>
      </w:tr>
    </w:tbl>
    <w:p>
      <w:pPr>
        <w:spacing w:line="360" w:lineRule="auto"/>
        <w:rPr>
          <w:rFonts w:hint="eastAsia" w:eastAsia="宋体"/>
          <w:color w:val="auto"/>
          <w:lang w:eastAsia="zh-CN"/>
        </w:rPr>
        <w:sectPr>
          <w:pgSz w:w="16838" w:h="11906" w:orient="landscape"/>
          <w:pgMar w:top="1701" w:right="1134" w:bottom="1134" w:left="1134" w:header="851" w:footer="992" w:gutter="0"/>
          <w:pgNumType w:fmt="decimal"/>
          <w:cols w:space="720" w:num="1"/>
          <w:docGrid w:linePitch="326" w:charSpace="0"/>
        </w:sectPr>
      </w:pPr>
      <w:r>
        <w:rPr>
          <w:rFonts w:hint="eastAsia"/>
          <w:color w:val="auto"/>
          <w:lang w:eastAsia="zh-CN"/>
        </w:rPr>
        <w:t>备注：通过上述计算，本项目初期雨水产生量为</w:t>
      </w:r>
      <w:r>
        <w:rPr>
          <w:rFonts w:hint="eastAsia"/>
          <w:color w:val="auto"/>
          <w:lang w:val="en-US" w:eastAsia="zh-CN"/>
        </w:rPr>
        <w:t>4.75t/次，按照梅州市年暴雨天数为100次计，则每年产生的初期雨水为475t/a，折算项目每天产生初期雨水量约为1.44t/d。（按照330天计算）。</w:t>
      </w:r>
    </w:p>
    <w:p>
      <w:pPr>
        <w:spacing w:line="360" w:lineRule="auto"/>
        <w:rPr>
          <w:b/>
          <w:color w:val="auto"/>
        </w:rPr>
      </w:pPr>
      <w:r>
        <w:rPr>
          <w:b/>
          <w:color w:val="auto"/>
        </w:rPr>
        <w:t>3.</w:t>
      </w:r>
      <w:r>
        <w:rPr>
          <w:rFonts w:hint="eastAsia"/>
          <w:b/>
          <w:color w:val="auto"/>
          <w:lang w:val="en-US" w:eastAsia="zh-CN"/>
        </w:rPr>
        <w:t>3</w:t>
      </w:r>
      <w:r>
        <w:rPr>
          <w:b/>
          <w:color w:val="auto"/>
        </w:rPr>
        <w:t>.</w:t>
      </w:r>
      <w:r>
        <w:rPr>
          <w:rFonts w:hint="eastAsia"/>
          <w:b/>
          <w:color w:val="auto"/>
        </w:rPr>
        <w:t>1</w:t>
      </w:r>
      <w:r>
        <w:rPr>
          <w:b/>
          <w:color w:val="auto"/>
        </w:rPr>
        <w:t>.3噪声影响分析及污染预测</w:t>
      </w:r>
    </w:p>
    <w:p>
      <w:pPr>
        <w:spacing w:line="360" w:lineRule="auto"/>
        <w:ind w:firstLine="480" w:firstLineChars="200"/>
        <w:rPr>
          <w:color w:val="auto"/>
        </w:rPr>
      </w:pPr>
      <w:r>
        <w:rPr>
          <w:rFonts w:hint="eastAsia"/>
          <w:color w:val="auto"/>
        </w:rPr>
        <w:t>本项目</w:t>
      </w:r>
      <w:r>
        <w:rPr>
          <w:color w:val="auto"/>
        </w:rPr>
        <w:t>噪声源主要由各种运转设备产生，固定性噪声源包括</w:t>
      </w:r>
      <w:r>
        <w:rPr>
          <w:rFonts w:hint="eastAsia"/>
          <w:color w:val="auto"/>
        </w:rPr>
        <w:t>破碎机、脱水机</w:t>
      </w:r>
      <w:r>
        <w:rPr>
          <w:color w:val="auto"/>
        </w:rPr>
        <w:t>、引风机、送风机、空气压缩机、泵类等。噪声排放状况见表3.</w:t>
      </w:r>
      <w:r>
        <w:rPr>
          <w:rFonts w:hint="eastAsia"/>
          <w:color w:val="auto"/>
          <w:lang w:val="en-US" w:eastAsia="zh-CN"/>
        </w:rPr>
        <w:t>3</w:t>
      </w:r>
      <w:r>
        <w:rPr>
          <w:color w:val="auto"/>
        </w:rPr>
        <w:t>-</w:t>
      </w:r>
      <w:r>
        <w:rPr>
          <w:rFonts w:hint="eastAsia"/>
          <w:color w:val="auto"/>
        </w:rPr>
        <w:t>8</w:t>
      </w:r>
      <w:r>
        <w:rPr>
          <w:color w:val="auto"/>
        </w:rPr>
        <w:t>。</w:t>
      </w:r>
    </w:p>
    <w:p>
      <w:pPr>
        <w:jc w:val="center"/>
        <w:rPr>
          <w:b/>
          <w:color w:val="auto"/>
        </w:rPr>
      </w:pPr>
      <w:r>
        <w:rPr>
          <w:b/>
          <w:color w:val="auto"/>
        </w:rPr>
        <w:t>表</w:t>
      </w:r>
      <w:r>
        <w:rPr>
          <w:rFonts w:hint="eastAsia"/>
          <w:b/>
          <w:color w:val="auto"/>
        </w:rPr>
        <w:t>3.</w:t>
      </w:r>
      <w:r>
        <w:rPr>
          <w:rFonts w:hint="eastAsia"/>
          <w:b/>
          <w:color w:val="auto"/>
          <w:lang w:val="en-US" w:eastAsia="zh-CN"/>
        </w:rPr>
        <w:t>3</w:t>
      </w:r>
      <w:r>
        <w:rPr>
          <w:b/>
          <w:color w:val="auto"/>
        </w:rPr>
        <w:noBreakHyphen/>
      </w:r>
      <w:r>
        <w:rPr>
          <w:rFonts w:hint="eastAsia"/>
          <w:b/>
          <w:color w:val="auto"/>
        </w:rPr>
        <w:t>8</w:t>
      </w:r>
      <w:r>
        <w:rPr>
          <w:b/>
          <w:color w:val="auto"/>
        </w:rPr>
        <w:t xml:space="preserve">  噪声产生、治理及排放情况（设备1m处源强，dB（A））</w:t>
      </w:r>
    </w:p>
    <w:tbl>
      <w:tblPr>
        <w:tblStyle w:val="53"/>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1"/>
        <w:gridCol w:w="1382"/>
        <w:gridCol w:w="1140"/>
        <w:gridCol w:w="3083"/>
        <w:gridCol w:w="1688"/>
        <w:gridCol w:w="12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711" w:type="dxa"/>
            <w:vAlign w:val="center"/>
          </w:tcPr>
          <w:p>
            <w:pPr>
              <w:jc w:val="center"/>
              <w:rPr>
                <w:b/>
                <w:color w:val="auto"/>
                <w:sz w:val="21"/>
                <w:szCs w:val="21"/>
              </w:rPr>
            </w:pPr>
            <w:r>
              <w:rPr>
                <w:b/>
                <w:color w:val="auto"/>
                <w:sz w:val="21"/>
                <w:szCs w:val="21"/>
              </w:rPr>
              <w:t>序号</w:t>
            </w:r>
          </w:p>
        </w:tc>
        <w:tc>
          <w:tcPr>
            <w:tcW w:w="1382" w:type="dxa"/>
            <w:vAlign w:val="center"/>
          </w:tcPr>
          <w:p>
            <w:pPr>
              <w:jc w:val="center"/>
              <w:rPr>
                <w:b/>
                <w:color w:val="auto"/>
                <w:sz w:val="21"/>
                <w:szCs w:val="21"/>
              </w:rPr>
            </w:pPr>
            <w:r>
              <w:rPr>
                <w:b/>
                <w:color w:val="auto"/>
                <w:sz w:val="21"/>
                <w:szCs w:val="21"/>
              </w:rPr>
              <w:t>设备</w:t>
            </w:r>
          </w:p>
          <w:p>
            <w:pPr>
              <w:jc w:val="center"/>
              <w:rPr>
                <w:b/>
                <w:color w:val="auto"/>
                <w:sz w:val="21"/>
                <w:szCs w:val="21"/>
              </w:rPr>
            </w:pPr>
            <w:r>
              <w:rPr>
                <w:b/>
                <w:color w:val="auto"/>
                <w:sz w:val="21"/>
                <w:szCs w:val="21"/>
              </w:rPr>
              <w:t>名称</w:t>
            </w:r>
          </w:p>
        </w:tc>
        <w:tc>
          <w:tcPr>
            <w:tcW w:w="1140" w:type="dxa"/>
            <w:vAlign w:val="center"/>
          </w:tcPr>
          <w:p>
            <w:pPr>
              <w:jc w:val="center"/>
              <w:rPr>
                <w:b/>
                <w:color w:val="auto"/>
                <w:sz w:val="21"/>
                <w:szCs w:val="21"/>
              </w:rPr>
            </w:pPr>
            <w:r>
              <w:rPr>
                <w:b/>
                <w:color w:val="auto"/>
                <w:sz w:val="21"/>
                <w:szCs w:val="21"/>
              </w:rPr>
              <w:t>声源</w:t>
            </w:r>
          </w:p>
          <w:p>
            <w:pPr>
              <w:jc w:val="center"/>
              <w:rPr>
                <w:b/>
                <w:color w:val="auto"/>
                <w:sz w:val="21"/>
                <w:szCs w:val="21"/>
              </w:rPr>
            </w:pPr>
            <w:r>
              <w:rPr>
                <w:b/>
                <w:color w:val="auto"/>
                <w:sz w:val="21"/>
                <w:szCs w:val="21"/>
              </w:rPr>
              <w:t>噪声级</w:t>
            </w:r>
          </w:p>
        </w:tc>
        <w:tc>
          <w:tcPr>
            <w:tcW w:w="3083" w:type="dxa"/>
            <w:vAlign w:val="center"/>
          </w:tcPr>
          <w:p>
            <w:pPr>
              <w:jc w:val="center"/>
              <w:rPr>
                <w:b/>
                <w:color w:val="auto"/>
                <w:sz w:val="21"/>
                <w:szCs w:val="21"/>
              </w:rPr>
            </w:pPr>
            <w:r>
              <w:rPr>
                <w:b/>
                <w:color w:val="auto"/>
                <w:sz w:val="21"/>
                <w:szCs w:val="21"/>
              </w:rPr>
              <w:t>治理措施</w:t>
            </w:r>
          </w:p>
        </w:tc>
        <w:tc>
          <w:tcPr>
            <w:tcW w:w="1688" w:type="dxa"/>
            <w:vAlign w:val="center"/>
          </w:tcPr>
          <w:p>
            <w:pPr>
              <w:jc w:val="center"/>
              <w:rPr>
                <w:b/>
                <w:color w:val="auto"/>
                <w:sz w:val="21"/>
                <w:szCs w:val="21"/>
              </w:rPr>
            </w:pPr>
            <w:r>
              <w:rPr>
                <w:b/>
                <w:color w:val="auto"/>
                <w:sz w:val="21"/>
                <w:szCs w:val="21"/>
              </w:rPr>
              <w:t>治理效果（降噪dB）</w:t>
            </w:r>
          </w:p>
        </w:tc>
        <w:tc>
          <w:tcPr>
            <w:tcW w:w="1282" w:type="dxa"/>
            <w:vAlign w:val="center"/>
          </w:tcPr>
          <w:p>
            <w:pPr>
              <w:jc w:val="center"/>
              <w:rPr>
                <w:b/>
                <w:color w:val="auto"/>
                <w:sz w:val="21"/>
                <w:szCs w:val="21"/>
              </w:rPr>
            </w:pPr>
            <w:r>
              <w:rPr>
                <w:b/>
                <w:color w:val="auto"/>
                <w:sz w:val="21"/>
                <w:szCs w:val="21"/>
              </w:rPr>
              <w:t>治理后噪声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711" w:type="dxa"/>
            <w:vAlign w:val="center"/>
          </w:tcPr>
          <w:p>
            <w:pPr>
              <w:jc w:val="center"/>
              <w:rPr>
                <w:color w:val="auto"/>
                <w:sz w:val="21"/>
                <w:szCs w:val="21"/>
              </w:rPr>
            </w:pPr>
            <w:r>
              <w:rPr>
                <w:rFonts w:hint="eastAsia"/>
                <w:color w:val="auto"/>
                <w:sz w:val="21"/>
                <w:szCs w:val="21"/>
              </w:rPr>
              <w:t>1</w:t>
            </w:r>
          </w:p>
        </w:tc>
        <w:tc>
          <w:tcPr>
            <w:tcW w:w="1382" w:type="dxa"/>
            <w:vAlign w:val="center"/>
          </w:tcPr>
          <w:p>
            <w:pPr>
              <w:jc w:val="center"/>
              <w:rPr>
                <w:color w:val="auto"/>
                <w:sz w:val="21"/>
                <w:szCs w:val="21"/>
              </w:rPr>
            </w:pPr>
            <w:r>
              <w:rPr>
                <w:color w:val="auto"/>
                <w:sz w:val="21"/>
                <w:szCs w:val="21"/>
              </w:rPr>
              <w:t>引风机</w:t>
            </w:r>
          </w:p>
        </w:tc>
        <w:tc>
          <w:tcPr>
            <w:tcW w:w="1140" w:type="dxa"/>
            <w:vAlign w:val="center"/>
          </w:tcPr>
          <w:p>
            <w:pPr>
              <w:jc w:val="center"/>
              <w:rPr>
                <w:color w:val="auto"/>
                <w:sz w:val="21"/>
                <w:szCs w:val="21"/>
              </w:rPr>
            </w:pPr>
            <w:r>
              <w:rPr>
                <w:color w:val="auto"/>
                <w:sz w:val="21"/>
                <w:szCs w:val="21"/>
              </w:rPr>
              <w:t>85～90</w:t>
            </w:r>
          </w:p>
        </w:tc>
        <w:tc>
          <w:tcPr>
            <w:tcW w:w="3083" w:type="dxa"/>
            <w:vAlign w:val="center"/>
          </w:tcPr>
          <w:p>
            <w:pPr>
              <w:jc w:val="center"/>
              <w:rPr>
                <w:color w:val="auto"/>
                <w:sz w:val="21"/>
                <w:szCs w:val="21"/>
              </w:rPr>
            </w:pPr>
            <w:r>
              <w:rPr>
                <w:color w:val="auto"/>
                <w:sz w:val="21"/>
                <w:szCs w:val="21"/>
              </w:rPr>
              <w:t>加装隔音箱、厂房隔声</w:t>
            </w:r>
          </w:p>
        </w:tc>
        <w:tc>
          <w:tcPr>
            <w:tcW w:w="1688" w:type="dxa"/>
            <w:vAlign w:val="center"/>
          </w:tcPr>
          <w:p>
            <w:pPr>
              <w:jc w:val="center"/>
              <w:rPr>
                <w:color w:val="auto"/>
                <w:sz w:val="21"/>
                <w:szCs w:val="21"/>
              </w:rPr>
            </w:pPr>
            <w:r>
              <w:rPr>
                <w:color w:val="auto"/>
                <w:sz w:val="21"/>
                <w:szCs w:val="21"/>
              </w:rPr>
              <w:t>30～35</w:t>
            </w:r>
          </w:p>
        </w:tc>
        <w:tc>
          <w:tcPr>
            <w:tcW w:w="1282" w:type="dxa"/>
            <w:vAlign w:val="center"/>
          </w:tcPr>
          <w:p>
            <w:pPr>
              <w:jc w:val="center"/>
              <w:rPr>
                <w:color w:val="auto"/>
                <w:sz w:val="21"/>
                <w:szCs w:val="21"/>
              </w:rPr>
            </w:pPr>
            <w:r>
              <w:rPr>
                <w:color w:val="auto"/>
                <w:sz w:val="21"/>
                <w:szCs w:val="21"/>
              </w:rPr>
              <w:t>55～60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711" w:type="dxa"/>
            <w:vAlign w:val="center"/>
          </w:tcPr>
          <w:p>
            <w:pPr>
              <w:jc w:val="center"/>
              <w:rPr>
                <w:color w:val="auto"/>
                <w:sz w:val="21"/>
                <w:szCs w:val="21"/>
              </w:rPr>
            </w:pPr>
            <w:r>
              <w:rPr>
                <w:rFonts w:hint="eastAsia"/>
                <w:color w:val="auto"/>
                <w:sz w:val="21"/>
                <w:szCs w:val="21"/>
              </w:rPr>
              <w:t>2</w:t>
            </w:r>
          </w:p>
        </w:tc>
        <w:tc>
          <w:tcPr>
            <w:tcW w:w="1382" w:type="dxa"/>
            <w:vAlign w:val="center"/>
          </w:tcPr>
          <w:p>
            <w:pPr>
              <w:jc w:val="center"/>
              <w:rPr>
                <w:color w:val="auto"/>
                <w:sz w:val="21"/>
                <w:szCs w:val="21"/>
              </w:rPr>
            </w:pPr>
            <w:r>
              <w:rPr>
                <w:color w:val="auto"/>
                <w:sz w:val="21"/>
                <w:szCs w:val="21"/>
              </w:rPr>
              <w:t>送风机</w:t>
            </w:r>
          </w:p>
        </w:tc>
        <w:tc>
          <w:tcPr>
            <w:tcW w:w="1140" w:type="dxa"/>
            <w:vAlign w:val="center"/>
          </w:tcPr>
          <w:p>
            <w:pPr>
              <w:jc w:val="center"/>
              <w:rPr>
                <w:color w:val="auto"/>
                <w:sz w:val="21"/>
                <w:szCs w:val="21"/>
              </w:rPr>
            </w:pPr>
            <w:r>
              <w:rPr>
                <w:color w:val="auto"/>
                <w:sz w:val="21"/>
                <w:szCs w:val="21"/>
              </w:rPr>
              <w:t>85～90</w:t>
            </w:r>
          </w:p>
        </w:tc>
        <w:tc>
          <w:tcPr>
            <w:tcW w:w="3083" w:type="dxa"/>
            <w:vAlign w:val="center"/>
          </w:tcPr>
          <w:p>
            <w:pPr>
              <w:jc w:val="center"/>
              <w:rPr>
                <w:color w:val="auto"/>
                <w:sz w:val="21"/>
                <w:szCs w:val="21"/>
              </w:rPr>
            </w:pPr>
            <w:r>
              <w:rPr>
                <w:color w:val="auto"/>
                <w:sz w:val="21"/>
                <w:szCs w:val="21"/>
              </w:rPr>
              <w:t>加装隔音箱、厂房隔声</w:t>
            </w:r>
          </w:p>
        </w:tc>
        <w:tc>
          <w:tcPr>
            <w:tcW w:w="1688" w:type="dxa"/>
            <w:vAlign w:val="center"/>
          </w:tcPr>
          <w:p>
            <w:pPr>
              <w:jc w:val="center"/>
              <w:rPr>
                <w:color w:val="auto"/>
                <w:sz w:val="21"/>
                <w:szCs w:val="21"/>
              </w:rPr>
            </w:pPr>
            <w:r>
              <w:rPr>
                <w:color w:val="auto"/>
                <w:sz w:val="21"/>
                <w:szCs w:val="21"/>
              </w:rPr>
              <w:t>30～35</w:t>
            </w:r>
          </w:p>
        </w:tc>
        <w:tc>
          <w:tcPr>
            <w:tcW w:w="1282" w:type="dxa"/>
            <w:vAlign w:val="center"/>
          </w:tcPr>
          <w:p>
            <w:pPr>
              <w:jc w:val="center"/>
              <w:rPr>
                <w:color w:val="auto"/>
                <w:sz w:val="21"/>
                <w:szCs w:val="21"/>
              </w:rPr>
            </w:pPr>
            <w:r>
              <w:rPr>
                <w:color w:val="auto"/>
                <w:sz w:val="21"/>
                <w:szCs w:val="21"/>
              </w:rPr>
              <w:t>55～60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711" w:type="dxa"/>
            <w:vAlign w:val="center"/>
          </w:tcPr>
          <w:p>
            <w:pPr>
              <w:jc w:val="center"/>
              <w:rPr>
                <w:color w:val="auto"/>
                <w:sz w:val="21"/>
                <w:szCs w:val="21"/>
              </w:rPr>
            </w:pPr>
            <w:r>
              <w:rPr>
                <w:rFonts w:hint="eastAsia"/>
                <w:color w:val="auto"/>
                <w:sz w:val="21"/>
                <w:szCs w:val="21"/>
              </w:rPr>
              <w:t>3</w:t>
            </w:r>
          </w:p>
        </w:tc>
        <w:tc>
          <w:tcPr>
            <w:tcW w:w="1382" w:type="dxa"/>
            <w:vAlign w:val="center"/>
          </w:tcPr>
          <w:p>
            <w:pPr>
              <w:jc w:val="center"/>
              <w:rPr>
                <w:color w:val="auto"/>
                <w:sz w:val="21"/>
                <w:szCs w:val="21"/>
              </w:rPr>
            </w:pPr>
            <w:r>
              <w:rPr>
                <w:color w:val="auto"/>
                <w:sz w:val="21"/>
                <w:szCs w:val="21"/>
              </w:rPr>
              <w:t>空气压缩机</w:t>
            </w:r>
          </w:p>
        </w:tc>
        <w:tc>
          <w:tcPr>
            <w:tcW w:w="1140" w:type="dxa"/>
            <w:vAlign w:val="center"/>
          </w:tcPr>
          <w:p>
            <w:pPr>
              <w:jc w:val="center"/>
              <w:rPr>
                <w:color w:val="auto"/>
                <w:sz w:val="21"/>
                <w:szCs w:val="21"/>
              </w:rPr>
            </w:pPr>
            <w:r>
              <w:rPr>
                <w:color w:val="auto"/>
                <w:sz w:val="21"/>
                <w:szCs w:val="21"/>
              </w:rPr>
              <w:t>90～95</w:t>
            </w:r>
          </w:p>
        </w:tc>
        <w:tc>
          <w:tcPr>
            <w:tcW w:w="3083" w:type="dxa"/>
            <w:vAlign w:val="center"/>
          </w:tcPr>
          <w:p>
            <w:pPr>
              <w:jc w:val="center"/>
              <w:rPr>
                <w:color w:val="auto"/>
                <w:sz w:val="21"/>
                <w:szCs w:val="21"/>
              </w:rPr>
            </w:pPr>
            <w:r>
              <w:rPr>
                <w:color w:val="auto"/>
                <w:sz w:val="21"/>
                <w:szCs w:val="21"/>
              </w:rPr>
              <w:t>厂房隔声</w:t>
            </w:r>
          </w:p>
        </w:tc>
        <w:tc>
          <w:tcPr>
            <w:tcW w:w="1688" w:type="dxa"/>
            <w:vAlign w:val="center"/>
          </w:tcPr>
          <w:p>
            <w:pPr>
              <w:jc w:val="center"/>
              <w:rPr>
                <w:color w:val="auto"/>
                <w:sz w:val="21"/>
                <w:szCs w:val="21"/>
              </w:rPr>
            </w:pPr>
            <w:r>
              <w:rPr>
                <w:color w:val="auto"/>
                <w:sz w:val="21"/>
                <w:szCs w:val="21"/>
              </w:rPr>
              <w:t>35～40</w:t>
            </w:r>
          </w:p>
        </w:tc>
        <w:tc>
          <w:tcPr>
            <w:tcW w:w="1282" w:type="dxa"/>
            <w:vAlign w:val="center"/>
          </w:tcPr>
          <w:p>
            <w:pPr>
              <w:jc w:val="center"/>
              <w:rPr>
                <w:color w:val="auto"/>
                <w:sz w:val="21"/>
                <w:szCs w:val="21"/>
              </w:rPr>
            </w:pPr>
            <w:r>
              <w:rPr>
                <w:color w:val="auto"/>
                <w:sz w:val="21"/>
                <w:szCs w:val="21"/>
              </w:rPr>
              <w:t>55～60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711" w:type="dxa"/>
            <w:vAlign w:val="center"/>
          </w:tcPr>
          <w:p>
            <w:pPr>
              <w:jc w:val="center"/>
              <w:rPr>
                <w:color w:val="auto"/>
                <w:sz w:val="21"/>
                <w:szCs w:val="21"/>
              </w:rPr>
            </w:pPr>
            <w:r>
              <w:rPr>
                <w:rFonts w:hint="eastAsia"/>
                <w:color w:val="auto"/>
                <w:sz w:val="21"/>
                <w:szCs w:val="21"/>
              </w:rPr>
              <w:t>4</w:t>
            </w:r>
          </w:p>
        </w:tc>
        <w:tc>
          <w:tcPr>
            <w:tcW w:w="1382" w:type="dxa"/>
            <w:vAlign w:val="center"/>
          </w:tcPr>
          <w:p>
            <w:pPr>
              <w:jc w:val="center"/>
              <w:rPr>
                <w:color w:val="auto"/>
                <w:sz w:val="21"/>
                <w:szCs w:val="21"/>
              </w:rPr>
            </w:pPr>
            <w:r>
              <w:rPr>
                <w:rFonts w:hint="eastAsia"/>
                <w:color w:val="auto"/>
                <w:sz w:val="21"/>
                <w:szCs w:val="21"/>
              </w:rPr>
              <w:t>破碎机</w:t>
            </w:r>
          </w:p>
        </w:tc>
        <w:tc>
          <w:tcPr>
            <w:tcW w:w="1140" w:type="dxa"/>
            <w:vAlign w:val="center"/>
          </w:tcPr>
          <w:p>
            <w:pPr>
              <w:jc w:val="center"/>
              <w:rPr>
                <w:color w:val="auto"/>
                <w:sz w:val="21"/>
                <w:szCs w:val="21"/>
              </w:rPr>
            </w:pPr>
            <w:r>
              <w:rPr>
                <w:color w:val="auto"/>
                <w:sz w:val="21"/>
                <w:szCs w:val="21"/>
              </w:rPr>
              <w:t>85～90</w:t>
            </w:r>
          </w:p>
        </w:tc>
        <w:tc>
          <w:tcPr>
            <w:tcW w:w="3083" w:type="dxa"/>
            <w:vAlign w:val="center"/>
          </w:tcPr>
          <w:p>
            <w:pPr>
              <w:jc w:val="center"/>
              <w:rPr>
                <w:color w:val="auto"/>
                <w:sz w:val="21"/>
                <w:szCs w:val="21"/>
              </w:rPr>
            </w:pPr>
            <w:r>
              <w:rPr>
                <w:color w:val="auto"/>
                <w:sz w:val="21"/>
                <w:szCs w:val="21"/>
              </w:rPr>
              <w:t>减</w:t>
            </w:r>
            <w:r>
              <w:rPr>
                <w:rFonts w:hint="eastAsia"/>
                <w:color w:val="auto"/>
                <w:sz w:val="21"/>
                <w:szCs w:val="21"/>
              </w:rPr>
              <w:t>振</w:t>
            </w:r>
            <w:r>
              <w:rPr>
                <w:color w:val="auto"/>
                <w:sz w:val="21"/>
                <w:szCs w:val="21"/>
              </w:rPr>
              <w:t>设施，厂房隔声</w:t>
            </w:r>
          </w:p>
        </w:tc>
        <w:tc>
          <w:tcPr>
            <w:tcW w:w="1688" w:type="dxa"/>
            <w:vAlign w:val="center"/>
          </w:tcPr>
          <w:p>
            <w:pPr>
              <w:jc w:val="center"/>
              <w:rPr>
                <w:color w:val="auto"/>
                <w:sz w:val="21"/>
                <w:szCs w:val="21"/>
              </w:rPr>
            </w:pPr>
            <w:r>
              <w:rPr>
                <w:color w:val="auto"/>
                <w:sz w:val="21"/>
                <w:szCs w:val="21"/>
              </w:rPr>
              <w:t>20～25</w:t>
            </w:r>
          </w:p>
        </w:tc>
        <w:tc>
          <w:tcPr>
            <w:tcW w:w="1282" w:type="dxa"/>
            <w:vAlign w:val="center"/>
          </w:tcPr>
          <w:p>
            <w:pPr>
              <w:jc w:val="center"/>
              <w:rPr>
                <w:color w:val="auto"/>
                <w:sz w:val="21"/>
                <w:szCs w:val="21"/>
              </w:rPr>
            </w:pPr>
            <w:r>
              <w:rPr>
                <w:color w:val="auto"/>
                <w:sz w:val="21"/>
                <w:szCs w:val="21"/>
              </w:rPr>
              <w:t>65～70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711" w:type="dxa"/>
            <w:vAlign w:val="center"/>
          </w:tcPr>
          <w:p>
            <w:pPr>
              <w:jc w:val="center"/>
              <w:rPr>
                <w:color w:val="auto"/>
                <w:sz w:val="21"/>
                <w:szCs w:val="21"/>
              </w:rPr>
            </w:pPr>
            <w:r>
              <w:rPr>
                <w:rFonts w:hint="eastAsia"/>
                <w:color w:val="auto"/>
                <w:sz w:val="21"/>
                <w:szCs w:val="21"/>
              </w:rPr>
              <w:t>5</w:t>
            </w:r>
          </w:p>
        </w:tc>
        <w:tc>
          <w:tcPr>
            <w:tcW w:w="1382" w:type="dxa"/>
            <w:vAlign w:val="center"/>
          </w:tcPr>
          <w:p>
            <w:pPr>
              <w:jc w:val="center"/>
              <w:rPr>
                <w:color w:val="auto"/>
                <w:sz w:val="21"/>
                <w:szCs w:val="21"/>
              </w:rPr>
            </w:pPr>
            <w:r>
              <w:rPr>
                <w:rFonts w:hint="eastAsia"/>
                <w:color w:val="auto"/>
                <w:sz w:val="21"/>
                <w:szCs w:val="21"/>
              </w:rPr>
              <w:t>脱水机</w:t>
            </w:r>
          </w:p>
        </w:tc>
        <w:tc>
          <w:tcPr>
            <w:tcW w:w="1140" w:type="dxa"/>
            <w:vAlign w:val="center"/>
          </w:tcPr>
          <w:p>
            <w:pPr>
              <w:jc w:val="center"/>
              <w:rPr>
                <w:color w:val="auto"/>
                <w:sz w:val="21"/>
                <w:szCs w:val="21"/>
              </w:rPr>
            </w:pPr>
            <w:r>
              <w:rPr>
                <w:color w:val="auto"/>
                <w:sz w:val="21"/>
                <w:szCs w:val="21"/>
              </w:rPr>
              <w:t>80～90</w:t>
            </w:r>
          </w:p>
        </w:tc>
        <w:tc>
          <w:tcPr>
            <w:tcW w:w="3083" w:type="dxa"/>
            <w:vAlign w:val="center"/>
          </w:tcPr>
          <w:p>
            <w:pPr>
              <w:jc w:val="center"/>
              <w:rPr>
                <w:color w:val="auto"/>
                <w:sz w:val="21"/>
                <w:szCs w:val="21"/>
              </w:rPr>
            </w:pPr>
            <w:r>
              <w:rPr>
                <w:color w:val="auto"/>
                <w:sz w:val="21"/>
                <w:szCs w:val="21"/>
              </w:rPr>
              <w:t>厂房隔声</w:t>
            </w:r>
          </w:p>
        </w:tc>
        <w:tc>
          <w:tcPr>
            <w:tcW w:w="1688" w:type="dxa"/>
            <w:vAlign w:val="center"/>
          </w:tcPr>
          <w:p>
            <w:pPr>
              <w:jc w:val="center"/>
              <w:rPr>
                <w:color w:val="auto"/>
                <w:sz w:val="21"/>
                <w:szCs w:val="21"/>
              </w:rPr>
            </w:pPr>
            <w:r>
              <w:rPr>
                <w:color w:val="auto"/>
                <w:sz w:val="21"/>
                <w:szCs w:val="21"/>
              </w:rPr>
              <w:t>20～25</w:t>
            </w:r>
          </w:p>
        </w:tc>
        <w:tc>
          <w:tcPr>
            <w:tcW w:w="1282" w:type="dxa"/>
            <w:vAlign w:val="center"/>
          </w:tcPr>
          <w:p>
            <w:pPr>
              <w:jc w:val="center"/>
              <w:rPr>
                <w:color w:val="auto"/>
                <w:sz w:val="21"/>
                <w:szCs w:val="21"/>
              </w:rPr>
            </w:pPr>
            <w:r>
              <w:rPr>
                <w:color w:val="auto"/>
                <w:sz w:val="21"/>
                <w:szCs w:val="21"/>
              </w:rPr>
              <w:t>60～70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711" w:type="dxa"/>
            <w:vAlign w:val="center"/>
          </w:tcPr>
          <w:p>
            <w:pPr>
              <w:jc w:val="center"/>
              <w:rPr>
                <w:color w:val="auto"/>
                <w:sz w:val="21"/>
                <w:szCs w:val="21"/>
              </w:rPr>
            </w:pPr>
            <w:r>
              <w:rPr>
                <w:rFonts w:hint="eastAsia"/>
                <w:color w:val="auto"/>
                <w:sz w:val="21"/>
                <w:szCs w:val="21"/>
              </w:rPr>
              <w:t>6</w:t>
            </w:r>
          </w:p>
        </w:tc>
        <w:tc>
          <w:tcPr>
            <w:tcW w:w="1382" w:type="dxa"/>
            <w:vAlign w:val="center"/>
          </w:tcPr>
          <w:p>
            <w:pPr>
              <w:jc w:val="center"/>
              <w:rPr>
                <w:color w:val="auto"/>
                <w:sz w:val="21"/>
                <w:szCs w:val="21"/>
              </w:rPr>
            </w:pPr>
            <w:r>
              <w:rPr>
                <w:color w:val="auto"/>
                <w:sz w:val="21"/>
                <w:szCs w:val="21"/>
              </w:rPr>
              <w:t>泵类</w:t>
            </w:r>
          </w:p>
        </w:tc>
        <w:tc>
          <w:tcPr>
            <w:tcW w:w="1140" w:type="dxa"/>
            <w:vAlign w:val="center"/>
          </w:tcPr>
          <w:p>
            <w:pPr>
              <w:jc w:val="center"/>
              <w:rPr>
                <w:color w:val="auto"/>
                <w:sz w:val="21"/>
                <w:szCs w:val="21"/>
              </w:rPr>
            </w:pPr>
            <w:r>
              <w:rPr>
                <w:color w:val="auto"/>
                <w:sz w:val="21"/>
                <w:szCs w:val="21"/>
              </w:rPr>
              <w:t>85～90</w:t>
            </w:r>
          </w:p>
        </w:tc>
        <w:tc>
          <w:tcPr>
            <w:tcW w:w="3083" w:type="dxa"/>
            <w:vAlign w:val="center"/>
          </w:tcPr>
          <w:p>
            <w:pPr>
              <w:jc w:val="center"/>
              <w:rPr>
                <w:color w:val="auto"/>
                <w:sz w:val="21"/>
                <w:szCs w:val="21"/>
              </w:rPr>
            </w:pPr>
            <w:r>
              <w:rPr>
                <w:color w:val="auto"/>
                <w:sz w:val="21"/>
                <w:szCs w:val="21"/>
              </w:rPr>
              <w:t>减</w:t>
            </w:r>
            <w:r>
              <w:rPr>
                <w:rFonts w:hint="eastAsia"/>
                <w:color w:val="auto"/>
                <w:sz w:val="21"/>
                <w:szCs w:val="21"/>
              </w:rPr>
              <w:t>振</w:t>
            </w:r>
            <w:r>
              <w:rPr>
                <w:color w:val="auto"/>
                <w:sz w:val="21"/>
                <w:szCs w:val="21"/>
              </w:rPr>
              <w:t>设施，厂房隔声</w:t>
            </w:r>
          </w:p>
        </w:tc>
        <w:tc>
          <w:tcPr>
            <w:tcW w:w="1688" w:type="dxa"/>
            <w:vAlign w:val="center"/>
          </w:tcPr>
          <w:p>
            <w:pPr>
              <w:jc w:val="center"/>
              <w:rPr>
                <w:color w:val="auto"/>
                <w:sz w:val="21"/>
                <w:szCs w:val="21"/>
              </w:rPr>
            </w:pPr>
            <w:r>
              <w:rPr>
                <w:color w:val="auto"/>
                <w:sz w:val="21"/>
                <w:szCs w:val="21"/>
              </w:rPr>
              <w:t>35～40</w:t>
            </w:r>
          </w:p>
        </w:tc>
        <w:tc>
          <w:tcPr>
            <w:tcW w:w="1282" w:type="dxa"/>
            <w:vAlign w:val="center"/>
          </w:tcPr>
          <w:p>
            <w:pPr>
              <w:jc w:val="center"/>
              <w:rPr>
                <w:color w:val="auto"/>
                <w:sz w:val="21"/>
                <w:szCs w:val="21"/>
              </w:rPr>
            </w:pPr>
            <w:r>
              <w:rPr>
                <w:color w:val="auto"/>
                <w:sz w:val="21"/>
                <w:szCs w:val="21"/>
              </w:rPr>
              <w:t>50～55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711" w:type="dxa"/>
            <w:vAlign w:val="center"/>
          </w:tcPr>
          <w:p>
            <w:pPr>
              <w:jc w:val="center"/>
              <w:rPr>
                <w:color w:val="auto"/>
                <w:sz w:val="21"/>
                <w:szCs w:val="21"/>
              </w:rPr>
            </w:pPr>
            <w:r>
              <w:rPr>
                <w:rFonts w:hint="eastAsia"/>
                <w:color w:val="auto"/>
                <w:sz w:val="21"/>
                <w:szCs w:val="21"/>
              </w:rPr>
              <w:t>7</w:t>
            </w:r>
          </w:p>
        </w:tc>
        <w:tc>
          <w:tcPr>
            <w:tcW w:w="1382" w:type="dxa"/>
            <w:vAlign w:val="center"/>
          </w:tcPr>
          <w:p>
            <w:pPr>
              <w:jc w:val="center"/>
              <w:rPr>
                <w:color w:val="auto"/>
                <w:sz w:val="21"/>
                <w:szCs w:val="21"/>
              </w:rPr>
            </w:pPr>
            <w:r>
              <w:rPr>
                <w:rFonts w:hint="eastAsia"/>
                <w:color w:val="auto"/>
                <w:sz w:val="21"/>
                <w:szCs w:val="21"/>
              </w:rPr>
              <w:t>三相分离机</w:t>
            </w:r>
          </w:p>
        </w:tc>
        <w:tc>
          <w:tcPr>
            <w:tcW w:w="1140" w:type="dxa"/>
            <w:vAlign w:val="center"/>
          </w:tcPr>
          <w:p>
            <w:pPr>
              <w:jc w:val="center"/>
              <w:rPr>
                <w:color w:val="auto"/>
                <w:sz w:val="21"/>
                <w:szCs w:val="21"/>
              </w:rPr>
            </w:pPr>
            <w:r>
              <w:rPr>
                <w:color w:val="auto"/>
                <w:sz w:val="21"/>
                <w:szCs w:val="21"/>
              </w:rPr>
              <w:t>85～90</w:t>
            </w:r>
          </w:p>
        </w:tc>
        <w:tc>
          <w:tcPr>
            <w:tcW w:w="3083" w:type="dxa"/>
            <w:vAlign w:val="center"/>
          </w:tcPr>
          <w:p>
            <w:pPr>
              <w:jc w:val="center"/>
              <w:rPr>
                <w:color w:val="auto"/>
                <w:sz w:val="21"/>
                <w:szCs w:val="21"/>
              </w:rPr>
            </w:pPr>
            <w:r>
              <w:rPr>
                <w:color w:val="auto"/>
                <w:sz w:val="21"/>
                <w:szCs w:val="21"/>
              </w:rPr>
              <w:t>减</w:t>
            </w:r>
            <w:r>
              <w:rPr>
                <w:rFonts w:hint="eastAsia"/>
                <w:color w:val="auto"/>
                <w:sz w:val="21"/>
                <w:szCs w:val="21"/>
              </w:rPr>
              <w:t>振</w:t>
            </w:r>
            <w:r>
              <w:rPr>
                <w:color w:val="auto"/>
                <w:sz w:val="21"/>
                <w:szCs w:val="21"/>
              </w:rPr>
              <w:t>设施，厂房隔声</w:t>
            </w:r>
          </w:p>
        </w:tc>
        <w:tc>
          <w:tcPr>
            <w:tcW w:w="1688" w:type="dxa"/>
            <w:vAlign w:val="center"/>
          </w:tcPr>
          <w:p>
            <w:pPr>
              <w:jc w:val="center"/>
              <w:rPr>
                <w:color w:val="auto"/>
                <w:sz w:val="21"/>
                <w:szCs w:val="21"/>
              </w:rPr>
            </w:pPr>
            <w:r>
              <w:rPr>
                <w:color w:val="auto"/>
                <w:sz w:val="21"/>
                <w:szCs w:val="21"/>
              </w:rPr>
              <w:t>20～25</w:t>
            </w:r>
          </w:p>
        </w:tc>
        <w:tc>
          <w:tcPr>
            <w:tcW w:w="1282" w:type="dxa"/>
            <w:vAlign w:val="center"/>
          </w:tcPr>
          <w:p>
            <w:pPr>
              <w:jc w:val="center"/>
              <w:rPr>
                <w:color w:val="auto"/>
                <w:sz w:val="21"/>
                <w:szCs w:val="21"/>
              </w:rPr>
            </w:pPr>
            <w:r>
              <w:rPr>
                <w:color w:val="auto"/>
                <w:sz w:val="21"/>
                <w:szCs w:val="21"/>
              </w:rPr>
              <w:t>65～70</w:t>
            </w:r>
          </w:p>
        </w:tc>
      </w:tr>
    </w:tbl>
    <w:p>
      <w:pPr>
        <w:spacing w:line="360" w:lineRule="auto"/>
        <w:rPr>
          <w:color w:val="auto"/>
        </w:rPr>
      </w:pPr>
    </w:p>
    <w:p>
      <w:pPr>
        <w:spacing w:line="360" w:lineRule="auto"/>
        <w:rPr>
          <w:b/>
          <w:color w:val="auto"/>
        </w:rPr>
      </w:pPr>
      <w:r>
        <w:rPr>
          <w:b/>
          <w:color w:val="auto"/>
        </w:rPr>
        <w:t>3.</w:t>
      </w:r>
      <w:r>
        <w:rPr>
          <w:rFonts w:hint="eastAsia"/>
          <w:b/>
          <w:color w:val="auto"/>
          <w:lang w:val="en-US" w:eastAsia="zh-CN"/>
        </w:rPr>
        <w:t>3</w:t>
      </w:r>
      <w:r>
        <w:rPr>
          <w:b/>
          <w:color w:val="auto"/>
        </w:rPr>
        <w:t>.</w:t>
      </w:r>
      <w:r>
        <w:rPr>
          <w:rFonts w:hint="eastAsia"/>
          <w:b/>
          <w:color w:val="auto"/>
        </w:rPr>
        <w:t>1</w:t>
      </w:r>
      <w:r>
        <w:rPr>
          <w:b/>
          <w:color w:val="auto"/>
        </w:rPr>
        <w:t>.4 固体废物分析及污染负荷预测</w:t>
      </w:r>
    </w:p>
    <w:p>
      <w:pPr>
        <w:spacing w:line="360" w:lineRule="auto"/>
        <w:ind w:firstLine="480" w:firstLineChars="200"/>
        <w:jc w:val="both"/>
        <w:rPr>
          <w:color w:val="auto"/>
        </w:rPr>
      </w:pPr>
      <w:r>
        <w:rPr>
          <w:rFonts w:hint="eastAsia"/>
          <w:color w:val="auto"/>
        </w:rPr>
        <w:t>项目产生的固废主要有脱水残渣、除油残渣、粗油脂、废催化剂、废机油。</w:t>
      </w:r>
    </w:p>
    <w:p>
      <w:pPr>
        <w:pStyle w:val="222"/>
        <w:numPr>
          <w:ilvl w:val="0"/>
          <w:numId w:val="0"/>
        </w:numPr>
        <w:tabs>
          <w:tab w:val="clear" w:pos="680"/>
        </w:tabs>
        <w:spacing w:line="360" w:lineRule="auto"/>
        <w:ind w:left="480" w:leftChars="0"/>
        <w:jc w:val="both"/>
        <w:rPr>
          <w:color w:val="auto"/>
        </w:rPr>
      </w:pPr>
      <w:r>
        <w:rPr>
          <w:rFonts w:hint="eastAsia"/>
          <w:color w:val="auto"/>
          <w:lang w:val="en-US" w:eastAsia="zh-CN"/>
        </w:rPr>
        <w:t>1、</w:t>
      </w:r>
      <w:r>
        <w:rPr>
          <w:rFonts w:hint="eastAsia"/>
          <w:color w:val="auto"/>
        </w:rPr>
        <w:t>脱水残渣</w:t>
      </w:r>
      <w:r>
        <w:rPr>
          <w:rFonts w:hint="eastAsia"/>
          <w:color w:val="auto"/>
          <w:lang w:eastAsia="zh-CN"/>
        </w:rPr>
        <w:t>和除油残渣</w:t>
      </w:r>
    </w:p>
    <w:p>
      <w:pPr>
        <w:spacing w:line="360" w:lineRule="auto"/>
        <w:ind w:firstLine="360" w:firstLineChars="150"/>
        <w:jc w:val="both"/>
        <w:rPr>
          <w:color w:val="auto"/>
        </w:rPr>
      </w:pPr>
      <w:r>
        <w:rPr>
          <w:rFonts w:hint="eastAsia"/>
          <w:color w:val="auto"/>
        </w:rPr>
        <w:t>根据物料平衡，本项目餐厨垃圾压榨脱水和油水分离过程产生的脱水残渣、除油残渣量为13.5t/d，4455t/a，属于一般工业固体废物，运至园区内在建的生活垃圾焚烧炉焚烧处理。</w:t>
      </w:r>
    </w:p>
    <w:p>
      <w:pPr>
        <w:pStyle w:val="222"/>
        <w:numPr>
          <w:ilvl w:val="0"/>
          <w:numId w:val="0"/>
        </w:numPr>
        <w:tabs>
          <w:tab w:val="clear" w:pos="680"/>
        </w:tabs>
        <w:spacing w:line="360" w:lineRule="auto"/>
        <w:ind w:left="480" w:leftChars="0"/>
        <w:jc w:val="both"/>
        <w:rPr>
          <w:color w:val="auto"/>
        </w:rPr>
      </w:pPr>
      <w:r>
        <w:rPr>
          <w:rFonts w:hint="eastAsia"/>
          <w:color w:val="auto"/>
          <w:lang w:val="en-US" w:eastAsia="zh-CN"/>
        </w:rPr>
        <w:t>2、</w:t>
      </w:r>
      <w:r>
        <w:rPr>
          <w:rFonts w:hint="eastAsia"/>
          <w:color w:val="auto"/>
        </w:rPr>
        <w:t>粗油脂</w:t>
      </w:r>
    </w:p>
    <w:p>
      <w:pPr>
        <w:spacing w:line="360" w:lineRule="auto"/>
        <w:ind w:firstLine="360" w:firstLineChars="150"/>
        <w:jc w:val="both"/>
        <w:rPr>
          <w:color w:val="auto"/>
        </w:rPr>
      </w:pPr>
      <w:r>
        <w:rPr>
          <w:rFonts w:hint="eastAsia"/>
          <w:color w:val="auto"/>
        </w:rPr>
        <w:t xml:space="preserve"> 根据物料平衡，本项目餐厨垃圾油水分离过程产生的粗油脂量为0.8t/d，264t/a，属于一般工业固体废物，交由回收单位进行综合利用。</w:t>
      </w:r>
    </w:p>
    <w:p>
      <w:pPr>
        <w:spacing w:line="360" w:lineRule="auto"/>
        <w:ind w:firstLine="480" w:firstLineChars="200"/>
        <w:jc w:val="both"/>
        <w:rPr>
          <w:color w:val="auto"/>
        </w:rPr>
      </w:pPr>
      <w:r>
        <w:rPr>
          <w:rFonts w:hint="eastAsia"/>
          <w:color w:val="auto"/>
        </w:rPr>
        <w:t>3、废UV光解灯管</w:t>
      </w:r>
    </w:p>
    <w:p>
      <w:pPr>
        <w:spacing w:line="360" w:lineRule="auto"/>
        <w:ind w:firstLine="480" w:firstLineChars="200"/>
        <w:jc w:val="both"/>
        <w:rPr>
          <w:color w:val="auto"/>
          <w:kern w:val="0"/>
        </w:rPr>
      </w:pPr>
      <w:r>
        <w:rPr>
          <w:rFonts w:hint="eastAsia"/>
          <w:color w:val="auto"/>
        </w:rPr>
        <w:t>本项目臭气处理系统使用紫外光催氧化装置处理，紫外灯管</w:t>
      </w:r>
      <w:r>
        <w:rPr>
          <w:rFonts w:hint="eastAsia"/>
          <w:color w:val="auto"/>
          <w:lang w:eastAsia="zh-CN"/>
        </w:rPr>
        <w:t>每年更换</w:t>
      </w:r>
      <w:r>
        <w:rPr>
          <w:rFonts w:hint="eastAsia"/>
          <w:color w:val="auto"/>
          <w:lang w:val="en-US" w:eastAsia="zh-CN"/>
        </w:rPr>
        <w:t>2次，一台</w:t>
      </w:r>
      <w:r>
        <w:rPr>
          <w:rFonts w:hint="eastAsia"/>
          <w:color w:val="auto"/>
        </w:rPr>
        <w:t>紫外光催氧化装置</w:t>
      </w:r>
      <w:r>
        <w:rPr>
          <w:rFonts w:hint="eastAsia"/>
          <w:color w:val="auto"/>
          <w:lang w:eastAsia="zh-CN"/>
        </w:rPr>
        <w:t>内设约有</w:t>
      </w:r>
      <w:r>
        <w:rPr>
          <w:rFonts w:hint="eastAsia"/>
          <w:color w:val="auto"/>
          <w:lang w:val="en-US" w:eastAsia="zh-CN"/>
        </w:rPr>
        <w:t>300根灯管，平均每根灯管重量约250g</w:t>
      </w:r>
      <w:r>
        <w:rPr>
          <w:rFonts w:hint="eastAsia"/>
          <w:color w:val="auto"/>
        </w:rPr>
        <w:t>，年产生量为</w:t>
      </w:r>
      <w:r>
        <w:rPr>
          <w:rFonts w:hint="eastAsia"/>
          <w:color w:val="auto"/>
          <w:lang w:val="en-US" w:eastAsia="zh-CN"/>
        </w:rPr>
        <w:t>0.</w:t>
      </w:r>
      <w:r>
        <w:rPr>
          <w:rFonts w:hint="eastAsia"/>
          <w:color w:val="auto"/>
        </w:rPr>
        <w:t>1</w:t>
      </w:r>
      <w:r>
        <w:rPr>
          <w:rFonts w:hint="eastAsia"/>
          <w:color w:val="auto"/>
          <w:lang w:val="en-US" w:eastAsia="zh-CN"/>
        </w:rPr>
        <w:t>5</w:t>
      </w:r>
      <w:r>
        <w:rPr>
          <w:rFonts w:hint="eastAsia"/>
          <w:color w:val="auto"/>
        </w:rPr>
        <w:t>t，属于危险废物，交由有资质的单位回收处理。</w:t>
      </w:r>
    </w:p>
    <w:p>
      <w:pPr>
        <w:autoSpaceDE w:val="0"/>
        <w:autoSpaceDN w:val="0"/>
        <w:adjustRightInd w:val="0"/>
        <w:spacing w:line="360" w:lineRule="auto"/>
        <w:ind w:firstLine="480" w:firstLineChars="200"/>
        <w:rPr>
          <w:color w:val="auto"/>
          <w:kern w:val="0"/>
        </w:rPr>
      </w:pPr>
      <w:r>
        <w:rPr>
          <w:rFonts w:hint="eastAsia"/>
          <w:color w:val="auto"/>
          <w:kern w:val="0"/>
        </w:rPr>
        <w:t>4</w:t>
      </w:r>
      <w:r>
        <w:rPr>
          <w:color w:val="auto"/>
          <w:kern w:val="0"/>
        </w:rPr>
        <w:t>、废机油</w:t>
      </w:r>
    </w:p>
    <w:p>
      <w:pPr>
        <w:autoSpaceDE w:val="0"/>
        <w:autoSpaceDN w:val="0"/>
        <w:adjustRightInd w:val="0"/>
        <w:spacing w:line="360" w:lineRule="auto"/>
        <w:ind w:firstLine="480" w:firstLineChars="200"/>
        <w:rPr>
          <w:color w:val="auto"/>
          <w:kern w:val="0"/>
        </w:rPr>
      </w:pPr>
      <w:r>
        <w:rPr>
          <w:color w:val="auto"/>
          <w:kern w:val="0"/>
        </w:rPr>
        <w:t>本项目机械设备维护过程产生废机油，产生量约</w:t>
      </w:r>
      <w:r>
        <w:rPr>
          <w:rFonts w:hint="eastAsia"/>
          <w:color w:val="auto"/>
          <w:kern w:val="0"/>
        </w:rPr>
        <w:t>0.5</w:t>
      </w:r>
      <w:r>
        <w:rPr>
          <w:color w:val="auto"/>
          <w:kern w:val="0"/>
        </w:rPr>
        <w:t>t/a，属于危险废物，委托有资</w:t>
      </w:r>
    </w:p>
    <w:p>
      <w:pPr>
        <w:autoSpaceDE w:val="0"/>
        <w:autoSpaceDN w:val="0"/>
        <w:adjustRightInd w:val="0"/>
        <w:spacing w:line="360" w:lineRule="auto"/>
        <w:rPr>
          <w:color w:val="auto"/>
          <w:kern w:val="0"/>
        </w:rPr>
      </w:pPr>
      <w:r>
        <w:rPr>
          <w:color w:val="auto"/>
          <w:kern w:val="0"/>
        </w:rPr>
        <w:t>质单位处置。</w:t>
      </w:r>
    </w:p>
    <w:p>
      <w:pPr>
        <w:autoSpaceDE w:val="0"/>
        <w:autoSpaceDN w:val="0"/>
        <w:adjustRightInd w:val="0"/>
        <w:spacing w:line="360" w:lineRule="auto"/>
        <w:ind w:firstLine="480" w:firstLineChars="200"/>
        <w:rPr>
          <w:color w:val="auto"/>
          <w:kern w:val="0"/>
        </w:rPr>
        <w:sectPr>
          <w:pgSz w:w="11906" w:h="16838"/>
          <w:pgMar w:top="1134" w:right="1418" w:bottom="1134" w:left="1418" w:header="851" w:footer="992" w:gutter="0"/>
          <w:pgNumType w:fmt="decimal"/>
          <w:cols w:space="720" w:num="1"/>
          <w:docGrid w:linePitch="312" w:charSpace="0"/>
        </w:sectPr>
      </w:pPr>
      <w:r>
        <w:rPr>
          <w:color w:val="auto"/>
          <w:kern w:val="0"/>
        </w:rPr>
        <w:t>本项目固废产生分析情况见表3.</w:t>
      </w:r>
      <w:r>
        <w:rPr>
          <w:rFonts w:hint="eastAsia"/>
          <w:color w:val="auto"/>
          <w:kern w:val="0"/>
          <w:lang w:val="en-US" w:eastAsia="zh-CN"/>
        </w:rPr>
        <w:t>3</w:t>
      </w:r>
      <w:r>
        <w:rPr>
          <w:color w:val="auto"/>
          <w:kern w:val="0"/>
        </w:rPr>
        <w:t>-</w:t>
      </w:r>
      <w:r>
        <w:rPr>
          <w:rFonts w:hint="eastAsia"/>
          <w:color w:val="auto"/>
          <w:kern w:val="0"/>
        </w:rPr>
        <w:t>9</w:t>
      </w:r>
      <w:r>
        <w:rPr>
          <w:color w:val="auto"/>
          <w:kern w:val="0"/>
        </w:rPr>
        <w:t>。</w:t>
      </w:r>
    </w:p>
    <w:p>
      <w:pPr>
        <w:jc w:val="center"/>
        <w:rPr>
          <w:b/>
          <w:color w:val="auto"/>
        </w:rPr>
      </w:pPr>
      <w:r>
        <w:rPr>
          <w:b/>
          <w:color w:val="auto"/>
        </w:rPr>
        <w:t>表</w:t>
      </w:r>
      <w:r>
        <w:rPr>
          <w:rFonts w:hint="eastAsia"/>
          <w:b/>
          <w:color w:val="auto"/>
        </w:rPr>
        <w:t>3.</w:t>
      </w:r>
      <w:r>
        <w:rPr>
          <w:rFonts w:hint="eastAsia"/>
          <w:b/>
          <w:color w:val="auto"/>
          <w:lang w:val="en-US" w:eastAsia="zh-CN"/>
        </w:rPr>
        <w:t>3</w:t>
      </w:r>
      <w:r>
        <w:rPr>
          <w:b/>
          <w:color w:val="auto"/>
        </w:rPr>
        <w:noBreakHyphen/>
      </w:r>
      <w:r>
        <w:rPr>
          <w:rFonts w:hint="eastAsia"/>
          <w:b/>
          <w:color w:val="auto"/>
        </w:rPr>
        <w:t>9</w:t>
      </w:r>
      <w:r>
        <w:rPr>
          <w:b/>
          <w:color w:val="auto"/>
        </w:rPr>
        <w:t xml:space="preserve">  固体废物产生及排放情况</w:t>
      </w:r>
    </w:p>
    <w:tbl>
      <w:tblPr>
        <w:tblStyle w:val="53"/>
        <w:tblW w:w="147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6"/>
        <w:gridCol w:w="2342"/>
        <w:gridCol w:w="1547"/>
        <w:gridCol w:w="1354"/>
        <w:gridCol w:w="2626"/>
        <w:gridCol w:w="2694"/>
        <w:gridCol w:w="1683"/>
        <w:gridCol w:w="15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1" w:hRule="atLeast"/>
        </w:trPr>
        <w:tc>
          <w:tcPr>
            <w:tcW w:w="1026" w:type="dxa"/>
            <w:shd w:val="clear" w:color="auto" w:fill="auto"/>
            <w:vAlign w:val="center"/>
          </w:tcPr>
          <w:p>
            <w:pPr>
              <w:jc w:val="center"/>
              <w:rPr>
                <w:b/>
                <w:color w:val="auto"/>
                <w:sz w:val="21"/>
                <w:szCs w:val="21"/>
              </w:rPr>
            </w:pPr>
            <w:r>
              <w:rPr>
                <w:b/>
                <w:color w:val="auto"/>
                <w:sz w:val="21"/>
                <w:szCs w:val="21"/>
              </w:rPr>
              <w:t>序号</w:t>
            </w:r>
          </w:p>
        </w:tc>
        <w:tc>
          <w:tcPr>
            <w:tcW w:w="2342" w:type="dxa"/>
            <w:shd w:val="clear" w:color="auto" w:fill="auto"/>
            <w:vAlign w:val="center"/>
          </w:tcPr>
          <w:p>
            <w:pPr>
              <w:jc w:val="center"/>
              <w:rPr>
                <w:b/>
                <w:color w:val="auto"/>
                <w:sz w:val="21"/>
                <w:szCs w:val="21"/>
              </w:rPr>
            </w:pPr>
            <w:r>
              <w:rPr>
                <w:b/>
                <w:color w:val="auto"/>
                <w:sz w:val="21"/>
                <w:szCs w:val="21"/>
              </w:rPr>
              <w:t>废物名称</w:t>
            </w:r>
          </w:p>
        </w:tc>
        <w:tc>
          <w:tcPr>
            <w:tcW w:w="1547" w:type="dxa"/>
            <w:vAlign w:val="center"/>
          </w:tcPr>
          <w:p>
            <w:pPr>
              <w:jc w:val="center"/>
              <w:rPr>
                <w:b/>
                <w:color w:val="auto"/>
                <w:sz w:val="21"/>
                <w:szCs w:val="21"/>
              </w:rPr>
            </w:pPr>
            <w:r>
              <w:rPr>
                <w:b/>
                <w:color w:val="auto"/>
                <w:sz w:val="21"/>
                <w:szCs w:val="21"/>
              </w:rPr>
              <w:t>产生工序</w:t>
            </w:r>
          </w:p>
        </w:tc>
        <w:tc>
          <w:tcPr>
            <w:tcW w:w="1354" w:type="dxa"/>
            <w:vAlign w:val="center"/>
          </w:tcPr>
          <w:p>
            <w:pPr>
              <w:jc w:val="center"/>
              <w:rPr>
                <w:b/>
                <w:color w:val="auto"/>
                <w:sz w:val="21"/>
                <w:szCs w:val="21"/>
              </w:rPr>
            </w:pPr>
            <w:r>
              <w:rPr>
                <w:b/>
                <w:color w:val="auto"/>
                <w:sz w:val="21"/>
                <w:szCs w:val="21"/>
              </w:rPr>
              <w:t>形态</w:t>
            </w:r>
          </w:p>
        </w:tc>
        <w:tc>
          <w:tcPr>
            <w:tcW w:w="2626" w:type="dxa"/>
            <w:vAlign w:val="center"/>
          </w:tcPr>
          <w:p>
            <w:pPr>
              <w:jc w:val="center"/>
              <w:rPr>
                <w:b/>
                <w:color w:val="auto"/>
                <w:sz w:val="21"/>
                <w:szCs w:val="21"/>
              </w:rPr>
            </w:pPr>
            <w:r>
              <w:rPr>
                <w:b/>
                <w:color w:val="auto"/>
                <w:sz w:val="21"/>
                <w:szCs w:val="21"/>
              </w:rPr>
              <w:t>主要成分</w:t>
            </w:r>
          </w:p>
        </w:tc>
        <w:tc>
          <w:tcPr>
            <w:tcW w:w="2694" w:type="dxa"/>
            <w:vAlign w:val="center"/>
          </w:tcPr>
          <w:p>
            <w:pPr>
              <w:jc w:val="center"/>
              <w:rPr>
                <w:b/>
                <w:color w:val="auto"/>
                <w:sz w:val="21"/>
                <w:szCs w:val="21"/>
              </w:rPr>
            </w:pPr>
            <w:r>
              <w:rPr>
                <w:b/>
                <w:color w:val="auto"/>
                <w:sz w:val="21"/>
                <w:szCs w:val="21"/>
              </w:rPr>
              <w:t>是否属于危险废物</w:t>
            </w:r>
          </w:p>
        </w:tc>
        <w:tc>
          <w:tcPr>
            <w:tcW w:w="1683" w:type="dxa"/>
            <w:vAlign w:val="center"/>
          </w:tcPr>
          <w:p>
            <w:pPr>
              <w:jc w:val="center"/>
              <w:rPr>
                <w:b/>
                <w:color w:val="auto"/>
                <w:sz w:val="21"/>
                <w:szCs w:val="21"/>
              </w:rPr>
            </w:pPr>
            <w:r>
              <w:rPr>
                <w:b/>
                <w:color w:val="auto"/>
                <w:sz w:val="21"/>
                <w:szCs w:val="21"/>
              </w:rPr>
              <w:t>判断依据</w:t>
            </w:r>
          </w:p>
        </w:tc>
        <w:tc>
          <w:tcPr>
            <w:tcW w:w="1514" w:type="dxa"/>
            <w:shd w:val="clear" w:color="auto" w:fill="auto"/>
            <w:vAlign w:val="center"/>
          </w:tcPr>
          <w:p>
            <w:pPr>
              <w:jc w:val="center"/>
              <w:rPr>
                <w:b/>
                <w:color w:val="auto"/>
                <w:sz w:val="21"/>
                <w:szCs w:val="21"/>
              </w:rPr>
            </w:pPr>
            <w:r>
              <w:rPr>
                <w:b/>
                <w:color w:val="auto"/>
                <w:sz w:val="21"/>
                <w:szCs w:val="21"/>
              </w:rPr>
              <w:t>产生量(t/a)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026" w:type="dxa"/>
            <w:shd w:val="clear" w:color="auto" w:fill="auto"/>
            <w:vAlign w:val="center"/>
          </w:tcPr>
          <w:p>
            <w:pPr>
              <w:jc w:val="center"/>
              <w:rPr>
                <w:color w:val="auto"/>
                <w:sz w:val="21"/>
                <w:szCs w:val="21"/>
              </w:rPr>
            </w:pPr>
            <w:r>
              <w:rPr>
                <w:color w:val="auto"/>
                <w:sz w:val="21"/>
                <w:szCs w:val="21"/>
              </w:rPr>
              <w:t>1</w:t>
            </w:r>
          </w:p>
        </w:tc>
        <w:tc>
          <w:tcPr>
            <w:tcW w:w="2342" w:type="dxa"/>
            <w:shd w:val="clear" w:color="auto" w:fill="auto"/>
            <w:vAlign w:val="center"/>
          </w:tcPr>
          <w:p>
            <w:pPr>
              <w:spacing w:line="360" w:lineRule="auto"/>
              <w:jc w:val="center"/>
              <w:rPr>
                <w:color w:val="auto"/>
                <w:sz w:val="21"/>
                <w:szCs w:val="21"/>
              </w:rPr>
            </w:pPr>
            <w:r>
              <w:rPr>
                <w:rFonts w:hint="eastAsia"/>
                <w:color w:val="auto"/>
                <w:sz w:val="21"/>
                <w:szCs w:val="21"/>
              </w:rPr>
              <w:t>脱水残渣和除油残渣</w:t>
            </w:r>
          </w:p>
        </w:tc>
        <w:tc>
          <w:tcPr>
            <w:tcW w:w="1547" w:type="dxa"/>
            <w:vAlign w:val="center"/>
          </w:tcPr>
          <w:p>
            <w:pPr>
              <w:jc w:val="center"/>
              <w:rPr>
                <w:color w:val="auto"/>
                <w:sz w:val="21"/>
                <w:szCs w:val="21"/>
              </w:rPr>
            </w:pPr>
            <w:r>
              <w:rPr>
                <w:rFonts w:hint="eastAsia"/>
                <w:color w:val="auto"/>
                <w:sz w:val="21"/>
                <w:szCs w:val="21"/>
              </w:rPr>
              <w:t>压榨脱水和油水分离</w:t>
            </w:r>
          </w:p>
        </w:tc>
        <w:tc>
          <w:tcPr>
            <w:tcW w:w="1354" w:type="dxa"/>
            <w:vAlign w:val="center"/>
          </w:tcPr>
          <w:p>
            <w:pPr>
              <w:jc w:val="center"/>
              <w:rPr>
                <w:color w:val="auto"/>
                <w:sz w:val="21"/>
                <w:szCs w:val="21"/>
              </w:rPr>
            </w:pPr>
            <w:r>
              <w:rPr>
                <w:color w:val="auto"/>
                <w:sz w:val="21"/>
                <w:szCs w:val="21"/>
              </w:rPr>
              <w:t>固</w:t>
            </w:r>
          </w:p>
        </w:tc>
        <w:tc>
          <w:tcPr>
            <w:tcW w:w="2626" w:type="dxa"/>
            <w:vAlign w:val="center"/>
          </w:tcPr>
          <w:p>
            <w:pPr>
              <w:jc w:val="center"/>
              <w:rPr>
                <w:color w:val="auto"/>
                <w:sz w:val="21"/>
                <w:szCs w:val="21"/>
              </w:rPr>
            </w:pPr>
            <w:r>
              <w:rPr>
                <w:rFonts w:hint="eastAsia"/>
                <w:color w:val="auto"/>
                <w:sz w:val="21"/>
                <w:szCs w:val="21"/>
              </w:rPr>
              <w:t>残渣、有机物</w:t>
            </w:r>
          </w:p>
        </w:tc>
        <w:tc>
          <w:tcPr>
            <w:tcW w:w="2694" w:type="dxa"/>
            <w:vAlign w:val="center"/>
          </w:tcPr>
          <w:p>
            <w:pPr>
              <w:jc w:val="center"/>
              <w:rPr>
                <w:color w:val="auto"/>
                <w:sz w:val="21"/>
                <w:szCs w:val="21"/>
              </w:rPr>
            </w:pPr>
            <w:r>
              <w:rPr>
                <w:color w:val="auto"/>
                <w:sz w:val="21"/>
                <w:szCs w:val="21"/>
              </w:rPr>
              <w:t>否</w:t>
            </w:r>
          </w:p>
        </w:tc>
        <w:tc>
          <w:tcPr>
            <w:tcW w:w="1683" w:type="dxa"/>
            <w:vMerge w:val="restart"/>
            <w:vAlign w:val="center"/>
          </w:tcPr>
          <w:p>
            <w:pPr>
              <w:jc w:val="center"/>
              <w:rPr>
                <w:color w:val="auto"/>
                <w:sz w:val="21"/>
                <w:szCs w:val="21"/>
              </w:rPr>
            </w:pPr>
            <w:r>
              <w:rPr>
                <w:color w:val="auto"/>
                <w:sz w:val="21"/>
                <w:szCs w:val="21"/>
              </w:rPr>
              <w:t>《固体废物鉴别标准通则》（GB34330-2017）</w:t>
            </w:r>
          </w:p>
        </w:tc>
        <w:tc>
          <w:tcPr>
            <w:tcW w:w="1514" w:type="dxa"/>
            <w:shd w:val="clear" w:color="auto" w:fill="auto"/>
            <w:vAlign w:val="center"/>
          </w:tcPr>
          <w:p>
            <w:pPr>
              <w:jc w:val="center"/>
              <w:rPr>
                <w:color w:val="auto"/>
                <w:sz w:val="21"/>
                <w:szCs w:val="21"/>
              </w:rPr>
            </w:pPr>
            <w:r>
              <w:rPr>
                <w:rFonts w:hint="eastAsia"/>
                <w:color w:val="auto"/>
                <w:sz w:val="21"/>
                <w:szCs w:val="21"/>
              </w:rPr>
              <w:t>4455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026" w:type="dxa"/>
            <w:shd w:val="clear" w:color="auto" w:fill="auto"/>
            <w:vAlign w:val="center"/>
          </w:tcPr>
          <w:p>
            <w:pPr>
              <w:jc w:val="center"/>
              <w:rPr>
                <w:color w:val="auto"/>
                <w:sz w:val="21"/>
                <w:szCs w:val="21"/>
              </w:rPr>
            </w:pPr>
            <w:r>
              <w:rPr>
                <w:color w:val="auto"/>
                <w:sz w:val="21"/>
                <w:szCs w:val="21"/>
              </w:rPr>
              <w:t>2</w:t>
            </w:r>
          </w:p>
        </w:tc>
        <w:tc>
          <w:tcPr>
            <w:tcW w:w="2342" w:type="dxa"/>
            <w:shd w:val="clear" w:color="auto" w:fill="auto"/>
            <w:vAlign w:val="center"/>
          </w:tcPr>
          <w:p>
            <w:pPr>
              <w:jc w:val="center"/>
              <w:rPr>
                <w:color w:val="auto"/>
                <w:sz w:val="21"/>
                <w:szCs w:val="21"/>
              </w:rPr>
            </w:pPr>
            <w:r>
              <w:rPr>
                <w:rFonts w:hint="eastAsia"/>
                <w:color w:val="auto"/>
                <w:sz w:val="21"/>
                <w:szCs w:val="21"/>
              </w:rPr>
              <w:t>粗油脂</w:t>
            </w:r>
          </w:p>
        </w:tc>
        <w:tc>
          <w:tcPr>
            <w:tcW w:w="1547" w:type="dxa"/>
            <w:vAlign w:val="center"/>
          </w:tcPr>
          <w:p>
            <w:pPr>
              <w:jc w:val="center"/>
              <w:rPr>
                <w:color w:val="auto"/>
                <w:sz w:val="21"/>
                <w:szCs w:val="21"/>
              </w:rPr>
            </w:pPr>
            <w:r>
              <w:rPr>
                <w:rFonts w:hint="eastAsia"/>
                <w:color w:val="auto"/>
                <w:sz w:val="21"/>
                <w:szCs w:val="21"/>
              </w:rPr>
              <w:t>油水分离</w:t>
            </w:r>
          </w:p>
        </w:tc>
        <w:tc>
          <w:tcPr>
            <w:tcW w:w="1354" w:type="dxa"/>
            <w:vAlign w:val="center"/>
          </w:tcPr>
          <w:p>
            <w:pPr>
              <w:jc w:val="center"/>
              <w:rPr>
                <w:color w:val="auto"/>
                <w:sz w:val="21"/>
                <w:szCs w:val="21"/>
              </w:rPr>
            </w:pPr>
            <w:r>
              <w:rPr>
                <w:color w:val="auto"/>
                <w:sz w:val="21"/>
                <w:szCs w:val="21"/>
              </w:rPr>
              <w:t>固</w:t>
            </w:r>
          </w:p>
        </w:tc>
        <w:tc>
          <w:tcPr>
            <w:tcW w:w="2626" w:type="dxa"/>
            <w:vAlign w:val="center"/>
          </w:tcPr>
          <w:p>
            <w:pPr>
              <w:jc w:val="center"/>
              <w:rPr>
                <w:color w:val="auto"/>
                <w:sz w:val="21"/>
                <w:szCs w:val="21"/>
              </w:rPr>
            </w:pPr>
            <w:r>
              <w:rPr>
                <w:rFonts w:hint="eastAsia"/>
                <w:color w:val="auto"/>
                <w:sz w:val="21"/>
                <w:szCs w:val="21"/>
              </w:rPr>
              <w:t>油脂</w:t>
            </w:r>
          </w:p>
        </w:tc>
        <w:tc>
          <w:tcPr>
            <w:tcW w:w="2694" w:type="dxa"/>
            <w:vAlign w:val="center"/>
          </w:tcPr>
          <w:p>
            <w:pPr>
              <w:jc w:val="center"/>
              <w:rPr>
                <w:color w:val="auto"/>
                <w:sz w:val="21"/>
                <w:szCs w:val="21"/>
              </w:rPr>
            </w:pPr>
            <w:r>
              <w:rPr>
                <w:color w:val="auto"/>
                <w:sz w:val="21"/>
                <w:szCs w:val="21"/>
              </w:rPr>
              <w:t>否</w:t>
            </w:r>
          </w:p>
        </w:tc>
        <w:tc>
          <w:tcPr>
            <w:tcW w:w="1683" w:type="dxa"/>
            <w:vMerge w:val="continue"/>
            <w:vAlign w:val="center"/>
          </w:tcPr>
          <w:p>
            <w:pPr>
              <w:jc w:val="center"/>
              <w:rPr>
                <w:color w:val="auto"/>
                <w:sz w:val="21"/>
                <w:szCs w:val="21"/>
              </w:rPr>
            </w:pPr>
          </w:p>
        </w:tc>
        <w:tc>
          <w:tcPr>
            <w:tcW w:w="1514" w:type="dxa"/>
            <w:shd w:val="clear" w:color="auto" w:fill="auto"/>
            <w:vAlign w:val="center"/>
          </w:tcPr>
          <w:p>
            <w:pPr>
              <w:jc w:val="center"/>
              <w:rPr>
                <w:color w:val="auto"/>
                <w:sz w:val="21"/>
                <w:szCs w:val="21"/>
              </w:rPr>
            </w:pPr>
            <w:r>
              <w:rPr>
                <w:rFonts w:hint="eastAsia"/>
                <w:color w:val="auto"/>
                <w:sz w:val="21"/>
                <w:szCs w:val="21"/>
              </w:rPr>
              <w:t>264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026" w:type="dxa"/>
            <w:shd w:val="clear" w:color="auto" w:fill="auto"/>
            <w:vAlign w:val="center"/>
          </w:tcPr>
          <w:p>
            <w:pPr>
              <w:jc w:val="center"/>
              <w:rPr>
                <w:color w:val="auto"/>
                <w:sz w:val="21"/>
                <w:szCs w:val="21"/>
              </w:rPr>
            </w:pPr>
            <w:r>
              <w:rPr>
                <w:color w:val="auto"/>
                <w:sz w:val="21"/>
                <w:szCs w:val="21"/>
              </w:rPr>
              <w:t>3</w:t>
            </w:r>
          </w:p>
        </w:tc>
        <w:tc>
          <w:tcPr>
            <w:tcW w:w="2342" w:type="dxa"/>
            <w:shd w:val="clear" w:color="auto" w:fill="auto"/>
            <w:vAlign w:val="center"/>
          </w:tcPr>
          <w:p>
            <w:pPr>
              <w:jc w:val="center"/>
              <w:rPr>
                <w:color w:val="auto"/>
                <w:sz w:val="21"/>
                <w:szCs w:val="21"/>
              </w:rPr>
            </w:pPr>
            <w:r>
              <w:rPr>
                <w:rFonts w:hint="eastAsia"/>
                <w:color w:val="auto"/>
                <w:sz w:val="21"/>
                <w:szCs w:val="21"/>
              </w:rPr>
              <w:t>废UV光解灯管</w:t>
            </w:r>
          </w:p>
        </w:tc>
        <w:tc>
          <w:tcPr>
            <w:tcW w:w="1547" w:type="dxa"/>
            <w:vAlign w:val="center"/>
          </w:tcPr>
          <w:p>
            <w:pPr>
              <w:jc w:val="center"/>
              <w:rPr>
                <w:color w:val="auto"/>
                <w:sz w:val="21"/>
                <w:szCs w:val="21"/>
              </w:rPr>
            </w:pPr>
            <w:r>
              <w:rPr>
                <w:color w:val="auto"/>
                <w:sz w:val="21"/>
                <w:szCs w:val="21"/>
              </w:rPr>
              <w:t>废气处理</w:t>
            </w:r>
          </w:p>
        </w:tc>
        <w:tc>
          <w:tcPr>
            <w:tcW w:w="1354" w:type="dxa"/>
            <w:vAlign w:val="center"/>
          </w:tcPr>
          <w:p>
            <w:pPr>
              <w:jc w:val="center"/>
              <w:rPr>
                <w:color w:val="auto"/>
                <w:sz w:val="21"/>
                <w:szCs w:val="21"/>
              </w:rPr>
            </w:pPr>
            <w:r>
              <w:rPr>
                <w:color w:val="auto"/>
                <w:sz w:val="21"/>
                <w:szCs w:val="21"/>
              </w:rPr>
              <w:t>固</w:t>
            </w:r>
          </w:p>
        </w:tc>
        <w:tc>
          <w:tcPr>
            <w:tcW w:w="2626" w:type="dxa"/>
            <w:vAlign w:val="center"/>
          </w:tcPr>
          <w:p>
            <w:pPr>
              <w:jc w:val="center"/>
              <w:rPr>
                <w:color w:val="auto"/>
                <w:sz w:val="21"/>
                <w:szCs w:val="21"/>
              </w:rPr>
            </w:pPr>
            <w:r>
              <w:rPr>
                <w:rFonts w:hint="eastAsia"/>
                <w:color w:val="auto"/>
                <w:sz w:val="21"/>
                <w:szCs w:val="21"/>
              </w:rPr>
              <w:t>重金属</w:t>
            </w:r>
          </w:p>
        </w:tc>
        <w:tc>
          <w:tcPr>
            <w:tcW w:w="2694" w:type="dxa"/>
            <w:vAlign w:val="center"/>
          </w:tcPr>
          <w:p>
            <w:pPr>
              <w:jc w:val="center"/>
              <w:rPr>
                <w:color w:val="auto"/>
                <w:sz w:val="21"/>
                <w:szCs w:val="21"/>
              </w:rPr>
            </w:pPr>
            <w:r>
              <w:rPr>
                <w:rFonts w:hint="eastAsia"/>
                <w:color w:val="auto"/>
                <w:sz w:val="21"/>
                <w:szCs w:val="21"/>
              </w:rPr>
              <w:t>是</w:t>
            </w:r>
          </w:p>
        </w:tc>
        <w:tc>
          <w:tcPr>
            <w:tcW w:w="1683" w:type="dxa"/>
            <w:vMerge w:val="continue"/>
            <w:vAlign w:val="center"/>
          </w:tcPr>
          <w:p>
            <w:pPr>
              <w:jc w:val="center"/>
              <w:rPr>
                <w:color w:val="auto"/>
                <w:sz w:val="21"/>
                <w:szCs w:val="21"/>
              </w:rPr>
            </w:pPr>
          </w:p>
        </w:tc>
        <w:tc>
          <w:tcPr>
            <w:tcW w:w="1514" w:type="dxa"/>
            <w:shd w:val="clear" w:color="auto" w:fill="auto"/>
            <w:vAlign w:val="center"/>
          </w:tcPr>
          <w:p>
            <w:pPr>
              <w:jc w:val="center"/>
              <w:rPr>
                <w:rFonts w:hint="eastAsia" w:eastAsia="宋体"/>
                <w:color w:val="auto"/>
                <w:sz w:val="21"/>
                <w:szCs w:val="21"/>
                <w:lang w:eastAsia="zh-CN"/>
              </w:rPr>
            </w:pPr>
            <w:r>
              <w:rPr>
                <w:rFonts w:hint="eastAsia"/>
                <w:color w:val="auto"/>
                <w:sz w:val="21"/>
                <w:szCs w:val="21"/>
                <w:lang w:val="en-US" w:eastAsia="zh-CN"/>
              </w:rPr>
              <w:t>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1" w:hRule="atLeast"/>
        </w:trPr>
        <w:tc>
          <w:tcPr>
            <w:tcW w:w="1026" w:type="dxa"/>
            <w:shd w:val="clear" w:color="auto" w:fill="auto"/>
            <w:vAlign w:val="center"/>
          </w:tcPr>
          <w:p>
            <w:pPr>
              <w:jc w:val="center"/>
              <w:rPr>
                <w:color w:val="auto"/>
                <w:sz w:val="21"/>
                <w:szCs w:val="21"/>
              </w:rPr>
            </w:pPr>
            <w:r>
              <w:rPr>
                <w:rFonts w:hint="eastAsia"/>
                <w:color w:val="auto"/>
                <w:sz w:val="21"/>
                <w:szCs w:val="21"/>
              </w:rPr>
              <w:t>4</w:t>
            </w:r>
          </w:p>
        </w:tc>
        <w:tc>
          <w:tcPr>
            <w:tcW w:w="2342" w:type="dxa"/>
            <w:shd w:val="clear" w:color="auto" w:fill="auto"/>
            <w:vAlign w:val="center"/>
          </w:tcPr>
          <w:p>
            <w:pPr>
              <w:jc w:val="center"/>
              <w:rPr>
                <w:color w:val="auto"/>
                <w:sz w:val="21"/>
                <w:szCs w:val="21"/>
              </w:rPr>
            </w:pPr>
            <w:r>
              <w:rPr>
                <w:color w:val="auto"/>
                <w:sz w:val="21"/>
                <w:szCs w:val="21"/>
              </w:rPr>
              <w:t>废机油</w:t>
            </w:r>
          </w:p>
        </w:tc>
        <w:tc>
          <w:tcPr>
            <w:tcW w:w="1547" w:type="dxa"/>
            <w:vAlign w:val="center"/>
          </w:tcPr>
          <w:p>
            <w:pPr>
              <w:jc w:val="center"/>
              <w:rPr>
                <w:color w:val="auto"/>
                <w:sz w:val="21"/>
                <w:szCs w:val="21"/>
              </w:rPr>
            </w:pPr>
            <w:r>
              <w:rPr>
                <w:color w:val="auto"/>
                <w:sz w:val="21"/>
                <w:szCs w:val="21"/>
              </w:rPr>
              <w:t>设备维护</w:t>
            </w:r>
          </w:p>
        </w:tc>
        <w:tc>
          <w:tcPr>
            <w:tcW w:w="1354" w:type="dxa"/>
            <w:vAlign w:val="center"/>
          </w:tcPr>
          <w:p>
            <w:pPr>
              <w:jc w:val="center"/>
              <w:rPr>
                <w:color w:val="auto"/>
                <w:sz w:val="21"/>
                <w:szCs w:val="21"/>
              </w:rPr>
            </w:pPr>
            <w:r>
              <w:rPr>
                <w:color w:val="auto"/>
                <w:sz w:val="21"/>
                <w:szCs w:val="21"/>
              </w:rPr>
              <w:t>液</w:t>
            </w:r>
          </w:p>
        </w:tc>
        <w:tc>
          <w:tcPr>
            <w:tcW w:w="2626" w:type="dxa"/>
            <w:vAlign w:val="center"/>
          </w:tcPr>
          <w:p>
            <w:pPr>
              <w:jc w:val="center"/>
              <w:rPr>
                <w:color w:val="auto"/>
                <w:sz w:val="21"/>
                <w:szCs w:val="21"/>
              </w:rPr>
            </w:pPr>
            <w:r>
              <w:rPr>
                <w:color w:val="auto"/>
                <w:sz w:val="21"/>
                <w:szCs w:val="21"/>
              </w:rPr>
              <w:t>矿物油</w:t>
            </w:r>
          </w:p>
        </w:tc>
        <w:tc>
          <w:tcPr>
            <w:tcW w:w="2694" w:type="dxa"/>
            <w:vAlign w:val="center"/>
          </w:tcPr>
          <w:p>
            <w:pPr>
              <w:jc w:val="center"/>
              <w:rPr>
                <w:color w:val="auto"/>
                <w:sz w:val="21"/>
                <w:szCs w:val="21"/>
              </w:rPr>
            </w:pPr>
            <w:r>
              <w:rPr>
                <w:color w:val="auto"/>
                <w:sz w:val="21"/>
                <w:szCs w:val="21"/>
              </w:rPr>
              <w:t>是</w:t>
            </w:r>
          </w:p>
        </w:tc>
        <w:tc>
          <w:tcPr>
            <w:tcW w:w="1683" w:type="dxa"/>
            <w:vMerge w:val="continue"/>
            <w:vAlign w:val="center"/>
          </w:tcPr>
          <w:p>
            <w:pPr>
              <w:jc w:val="center"/>
              <w:rPr>
                <w:color w:val="auto"/>
                <w:sz w:val="21"/>
                <w:szCs w:val="21"/>
              </w:rPr>
            </w:pPr>
          </w:p>
        </w:tc>
        <w:tc>
          <w:tcPr>
            <w:tcW w:w="1514" w:type="dxa"/>
            <w:shd w:val="clear" w:color="auto" w:fill="auto"/>
            <w:vAlign w:val="center"/>
          </w:tcPr>
          <w:p>
            <w:pPr>
              <w:jc w:val="center"/>
              <w:rPr>
                <w:color w:val="auto"/>
                <w:sz w:val="21"/>
                <w:szCs w:val="21"/>
              </w:rPr>
            </w:pPr>
            <w:r>
              <w:rPr>
                <w:rFonts w:hint="eastAsia"/>
                <w:color w:val="auto"/>
                <w:sz w:val="21"/>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1" w:hRule="atLeast"/>
        </w:trPr>
        <w:tc>
          <w:tcPr>
            <w:tcW w:w="13272" w:type="dxa"/>
            <w:gridSpan w:val="7"/>
            <w:shd w:val="clear" w:color="auto" w:fill="auto"/>
            <w:vAlign w:val="center"/>
          </w:tcPr>
          <w:p>
            <w:pPr>
              <w:jc w:val="center"/>
              <w:rPr>
                <w:color w:val="auto"/>
                <w:sz w:val="21"/>
                <w:szCs w:val="21"/>
              </w:rPr>
            </w:pPr>
            <w:r>
              <w:rPr>
                <w:color w:val="auto"/>
                <w:sz w:val="21"/>
                <w:szCs w:val="21"/>
              </w:rPr>
              <w:t>合计</w:t>
            </w:r>
          </w:p>
        </w:tc>
        <w:tc>
          <w:tcPr>
            <w:tcW w:w="1514" w:type="dxa"/>
            <w:shd w:val="clear" w:color="auto" w:fill="auto"/>
            <w:textDirection w:val="lrTb"/>
            <w:vAlign w:val="center"/>
          </w:tcPr>
          <w:p>
            <w:pPr>
              <w:keepNext w:val="0"/>
              <w:keepLines w:val="0"/>
              <w:widowControl/>
              <w:suppressLineNumbers w:val="0"/>
              <w:jc w:val="center"/>
              <w:textAlignment w:val="center"/>
              <w:rPr>
                <w:color w:val="auto"/>
                <w:sz w:val="21"/>
                <w:szCs w:val="21"/>
              </w:rPr>
            </w:pPr>
            <w:r>
              <w:rPr>
                <w:rFonts w:hint="eastAsia"/>
                <w:color w:val="auto"/>
                <w:sz w:val="21"/>
                <w:szCs w:val="21"/>
                <w:lang w:val="en-US" w:eastAsia="zh-CN"/>
              </w:rPr>
              <w:t>4719.65</w:t>
            </w:r>
          </w:p>
        </w:tc>
      </w:tr>
    </w:tbl>
    <w:p>
      <w:pPr>
        <w:autoSpaceDE w:val="0"/>
        <w:autoSpaceDN w:val="0"/>
        <w:adjustRightInd w:val="0"/>
        <w:spacing w:before="120" w:beforeLines="50" w:after="120" w:afterLines="50"/>
        <w:jc w:val="center"/>
        <w:rPr>
          <w:b/>
          <w:color w:val="auto"/>
          <w:kern w:val="0"/>
        </w:rPr>
      </w:pPr>
      <w:r>
        <w:rPr>
          <w:b/>
          <w:color w:val="auto"/>
        </w:rPr>
        <w:t>表3.</w:t>
      </w:r>
      <w:r>
        <w:rPr>
          <w:rFonts w:hint="eastAsia"/>
          <w:b/>
          <w:color w:val="auto"/>
          <w:lang w:val="en-US" w:eastAsia="zh-CN"/>
        </w:rPr>
        <w:t>3</w:t>
      </w:r>
      <w:r>
        <w:rPr>
          <w:b/>
          <w:color w:val="auto"/>
        </w:rPr>
        <w:noBreakHyphen/>
      </w:r>
      <w:r>
        <w:rPr>
          <w:rFonts w:hint="eastAsia"/>
          <w:b/>
          <w:color w:val="auto"/>
        </w:rPr>
        <w:t>10</w:t>
      </w:r>
      <w:r>
        <w:rPr>
          <w:b/>
          <w:color w:val="auto"/>
        </w:rPr>
        <w:t xml:space="preserve">  </w:t>
      </w:r>
      <w:r>
        <w:rPr>
          <w:b/>
          <w:color w:val="auto"/>
          <w:kern w:val="0"/>
        </w:rPr>
        <w:t>危险废物汇总表</w:t>
      </w:r>
    </w:p>
    <w:tbl>
      <w:tblPr>
        <w:tblStyle w:val="53"/>
        <w:tblW w:w="147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3"/>
        <w:gridCol w:w="1278"/>
        <w:gridCol w:w="1558"/>
        <w:gridCol w:w="1461"/>
        <w:gridCol w:w="1115"/>
        <w:gridCol w:w="1115"/>
        <w:gridCol w:w="893"/>
        <w:gridCol w:w="1514"/>
        <w:gridCol w:w="1133"/>
        <w:gridCol w:w="1275"/>
        <w:gridCol w:w="1133"/>
        <w:gridCol w:w="16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7" w:hRule="atLeast"/>
          <w:tblHeader/>
        </w:trPr>
        <w:tc>
          <w:tcPr>
            <w:tcW w:w="673" w:type="dxa"/>
            <w:shd w:val="clear" w:color="auto" w:fill="auto"/>
            <w:vAlign w:val="center"/>
          </w:tcPr>
          <w:p>
            <w:pPr>
              <w:jc w:val="center"/>
              <w:rPr>
                <w:b/>
                <w:color w:val="auto"/>
                <w:sz w:val="21"/>
                <w:szCs w:val="21"/>
              </w:rPr>
            </w:pPr>
            <w:r>
              <w:rPr>
                <w:b/>
                <w:color w:val="auto"/>
                <w:sz w:val="21"/>
                <w:szCs w:val="21"/>
              </w:rPr>
              <w:t>序号</w:t>
            </w:r>
          </w:p>
        </w:tc>
        <w:tc>
          <w:tcPr>
            <w:tcW w:w="1278" w:type="dxa"/>
            <w:shd w:val="clear" w:color="auto" w:fill="auto"/>
            <w:vAlign w:val="center"/>
          </w:tcPr>
          <w:p>
            <w:pPr>
              <w:jc w:val="center"/>
              <w:rPr>
                <w:b/>
                <w:color w:val="auto"/>
                <w:sz w:val="21"/>
                <w:szCs w:val="21"/>
              </w:rPr>
            </w:pPr>
            <w:r>
              <w:rPr>
                <w:b/>
                <w:color w:val="auto"/>
                <w:sz w:val="21"/>
                <w:szCs w:val="21"/>
              </w:rPr>
              <w:t>废物名称</w:t>
            </w:r>
          </w:p>
        </w:tc>
        <w:tc>
          <w:tcPr>
            <w:tcW w:w="1558" w:type="dxa"/>
            <w:vAlign w:val="center"/>
          </w:tcPr>
          <w:p>
            <w:pPr>
              <w:jc w:val="center"/>
              <w:rPr>
                <w:b/>
                <w:color w:val="auto"/>
                <w:sz w:val="21"/>
                <w:szCs w:val="21"/>
              </w:rPr>
            </w:pPr>
            <w:r>
              <w:rPr>
                <w:b/>
                <w:color w:val="auto"/>
                <w:sz w:val="21"/>
                <w:szCs w:val="21"/>
              </w:rPr>
              <w:t>废物类别</w:t>
            </w:r>
          </w:p>
        </w:tc>
        <w:tc>
          <w:tcPr>
            <w:tcW w:w="1461" w:type="dxa"/>
            <w:vAlign w:val="center"/>
          </w:tcPr>
          <w:p>
            <w:pPr>
              <w:jc w:val="center"/>
              <w:rPr>
                <w:b/>
                <w:color w:val="auto"/>
                <w:sz w:val="21"/>
                <w:szCs w:val="21"/>
              </w:rPr>
            </w:pPr>
            <w:r>
              <w:rPr>
                <w:b/>
                <w:color w:val="auto"/>
                <w:sz w:val="21"/>
                <w:szCs w:val="21"/>
              </w:rPr>
              <w:t>危废代码</w:t>
            </w:r>
          </w:p>
        </w:tc>
        <w:tc>
          <w:tcPr>
            <w:tcW w:w="1115" w:type="dxa"/>
            <w:vAlign w:val="center"/>
          </w:tcPr>
          <w:p>
            <w:pPr>
              <w:jc w:val="center"/>
              <w:rPr>
                <w:b/>
                <w:color w:val="auto"/>
                <w:sz w:val="21"/>
                <w:szCs w:val="21"/>
              </w:rPr>
            </w:pPr>
            <w:r>
              <w:rPr>
                <w:b/>
                <w:color w:val="auto"/>
                <w:sz w:val="21"/>
                <w:szCs w:val="21"/>
              </w:rPr>
              <w:t>产生量（t/a）</w:t>
            </w:r>
          </w:p>
        </w:tc>
        <w:tc>
          <w:tcPr>
            <w:tcW w:w="1115" w:type="dxa"/>
            <w:vAlign w:val="center"/>
          </w:tcPr>
          <w:p>
            <w:pPr>
              <w:jc w:val="center"/>
              <w:rPr>
                <w:b/>
                <w:color w:val="auto"/>
                <w:sz w:val="21"/>
                <w:szCs w:val="21"/>
              </w:rPr>
            </w:pPr>
            <w:r>
              <w:rPr>
                <w:b/>
                <w:color w:val="auto"/>
                <w:sz w:val="21"/>
                <w:szCs w:val="21"/>
              </w:rPr>
              <w:t>产生工序/装置</w:t>
            </w:r>
          </w:p>
        </w:tc>
        <w:tc>
          <w:tcPr>
            <w:tcW w:w="893" w:type="dxa"/>
            <w:vAlign w:val="center"/>
          </w:tcPr>
          <w:p>
            <w:pPr>
              <w:jc w:val="center"/>
              <w:rPr>
                <w:b/>
                <w:color w:val="auto"/>
                <w:sz w:val="21"/>
                <w:szCs w:val="21"/>
              </w:rPr>
            </w:pPr>
            <w:r>
              <w:rPr>
                <w:b/>
                <w:color w:val="auto"/>
                <w:sz w:val="21"/>
                <w:szCs w:val="21"/>
              </w:rPr>
              <w:t>形态</w:t>
            </w:r>
          </w:p>
        </w:tc>
        <w:tc>
          <w:tcPr>
            <w:tcW w:w="1514" w:type="dxa"/>
            <w:vAlign w:val="center"/>
          </w:tcPr>
          <w:p>
            <w:pPr>
              <w:jc w:val="center"/>
              <w:rPr>
                <w:b/>
                <w:color w:val="auto"/>
                <w:sz w:val="21"/>
                <w:szCs w:val="21"/>
              </w:rPr>
            </w:pPr>
            <w:r>
              <w:rPr>
                <w:b/>
                <w:color w:val="auto"/>
                <w:sz w:val="21"/>
                <w:szCs w:val="21"/>
              </w:rPr>
              <w:t>主要成分</w:t>
            </w:r>
          </w:p>
        </w:tc>
        <w:tc>
          <w:tcPr>
            <w:tcW w:w="1133" w:type="dxa"/>
            <w:vAlign w:val="center"/>
          </w:tcPr>
          <w:p>
            <w:pPr>
              <w:jc w:val="center"/>
              <w:rPr>
                <w:b/>
                <w:color w:val="auto"/>
                <w:sz w:val="21"/>
                <w:szCs w:val="21"/>
              </w:rPr>
            </w:pPr>
            <w:r>
              <w:rPr>
                <w:b/>
                <w:color w:val="auto"/>
                <w:sz w:val="21"/>
                <w:szCs w:val="21"/>
              </w:rPr>
              <w:t>有害成分</w:t>
            </w:r>
          </w:p>
        </w:tc>
        <w:tc>
          <w:tcPr>
            <w:tcW w:w="1275" w:type="dxa"/>
            <w:vAlign w:val="center"/>
          </w:tcPr>
          <w:p>
            <w:pPr>
              <w:jc w:val="center"/>
              <w:rPr>
                <w:b/>
                <w:color w:val="auto"/>
                <w:sz w:val="21"/>
                <w:szCs w:val="21"/>
              </w:rPr>
            </w:pPr>
            <w:r>
              <w:rPr>
                <w:b/>
                <w:color w:val="auto"/>
                <w:sz w:val="21"/>
                <w:szCs w:val="21"/>
              </w:rPr>
              <w:t>产废周期</w:t>
            </w:r>
          </w:p>
        </w:tc>
        <w:tc>
          <w:tcPr>
            <w:tcW w:w="1133" w:type="dxa"/>
            <w:vAlign w:val="center"/>
          </w:tcPr>
          <w:p>
            <w:pPr>
              <w:jc w:val="center"/>
              <w:rPr>
                <w:b/>
                <w:color w:val="auto"/>
                <w:sz w:val="21"/>
                <w:szCs w:val="21"/>
              </w:rPr>
            </w:pPr>
            <w:r>
              <w:rPr>
                <w:b/>
                <w:color w:val="auto"/>
                <w:sz w:val="21"/>
                <w:szCs w:val="21"/>
              </w:rPr>
              <w:t>危险特性</w:t>
            </w:r>
          </w:p>
        </w:tc>
        <w:tc>
          <w:tcPr>
            <w:tcW w:w="1638" w:type="dxa"/>
            <w:vAlign w:val="center"/>
          </w:tcPr>
          <w:p>
            <w:pPr>
              <w:jc w:val="center"/>
              <w:rPr>
                <w:b/>
                <w:color w:val="auto"/>
                <w:sz w:val="21"/>
                <w:szCs w:val="21"/>
              </w:rPr>
            </w:pPr>
            <w:r>
              <w:rPr>
                <w:b/>
                <w:color w:val="auto"/>
                <w:sz w:val="21"/>
                <w:szCs w:val="21"/>
              </w:rPr>
              <w:t>污染防治措施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7" w:hRule="atLeast"/>
        </w:trPr>
        <w:tc>
          <w:tcPr>
            <w:tcW w:w="673" w:type="dxa"/>
            <w:shd w:val="clear" w:color="auto" w:fill="auto"/>
            <w:vAlign w:val="center"/>
          </w:tcPr>
          <w:p>
            <w:pPr>
              <w:jc w:val="center"/>
              <w:rPr>
                <w:color w:val="auto"/>
                <w:sz w:val="21"/>
                <w:szCs w:val="21"/>
              </w:rPr>
            </w:pPr>
            <w:r>
              <w:rPr>
                <w:rFonts w:hint="eastAsia"/>
                <w:color w:val="auto"/>
                <w:sz w:val="21"/>
                <w:szCs w:val="21"/>
              </w:rPr>
              <w:t>1</w:t>
            </w:r>
          </w:p>
        </w:tc>
        <w:tc>
          <w:tcPr>
            <w:tcW w:w="1278" w:type="dxa"/>
            <w:shd w:val="clear" w:color="auto" w:fill="auto"/>
            <w:vAlign w:val="center"/>
          </w:tcPr>
          <w:p>
            <w:pPr>
              <w:jc w:val="center"/>
              <w:rPr>
                <w:color w:val="auto"/>
                <w:sz w:val="21"/>
                <w:szCs w:val="21"/>
              </w:rPr>
            </w:pPr>
            <w:r>
              <w:rPr>
                <w:color w:val="auto"/>
                <w:sz w:val="21"/>
                <w:szCs w:val="21"/>
              </w:rPr>
              <w:t>废机油</w:t>
            </w:r>
          </w:p>
        </w:tc>
        <w:tc>
          <w:tcPr>
            <w:tcW w:w="1558" w:type="dxa"/>
            <w:vAlign w:val="center"/>
          </w:tcPr>
          <w:p>
            <w:pPr>
              <w:jc w:val="center"/>
              <w:rPr>
                <w:color w:val="auto"/>
                <w:sz w:val="21"/>
                <w:szCs w:val="21"/>
              </w:rPr>
            </w:pPr>
            <w:r>
              <w:rPr>
                <w:color w:val="auto"/>
                <w:sz w:val="21"/>
                <w:szCs w:val="21"/>
              </w:rPr>
              <w:t>HW08</w:t>
            </w:r>
          </w:p>
          <w:p>
            <w:pPr>
              <w:jc w:val="center"/>
              <w:rPr>
                <w:color w:val="auto"/>
                <w:sz w:val="21"/>
                <w:szCs w:val="21"/>
              </w:rPr>
            </w:pPr>
            <w:r>
              <w:rPr>
                <w:color w:val="auto"/>
                <w:sz w:val="21"/>
                <w:szCs w:val="21"/>
              </w:rPr>
              <w:t>废矿物油与含矿物油废物</w:t>
            </w:r>
          </w:p>
        </w:tc>
        <w:tc>
          <w:tcPr>
            <w:tcW w:w="1461" w:type="dxa"/>
            <w:vAlign w:val="center"/>
          </w:tcPr>
          <w:p>
            <w:pPr>
              <w:jc w:val="center"/>
              <w:rPr>
                <w:color w:val="auto"/>
                <w:sz w:val="21"/>
                <w:szCs w:val="21"/>
              </w:rPr>
            </w:pPr>
            <w:r>
              <w:rPr>
                <w:color w:val="auto"/>
                <w:sz w:val="21"/>
                <w:szCs w:val="21"/>
              </w:rPr>
              <w:t>900-249-08</w:t>
            </w:r>
          </w:p>
        </w:tc>
        <w:tc>
          <w:tcPr>
            <w:tcW w:w="1115" w:type="dxa"/>
            <w:vAlign w:val="center"/>
          </w:tcPr>
          <w:p>
            <w:pPr>
              <w:jc w:val="center"/>
              <w:rPr>
                <w:color w:val="auto"/>
                <w:sz w:val="21"/>
                <w:szCs w:val="21"/>
              </w:rPr>
            </w:pPr>
            <w:r>
              <w:rPr>
                <w:rFonts w:hint="eastAsia"/>
                <w:color w:val="auto"/>
                <w:sz w:val="21"/>
                <w:szCs w:val="21"/>
              </w:rPr>
              <w:t>0.5</w:t>
            </w:r>
          </w:p>
        </w:tc>
        <w:tc>
          <w:tcPr>
            <w:tcW w:w="1115" w:type="dxa"/>
            <w:vAlign w:val="center"/>
          </w:tcPr>
          <w:p>
            <w:pPr>
              <w:jc w:val="center"/>
              <w:rPr>
                <w:color w:val="auto"/>
                <w:sz w:val="21"/>
                <w:szCs w:val="21"/>
              </w:rPr>
            </w:pPr>
            <w:r>
              <w:rPr>
                <w:color w:val="auto"/>
                <w:sz w:val="21"/>
                <w:szCs w:val="21"/>
              </w:rPr>
              <w:t>设备维护</w:t>
            </w:r>
          </w:p>
        </w:tc>
        <w:tc>
          <w:tcPr>
            <w:tcW w:w="893" w:type="dxa"/>
            <w:vAlign w:val="center"/>
          </w:tcPr>
          <w:p>
            <w:pPr>
              <w:jc w:val="center"/>
              <w:rPr>
                <w:color w:val="auto"/>
                <w:sz w:val="21"/>
                <w:szCs w:val="21"/>
              </w:rPr>
            </w:pPr>
            <w:r>
              <w:rPr>
                <w:color w:val="auto"/>
                <w:sz w:val="21"/>
                <w:szCs w:val="21"/>
              </w:rPr>
              <w:t>固体</w:t>
            </w:r>
          </w:p>
        </w:tc>
        <w:tc>
          <w:tcPr>
            <w:tcW w:w="1514" w:type="dxa"/>
            <w:vAlign w:val="center"/>
          </w:tcPr>
          <w:p>
            <w:pPr>
              <w:jc w:val="center"/>
              <w:rPr>
                <w:color w:val="auto"/>
                <w:sz w:val="21"/>
                <w:szCs w:val="21"/>
              </w:rPr>
            </w:pPr>
            <w:r>
              <w:rPr>
                <w:color w:val="auto"/>
                <w:sz w:val="21"/>
                <w:szCs w:val="21"/>
              </w:rPr>
              <w:t>矿物油</w:t>
            </w:r>
          </w:p>
        </w:tc>
        <w:tc>
          <w:tcPr>
            <w:tcW w:w="1133" w:type="dxa"/>
            <w:vAlign w:val="center"/>
          </w:tcPr>
          <w:p>
            <w:pPr>
              <w:jc w:val="center"/>
              <w:rPr>
                <w:color w:val="auto"/>
                <w:sz w:val="21"/>
                <w:szCs w:val="21"/>
              </w:rPr>
            </w:pPr>
            <w:r>
              <w:rPr>
                <w:color w:val="auto"/>
                <w:sz w:val="21"/>
                <w:szCs w:val="21"/>
              </w:rPr>
              <w:t>矿物油</w:t>
            </w:r>
          </w:p>
        </w:tc>
        <w:tc>
          <w:tcPr>
            <w:tcW w:w="1275" w:type="dxa"/>
            <w:vAlign w:val="center"/>
          </w:tcPr>
          <w:p>
            <w:pPr>
              <w:jc w:val="center"/>
              <w:rPr>
                <w:color w:val="auto"/>
                <w:sz w:val="21"/>
                <w:szCs w:val="21"/>
              </w:rPr>
            </w:pPr>
            <w:r>
              <w:rPr>
                <w:color w:val="auto"/>
                <w:sz w:val="21"/>
                <w:szCs w:val="21"/>
              </w:rPr>
              <w:t>间断性</w:t>
            </w:r>
          </w:p>
        </w:tc>
        <w:tc>
          <w:tcPr>
            <w:tcW w:w="1133" w:type="dxa"/>
            <w:vAlign w:val="center"/>
          </w:tcPr>
          <w:p>
            <w:pPr>
              <w:jc w:val="center"/>
              <w:rPr>
                <w:color w:val="auto"/>
                <w:sz w:val="21"/>
                <w:szCs w:val="21"/>
              </w:rPr>
            </w:pPr>
            <w:r>
              <w:rPr>
                <w:color w:val="auto"/>
                <w:sz w:val="21"/>
                <w:szCs w:val="21"/>
              </w:rPr>
              <w:t>T、I</w:t>
            </w:r>
          </w:p>
        </w:tc>
        <w:tc>
          <w:tcPr>
            <w:tcW w:w="1638" w:type="dxa"/>
            <w:vMerge w:val="restart"/>
            <w:vAlign w:val="center"/>
          </w:tcPr>
          <w:p>
            <w:pPr>
              <w:jc w:val="center"/>
              <w:rPr>
                <w:color w:val="auto"/>
                <w:sz w:val="21"/>
                <w:szCs w:val="21"/>
              </w:rPr>
            </w:pPr>
            <w:r>
              <w:rPr>
                <w:color w:val="auto"/>
                <w:sz w:val="21"/>
                <w:szCs w:val="21"/>
              </w:rPr>
              <w:t>统一收集后暂存于危险废物暂存间</w:t>
            </w:r>
            <w:r>
              <w:rPr>
                <w:rFonts w:hint="eastAsia"/>
                <w:color w:val="auto"/>
                <w:sz w:val="21"/>
                <w:szCs w:val="21"/>
              </w:rPr>
              <w:t>（依托园内的危废暂存间）</w:t>
            </w:r>
            <w:r>
              <w:rPr>
                <w:color w:val="auto"/>
                <w:sz w:val="21"/>
                <w:szCs w:val="21"/>
              </w:rPr>
              <w:t>，按危废要求交由有相应处理资质的单位进行处理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7" w:hRule="atLeast"/>
        </w:trPr>
        <w:tc>
          <w:tcPr>
            <w:tcW w:w="673" w:type="dxa"/>
            <w:shd w:val="clear" w:color="auto" w:fill="auto"/>
            <w:vAlign w:val="center"/>
          </w:tcPr>
          <w:p>
            <w:pPr>
              <w:jc w:val="center"/>
              <w:rPr>
                <w:color w:val="auto"/>
                <w:sz w:val="21"/>
                <w:szCs w:val="21"/>
              </w:rPr>
            </w:pPr>
            <w:r>
              <w:rPr>
                <w:rFonts w:hint="eastAsia"/>
                <w:color w:val="auto"/>
                <w:sz w:val="21"/>
                <w:szCs w:val="21"/>
              </w:rPr>
              <w:t>2</w:t>
            </w:r>
          </w:p>
        </w:tc>
        <w:tc>
          <w:tcPr>
            <w:tcW w:w="1278" w:type="dxa"/>
            <w:shd w:val="clear" w:color="auto" w:fill="auto"/>
            <w:vAlign w:val="center"/>
          </w:tcPr>
          <w:p>
            <w:pPr>
              <w:jc w:val="center"/>
              <w:rPr>
                <w:color w:val="auto"/>
                <w:sz w:val="21"/>
                <w:szCs w:val="21"/>
              </w:rPr>
            </w:pPr>
            <w:r>
              <w:rPr>
                <w:rFonts w:hint="eastAsia"/>
                <w:color w:val="auto"/>
                <w:sz w:val="21"/>
                <w:szCs w:val="21"/>
              </w:rPr>
              <w:t>废UV光解灯管</w:t>
            </w:r>
          </w:p>
        </w:tc>
        <w:tc>
          <w:tcPr>
            <w:tcW w:w="1558" w:type="dxa"/>
            <w:vAlign w:val="center"/>
          </w:tcPr>
          <w:p>
            <w:pPr>
              <w:jc w:val="center"/>
              <w:rPr>
                <w:color w:val="auto"/>
                <w:sz w:val="21"/>
                <w:szCs w:val="21"/>
              </w:rPr>
            </w:pPr>
            <w:r>
              <w:rPr>
                <w:color w:val="auto"/>
                <w:sz w:val="21"/>
                <w:szCs w:val="21"/>
              </w:rPr>
              <w:t>HW29</w:t>
            </w:r>
          </w:p>
          <w:p>
            <w:pPr>
              <w:jc w:val="center"/>
              <w:rPr>
                <w:color w:val="auto"/>
                <w:sz w:val="21"/>
                <w:szCs w:val="21"/>
              </w:rPr>
            </w:pPr>
            <w:r>
              <w:rPr>
                <w:rFonts w:hint="eastAsia"/>
                <w:color w:val="auto"/>
                <w:sz w:val="21"/>
                <w:szCs w:val="21"/>
              </w:rPr>
              <w:t>含汞废物</w:t>
            </w:r>
          </w:p>
        </w:tc>
        <w:tc>
          <w:tcPr>
            <w:tcW w:w="1461" w:type="dxa"/>
            <w:vAlign w:val="center"/>
          </w:tcPr>
          <w:p>
            <w:pPr>
              <w:jc w:val="center"/>
              <w:rPr>
                <w:color w:val="auto"/>
                <w:sz w:val="21"/>
                <w:szCs w:val="21"/>
              </w:rPr>
            </w:pPr>
            <w:r>
              <w:rPr>
                <w:color w:val="auto"/>
                <w:sz w:val="21"/>
                <w:szCs w:val="21"/>
              </w:rPr>
              <w:t>900-023-29</w:t>
            </w:r>
          </w:p>
        </w:tc>
        <w:tc>
          <w:tcPr>
            <w:tcW w:w="1115" w:type="dxa"/>
            <w:vAlign w:val="center"/>
          </w:tcPr>
          <w:p>
            <w:pPr>
              <w:jc w:val="center"/>
              <w:rPr>
                <w:rFonts w:hint="eastAsia" w:eastAsia="宋体"/>
                <w:color w:val="auto"/>
                <w:sz w:val="21"/>
                <w:szCs w:val="21"/>
                <w:lang w:eastAsia="zh-CN"/>
              </w:rPr>
            </w:pPr>
            <w:r>
              <w:rPr>
                <w:rFonts w:hint="eastAsia"/>
                <w:color w:val="auto"/>
                <w:sz w:val="21"/>
                <w:szCs w:val="21"/>
                <w:lang w:val="en-US" w:eastAsia="zh-CN"/>
              </w:rPr>
              <w:t>0.15</w:t>
            </w:r>
          </w:p>
        </w:tc>
        <w:tc>
          <w:tcPr>
            <w:tcW w:w="1115" w:type="dxa"/>
            <w:vAlign w:val="center"/>
          </w:tcPr>
          <w:p>
            <w:pPr>
              <w:jc w:val="center"/>
              <w:rPr>
                <w:color w:val="auto"/>
                <w:sz w:val="21"/>
                <w:szCs w:val="21"/>
              </w:rPr>
            </w:pPr>
            <w:r>
              <w:rPr>
                <w:color w:val="auto"/>
                <w:sz w:val="21"/>
                <w:szCs w:val="21"/>
              </w:rPr>
              <w:t>废气处理</w:t>
            </w:r>
          </w:p>
        </w:tc>
        <w:tc>
          <w:tcPr>
            <w:tcW w:w="893" w:type="dxa"/>
            <w:vAlign w:val="center"/>
          </w:tcPr>
          <w:p>
            <w:pPr>
              <w:jc w:val="center"/>
              <w:rPr>
                <w:color w:val="auto"/>
                <w:sz w:val="21"/>
                <w:szCs w:val="21"/>
              </w:rPr>
            </w:pPr>
            <w:r>
              <w:rPr>
                <w:color w:val="auto"/>
                <w:sz w:val="21"/>
                <w:szCs w:val="21"/>
              </w:rPr>
              <w:t>固体</w:t>
            </w:r>
          </w:p>
        </w:tc>
        <w:tc>
          <w:tcPr>
            <w:tcW w:w="1514" w:type="dxa"/>
            <w:vAlign w:val="center"/>
          </w:tcPr>
          <w:p>
            <w:pPr>
              <w:jc w:val="center"/>
              <w:rPr>
                <w:color w:val="auto"/>
                <w:sz w:val="21"/>
                <w:szCs w:val="21"/>
              </w:rPr>
            </w:pPr>
            <w:r>
              <w:rPr>
                <w:rFonts w:hint="eastAsia"/>
                <w:color w:val="auto"/>
                <w:sz w:val="21"/>
                <w:szCs w:val="21"/>
              </w:rPr>
              <w:t>重金属</w:t>
            </w:r>
          </w:p>
        </w:tc>
        <w:tc>
          <w:tcPr>
            <w:tcW w:w="1133" w:type="dxa"/>
            <w:vAlign w:val="center"/>
          </w:tcPr>
          <w:p>
            <w:pPr>
              <w:jc w:val="center"/>
              <w:rPr>
                <w:color w:val="auto"/>
                <w:sz w:val="21"/>
                <w:szCs w:val="21"/>
              </w:rPr>
            </w:pPr>
            <w:r>
              <w:rPr>
                <w:rFonts w:hint="eastAsia"/>
                <w:color w:val="auto"/>
                <w:sz w:val="21"/>
                <w:szCs w:val="21"/>
              </w:rPr>
              <w:t>重金属</w:t>
            </w:r>
          </w:p>
        </w:tc>
        <w:tc>
          <w:tcPr>
            <w:tcW w:w="1275" w:type="dxa"/>
            <w:vAlign w:val="center"/>
          </w:tcPr>
          <w:p>
            <w:pPr>
              <w:jc w:val="center"/>
              <w:rPr>
                <w:color w:val="auto"/>
                <w:sz w:val="21"/>
                <w:szCs w:val="21"/>
              </w:rPr>
            </w:pPr>
            <w:r>
              <w:rPr>
                <w:color w:val="auto"/>
                <w:sz w:val="21"/>
                <w:szCs w:val="21"/>
              </w:rPr>
              <w:t>间断性</w:t>
            </w:r>
          </w:p>
        </w:tc>
        <w:tc>
          <w:tcPr>
            <w:tcW w:w="1133" w:type="dxa"/>
            <w:vAlign w:val="center"/>
          </w:tcPr>
          <w:p>
            <w:pPr>
              <w:jc w:val="center"/>
              <w:rPr>
                <w:color w:val="auto"/>
                <w:sz w:val="21"/>
                <w:szCs w:val="21"/>
              </w:rPr>
            </w:pPr>
            <w:r>
              <w:rPr>
                <w:color w:val="auto"/>
                <w:sz w:val="21"/>
                <w:szCs w:val="21"/>
              </w:rPr>
              <w:t>T</w:t>
            </w:r>
          </w:p>
        </w:tc>
        <w:tc>
          <w:tcPr>
            <w:tcW w:w="1638" w:type="dxa"/>
            <w:vMerge w:val="continue"/>
            <w:vAlign w:val="center"/>
          </w:tcPr>
          <w:p>
            <w:pPr>
              <w:jc w:val="center"/>
              <w:rPr>
                <w:color w:val="auto"/>
                <w:sz w:val="21"/>
                <w:szCs w:val="21"/>
              </w:rPr>
            </w:pPr>
          </w:p>
        </w:tc>
      </w:tr>
    </w:tbl>
    <w:p>
      <w:pPr>
        <w:autoSpaceDE w:val="0"/>
        <w:autoSpaceDN w:val="0"/>
        <w:adjustRightInd w:val="0"/>
        <w:spacing w:line="360" w:lineRule="auto"/>
        <w:jc w:val="center"/>
        <w:rPr>
          <w:color w:val="auto"/>
          <w:kern w:val="0"/>
        </w:rPr>
      </w:pPr>
    </w:p>
    <w:p>
      <w:pPr>
        <w:autoSpaceDE w:val="0"/>
        <w:autoSpaceDN w:val="0"/>
        <w:adjustRightInd w:val="0"/>
        <w:jc w:val="center"/>
        <w:rPr>
          <w:b/>
          <w:color w:val="auto"/>
        </w:rPr>
      </w:pPr>
    </w:p>
    <w:p>
      <w:pPr>
        <w:autoSpaceDE w:val="0"/>
        <w:autoSpaceDN w:val="0"/>
        <w:adjustRightInd w:val="0"/>
        <w:jc w:val="center"/>
        <w:rPr>
          <w:b/>
          <w:color w:val="auto"/>
        </w:rPr>
      </w:pPr>
    </w:p>
    <w:p>
      <w:pPr>
        <w:autoSpaceDE w:val="0"/>
        <w:autoSpaceDN w:val="0"/>
        <w:adjustRightInd w:val="0"/>
        <w:jc w:val="center"/>
        <w:rPr>
          <w:b/>
          <w:color w:val="auto"/>
        </w:rPr>
      </w:pPr>
    </w:p>
    <w:p>
      <w:pPr>
        <w:autoSpaceDE w:val="0"/>
        <w:autoSpaceDN w:val="0"/>
        <w:adjustRightInd w:val="0"/>
        <w:jc w:val="center"/>
        <w:rPr>
          <w:b/>
          <w:color w:val="auto"/>
        </w:rPr>
      </w:pPr>
    </w:p>
    <w:p>
      <w:pPr>
        <w:autoSpaceDE w:val="0"/>
        <w:autoSpaceDN w:val="0"/>
        <w:adjustRightInd w:val="0"/>
        <w:jc w:val="center"/>
        <w:rPr>
          <w:b/>
          <w:color w:val="auto"/>
        </w:rPr>
      </w:pPr>
    </w:p>
    <w:p>
      <w:pPr>
        <w:autoSpaceDE w:val="0"/>
        <w:autoSpaceDN w:val="0"/>
        <w:adjustRightInd w:val="0"/>
        <w:jc w:val="center"/>
        <w:rPr>
          <w:b/>
          <w:color w:val="auto"/>
        </w:rPr>
      </w:pPr>
    </w:p>
    <w:p>
      <w:pPr>
        <w:autoSpaceDE w:val="0"/>
        <w:autoSpaceDN w:val="0"/>
        <w:adjustRightInd w:val="0"/>
        <w:jc w:val="center"/>
        <w:rPr>
          <w:b/>
          <w:color w:val="auto"/>
        </w:rPr>
      </w:pPr>
    </w:p>
    <w:p>
      <w:pPr>
        <w:autoSpaceDE w:val="0"/>
        <w:autoSpaceDN w:val="0"/>
        <w:adjustRightInd w:val="0"/>
        <w:jc w:val="center"/>
        <w:rPr>
          <w:b/>
          <w:color w:val="auto"/>
        </w:rPr>
      </w:pPr>
    </w:p>
    <w:p>
      <w:pPr>
        <w:autoSpaceDE w:val="0"/>
        <w:autoSpaceDN w:val="0"/>
        <w:adjustRightInd w:val="0"/>
        <w:jc w:val="center"/>
        <w:rPr>
          <w:b/>
          <w:color w:val="auto"/>
        </w:rPr>
      </w:pPr>
    </w:p>
    <w:p>
      <w:pPr>
        <w:autoSpaceDE w:val="0"/>
        <w:autoSpaceDN w:val="0"/>
        <w:adjustRightInd w:val="0"/>
        <w:jc w:val="center"/>
        <w:rPr>
          <w:b/>
          <w:color w:val="auto"/>
        </w:rPr>
      </w:pPr>
    </w:p>
    <w:p>
      <w:pPr>
        <w:autoSpaceDE w:val="0"/>
        <w:autoSpaceDN w:val="0"/>
        <w:adjustRightInd w:val="0"/>
        <w:jc w:val="center"/>
        <w:rPr>
          <w:b/>
          <w:color w:val="auto"/>
          <w:kern w:val="0"/>
        </w:rPr>
      </w:pPr>
      <w:r>
        <w:rPr>
          <w:b/>
          <w:color w:val="auto"/>
        </w:rPr>
        <w:t>表</w:t>
      </w:r>
      <w:r>
        <w:rPr>
          <w:rFonts w:hint="eastAsia"/>
          <w:b/>
          <w:color w:val="auto"/>
        </w:rPr>
        <w:t>3.</w:t>
      </w:r>
      <w:r>
        <w:rPr>
          <w:rFonts w:hint="eastAsia"/>
          <w:b/>
          <w:color w:val="auto"/>
          <w:lang w:val="en-US" w:eastAsia="zh-CN"/>
        </w:rPr>
        <w:t>3</w:t>
      </w:r>
      <w:r>
        <w:rPr>
          <w:b/>
          <w:color w:val="auto"/>
        </w:rPr>
        <w:noBreakHyphen/>
      </w:r>
      <w:r>
        <w:rPr>
          <w:b/>
          <w:color w:val="auto"/>
        </w:rPr>
        <w:t>1</w:t>
      </w:r>
      <w:r>
        <w:rPr>
          <w:rFonts w:hint="eastAsia"/>
          <w:b/>
          <w:color w:val="auto"/>
        </w:rPr>
        <w:t>1</w:t>
      </w:r>
      <w:r>
        <w:rPr>
          <w:b/>
          <w:color w:val="auto"/>
        </w:rPr>
        <w:t xml:space="preserve"> </w:t>
      </w:r>
      <w:r>
        <w:rPr>
          <w:b/>
          <w:color w:val="auto"/>
          <w:kern w:val="0"/>
        </w:rPr>
        <w:t xml:space="preserve"> 危险废物贮存场所（设施）基本情况一览表</w:t>
      </w:r>
    </w:p>
    <w:tbl>
      <w:tblPr>
        <w:tblStyle w:val="53"/>
        <w:tblW w:w="147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559"/>
        <w:gridCol w:w="1916"/>
        <w:gridCol w:w="1478"/>
        <w:gridCol w:w="1284"/>
        <w:gridCol w:w="1417"/>
        <w:gridCol w:w="1276"/>
        <w:gridCol w:w="2552"/>
        <w:gridCol w:w="1134"/>
        <w:gridCol w:w="12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59" w:type="dxa"/>
            <w:shd w:val="clear" w:color="auto" w:fill="auto"/>
            <w:vAlign w:val="center"/>
          </w:tcPr>
          <w:p>
            <w:pPr>
              <w:autoSpaceDE w:val="0"/>
              <w:autoSpaceDN w:val="0"/>
              <w:adjustRightInd w:val="0"/>
              <w:spacing w:line="360" w:lineRule="auto"/>
              <w:jc w:val="center"/>
              <w:rPr>
                <w:b/>
                <w:color w:val="auto"/>
                <w:kern w:val="0"/>
                <w:sz w:val="21"/>
                <w:szCs w:val="21"/>
              </w:rPr>
            </w:pPr>
            <w:r>
              <w:rPr>
                <w:b/>
                <w:color w:val="auto"/>
                <w:kern w:val="0"/>
                <w:sz w:val="21"/>
                <w:szCs w:val="21"/>
              </w:rPr>
              <w:t>序号</w:t>
            </w:r>
          </w:p>
        </w:tc>
        <w:tc>
          <w:tcPr>
            <w:tcW w:w="1559" w:type="dxa"/>
            <w:shd w:val="clear" w:color="auto" w:fill="auto"/>
            <w:vAlign w:val="center"/>
          </w:tcPr>
          <w:p>
            <w:pPr>
              <w:autoSpaceDE w:val="0"/>
              <w:autoSpaceDN w:val="0"/>
              <w:adjustRightInd w:val="0"/>
              <w:spacing w:line="360" w:lineRule="auto"/>
              <w:jc w:val="center"/>
              <w:rPr>
                <w:b/>
                <w:color w:val="auto"/>
                <w:kern w:val="0"/>
                <w:sz w:val="21"/>
                <w:szCs w:val="21"/>
              </w:rPr>
            </w:pPr>
            <w:r>
              <w:rPr>
                <w:b/>
                <w:color w:val="auto"/>
                <w:kern w:val="0"/>
                <w:sz w:val="21"/>
                <w:szCs w:val="21"/>
              </w:rPr>
              <w:t>贮存场所</w:t>
            </w:r>
          </w:p>
        </w:tc>
        <w:tc>
          <w:tcPr>
            <w:tcW w:w="1916" w:type="dxa"/>
            <w:shd w:val="clear" w:color="auto" w:fill="auto"/>
            <w:vAlign w:val="center"/>
          </w:tcPr>
          <w:p>
            <w:pPr>
              <w:autoSpaceDE w:val="0"/>
              <w:autoSpaceDN w:val="0"/>
              <w:adjustRightInd w:val="0"/>
              <w:spacing w:line="360" w:lineRule="auto"/>
              <w:jc w:val="center"/>
              <w:rPr>
                <w:b/>
                <w:color w:val="auto"/>
                <w:kern w:val="0"/>
                <w:sz w:val="21"/>
                <w:szCs w:val="21"/>
              </w:rPr>
            </w:pPr>
            <w:r>
              <w:rPr>
                <w:b/>
                <w:color w:val="auto"/>
                <w:kern w:val="0"/>
                <w:sz w:val="21"/>
                <w:szCs w:val="21"/>
              </w:rPr>
              <w:t>危废名称</w:t>
            </w:r>
          </w:p>
        </w:tc>
        <w:tc>
          <w:tcPr>
            <w:tcW w:w="1478" w:type="dxa"/>
            <w:shd w:val="clear" w:color="auto" w:fill="auto"/>
            <w:vAlign w:val="center"/>
          </w:tcPr>
          <w:p>
            <w:pPr>
              <w:autoSpaceDE w:val="0"/>
              <w:autoSpaceDN w:val="0"/>
              <w:adjustRightInd w:val="0"/>
              <w:spacing w:line="360" w:lineRule="auto"/>
              <w:jc w:val="center"/>
              <w:rPr>
                <w:b/>
                <w:color w:val="auto"/>
                <w:kern w:val="0"/>
                <w:sz w:val="21"/>
                <w:szCs w:val="21"/>
              </w:rPr>
            </w:pPr>
            <w:r>
              <w:rPr>
                <w:b/>
                <w:color w:val="auto"/>
                <w:kern w:val="0"/>
                <w:sz w:val="21"/>
                <w:szCs w:val="21"/>
              </w:rPr>
              <w:t>危废类别</w:t>
            </w:r>
          </w:p>
        </w:tc>
        <w:tc>
          <w:tcPr>
            <w:tcW w:w="1284" w:type="dxa"/>
            <w:shd w:val="clear" w:color="auto" w:fill="auto"/>
            <w:vAlign w:val="center"/>
          </w:tcPr>
          <w:p>
            <w:pPr>
              <w:autoSpaceDE w:val="0"/>
              <w:autoSpaceDN w:val="0"/>
              <w:adjustRightInd w:val="0"/>
              <w:spacing w:line="360" w:lineRule="auto"/>
              <w:jc w:val="center"/>
              <w:rPr>
                <w:b/>
                <w:color w:val="auto"/>
                <w:kern w:val="0"/>
                <w:sz w:val="21"/>
                <w:szCs w:val="21"/>
              </w:rPr>
            </w:pPr>
            <w:r>
              <w:rPr>
                <w:b/>
                <w:color w:val="auto"/>
                <w:kern w:val="0"/>
                <w:sz w:val="21"/>
                <w:szCs w:val="21"/>
              </w:rPr>
              <w:t>危废代码</w:t>
            </w:r>
          </w:p>
        </w:tc>
        <w:tc>
          <w:tcPr>
            <w:tcW w:w="1417" w:type="dxa"/>
            <w:shd w:val="clear" w:color="auto" w:fill="auto"/>
            <w:vAlign w:val="center"/>
          </w:tcPr>
          <w:p>
            <w:pPr>
              <w:autoSpaceDE w:val="0"/>
              <w:autoSpaceDN w:val="0"/>
              <w:adjustRightInd w:val="0"/>
              <w:spacing w:line="360" w:lineRule="auto"/>
              <w:jc w:val="center"/>
              <w:rPr>
                <w:b/>
                <w:color w:val="auto"/>
                <w:kern w:val="0"/>
                <w:sz w:val="21"/>
                <w:szCs w:val="21"/>
              </w:rPr>
            </w:pPr>
            <w:r>
              <w:rPr>
                <w:b/>
                <w:color w:val="auto"/>
                <w:kern w:val="0"/>
                <w:sz w:val="21"/>
                <w:szCs w:val="21"/>
              </w:rPr>
              <w:t>位置</w:t>
            </w:r>
          </w:p>
        </w:tc>
        <w:tc>
          <w:tcPr>
            <w:tcW w:w="1276" w:type="dxa"/>
            <w:shd w:val="clear" w:color="auto" w:fill="auto"/>
            <w:vAlign w:val="center"/>
          </w:tcPr>
          <w:p>
            <w:pPr>
              <w:autoSpaceDE w:val="0"/>
              <w:autoSpaceDN w:val="0"/>
              <w:adjustRightInd w:val="0"/>
              <w:spacing w:line="360" w:lineRule="auto"/>
              <w:jc w:val="center"/>
              <w:rPr>
                <w:b/>
                <w:color w:val="auto"/>
                <w:kern w:val="0"/>
                <w:sz w:val="21"/>
                <w:szCs w:val="21"/>
              </w:rPr>
            </w:pPr>
            <w:r>
              <w:rPr>
                <w:b/>
                <w:color w:val="auto"/>
                <w:kern w:val="0"/>
                <w:sz w:val="21"/>
                <w:szCs w:val="21"/>
              </w:rPr>
              <w:t>占地面积（m</w:t>
            </w:r>
            <w:r>
              <w:rPr>
                <w:b/>
                <w:color w:val="auto"/>
                <w:kern w:val="0"/>
                <w:sz w:val="21"/>
                <w:szCs w:val="21"/>
                <w:vertAlign w:val="superscript"/>
              </w:rPr>
              <w:t>2</w:t>
            </w:r>
            <w:r>
              <w:rPr>
                <w:b/>
                <w:color w:val="auto"/>
                <w:kern w:val="0"/>
                <w:sz w:val="21"/>
                <w:szCs w:val="21"/>
              </w:rPr>
              <w:t>）</w:t>
            </w:r>
          </w:p>
        </w:tc>
        <w:tc>
          <w:tcPr>
            <w:tcW w:w="2552" w:type="dxa"/>
            <w:shd w:val="clear" w:color="auto" w:fill="auto"/>
            <w:vAlign w:val="center"/>
          </w:tcPr>
          <w:p>
            <w:pPr>
              <w:autoSpaceDE w:val="0"/>
              <w:autoSpaceDN w:val="0"/>
              <w:adjustRightInd w:val="0"/>
              <w:spacing w:line="360" w:lineRule="auto"/>
              <w:jc w:val="center"/>
              <w:rPr>
                <w:b/>
                <w:color w:val="auto"/>
                <w:kern w:val="0"/>
                <w:sz w:val="21"/>
                <w:szCs w:val="21"/>
              </w:rPr>
            </w:pPr>
            <w:r>
              <w:rPr>
                <w:b/>
                <w:color w:val="auto"/>
                <w:kern w:val="0"/>
                <w:sz w:val="21"/>
                <w:szCs w:val="21"/>
              </w:rPr>
              <w:t>贮存方式</w:t>
            </w:r>
          </w:p>
        </w:tc>
        <w:tc>
          <w:tcPr>
            <w:tcW w:w="1134" w:type="dxa"/>
            <w:shd w:val="clear" w:color="auto" w:fill="auto"/>
            <w:vAlign w:val="center"/>
          </w:tcPr>
          <w:p>
            <w:pPr>
              <w:autoSpaceDE w:val="0"/>
              <w:autoSpaceDN w:val="0"/>
              <w:adjustRightInd w:val="0"/>
              <w:spacing w:line="360" w:lineRule="auto"/>
              <w:jc w:val="center"/>
              <w:rPr>
                <w:b/>
                <w:color w:val="auto"/>
                <w:kern w:val="0"/>
                <w:sz w:val="21"/>
                <w:szCs w:val="21"/>
              </w:rPr>
            </w:pPr>
            <w:r>
              <w:rPr>
                <w:b/>
                <w:color w:val="auto"/>
                <w:kern w:val="0"/>
                <w:sz w:val="21"/>
                <w:szCs w:val="21"/>
              </w:rPr>
              <w:t>贮存能力</w:t>
            </w:r>
          </w:p>
        </w:tc>
        <w:tc>
          <w:tcPr>
            <w:tcW w:w="1211" w:type="dxa"/>
            <w:shd w:val="clear" w:color="auto" w:fill="auto"/>
            <w:vAlign w:val="center"/>
          </w:tcPr>
          <w:p>
            <w:pPr>
              <w:autoSpaceDE w:val="0"/>
              <w:autoSpaceDN w:val="0"/>
              <w:adjustRightInd w:val="0"/>
              <w:spacing w:line="360" w:lineRule="auto"/>
              <w:jc w:val="center"/>
              <w:rPr>
                <w:b/>
                <w:color w:val="auto"/>
                <w:kern w:val="0"/>
                <w:sz w:val="21"/>
                <w:szCs w:val="21"/>
              </w:rPr>
            </w:pPr>
            <w:r>
              <w:rPr>
                <w:b/>
                <w:color w:val="auto"/>
                <w:kern w:val="0"/>
                <w:sz w:val="21"/>
                <w:szCs w:val="21"/>
              </w:rPr>
              <w:t>贮存周期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59" w:type="dxa"/>
            <w:shd w:val="clear" w:color="auto" w:fill="auto"/>
            <w:vAlign w:val="center"/>
          </w:tcPr>
          <w:p>
            <w:pPr>
              <w:jc w:val="center"/>
              <w:rPr>
                <w:color w:val="auto"/>
                <w:sz w:val="21"/>
                <w:szCs w:val="21"/>
              </w:rPr>
            </w:pPr>
            <w:r>
              <w:rPr>
                <w:rFonts w:hint="eastAsia"/>
                <w:color w:val="auto"/>
                <w:sz w:val="21"/>
                <w:szCs w:val="21"/>
              </w:rPr>
              <w:t>1</w:t>
            </w:r>
          </w:p>
        </w:tc>
        <w:tc>
          <w:tcPr>
            <w:tcW w:w="1559" w:type="dxa"/>
            <w:shd w:val="clear" w:color="auto" w:fill="auto"/>
            <w:vAlign w:val="center"/>
          </w:tcPr>
          <w:p>
            <w:pPr>
              <w:autoSpaceDE w:val="0"/>
              <w:autoSpaceDN w:val="0"/>
              <w:adjustRightInd w:val="0"/>
              <w:spacing w:line="360" w:lineRule="auto"/>
              <w:jc w:val="center"/>
              <w:rPr>
                <w:color w:val="auto"/>
                <w:kern w:val="0"/>
                <w:sz w:val="21"/>
                <w:szCs w:val="21"/>
              </w:rPr>
            </w:pPr>
            <w:r>
              <w:rPr>
                <w:color w:val="auto"/>
                <w:kern w:val="0"/>
                <w:sz w:val="21"/>
                <w:szCs w:val="21"/>
              </w:rPr>
              <w:t>危废暂存间</w:t>
            </w:r>
          </w:p>
        </w:tc>
        <w:tc>
          <w:tcPr>
            <w:tcW w:w="1916" w:type="dxa"/>
            <w:shd w:val="clear" w:color="auto" w:fill="auto"/>
            <w:vAlign w:val="center"/>
          </w:tcPr>
          <w:p>
            <w:pPr>
              <w:jc w:val="center"/>
              <w:rPr>
                <w:color w:val="auto"/>
                <w:sz w:val="21"/>
                <w:szCs w:val="21"/>
              </w:rPr>
            </w:pPr>
            <w:r>
              <w:rPr>
                <w:color w:val="auto"/>
                <w:sz w:val="21"/>
                <w:szCs w:val="21"/>
              </w:rPr>
              <w:t>废机油</w:t>
            </w:r>
          </w:p>
        </w:tc>
        <w:tc>
          <w:tcPr>
            <w:tcW w:w="1478" w:type="dxa"/>
            <w:shd w:val="clear" w:color="auto" w:fill="auto"/>
            <w:vAlign w:val="center"/>
          </w:tcPr>
          <w:p>
            <w:pPr>
              <w:jc w:val="center"/>
              <w:rPr>
                <w:color w:val="auto"/>
                <w:sz w:val="21"/>
                <w:szCs w:val="21"/>
              </w:rPr>
            </w:pPr>
            <w:r>
              <w:rPr>
                <w:color w:val="auto"/>
                <w:sz w:val="21"/>
                <w:szCs w:val="21"/>
              </w:rPr>
              <w:t>HW08</w:t>
            </w:r>
          </w:p>
          <w:p>
            <w:pPr>
              <w:jc w:val="center"/>
              <w:rPr>
                <w:color w:val="auto"/>
                <w:sz w:val="21"/>
                <w:szCs w:val="21"/>
              </w:rPr>
            </w:pPr>
            <w:r>
              <w:rPr>
                <w:color w:val="auto"/>
                <w:sz w:val="21"/>
                <w:szCs w:val="21"/>
              </w:rPr>
              <w:t>废矿物油与含矿物油废物</w:t>
            </w:r>
          </w:p>
        </w:tc>
        <w:tc>
          <w:tcPr>
            <w:tcW w:w="1284" w:type="dxa"/>
            <w:shd w:val="clear" w:color="auto" w:fill="auto"/>
            <w:vAlign w:val="center"/>
          </w:tcPr>
          <w:p>
            <w:pPr>
              <w:jc w:val="center"/>
              <w:rPr>
                <w:color w:val="auto"/>
                <w:sz w:val="21"/>
                <w:szCs w:val="21"/>
              </w:rPr>
            </w:pPr>
            <w:r>
              <w:rPr>
                <w:color w:val="auto"/>
                <w:sz w:val="21"/>
                <w:szCs w:val="21"/>
              </w:rPr>
              <w:t>900-249-08</w:t>
            </w:r>
          </w:p>
        </w:tc>
        <w:tc>
          <w:tcPr>
            <w:tcW w:w="1417" w:type="dxa"/>
            <w:vMerge w:val="restart"/>
            <w:shd w:val="clear" w:color="auto" w:fill="auto"/>
            <w:vAlign w:val="center"/>
          </w:tcPr>
          <w:p>
            <w:pPr>
              <w:autoSpaceDE w:val="0"/>
              <w:autoSpaceDN w:val="0"/>
              <w:adjustRightInd w:val="0"/>
              <w:spacing w:line="360" w:lineRule="auto"/>
              <w:jc w:val="center"/>
              <w:rPr>
                <w:color w:val="auto"/>
                <w:kern w:val="0"/>
                <w:sz w:val="21"/>
                <w:szCs w:val="21"/>
              </w:rPr>
            </w:pPr>
            <w:r>
              <w:rPr>
                <w:rFonts w:hint="eastAsia"/>
                <w:color w:val="auto"/>
                <w:kern w:val="0"/>
                <w:sz w:val="21"/>
                <w:szCs w:val="21"/>
              </w:rPr>
              <w:t>依托园内的危废</w:t>
            </w:r>
            <w:r>
              <w:rPr>
                <w:color w:val="auto"/>
                <w:kern w:val="0"/>
                <w:sz w:val="21"/>
                <w:szCs w:val="21"/>
              </w:rPr>
              <w:t>暂存间内部</w:t>
            </w:r>
          </w:p>
        </w:tc>
        <w:tc>
          <w:tcPr>
            <w:tcW w:w="1276" w:type="dxa"/>
            <w:vMerge w:val="restart"/>
            <w:shd w:val="clear" w:color="auto" w:fill="auto"/>
            <w:vAlign w:val="center"/>
          </w:tcPr>
          <w:p>
            <w:pPr>
              <w:autoSpaceDE w:val="0"/>
              <w:autoSpaceDN w:val="0"/>
              <w:adjustRightInd w:val="0"/>
              <w:spacing w:line="360" w:lineRule="auto"/>
              <w:jc w:val="center"/>
              <w:rPr>
                <w:color w:val="auto"/>
                <w:kern w:val="0"/>
                <w:sz w:val="21"/>
                <w:szCs w:val="21"/>
              </w:rPr>
            </w:pPr>
            <w:r>
              <w:rPr>
                <w:color w:val="auto"/>
                <w:kern w:val="0"/>
                <w:sz w:val="21"/>
                <w:szCs w:val="21"/>
              </w:rPr>
              <w:t>80</w:t>
            </w:r>
          </w:p>
        </w:tc>
        <w:tc>
          <w:tcPr>
            <w:tcW w:w="2552" w:type="dxa"/>
            <w:shd w:val="clear" w:color="auto" w:fill="auto"/>
            <w:vAlign w:val="center"/>
          </w:tcPr>
          <w:p>
            <w:pPr>
              <w:autoSpaceDE w:val="0"/>
              <w:autoSpaceDN w:val="0"/>
              <w:adjustRightInd w:val="0"/>
              <w:spacing w:line="360" w:lineRule="auto"/>
              <w:jc w:val="center"/>
              <w:rPr>
                <w:color w:val="auto"/>
                <w:kern w:val="0"/>
                <w:sz w:val="21"/>
                <w:szCs w:val="21"/>
              </w:rPr>
            </w:pPr>
            <w:r>
              <w:rPr>
                <w:color w:val="auto"/>
                <w:kern w:val="0"/>
                <w:sz w:val="21"/>
                <w:szCs w:val="21"/>
              </w:rPr>
              <w:t>危废暂存间内分区贮存</w:t>
            </w:r>
          </w:p>
        </w:tc>
        <w:tc>
          <w:tcPr>
            <w:tcW w:w="1134" w:type="dxa"/>
            <w:vMerge w:val="restart"/>
            <w:shd w:val="clear" w:color="auto" w:fill="auto"/>
            <w:vAlign w:val="center"/>
          </w:tcPr>
          <w:p>
            <w:pPr>
              <w:autoSpaceDE w:val="0"/>
              <w:autoSpaceDN w:val="0"/>
              <w:adjustRightInd w:val="0"/>
              <w:spacing w:line="360" w:lineRule="auto"/>
              <w:jc w:val="center"/>
              <w:rPr>
                <w:color w:val="auto"/>
                <w:kern w:val="0"/>
                <w:sz w:val="21"/>
                <w:szCs w:val="21"/>
              </w:rPr>
            </w:pPr>
            <w:r>
              <w:rPr>
                <w:color w:val="auto"/>
                <w:kern w:val="0"/>
                <w:sz w:val="21"/>
                <w:szCs w:val="21"/>
              </w:rPr>
              <w:t>＞10t</w:t>
            </w:r>
          </w:p>
        </w:tc>
        <w:tc>
          <w:tcPr>
            <w:tcW w:w="1211" w:type="dxa"/>
            <w:vMerge w:val="restart"/>
            <w:shd w:val="clear" w:color="auto" w:fill="auto"/>
            <w:vAlign w:val="center"/>
          </w:tcPr>
          <w:p>
            <w:pPr>
              <w:autoSpaceDE w:val="0"/>
              <w:autoSpaceDN w:val="0"/>
              <w:adjustRightInd w:val="0"/>
              <w:spacing w:line="360" w:lineRule="auto"/>
              <w:jc w:val="center"/>
              <w:rPr>
                <w:color w:val="auto"/>
                <w:kern w:val="0"/>
                <w:sz w:val="21"/>
                <w:szCs w:val="21"/>
              </w:rPr>
            </w:pPr>
            <w:r>
              <w:rPr>
                <w:color w:val="auto"/>
                <w:kern w:val="0"/>
                <w:sz w:val="21"/>
                <w:szCs w:val="21"/>
              </w:rPr>
              <w:t>一年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59" w:type="dxa"/>
            <w:shd w:val="clear" w:color="auto" w:fill="auto"/>
            <w:vAlign w:val="center"/>
          </w:tcPr>
          <w:p>
            <w:pPr>
              <w:jc w:val="center"/>
              <w:rPr>
                <w:color w:val="auto"/>
                <w:sz w:val="21"/>
                <w:szCs w:val="21"/>
              </w:rPr>
            </w:pPr>
            <w:r>
              <w:rPr>
                <w:rFonts w:hint="eastAsia"/>
                <w:color w:val="auto"/>
                <w:sz w:val="21"/>
                <w:szCs w:val="21"/>
              </w:rPr>
              <w:t>2</w:t>
            </w:r>
          </w:p>
        </w:tc>
        <w:tc>
          <w:tcPr>
            <w:tcW w:w="1559" w:type="dxa"/>
            <w:shd w:val="clear" w:color="auto" w:fill="auto"/>
            <w:vAlign w:val="center"/>
          </w:tcPr>
          <w:p>
            <w:pPr>
              <w:autoSpaceDE w:val="0"/>
              <w:autoSpaceDN w:val="0"/>
              <w:adjustRightInd w:val="0"/>
              <w:spacing w:line="360" w:lineRule="auto"/>
              <w:jc w:val="center"/>
              <w:rPr>
                <w:color w:val="auto"/>
                <w:kern w:val="0"/>
                <w:sz w:val="21"/>
                <w:szCs w:val="21"/>
              </w:rPr>
            </w:pPr>
            <w:r>
              <w:rPr>
                <w:color w:val="auto"/>
                <w:kern w:val="0"/>
                <w:sz w:val="21"/>
                <w:szCs w:val="21"/>
              </w:rPr>
              <w:t>危废暂存间</w:t>
            </w:r>
          </w:p>
        </w:tc>
        <w:tc>
          <w:tcPr>
            <w:tcW w:w="1916" w:type="dxa"/>
            <w:shd w:val="clear" w:color="auto" w:fill="auto"/>
            <w:vAlign w:val="center"/>
          </w:tcPr>
          <w:p>
            <w:pPr>
              <w:jc w:val="center"/>
              <w:rPr>
                <w:color w:val="auto"/>
                <w:sz w:val="21"/>
                <w:szCs w:val="21"/>
              </w:rPr>
            </w:pPr>
            <w:r>
              <w:rPr>
                <w:rFonts w:hint="eastAsia"/>
                <w:color w:val="auto"/>
                <w:sz w:val="21"/>
                <w:szCs w:val="21"/>
              </w:rPr>
              <w:t>废UV光解灯管</w:t>
            </w:r>
          </w:p>
        </w:tc>
        <w:tc>
          <w:tcPr>
            <w:tcW w:w="1478" w:type="dxa"/>
            <w:shd w:val="clear" w:color="auto" w:fill="auto"/>
            <w:vAlign w:val="center"/>
          </w:tcPr>
          <w:p>
            <w:pPr>
              <w:jc w:val="center"/>
              <w:rPr>
                <w:color w:val="auto"/>
                <w:sz w:val="21"/>
                <w:szCs w:val="21"/>
              </w:rPr>
            </w:pPr>
            <w:r>
              <w:rPr>
                <w:color w:val="auto"/>
                <w:sz w:val="21"/>
                <w:szCs w:val="21"/>
              </w:rPr>
              <w:t>HW29</w:t>
            </w:r>
          </w:p>
          <w:p>
            <w:pPr>
              <w:jc w:val="center"/>
              <w:rPr>
                <w:color w:val="auto"/>
                <w:sz w:val="21"/>
                <w:szCs w:val="21"/>
              </w:rPr>
            </w:pPr>
            <w:r>
              <w:rPr>
                <w:rFonts w:hint="eastAsia"/>
                <w:color w:val="auto"/>
                <w:sz w:val="21"/>
                <w:szCs w:val="21"/>
              </w:rPr>
              <w:t>含汞废物</w:t>
            </w:r>
          </w:p>
        </w:tc>
        <w:tc>
          <w:tcPr>
            <w:tcW w:w="1284" w:type="dxa"/>
            <w:shd w:val="clear" w:color="auto" w:fill="auto"/>
            <w:vAlign w:val="center"/>
          </w:tcPr>
          <w:p>
            <w:pPr>
              <w:jc w:val="center"/>
              <w:rPr>
                <w:color w:val="auto"/>
                <w:sz w:val="21"/>
                <w:szCs w:val="21"/>
              </w:rPr>
            </w:pPr>
            <w:r>
              <w:rPr>
                <w:color w:val="auto"/>
                <w:sz w:val="21"/>
                <w:szCs w:val="21"/>
              </w:rPr>
              <w:t>900-023-29</w:t>
            </w:r>
          </w:p>
        </w:tc>
        <w:tc>
          <w:tcPr>
            <w:tcW w:w="1417" w:type="dxa"/>
            <w:vMerge w:val="continue"/>
            <w:shd w:val="clear" w:color="auto" w:fill="auto"/>
            <w:vAlign w:val="center"/>
          </w:tcPr>
          <w:p>
            <w:pPr>
              <w:autoSpaceDE w:val="0"/>
              <w:autoSpaceDN w:val="0"/>
              <w:adjustRightInd w:val="0"/>
              <w:spacing w:line="360" w:lineRule="auto"/>
              <w:jc w:val="center"/>
              <w:rPr>
                <w:color w:val="auto"/>
                <w:kern w:val="0"/>
                <w:sz w:val="21"/>
                <w:szCs w:val="21"/>
              </w:rPr>
            </w:pPr>
          </w:p>
        </w:tc>
        <w:tc>
          <w:tcPr>
            <w:tcW w:w="1276" w:type="dxa"/>
            <w:vMerge w:val="continue"/>
            <w:shd w:val="clear" w:color="auto" w:fill="auto"/>
            <w:vAlign w:val="center"/>
          </w:tcPr>
          <w:p>
            <w:pPr>
              <w:autoSpaceDE w:val="0"/>
              <w:autoSpaceDN w:val="0"/>
              <w:adjustRightInd w:val="0"/>
              <w:spacing w:line="360" w:lineRule="auto"/>
              <w:jc w:val="center"/>
              <w:rPr>
                <w:color w:val="auto"/>
                <w:kern w:val="0"/>
                <w:sz w:val="21"/>
                <w:szCs w:val="21"/>
              </w:rPr>
            </w:pPr>
          </w:p>
        </w:tc>
        <w:tc>
          <w:tcPr>
            <w:tcW w:w="2552" w:type="dxa"/>
            <w:shd w:val="clear" w:color="auto" w:fill="auto"/>
            <w:vAlign w:val="center"/>
          </w:tcPr>
          <w:p>
            <w:pPr>
              <w:autoSpaceDE w:val="0"/>
              <w:autoSpaceDN w:val="0"/>
              <w:adjustRightInd w:val="0"/>
              <w:spacing w:line="360" w:lineRule="auto"/>
              <w:jc w:val="center"/>
              <w:rPr>
                <w:color w:val="auto"/>
                <w:kern w:val="0"/>
                <w:sz w:val="21"/>
                <w:szCs w:val="21"/>
              </w:rPr>
            </w:pPr>
            <w:r>
              <w:rPr>
                <w:color w:val="auto"/>
                <w:kern w:val="0"/>
                <w:sz w:val="21"/>
                <w:szCs w:val="21"/>
              </w:rPr>
              <w:t>危废暂存间内分区贮存</w:t>
            </w:r>
          </w:p>
        </w:tc>
        <w:tc>
          <w:tcPr>
            <w:tcW w:w="1134" w:type="dxa"/>
            <w:vMerge w:val="continue"/>
            <w:shd w:val="clear" w:color="auto" w:fill="auto"/>
            <w:vAlign w:val="center"/>
          </w:tcPr>
          <w:p>
            <w:pPr>
              <w:autoSpaceDE w:val="0"/>
              <w:autoSpaceDN w:val="0"/>
              <w:adjustRightInd w:val="0"/>
              <w:spacing w:line="360" w:lineRule="auto"/>
              <w:jc w:val="center"/>
              <w:rPr>
                <w:color w:val="auto"/>
                <w:kern w:val="0"/>
                <w:sz w:val="21"/>
                <w:szCs w:val="21"/>
              </w:rPr>
            </w:pPr>
          </w:p>
        </w:tc>
        <w:tc>
          <w:tcPr>
            <w:tcW w:w="1211" w:type="dxa"/>
            <w:vMerge w:val="continue"/>
            <w:shd w:val="clear" w:color="auto" w:fill="auto"/>
            <w:vAlign w:val="center"/>
          </w:tcPr>
          <w:p>
            <w:pPr>
              <w:autoSpaceDE w:val="0"/>
              <w:autoSpaceDN w:val="0"/>
              <w:adjustRightInd w:val="0"/>
              <w:spacing w:line="360" w:lineRule="auto"/>
              <w:jc w:val="center"/>
              <w:rPr>
                <w:color w:val="auto"/>
                <w:kern w:val="0"/>
                <w:sz w:val="21"/>
                <w:szCs w:val="21"/>
              </w:rPr>
            </w:pPr>
          </w:p>
        </w:tc>
      </w:tr>
    </w:tbl>
    <w:p>
      <w:pPr>
        <w:autoSpaceDE w:val="0"/>
        <w:autoSpaceDN w:val="0"/>
        <w:adjustRightInd w:val="0"/>
        <w:jc w:val="center"/>
        <w:rPr>
          <w:b/>
          <w:color w:val="auto"/>
        </w:rPr>
      </w:pPr>
    </w:p>
    <w:p>
      <w:pPr>
        <w:autoSpaceDE w:val="0"/>
        <w:autoSpaceDN w:val="0"/>
        <w:adjustRightInd w:val="0"/>
        <w:jc w:val="center"/>
        <w:rPr>
          <w:b/>
          <w:color w:val="auto"/>
          <w:kern w:val="0"/>
        </w:rPr>
      </w:pPr>
      <w:r>
        <w:rPr>
          <w:b/>
          <w:color w:val="auto"/>
        </w:rPr>
        <w:t>表3.</w:t>
      </w:r>
      <w:r>
        <w:rPr>
          <w:rFonts w:hint="eastAsia"/>
          <w:b/>
          <w:color w:val="auto"/>
          <w:lang w:val="en-US" w:eastAsia="zh-CN"/>
        </w:rPr>
        <w:t>3</w:t>
      </w:r>
      <w:r>
        <w:rPr>
          <w:b/>
          <w:color w:val="auto"/>
        </w:rPr>
        <w:noBreakHyphen/>
      </w:r>
      <w:r>
        <w:rPr>
          <w:rFonts w:hint="eastAsia"/>
          <w:b/>
          <w:color w:val="auto"/>
        </w:rPr>
        <w:t>12</w:t>
      </w:r>
      <w:r>
        <w:rPr>
          <w:b/>
          <w:bCs/>
          <w:color w:val="auto"/>
          <w:kern w:val="0"/>
        </w:rPr>
        <w:t xml:space="preserve">  </w:t>
      </w:r>
      <w:r>
        <w:rPr>
          <w:b/>
          <w:color w:val="auto"/>
          <w:kern w:val="0"/>
        </w:rPr>
        <w:t>项目固体废物分析结果汇总表</w:t>
      </w:r>
    </w:p>
    <w:tbl>
      <w:tblPr>
        <w:tblStyle w:val="53"/>
        <w:tblW w:w="147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1"/>
        <w:gridCol w:w="1526"/>
        <w:gridCol w:w="1698"/>
        <w:gridCol w:w="1698"/>
        <w:gridCol w:w="1698"/>
        <w:gridCol w:w="1704"/>
        <w:gridCol w:w="2127"/>
        <w:gridCol w:w="1692"/>
        <w:gridCol w:w="16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7" w:hRule="atLeast"/>
        </w:trPr>
        <w:tc>
          <w:tcPr>
            <w:tcW w:w="951" w:type="dxa"/>
            <w:shd w:val="clear" w:color="auto" w:fill="auto"/>
            <w:vAlign w:val="center"/>
          </w:tcPr>
          <w:p>
            <w:pPr>
              <w:jc w:val="center"/>
              <w:rPr>
                <w:b/>
                <w:color w:val="auto"/>
                <w:sz w:val="21"/>
                <w:szCs w:val="21"/>
              </w:rPr>
            </w:pPr>
            <w:r>
              <w:rPr>
                <w:b/>
                <w:color w:val="auto"/>
                <w:sz w:val="21"/>
                <w:szCs w:val="21"/>
              </w:rPr>
              <w:t>序号</w:t>
            </w:r>
          </w:p>
        </w:tc>
        <w:tc>
          <w:tcPr>
            <w:tcW w:w="1526" w:type="dxa"/>
            <w:shd w:val="clear" w:color="auto" w:fill="auto"/>
            <w:vAlign w:val="center"/>
          </w:tcPr>
          <w:p>
            <w:pPr>
              <w:jc w:val="center"/>
              <w:rPr>
                <w:b/>
                <w:color w:val="auto"/>
                <w:sz w:val="21"/>
                <w:szCs w:val="21"/>
              </w:rPr>
            </w:pPr>
            <w:r>
              <w:rPr>
                <w:b/>
                <w:color w:val="auto"/>
                <w:sz w:val="21"/>
                <w:szCs w:val="21"/>
              </w:rPr>
              <w:t>废物名称</w:t>
            </w:r>
          </w:p>
        </w:tc>
        <w:tc>
          <w:tcPr>
            <w:tcW w:w="1698" w:type="dxa"/>
            <w:vAlign w:val="center"/>
          </w:tcPr>
          <w:p>
            <w:pPr>
              <w:jc w:val="center"/>
              <w:rPr>
                <w:b/>
                <w:color w:val="auto"/>
                <w:sz w:val="21"/>
                <w:szCs w:val="21"/>
              </w:rPr>
            </w:pPr>
            <w:r>
              <w:rPr>
                <w:b/>
                <w:color w:val="auto"/>
                <w:sz w:val="21"/>
                <w:szCs w:val="21"/>
              </w:rPr>
              <w:t>产生工序</w:t>
            </w:r>
          </w:p>
        </w:tc>
        <w:tc>
          <w:tcPr>
            <w:tcW w:w="1698" w:type="dxa"/>
            <w:vAlign w:val="center"/>
          </w:tcPr>
          <w:p>
            <w:pPr>
              <w:jc w:val="center"/>
              <w:rPr>
                <w:b/>
                <w:color w:val="auto"/>
                <w:sz w:val="21"/>
                <w:szCs w:val="21"/>
              </w:rPr>
            </w:pPr>
            <w:r>
              <w:rPr>
                <w:b/>
                <w:color w:val="auto"/>
                <w:sz w:val="21"/>
                <w:szCs w:val="21"/>
              </w:rPr>
              <w:t>形态</w:t>
            </w:r>
          </w:p>
        </w:tc>
        <w:tc>
          <w:tcPr>
            <w:tcW w:w="1698" w:type="dxa"/>
            <w:vAlign w:val="center"/>
          </w:tcPr>
          <w:p>
            <w:pPr>
              <w:jc w:val="center"/>
              <w:rPr>
                <w:b/>
                <w:color w:val="auto"/>
                <w:sz w:val="21"/>
                <w:szCs w:val="21"/>
              </w:rPr>
            </w:pPr>
            <w:r>
              <w:rPr>
                <w:b/>
                <w:color w:val="auto"/>
                <w:sz w:val="21"/>
                <w:szCs w:val="21"/>
              </w:rPr>
              <w:t>主要成分</w:t>
            </w:r>
          </w:p>
        </w:tc>
        <w:tc>
          <w:tcPr>
            <w:tcW w:w="1704" w:type="dxa"/>
            <w:vAlign w:val="center"/>
          </w:tcPr>
          <w:p>
            <w:pPr>
              <w:jc w:val="center"/>
              <w:rPr>
                <w:b/>
                <w:color w:val="auto"/>
                <w:sz w:val="21"/>
                <w:szCs w:val="21"/>
              </w:rPr>
            </w:pPr>
            <w:r>
              <w:rPr>
                <w:b/>
                <w:color w:val="auto"/>
                <w:sz w:val="21"/>
                <w:szCs w:val="21"/>
              </w:rPr>
              <w:t>属性</w:t>
            </w:r>
          </w:p>
        </w:tc>
        <w:tc>
          <w:tcPr>
            <w:tcW w:w="2127" w:type="dxa"/>
            <w:vAlign w:val="center"/>
          </w:tcPr>
          <w:p>
            <w:pPr>
              <w:jc w:val="center"/>
              <w:rPr>
                <w:b/>
                <w:color w:val="auto"/>
                <w:sz w:val="21"/>
                <w:szCs w:val="21"/>
              </w:rPr>
            </w:pPr>
            <w:r>
              <w:rPr>
                <w:b/>
                <w:color w:val="auto"/>
                <w:sz w:val="21"/>
                <w:szCs w:val="21"/>
              </w:rPr>
              <w:t>危废代码</w:t>
            </w:r>
          </w:p>
        </w:tc>
        <w:tc>
          <w:tcPr>
            <w:tcW w:w="1692" w:type="dxa"/>
            <w:vAlign w:val="center"/>
          </w:tcPr>
          <w:p>
            <w:pPr>
              <w:jc w:val="center"/>
              <w:rPr>
                <w:b/>
                <w:color w:val="auto"/>
                <w:sz w:val="21"/>
                <w:szCs w:val="21"/>
              </w:rPr>
            </w:pPr>
            <w:r>
              <w:rPr>
                <w:b/>
                <w:color w:val="auto"/>
                <w:sz w:val="21"/>
                <w:szCs w:val="21"/>
              </w:rPr>
              <w:t>产生量（t/a）</w:t>
            </w:r>
          </w:p>
        </w:tc>
        <w:tc>
          <w:tcPr>
            <w:tcW w:w="1692" w:type="dxa"/>
            <w:vAlign w:val="center"/>
          </w:tcPr>
          <w:p>
            <w:pPr>
              <w:jc w:val="center"/>
              <w:rPr>
                <w:b/>
                <w:color w:val="auto"/>
                <w:sz w:val="21"/>
                <w:szCs w:val="21"/>
              </w:rPr>
            </w:pPr>
            <w:r>
              <w:rPr>
                <w:b/>
                <w:color w:val="auto"/>
                <w:sz w:val="21"/>
                <w:szCs w:val="21"/>
              </w:rPr>
              <w:t>处置方式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7" w:hRule="atLeast"/>
        </w:trPr>
        <w:tc>
          <w:tcPr>
            <w:tcW w:w="951" w:type="dxa"/>
            <w:shd w:val="clear" w:color="auto" w:fill="auto"/>
            <w:vAlign w:val="center"/>
          </w:tcPr>
          <w:p>
            <w:pPr>
              <w:jc w:val="center"/>
              <w:rPr>
                <w:color w:val="auto"/>
                <w:sz w:val="21"/>
                <w:szCs w:val="21"/>
              </w:rPr>
            </w:pPr>
            <w:r>
              <w:rPr>
                <w:color w:val="auto"/>
                <w:sz w:val="21"/>
                <w:szCs w:val="21"/>
              </w:rPr>
              <w:t>1</w:t>
            </w:r>
          </w:p>
        </w:tc>
        <w:tc>
          <w:tcPr>
            <w:tcW w:w="1526" w:type="dxa"/>
            <w:shd w:val="clear" w:color="auto" w:fill="auto"/>
            <w:vAlign w:val="center"/>
          </w:tcPr>
          <w:p>
            <w:pPr>
              <w:jc w:val="center"/>
              <w:rPr>
                <w:color w:val="auto"/>
                <w:sz w:val="21"/>
                <w:szCs w:val="21"/>
              </w:rPr>
            </w:pPr>
            <w:r>
              <w:rPr>
                <w:rFonts w:hint="eastAsia"/>
                <w:color w:val="auto"/>
                <w:sz w:val="21"/>
                <w:szCs w:val="21"/>
              </w:rPr>
              <w:t>脱水残渣和除油残渣</w:t>
            </w:r>
          </w:p>
        </w:tc>
        <w:tc>
          <w:tcPr>
            <w:tcW w:w="1698" w:type="dxa"/>
            <w:vAlign w:val="center"/>
          </w:tcPr>
          <w:p>
            <w:pPr>
              <w:jc w:val="center"/>
              <w:rPr>
                <w:color w:val="auto"/>
                <w:sz w:val="21"/>
                <w:szCs w:val="21"/>
              </w:rPr>
            </w:pPr>
            <w:r>
              <w:rPr>
                <w:rFonts w:hint="eastAsia"/>
                <w:color w:val="auto"/>
                <w:sz w:val="21"/>
                <w:szCs w:val="21"/>
              </w:rPr>
              <w:t>压榨脱水和油水分离</w:t>
            </w:r>
          </w:p>
        </w:tc>
        <w:tc>
          <w:tcPr>
            <w:tcW w:w="1698" w:type="dxa"/>
            <w:vAlign w:val="center"/>
          </w:tcPr>
          <w:p>
            <w:pPr>
              <w:jc w:val="center"/>
              <w:rPr>
                <w:color w:val="auto"/>
                <w:sz w:val="21"/>
                <w:szCs w:val="21"/>
              </w:rPr>
            </w:pPr>
            <w:r>
              <w:rPr>
                <w:color w:val="auto"/>
                <w:sz w:val="21"/>
                <w:szCs w:val="21"/>
              </w:rPr>
              <w:t>固</w:t>
            </w:r>
          </w:p>
        </w:tc>
        <w:tc>
          <w:tcPr>
            <w:tcW w:w="1698" w:type="dxa"/>
            <w:vAlign w:val="center"/>
          </w:tcPr>
          <w:p>
            <w:pPr>
              <w:jc w:val="center"/>
              <w:rPr>
                <w:color w:val="auto"/>
                <w:sz w:val="21"/>
                <w:szCs w:val="21"/>
              </w:rPr>
            </w:pPr>
            <w:r>
              <w:rPr>
                <w:rFonts w:hint="eastAsia"/>
                <w:color w:val="auto"/>
                <w:sz w:val="21"/>
                <w:szCs w:val="21"/>
              </w:rPr>
              <w:t>残渣、有机物</w:t>
            </w:r>
          </w:p>
        </w:tc>
        <w:tc>
          <w:tcPr>
            <w:tcW w:w="1704" w:type="dxa"/>
            <w:vAlign w:val="center"/>
          </w:tcPr>
          <w:p>
            <w:pPr>
              <w:jc w:val="center"/>
              <w:rPr>
                <w:color w:val="auto"/>
                <w:sz w:val="21"/>
                <w:szCs w:val="21"/>
              </w:rPr>
            </w:pPr>
            <w:r>
              <w:rPr>
                <w:color w:val="auto"/>
                <w:sz w:val="21"/>
                <w:szCs w:val="21"/>
              </w:rPr>
              <w:t>一般工业固废</w:t>
            </w:r>
          </w:p>
        </w:tc>
        <w:tc>
          <w:tcPr>
            <w:tcW w:w="2127" w:type="dxa"/>
            <w:vAlign w:val="center"/>
          </w:tcPr>
          <w:p>
            <w:pPr>
              <w:jc w:val="center"/>
              <w:rPr>
                <w:color w:val="auto"/>
                <w:sz w:val="21"/>
                <w:szCs w:val="21"/>
              </w:rPr>
            </w:pPr>
            <w:r>
              <w:rPr>
                <w:color w:val="auto"/>
                <w:sz w:val="21"/>
                <w:szCs w:val="21"/>
              </w:rPr>
              <w:t>/</w:t>
            </w:r>
          </w:p>
        </w:tc>
        <w:tc>
          <w:tcPr>
            <w:tcW w:w="1692" w:type="dxa"/>
            <w:vAlign w:val="center"/>
          </w:tcPr>
          <w:p>
            <w:pPr>
              <w:jc w:val="center"/>
              <w:rPr>
                <w:color w:val="auto"/>
                <w:sz w:val="21"/>
                <w:szCs w:val="21"/>
                <w:highlight w:val="yellow"/>
              </w:rPr>
            </w:pPr>
            <w:r>
              <w:rPr>
                <w:rFonts w:hint="eastAsia"/>
                <w:color w:val="auto"/>
                <w:sz w:val="21"/>
                <w:szCs w:val="21"/>
              </w:rPr>
              <w:t>4455</w:t>
            </w:r>
          </w:p>
        </w:tc>
        <w:tc>
          <w:tcPr>
            <w:tcW w:w="1692" w:type="dxa"/>
            <w:vAlign w:val="center"/>
          </w:tcPr>
          <w:p>
            <w:pPr>
              <w:jc w:val="center"/>
              <w:rPr>
                <w:color w:val="auto"/>
                <w:sz w:val="21"/>
                <w:szCs w:val="21"/>
              </w:rPr>
            </w:pPr>
            <w:r>
              <w:rPr>
                <w:rFonts w:hint="eastAsia"/>
                <w:color w:val="auto"/>
                <w:sz w:val="21"/>
              </w:rPr>
              <w:t>依托在建生活垃圾焚烧项目</w:t>
            </w:r>
            <w:r>
              <w:rPr>
                <w:color w:val="auto"/>
                <w:sz w:val="21"/>
                <w:szCs w:val="21"/>
              </w:rPr>
              <w:t>焚烧处理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7" w:hRule="atLeast"/>
        </w:trPr>
        <w:tc>
          <w:tcPr>
            <w:tcW w:w="951" w:type="dxa"/>
            <w:shd w:val="clear" w:color="auto" w:fill="auto"/>
            <w:vAlign w:val="center"/>
          </w:tcPr>
          <w:p>
            <w:pPr>
              <w:jc w:val="center"/>
              <w:rPr>
                <w:color w:val="auto"/>
                <w:sz w:val="21"/>
                <w:szCs w:val="21"/>
              </w:rPr>
            </w:pPr>
            <w:r>
              <w:rPr>
                <w:color w:val="auto"/>
                <w:sz w:val="21"/>
                <w:szCs w:val="21"/>
              </w:rPr>
              <w:t>2</w:t>
            </w:r>
          </w:p>
        </w:tc>
        <w:tc>
          <w:tcPr>
            <w:tcW w:w="1526" w:type="dxa"/>
            <w:shd w:val="clear" w:color="auto" w:fill="auto"/>
            <w:vAlign w:val="center"/>
          </w:tcPr>
          <w:p>
            <w:pPr>
              <w:jc w:val="center"/>
              <w:rPr>
                <w:color w:val="auto"/>
                <w:sz w:val="21"/>
                <w:szCs w:val="21"/>
              </w:rPr>
            </w:pPr>
            <w:r>
              <w:rPr>
                <w:rFonts w:hint="eastAsia"/>
                <w:color w:val="auto"/>
                <w:sz w:val="21"/>
                <w:szCs w:val="21"/>
              </w:rPr>
              <w:t>粗油脂</w:t>
            </w:r>
          </w:p>
        </w:tc>
        <w:tc>
          <w:tcPr>
            <w:tcW w:w="1698" w:type="dxa"/>
            <w:vAlign w:val="center"/>
          </w:tcPr>
          <w:p>
            <w:pPr>
              <w:jc w:val="center"/>
              <w:rPr>
                <w:color w:val="auto"/>
                <w:sz w:val="21"/>
                <w:szCs w:val="21"/>
              </w:rPr>
            </w:pPr>
            <w:r>
              <w:rPr>
                <w:rFonts w:hint="eastAsia"/>
                <w:color w:val="auto"/>
                <w:sz w:val="21"/>
                <w:szCs w:val="21"/>
              </w:rPr>
              <w:t>油水分离</w:t>
            </w:r>
          </w:p>
        </w:tc>
        <w:tc>
          <w:tcPr>
            <w:tcW w:w="1698" w:type="dxa"/>
            <w:vAlign w:val="center"/>
          </w:tcPr>
          <w:p>
            <w:pPr>
              <w:jc w:val="center"/>
              <w:rPr>
                <w:color w:val="auto"/>
                <w:sz w:val="21"/>
                <w:szCs w:val="21"/>
              </w:rPr>
            </w:pPr>
            <w:r>
              <w:rPr>
                <w:color w:val="auto"/>
                <w:sz w:val="21"/>
                <w:szCs w:val="21"/>
              </w:rPr>
              <w:t>固</w:t>
            </w:r>
          </w:p>
        </w:tc>
        <w:tc>
          <w:tcPr>
            <w:tcW w:w="1698" w:type="dxa"/>
            <w:vAlign w:val="center"/>
          </w:tcPr>
          <w:p>
            <w:pPr>
              <w:jc w:val="center"/>
              <w:rPr>
                <w:color w:val="auto"/>
                <w:sz w:val="21"/>
                <w:szCs w:val="21"/>
              </w:rPr>
            </w:pPr>
            <w:r>
              <w:rPr>
                <w:rFonts w:hint="eastAsia"/>
                <w:color w:val="auto"/>
                <w:sz w:val="21"/>
                <w:szCs w:val="21"/>
              </w:rPr>
              <w:t>油脂</w:t>
            </w:r>
          </w:p>
        </w:tc>
        <w:tc>
          <w:tcPr>
            <w:tcW w:w="1704" w:type="dxa"/>
            <w:vAlign w:val="center"/>
          </w:tcPr>
          <w:p>
            <w:pPr>
              <w:jc w:val="center"/>
              <w:rPr>
                <w:color w:val="auto"/>
                <w:sz w:val="21"/>
                <w:szCs w:val="21"/>
              </w:rPr>
            </w:pPr>
            <w:r>
              <w:rPr>
                <w:color w:val="auto"/>
                <w:sz w:val="21"/>
                <w:szCs w:val="21"/>
              </w:rPr>
              <w:t>一般工业固废</w:t>
            </w:r>
          </w:p>
        </w:tc>
        <w:tc>
          <w:tcPr>
            <w:tcW w:w="2127" w:type="dxa"/>
            <w:vAlign w:val="center"/>
          </w:tcPr>
          <w:p>
            <w:pPr>
              <w:jc w:val="center"/>
              <w:rPr>
                <w:color w:val="auto"/>
                <w:sz w:val="21"/>
                <w:szCs w:val="21"/>
              </w:rPr>
            </w:pPr>
            <w:r>
              <w:rPr>
                <w:color w:val="auto"/>
                <w:sz w:val="21"/>
                <w:szCs w:val="21"/>
              </w:rPr>
              <w:t>/</w:t>
            </w:r>
          </w:p>
        </w:tc>
        <w:tc>
          <w:tcPr>
            <w:tcW w:w="1692" w:type="dxa"/>
            <w:vAlign w:val="center"/>
          </w:tcPr>
          <w:p>
            <w:pPr>
              <w:jc w:val="center"/>
              <w:rPr>
                <w:color w:val="auto"/>
                <w:sz w:val="21"/>
                <w:szCs w:val="21"/>
                <w:highlight w:val="yellow"/>
              </w:rPr>
            </w:pPr>
            <w:r>
              <w:rPr>
                <w:rFonts w:hint="eastAsia"/>
                <w:color w:val="auto"/>
                <w:sz w:val="21"/>
                <w:szCs w:val="21"/>
              </w:rPr>
              <w:t>264</w:t>
            </w:r>
          </w:p>
        </w:tc>
        <w:tc>
          <w:tcPr>
            <w:tcW w:w="1692" w:type="dxa"/>
            <w:vAlign w:val="center"/>
          </w:tcPr>
          <w:p>
            <w:pPr>
              <w:jc w:val="center"/>
              <w:rPr>
                <w:color w:val="auto"/>
                <w:sz w:val="21"/>
                <w:szCs w:val="21"/>
              </w:rPr>
            </w:pPr>
            <w:r>
              <w:rPr>
                <w:rFonts w:hint="eastAsia"/>
                <w:color w:val="auto"/>
                <w:sz w:val="21"/>
                <w:szCs w:val="21"/>
              </w:rPr>
              <w:t>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7" w:hRule="atLeast"/>
        </w:trPr>
        <w:tc>
          <w:tcPr>
            <w:tcW w:w="951" w:type="dxa"/>
            <w:shd w:val="clear" w:color="auto" w:fill="auto"/>
            <w:vAlign w:val="center"/>
          </w:tcPr>
          <w:p>
            <w:pPr>
              <w:jc w:val="center"/>
              <w:rPr>
                <w:color w:val="auto"/>
                <w:sz w:val="21"/>
                <w:szCs w:val="21"/>
              </w:rPr>
            </w:pPr>
            <w:r>
              <w:rPr>
                <w:color w:val="auto"/>
                <w:sz w:val="21"/>
                <w:szCs w:val="21"/>
              </w:rPr>
              <w:t>3</w:t>
            </w:r>
          </w:p>
        </w:tc>
        <w:tc>
          <w:tcPr>
            <w:tcW w:w="1526" w:type="dxa"/>
            <w:shd w:val="clear" w:color="auto" w:fill="auto"/>
            <w:vAlign w:val="center"/>
          </w:tcPr>
          <w:p>
            <w:pPr>
              <w:jc w:val="center"/>
              <w:rPr>
                <w:color w:val="auto"/>
                <w:sz w:val="21"/>
                <w:szCs w:val="21"/>
              </w:rPr>
            </w:pPr>
            <w:r>
              <w:rPr>
                <w:rFonts w:hint="eastAsia"/>
                <w:color w:val="auto"/>
                <w:sz w:val="21"/>
                <w:szCs w:val="21"/>
              </w:rPr>
              <w:t>废UV光解灯管</w:t>
            </w:r>
          </w:p>
        </w:tc>
        <w:tc>
          <w:tcPr>
            <w:tcW w:w="1698" w:type="dxa"/>
            <w:vAlign w:val="center"/>
          </w:tcPr>
          <w:p>
            <w:pPr>
              <w:jc w:val="center"/>
              <w:rPr>
                <w:color w:val="auto"/>
                <w:sz w:val="21"/>
                <w:szCs w:val="21"/>
              </w:rPr>
            </w:pPr>
            <w:r>
              <w:rPr>
                <w:color w:val="auto"/>
                <w:sz w:val="21"/>
                <w:szCs w:val="21"/>
              </w:rPr>
              <w:t>废气处理</w:t>
            </w:r>
          </w:p>
        </w:tc>
        <w:tc>
          <w:tcPr>
            <w:tcW w:w="1698" w:type="dxa"/>
            <w:vAlign w:val="center"/>
          </w:tcPr>
          <w:p>
            <w:pPr>
              <w:jc w:val="center"/>
              <w:rPr>
                <w:color w:val="auto"/>
                <w:sz w:val="21"/>
                <w:szCs w:val="21"/>
              </w:rPr>
            </w:pPr>
            <w:r>
              <w:rPr>
                <w:color w:val="auto"/>
                <w:sz w:val="21"/>
                <w:szCs w:val="21"/>
              </w:rPr>
              <w:t>固</w:t>
            </w:r>
          </w:p>
        </w:tc>
        <w:tc>
          <w:tcPr>
            <w:tcW w:w="1698" w:type="dxa"/>
            <w:vAlign w:val="center"/>
          </w:tcPr>
          <w:p>
            <w:pPr>
              <w:jc w:val="center"/>
              <w:rPr>
                <w:color w:val="auto"/>
                <w:sz w:val="21"/>
                <w:szCs w:val="21"/>
              </w:rPr>
            </w:pPr>
            <w:r>
              <w:rPr>
                <w:rFonts w:hint="eastAsia"/>
                <w:color w:val="auto"/>
                <w:sz w:val="21"/>
                <w:szCs w:val="21"/>
              </w:rPr>
              <w:t>重金属</w:t>
            </w:r>
          </w:p>
        </w:tc>
        <w:tc>
          <w:tcPr>
            <w:tcW w:w="1704" w:type="dxa"/>
            <w:vAlign w:val="center"/>
          </w:tcPr>
          <w:p>
            <w:pPr>
              <w:jc w:val="center"/>
              <w:rPr>
                <w:color w:val="auto"/>
                <w:sz w:val="21"/>
                <w:szCs w:val="21"/>
              </w:rPr>
            </w:pPr>
            <w:r>
              <w:rPr>
                <w:rFonts w:hint="eastAsia"/>
                <w:color w:val="auto"/>
                <w:sz w:val="21"/>
                <w:szCs w:val="21"/>
              </w:rPr>
              <w:t>危险废物</w:t>
            </w:r>
          </w:p>
        </w:tc>
        <w:tc>
          <w:tcPr>
            <w:tcW w:w="2127" w:type="dxa"/>
            <w:vAlign w:val="center"/>
          </w:tcPr>
          <w:p>
            <w:pPr>
              <w:jc w:val="center"/>
              <w:rPr>
                <w:color w:val="auto"/>
                <w:sz w:val="21"/>
                <w:szCs w:val="21"/>
              </w:rPr>
            </w:pPr>
            <w:r>
              <w:rPr>
                <w:color w:val="auto"/>
                <w:sz w:val="21"/>
                <w:szCs w:val="21"/>
              </w:rPr>
              <w:t>HW29</w:t>
            </w:r>
          </w:p>
          <w:p>
            <w:pPr>
              <w:jc w:val="center"/>
              <w:rPr>
                <w:color w:val="auto"/>
                <w:sz w:val="21"/>
                <w:szCs w:val="21"/>
              </w:rPr>
            </w:pPr>
            <w:r>
              <w:rPr>
                <w:color w:val="auto"/>
                <w:sz w:val="21"/>
                <w:szCs w:val="21"/>
              </w:rPr>
              <w:t>900-023-29</w:t>
            </w:r>
          </w:p>
        </w:tc>
        <w:tc>
          <w:tcPr>
            <w:tcW w:w="1692" w:type="dxa"/>
            <w:vAlign w:val="center"/>
          </w:tcPr>
          <w:p>
            <w:pPr>
              <w:jc w:val="center"/>
              <w:rPr>
                <w:rFonts w:hint="eastAsia" w:eastAsia="宋体"/>
                <w:color w:val="auto"/>
                <w:sz w:val="21"/>
                <w:szCs w:val="21"/>
                <w:lang w:eastAsia="zh-CN"/>
              </w:rPr>
            </w:pPr>
            <w:r>
              <w:rPr>
                <w:rFonts w:hint="eastAsia"/>
                <w:color w:val="auto"/>
                <w:sz w:val="21"/>
                <w:szCs w:val="21"/>
                <w:lang w:val="en-US" w:eastAsia="zh-CN"/>
              </w:rPr>
              <w:t>0.15</w:t>
            </w:r>
          </w:p>
        </w:tc>
        <w:tc>
          <w:tcPr>
            <w:tcW w:w="1692" w:type="dxa"/>
            <w:vAlign w:val="center"/>
          </w:tcPr>
          <w:p>
            <w:pPr>
              <w:jc w:val="center"/>
              <w:rPr>
                <w:color w:val="auto"/>
                <w:sz w:val="21"/>
                <w:szCs w:val="21"/>
              </w:rPr>
            </w:pPr>
            <w:r>
              <w:rPr>
                <w:color w:val="auto"/>
                <w:sz w:val="21"/>
                <w:szCs w:val="21"/>
              </w:rPr>
              <w:t>委托有资质的单位处理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7" w:hRule="atLeast"/>
        </w:trPr>
        <w:tc>
          <w:tcPr>
            <w:tcW w:w="951" w:type="dxa"/>
            <w:shd w:val="clear" w:color="auto" w:fill="auto"/>
            <w:vAlign w:val="center"/>
          </w:tcPr>
          <w:p>
            <w:pPr>
              <w:jc w:val="center"/>
              <w:rPr>
                <w:color w:val="auto"/>
                <w:sz w:val="21"/>
                <w:szCs w:val="21"/>
              </w:rPr>
            </w:pPr>
            <w:r>
              <w:rPr>
                <w:color w:val="auto"/>
                <w:sz w:val="21"/>
                <w:szCs w:val="21"/>
              </w:rPr>
              <w:t>4</w:t>
            </w:r>
          </w:p>
        </w:tc>
        <w:tc>
          <w:tcPr>
            <w:tcW w:w="1526" w:type="dxa"/>
            <w:shd w:val="clear" w:color="auto" w:fill="auto"/>
            <w:vAlign w:val="center"/>
          </w:tcPr>
          <w:p>
            <w:pPr>
              <w:jc w:val="center"/>
              <w:rPr>
                <w:color w:val="auto"/>
                <w:sz w:val="21"/>
                <w:szCs w:val="21"/>
              </w:rPr>
            </w:pPr>
            <w:r>
              <w:rPr>
                <w:color w:val="auto"/>
                <w:sz w:val="21"/>
                <w:szCs w:val="21"/>
              </w:rPr>
              <w:t>废机油</w:t>
            </w:r>
          </w:p>
        </w:tc>
        <w:tc>
          <w:tcPr>
            <w:tcW w:w="1698" w:type="dxa"/>
            <w:vAlign w:val="center"/>
          </w:tcPr>
          <w:p>
            <w:pPr>
              <w:jc w:val="center"/>
              <w:rPr>
                <w:color w:val="auto"/>
                <w:sz w:val="21"/>
                <w:szCs w:val="21"/>
              </w:rPr>
            </w:pPr>
            <w:r>
              <w:rPr>
                <w:color w:val="auto"/>
                <w:sz w:val="21"/>
                <w:szCs w:val="21"/>
              </w:rPr>
              <w:t>设备维护</w:t>
            </w:r>
          </w:p>
        </w:tc>
        <w:tc>
          <w:tcPr>
            <w:tcW w:w="1698" w:type="dxa"/>
            <w:vAlign w:val="center"/>
          </w:tcPr>
          <w:p>
            <w:pPr>
              <w:jc w:val="center"/>
              <w:rPr>
                <w:color w:val="auto"/>
                <w:sz w:val="21"/>
                <w:szCs w:val="21"/>
              </w:rPr>
            </w:pPr>
            <w:r>
              <w:rPr>
                <w:color w:val="auto"/>
                <w:sz w:val="21"/>
                <w:szCs w:val="21"/>
              </w:rPr>
              <w:t>液</w:t>
            </w:r>
          </w:p>
        </w:tc>
        <w:tc>
          <w:tcPr>
            <w:tcW w:w="1698" w:type="dxa"/>
            <w:vAlign w:val="center"/>
          </w:tcPr>
          <w:p>
            <w:pPr>
              <w:jc w:val="center"/>
              <w:rPr>
                <w:color w:val="auto"/>
                <w:sz w:val="21"/>
                <w:szCs w:val="21"/>
              </w:rPr>
            </w:pPr>
            <w:r>
              <w:rPr>
                <w:color w:val="auto"/>
                <w:sz w:val="21"/>
                <w:szCs w:val="21"/>
              </w:rPr>
              <w:t>矿物油</w:t>
            </w:r>
          </w:p>
        </w:tc>
        <w:tc>
          <w:tcPr>
            <w:tcW w:w="1704" w:type="dxa"/>
            <w:vAlign w:val="center"/>
          </w:tcPr>
          <w:p>
            <w:pPr>
              <w:jc w:val="center"/>
              <w:rPr>
                <w:color w:val="auto"/>
                <w:sz w:val="21"/>
                <w:szCs w:val="21"/>
              </w:rPr>
            </w:pPr>
            <w:r>
              <w:rPr>
                <w:rFonts w:hint="eastAsia"/>
                <w:color w:val="auto"/>
                <w:sz w:val="21"/>
                <w:szCs w:val="21"/>
              </w:rPr>
              <w:t>危险废物</w:t>
            </w:r>
          </w:p>
        </w:tc>
        <w:tc>
          <w:tcPr>
            <w:tcW w:w="2127" w:type="dxa"/>
            <w:vAlign w:val="center"/>
          </w:tcPr>
          <w:p>
            <w:pPr>
              <w:jc w:val="center"/>
              <w:rPr>
                <w:color w:val="auto"/>
                <w:sz w:val="21"/>
                <w:szCs w:val="21"/>
              </w:rPr>
            </w:pPr>
            <w:r>
              <w:rPr>
                <w:color w:val="auto"/>
                <w:sz w:val="21"/>
                <w:szCs w:val="21"/>
              </w:rPr>
              <w:t>HW08</w:t>
            </w:r>
          </w:p>
          <w:p>
            <w:pPr>
              <w:jc w:val="center"/>
              <w:rPr>
                <w:color w:val="auto"/>
                <w:sz w:val="21"/>
                <w:szCs w:val="21"/>
              </w:rPr>
            </w:pPr>
            <w:r>
              <w:rPr>
                <w:color w:val="auto"/>
                <w:sz w:val="21"/>
                <w:szCs w:val="21"/>
              </w:rPr>
              <w:t>900-249-08</w:t>
            </w:r>
          </w:p>
        </w:tc>
        <w:tc>
          <w:tcPr>
            <w:tcW w:w="1692" w:type="dxa"/>
            <w:vAlign w:val="center"/>
          </w:tcPr>
          <w:p>
            <w:pPr>
              <w:jc w:val="center"/>
              <w:rPr>
                <w:color w:val="auto"/>
                <w:sz w:val="21"/>
                <w:szCs w:val="21"/>
              </w:rPr>
            </w:pPr>
            <w:r>
              <w:rPr>
                <w:rFonts w:hint="eastAsia"/>
                <w:color w:val="auto"/>
                <w:sz w:val="21"/>
                <w:szCs w:val="21"/>
              </w:rPr>
              <w:t>0.5</w:t>
            </w:r>
          </w:p>
        </w:tc>
        <w:tc>
          <w:tcPr>
            <w:tcW w:w="1692" w:type="dxa"/>
            <w:vAlign w:val="center"/>
          </w:tcPr>
          <w:p>
            <w:pPr>
              <w:jc w:val="center"/>
              <w:rPr>
                <w:color w:val="auto"/>
                <w:sz w:val="21"/>
                <w:szCs w:val="21"/>
              </w:rPr>
            </w:pPr>
            <w:r>
              <w:rPr>
                <w:color w:val="auto"/>
                <w:sz w:val="21"/>
                <w:szCs w:val="21"/>
              </w:rPr>
              <w:t>委托有资质的单位处理</w:t>
            </w:r>
          </w:p>
        </w:tc>
      </w:tr>
    </w:tbl>
    <w:p>
      <w:pPr>
        <w:autoSpaceDE w:val="0"/>
        <w:autoSpaceDN w:val="0"/>
        <w:adjustRightInd w:val="0"/>
        <w:spacing w:line="360" w:lineRule="auto"/>
        <w:rPr>
          <w:color w:val="auto"/>
          <w:kern w:val="0"/>
        </w:rPr>
        <w:sectPr>
          <w:pgSz w:w="16838" w:h="11906" w:orient="landscape"/>
          <w:pgMar w:top="1418" w:right="1134" w:bottom="1134" w:left="1134" w:header="851" w:footer="992" w:gutter="0"/>
          <w:pgNumType w:fmt="decimal"/>
          <w:cols w:space="720" w:num="1"/>
          <w:docGrid w:linePitch="326" w:charSpace="0"/>
        </w:sectPr>
      </w:pPr>
    </w:p>
    <w:p>
      <w:pPr>
        <w:pStyle w:val="298"/>
        <w:spacing w:before="0" w:after="0" w:line="360" w:lineRule="auto"/>
        <w:rPr>
          <w:color w:val="auto"/>
        </w:rPr>
      </w:pPr>
      <w:bookmarkStart w:id="319" w:name="_Toc24136761"/>
      <w:bookmarkStart w:id="320" w:name="_Toc15912148"/>
      <w:bookmarkStart w:id="321" w:name="_Toc14946856"/>
      <w:bookmarkStart w:id="322" w:name="_Toc26462"/>
      <w:bookmarkStart w:id="323" w:name="_Toc34234680"/>
      <w:r>
        <w:rPr>
          <w:color w:val="auto"/>
        </w:rPr>
        <w:t>3.</w:t>
      </w:r>
      <w:r>
        <w:rPr>
          <w:rFonts w:hint="eastAsia"/>
          <w:color w:val="auto"/>
          <w:lang w:val="en-US" w:eastAsia="zh-CN"/>
        </w:rPr>
        <w:t>3</w:t>
      </w:r>
      <w:r>
        <w:rPr>
          <w:color w:val="auto"/>
        </w:rPr>
        <w:t>.</w:t>
      </w:r>
      <w:r>
        <w:rPr>
          <w:rFonts w:hint="eastAsia"/>
          <w:color w:val="auto"/>
          <w:lang w:eastAsia="zh-CN"/>
        </w:rPr>
        <w:t>2</w:t>
      </w:r>
      <w:r>
        <w:rPr>
          <w:color w:val="auto"/>
        </w:rPr>
        <w:t>污染</w:t>
      </w:r>
      <w:r>
        <w:rPr>
          <w:rFonts w:hint="eastAsia"/>
          <w:color w:val="auto"/>
          <w:lang w:eastAsia="zh-CN"/>
        </w:rPr>
        <w:t>源强</w:t>
      </w:r>
      <w:r>
        <w:rPr>
          <w:color w:val="auto"/>
        </w:rPr>
        <w:t>（</w:t>
      </w:r>
      <w:r>
        <w:rPr>
          <w:rFonts w:hint="eastAsia"/>
          <w:color w:val="auto"/>
          <w:lang w:val="en-US" w:eastAsia="zh-CN"/>
        </w:rPr>
        <w:t>建筑垃圾消纳场</w:t>
      </w:r>
      <w:r>
        <w:rPr>
          <w:color w:val="auto"/>
        </w:rPr>
        <w:t>）</w:t>
      </w:r>
      <w:bookmarkEnd w:id="319"/>
      <w:bookmarkEnd w:id="320"/>
      <w:bookmarkEnd w:id="321"/>
      <w:bookmarkEnd w:id="322"/>
      <w:bookmarkEnd w:id="323"/>
    </w:p>
    <w:p>
      <w:pPr>
        <w:spacing w:line="360" w:lineRule="auto"/>
        <w:rPr>
          <w:b/>
          <w:color w:val="auto"/>
        </w:rPr>
      </w:pPr>
      <w:bookmarkStart w:id="324" w:name="_Toc24136762"/>
      <w:r>
        <w:rPr>
          <w:rFonts w:hint="eastAsia"/>
          <w:b/>
          <w:color w:val="auto"/>
        </w:rPr>
        <w:t>3.</w:t>
      </w:r>
      <w:r>
        <w:rPr>
          <w:rFonts w:hint="eastAsia"/>
          <w:b/>
          <w:color w:val="auto"/>
          <w:lang w:val="en-US" w:eastAsia="zh-CN"/>
        </w:rPr>
        <w:t>3</w:t>
      </w:r>
      <w:r>
        <w:rPr>
          <w:b/>
          <w:color w:val="auto"/>
        </w:rPr>
        <w:t>.</w:t>
      </w:r>
      <w:r>
        <w:rPr>
          <w:rFonts w:hint="eastAsia"/>
          <w:b/>
          <w:color w:val="auto"/>
        </w:rPr>
        <w:t>2</w:t>
      </w:r>
      <w:r>
        <w:rPr>
          <w:b/>
          <w:color w:val="auto"/>
        </w:rPr>
        <w:t>.1</w:t>
      </w:r>
      <w:r>
        <w:rPr>
          <w:rFonts w:hint="eastAsia"/>
          <w:b/>
          <w:color w:val="auto"/>
        </w:rPr>
        <w:t>运营期</w:t>
      </w:r>
      <w:r>
        <w:rPr>
          <w:b/>
          <w:color w:val="auto"/>
        </w:rPr>
        <w:t>废气产排情况</w:t>
      </w:r>
    </w:p>
    <w:p>
      <w:pPr>
        <w:spacing w:line="360" w:lineRule="auto"/>
        <w:ind w:left="480"/>
        <w:rPr>
          <w:color w:val="auto"/>
        </w:rPr>
      </w:pPr>
      <w:r>
        <w:rPr>
          <w:color w:val="auto"/>
        </w:rPr>
        <w:t>（1）场区建筑垃圾的风力扬尘</w:t>
      </w:r>
    </w:p>
    <w:p>
      <w:pPr>
        <w:pStyle w:val="371"/>
        <w:wordWrap/>
        <w:adjustRightInd w:val="0"/>
        <w:snapToGrid w:val="0"/>
        <w:spacing w:line="360" w:lineRule="auto"/>
        <w:ind w:firstLine="480"/>
        <w:jc w:val="left"/>
        <w:rPr>
          <w:rFonts w:ascii="Times New Roman" w:hAnsi="Times New Roman"/>
          <w:color w:val="auto"/>
          <w:szCs w:val="24"/>
        </w:rPr>
      </w:pPr>
      <w:r>
        <w:rPr>
          <w:rFonts w:ascii="Times New Roman" w:hAnsi="Times New Roman"/>
          <w:color w:val="auto"/>
          <w:szCs w:val="24"/>
        </w:rPr>
        <w:t>本项目运营期产生的大气污染物主要为建筑垃圾卸载平推过程中产生的扬尘、填埋作业产生的扬尘和场区的风力扬尘。由于填埋作业产生的扬尘量较小，对区域环境的影响不</w:t>
      </w:r>
      <w:r>
        <w:rPr>
          <w:rFonts w:hint="eastAsia" w:ascii="Times New Roman" w:hAnsi="Times New Roman"/>
          <w:color w:val="auto"/>
          <w:szCs w:val="24"/>
        </w:rPr>
        <w:t>大</w:t>
      </w:r>
      <w:r>
        <w:rPr>
          <w:rFonts w:ascii="Times New Roman" w:hAnsi="Times New Roman"/>
          <w:color w:val="auto"/>
          <w:szCs w:val="24"/>
        </w:rPr>
        <w:t>，此处仅计算场区建筑垃圾的风力扬尘产生量。</w:t>
      </w:r>
    </w:p>
    <w:p>
      <w:pPr>
        <w:spacing w:line="360" w:lineRule="auto"/>
        <w:ind w:firstLine="480" w:firstLineChars="200"/>
        <w:rPr>
          <w:color w:val="auto"/>
        </w:rPr>
      </w:pPr>
      <w:r>
        <w:rPr>
          <w:color w:val="auto"/>
        </w:rPr>
        <w:t>本项目采用西安冶金建筑学院干堆计算公式估算堆场产尘量，公式如下所示：</w:t>
      </w:r>
    </w:p>
    <w:p>
      <w:pPr>
        <w:spacing w:line="360" w:lineRule="auto"/>
        <w:jc w:val="center"/>
        <w:rPr>
          <w:color w:val="auto"/>
        </w:rPr>
      </w:pPr>
      <w:r>
        <w:rPr>
          <w:color w:val="auto"/>
        </w:rPr>
        <w:pict>
          <v:shape id="_x0000_i1035" o:spt="75" type="#_x0000_t75" style="height:16.5pt;width:121.5pt;" filled="f" o:preferrelative="t" stroked="f" coordsize="21600,21600">
            <v:path/>
            <v:fill on="f" focussize="0,0"/>
            <v:stroke on="f" joinstyle="miter"/>
            <v:imagedata r:id="rId84" o:title=""/>
            <o:lock v:ext="edit" aspectratio="t"/>
            <w10:wrap type="none"/>
            <w10:anchorlock/>
          </v:shape>
        </w:pict>
      </w:r>
    </w:p>
    <w:p>
      <w:pPr>
        <w:spacing w:line="360" w:lineRule="auto"/>
        <w:ind w:firstLine="480" w:firstLineChars="200"/>
        <w:rPr>
          <w:color w:val="auto"/>
          <w:kern w:val="0"/>
        </w:rPr>
      </w:pPr>
      <w:r>
        <w:rPr>
          <w:color w:val="auto"/>
        </w:rPr>
        <w:t>式中：Qp</w:t>
      </w:r>
      <w:r>
        <w:rPr>
          <w:color w:val="auto"/>
          <w:kern w:val="0"/>
        </w:rPr>
        <w:t>——起尘量，mg/s；</w:t>
      </w:r>
    </w:p>
    <w:p>
      <w:pPr>
        <w:spacing w:line="360" w:lineRule="auto"/>
        <w:ind w:firstLine="1200" w:firstLineChars="500"/>
        <w:rPr>
          <w:color w:val="auto"/>
          <w:kern w:val="0"/>
        </w:rPr>
      </w:pPr>
      <w:r>
        <w:rPr>
          <w:color w:val="auto"/>
          <w:kern w:val="0"/>
        </w:rPr>
        <w:t>u——堆场平均风速（本次评价取平均风速</w:t>
      </w:r>
      <w:r>
        <w:rPr>
          <w:rFonts w:hint="eastAsia"/>
          <w:color w:val="auto"/>
          <w:kern w:val="0"/>
        </w:rPr>
        <w:t>1.5</w:t>
      </w:r>
      <w:r>
        <w:rPr>
          <w:color w:val="auto"/>
          <w:kern w:val="0"/>
        </w:rPr>
        <w:t>m/s）</w:t>
      </w:r>
    </w:p>
    <w:p>
      <w:pPr>
        <w:spacing w:line="360" w:lineRule="auto"/>
        <w:ind w:firstLine="1200" w:firstLineChars="500"/>
        <w:rPr>
          <w:color w:val="auto"/>
          <w:vertAlign w:val="superscript"/>
        </w:rPr>
      </w:pPr>
      <w:r>
        <w:rPr>
          <w:color w:val="auto"/>
          <w:kern w:val="0"/>
        </w:rPr>
        <w:t>Ap——堆场的面积</w:t>
      </w:r>
      <w:r>
        <w:rPr>
          <w:color w:val="auto"/>
        </w:rPr>
        <w:t>m</w:t>
      </w:r>
      <w:r>
        <w:rPr>
          <w:color w:val="auto"/>
          <w:vertAlign w:val="superscript"/>
        </w:rPr>
        <w:t>2</w:t>
      </w:r>
    </w:p>
    <w:p>
      <w:pPr>
        <w:spacing w:line="360" w:lineRule="auto"/>
        <w:rPr>
          <w:color w:val="auto"/>
        </w:rPr>
      </w:pPr>
      <w:r>
        <w:rPr>
          <w:color w:val="auto"/>
        </w:rPr>
        <w:t xml:space="preserve">    填埋场占地122513m</w:t>
      </w:r>
      <w:r>
        <w:rPr>
          <w:color w:val="auto"/>
          <w:vertAlign w:val="superscript"/>
        </w:rPr>
        <w:t>2</w:t>
      </w:r>
      <w:r>
        <w:rPr>
          <w:color w:val="auto"/>
        </w:rPr>
        <w:t>，总处理垃圾量为</w:t>
      </w:r>
      <w:r>
        <w:rPr>
          <w:rFonts w:hint="eastAsia"/>
          <w:color w:val="auto"/>
        </w:rPr>
        <w:t>2</w:t>
      </w:r>
      <w:r>
        <w:rPr>
          <w:color w:val="auto"/>
        </w:rPr>
        <w:t>00</w:t>
      </w:r>
      <w:r>
        <w:rPr>
          <w:rFonts w:hint="eastAsia"/>
          <w:color w:val="auto"/>
        </w:rPr>
        <w:t>m</w:t>
      </w:r>
      <w:r>
        <w:rPr>
          <w:rFonts w:hint="eastAsia"/>
          <w:color w:val="auto"/>
          <w:vertAlign w:val="superscript"/>
        </w:rPr>
        <w:t>3</w:t>
      </w:r>
      <w:r>
        <w:rPr>
          <w:color w:val="auto"/>
        </w:rPr>
        <w:t>/d，则在堆放过程中产生的粉尘量为1.</w:t>
      </w:r>
      <w:r>
        <w:rPr>
          <w:rFonts w:hint="eastAsia"/>
          <w:color w:val="auto"/>
        </w:rPr>
        <w:t>36</w:t>
      </w:r>
      <w:r>
        <w:rPr>
          <w:color w:val="auto"/>
        </w:rPr>
        <w:t>kg/h，</w:t>
      </w:r>
      <w:r>
        <w:rPr>
          <w:rFonts w:hint="eastAsia"/>
          <w:color w:val="auto"/>
        </w:rPr>
        <w:t>11.91</w:t>
      </w:r>
      <w:r>
        <w:rPr>
          <w:color w:val="auto"/>
        </w:rPr>
        <w:t>t/a。</w:t>
      </w:r>
    </w:p>
    <w:p>
      <w:pPr>
        <w:tabs>
          <w:tab w:val="left" w:pos="6499"/>
        </w:tabs>
        <w:spacing w:line="360" w:lineRule="auto"/>
        <w:ind w:firstLine="420"/>
        <w:rPr>
          <w:color w:val="auto"/>
        </w:rPr>
      </w:pPr>
      <w:r>
        <w:rPr>
          <w:color w:val="auto"/>
        </w:rPr>
        <w:t>建筑垃圾填埋库区周边设置2m高的防护铁丝网，网眼为30</w:t>
      </w:r>
      <w:r>
        <w:rPr>
          <w:color w:val="auto"/>
          <w:shd w:val="clear" w:color="auto" w:fill="FFFFFF"/>
        </w:rPr>
        <w:t>×30mm，可起到防风抑尘的作用，同时对平台垃圾及时洒水碾压，</w:t>
      </w:r>
      <w:r>
        <w:rPr>
          <w:rFonts w:hint="eastAsia"/>
          <w:color w:val="auto"/>
          <w:shd w:val="clear" w:color="auto" w:fill="FFFFFF"/>
        </w:rPr>
        <w:t>防止粉尘的产生扩散，通过上述措施，</w:t>
      </w:r>
      <w:r>
        <w:rPr>
          <w:color w:val="auto"/>
          <w:shd w:val="clear" w:color="auto" w:fill="FFFFFF"/>
        </w:rPr>
        <w:t>抑尘效率可达到90%，则填埋场的粉尘排放量为0.1</w:t>
      </w:r>
      <w:r>
        <w:rPr>
          <w:rFonts w:hint="eastAsia"/>
          <w:color w:val="auto"/>
          <w:shd w:val="clear" w:color="auto" w:fill="FFFFFF"/>
        </w:rPr>
        <w:t>36</w:t>
      </w:r>
      <w:r>
        <w:rPr>
          <w:color w:val="auto"/>
        </w:rPr>
        <w:t>kg/h，</w:t>
      </w:r>
      <w:r>
        <w:rPr>
          <w:rFonts w:hint="eastAsia"/>
          <w:color w:val="auto"/>
        </w:rPr>
        <w:t>1.191</w:t>
      </w:r>
      <w:r>
        <w:rPr>
          <w:color w:val="auto"/>
        </w:rPr>
        <w:t>t/a。</w:t>
      </w:r>
    </w:p>
    <w:p>
      <w:pPr>
        <w:tabs>
          <w:tab w:val="left" w:pos="6499"/>
        </w:tabs>
        <w:spacing w:line="360" w:lineRule="auto"/>
        <w:ind w:firstLine="420"/>
        <w:rPr>
          <w:color w:val="auto"/>
        </w:rPr>
      </w:pPr>
      <w:r>
        <w:rPr>
          <w:color w:val="auto"/>
        </w:rPr>
        <w:t>（2）运输车辆倾倒垃圾粉尘</w:t>
      </w:r>
    </w:p>
    <w:p>
      <w:pPr>
        <w:tabs>
          <w:tab w:val="left" w:pos="6499"/>
        </w:tabs>
        <w:spacing w:line="360" w:lineRule="auto"/>
        <w:ind w:firstLine="420"/>
        <w:rPr>
          <w:color w:val="auto"/>
        </w:rPr>
      </w:pPr>
      <w:r>
        <w:rPr>
          <w:color w:val="auto"/>
        </w:rPr>
        <w:t>日清运量平均为</w:t>
      </w:r>
      <w:r>
        <w:rPr>
          <w:rFonts w:hint="eastAsia"/>
          <w:color w:val="auto"/>
        </w:rPr>
        <w:t>2</w:t>
      </w:r>
      <w:r>
        <w:rPr>
          <w:color w:val="auto"/>
        </w:rPr>
        <w:t>00</w:t>
      </w:r>
      <w:r>
        <w:rPr>
          <w:rFonts w:hint="eastAsia"/>
          <w:color w:val="auto"/>
          <w:kern w:val="0"/>
        </w:rPr>
        <w:t>m</w:t>
      </w:r>
      <w:r>
        <w:rPr>
          <w:rFonts w:hint="eastAsia"/>
          <w:color w:val="auto"/>
          <w:kern w:val="0"/>
          <w:vertAlign w:val="superscript"/>
        </w:rPr>
        <w:t>3</w:t>
      </w:r>
      <w:r>
        <w:rPr>
          <w:color w:val="auto"/>
        </w:rPr>
        <w:t>，垃圾卸车时产生的瞬间粉尘可采用经验计算公式进行估算：</w:t>
      </w:r>
    </w:p>
    <w:p>
      <w:pPr>
        <w:spacing w:line="360" w:lineRule="auto"/>
        <w:jc w:val="center"/>
        <w:rPr>
          <w:i/>
          <w:iCs/>
          <w:color w:val="auto"/>
          <w:vertAlign w:val="superscript"/>
        </w:rPr>
      </w:pPr>
      <w:r>
        <w:rPr>
          <w:i/>
          <w:iCs/>
          <w:color w:val="auto"/>
        </w:rPr>
        <w:t>Q=</w:t>
      </w:r>
      <w:r>
        <w:rPr>
          <w:color w:val="auto"/>
        </w:rPr>
        <w:t>0.03</w:t>
      </w:r>
      <w:r>
        <w:rPr>
          <w:i/>
          <w:iCs/>
          <w:color w:val="auto"/>
        </w:rPr>
        <w:t>u</w:t>
      </w:r>
      <w:r>
        <w:rPr>
          <w:color w:val="auto"/>
          <w:vertAlign w:val="superscript"/>
        </w:rPr>
        <w:t>1.8</w:t>
      </w:r>
      <w:r>
        <w:rPr>
          <w:i/>
          <w:iCs/>
          <w:color w:val="auto"/>
        </w:rPr>
        <w:t>H</w:t>
      </w:r>
      <w:r>
        <w:rPr>
          <w:color w:val="auto"/>
          <w:vertAlign w:val="superscript"/>
        </w:rPr>
        <w:t>1.23</w:t>
      </w:r>
      <w:r>
        <w:rPr>
          <w:i/>
          <w:iCs/>
          <w:color w:val="auto"/>
        </w:rPr>
        <w:t>e</w:t>
      </w:r>
      <w:r>
        <w:rPr>
          <w:color w:val="auto"/>
          <w:vertAlign w:val="superscript"/>
        </w:rPr>
        <w:sym w:font="Symbol" w:char="F02D"/>
      </w:r>
      <w:r>
        <w:rPr>
          <w:color w:val="auto"/>
          <w:vertAlign w:val="superscript"/>
        </w:rPr>
        <w:t>0.23</w:t>
      </w:r>
      <w:r>
        <w:rPr>
          <w:i/>
          <w:iCs/>
          <w:color w:val="auto"/>
          <w:vertAlign w:val="superscript"/>
        </w:rPr>
        <w:t>W</w:t>
      </w:r>
    </w:p>
    <w:p>
      <w:pPr>
        <w:spacing w:line="360" w:lineRule="auto"/>
        <w:rPr>
          <w:color w:val="auto"/>
          <w:kern w:val="0"/>
        </w:rPr>
      </w:pPr>
      <w:r>
        <w:rPr>
          <w:color w:val="auto"/>
          <w:kern w:val="0"/>
        </w:rPr>
        <w:t>式中：</w:t>
      </w:r>
    </w:p>
    <w:p>
      <w:pPr>
        <w:spacing w:line="360" w:lineRule="auto"/>
        <w:ind w:firstLine="480" w:firstLineChars="200"/>
        <w:rPr>
          <w:color w:val="auto"/>
          <w:kern w:val="0"/>
        </w:rPr>
      </w:pPr>
      <w:r>
        <w:rPr>
          <w:color w:val="auto"/>
          <w:kern w:val="0"/>
        </w:rPr>
        <w:t>Q——消纳场起尘量，kg/t：</w:t>
      </w:r>
    </w:p>
    <w:p>
      <w:pPr>
        <w:spacing w:line="360" w:lineRule="auto"/>
        <w:ind w:firstLine="480" w:firstLineChars="200"/>
        <w:rPr>
          <w:color w:val="auto"/>
          <w:kern w:val="0"/>
        </w:rPr>
      </w:pPr>
      <w:r>
        <w:rPr>
          <w:color w:val="auto"/>
          <w:kern w:val="0"/>
        </w:rPr>
        <w:t>U——风速，m/s（本次评价取平均风速</w:t>
      </w:r>
      <w:r>
        <w:rPr>
          <w:rFonts w:hint="eastAsia"/>
          <w:color w:val="auto"/>
          <w:kern w:val="0"/>
        </w:rPr>
        <w:t>1.5</w:t>
      </w:r>
      <w:r>
        <w:rPr>
          <w:color w:val="auto"/>
          <w:kern w:val="0"/>
        </w:rPr>
        <w:t>m/s）；</w:t>
      </w:r>
    </w:p>
    <w:p>
      <w:pPr>
        <w:spacing w:line="360" w:lineRule="auto"/>
        <w:ind w:firstLine="480" w:firstLineChars="200"/>
        <w:rPr>
          <w:color w:val="auto"/>
          <w:kern w:val="0"/>
        </w:rPr>
      </w:pPr>
      <w:r>
        <w:rPr>
          <w:color w:val="auto"/>
          <w:kern w:val="0"/>
        </w:rPr>
        <w:t>W——含水率，%；</w:t>
      </w:r>
    </w:p>
    <w:p>
      <w:pPr>
        <w:spacing w:line="360" w:lineRule="auto"/>
        <w:ind w:firstLine="480" w:firstLineChars="200"/>
        <w:rPr>
          <w:color w:val="auto"/>
          <w:kern w:val="0"/>
        </w:rPr>
      </w:pPr>
      <w:r>
        <w:rPr>
          <w:color w:val="auto"/>
          <w:kern w:val="0"/>
        </w:rPr>
        <w:t>H——装卸高度，m。</w:t>
      </w:r>
    </w:p>
    <w:p>
      <w:pPr>
        <w:spacing w:line="360" w:lineRule="auto"/>
        <w:ind w:firstLine="480"/>
        <w:rPr>
          <w:color w:val="auto"/>
          <w:kern w:val="0"/>
        </w:rPr>
      </w:pPr>
      <w:r>
        <w:rPr>
          <w:color w:val="auto"/>
          <w:kern w:val="0"/>
        </w:rPr>
        <w:t>装卸高度按2m计算，建筑垃圾装卸过程中含水率按10%计算，建筑垃圾装卸量为</w:t>
      </w:r>
      <w:r>
        <w:rPr>
          <w:rFonts w:hint="eastAsia"/>
          <w:color w:val="auto"/>
          <w:kern w:val="0"/>
        </w:rPr>
        <w:t>2</w:t>
      </w:r>
      <w:r>
        <w:rPr>
          <w:color w:val="auto"/>
          <w:kern w:val="0"/>
        </w:rPr>
        <w:t>00</w:t>
      </w:r>
      <w:r>
        <w:rPr>
          <w:rFonts w:hint="eastAsia"/>
          <w:color w:val="auto"/>
          <w:kern w:val="0"/>
        </w:rPr>
        <w:t>m</w:t>
      </w:r>
      <w:r>
        <w:rPr>
          <w:rFonts w:hint="eastAsia"/>
          <w:color w:val="auto"/>
          <w:kern w:val="0"/>
          <w:vertAlign w:val="superscript"/>
        </w:rPr>
        <w:t>3</w:t>
      </w:r>
      <w:r>
        <w:rPr>
          <w:color w:val="auto"/>
          <w:kern w:val="0"/>
        </w:rPr>
        <w:t>/d</w:t>
      </w:r>
      <w:r>
        <w:rPr>
          <w:rFonts w:hint="eastAsia"/>
          <w:color w:val="auto"/>
          <w:kern w:val="0"/>
          <w:lang w:eastAsia="zh-CN"/>
        </w:rPr>
        <w:t>（约</w:t>
      </w:r>
      <w:r>
        <w:rPr>
          <w:rFonts w:hint="eastAsia"/>
          <w:color w:val="auto"/>
          <w:kern w:val="0"/>
          <w:lang w:val="en-US" w:eastAsia="zh-CN"/>
        </w:rPr>
        <w:t>320t/d</w:t>
      </w:r>
      <w:r>
        <w:rPr>
          <w:rFonts w:hint="eastAsia"/>
          <w:color w:val="auto"/>
          <w:kern w:val="0"/>
          <w:lang w:eastAsia="zh-CN"/>
        </w:rPr>
        <w:t>）</w:t>
      </w:r>
      <w:r>
        <w:rPr>
          <w:color w:val="auto"/>
          <w:kern w:val="0"/>
        </w:rPr>
        <w:t>，经计算本项目消纳场扬尘量为0.0</w:t>
      </w:r>
      <w:r>
        <w:rPr>
          <w:rFonts w:hint="eastAsia"/>
          <w:color w:val="auto"/>
          <w:kern w:val="0"/>
          <w:lang w:val="en-US" w:eastAsia="zh-CN"/>
        </w:rPr>
        <w:t>46</w:t>
      </w:r>
      <w:r>
        <w:rPr>
          <w:color w:val="auto"/>
          <w:kern w:val="0"/>
        </w:rPr>
        <w:t>t/d，即</w:t>
      </w:r>
      <w:r>
        <w:rPr>
          <w:rFonts w:hint="eastAsia"/>
          <w:color w:val="auto"/>
          <w:kern w:val="0"/>
          <w:lang w:val="en-US" w:eastAsia="zh-CN"/>
        </w:rPr>
        <w:t>13.8</w:t>
      </w:r>
      <w:r>
        <w:rPr>
          <w:color w:val="auto"/>
          <w:kern w:val="0"/>
        </w:rPr>
        <w:t>t/a。消纳场根据需要进行降尘洒水，在卸载时使用喷水雾炮对其进行洒水抑尘，预计将有8</w:t>
      </w:r>
      <w:r>
        <w:rPr>
          <w:rFonts w:hint="eastAsia"/>
          <w:color w:val="auto"/>
          <w:kern w:val="0"/>
          <w:lang w:val="en-US" w:eastAsia="zh-CN"/>
        </w:rPr>
        <w:t>5</w:t>
      </w:r>
      <w:r>
        <w:rPr>
          <w:color w:val="auto"/>
          <w:kern w:val="0"/>
        </w:rPr>
        <w:t>%扬尘得到去除，预计有</w:t>
      </w:r>
      <w:r>
        <w:rPr>
          <w:rFonts w:hint="eastAsia"/>
          <w:color w:val="auto"/>
          <w:kern w:val="0"/>
          <w:lang w:val="en-US" w:eastAsia="zh-CN"/>
        </w:rPr>
        <w:t>15</w:t>
      </w:r>
      <w:r>
        <w:rPr>
          <w:color w:val="auto"/>
          <w:kern w:val="0"/>
        </w:rPr>
        <w:t>%的扬尘以无组织的形式排放，即消纳场无组织粉尘排放量为0.00</w:t>
      </w:r>
      <w:r>
        <w:rPr>
          <w:rFonts w:hint="eastAsia"/>
          <w:color w:val="auto"/>
          <w:kern w:val="0"/>
          <w:lang w:val="en-US" w:eastAsia="zh-CN"/>
        </w:rPr>
        <w:t>69</w:t>
      </w:r>
      <w:r>
        <w:rPr>
          <w:color w:val="auto"/>
          <w:kern w:val="0"/>
        </w:rPr>
        <w:t>t/d，即</w:t>
      </w:r>
      <w:r>
        <w:rPr>
          <w:rFonts w:hint="eastAsia"/>
          <w:color w:val="auto"/>
          <w:kern w:val="0"/>
          <w:lang w:val="en-US" w:eastAsia="zh-CN"/>
        </w:rPr>
        <w:t>2.07</w:t>
      </w:r>
      <w:r>
        <w:rPr>
          <w:color w:val="auto"/>
          <w:kern w:val="0"/>
        </w:rPr>
        <w:t>t/a。</w:t>
      </w:r>
    </w:p>
    <w:p>
      <w:pPr>
        <w:spacing w:line="360" w:lineRule="auto"/>
        <w:ind w:firstLine="480"/>
        <w:rPr>
          <w:color w:val="auto"/>
          <w:kern w:val="0"/>
        </w:rPr>
      </w:pPr>
      <w:r>
        <w:rPr>
          <w:color w:val="auto"/>
          <w:kern w:val="0"/>
        </w:rPr>
        <w:t>（3）车辆运输扬尘</w:t>
      </w:r>
    </w:p>
    <w:p>
      <w:pPr>
        <w:spacing w:line="360" w:lineRule="auto"/>
        <w:ind w:firstLine="480" w:firstLineChars="200"/>
        <w:rPr>
          <w:bCs/>
          <w:color w:val="auto"/>
        </w:rPr>
      </w:pPr>
      <w:r>
        <w:rPr>
          <w:bCs/>
          <w:color w:val="auto"/>
        </w:rPr>
        <w:t>车辆行</w:t>
      </w:r>
      <w:r>
        <w:rPr>
          <w:color w:val="auto"/>
        </w:rPr>
        <w:t>驶产生的扬尘，在道路完全干燥的情况下，可按下列经验公式计算：</w:t>
      </w:r>
    </w:p>
    <w:p>
      <w:pPr>
        <w:spacing w:line="360" w:lineRule="auto"/>
        <w:jc w:val="center"/>
        <w:rPr>
          <w:color w:val="auto"/>
          <w:vertAlign w:val="superscript"/>
        </w:rPr>
      </w:pPr>
      <w:r>
        <w:rPr>
          <w:color w:val="auto"/>
        </w:rPr>
        <w:t>Q=0.123(V/5)(W/6.8)</w:t>
      </w:r>
      <w:r>
        <w:rPr>
          <w:color w:val="auto"/>
          <w:vertAlign w:val="superscript"/>
        </w:rPr>
        <w:t>0.85</w:t>
      </w:r>
      <w:r>
        <w:rPr>
          <w:color w:val="auto"/>
        </w:rPr>
        <w:t>(P/0.5)</w:t>
      </w:r>
      <w:r>
        <w:rPr>
          <w:color w:val="auto"/>
          <w:vertAlign w:val="superscript"/>
        </w:rPr>
        <w:t>0.75</w:t>
      </w:r>
    </w:p>
    <w:p>
      <w:pPr>
        <w:spacing w:line="360" w:lineRule="auto"/>
        <w:ind w:firstLine="480" w:firstLineChars="200"/>
        <w:rPr>
          <w:color w:val="auto"/>
        </w:rPr>
      </w:pPr>
      <w:r>
        <w:rPr>
          <w:color w:val="auto"/>
        </w:rPr>
        <w:t>式中：Q：汽车行驶时的扬尘，kg/km.辆；</w:t>
      </w:r>
    </w:p>
    <w:p>
      <w:pPr>
        <w:spacing w:line="360" w:lineRule="auto"/>
        <w:ind w:firstLine="480" w:firstLineChars="200"/>
        <w:rPr>
          <w:color w:val="auto"/>
        </w:rPr>
      </w:pPr>
      <w:r>
        <w:rPr>
          <w:color w:val="auto"/>
        </w:rPr>
        <w:t xml:space="preserve">      V：汽车速度，km/h；</w:t>
      </w:r>
    </w:p>
    <w:p>
      <w:pPr>
        <w:spacing w:line="360" w:lineRule="auto"/>
        <w:ind w:firstLine="480" w:firstLineChars="200"/>
        <w:rPr>
          <w:color w:val="auto"/>
        </w:rPr>
      </w:pPr>
      <w:r>
        <w:rPr>
          <w:color w:val="auto"/>
        </w:rPr>
        <w:t xml:space="preserve">      W：汽车载重量，吨；</w:t>
      </w:r>
    </w:p>
    <w:p>
      <w:pPr>
        <w:tabs>
          <w:tab w:val="left" w:pos="1070"/>
          <w:tab w:val="left" w:pos="1284"/>
        </w:tabs>
        <w:spacing w:line="360" w:lineRule="auto"/>
        <w:ind w:firstLine="480" w:firstLineChars="200"/>
        <w:rPr>
          <w:color w:val="auto"/>
        </w:rPr>
      </w:pPr>
      <w:r>
        <w:rPr>
          <w:color w:val="auto"/>
        </w:rPr>
        <w:t xml:space="preserve">      P：道路表面颗粒物量，kg/m</w:t>
      </w:r>
      <w:r>
        <w:rPr>
          <w:color w:val="auto"/>
          <w:vertAlign w:val="superscript"/>
        </w:rPr>
        <w:t>2</w:t>
      </w:r>
    </w:p>
    <w:p>
      <w:pPr>
        <w:spacing w:line="360" w:lineRule="auto"/>
        <w:ind w:firstLine="480" w:firstLineChars="200"/>
        <w:rPr>
          <w:color w:val="auto"/>
        </w:rPr>
      </w:pPr>
      <w:r>
        <w:rPr>
          <w:color w:val="auto"/>
        </w:rPr>
        <w:t>本项目车辆在厂区内行驶距离按100m计，平均每天发空车、重载约</w:t>
      </w:r>
      <w:r>
        <w:rPr>
          <w:rFonts w:hint="eastAsia"/>
          <w:color w:val="auto"/>
        </w:rPr>
        <w:t>4</w:t>
      </w:r>
      <w:r>
        <w:rPr>
          <w:color w:val="auto"/>
        </w:rPr>
        <w:t>辆，空车重约10t，重车约60t，以速度20km/h行驶，其在不同路面清洁度情况下的扬尘量如下：</w:t>
      </w:r>
    </w:p>
    <w:p>
      <w:pPr>
        <w:spacing w:line="440" w:lineRule="exact"/>
        <w:ind w:firstLine="482" w:firstLineChars="200"/>
        <w:jc w:val="center"/>
        <w:rPr>
          <w:b/>
          <w:color w:val="auto"/>
          <w:kern w:val="0"/>
        </w:rPr>
      </w:pPr>
      <w:r>
        <w:rPr>
          <w:b/>
          <w:color w:val="auto"/>
          <w:kern w:val="0"/>
        </w:rPr>
        <w:t>表3.</w:t>
      </w:r>
      <w:r>
        <w:rPr>
          <w:rFonts w:hint="eastAsia"/>
          <w:b/>
          <w:color w:val="auto"/>
          <w:kern w:val="0"/>
          <w:lang w:val="en-US" w:eastAsia="zh-CN"/>
        </w:rPr>
        <w:t>3</w:t>
      </w:r>
      <w:r>
        <w:rPr>
          <w:b/>
          <w:color w:val="auto"/>
          <w:kern w:val="0"/>
        </w:rPr>
        <w:t>-1</w:t>
      </w:r>
      <w:r>
        <w:rPr>
          <w:rFonts w:hint="eastAsia"/>
          <w:b/>
          <w:color w:val="auto"/>
          <w:kern w:val="0"/>
        </w:rPr>
        <w:t>3</w:t>
      </w:r>
      <w:r>
        <w:rPr>
          <w:b/>
          <w:color w:val="auto"/>
          <w:kern w:val="0"/>
        </w:rPr>
        <w:t xml:space="preserve"> 车辆行驶扬尘量  单位：kg/d</w:t>
      </w:r>
    </w:p>
    <w:tbl>
      <w:tblPr>
        <w:tblStyle w:val="53"/>
        <w:tblpPr w:leftFromText="180" w:rightFromText="180" w:vertAnchor="text" w:tblpY="1"/>
        <w:tblOverlap w:val="never"/>
        <w:tblW w:w="894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09"/>
        <w:gridCol w:w="1326"/>
        <w:gridCol w:w="1307"/>
        <w:gridCol w:w="1326"/>
        <w:gridCol w:w="1326"/>
        <w:gridCol w:w="1326"/>
        <w:gridCol w:w="13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009" w:type="dxa"/>
            <w:vAlign w:val="center"/>
          </w:tcPr>
          <w:p>
            <w:pPr>
              <w:jc w:val="center"/>
              <w:rPr>
                <w:color w:val="auto"/>
                <w:szCs w:val="21"/>
              </w:rPr>
            </w:pPr>
            <w:r>
              <w:rPr>
                <w:color w:val="auto"/>
                <w:szCs w:val="22"/>
              </w:rPr>
              <mc:AlternateContent>
                <mc:Choice Requires="wps">
                  <w:drawing>
                    <wp:anchor distT="0" distB="0" distL="114300" distR="114300" simplePos="0" relativeHeight="251714560" behindDoc="0" locked="0" layoutInCell="1" allowOverlap="1">
                      <wp:simplePos x="0" y="0"/>
                      <wp:positionH relativeFrom="column">
                        <wp:posOffset>-61595</wp:posOffset>
                      </wp:positionH>
                      <wp:positionV relativeFrom="paragraph">
                        <wp:posOffset>12065</wp:posOffset>
                      </wp:positionV>
                      <wp:extent cx="634365" cy="394970"/>
                      <wp:effectExtent l="13335" t="9525" r="9525" b="5080"/>
                      <wp:wrapNone/>
                      <wp:docPr id="2" name="任意多边形 2"/>
                      <wp:cNvGraphicFramePr/>
                      <a:graphic xmlns:a="http://schemas.openxmlformats.org/drawingml/2006/main">
                        <a:graphicData uri="http://schemas.microsoft.com/office/word/2010/wordprocessingShape">
                          <wps:wsp>
                            <wps:cNvSpPr/>
                            <wps:spPr bwMode="auto">
                              <a:xfrm>
                                <a:off x="0" y="0"/>
                                <a:ext cx="634365" cy="394970"/>
                              </a:xfrm>
                              <a:custGeom>
                                <a:avLst/>
                                <a:gdLst>
                                  <a:gd name="T0" fmla="*/ 0 w 1104"/>
                                  <a:gd name="T1" fmla="*/ 0 h 692"/>
                                  <a:gd name="T2" fmla="*/ 1104 w 1104"/>
                                  <a:gd name="T3" fmla="*/ 692 h 692"/>
                                </a:gdLst>
                                <a:ahLst/>
                                <a:cxnLst>
                                  <a:cxn ang="0">
                                    <a:pos x="T0" y="T1"/>
                                  </a:cxn>
                                  <a:cxn ang="0">
                                    <a:pos x="T2" y="T3"/>
                                  </a:cxn>
                                </a:cxnLst>
                                <a:rect l="0" t="0" r="r" b="b"/>
                                <a:pathLst>
                                  <a:path w="1104" h="692">
                                    <a:moveTo>
                                      <a:pt x="0" y="0"/>
                                    </a:moveTo>
                                    <a:lnTo>
                                      <a:pt x="1104" y="692"/>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shape id="_x0000_s1026" o:spid="_x0000_s1026" o:spt="100" style="position:absolute;left:0pt;margin-left:-4.85pt;margin-top:0.95pt;height:31.1pt;width:49.95pt;z-index:251714560;mso-width-relative:page;mso-height-relative:page;" filled="f" stroked="t" coordsize="1104,692" o:gfxdata="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JpDs8zVAAAABgEAAA8AAAAAAAAAAQAgAAAAIgAAAGRycy9kb3ducmV2LnhtbFBL&#10;AQIUABQAAAAIAIdO4kDYPBctpAIAAIEFAAAOAAAAAAAAAAEAIAAAACQBAABkcnMvZTJvRG9jLnht&#10;bFBLBQYAAAAABgAGAFkBAAA6BgAAAAA=&#10;" path="m0,0l1104,692e">
                      <v:path o:connectlocs="0,0;634365,394970" o:connectangles="0,0"/>
                      <v:fill on="f" focussize="0,0"/>
                      <v:stroke color="#000000" joinstyle="round"/>
                      <v:imagedata o:title=""/>
                      <o:lock v:ext="edit" aspectratio="f"/>
                    </v:shape>
                  </w:pict>
                </mc:Fallback>
              </mc:AlternateContent>
            </w:r>
            <w:r>
              <w:rPr>
                <w:color w:val="auto"/>
                <w:szCs w:val="21"/>
              </w:rPr>
              <w:t xml:space="preserve">   路况</w:t>
            </w:r>
          </w:p>
          <w:p>
            <w:pPr>
              <w:rPr>
                <w:color w:val="auto"/>
                <w:szCs w:val="21"/>
              </w:rPr>
            </w:pPr>
            <w:r>
              <w:rPr>
                <w:color w:val="auto"/>
                <w:szCs w:val="21"/>
              </w:rPr>
              <w:t>车况</w:t>
            </w:r>
          </w:p>
        </w:tc>
        <w:tc>
          <w:tcPr>
            <w:tcW w:w="1326" w:type="dxa"/>
            <w:vAlign w:val="center"/>
          </w:tcPr>
          <w:p>
            <w:pPr>
              <w:jc w:val="center"/>
              <w:rPr>
                <w:color w:val="auto"/>
                <w:szCs w:val="21"/>
              </w:rPr>
            </w:pPr>
            <w:r>
              <w:rPr>
                <w:color w:val="auto"/>
                <w:szCs w:val="21"/>
              </w:rPr>
              <w:t>0.1</w:t>
            </w:r>
          </w:p>
          <w:p>
            <w:pPr>
              <w:jc w:val="center"/>
              <w:rPr>
                <w:color w:val="auto"/>
                <w:szCs w:val="21"/>
              </w:rPr>
            </w:pPr>
            <w:r>
              <w:rPr>
                <w:color w:val="auto"/>
                <w:szCs w:val="21"/>
              </w:rPr>
              <w:t>（kg/m</w:t>
            </w:r>
            <w:r>
              <w:rPr>
                <w:color w:val="auto"/>
                <w:szCs w:val="21"/>
                <w:vertAlign w:val="superscript"/>
              </w:rPr>
              <w:t>2</w:t>
            </w:r>
            <w:r>
              <w:rPr>
                <w:color w:val="auto"/>
                <w:szCs w:val="21"/>
              </w:rPr>
              <w:t>）</w:t>
            </w:r>
          </w:p>
        </w:tc>
        <w:tc>
          <w:tcPr>
            <w:tcW w:w="1307" w:type="dxa"/>
            <w:vAlign w:val="center"/>
          </w:tcPr>
          <w:p>
            <w:pPr>
              <w:jc w:val="center"/>
              <w:rPr>
                <w:color w:val="auto"/>
                <w:spacing w:val="-10"/>
                <w:szCs w:val="21"/>
              </w:rPr>
            </w:pPr>
            <w:r>
              <w:rPr>
                <w:color w:val="auto"/>
                <w:spacing w:val="-10"/>
                <w:szCs w:val="21"/>
              </w:rPr>
              <w:t>0.2</w:t>
            </w:r>
          </w:p>
          <w:p>
            <w:pPr>
              <w:jc w:val="center"/>
              <w:rPr>
                <w:color w:val="auto"/>
                <w:spacing w:val="-10"/>
                <w:szCs w:val="21"/>
              </w:rPr>
            </w:pPr>
            <w:r>
              <w:rPr>
                <w:color w:val="auto"/>
                <w:spacing w:val="-10"/>
                <w:szCs w:val="21"/>
              </w:rPr>
              <w:t>（kg/m</w:t>
            </w:r>
            <w:r>
              <w:rPr>
                <w:color w:val="auto"/>
                <w:spacing w:val="-10"/>
                <w:szCs w:val="21"/>
                <w:vertAlign w:val="superscript"/>
              </w:rPr>
              <w:t>2</w:t>
            </w:r>
            <w:r>
              <w:rPr>
                <w:color w:val="auto"/>
                <w:spacing w:val="-10"/>
                <w:szCs w:val="21"/>
              </w:rPr>
              <w:t>）</w:t>
            </w:r>
          </w:p>
        </w:tc>
        <w:tc>
          <w:tcPr>
            <w:tcW w:w="1326" w:type="dxa"/>
            <w:vAlign w:val="center"/>
          </w:tcPr>
          <w:p>
            <w:pPr>
              <w:jc w:val="center"/>
              <w:rPr>
                <w:color w:val="auto"/>
                <w:szCs w:val="21"/>
              </w:rPr>
            </w:pPr>
            <w:r>
              <w:rPr>
                <w:color w:val="auto"/>
                <w:szCs w:val="21"/>
              </w:rPr>
              <w:t>0.3</w:t>
            </w:r>
          </w:p>
          <w:p>
            <w:pPr>
              <w:jc w:val="center"/>
              <w:rPr>
                <w:color w:val="auto"/>
                <w:szCs w:val="21"/>
              </w:rPr>
            </w:pPr>
            <w:r>
              <w:rPr>
                <w:color w:val="auto"/>
                <w:szCs w:val="21"/>
              </w:rPr>
              <w:t>（kg/m</w:t>
            </w:r>
            <w:r>
              <w:rPr>
                <w:color w:val="auto"/>
                <w:szCs w:val="21"/>
                <w:vertAlign w:val="superscript"/>
              </w:rPr>
              <w:t>2</w:t>
            </w:r>
            <w:r>
              <w:rPr>
                <w:color w:val="auto"/>
                <w:szCs w:val="21"/>
              </w:rPr>
              <w:t>）</w:t>
            </w:r>
          </w:p>
        </w:tc>
        <w:tc>
          <w:tcPr>
            <w:tcW w:w="1326" w:type="dxa"/>
            <w:vAlign w:val="center"/>
          </w:tcPr>
          <w:p>
            <w:pPr>
              <w:jc w:val="center"/>
              <w:rPr>
                <w:color w:val="auto"/>
                <w:szCs w:val="21"/>
              </w:rPr>
            </w:pPr>
            <w:r>
              <w:rPr>
                <w:color w:val="auto"/>
                <w:szCs w:val="21"/>
              </w:rPr>
              <w:t>0.4</w:t>
            </w:r>
          </w:p>
          <w:p>
            <w:pPr>
              <w:jc w:val="center"/>
              <w:rPr>
                <w:color w:val="auto"/>
                <w:szCs w:val="21"/>
              </w:rPr>
            </w:pPr>
            <w:r>
              <w:rPr>
                <w:color w:val="auto"/>
                <w:szCs w:val="21"/>
              </w:rPr>
              <w:t>（kg/m</w:t>
            </w:r>
            <w:r>
              <w:rPr>
                <w:color w:val="auto"/>
                <w:szCs w:val="21"/>
                <w:vertAlign w:val="superscript"/>
              </w:rPr>
              <w:t>2</w:t>
            </w:r>
            <w:r>
              <w:rPr>
                <w:color w:val="auto"/>
                <w:szCs w:val="21"/>
              </w:rPr>
              <w:t>）</w:t>
            </w:r>
          </w:p>
        </w:tc>
        <w:tc>
          <w:tcPr>
            <w:tcW w:w="1326" w:type="dxa"/>
            <w:vAlign w:val="center"/>
          </w:tcPr>
          <w:p>
            <w:pPr>
              <w:jc w:val="center"/>
              <w:rPr>
                <w:color w:val="auto"/>
                <w:szCs w:val="21"/>
              </w:rPr>
            </w:pPr>
            <w:r>
              <w:rPr>
                <w:color w:val="auto"/>
                <w:szCs w:val="21"/>
              </w:rPr>
              <w:t>0.5</w:t>
            </w:r>
          </w:p>
          <w:p>
            <w:pPr>
              <w:jc w:val="center"/>
              <w:rPr>
                <w:color w:val="auto"/>
                <w:szCs w:val="21"/>
              </w:rPr>
            </w:pPr>
            <w:r>
              <w:rPr>
                <w:color w:val="auto"/>
                <w:szCs w:val="21"/>
              </w:rPr>
              <w:t>（kg/m</w:t>
            </w:r>
            <w:r>
              <w:rPr>
                <w:color w:val="auto"/>
                <w:szCs w:val="21"/>
                <w:vertAlign w:val="superscript"/>
              </w:rPr>
              <w:t>2</w:t>
            </w:r>
            <w:r>
              <w:rPr>
                <w:color w:val="auto"/>
                <w:szCs w:val="21"/>
              </w:rPr>
              <w:t>）</w:t>
            </w:r>
          </w:p>
        </w:tc>
        <w:tc>
          <w:tcPr>
            <w:tcW w:w="1326" w:type="dxa"/>
            <w:vAlign w:val="center"/>
          </w:tcPr>
          <w:p>
            <w:pPr>
              <w:jc w:val="center"/>
              <w:rPr>
                <w:color w:val="auto"/>
                <w:szCs w:val="21"/>
              </w:rPr>
            </w:pPr>
            <w:r>
              <w:rPr>
                <w:color w:val="auto"/>
                <w:szCs w:val="21"/>
              </w:rPr>
              <w:t>0.6</w:t>
            </w:r>
          </w:p>
          <w:p>
            <w:pPr>
              <w:jc w:val="center"/>
              <w:rPr>
                <w:color w:val="auto"/>
                <w:szCs w:val="21"/>
              </w:rPr>
            </w:pPr>
            <w:r>
              <w:rPr>
                <w:color w:val="auto"/>
                <w:szCs w:val="21"/>
              </w:rPr>
              <w:t>（kg/m</w:t>
            </w:r>
            <w:r>
              <w:rPr>
                <w:color w:val="auto"/>
                <w:szCs w:val="21"/>
                <w:vertAlign w:val="superscript"/>
              </w:rPr>
              <w:t>2</w:t>
            </w:r>
            <w:r>
              <w:rPr>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009" w:type="dxa"/>
            <w:vAlign w:val="center"/>
          </w:tcPr>
          <w:p>
            <w:pPr>
              <w:spacing w:line="440" w:lineRule="exact"/>
              <w:jc w:val="center"/>
              <w:rPr>
                <w:color w:val="auto"/>
                <w:szCs w:val="21"/>
              </w:rPr>
            </w:pPr>
            <w:r>
              <w:rPr>
                <w:color w:val="auto"/>
                <w:szCs w:val="21"/>
              </w:rPr>
              <w:t>空车</w:t>
            </w:r>
          </w:p>
        </w:tc>
        <w:tc>
          <w:tcPr>
            <w:tcW w:w="1326" w:type="dxa"/>
            <w:vAlign w:val="center"/>
          </w:tcPr>
          <w:p>
            <w:pPr>
              <w:spacing w:line="440" w:lineRule="exact"/>
              <w:jc w:val="center"/>
              <w:rPr>
                <w:color w:val="auto"/>
                <w:szCs w:val="21"/>
              </w:rPr>
            </w:pPr>
            <w:r>
              <w:rPr>
                <w:color w:val="auto"/>
                <w:szCs w:val="21"/>
              </w:rPr>
              <w:t>16.32</w:t>
            </w:r>
          </w:p>
        </w:tc>
        <w:tc>
          <w:tcPr>
            <w:tcW w:w="1307" w:type="dxa"/>
            <w:vAlign w:val="center"/>
          </w:tcPr>
          <w:p>
            <w:pPr>
              <w:spacing w:line="440" w:lineRule="exact"/>
              <w:jc w:val="center"/>
              <w:rPr>
                <w:color w:val="auto"/>
                <w:szCs w:val="21"/>
              </w:rPr>
            </w:pPr>
            <w:r>
              <w:rPr>
                <w:color w:val="auto"/>
                <w:szCs w:val="21"/>
              </w:rPr>
              <w:t>27.46</w:t>
            </w:r>
          </w:p>
        </w:tc>
        <w:tc>
          <w:tcPr>
            <w:tcW w:w="1326" w:type="dxa"/>
            <w:vAlign w:val="center"/>
          </w:tcPr>
          <w:p>
            <w:pPr>
              <w:spacing w:line="440" w:lineRule="exact"/>
              <w:jc w:val="center"/>
              <w:rPr>
                <w:color w:val="auto"/>
                <w:szCs w:val="21"/>
              </w:rPr>
            </w:pPr>
            <w:r>
              <w:rPr>
                <w:color w:val="auto"/>
                <w:szCs w:val="21"/>
              </w:rPr>
              <w:t>37.24</w:t>
            </w:r>
          </w:p>
        </w:tc>
        <w:tc>
          <w:tcPr>
            <w:tcW w:w="1326" w:type="dxa"/>
            <w:vAlign w:val="center"/>
          </w:tcPr>
          <w:p>
            <w:pPr>
              <w:spacing w:line="440" w:lineRule="exact"/>
              <w:jc w:val="center"/>
              <w:rPr>
                <w:color w:val="auto"/>
                <w:szCs w:val="21"/>
              </w:rPr>
            </w:pPr>
            <w:r>
              <w:rPr>
                <w:color w:val="auto"/>
                <w:szCs w:val="21"/>
              </w:rPr>
              <w:t>46.2</w:t>
            </w:r>
          </w:p>
        </w:tc>
        <w:tc>
          <w:tcPr>
            <w:tcW w:w="1326" w:type="dxa"/>
            <w:vAlign w:val="center"/>
          </w:tcPr>
          <w:p>
            <w:pPr>
              <w:spacing w:line="440" w:lineRule="exact"/>
              <w:jc w:val="center"/>
              <w:rPr>
                <w:color w:val="auto"/>
                <w:szCs w:val="21"/>
              </w:rPr>
            </w:pPr>
            <w:r>
              <w:rPr>
                <w:color w:val="auto"/>
                <w:szCs w:val="21"/>
              </w:rPr>
              <w:t>54.58</w:t>
            </w:r>
          </w:p>
        </w:tc>
        <w:tc>
          <w:tcPr>
            <w:tcW w:w="1326" w:type="dxa"/>
            <w:vAlign w:val="center"/>
          </w:tcPr>
          <w:p>
            <w:pPr>
              <w:spacing w:line="440" w:lineRule="exact"/>
              <w:jc w:val="center"/>
              <w:rPr>
                <w:color w:val="auto"/>
                <w:szCs w:val="21"/>
              </w:rPr>
            </w:pPr>
            <w:r>
              <w:rPr>
                <w:color w:val="auto"/>
                <w:szCs w:val="21"/>
              </w:rPr>
              <w:t>91.84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009" w:type="dxa"/>
            <w:vAlign w:val="center"/>
          </w:tcPr>
          <w:p>
            <w:pPr>
              <w:spacing w:line="440" w:lineRule="exact"/>
              <w:jc w:val="center"/>
              <w:rPr>
                <w:color w:val="auto"/>
                <w:szCs w:val="21"/>
              </w:rPr>
            </w:pPr>
            <w:r>
              <w:rPr>
                <w:color w:val="auto"/>
                <w:szCs w:val="21"/>
              </w:rPr>
              <w:t>重车</w:t>
            </w:r>
          </w:p>
        </w:tc>
        <w:tc>
          <w:tcPr>
            <w:tcW w:w="1326" w:type="dxa"/>
            <w:vAlign w:val="center"/>
          </w:tcPr>
          <w:p>
            <w:pPr>
              <w:spacing w:line="440" w:lineRule="exact"/>
              <w:jc w:val="center"/>
              <w:rPr>
                <w:color w:val="auto"/>
                <w:szCs w:val="21"/>
              </w:rPr>
            </w:pPr>
            <w:r>
              <w:rPr>
                <w:color w:val="auto"/>
                <w:szCs w:val="21"/>
              </w:rPr>
              <w:t>41.52</w:t>
            </w:r>
          </w:p>
        </w:tc>
        <w:tc>
          <w:tcPr>
            <w:tcW w:w="1307" w:type="dxa"/>
            <w:vAlign w:val="center"/>
          </w:tcPr>
          <w:p>
            <w:pPr>
              <w:spacing w:line="440" w:lineRule="exact"/>
              <w:jc w:val="center"/>
              <w:rPr>
                <w:color w:val="auto"/>
                <w:szCs w:val="21"/>
              </w:rPr>
            </w:pPr>
            <w:r>
              <w:rPr>
                <w:color w:val="auto"/>
                <w:szCs w:val="21"/>
              </w:rPr>
              <w:t>69.84</w:t>
            </w:r>
          </w:p>
        </w:tc>
        <w:tc>
          <w:tcPr>
            <w:tcW w:w="1326" w:type="dxa"/>
            <w:vAlign w:val="center"/>
          </w:tcPr>
          <w:p>
            <w:pPr>
              <w:spacing w:line="440" w:lineRule="exact"/>
              <w:jc w:val="center"/>
              <w:rPr>
                <w:color w:val="auto"/>
                <w:szCs w:val="21"/>
              </w:rPr>
            </w:pPr>
            <w:r>
              <w:rPr>
                <w:color w:val="auto"/>
                <w:szCs w:val="21"/>
              </w:rPr>
              <w:t>94.76</w:t>
            </w:r>
          </w:p>
        </w:tc>
        <w:tc>
          <w:tcPr>
            <w:tcW w:w="1326" w:type="dxa"/>
            <w:vAlign w:val="center"/>
          </w:tcPr>
          <w:p>
            <w:pPr>
              <w:spacing w:line="440" w:lineRule="exact"/>
              <w:jc w:val="center"/>
              <w:rPr>
                <w:color w:val="auto"/>
                <w:szCs w:val="21"/>
              </w:rPr>
            </w:pPr>
            <w:r>
              <w:rPr>
                <w:color w:val="auto"/>
                <w:szCs w:val="21"/>
              </w:rPr>
              <w:t>117.54</w:t>
            </w:r>
          </w:p>
        </w:tc>
        <w:tc>
          <w:tcPr>
            <w:tcW w:w="1326" w:type="dxa"/>
            <w:vAlign w:val="center"/>
          </w:tcPr>
          <w:p>
            <w:pPr>
              <w:spacing w:line="440" w:lineRule="exact"/>
              <w:jc w:val="center"/>
              <w:rPr>
                <w:color w:val="auto"/>
                <w:szCs w:val="21"/>
              </w:rPr>
            </w:pPr>
            <w:r>
              <w:rPr>
                <w:color w:val="auto"/>
                <w:szCs w:val="21"/>
              </w:rPr>
              <w:t>138.88</w:t>
            </w:r>
          </w:p>
        </w:tc>
        <w:tc>
          <w:tcPr>
            <w:tcW w:w="1326" w:type="dxa"/>
            <w:vAlign w:val="center"/>
          </w:tcPr>
          <w:p>
            <w:pPr>
              <w:spacing w:line="440" w:lineRule="exact"/>
              <w:jc w:val="center"/>
              <w:rPr>
                <w:color w:val="auto"/>
                <w:szCs w:val="21"/>
              </w:rPr>
            </w:pPr>
            <w:r>
              <w:rPr>
                <w:color w:val="auto"/>
                <w:szCs w:val="21"/>
              </w:rPr>
              <w:t>233.64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009" w:type="dxa"/>
            <w:vAlign w:val="center"/>
          </w:tcPr>
          <w:p>
            <w:pPr>
              <w:spacing w:line="440" w:lineRule="exact"/>
              <w:jc w:val="center"/>
              <w:rPr>
                <w:color w:val="auto"/>
                <w:szCs w:val="21"/>
              </w:rPr>
            </w:pPr>
            <w:r>
              <w:rPr>
                <w:color w:val="auto"/>
                <w:szCs w:val="21"/>
              </w:rPr>
              <w:t>合计</w:t>
            </w:r>
          </w:p>
        </w:tc>
        <w:tc>
          <w:tcPr>
            <w:tcW w:w="1326" w:type="dxa"/>
            <w:vAlign w:val="center"/>
          </w:tcPr>
          <w:p>
            <w:pPr>
              <w:spacing w:line="440" w:lineRule="exact"/>
              <w:jc w:val="center"/>
              <w:rPr>
                <w:color w:val="auto"/>
                <w:szCs w:val="21"/>
              </w:rPr>
            </w:pPr>
            <w:r>
              <w:rPr>
                <w:color w:val="auto"/>
                <w:szCs w:val="21"/>
              </w:rPr>
              <w:t>57.84</w:t>
            </w:r>
          </w:p>
        </w:tc>
        <w:tc>
          <w:tcPr>
            <w:tcW w:w="1307" w:type="dxa"/>
            <w:vAlign w:val="center"/>
          </w:tcPr>
          <w:p>
            <w:pPr>
              <w:spacing w:line="440" w:lineRule="exact"/>
              <w:jc w:val="center"/>
              <w:rPr>
                <w:color w:val="auto"/>
                <w:szCs w:val="21"/>
              </w:rPr>
            </w:pPr>
            <w:r>
              <w:rPr>
                <w:color w:val="auto"/>
                <w:szCs w:val="21"/>
              </w:rPr>
              <w:t>97.3</w:t>
            </w:r>
          </w:p>
        </w:tc>
        <w:tc>
          <w:tcPr>
            <w:tcW w:w="1326" w:type="dxa"/>
            <w:vAlign w:val="center"/>
          </w:tcPr>
          <w:p>
            <w:pPr>
              <w:spacing w:line="440" w:lineRule="exact"/>
              <w:jc w:val="center"/>
              <w:rPr>
                <w:color w:val="auto"/>
                <w:szCs w:val="21"/>
              </w:rPr>
            </w:pPr>
            <w:r>
              <w:rPr>
                <w:color w:val="auto"/>
                <w:szCs w:val="21"/>
              </w:rPr>
              <w:t>132</w:t>
            </w:r>
          </w:p>
        </w:tc>
        <w:tc>
          <w:tcPr>
            <w:tcW w:w="1326" w:type="dxa"/>
            <w:vAlign w:val="center"/>
          </w:tcPr>
          <w:p>
            <w:pPr>
              <w:spacing w:line="440" w:lineRule="exact"/>
              <w:jc w:val="center"/>
              <w:rPr>
                <w:color w:val="auto"/>
                <w:szCs w:val="21"/>
              </w:rPr>
            </w:pPr>
            <w:r>
              <w:rPr>
                <w:color w:val="auto"/>
                <w:szCs w:val="21"/>
              </w:rPr>
              <w:t>143.74</w:t>
            </w:r>
          </w:p>
        </w:tc>
        <w:tc>
          <w:tcPr>
            <w:tcW w:w="1326" w:type="dxa"/>
            <w:vAlign w:val="center"/>
          </w:tcPr>
          <w:p>
            <w:pPr>
              <w:spacing w:line="440" w:lineRule="exact"/>
              <w:jc w:val="center"/>
              <w:rPr>
                <w:color w:val="auto"/>
                <w:szCs w:val="21"/>
              </w:rPr>
            </w:pPr>
            <w:r>
              <w:rPr>
                <w:color w:val="auto"/>
                <w:szCs w:val="21"/>
              </w:rPr>
              <w:t>193.46</w:t>
            </w:r>
          </w:p>
        </w:tc>
        <w:tc>
          <w:tcPr>
            <w:tcW w:w="1326" w:type="dxa"/>
            <w:vAlign w:val="center"/>
          </w:tcPr>
          <w:p>
            <w:pPr>
              <w:spacing w:line="440" w:lineRule="exact"/>
              <w:jc w:val="center"/>
              <w:rPr>
                <w:color w:val="auto"/>
                <w:szCs w:val="21"/>
              </w:rPr>
            </w:pPr>
            <w:r>
              <w:rPr>
                <w:color w:val="auto"/>
                <w:szCs w:val="21"/>
              </w:rPr>
              <w:t>325.48</w:t>
            </w:r>
          </w:p>
        </w:tc>
      </w:tr>
    </w:tbl>
    <w:p>
      <w:pPr>
        <w:spacing w:line="360" w:lineRule="auto"/>
        <w:ind w:firstLine="480" w:firstLineChars="200"/>
        <w:rPr>
          <w:snapToGrid w:val="0"/>
          <w:color w:val="auto"/>
        </w:rPr>
      </w:pPr>
      <w:r>
        <w:rPr>
          <w:color w:val="auto"/>
        </w:rPr>
        <w:t>一般情况下，道路在自然风作用下产生的扬尘所影响的范围在100m以内。如果对车辆行驶的路面实施洒水抑尘，可使扬尘量减少70%左右，在实施每天洒水抑尘作业后，其扬尘造成的TSP污染距离可缩小到20~50m范围。</w:t>
      </w:r>
    </w:p>
    <w:p>
      <w:pPr>
        <w:spacing w:line="360" w:lineRule="auto"/>
        <w:ind w:firstLine="480" w:firstLineChars="200"/>
        <w:rPr>
          <w:snapToGrid w:val="0"/>
          <w:color w:val="auto"/>
          <w:kern w:val="24"/>
        </w:rPr>
      </w:pPr>
      <w:r>
        <w:rPr>
          <w:color w:val="auto"/>
        </w:rPr>
        <w:t>项目场区道路进行硬化，非硬化区域种植绿色植物；在厂区出入口设置车辆清洗水池，对进出车辆清洗，不带尘出厂；保持厂区道路清洁和洒水抑尘；对进出车辆进行限速等等。采取上述措施后，厂区粉尘无组织排放量将会得到大幅度的削减，预计因汽车运输带起的动力起尘量约为0.24t/a。</w:t>
      </w:r>
    </w:p>
    <w:p>
      <w:pPr>
        <w:pStyle w:val="16"/>
        <w:kinsoku w:val="0"/>
        <w:overflowPunct w:val="0"/>
        <w:spacing w:before="0" w:beforeAutospacing="0" w:after="0" w:line="360" w:lineRule="auto"/>
        <w:rPr>
          <w:b/>
          <w:bCs/>
          <w:color w:val="auto"/>
          <w:spacing w:val="2"/>
        </w:rPr>
      </w:pPr>
      <w:r>
        <w:rPr>
          <w:rFonts w:hint="eastAsia"/>
          <w:b/>
          <w:bCs/>
          <w:color w:val="auto"/>
          <w:spacing w:val="2"/>
        </w:rPr>
        <w:t>3.</w:t>
      </w:r>
      <w:r>
        <w:rPr>
          <w:rFonts w:hint="eastAsia"/>
          <w:b/>
          <w:bCs/>
          <w:color w:val="auto"/>
          <w:spacing w:val="2"/>
          <w:lang w:val="en-US" w:eastAsia="zh-CN"/>
        </w:rPr>
        <w:t>3</w:t>
      </w:r>
      <w:r>
        <w:rPr>
          <w:b/>
          <w:bCs/>
          <w:color w:val="auto"/>
          <w:spacing w:val="2"/>
        </w:rPr>
        <w:t>.2.2废水产排情况</w:t>
      </w:r>
    </w:p>
    <w:p>
      <w:pPr>
        <w:pStyle w:val="16"/>
        <w:kinsoku w:val="0"/>
        <w:overflowPunct w:val="0"/>
        <w:spacing w:before="0" w:beforeAutospacing="0" w:after="0" w:line="360" w:lineRule="auto"/>
        <w:ind w:firstLine="480"/>
        <w:rPr>
          <w:bCs/>
          <w:color w:val="auto"/>
          <w:spacing w:val="2"/>
        </w:rPr>
      </w:pPr>
      <w:r>
        <w:rPr>
          <w:bCs/>
          <w:color w:val="auto"/>
          <w:spacing w:val="2"/>
        </w:rPr>
        <w:t>本项目运营期废水主要为洗车废水、填埋区</w:t>
      </w:r>
      <w:r>
        <w:rPr>
          <w:rFonts w:hint="eastAsia"/>
          <w:bCs/>
          <w:color w:val="auto"/>
          <w:spacing w:val="2"/>
        </w:rPr>
        <w:t>淋溶液</w:t>
      </w:r>
      <w:r>
        <w:rPr>
          <w:bCs/>
          <w:color w:val="auto"/>
          <w:spacing w:val="2"/>
        </w:rPr>
        <w:t>。</w:t>
      </w:r>
    </w:p>
    <w:p>
      <w:pPr>
        <w:pStyle w:val="16"/>
        <w:kinsoku w:val="0"/>
        <w:overflowPunct w:val="0"/>
        <w:spacing w:before="0" w:beforeAutospacing="0" w:after="0" w:line="360" w:lineRule="auto"/>
        <w:ind w:firstLine="482"/>
        <w:rPr>
          <w:bCs/>
          <w:color w:val="auto"/>
          <w:spacing w:val="2"/>
        </w:rPr>
      </w:pPr>
      <w:r>
        <w:rPr>
          <w:bCs/>
          <w:color w:val="auto"/>
          <w:spacing w:val="2"/>
        </w:rPr>
        <w:t>（1）洗车废水</w:t>
      </w:r>
    </w:p>
    <w:p>
      <w:pPr>
        <w:pStyle w:val="16"/>
        <w:kinsoku w:val="0"/>
        <w:overflowPunct w:val="0"/>
        <w:spacing w:before="0" w:beforeAutospacing="0" w:after="0" w:line="360" w:lineRule="auto"/>
        <w:ind w:firstLine="482"/>
        <w:rPr>
          <w:bCs/>
          <w:color w:val="auto"/>
          <w:spacing w:val="2"/>
        </w:rPr>
      </w:pPr>
      <w:r>
        <w:rPr>
          <w:bCs/>
          <w:color w:val="auto"/>
          <w:spacing w:val="2"/>
        </w:rPr>
        <w:t>本项目建筑垃圾运输车辆及填埋机械清洗会产生清洗废水，本项目洗车废水产生量为5.4m³/d(</w:t>
      </w:r>
      <w:r>
        <w:rPr>
          <w:rFonts w:hint="eastAsia"/>
          <w:bCs/>
          <w:color w:val="auto"/>
          <w:spacing w:val="2"/>
        </w:rPr>
        <w:t>1782</w:t>
      </w:r>
      <w:r>
        <w:rPr>
          <w:bCs/>
          <w:color w:val="auto"/>
          <w:spacing w:val="2"/>
        </w:rPr>
        <w:t>m³/a)，类比同类项目，洗车废水水质如下：悬浮物&lt;2000mg/L；石油类&lt;30mg/L，本项目均采用最大值进行考虑，则本项目洗车废水污染物产生情况见下表：</w:t>
      </w:r>
    </w:p>
    <w:p>
      <w:pPr>
        <w:pStyle w:val="16"/>
        <w:kinsoku w:val="0"/>
        <w:overflowPunct w:val="0"/>
        <w:spacing w:after="0" w:line="360" w:lineRule="auto"/>
        <w:ind w:firstLine="482"/>
        <w:jc w:val="center"/>
        <w:rPr>
          <w:b/>
          <w:color w:val="auto"/>
          <w:kern w:val="0"/>
          <w:szCs w:val="24"/>
        </w:rPr>
      </w:pPr>
      <w:r>
        <w:rPr>
          <w:b/>
          <w:color w:val="auto"/>
          <w:kern w:val="0"/>
          <w:szCs w:val="24"/>
        </w:rPr>
        <w:t>表</w:t>
      </w:r>
      <w:r>
        <w:rPr>
          <w:rFonts w:hint="eastAsia"/>
          <w:b/>
          <w:color w:val="auto"/>
          <w:kern w:val="0"/>
          <w:szCs w:val="24"/>
        </w:rPr>
        <w:t>3.</w:t>
      </w:r>
      <w:r>
        <w:rPr>
          <w:rFonts w:hint="eastAsia"/>
          <w:b/>
          <w:color w:val="auto"/>
          <w:kern w:val="0"/>
          <w:szCs w:val="24"/>
          <w:lang w:val="en-US" w:eastAsia="zh-CN"/>
        </w:rPr>
        <w:t>3</w:t>
      </w:r>
      <w:r>
        <w:rPr>
          <w:rFonts w:hint="eastAsia"/>
          <w:b/>
          <w:color w:val="auto"/>
          <w:kern w:val="0"/>
          <w:szCs w:val="24"/>
        </w:rPr>
        <w:t>-14</w:t>
      </w:r>
      <w:r>
        <w:rPr>
          <w:b/>
          <w:color w:val="auto"/>
          <w:kern w:val="0"/>
          <w:szCs w:val="24"/>
        </w:rPr>
        <w:t xml:space="preserve">  项目洗车废水污染物产生情况一览表</w:t>
      </w:r>
    </w:p>
    <w:tbl>
      <w:tblPr>
        <w:tblStyle w:val="53"/>
        <w:tblpPr w:leftFromText="180" w:rightFromText="180" w:vertAnchor="text" w:tblpY="1"/>
        <w:tblOverlap w:val="never"/>
        <w:tblW w:w="8946"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654"/>
        <w:gridCol w:w="1315"/>
        <w:gridCol w:w="2384"/>
        <w:gridCol w:w="1843"/>
        <w:gridCol w:w="175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1654" w:type="dxa"/>
            <w:vAlign w:val="center"/>
          </w:tcPr>
          <w:p>
            <w:pPr>
              <w:pStyle w:val="16"/>
              <w:kinsoku w:val="0"/>
              <w:overflowPunct w:val="0"/>
              <w:jc w:val="center"/>
              <w:rPr>
                <w:b/>
                <w:bCs/>
                <w:color w:val="auto"/>
                <w:spacing w:val="2"/>
                <w:sz w:val="21"/>
              </w:rPr>
            </w:pPr>
            <w:r>
              <w:rPr>
                <w:b/>
                <w:bCs/>
                <w:color w:val="auto"/>
                <w:spacing w:val="2"/>
                <w:sz w:val="21"/>
              </w:rPr>
              <w:t>废水类型</w:t>
            </w:r>
          </w:p>
        </w:tc>
        <w:tc>
          <w:tcPr>
            <w:tcW w:w="1315" w:type="dxa"/>
            <w:vAlign w:val="center"/>
          </w:tcPr>
          <w:p>
            <w:pPr>
              <w:pStyle w:val="16"/>
              <w:kinsoku w:val="0"/>
              <w:overflowPunct w:val="0"/>
              <w:jc w:val="center"/>
              <w:rPr>
                <w:b/>
                <w:bCs/>
                <w:color w:val="auto"/>
                <w:spacing w:val="2"/>
                <w:sz w:val="21"/>
              </w:rPr>
            </w:pPr>
            <w:r>
              <w:rPr>
                <w:b/>
                <w:bCs/>
                <w:color w:val="auto"/>
                <w:spacing w:val="2"/>
                <w:sz w:val="21"/>
              </w:rPr>
              <w:t>污染物</w:t>
            </w:r>
          </w:p>
        </w:tc>
        <w:tc>
          <w:tcPr>
            <w:tcW w:w="2384" w:type="dxa"/>
            <w:vAlign w:val="center"/>
          </w:tcPr>
          <w:p>
            <w:pPr>
              <w:pStyle w:val="16"/>
              <w:kinsoku w:val="0"/>
              <w:overflowPunct w:val="0"/>
              <w:jc w:val="center"/>
              <w:rPr>
                <w:b/>
                <w:bCs/>
                <w:color w:val="auto"/>
                <w:spacing w:val="2"/>
                <w:sz w:val="21"/>
              </w:rPr>
            </w:pPr>
            <w:r>
              <w:rPr>
                <w:b/>
                <w:bCs/>
                <w:color w:val="auto"/>
                <w:spacing w:val="2"/>
                <w:sz w:val="21"/>
              </w:rPr>
              <w:t>产生浓度（mg/L）</w:t>
            </w:r>
          </w:p>
        </w:tc>
        <w:tc>
          <w:tcPr>
            <w:tcW w:w="1843" w:type="dxa"/>
            <w:vAlign w:val="center"/>
          </w:tcPr>
          <w:p>
            <w:pPr>
              <w:pStyle w:val="16"/>
              <w:kinsoku w:val="0"/>
              <w:overflowPunct w:val="0"/>
              <w:jc w:val="center"/>
              <w:rPr>
                <w:b/>
                <w:bCs/>
                <w:color w:val="auto"/>
                <w:spacing w:val="2"/>
                <w:sz w:val="21"/>
              </w:rPr>
            </w:pPr>
            <w:r>
              <w:rPr>
                <w:b/>
                <w:bCs/>
                <w:color w:val="auto"/>
                <w:spacing w:val="2"/>
                <w:sz w:val="21"/>
              </w:rPr>
              <w:t>产生量（t/a）</w:t>
            </w:r>
          </w:p>
        </w:tc>
        <w:tc>
          <w:tcPr>
            <w:tcW w:w="1750" w:type="dxa"/>
            <w:vAlign w:val="center"/>
          </w:tcPr>
          <w:p>
            <w:pPr>
              <w:pStyle w:val="16"/>
              <w:kinsoku w:val="0"/>
              <w:overflowPunct w:val="0"/>
              <w:jc w:val="center"/>
              <w:rPr>
                <w:b/>
                <w:bCs/>
                <w:color w:val="auto"/>
                <w:spacing w:val="2"/>
                <w:sz w:val="21"/>
              </w:rPr>
            </w:pPr>
            <w:r>
              <w:rPr>
                <w:b/>
                <w:bCs/>
                <w:color w:val="auto"/>
                <w:spacing w:val="2"/>
                <w:sz w:val="21"/>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1654" w:type="dxa"/>
            <w:vMerge w:val="restart"/>
            <w:vAlign w:val="center"/>
          </w:tcPr>
          <w:p>
            <w:pPr>
              <w:pStyle w:val="16"/>
              <w:kinsoku w:val="0"/>
              <w:overflowPunct w:val="0"/>
              <w:jc w:val="center"/>
              <w:rPr>
                <w:bCs/>
                <w:color w:val="auto"/>
                <w:spacing w:val="2"/>
                <w:sz w:val="21"/>
              </w:rPr>
            </w:pPr>
            <w:r>
              <w:rPr>
                <w:bCs/>
                <w:color w:val="auto"/>
                <w:spacing w:val="2"/>
                <w:sz w:val="21"/>
              </w:rPr>
              <w:t>洗车废水</w:t>
            </w:r>
          </w:p>
        </w:tc>
        <w:tc>
          <w:tcPr>
            <w:tcW w:w="1315" w:type="dxa"/>
            <w:vAlign w:val="center"/>
          </w:tcPr>
          <w:p>
            <w:pPr>
              <w:pStyle w:val="16"/>
              <w:kinsoku w:val="0"/>
              <w:overflowPunct w:val="0"/>
              <w:jc w:val="center"/>
              <w:rPr>
                <w:bCs/>
                <w:color w:val="auto"/>
                <w:spacing w:val="2"/>
                <w:sz w:val="21"/>
              </w:rPr>
            </w:pPr>
            <w:r>
              <w:rPr>
                <w:bCs/>
                <w:color w:val="auto"/>
                <w:spacing w:val="2"/>
                <w:sz w:val="21"/>
              </w:rPr>
              <w:t>SS</w:t>
            </w:r>
          </w:p>
        </w:tc>
        <w:tc>
          <w:tcPr>
            <w:tcW w:w="2384" w:type="dxa"/>
            <w:vAlign w:val="center"/>
          </w:tcPr>
          <w:p>
            <w:pPr>
              <w:pStyle w:val="16"/>
              <w:kinsoku w:val="0"/>
              <w:overflowPunct w:val="0"/>
              <w:jc w:val="center"/>
              <w:rPr>
                <w:bCs/>
                <w:color w:val="auto"/>
                <w:spacing w:val="2"/>
                <w:sz w:val="21"/>
              </w:rPr>
            </w:pPr>
            <w:r>
              <w:rPr>
                <w:bCs/>
                <w:color w:val="auto"/>
                <w:spacing w:val="2"/>
                <w:sz w:val="21"/>
              </w:rPr>
              <w:t>2000</w:t>
            </w:r>
          </w:p>
        </w:tc>
        <w:tc>
          <w:tcPr>
            <w:tcW w:w="1843" w:type="dxa"/>
            <w:vAlign w:val="bottom"/>
          </w:tcPr>
          <w:p>
            <w:pPr>
              <w:pStyle w:val="16"/>
              <w:kinsoku w:val="0"/>
              <w:overflowPunct w:val="0"/>
              <w:jc w:val="center"/>
              <w:rPr>
                <w:bCs/>
                <w:color w:val="auto"/>
                <w:spacing w:val="2"/>
                <w:sz w:val="21"/>
              </w:rPr>
            </w:pPr>
            <w:r>
              <w:rPr>
                <w:color w:val="auto"/>
                <w:sz w:val="22"/>
                <w:szCs w:val="22"/>
              </w:rPr>
              <w:t xml:space="preserve">3.56 </w:t>
            </w:r>
          </w:p>
        </w:tc>
        <w:tc>
          <w:tcPr>
            <w:tcW w:w="1750" w:type="dxa"/>
            <w:vMerge w:val="restart"/>
            <w:vAlign w:val="center"/>
          </w:tcPr>
          <w:p>
            <w:pPr>
              <w:pStyle w:val="16"/>
              <w:kinsoku w:val="0"/>
              <w:overflowPunct w:val="0"/>
              <w:jc w:val="center"/>
              <w:rPr>
                <w:bCs/>
                <w:color w:val="auto"/>
                <w:spacing w:val="2"/>
                <w:sz w:val="21"/>
              </w:rPr>
            </w:pPr>
            <w:r>
              <w:rPr>
                <w:bCs/>
                <w:color w:val="auto"/>
                <w:spacing w:val="2"/>
                <w:sz w:val="21"/>
              </w:rPr>
              <w:t>处理后回用，不外排</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1654" w:type="dxa"/>
            <w:vMerge w:val="continue"/>
            <w:vAlign w:val="center"/>
          </w:tcPr>
          <w:p>
            <w:pPr>
              <w:pStyle w:val="16"/>
              <w:kinsoku w:val="0"/>
              <w:overflowPunct w:val="0"/>
              <w:jc w:val="center"/>
              <w:rPr>
                <w:bCs/>
                <w:color w:val="auto"/>
                <w:spacing w:val="2"/>
                <w:sz w:val="21"/>
              </w:rPr>
            </w:pPr>
          </w:p>
        </w:tc>
        <w:tc>
          <w:tcPr>
            <w:tcW w:w="1315" w:type="dxa"/>
            <w:vAlign w:val="center"/>
          </w:tcPr>
          <w:p>
            <w:pPr>
              <w:pStyle w:val="16"/>
              <w:kinsoku w:val="0"/>
              <w:overflowPunct w:val="0"/>
              <w:jc w:val="center"/>
              <w:rPr>
                <w:bCs/>
                <w:color w:val="auto"/>
                <w:spacing w:val="2"/>
                <w:sz w:val="21"/>
              </w:rPr>
            </w:pPr>
            <w:r>
              <w:rPr>
                <w:bCs/>
                <w:color w:val="auto"/>
                <w:spacing w:val="2"/>
                <w:sz w:val="21"/>
              </w:rPr>
              <w:t>石油类</w:t>
            </w:r>
          </w:p>
        </w:tc>
        <w:tc>
          <w:tcPr>
            <w:tcW w:w="2384" w:type="dxa"/>
            <w:vAlign w:val="center"/>
          </w:tcPr>
          <w:p>
            <w:pPr>
              <w:pStyle w:val="16"/>
              <w:kinsoku w:val="0"/>
              <w:overflowPunct w:val="0"/>
              <w:jc w:val="center"/>
              <w:rPr>
                <w:bCs/>
                <w:color w:val="auto"/>
                <w:spacing w:val="2"/>
                <w:sz w:val="21"/>
              </w:rPr>
            </w:pPr>
            <w:r>
              <w:rPr>
                <w:bCs/>
                <w:color w:val="auto"/>
                <w:spacing w:val="2"/>
                <w:sz w:val="21"/>
              </w:rPr>
              <w:t>30</w:t>
            </w:r>
          </w:p>
        </w:tc>
        <w:tc>
          <w:tcPr>
            <w:tcW w:w="1843" w:type="dxa"/>
            <w:vAlign w:val="bottom"/>
          </w:tcPr>
          <w:p>
            <w:pPr>
              <w:pStyle w:val="16"/>
              <w:kinsoku w:val="0"/>
              <w:overflowPunct w:val="0"/>
              <w:jc w:val="center"/>
              <w:rPr>
                <w:bCs/>
                <w:color w:val="auto"/>
                <w:spacing w:val="2"/>
                <w:sz w:val="21"/>
              </w:rPr>
            </w:pPr>
            <w:r>
              <w:rPr>
                <w:color w:val="auto"/>
                <w:sz w:val="22"/>
                <w:szCs w:val="22"/>
              </w:rPr>
              <w:t xml:space="preserve">0.05 </w:t>
            </w:r>
          </w:p>
        </w:tc>
        <w:tc>
          <w:tcPr>
            <w:tcW w:w="1750" w:type="dxa"/>
            <w:vMerge w:val="continue"/>
            <w:vAlign w:val="center"/>
          </w:tcPr>
          <w:p>
            <w:pPr>
              <w:pStyle w:val="16"/>
              <w:kinsoku w:val="0"/>
              <w:overflowPunct w:val="0"/>
              <w:jc w:val="center"/>
              <w:rPr>
                <w:bCs/>
                <w:color w:val="auto"/>
                <w:spacing w:val="2"/>
                <w:sz w:val="21"/>
              </w:rPr>
            </w:pPr>
          </w:p>
        </w:tc>
      </w:tr>
    </w:tbl>
    <w:p>
      <w:pPr>
        <w:pStyle w:val="16"/>
        <w:kinsoku w:val="0"/>
        <w:overflowPunct w:val="0"/>
        <w:spacing w:before="0" w:beforeAutospacing="0" w:after="0" w:line="360" w:lineRule="auto"/>
        <w:ind w:firstLine="482"/>
        <w:rPr>
          <w:bCs/>
          <w:color w:val="auto"/>
          <w:spacing w:val="2"/>
        </w:rPr>
      </w:pPr>
      <w:r>
        <w:rPr>
          <w:bCs/>
          <w:color w:val="auto"/>
          <w:spacing w:val="2"/>
        </w:rPr>
        <w:t>（</w:t>
      </w:r>
      <w:r>
        <w:rPr>
          <w:rFonts w:hint="eastAsia"/>
          <w:bCs/>
          <w:color w:val="auto"/>
          <w:spacing w:val="2"/>
        </w:rPr>
        <w:t>2</w:t>
      </w:r>
      <w:r>
        <w:rPr>
          <w:bCs/>
          <w:color w:val="auto"/>
          <w:spacing w:val="2"/>
        </w:rPr>
        <w:t>）</w:t>
      </w:r>
      <w:r>
        <w:rPr>
          <w:rFonts w:hint="eastAsia"/>
          <w:bCs/>
          <w:color w:val="auto"/>
          <w:spacing w:val="2"/>
          <w:szCs w:val="24"/>
        </w:rPr>
        <w:t>淋溶液</w:t>
      </w:r>
    </w:p>
    <w:p>
      <w:pPr>
        <w:pStyle w:val="16"/>
        <w:kinsoku w:val="0"/>
        <w:overflowPunct w:val="0"/>
        <w:spacing w:before="0" w:beforeAutospacing="0" w:after="0" w:line="360" w:lineRule="auto"/>
        <w:ind w:firstLine="482"/>
        <w:rPr>
          <w:color w:val="auto"/>
          <w:kern w:val="0"/>
          <w:szCs w:val="24"/>
        </w:rPr>
      </w:pPr>
      <w:r>
        <w:rPr>
          <w:color w:val="auto"/>
          <w:kern w:val="0"/>
          <w:szCs w:val="24"/>
        </w:rPr>
        <w:t>消纳场</w:t>
      </w:r>
      <w:r>
        <w:rPr>
          <w:rFonts w:hint="eastAsia"/>
          <w:color w:val="auto"/>
          <w:kern w:val="0"/>
          <w:szCs w:val="24"/>
        </w:rPr>
        <w:t>淋溶水来源有以下几个方面：直接降水、地表径流等产生的水份，其中大气降水是最主要的，其它因素对淋溶水水量的影响很小。影响淋溶水产生量的因素有填埋场构造、蒸发量、地下层的结构、表层覆盖等。其中填埋场的构造对淋溶水的产生量有很大关系。一个设计合理的填埋场应尽量避免地下水和地表径流进入填埋场。设计建筑垃圾稳定化产物作业区填埋面积为500m</w:t>
      </w:r>
      <w:r>
        <w:rPr>
          <w:rFonts w:hint="eastAsia"/>
          <w:color w:val="auto"/>
          <w:kern w:val="0"/>
          <w:szCs w:val="24"/>
          <w:vertAlign w:val="superscript"/>
        </w:rPr>
        <w:t>2</w:t>
      </w:r>
      <w:r>
        <w:rPr>
          <w:rFonts w:hint="eastAsia"/>
          <w:color w:val="auto"/>
          <w:kern w:val="0"/>
          <w:szCs w:val="24"/>
        </w:rPr>
        <w:t>，作业区采用160g 防渗纤维膜覆盖，其他非作业区采用190g 防渗纤维膜覆盖，覆盖表面的雨水排到雨水收集管网。但同时，也有一定的雨水会渗透到地下，从而就可以减少建筑垃圾稳定化产物淋溶水的水量。</w:t>
      </w:r>
    </w:p>
    <w:p>
      <w:pPr>
        <w:pStyle w:val="16"/>
        <w:kinsoku w:val="0"/>
        <w:overflowPunct w:val="0"/>
        <w:spacing w:before="0" w:beforeAutospacing="0" w:after="0" w:line="360" w:lineRule="auto"/>
        <w:ind w:left="360" w:leftChars="150"/>
        <w:rPr>
          <w:color w:val="auto"/>
          <w:kern w:val="0"/>
          <w:szCs w:val="24"/>
        </w:rPr>
      </w:pPr>
      <w:r>
        <w:rPr>
          <w:color w:val="auto"/>
          <w:kern w:val="0"/>
          <w:szCs w:val="24"/>
        </w:rPr>
        <w:t>本项目建筑垃圾</w:t>
      </w:r>
      <w:r>
        <w:rPr>
          <w:rFonts w:hint="eastAsia"/>
          <w:bCs/>
          <w:color w:val="auto"/>
          <w:spacing w:val="2"/>
          <w:szCs w:val="24"/>
        </w:rPr>
        <w:t>淋溶液</w:t>
      </w:r>
      <w:r>
        <w:rPr>
          <w:color w:val="auto"/>
          <w:kern w:val="0"/>
          <w:szCs w:val="24"/>
        </w:rPr>
        <w:t>的产生量，参照生活垃圾填埋场渗滤液的产生量进行计算。</w:t>
      </w:r>
      <w:r>
        <w:rPr>
          <w:rFonts w:hint="eastAsia"/>
          <w:color w:val="auto"/>
          <w:kern w:val="0"/>
          <w:szCs w:val="24"/>
        </w:rPr>
        <w:t xml:space="preserve">  </w:t>
      </w:r>
    </w:p>
    <w:p>
      <w:pPr>
        <w:pStyle w:val="16"/>
        <w:kinsoku w:val="0"/>
        <w:overflowPunct w:val="0"/>
        <w:spacing w:before="0" w:beforeAutospacing="0" w:after="0" w:line="360" w:lineRule="auto"/>
        <w:jc w:val="both"/>
        <w:rPr>
          <w:color w:val="auto"/>
          <w:kern w:val="0"/>
          <w:szCs w:val="24"/>
        </w:rPr>
      </w:pPr>
      <w:r>
        <w:rPr>
          <w:color w:val="auto"/>
          <w:kern w:val="0"/>
          <w:szCs w:val="24"/>
        </w:rPr>
        <w:t>根据《生活垃圾</w:t>
      </w:r>
      <w:r>
        <w:rPr>
          <w:rFonts w:hint="eastAsia"/>
          <w:color w:val="auto"/>
          <w:kern w:val="0"/>
          <w:szCs w:val="24"/>
        </w:rPr>
        <w:t>填埋场</w:t>
      </w:r>
      <w:r>
        <w:rPr>
          <w:color w:val="auto"/>
          <w:kern w:val="0"/>
          <w:szCs w:val="24"/>
        </w:rPr>
        <w:t>渗滤液处理工程技术规范》（HJ564-2010），本项目</w:t>
      </w:r>
      <w:r>
        <w:rPr>
          <w:rFonts w:hint="eastAsia"/>
          <w:bCs/>
          <w:color w:val="auto"/>
          <w:spacing w:val="2"/>
          <w:szCs w:val="24"/>
        </w:rPr>
        <w:t>淋溶液</w:t>
      </w:r>
      <w:r>
        <w:rPr>
          <w:color w:val="auto"/>
          <w:kern w:val="0"/>
          <w:szCs w:val="24"/>
        </w:rPr>
        <w:t>产生量计算采用经验公式法（浸出系数法）进行预测，计算公式如下：</w:t>
      </w:r>
    </w:p>
    <w:p>
      <w:pPr>
        <w:pStyle w:val="16"/>
        <w:spacing w:before="103" w:line="364" w:lineRule="auto"/>
        <w:ind w:left="718" w:right="4985"/>
        <w:rPr>
          <w:color w:val="auto"/>
        </w:rPr>
      </w:pPr>
      <w:r>
        <w:rPr>
          <w:color w:val="auto"/>
        </w:rPr>
        <w:drawing>
          <wp:inline distT="0" distB="0" distL="0" distR="0">
            <wp:extent cx="2295525" cy="495300"/>
            <wp:effectExtent l="0" t="0" r="9525" b="0"/>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2295525" cy="495300"/>
                    </a:xfrm>
                    <a:prstGeom prst="rect">
                      <a:avLst/>
                    </a:prstGeom>
                    <a:noFill/>
                    <a:ln>
                      <a:noFill/>
                    </a:ln>
                  </pic:spPr>
                </pic:pic>
              </a:graphicData>
            </a:graphic>
          </wp:inline>
        </w:drawing>
      </w:r>
    </w:p>
    <w:p>
      <w:pPr>
        <w:pStyle w:val="16"/>
        <w:spacing w:before="0" w:beforeAutospacing="0" w:after="0" w:line="360" w:lineRule="auto"/>
        <w:ind w:right="4985"/>
        <w:jc w:val="both"/>
        <w:rPr>
          <w:color w:val="auto"/>
        </w:rPr>
      </w:pPr>
      <w:r>
        <w:rPr>
          <w:rFonts w:eastAsia="Times New Roman"/>
          <w:color w:val="auto"/>
        </w:rPr>
        <w:t>Q——</w:t>
      </w:r>
      <w:r>
        <w:rPr>
          <w:rFonts w:hint="eastAsia"/>
          <w:color w:val="auto"/>
        </w:rPr>
        <w:t>淋溶液</w:t>
      </w:r>
      <w:r>
        <w:rPr>
          <w:color w:val="auto"/>
        </w:rPr>
        <w:t>平均日产生量，</w:t>
      </w:r>
      <w:r>
        <w:rPr>
          <w:rFonts w:eastAsia="Times New Roman"/>
          <w:color w:val="auto"/>
        </w:rPr>
        <w:t>m</w:t>
      </w:r>
      <w:r>
        <w:rPr>
          <w:rFonts w:eastAsia="Times New Roman"/>
          <w:color w:val="auto"/>
          <w:position w:val="9"/>
          <w:sz w:val="16"/>
        </w:rPr>
        <w:t>3</w:t>
      </w:r>
      <w:r>
        <w:rPr>
          <w:rFonts w:eastAsia="Times New Roman"/>
          <w:color w:val="auto"/>
        </w:rPr>
        <w:t>/d</w:t>
      </w:r>
      <w:r>
        <w:rPr>
          <w:color w:val="auto"/>
        </w:rPr>
        <w:t xml:space="preserve">； </w:t>
      </w:r>
      <w:r>
        <w:rPr>
          <w:rFonts w:eastAsia="Times New Roman"/>
          <w:color w:val="auto"/>
        </w:rPr>
        <w:t>I——</w:t>
      </w:r>
      <w:r>
        <w:rPr>
          <w:color w:val="auto"/>
          <w:spacing w:val="-6"/>
        </w:rPr>
        <w:t xml:space="preserve">多年平均日降雨量，取 </w:t>
      </w:r>
      <w:r>
        <w:rPr>
          <w:rFonts w:eastAsia="Times New Roman"/>
          <w:color w:val="auto"/>
        </w:rPr>
        <w:t>4.2mm</w:t>
      </w:r>
      <w:r>
        <w:rPr>
          <w:color w:val="auto"/>
        </w:rPr>
        <w:t xml:space="preserve">； </w:t>
      </w:r>
      <w:r>
        <w:rPr>
          <w:rFonts w:eastAsia="Times New Roman"/>
          <w:color w:val="auto"/>
          <w:position w:val="1"/>
        </w:rPr>
        <w:t>A</w:t>
      </w:r>
      <w:r>
        <w:rPr>
          <w:rFonts w:eastAsia="Times New Roman"/>
          <w:color w:val="auto"/>
          <w:sz w:val="16"/>
        </w:rPr>
        <w:t>1</w:t>
      </w:r>
      <w:r>
        <w:rPr>
          <w:rFonts w:eastAsia="Times New Roman"/>
          <w:color w:val="auto"/>
          <w:position w:val="1"/>
        </w:rPr>
        <w:t>——</w:t>
      </w:r>
      <w:r>
        <w:rPr>
          <w:color w:val="auto"/>
          <w:spacing w:val="-5"/>
          <w:position w:val="1"/>
        </w:rPr>
        <w:t>作业单元汇水面积，取</w:t>
      </w:r>
      <w:r>
        <w:rPr>
          <w:rFonts w:hint="eastAsia" w:eastAsiaTheme="minorEastAsia"/>
          <w:color w:val="auto"/>
          <w:spacing w:val="-3"/>
          <w:position w:val="1"/>
        </w:rPr>
        <w:t>5</w:t>
      </w:r>
      <w:r>
        <w:rPr>
          <w:rFonts w:eastAsia="Times New Roman"/>
          <w:color w:val="auto"/>
          <w:spacing w:val="-3"/>
          <w:position w:val="1"/>
        </w:rPr>
        <w:t>00m</w:t>
      </w:r>
      <w:r>
        <w:rPr>
          <w:rFonts w:eastAsia="Times New Roman"/>
          <w:color w:val="auto"/>
          <w:spacing w:val="-3"/>
          <w:position w:val="1"/>
          <w:vertAlign w:val="superscript"/>
        </w:rPr>
        <w:t>2</w:t>
      </w:r>
      <w:r>
        <w:rPr>
          <w:color w:val="auto"/>
          <w:spacing w:val="-3"/>
          <w:position w:val="1"/>
        </w:rPr>
        <w:t>；</w:t>
      </w:r>
    </w:p>
    <w:p>
      <w:pPr>
        <w:pStyle w:val="16"/>
        <w:spacing w:before="0" w:beforeAutospacing="0" w:after="0" w:line="360" w:lineRule="auto"/>
        <w:ind w:right="4404"/>
        <w:rPr>
          <w:rFonts w:eastAsiaTheme="minorEastAsia"/>
          <w:color w:val="auto"/>
          <w:spacing w:val="-3"/>
          <w:position w:val="1"/>
        </w:rPr>
      </w:pPr>
      <w:r>
        <w:rPr>
          <w:rFonts w:eastAsia="Times New Roman"/>
          <w:color w:val="auto"/>
          <w:position w:val="1"/>
        </w:rPr>
        <w:t>C</w:t>
      </w:r>
      <w:r>
        <w:rPr>
          <w:rFonts w:eastAsia="Times New Roman"/>
          <w:color w:val="auto"/>
          <w:sz w:val="16"/>
        </w:rPr>
        <w:t>1</w:t>
      </w:r>
      <w:r>
        <w:rPr>
          <w:rFonts w:eastAsia="Times New Roman"/>
          <w:color w:val="auto"/>
          <w:position w:val="1"/>
        </w:rPr>
        <w:t>——</w:t>
      </w:r>
      <w:r>
        <w:rPr>
          <w:color w:val="auto"/>
          <w:spacing w:val="-5"/>
          <w:position w:val="1"/>
        </w:rPr>
        <w:t xml:space="preserve">作业单元渗出系数，一般宜取 </w:t>
      </w:r>
      <w:r>
        <w:rPr>
          <w:rFonts w:eastAsia="Times New Roman"/>
          <w:color w:val="auto"/>
          <w:position w:val="1"/>
        </w:rPr>
        <w:t>0.90</w:t>
      </w:r>
      <w:r>
        <w:rPr>
          <w:color w:val="auto"/>
          <w:position w:val="1"/>
        </w:rPr>
        <w:t xml:space="preserve">； </w:t>
      </w:r>
      <w:r>
        <w:rPr>
          <w:rFonts w:eastAsia="Times New Roman"/>
          <w:color w:val="auto"/>
          <w:position w:val="1"/>
        </w:rPr>
        <w:t>A</w:t>
      </w:r>
      <w:r>
        <w:rPr>
          <w:rFonts w:eastAsia="Times New Roman"/>
          <w:color w:val="auto"/>
          <w:sz w:val="16"/>
        </w:rPr>
        <w:t>2</w:t>
      </w:r>
      <w:r>
        <w:rPr>
          <w:rFonts w:eastAsia="Times New Roman"/>
          <w:color w:val="auto"/>
          <w:position w:val="1"/>
        </w:rPr>
        <w:t>——</w:t>
      </w:r>
      <w:r>
        <w:rPr>
          <w:color w:val="auto"/>
          <w:spacing w:val="-5"/>
          <w:position w:val="1"/>
        </w:rPr>
        <w:t xml:space="preserve">中间覆盖单元汇水面积，取 </w:t>
      </w:r>
      <w:r>
        <w:rPr>
          <w:rFonts w:hint="eastAsia" w:eastAsiaTheme="minorEastAsia"/>
          <w:color w:val="auto"/>
          <w:spacing w:val="-3"/>
          <w:position w:val="1"/>
        </w:rPr>
        <w:t>36794</w:t>
      </w:r>
      <w:r>
        <w:rPr>
          <w:rFonts w:eastAsia="Times New Roman"/>
          <w:color w:val="auto"/>
          <w:spacing w:val="-3"/>
          <w:position w:val="1"/>
        </w:rPr>
        <w:t>m</w:t>
      </w:r>
      <w:r>
        <w:rPr>
          <w:rFonts w:eastAsia="Times New Roman"/>
          <w:color w:val="auto"/>
          <w:spacing w:val="-3"/>
          <w:position w:val="1"/>
          <w:vertAlign w:val="superscript"/>
        </w:rPr>
        <w:t>2</w:t>
      </w:r>
      <w:r>
        <w:rPr>
          <w:color w:val="auto"/>
          <w:spacing w:val="-3"/>
          <w:position w:val="1"/>
        </w:rPr>
        <w:t xml:space="preserve">； </w:t>
      </w:r>
      <w:r>
        <w:rPr>
          <w:rFonts w:eastAsia="Times New Roman"/>
          <w:color w:val="auto"/>
          <w:position w:val="1"/>
        </w:rPr>
        <w:t>C</w:t>
      </w:r>
      <w:r>
        <w:rPr>
          <w:rFonts w:eastAsia="Times New Roman"/>
          <w:color w:val="auto"/>
          <w:sz w:val="16"/>
        </w:rPr>
        <w:t>2</w:t>
      </w:r>
      <w:r>
        <w:rPr>
          <w:rFonts w:eastAsia="Times New Roman"/>
          <w:color w:val="auto"/>
          <w:position w:val="1"/>
        </w:rPr>
        <w:t>——</w:t>
      </w:r>
      <w:r>
        <w:rPr>
          <w:color w:val="auto"/>
          <w:spacing w:val="-5"/>
          <w:position w:val="1"/>
        </w:rPr>
        <w:t xml:space="preserve">中间覆盖单元渗出系数，宜取 </w:t>
      </w:r>
      <w:r>
        <w:rPr>
          <w:rFonts w:eastAsia="Times New Roman"/>
          <w:color w:val="auto"/>
          <w:position w:val="1"/>
        </w:rPr>
        <w:t>0.3</w:t>
      </w:r>
      <w:r>
        <w:rPr>
          <w:color w:val="auto"/>
          <w:position w:val="1"/>
        </w:rPr>
        <w:t xml:space="preserve">； </w:t>
      </w:r>
      <w:r>
        <w:rPr>
          <w:rFonts w:eastAsia="Times New Roman"/>
          <w:color w:val="auto"/>
          <w:position w:val="1"/>
        </w:rPr>
        <w:t>A</w:t>
      </w:r>
      <w:r>
        <w:rPr>
          <w:rFonts w:eastAsia="Times New Roman"/>
          <w:color w:val="auto"/>
          <w:sz w:val="16"/>
        </w:rPr>
        <w:t>3</w:t>
      </w:r>
      <w:r>
        <w:rPr>
          <w:rFonts w:eastAsia="Times New Roman"/>
          <w:color w:val="auto"/>
          <w:position w:val="1"/>
        </w:rPr>
        <w:t>——</w:t>
      </w:r>
      <w:r>
        <w:rPr>
          <w:color w:val="auto"/>
          <w:spacing w:val="-5"/>
          <w:position w:val="1"/>
        </w:rPr>
        <w:t xml:space="preserve">终场覆盖单元汇水面积，取 </w:t>
      </w:r>
      <w:r>
        <w:rPr>
          <w:rFonts w:hint="eastAsia" w:eastAsiaTheme="minorEastAsia"/>
          <w:color w:val="auto"/>
          <w:position w:val="1"/>
        </w:rPr>
        <w:t>85219</w:t>
      </w:r>
      <w:r>
        <w:rPr>
          <w:rFonts w:eastAsia="Times New Roman"/>
          <w:color w:val="auto"/>
          <w:position w:val="1"/>
        </w:rPr>
        <w:t>m</w:t>
      </w:r>
      <w:r>
        <w:rPr>
          <w:rFonts w:eastAsia="Times New Roman"/>
          <w:color w:val="auto"/>
          <w:position w:val="1"/>
          <w:vertAlign w:val="superscript"/>
        </w:rPr>
        <w:t>2</w:t>
      </w:r>
      <w:r>
        <w:rPr>
          <w:color w:val="auto"/>
          <w:position w:val="1"/>
        </w:rPr>
        <w:t xml:space="preserve">； </w:t>
      </w:r>
      <w:r>
        <w:rPr>
          <w:rFonts w:eastAsia="Times New Roman"/>
          <w:color w:val="auto"/>
          <w:position w:val="1"/>
        </w:rPr>
        <w:t>C</w:t>
      </w:r>
      <w:r>
        <w:rPr>
          <w:rFonts w:eastAsia="Times New Roman"/>
          <w:color w:val="auto"/>
          <w:sz w:val="16"/>
        </w:rPr>
        <w:t>3</w:t>
      </w:r>
      <w:r>
        <w:rPr>
          <w:rFonts w:eastAsia="Times New Roman"/>
          <w:color w:val="auto"/>
          <w:position w:val="1"/>
        </w:rPr>
        <w:t>——</w:t>
      </w:r>
      <w:r>
        <w:rPr>
          <w:color w:val="auto"/>
          <w:spacing w:val="-5"/>
          <w:position w:val="1"/>
        </w:rPr>
        <w:t xml:space="preserve">终场覆盖单元渗出系数，取 </w:t>
      </w:r>
      <w:r>
        <w:rPr>
          <w:rFonts w:eastAsia="Times New Roman"/>
          <w:color w:val="auto"/>
          <w:position w:val="1"/>
        </w:rPr>
        <w:t>0.1</w:t>
      </w:r>
      <w:r>
        <w:rPr>
          <w:color w:val="auto"/>
          <w:position w:val="1"/>
        </w:rPr>
        <w:t>。</w:t>
      </w:r>
    </w:p>
    <w:p>
      <w:pPr>
        <w:spacing w:line="360" w:lineRule="auto"/>
        <w:ind w:firstLine="360" w:firstLineChars="150"/>
        <w:rPr>
          <w:color w:val="auto"/>
        </w:rPr>
      </w:pPr>
      <w:r>
        <w:rPr>
          <w:color w:val="auto"/>
        </w:rPr>
        <w:t>注：</w:t>
      </w:r>
      <w:r>
        <w:rPr>
          <w:rFonts w:eastAsia="Times New Roman"/>
          <w:color w:val="auto"/>
        </w:rPr>
        <w:t xml:space="preserve">I </w:t>
      </w:r>
      <w:r>
        <w:rPr>
          <w:color w:val="auto"/>
          <w:spacing w:val="-7"/>
        </w:rPr>
        <w:t xml:space="preserve">的计算，数据充足时，宜按 </w:t>
      </w:r>
      <w:r>
        <w:rPr>
          <w:rFonts w:eastAsia="Times New Roman"/>
          <w:color w:val="auto"/>
        </w:rPr>
        <w:t>20</w:t>
      </w:r>
      <w:r>
        <w:rPr>
          <w:color w:val="auto"/>
          <w:spacing w:val="-6"/>
        </w:rPr>
        <w:t>年的数据计取；数据不足</w:t>
      </w:r>
      <w:r>
        <w:rPr>
          <w:rFonts w:eastAsia="Times New Roman"/>
          <w:color w:val="auto"/>
        </w:rPr>
        <w:t xml:space="preserve">20 </w:t>
      </w:r>
      <w:r>
        <w:rPr>
          <w:color w:val="auto"/>
          <w:spacing w:val="-3"/>
        </w:rPr>
        <w:t>年时，按现有全</w:t>
      </w:r>
      <w:r>
        <w:rPr>
          <w:color w:val="auto"/>
        </w:rPr>
        <w:t>部年数据计取。</w:t>
      </w:r>
    </w:p>
    <w:p>
      <w:pPr>
        <w:spacing w:line="360" w:lineRule="auto"/>
        <w:ind w:firstLine="360" w:firstLineChars="150"/>
        <w:rPr>
          <w:color w:val="auto"/>
        </w:rPr>
      </w:pPr>
      <w:r>
        <w:rPr>
          <w:rFonts w:eastAsia="Times New Roman"/>
          <w:color w:val="auto"/>
        </w:rPr>
        <w:t xml:space="preserve">C </w:t>
      </w:r>
      <w:r>
        <w:rPr>
          <w:color w:val="auto"/>
        </w:rPr>
        <w:t>为填埋场内降雨量转为</w:t>
      </w:r>
      <w:r>
        <w:rPr>
          <w:rFonts w:hint="eastAsia"/>
          <w:color w:val="auto"/>
        </w:rPr>
        <w:t>淋溶液</w:t>
      </w:r>
      <w:r>
        <w:rPr>
          <w:color w:val="auto"/>
        </w:rPr>
        <w:t>的比率，其值与当地降雨量、蒸发量、地面水损失、</w:t>
      </w:r>
      <w:r>
        <w:rPr>
          <w:color w:val="auto"/>
          <w:spacing w:val="-7"/>
        </w:rPr>
        <w:t>地下水渗入、垃圾的特性、表面覆土和</w:t>
      </w:r>
      <w:r>
        <w:rPr>
          <w:rFonts w:hint="eastAsia"/>
          <w:color w:val="auto"/>
        </w:rPr>
        <w:t>淋溶液</w:t>
      </w:r>
      <w:r>
        <w:rPr>
          <w:color w:val="auto"/>
          <w:spacing w:val="-7"/>
        </w:rPr>
        <w:t>导排系统排水能力等因素有关，同时参照</w:t>
      </w:r>
      <w:r>
        <w:rPr>
          <w:color w:val="auto"/>
        </w:rPr>
        <w:t>国内同地区同类型的填埋场实际</w:t>
      </w:r>
      <w:r>
        <w:rPr>
          <w:rFonts w:hint="eastAsia"/>
          <w:color w:val="auto"/>
        </w:rPr>
        <w:t>淋溶液</w:t>
      </w:r>
      <w:r>
        <w:rPr>
          <w:color w:val="auto"/>
        </w:rPr>
        <w:t>产生量综合确定。</w:t>
      </w:r>
    </w:p>
    <w:p>
      <w:pPr>
        <w:spacing w:line="360" w:lineRule="auto"/>
        <w:ind w:firstLine="480" w:firstLineChars="200"/>
        <w:rPr>
          <w:color w:val="auto"/>
        </w:rPr>
      </w:pPr>
      <w:r>
        <w:rPr>
          <w:color w:val="auto"/>
        </w:rPr>
        <w:t>经计算可得</w:t>
      </w:r>
      <w:r>
        <w:rPr>
          <w:rFonts w:hint="eastAsia"/>
          <w:color w:val="auto"/>
        </w:rPr>
        <w:t>淋溶液</w:t>
      </w:r>
      <w:r>
        <w:rPr>
          <w:color w:val="auto"/>
        </w:rPr>
        <w:t>平均日产生量为</w:t>
      </w:r>
      <w:r>
        <w:rPr>
          <w:rFonts w:hint="eastAsia" w:eastAsiaTheme="minorEastAsia"/>
          <w:color w:val="auto"/>
        </w:rPr>
        <w:t>80.04</w:t>
      </w:r>
      <w:r>
        <w:rPr>
          <w:color w:val="auto"/>
        </w:rPr>
        <w:t>m</w:t>
      </w:r>
      <w:r>
        <w:rPr>
          <w:color w:val="auto"/>
          <w:vertAlign w:val="superscript"/>
        </w:rPr>
        <w:t>3</w:t>
      </w:r>
      <w:r>
        <w:rPr>
          <w:rFonts w:eastAsia="Times New Roman"/>
          <w:color w:val="auto"/>
        </w:rPr>
        <w:t>/d</w:t>
      </w:r>
      <w:r>
        <w:rPr>
          <w:color w:val="auto"/>
        </w:rPr>
        <w:t>，填埋场</w:t>
      </w:r>
      <w:r>
        <w:rPr>
          <w:rFonts w:hint="eastAsia"/>
          <w:color w:val="auto"/>
        </w:rPr>
        <w:t>淋溶液</w:t>
      </w:r>
      <w:r>
        <w:rPr>
          <w:color w:val="auto"/>
        </w:rPr>
        <w:t>平均日处理规模按</w:t>
      </w:r>
      <w:r>
        <w:rPr>
          <w:rFonts w:hint="eastAsia" w:eastAsiaTheme="minorEastAsia"/>
          <w:color w:val="auto"/>
          <w:lang w:val="en-US" w:eastAsia="zh-CN"/>
        </w:rPr>
        <w:t>200</w:t>
      </w:r>
      <w:r>
        <w:rPr>
          <w:rFonts w:eastAsia="TimesNewRomanPSMT"/>
          <w:color w:val="auto"/>
          <w:kern w:val="0"/>
        </w:rPr>
        <w:t>m</w:t>
      </w:r>
      <w:r>
        <w:rPr>
          <w:rFonts w:eastAsia="TimesNewRomanPSMT"/>
          <w:color w:val="auto"/>
          <w:kern w:val="0"/>
          <w:vertAlign w:val="superscript"/>
        </w:rPr>
        <w:t>3</w:t>
      </w:r>
      <w:r>
        <w:rPr>
          <w:rFonts w:eastAsia="Times New Roman"/>
          <w:color w:val="auto"/>
        </w:rPr>
        <w:t>/d</w:t>
      </w:r>
      <w:r>
        <w:rPr>
          <w:color w:val="auto"/>
        </w:rPr>
        <w:t>考虑。</w:t>
      </w:r>
    </w:p>
    <w:p>
      <w:pPr>
        <w:pStyle w:val="16"/>
        <w:kinsoku w:val="0"/>
        <w:overflowPunct w:val="0"/>
        <w:spacing w:before="0" w:beforeAutospacing="0" w:after="0" w:line="360" w:lineRule="auto"/>
        <w:ind w:firstLine="480"/>
        <w:rPr>
          <w:color w:val="auto"/>
          <w:shd w:val="clear" w:color="auto" w:fill="FFFFFF"/>
        </w:rPr>
      </w:pPr>
      <w:r>
        <w:rPr>
          <w:color w:val="auto"/>
          <w:shd w:val="clear" w:color="auto" w:fill="FFFFFF"/>
        </w:rPr>
        <w:t>本项目仅填埋填埋废砖瓦、混凝土等，填埋场不接受和填埋有毒有害、易燃易爆废弃物、生活垃圾、工业垃圾，废旧家具、废旧塑料、破旧衣物、木料、白色垃圾等</w:t>
      </w:r>
      <w:r>
        <w:rPr>
          <w:rFonts w:hint="eastAsia"/>
          <w:color w:val="auto"/>
          <w:shd w:val="clear" w:color="auto" w:fill="FFFFFF"/>
        </w:rPr>
        <w:t>。根据《建筑垃圾填埋场的环境效应》（环境卫生工程第14卷第1期，同济大学 污染控制与资源化研究国家重点实验室 上海 200092 袁玉玉、王罗春、赵由才）中的关于渗滤液的水质介绍可知，建筑垃圾可分解有机物含量极少，因此</w:t>
      </w:r>
      <w:r>
        <w:rPr>
          <w:rFonts w:hint="eastAsia"/>
          <w:color w:val="auto"/>
        </w:rPr>
        <w:t>淋溶液</w:t>
      </w:r>
      <w:r>
        <w:rPr>
          <w:rFonts w:hint="eastAsia"/>
          <w:color w:val="auto"/>
          <w:shd w:val="clear" w:color="auto" w:fill="FFFFFF"/>
        </w:rPr>
        <w:t>中COD含量较低。本次环评时未获得该填埋场所填埋的建筑垃圾浸出液成分检测结果，故评价类比《建筑垃圾填埋场的环境效应》（环境卫生工程第14卷第1期，同济大学 污染控制与资源化研究国家重点实验室 上海 200092 袁玉玉、王罗春、赵由才）中建筑垃圾填埋场渗滤液检测结果，见下表：</w:t>
      </w:r>
    </w:p>
    <w:p>
      <w:pPr>
        <w:pStyle w:val="16"/>
        <w:kinsoku w:val="0"/>
        <w:overflowPunct w:val="0"/>
        <w:spacing w:before="0" w:beforeAutospacing="0" w:after="0" w:line="360" w:lineRule="auto"/>
        <w:ind w:firstLine="480"/>
        <w:jc w:val="center"/>
        <w:rPr>
          <w:b/>
          <w:color w:val="auto"/>
          <w:shd w:val="clear" w:color="auto" w:fill="FFFFFF"/>
        </w:rPr>
      </w:pPr>
      <w:r>
        <w:rPr>
          <w:rFonts w:hint="eastAsia"/>
          <w:b/>
          <w:color w:val="auto"/>
          <w:shd w:val="clear" w:color="auto" w:fill="FFFFFF"/>
        </w:rPr>
        <w:t>表3.</w:t>
      </w:r>
      <w:r>
        <w:rPr>
          <w:rFonts w:hint="eastAsia"/>
          <w:b/>
          <w:color w:val="auto"/>
          <w:shd w:val="clear" w:color="auto" w:fill="FFFFFF"/>
          <w:lang w:val="en-US" w:eastAsia="zh-CN"/>
        </w:rPr>
        <w:t>3</w:t>
      </w:r>
      <w:r>
        <w:rPr>
          <w:rFonts w:hint="eastAsia"/>
          <w:b/>
          <w:color w:val="auto"/>
          <w:shd w:val="clear" w:color="auto" w:fill="FFFFFF"/>
        </w:rPr>
        <w:t>-15  建筑垃圾浸出液成分检测结果</w:t>
      </w:r>
      <w:r>
        <w:rPr>
          <w:rFonts w:hint="eastAsia"/>
          <w:b/>
          <w:color w:val="auto"/>
          <w:shd w:val="clear" w:color="auto" w:fill="FFFFFF"/>
          <w:lang w:val="en-US" w:eastAsia="zh-CN"/>
        </w:rPr>
        <w:t xml:space="preserve">  单位：mg/L</w:t>
      </w:r>
    </w:p>
    <w:tbl>
      <w:tblPr>
        <w:tblStyle w:val="54"/>
        <w:tblW w:w="988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43"/>
        <w:gridCol w:w="813"/>
        <w:gridCol w:w="811"/>
        <w:gridCol w:w="797"/>
        <w:gridCol w:w="792"/>
        <w:gridCol w:w="833"/>
        <w:gridCol w:w="772"/>
        <w:gridCol w:w="791"/>
        <w:gridCol w:w="794"/>
        <w:gridCol w:w="785"/>
        <w:gridCol w:w="7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2" w:hRule="atLeast"/>
        </w:trPr>
        <w:tc>
          <w:tcPr>
            <w:tcW w:w="1943" w:type="dxa"/>
            <w:vMerge w:val="restart"/>
            <w:vAlign w:val="center"/>
          </w:tcPr>
          <w:p>
            <w:pPr>
              <w:pStyle w:val="16"/>
              <w:kinsoku w:val="0"/>
              <w:overflowPunct w:val="0"/>
              <w:spacing w:before="0" w:beforeAutospacing="0" w:after="0" w:line="360" w:lineRule="auto"/>
              <w:jc w:val="center"/>
              <w:rPr>
                <w:b/>
                <w:color w:val="auto"/>
                <w:sz w:val="21"/>
                <w:shd w:val="clear" w:color="auto" w:fill="FFFFFF"/>
              </w:rPr>
            </w:pPr>
            <w:r>
              <w:rPr>
                <w:rFonts w:hint="eastAsia"/>
                <w:b/>
                <w:color w:val="auto"/>
                <w:sz w:val="21"/>
                <w:shd w:val="clear" w:color="auto" w:fill="FFFFFF"/>
              </w:rPr>
              <w:t>名称</w:t>
            </w:r>
          </w:p>
        </w:tc>
        <w:tc>
          <w:tcPr>
            <w:tcW w:w="7945" w:type="dxa"/>
            <w:gridSpan w:val="10"/>
            <w:vAlign w:val="center"/>
          </w:tcPr>
          <w:p>
            <w:pPr>
              <w:pStyle w:val="16"/>
              <w:kinsoku w:val="0"/>
              <w:overflowPunct w:val="0"/>
              <w:spacing w:before="0" w:beforeAutospacing="0" w:after="0" w:line="360" w:lineRule="auto"/>
              <w:jc w:val="center"/>
              <w:rPr>
                <w:b/>
                <w:color w:val="auto"/>
                <w:sz w:val="21"/>
                <w:shd w:val="clear" w:color="auto" w:fill="FFFFFF"/>
              </w:rPr>
            </w:pPr>
            <w:r>
              <w:rPr>
                <w:rFonts w:hint="eastAsia"/>
                <w:b/>
                <w:color w:val="auto"/>
                <w:sz w:val="21"/>
                <w:shd w:val="clear" w:color="auto" w:fill="FFFFFF"/>
              </w:rPr>
              <w:t>监测项目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6" w:hRule="atLeast"/>
        </w:trPr>
        <w:tc>
          <w:tcPr>
            <w:tcW w:w="1943" w:type="dxa"/>
            <w:vMerge w:val="continue"/>
          </w:tcPr>
          <w:p>
            <w:pPr>
              <w:pStyle w:val="16"/>
              <w:kinsoku w:val="0"/>
              <w:overflowPunct w:val="0"/>
              <w:spacing w:before="0" w:beforeAutospacing="0" w:after="0" w:line="360" w:lineRule="auto"/>
              <w:jc w:val="both"/>
              <w:rPr>
                <w:color w:val="auto"/>
                <w:sz w:val="21"/>
                <w:shd w:val="clear" w:color="auto" w:fill="FFFFFF"/>
              </w:rPr>
            </w:pPr>
          </w:p>
        </w:tc>
        <w:tc>
          <w:tcPr>
            <w:tcW w:w="813"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pH</w:t>
            </w:r>
          </w:p>
        </w:tc>
        <w:tc>
          <w:tcPr>
            <w:tcW w:w="811"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Zn</w:t>
            </w:r>
          </w:p>
        </w:tc>
        <w:tc>
          <w:tcPr>
            <w:tcW w:w="797"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Pb</w:t>
            </w:r>
          </w:p>
        </w:tc>
        <w:tc>
          <w:tcPr>
            <w:tcW w:w="792"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Cr</w:t>
            </w:r>
          </w:p>
        </w:tc>
        <w:tc>
          <w:tcPr>
            <w:tcW w:w="833"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Hg</w:t>
            </w:r>
          </w:p>
        </w:tc>
        <w:tc>
          <w:tcPr>
            <w:tcW w:w="772"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Ba</w:t>
            </w:r>
          </w:p>
        </w:tc>
        <w:tc>
          <w:tcPr>
            <w:tcW w:w="791"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Ni</w:t>
            </w:r>
          </w:p>
        </w:tc>
        <w:tc>
          <w:tcPr>
            <w:tcW w:w="794"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As</w:t>
            </w:r>
          </w:p>
        </w:tc>
        <w:tc>
          <w:tcPr>
            <w:tcW w:w="785"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CN</w:t>
            </w:r>
            <w:r>
              <w:rPr>
                <w:rFonts w:hint="eastAsia"/>
                <w:color w:val="auto"/>
                <w:sz w:val="21"/>
                <w:shd w:val="clear" w:color="auto" w:fill="FFFFFF"/>
                <w:vertAlign w:val="superscript"/>
              </w:rPr>
              <w:t>-</w:t>
            </w:r>
          </w:p>
        </w:tc>
        <w:tc>
          <w:tcPr>
            <w:tcW w:w="757"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F</w:t>
            </w:r>
            <w:r>
              <w:rPr>
                <w:rFonts w:hint="eastAsia"/>
                <w:color w:val="auto"/>
                <w:sz w:val="21"/>
                <w:shd w:val="clear" w:color="auto" w:fill="FFFFFF"/>
                <w:vertAlign w:val="superscript"/>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18" w:hRule="atLeast"/>
        </w:trPr>
        <w:tc>
          <w:tcPr>
            <w:tcW w:w="1943"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建筑垃圾填埋场浸出液</w:t>
            </w:r>
          </w:p>
        </w:tc>
        <w:tc>
          <w:tcPr>
            <w:tcW w:w="813"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6.95</w:t>
            </w:r>
          </w:p>
        </w:tc>
        <w:tc>
          <w:tcPr>
            <w:tcW w:w="811"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8.63</w:t>
            </w:r>
          </w:p>
        </w:tc>
        <w:tc>
          <w:tcPr>
            <w:tcW w:w="797"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2.13</w:t>
            </w:r>
          </w:p>
        </w:tc>
        <w:tc>
          <w:tcPr>
            <w:tcW w:w="792"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0.25</w:t>
            </w:r>
          </w:p>
        </w:tc>
        <w:tc>
          <w:tcPr>
            <w:tcW w:w="833"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0.009</w:t>
            </w:r>
          </w:p>
        </w:tc>
        <w:tc>
          <w:tcPr>
            <w:tcW w:w="772"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8</w:t>
            </w:r>
          </w:p>
        </w:tc>
        <w:tc>
          <w:tcPr>
            <w:tcW w:w="791"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0.17</w:t>
            </w:r>
          </w:p>
        </w:tc>
        <w:tc>
          <w:tcPr>
            <w:tcW w:w="794"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0.12</w:t>
            </w:r>
          </w:p>
        </w:tc>
        <w:tc>
          <w:tcPr>
            <w:tcW w:w="785"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0.34</w:t>
            </w:r>
          </w:p>
        </w:tc>
        <w:tc>
          <w:tcPr>
            <w:tcW w:w="757"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30" w:hRule="atLeast"/>
        </w:trPr>
        <w:tc>
          <w:tcPr>
            <w:tcW w:w="1943"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《危险废物鉴别浸出液毒性鉴别》（GB5085.3-2</w:t>
            </w:r>
            <w:r>
              <w:rPr>
                <w:rFonts w:hint="eastAsia"/>
                <w:color w:val="auto"/>
                <w:sz w:val="21"/>
                <w:shd w:val="clear" w:color="auto" w:fill="FFFFFF"/>
                <w:lang w:val="en-US" w:eastAsia="zh-CN"/>
              </w:rPr>
              <w:t>00</w:t>
            </w:r>
            <w:r>
              <w:rPr>
                <w:rFonts w:hint="eastAsia"/>
                <w:color w:val="auto"/>
                <w:sz w:val="21"/>
                <w:shd w:val="clear" w:color="auto" w:fill="FFFFFF"/>
              </w:rPr>
              <w:t>7）</w:t>
            </w:r>
          </w:p>
        </w:tc>
        <w:tc>
          <w:tcPr>
            <w:tcW w:w="813"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≥12或≤2</w:t>
            </w:r>
          </w:p>
        </w:tc>
        <w:tc>
          <w:tcPr>
            <w:tcW w:w="811"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100</w:t>
            </w:r>
          </w:p>
        </w:tc>
        <w:tc>
          <w:tcPr>
            <w:tcW w:w="797"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5</w:t>
            </w:r>
          </w:p>
        </w:tc>
        <w:tc>
          <w:tcPr>
            <w:tcW w:w="792"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15</w:t>
            </w:r>
          </w:p>
        </w:tc>
        <w:tc>
          <w:tcPr>
            <w:tcW w:w="833"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0.1</w:t>
            </w:r>
          </w:p>
        </w:tc>
        <w:tc>
          <w:tcPr>
            <w:tcW w:w="772"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100</w:t>
            </w:r>
          </w:p>
        </w:tc>
        <w:tc>
          <w:tcPr>
            <w:tcW w:w="791"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5</w:t>
            </w:r>
          </w:p>
        </w:tc>
        <w:tc>
          <w:tcPr>
            <w:tcW w:w="794"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5</w:t>
            </w:r>
          </w:p>
        </w:tc>
        <w:tc>
          <w:tcPr>
            <w:tcW w:w="785"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5</w:t>
            </w:r>
          </w:p>
        </w:tc>
        <w:tc>
          <w:tcPr>
            <w:tcW w:w="757"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100</w:t>
            </w:r>
          </w:p>
        </w:tc>
      </w:tr>
    </w:tbl>
    <w:p>
      <w:pPr>
        <w:pStyle w:val="16"/>
        <w:kinsoku w:val="0"/>
        <w:overflowPunct w:val="0"/>
        <w:spacing w:before="0" w:beforeAutospacing="0" w:after="0" w:line="360" w:lineRule="auto"/>
        <w:ind w:firstLine="480"/>
        <w:rPr>
          <w:color w:val="auto"/>
          <w:shd w:val="clear" w:color="auto" w:fill="FFFFFF"/>
        </w:rPr>
      </w:pPr>
      <w:r>
        <w:rPr>
          <w:rFonts w:hint="eastAsia"/>
          <w:color w:val="auto"/>
          <w:shd w:val="clear" w:color="auto" w:fill="FFFFFF"/>
        </w:rPr>
        <w:t>由上表可知，建筑垃圾的浸出液的重金属含量均低</w:t>
      </w:r>
      <w:r>
        <w:rPr>
          <w:rFonts w:hint="eastAsia"/>
          <w:color w:val="auto"/>
          <w:szCs w:val="24"/>
          <w:shd w:val="clear" w:color="auto" w:fill="FFFFFF"/>
        </w:rPr>
        <w:t>于《危险废物鉴别浸出液毒性鉴别》（GB5085.3-2.17）中的规定浓度，但考虑本项目淋溶液的含有一定量的重金属，因此，本项目采取沉淀反应处理去除金属离子后（处理工艺如下），用于消纳场填埋作业时洒水抑尘，不外排。</w:t>
      </w:r>
    </w:p>
    <w:p>
      <w:pPr>
        <w:pStyle w:val="16"/>
        <w:kinsoku w:val="0"/>
        <w:overflowPunct w:val="0"/>
        <w:spacing w:before="0" w:beforeAutospacing="0" w:after="0" w:line="360" w:lineRule="auto"/>
        <w:ind w:firstLine="480"/>
        <w:rPr>
          <w:color w:val="auto"/>
          <w:kern w:val="0"/>
          <w:szCs w:val="24"/>
        </w:rPr>
      </w:pPr>
      <w:r>
        <w:rPr>
          <w:color w:val="auto"/>
        </w:rPr>
        <w:drawing>
          <wp:inline distT="0" distB="0" distL="0" distR="0">
            <wp:extent cx="5486400" cy="1766570"/>
            <wp:effectExtent l="0" t="0" r="0" b="5080"/>
            <wp:docPr id="1360" name="图片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图片 1360"/>
                    <pic:cNvPicPr>
                      <a:picLocks noChangeAspect="1"/>
                    </pic:cNvPicPr>
                  </pic:nvPicPr>
                  <pic:blipFill>
                    <a:blip r:embed="rId86"/>
                    <a:stretch>
                      <a:fillRect/>
                    </a:stretch>
                  </pic:blipFill>
                  <pic:spPr>
                    <a:xfrm>
                      <a:off x="0" y="0"/>
                      <a:ext cx="5486400" cy="1766570"/>
                    </a:xfrm>
                    <a:prstGeom prst="rect">
                      <a:avLst/>
                    </a:prstGeom>
                  </pic:spPr>
                </pic:pic>
              </a:graphicData>
            </a:graphic>
          </wp:inline>
        </w:drawing>
      </w:r>
    </w:p>
    <w:p>
      <w:pPr>
        <w:spacing w:line="360" w:lineRule="auto"/>
        <w:jc w:val="center"/>
        <w:rPr>
          <w:rFonts w:eastAsiaTheme="minorEastAsia"/>
          <w:b/>
          <w:color w:val="auto"/>
        </w:rPr>
      </w:pPr>
      <w:r>
        <w:rPr>
          <w:rFonts w:hint="eastAsia" w:eastAsiaTheme="minorEastAsia"/>
          <w:b/>
          <w:color w:val="auto"/>
        </w:rPr>
        <w:t>图3.</w:t>
      </w:r>
      <w:r>
        <w:rPr>
          <w:rFonts w:hint="eastAsia" w:eastAsiaTheme="minorEastAsia"/>
          <w:b/>
          <w:color w:val="auto"/>
          <w:lang w:val="en-US" w:eastAsia="zh-CN"/>
        </w:rPr>
        <w:t>3</w:t>
      </w:r>
      <w:r>
        <w:rPr>
          <w:rFonts w:hint="eastAsia" w:eastAsiaTheme="minorEastAsia"/>
          <w:b/>
          <w:color w:val="auto"/>
        </w:rPr>
        <w:t>-1 淋溶水处理工艺流程图</w:t>
      </w:r>
    </w:p>
    <w:p>
      <w:pPr>
        <w:pStyle w:val="16"/>
        <w:kinsoku w:val="0"/>
        <w:overflowPunct w:val="0"/>
        <w:spacing w:before="0" w:beforeAutospacing="0" w:after="0" w:line="360" w:lineRule="auto"/>
        <w:ind w:firstLine="480"/>
        <w:rPr>
          <w:color w:val="auto"/>
          <w:spacing w:val="2"/>
          <w:szCs w:val="24"/>
        </w:rPr>
      </w:pPr>
      <w:r>
        <w:rPr>
          <w:color w:val="auto"/>
          <w:spacing w:val="2"/>
          <w:szCs w:val="24"/>
        </w:rPr>
        <w:t>（</w:t>
      </w:r>
      <w:r>
        <w:rPr>
          <w:rFonts w:hint="eastAsia"/>
          <w:color w:val="auto"/>
          <w:spacing w:val="2"/>
          <w:szCs w:val="24"/>
        </w:rPr>
        <w:t>3</w:t>
      </w:r>
      <w:r>
        <w:rPr>
          <w:color w:val="auto"/>
          <w:spacing w:val="2"/>
          <w:szCs w:val="24"/>
        </w:rPr>
        <w:t>）厂区废水污染物汇总</w:t>
      </w:r>
    </w:p>
    <w:p>
      <w:pPr>
        <w:pStyle w:val="94"/>
        <w:spacing w:line="360" w:lineRule="auto"/>
        <w:ind w:left="568" w:firstLine="0" w:firstLineChars="0"/>
        <w:rPr>
          <w:color w:val="auto"/>
          <w:szCs w:val="24"/>
        </w:rPr>
      </w:pPr>
      <w:r>
        <w:rPr>
          <w:rFonts w:hint="eastAsia"/>
          <w:color w:val="auto"/>
          <w:szCs w:val="24"/>
        </w:rPr>
        <w:t>建筑垃圾消纳场</w:t>
      </w:r>
      <w:r>
        <w:rPr>
          <w:color w:val="auto"/>
          <w:szCs w:val="24"/>
        </w:rPr>
        <w:t>项目废水产生及排放情况见表</w:t>
      </w:r>
      <w:r>
        <w:rPr>
          <w:rFonts w:hint="eastAsia"/>
          <w:color w:val="auto"/>
          <w:szCs w:val="24"/>
        </w:rPr>
        <w:t>3.</w:t>
      </w:r>
      <w:r>
        <w:rPr>
          <w:rFonts w:hint="eastAsia"/>
          <w:color w:val="auto"/>
          <w:szCs w:val="24"/>
          <w:lang w:val="en-US" w:eastAsia="zh-CN"/>
        </w:rPr>
        <w:t>3</w:t>
      </w:r>
      <w:r>
        <w:rPr>
          <w:rFonts w:hint="eastAsia"/>
          <w:color w:val="auto"/>
          <w:szCs w:val="24"/>
        </w:rPr>
        <w:t>-16</w:t>
      </w:r>
      <w:r>
        <w:rPr>
          <w:color w:val="auto"/>
          <w:szCs w:val="24"/>
        </w:rPr>
        <w:t>。</w:t>
      </w:r>
    </w:p>
    <w:p>
      <w:pPr>
        <w:pStyle w:val="357"/>
        <w:rPr>
          <w:rFonts w:ascii="Times New Roman" w:hAnsi="Times New Roman" w:eastAsia="宋体"/>
          <w:b/>
          <w:color w:val="auto"/>
        </w:rPr>
      </w:pPr>
      <w:r>
        <w:rPr>
          <w:rFonts w:ascii="Times New Roman" w:hAnsi="Times New Roman" w:eastAsia="宋体"/>
          <w:b/>
          <w:color w:val="auto"/>
        </w:rPr>
        <w:t>表</w:t>
      </w:r>
      <w:r>
        <w:rPr>
          <w:rFonts w:hint="eastAsia" w:ascii="Times New Roman" w:hAnsi="Times New Roman" w:eastAsia="宋体"/>
          <w:b/>
          <w:color w:val="auto"/>
        </w:rPr>
        <w:t>3.</w:t>
      </w:r>
      <w:r>
        <w:rPr>
          <w:rFonts w:hint="eastAsia" w:ascii="Times New Roman" w:hAnsi="Times New Roman" w:eastAsia="宋体"/>
          <w:b/>
          <w:color w:val="auto"/>
          <w:lang w:val="en-US" w:eastAsia="zh-CN"/>
        </w:rPr>
        <w:t>3</w:t>
      </w:r>
      <w:r>
        <w:rPr>
          <w:rFonts w:hint="eastAsia" w:ascii="Times New Roman" w:hAnsi="Times New Roman" w:eastAsia="宋体"/>
          <w:b/>
          <w:color w:val="auto"/>
        </w:rPr>
        <w:t>-16 建筑垃圾消纳场</w:t>
      </w:r>
      <w:r>
        <w:rPr>
          <w:rFonts w:ascii="Times New Roman" w:hAnsi="Times New Roman" w:eastAsia="宋体"/>
          <w:b/>
          <w:color w:val="auto"/>
        </w:rPr>
        <w:t>废水产生及排放情况一览表</w:t>
      </w:r>
    </w:p>
    <w:tbl>
      <w:tblPr>
        <w:tblStyle w:val="53"/>
        <w:tblW w:w="9286"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96"/>
        <w:gridCol w:w="882"/>
        <w:gridCol w:w="1033"/>
        <w:gridCol w:w="1012"/>
        <w:gridCol w:w="1493"/>
        <w:gridCol w:w="929"/>
        <w:gridCol w:w="1010"/>
        <w:gridCol w:w="891"/>
        <w:gridCol w:w="104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996" w:type="dxa"/>
            <w:vMerge w:val="restart"/>
            <w:vAlign w:val="center"/>
          </w:tcPr>
          <w:p>
            <w:pPr>
              <w:adjustRightInd w:val="0"/>
              <w:spacing w:line="300" w:lineRule="exact"/>
              <w:jc w:val="center"/>
              <w:rPr>
                <w:b/>
                <w:bCs/>
                <w:color w:val="auto"/>
                <w:sz w:val="21"/>
                <w:szCs w:val="21"/>
              </w:rPr>
            </w:pPr>
            <w:r>
              <w:rPr>
                <w:b/>
                <w:bCs/>
                <w:color w:val="auto"/>
                <w:sz w:val="21"/>
                <w:szCs w:val="21"/>
              </w:rPr>
              <w:t>污染源名称</w:t>
            </w:r>
          </w:p>
        </w:tc>
        <w:tc>
          <w:tcPr>
            <w:tcW w:w="882" w:type="dxa"/>
            <w:vMerge w:val="restart"/>
            <w:vAlign w:val="center"/>
          </w:tcPr>
          <w:p>
            <w:pPr>
              <w:adjustRightInd w:val="0"/>
              <w:spacing w:line="300" w:lineRule="exact"/>
              <w:jc w:val="center"/>
              <w:rPr>
                <w:b/>
                <w:bCs/>
                <w:color w:val="auto"/>
                <w:sz w:val="21"/>
                <w:szCs w:val="21"/>
              </w:rPr>
            </w:pPr>
            <w:r>
              <w:rPr>
                <w:b/>
                <w:bCs/>
                <w:color w:val="auto"/>
                <w:sz w:val="21"/>
                <w:szCs w:val="21"/>
              </w:rPr>
              <w:t>污染物</w:t>
            </w:r>
          </w:p>
          <w:p>
            <w:pPr>
              <w:adjustRightInd w:val="0"/>
              <w:spacing w:line="300" w:lineRule="exact"/>
              <w:jc w:val="center"/>
              <w:rPr>
                <w:b/>
                <w:bCs/>
                <w:color w:val="auto"/>
                <w:sz w:val="21"/>
                <w:szCs w:val="21"/>
              </w:rPr>
            </w:pPr>
            <w:r>
              <w:rPr>
                <w:b/>
                <w:bCs/>
                <w:color w:val="auto"/>
                <w:sz w:val="21"/>
                <w:szCs w:val="21"/>
              </w:rPr>
              <w:t>名称</w:t>
            </w:r>
          </w:p>
        </w:tc>
        <w:tc>
          <w:tcPr>
            <w:tcW w:w="2045" w:type="dxa"/>
            <w:gridSpan w:val="2"/>
            <w:vAlign w:val="center"/>
          </w:tcPr>
          <w:p>
            <w:pPr>
              <w:adjustRightInd w:val="0"/>
              <w:spacing w:line="300" w:lineRule="exact"/>
              <w:jc w:val="center"/>
              <w:rPr>
                <w:b/>
                <w:bCs/>
                <w:color w:val="auto"/>
                <w:sz w:val="21"/>
                <w:szCs w:val="21"/>
              </w:rPr>
            </w:pPr>
            <w:r>
              <w:rPr>
                <w:b/>
                <w:bCs/>
                <w:color w:val="auto"/>
                <w:sz w:val="21"/>
                <w:szCs w:val="21"/>
              </w:rPr>
              <w:t>污染物产生情况</w:t>
            </w:r>
          </w:p>
        </w:tc>
        <w:tc>
          <w:tcPr>
            <w:tcW w:w="1493" w:type="dxa"/>
            <w:vMerge w:val="restart"/>
            <w:vAlign w:val="center"/>
          </w:tcPr>
          <w:p>
            <w:pPr>
              <w:adjustRightInd w:val="0"/>
              <w:spacing w:line="300" w:lineRule="exact"/>
              <w:jc w:val="center"/>
              <w:rPr>
                <w:b/>
                <w:bCs/>
                <w:color w:val="auto"/>
                <w:sz w:val="21"/>
                <w:szCs w:val="21"/>
              </w:rPr>
            </w:pPr>
            <w:r>
              <w:rPr>
                <w:b/>
                <w:bCs/>
                <w:color w:val="auto"/>
                <w:sz w:val="21"/>
                <w:szCs w:val="21"/>
              </w:rPr>
              <w:t>污染治理</w:t>
            </w:r>
          </w:p>
          <w:p>
            <w:pPr>
              <w:adjustRightInd w:val="0"/>
              <w:spacing w:line="300" w:lineRule="exact"/>
              <w:jc w:val="center"/>
              <w:rPr>
                <w:b/>
                <w:bCs/>
                <w:color w:val="auto"/>
                <w:sz w:val="21"/>
                <w:szCs w:val="21"/>
              </w:rPr>
            </w:pPr>
            <w:r>
              <w:rPr>
                <w:b/>
                <w:bCs/>
                <w:color w:val="auto"/>
                <w:sz w:val="21"/>
                <w:szCs w:val="21"/>
              </w:rPr>
              <w:t>措施</w:t>
            </w:r>
          </w:p>
        </w:tc>
        <w:tc>
          <w:tcPr>
            <w:tcW w:w="1939" w:type="dxa"/>
            <w:gridSpan w:val="2"/>
            <w:vAlign w:val="center"/>
          </w:tcPr>
          <w:p>
            <w:pPr>
              <w:adjustRightInd w:val="0"/>
              <w:spacing w:line="300" w:lineRule="exact"/>
              <w:jc w:val="center"/>
              <w:rPr>
                <w:b/>
                <w:bCs/>
                <w:color w:val="auto"/>
                <w:sz w:val="21"/>
                <w:szCs w:val="21"/>
              </w:rPr>
            </w:pPr>
            <w:r>
              <w:rPr>
                <w:b/>
                <w:bCs/>
                <w:color w:val="auto"/>
                <w:sz w:val="21"/>
                <w:szCs w:val="21"/>
              </w:rPr>
              <w:t>污染物排放情况</w:t>
            </w:r>
          </w:p>
        </w:tc>
        <w:tc>
          <w:tcPr>
            <w:tcW w:w="891" w:type="dxa"/>
            <w:vMerge w:val="restart"/>
            <w:vAlign w:val="center"/>
          </w:tcPr>
          <w:p>
            <w:pPr>
              <w:adjustRightInd w:val="0"/>
              <w:spacing w:line="300" w:lineRule="exact"/>
              <w:jc w:val="center"/>
              <w:rPr>
                <w:b/>
                <w:bCs/>
                <w:color w:val="auto"/>
                <w:sz w:val="21"/>
                <w:szCs w:val="21"/>
              </w:rPr>
            </w:pPr>
            <w:r>
              <w:rPr>
                <w:b/>
                <w:bCs/>
                <w:color w:val="auto"/>
                <w:sz w:val="21"/>
                <w:szCs w:val="21"/>
              </w:rPr>
              <w:t>排放</w:t>
            </w:r>
          </w:p>
          <w:p>
            <w:pPr>
              <w:adjustRightInd w:val="0"/>
              <w:spacing w:line="300" w:lineRule="exact"/>
              <w:jc w:val="center"/>
              <w:rPr>
                <w:b/>
                <w:bCs/>
                <w:color w:val="auto"/>
                <w:sz w:val="21"/>
                <w:szCs w:val="21"/>
              </w:rPr>
            </w:pPr>
            <w:r>
              <w:rPr>
                <w:b/>
                <w:bCs/>
                <w:color w:val="auto"/>
                <w:sz w:val="21"/>
                <w:szCs w:val="21"/>
              </w:rPr>
              <w:t>方式</w:t>
            </w:r>
          </w:p>
        </w:tc>
        <w:tc>
          <w:tcPr>
            <w:tcW w:w="1040" w:type="dxa"/>
            <w:vMerge w:val="restart"/>
            <w:vAlign w:val="center"/>
          </w:tcPr>
          <w:p>
            <w:pPr>
              <w:adjustRightInd w:val="0"/>
              <w:spacing w:line="300" w:lineRule="exact"/>
              <w:jc w:val="center"/>
              <w:rPr>
                <w:b/>
                <w:bCs/>
                <w:color w:val="auto"/>
                <w:sz w:val="21"/>
                <w:szCs w:val="21"/>
              </w:rPr>
            </w:pPr>
            <w:r>
              <w:rPr>
                <w:b/>
                <w:bCs/>
                <w:color w:val="auto"/>
                <w:sz w:val="21"/>
                <w:szCs w:val="21"/>
              </w:rPr>
              <w:t>排放去向</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996" w:type="dxa"/>
            <w:vMerge w:val="continue"/>
            <w:vAlign w:val="center"/>
          </w:tcPr>
          <w:p>
            <w:pPr>
              <w:adjustRightInd w:val="0"/>
              <w:spacing w:line="300" w:lineRule="exact"/>
              <w:jc w:val="center"/>
              <w:rPr>
                <w:bCs/>
                <w:color w:val="auto"/>
                <w:sz w:val="21"/>
                <w:szCs w:val="21"/>
              </w:rPr>
            </w:pPr>
          </w:p>
        </w:tc>
        <w:tc>
          <w:tcPr>
            <w:tcW w:w="882" w:type="dxa"/>
            <w:vMerge w:val="continue"/>
            <w:vAlign w:val="center"/>
          </w:tcPr>
          <w:p>
            <w:pPr>
              <w:adjustRightInd w:val="0"/>
              <w:spacing w:line="300" w:lineRule="exact"/>
              <w:jc w:val="center"/>
              <w:rPr>
                <w:bCs/>
                <w:color w:val="auto"/>
                <w:sz w:val="21"/>
                <w:szCs w:val="21"/>
              </w:rPr>
            </w:pPr>
          </w:p>
        </w:tc>
        <w:tc>
          <w:tcPr>
            <w:tcW w:w="1033" w:type="dxa"/>
            <w:vAlign w:val="center"/>
          </w:tcPr>
          <w:p>
            <w:pPr>
              <w:adjustRightInd w:val="0"/>
              <w:spacing w:line="300" w:lineRule="exact"/>
              <w:jc w:val="center"/>
              <w:rPr>
                <w:b/>
                <w:bCs/>
                <w:color w:val="auto"/>
                <w:sz w:val="21"/>
                <w:szCs w:val="21"/>
              </w:rPr>
            </w:pPr>
            <w:r>
              <w:rPr>
                <w:b/>
                <w:bCs/>
                <w:color w:val="auto"/>
                <w:sz w:val="21"/>
                <w:szCs w:val="21"/>
              </w:rPr>
              <w:t>浓度</w:t>
            </w:r>
          </w:p>
          <w:p>
            <w:pPr>
              <w:adjustRightInd w:val="0"/>
              <w:spacing w:line="300" w:lineRule="exact"/>
              <w:jc w:val="center"/>
              <w:rPr>
                <w:b/>
                <w:bCs/>
                <w:color w:val="auto"/>
                <w:sz w:val="21"/>
                <w:szCs w:val="21"/>
              </w:rPr>
            </w:pPr>
            <w:r>
              <w:rPr>
                <w:b/>
                <w:bCs/>
                <w:color w:val="auto"/>
                <w:sz w:val="21"/>
                <w:szCs w:val="21"/>
              </w:rPr>
              <w:t>（mg/L）</w:t>
            </w:r>
          </w:p>
        </w:tc>
        <w:tc>
          <w:tcPr>
            <w:tcW w:w="1012" w:type="dxa"/>
            <w:vAlign w:val="center"/>
          </w:tcPr>
          <w:p>
            <w:pPr>
              <w:adjustRightInd w:val="0"/>
              <w:spacing w:line="300" w:lineRule="exact"/>
              <w:jc w:val="center"/>
              <w:rPr>
                <w:b/>
                <w:bCs/>
                <w:color w:val="auto"/>
                <w:sz w:val="21"/>
                <w:szCs w:val="21"/>
              </w:rPr>
            </w:pPr>
            <w:r>
              <w:rPr>
                <w:rFonts w:hint="eastAsia"/>
                <w:b/>
                <w:bCs/>
                <w:color w:val="auto"/>
                <w:sz w:val="21"/>
                <w:szCs w:val="21"/>
              </w:rPr>
              <w:t>产生</w:t>
            </w:r>
            <w:r>
              <w:rPr>
                <w:b/>
                <w:bCs/>
                <w:color w:val="auto"/>
                <w:sz w:val="21"/>
                <w:szCs w:val="21"/>
              </w:rPr>
              <w:t>量</w:t>
            </w:r>
          </w:p>
          <w:p>
            <w:pPr>
              <w:adjustRightInd w:val="0"/>
              <w:spacing w:line="300" w:lineRule="exact"/>
              <w:jc w:val="center"/>
              <w:rPr>
                <w:b/>
                <w:bCs/>
                <w:color w:val="auto"/>
                <w:sz w:val="21"/>
                <w:szCs w:val="21"/>
              </w:rPr>
            </w:pPr>
            <w:r>
              <w:rPr>
                <w:b/>
                <w:bCs/>
                <w:color w:val="auto"/>
                <w:sz w:val="21"/>
                <w:szCs w:val="21"/>
              </w:rPr>
              <w:t>（t/a）</w:t>
            </w:r>
          </w:p>
        </w:tc>
        <w:tc>
          <w:tcPr>
            <w:tcW w:w="1493" w:type="dxa"/>
            <w:vMerge w:val="continue"/>
            <w:vAlign w:val="center"/>
          </w:tcPr>
          <w:p>
            <w:pPr>
              <w:adjustRightInd w:val="0"/>
              <w:spacing w:line="300" w:lineRule="exact"/>
              <w:jc w:val="center"/>
              <w:rPr>
                <w:bCs/>
                <w:color w:val="auto"/>
                <w:spacing w:val="-10"/>
                <w:sz w:val="21"/>
                <w:szCs w:val="21"/>
              </w:rPr>
            </w:pPr>
          </w:p>
        </w:tc>
        <w:tc>
          <w:tcPr>
            <w:tcW w:w="929" w:type="dxa"/>
            <w:vAlign w:val="center"/>
          </w:tcPr>
          <w:p>
            <w:pPr>
              <w:adjustRightInd w:val="0"/>
              <w:spacing w:line="300" w:lineRule="exact"/>
              <w:jc w:val="center"/>
              <w:rPr>
                <w:b/>
                <w:bCs/>
                <w:color w:val="auto"/>
                <w:sz w:val="21"/>
                <w:szCs w:val="21"/>
              </w:rPr>
            </w:pPr>
            <w:r>
              <w:rPr>
                <w:b/>
                <w:bCs/>
                <w:color w:val="auto"/>
                <w:sz w:val="21"/>
                <w:szCs w:val="21"/>
              </w:rPr>
              <w:t>浓度</w:t>
            </w:r>
          </w:p>
          <w:p>
            <w:pPr>
              <w:adjustRightInd w:val="0"/>
              <w:spacing w:line="300" w:lineRule="exact"/>
              <w:jc w:val="center"/>
              <w:rPr>
                <w:b/>
                <w:bCs/>
                <w:color w:val="auto"/>
                <w:spacing w:val="-10"/>
                <w:sz w:val="21"/>
                <w:szCs w:val="21"/>
              </w:rPr>
            </w:pPr>
            <w:r>
              <w:rPr>
                <w:b/>
                <w:bCs/>
                <w:color w:val="auto"/>
                <w:spacing w:val="-10"/>
                <w:sz w:val="21"/>
                <w:szCs w:val="21"/>
              </w:rPr>
              <w:t>（mg/L）</w:t>
            </w:r>
          </w:p>
        </w:tc>
        <w:tc>
          <w:tcPr>
            <w:tcW w:w="1010" w:type="dxa"/>
            <w:vAlign w:val="center"/>
          </w:tcPr>
          <w:p>
            <w:pPr>
              <w:adjustRightInd w:val="0"/>
              <w:spacing w:line="300" w:lineRule="exact"/>
              <w:jc w:val="center"/>
              <w:rPr>
                <w:b/>
                <w:bCs/>
                <w:color w:val="auto"/>
                <w:sz w:val="21"/>
                <w:szCs w:val="21"/>
              </w:rPr>
            </w:pPr>
            <w:r>
              <w:rPr>
                <w:b/>
                <w:bCs/>
                <w:color w:val="auto"/>
                <w:sz w:val="21"/>
                <w:szCs w:val="21"/>
              </w:rPr>
              <w:t>排放量</w:t>
            </w:r>
          </w:p>
          <w:p>
            <w:pPr>
              <w:adjustRightInd w:val="0"/>
              <w:spacing w:line="300" w:lineRule="exact"/>
              <w:jc w:val="center"/>
              <w:rPr>
                <w:b/>
                <w:bCs/>
                <w:color w:val="auto"/>
                <w:sz w:val="21"/>
                <w:szCs w:val="21"/>
              </w:rPr>
            </w:pPr>
            <w:r>
              <w:rPr>
                <w:b/>
                <w:bCs/>
                <w:color w:val="auto"/>
                <w:sz w:val="21"/>
                <w:szCs w:val="21"/>
              </w:rPr>
              <w:t>（t/a）</w:t>
            </w:r>
          </w:p>
        </w:tc>
        <w:tc>
          <w:tcPr>
            <w:tcW w:w="891" w:type="dxa"/>
            <w:vMerge w:val="continue"/>
            <w:vAlign w:val="center"/>
          </w:tcPr>
          <w:p>
            <w:pPr>
              <w:pStyle w:val="357"/>
              <w:rPr>
                <w:rFonts w:ascii="Times New Roman" w:hAnsi="Times New Roman"/>
                <w:color w:val="auto"/>
                <w:sz w:val="21"/>
                <w:szCs w:val="21"/>
              </w:rPr>
            </w:pPr>
          </w:p>
        </w:tc>
        <w:tc>
          <w:tcPr>
            <w:tcW w:w="1040" w:type="dxa"/>
            <w:vMerge w:val="continue"/>
            <w:vAlign w:val="center"/>
          </w:tcPr>
          <w:p>
            <w:pPr>
              <w:pStyle w:val="357"/>
              <w:rPr>
                <w:rFonts w:ascii="Times New Roman" w:hAnsi="Times New Roman"/>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996" w:type="dxa"/>
            <w:vMerge w:val="restart"/>
            <w:vAlign w:val="center"/>
          </w:tcPr>
          <w:p>
            <w:pPr>
              <w:adjustRightInd w:val="0"/>
              <w:jc w:val="center"/>
              <w:rPr>
                <w:bCs/>
                <w:color w:val="auto"/>
                <w:sz w:val="21"/>
                <w:szCs w:val="21"/>
              </w:rPr>
            </w:pPr>
            <w:r>
              <w:rPr>
                <w:bCs/>
                <w:color w:val="auto"/>
                <w:sz w:val="21"/>
                <w:szCs w:val="21"/>
              </w:rPr>
              <w:t>洗车</w:t>
            </w:r>
          </w:p>
          <w:p>
            <w:pPr>
              <w:adjustRightInd w:val="0"/>
              <w:jc w:val="center"/>
              <w:rPr>
                <w:bCs/>
                <w:color w:val="auto"/>
                <w:sz w:val="21"/>
                <w:szCs w:val="21"/>
              </w:rPr>
            </w:pPr>
            <w:r>
              <w:rPr>
                <w:bCs/>
                <w:color w:val="auto"/>
                <w:sz w:val="21"/>
                <w:szCs w:val="21"/>
              </w:rPr>
              <w:t>废水</w:t>
            </w:r>
          </w:p>
        </w:tc>
        <w:tc>
          <w:tcPr>
            <w:tcW w:w="882" w:type="dxa"/>
            <w:vAlign w:val="center"/>
          </w:tcPr>
          <w:p>
            <w:pPr>
              <w:jc w:val="center"/>
              <w:rPr>
                <w:bCs/>
                <w:color w:val="auto"/>
                <w:sz w:val="21"/>
                <w:szCs w:val="21"/>
              </w:rPr>
            </w:pPr>
            <w:r>
              <w:rPr>
                <w:bCs/>
                <w:color w:val="auto"/>
                <w:sz w:val="21"/>
                <w:szCs w:val="21"/>
              </w:rPr>
              <w:t>废水量</w:t>
            </w:r>
          </w:p>
        </w:tc>
        <w:tc>
          <w:tcPr>
            <w:tcW w:w="2045" w:type="dxa"/>
            <w:gridSpan w:val="2"/>
            <w:vAlign w:val="center"/>
          </w:tcPr>
          <w:p>
            <w:pPr>
              <w:jc w:val="center"/>
              <w:rPr>
                <w:bCs/>
                <w:color w:val="auto"/>
                <w:sz w:val="21"/>
                <w:szCs w:val="21"/>
              </w:rPr>
            </w:pPr>
            <w:r>
              <w:rPr>
                <w:bCs/>
                <w:color w:val="auto"/>
                <w:spacing w:val="2"/>
                <w:sz w:val="21"/>
                <w:szCs w:val="21"/>
              </w:rPr>
              <w:t>1782</w:t>
            </w:r>
            <w:r>
              <w:rPr>
                <w:bCs/>
                <w:color w:val="auto"/>
                <w:sz w:val="21"/>
                <w:szCs w:val="21"/>
              </w:rPr>
              <w:t>m</w:t>
            </w:r>
            <w:r>
              <w:rPr>
                <w:bCs/>
                <w:color w:val="auto"/>
                <w:sz w:val="21"/>
                <w:szCs w:val="21"/>
                <w:vertAlign w:val="superscript"/>
              </w:rPr>
              <w:t>3</w:t>
            </w:r>
            <w:r>
              <w:rPr>
                <w:bCs/>
                <w:color w:val="auto"/>
                <w:sz w:val="21"/>
                <w:szCs w:val="21"/>
              </w:rPr>
              <w:t>/a</w:t>
            </w:r>
          </w:p>
        </w:tc>
        <w:tc>
          <w:tcPr>
            <w:tcW w:w="1493" w:type="dxa"/>
            <w:vMerge w:val="restart"/>
            <w:vAlign w:val="center"/>
          </w:tcPr>
          <w:p>
            <w:pPr>
              <w:adjustRightInd w:val="0"/>
              <w:jc w:val="center"/>
              <w:rPr>
                <w:bCs/>
                <w:color w:val="auto"/>
                <w:sz w:val="21"/>
                <w:szCs w:val="21"/>
              </w:rPr>
            </w:pPr>
            <w:r>
              <w:rPr>
                <w:rFonts w:hint="eastAsia"/>
                <w:bCs/>
                <w:color w:val="auto"/>
                <w:sz w:val="21"/>
                <w:szCs w:val="21"/>
              </w:rPr>
              <w:t>管道收集至机械加速澄清池沉淀+过滤</w:t>
            </w:r>
          </w:p>
        </w:tc>
        <w:tc>
          <w:tcPr>
            <w:tcW w:w="1939" w:type="dxa"/>
            <w:gridSpan w:val="2"/>
            <w:vAlign w:val="center"/>
          </w:tcPr>
          <w:p>
            <w:pPr>
              <w:jc w:val="center"/>
              <w:rPr>
                <w:bCs/>
                <w:color w:val="auto"/>
                <w:sz w:val="21"/>
                <w:szCs w:val="21"/>
              </w:rPr>
            </w:pPr>
            <w:r>
              <w:rPr>
                <w:bCs/>
                <w:color w:val="auto"/>
                <w:spacing w:val="2"/>
                <w:sz w:val="21"/>
                <w:szCs w:val="21"/>
              </w:rPr>
              <w:t>178</w:t>
            </w:r>
            <w:r>
              <w:rPr>
                <w:rFonts w:hint="eastAsia"/>
                <w:bCs/>
                <w:color w:val="auto"/>
                <w:spacing w:val="2"/>
                <w:sz w:val="21"/>
                <w:szCs w:val="21"/>
                <w:lang w:val="en-US" w:eastAsia="zh-CN"/>
              </w:rPr>
              <w:t>1</w:t>
            </w:r>
            <w:r>
              <w:rPr>
                <w:bCs/>
                <w:color w:val="auto"/>
                <w:sz w:val="21"/>
                <w:szCs w:val="21"/>
              </w:rPr>
              <w:t>m</w:t>
            </w:r>
            <w:r>
              <w:rPr>
                <w:bCs/>
                <w:color w:val="auto"/>
                <w:sz w:val="21"/>
                <w:szCs w:val="21"/>
                <w:vertAlign w:val="superscript"/>
              </w:rPr>
              <w:t>3</w:t>
            </w:r>
            <w:r>
              <w:rPr>
                <w:bCs/>
                <w:color w:val="auto"/>
                <w:sz w:val="21"/>
                <w:szCs w:val="21"/>
              </w:rPr>
              <w:t>/a</w:t>
            </w:r>
          </w:p>
        </w:tc>
        <w:tc>
          <w:tcPr>
            <w:tcW w:w="891" w:type="dxa"/>
            <w:vMerge w:val="restart"/>
            <w:vAlign w:val="center"/>
          </w:tcPr>
          <w:p>
            <w:pPr>
              <w:adjustRightInd w:val="0"/>
              <w:jc w:val="center"/>
              <w:rPr>
                <w:bCs/>
                <w:color w:val="auto"/>
                <w:sz w:val="21"/>
                <w:szCs w:val="21"/>
              </w:rPr>
            </w:pPr>
            <w:r>
              <w:rPr>
                <w:bCs/>
                <w:color w:val="auto"/>
                <w:sz w:val="21"/>
                <w:szCs w:val="21"/>
              </w:rPr>
              <w:t>不外排</w:t>
            </w:r>
          </w:p>
        </w:tc>
        <w:tc>
          <w:tcPr>
            <w:tcW w:w="1040" w:type="dxa"/>
            <w:vMerge w:val="restart"/>
            <w:vAlign w:val="center"/>
          </w:tcPr>
          <w:p>
            <w:pPr>
              <w:adjustRightInd w:val="0"/>
              <w:jc w:val="center"/>
              <w:rPr>
                <w:bCs/>
                <w:color w:val="auto"/>
                <w:sz w:val="21"/>
                <w:szCs w:val="21"/>
              </w:rPr>
            </w:pPr>
            <w:r>
              <w:rPr>
                <w:bCs/>
                <w:color w:val="auto"/>
                <w:sz w:val="21"/>
                <w:szCs w:val="21"/>
              </w:rPr>
              <w:t>场内洒水抑尘</w:t>
            </w:r>
            <w:r>
              <w:rPr>
                <w:rFonts w:hint="eastAsia"/>
                <w:bCs/>
                <w:color w:val="auto"/>
                <w:sz w:val="21"/>
                <w:szCs w:val="21"/>
              </w:rPr>
              <w:t>和洗车工序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996" w:type="dxa"/>
            <w:vMerge w:val="continue"/>
            <w:vAlign w:val="center"/>
          </w:tcPr>
          <w:p>
            <w:pPr>
              <w:pStyle w:val="357"/>
              <w:rPr>
                <w:rFonts w:ascii="Times New Roman" w:hAnsi="Times New Roman"/>
                <w:color w:val="auto"/>
                <w:sz w:val="21"/>
                <w:szCs w:val="21"/>
              </w:rPr>
            </w:pPr>
          </w:p>
        </w:tc>
        <w:tc>
          <w:tcPr>
            <w:tcW w:w="882" w:type="dxa"/>
            <w:vAlign w:val="center"/>
          </w:tcPr>
          <w:p>
            <w:pPr>
              <w:adjustRightInd w:val="0"/>
              <w:jc w:val="center"/>
              <w:rPr>
                <w:bCs/>
                <w:color w:val="auto"/>
                <w:sz w:val="21"/>
                <w:szCs w:val="21"/>
              </w:rPr>
            </w:pPr>
            <w:r>
              <w:rPr>
                <w:bCs/>
                <w:color w:val="auto"/>
                <w:sz w:val="21"/>
                <w:szCs w:val="21"/>
              </w:rPr>
              <w:t>SS</w:t>
            </w:r>
          </w:p>
        </w:tc>
        <w:tc>
          <w:tcPr>
            <w:tcW w:w="1033" w:type="dxa"/>
            <w:vAlign w:val="center"/>
          </w:tcPr>
          <w:p>
            <w:pPr>
              <w:jc w:val="center"/>
              <w:rPr>
                <w:bCs/>
                <w:color w:val="auto"/>
                <w:sz w:val="21"/>
                <w:szCs w:val="21"/>
              </w:rPr>
            </w:pPr>
            <w:r>
              <w:rPr>
                <w:bCs/>
                <w:color w:val="auto"/>
                <w:spacing w:val="2"/>
                <w:sz w:val="21"/>
                <w:szCs w:val="21"/>
              </w:rPr>
              <w:t>2000</w:t>
            </w:r>
          </w:p>
        </w:tc>
        <w:tc>
          <w:tcPr>
            <w:tcW w:w="1012" w:type="dxa"/>
            <w:vAlign w:val="center"/>
          </w:tcPr>
          <w:p>
            <w:pPr>
              <w:jc w:val="center"/>
              <w:rPr>
                <w:bCs/>
                <w:color w:val="auto"/>
                <w:sz w:val="21"/>
                <w:szCs w:val="21"/>
              </w:rPr>
            </w:pPr>
            <w:r>
              <w:rPr>
                <w:rFonts w:hint="eastAsia"/>
                <w:color w:val="auto"/>
                <w:sz w:val="21"/>
                <w:szCs w:val="21"/>
              </w:rPr>
              <w:t>3.56</w:t>
            </w:r>
          </w:p>
        </w:tc>
        <w:tc>
          <w:tcPr>
            <w:tcW w:w="1493" w:type="dxa"/>
            <w:vMerge w:val="continue"/>
            <w:vAlign w:val="center"/>
          </w:tcPr>
          <w:p>
            <w:pPr>
              <w:pStyle w:val="357"/>
              <w:rPr>
                <w:rFonts w:ascii="Times New Roman" w:hAnsi="Times New Roman"/>
                <w:color w:val="auto"/>
                <w:sz w:val="21"/>
                <w:szCs w:val="21"/>
              </w:rPr>
            </w:pPr>
          </w:p>
        </w:tc>
        <w:tc>
          <w:tcPr>
            <w:tcW w:w="929" w:type="dxa"/>
            <w:vAlign w:val="center"/>
          </w:tcPr>
          <w:p>
            <w:pPr>
              <w:pStyle w:val="357"/>
              <w:rPr>
                <w:rFonts w:ascii="Times New Roman" w:hAnsi="Times New Roman" w:eastAsiaTheme="minorEastAsia"/>
                <w:color w:val="auto"/>
                <w:sz w:val="21"/>
                <w:szCs w:val="21"/>
              </w:rPr>
            </w:pPr>
            <w:r>
              <w:rPr>
                <w:rFonts w:ascii="Times New Roman" w:hAnsi="Times New Roman" w:eastAsiaTheme="minorEastAsia"/>
                <w:bCs/>
                <w:color w:val="auto"/>
                <w:sz w:val="21"/>
                <w:szCs w:val="21"/>
              </w:rPr>
              <w:t>65</w:t>
            </w:r>
          </w:p>
        </w:tc>
        <w:tc>
          <w:tcPr>
            <w:tcW w:w="1010" w:type="dxa"/>
            <w:vAlign w:val="center"/>
          </w:tcPr>
          <w:p>
            <w:pPr>
              <w:pStyle w:val="357"/>
              <w:spacing w:line="240" w:lineRule="auto"/>
              <w:rPr>
                <w:rFonts w:ascii="Times New Roman" w:hAnsi="Times New Roman" w:eastAsiaTheme="minorEastAsia"/>
                <w:color w:val="auto"/>
                <w:sz w:val="21"/>
                <w:szCs w:val="21"/>
              </w:rPr>
            </w:pPr>
            <w:r>
              <w:rPr>
                <w:rFonts w:ascii="Times New Roman" w:hAnsi="Times New Roman" w:eastAsiaTheme="minorEastAsia"/>
                <w:bCs/>
                <w:color w:val="auto"/>
                <w:sz w:val="21"/>
                <w:szCs w:val="21"/>
              </w:rPr>
              <w:t>0.1</w:t>
            </w:r>
            <w:r>
              <w:rPr>
                <w:rFonts w:hint="eastAsia" w:ascii="Times New Roman" w:hAnsi="Times New Roman" w:eastAsiaTheme="minorEastAsia"/>
                <w:bCs/>
                <w:color w:val="auto"/>
                <w:sz w:val="21"/>
                <w:szCs w:val="21"/>
                <w:lang w:val="en-US" w:eastAsia="zh-CN"/>
              </w:rPr>
              <w:t>16</w:t>
            </w:r>
          </w:p>
        </w:tc>
        <w:tc>
          <w:tcPr>
            <w:tcW w:w="891" w:type="dxa"/>
            <w:vMerge w:val="continue"/>
            <w:vAlign w:val="center"/>
          </w:tcPr>
          <w:p>
            <w:pPr>
              <w:pStyle w:val="357"/>
              <w:rPr>
                <w:rFonts w:ascii="Times New Roman" w:hAnsi="Times New Roman"/>
                <w:color w:val="auto"/>
                <w:sz w:val="21"/>
                <w:szCs w:val="21"/>
              </w:rPr>
            </w:pPr>
          </w:p>
        </w:tc>
        <w:tc>
          <w:tcPr>
            <w:tcW w:w="1040" w:type="dxa"/>
            <w:vMerge w:val="continue"/>
            <w:vAlign w:val="center"/>
          </w:tcPr>
          <w:p>
            <w:pPr>
              <w:adjustRightInd w:val="0"/>
              <w:jc w:val="center"/>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996" w:type="dxa"/>
            <w:vMerge w:val="continue"/>
            <w:vAlign w:val="center"/>
          </w:tcPr>
          <w:p>
            <w:pPr>
              <w:pStyle w:val="357"/>
              <w:rPr>
                <w:rFonts w:ascii="Times New Roman" w:hAnsi="Times New Roman"/>
                <w:color w:val="auto"/>
                <w:sz w:val="21"/>
                <w:szCs w:val="21"/>
              </w:rPr>
            </w:pPr>
          </w:p>
        </w:tc>
        <w:tc>
          <w:tcPr>
            <w:tcW w:w="882" w:type="dxa"/>
            <w:vAlign w:val="center"/>
          </w:tcPr>
          <w:p>
            <w:pPr>
              <w:adjustRightInd w:val="0"/>
              <w:jc w:val="center"/>
              <w:rPr>
                <w:bCs/>
                <w:color w:val="auto"/>
                <w:sz w:val="21"/>
                <w:szCs w:val="21"/>
              </w:rPr>
            </w:pPr>
            <w:r>
              <w:rPr>
                <w:bCs/>
                <w:color w:val="auto"/>
                <w:sz w:val="21"/>
                <w:szCs w:val="21"/>
              </w:rPr>
              <w:t>石油类</w:t>
            </w:r>
          </w:p>
        </w:tc>
        <w:tc>
          <w:tcPr>
            <w:tcW w:w="1033" w:type="dxa"/>
            <w:vAlign w:val="center"/>
          </w:tcPr>
          <w:p>
            <w:pPr>
              <w:jc w:val="center"/>
              <w:rPr>
                <w:color w:val="auto"/>
                <w:sz w:val="21"/>
                <w:szCs w:val="21"/>
              </w:rPr>
            </w:pPr>
            <w:r>
              <w:rPr>
                <w:bCs/>
                <w:color w:val="auto"/>
                <w:spacing w:val="2"/>
                <w:sz w:val="21"/>
                <w:szCs w:val="21"/>
              </w:rPr>
              <w:t>0.05</w:t>
            </w:r>
          </w:p>
        </w:tc>
        <w:tc>
          <w:tcPr>
            <w:tcW w:w="1012" w:type="dxa"/>
            <w:vAlign w:val="center"/>
          </w:tcPr>
          <w:p>
            <w:pPr>
              <w:jc w:val="center"/>
              <w:rPr>
                <w:color w:val="auto"/>
                <w:sz w:val="21"/>
                <w:szCs w:val="21"/>
              </w:rPr>
            </w:pPr>
            <w:r>
              <w:rPr>
                <w:rFonts w:hint="eastAsia"/>
                <w:color w:val="auto"/>
                <w:sz w:val="21"/>
                <w:szCs w:val="21"/>
              </w:rPr>
              <w:t>0.00009</w:t>
            </w:r>
          </w:p>
        </w:tc>
        <w:tc>
          <w:tcPr>
            <w:tcW w:w="1493" w:type="dxa"/>
            <w:vMerge w:val="continue"/>
            <w:vAlign w:val="center"/>
          </w:tcPr>
          <w:p>
            <w:pPr>
              <w:pStyle w:val="357"/>
              <w:rPr>
                <w:rFonts w:ascii="Times New Roman" w:hAnsi="Times New Roman"/>
                <w:color w:val="auto"/>
                <w:sz w:val="21"/>
                <w:szCs w:val="21"/>
              </w:rPr>
            </w:pPr>
          </w:p>
        </w:tc>
        <w:tc>
          <w:tcPr>
            <w:tcW w:w="929" w:type="dxa"/>
            <w:vAlign w:val="center"/>
          </w:tcPr>
          <w:p>
            <w:pPr>
              <w:pStyle w:val="357"/>
              <w:rPr>
                <w:rFonts w:ascii="Times New Roman" w:hAnsi="Times New Roman" w:eastAsiaTheme="minorEastAsia"/>
                <w:color w:val="auto"/>
                <w:sz w:val="21"/>
                <w:szCs w:val="21"/>
              </w:rPr>
            </w:pPr>
            <w:r>
              <w:rPr>
                <w:rFonts w:ascii="Times New Roman" w:hAnsi="Times New Roman" w:eastAsiaTheme="minorEastAsia"/>
                <w:color w:val="auto"/>
                <w:sz w:val="21"/>
                <w:szCs w:val="21"/>
              </w:rPr>
              <w:t>0.02</w:t>
            </w:r>
          </w:p>
        </w:tc>
        <w:tc>
          <w:tcPr>
            <w:tcW w:w="1010" w:type="dxa"/>
            <w:vAlign w:val="center"/>
          </w:tcPr>
          <w:p>
            <w:pPr>
              <w:pStyle w:val="357"/>
              <w:rPr>
                <w:rFonts w:ascii="Times New Roman" w:hAnsi="Times New Roman" w:eastAsiaTheme="minorEastAsia"/>
                <w:color w:val="auto"/>
                <w:sz w:val="21"/>
                <w:szCs w:val="21"/>
              </w:rPr>
            </w:pPr>
            <w:r>
              <w:rPr>
                <w:rFonts w:ascii="Times New Roman" w:hAnsi="Times New Roman" w:eastAsiaTheme="minorEastAsia"/>
                <w:color w:val="auto"/>
                <w:sz w:val="21"/>
                <w:szCs w:val="21"/>
              </w:rPr>
              <w:t>0.00004</w:t>
            </w:r>
          </w:p>
        </w:tc>
        <w:tc>
          <w:tcPr>
            <w:tcW w:w="891" w:type="dxa"/>
            <w:vMerge w:val="continue"/>
            <w:vAlign w:val="center"/>
          </w:tcPr>
          <w:p>
            <w:pPr>
              <w:pStyle w:val="357"/>
              <w:rPr>
                <w:rFonts w:ascii="Times New Roman" w:hAnsi="Times New Roman"/>
                <w:color w:val="auto"/>
                <w:sz w:val="21"/>
                <w:szCs w:val="21"/>
              </w:rPr>
            </w:pPr>
          </w:p>
        </w:tc>
        <w:tc>
          <w:tcPr>
            <w:tcW w:w="1040" w:type="dxa"/>
            <w:vMerge w:val="continue"/>
            <w:vAlign w:val="center"/>
          </w:tcPr>
          <w:p>
            <w:pPr>
              <w:adjustRightInd w:val="0"/>
              <w:jc w:val="center"/>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545" w:hRule="atLeast"/>
        </w:trPr>
        <w:tc>
          <w:tcPr>
            <w:tcW w:w="996" w:type="dxa"/>
            <w:vMerge w:val="restart"/>
            <w:vAlign w:val="center"/>
          </w:tcPr>
          <w:p>
            <w:pPr>
              <w:jc w:val="center"/>
              <w:rPr>
                <w:bCs/>
                <w:color w:val="auto"/>
                <w:sz w:val="21"/>
                <w:szCs w:val="21"/>
              </w:rPr>
            </w:pPr>
            <w:r>
              <w:rPr>
                <w:rFonts w:hint="eastAsia"/>
                <w:bCs/>
                <w:color w:val="auto"/>
                <w:sz w:val="21"/>
                <w:szCs w:val="21"/>
              </w:rPr>
              <w:t>淋溶液</w:t>
            </w:r>
          </w:p>
        </w:tc>
        <w:tc>
          <w:tcPr>
            <w:tcW w:w="882" w:type="dxa"/>
            <w:vAlign w:val="center"/>
          </w:tcPr>
          <w:p>
            <w:pPr>
              <w:jc w:val="center"/>
              <w:rPr>
                <w:bCs/>
                <w:color w:val="auto"/>
                <w:sz w:val="21"/>
                <w:szCs w:val="21"/>
              </w:rPr>
            </w:pPr>
            <w:r>
              <w:rPr>
                <w:color w:val="auto"/>
                <w:kern w:val="0"/>
                <w:sz w:val="21"/>
                <w:szCs w:val="21"/>
              </w:rPr>
              <w:t>废水量</w:t>
            </w:r>
          </w:p>
        </w:tc>
        <w:tc>
          <w:tcPr>
            <w:tcW w:w="2045" w:type="dxa"/>
            <w:gridSpan w:val="2"/>
            <w:vAlign w:val="center"/>
          </w:tcPr>
          <w:p>
            <w:pPr>
              <w:jc w:val="center"/>
              <w:rPr>
                <w:bCs/>
                <w:color w:val="auto"/>
                <w:sz w:val="21"/>
                <w:szCs w:val="21"/>
              </w:rPr>
            </w:pPr>
            <w:r>
              <w:rPr>
                <w:rFonts w:hint="eastAsia"/>
                <w:color w:val="auto"/>
                <w:kern w:val="0"/>
                <w:sz w:val="21"/>
                <w:szCs w:val="21"/>
              </w:rPr>
              <w:t>26413.2</w:t>
            </w:r>
            <w:r>
              <w:rPr>
                <w:bCs/>
                <w:color w:val="auto"/>
                <w:sz w:val="21"/>
                <w:szCs w:val="21"/>
              </w:rPr>
              <w:t xml:space="preserve"> m</w:t>
            </w:r>
            <w:r>
              <w:rPr>
                <w:bCs/>
                <w:color w:val="auto"/>
                <w:sz w:val="21"/>
                <w:szCs w:val="21"/>
                <w:vertAlign w:val="superscript"/>
              </w:rPr>
              <w:t>3</w:t>
            </w:r>
            <w:r>
              <w:rPr>
                <w:bCs/>
                <w:color w:val="auto"/>
                <w:sz w:val="21"/>
                <w:szCs w:val="21"/>
              </w:rPr>
              <w:t>/a</w:t>
            </w:r>
          </w:p>
        </w:tc>
        <w:tc>
          <w:tcPr>
            <w:tcW w:w="1493" w:type="dxa"/>
            <w:vMerge w:val="restart"/>
            <w:vAlign w:val="center"/>
          </w:tcPr>
          <w:p>
            <w:pPr>
              <w:jc w:val="center"/>
              <w:rPr>
                <w:bCs/>
                <w:color w:val="auto"/>
                <w:sz w:val="21"/>
                <w:szCs w:val="21"/>
              </w:rPr>
            </w:pPr>
            <w:r>
              <w:rPr>
                <w:bCs/>
                <w:color w:val="auto"/>
                <w:sz w:val="21"/>
                <w:szCs w:val="21"/>
              </w:rPr>
              <w:t>盲沟+</w:t>
            </w:r>
            <w:r>
              <w:rPr>
                <w:rFonts w:hint="eastAsia"/>
                <w:color w:val="auto"/>
                <w:sz w:val="21"/>
                <w:szCs w:val="21"/>
              </w:rPr>
              <w:t>机械加速澄清池</w:t>
            </w:r>
            <w:r>
              <w:rPr>
                <w:color w:val="auto"/>
                <w:sz w:val="21"/>
                <w:szCs w:val="21"/>
              </w:rPr>
              <w:t>沉淀</w:t>
            </w:r>
            <w:r>
              <w:rPr>
                <w:rFonts w:hint="eastAsia"/>
                <w:color w:val="auto"/>
                <w:sz w:val="21"/>
                <w:szCs w:val="21"/>
              </w:rPr>
              <w:t>+过滤</w:t>
            </w:r>
          </w:p>
        </w:tc>
        <w:tc>
          <w:tcPr>
            <w:tcW w:w="1939" w:type="dxa"/>
            <w:gridSpan w:val="2"/>
            <w:vAlign w:val="center"/>
          </w:tcPr>
          <w:p>
            <w:pPr>
              <w:jc w:val="center"/>
              <w:rPr>
                <w:bCs/>
                <w:color w:val="auto"/>
                <w:sz w:val="21"/>
                <w:szCs w:val="21"/>
              </w:rPr>
            </w:pPr>
            <w:r>
              <w:rPr>
                <w:rFonts w:hint="eastAsia"/>
                <w:color w:val="auto"/>
                <w:kern w:val="0"/>
                <w:sz w:val="21"/>
                <w:szCs w:val="21"/>
              </w:rPr>
              <w:t>264</w:t>
            </w:r>
            <w:r>
              <w:rPr>
                <w:rFonts w:hint="eastAsia"/>
                <w:color w:val="auto"/>
                <w:kern w:val="0"/>
                <w:sz w:val="21"/>
                <w:szCs w:val="21"/>
                <w:lang w:val="en-US" w:eastAsia="zh-CN"/>
              </w:rPr>
              <w:t>01</w:t>
            </w:r>
            <w:r>
              <w:rPr>
                <w:rFonts w:hint="eastAsia"/>
                <w:color w:val="auto"/>
                <w:kern w:val="0"/>
                <w:sz w:val="21"/>
                <w:szCs w:val="21"/>
              </w:rPr>
              <w:t>.2</w:t>
            </w:r>
            <w:r>
              <w:rPr>
                <w:bCs/>
                <w:color w:val="auto"/>
                <w:sz w:val="21"/>
                <w:szCs w:val="21"/>
              </w:rPr>
              <w:t xml:space="preserve"> m</w:t>
            </w:r>
            <w:r>
              <w:rPr>
                <w:bCs/>
                <w:color w:val="auto"/>
                <w:sz w:val="21"/>
                <w:szCs w:val="21"/>
                <w:vertAlign w:val="superscript"/>
              </w:rPr>
              <w:t>3</w:t>
            </w:r>
            <w:r>
              <w:rPr>
                <w:bCs/>
                <w:color w:val="auto"/>
                <w:sz w:val="21"/>
                <w:szCs w:val="21"/>
              </w:rPr>
              <w:t>/a</w:t>
            </w:r>
          </w:p>
        </w:tc>
        <w:tc>
          <w:tcPr>
            <w:tcW w:w="891" w:type="dxa"/>
            <w:vMerge w:val="restart"/>
            <w:vAlign w:val="center"/>
          </w:tcPr>
          <w:p>
            <w:pPr>
              <w:adjustRightInd w:val="0"/>
              <w:jc w:val="center"/>
              <w:rPr>
                <w:bCs/>
                <w:color w:val="auto"/>
                <w:sz w:val="21"/>
                <w:szCs w:val="21"/>
              </w:rPr>
            </w:pPr>
            <w:r>
              <w:rPr>
                <w:bCs/>
                <w:color w:val="auto"/>
                <w:sz w:val="21"/>
                <w:szCs w:val="21"/>
              </w:rPr>
              <w:t>不外排</w:t>
            </w:r>
          </w:p>
        </w:tc>
        <w:tc>
          <w:tcPr>
            <w:tcW w:w="1040" w:type="dxa"/>
            <w:vMerge w:val="continue"/>
            <w:vAlign w:val="center"/>
          </w:tcPr>
          <w:p>
            <w:pPr>
              <w:adjustRightInd w:val="0"/>
              <w:jc w:val="center"/>
              <w:rPr>
                <w:bCs/>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483" w:hRule="atLeast"/>
        </w:trPr>
        <w:tc>
          <w:tcPr>
            <w:tcW w:w="996" w:type="dxa"/>
            <w:vMerge w:val="continue"/>
            <w:vAlign w:val="center"/>
          </w:tcPr>
          <w:p>
            <w:pPr>
              <w:jc w:val="center"/>
              <w:rPr>
                <w:bCs/>
                <w:color w:val="auto"/>
                <w:sz w:val="21"/>
                <w:szCs w:val="21"/>
              </w:rPr>
            </w:pPr>
          </w:p>
        </w:tc>
        <w:tc>
          <w:tcPr>
            <w:tcW w:w="882" w:type="dxa"/>
            <w:vAlign w:val="center"/>
          </w:tcPr>
          <w:p>
            <w:pPr>
              <w:jc w:val="center"/>
              <w:rPr>
                <w:color w:val="auto"/>
                <w:kern w:val="0"/>
                <w:sz w:val="21"/>
                <w:szCs w:val="21"/>
              </w:rPr>
            </w:pPr>
            <w:r>
              <w:rPr>
                <w:rFonts w:hint="eastAsia"/>
                <w:color w:val="auto"/>
                <w:kern w:val="0"/>
                <w:sz w:val="21"/>
                <w:szCs w:val="21"/>
              </w:rPr>
              <w:t>SS</w:t>
            </w:r>
          </w:p>
        </w:tc>
        <w:tc>
          <w:tcPr>
            <w:tcW w:w="1033" w:type="dxa"/>
            <w:vAlign w:val="center"/>
          </w:tcPr>
          <w:p>
            <w:pPr>
              <w:jc w:val="center"/>
              <w:rPr>
                <w:color w:val="auto"/>
                <w:kern w:val="0"/>
                <w:sz w:val="21"/>
                <w:szCs w:val="21"/>
              </w:rPr>
            </w:pPr>
            <w:r>
              <w:rPr>
                <w:rFonts w:hint="eastAsia"/>
                <w:color w:val="auto"/>
                <w:kern w:val="0"/>
                <w:sz w:val="21"/>
                <w:szCs w:val="21"/>
              </w:rPr>
              <w:t>1300</w:t>
            </w:r>
          </w:p>
        </w:tc>
        <w:tc>
          <w:tcPr>
            <w:tcW w:w="1012" w:type="dxa"/>
            <w:vAlign w:val="center"/>
          </w:tcPr>
          <w:p>
            <w:pPr>
              <w:jc w:val="center"/>
              <w:rPr>
                <w:color w:val="auto"/>
                <w:kern w:val="0"/>
                <w:sz w:val="21"/>
                <w:szCs w:val="21"/>
              </w:rPr>
            </w:pPr>
            <w:r>
              <w:rPr>
                <w:rFonts w:hint="eastAsia"/>
                <w:color w:val="auto"/>
                <w:kern w:val="0"/>
                <w:sz w:val="21"/>
                <w:szCs w:val="21"/>
              </w:rPr>
              <w:t>34.34</w:t>
            </w:r>
          </w:p>
        </w:tc>
        <w:tc>
          <w:tcPr>
            <w:tcW w:w="1493" w:type="dxa"/>
            <w:vMerge w:val="continue"/>
            <w:vAlign w:val="center"/>
          </w:tcPr>
          <w:p>
            <w:pPr>
              <w:jc w:val="center"/>
              <w:rPr>
                <w:bCs/>
                <w:color w:val="auto"/>
                <w:sz w:val="21"/>
                <w:szCs w:val="21"/>
              </w:rPr>
            </w:pPr>
          </w:p>
        </w:tc>
        <w:tc>
          <w:tcPr>
            <w:tcW w:w="929" w:type="dxa"/>
            <w:vAlign w:val="center"/>
          </w:tcPr>
          <w:p>
            <w:pPr>
              <w:jc w:val="center"/>
              <w:rPr>
                <w:bCs/>
                <w:color w:val="auto"/>
                <w:sz w:val="21"/>
                <w:szCs w:val="21"/>
              </w:rPr>
            </w:pPr>
            <w:r>
              <w:rPr>
                <w:bCs/>
                <w:color w:val="auto"/>
                <w:sz w:val="21"/>
                <w:szCs w:val="21"/>
              </w:rPr>
              <w:t>65</w:t>
            </w:r>
          </w:p>
        </w:tc>
        <w:tc>
          <w:tcPr>
            <w:tcW w:w="1010" w:type="dxa"/>
            <w:vAlign w:val="center"/>
          </w:tcPr>
          <w:p>
            <w:pPr>
              <w:jc w:val="center"/>
              <w:rPr>
                <w:bCs/>
                <w:color w:val="auto"/>
                <w:sz w:val="21"/>
                <w:szCs w:val="21"/>
              </w:rPr>
            </w:pPr>
            <w:r>
              <w:rPr>
                <w:rFonts w:hint="eastAsia"/>
                <w:bCs/>
                <w:color w:val="auto"/>
                <w:sz w:val="21"/>
                <w:szCs w:val="21"/>
              </w:rPr>
              <w:t>1.</w:t>
            </w:r>
            <w:r>
              <w:rPr>
                <w:bCs/>
                <w:color w:val="auto"/>
                <w:sz w:val="21"/>
                <w:szCs w:val="21"/>
              </w:rPr>
              <w:t>72</w:t>
            </w:r>
          </w:p>
        </w:tc>
        <w:tc>
          <w:tcPr>
            <w:tcW w:w="891" w:type="dxa"/>
            <w:vMerge w:val="continue"/>
            <w:vAlign w:val="center"/>
          </w:tcPr>
          <w:p>
            <w:pPr>
              <w:adjustRightInd w:val="0"/>
              <w:jc w:val="center"/>
              <w:rPr>
                <w:bCs/>
                <w:color w:val="auto"/>
                <w:sz w:val="21"/>
                <w:szCs w:val="21"/>
              </w:rPr>
            </w:pPr>
          </w:p>
        </w:tc>
        <w:tc>
          <w:tcPr>
            <w:tcW w:w="1040" w:type="dxa"/>
            <w:vMerge w:val="continue"/>
            <w:vAlign w:val="center"/>
          </w:tcPr>
          <w:p>
            <w:pPr>
              <w:adjustRightInd w:val="0"/>
              <w:jc w:val="center"/>
              <w:rPr>
                <w:bCs/>
                <w:color w:val="auto"/>
                <w:sz w:val="21"/>
                <w:szCs w:val="21"/>
              </w:rPr>
            </w:pPr>
          </w:p>
        </w:tc>
      </w:tr>
    </w:tbl>
    <w:p>
      <w:pPr>
        <w:rPr>
          <w:color w:val="auto"/>
        </w:rPr>
      </w:pPr>
    </w:p>
    <w:p>
      <w:pPr>
        <w:rPr>
          <w:b/>
          <w:color w:val="auto"/>
        </w:rPr>
      </w:pPr>
      <w:r>
        <w:rPr>
          <w:rFonts w:hint="eastAsia"/>
          <w:b/>
          <w:color w:val="auto"/>
        </w:rPr>
        <w:t>3.</w:t>
      </w:r>
      <w:r>
        <w:rPr>
          <w:rFonts w:hint="eastAsia"/>
          <w:b/>
          <w:color w:val="auto"/>
          <w:lang w:val="en-US" w:eastAsia="zh-CN"/>
        </w:rPr>
        <w:t>3</w:t>
      </w:r>
      <w:r>
        <w:rPr>
          <w:rFonts w:hint="eastAsia"/>
          <w:b/>
          <w:color w:val="auto"/>
        </w:rPr>
        <w:t>.2.3</w:t>
      </w:r>
      <w:r>
        <w:rPr>
          <w:b/>
          <w:color w:val="auto"/>
        </w:rPr>
        <w:t>噪声污染源</w:t>
      </w:r>
    </w:p>
    <w:p>
      <w:pPr>
        <w:spacing w:line="360" w:lineRule="auto"/>
        <w:ind w:firstLine="480" w:firstLineChars="200"/>
        <w:rPr>
          <w:color w:val="auto"/>
        </w:rPr>
      </w:pPr>
      <w:r>
        <w:rPr>
          <w:color w:val="auto"/>
        </w:rPr>
        <w:t>本项目的高噪声设备主要有推土机、自卸卡车等，噪声源强在80～90dB（A）之间，项目高噪声设备声源值及治理措施见表</w:t>
      </w:r>
      <w:r>
        <w:rPr>
          <w:rFonts w:hint="eastAsia"/>
          <w:color w:val="auto"/>
        </w:rPr>
        <w:t>3.</w:t>
      </w:r>
      <w:r>
        <w:rPr>
          <w:rFonts w:hint="eastAsia"/>
          <w:color w:val="auto"/>
          <w:lang w:val="en-US" w:eastAsia="zh-CN"/>
        </w:rPr>
        <w:t>3</w:t>
      </w:r>
      <w:r>
        <w:rPr>
          <w:rFonts w:hint="eastAsia"/>
          <w:color w:val="auto"/>
        </w:rPr>
        <w:t>-17</w:t>
      </w:r>
      <w:r>
        <w:rPr>
          <w:color w:val="auto"/>
        </w:rPr>
        <w:t>。</w:t>
      </w:r>
    </w:p>
    <w:p>
      <w:pPr>
        <w:pStyle w:val="357"/>
        <w:rPr>
          <w:rFonts w:ascii="Times New Roman" w:hAnsi="Times New Roman" w:eastAsiaTheme="minorEastAsia"/>
          <w:b/>
          <w:color w:val="auto"/>
        </w:rPr>
      </w:pPr>
      <w:r>
        <w:rPr>
          <w:rFonts w:ascii="Times New Roman" w:hAnsi="Times New Roman" w:eastAsiaTheme="minorEastAsia"/>
          <w:b/>
          <w:color w:val="auto"/>
        </w:rPr>
        <w:t>表</w:t>
      </w:r>
      <w:r>
        <w:rPr>
          <w:rFonts w:hint="eastAsia" w:ascii="Times New Roman" w:hAnsi="Times New Roman" w:eastAsiaTheme="minorEastAsia"/>
          <w:b/>
          <w:color w:val="auto"/>
        </w:rPr>
        <w:t>3.</w:t>
      </w:r>
      <w:r>
        <w:rPr>
          <w:rFonts w:hint="eastAsia" w:ascii="Times New Roman" w:hAnsi="Times New Roman" w:eastAsiaTheme="minorEastAsia"/>
          <w:b/>
          <w:color w:val="auto"/>
          <w:lang w:val="en-US" w:eastAsia="zh-CN"/>
        </w:rPr>
        <w:t>3</w:t>
      </w:r>
      <w:r>
        <w:rPr>
          <w:rFonts w:hint="eastAsia" w:ascii="Times New Roman" w:hAnsi="Times New Roman" w:eastAsiaTheme="minorEastAsia"/>
          <w:b/>
          <w:color w:val="auto"/>
        </w:rPr>
        <w:t>-17</w:t>
      </w:r>
      <w:r>
        <w:rPr>
          <w:rFonts w:ascii="Times New Roman" w:hAnsi="Times New Roman" w:eastAsiaTheme="minorEastAsia"/>
          <w:b/>
          <w:color w:val="auto"/>
        </w:rPr>
        <w:t xml:space="preserve">  高噪声设备源强及治理措施表   单位：dB(A)</w:t>
      </w:r>
    </w:p>
    <w:tbl>
      <w:tblPr>
        <w:tblStyle w:val="53"/>
        <w:tblpPr w:leftFromText="180" w:rightFromText="180" w:vertAnchor="text" w:tblpXSpec="center" w:tblpY="1"/>
        <w:tblOverlap w:val="never"/>
        <w:tblW w:w="8123"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22"/>
        <w:gridCol w:w="1573"/>
        <w:gridCol w:w="1483"/>
        <w:gridCol w:w="2210"/>
        <w:gridCol w:w="223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782" w:hRule="atLeast"/>
        </w:trPr>
        <w:tc>
          <w:tcPr>
            <w:tcW w:w="622" w:type="dxa"/>
            <w:vAlign w:val="center"/>
          </w:tcPr>
          <w:p>
            <w:pPr>
              <w:spacing w:line="360" w:lineRule="exact"/>
              <w:jc w:val="center"/>
              <w:rPr>
                <w:b/>
                <w:color w:val="auto"/>
                <w:sz w:val="21"/>
                <w:szCs w:val="21"/>
              </w:rPr>
            </w:pPr>
            <w:r>
              <w:rPr>
                <w:b/>
                <w:color w:val="auto"/>
                <w:sz w:val="21"/>
                <w:szCs w:val="21"/>
              </w:rPr>
              <w:t>序号</w:t>
            </w:r>
          </w:p>
        </w:tc>
        <w:tc>
          <w:tcPr>
            <w:tcW w:w="1573" w:type="dxa"/>
            <w:vAlign w:val="center"/>
          </w:tcPr>
          <w:p>
            <w:pPr>
              <w:spacing w:line="360" w:lineRule="exact"/>
              <w:jc w:val="center"/>
              <w:rPr>
                <w:b/>
                <w:color w:val="auto"/>
                <w:sz w:val="21"/>
                <w:szCs w:val="21"/>
              </w:rPr>
            </w:pPr>
            <w:r>
              <w:rPr>
                <w:b/>
                <w:color w:val="auto"/>
                <w:sz w:val="21"/>
                <w:szCs w:val="21"/>
              </w:rPr>
              <w:t>噪声源名称</w:t>
            </w:r>
          </w:p>
        </w:tc>
        <w:tc>
          <w:tcPr>
            <w:tcW w:w="1483" w:type="dxa"/>
            <w:vAlign w:val="center"/>
          </w:tcPr>
          <w:p>
            <w:pPr>
              <w:spacing w:line="360" w:lineRule="exact"/>
              <w:jc w:val="center"/>
              <w:rPr>
                <w:b/>
                <w:color w:val="auto"/>
                <w:sz w:val="21"/>
                <w:szCs w:val="21"/>
              </w:rPr>
            </w:pPr>
            <w:r>
              <w:rPr>
                <w:b/>
                <w:color w:val="auto"/>
                <w:sz w:val="21"/>
                <w:szCs w:val="21"/>
              </w:rPr>
              <w:t>产生源强</w:t>
            </w:r>
          </w:p>
          <w:p>
            <w:pPr>
              <w:spacing w:line="360" w:lineRule="exact"/>
              <w:jc w:val="center"/>
              <w:rPr>
                <w:b/>
                <w:color w:val="auto"/>
                <w:sz w:val="21"/>
                <w:szCs w:val="21"/>
              </w:rPr>
            </w:pPr>
            <w:r>
              <w:rPr>
                <w:b/>
                <w:color w:val="auto"/>
                <w:sz w:val="21"/>
                <w:szCs w:val="21"/>
              </w:rPr>
              <w:t>dB（A）</w:t>
            </w:r>
          </w:p>
        </w:tc>
        <w:tc>
          <w:tcPr>
            <w:tcW w:w="2210" w:type="dxa"/>
            <w:vAlign w:val="center"/>
          </w:tcPr>
          <w:p>
            <w:pPr>
              <w:spacing w:line="360" w:lineRule="exact"/>
              <w:jc w:val="center"/>
              <w:rPr>
                <w:b/>
                <w:color w:val="auto"/>
                <w:sz w:val="21"/>
                <w:szCs w:val="21"/>
              </w:rPr>
            </w:pPr>
            <w:r>
              <w:rPr>
                <w:b/>
                <w:color w:val="auto"/>
                <w:sz w:val="21"/>
                <w:szCs w:val="21"/>
              </w:rPr>
              <w:t>治理措施</w:t>
            </w:r>
          </w:p>
        </w:tc>
        <w:tc>
          <w:tcPr>
            <w:tcW w:w="2235" w:type="dxa"/>
            <w:vAlign w:val="center"/>
          </w:tcPr>
          <w:p>
            <w:pPr>
              <w:spacing w:line="360" w:lineRule="exact"/>
              <w:jc w:val="center"/>
              <w:rPr>
                <w:b/>
                <w:color w:val="auto"/>
                <w:sz w:val="21"/>
                <w:szCs w:val="21"/>
              </w:rPr>
            </w:pPr>
            <w:r>
              <w:rPr>
                <w:b/>
                <w:color w:val="auto"/>
                <w:sz w:val="21"/>
                <w:szCs w:val="21"/>
              </w:rPr>
              <w:t>采取措施后排放源强dB（A）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86" w:hRule="atLeast"/>
        </w:trPr>
        <w:tc>
          <w:tcPr>
            <w:tcW w:w="622" w:type="dxa"/>
            <w:vAlign w:val="center"/>
          </w:tcPr>
          <w:p>
            <w:pPr>
              <w:spacing w:line="360" w:lineRule="exact"/>
              <w:jc w:val="center"/>
              <w:rPr>
                <w:color w:val="auto"/>
                <w:sz w:val="21"/>
                <w:szCs w:val="21"/>
              </w:rPr>
            </w:pPr>
            <w:r>
              <w:rPr>
                <w:color w:val="auto"/>
                <w:sz w:val="21"/>
                <w:szCs w:val="21"/>
              </w:rPr>
              <w:t>1</w:t>
            </w:r>
          </w:p>
        </w:tc>
        <w:tc>
          <w:tcPr>
            <w:tcW w:w="1573" w:type="dxa"/>
            <w:vAlign w:val="center"/>
          </w:tcPr>
          <w:p>
            <w:pPr>
              <w:spacing w:line="360" w:lineRule="exact"/>
              <w:jc w:val="center"/>
              <w:rPr>
                <w:color w:val="auto"/>
                <w:sz w:val="21"/>
                <w:szCs w:val="21"/>
              </w:rPr>
            </w:pPr>
            <w:r>
              <w:rPr>
                <w:color w:val="auto"/>
                <w:sz w:val="21"/>
                <w:szCs w:val="21"/>
              </w:rPr>
              <w:t>推土机</w:t>
            </w:r>
          </w:p>
        </w:tc>
        <w:tc>
          <w:tcPr>
            <w:tcW w:w="1483" w:type="dxa"/>
            <w:vAlign w:val="center"/>
          </w:tcPr>
          <w:p>
            <w:pPr>
              <w:spacing w:line="360" w:lineRule="exact"/>
              <w:jc w:val="center"/>
              <w:rPr>
                <w:color w:val="auto"/>
                <w:sz w:val="21"/>
                <w:szCs w:val="21"/>
              </w:rPr>
            </w:pPr>
            <w:r>
              <w:rPr>
                <w:color w:val="auto"/>
                <w:sz w:val="21"/>
                <w:szCs w:val="21"/>
              </w:rPr>
              <w:t>85~90</w:t>
            </w:r>
          </w:p>
        </w:tc>
        <w:tc>
          <w:tcPr>
            <w:tcW w:w="2210" w:type="dxa"/>
            <w:vAlign w:val="center"/>
          </w:tcPr>
          <w:p>
            <w:pPr>
              <w:spacing w:line="360" w:lineRule="exact"/>
              <w:jc w:val="center"/>
              <w:rPr>
                <w:color w:val="auto"/>
                <w:sz w:val="21"/>
                <w:szCs w:val="21"/>
              </w:rPr>
            </w:pPr>
            <w:r>
              <w:rPr>
                <w:color w:val="auto"/>
                <w:sz w:val="21"/>
                <w:szCs w:val="21"/>
              </w:rPr>
              <w:t>减震、隔声</w:t>
            </w:r>
          </w:p>
        </w:tc>
        <w:tc>
          <w:tcPr>
            <w:tcW w:w="2235" w:type="dxa"/>
            <w:vAlign w:val="center"/>
          </w:tcPr>
          <w:p>
            <w:pPr>
              <w:spacing w:line="360" w:lineRule="exact"/>
              <w:jc w:val="center"/>
              <w:rPr>
                <w:color w:val="auto"/>
                <w:sz w:val="21"/>
                <w:szCs w:val="21"/>
              </w:rPr>
            </w:pPr>
            <w:r>
              <w:rPr>
                <w:color w:val="auto"/>
                <w:sz w:val="21"/>
                <w:szCs w:val="21"/>
              </w:rPr>
              <w:t>70~75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86" w:hRule="atLeast"/>
        </w:trPr>
        <w:tc>
          <w:tcPr>
            <w:tcW w:w="622" w:type="dxa"/>
            <w:vAlign w:val="center"/>
          </w:tcPr>
          <w:p>
            <w:pPr>
              <w:spacing w:line="360" w:lineRule="exact"/>
              <w:jc w:val="center"/>
              <w:rPr>
                <w:color w:val="auto"/>
                <w:sz w:val="21"/>
                <w:szCs w:val="21"/>
              </w:rPr>
            </w:pPr>
            <w:r>
              <w:rPr>
                <w:color w:val="auto"/>
                <w:sz w:val="21"/>
                <w:szCs w:val="21"/>
              </w:rPr>
              <w:t>2</w:t>
            </w:r>
          </w:p>
        </w:tc>
        <w:tc>
          <w:tcPr>
            <w:tcW w:w="1573" w:type="dxa"/>
            <w:vAlign w:val="center"/>
          </w:tcPr>
          <w:p>
            <w:pPr>
              <w:spacing w:line="360" w:lineRule="exact"/>
              <w:jc w:val="center"/>
              <w:rPr>
                <w:color w:val="auto"/>
                <w:sz w:val="21"/>
                <w:szCs w:val="21"/>
              </w:rPr>
            </w:pPr>
            <w:r>
              <w:rPr>
                <w:color w:val="auto"/>
                <w:sz w:val="21"/>
                <w:szCs w:val="21"/>
              </w:rPr>
              <w:t>推土碾压机</w:t>
            </w:r>
          </w:p>
        </w:tc>
        <w:tc>
          <w:tcPr>
            <w:tcW w:w="1483" w:type="dxa"/>
            <w:vAlign w:val="center"/>
          </w:tcPr>
          <w:p>
            <w:pPr>
              <w:spacing w:line="360" w:lineRule="exact"/>
              <w:jc w:val="center"/>
              <w:rPr>
                <w:color w:val="auto"/>
                <w:sz w:val="21"/>
                <w:szCs w:val="21"/>
              </w:rPr>
            </w:pPr>
            <w:r>
              <w:rPr>
                <w:color w:val="auto"/>
                <w:sz w:val="21"/>
                <w:szCs w:val="21"/>
              </w:rPr>
              <w:t>85~90</w:t>
            </w:r>
          </w:p>
        </w:tc>
        <w:tc>
          <w:tcPr>
            <w:tcW w:w="2210" w:type="dxa"/>
            <w:vAlign w:val="center"/>
          </w:tcPr>
          <w:p>
            <w:pPr>
              <w:spacing w:line="360" w:lineRule="exact"/>
              <w:jc w:val="center"/>
              <w:rPr>
                <w:color w:val="auto"/>
                <w:sz w:val="21"/>
                <w:szCs w:val="21"/>
              </w:rPr>
            </w:pPr>
            <w:r>
              <w:rPr>
                <w:color w:val="auto"/>
                <w:sz w:val="21"/>
                <w:szCs w:val="21"/>
              </w:rPr>
              <w:t>减震、隔声</w:t>
            </w:r>
          </w:p>
        </w:tc>
        <w:tc>
          <w:tcPr>
            <w:tcW w:w="2235" w:type="dxa"/>
            <w:vAlign w:val="center"/>
          </w:tcPr>
          <w:p>
            <w:pPr>
              <w:spacing w:line="360" w:lineRule="exact"/>
              <w:jc w:val="center"/>
              <w:rPr>
                <w:color w:val="auto"/>
                <w:sz w:val="21"/>
                <w:szCs w:val="21"/>
              </w:rPr>
            </w:pPr>
            <w:r>
              <w:rPr>
                <w:color w:val="auto"/>
                <w:sz w:val="21"/>
                <w:szCs w:val="21"/>
              </w:rPr>
              <w:t>70~75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86" w:hRule="atLeast"/>
        </w:trPr>
        <w:tc>
          <w:tcPr>
            <w:tcW w:w="622" w:type="dxa"/>
            <w:vAlign w:val="center"/>
          </w:tcPr>
          <w:p>
            <w:pPr>
              <w:spacing w:line="360" w:lineRule="exact"/>
              <w:jc w:val="center"/>
              <w:rPr>
                <w:color w:val="auto"/>
                <w:sz w:val="21"/>
                <w:szCs w:val="21"/>
              </w:rPr>
            </w:pPr>
            <w:r>
              <w:rPr>
                <w:color w:val="auto"/>
                <w:sz w:val="21"/>
                <w:szCs w:val="21"/>
              </w:rPr>
              <w:t>3</w:t>
            </w:r>
          </w:p>
        </w:tc>
        <w:tc>
          <w:tcPr>
            <w:tcW w:w="1573" w:type="dxa"/>
            <w:vAlign w:val="center"/>
          </w:tcPr>
          <w:p>
            <w:pPr>
              <w:spacing w:line="360" w:lineRule="exact"/>
              <w:jc w:val="center"/>
              <w:rPr>
                <w:color w:val="auto"/>
                <w:sz w:val="21"/>
                <w:szCs w:val="21"/>
              </w:rPr>
            </w:pPr>
            <w:r>
              <w:rPr>
                <w:color w:val="auto"/>
                <w:sz w:val="21"/>
                <w:szCs w:val="21"/>
              </w:rPr>
              <w:t>自卸卡车</w:t>
            </w:r>
          </w:p>
        </w:tc>
        <w:tc>
          <w:tcPr>
            <w:tcW w:w="1483" w:type="dxa"/>
            <w:vAlign w:val="center"/>
          </w:tcPr>
          <w:p>
            <w:pPr>
              <w:spacing w:line="360" w:lineRule="exact"/>
              <w:jc w:val="center"/>
              <w:rPr>
                <w:color w:val="auto"/>
                <w:sz w:val="21"/>
                <w:szCs w:val="21"/>
              </w:rPr>
            </w:pPr>
            <w:r>
              <w:rPr>
                <w:color w:val="auto"/>
                <w:sz w:val="21"/>
                <w:szCs w:val="21"/>
              </w:rPr>
              <w:t>80~85</w:t>
            </w:r>
          </w:p>
        </w:tc>
        <w:tc>
          <w:tcPr>
            <w:tcW w:w="2210" w:type="dxa"/>
            <w:vAlign w:val="center"/>
          </w:tcPr>
          <w:p>
            <w:pPr>
              <w:spacing w:line="360" w:lineRule="exact"/>
              <w:jc w:val="center"/>
              <w:rPr>
                <w:color w:val="auto"/>
                <w:sz w:val="21"/>
                <w:szCs w:val="21"/>
              </w:rPr>
            </w:pPr>
            <w:r>
              <w:rPr>
                <w:color w:val="auto"/>
                <w:sz w:val="21"/>
                <w:szCs w:val="21"/>
              </w:rPr>
              <w:t>减震、隔声</w:t>
            </w:r>
          </w:p>
        </w:tc>
        <w:tc>
          <w:tcPr>
            <w:tcW w:w="2235" w:type="dxa"/>
            <w:vAlign w:val="center"/>
          </w:tcPr>
          <w:p>
            <w:pPr>
              <w:spacing w:line="360" w:lineRule="exact"/>
              <w:jc w:val="center"/>
              <w:rPr>
                <w:color w:val="auto"/>
                <w:sz w:val="21"/>
                <w:szCs w:val="21"/>
              </w:rPr>
            </w:pPr>
            <w:r>
              <w:rPr>
                <w:color w:val="auto"/>
                <w:sz w:val="21"/>
                <w:szCs w:val="21"/>
              </w:rPr>
              <w:t>65~70</w:t>
            </w:r>
          </w:p>
        </w:tc>
      </w:tr>
    </w:tbl>
    <w:p>
      <w:pPr>
        <w:pStyle w:val="5"/>
        <w:spacing w:line="360" w:lineRule="auto"/>
        <w:ind w:firstLine="480"/>
        <w:rPr>
          <w:color w:val="auto"/>
        </w:rPr>
      </w:pPr>
    </w:p>
    <w:p>
      <w:pPr>
        <w:pStyle w:val="5"/>
        <w:spacing w:line="360" w:lineRule="auto"/>
        <w:ind w:firstLine="480"/>
        <w:rPr>
          <w:color w:val="auto"/>
        </w:rPr>
      </w:pPr>
      <w:r>
        <w:rPr>
          <w:color w:val="auto"/>
        </w:rPr>
        <w:t>由上表可知，通过设备选型，并对高噪声设备采取源强控制、减振和隔声等治理措施，源强可削减至65~75dB(A)。</w:t>
      </w:r>
    </w:p>
    <w:p>
      <w:pPr>
        <w:pStyle w:val="5"/>
        <w:spacing w:line="360" w:lineRule="auto"/>
        <w:ind w:firstLine="480"/>
        <w:rPr>
          <w:color w:val="auto"/>
        </w:rPr>
      </w:pPr>
      <w:r>
        <w:rPr>
          <w:color w:val="auto"/>
        </w:rPr>
        <w:t>环评建议：</w:t>
      </w:r>
    </w:p>
    <w:p>
      <w:pPr>
        <w:pStyle w:val="5"/>
        <w:spacing w:line="360" w:lineRule="auto"/>
        <w:ind w:firstLine="480"/>
        <w:rPr>
          <w:color w:val="auto"/>
        </w:rPr>
      </w:pPr>
      <w:r>
        <w:rPr>
          <w:color w:val="auto"/>
        </w:rPr>
        <w:t>（1）进入场区的建筑垃圾运输车辆应限速缓行，并且禁鸣喇叭；</w:t>
      </w:r>
    </w:p>
    <w:p>
      <w:pPr>
        <w:pStyle w:val="5"/>
        <w:spacing w:line="360" w:lineRule="auto"/>
        <w:ind w:firstLine="480"/>
        <w:rPr>
          <w:color w:val="auto"/>
        </w:rPr>
      </w:pPr>
      <w:r>
        <w:rPr>
          <w:color w:val="auto"/>
        </w:rPr>
        <w:t>（2）在项目厂界四周种植树木，对噪声进行阻隔；</w:t>
      </w:r>
    </w:p>
    <w:p>
      <w:pPr>
        <w:pStyle w:val="5"/>
        <w:spacing w:line="360" w:lineRule="auto"/>
        <w:ind w:firstLine="480"/>
        <w:rPr>
          <w:color w:val="auto"/>
        </w:rPr>
      </w:pPr>
      <w:r>
        <w:rPr>
          <w:color w:val="auto"/>
        </w:rPr>
        <w:t>（3）尽量采用先进低噪声设备，对产生噪声的设备应加强维护和维修工作</w:t>
      </w:r>
      <w:r>
        <w:rPr>
          <w:rFonts w:hint="eastAsia"/>
          <w:color w:val="auto"/>
        </w:rPr>
        <w:t>。</w:t>
      </w:r>
    </w:p>
    <w:p>
      <w:pPr>
        <w:spacing w:line="360" w:lineRule="auto"/>
        <w:rPr>
          <w:b/>
          <w:color w:val="auto"/>
        </w:rPr>
      </w:pPr>
      <w:r>
        <w:rPr>
          <w:rFonts w:hint="eastAsia"/>
          <w:b/>
          <w:color w:val="auto"/>
        </w:rPr>
        <w:t>3.</w:t>
      </w:r>
      <w:r>
        <w:rPr>
          <w:rFonts w:hint="eastAsia"/>
          <w:b/>
          <w:color w:val="auto"/>
          <w:lang w:val="en-US" w:eastAsia="zh-CN"/>
        </w:rPr>
        <w:t>3</w:t>
      </w:r>
      <w:r>
        <w:rPr>
          <w:rFonts w:hint="eastAsia"/>
          <w:b/>
          <w:color w:val="auto"/>
        </w:rPr>
        <w:t>.2.4</w:t>
      </w:r>
      <w:r>
        <w:rPr>
          <w:b/>
          <w:color w:val="auto"/>
        </w:rPr>
        <w:t>固体废物</w:t>
      </w:r>
    </w:p>
    <w:p>
      <w:pPr>
        <w:pStyle w:val="5"/>
        <w:spacing w:line="360" w:lineRule="auto"/>
        <w:ind w:firstLine="480"/>
        <w:rPr>
          <w:color w:val="auto"/>
        </w:rPr>
      </w:pPr>
      <w:r>
        <w:rPr>
          <w:rFonts w:hint="eastAsia"/>
          <w:color w:val="auto"/>
        </w:rPr>
        <w:t>建筑垃圾消纳场</w:t>
      </w:r>
      <w:r>
        <w:rPr>
          <w:color w:val="auto"/>
        </w:rPr>
        <w:t>产生固废主要</w:t>
      </w:r>
      <w:r>
        <w:rPr>
          <w:rFonts w:hint="eastAsia"/>
          <w:color w:val="auto"/>
        </w:rPr>
        <w:t>为</w:t>
      </w:r>
      <w:r>
        <w:rPr>
          <w:color w:val="auto"/>
        </w:rPr>
        <w:t>沉淀池沉沙。</w:t>
      </w:r>
    </w:p>
    <w:p>
      <w:pPr>
        <w:pStyle w:val="5"/>
        <w:spacing w:line="360" w:lineRule="auto"/>
        <w:ind w:firstLine="480"/>
        <w:rPr>
          <w:color w:val="auto"/>
        </w:rPr>
      </w:pPr>
      <w:r>
        <w:rPr>
          <w:rFonts w:hint="eastAsia"/>
          <w:color w:val="auto"/>
        </w:rPr>
        <w:t>建筑垃圾消纳场产生的洗车废水和淋溶液经收集后由机械加速澄清池沉淀、过滤后回用，过程中会产生一定的沉淀池沉沙，收集经板框压滤机脱除一定水分后，</w:t>
      </w:r>
      <w:r>
        <w:rPr>
          <w:color w:val="auto"/>
        </w:rPr>
        <w:t>填埋进</w:t>
      </w:r>
      <w:r>
        <w:rPr>
          <w:rFonts w:hint="eastAsia"/>
          <w:color w:val="auto"/>
        </w:rPr>
        <w:t>建筑垃圾消纳场，根据机械加速澄清池处理前后的SS浓度以及处理水量计算可得，经板框压滤机脱水后的沉淀池沉沙约为36.</w:t>
      </w:r>
      <w:r>
        <w:rPr>
          <w:rFonts w:hint="eastAsia"/>
          <w:color w:val="auto"/>
          <w:lang w:val="en-US" w:eastAsia="zh-CN"/>
        </w:rPr>
        <w:t>06</w:t>
      </w:r>
      <w:r>
        <w:rPr>
          <w:rFonts w:hint="eastAsia"/>
          <w:color w:val="auto"/>
        </w:rPr>
        <w:t>t/a，</w:t>
      </w:r>
    </w:p>
    <w:p>
      <w:pPr>
        <w:spacing w:line="360" w:lineRule="auto"/>
        <w:ind w:left="568"/>
        <w:rPr>
          <w:color w:val="auto"/>
        </w:rPr>
      </w:pPr>
      <w:r>
        <w:rPr>
          <w:color w:val="auto"/>
        </w:rPr>
        <w:t>营运期固废的产生及排放情况汇总见表</w:t>
      </w:r>
      <w:r>
        <w:rPr>
          <w:rFonts w:hint="eastAsia"/>
          <w:color w:val="auto"/>
        </w:rPr>
        <w:t>3.</w:t>
      </w:r>
      <w:r>
        <w:rPr>
          <w:rFonts w:hint="eastAsia"/>
          <w:color w:val="auto"/>
          <w:lang w:val="en-US" w:eastAsia="zh-CN"/>
        </w:rPr>
        <w:t>3</w:t>
      </w:r>
      <w:r>
        <w:rPr>
          <w:rFonts w:hint="eastAsia"/>
          <w:color w:val="auto"/>
        </w:rPr>
        <w:t>-18</w:t>
      </w:r>
      <w:r>
        <w:rPr>
          <w:color w:val="auto"/>
        </w:rPr>
        <w:t>。</w:t>
      </w:r>
    </w:p>
    <w:p>
      <w:pPr>
        <w:pStyle w:val="357"/>
        <w:ind w:left="928"/>
        <w:rPr>
          <w:rFonts w:ascii="Times New Roman" w:hAnsi="Times New Roman" w:eastAsiaTheme="minorEastAsia"/>
          <w:b/>
          <w:color w:val="auto"/>
        </w:rPr>
      </w:pPr>
      <w:r>
        <w:rPr>
          <w:rFonts w:ascii="Times New Roman" w:hAnsi="Times New Roman" w:eastAsiaTheme="minorEastAsia"/>
          <w:b/>
          <w:color w:val="auto"/>
        </w:rPr>
        <w:t>表</w:t>
      </w:r>
      <w:r>
        <w:rPr>
          <w:rFonts w:hint="eastAsia" w:ascii="Times New Roman" w:hAnsi="Times New Roman" w:eastAsiaTheme="minorEastAsia"/>
          <w:b/>
          <w:color w:val="auto"/>
        </w:rPr>
        <w:t>3.</w:t>
      </w:r>
      <w:r>
        <w:rPr>
          <w:rFonts w:hint="eastAsia" w:ascii="Times New Roman" w:hAnsi="Times New Roman" w:eastAsiaTheme="minorEastAsia"/>
          <w:b/>
          <w:color w:val="auto"/>
          <w:lang w:val="en-US" w:eastAsia="zh-CN"/>
        </w:rPr>
        <w:t>3</w:t>
      </w:r>
      <w:r>
        <w:rPr>
          <w:rFonts w:hint="eastAsia" w:ascii="Times New Roman" w:hAnsi="Times New Roman" w:eastAsiaTheme="minorEastAsia"/>
          <w:b/>
          <w:color w:val="auto"/>
        </w:rPr>
        <w:t>-18</w:t>
      </w:r>
      <w:r>
        <w:rPr>
          <w:rFonts w:ascii="Times New Roman" w:hAnsi="Times New Roman" w:eastAsiaTheme="minorEastAsia"/>
          <w:b/>
          <w:color w:val="auto"/>
        </w:rPr>
        <w:t xml:space="preserve">  </w:t>
      </w:r>
      <w:r>
        <w:rPr>
          <w:rFonts w:hint="eastAsia" w:ascii="Times New Roman" w:hAnsi="Times New Roman" w:eastAsiaTheme="minorEastAsia"/>
          <w:b/>
          <w:color w:val="auto"/>
        </w:rPr>
        <w:t>建筑垃圾消纳场</w:t>
      </w:r>
      <w:r>
        <w:rPr>
          <w:rFonts w:ascii="Times New Roman" w:hAnsi="Times New Roman" w:eastAsiaTheme="minorEastAsia"/>
          <w:b/>
          <w:color w:val="auto"/>
        </w:rPr>
        <w:t>一般固废产生情况一览表</w:t>
      </w:r>
    </w:p>
    <w:tbl>
      <w:tblPr>
        <w:tblStyle w:val="53"/>
        <w:tblpPr w:leftFromText="180" w:rightFromText="180" w:vertAnchor="text" w:tblpY="1"/>
        <w:tblOverlap w:val="never"/>
        <w:tblW w:w="890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57" w:type="dxa"/>
          <w:left w:w="85" w:type="dxa"/>
          <w:bottom w:w="57" w:type="dxa"/>
          <w:right w:w="85" w:type="dxa"/>
        </w:tblCellMar>
      </w:tblPr>
      <w:tblGrid>
        <w:gridCol w:w="2270"/>
        <w:gridCol w:w="1509"/>
        <w:gridCol w:w="1307"/>
        <w:gridCol w:w="1036"/>
        <w:gridCol w:w="1155"/>
        <w:gridCol w:w="16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57" w:type="dxa"/>
            <w:left w:w="85" w:type="dxa"/>
            <w:bottom w:w="57" w:type="dxa"/>
            <w:right w:w="85" w:type="dxa"/>
          </w:tblCellMar>
        </w:tblPrEx>
        <w:trPr>
          <w:trHeight w:val="253" w:hRule="atLeast"/>
          <w:tblHeader/>
        </w:trPr>
        <w:tc>
          <w:tcPr>
            <w:tcW w:w="2270" w:type="dxa"/>
            <w:vAlign w:val="center"/>
          </w:tcPr>
          <w:p>
            <w:pPr>
              <w:pStyle w:val="5"/>
              <w:spacing w:line="240" w:lineRule="exact"/>
              <w:ind w:firstLine="0" w:firstLineChars="0"/>
              <w:jc w:val="center"/>
              <w:rPr>
                <w:b/>
                <w:bCs/>
                <w:color w:val="auto"/>
                <w:sz w:val="21"/>
                <w:szCs w:val="21"/>
              </w:rPr>
            </w:pPr>
            <w:r>
              <w:rPr>
                <w:b/>
                <w:bCs/>
                <w:color w:val="auto"/>
                <w:sz w:val="21"/>
                <w:szCs w:val="21"/>
              </w:rPr>
              <w:t>项目名称</w:t>
            </w:r>
          </w:p>
        </w:tc>
        <w:tc>
          <w:tcPr>
            <w:tcW w:w="1509" w:type="dxa"/>
            <w:vAlign w:val="center"/>
          </w:tcPr>
          <w:p>
            <w:pPr>
              <w:pStyle w:val="5"/>
              <w:spacing w:line="240" w:lineRule="exact"/>
              <w:ind w:firstLine="0" w:firstLineChars="0"/>
              <w:jc w:val="center"/>
              <w:rPr>
                <w:b/>
                <w:bCs/>
                <w:color w:val="auto"/>
                <w:sz w:val="21"/>
                <w:szCs w:val="21"/>
              </w:rPr>
            </w:pPr>
            <w:r>
              <w:rPr>
                <w:b/>
                <w:bCs/>
                <w:color w:val="auto"/>
                <w:sz w:val="21"/>
                <w:szCs w:val="21"/>
              </w:rPr>
              <w:t>主要成分</w:t>
            </w:r>
          </w:p>
        </w:tc>
        <w:tc>
          <w:tcPr>
            <w:tcW w:w="1307" w:type="dxa"/>
            <w:vAlign w:val="center"/>
          </w:tcPr>
          <w:p>
            <w:pPr>
              <w:pStyle w:val="5"/>
              <w:spacing w:line="240" w:lineRule="exact"/>
              <w:ind w:firstLine="0" w:firstLineChars="0"/>
              <w:jc w:val="center"/>
              <w:rPr>
                <w:b/>
                <w:bCs/>
                <w:color w:val="auto"/>
                <w:sz w:val="21"/>
                <w:szCs w:val="21"/>
              </w:rPr>
            </w:pPr>
            <w:r>
              <w:rPr>
                <w:b/>
                <w:bCs/>
                <w:color w:val="auto"/>
                <w:sz w:val="21"/>
                <w:szCs w:val="21"/>
              </w:rPr>
              <w:t>产生量（t/a）</w:t>
            </w:r>
          </w:p>
        </w:tc>
        <w:tc>
          <w:tcPr>
            <w:tcW w:w="1036" w:type="dxa"/>
            <w:vAlign w:val="center"/>
          </w:tcPr>
          <w:p>
            <w:pPr>
              <w:pStyle w:val="5"/>
              <w:spacing w:line="240" w:lineRule="exact"/>
              <w:ind w:firstLine="0" w:firstLineChars="0"/>
              <w:jc w:val="center"/>
              <w:rPr>
                <w:b/>
                <w:bCs/>
                <w:color w:val="auto"/>
                <w:sz w:val="21"/>
                <w:szCs w:val="21"/>
              </w:rPr>
            </w:pPr>
            <w:r>
              <w:rPr>
                <w:b/>
                <w:bCs/>
                <w:color w:val="auto"/>
                <w:sz w:val="21"/>
                <w:szCs w:val="21"/>
              </w:rPr>
              <w:t>形态</w:t>
            </w:r>
          </w:p>
        </w:tc>
        <w:tc>
          <w:tcPr>
            <w:tcW w:w="1155" w:type="dxa"/>
            <w:vAlign w:val="center"/>
          </w:tcPr>
          <w:p>
            <w:pPr>
              <w:pStyle w:val="5"/>
              <w:spacing w:line="240" w:lineRule="exact"/>
              <w:ind w:firstLine="0" w:firstLineChars="0"/>
              <w:jc w:val="center"/>
              <w:rPr>
                <w:b/>
                <w:bCs/>
                <w:color w:val="auto"/>
                <w:sz w:val="21"/>
                <w:szCs w:val="21"/>
              </w:rPr>
            </w:pPr>
            <w:r>
              <w:rPr>
                <w:b/>
                <w:bCs/>
                <w:color w:val="auto"/>
                <w:sz w:val="21"/>
                <w:szCs w:val="21"/>
              </w:rPr>
              <w:t>固废性质</w:t>
            </w:r>
          </w:p>
        </w:tc>
        <w:tc>
          <w:tcPr>
            <w:tcW w:w="1623" w:type="dxa"/>
            <w:vAlign w:val="center"/>
          </w:tcPr>
          <w:p>
            <w:pPr>
              <w:pStyle w:val="5"/>
              <w:spacing w:line="240" w:lineRule="exact"/>
              <w:ind w:firstLine="0" w:firstLineChars="0"/>
              <w:jc w:val="center"/>
              <w:rPr>
                <w:b/>
                <w:bCs/>
                <w:color w:val="auto"/>
                <w:sz w:val="21"/>
                <w:szCs w:val="21"/>
              </w:rPr>
            </w:pPr>
            <w:r>
              <w:rPr>
                <w:b/>
                <w:bCs/>
                <w:color w:val="auto"/>
                <w:sz w:val="21"/>
                <w:szCs w:val="21"/>
              </w:rPr>
              <w:t>处理处置措施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57" w:type="dxa"/>
            <w:left w:w="85" w:type="dxa"/>
            <w:bottom w:w="57" w:type="dxa"/>
            <w:right w:w="85" w:type="dxa"/>
          </w:tblCellMar>
        </w:tblPrEx>
        <w:trPr>
          <w:trHeight w:val="409" w:hRule="atLeast"/>
        </w:trPr>
        <w:tc>
          <w:tcPr>
            <w:tcW w:w="2270" w:type="dxa"/>
            <w:vAlign w:val="center"/>
          </w:tcPr>
          <w:p>
            <w:pPr>
              <w:pStyle w:val="5"/>
              <w:spacing w:line="240" w:lineRule="exact"/>
              <w:ind w:firstLine="0" w:firstLineChars="0"/>
              <w:jc w:val="center"/>
              <w:rPr>
                <w:bCs/>
                <w:color w:val="auto"/>
                <w:sz w:val="21"/>
                <w:szCs w:val="21"/>
              </w:rPr>
            </w:pPr>
            <w:r>
              <w:rPr>
                <w:rFonts w:hint="eastAsia"/>
                <w:color w:val="auto"/>
                <w:sz w:val="21"/>
                <w:szCs w:val="21"/>
              </w:rPr>
              <w:t>淋溶液</w:t>
            </w:r>
            <w:r>
              <w:rPr>
                <w:color w:val="auto"/>
                <w:sz w:val="21"/>
                <w:szCs w:val="21"/>
              </w:rPr>
              <w:t>沉淀池沉沙</w:t>
            </w:r>
          </w:p>
        </w:tc>
        <w:tc>
          <w:tcPr>
            <w:tcW w:w="1509" w:type="dxa"/>
            <w:vAlign w:val="center"/>
          </w:tcPr>
          <w:p>
            <w:pPr>
              <w:jc w:val="center"/>
              <w:rPr>
                <w:color w:val="auto"/>
                <w:sz w:val="21"/>
                <w:szCs w:val="21"/>
              </w:rPr>
            </w:pPr>
            <w:r>
              <w:rPr>
                <w:bCs/>
                <w:color w:val="auto"/>
                <w:sz w:val="21"/>
                <w:szCs w:val="21"/>
              </w:rPr>
              <w:t>沉淀物</w:t>
            </w:r>
          </w:p>
        </w:tc>
        <w:tc>
          <w:tcPr>
            <w:tcW w:w="1307" w:type="dxa"/>
            <w:vAlign w:val="center"/>
          </w:tcPr>
          <w:p>
            <w:pPr>
              <w:pStyle w:val="5"/>
              <w:spacing w:line="240" w:lineRule="exact"/>
              <w:ind w:firstLine="0" w:firstLineChars="0"/>
              <w:jc w:val="center"/>
              <w:rPr>
                <w:bCs/>
                <w:color w:val="auto"/>
                <w:sz w:val="21"/>
                <w:szCs w:val="21"/>
              </w:rPr>
            </w:pPr>
            <w:r>
              <w:rPr>
                <w:rFonts w:hint="eastAsia"/>
                <w:color w:val="auto"/>
                <w:sz w:val="21"/>
                <w:szCs w:val="21"/>
              </w:rPr>
              <w:t>36.</w:t>
            </w:r>
            <w:r>
              <w:rPr>
                <w:color w:val="auto"/>
                <w:sz w:val="21"/>
                <w:szCs w:val="21"/>
              </w:rPr>
              <w:t>06</w:t>
            </w:r>
          </w:p>
        </w:tc>
        <w:tc>
          <w:tcPr>
            <w:tcW w:w="1036" w:type="dxa"/>
            <w:vAlign w:val="center"/>
          </w:tcPr>
          <w:p>
            <w:pPr>
              <w:pStyle w:val="5"/>
              <w:spacing w:line="240" w:lineRule="exact"/>
              <w:ind w:firstLine="0" w:firstLineChars="0"/>
              <w:jc w:val="center"/>
              <w:rPr>
                <w:bCs/>
                <w:color w:val="auto"/>
                <w:sz w:val="21"/>
                <w:szCs w:val="21"/>
              </w:rPr>
            </w:pPr>
            <w:r>
              <w:rPr>
                <w:bCs/>
                <w:color w:val="auto"/>
                <w:sz w:val="21"/>
                <w:szCs w:val="21"/>
              </w:rPr>
              <w:t>固体</w:t>
            </w:r>
          </w:p>
        </w:tc>
        <w:tc>
          <w:tcPr>
            <w:tcW w:w="1155" w:type="dxa"/>
            <w:vAlign w:val="center"/>
          </w:tcPr>
          <w:p>
            <w:pPr>
              <w:pStyle w:val="5"/>
              <w:spacing w:line="240" w:lineRule="exact"/>
              <w:ind w:firstLine="0" w:firstLineChars="0"/>
              <w:jc w:val="center"/>
              <w:rPr>
                <w:bCs/>
                <w:color w:val="auto"/>
                <w:sz w:val="21"/>
                <w:szCs w:val="21"/>
              </w:rPr>
            </w:pPr>
            <w:r>
              <w:rPr>
                <w:bCs/>
                <w:color w:val="auto"/>
                <w:sz w:val="21"/>
                <w:szCs w:val="21"/>
              </w:rPr>
              <w:t>一般</w:t>
            </w:r>
            <w:r>
              <w:rPr>
                <w:rFonts w:hint="eastAsia"/>
                <w:bCs/>
                <w:color w:val="auto"/>
                <w:sz w:val="21"/>
                <w:szCs w:val="21"/>
              </w:rPr>
              <w:t>工业</w:t>
            </w:r>
            <w:r>
              <w:rPr>
                <w:bCs/>
                <w:color w:val="auto"/>
                <w:sz w:val="21"/>
                <w:szCs w:val="21"/>
              </w:rPr>
              <w:t>固废</w:t>
            </w:r>
          </w:p>
        </w:tc>
        <w:tc>
          <w:tcPr>
            <w:tcW w:w="1623" w:type="dxa"/>
            <w:vAlign w:val="center"/>
          </w:tcPr>
          <w:p>
            <w:pPr>
              <w:jc w:val="center"/>
              <w:rPr>
                <w:color w:val="auto"/>
                <w:sz w:val="21"/>
                <w:szCs w:val="21"/>
              </w:rPr>
            </w:pPr>
            <w:r>
              <w:rPr>
                <w:rFonts w:hint="eastAsia"/>
                <w:color w:val="auto"/>
                <w:sz w:val="21"/>
                <w:szCs w:val="21"/>
              </w:rPr>
              <w:t>消纳场</w:t>
            </w:r>
            <w:r>
              <w:rPr>
                <w:color w:val="auto"/>
                <w:sz w:val="21"/>
                <w:szCs w:val="21"/>
              </w:rPr>
              <w:t>填埋</w:t>
            </w:r>
          </w:p>
        </w:tc>
      </w:tr>
    </w:tbl>
    <w:p>
      <w:pPr>
        <w:spacing w:line="360" w:lineRule="auto"/>
        <w:ind w:firstLine="480" w:firstLineChars="200"/>
        <w:rPr>
          <w:color w:val="auto"/>
        </w:rPr>
        <w:sectPr>
          <w:pgSz w:w="11906" w:h="16838"/>
          <w:pgMar w:top="1418" w:right="1418" w:bottom="1418" w:left="1418" w:header="851" w:footer="992" w:gutter="0"/>
          <w:pgNumType w:fmt="decimal"/>
          <w:cols w:space="425" w:num="1"/>
          <w:docGrid w:type="lines" w:linePitch="326" w:charSpace="0"/>
        </w:sectPr>
      </w:pPr>
      <w:r>
        <w:rPr>
          <w:color w:val="auto"/>
        </w:rPr>
        <w:t>由表</w:t>
      </w:r>
      <w:r>
        <w:rPr>
          <w:rFonts w:hint="eastAsia"/>
          <w:color w:val="auto"/>
        </w:rPr>
        <w:t>3.</w:t>
      </w:r>
      <w:r>
        <w:rPr>
          <w:rFonts w:hint="eastAsia"/>
          <w:color w:val="auto"/>
          <w:lang w:val="en-US" w:eastAsia="zh-CN"/>
        </w:rPr>
        <w:t>3</w:t>
      </w:r>
      <w:r>
        <w:rPr>
          <w:rFonts w:hint="eastAsia"/>
          <w:color w:val="auto"/>
        </w:rPr>
        <w:t>-18</w:t>
      </w:r>
      <w:r>
        <w:rPr>
          <w:color w:val="auto"/>
        </w:rPr>
        <w:t>可知，本项目产生的各项固体废物经采取上述措施后均能得到妥善处置，不会对周围环境造成二次污染</w:t>
      </w:r>
      <w:bookmarkEnd w:id="324"/>
      <w:r>
        <w:rPr>
          <w:rFonts w:hint="eastAsia"/>
          <w:color w:val="auto"/>
        </w:rPr>
        <w:t>。</w:t>
      </w:r>
    </w:p>
    <w:p>
      <w:pPr>
        <w:pStyle w:val="3"/>
        <w:numPr>
          <w:ilvl w:val="0"/>
          <w:numId w:val="0"/>
        </w:numPr>
        <w:tabs>
          <w:tab w:val="clear" w:pos="680"/>
        </w:tabs>
        <w:ind w:left="576" w:hanging="576"/>
        <w:rPr>
          <w:rFonts w:ascii="Times New Roman"/>
          <w:bCs/>
          <w:color w:val="auto"/>
        </w:rPr>
      </w:pPr>
      <w:bookmarkStart w:id="325" w:name="_Toc23263160"/>
      <w:bookmarkStart w:id="326" w:name="_Toc483263307"/>
      <w:bookmarkStart w:id="327" w:name="_Toc26192"/>
      <w:bookmarkStart w:id="328" w:name="_Toc24136764"/>
      <w:bookmarkStart w:id="329" w:name="_Toc14943318"/>
      <w:r>
        <w:rPr>
          <w:rFonts w:hint="eastAsia" w:ascii="Times New Roman"/>
          <w:bCs/>
          <w:color w:val="auto"/>
          <w:lang w:eastAsia="zh-CN"/>
        </w:rPr>
        <w:t>3</w:t>
      </w:r>
      <w:r>
        <w:rPr>
          <w:rFonts w:ascii="Times New Roman"/>
          <w:bCs/>
          <w:color w:val="auto"/>
          <w:lang w:eastAsia="zh-CN"/>
        </w:rPr>
        <w:t>.</w:t>
      </w:r>
      <w:r>
        <w:rPr>
          <w:rFonts w:hint="eastAsia" w:ascii="Times New Roman"/>
          <w:bCs/>
          <w:color w:val="auto"/>
          <w:lang w:val="en-US" w:eastAsia="zh-CN"/>
        </w:rPr>
        <w:t>4</w:t>
      </w:r>
      <w:r>
        <w:rPr>
          <w:rFonts w:ascii="Times New Roman"/>
          <w:bCs/>
          <w:color w:val="auto"/>
        </w:rPr>
        <w:t>非正常工况下</w:t>
      </w:r>
      <w:r>
        <w:rPr>
          <w:rFonts w:hint="eastAsia" w:ascii="Times New Roman"/>
          <w:bCs/>
          <w:color w:val="auto"/>
          <w:lang w:eastAsia="zh-CN"/>
        </w:rPr>
        <w:t>主要大气</w:t>
      </w:r>
      <w:r>
        <w:rPr>
          <w:rFonts w:ascii="Times New Roman"/>
          <w:bCs/>
          <w:color w:val="auto"/>
        </w:rPr>
        <w:t>污染物排放量</w:t>
      </w:r>
      <w:bookmarkEnd w:id="325"/>
      <w:bookmarkEnd w:id="326"/>
      <w:bookmarkEnd w:id="327"/>
      <w:bookmarkEnd w:id="328"/>
      <w:bookmarkEnd w:id="329"/>
    </w:p>
    <w:p>
      <w:pPr>
        <w:autoSpaceDE w:val="0"/>
        <w:autoSpaceDN w:val="0"/>
        <w:adjustRightInd w:val="0"/>
        <w:spacing w:line="360" w:lineRule="auto"/>
        <w:ind w:firstLine="480" w:firstLineChars="200"/>
        <w:rPr>
          <w:rFonts w:ascii="宋体" w:cs="宋体"/>
          <w:color w:val="auto"/>
          <w:kern w:val="0"/>
        </w:rPr>
      </w:pPr>
      <w:r>
        <w:rPr>
          <w:color w:val="auto"/>
          <w:kern w:val="0"/>
        </w:rPr>
        <w:t>本项目</w:t>
      </w:r>
      <w:r>
        <w:rPr>
          <w:rFonts w:hint="eastAsia"/>
          <w:color w:val="auto"/>
        </w:rPr>
        <w:t>非正常排放主要发生在环保设备不能正常运营而导致污染物事故排放，当废气处理设施出现故障时，即便采取紧急停车措施，也需约半小时才能实现，这段时间废气就会呈现事故性排放。根据本项目项目废气处理系统的设计情况，可能发生的废气处理设施故障为</w:t>
      </w:r>
      <w:r>
        <w:rPr>
          <w:rFonts w:hint="eastAsia"/>
          <w:color w:val="auto"/>
          <w:kern w:val="0"/>
        </w:rPr>
        <w:t>餐厨垃圾处理项目恶臭处理设施故障，导致臭气事故排放</w:t>
      </w:r>
      <w:r>
        <w:rPr>
          <w:rFonts w:hint="eastAsia" w:ascii="宋体" w:cs="宋体"/>
          <w:color w:val="auto"/>
          <w:kern w:val="0"/>
        </w:rPr>
        <w:t>。</w:t>
      </w:r>
      <w:r>
        <w:rPr>
          <w:rFonts w:hint="eastAsia"/>
          <w:color w:val="auto"/>
        </w:rPr>
        <w:t>从发现至停车，持续时间约30min。</w:t>
      </w:r>
    </w:p>
    <w:p>
      <w:pPr>
        <w:spacing w:line="360" w:lineRule="auto"/>
        <w:ind w:firstLine="480"/>
        <w:rPr>
          <w:color w:val="auto"/>
        </w:rPr>
      </w:pPr>
      <w:r>
        <w:rPr>
          <w:rFonts w:hint="eastAsia"/>
          <w:color w:val="auto"/>
        </w:rPr>
        <w:t>对于非正常排放，废气最大事故源强按各废气处理系统处理效率为0时计，具体见下表。</w:t>
      </w:r>
    </w:p>
    <w:p>
      <w:pPr>
        <w:ind w:firstLine="482"/>
        <w:jc w:val="center"/>
        <w:rPr>
          <w:b/>
          <w:color w:val="auto"/>
        </w:rPr>
      </w:pPr>
      <w:r>
        <w:rPr>
          <w:rFonts w:hint="eastAsia"/>
          <w:b/>
          <w:color w:val="auto"/>
        </w:rPr>
        <w:t>表3.</w:t>
      </w:r>
      <w:r>
        <w:rPr>
          <w:rFonts w:hint="eastAsia"/>
          <w:b/>
          <w:color w:val="auto"/>
          <w:lang w:val="en-US" w:eastAsia="zh-CN"/>
        </w:rPr>
        <w:t>4</w:t>
      </w:r>
      <w:r>
        <w:rPr>
          <w:rFonts w:hint="eastAsia"/>
          <w:b/>
          <w:color w:val="auto"/>
        </w:rPr>
        <w:t>-1  废气污染物最大事故排放源强核定一览表</w:t>
      </w:r>
    </w:p>
    <w:tbl>
      <w:tblPr>
        <w:tblStyle w:val="54"/>
        <w:tblW w:w="928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8"/>
        <w:gridCol w:w="1710"/>
        <w:gridCol w:w="1176"/>
        <w:gridCol w:w="1441"/>
        <w:gridCol w:w="1296"/>
        <w:gridCol w:w="1332"/>
        <w:gridCol w:w="15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4" w:hRule="atLeast"/>
          <w:tblHeader/>
          <w:jc w:val="center"/>
        </w:trPr>
        <w:tc>
          <w:tcPr>
            <w:tcW w:w="758" w:type="dxa"/>
            <w:vAlign w:val="center"/>
          </w:tcPr>
          <w:p>
            <w:pPr>
              <w:autoSpaceDE w:val="0"/>
              <w:autoSpaceDN w:val="0"/>
              <w:jc w:val="center"/>
              <w:textAlignment w:val="baseline"/>
              <w:rPr>
                <w:b/>
                <w:color w:val="auto"/>
                <w:sz w:val="21"/>
                <w:szCs w:val="21"/>
              </w:rPr>
            </w:pPr>
            <w:r>
              <w:rPr>
                <w:rFonts w:hint="eastAsia"/>
                <w:b/>
                <w:color w:val="auto"/>
                <w:sz w:val="21"/>
                <w:szCs w:val="21"/>
              </w:rPr>
              <w:t>序号</w:t>
            </w:r>
          </w:p>
        </w:tc>
        <w:tc>
          <w:tcPr>
            <w:tcW w:w="2886" w:type="dxa"/>
            <w:gridSpan w:val="2"/>
            <w:vAlign w:val="center"/>
          </w:tcPr>
          <w:p>
            <w:pPr>
              <w:autoSpaceDE w:val="0"/>
              <w:autoSpaceDN w:val="0"/>
              <w:jc w:val="center"/>
              <w:textAlignment w:val="baseline"/>
              <w:rPr>
                <w:b/>
                <w:color w:val="auto"/>
                <w:sz w:val="21"/>
                <w:szCs w:val="21"/>
              </w:rPr>
            </w:pPr>
            <w:r>
              <w:rPr>
                <w:rFonts w:hint="eastAsia"/>
                <w:b/>
                <w:color w:val="auto"/>
                <w:sz w:val="21"/>
                <w:szCs w:val="21"/>
              </w:rPr>
              <w:t>污染源</w:t>
            </w:r>
          </w:p>
        </w:tc>
        <w:tc>
          <w:tcPr>
            <w:tcW w:w="1441" w:type="dxa"/>
            <w:vAlign w:val="center"/>
          </w:tcPr>
          <w:p>
            <w:pPr>
              <w:autoSpaceDE w:val="0"/>
              <w:autoSpaceDN w:val="0"/>
              <w:jc w:val="center"/>
              <w:textAlignment w:val="baseline"/>
              <w:rPr>
                <w:b/>
                <w:color w:val="auto"/>
                <w:sz w:val="21"/>
                <w:szCs w:val="21"/>
              </w:rPr>
            </w:pPr>
            <w:r>
              <w:rPr>
                <w:rFonts w:hint="eastAsia"/>
                <w:b/>
                <w:color w:val="auto"/>
                <w:sz w:val="21"/>
                <w:szCs w:val="21"/>
              </w:rPr>
              <w:t>非正常排放原因</w:t>
            </w:r>
          </w:p>
        </w:tc>
        <w:tc>
          <w:tcPr>
            <w:tcW w:w="1296" w:type="dxa"/>
            <w:vAlign w:val="center"/>
          </w:tcPr>
          <w:p>
            <w:pPr>
              <w:autoSpaceDE w:val="0"/>
              <w:autoSpaceDN w:val="0"/>
              <w:jc w:val="center"/>
              <w:textAlignment w:val="baseline"/>
              <w:rPr>
                <w:b/>
                <w:color w:val="auto"/>
                <w:sz w:val="21"/>
                <w:szCs w:val="21"/>
              </w:rPr>
            </w:pPr>
            <w:r>
              <w:rPr>
                <w:rFonts w:hint="eastAsia"/>
                <w:b/>
                <w:color w:val="auto"/>
                <w:sz w:val="21"/>
                <w:szCs w:val="21"/>
              </w:rPr>
              <w:t>污染物</w:t>
            </w:r>
          </w:p>
        </w:tc>
        <w:tc>
          <w:tcPr>
            <w:tcW w:w="1332" w:type="dxa"/>
            <w:vAlign w:val="center"/>
          </w:tcPr>
          <w:p>
            <w:pPr>
              <w:autoSpaceDE w:val="0"/>
              <w:autoSpaceDN w:val="0"/>
              <w:jc w:val="center"/>
              <w:textAlignment w:val="baseline"/>
              <w:rPr>
                <w:b/>
                <w:color w:val="auto"/>
                <w:sz w:val="21"/>
                <w:szCs w:val="21"/>
              </w:rPr>
            </w:pPr>
            <w:r>
              <w:rPr>
                <w:rFonts w:hint="eastAsia"/>
                <w:b/>
                <w:color w:val="auto"/>
                <w:sz w:val="21"/>
                <w:szCs w:val="21"/>
              </w:rPr>
              <w:t>非正常排放浓度（mg/m</w:t>
            </w:r>
            <w:r>
              <w:rPr>
                <w:rFonts w:hint="eastAsia"/>
                <w:b/>
                <w:color w:val="auto"/>
                <w:sz w:val="21"/>
                <w:szCs w:val="21"/>
                <w:vertAlign w:val="superscript"/>
              </w:rPr>
              <w:t>3</w:t>
            </w:r>
            <w:r>
              <w:rPr>
                <w:rFonts w:hint="eastAsia"/>
                <w:b/>
                <w:color w:val="auto"/>
                <w:sz w:val="21"/>
                <w:szCs w:val="21"/>
              </w:rPr>
              <w:t>）</w:t>
            </w:r>
          </w:p>
        </w:tc>
        <w:tc>
          <w:tcPr>
            <w:tcW w:w="1573" w:type="dxa"/>
            <w:vAlign w:val="center"/>
          </w:tcPr>
          <w:p>
            <w:pPr>
              <w:autoSpaceDE w:val="0"/>
              <w:autoSpaceDN w:val="0"/>
              <w:jc w:val="center"/>
              <w:textAlignment w:val="baseline"/>
              <w:rPr>
                <w:b/>
                <w:color w:val="auto"/>
                <w:sz w:val="21"/>
                <w:szCs w:val="21"/>
              </w:rPr>
            </w:pPr>
            <w:r>
              <w:rPr>
                <w:rFonts w:hint="eastAsia"/>
                <w:b/>
                <w:color w:val="auto"/>
                <w:sz w:val="21"/>
                <w:szCs w:val="21"/>
              </w:rPr>
              <w:t>非正常排放速率（kg/h）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38" w:hRule="atLeast"/>
          <w:jc w:val="center"/>
        </w:trPr>
        <w:tc>
          <w:tcPr>
            <w:tcW w:w="758" w:type="dxa"/>
            <w:vMerge w:val="restart"/>
            <w:vAlign w:val="center"/>
          </w:tcPr>
          <w:p>
            <w:pPr>
              <w:autoSpaceDE w:val="0"/>
              <w:autoSpaceDN w:val="0"/>
              <w:jc w:val="center"/>
              <w:textAlignment w:val="baseline"/>
              <w:rPr>
                <w:color w:val="auto"/>
                <w:sz w:val="21"/>
                <w:szCs w:val="21"/>
              </w:rPr>
            </w:pPr>
            <w:r>
              <w:rPr>
                <w:rFonts w:hint="eastAsia"/>
                <w:color w:val="auto"/>
                <w:sz w:val="21"/>
                <w:szCs w:val="21"/>
              </w:rPr>
              <w:t>1</w:t>
            </w:r>
          </w:p>
        </w:tc>
        <w:tc>
          <w:tcPr>
            <w:tcW w:w="1710" w:type="dxa"/>
            <w:vMerge w:val="restart"/>
            <w:vAlign w:val="center"/>
          </w:tcPr>
          <w:p>
            <w:pPr>
              <w:autoSpaceDE w:val="0"/>
              <w:autoSpaceDN w:val="0"/>
              <w:jc w:val="center"/>
              <w:textAlignment w:val="baseline"/>
              <w:rPr>
                <w:color w:val="auto"/>
                <w:sz w:val="21"/>
                <w:szCs w:val="21"/>
              </w:rPr>
            </w:pPr>
            <w:r>
              <w:rPr>
                <w:rFonts w:hint="eastAsia"/>
                <w:color w:val="auto"/>
                <w:sz w:val="21"/>
                <w:szCs w:val="21"/>
              </w:rPr>
              <w:t>餐厨垃圾卸料间、接料斗、破碎机、油水分离机等设备、整体车间</w:t>
            </w:r>
          </w:p>
        </w:tc>
        <w:tc>
          <w:tcPr>
            <w:tcW w:w="1176" w:type="dxa"/>
            <w:vMerge w:val="restart"/>
            <w:vAlign w:val="center"/>
          </w:tcPr>
          <w:p>
            <w:pPr>
              <w:autoSpaceDE w:val="0"/>
              <w:autoSpaceDN w:val="0"/>
              <w:jc w:val="center"/>
              <w:textAlignment w:val="baseline"/>
              <w:rPr>
                <w:color w:val="auto"/>
                <w:sz w:val="21"/>
                <w:szCs w:val="21"/>
              </w:rPr>
            </w:pPr>
            <w:r>
              <w:rPr>
                <w:rFonts w:hint="eastAsia" w:eastAsiaTheme="minorEastAsia"/>
                <w:color w:val="auto"/>
                <w:sz w:val="21"/>
                <w:szCs w:val="21"/>
              </w:rPr>
              <w:t>FQ-05</w:t>
            </w:r>
          </w:p>
        </w:tc>
        <w:tc>
          <w:tcPr>
            <w:tcW w:w="1441" w:type="dxa"/>
            <w:vMerge w:val="restart"/>
            <w:vAlign w:val="center"/>
          </w:tcPr>
          <w:p>
            <w:pPr>
              <w:autoSpaceDE w:val="0"/>
              <w:autoSpaceDN w:val="0"/>
              <w:jc w:val="center"/>
              <w:textAlignment w:val="baseline"/>
              <w:rPr>
                <w:color w:val="auto"/>
                <w:sz w:val="21"/>
                <w:szCs w:val="21"/>
              </w:rPr>
            </w:pPr>
            <w:r>
              <w:rPr>
                <w:rFonts w:hint="eastAsia"/>
                <w:color w:val="auto"/>
                <w:sz w:val="21"/>
                <w:szCs w:val="21"/>
              </w:rPr>
              <w:t>废气处理设施故障</w:t>
            </w:r>
          </w:p>
        </w:tc>
        <w:tc>
          <w:tcPr>
            <w:tcW w:w="1296" w:type="dxa"/>
            <w:vAlign w:val="center"/>
          </w:tcPr>
          <w:p>
            <w:pPr>
              <w:autoSpaceDE w:val="0"/>
              <w:autoSpaceDN w:val="0"/>
              <w:jc w:val="center"/>
              <w:textAlignment w:val="baseline"/>
              <w:rPr>
                <w:color w:val="auto"/>
                <w:sz w:val="21"/>
                <w:szCs w:val="21"/>
              </w:rPr>
            </w:pPr>
            <w:r>
              <w:rPr>
                <w:rFonts w:eastAsiaTheme="minorEastAsia"/>
                <w:color w:val="auto"/>
                <w:sz w:val="21"/>
                <w:szCs w:val="21"/>
              </w:rPr>
              <w:t>H</w:t>
            </w:r>
            <w:r>
              <w:rPr>
                <w:rFonts w:eastAsiaTheme="minorEastAsia"/>
                <w:color w:val="auto"/>
                <w:sz w:val="21"/>
                <w:szCs w:val="21"/>
                <w:vertAlign w:val="subscript"/>
              </w:rPr>
              <w:t>2</w:t>
            </w:r>
            <w:r>
              <w:rPr>
                <w:rFonts w:eastAsiaTheme="minorEastAsia"/>
                <w:color w:val="auto"/>
                <w:sz w:val="21"/>
                <w:szCs w:val="21"/>
              </w:rPr>
              <w:t>S</w:t>
            </w:r>
          </w:p>
        </w:tc>
        <w:tc>
          <w:tcPr>
            <w:tcW w:w="1332" w:type="dxa"/>
            <w:textDirection w:val="lrTb"/>
            <w:vAlign w:val="center"/>
          </w:tcPr>
          <w:p>
            <w:pPr>
              <w:spacing w:line="240" w:lineRule="auto"/>
              <w:jc w:val="center"/>
              <w:rPr>
                <w:color w:val="auto"/>
                <w:sz w:val="21"/>
                <w:szCs w:val="21"/>
              </w:rPr>
            </w:pPr>
            <w:r>
              <w:rPr>
                <w:rFonts w:hint="default" w:ascii="Times New Roman" w:hAnsi="Times New Roman" w:cs="Times New Roman"/>
                <w:color w:val="auto"/>
                <w:sz w:val="21"/>
                <w:szCs w:val="21"/>
                <w:lang w:val="en-US" w:eastAsia="zh-CN"/>
              </w:rPr>
              <w:t>0.214</w:t>
            </w:r>
          </w:p>
        </w:tc>
        <w:tc>
          <w:tcPr>
            <w:tcW w:w="1573" w:type="dxa"/>
            <w:textDirection w:val="lrTb"/>
            <w:vAlign w:val="center"/>
          </w:tcPr>
          <w:p>
            <w:pPr>
              <w:spacing w:line="360" w:lineRule="auto"/>
              <w:jc w:val="center"/>
              <w:rPr>
                <w:color w:val="auto"/>
                <w:sz w:val="21"/>
                <w:szCs w:val="21"/>
              </w:rPr>
            </w:pPr>
            <w:r>
              <w:rPr>
                <w:rFonts w:hint="default" w:ascii="Times New Roman" w:hAnsi="Times New Roman" w:cs="Times New Roman"/>
                <w:color w:val="auto"/>
                <w:sz w:val="21"/>
                <w:szCs w:val="21"/>
              </w:rPr>
              <w:t>0.0</w:t>
            </w:r>
            <w:r>
              <w:rPr>
                <w:rFonts w:hint="default" w:ascii="Times New Roman" w:hAnsi="Times New Roman" w:cs="Times New Roman"/>
                <w:color w:val="auto"/>
                <w:sz w:val="21"/>
                <w:szCs w:val="21"/>
                <w:lang w:val="en-US" w:eastAsia="zh-CN"/>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758" w:type="dxa"/>
            <w:vMerge w:val="continue"/>
            <w:vAlign w:val="center"/>
          </w:tcPr>
          <w:p>
            <w:pPr>
              <w:autoSpaceDE w:val="0"/>
              <w:autoSpaceDN w:val="0"/>
              <w:jc w:val="center"/>
              <w:textAlignment w:val="baseline"/>
              <w:rPr>
                <w:color w:val="auto"/>
                <w:sz w:val="21"/>
                <w:szCs w:val="21"/>
              </w:rPr>
            </w:pPr>
          </w:p>
        </w:tc>
        <w:tc>
          <w:tcPr>
            <w:tcW w:w="1710" w:type="dxa"/>
            <w:vMerge w:val="continue"/>
            <w:vAlign w:val="center"/>
          </w:tcPr>
          <w:p>
            <w:pPr>
              <w:autoSpaceDE w:val="0"/>
              <w:autoSpaceDN w:val="0"/>
              <w:jc w:val="center"/>
              <w:textAlignment w:val="baseline"/>
              <w:rPr>
                <w:color w:val="auto"/>
                <w:sz w:val="21"/>
                <w:szCs w:val="21"/>
              </w:rPr>
            </w:pPr>
          </w:p>
        </w:tc>
        <w:tc>
          <w:tcPr>
            <w:tcW w:w="1176" w:type="dxa"/>
            <w:vMerge w:val="continue"/>
            <w:vAlign w:val="center"/>
          </w:tcPr>
          <w:p>
            <w:pPr>
              <w:autoSpaceDE w:val="0"/>
              <w:autoSpaceDN w:val="0"/>
              <w:jc w:val="center"/>
              <w:textAlignment w:val="baseline"/>
              <w:rPr>
                <w:color w:val="auto"/>
                <w:sz w:val="21"/>
                <w:szCs w:val="21"/>
              </w:rPr>
            </w:pPr>
          </w:p>
        </w:tc>
        <w:tc>
          <w:tcPr>
            <w:tcW w:w="1441" w:type="dxa"/>
            <w:vMerge w:val="continue"/>
            <w:vAlign w:val="center"/>
          </w:tcPr>
          <w:p>
            <w:pPr>
              <w:autoSpaceDE w:val="0"/>
              <w:autoSpaceDN w:val="0"/>
              <w:jc w:val="center"/>
              <w:textAlignment w:val="baseline"/>
              <w:rPr>
                <w:color w:val="auto"/>
                <w:sz w:val="21"/>
                <w:szCs w:val="21"/>
              </w:rPr>
            </w:pPr>
          </w:p>
        </w:tc>
        <w:tc>
          <w:tcPr>
            <w:tcW w:w="1296" w:type="dxa"/>
            <w:vAlign w:val="center"/>
          </w:tcPr>
          <w:p>
            <w:pPr>
              <w:autoSpaceDE w:val="0"/>
              <w:autoSpaceDN w:val="0"/>
              <w:jc w:val="center"/>
              <w:textAlignment w:val="baseline"/>
              <w:rPr>
                <w:color w:val="auto"/>
                <w:sz w:val="21"/>
                <w:szCs w:val="21"/>
              </w:rPr>
            </w:pPr>
            <w:r>
              <w:rPr>
                <w:rFonts w:eastAsiaTheme="minorEastAsia"/>
                <w:color w:val="auto"/>
                <w:sz w:val="21"/>
                <w:szCs w:val="21"/>
              </w:rPr>
              <w:t>NH</w:t>
            </w:r>
            <w:r>
              <w:rPr>
                <w:rFonts w:eastAsiaTheme="minorEastAsia"/>
                <w:color w:val="auto"/>
                <w:sz w:val="21"/>
                <w:szCs w:val="21"/>
                <w:vertAlign w:val="subscript"/>
              </w:rPr>
              <w:t>3</w:t>
            </w:r>
          </w:p>
        </w:tc>
        <w:tc>
          <w:tcPr>
            <w:tcW w:w="1332" w:type="dxa"/>
            <w:textDirection w:val="lrTb"/>
            <w:vAlign w:val="center"/>
          </w:tcPr>
          <w:p>
            <w:pPr>
              <w:spacing w:line="360" w:lineRule="auto"/>
              <w:jc w:val="center"/>
              <w:rPr>
                <w:color w:val="auto"/>
                <w:sz w:val="21"/>
                <w:szCs w:val="21"/>
              </w:rPr>
            </w:pPr>
            <w:r>
              <w:rPr>
                <w:rFonts w:hint="default" w:ascii="Times New Roman" w:hAnsi="Times New Roman" w:cs="Times New Roman"/>
                <w:color w:val="auto"/>
                <w:sz w:val="21"/>
                <w:szCs w:val="21"/>
                <w:lang w:val="en-US" w:eastAsia="zh-CN"/>
              </w:rPr>
              <w:t>0.529</w:t>
            </w:r>
          </w:p>
        </w:tc>
        <w:tc>
          <w:tcPr>
            <w:tcW w:w="1573" w:type="dxa"/>
            <w:textDirection w:val="lrTb"/>
            <w:vAlign w:val="center"/>
          </w:tcPr>
          <w:p>
            <w:pPr>
              <w:spacing w:line="360" w:lineRule="auto"/>
              <w:jc w:val="center"/>
              <w:rPr>
                <w:color w:val="auto"/>
                <w:sz w:val="21"/>
                <w:szCs w:val="21"/>
              </w:rPr>
            </w:pPr>
            <w:r>
              <w:rPr>
                <w:rFonts w:hint="default" w:ascii="Times New Roman" w:hAnsi="Times New Roman" w:cs="Times New Roman"/>
                <w:color w:val="auto"/>
                <w:sz w:val="21"/>
                <w:szCs w:val="21"/>
              </w:rPr>
              <w:t>0.0</w:t>
            </w:r>
            <w:r>
              <w:rPr>
                <w:rFonts w:hint="default" w:ascii="Times New Roman" w:hAnsi="Times New Roman" w:cs="Times New Roman"/>
                <w:color w:val="auto"/>
                <w:sz w:val="21"/>
                <w:szCs w:val="21"/>
                <w:lang w:val="en-US" w:eastAsia="zh-CN"/>
              </w:rPr>
              <w:t>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4" w:hRule="atLeast"/>
          <w:jc w:val="center"/>
        </w:trPr>
        <w:tc>
          <w:tcPr>
            <w:tcW w:w="758" w:type="dxa"/>
            <w:vMerge w:val="continue"/>
            <w:vAlign w:val="center"/>
          </w:tcPr>
          <w:p>
            <w:pPr>
              <w:autoSpaceDE w:val="0"/>
              <w:autoSpaceDN w:val="0"/>
              <w:jc w:val="center"/>
              <w:textAlignment w:val="baseline"/>
              <w:rPr>
                <w:color w:val="auto"/>
                <w:sz w:val="21"/>
                <w:szCs w:val="21"/>
              </w:rPr>
            </w:pPr>
          </w:p>
        </w:tc>
        <w:tc>
          <w:tcPr>
            <w:tcW w:w="1710" w:type="dxa"/>
            <w:vMerge w:val="continue"/>
            <w:vAlign w:val="center"/>
          </w:tcPr>
          <w:p>
            <w:pPr>
              <w:autoSpaceDE w:val="0"/>
              <w:autoSpaceDN w:val="0"/>
              <w:jc w:val="center"/>
              <w:textAlignment w:val="baseline"/>
              <w:rPr>
                <w:color w:val="auto"/>
                <w:sz w:val="21"/>
                <w:szCs w:val="21"/>
              </w:rPr>
            </w:pPr>
          </w:p>
        </w:tc>
        <w:tc>
          <w:tcPr>
            <w:tcW w:w="1176" w:type="dxa"/>
            <w:vMerge w:val="continue"/>
            <w:vAlign w:val="center"/>
          </w:tcPr>
          <w:p>
            <w:pPr>
              <w:autoSpaceDE w:val="0"/>
              <w:autoSpaceDN w:val="0"/>
              <w:jc w:val="center"/>
              <w:textAlignment w:val="baseline"/>
              <w:rPr>
                <w:color w:val="auto"/>
                <w:sz w:val="21"/>
                <w:szCs w:val="21"/>
              </w:rPr>
            </w:pPr>
          </w:p>
        </w:tc>
        <w:tc>
          <w:tcPr>
            <w:tcW w:w="1441" w:type="dxa"/>
            <w:vMerge w:val="continue"/>
            <w:vAlign w:val="center"/>
          </w:tcPr>
          <w:p>
            <w:pPr>
              <w:autoSpaceDE w:val="0"/>
              <w:autoSpaceDN w:val="0"/>
              <w:jc w:val="center"/>
              <w:textAlignment w:val="baseline"/>
              <w:rPr>
                <w:color w:val="auto"/>
                <w:sz w:val="21"/>
                <w:szCs w:val="21"/>
              </w:rPr>
            </w:pPr>
          </w:p>
        </w:tc>
        <w:tc>
          <w:tcPr>
            <w:tcW w:w="1296" w:type="dxa"/>
            <w:vAlign w:val="center"/>
          </w:tcPr>
          <w:p>
            <w:pPr>
              <w:autoSpaceDE w:val="0"/>
              <w:autoSpaceDN w:val="0"/>
              <w:jc w:val="center"/>
              <w:textAlignment w:val="baseline"/>
              <w:rPr>
                <w:rFonts w:hint="eastAsia" w:eastAsiaTheme="minorEastAsia"/>
                <w:color w:val="auto"/>
                <w:sz w:val="21"/>
                <w:szCs w:val="21"/>
                <w:lang w:eastAsia="zh-CN"/>
              </w:rPr>
            </w:pPr>
            <w:r>
              <w:rPr>
                <w:rFonts w:hint="eastAsia" w:eastAsiaTheme="minorEastAsia"/>
                <w:color w:val="auto"/>
                <w:sz w:val="21"/>
                <w:szCs w:val="21"/>
                <w:lang w:eastAsia="zh-CN"/>
              </w:rPr>
              <w:t>臭气</w:t>
            </w:r>
          </w:p>
        </w:tc>
        <w:tc>
          <w:tcPr>
            <w:tcW w:w="1332" w:type="dxa"/>
            <w:vAlign w:val="center"/>
          </w:tcPr>
          <w:p>
            <w:pPr>
              <w:jc w:val="center"/>
              <w:rPr>
                <w:rFonts w:hint="eastAsia" w:eastAsia="宋体"/>
                <w:color w:val="auto"/>
                <w:sz w:val="21"/>
                <w:szCs w:val="21"/>
                <w:lang w:val="en-US" w:eastAsia="zh-CN"/>
              </w:rPr>
            </w:pPr>
            <w:r>
              <w:rPr>
                <w:rFonts w:hint="eastAsia"/>
                <w:color w:val="auto"/>
                <w:sz w:val="21"/>
                <w:szCs w:val="21"/>
                <w:lang w:val="en-US" w:eastAsia="zh-CN"/>
              </w:rPr>
              <w:t>2443</w:t>
            </w:r>
          </w:p>
        </w:tc>
        <w:tc>
          <w:tcPr>
            <w:tcW w:w="1573" w:type="dxa"/>
            <w:vAlign w:val="center"/>
          </w:tcPr>
          <w:p>
            <w:pPr>
              <w:jc w:val="center"/>
              <w:rPr>
                <w:rFonts w:hint="eastAsia" w:eastAsia="宋体"/>
                <w:color w:val="auto"/>
                <w:sz w:val="21"/>
                <w:szCs w:val="21"/>
                <w:lang w:val="en-US" w:eastAsia="zh-CN"/>
              </w:rPr>
            </w:pPr>
            <w:r>
              <w:rPr>
                <w:rFonts w:hint="eastAsia"/>
                <w:color w:val="auto"/>
                <w:sz w:val="21"/>
                <w:szCs w:val="21"/>
                <w:lang w:val="en-US" w:eastAsia="zh-CN"/>
              </w:rPr>
              <w:t>/</w:t>
            </w:r>
          </w:p>
        </w:tc>
      </w:tr>
    </w:tbl>
    <w:p>
      <w:pPr>
        <w:spacing w:line="360" w:lineRule="auto"/>
        <w:ind w:firstLine="480"/>
        <w:rPr>
          <w:color w:val="auto"/>
        </w:rPr>
      </w:pPr>
      <w:r>
        <w:rPr>
          <w:rFonts w:hint="eastAsia"/>
          <w:color w:val="auto"/>
        </w:rPr>
        <w:t>由上表可知，当发生非正常排放时，本项目餐厨处理废气排放量不会对周边环境产生明显影响。为确保各废气处理设施正常运行，建设单位在日常生产过程应加强对各废气处理设施的维护保养。</w:t>
      </w:r>
    </w:p>
    <w:p>
      <w:pPr>
        <w:pStyle w:val="3"/>
        <w:numPr>
          <w:ilvl w:val="0"/>
          <w:numId w:val="0"/>
        </w:numPr>
        <w:tabs>
          <w:tab w:val="clear" w:pos="680"/>
        </w:tabs>
        <w:ind w:left="576" w:hanging="576"/>
        <w:rPr>
          <w:rFonts w:ascii="Times New Roman"/>
          <w:bCs/>
          <w:color w:val="auto"/>
        </w:rPr>
      </w:pPr>
      <w:bookmarkStart w:id="330" w:name="_Toc406091936"/>
      <w:bookmarkStart w:id="331" w:name="_Toc450814955"/>
      <w:bookmarkStart w:id="332" w:name="_Toc14943319"/>
      <w:bookmarkStart w:id="333" w:name="_Toc483263308"/>
      <w:bookmarkStart w:id="334" w:name="_Toc24136765"/>
      <w:bookmarkStart w:id="335" w:name="_Toc23263161"/>
      <w:bookmarkStart w:id="336" w:name="_Toc30055"/>
      <w:r>
        <w:rPr>
          <w:rFonts w:hint="eastAsia" w:ascii="Times New Roman"/>
          <w:bCs/>
          <w:color w:val="auto"/>
          <w:lang w:eastAsia="zh-CN"/>
        </w:rPr>
        <w:t>3.</w:t>
      </w:r>
      <w:r>
        <w:rPr>
          <w:rFonts w:hint="eastAsia" w:ascii="Times New Roman"/>
          <w:bCs/>
          <w:color w:val="auto"/>
          <w:lang w:val="en-US" w:eastAsia="zh-CN"/>
        </w:rPr>
        <w:t>5</w:t>
      </w:r>
      <w:r>
        <w:rPr>
          <w:rFonts w:ascii="Times New Roman"/>
          <w:bCs/>
          <w:color w:val="auto"/>
        </w:rPr>
        <w:t>拟建项目污染物</w:t>
      </w:r>
      <w:bookmarkEnd w:id="330"/>
      <w:bookmarkEnd w:id="331"/>
      <w:r>
        <w:rPr>
          <w:rFonts w:ascii="Times New Roman"/>
          <w:bCs/>
          <w:color w:val="auto"/>
        </w:rPr>
        <w:t>排放量汇总</w:t>
      </w:r>
      <w:bookmarkEnd w:id="332"/>
      <w:bookmarkEnd w:id="333"/>
      <w:bookmarkEnd w:id="334"/>
      <w:bookmarkEnd w:id="335"/>
      <w:bookmarkEnd w:id="336"/>
    </w:p>
    <w:p>
      <w:pPr>
        <w:spacing w:line="360" w:lineRule="auto"/>
        <w:ind w:firstLine="480" w:firstLineChars="200"/>
        <w:rPr>
          <w:color w:val="auto"/>
        </w:rPr>
      </w:pPr>
      <w:r>
        <w:rPr>
          <w:color w:val="auto"/>
        </w:rPr>
        <w:t>污染物排放量汇总见表3.</w:t>
      </w:r>
      <w:r>
        <w:rPr>
          <w:rFonts w:hint="eastAsia"/>
          <w:color w:val="auto"/>
          <w:lang w:val="en-US" w:eastAsia="zh-CN"/>
        </w:rPr>
        <w:t>5</w:t>
      </w:r>
      <w:r>
        <w:rPr>
          <w:color w:val="auto"/>
        </w:rPr>
        <w:t>-1。</w:t>
      </w:r>
    </w:p>
    <w:p>
      <w:pPr>
        <w:jc w:val="center"/>
        <w:rPr>
          <w:b/>
          <w:color w:val="auto"/>
        </w:rPr>
      </w:pPr>
      <w:r>
        <w:rPr>
          <w:b/>
          <w:color w:val="auto"/>
        </w:rPr>
        <w:t>表</w:t>
      </w:r>
      <w:r>
        <w:rPr>
          <w:rFonts w:hint="eastAsia"/>
          <w:b/>
          <w:color w:val="auto"/>
        </w:rPr>
        <w:t>3.</w:t>
      </w:r>
      <w:r>
        <w:rPr>
          <w:rFonts w:hint="eastAsia"/>
          <w:b/>
          <w:color w:val="auto"/>
          <w:lang w:val="en-US" w:eastAsia="zh-CN"/>
        </w:rPr>
        <w:t>5</w:t>
      </w:r>
      <w:r>
        <w:rPr>
          <w:b/>
          <w:color w:val="auto"/>
        </w:rPr>
        <w:noBreakHyphen/>
      </w:r>
      <w:r>
        <w:rPr>
          <w:b/>
          <w:color w:val="auto"/>
        </w:rPr>
        <w:fldChar w:fldCharType="begin"/>
      </w:r>
      <w:r>
        <w:rPr>
          <w:b/>
          <w:color w:val="auto"/>
        </w:rPr>
        <w:instrText xml:space="preserve"> SEQ 表 \* ARABIC \s 2 </w:instrText>
      </w:r>
      <w:r>
        <w:rPr>
          <w:b/>
          <w:color w:val="auto"/>
        </w:rPr>
        <w:fldChar w:fldCharType="separate"/>
      </w:r>
      <w:r>
        <w:rPr>
          <w:b/>
          <w:color w:val="auto"/>
        </w:rPr>
        <w:t>1</w:t>
      </w:r>
      <w:r>
        <w:rPr>
          <w:b/>
          <w:color w:val="auto"/>
        </w:rPr>
        <w:fldChar w:fldCharType="end"/>
      </w:r>
      <w:r>
        <w:rPr>
          <w:b/>
          <w:color w:val="auto"/>
        </w:rPr>
        <w:t xml:space="preserve">  污染物排放量一览表</w:t>
      </w:r>
      <w:r>
        <w:rPr>
          <w:rFonts w:hint="eastAsia"/>
          <w:b/>
          <w:color w:val="auto"/>
        </w:rPr>
        <w:t>（</w:t>
      </w:r>
      <w:r>
        <w:rPr>
          <w:b/>
          <w:color w:val="auto"/>
        </w:rPr>
        <w:t>单位：t/a</w:t>
      </w:r>
      <w:r>
        <w:rPr>
          <w:rFonts w:hint="eastAsia"/>
          <w:b/>
          <w:color w:val="auto"/>
        </w:rPr>
        <w:t>）</w:t>
      </w:r>
    </w:p>
    <w:tbl>
      <w:tblPr>
        <w:tblStyle w:val="53"/>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1"/>
        <w:gridCol w:w="1621"/>
        <w:gridCol w:w="1898"/>
        <w:gridCol w:w="1109"/>
        <w:gridCol w:w="1109"/>
        <w:gridCol w:w="1109"/>
        <w:gridCol w:w="10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03" w:hRule="atLeast"/>
          <w:tblHeader/>
        </w:trPr>
        <w:tc>
          <w:tcPr>
            <w:tcW w:w="1381" w:type="dxa"/>
            <w:vAlign w:val="center"/>
          </w:tcPr>
          <w:p>
            <w:pPr>
              <w:jc w:val="center"/>
              <w:rPr>
                <w:b/>
                <w:color w:val="auto"/>
                <w:sz w:val="21"/>
                <w:szCs w:val="21"/>
              </w:rPr>
            </w:pPr>
            <w:r>
              <w:rPr>
                <w:b/>
                <w:color w:val="auto"/>
                <w:sz w:val="21"/>
                <w:szCs w:val="21"/>
              </w:rPr>
              <w:t>污染物类型</w:t>
            </w:r>
          </w:p>
        </w:tc>
        <w:tc>
          <w:tcPr>
            <w:tcW w:w="1621" w:type="dxa"/>
            <w:vAlign w:val="center"/>
          </w:tcPr>
          <w:p>
            <w:pPr>
              <w:jc w:val="center"/>
              <w:rPr>
                <w:b/>
                <w:color w:val="auto"/>
                <w:sz w:val="21"/>
                <w:szCs w:val="21"/>
              </w:rPr>
            </w:pPr>
            <w:r>
              <w:rPr>
                <w:b/>
                <w:color w:val="auto"/>
                <w:sz w:val="21"/>
                <w:szCs w:val="21"/>
              </w:rPr>
              <w:t>产污工序</w:t>
            </w:r>
          </w:p>
        </w:tc>
        <w:tc>
          <w:tcPr>
            <w:tcW w:w="1898" w:type="dxa"/>
            <w:shd w:val="clear" w:color="auto" w:fill="auto"/>
            <w:vAlign w:val="center"/>
          </w:tcPr>
          <w:p>
            <w:pPr>
              <w:jc w:val="center"/>
              <w:rPr>
                <w:b/>
                <w:color w:val="auto"/>
                <w:sz w:val="21"/>
                <w:szCs w:val="21"/>
              </w:rPr>
            </w:pPr>
            <w:r>
              <w:rPr>
                <w:b/>
                <w:color w:val="auto"/>
                <w:sz w:val="21"/>
                <w:szCs w:val="21"/>
              </w:rPr>
              <w:t>污染物名称</w:t>
            </w:r>
          </w:p>
        </w:tc>
        <w:tc>
          <w:tcPr>
            <w:tcW w:w="1109" w:type="dxa"/>
            <w:shd w:val="clear" w:color="auto" w:fill="auto"/>
            <w:vAlign w:val="center"/>
          </w:tcPr>
          <w:p>
            <w:pPr>
              <w:jc w:val="center"/>
              <w:rPr>
                <w:b/>
                <w:color w:val="auto"/>
                <w:sz w:val="21"/>
                <w:szCs w:val="21"/>
              </w:rPr>
            </w:pPr>
            <w:r>
              <w:rPr>
                <w:b/>
                <w:color w:val="auto"/>
                <w:sz w:val="21"/>
                <w:szCs w:val="21"/>
              </w:rPr>
              <w:t>正常工况产生量</w:t>
            </w:r>
          </w:p>
        </w:tc>
        <w:tc>
          <w:tcPr>
            <w:tcW w:w="1109" w:type="dxa"/>
            <w:shd w:val="clear" w:color="auto" w:fill="auto"/>
            <w:vAlign w:val="center"/>
          </w:tcPr>
          <w:p>
            <w:pPr>
              <w:jc w:val="center"/>
              <w:rPr>
                <w:b/>
                <w:color w:val="auto"/>
                <w:sz w:val="21"/>
                <w:szCs w:val="21"/>
              </w:rPr>
            </w:pPr>
            <w:r>
              <w:rPr>
                <w:b/>
                <w:color w:val="auto"/>
                <w:sz w:val="21"/>
                <w:szCs w:val="21"/>
              </w:rPr>
              <w:t>正常工况消减量</w:t>
            </w:r>
          </w:p>
        </w:tc>
        <w:tc>
          <w:tcPr>
            <w:tcW w:w="1109" w:type="dxa"/>
            <w:shd w:val="clear" w:color="auto" w:fill="auto"/>
            <w:vAlign w:val="center"/>
          </w:tcPr>
          <w:p>
            <w:pPr>
              <w:jc w:val="center"/>
              <w:rPr>
                <w:b/>
                <w:color w:val="auto"/>
                <w:sz w:val="21"/>
                <w:szCs w:val="21"/>
              </w:rPr>
            </w:pPr>
            <w:r>
              <w:rPr>
                <w:b/>
                <w:color w:val="auto"/>
                <w:sz w:val="21"/>
                <w:szCs w:val="21"/>
              </w:rPr>
              <w:t>正常工况排放量</w:t>
            </w:r>
          </w:p>
        </w:tc>
        <w:tc>
          <w:tcPr>
            <w:tcW w:w="1059" w:type="dxa"/>
            <w:shd w:val="clear" w:color="auto" w:fill="auto"/>
            <w:vAlign w:val="center"/>
          </w:tcPr>
          <w:p>
            <w:pPr>
              <w:jc w:val="center"/>
              <w:rPr>
                <w:b/>
                <w:color w:val="auto"/>
                <w:sz w:val="21"/>
                <w:szCs w:val="21"/>
              </w:rPr>
            </w:pPr>
            <w:r>
              <w:rPr>
                <w:b/>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1381" w:type="dxa"/>
            <w:vMerge w:val="restart"/>
            <w:vAlign w:val="center"/>
          </w:tcPr>
          <w:p>
            <w:pPr>
              <w:jc w:val="center"/>
              <w:rPr>
                <w:color w:val="auto"/>
                <w:sz w:val="21"/>
                <w:szCs w:val="21"/>
              </w:rPr>
            </w:pPr>
            <w:r>
              <w:rPr>
                <w:rFonts w:hint="eastAsia"/>
                <w:color w:val="auto"/>
                <w:sz w:val="21"/>
                <w:szCs w:val="21"/>
              </w:rPr>
              <w:t>废气</w:t>
            </w:r>
          </w:p>
        </w:tc>
        <w:tc>
          <w:tcPr>
            <w:tcW w:w="1621" w:type="dxa"/>
            <w:vMerge w:val="restart"/>
            <w:vAlign w:val="center"/>
          </w:tcPr>
          <w:p>
            <w:pPr>
              <w:jc w:val="center"/>
              <w:rPr>
                <w:color w:val="auto"/>
                <w:sz w:val="21"/>
                <w:szCs w:val="21"/>
              </w:rPr>
            </w:pPr>
            <w:r>
              <w:rPr>
                <w:rFonts w:hint="eastAsia"/>
                <w:color w:val="auto"/>
                <w:sz w:val="21"/>
                <w:szCs w:val="21"/>
              </w:rPr>
              <w:t>卸料间、接料斗、破碎机、油水分离机等设备、整体车间</w:t>
            </w:r>
          </w:p>
        </w:tc>
        <w:tc>
          <w:tcPr>
            <w:tcW w:w="1898" w:type="dxa"/>
            <w:shd w:val="clear" w:color="auto" w:fill="auto"/>
            <w:vAlign w:val="center"/>
          </w:tcPr>
          <w:p>
            <w:pPr>
              <w:jc w:val="center"/>
              <w:rPr>
                <w:color w:val="auto"/>
                <w:sz w:val="21"/>
                <w:szCs w:val="21"/>
              </w:rPr>
            </w:pPr>
            <w:r>
              <w:rPr>
                <w:color w:val="auto"/>
                <w:sz w:val="21"/>
                <w:szCs w:val="21"/>
              </w:rPr>
              <w:t>废气量（万m</w:t>
            </w:r>
            <w:r>
              <w:rPr>
                <w:color w:val="auto"/>
                <w:sz w:val="21"/>
                <w:szCs w:val="21"/>
                <w:vertAlign w:val="superscript"/>
              </w:rPr>
              <w:t>3</w:t>
            </w:r>
            <w:r>
              <w:rPr>
                <w:color w:val="auto"/>
                <w:sz w:val="21"/>
                <w:szCs w:val="21"/>
              </w:rPr>
              <w:t>/a）</w:t>
            </w:r>
          </w:p>
        </w:tc>
        <w:tc>
          <w:tcPr>
            <w:tcW w:w="1109" w:type="dxa"/>
            <w:shd w:val="clear" w:color="auto" w:fill="auto"/>
            <w:vAlign w:val="center"/>
          </w:tcPr>
          <w:p>
            <w:pPr>
              <w:jc w:val="center"/>
              <w:rPr>
                <w:color w:val="auto"/>
                <w:sz w:val="21"/>
                <w:szCs w:val="21"/>
              </w:rPr>
            </w:pPr>
            <w:r>
              <w:rPr>
                <w:rFonts w:hint="eastAsia"/>
                <w:color w:val="auto"/>
                <w:sz w:val="21"/>
                <w:szCs w:val="21"/>
              </w:rPr>
              <w:t>18480</w:t>
            </w:r>
          </w:p>
        </w:tc>
        <w:tc>
          <w:tcPr>
            <w:tcW w:w="1109" w:type="dxa"/>
            <w:shd w:val="clear" w:color="auto" w:fill="auto"/>
            <w:vAlign w:val="center"/>
          </w:tcPr>
          <w:p>
            <w:pPr>
              <w:jc w:val="center"/>
              <w:rPr>
                <w:color w:val="auto"/>
                <w:sz w:val="21"/>
                <w:szCs w:val="21"/>
              </w:rPr>
            </w:pPr>
            <w:r>
              <w:rPr>
                <w:rFonts w:hint="eastAsia"/>
                <w:color w:val="auto"/>
                <w:sz w:val="21"/>
                <w:szCs w:val="21"/>
              </w:rPr>
              <w:t>0</w:t>
            </w:r>
          </w:p>
        </w:tc>
        <w:tc>
          <w:tcPr>
            <w:tcW w:w="1109" w:type="dxa"/>
            <w:shd w:val="clear" w:color="auto" w:fill="auto"/>
            <w:vAlign w:val="center"/>
          </w:tcPr>
          <w:p>
            <w:pPr>
              <w:jc w:val="center"/>
              <w:rPr>
                <w:color w:val="auto"/>
                <w:sz w:val="21"/>
                <w:szCs w:val="21"/>
              </w:rPr>
            </w:pPr>
            <w:r>
              <w:rPr>
                <w:rFonts w:hint="eastAsia"/>
                <w:color w:val="auto"/>
                <w:sz w:val="21"/>
                <w:szCs w:val="21"/>
              </w:rPr>
              <w:t>18480</w:t>
            </w:r>
          </w:p>
        </w:tc>
        <w:tc>
          <w:tcPr>
            <w:tcW w:w="1059" w:type="dxa"/>
            <w:shd w:val="clear" w:color="auto" w:fill="auto"/>
            <w:vAlign w:val="center"/>
          </w:tcPr>
          <w:p>
            <w:pPr>
              <w:jc w:val="center"/>
              <w:rPr>
                <w:color w:val="auto"/>
                <w:sz w:val="21"/>
                <w:szCs w:val="21"/>
              </w:rPr>
            </w:pPr>
            <w:r>
              <w:rPr>
                <w:color w:val="auto"/>
                <w:sz w:val="21"/>
                <w:szCs w:val="21"/>
              </w:rPr>
              <w:t>有组织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30" w:hRule="atLeast"/>
        </w:trPr>
        <w:tc>
          <w:tcPr>
            <w:tcW w:w="1381" w:type="dxa"/>
            <w:vMerge w:val="continue"/>
          </w:tcPr>
          <w:p>
            <w:pPr>
              <w:jc w:val="center"/>
              <w:rPr>
                <w:color w:val="auto"/>
                <w:sz w:val="21"/>
                <w:szCs w:val="21"/>
              </w:rPr>
            </w:pPr>
          </w:p>
        </w:tc>
        <w:tc>
          <w:tcPr>
            <w:tcW w:w="1621" w:type="dxa"/>
            <w:vMerge w:val="continue"/>
            <w:vAlign w:val="center"/>
          </w:tcPr>
          <w:p>
            <w:pPr>
              <w:jc w:val="center"/>
              <w:rPr>
                <w:color w:val="auto"/>
                <w:sz w:val="21"/>
                <w:szCs w:val="21"/>
              </w:rPr>
            </w:pPr>
          </w:p>
        </w:tc>
        <w:tc>
          <w:tcPr>
            <w:tcW w:w="1898" w:type="dxa"/>
            <w:shd w:val="clear" w:color="auto" w:fill="auto"/>
            <w:vAlign w:val="center"/>
          </w:tcPr>
          <w:p>
            <w:pPr>
              <w:jc w:val="center"/>
              <w:rPr>
                <w:color w:val="auto"/>
                <w:sz w:val="21"/>
                <w:szCs w:val="21"/>
              </w:rPr>
            </w:pPr>
            <w:r>
              <w:rPr>
                <w:rFonts w:eastAsiaTheme="minorEastAsia"/>
                <w:color w:val="auto"/>
                <w:sz w:val="21"/>
                <w:szCs w:val="21"/>
              </w:rPr>
              <w:t>H</w:t>
            </w:r>
            <w:r>
              <w:rPr>
                <w:rFonts w:eastAsiaTheme="minorEastAsia"/>
                <w:color w:val="auto"/>
                <w:sz w:val="21"/>
                <w:szCs w:val="21"/>
                <w:vertAlign w:val="subscript"/>
              </w:rPr>
              <w:t>2</w:t>
            </w:r>
            <w:r>
              <w:rPr>
                <w:rFonts w:eastAsiaTheme="minorEastAsia"/>
                <w:color w:val="auto"/>
                <w:sz w:val="21"/>
                <w:szCs w:val="21"/>
              </w:rPr>
              <w:t>S</w:t>
            </w:r>
          </w:p>
        </w:tc>
        <w:tc>
          <w:tcPr>
            <w:tcW w:w="1109" w:type="dxa"/>
            <w:shd w:val="clear" w:color="auto" w:fill="auto"/>
            <w:textDirection w:val="lrTb"/>
            <w:vAlign w:val="center"/>
          </w:tcPr>
          <w:p>
            <w:pPr>
              <w:spacing w:line="360" w:lineRule="auto"/>
              <w:jc w:val="center"/>
              <w:rPr>
                <w:color w:val="auto"/>
                <w:sz w:val="21"/>
                <w:szCs w:val="21"/>
              </w:rPr>
            </w:pPr>
            <w:r>
              <w:rPr>
                <w:rFonts w:hint="default" w:ascii="Times New Roman" w:hAnsi="Times New Roman" w:cs="Times New Roman"/>
                <w:color w:val="auto"/>
                <w:sz w:val="21"/>
                <w:szCs w:val="21"/>
                <w:lang w:val="en-US" w:eastAsia="zh-CN"/>
              </w:rPr>
              <w:t>0.040</w:t>
            </w:r>
          </w:p>
        </w:tc>
        <w:tc>
          <w:tcPr>
            <w:tcW w:w="1109" w:type="dxa"/>
            <w:shd w:val="clear" w:color="auto" w:fill="auto"/>
            <w:textDirection w:val="lrTb"/>
            <w:vAlign w:val="center"/>
          </w:tcPr>
          <w:p>
            <w:pPr>
              <w:spacing w:line="36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0.026</w:t>
            </w:r>
          </w:p>
        </w:tc>
        <w:tc>
          <w:tcPr>
            <w:tcW w:w="1109" w:type="dxa"/>
            <w:shd w:val="clear" w:color="auto" w:fill="auto"/>
            <w:textDirection w:val="lrTb"/>
            <w:vAlign w:val="center"/>
          </w:tcPr>
          <w:p>
            <w:pPr>
              <w:keepNext w:val="0"/>
              <w:keepLines w:val="0"/>
              <w:widowControl/>
              <w:suppressLineNumbers w:val="0"/>
              <w:jc w:val="center"/>
              <w:textAlignment w:val="bottom"/>
              <w:rPr>
                <w:color w:val="auto"/>
                <w:sz w:val="21"/>
                <w:szCs w:val="21"/>
              </w:rPr>
            </w:pPr>
            <w:r>
              <w:rPr>
                <w:rFonts w:hint="default" w:ascii="Times New Roman" w:hAnsi="Times New Roman" w:eastAsia="宋体" w:cs="Times New Roman"/>
                <w:i w:val="0"/>
                <w:color w:val="auto"/>
                <w:kern w:val="0"/>
                <w:sz w:val="21"/>
                <w:szCs w:val="21"/>
                <w:u w:val="none"/>
                <w:lang w:val="en-US" w:eastAsia="zh-CN" w:bidi="ar"/>
              </w:rPr>
              <w:t>0.014</w:t>
            </w:r>
          </w:p>
        </w:tc>
        <w:tc>
          <w:tcPr>
            <w:tcW w:w="1059" w:type="dxa"/>
            <w:shd w:val="clear" w:color="auto" w:fill="auto"/>
            <w:vAlign w:val="center"/>
          </w:tcPr>
          <w:p>
            <w:pPr>
              <w:jc w:val="center"/>
              <w:rPr>
                <w:color w:val="auto"/>
                <w:sz w:val="21"/>
                <w:szCs w:val="21"/>
              </w:rPr>
            </w:pPr>
            <w:r>
              <w:rPr>
                <w:color w:val="auto"/>
                <w:sz w:val="21"/>
                <w:szCs w:val="21"/>
              </w:rPr>
              <w:t>有组织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1381" w:type="dxa"/>
            <w:vMerge w:val="continue"/>
          </w:tcPr>
          <w:p>
            <w:pPr>
              <w:jc w:val="center"/>
              <w:rPr>
                <w:color w:val="auto"/>
                <w:sz w:val="21"/>
                <w:szCs w:val="21"/>
              </w:rPr>
            </w:pPr>
          </w:p>
        </w:tc>
        <w:tc>
          <w:tcPr>
            <w:tcW w:w="1621" w:type="dxa"/>
            <w:vMerge w:val="continue"/>
          </w:tcPr>
          <w:p>
            <w:pPr>
              <w:jc w:val="center"/>
              <w:rPr>
                <w:color w:val="auto"/>
                <w:sz w:val="21"/>
                <w:szCs w:val="21"/>
              </w:rPr>
            </w:pPr>
          </w:p>
        </w:tc>
        <w:tc>
          <w:tcPr>
            <w:tcW w:w="1898" w:type="dxa"/>
            <w:shd w:val="clear" w:color="auto" w:fill="auto"/>
            <w:vAlign w:val="center"/>
          </w:tcPr>
          <w:p>
            <w:pPr>
              <w:jc w:val="center"/>
              <w:rPr>
                <w:color w:val="auto"/>
                <w:sz w:val="21"/>
                <w:szCs w:val="21"/>
              </w:rPr>
            </w:pPr>
            <w:r>
              <w:rPr>
                <w:rFonts w:eastAsiaTheme="minorEastAsia"/>
                <w:color w:val="auto"/>
                <w:sz w:val="21"/>
                <w:szCs w:val="21"/>
              </w:rPr>
              <w:t>NH</w:t>
            </w:r>
            <w:r>
              <w:rPr>
                <w:rFonts w:eastAsiaTheme="minorEastAsia"/>
                <w:color w:val="auto"/>
                <w:sz w:val="21"/>
                <w:szCs w:val="21"/>
                <w:vertAlign w:val="subscript"/>
              </w:rPr>
              <w:t>3</w:t>
            </w:r>
          </w:p>
        </w:tc>
        <w:tc>
          <w:tcPr>
            <w:tcW w:w="1109" w:type="dxa"/>
            <w:shd w:val="clear" w:color="auto" w:fill="auto"/>
            <w:textDirection w:val="lrTb"/>
            <w:vAlign w:val="center"/>
          </w:tcPr>
          <w:p>
            <w:pPr>
              <w:spacing w:line="240" w:lineRule="auto"/>
              <w:jc w:val="center"/>
              <w:rPr>
                <w:color w:val="auto"/>
                <w:sz w:val="21"/>
                <w:szCs w:val="21"/>
              </w:rPr>
            </w:pPr>
            <w:r>
              <w:rPr>
                <w:rFonts w:hint="default" w:ascii="Times New Roman" w:hAnsi="Times New Roman" w:cs="Times New Roman"/>
                <w:color w:val="auto"/>
                <w:sz w:val="21"/>
                <w:szCs w:val="21"/>
                <w:lang w:val="en-US" w:eastAsia="zh-CN"/>
              </w:rPr>
              <w:t>0.098</w:t>
            </w:r>
          </w:p>
        </w:tc>
        <w:tc>
          <w:tcPr>
            <w:tcW w:w="1109" w:type="dxa"/>
            <w:shd w:val="clear" w:color="auto" w:fill="auto"/>
            <w:textDirection w:val="lrTb"/>
            <w:vAlign w:val="center"/>
          </w:tcPr>
          <w:p>
            <w:pPr>
              <w:spacing w:line="36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0.073</w:t>
            </w:r>
          </w:p>
        </w:tc>
        <w:tc>
          <w:tcPr>
            <w:tcW w:w="1109" w:type="dxa"/>
            <w:shd w:val="clear" w:color="auto" w:fill="auto"/>
            <w:textDirection w:val="lrTb"/>
            <w:vAlign w:val="center"/>
          </w:tcPr>
          <w:p>
            <w:pPr>
              <w:keepNext w:val="0"/>
              <w:keepLines w:val="0"/>
              <w:widowControl/>
              <w:suppressLineNumbers w:val="0"/>
              <w:jc w:val="center"/>
              <w:textAlignment w:val="bottom"/>
              <w:rPr>
                <w:color w:val="auto"/>
                <w:sz w:val="21"/>
                <w:szCs w:val="21"/>
              </w:rPr>
            </w:pPr>
            <w:r>
              <w:rPr>
                <w:rFonts w:hint="default" w:ascii="Times New Roman" w:hAnsi="Times New Roman" w:eastAsia="宋体" w:cs="Times New Roman"/>
                <w:i w:val="0"/>
                <w:color w:val="auto"/>
                <w:kern w:val="0"/>
                <w:sz w:val="21"/>
                <w:szCs w:val="21"/>
                <w:u w:val="none"/>
                <w:lang w:val="en-US" w:eastAsia="zh-CN" w:bidi="ar"/>
              </w:rPr>
              <w:t>0.025</w:t>
            </w:r>
          </w:p>
        </w:tc>
        <w:tc>
          <w:tcPr>
            <w:tcW w:w="1059" w:type="dxa"/>
            <w:shd w:val="clear" w:color="auto" w:fill="auto"/>
            <w:vAlign w:val="center"/>
          </w:tcPr>
          <w:p>
            <w:pPr>
              <w:jc w:val="center"/>
              <w:rPr>
                <w:color w:val="auto"/>
                <w:sz w:val="21"/>
                <w:szCs w:val="21"/>
              </w:rPr>
            </w:pPr>
            <w:r>
              <w:rPr>
                <w:color w:val="auto"/>
                <w:sz w:val="21"/>
                <w:szCs w:val="21"/>
              </w:rPr>
              <w:t>有组织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3" w:hRule="atLeast"/>
        </w:trPr>
        <w:tc>
          <w:tcPr>
            <w:tcW w:w="1381" w:type="dxa"/>
            <w:vMerge w:val="continue"/>
            <w:shd w:val="clear" w:color="000000" w:fill="FFFFFF"/>
          </w:tcPr>
          <w:p>
            <w:pPr>
              <w:jc w:val="center"/>
              <w:rPr>
                <w:color w:val="auto"/>
                <w:sz w:val="21"/>
                <w:szCs w:val="21"/>
              </w:rPr>
            </w:pPr>
          </w:p>
        </w:tc>
        <w:tc>
          <w:tcPr>
            <w:tcW w:w="1621" w:type="dxa"/>
            <w:vMerge w:val="restart"/>
            <w:shd w:val="clear" w:color="000000" w:fill="FFFFFF"/>
            <w:vAlign w:val="center"/>
          </w:tcPr>
          <w:p>
            <w:pPr>
              <w:jc w:val="center"/>
              <w:rPr>
                <w:color w:val="auto"/>
                <w:sz w:val="21"/>
                <w:szCs w:val="21"/>
              </w:rPr>
            </w:pPr>
            <w:r>
              <w:rPr>
                <w:bCs/>
                <w:color w:val="auto"/>
                <w:sz w:val="21"/>
                <w:szCs w:val="21"/>
              </w:rPr>
              <w:t>卸料间和设备间</w:t>
            </w:r>
          </w:p>
        </w:tc>
        <w:tc>
          <w:tcPr>
            <w:tcW w:w="1898" w:type="dxa"/>
            <w:shd w:val="clear" w:color="000000" w:fill="FFFFFF"/>
            <w:vAlign w:val="center"/>
          </w:tcPr>
          <w:p>
            <w:pPr>
              <w:jc w:val="center"/>
              <w:rPr>
                <w:color w:val="auto"/>
                <w:sz w:val="21"/>
                <w:szCs w:val="21"/>
              </w:rPr>
            </w:pPr>
            <w:r>
              <w:rPr>
                <w:rFonts w:eastAsiaTheme="minorEastAsia"/>
                <w:color w:val="auto"/>
                <w:sz w:val="21"/>
                <w:szCs w:val="21"/>
              </w:rPr>
              <w:t>H</w:t>
            </w:r>
            <w:r>
              <w:rPr>
                <w:rFonts w:eastAsiaTheme="minorEastAsia"/>
                <w:color w:val="auto"/>
                <w:sz w:val="21"/>
                <w:szCs w:val="21"/>
                <w:vertAlign w:val="subscript"/>
              </w:rPr>
              <w:t>2</w:t>
            </w:r>
            <w:r>
              <w:rPr>
                <w:rFonts w:eastAsiaTheme="minorEastAsia"/>
                <w:color w:val="auto"/>
                <w:sz w:val="21"/>
                <w:szCs w:val="21"/>
              </w:rPr>
              <w:t>S</w:t>
            </w:r>
          </w:p>
        </w:tc>
        <w:tc>
          <w:tcPr>
            <w:tcW w:w="1109" w:type="dxa"/>
            <w:shd w:val="clear" w:color="000000" w:fill="FFFFFF"/>
            <w:vAlign w:val="center"/>
          </w:tcPr>
          <w:p>
            <w:pPr>
              <w:jc w:val="center"/>
              <w:rPr>
                <w:color w:val="auto"/>
                <w:sz w:val="21"/>
                <w:szCs w:val="21"/>
              </w:rPr>
            </w:pPr>
            <w:r>
              <w:rPr>
                <w:rFonts w:hint="eastAsia"/>
                <w:color w:val="auto"/>
                <w:sz w:val="21"/>
                <w:szCs w:val="21"/>
              </w:rPr>
              <w:t>0.00</w:t>
            </w:r>
            <w:r>
              <w:rPr>
                <w:rFonts w:hint="eastAsia"/>
                <w:color w:val="auto"/>
                <w:sz w:val="21"/>
                <w:szCs w:val="21"/>
                <w:lang w:val="en-US" w:eastAsia="zh-CN"/>
              </w:rPr>
              <w:t>21</w:t>
            </w:r>
          </w:p>
        </w:tc>
        <w:tc>
          <w:tcPr>
            <w:tcW w:w="1109" w:type="dxa"/>
            <w:shd w:val="clear" w:color="000000" w:fill="FFFFFF"/>
            <w:vAlign w:val="center"/>
          </w:tcPr>
          <w:p>
            <w:pPr>
              <w:jc w:val="center"/>
              <w:rPr>
                <w:color w:val="auto"/>
                <w:sz w:val="21"/>
                <w:szCs w:val="21"/>
              </w:rPr>
            </w:pPr>
            <w:r>
              <w:rPr>
                <w:color w:val="auto"/>
                <w:sz w:val="21"/>
                <w:szCs w:val="21"/>
              </w:rPr>
              <w:t>0</w:t>
            </w:r>
          </w:p>
        </w:tc>
        <w:tc>
          <w:tcPr>
            <w:tcW w:w="1109" w:type="dxa"/>
            <w:shd w:val="clear" w:color="000000" w:fill="FFFFFF"/>
            <w:vAlign w:val="center"/>
          </w:tcPr>
          <w:p>
            <w:pPr>
              <w:jc w:val="center"/>
              <w:rPr>
                <w:color w:val="auto"/>
                <w:sz w:val="21"/>
                <w:szCs w:val="21"/>
              </w:rPr>
            </w:pPr>
            <w:r>
              <w:rPr>
                <w:rFonts w:hint="eastAsia"/>
                <w:color w:val="auto"/>
                <w:sz w:val="21"/>
                <w:szCs w:val="21"/>
              </w:rPr>
              <w:t>0.00</w:t>
            </w:r>
            <w:r>
              <w:rPr>
                <w:rFonts w:hint="eastAsia"/>
                <w:color w:val="auto"/>
                <w:sz w:val="21"/>
                <w:szCs w:val="21"/>
                <w:lang w:val="en-US" w:eastAsia="zh-CN"/>
              </w:rPr>
              <w:t>21</w:t>
            </w:r>
          </w:p>
        </w:tc>
        <w:tc>
          <w:tcPr>
            <w:tcW w:w="1059" w:type="dxa"/>
            <w:shd w:val="clear" w:color="000000" w:fill="FFFFFF"/>
            <w:vAlign w:val="center"/>
          </w:tcPr>
          <w:p>
            <w:pPr>
              <w:jc w:val="center"/>
              <w:rPr>
                <w:color w:val="auto"/>
                <w:sz w:val="21"/>
                <w:szCs w:val="21"/>
              </w:rPr>
            </w:pPr>
            <w:r>
              <w:rPr>
                <w:color w:val="auto"/>
                <w:sz w:val="21"/>
                <w:szCs w:val="21"/>
              </w:rPr>
              <w:t>无组织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3" w:hRule="atLeast"/>
        </w:trPr>
        <w:tc>
          <w:tcPr>
            <w:tcW w:w="1381" w:type="dxa"/>
            <w:vMerge w:val="continue"/>
            <w:shd w:val="clear" w:color="000000" w:fill="FFFFFF"/>
          </w:tcPr>
          <w:p>
            <w:pPr>
              <w:jc w:val="center"/>
              <w:rPr>
                <w:color w:val="auto"/>
                <w:sz w:val="21"/>
                <w:szCs w:val="21"/>
              </w:rPr>
            </w:pPr>
          </w:p>
        </w:tc>
        <w:tc>
          <w:tcPr>
            <w:tcW w:w="1621" w:type="dxa"/>
            <w:vMerge w:val="continue"/>
            <w:shd w:val="clear" w:color="000000" w:fill="FFFFFF"/>
            <w:vAlign w:val="center"/>
          </w:tcPr>
          <w:p>
            <w:pPr>
              <w:jc w:val="center"/>
              <w:rPr>
                <w:color w:val="auto"/>
                <w:sz w:val="21"/>
                <w:szCs w:val="21"/>
              </w:rPr>
            </w:pPr>
          </w:p>
        </w:tc>
        <w:tc>
          <w:tcPr>
            <w:tcW w:w="1898" w:type="dxa"/>
            <w:shd w:val="clear" w:color="000000" w:fill="FFFFFF"/>
            <w:vAlign w:val="center"/>
          </w:tcPr>
          <w:p>
            <w:pPr>
              <w:jc w:val="center"/>
              <w:rPr>
                <w:color w:val="auto"/>
                <w:sz w:val="21"/>
                <w:szCs w:val="21"/>
              </w:rPr>
            </w:pPr>
            <w:r>
              <w:rPr>
                <w:rFonts w:eastAsiaTheme="minorEastAsia"/>
                <w:color w:val="auto"/>
                <w:sz w:val="21"/>
                <w:szCs w:val="21"/>
              </w:rPr>
              <w:t>NH</w:t>
            </w:r>
            <w:r>
              <w:rPr>
                <w:rFonts w:eastAsiaTheme="minorEastAsia"/>
                <w:color w:val="auto"/>
                <w:sz w:val="21"/>
                <w:szCs w:val="21"/>
                <w:vertAlign w:val="subscript"/>
              </w:rPr>
              <w:t>3</w:t>
            </w:r>
          </w:p>
        </w:tc>
        <w:tc>
          <w:tcPr>
            <w:tcW w:w="1109" w:type="dxa"/>
            <w:shd w:val="clear" w:color="000000" w:fill="FFFFFF"/>
            <w:vAlign w:val="center"/>
          </w:tcPr>
          <w:p>
            <w:pPr>
              <w:jc w:val="center"/>
              <w:rPr>
                <w:color w:val="auto"/>
                <w:sz w:val="21"/>
                <w:szCs w:val="21"/>
              </w:rPr>
            </w:pPr>
            <w:r>
              <w:rPr>
                <w:rFonts w:hint="eastAsia"/>
                <w:color w:val="auto"/>
                <w:sz w:val="22"/>
                <w:szCs w:val="22"/>
              </w:rPr>
              <w:t>0.0</w:t>
            </w:r>
            <w:r>
              <w:rPr>
                <w:rFonts w:hint="eastAsia"/>
                <w:color w:val="auto"/>
                <w:sz w:val="22"/>
                <w:szCs w:val="22"/>
                <w:lang w:val="en-US" w:eastAsia="zh-CN"/>
              </w:rPr>
              <w:t>052</w:t>
            </w:r>
          </w:p>
        </w:tc>
        <w:tc>
          <w:tcPr>
            <w:tcW w:w="1109" w:type="dxa"/>
            <w:shd w:val="clear" w:color="000000" w:fill="FFFFFF"/>
            <w:vAlign w:val="center"/>
          </w:tcPr>
          <w:p>
            <w:pPr>
              <w:jc w:val="center"/>
              <w:rPr>
                <w:color w:val="auto"/>
                <w:sz w:val="21"/>
                <w:szCs w:val="21"/>
              </w:rPr>
            </w:pPr>
            <w:r>
              <w:rPr>
                <w:color w:val="auto"/>
                <w:sz w:val="21"/>
                <w:szCs w:val="21"/>
              </w:rPr>
              <w:t>0</w:t>
            </w:r>
          </w:p>
        </w:tc>
        <w:tc>
          <w:tcPr>
            <w:tcW w:w="1109" w:type="dxa"/>
            <w:shd w:val="clear" w:color="000000" w:fill="FFFFFF"/>
            <w:vAlign w:val="center"/>
          </w:tcPr>
          <w:p>
            <w:pPr>
              <w:jc w:val="center"/>
              <w:rPr>
                <w:color w:val="auto"/>
                <w:sz w:val="21"/>
                <w:szCs w:val="21"/>
              </w:rPr>
            </w:pPr>
            <w:r>
              <w:rPr>
                <w:rFonts w:hint="eastAsia"/>
                <w:color w:val="auto"/>
                <w:sz w:val="22"/>
                <w:szCs w:val="22"/>
              </w:rPr>
              <w:t>0.</w:t>
            </w:r>
            <w:r>
              <w:rPr>
                <w:rFonts w:hint="eastAsia"/>
                <w:color w:val="auto"/>
                <w:sz w:val="22"/>
                <w:szCs w:val="22"/>
                <w:lang w:val="en-US" w:eastAsia="zh-CN"/>
              </w:rPr>
              <w:t>0052</w:t>
            </w:r>
          </w:p>
        </w:tc>
        <w:tc>
          <w:tcPr>
            <w:tcW w:w="1059" w:type="dxa"/>
            <w:shd w:val="clear" w:color="000000" w:fill="FFFFFF"/>
            <w:vAlign w:val="center"/>
          </w:tcPr>
          <w:p>
            <w:pPr>
              <w:jc w:val="center"/>
              <w:rPr>
                <w:color w:val="auto"/>
                <w:sz w:val="21"/>
                <w:szCs w:val="21"/>
              </w:rPr>
            </w:pPr>
            <w:r>
              <w:rPr>
                <w:color w:val="auto"/>
                <w:sz w:val="21"/>
                <w:szCs w:val="21"/>
              </w:rPr>
              <w:t>无组织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8" w:hRule="atLeast"/>
        </w:trPr>
        <w:tc>
          <w:tcPr>
            <w:tcW w:w="1381" w:type="dxa"/>
            <w:vMerge w:val="continue"/>
            <w:shd w:val="clear" w:color="000000" w:fill="FFFFFF"/>
          </w:tcPr>
          <w:p>
            <w:pPr>
              <w:jc w:val="center"/>
              <w:rPr>
                <w:color w:val="auto"/>
                <w:sz w:val="21"/>
                <w:szCs w:val="21"/>
              </w:rPr>
            </w:pPr>
          </w:p>
        </w:tc>
        <w:tc>
          <w:tcPr>
            <w:tcW w:w="1621" w:type="dxa"/>
            <w:shd w:val="clear" w:color="000000" w:fill="FFFFFF"/>
          </w:tcPr>
          <w:p>
            <w:pPr>
              <w:jc w:val="center"/>
              <w:rPr>
                <w:color w:val="auto"/>
                <w:sz w:val="21"/>
                <w:szCs w:val="21"/>
              </w:rPr>
            </w:pPr>
            <w:r>
              <w:rPr>
                <w:color w:val="auto"/>
                <w:sz w:val="21"/>
                <w:szCs w:val="21"/>
              </w:rPr>
              <w:t>场区建筑垃圾的风力扬尘</w:t>
            </w:r>
          </w:p>
        </w:tc>
        <w:tc>
          <w:tcPr>
            <w:tcW w:w="1898" w:type="dxa"/>
            <w:shd w:val="clear" w:color="000000" w:fill="FFFFFF"/>
            <w:vAlign w:val="center"/>
          </w:tcPr>
          <w:p>
            <w:pPr>
              <w:jc w:val="center"/>
              <w:rPr>
                <w:color w:val="auto"/>
                <w:sz w:val="21"/>
                <w:szCs w:val="21"/>
              </w:rPr>
            </w:pPr>
            <w:r>
              <w:rPr>
                <w:color w:val="auto"/>
                <w:sz w:val="21"/>
                <w:szCs w:val="21"/>
              </w:rPr>
              <w:t>颗粒物</w:t>
            </w:r>
          </w:p>
        </w:tc>
        <w:tc>
          <w:tcPr>
            <w:tcW w:w="1109" w:type="dxa"/>
            <w:shd w:val="clear" w:color="000000" w:fill="FFFFFF"/>
            <w:vAlign w:val="center"/>
          </w:tcPr>
          <w:p>
            <w:pPr>
              <w:jc w:val="center"/>
              <w:rPr>
                <w:color w:val="auto"/>
                <w:sz w:val="21"/>
                <w:szCs w:val="21"/>
              </w:rPr>
            </w:pPr>
            <w:r>
              <w:rPr>
                <w:rFonts w:hint="eastAsia"/>
                <w:color w:val="auto"/>
                <w:sz w:val="21"/>
                <w:szCs w:val="21"/>
              </w:rPr>
              <w:t>11.91</w:t>
            </w:r>
          </w:p>
        </w:tc>
        <w:tc>
          <w:tcPr>
            <w:tcW w:w="1109" w:type="dxa"/>
            <w:shd w:val="clear" w:color="000000" w:fill="FFFFFF"/>
            <w:vAlign w:val="center"/>
          </w:tcPr>
          <w:p>
            <w:pPr>
              <w:jc w:val="center"/>
              <w:rPr>
                <w:color w:val="auto"/>
                <w:sz w:val="21"/>
                <w:szCs w:val="21"/>
              </w:rPr>
            </w:pPr>
            <w:r>
              <w:rPr>
                <w:color w:val="auto"/>
                <w:sz w:val="21"/>
                <w:szCs w:val="21"/>
              </w:rPr>
              <w:t>0</w:t>
            </w:r>
          </w:p>
        </w:tc>
        <w:tc>
          <w:tcPr>
            <w:tcW w:w="1109" w:type="dxa"/>
            <w:shd w:val="clear" w:color="000000" w:fill="FFFFFF"/>
            <w:vAlign w:val="center"/>
          </w:tcPr>
          <w:p>
            <w:pPr>
              <w:jc w:val="center"/>
              <w:rPr>
                <w:color w:val="auto"/>
                <w:sz w:val="21"/>
                <w:szCs w:val="21"/>
              </w:rPr>
            </w:pPr>
            <w:r>
              <w:rPr>
                <w:rFonts w:hint="eastAsia"/>
                <w:color w:val="auto"/>
                <w:sz w:val="21"/>
                <w:szCs w:val="21"/>
              </w:rPr>
              <w:t>1.191</w:t>
            </w:r>
          </w:p>
        </w:tc>
        <w:tc>
          <w:tcPr>
            <w:tcW w:w="1059" w:type="dxa"/>
            <w:shd w:val="clear" w:color="000000" w:fill="FFFFFF"/>
            <w:vAlign w:val="center"/>
          </w:tcPr>
          <w:p>
            <w:pPr>
              <w:jc w:val="center"/>
              <w:rPr>
                <w:color w:val="auto"/>
                <w:sz w:val="21"/>
                <w:szCs w:val="21"/>
              </w:rPr>
            </w:pPr>
            <w:r>
              <w:rPr>
                <w:color w:val="auto"/>
                <w:sz w:val="21"/>
                <w:szCs w:val="21"/>
              </w:rPr>
              <w:t>无组织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8" w:hRule="atLeast"/>
        </w:trPr>
        <w:tc>
          <w:tcPr>
            <w:tcW w:w="1381" w:type="dxa"/>
            <w:vMerge w:val="continue"/>
            <w:shd w:val="clear" w:color="000000" w:fill="FFFFFF"/>
          </w:tcPr>
          <w:p>
            <w:pPr>
              <w:jc w:val="center"/>
              <w:rPr>
                <w:color w:val="auto"/>
                <w:sz w:val="21"/>
                <w:szCs w:val="21"/>
              </w:rPr>
            </w:pPr>
          </w:p>
        </w:tc>
        <w:tc>
          <w:tcPr>
            <w:tcW w:w="1621" w:type="dxa"/>
            <w:shd w:val="clear" w:color="000000" w:fill="FFFFFF"/>
            <w:vAlign w:val="center"/>
          </w:tcPr>
          <w:p>
            <w:pPr>
              <w:jc w:val="center"/>
              <w:rPr>
                <w:color w:val="auto"/>
                <w:sz w:val="21"/>
                <w:szCs w:val="21"/>
              </w:rPr>
            </w:pPr>
            <w:r>
              <w:rPr>
                <w:color w:val="auto"/>
                <w:sz w:val="21"/>
                <w:szCs w:val="21"/>
              </w:rPr>
              <w:t>运输车辆倾倒垃圾粉尘</w:t>
            </w:r>
          </w:p>
        </w:tc>
        <w:tc>
          <w:tcPr>
            <w:tcW w:w="1898" w:type="dxa"/>
            <w:shd w:val="clear" w:color="000000" w:fill="FFFFFF"/>
            <w:vAlign w:val="center"/>
          </w:tcPr>
          <w:p>
            <w:pPr>
              <w:jc w:val="center"/>
              <w:rPr>
                <w:color w:val="auto"/>
                <w:sz w:val="21"/>
                <w:szCs w:val="21"/>
              </w:rPr>
            </w:pPr>
            <w:r>
              <w:rPr>
                <w:color w:val="auto"/>
                <w:sz w:val="21"/>
                <w:szCs w:val="21"/>
              </w:rPr>
              <w:t>颗粒物</w:t>
            </w:r>
          </w:p>
        </w:tc>
        <w:tc>
          <w:tcPr>
            <w:tcW w:w="1109" w:type="dxa"/>
            <w:shd w:val="clear" w:color="000000" w:fill="FFFFFF"/>
            <w:vAlign w:val="center"/>
          </w:tcPr>
          <w:p>
            <w:pPr>
              <w:jc w:val="center"/>
              <w:rPr>
                <w:rFonts w:hint="eastAsia" w:eastAsia="宋体"/>
                <w:color w:val="auto"/>
                <w:sz w:val="21"/>
                <w:szCs w:val="21"/>
                <w:lang w:eastAsia="zh-CN"/>
              </w:rPr>
            </w:pPr>
            <w:r>
              <w:rPr>
                <w:rFonts w:hint="eastAsia"/>
                <w:color w:val="auto"/>
                <w:kern w:val="0"/>
                <w:sz w:val="21"/>
                <w:szCs w:val="21"/>
                <w:lang w:val="en-US" w:eastAsia="zh-CN"/>
              </w:rPr>
              <w:t>13.8</w:t>
            </w:r>
          </w:p>
        </w:tc>
        <w:tc>
          <w:tcPr>
            <w:tcW w:w="1109" w:type="dxa"/>
            <w:shd w:val="clear" w:color="000000" w:fill="FFFFFF"/>
            <w:vAlign w:val="center"/>
          </w:tcPr>
          <w:p>
            <w:pPr>
              <w:jc w:val="center"/>
              <w:rPr>
                <w:color w:val="auto"/>
                <w:sz w:val="21"/>
                <w:szCs w:val="21"/>
              </w:rPr>
            </w:pPr>
            <w:r>
              <w:rPr>
                <w:rFonts w:hint="eastAsia"/>
                <w:color w:val="auto"/>
                <w:sz w:val="21"/>
                <w:szCs w:val="21"/>
              </w:rPr>
              <w:t>0</w:t>
            </w:r>
          </w:p>
        </w:tc>
        <w:tc>
          <w:tcPr>
            <w:tcW w:w="1109" w:type="dxa"/>
            <w:shd w:val="clear" w:color="000000" w:fill="FFFFFF"/>
            <w:vAlign w:val="center"/>
          </w:tcPr>
          <w:p>
            <w:pPr>
              <w:jc w:val="center"/>
              <w:rPr>
                <w:rFonts w:hint="eastAsia" w:eastAsia="宋体"/>
                <w:color w:val="auto"/>
                <w:sz w:val="21"/>
                <w:szCs w:val="21"/>
                <w:lang w:eastAsia="zh-CN"/>
              </w:rPr>
            </w:pPr>
            <w:r>
              <w:rPr>
                <w:rFonts w:hint="eastAsia"/>
                <w:color w:val="auto"/>
                <w:kern w:val="0"/>
                <w:sz w:val="21"/>
                <w:szCs w:val="21"/>
                <w:lang w:val="en-US" w:eastAsia="zh-CN"/>
              </w:rPr>
              <w:t>2.07</w:t>
            </w:r>
          </w:p>
        </w:tc>
        <w:tc>
          <w:tcPr>
            <w:tcW w:w="1059" w:type="dxa"/>
            <w:shd w:val="clear" w:color="000000" w:fill="FFFFFF"/>
            <w:vAlign w:val="center"/>
          </w:tcPr>
          <w:p>
            <w:pPr>
              <w:jc w:val="center"/>
              <w:rPr>
                <w:color w:val="auto"/>
                <w:sz w:val="21"/>
                <w:szCs w:val="21"/>
              </w:rPr>
            </w:pPr>
            <w:r>
              <w:rPr>
                <w:color w:val="auto"/>
                <w:sz w:val="21"/>
                <w:szCs w:val="21"/>
              </w:rPr>
              <w:t>无组织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8" w:hRule="atLeast"/>
        </w:trPr>
        <w:tc>
          <w:tcPr>
            <w:tcW w:w="1381" w:type="dxa"/>
            <w:vMerge w:val="continue"/>
            <w:shd w:val="clear" w:color="000000" w:fill="FFFFFF"/>
          </w:tcPr>
          <w:p>
            <w:pPr>
              <w:jc w:val="center"/>
              <w:rPr>
                <w:color w:val="auto"/>
                <w:sz w:val="21"/>
                <w:szCs w:val="21"/>
              </w:rPr>
            </w:pPr>
          </w:p>
        </w:tc>
        <w:tc>
          <w:tcPr>
            <w:tcW w:w="1621" w:type="dxa"/>
            <w:shd w:val="clear" w:color="000000" w:fill="FFFFFF"/>
            <w:vAlign w:val="center"/>
          </w:tcPr>
          <w:p>
            <w:pPr>
              <w:jc w:val="center"/>
              <w:rPr>
                <w:color w:val="auto"/>
                <w:sz w:val="21"/>
                <w:szCs w:val="21"/>
              </w:rPr>
            </w:pPr>
            <w:r>
              <w:rPr>
                <w:color w:val="auto"/>
                <w:kern w:val="0"/>
                <w:sz w:val="21"/>
                <w:szCs w:val="21"/>
              </w:rPr>
              <w:t>车辆运输扬尘</w:t>
            </w:r>
          </w:p>
        </w:tc>
        <w:tc>
          <w:tcPr>
            <w:tcW w:w="1898" w:type="dxa"/>
            <w:shd w:val="clear" w:color="000000" w:fill="FFFFFF"/>
            <w:vAlign w:val="center"/>
          </w:tcPr>
          <w:p>
            <w:pPr>
              <w:jc w:val="center"/>
              <w:rPr>
                <w:color w:val="auto"/>
                <w:sz w:val="21"/>
                <w:szCs w:val="21"/>
              </w:rPr>
            </w:pPr>
            <w:r>
              <w:rPr>
                <w:color w:val="auto"/>
                <w:sz w:val="21"/>
                <w:szCs w:val="21"/>
              </w:rPr>
              <w:t>颗粒物</w:t>
            </w:r>
          </w:p>
        </w:tc>
        <w:tc>
          <w:tcPr>
            <w:tcW w:w="1109" w:type="dxa"/>
            <w:shd w:val="clear" w:color="000000" w:fill="FFFFFF"/>
            <w:vAlign w:val="center"/>
          </w:tcPr>
          <w:p>
            <w:pPr>
              <w:jc w:val="center"/>
              <w:rPr>
                <w:color w:val="auto"/>
                <w:sz w:val="21"/>
                <w:szCs w:val="21"/>
              </w:rPr>
            </w:pPr>
            <w:r>
              <w:rPr>
                <w:color w:val="auto"/>
                <w:sz w:val="21"/>
                <w:szCs w:val="21"/>
              </w:rPr>
              <w:t>0.24</w:t>
            </w:r>
          </w:p>
        </w:tc>
        <w:tc>
          <w:tcPr>
            <w:tcW w:w="1109" w:type="dxa"/>
            <w:shd w:val="clear" w:color="000000" w:fill="FFFFFF"/>
            <w:vAlign w:val="center"/>
          </w:tcPr>
          <w:p>
            <w:pPr>
              <w:jc w:val="center"/>
              <w:rPr>
                <w:color w:val="auto"/>
                <w:sz w:val="21"/>
                <w:szCs w:val="21"/>
              </w:rPr>
            </w:pPr>
            <w:r>
              <w:rPr>
                <w:rFonts w:hint="eastAsia"/>
                <w:color w:val="auto"/>
                <w:sz w:val="21"/>
                <w:szCs w:val="21"/>
              </w:rPr>
              <w:t>0</w:t>
            </w:r>
          </w:p>
        </w:tc>
        <w:tc>
          <w:tcPr>
            <w:tcW w:w="1109" w:type="dxa"/>
            <w:shd w:val="clear" w:color="000000" w:fill="FFFFFF"/>
            <w:vAlign w:val="center"/>
          </w:tcPr>
          <w:p>
            <w:pPr>
              <w:jc w:val="center"/>
              <w:rPr>
                <w:color w:val="auto"/>
                <w:sz w:val="21"/>
                <w:szCs w:val="21"/>
              </w:rPr>
            </w:pPr>
            <w:r>
              <w:rPr>
                <w:color w:val="auto"/>
                <w:sz w:val="21"/>
                <w:szCs w:val="21"/>
              </w:rPr>
              <w:t>0.24</w:t>
            </w:r>
          </w:p>
        </w:tc>
        <w:tc>
          <w:tcPr>
            <w:tcW w:w="1059" w:type="dxa"/>
            <w:shd w:val="clear" w:color="000000" w:fill="FFFFFF"/>
            <w:vAlign w:val="center"/>
          </w:tcPr>
          <w:p>
            <w:pPr>
              <w:jc w:val="center"/>
              <w:rPr>
                <w:color w:val="auto"/>
                <w:sz w:val="21"/>
                <w:szCs w:val="21"/>
              </w:rPr>
            </w:pPr>
            <w:r>
              <w:rPr>
                <w:color w:val="auto"/>
                <w:sz w:val="21"/>
                <w:szCs w:val="21"/>
              </w:rPr>
              <w:t>无组织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8" w:hRule="atLeast"/>
        </w:trPr>
        <w:tc>
          <w:tcPr>
            <w:tcW w:w="1381" w:type="dxa"/>
            <w:vMerge w:val="restart"/>
            <w:shd w:val="clear" w:color="000000" w:fill="FFFFFF"/>
            <w:vAlign w:val="center"/>
          </w:tcPr>
          <w:p>
            <w:pPr>
              <w:jc w:val="center"/>
              <w:rPr>
                <w:color w:val="auto"/>
                <w:sz w:val="21"/>
                <w:szCs w:val="21"/>
              </w:rPr>
            </w:pPr>
            <w:r>
              <w:rPr>
                <w:color w:val="auto"/>
                <w:sz w:val="21"/>
                <w:szCs w:val="21"/>
              </w:rPr>
              <w:t>废水</w:t>
            </w:r>
          </w:p>
        </w:tc>
        <w:tc>
          <w:tcPr>
            <w:tcW w:w="1621" w:type="dxa"/>
            <w:vMerge w:val="restart"/>
            <w:shd w:val="clear" w:color="000000" w:fill="FFFFFF"/>
            <w:vAlign w:val="center"/>
          </w:tcPr>
          <w:p>
            <w:pPr>
              <w:jc w:val="center"/>
              <w:rPr>
                <w:color w:val="auto"/>
                <w:sz w:val="21"/>
                <w:szCs w:val="21"/>
              </w:rPr>
            </w:pPr>
            <w:r>
              <w:rPr>
                <w:rFonts w:hint="eastAsia"/>
                <w:color w:val="auto"/>
                <w:kern w:val="0"/>
                <w:sz w:val="21"/>
                <w:szCs w:val="21"/>
              </w:rPr>
              <w:t>餐厨垃圾处理废水</w:t>
            </w:r>
          </w:p>
        </w:tc>
        <w:tc>
          <w:tcPr>
            <w:tcW w:w="1898" w:type="dxa"/>
            <w:shd w:val="clear" w:color="000000" w:fill="FFFFFF"/>
            <w:vAlign w:val="center"/>
          </w:tcPr>
          <w:p>
            <w:pPr>
              <w:autoSpaceDE w:val="0"/>
              <w:autoSpaceDN w:val="0"/>
              <w:adjustRightInd w:val="0"/>
              <w:jc w:val="center"/>
              <w:rPr>
                <w:color w:val="auto"/>
                <w:kern w:val="0"/>
                <w:sz w:val="21"/>
                <w:szCs w:val="21"/>
              </w:rPr>
            </w:pPr>
            <w:r>
              <w:rPr>
                <w:rFonts w:eastAsiaTheme="minorEastAsia"/>
                <w:color w:val="auto"/>
                <w:kern w:val="0"/>
                <w:sz w:val="21"/>
                <w:szCs w:val="21"/>
              </w:rPr>
              <w:t>BOD</w:t>
            </w:r>
            <w:r>
              <w:rPr>
                <w:rFonts w:eastAsiaTheme="minorEastAsia"/>
                <w:color w:val="auto"/>
                <w:kern w:val="0"/>
                <w:sz w:val="21"/>
                <w:szCs w:val="21"/>
                <w:vertAlign w:val="subscript"/>
              </w:rPr>
              <w:t>5</w:t>
            </w:r>
          </w:p>
        </w:tc>
        <w:tc>
          <w:tcPr>
            <w:tcW w:w="1109" w:type="dxa"/>
            <w:shd w:val="clear" w:color="000000" w:fill="FFFFFF"/>
            <w:textDirection w:val="lrTb"/>
            <w:vAlign w:val="center"/>
          </w:tcPr>
          <w:p>
            <w:pPr>
              <w:autoSpaceDE w:val="0"/>
              <w:autoSpaceDN w:val="0"/>
              <w:adjustRightInd w:val="0"/>
              <w:jc w:val="center"/>
              <w:rPr>
                <w:color w:val="auto"/>
                <w:sz w:val="21"/>
                <w:szCs w:val="21"/>
              </w:rPr>
            </w:pPr>
            <w:r>
              <w:rPr>
                <w:rFonts w:hint="eastAsia" w:eastAsiaTheme="minorEastAsia"/>
                <w:color w:val="auto"/>
                <w:kern w:val="0"/>
                <w:sz w:val="21"/>
                <w:szCs w:val="21"/>
                <w:lang w:val="en-US" w:eastAsia="zh-CN"/>
              </w:rPr>
              <w:t xml:space="preserve">9.33 </w:t>
            </w:r>
          </w:p>
        </w:tc>
        <w:tc>
          <w:tcPr>
            <w:tcW w:w="1109" w:type="dxa"/>
            <w:shd w:val="clear" w:color="000000" w:fill="FFFFFF"/>
            <w:textDirection w:val="lrTb"/>
            <w:vAlign w:val="center"/>
          </w:tcPr>
          <w:p>
            <w:pPr>
              <w:autoSpaceDE w:val="0"/>
              <w:autoSpaceDN w:val="0"/>
              <w:adjustRightInd w:val="0"/>
              <w:jc w:val="center"/>
              <w:rPr>
                <w:color w:val="auto"/>
                <w:sz w:val="21"/>
                <w:szCs w:val="21"/>
              </w:rPr>
            </w:pPr>
            <w:r>
              <w:rPr>
                <w:rFonts w:hint="eastAsia" w:eastAsiaTheme="minorEastAsia"/>
                <w:color w:val="auto"/>
                <w:kern w:val="0"/>
                <w:sz w:val="21"/>
                <w:szCs w:val="21"/>
                <w:lang w:val="en-US" w:eastAsia="zh-CN"/>
              </w:rPr>
              <w:t xml:space="preserve">9.33 </w:t>
            </w:r>
          </w:p>
        </w:tc>
        <w:tc>
          <w:tcPr>
            <w:tcW w:w="1109" w:type="dxa"/>
            <w:shd w:val="clear" w:color="000000" w:fill="FFFFFF"/>
            <w:vAlign w:val="center"/>
          </w:tcPr>
          <w:p>
            <w:pPr>
              <w:jc w:val="center"/>
              <w:rPr>
                <w:color w:val="auto"/>
                <w:sz w:val="21"/>
                <w:szCs w:val="21"/>
              </w:rPr>
            </w:pPr>
            <w:r>
              <w:rPr>
                <w:color w:val="auto"/>
                <w:sz w:val="21"/>
                <w:szCs w:val="21"/>
              </w:rPr>
              <w:t>0</w:t>
            </w:r>
          </w:p>
        </w:tc>
        <w:tc>
          <w:tcPr>
            <w:tcW w:w="1059" w:type="dxa"/>
            <w:vMerge w:val="restart"/>
            <w:shd w:val="clear" w:color="000000" w:fill="FFFFFF"/>
            <w:vAlign w:val="center"/>
          </w:tcPr>
          <w:p>
            <w:pPr>
              <w:jc w:val="center"/>
              <w:rPr>
                <w:color w:val="auto"/>
                <w:sz w:val="21"/>
                <w:szCs w:val="21"/>
              </w:rPr>
            </w:pPr>
            <w:r>
              <w:rPr>
                <w:color w:val="auto"/>
                <w:sz w:val="21"/>
                <w:szCs w:val="21"/>
              </w:rPr>
              <w:t>经处理达标后全部回用于厂区，不外排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8" w:hRule="atLeast"/>
        </w:trPr>
        <w:tc>
          <w:tcPr>
            <w:tcW w:w="1381" w:type="dxa"/>
            <w:vMerge w:val="continue"/>
            <w:shd w:val="clear" w:color="000000" w:fill="FFFFFF"/>
            <w:vAlign w:val="center"/>
          </w:tcPr>
          <w:p>
            <w:pPr>
              <w:jc w:val="center"/>
              <w:rPr>
                <w:color w:val="auto"/>
                <w:sz w:val="21"/>
                <w:szCs w:val="21"/>
              </w:rPr>
            </w:pPr>
          </w:p>
        </w:tc>
        <w:tc>
          <w:tcPr>
            <w:tcW w:w="1621" w:type="dxa"/>
            <w:vMerge w:val="continue"/>
            <w:shd w:val="clear" w:color="000000" w:fill="FFFFFF"/>
            <w:vAlign w:val="center"/>
          </w:tcPr>
          <w:p>
            <w:pPr>
              <w:jc w:val="center"/>
              <w:rPr>
                <w:color w:val="auto"/>
                <w:kern w:val="0"/>
                <w:sz w:val="21"/>
                <w:szCs w:val="21"/>
              </w:rPr>
            </w:pPr>
          </w:p>
        </w:tc>
        <w:tc>
          <w:tcPr>
            <w:tcW w:w="1898" w:type="dxa"/>
            <w:shd w:val="clear" w:color="000000" w:fill="FFFFFF"/>
            <w:vAlign w:val="center"/>
          </w:tcPr>
          <w:p>
            <w:pPr>
              <w:autoSpaceDE w:val="0"/>
              <w:autoSpaceDN w:val="0"/>
              <w:adjustRightInd w:val="0"/>
              <w:jc w:val="center"/>
              <w:rPr>
                <w:color w:val="auto"/>
                <w:kern w:val="0"/>
                <w:sz w:val="21"/>
                <w:szCs w:val="21"/>
              </w:rPr>
            </w:pPr>
            <w:r>
              <w:rPr>
                <w:rFonts w:eastAsiaTheme="minorEastAsia"/>
                <w:color w:val="auto"/>
                <w:sz w:val="21"/>
                <w:szCs w:val="21"/>
              </w:rPr>
              <w:t>CODcr</w:t>
            </w:r>
          </w:p>
        </w:tc>
        <w:tc>
          <w:tcPr>
            <w:tcW w:w="1109" w:type="dxa"/>
            <w:shd w:val="clear" w:color="000000" w:fill="FFFFFF"/>
            <w:textDirection w:val="lrTb"/>
            <w:vAlign w:val="center"/>
          </w:tcPr>
          <w:p>
            <w:pPr>
              <w:autoSpaceDE w:val="0"/>
              <w:autoSpaceDN w:val="0"/>
              <w:adjustRightInd w:val="0"/>
              <w:jc w:val="center"/>
              <w:rPr>
                <w:color w:val="auto"/>
                <w:sz w:val="21"/>
                <w:szCs w:val="21"/>
              </w:rPr>
            </w:pPr>
            <w:r>
              <w:rPr>
                <w:rFonts w:hint="eastAsia" w:eastAsiaTheme="minorEastAsia"/>
                <w:color w:val="auto"/>
                <w:kern w:val="0"/>
                <w:sz w:val="21"/>
                <w:szCs w:val="21"/>
                <w:lang w:val="en-US" w:eastAsia="zh-CN"/>
              </w:rPr>
              <w:t xml:space="preserve">37.30 </w:t>
            </w:r>
          </w:p>
        </w:tc>
        <w:tc>
          <w:tcPr>
            <w:tcW w:w="1109" w:type="dxa"/>
            <w:shd w:val="clear" w:color="000000" w:fill="FFFFFF"/>
            <w:textDirection w:val="lrTb"/>
            <w:vAlign w:val="center"/>
          </w:tcPr>
          <w:p>
            <w:pPr>
              <w:autoSpaceDE w:val="0"/>
              <w:autoSpaceDN w:val="0"/>
              <w:adjustRightInd w:val="0"/>
              <w:jc w:val="center"/>
              <w:rPr>
                <w:color w:val="auto"/>
                <w:sz w:val="21"/>
                <w:szCs w:val="21"/>
              </w:rPr>
            </w:pPr>
            <w:r>
              <w:rPr>
                <w:rFonts w:hint="eastAsia" w:eastAsiaTheme="minorEastAsia"/>
                <w:color w:val="auto"/>
                <w:kern w:val="0"/>
                <w:sz w:val="21"/>
                <w:szCs w:val="21"/>
                <w:lang w:val="en-US" w:eastAsia="zh-CN"/>
              </w:rPr>
              <w:t xml:space="preserve">37.30 </w:t>
            </w:r>
          </w:p>
        </w:tc>
        <w:tc>
          <w:tcPr>
            <w:tcW w:w="1109" w:type="dxa"/>
            <w:shd w:val="clear" w:color="000000" w:fill="FFFFFF"/>
            <w:vAlign w:val="center"/>
          </w:tcPr>
          <w:p>
            <w:pPr>
              <w:jc w:val="center"/>
              <w:rPr>
                <w:color w:val="auto"/>
                <w:sz w:val="21"/>
                <w:szCs w:val="21"/>
              </w:rPr>
            </w:pPr>
            <w:r>
              <w:rPr>
                <w:color w:val="auto"/>
                <w:sz w:val="21"/>
                <w:szCs w:val="21"/>
              </w:rPr>
              <w:t>0</w:t>
            </w:r>
          </w:p>
        </w:tc>
        <w:tc>
          <w:tcPr>
            <w:tcW w:w="1059" w:type="dxa"/>
            <w:vMerge w:val="continue"/>
            <w:shd w:val="clear" w:color="000000" w:fill="FFFFFF"/>
            <w:vAlign w:val="center"/>
          </w:tcPr>
          <w:p>
            <w:pPr>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8" w:hRule="atLeast"/>
        </w:trPr>
        <w:tc>
          <w:tcPr>
            <w:tcW w:w="1381" w:type="dxa"/>
            <w:vMerge w:val="continue"/>
            <w:shd w:val="clear" w:color="000000" w:fill="FFFFFF"/>
            <w:vAlign w:val="center"/>
          </w:tcPr>
          <w:p>
            <w:pPr>
              <w:jc w:val="center"/>
              <w:rPr>
                <w:color w:val="auto"/>
                <w:sz w:val="21"/>
                <w:szCs w:val="21"/>
              </w:rPr>
            </w:pPr>
          </w:p>
        </w:tc>
        <w:tc>
          <w:tcPr>
            <w:tcW w:w="1621" w:type="dxa"/>
            <w:vMerge w:val="continue"/>
            <w:shd w:val="clear" w:color="000000" w:fill="FFFFFF"/>
            <w:vAlign w:val="center"/>
          </w:tcPr>
          <w:p>
            <w:pPr>
              <w:jc w:val="center"/>
              <w:rPr>
                <w:color w:val="auto"/>
                <w:kern w:val="0"/>
                <w:sz w:val="21"/>
                <w:szCs w:val="21"/>
              </w:rPr>
            </w:pPr>
          </w:p>
        </w:tc>
        <w:tc>
          <w:tcPr>
            <w:tcW w:w="1898" w:type="dxa"/>
            <w:shd w:val="clear" w:color="000000" w:fill="FFFFFF"/>
            <w:vAlign w:val="center"/>
          </w:tcPr>
          <w:p>
            <w:pPr>
              <w:autoSpaceDE w:val="0"/>
              <w:autoSpaceDN w:val="0"/>
              <w:adjustRightInd w:val="0"/>
              <w:jc w:val="center"/>
              <w:rPr>
                <w:color w:val="auto"/>
                <w:kern w:val="0"/>
                <w:sz w:val="21"/>
                <w:szCs w:val="21"/>
              </w:rPr>
            </w:pPr>
            <w:r>
              <w:rPr>
                <w:rFonts w:eastAsiaTheme="minorEastAsia"/>
                <w:color w:val="auto"/>
                <w:sz w:val="21"/>
                <w:szCs w:val="21"/>
              </w:rPr>
              <w:t>SS</w:t>
            </w:r>
          </w:p>
        </w:tc>
        <w:tc>
          <w:tcPr>
            <w:tcW w:w="1109" w:type="dxa"/>
            <w:shd w:val="clear" w:color="000000" w:fill="FFFFFF"/>
            <w:textDirection w:val="lrTb"/>
            <w:vAlign w:val="center"/>
          </w:tcPr>
          <w:p>
            <w:pPr>
              <w:autoSpaceDE w:val="0"/>
              <w:autoSpaceDN w:val="0"/>
              <w:adjustRightInd w:val="0"/>
              <w:jc w:val="center"/>
              <w:rPr>
                <w:color w:val="auto"/>
                <w:sz w:val="21"/>
                <w:szCs w:val="21"/>
              </w:rPr>
            </w:pPr>
            <w:r>
              <w:rPr>
                <w:rFonts w:hint="eastAsia" w:eastAsiaTheme="minorEastAsia"/>
                <w:color w:val="auto"/>
                <w:kern w:val="0"/>
                <w:sz w:val="21"/>
                <w:szCs w:val="21"/>
                <w:lang w:val="en-US" w:eastAsia="zh-CN"/>
              </w:rPr>
              <w:t xml:space="preserve">0.93 </w:t>
            </w:r>
          </w:p>
        </w:tc>
        <w:tc>
          <w:tcPr>
            <w:tcW w:w="1109" w:type="dxa"/>
            <w:shd w:val="clear" w:color="000000" w:fill="FFFFFF"/>
            <w:textDirection w:val="lrTb"/>
            <w:vAlign w:val="center"/>
          </w:tcPr>
          <w:p>
            <w:pPr>
              <w:autoSpaceDE w:val="0"/>
              <w:autoSpaceDN w:val="0"/>
              <w:adjustRightInd w:val="0"/>
              <w:jc w:val="center"/>
              <w:rPr>
                <w:color w:val="auto"/>
                <w:sz w:val="21"/>
                <w:szCs w:val="21"/>
              </w:rPr>
            </w:pPr>
            <w:r>
              <w:rPr>
                <w:rFonts w:hint="eastAsia" w:eastAsiaTheme="minorEastAsia"/>
                <w:color w:val="auto"/>
                <w:kern w:val="0"/>
                <w:sz w:val="21"/>
                <w:szCs w:val="21"/>
                <w:lang w:val="en-US" w:eastAsia="zh-CN"/>
              </w:rPr>
              <w:t xml:space="preserve">0.93 </w:t>
            </w:r>
          </w:p>
        </w:tc>
        <w:tc>
          <w:tcPr>
            <w:tcW w:w="1109" w:type="dxa"/>
            <w:shd w:val="clear" w:color="000000" w:fill="FFFFFF"/>
            <w:vAlign w:val="center"/>
          </w:tcPr>
          <w:p>
            <w:pPr>
              <w:jc w:val="center"/>
              <w:rPr>
                <w:color w:val="auto"/>
                <w:sz w:val="21"/>
                <w:szCs w:val="21"/>
              </w:rPr>
            </w:pPr>
            <w:r>
              <w:rPr>
                <w:color w:val="auto"/>
                <w:sz w:val="21"/>
                <w:szCs w:val="21"/>
              </w:rPr>
              <w:t>0</w:t>
            </w:r>
          </w:p>
        </w:tc>
        <w:tc>
          <w:tcPr>
            <w:tcW w:w="1059" w:type="dxa"/>
            <w:vMerge w:val="continue"/>
            <w:shd w:val="clear" w:color="000000" w:fill="FFFFFF"/>
            <w:vAlign w:val="center"/>
          </w:tcPr>
          <w:p>
            <w:pPr>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8" w:hRule="atLeast"/>
        </w:trPr>
        <w:tc>
          <w:tcPr>
            <w:tcW w:w="1381" w:type="dxa"/>
            <w:vMerge w:val="continue"/>
            <w:shd w:val="clear" w:color="000000" w:fill="FFFFFF"/>
            <w:vAlign w:val="center"/>
          </w:tcPr>
          <w:p>
            <w:pPr>
              <w:jc w:val="center"/>
              <w:rPr>
                <w:color w:val="auto"/>
                <w:sz w:val="21"/>
                <w:szCs w:val="21"/>
              </w:rPr>
            </w:pPr>
          </w:p>
        </w:tc>
        <w:tc>
          <w:tcPr>
            <w:tcW w:w="1621" w:type="dxa"/>
            <w:vMerge w:val="continue"/>
            <w:shd w:val="clear" w:color="000000" w:fill="FFFFFF"/>
            <w:vAlign w:val="center"/>
          </w:tcPr>
          <w:p>
            <w:pPr>
              <w:jc w:val="center"/>
              <w:rPr>
                <w:color w:val="auto"/>
                <w:kern w:val="0"/>
                <w:sz w:val="21"/>
                <w:szCs w:val="21"/>
              </w:rPr>
            </w:pPr>
          </w:p>
        </w:tc>
        <w:tc>
          <w:tcPr>
            <w:tcW w:w="1898" w:type="dxa"/>
            <w:shd w:val="clear" w:color="000000" w:fill="FFFFFF"/>
            <w:vAlign w:val="center"/>
          </w:tcPr>
          <w:p>
            <w:pPr>
              <w:autoSpaceDE w:val="0"/>
              <w:autoSpaceDN w:val="0"/>
              <w:adjustRightInd w:val="0"/>
              <w:jc w:val="center"/>
              <w:rPr>
                <w:color w:val="auto"/>
                <w:kern w:val="0"/>
                <w:sz w:val="21"/>
                <w:szCs w:val="21"/>
              </w:rPr>
            </w:pPr>
            <w:r>
              <w:rPr>
                <w:rFonts w:eastAsiaTheme="minorEastAsia"/>
                <w:color w:val="auto"/>
                <w:sz w:val="21"/>
                <w:szCs w:val="21"/>
              </w:rPr>
              <w:t>NH</w:t>
            </w:r>
            <w:r>
              <w:rPr>
                <w:rFonts w:eastAsiaTheme="minorEastAsia"/>
                <w:color w:val="auto"/>
                <w:sz w:val="21"/>
                <w:szCs w:val="21"/>
                <w:vertAlign w:val="subscript"/>
              </w:rPr>
              <w:t>3</w:t>
            </w:r>
            <w:r>
              <w:rPr>
                <w:rFonts w:eastAsiaTheme="minorEastAsia"/>
                <w:color w:val="auto"/>
                <w:sz w:val="21"/>
                <w:szCs w:val="21"/>
              </w:rPr>
              <w:t>-N</w:t>
            </w:r>
          </w:p>
        </w:tc>
        <w:tc>
          <w:tcPr>
            <w:tcW w:w="1109" w:type="dxa"/>
            <w:shd w:val="clear" w:color="000000" w:fill="FFFFFF"/>
            <w:textDirection w:val="lrTb"/>
            <w:vAlign w:val="center"/>
          </w:tcPr>
          <w:p>
            <w:pPr>
              <w:autoSpaceDE w:val="0"/>
              <w:autoSpaceDN w:val="0"/>
              <w:adjustRightInd w:val="0"/>
              <w:jc w:val="center"/>
              <w:rPr>
                <w:color w:val="auto"/>
                <w:sz w:val="21"/>
                <w:szCs w:val="21"/>
              </w:rPr>
            </w:pPr>
            <w:r>
              <w:rPr>
                <w:rFonts w:hint="eastAsia" w:eastAsiaTheme="minorEastAsia"/>
                <w:color w:val="auto"/>
                <w:kern w:val="0"/>
                <w:sz w:val="21"/>
                <w:szCs w:val="21"/>
                <w:lang w:val="en-US" w:eastAsia="zh-CN"/>
              </w:rPr>
              <w:t xml:space="preserve">6.22 </w:t>
            </w:r>
          </w:p>
        </w:tc>
        <w:tc>
          <w:tcPr>
            <w:tcW w:w="1109" w:type="dxa"/>
            <w:shd w:val="clear" w:color="000000" w:fill="FFFFFF"/>
            <w:textDirection w:val="lrTb"/>
            <w:vAlign w:val="center"/>
          </w:tcPr>
          <w:p>
            <w:pPr>
              <w:autoSpaceDE w:val="0"/>
              <w:autoSpaceDN w:val="0"/>
              <w:adjustRightInd w:val="0"/>
              <w:jc w:val="center"/>
              <w:rPr>
                <w:color w:val="auto"/>
                <w:sz w:val="21"/>
                <w:szCs w:val="21"/>
              </w:rPr>
            </w:pPr>
            <w:r>
              <w:rPr>
                <w:rFonts w:hint="eastAsia" w:eastAsiaTheme="minorEastAsia"/>
                <w:color w:val="auto"/>
                <w:kern w:val="0"/>
                <w:sz w:val="21"/>
                <w:szCs w:val="21"/>
                <w:lang w:val="en-US" w:eastAsia="zh-CN"/>
              </w:rPr>
              <w:t xml:space="preserve">6.22 </w:t>
            </w:r>
          </w:p>
        </w:tc>
        <w:tc>
          <w:tcPr>
            <w:tcW w:w="1109" w:type="dxa"/>
            <w:shd w:val="clear" w:color="000000" w:fill="FFFFFF"/>
            <w:vAlign w:val="center"/>
          </w:tcPr>
          <w:p>
            <w:pPr>
              <w:jc w:val="center"/>
              <w:rPr>
                <w:color w:val="auto"/>
                <w:sz w:val="21"/>
                <w:szCs w:val="21"/>
              </w:rPr>
            </w:pPr>
            <w:r>
              <w:rPr>
                <w:color w:val="auto"/>
                <w:sz w:val="21"/>
                <w:szCs w:val="21"/>
              </w:rPr>
              <w:t>0</w:t>
            </w:r>
          </w:p>
        </w:tc>
        <w:tc>
          <w:tcPr>
            <w:tcW w:w="1059" w:type="dxa"/>
            <w:vMerge w:val="continue"/>
            <w:shd w:val="clear" w:color="000000" w:fill="FFFFFF"/>
            <w:vAlign w:val="center"/>
          </w:tcPr>
          <w:p>
            <w:pPr>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8" w:hRule="atLeast"/>
        </w:trPr>
        <w:tc>
          <w:tcPr>
            <w:tcW w:w="1381" w:type="dxa"/>
            <w:vMerge w:val="continue"/>
            <w:shd w:val="clear" w:color="000000" w:fill="FFFFFF"/>
            <w:vAlign w:val="center"/>
          </w:tcPr>
          <w:p>
            <w:pPr>
              <w:jc w:val="center"/>
              <w:rPr>
                <w:color w:val="auto"/>
                <w:sz w:val="21"/>
                <w:szCs w:val="21"/>
              </w:rPr>
            </w:pPr>
          </w:p>
        </w:tc>
        <w:tc>
          <w:tcPr>
            <w:tcW w:w="1621" w:type="dxa"/>
            <w:vMerge w:val="continue"/>
            <w:shd w:val="clear" w:color="000000" w:fill="FFFFFF"/>
            <w:vAlign w:val="center"/>
          </w:tcPr>
          <w:p>
            <w:pPr>
              <w:jc w:val="center"/>
              <w:rPr>
                <w:color w:val="auto"/>
                <w:kern w:val="0"/>
                <w:sz w:val="21"/>
                <w:szCs w:val="21"/>
              </w:rPr>
            </w:pPr>
          </w:p>
        </w:tc>
        <w:tc>
          <w:tcPr>
            <w:tcW w:w="1898" w:type="dxa"/>
            <w:shd w:val="clear" w:color="000000" w:fill="FFFFFF"/>
            <w:vAlign w:val="center"/>
          </w:tcPr>
          <w:p>
            <w:pPr>
              <w:autoSpaceDE w:val="0"/>
              <w:autoSpaceDN w:val="0"/>
              <w:adjustRightInd w:val="0"/>
              <w:jc w:val="center"/>
              <w:rPr>
                <w:color w:val="auto"/>
                <w:sz w:val="21"/>
                <w:szCs w:val="21"/>
              </w:rPr>
            </w:pPr>
            <w:r>
              <w:rPr>
                <w:rFonts w:hint="eastAsia" w:eastAsiaTheme="minorEastAsia"/>
                <w:color w:val="auto"/>
                <w:sz w:val="21"/>
                <w:szCs w:val="21"/>
              </w:rPr>
              <w:t>动植物油</w:t>
            </w:r>
          </w:p>
        </w:tc>
        <w:tc>
          <w:tcPr>
            <w:tcW w:w="1109" w:type="dxa"/>
            <w:shd w:val="clear" w:color="000000" w:fill="FFFFFF"/>
            <w:textDirection w:val="lrTb"/>
            <w:vAlign w:val="center"/>
          </w:tcPr>
          <w:p>
            <w:pPr>
              <w:autoSpaceDE w:val="0"/>
              <w:autoSpaceDN w:val="0"/>
              <w:adjustRightInd w:val="0"/>
              <w:jc w:val="center"/>
              <w:rPr>
                <w:color w:val="auto"/>
                <w:sz w:val="21"/>
                <w:szCs w:val="21"/>
              </w:rPr>
            </w:pPr>
            <w:r>
              <w:rPr>
                <w:rFonts w:hint="eastAsia" w:eastAsiaTheme="minorEastAsia"/>
                <w:color w:val="auto"/>
                <w:kern w:val="0"/>
                <w:sz w:val="21"/>
                <w:szCs w:val="21"/>
                <w:lang w:val="en-US" w:eastAsia="zh-CN"/>
              </w:rPr>
              <w:t xml:space="preserve">0.62 </w:t>
            </w:r>
          </w:p>
        </w:tc>
        <w:tc>
          <w:tcPr>
            <w:tcW w:w="1109" w:type="dxa"/>
            <w:shd w:val="clear" w:color="000000" w:fill="FFFFFF"/>
            <w:textDirection w:val="lrTb"/>
            <w:vAlign w:val="center"/>
          </w:tcPr>
          <w:p>
            <w:pPr>
              <w:autoSpaceDE w:val="0"/>
              <w:autoSpaceDN w:val="0"/>
              <w:adjustRightInd w:val="0"/>
              <w:jc w:val="center"/>
              <w:rPr>
                <w:color w:val="auto"/>
                <w:sz w:val="21"/>
                <w:szCs w:val="21"/>
              </w:rPr>
            </w:pPr>
            <w:r>
              <w:rPr>
                <w:rFonts w:hint="eastAsia" w:eastAsiaTheme="minorEastAsia"/>
                <w:color w:val="auto"/>
                <w:kern w:val="0"/>
                <w:sz w:val="21"/>
                <w:szCs w:val="21"/>
                <w:lang w:val="en-US" w:eastAsia="zh-CN"/>
              </w:rPr>
              <w:t xml:space="preserve">0.62 </w:t>
            </w:r>
          </w:p>
        </w:tc>
        <w:tc>
          <w:tcPr>
            <w:tcW w:w="1109" w:type="dxa"/>
            <w:shd w:val="clear" w:color="000000" w:fill="FFFFFF"/>
            <w:vAlign w:val="center"/>
          </w:tcPr>
          <w:p>
            <w:pPr>
              <w:jc w:val="center"/>
              <w:rPr>
                <w:color w:val="auto"/>
                <w:sz w:val="21"/>
                <w:szCs w:val="21"/>
              </w:rPr>
            </w:pPr>
            <w:r>
              <w:rPr>
                <w:color w:val="auto"/>
                <w:sz w:val="21"/>
                <w:szCs w:val="21"/>
              </w:rPr>
              <w:t>0</w:t>
            </w:r>
          </w:p>
        </w:tc>
        <w:tc>
          <w:tcPr>
            <w:tcW w:w="1059" w:type="dxa"/>
            <w:vMerge w:val="continue"/>
            <w:shd w:val="clear" w:color="000000" w:fill="FFFFFF"/>
            <w:vAlign w:val="center"/>
          </w:tcPr>
          <w:p>
            <w:pPr>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80" w:hRule="atLeast"/>
        </w:trPr>
        <w:tc>
          <w:tcPr>
            <w:tcW w:w="1381" w:type="dxa"/>
            <w:vMerge w:val="continue"/>
            <w:shd w:val="clear" w:color="000000" w:fill="FFFFFF"/>
            <w:vAlign w:val="center"/>
          </w:tcPr>
          <w:p>
            <w:pPr>
              <w:jc w:val="center"/>
              <w:rPr>
                <w:color w:val="auto"/>
                <w:sz w:val="21"/>
                <w:szCs w:val="21"/>
              </w:rPr>
            </w:pPr>
          </w:p>
        </w:tc>
        <w:tc>
          <w:tcPr>
            <w:tcW w:w="1621" w:type="dxa"/>
            <w:vMerge w:val="restart"/>
            <w:shd w:val="clear" w:color="000000" w:fill="FFFFFF"/>
            <w:vAlign w:val="center"/>
          </w:tcPr>
          <w:p>
            <w:pPr>
              <w:jc w:val="center"/>
              <w:rPr>
                <w:color w:val="auto"/>
                <w:kern w:val="0"/>
                <w:sz w:val="21"/>
                <w:szCs w:val="21"/>
              </w:rPr>
            </w:pPr>
            <w:r>
              <w:rPr>
                <w:rFonts w:hint="eastAsia"/>
                <w:color w:val="auto"/>
                <w:kern w:val="0"/>
                <w:sz w:val="21"/>
                <w:szCs w:val="21"/>
              </w:rPr>
              <w:t>建筑垃圾消纳场</w:t>
            </w:r>
          </w:p>
        </w:tc>
        <w:tc>
          <w:tcPr>
            <w:tcW w:w="1898" w:type="dxa"/>
            <w:shd w:val="clear" w:color="000000" w:fill="FFFFFF"/>
            <w:vAlign w:val="center"/>
          </w:tcPr>
          <w:p>
            <w:pPr>
              <w:autoSpaceDE w:val="0"/>
              <w:autoSpaceDN w:val="0"/>
              <w:adjustRightInd w:val="0"/>
              <w:jc w:val="center"/>
              <w:rPr>
                <w:color w:val="auto"/>
                <w:sz w:val="21"/>
                <w:szCs w:val="21"/>
              </w:rPr>
            </w:pPr>
            <w:r>
              <w:rPr>
                <w:bCs/>
                <w:color w:val="auto"/>
                <w:sz w:val="21"/>
                <w:szCs w:val="21"/>
              </w:rPr>
              <w:t>SS</w:t>
            </w:r>
          </w:p>
        </w:tc>
        <w:tc>
          <w:tcPr>
            <w:tcW w:w="1109" w:type="dxa"/>
            <w:shd w:val="clear" w:color="000000" w:fill="FFFFFF"/>
            <w:vAlign w:val="center"/>
          </w:tcPr>
          <w:p>
            <w:pPr>
              <w:jc w:val="center"/>
              <w:rPr>
                <w:color w:val="auto"/>
                <w:sz w:val="21"/>
                <w:szCs w:val="21"/>
              </w:rPr>
            </w:pPr>
            <w:r>
              <w:rPr>
                <w:rFonts w:hint="eastAsia"/>
                <w:color w:val="auto"/>
                <w:sz w:val="21"/>
                <w:szCs w:val="21"/>
              </w:rPr>
              <w:t>37.9</w:t>
            </w:r>
          </w:p>
        </w:tc>
        <w:tc>
          <w:tcPr>
            <w:tcW w:w="1109" w:type="dxa"/>
            <w:shd w:val="clear" w:color="000000" w:fill="FFFFFF"/>
            <w:textDirection w:val="lrTb"/>
            <w:vAlign w:val="center"/>
          </w:tcPr>
          <w:p>
            <w:pPr>
              <w:jc w:val="center"/>
              <w:rPr>
                <w:color w:val="auto"/>
                <w:sz w:val="21"/>
                <w:szCs w:val="21"/>
              </w:rPr>
            </w:pPr>
            <w:r>
              <w:rPr>
                <w:rFonts w:hint="eastAsia"/>
                <w:color w:val="auto"/>
                <w:sz w:val="21"/>
                <w:szCs w:val="21"/>
              </w:rPr>
              <w:t>37.9</w:t>
            </w:r>
          </w:p>
        </w:tc>
        <w:tc>
          <w:tcPr>
            <w:tcW w:w="1109" w:type="dxa"/>
            <w:shd w:val="clear" w:color="000000" w:fill="FFFFFF"/>
            <w:textDirection w:val="lrTb"/>
            <w:vAlign w:val="center"/>
          </w:tcPr>
          <w:p>
            <w:pPr>
              <w:jc w:val="center"/>
              <w:rPr>
                <w:color w:val="auto"/>
                <w:sz w:val="21"/>
                <w:szCs w:val="21"/>
              </w:rPr>
            </w:pPr>
            <w:r>
              <w:rPr>
                <w:color w:val="auto"/>
                <w:sz w:val="21"/>
                <w:szCs w:val="21"/>
              </w:rPr>
              <w:t>0</w:t>
            </w:r>
          </w:p>
        </w:tc>
        <w:tc>
          <w:tcPr>
            <w:tcW w:w="1059" w:type="dxa"/>
            <w:vMerge w:val="restart"/>
            <w:shd w:val="clear" w:color="000000" w:fill="FFFFFF"/>
            <w:vAlign w:val="center"/>
          </w:tcPr>
          <w:p>
            <w:pPr>
              <w:jc w:val="center"/>
              <w:rPr>
                <w:color w:val="auto"/>
                <w:sz w:val="21"/>
                <w:szCs w:val="21"/>
              </w:rPr>
            </w:pPr>
            <w:r>
              <w:rPr>
                <w:rFonts w:hint="eastAsia"/>
                <w:bCs/>
                <w:color w:val="auto"/>
                <w:sz w:val="21"/>
                <w:szCs w:val="21"/>
              </w:rPr>
              <w:t>经处理后回用于</w:t>
            </w:r>
            <w:r>
              <w:rPr>
                <w:bCs/>
                <w:color w:val="auto"/>
                <w:sz w:val="21"/>
                <w:szCs w:val="21"/>
              </w:rPr>
              <w:t>场内洒水抑尘</w:t>
            </w:r>
            <w:r>
              <w:rPr>
                <w:rFonts w:hint="eastAsia"/>
                <w:bCs/>
                <w:color w:val="auto"/>
                <w:sz w:val="21"/>
                <w:szCs w:val="21"/>
              </w:rPr>
              <w:t>和洗车工序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8" w:hRule="atLeast"/>
        </w:trPr>
        <w:tc>
          <w:tcPr>
            <w:tcW w:w="1381" w:type="dxa"/>
            <w:vMerge w:val="continue"/>
            <w:shd w:val="clear" w:color="000000" w:fill="FFFFFF"/>
            <w:vAlign w:val="center"/>
          </w:tcPr>
          <w:p>
            <w:pPr>
              <w:jc w:val="center"/>
              <w:rPr>
                <w:color w:val="auto"/>
                <w:sz w:val="21"/>
                <w:szCs w:val="21"/>
              </w:rPr>
            </w:pPr>
          </w:p>
        </w:tc>
        <w:tc>
          <w:tcPr>
            <w:tcW w:w="1621" w:type="dxa"/>
            <w:vMerge w:val="continue"/>
            <w:shd w:val="clear" w:color="000000" w:fill="FFFFFF"/>
            <w:vAlign w:val="center"/>
          </w:tcPr>
          <w:p>
            <w:pPr>
              <w:jc w:val="center"/>
              <w:rPr>
                <w:color w:val="auto"/>
                <w:kern w:val="0"/>
                <w:sz w:val="21"/>
                <w:szCs w:val="21"/>
              </w:rPr>
            </w:pPr>
          </w:p>
        </w:tc>
        <w:tc>
          <w:tcPr>
            <w:tcW w:w="1898" w:type="dxa"/>
            <w:shd w:val="clear" w:color="000000" w:fill="FFFFFF"/>
            <w:vAlign w:val="center"/>
          </w:tcPr>
          <w:p>
            <w:pPr>
              <w:autoSpaceDE w:val="0"/>
              <w:autoSpaceDN w:val="0"/>
              <w:adjustRightInd w:val="0"/>
              <w:jc w:val="center"/>
              <w:rPr>
                <w:color w:val="auto"/>
                <w:sz w:val="21"/>
                <w:szCs w:val="21"/>
              </w:rPr>
            </w:pPr>
            <w:r>
              <w:rPr>
                <w:bCs/>
                <w:color w:val="auto"/>
                <w:sz w:val="21"/>
                <w:szCs w:val="21"/>
              </w:rPr>
              <w:t>石油类</w:t>
            </w:r>
          </w:p>
        </w:tc>
        <w:tc>
          <w:tcPr>
            <w:tcW w:w="1109" w:type="dxa"/>
            <w:shd w:val="clear" w:color="000000" w:fill="FFFFFF"/>
            <w:vAlign w:val="center"/>
          </w:tcPr>
          <w:p>
            <w:pPr>
              <w:jc w:val="center"/>
              <w:rPr>
                <w:color w:val="auto"/>
                <w:sz w:val="21"/>
                <w:szCs w:val="21"/>
              </w:rPr>
            </w:pPr>
            <w:r>
              <w:rPr>
                <w:rFonts w:hint="eastAsia"/>
                <w:color w:val="auto"/>
                <w:sz w:val="21"/>
                <w:szCs w:val="21"/>
              </w:rPr>
              <w:t>0.00009</w:t>
            </w:r>
          </w:p>
        </w:tc>
        <w:tc>
          <w:tcPr>
            <w:tcW w:w="1109" w:type="dxa"/>
            <w:shd w:val="clear" w:color="000000" w:fill="FFFFFF"/>
            <w:textDirection w:val="lrTb"/>
            <w:vAlign w:val="center"/>
          </w:tcPr>
          <w:p>
            <w:pPr>
              <w:jc w:val="center"/>
              <w:rPr>
                <w:color w:val="auto"/>
                <w:sz w:val="21"/>
                <w:szCs w:val="21"/>
              </w:rPr>
            </w:pPr>
            <w:r>
              <w:rPr>
                <w:rFonts w:hint="eastAsia"/>
                <w:color w:val="auto"/>
                <w:sz w:val="21"/>
                <w:szCs w:val="21"/>
              </w:rPr>
              <w:t>0.00009</w:t>
            </w:r>
          </w:p>
        </w:tc>
        <w:tc>
          <w:tcPr>
            <w:tcW w:w="1109" w:type="dxa"/>
            <w:shd w:val="clear" w:color="000000" w:fill="FFFFFF"/>
            <w:textDirection w:val="lrTb"/>
            <w:vAlign w:val="center"/>
          </w:tcPr>
          <w:p>
            <w:pPr>
              <w:jc w:val="center"/>
              <w:rPr>
                <w:color w:val="auto"/>
                <w:sz w:val="21"/>
                <w:szCs w:val="21"/>
              </w:rPr>
            </w:pPr>
            <w:r>
              <w:rPr>
                <w:color w:val="auto"/>
                <w:sz w:val="21"/>
                <w:szCs w:val="21"/>
              </w:rPr>
              <w:t>0</w:t>
            </w:r>
          </w:p>
        </w:tc>
        <w:tc>
          <w:tcPr>
            <w:tcW w:w="1059" w:type="dxa"/>
            <w:vMerge w:val="continue"/>
            <w:shd w:val="clear" w:color="000000" w:fill="FFFFFF"/>
            <w:vAlign w:val="center"/>
          </w:tcPr>
          <w:p>
            <w:pPr>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8" w:hRule="atLeast"/>
        </w:trPr>
        <w:tc>
          <w:tcPr>
            <w:tcW w:w="1381" w:type="dxa"/>
            <w:vMerge w:val="restart"/>
            <w:vAlign w:val="center"/>
          </w:tcPr>
          <w:p>
            <w:pPr>
              <w:jc w:val="center"/>
              <w:rPr>
                <w:color w:val="auto"/>
                <w:sz w:val="21"/>
                <w:szCs w:val="21"/>
              </w:rPr>
            </w:pPr>
            <w:r>
              <w:rPr>
                <w:color w:val="auto"/>
                <w:sz w:val="21"/>
                <w:szCs w:val="21"/>
              </w:rPr>
              <w:t>固废</w:t>
            </w:r>
          </w:p>
        </w:tc>
        <w:tc>
          <w:tcPr>
            <w:tcW w:w="1621" w:type="dxa"/>
            <w:vMerge w:val="restart"/>
            <w:vAlign w:val="center"/>
          </w:tcPr>
          <w:p>
            <w:pPr>
              <w:jc w:val="center"/>
              <w:rPr>
                <w:color w:val="auto"/>
                <w:sz w:val="21"/>
                <w:szCs w:val="21"/>
              </w:rPr>
            </w:pPr>
            <w:r>
              <w:rPr>
                <w:rFonts w:hint="eastAsia"/>
                <w:color w:val="auto"/>
                <w:sz w:val="21"/>
                <w:szCs w:val="21"/>
              </w:rPr>
              <w:t>餐厨+建筑垃圾项目</w:t>
            </w:r>
          </w:p>
        </w:tc>
        <w:tc>
          <w:tcPr>
            <w:tcW w:w="1898" w:type="dxa"/>
            <w:shd w:val="clear" w:color="auto" w:fill="auto"/>
            <w:vAlign w:val="center"/>
          </w:tcPr>
          <w:p>
            <w:pPr>
              <w:jc w:val="center"/>
              <w:rPr>
                <w:color w:val="auto"/>
                <w:sz w:val="21"/>
                <w:szCs w:val="21"/>
              </w:rPr>
            </w:pPr>
            <w:r>
              <w:rPr>
                <w:rFonts w:hint="eastAsia"/>
                <w:color w:val="auto"/>
                <w:sz w:val="21"/>
                <w:szCs w:val="21"/>
              </w:rPr>
              <w:t>一般</w:t>
            </w:r>
            <w:r>
              <w:rPr>
                <w:color w:val="auto"/>
                <w:sz w:val="21"/>
                <w:szCs w:val="21"/>
              </w:rPr>
              <w:t>工业固废</w:t>
            </w:r>
          </w:p>
        </w:tc>
        <w:tc>
          <w:tcPr>
            <w:tcW w:w="1109" w:type="dxa"/>
            <w:shd w:val="clear" w:color="auto" w:fill="auto"/>
            <w:vAlign w:val="center"/>
          </w:tcPr>
          <w:p>
            <w:pPr>
              <w:jc w:val="center"/>
              <w:rPr>
                <w:color w:val="auto"/>
                <w:sz w:val="21"/>
                <w:szCs w:val="21"/>
              </w:rPr>
            </w:pPr>
            <w:r>
              <w:rPr>
                <w:rFonts w:hint="eastAsia"/>
                <w:color w:val="auto"/>
                <w:sz w:val="21"/>
                <w:szCs w:val="21"/>
              </w:rPr>
              <w:t>475</w:t>
            </w:r>
            <w:r>
              <w:rPr>
                <w:rFonts w:hint="eastAsia"/>
                <w:color w:val="auto"/>
                <w:sz w:val="21"/>
                <w:szCs w:val="21"/>
                <w:lang w:val="en-US" w:eastAsia="zh-CN"/>
              </w:rPr>
              <w:t>5</w:t>
            </w:r>
            <w:r>
              <w:rPr>
                <w:rFonts w:hint="eastAsia"/>
                <w:color w:val="auto"/>
                <w:sz w:val="21"/>
                <w:szCs w:val="21"/>
              </w:rPr>
              <w:t>.</w:t>
            </w:r>
            <w:r>
              <w:rPr>
                <w:color w:val="auto"/>
                <w:sz w:val="21"/>
                <w:szCs w:val="21"/>
              </w:rPr>
              <w:t>06</w:t>
            </w:r>
          </w:p>
        </w:tc>
        <w:tc>
          <w:tcPr>
            <w:tcW w:w="1109" w:type="dxa"/>
            <w:shd w:val="clear" w:color="auto" w:fill="auto"/>
            <w:vAlign w:val="center"/>
          </w:tcPr>
          <w:p>
            <w:pPr>
              <w:jc w:val="center"/>
              <w:rPr>
                <w:color w:val="auto"/>
                <w:sz w:val="21"/>
                <w:szCs w:val="21"/>
              </w:rPr>
            </w:pPr>
            <w:r>
              <w:rPr>
                <w:rFonts w:hint="eastAsia"/>
                <w:color w:val="auto"/>
                <w:sz w:val="21"/>
                <w:szCs w:val="21"/>
              </w:rPr>
              <w:t>475</w:t>
            </w:r>
            <w:r>
              <w:rPr>
                <w:rFonts w:hint="eastAsia"/>
                <w:color w:val="auto"/>
                <w:sz w:val="21"/>
                <w:szCs w:val="21"/>
                <w:lang w:val="en-US" w:eastAsia="zh-CN"/>
              </w:rPr>
              <w:t>5</w:t>
            </w:r>
            <w:r>
              <w:rPr>
                <w:rFonts w:hint="eastAsia"/>
                <w:color w:val="auto"/>
                <w:sz w:val="21"/>
                <w:szCs w:val="21"/>
              </w:rPr>
              <w:t>.</w:t>
            </w:r>
            <w:r>
              <w:rPr>
                <w:color w:val="auto"/>
                <w:sz w:val="21"/>
                <w:szCs w:val="21"/>
              </w:rPr>
              <w:t>06</w:t>
            </w:r>
          </w:p>
        </w:tc>
        <w:tc>
          <w:tcPr>
            <w:tcW w:w="1109" w:type="dxa"/>
            <w:shd w:val="clear" w:color="auto" w:fill="auto"/>
            <w:vAlign w:val="center"/>
          </w:tcPr>
          <w:p>
            <w:pPr>
              <w:jc w:val="center"/>
              <w:rPr>
                <w:color w:val="auto"/>
                <w:sz w:val="21"/>
                <w:szCs w:val="21"/>
              </w:rPr>
            </w:pPr>
            <w:r>
              <w:rPr>
                <w:color w:val="auto"/>
                <w:sz w:val="21"/>
                <w:szCs w:val="21"/>
              </w:rPr>
              <w:t>0</w:t>
            </w:r>
          </w:p>
        </w:tc>
        <w:tc>
          <w:tcPr>
            <w:tcW w:w="1059" w:type="dxa"/>
            <w:vMerge w:val="restart"/>
            <w:shd w:val="clear" w:color="auto" w:fill="auto"/>
            <w:vAlign w:val="center"/>
          </w:tcPr>
          <w:p>
            <w:pPr>
              <w:jc w:val="center"/>
              <w:rPr>
                <w:color w:val="auto"/>
                <w:sz w:val="21"/>
                <w:szCs w:val="21"/>
              </w:rPr>
            </w:pPr>
            <w:r>
              <w:rPr>
                <w:color w:val="auto"/>
                <w:sz w:val="21"/>
                <w:szCs w:val="21"/>
              </w:rPr>
              <w:t>分类合法处置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8" w:hRule="atLeast"/>
        </w:trPr>
        <w:tc>
          <w:tcPr>
            <w:tcW w:w="1381" w:type="dxa"/>
            <w:vMerge w:val="continue"/>
            <w:vAlign w:val="center"/>
          </w:tcPr>
          <w:p>
            <w:pPr>
              <w:jc w:val="center"/>
              <w:rPr>
                <w:color w:val="auto"/>
                <w:sz w:val="21"/>
                <w:szCs w:val="21"/>
              </w:rPr>
            </w:pPr>
          </w:p>
        </w:tc>
        <w:tc>
          <w:tcPr>
            <w:tcW w:w="1621" w:type="dxa"/>
            <w:vMerge w:val="continue"/>
          </w:tcPr>
          <w:p>
            <w:pPr>
              <w:jc w:val="center"/>
              <w:rPr>
                <w:color w:val="auto"/>
                <w:sz w:val="21"/>
                <w:szCs w:val="21"/>
              </w:rPr>
            </w:pPr>
          </w:p>
        </w:tc>
        <w:tc>
          <w:tcPr>
            <w:tcW w:w="1898" w:type="dxa"/>
            <w:shd w:val="clear" w:color="auto" w:fill="auto"/>
            <w:vAlign w:val="center"/>
          </w:tcPr>
          <w:p>
            <w:pPr>
              <w:jc w:val="center"/>
              <w:rPr>
                <w:color w:val="auto"/>
                <w:sz w:val="21"/>
                <w:szCs w:val="21"/>
              </w:rPr>
            </w:pPr>
            <w:r>
              <w:rPr>
                <w:rFonts w:hint="eastAsia"/>
                <w:color w:val="auto"/>
                <w:sz w:val="21"/>
                <w:szCs w:val="21"/>
              </w:rPr>
              <w:t>危险废物</w:t>
            </w:r>
          </w:p>
        </w:tc>
        <w:tc>
          <w:tcPr>
            <w:tcW w:w="1109" w:type="dxa"/>
            <w:shd w:val="clear" w:color="auto" w:fill="auto"/>
            <w:vAlign w:val="center"/>
          </w:tcPr>
          <w:p>
            <w:pPr>
              <w:jc w:val="center"/>
              <w:rPr>
                <w:rFonts w:hint="eastAsia" w:eastAsia="宋体"/>
                <w:color w:val="auto"/>
                <w:sz w:val="21"/>
                <w:szCs w:val="21"/>
                <w:lang w:eastAsia="zh-CN"/>
              </w:rPr>
            </w:pPr>
            <w:r>
              <w:rPr>
                <w:rFonts w:hint="eastAsia"/>
                <w:color w:val="auto"/>
                <w:sz w:val="21"/>
                <w:szCs w:val="21"/>
                <w:lang w:val="en-US" w:eastAsia="zh-CN"/>
              </w:rPr>
              <w:t>0.65</w:t>
            </w:r>
          </w:p>
        </w:tc>
        <w:tc>
          <w:tcPr>
            <w:tcW w:w="1109" w:type="dxa"/>
            <w:shd w:val="clear" w:color="auto" w:fill="auto"/>
            <w:vAlign w:val="center"/>
          </w:tcPr>
          <w:p>
            <w:pPr>
              <w:jc w:val="center"/>
              <w:rPr>
                <w:rFonts w:hint="eastAsia" w:eastAsia="宋体"/>
                <w:color w:val="auto"/>
                <w:sz w:val="21"/>
                <w:szCs w:val="21"/>
                <w:lang w:eastAsia="zh-CN"/>
              </w:rPr>
            </w:pPr>
            <w:r>
              <w:rPr>
                <w:rFonts w:hint="eastAsia"/>
                <w:color w:val="auto"/>
                <w:sz w:val="21"/>
                <w:szCs w:val="21"/>
                <w:lang w:val="en-US" w:eastAsia="zh-CN"/>
              </w:rPr>
              <w:t>0.65</w:t>
            </w:r>
          </w:p>
        </w:tc>
        <w:tc>
          <w:tcPr>
            <w:tcW w:w="1109" w:type="dxa"/>
            <w:shd w:val="clear" w:color="auto" w:fill="auto"/>
            <w:vAlign w:val="center"/>
          </w:tcPr>
          <w:p>
            <w:pPr>
              <w:jc w:val="center"/>
              <w:rPr>
                <w:color w:val="auto"/>
                <w:sz w:val="21"/>
                <w:szCs w:val="21"/>
              </w:rPr>
            </w:pPr>
            <w:r>
              <w:rPr>
                <w:color w:val="auto"/>
                <w:sz w:val="21"/>
                <w:szCs w:val="21"/>
              </w:rPr>
              <w:t>0</w:t>
            </w:r>
          </w:p>
        </w:tc>
        <w:tc>
          <w:tcPr>
            <w:tcW w:w="1059" w:type="dxa"/>
            <w:vMerge w:val="continue"/>
            <w:shd w:val="clear" w:color="auto" w:fill="auto"/>
            <w:vAlign w:val="center"/>
          </w:tcPr>
          <w:p>
            <w:pPr>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98" w:hRule="atLeast"/>
        </w:trPr>
        <w:tc>
          <w:tcPr>
            <w:tcW w:w="1381" w:type="dxa"/>
            <w:vAlign w:val="center"/>
          </w:tcPr>
          <w:p>
            <w:pPr>
              <w:jc w:val="center"/>
              <w:rPr>
                <w:color w:val="auto"/>
                <w:sz w:val="21"/>
                <w:szCs w:val="21"/>
              </w:rPr>
            </w:pPr>
            <w:r>
              <w:rPr>
                <w:color w:val="auto"/>
                <w:sz w:val="21"/>
                <w:szCs w:val="21"/>
              </w:rPr>
              <w:t>噪声</w:t>
            </w:r>
          </w:p>
        </w:tc>
        <w:tc>
          <w:tcPr>
            <w:tcW w:w="1621" w:type="dxa"/>
            <w:vAlign w:val="center"/>
          </w:tcPr>
          <w:p>
            <w:pPr>
              <w:jc w:val="center"/>
              <w:rPr>
                <w:color w:val="auto"/>
                <w:sz w:val="21"/>
                <w:szCs w:val="21"/>
              </w:rPr>
            </w:pPr>
            <w:r>
              <w:rPr>
                <w:color w:val="auto"/>
                <w:sz w:val="21"/>
                <w:szCs w:val="21"/>
              </w:rPr>
              <w:t>全厂</w:t>
            </w:r>
          </w:p>
        </w:tc>
        <w:tc>
          <w:tcPr>
            <w:tcW w:w="4116" w:type="dxa"/>
            <w:gridSpan w:val="3"/>
            <w:shd w:val="clear" w:color="auto" w:fill="auto"/>
            <w:vAlign w:val="center"/>
          </w:tcPr>
          <w:p>
            <w:pPr>
              <w:jc w:val="center"/>
              <w:rPr>
                <w:color w:val="auto"/>
                <w:sz w:val="21"/>
                <w:szCs w:val="21"/>
              </w:rPr>
            </w:pPr>
            <w:r>
              <w:rPr>
                <w:color w:val="auto"/>
                <w:sz w:val="21"/>
                <w:szCs w:val="21"/>
              </w:rPr>
              <w:t xml:space="preserve">生产设备噪声， 包括连续排放和间断两种 </w:t>
            </w:r>
          </w:p>
        </w:tc>
        <w:tc>
          <w:tcPr>
            <w:tcW w:w="2168" w:type="dxa"/>
            <w:gridSpan w:val="2"/>
            <w:shd w:val="clear" w:color="auto" w:fill="auto"/>
            <w:vAlign w:val="center"/>
          </w:tcPr>
          <w:p>
            <w:pPr>
              <w:jc w:val="center"/>
              <w:rPr>
                <w:color w:val="auto"/>
                <w:sz w:val="21"/>
                <w:szCs w:val="21"/>
              </w:rPr>
            </w:pPr>
            <w:r>
              <w:rPr>
                <w:color w:val="auto"/>
                <w:sz w:val="21"/>
                <w:szCs w:val="21"/>
              </w:rPr>
              <w:t>治理前噪声源强在75~110dB(A)之间，通过优先选择低转速设备，同时采取隔声、消声器、减</w:t>
            </w:r>
            <w:r>
              <w:rPr>
                <w:rFonts w:hint="eastAsia"/>
                <w:color w:val="auto"/>
                <w:sz w:val="21"/>
                <w:szCs w:val="21"/>
              </w:rPr>
              <w:t>振</w:t>
            </w:r>
            <w:r>
              <w:rPr>
                <w:color w:val="auto"/>
                <w:sz w:val="21"/>
                <w:szCs w:val="21"/>
              </w:rPr>
              <w:t>等措施治理后，噪声源强基本在70dB(A)左右。</w:t>
            </w:r>
          </w:p>
        </w:tc>
      </w:tr>
    </w:tbl>
    <w:p>
      <w:pPr>
        <w:pStyle w:val="3"/>
        <w:numPr>
          <w:ilvl w:val="0"/>
          <w:numId w:val="0"/>
        </w:numPr>
        <w:tabs>
          <w:tab w:val="clear" w:pos="680"/>
        </w:tabs>
        <w:rPr>
          <w:rFonts w:ascii="Times New Roman"/>
          <w:bCs/>
          <w:color w:val="auto"/>
          <w:lang w:eastAsia="zh-CN"/>
        </w:rPr>
      </w:pPr>
      <w:bookmarkStart w:id="337" w:name="_Toc21582"/>
      <w:r>
        <w:rPr>
          <w:rFonts w:hint="eastAsia" w:ascii="Times New Roman"/>
          <w:bCs/>
          <w:color w:val="auto"/>
          <w:lang w:eastAsia="zh-CN"/>
        </w:rPr>
        <w:t>3.</w:t>
      </w:r>
      <w:r>
        <w:rPr>
          <w:rFonts w:hint="eastAsia" w:ascii="Times New Roman"/>
          <w:bCs/>
          <w:color w:val="auto"/>
          <w:lang w:val="en-US" w:eastAsia="zh-CN"/>
        </w:rPr>
        <w:t>6</w:t>
      </w:r>
      <w:r>
        <w:rPr>
          <w:rFonts w:hint="eastAsia" w:ascii="Times New Roman"/>
          <w:bCs/>
          <w:color w:val="auto"/>
          <w:lang w:eastAsia="zh-CN"/>
        </w:rPr>
        <w:t>总量</w:t>
      </w:r>
      <w:r>
        <w:rPr>
          <w:rFonts w:ascii="Times New Roman"/>
          <w:bCs/>
          <w:color w:val="auto"/>
          <w:lang w:eastAsia="zh-CN"/>
        </w:rPr>
        <w:t>控制</w:t>
      </w:r>
      <w:bookmarkEnd w:id="337"/>
    </w:p>
    <w:p>
      <w:pPr>
        <w:spacing w:line="360" w:lineRule="auto"/>
        <w:ind w:firstLine="480" w:firstLineChars="200"/>
        <w:jc w:val="both"/>
        <w:rPr>
          <w:color w:val="auto"/>
        </w:rPr>
      </w:pPr>
      <w:r>
        <w:rPr>
          <w:color w:val="auto"/>
        </w:rPr>
        <w:t>根据工程分析结果，在建设项目正常运行，满足环境质量要求、污染物达标排放及清洁生产的前提下，按照节能减排的原则给出主要污染物排放量。</w:t>
      </w:r>
      <w:r>
        <w:rPr>
          <w:rFonts w:hint="eastAsia"/>
          <w:color w:val="auto"/>
        </w:rPr>
        <w:t>由于</w:t>
      </w:r>
      <w:r>
        <w:rPr>
          <w:color w:val="auto"/>
        </w:rPr>
        <w:t>本项目</w:t>
      </w:r>
      <w:r>
        <w:rPr>
          <w:rFonts w:hint="eastAsia"/>
          <w:color w:val="auto"/>
        </w:rPr>
        <w:t>废水</w:t>
      </w:r>
      <w:r>
        <w:rPr>
          <w:color w:val="auto"/>
        </w:rPr>
        <w:t>和固废不外排，</w:t>
      </w:r>
      <w:r>
        <w:rPr>
          <w:rFonts w:hint="eastAsia"/>
          <w:color w:val="auto"/>
        </w:rPr>
        <w:t>外排</w:t>
      </w:r>
      <w:r>
        <w:rPr>
          <w:color w:val="auto"/>
        </w:rPr>
        <w:t>的</w:t>
      </w:r>
      <w:r>
        <w:rPr>
          <w:rFonts w:hint="eastAsia"/>
          <w:color w:val="auto"/>
        </w:rPr>
        <w:t>废气特征因子</w:t>
      </w:r>
      <w:r>
        <w:rPr>
          <w:rFonts w:hint="eastAsia"/>
          <w:color w:val="auto"/>
          <w:lang w:eastAsia="zh-CN"/>
        </w:rPr>
        <w:t>不</w:t>
      </w:r>
      <w:r>
        <w:rPr>
          <w:rFonts w:hint="eastAsia"/>
          <w:color w:val="auto"/>
        </w:rPr>
        <w:t>涉及</w:t>
      </w:r>
      <w:r>
        <w:rPr>
          <w:color w:val="auto"/>
        </w:rPr>
        <w:t>国家对污染物总量控制</w:t>
      </w:r>
      <w:r>
        <w:rPr>
          <w:rFonts w:hint="eastAsia"/>
          <w:color w:val="auto"/>
        </w:rPr>
        <w:t>指标</w:t>
      </w:r>
      <w:r>
        <w:rPr>
          <w:color w:val="auto"/>
        </w:rPr>
        <w:t>，</w:t>
      </w:r>
      <w:r>
        <w:rPr>
          <w:rFonts w:hint="eastAsia"/>
          <w:color w:val="auto"/>
        </w:rPr>
        <w:t>故</w:t>
      </w:r>
      <w:r>
        <w:rPr>
          <w:color w:val="auto"/>
        </w:rPr>
        <w:t>本项目</w:t>
      </w:r>
      <w:r>
        <w:rPr>
          <w:rFonts w:hint="eastAsia"/>
          <w:color w:val="auto"/>
          <w:lang w:eastAsia="zh-CN"/>
        </w:rPr>
        <w:t>不设置总量控制指标</w:t>
      </w:r>
      <w:r>
        <w:rPr>
          <w:rFonts w:hint="eastAsia"/>
          <w:color w:val="auto"/>
        </w:rPr>
        <w:t>。</w:t>
      </w:r>
    </w:p>
    <w:p>
      <w:pPr>
        <w:pStyle w:val="3"/>
        <w:numPr>
          <w:ilvl w:val="0"/>
          <w:numId w:val="0"/>
        </w:numPr>
        <w:tabs>
          <w:tab w:val="clear" w:pos="680"/>
        </w:tabs>
        <w:rPr>
          <w:rFonts w:ascii="Times New Roman"/>
          <w:bCs/>
          <w:color w:val="auto"/>
        </w:rPr>
      </w:pPr>
      <w:bookmarkStart w:id="338" w:name="_Toc24136766"/>
      <w:bookmarkStart w:id="339" w:name="_Toc23263162"/>
      <w:bookmarkStart w:id="340" w:name="_Toc17214"/>
      <w:r>
        <w:rPr>
          <w:rFonts w:hint="eastAsia" w:ascii="Times New Roman"/>
          <w:bCs/>
          <w:color w:val="auto"/>
          <w:lang w:eastAsia="zh-CN"/>
        </w:rPr>
        <w:t>3.</w:t>
      </w:r>
      <w:r>
        <w:rPr>
          <w:rFonts w:hint="eastAsia" w:ascii="Times New Roman"/>
          <w:bCs/>
          <w:color w:val="auto"/>
          <w:lang w:val="en-US" w:eastAsia="zh-CN"/>
        </w:rPr>
        <w:t>7</w:t>
      </w:r>
      <w:r>
        <w:rPr>
          <w:rFonts w:hint="eastAsia" w:ascii="Times New Roman"/>
          <w:bCs/>
          <w:color w:val="auto"/>
        </w:rPr>
        <w:t>清洁生产评价</w:t>
      </w:r>
      <w:bookmarkEnd w:id="338"/>
      <w:bookmarkEnd w:id="339"/>
      <w:bookmarkEnd w:id="340"/>
    </w:p>
    <w:p>
      <w:pPr>
        <w:spacing w:line="360" w:lineRule="auto"/>
        <w:ind w:firstLine="480" w:firstLineChars="200"/>
        <w:jc w:val="both"/>
        <w:rPr>
          <w:color w:val="auto"/>
        </w:rPr>
      </w:pPr>
      <w:r>
        <w:rPr>
          <w:rFonts w:hint="eastAsia"/>
          <w:color w:val="auto"/>
        </w:rPr>
        <w:t>清洁生产的定义是：将污染预防战略持续的应用于生产全过程，通过不断改进管理和推行技术进步提高资源利用率、减少污染物排放，以降低对人类和环境的危害。清洁生产的核心是从源头做起、预防为主，通过全过程控制以实现经济效益和环境效益的统一。</w:t>
      </w:r>
    </w:p>
    <w:p>
      <w:pPr>
        <w:spacing w:line="360" w:lineRule="auto"/>
        <w:ind w:firstLine="480" w:firstLineChars="200"/>
        <w:jc w:val="both"/>
        <w:rPr>
          <w:color w:val="auto"/>
        </w:rPr>
      </w:pPr>
      <w:r>
        <w:rPr>
          <w:rFonts w:hint="eastAsia"/>
          <w:color w:val="auto"/>
        </w:rPr>
        <w:t>本报告通过对原辅材料选择及产品、生产工艺、生产设备、污染源产生等，对本项目清洁生产水平进行分析。</w:t>
      </w:r>
    </w:p>
    <w:p>
      <w:pPr>
        <w:spacing w:line="360" w:lineRule="auto"/>
        <w:rPr>
          <w:b/>
          <w:color w:val="auto"/>
        </w:rPr>
      </w:pPr>
      <w:r>
        <w:rPr>
          <w:rFonts w:hint="eastAsia"/>
          <w:b/>
          <w:color w:val="auto"/>
        </w:rPr>
        <w:t>3.</w:t>
      </w:r>
      <w:r>
        <w:rPr>
          <w:rFonts w:hint="eastAsia"/>
          <w:b/>
          <w:color w:val="auto"/>
          <w:lang w:val="en-US" w:eastAsia="zh-CN"/>
        </w:rPr>
        <w:t>7</w:t>
      </w:r>
      <w:r>
        <w:rPr>
          <w:rFonts w:hint="eastAsia"/>
          <w:b/>
          <w:color w:val="auto"/>
        </w:rPr>
        <w:t>.1 原材料选择及产品</w:t>
      </w:r>
    </w:p>
    <w:p>
      <w:pPr>
        <w:autoSpaceDE w:val="0"/>
        <w:autoSpaceDN w:val="0"/>
        <w:adjustRightInd w:val="0"/>
        <w:spacing w:line="360" w:lineRule="auto"/>
        <w:ind w:firstLine="480" w:firstLineChars="200"/>
        <w:rPr>
          <w:rFonts w:ascii="宋体" w:cs="宋体"/>
          <w:color w:val="auto"/>
          <w:kern w:val="0"/>
        </w:rPr>
      </w:pPr>
      <w:r>
        <w:rPr>
          <w:rFonts w:hint="eastAsia" w:ascii="宋体" w:cs="宋体"/>
          <w:color w:val="auto"/>
          <w:kern w:val="0"/>
        </w:rPr>
        <w:t>目前兴宁市餐厨垃圾基本处于无专项管理状态，除了由私人收购及回收利用之外，大部分餐厨垃圾与生活垃圾混合进行处理。目前也没有建成餐厨垃圾收运系统。采用科学手段收集处理餐厨垃圾，保证收运系统正常化运行，是实现餐厨垃圾资源化、无害化处理的前提条件。</w:t>
      </w:r>
    </w:p>
    <w:p>
      <w:pPr>
        <w:autoSpaceDE w:val="0"/>
        <w:autoSpaceDN w:val="0"/>
        <w:adjustRightInd w:val="0"/>
        <w:spacing w:line="360" w:lineRule="auto"/>
        <w:ind w:firstLine="456" w:firstLineChars="200"/>
        <w:rPr>
          <w:color w:val="auto"/>
          <w:spacing w:val="-6"/>
        </w:rPr>
      </w:pPr>
      <w:r>
        <w:rPr>
          <w:rFonts w:hint="eastAsia"/>
          <w:color w:val="auto"/>
          <w:spacing w:val="-6"/>
        </w:rPr>
        <w:t>此外，随着兴宁市经济社会建设快速发展，尤其是城市化进程不断推进，大型建设工地日益增多的背景下，兴宁市产生的建筑垃圾已经达到了一定规模。但目前兴宁市尚未建设有大型的建筑垃圾消纳场，产生的大量建筑垃圾仅能运往南部新城消化或用于土方平衡，资源化程度低，同时严重浪费了土地资源。建筑垃圾收运、受纳以责任主体自行处理为主，非法排放建筑垃圾现象有所发生。</w:t>
      </w:r>
    </w:p>
    <w:p>
      <w:pPr>
        <w:autoSpaceDE w:val="0"/>
        <w:autoSpaceDN w:val="0"/>
        <w:adjustRightInd w:val="0"/>
        <w:spacing w:line="360" w:lineRule="auto"/>
        <w:ind w:firstLine="456" w:firstLineChars="200"/>
        <w:rPr>
          <w:color w:val="auto"/>
          <w:spacing w:val="-6"/>
        </w:rPr>
      </w:pPr>
      <w:r>
        <w:rPr>
          <w:rFonts w:hint="eastAsia"/>
          <w:color w:val="auto"/>
          <w:spacing w:val="-6"/>
        </w:rPr>
        <w:t>因此，改变该地区环境状况已成为兴宁市建设发展的当务之急，本工程的建设可以解决餐厨垃圾无专项管理的问题，也可以解决建筑垃圾随意堆放的问题。</w:t>
      </w:r>
    </w:p>
    <w:p>
      <w:pPr>
        <w:autoSpaceDE w:val="0"/>
        <w:autoSpaceDN w:val="0"/>
        <w:adjustRightInd w:val="0"/>
        <w:spacing w:line="360" w:lineRule="auto"/>
        <w:rPr>
          <w:b/>
          <w:color w:val="auto"/>
        </w:rPr>
      </w:pPr>
      <w:r>
        <w:rPr>
          <w:rFonts w:hint="eastAsia"/>
          <w:b/>
          <w:color w:val="auto"/>
        </w:rPr>
        <w:t>3.</w:t>
      </w:r>
      <w:r>
        <w:rPr>
          <w:rFonts w:hint="eastAsia"/>
          <w:b/>
          <w:color w:val="auto"/>
          <w:lang w:val="en-US" w:eastAsia="zh-CN"/>
        </w:rPr>
        <w:t>7</w:t>
      </w:r>
      <w:r>
        <w:rPr>
          <w:rFonts w:hint="eastAsia"/>
          <w:b/>
          <w:color w:val="auto"/>
        </w:rPr>
        <w:t xml:space="preserve">.2 </w:t>
      </w:r>
      <w:r>
        <w:rPr>
          <w:rFonts w:hint="eastAsia"/>
          <w:b/>
          <w:color w:val="auto"/>
          <w:lang w:eastAsia="zh-CN"/>
        </w:rPr>
        <w:t>处理</w:t>
      </w:r>
      <w:r>
        <w:rPr>
          <w:rFonts w:hint="eastAsia"/>
          <w:b/>
          <w:color w:val="auto"/>
        </w:rPr>
        <w:t>工艺</w:t>
      </w:r>
    </w:p>
    <w:p>
      <w:pPr>
        <w:spacing w:line="360" w:lineRule="auto"/>
        <w:rPr>
          <w:rFonts w:hint="eastAsia" w:eastAsia="宋体"/>
          <w:b/>
          <w:color w:val="auto"/>
          <w:lang w:eastAsia="zh-CN"/>
        </w:rPr>
      </w:pPr>
      <w:r>
        <w:rPr>
          <w:rFonts w:hint="eastAsia"/>
          <w:b/>
          <w:color w:val="auto"/>
          <w:lang w:val="en-US" w:eastAsia="zh-CN"/>
        </w:rPr>
        <w:t xml:space="preserve">  </w:t>
      </w:r>
      <w:r>
        <w:rPr>
          <w:rFonts w:hint="eastAsia"/>
          <w:b w:val="0"/>
          <w:bCs/>
          <w:color w:val="auto"/>
          <w:lang w:eastAsia="zh-CN"/>
        </w:rPr>
        <w:t>通过</w:t>
      </w:r>
      <w:r>
        <w:rPr>
          <w:rFonts w:hint="eastAsia"/>
          <w:b w:val="0"/>
          <w:bCs/>
          <w:color w:val="auto"/>
          <w:lang w:val="en-US" w:eastAsia="zh-CN"/>
        </w:rPr>
        <w:t>3.1.9.2节</w:t>
      </w:r>
      <w:r>
        <w:rPr>
          <w:rFonts w:hint="eastAsia"/>
          <w:b w:val="0"/>
          <w:bCs/>
          <w:color w:val="auto"/>
        </w:rPr>
        <w:t>餐厨处理工艺确定</w:t>
      </w:r>
      <w:r>
        <w:rPr>
          <w:rFonts w:hint="eastAsia"/>
          <w:b w:val="0"/>
          <w:bCs/>
          <w:color w:val="auto"/>
          <w:lang w:eastAsia="zh-CN"/>
        </w:rPr>
        <w:t>以及3.</w:t>
      </w:r>
      <w:r>
        <w:rPr>
          <w:rFonts w:hint="eastAsia"/>
          <w:b w:val="0"/>
          <w:bCs/>
          <w:color w:val="auto"/>
          <w:lang w:val="en-US" w:eastAsia="zh-CN"/>
        </w:rPr>
        <w:t>1</w:t>
      </w:r>
      <w:r>
        <w:rPr>
          <w:rFonts w:hint="eastAsia"/>
          <w:b w:val="0"/>
          <w:bCs/>
          <w:color w:val="auto"/>
          <w:lang w:eastAsia="zh-CN"/>
        </w:rPr>
        <w:t>.9.5节建筑垃圾处理工艺确定分析可知，本项目餐厨垃圾和建筑垃圾处理工艺流程均符合清洁生产要求。</w:t>
      </w:r>
    </w:p>
    <w:p>
      <w:pPr>
        <w:spacing w:line="360" w:lineRule="auto"/>
        <w:rPr>
          <w:b/>
          <w:color w:val="auto"/>
        </w:rPr>
      </w:pPr>
      <w:r>
        <w:rPr>
          <w:rFonts w:hint="eastAsia"/>
          <w:b/>
          <w:color w:val="auto"/>
        </w:rPr>
        <w:t>3.</w:t>
      </w:r>
      <w:r>
        <w:rPr>
          <w:rFonts w:hint="eastAsia"/>
          <w:b/>
          <w:color w:val="auto"/>
          <w:lang w:val="en-US" w:eastAsia="zh-CN"/>
        </w:rPr>
        <w:t>7</w:t>
      </w:r>
      <w:r>
        <w:rPr>
          <w:rFonts w:hint="eastAsia"/>
          <w:b/>
          <w:color w:val="auto"/>
        </w:rPr>
        <w:t xml:space="preserve">.3生产装置水平 </w:t>
      </w:r>
    </w:p>
    <w:p>
      <w:pPr>
        <w:spacing w:line="360" w:lineRule="auto"/>
        <w:ind w:firstLine="360" w:firstLineChars="150"/>
        <w:rPr>
          <w:color w:val="auto"/>
        </w:rPr>
      </w:pPr>
      <w:r>
        <w:rPr>
          <w:rFonts w:hint="eastAsia"/>
          <w:color w:val="auto"/>
        </w:rPr>
        <w:t>餐厨项目使用三相离心机对油水进行分离，三相离心机是一种高效的除渣脱水设备，高速旋转的转鼓所产生的离心力取代了重力的作用，并提高离心加速度加速高达3000G 以上的离心力，依靠强大的离心力使油、水、渣三相分离，是一种全自动化处理设备，改变以往需要在贮槽内加温、保温、静置几十个小时的预处理模式。三相离心机实现了油、水、渣一次性分离，改变以往二相分离和油水分离相结合的模式，优化了工艺，减少了成本，符合清洁生产要求。</w:t>
      </w:r>
    </w:p>
    <w:p>
      <w:pPr>
        <w:spacing w:line="360" w:lineRule="auto"/>
        <w:ind w:firstLine="480" w:firstLineChars="200"/>
        <w:rPr>
          <w:color w:val="auto"/>
        </w:rPr>
      </w:pPr>
      <w:r>
        <w:rPr>
          <w:rFonts w:hint="eastAsia"/>
          <w:color w:val="auto"/>
        </w:rPr>
        <w:t>建筑垃圾项目在运输及填埋选型中优先选用国内先进的封闭式垃圾清运车，所选设备均为低噪声设备。选用国内大型机械设备厂生产的能代表国内先进水平的设备，自动化程度高，效率高，节约能源，对各种电机采用变频调速控制系统，降低能耗。</w:t>
      </w:r>
    </w:p>
    <w:p>
      <w:pPr>
        <w:spacing w:line="360" w:lineRule="auto"/>
        <w:rPr>
          <w:b/>
          <w:color w:val="auto"/>
        </w:rPr>
      </w:pPr>
      <w:r>
        <w:rPr>
          <w:rFonts w:hint="eastAsia"/>
          <w:b/>
          <w:color w:val="auto"/>
        </w:rPr>
        <w:t>3.</w:t>
      </w:r>
      <w:r>
        <w:rPr>
          <w:rFonts w:hint="eastAsia"/>
          <w:b/>
          <w:color w:val="auto"/>
          <w:lang w:val="en-US" w:eastAsia="zh-CN"/>
        </w:rPr>
        <w:t>7</w:t>
      </w:r>
      <w:r>
        <w:rPr>
          <w:rFonts w:hint="eastAsia"/>
          <w:b/>
          <w:color w:val="auto"/>
        </w:rPr>
        <w:t>.4 污染源产生水平</w:t>
      </w:r>
    </w:p>
    <w:p>
      <w:pPr>
        <w:spacing w:line="360" w:lineRule="auto"/>
        <w:rPr>
          <w:color w:val="auto"/>
        </w:rPr>
      </w:pPr>
      <w:r>
        <w:rPr>
          <w:rFonts w:hint="eastAsia"/>
          <w:color w:val="auto"/>
        </w:rPr>
        <w:t xml:space="preserve">   餐厨项目产生的污染源主要为餐厨废水、除臭系统废水、冲洗废水以及餐厨处理过程中产生的恶臭气体，餐厨项目产生的各类废水依托园区在建的废水处理设施处理后回用，恶臭气体采用“化学洗涤塔+光催化氧化+植物液喷淋”工艺处理后引至15m高排气筒排放，项目产生的固体废物均得到合理处置，不排入外环境。</w:t>
      </w:r>
    </w:p>
    <w:p>
      <w:pPr>
        <w:spacing w:line="360" w:lineRule="auto"/>
        <w:ind w:firstLine="360" w:firstLineChars="150"/>
        <w:rPr>
          <w:color w:val="auto"/>
        </w:rPr>
      </w:pPr>
      <w:r>
        <w:rPr>
          <w:rFonts w:hint="eastAsia"/>
          <w:color w:val="auto"/>
        </w:rPr>
        <w:t>建筑处理项目产生的污染源主要为车辆运输、装卸及填埋场扬尘，对场区道路定期洒水抑沉，车辆运输严格管理，建筑垃圾卸车过程中喷水作业，定期对填埋场场区洒水抑沉，通过采取上述措施可以大大减少本项目产生的大气污染物；项目产生的淋溶液经配套的污水处理设施沉淀过滤后回用于厂区洒水抑沉，不外排；项目产生的固体废物均得到合理处置，不排入外环境。</w:t>
      </w:r>
    </w:p>
    <w:p>
      <w:pPr>
        <w:spacing w:line="360" w:lineRule="auto"/>
        <w:ind w:firstLine="360" w:firstLineChars="150"/>
        <w:rPr>
          <w:color w:val="auto"/>
        </w:rPr>
      </w:pPr>
      <w:r>
        <w:rPr>
          <w:rFonts w:hint="eastAsia"/>
          <w:color w:val="auto"/>
        </w:rPr>
        <w:t>综上，从环境污染防治的角度而言，项目清洁生产水平较高。</w:t>
      </w:r>
    </w:p>
    <w:p>
      <w:pPr>
        <w:autoSpaceDE w:val="0"/>
        <w:autoSpaceDN w:val="0"/>
        <w:adjustRightInd w:val="0"/>
        <w:rPr>
          <w:rFonts w:ascii="宋体" w:cs="宋体"/>
          <w:color w:val="auto"/>
          <w:kern w:val="0"/>
          <w:sz w:val="32"/>
          <w:szCs w:val="32"/>
        </w:rPr>
      </w:pPr>
      <w:r>
        <w:rPr>
          <w:b/>
          <w:color w:val="auto"/>
        </w:rPr>
        <w:t>3.</w:t>
      </w:r>
      <w:r>
        <w:rPr>
          <w:rFonts w:hint="eastAsia"/>
          <w:b/>
          <w:color w:val="auto"/>
          <w:lang w:val="en-US" w:eastAsia="zh-CN"/>
        </w:rPr>
        <w:t>7</w:t>
      </w:r>
      <w:r>
        <w:rPr>
          <w:b/>
          <w:color w:val="auto"/>
        </w:rPr>
        <w:t>.</w:t>
      </w:r>
      <w:r>
        <w:rPr>
          <w:rFonts w:hint="eastAsia"/>
          <w:b/>
          <w:color w:val="auto"/>
        </w:rPr>
        <w:t>5</w:t>
      </w:r>
      <w:r>
        <w:rPr>
          <w:b/>
          <w:color w:val="auto"/>
        </w:rPr>
        <w:t xml:space="preserve"> </w:t>
      </w:r>
      <w:r>
        <w:rPr>
          <w:rFonts w:hint="eastAsia"/>
          <w:b/>
          <w:color w:val="auto"/>
        </w:rPr>
        <w:t>小结</w:t>
      </w:r>
      <w:r>
        <w:rPr>
          <w:rFonts w:ascii="宋体" w:cs="宋体"/>
          <w:color w:val="auto"/>
          <w:kern w:val="0"/>
          <w:sz w:val="32"/>
          <w:szCs w:val="32"/>
        </w:rPr>
        <w:t xml:space="preserve"> </w:t>
      </w:r>
    </w:p>
    <w:p>
      <w:pPr>
        <w:autoSpaceDE w:val="0"/>
        <w:autoSpaceDN w:val="0"/>
        <w:adjustRightInd w:val="0"/>
        <w:spacing w:line="360" w:lineRule="auto"/>
        <w:ind w:firstLine="480" w:firstLineChars="200"/>
        <w:rPr>
          <w:rFonts w:ascii="宋体" w:cs="宋体"/>
          <w:color w:val="auto"/>
          <w:kern w:val="0"/>
        </w:rPr>
      </w:pPr>
      <w:r>
        <w:rPr>
          <w:rFonts w:hint="eastAsia" w:ascii="宋体" w:cs="宋体"/>
          <w:color w:val="auto"/>
          <w:kern w:val="0"/>
        </w:rPr>
        <w:t>综上分析，项目所采用的工艺技术路线成熟、可靠，项目采取了多项节能降耗措施，节能效果明显，多项能耗、物耗指标达到了同行业国内先进水平，且工程采取了完备的环保治理措施，各类污染物均可达标排放。</w:t>
      </w:r>
      <w:r>
        <w:rPr>
          <w:rFonts w:ascii="宋体" w:cs="宋体"/>
          <w:color w:val="auto"/>
          <w:kern w:val="0"/>
        </w:rPr>
        <w:t xml:space="preserve"> </w:t>
      </w:r>
    </w:p>
    <w:p>
      <w:pPr>
        <w:autoSpaceDE w:val="0"/>
        <w:autoSpaceDN w:val="0"/>
        <w:adjustRightInd w:val="0"/>
        <w:spacing w:line="360" w:lineRule="auto"/>
        <w:ind w:firstLine="480" w:firstLineChars="200"/>
        <w:rPr>
          <w:rFonts w:ascii="宋体" w:cs="宋体"/>
          <w:color w:val="auto"/>
          <w:kern w:val="0"/>
        </w:rPr>
        <w:sectPr>
          <w:pgSz w:w="11906" w:h="16838"/>
          <w:pgMar w:top="1418" w:right="1418" w:bottom="1418" w:left="1418" w:header="851" w:footer="992" w:gutter="0"/>
          <w:pgNumType w:fmt="decimal"/>
          <w:cols w:space="425" w:num="1"/>
          <w:docGrid w:type="lines" w:linePitch="326" w:charSpace="0"/>
        </w:sectPr>
      </w:pPr>
      <w:r>
        <w:rPr>
          <w:rFonts w:hint="eastAsia" w:ascii="宋体" w:cs="宋体"/>
          <w:color w:val="auto"/>
          <w:kern w:val="0"/>
        </w:rPr>
        <w:t>清洁生产是企业可持续发展的必然选择，建议项目在稳定生产后，尽快申请进行清洁生产审核，建立并运行环境管理体系，定期开展清洁生产审计，将清洁生产的各项措施落实到生产的全过程，保障清洁生产的推行。</w:t>
      </w:r>
    </w:p>
    <w:p>
      <w:pPr>
        <w:pStyle w:val="2"/>
        <w:spacing w:line="360" w:lineRule="auto"/>
        <w:rPr>
          <w:color w:val="auto"/>
          <w:sz w:val="36"/>
          <w:szCs w:val="36"/>
        </w:rPr>
      </w:pPr>
      <w:bookmarkStart w:id="341" w:name="_Toc751"/>
      <w:bookmarkStart w:id="342" w:name="_Toc14943320"/>
      <w:bookmarkStart w:id="343" w:name="_Toc9517761"/>
      <w:bookmarkStart w:id="344" w:name="_Toc24136767"/>
      <w:bookmarkStart w:id="345" w:name="_Toc23263163"/>
      <w:bookmarkStart w:id="346" w:name="_Toc406091944"/>
      <w:bookmarkStart w:id="347" w:name="_Toc483263318"/>
      <w:bookmarkStart w:id="348" w:name="_Toc450814965"/>
      <w:r>
        <w:rPr>
          <w:color w:val="auto"/>
          <w:sz w:val="36"/>
          <w:szCs w:val="36"/>
        </w:rPr>
        <w:t>环境现状调查与评价</w:t>
      </w:r>
      <w:bookmarkEnd w:id="341"/>
      <w:bookmarkEnd w:id="342"/>
      <w:bookmarkEnd w:id="343"/>
      <w:bookmarkEnd w:id="344"/>
      <w:bookmarkEnd w:id="345"/>
    </w:p>
    <w:p>
      <w:pPr>
        <w:pStyle w:val="3"/>
        <w:numPr>
          <w:ilvl w:val="0"/>
          <w:numId w:val="0"/>
        </w:numPr>
        <w:tabs>
          <w:tab w:val="clear" w:pos="680"/>
        </w:tabs>
        <w:rPr>
          <w:rFonts w:ascii="Times New Roman"/>
          <w:bCs/>
          <w:color w:val="auto"/>
        </w:rPr>
      </w:pPr>
      <w:bookmarkStart w:id="349" w:name="_Toc9517762"/>
      <w:bookmarkStart w:id="350" w:name="_Toc24136768"/>
      <w:bookmarkStart w:id="351" w:name="_Toc23263164"/>
      <w:bookmarkStart w:id="352" w:name="_Toc20491"/>
      <w:bookmarkStart w:id="353" w:name="_Toc14943321"/>
      <w:r>
        <w:rPr>
          <w:rFonts w:hint="eastAsia" w:ascii="Times New Roman"/>
          <w:bCs/>
          <w:color w:val="auto"/>
          <w:lang w:eastAsia="zh-CN"/>
        </w:rPr>
        <w:t>4</w:t>
      </w:r>
      <w:r>
        <w:rPr>
          <w:rFonts w:ascii="Times New Roman"/>
          <w:bCs/>
          <w:color w:val="auto"/>
          <w:lang w:eastAsia="zh-CN"/>
        </w:rPr>
        <w:t>.1</w:t>
      </w:r>
      <w:r>
        <w:rPr>
          <w:rFonts w:ascii="Times New Roman"/>
          <w:bCs/>
          <w:color w:val="auto"/>
        </w:rPr>
        <w:t>自然环境现状调查与评价</w:t>
      </w:r>
      <w:bookmarkEnd w:id="349"/>
      <w:bookmarkEnd w:id="350"/>
      <w:bookmarkEnd w:id="351"/>
      <w:bookmarkEnd w:id="352"/>
      <w:bookmarkEnd w:id="353"/>
    </w:p>
    <w:p>
      <w:pPr>
        <w:pStyle w:val="298"/>
        <w:spacing w:before="42" w:after="42" w:line="360" w:lineRule="auto"/>
        <w:rPr>
          <w:color w:val="auto"/>
        </w:rPr>
      </w:pPr>
      <w:bookmarkStart w:id="354" w:name="_Toc28446"/>
      <w:bookmarkStart w:id="355" w:name="_Toc34234688"/>
      <w:bookmarkStart w:id="356" w:name="_Toc15912153"/>
      <w:bookmarkStart w:id="357" w:name="_Toc14946861"/>
      <w:bookmarkStart w:id="358" w:name="_Toc24136769"/>
      <w:r>
        <w:rPr>
          <w:color w:val="auto"/>
        </w:rPr>
        <w:t>4.1.1地理位置</w:t>
      </w:r>
      <w:bookmarkEnd w:id="354"/>
      <w:bookmarkEnd w:id="355"/>
      <w:bookmarkEnd w:id="356"/>
      <w:bookmarkEnd w:id="357"/>
      <w:bookmarkEnd w:id="358"/>
    </w:p>
    <w:p>
      <w:pPr>
        <w:spacing w:line="360" w:lineRule="auto"/>
        <w:ind w:firstLine="480"/>
        <w:rPr>
          <w:color w:val="auto"/>
        </w:rPr>
      </w:pPr>
      <w:r>
        <w:rPr>
          <w:rFonts w:hint="eastAsia"/>
          <w:color w:val="auto"/>
        </w:rPr>
        <w:t>本</w:t>
      </w:r>
      <w:r>
        <w:rPr>
          <w:color w:val="auto"/>
        </w:rPr>
        <w:t>项目位于</w:t>
      </w:r>
      <w:r>
        <w:rPr>
          <w:rFonts w:hint="eastAsia"/>
          <w:color w:val="auto"/>
        </w:rPr>
        <w:t>梅州</w:t>
      </w:r>
      <w:r>
        <w:rPr>
          <w:color w:val="auto"/>
        </w:rPr>
        <w:t>市</w:t>
      </w:r>
      <w:r>
        <w:rPr>
          <w:rFonts w:hint="eastAsia"/>
          <w:color w:val="auto"/>
        </w:rPr>
        <w:t>兴宁市新陂</w:t>
      </w:r>
      <w:r>
        <w:rPr>
          <w:color w:val="auto"/>
        </w:rPr>
        <w:t>镇</w:t>
      </w:r>
      <w:r>
        <w:rPr>
          <w:rFonts w:hint="eastAsia"/>
          <w:color w:val="auto"/>
        </w:rPr>
        <w:t>茅塘村大窝里</w:t>
      </w:r>
      <w:r>
        <w:rPr>
          <w:color w:val="auto"/>
        </w:rPr>
        <w:t>。</w:t>
      </w:r>
    </w:p>
    <w:p>
      <w:pPr>
        <w:spacing w:line="360" w:lineRule="auto"/>
        <w:ind w:firstLine="480"/>
        <w:jc w:val="both"/>
        <w:rPr>
          <w:color w:val="auto"/>
        </w:rPr>
      </w:pPr>
      <w:r>
        <w:rPr>
          <w:color w:val="auto"/>
        </w:rPr>
        <w:t>本项目所在</w:t>
      </w:r>
      <w:r>
        <w:rPr>
          <w:rFonts w:hint="eastAsia"/>
          <w:color w:val="auto"/>
        </w:rPr>
        <w:t>兴宁市</w:t>
      </w:r>
      <w:r>
        <w:rPr>
          <w:color w:val="auto"/>
        </w:rPr>
        <w:t>隶属</w:t>
      </w:r>
      <w:r>
        <w:rPr>
          <w:rFonts w:hint="eastAsia"/>
          <w:color w:val="auto"/>
        </w:rPr>
        <w:t>于</w:t>
      </w:r>
      <w:r>
        <w:rPr>
          <w:color w:val="auto"/>
        </w:rPr>
        <w:t>梅州市，</w:t>
      </w:r>
      <w:r>
        <w:rPr>
          <w:rFonts w:hint="eastAsia"/>
          <w:color w:val="auto"/>
        </w:rPr>
        <w:t>梅州市位于广东省东北部，地处闽、粤、赣三省交界处，东北部连福建省的武平、上杭、永定、平和县，西部和西北部接江西省寻乌、会唱县和河源市的龙川、紫金、东源县，东南部邻揭阳市的揭东县、揭西县、潮州市湘桥区、汕尾市的陆河县、潮州市饶平县。全境地理坐标位于东经115°18′至116°56′、北纬23°23′至24°56′之间，全市总面积15899.62</w:t>
      </w:r>
      <w:r>
        <w:rPr>
          <w:color w:val="auto"/>
        </w:rPr>
        <w:t xml:space="preserve"> </w:t>
      </w:r>
      <w:r>
        <w:rPr>
          <w:rFonts w:hint="eastAsia"/>
          <w:color w:val="auto"/>
        </w:rPr>
        <w:t>km</w:t>
      </w:r>
      <w:r>
        <w:rPr>
          <w:rFonts w:hint="eastAsia"/>
          <w:color w:val="auto"/>
          <w:vertAlign w:val="superscript"/>
        </w:rPr>
        <w:t>2</w:t>
      </w:r>
      <w:r>
        <w:rPr>
          <w:rFonts w:hint="eastAsia"/>
          <w:color w:val="auto"/>
        </w:rPr>
        <w:t>。全市辖梅江区、梅县、平远县、蕉岭县、大埔县、丰顺县、五华县等6县、1区，并代管兴宁市。市政府设在梅江区江南新中路。梅江高速公路至广州384</w:t>
      </w:r>
      <w:r>
        <w:rPr>
          <w:color w:val="auto"/>
        </w:rPr>
        <w:t xml:space="preserve"> </w:t>
      </w:r>
      <w:r>
        <w:rPr>
          <w:rFonts w:hint="eastAsia"/>
          <w:color w:val="auto"/>
        </w:rPr>
        <w:t>km，至深圳345</w:t>
      </w:r>
      <w:r>
        <w:rPr>
          <w:color w:val="auto"/>
        </w:rPr>
        <w:t xml:space="preserve"> </w:t>
      </w:r>
      <w:r>
        <w:rPr>
          <w:rFonts w:hint="eastAsia"/>
          <w:color w:val="auto"/>
        </w:rPr>
        <w:t>km。梅州普通公路至广州434</w:t>
      </w:r>
      <w:r>
        <w:rPr>
          <w:color w:val="auto"/>
        </w:rPr>
        <w:t xml:space="preserve"> </w:t>
      </w:r>
      <w:r>
        <w:rPr>
          <w:rFonts w:hint="eastAsia"/>
          <w:color w:val="auto"/>
        </w:rPr>
        <w:t>km，至深圳398</w:t>
      </w:r>
      <w:r>
        <w:rPr>
          <w:color w:val="auto"/>
        </w:rPr>
        <w:t xml:space="preserve"> </w:t>
      </w:r>
      <w:r>
        <w:rPr>
          <w:rFonts w:hint="eastAsia"/>
          <w:color w:val="auto"/>
        </w:rPr>
        <w:t>km，至汕头191</w:t>
      </w:r>
      <w:r>
        <w:rPr>
          <w:color w:val="auto"/>
        </w:rPr>
        <w:t xml:space="preserve"> </w:t>
      </w:r>
      <w:r>
        <w:rPr>
          <w:rFonts w:hint="eastAsia"/>
          <w:color w:val="auto"/>
        </w:rPr>
        <w:t>km。有民航至广州航线，空中距离为316</w:t>
      </w:r>
      <w:r>
        <w:rPr>
          <w:color w:val="auto"/>
        </w:rPr>
        <w:t xml:space="preserve"> </w:t>
      </w:r>
      <w:r>
        <w:rPr>
          <w:rFonts w:hint="eastAsia"/>
          <w:color w:val="auto"/>
        </w:rPr>
        <w:t>km</w:t>
      </w:r>
      <w:r>
        <w:rPr>
          <w:color w:val="auto"/>
        </w:rPr>
        <w:t>。</w:t>
      </w:r>
    </w:p>
    <w:p>
      <w:pPr>
        <w:spacing w:line="360" w:lineRule="auto"/>
        <w:ind w:firstLine="480"/>
        <w:jc w:val="both"/>
        <w:rPr>
          <w:color w:val="auto"/>
        </w:rPr>
      </w:pPr>
      <w:r>
        <w:rPr>
          <w:color w:val="auto"/>
        </w:rPr>
        <w:t>本项目所在</w:t>
      </w:r>
      <w:r>
        <w:rPr>
          <w:rFonts w:hint="eastAsia"/>
          <w:color w:val="auto"/>
        </w:rPr>
        <w:t>兴宁市地处广东省粤东地区，扼东江、韩江上游，地跨东经115°30′至116°，北纬23°50′至24°37′。北部与江西省寻邬县毗邻，东北部与平远县、梅县相接，东部与梅县交界，南部与丰顺县、梅县相连，西北部与龙川县相邻，西南部与五华县接壤。全市总面积2104.85平方公里。市委、市政府所在地兴田街道办事处位于300多平方公里的宁江盆地中部，是粤、赣、闽三省陆路交通枢纽，粤东北部重要商品集散地，粤东次中心城市，兴宁政治、经济、文化中心。兴城距广州377公里，至深圳347公里，至汕头185公里，至韶关407公里，至江西寻邬县128公里，至福建龙岩282公里，至梅州城区57公里</w:t>
      </w:r>
      <w:r>
        <w:rPr>
          <w:color w:val="auto"/>
        </w:rPr>
        <w:t>。</w:t>
      </w:r>
    </w:p>
    <w:p>
      <w:pPr>
        <w:spacing w:line="360" w:lineRule="auto"/>
        <w:ind w:firstLine="480"/>
        <w:jc w:val="both"/>
        <w:rPr>
          <w:color w:val="auto"/>
        </w:rPr>
      </w:pPr>
      <w:r>
        <w:rPr>
          <w:rFonts w:hint="eastAsia"/>
          <w:bCs/>
          <w:color w:val="auto"/>
        </w:rPr>
        <w:t>新陂镇隶属于广东省梅州市兴宁市，位于广东东北部兴宁盆地，位于兴城西部，素有兴宁西大门之称。东连兴田、宁中，北接叶塘，南邻福兴，西与五华县毗邻。地势西北高东南低，呈略有升降或平坦之势，西部山峰多在海拔</w:t>
      </w:r>
      <w:r>
        <w:rPr>
          <w:bCs/>
          <w:color w:val="auto"/>
        </w:rPr>
        <w:t>200</w:t>
      </w:r>
      <w:r>
        <w:rPr>
          <w:rFonts w:hint="eastAsia"/>
          <w:bCs/>
          <w:color w:val="auto"/>
        </w:rPr>
        <w:t>米，最高山峰观音寨海拔</w:t>
      </w:r>
      <w:r>
        <w:rPr>
          <w:bCs/>
          <w:color w:val="auto"/>
        </w:rPr>
        <w:t>326.7</w:t>
      </w:r>
      <w:r>
        <w:rPr>
          <w:rFonts w:hint="eastAsia"/>
          <w:bCs/>
          <w:color w:val="auto"/>
        </w:rPr>
        <w:t>米。东西约</w:t>
      </w:r>
      <w:r>
        <w:rPr>
          <w:bCs/>
          <w:color w:val="auto"/>
        </w:rPr>
        <w:t>10</w:t>
      </w:r>
      <w:r>
        <w:rPr>
          <w:rFonts w:hint="eastAsia"/>
          <w:bCs/>
          <w:color w:val="auto"/>
        </w:rPr>
        <w:t>公里，南北约</w:t>
      </w:r>
      <w:r>
        <w:rPr>
          <w:bCs/>
          <w:color w:val="auto"/>
        </w:rPr>
        <w:t>5</w:t>
      </w:r>
      <w:r>
        <w:rPr>
          <w:rFonts w:hint="eastAsia"/>
          <w:bCs/>
          <w:color w:val="auto"/>
        </w:rPr>
        <w:t>公里，属丘陵地区，全镇人口中绝大部分为客家人。</w:t>
      </w:r>
    </w:p>
    <w:p>
      <w:pPr>
        <w:pStyle w:val="298"/>
        <w:rPr>
          <w:color w:val="auto"/>
        </w:rPr>
      </w:pPr>
      <w:bookmarkStart w:id="359" w:name="_Toc15841"/>
      <w:bookmarkStart w:id="360" w:name="_Toc14946862"/>
      <w:bookmarkStart w:id="361" w:name="_Toc15912154"/>
      <w:bookmarkStart w:id="362" w:name="_Toc24136770"/>
      <w:bookmarkStart w:id="363" w:name="_Toc34234689"/>
      <w:r>
        <w:rPr>
          <w:color w:val="auto"/>
        </w:rPr>
        <w:t>4.1.2地形地貌</w:t>
      </w:r>
      <w:bookmarkEnd w:id="359"/>
      <w:bookmarkEnd w:id="360"/>
      <w:bookmarkEnd w:id="361"/>
      <w:bookmarkEnd w:id="362"/>
      <w:bookmarkEnd w:id="363"/>
    </w:p>
    <w:p>
      <w:pPr>
        <w:spacing w:line="360" w:lineRule="auto"/>
        <w:ind w:firstLine="480"/>
        <w:jc w:val="both"/>
        <w:rPr>
          <w:color w:val="auto"/>
        </w:rPr>
      </w:pPr>
      <w:r>
        <w:rPr>
          <w:color w:val="auto"/>
        </w:rPr>
        <w:t>梅州市地质构造比较复杂，主要由花岗岩、喷出岩、变质岩、砂页岩、红色岩和石灰岩六大岩系构成台地、丘陵、山地、阶地和平原五大类地貌。全市山地面积最大，占47.5%；丘陵占39.2%；平原、阶地、台地面积仅占12.4%左右；河流和水库等水面积占0.9%。</w:t>
      </w:r>
    </w:p>
    <w:p>
      <w:pPr>
        <w:spacing w:line="360" w:lineRule="auto"/>
        <w:ind w:firstLine="480"/>
        <w:jc w:val="both"/>
        <w:rPr>
          <w:color w:val="auto"/>
        </w:rPr>
      </w:pPr>
      <w:r>
        <w:rPr>
          <w:rFonts w:hint="eastAsia"/>
          <w:color w:val="auto"/>
        </w:rPr>
        <w:t>兴宁市地处粤东北低山丘陵地区，东南部和西北部分别受北东走向的莲花山脉和罗浮山脉控制。最高峰阳天嶂海拔</w:t>
      </w:r>
      <w:r>
        <w:rPr>
          <w:color w:val="auto"/>
        </w:rPr>
        <w:t>1017m</w:t>
      </w:r>
      <w:r>
        <w:rPr>
          <w:rFonts w:hint="eastAsia"/>
          <w:color w:val="auto"/>
        </w:rPr>
        <w:t>，最低处水口圩镇海拨</w:t>
      </w:r>
      <w:r>
        <w:rPr>
          <w:color w:val="auto"/>
        </w:rPr>
        <w:t>100m</w:t>
      </w:r>
      <w:r>
        <w:rPr>
          <w:rFonts w:hint="eastAsia"/>
          <w:color w:val="auto"/>
        </w:rPr>
        <w:t>，地表最大相对高差</w:t>
      </w:r>
      <w:r>
        <w:rPr>
          <w:color w:val="auto"/>
        </w:rPr>
        <w:t>917m</w:t>
      </w:r>
      <w:r>
        <w:rPr>
          <w:rFonts w:hint="eastAsia"/>
          <w:color w:val="auto"/>
        </w:rPr>
        <w:t>。北部地势总体由北西向南东逐渐降低，而南部地势则由北向南递增，形似扁舟。南北狭长，北起阳天嶂，南至铁牛牯峰（海拔</w:t>
      </w:r>
      <w:r>
        <w:rPr>
          <w:color w:val="auto"/>
        </w:rPr>
        <w:t>998m</w:t>
      </w:r>
      <w:r>
        <w:rPr>
          <w:rFonts w:hint="eastAsia"/>
          <w:color w:val="auto"/>
        </w:rPr>
        <w:t>）直线距离</w:t>
      </w:r>
      <w:r>
        <w:rPr>
          <w:color w:val="auto"/>
        </w:rPr>
        <w:t>100km</w:t>
      </w:r>
      <w:r>
        <w:rPr>
          <w:rFonts w:hint="eastAsia"/>
          <w:color w:val="auto"/>
        </w:rPr>
        <w:t>；东西最宽处，径心分水坳（海拔</w:t>
      </w:r>
      <w:r>
        <w:rPr>
          <w:color w:val="auto"/>
        </w:rPr>
        <w:t>400m</w:t>
      </w:r>
      <w:r>
        <w:rPr>
          <w:rFonts w:hint="eastAsia"/>
          <w:color w:val="auto"/>
        </w:rPr>
        <w:t>）至叶南筠竹坳（海拔</w:t>
      </w:r>
      <w:r>
        <w:rPr>
          <w:color w:val="auto"/>
        </w:rPr>
        <w:t>300m</w:t>
      </w:r>
      <w:r>
        <w:rPr>
          <w:rFonts w:hint="eastAsia"/>
          <w:color w:val="auto"/>
        </w:rPr>
        <w:t>）直线距离</w:t>
      </w:r>
      <w:r>
        <w:rPr>
          <w:color w:val="auto"/>
        </w:rPr>
        <w:t>36km</w:t>
      </w:r>
      <w:r>
        <w:rPr>
          <w:rFonts w:hint="eastAsia"/>
          <w:color w:val="auto"/>
        </w:rPr>
        <w:t>。境内四周山岭绵亘，中部为梅州市第一大盆地——兴宁断陷盆地，面积约</w:t>
      </w:r>
      <w:r>
        <w:rPr>
          <w:color w:val="auto"/>
        </w:rPr>
        <w:t>300km</w:t>
      </w:r>
      <w:r>
        <w:rPr>
          <w:color w:val="auto"/>
          <w:vertAlign w:val="superscript"/>
        </w:rPr>
        <w:t>2</w:t>
      </w:r>
      <w:r>
        <w:rPr>
          <w:rFonts w:hint="eastAsia"/>
          <w:color w:val="auto"/>
        </w:rPr>
        <w:t>。地貌类型主要分为</w:t>
      </w:r>
      <w:r>
        <w:rPr>
          <w:color w:val="auto"/>
        </w:rPr>
        <w:t>5</w:t>
      </w:r>
      <w:r>
        <w:rPr>
          <w:rFonts w:hint="eastAsia"/>
          <w:color w:val="auto"/>
        </w:rPr>
        <w:t>类：平原、阶地、台地、丘陵、山地。其中，海拔</w:t>
      </w:r>
      <w:r>
        <w:rPr>
          <w:color w:val="auto"/>
        </w:rPr>
        <w:t>200m</w:t>
      </w:r>
      <w:r>
        <w:rPr>
          <w:rFonts w:hint="eastAsia"/>
          <w:color w:val="auto"/>
        </w:rPr>
        <w:t>以下的平原、阶地、台地等</w:t>
      </w:r>
      <w:r>
        <w:rPr>
          <w:color w:val="auto"/>
        </w:rPr>
        <w:t>3</w:t>
      </w:r>
      <w:r>
        <w:rPr>
          <w:rFonts w:hint="eastAsia"/>
          <w:color w:val="auto"/>
        </w:rPr>
        <w:t>类占总面积的</w:t>
      </w:r>
      <w:r>
        <w:rPr>
          <w:color w:val="auto"/>
        </w:rPr>
        <w:t>38.1%</w:t>
      </w:r>
      <w:r>
        <w:rPr>
          <w:rFonts w:hint="eastAsia"/>
          <w:color w:val="auto"/>
        </w:rPr>
        <w:t>；海拔</w:t>
      </w:r>
      <w:r>
        <w:rPr>
          <w:color w:val="auto"/>
        </w:rPr>
        <w:t>200 m~400m</w:t>
      </w:r>
      <w:r>
        <w:rPr>
          <w:rFonts w:hint="eastAsia"/>
          <w:color w:val="auto"/>
        </w:rPr>
        <w:t>的丘陵占</w:t>
      </w:r>
      <w:r>
        <w:rPr>
          <w:color w:val="auto"/>
        </w:rPr>
        <w:t>49.69%</w:t>
      </w:r>
      <w:r>
        <w:rPr>
          <w:rFonts w:hint="eastAsia"/>
          <w:color w:val="auto"/>
        </w:rPr>
        <w:t>；海拔</w:t>
      </w:r>
      <w:r>
        <w:rPr>
          <w:color w:val="auto"/>
        </w:rPr>
        <w:t>400 m</w:t>
      </w:r>
      <w:r>
        <w:rPr>
          <w:rFonts w:hint="eastAsia"/>
          <w:color w:val="auto"/>
        </w:rPr>
        <w:t>以上的山地占</w:t>
      </w:r>
      <w:r>
        <w:rPr>
          <w:color w:val="auto"/>
        </w:rPr>
        <w:t>12.21%。</w:t>
      </w:r>
      <w:r>
        <w:rPr>
          <w:rFonts w:hint="eastAsia"/>
          <w:color w:val="auto"/>
        </w:rPr>
        <w:t>南部莲花山脉：铁牛牯、狮子岩；武夷山南脉：阳天嶂、黄茅嶂、嶂顶上、莲花寨、四望嶂、马子山、冬瓜嶂、铁山嶂、宝山、鸡鸣山、南蛇岗、和山岩、狐子嶂、龙母嶂、神光山等</w:t>
      </w:r>
      <w:r>
        <w:rPr>
          <w:color w:val="auto"/>
        </w:rPr>
        <w:t>。</w:t>
      </w:r>
    </w:p>
    <w:p>
      <w:pPr>
        <w:spacing w:line="360" w:lineRule="auto"/>
        <w:ind w:firstLine="480"/>
        <w:jc w:val="both"/>
        <w:rPr>
          <w:color w:val="auto"/>
        </w:rPr>
      </w:pPr>
      <w:r>
        <w:rPr>
          <w:rFonts w:hint="eastAsia"/>
          <w:color w:val="auto"/>
        </w:rPr>
        <w:t>项目区地下水类型为第四系松散层孔隙潜水和基岩裂隙水，以河流、大气降水及侧向迳流为主要补给来源，以河流、侧向迳流及蒸发为主要排泄途径。第四系冲积砂、砾层赋存孔隙水丰富，地下水位埋深浅，地下水位一般较浅，埋深约0.5～2米；基岩裂隙水一般含水较贫乏。根据《中国地震参数区划图》（GB18036-2001），项目区地震动峰值加速度系数为0.05g（相当于地震基本烈度为Ⅵ度）地震动反映谱特征周期0.35s。</w:t>
      </w:r>
    </w:p>
    <w:p>
      <w:pPr>
        <w:pStyle w:val="298"/>
        <w:rPr>
          <w:color w:val="auto"/>
        </w:rPr>
      </w:pPr>
      <w:bookmarkStart w:id="364" w:name="_Toc15912155"/>
      <w:bookmarkStart w:id="365" w:name="_Toc14946863"/>
      <w:bookmarkStart w:id="366" w:name="_Toc24136771"/>
      <w:bookmarkStart w:id="367" w:name="_Toc20496"/>
      <w:bookmarkStart w:id="368" w:name="_Toc34234690"/>
      <w:r>
        <w:rPr>
          <w:color w:val="auto"/>
        </w:rPr>
        <w:t>4.1.3气象与气候</w:t>
      </w:r>
      <w:bookmarkEnd w:id="364"/>
      <w:bookmarkEnd w:id="365"/>
      <w:bookmarkEnd w:id="366"/>
      <w:bookmarkEnd w:id="367"/>
      <w:bookmarkEnd w:id="368"/>
    </w:p>
    <w:p>
      <w:pPr>
        <w:spacing w:line="360" w:lineRule="auto"/>
        <w:ind w:firstLine="480"/>
        <w:jc w:val="both"/>
        <w:rPr>
          <w:color w:val="auto"/>
        </w:rPr>
      </w:pPr>
      <w:r>
        <w:rPr>
          <w:color w:val="auto"/>
        </w:rPr>
        <w:t>梅州市属亚热带季风气候区，是南亚热带和中亚热带气候区的过渡地带。平远、蕉岭和梅县北部为中亚热带气候区南缘，五华、丰顺、兴宁、大埔和平远、蕉岭、梅县南部为南亚热带气候区。这种地处低纬，近临南海、太平洋和山地的特定地形影响，形成夏日长、冬日短，气温高、冷势悬殊、光照充足、气流闭塞、雨水丰盈且集中的气候。</w:t>
      </w:r>
    </w:p>
    <w:p>
      <w:pPr>
        <w:spacing w:line="360" w:lineRule="auto"/>
        <w:ind w:firstLine="480"/>
        <w:jc w:val="both"/>
        <w:rPr>
          <w:color w:val="auto"/>
        </w:rPr>
      </w:pPr>
      <w:r>
        <w:rPr>
          <w:rFonts w:hint="eastAsia"/>
          <w:color w:val="auto"/>
        </w:rPr>
        <w:t>兴宁市属中南亚热带季风气侯区，阳光充足，雨量充沛，多年平均气温</w:t>
      </w:r>
      <w:r>
        <w:rPr>
          <w:color w:val="auto"/>
        </w:rPr>
        <w:t>20.4</w:t>
      </w:r>
      <w:r>
        <w:rPr>
          <w:rFonts w:hint="eastAsia"/>
          <w:color w:val="auto"/>
        </w:rPr>
        <w:t>℃。常年最热月份是</w:t>
      </w:r>
      <w:r>
        <w:rPr>
          <w:color w:val="auto"/>
        </w:rPr>
        <w:t>7</w:t>
      </w:r>
      <w:r>
        <w:rPr>
          <w:rFonts w:hint="eastAsia"/>
          <w:color w:val="auto"/>
        </w:rPr>
        <w:t>月，月平均气温</w:t>
      </w:r>
      <w:r>
        <w:rPr>
          <w:color w:val="auto"/>
        </w:rPr>
        <w:t>28.5</w:t>
      </w:r>
      <w:r>
        <w:rPr>
          <w:rFonts w:hint="eastAsia"/>
          <w:color w:val="auto"/>
        </w:rPr>
        <w:t>℃，极端最高气温达3</w:t>
      </w:r>
      <w:r>
        <w:rPr>
          <w:color w:val="auto"/>
        </w:rPr>
        <w:t>9.0</w:t>
      </w:r>
      <w:r>
        <w:rPr>
          <w:rFonts w:hint="eastAsia"/>
          <w:color w:val="auto"/>
        </w:rPr>
        <w:t>℃；常年最冷月份是</w:t>
      </w:r>
      <w:r>
        <w:rPr>
          <w:color w:val="auto"/>
        </w:rPr>
        <w:t>1</w:t>
      </w:r>
      <w:r>
        <w:rPr>
          <w:rFonts w:hint="eastAsia"/>
          <w:color w:val="auto"/>
        </w:rPr>
        <w:t>月，月平均气温</w:t>
      </w:r>
      <w:r>
        <w:rPr>
          <w:color w:val="auto"/>
        </w:rPr>
        <w:t>11.4</w:t>
      </w:r>
      <w:r>
        <w:rPr>
          <w:rFonts w:hint="eastAsia"/>
          <w:color w:val="auto"/>
        </w:rPr>
        <w:t>℃，极端最低气温</w:t>
      </w:r>
      <w:r>
        <w:rPr>
          <w:color w:val="auto"/>
        </w:rPr>
        <w:t>-3.5</w:t>
      </w:r>
      <w:r>
        <w:rPr>
          <w:rFonts w:hint="eastAsia"/>
          <w:color w:val="auto"/>
        </w:rPr>
        <w:t>℃。无霜期长，灾害性天气较多。据气象部门近</w:t>
      </w:r>
      <w:r>
        <w:rPr>
          <w:color w:val="auto"/>
        </w:rPr>
        <w:t>17</w:t>
      </w:r>
      <w:r>
        <w:rPr>
          <w:rFonts w:hint="eastAsia"/>
          <w:color w:val="auto"/>
        </w:rPr>
        <w:t>年来的监测资料，兴宁市年平均降雨量</w:t>
      </w:r>
      <w:r>
        <w:rPr>
          <w:color w:val="auto"/>
        </w:rPr>
        <w:t>1502.7 mm</w:t>
      </w:r>
      <w:r>
        <w:rPr>
          <w:rFonts w:hint="eastAsia"/>
          <w:color w:val="auto"/>
        </w:rPr>
        <w:t>，日最大降雨量为</w:t>
      </w:r>
      <w:r>
        <w:rPr>
          <w:color w:val="auto"/>
        </w:rPr>
        <w:t>116.5 mm(1996</w:t>
      </w:r>
      <w:r>
        <w:rPr>
          <w:rFonts w:hint="eastAsia"/>
          <w:color w:val="auto"/>
        </w:rPr>
        <w:t>年</w:t>
      </w:r>
      <w:r>
        <w:rPr>
          <w:color w:val="auto"/>
        </w:rPr>
        <w:t>4</w:t>
      </w:r>
      <w:r>
        <w:rPr>
          <w:rFonts w:hint="eastAsia"/>
          <w:color w:val="auto"/>
        </w:rPr>
        <w:t>月</w:t>
      </w:r>
      <w:r>
        <w:rPr>
          <w:color w:val="auto"/>
        </w:rPr>
        <w:t>19</w:t>
      </w:r>
      <w:r>
        <w:rPr>
          <w:rFonts w:hint="eastAsia"/>
          <w:color w:val="auto"/>
        </w:rPr>
        <w:t>日</w:t>
      </w:r>
      <w:r>
        <w:rPr>
          <w:color w:val="auto"/>
        </w:rPr>
        <w:t>)</w:t>
      </w:r>
      <w:r>
        <w:rPr>
          <w:rFonts w:hint="eastAsia"/>
          <w:color w:val="auto"/>
        </w:rPr>
        <w:t>，时最大降雨量为</w:t>
      </w:r>
      <w:r>
        <w:rPr>
          <w:color w:val="auto"/>
        </w:rPr>
        <w:t>57.8 mm(1999</w:t>
      </w:r>
      <w:r>
        <w:rPr>
          <w:rFonts w:hint="eastAsia"/>
          <w:color w:val="auto"/>
        </w:rPr>
        <w:t>年</w:t>
      </w:r>
      <w:r>
        <w:rPr>
          <w:color w:val="auto"/>
        </w:rPr>
        <w:t>5</w:t>
      </w:r>
      <w:r>
        <w:rPr>
          <w:rFonts w:hint="eastAsia"/>
          <w:color w:val="auto"/>
        </w:rPr>
        <w:t>月</w:t>
      </w:r>
      <w:r>
        <w:rPr>
          <w:color w:val="auto"/>
        </w:rPr>
        <w:t>4</w:t>
      </w:r>
      <w:r>
        <w:rPr>
          <w:rFonts w:hint="eastAsia"/>
          <w:color w:val="auto"/>
        </w:rPr>
        <w:t>日</w:t>
      </w:r>
      <w:r>
        <w:rPr>
          <w:color w:val="auto"/>
        </w:rPr>
        <w:t>)。</w:t>
      </w:r>
    </w:p>
    <w:p>
      <w:pPr>
        <w:spacing w:line="360" w:lineRule="auto"/>
        <w:ind w:firstLine="480"/>
        <w:jc w:val="both"/>
        <w:rPr>
          <w:color w:val="auto"/>
        </w:rPr>
      </w:pPr>
      <w:r>
        <w:rPr>
          <w:color w:val="auto"/>
        </w:rPr>
        <w:t>根据近20年的统计，兴宁市历年降水最多的年份为2011年，降水量为22345mm；降水量最少的年份为1996年</w:t>
      </w:r>
      <w:r>
        <w:rPr>
          <w:rFonts w:hint="eastAsia"/>
          <w:color w:val="auto"/>
        </w:rPr>
        <w:t>，</w:t>
      </w:r>
      <w:r>
        <w:rPr>
          <w:color w:val="auto"/>
        </w:rPr>
        <w:t>降水量为8907 mm。风向比较稳定，以西北风频率最高，东南风次之；夏季多东南风，冬季多北风，多年平均风速1.6m/s，最大3.5m/s；每年的4～9月常受台风侵袭，风力达6～9级，最大风速达31.3m/s</w:t>
      </w:r>
      <w:r>
        <w:rPr>
          <w:rFonts w:hint="eastAsia"/>
          <w:color w:val="auto"/>
        </w:rPr>
        <w:t>。自然环境优越，无霜期长，光照充足，四季宜耕宜牧，具有发展农、林、果、牧、渔等各业的有利气候条件</w:t>
      </w:r>
      <w:r>
        <w:rPr>
          <w:color w:val="auto"/>
        </w:rPr>
        <w:t>。</w:t>
      </w:r>
    </w:p>
    <w:p>
      <w:pPr>
        <w:pStyle w:val="298"/>
        <w:rPr>
          <w:color w:val="auto"/>
        </w:rPr>
      </w:pPr>
      <w:bookmarkStart w:id="369" w:name="_Toc14946864"/>
      <w:bookmarkStart w:id="370" w:name="_Toc34234691"/>
      <w:bookmarkStart w:id="371" w:name="_Toc15912156"/>
      <w:bookmarkStart w:id="372" w:name="_Toc24136772"/>
      <w:bookmarkStart w:id="373" w:name="_Toc22223"/>
      <w:r>
        <w:rPr>
          <w:color w:val="auto"/>
        </w:rPr>
        <w:t>4.1.4河流水文</w:t>
      </w:r>
      <w:bookmarkEnd w:id="369"/>
      <w:bookmarkEnd w:id="370"/>
      <w:bookmarkEnd w:id="371"/>
      <w:bookmarkEnd w:id="372"/>
      <w:bookmarkEnd w:id="373"/>
    </w:p>
    <w:p>
      <w:pPr>
        <w:spacing w:line="360" w:lineRule="auto"/>
        <w:ind w:firstLine="480"/>
        <w:jc w:val="both"/>
        <w:rPr>
          <w:color w:val="auto"/>
        </w:rPr>
      </w:pPr>
      <w:r>
        <w:rPr>
          <w:color w:val="auto"/>
        </w:rPr>
        <w:t>梅州境内主要河流有韩江，全长470公里（梅州境内长343平方公里），流域30112平方公里（梅州境内14691平方公里）；梅江，全长307公里（梅州境内长271公里），流域面积14061平方公里（梅州境内10888平方公里）；汀江，全长323公里（梅州境内55公里），流域面积11802平方公里（梅州境内1333平方公里）；同时还有琴江、五华河、宁江、程江、石窟河、格梅潭、松源河、丰良河等。此外，东江亦沿市境西北的兴宁市边境流过，在梅州境内河段长24.8公里，流域面积260平方公里。</w:t>
      </w:r>
    </w:p>
    <w:p>
      <w:pPr>
        <w:spacing w:line="360" w:lineRule="auto"/>
        <w:ind w:firstLine="480"/>
        <w:jc w:val="both"/>
        <w:rPr>
          <w:color w:val="auto"/>
        </w:rPr>
      </w:pPr>
      <w:r>
        <w:rPr>
          <w:rFonts w:hint="eastAsia"/>
          <w:bCs/>
          <w:color w:val="auto"/>
        </w:rPr>
        <w:t>兴宁地处韩江、东江流域。北部的罗浮镇属东江流域，镇内河溪流入东江上游的渡田河。该河发源于江西寻邬县，为兴宁、龙川北部的分界河，是枫树坝水库的库尾，过境河道</w:t>
      </w:r>
      <w:r>
        <w:rPr>
          <w:bCs/>
          <w:color w:val="auto"/>
        </w:rPr>
        <w:t>24.8 km</w:t>
      </w:r>
      <w:r>
        <w:rPr>
          <w:rFonts w:hint="eastAsia"/>
          <w:bCs/>
          <w:color w:val="auto"/>
        </w:rPr>
        <w:t>，宽</w:t>
      </w:r>
      <w:r>
        <w:rPr>
          <w:bCs/>
          <w:color w:val="auto"/>
        </w:rPr>
        <w:t>150~200 m</w:t>
      </w:r>
      <w:r>
        <w:rPr>
          <w:rFonts w:hint="eastAsia"/>
          <w:bCs/>
          <w:color w:val="auto"/>
        </w:rPr>
        <w:t>，主要支流有罗浮河和大信河，河流落差较大，水力资源比较丰富，流域面积</w:t>
      </w:r>
      <w:r>
        <w:rPr>
          <w:bCs/>
          <w:color w:val="auto"/>
        </w:rPr>
        <w:t>273.74 km</w:t>
      </w:r>
      <w:r>
        <w:rPr>
          <w:bCs/>
          <w:color w:val="auto"/>
          <w:vertAlign w:val="superscript"/>
        </w:rPr>
        <w:t>2</w:t>
      </w:r>
      <w:r>
        <w:rPr>
          <w:rFonts w:hint="eastAsia"/>
          <w:bCs/>
          <w:color w:val="auto"/>
        </w:rPr>
        <w:t>。其余各镇（街道）属韩江流域，区内</w:t>
      </w:r>
      <w:r>
        <w:rPr>
          <w:bCs/>
          <w:color w:val="auto"/>
        </w:rPr>
        <w:t>46</w:t>
      </w:r>
      <w:r>
        <w:rPr>
          <w:rFonts w:hint="eastAsia"/>
          <w:bCs/>
          <w:color w:val="auto"/>
        </w:rPr>
        <w:t>条河溪水分别经过五华、兴宁、梅县汇入韩江上游的一级支流梅江</w:t>
      </w:r>
      <w:r>
        <w:rPr>
          <w:color w:val="auto"/>
        </w:rPr>
        <w:t>。</w:t>
      </w:r>
    </w:p>
    <w:p>
      <w:pPr>
        <w:spacing w:line="360" w:lineRule="auto"/>
        <w:ind w:firstLine="480"/>
        <w:jc w:val="both"/>
        <w:rPr>
          <w:color w:val="auto"/>
        </w:rPr>
      </w:pPr>
      <w:r>
        <w:rPr>
          <w:rFonts w:hint="eastAsia"/>
          <w:bCs/>
          <w:color w:val="auto"/>
        </w:rPr>
        <w:t>本项目所在区域的地表水体主要为曾坑河、宁江。曾坑河为区域主要的农业、景观用水，曾坑河（曾坑至矮岗）长度为</w:t>
      </w:r>
      <w:r>
        <w:rPr>
          <w:bCs/>
          <w:color w:val="auto"/>
        </w:rPr>
        <w:t>13.0km</w:t>
      </w:r>
      <w:r>
        <w:rPr>
          <w:rFonts w:hint="eastAsia"/>
          <w:bCs/>
          <w:color w:val="auto"/>
        </w:rPr>
        <w:t>，集雨面积</w:t>
      </w:r>
      <w:r>
        <w:rPr>
          <w:bCs/>
          <w:color w:val="auto"/>
        </w:rPr>
        <w:t>33.2hm</w:t>
      </w:r>
      <w:r>
        <w:rPr>
          <w:bCs/>
          <w:color w:val="auto"/>
          <w:vertAlign w:val="superscript"/>
        </w:rPr>
        <w:t>2</w:t>
      </w:r>
      <w:r>
        <w:rPr>
          <w:rFonts w:hint="eastAsia"/>
          <w:bCs/>
          <w:color w:val="auto"/>
        </w:rPr>
        <w:t>，河床比降</w:t>
      </w:r>
      <w:r>
        <w:rPr>
          <w:bCs/>
          <w:color w:val="auto"/>
        </w:rPr>
        <w:t>1/430%</w:t>
      </w:r>
      <w:r>
        <w:rPr>
          <w:rFonts w:hint="eastAsia"/>
          <w:bCs/>
          <w:color w:val="auto"/>
        </w:rPr>
        <w:t>，洪水流量无观测记录，枯水流量为</w:t>
      </w:r>
      <w:r>
        <w:rPr>
          <w:bCs/>
          <w:color w:val="auto"/>
        </w:rPr>
        <w:t>0.10m</w:t>
      </w:r>
      <w:r>
        <w:rPr>
          <w:bCs/>
          <w:color w:val="auto"/>
          <w:vertAlign w:val="superscript"/>
        </w:rPr>
        <w:t>3</w:t>
      </w:r>
      <w:r>
        <w:rPr>
          <w:bCs/>
          <w:color w:val="auto"/>
        </w:rPr>
        <w:t>/s</w:t>
      </w:r>
      <w:r>
        <w:rPr>
          <w:rFonts w:hint="eastAsia"/>
          <w:bCs/>
          <w:color w:val="auto"/>
        </w:rPr>
        <w:t>，项目段河宽约</w:t>
      </w:r>
      <w:r>
        <w:rPr>
          <w:bCs/>
          <w:color w:val="auto"/>
        </w:rPr>
        <w:t>6 m</w:t>
      </w:r>
      <w:r>
        <w:rPr>
          <w:rFonts w:hint="eastAsia"/>
          <w:bCs/>
          <w:color w:val="auto"/>
        </w:rPr>
        <w:t>，流速约</w:t>
      </w:r>
      <w:r>
        <w:rPr>
          <w:bCs/>
          <w:color w:val="auto"/>
        </w:rPr>
        <w:t>0.5m/s</w:t>
      </w:r>
      <w:r>
        <w:rPr>
          <w:rFonts w:hint="eastAsia"/>
          <w:bCs/>
          <w:color w:val="auto"/>
        </w:rPr>
        <w:t>，河深</w:t>
      </w:r>
      <w:r>
        <w:rPr>
          <w:bCs/>
          <w:color w:val="auto"/>
        </w:rPr>
        <w:t>0.5~1.2m</w:t>
      </w:r>
      <w:r>
        <w:rPr>
          <w:rFonts w:hint="eastAsia"/>
          <w:bCs/>
          <w:color w:val="auto"/>
        </w:rPr>
        <w:t>。宁江（古称左别溪），贯穿兴宁市南北，是流域面积最大的梅江支流，北起江西寻乌荷峰畲，南至水口镇水口圩汇合梅江，全长</w:t>
      </w:r>
      <w:r>
        <w:rPr>
          <w:bCs/>
          <w:color w:val="auto"/>
        </w:rPr>
        <w:t>107km</w:t>
      </w:r>
      <w:r>
        <w:rPr>
          <w:rFonts w:hint="eastAsia"/>
          <w:bCs/>
          <w:color w:val="auto"/>
        </w:rPr>
        <w:t>。从合水至水口主干河道长</w:t>
      </w:r>
      <w:r>
        <w:rPr>
          <w:bCs/>
          <w:color w:val="auto"/>
        </w:rPr>
        <w:t>57.5 km</w:t>
      </w:r>
      <w:r>
        <w:rPr>
          <w:rFonts w:hint="eastAsia"/>
          <w:bCs/>
          <w:color w:val="auto"/>
        </w:rPr>
        <w:t>，宽</w:t>
      </w:r>
      <w:r>
        <w:rPr>
          <w:bCs/>
          <w:color w:val="auto"/>
        </w:rPr>
        <w:t>65</w:t>
      </w:r>
      <w:r>
        <w:rPr>
          <w:rFonts w:hint="eastAsia"/>
          <w:bCs/>
          <w:color w:val="auto"/>
        </w:rPr>
        <w:t>至</w:t>
      </w:r>
      <w:r>
        <w:rPr>
          <w:bCs/>
          <w:color w:val="auto"/>
        </w:rPr>
        <w:t>90 m</w:t>
      </w:r>
      <w:r>
        <w:rPr>
          <w:rFonts w:hint="eastAsia"/>
          <w:bCs/>
          <w:color w:val="auto"/>
        </w:rPr>
        <w:t>。沿途接纳</w:t>
      </w:r>
      <w:r>
        <w:rPr>
          <w:bCs/>
          <w:color w:val="auto"/>
        </w:rPr>
        <w:t>32</w:t>
      </w:r>
      <w:r>
        <w:rPr>
          <w:rFonts w:hint="eastAsia"/>
          <w:bCs/>
          <w:color w:val="auto"/>
        </w:rPr>
        <w:t>条山溪小河，呈叶脉状汇入宁江，流域面积</w:t>
      </w:r>
      <w:r>
        <w:rPr>
          <w:bCs/>
          <w:color w:val="auto"/>
        </w:rPr>
        <w:t>1364.75km</w:t>
      </w:r>
      <w:r>
        <w:rPr>
          <w:bCs/>
          <w:color w:val="auto"/>
          <w:vertAlign w:val="superscript"/>
        </w:rPr>
        <w:t>2</w:t>
      </w:r>
      <w:r>
        <w:rPr>
          <w:color w:val="auto"/>
        </w:rPr>
        <w:t>。</w:t>
      </w:r>
    </w:p>
    <w:p>
      <w:pPr>
        <w:pStyle w:val="298"/>
        <w:rPr>
          <w:color w:val="auto"/>
        </w:rPr>
      </w:pPr>
      <w:bookmarkStart w:id="374" w:name="_Toc15912157"/>
      <w:bookmarkStart w:id="375" w:name="_Toc24136773"/>
      <w:bookmarkStart w:id="376" w:name="_Toc34234692"/>
      <w:bookmarkStart w:id="377" w:name="_Toc14946865"/>
      <w:bookmarkStart w:id="378" w:name="_Toc8347"/>
      <w:r>
        <w:rPr>
          <w:color w:val="auto"/>
        </w:rPr>
        <w:t>4.1.5土壤植被</w:t>
      </w:r>
      <w:bookmarkEnd w:id="374"/>
      <w:bookmarkEnd w:id="375"/>
      <w:bookmarkEnd w:id="376"/>
      <w:bookmarkEnd w:id="377"/>
      <w:bookmarkEnd w:id="378"/>
    </w:p>
    <w:p>
      <w:pPr>
        <w:spacing w:line="360" w:lineRule="auto"/>
        <w:ind w:firstLine="480"/>
        <w:jc w:val="both"/>
        <w:rPr>
          <w:color w:val="auto"/>
        </w:rPr>
      </w:pPr>
      <w:r>
        <w:rPr>
          <w:rFonts w:hint="eastAsia"/>
          <w:color w:val="auto"/>
        </w:rPr>
        <w:t>（1）兴宁市植被概况</w:t>
      </w:r>
    </w:p>
    <w:p>
      <w:pPr>
        <w:spacing w:line="360" w:lineRule="auto"/>
        <w:ind w:firstLine="480"/>
        <w:jc w:val="both"/>
        <w:rPr>
          <w:color w:val="auto"/>
        </w:rPr>
      </w:pPr>
      <w:r>
        <w:rPr>
          <w:rFonts w:hint="eastAsia"/>
          <w:color w:val="auto"/>
        </w:rPr>
        <w:t>兴宁市植物资源丰富，种类繁多，计有600多种，包括乔木、灌木206种，主要中草药157种，另有野生中草药300多种以及农作物、花卉等其他植被物种</w:t>
      </w:r>
      <w:r>
        <w:rPr>
          <w:color w:val="auto"/>
        </w:rPr>
        <w:t>。</w:t>
      </w:r>
    </w:p>
    <w:p>
      <w:pPr>
        <w:spacing w:line="360" w:lineRule="auto"/>
        <w:ind w:firstLine="480"/>
        <w:jc w:val="both"/>
        <w:rPr>
          <w:color w:val="auto"/>
        </w:rPr>
      </w:pPr>
      <w:r>
        <w:rPr>
          <w:rFonts w:hint="eastAsia"/>
          <w:color w:val="auto"/>
        </w:rPr>
        <w:t>本项目所在区域主要为低矮的丘陵山地，平坦地为耕地，低处为水田，主要种植水稻，旱地主要种花生、黄豆、木薯及各种水果等。丘陵山地主要是森林，主要植物物种有松树、杉树、荷树、山乌桕、山苍子、盐肤木、继木、车轮梅、鸡屎藤、葛藤、菝葜、山银花、桃金娘、芒萁、芒草、乌毛蕨、凤尾蕨等。</w:t>
      </w:r>
    </w:p>
    <w:p>
      <w:pPr>
        <w:spacing w:line="360" w:lineRule="auto"/>
        <w:ind w:firstLine="480"/>
        <w:jc w:val="both"/>
        <w:rPr>
          <w:color w:val="auto"/>
        </w:rPr>
      </w:pPr>
      <w:r>
        <w:rPr>
          <w:rFonts w:hint="eastAsia"/>
          <w:color w:val="auto"/>
        </w:rPr>
        <w:t>（2）兴宁市土壤概况</w:t>
      </w:r>
    </w:p>
    <w:p>
      <w:pPr>
        <w:spacing w:line="360" w:lineRule="auto"/>
        <w:ind w:firstLine="480"/>
        <w:jc w:val="both"/>
        <w:rPr>
          <w:color w:val="auto"/>
        </w:rPr>
      </w:pPr>
      <w:r>
        <w:rPr>
          <w:rFonts w:hint="eastAsia"/>
          <w:color w:val="auto"/>
        </w:rPr>
        <w:t>兴宁市自然土壤属赤红壤，发育于南亚热带季雨林下，土层较深厚，呈酸性反应。适宜马尾松等树木生长。赤红壤的脱硅富铝风化程度仅次于砖红壤，比红壤强，铁的游离度介于二者之间。粘粒硅铝率1.7--2.0，风化淋溶系数0.05--0.15，具A</w:t>
      </w:r>
      <w:r>
        <w:rPr>
          <w:color w:val="auto"/>
        </w:rPr>
        <w:t>—</w:t>
      </w:r>
      <w:r>
        <w:rPr>
          <w:rFonts w:hint="eastAsia"/>
          <w:color w:val="auto"/>
        </w:rPr>
        <w:t>Bs--C剖面构型，盐基饱和度15%--25%，pH4.5-5.5，生长龙眼、荔枝等。</w:t>
      </w:r>
    </w:p>
    <w:p>
      <w:pPr>
        <w:spacing w:line="360" w:lineRule="auto"/>
        <w:ind w:firstLine="480"/>
        <w:jc w:val="both"/>
        <w:rPr>
          <w:color w:val="auto"/>
        </w:rPr>
      </w:pPr>
      <w:r>
        <w:rPr>
          <w:rFonts w:hint="eastAsia"/>
          <w:color w:val="auto"/>
        </w:rPr>
        <w:t>（3）项目所在地及周边区域土壤情况</w:t>
      </w:r>
    </w:p>
    <w:p>
      <w:pPr>
        <w:spacing w:line="360" w:lineRule="auto"/>
        <w:ind w:firstLine="480"/>
        <w:jc w:val="both"/>
        <w:rPr>
          <w:color w:val="auto"/>
        </w:rPr>
      </w:pPr>
      <w:r>
        <w:rPr>
          <w:rFonts w:hint="eastAsia"/>
          <w:color w:val="auto"/>
        </w:rPr>
        <w:t>本项目所在地及周边区域土壤信息主要来自国家土壤信息服务平台（网址为：http://www.soilinfo.cn/map/index.aspx）和中国土壤数据（网址：http://210.72.68.28），本项目土壤分布（图）情况如图4.1-1和图4.1-2所示，图中左上角为广东省区域土壤类型分布情况，右上角为项目所在区域（较大范围）土壤类型分布情况，左下角为项目所在区域（红色虚线较小区域范围）土壤类型分布情况，右下角为项目所在地范围（红色虚线厂区范围）土壤类型分布情况。</w:t>
      </w:r>
    </w:p>
    <w:p>
      <w:pPr>
        <w:spacing w:line="360" w:lineRule="auto"/>
        <w:ind w:firstLine="480"/>
        <w:jc w:val="both"/>
        <w:rPr>
          <w:color w:val="auto"/>
        </w:rPr>
      </w:pPr>
      <w:r>
        <w:rPr>
          <w:rFonts w:hint="eastAsia"/>
          <w:color w:val="auto"/>
        </w:rPr>
        <w:t>根据图4.1-1、图4.1-2以及《中国土壤分类与代码》（GBT 17296-2000），本项目所在范围及厂区土壤类型仅有一种，土纲为A，土类为A12赤红壤。</w:t>
      </w:r>
    </w:p>
    <w:p>
      <w:pPr>
        <w:spacing w:line="360" w:lineRule="auto"/>
        <w:ind w:firstLine="480"/>
        <w:jc w:val="both"/>
        <w:rPr>
          <w:color w:val="auto"/>
        </w:rPr>
      </w:pPr>
      <w:r>
        <w:rPr>
          <w:rFonts w:hint="eastAsia"/>
          <w:color w:val="auto"/>
        </w:rPr>
        <w:t>赤红壤分布于北回归线两侧，纬度较低，北与西北两面高山屏障，东南面海，夏季来自海洋的暖湿气流盛行，冬季来自内陆的干冷气团多受高山阻滞而削弱，从而形成冬暖夏热、湿润多雨的优异气候条件，系同一气候带内少有的天然温室。</w:t>
      </w:r>
    </w:p>
    <w:p>
      <w:pPr>
        <w:spacing w:line="360" w:lineRule="auto"/>
        <w:ind w:firstLine="480"/>
        <w:jc w:val="both"/>
        <w:rPr>
          <w:color w:val="auto"/>
        </w:rPr>
        <w:sectPr>
          <w:footerReference r:id="rId17" w:type="first"/>
          <w:footerReference r:id="rId16" w:type="even"/>
          <w:pgSz w:w="11906" w:h="16838"/>
          <w:pgMar w:top="1418" w:right="1418" w:bottom="1418" w:left="1418" w:header="851" w:footer="992" w:gutter="0"/>
          <w:pgNumType w:fmt="decimal"/>
          <w:cols w:space="425" w:num="1"/>
          <w:docGrid w:type="lines" w:linePitch="326" w:charSpace="0"/>
        </w:sectPr>
      </w:pPr>
      <w:r>
        <w:rPr>
          <w:rFonts w:hint="eastAsia"/>
          <w:color w:val="auto"/>
        </w:rPr>
        <w:t>赤红壤剖面的形态特征归纳为以下几点：①剖面层次分异明显，具有腐殖质表层（A层）、粘化层（B层）和母质层（C层）。②A层湿态色调呈棕至棕红色（5YR-7.5YR），亮度3-5，彩度2-6；B层湿态色调呈棕红至红棕（2.5YR-7.5YR），亮度3-5，彩度4-8，其色调与粘粒游离铁含量呈显著正相关（r=0.78，a=0.05），与砂/粘比值呈一定负相关（r=0.77，a=0.05）；C层受母质影响大，色调较复杂，从红色（10R）到黄色（2.5Y），但多数与母质近似，亮度及彩度均较B层高，有时尚可见红、黄、白色斑块。③土壤质地多壤质粘土。A层因粘粒机械淋移或地表流失，质地稍轻。B层固粘粒淀积，质地稍粘。④自然植被下表土层结构多为屑粒状和碎块状。B层块状和棱块状，在结构面和孔壁上常见铁铝氧化物胶膜淀积。微形态观察，多见弯曲短裂隙，少数孔道状孔隙，孔壁与裂隙面有较多老化扩散胶凝状粘粒胶膜淀积，消光微弱，见微弱光性定向粘粒。C层多块状和弱块状结构，一般没有或少量胶膜淀积。⑤铁铝氧化物移动淀积较明显，其含量均以B层最高，并常见胶膜淀积，有的可见铁质软结核。局部堆积台地和坡麓地带可见各种形状的网纹层、侧向漂洗层、铁盘铁子层；其形成可能与地下水和侧渗水活动有关，并非赤红壤形成过程的特征。⑥总孔隙量较大，微团聚性和渗透性较好。赤红壤粘粒矿物以高岭石为土。并有较多无定形铁铝氧化物的胶结，因而形成的团聚体（1-0.01毫米）达65%-89%。土体的总孔隙、通气孔隙和持水孔隙均较高，总孔隙度为40.5%-52.8%，平均47.2%，有利于调节土壤水气矛盾。</w:t>
      </w:r>
    </w:p>
    <w:p>
      <w:pPr>
        <w:widowControl/>
        <w:rPr>
          <w:color w:val="auto"/>
        </w:rPr>
      </w:pPr>
      <w:bookmarkStart w:id="379" w:name="_Toc14946866"/>
      <w:bookmarkStart w:id="380" w:name="_Toc15912158"/>
      <w:r>
        <w:rPr>
          <w:color w:val="auto"/>
        </w:rPr>
        <w:t xml:space="preserve"> </w:t>
      </w:r>
      <w:r>
        <w:rPr>
          <w:color w:val="auto"/>
        </w:rPr>
        <w:drawing>
          <wp:inline distT="0" distB="0" distL="0" distR="0">
            <wp:extent cx="8891270" cy="5117465"/>
            <wp:effectExtent l="0" t="0" r="5080" b="698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87"/>
                    <a:stretch>
                      <a:fillRect/>
                    </a:stretch>
                  </pic:blipFill>
                  <pic:spPr>
                    <a:xfrm>
                      <a:off x="0" y="0"/>
                      <a:ext cx="8891270" cy="5117465"/>
                    </a:xfrm>
                    <a:prstGeom prst="rect">
                      <a:avLst/>
                    </a:prstGeom>
                  </pic:spPr>
                </pic:pic>
              </a:graphicData>
            </a:graphic>
          </wp:inline>
        </w:drawing>
      </w:r>
    </w:p>
    <w:p>
      <w:pPr>
        <w:widowControl/>
        <w:jc w:val="center"/>
        <w:rPr>
          <w:b/>
          <w:color w:val="auto"/>
          <w:kern w:val="0"/>
        </w:rPr>
      </w:pPr>
      <w:r>
        <w:rPr>
          <w:rFonts w:hint="eastAsia"/>
          <w:b/>
          <w:color w:val="auto"/>
          <w:kern w:val="0"/>
        </w:rPr>
        <w:t>图4</w:t>
      </w:r>
      <w:r>
        <w:rPr>
          <w:b/>
          <w:color w:val="auto"/>
          <w:kern w:val="0"/>
        </w:rPr>
        <w:t xml:space="preserve">.1-1  </w:t>
      </w:r>
      <w:r>
        <w:rPr>
          <w:rFonts w:hint="eastAsia"/>
          <w:b/>
          <w:color w:val="auto"/>
          <w:kern w:val="0"/>
        </w:rPr>
        <w:t>项目所在区域土壤类型（按发生分类）</w:t>
      </w:r>
    </w:p>
    <w:p>
      <w:pPr>
        <w:widowControl/>
        <w:rPr>
          <w:color w:val="auto"/>
        </w:rPr>
      </w:pPr>
      <w:r>
        <w:rPr>
          <w:rFonts w:eastAsia="Times New Roman"/>
          <w:snapToGrid w:val="0"/>
          <w:color w:val="auto"/>
          <w:w w:val="1"/>
          <w:kern w:val="0"/>
          <w:sz w:val="2"/>
          <w:szCs w:val="2"/>
          <w:shd w:val="clear" w:color="auto" w:fill="000000"/>
        </w:rPr>
        <w:t xml:space="preserve"> </w:t>
      </w:r>
      <w:r>
        <w:rPr>
          <w:color w:val="auto"/>
        </w:rPr>
        <w:drawing>
          <wp:inline distT="0" distB="0" distL="0" distR="0">
            <wp:extent cx="8891270" cy="4847590"/>
            <wp:effectExtent l="0" t="0" r="508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88"/>
                    <a:srcRect b="809"/>
                    <a:stretch>
                      <a:fillRect/>
                    </a:stretch>
                  </pic:blipFill>
                  <pic:spPr>
                    <a:xfrm>
                      <a:off x="0" y="0"/>
                      <a:ext cx="8891270" cy="4848045"/>
                    </a:xfrm>
                    <a:prstGeom prst="rect">
                      <a:avLst/>
                    </a:prstGeom>
                    <a:ln>
                      <a:noFill/>
                    </a:ln>
                  </pic:spPr>
                </pic:pic>
              </a:graphicData>
            </a:graphic>
          </wp:inline>
        </w:drawing>
      </w:r>
    </w:p>
    <w:p>
      <w:pPr>
        <w:widowControl/>
        <w:rPr>
          <w:color w:val="auto"/>
        </w:rPr>
      </w:pPr>
      <w:r>
        <w:rPr>
          <w:color w:val="auto"/>
        </w:rPr>
        <w:t xml:space="preserve"> </w:t>
      </w:r>
    </w:p>
    <w:p>
      <w:pPr>
        <w:adjustRightInd w:val="0"/>
        <w:snapToGrid w:val="0"/>
        <w:spacing w:line="360" w:lineRule="auto"/>
        <w:jc w:val="center"/>
        <w:rPr>
          <w:b/>
          <w:color w:val="auto"/>
          <w:kern w:val="0"/>
        </w:rPr>
      </w:pPr>
      <w:r>
        <w:rPr>
          <w:rFonts w:hint="eastAsia"/>
          <w:b/>
          <w:color w:val="auto"/>
          <w:kern w:val="0"/>
        </w:rPr>
        <w:t>图4</w:t>
      </w:r>
      <w:r>
        <w:rPr>
          <w:b/>
          <w:color w:val="auto"/>
          <w:kern w:val="0"/>
        </w:rPr>
        <w:t xml:space="preserve">.1-2  </w:t>
      </w:r>
      <w:r>
        <w:rPr>
          <w:rFonts w:hint="eastAsia"/>
          <w:b/>
          <w:color w:val="auto"/>
          <w:kern w:val="0"/>
        </w:rPr>
        <w:t>项目所在区域土壤类型（按系统分类）</w:t>
      </w:r>
    </w:p>
    <w:p>
      <w:pPr>
        <w:rPr>
          <w:color w:val="auto"/>
          <w:lang w:val="zh-CN" w:eastAsia="zh-CN"/>
        </w:rPr>
        <w:sectPr>
          <w:pgSz w:w="16838" w:h="11906" w:orient="landscape"/>
          <w:pgMar w:top="1418" w:right="1418" w:bottom="1418" w:left="1418" w:header="851" w:footer="992" w:gutter="0"/>
          <w:pgNumType w:fmt="decimal"/>
          <w:cols w:space="425" w:num="1"/>
          <w:docGrid w:type="lines" w:linePitch="326" w:charSpace="0"/>
        </w:sectPr>
      </w:pPr>
    </w:p>
    <w:p>
      <w:pPr>
        <w:pStyle w:val="298"/>
        <w:rPr>
          <w:color w:val="auto"/>
        </w:rPr>
      </w:pPr>
      <w:bookmarkStart w:id="381" w:name="_Toc10059"/>
      <w:bookmarkStart w:id="382" w:name="_Toc34234693"/>
      <w:bookmarkStart w:id="383" w:name="_Toc24136774"/>
      <w:r>
        <w:rPr>
          <w:color w:val="auto"/>
        </w:rPr>
        <w:t>4.1.6自然资源</w:t>
      </w:r>
      <w:bookmarkEnd w:id="379"/>
      <w:bookmarkEnd w:id="380"/>
      <w:bookmarkEnd w:id="381"/>
      <w:bookmarkEnd w:id="382"/>
      <w:bookmarkEnd w:id="383"/>
    </w:p>
    <w:p>
      <w:pPr>
        <w:spacing w:line="360" w:lineRule="auto"/>
        <w:ind w:firstLine="480"/>
        <w:jc w:val="both"/>
        <w:rPr>
          <w:color w:val="auto"/>
        </w:rPr>
      </w:pPr>
      <w:r>
        <w:rPr>
          <w:color w:val="auto"/>
        </w:rPr>
        <w:t>梅州市水资源丰富，</w:t>
      </w:r>
      <w:r>
        <w:rPr>
          <w:rFonts w:hint="eastAsia"/>
          <w:color w:val="auto"/>
        </w:rPr>
        <w:t>且还有相当大数量的过境水。</w:t>
      </w:r>
      <w:r>
        <w:rPr>
          <w:color w:val="auto"/>
        </w:rPr>
        <w:t>境内多年平均降雨总量251.6亿m</w:t>
      </w:r>
      <w:r>
        <w:rPr>
          <w:color w:val="auto"/>
          <w:vertAlign w:val="superscript"/>
        </w:rPr>
        <w:t>3</w:t>
      </w:r>
      <w:r>
        <w:rPr>
          <w:color w:val="auto"/>
        </w:rPr>
        <w:t>，多年平均径流量128.7亿m</w:t>
      </w:r>
      <w:r>
        <w:rPr>
          <w:color w:val="auto"/>
          <w:vertAlign w:val="superscript"/>
        </w:rPr>
        <w:t>3</w:t>
      </w:r>
      <w:r>
        <w:rPr>
          <w:color w:val="auto"/>
        </w:rPr>
        <w:t>，过境客水量127亿m</w:t>
      </w:r>
      <w:r>
        <w:rPr>
          <w:color w:val="auto"/>
          <w:vertAlign w:val="superscript"/>
        </w:rPr>
        <w:t>3</w:t>
      </w:r>
      <w:r>
        <w:rPr>
          <w:color w:val="auto"/>
        </w:rPr>
        <w:t>。全市人均拥有本地水资源量2579m</w:t>
      </w:r>
      <w:r>
        <w:rPr>
          <w:color w:val="auto"/>
          <w:vertAlign w:val="superscript"/>
        </w:rPr>
        <w:t>3</w:t>
      </w:r>
      <w:r>
        <w:rPr>
          <w:color w:val="auto"/>
        </w:rPr>
        <w:t>。境内水力资源理论蕴藏量为131.37万kw。地下热水资源丰富、水温高、水质好、流量大。如丰顺汤坑邓屋温泉，水温高82~91</w:t>
      </w:r>
      <w:r>
        <w:rPr>
          <w:rFonts w:hint="eastAsia"/>
          <w:color w:val="auto"/>
        </w:rPr>
        <w:t>℃</w:t>
      </w:r>
      <w:r>
        <w:rPr>
          <w:color w:val="auto"/>
        </w:rPr>
        <w:t>，流量达4459L/s。</w:t>
      </w:r>
    </w:p>
    <w:p>
      <w:pPr>
        <w:spacing w:line="360" w:lineRule="auto"/>
        <w:ind w:firstLine="480"/>
        <w:jc w:val="both"/>
        <w:rPr>
          <w:color w:val="auto"/>
        </w:rPr>
      </w:pPr>
      <w:r>
        <w:rPr>
          <w:rFonts w:hint="eastAsia"/>
          <w:color w:val="auto"/>
        </w:rPr>
        <w:t>梅州市已发现的矿产约48种，530多处矿床（点）。金属类有铁、锰、铜、铅、锌、钨、锡、铋、钼、银、锑、钒、钛、钴、稀土氧化物等，非金属类有煤石灰石、瓷土、石膏、大理石、钾长石等。其中煤储量2.7亿吨，占全省第二位；铁、锰储量分别占全省的20%和30%；石灰石、瓷土分布广、储量丰富</w:t>
      </w:r>
      <w:r>
        <w:rPr>
          <w:color w:val="auto"/>
        </w:rPr>
        <w:t>。</w:t>
      </w:r>
    </w:p>
    <w:p>
      <w:pPr>
        <w:spacing w:line="360" w:lineRule="auto"/>
        <w:ind w:firstLine="480"/>
        <w:jc w:val="both"/>
        <w:rPr>
          <w:color w:val="auto"/>
        </w:rPr>
      </w:pPr>
      <w:r>
        <w:rPr>
          <w:rFonts w:hint="eastAsia"/>
          <w:color w:val="auto"/>
        </w:rPr>
        <w:t>梅州市山地众多，野生动物种类繁多，经济价值较大的主要兽类和鸟类有</w:t>
      </w:r>
      <w:r>
        <w:rPr>
          <w:color w:val="auto"/>
        </w:rPr>
        <w:t>200</w:t>
      </w:r>
      <w:r>
        <w:rPr>
          <w:rFonts w:hint="eastAsia"/>
          <w:color w:val="auto"/>
        </w:rPr>
        <w:t>多种，两栖、爬行类动物有</w:t>
      </w:r>
      <w:r>
        <w:rPr>
          <w:color w:val="auto"/>
        </w:rPr>
        <w:t>100</w:t>
      </w:r>
      <w:r>
        <w:rPr>
          <w:rFonts w:hint="eastAsia"/>
          <w:color w:val="auto"/>
        </w:rPr>
        <w:t>种以上。梅州市境内有</w:t>
      </w:r>
      <w:r>
        <w:rPr>
          <w:color w:val="auto"/>
        </w:rPr>
        <w:t>2000</w:t>
      </w:r>
      <w:r>
        <w:rPr>
          <w:rFonts w:hint="eastAsia"/>
          <w:color w:val="auto"/>
        </w:rPr>
        <w:t>多种高等植物，经考察采集和记载的就有</w:t>
      </w:r>
      <w:r>
        <w:rPr>
          <w:color w:val="auto"/>
        </w:rPr>
        <w:t>1084</w:t>
      </w:r>
      <w:r>
        <w:rPr>
          <w:rFonts w:hint="eastAsia"/>
          <w:color w:val="auto"/>
        </w:rPr>
        <w:t>种，隶属于</w:t>
      </w:r>
      <w:r>
        <w:rPr>
          <w:color w:val="auto"/>
        </w:rPr>
        <w:t>182</w:t>
      </w:r>
      <w:r>
        <w:rPr>
          <w:rFonts w:hint="eastAsia"/>
          <w:color w:val="auto"/>
        </w:rPr>
        <w:t>科、598属。其中蕨类植物</w:t>
      </w:r>
      <w:r>
        <w:rPr>
          <w:color w:val="auto"/>
        </w:rPr>
        <w:t>19</w:t>
      </w:r>
      <w:r>
        <w:rPr>
          <w:rFonts w:hint="eastAsia"/>
          <w:color w:val="auto"/>
        </w:rPr>
        <w:t>科、</w:t>
      </w:r>
      <w:r>
        <w:rPr>
          <w:color w:val="auto"/>
        </w:rPr>
        <w:t>29</w:t>
      </w:r>
      <w:r>
        <w:rPr>
          <w:rFonts w:hint="eastAsia"/>
          <w:color w:val="auto"/>
        </w:rPr>
        <w:t>属、</w:t>
      </w:r>
      <w:r>
        <w:rPr>
          <w:color w:val="auto"/>
        </w:rPr>
        <w:t>41</w:t>
      </w:r>
      <w:r>
        <w:rPr>
          <w:rFonts w:hint="eastAsia"/>
          <w:color w:val="auto"/>
        </w:rPr>
        <w:t>种；果子植物</w:t>
      </w:r>
      <w:r>
        <w:rPr>
          <w:color w:val="auto"/>
        </w:rPr>
        <w:t>7</w:t>
      </w:r>
      <w:r>
        <w:rPr>
          <w:rFonts w:hint="eastAsia"/>
          <w:color w:val="auto"/>
        </w:rPr>
        <w:t>科、</w:t>
      </w:r>
      <w:r>
        <w:rPr>
          <w:color w:val="auto"/>
        </w:rPr>
        <w:t>11</w:t>
      </w:r>
      <w:r>
        <w:rPr>
          <w:rFonts w:hint="eastAsia"/>
          <w:color w:val="auto"/>
        </w:rPr>
        <w:t>属、</w:t>
      </w:r>
      <w:r>
        <w:rPr>
          <w:color w:val="auto"/>
        </w:rPr>
        <w:t>14</w:t>
      </w:r>
      <w:r>
        <w:rPr>
          <w:rFonts w:hint="eastAsia"/>
          <w:color w:val="auto"/>
        </w:rPr>
        <w:t>种；双子叶植物</w:t>
      </w:r>
      <w:r>
        <w:rPr>
          <w:color w:val="auto"/>
        </w:rPr>
        <w:t>134</w:t>
      </w:r>
      <w:r>
        <w:rPr>
          <w:rFonts w:hint="eastAsia"/>
          <w:color w:val="auto"/>
        </w:rPr>
        <w:t>科、</w:t>
      </w:r>
      <w:r>
        <w:rPr>
          <w:color w:val="auto"/>
        </w:rPr>
        <w:t>471</w:t>
      </w:r>
      <w:r>
        <w:rPr>
          <w:rFonts w:hint="eastAsia"/>
          <w:color w:val="auto"/>
        </w:rPr>
        <w:t>属、</w:t>
      </w:r>
      <w:r>
        <w:rPr>
          <w:color w:val="auto"/>
        </w:rPr>
        <w:t>908</w:t>
      </w:r>
      <w:r>
        <w:rPr>
          <w:rFonts w:hint="eastAsia"/>
          <w:color w:val="auto"/>
        </w:rPr>
        <w:t>种；单子叶植物</w:t>
      </w:r>
      <w:r>
        <w:rPr>
          <w:color w:val="auto"/>
        </w:rPr>
        <w:t>22</w:t>
      </w:r>
      <w:r>
        <w:rPr>
          <w:rFonts w:hint="eastAsia"/>
          <w:color w:val="auto"/>
        </w:rPr>
        <w:t>科、</w:t>
      </w:r>
      <w:r>
        <w:rPr>
          <w:color w:val="auto"/>
        </w:rPr>
        <w:t>87</w:t>
      </w:r>
      <w:r>
        <w:rPr>
          <w:rFonts w:hint="eastAsia"/>
          <w:color w:val="auto"/>
        </w:rPr>
        <w:t>属、</w:t>
      </w:r>
      <w:r>
        <w:rPr>
          <w:color w:val="auto"/>
        </w:rPr>
        <w:t>121</w:t>
      </w:r>
      <w:r>
        <w:rPr>
          <w:rFonts w:hint="eastAsia"/>
          <w:color w:val="auto"/>
        </w:rPr>
        <w:t>种。按树种分类有：材用植物，药用植物，油脂植物，芳香植物，纤维植物，淀粉植物，果类植物，蜜源植物，鞣料植物，还有属于花卉、观赏和庭园绿化类的野生植物。</w:t>
      </w:r>
    </w:p>
    <w:p>
      <w:pPr>
        <w:spacing w:line="360" w:lineRule="auto"/>
        <w:ind w:firstLine="480"/>
        <w:jc w:val="both"/>
        <w:rPr>
          <w:color w:val="auto"/>
        </w:rPr>
      </w:pPr>
      <w:r>
        <w:rPr>
          <w:rFonts w:hint="eastAsia"/>
          <w:color w:val="auto"/>
        </w:rPr>
        <w:t>梅州市山清水秀，气候宜人。境内有不少名山古寺，文物古迹，名人故居，温泉瀑布，秀丽湖山。改革开放以来，海内外热心人士又捐建一批亭台楼榭，修葺许多名寺古迹，增添食宿游乐设施。境内主要旅游区（点）有：千年古刹阴那山灵光寺，叶剑英元帅故居、纪念馆，清末爱国诗人、政治家黄遵宪故居人境庐，千佛塔，泮坑瀑布，梅县雁鸣湖、雁南飞旅游度假村、阴那山天文科普园、松源王寿山，兴宁合水湖山、神光山，五华益塘水库、热矿泥山庄，平远南台山、五指石，蕉岭长潭胜景、丘逢甲故居、释迦文化中心，大埔丰溪自然保护区，丰顺汤坑温泉、龙归寨飞瀑、龙鲸河漂流等</w:t>
      </w:r>
      <w:r>
        <w:rPr>
          <w:color w:val="auto"/>
        </w:rPr>
        <w:t>。</w:t>
      </w:r>
    </w:p>
    <w:p>
      <w:pPr>
        <w:keepNext/>
        <w:spacing w:line="360" w:lineRule="auto"/>
        <w:ind w:left="720" w:hanging="720"/>
        <w:outlineLvl w:val="2"/>
        <w:rPr>
          <w:b/>
          <w:bCs/>
          <w:color w:val="auto"/>
          <w:szCs w:val="26"/>
        </w:rPr>
      </w:pPr>
      <w:bookmarkStart w:id="384" w:name="_Toc24136775"/>
      <w:bookmarkStart w:id="385" w:name="_Toc11377"/>
      <w:bookmarkStart w:id="386" w:name="_Toc14946867"/>
      <w:bookmarkStart w:id="387" w:name="_Toc15912159"/>
      <w:bookmarkStart w:id="388" w:name="_Toc34234694"/>
      <w:r>
        <w:rPr>
          <w:b/>
          <w:bCs/>
          <w:color w:val="auto"/>
          <w:szCs w:val="26"/>
        </w:rPr>
        <w:t>4.1.7项目周围污染源情况</w:t>
      </w:r>
      <w:bookmarkEnd w:id="384"/>
      <w:bookmarkEnd w:id="385"/>
      <w:bookmarkEnd w:id="386"/>
      <w:bookmarkEnd w:id="387"/>
      <w:bookmarkEnd w:id="388"/>
    </w:p>
    <w:p>
      <w:pPr>
        <w:spacing w:line="360" w:lineRule="auto"/>
        <w:ind w:firstLine="480"/>
        <w:rPr>
          <w:color w:val="auto"/>
        </w:rPr>
      </w:pPr>
      <w:r>
        <w:rPr>
          <w:rFonts w:hint="eastAsia"/>
          <w:color w:val="auto"/>
        </w:rPr>
        <w:t>根据对本项目周边环境的调查，项目周边主要外部污染源为附近道路交通噪声和汽车尾气及工业污染源。</w:t>
      </w:r>
    </w:p>
    <w:p>
      <w:pPr>
        <w:spacing w:line="360" w:lineRule="auto"/>
        <w:ind w:firstLine="480"/>
        <w:rPr>
          <w:color w:val="auto"/>
        </w:rPr>
      </w:pPr>
      <w:r>
        <w:rPr>
          <w:rFonts w:hint="eastAsia"/>
          <w:color w:val="auto"/>
        </w:rPr>
        <w:t>1、工业污染源</w:t>
      </w:r>
    </w:p>
    <w:p>
      <w:pPr>
        <w:spacing w:line="360" w:lineRule="auto"/>
        <w:ind w:firstLine="480"/>
        <w:jc w:val="both"/>
        <w:rPr>
          <w:color w:val="auto"/>
        </w:rPr>
      </w:pPr>
      <w:r>
        <w:rPr>
          <w:rFonts w:hint="eastAsia"/>
          <w:color w:val="auto"/>
        </w:rPr>
        <w:t>项目周边工业主要为选址东北侧的兴旺石化加油站、中广化加油站，西北侧的广东弘和高新材料股份有限公司、黄泥坑填埋场，西侧的中国石化加油站</w:t>
      </w:r>
      <w:r>
        <w:rPr>
          <w:rFonts w:hint="eastAsia"/>
          <w:color w:val="auto"/>
          <w:lang w:eastAsia="zh-CN"/>
        </w:rPr>
        <w:t>以及园区内在建的生活垃圾焚烧厂</w:t>
      </w:r>
      <w:r>
        <w:rPr>
          <w:rFonts w:hint="eastAsia"/>
          <w:color w:val="auto"/>
        </w:rPr>
        <w:t>等，对项目的影响主要为恶臭气体、粉尘、非甲烷总烃及爆炸风险影响。</w:t>
      </w:r>
    </w:p>
    <w:p>
      <w:pPr>
        <w:spacing w:line="360" w:lineRule="auto"/>
        <w:ind w:firstLine="480"/>
        <w:jc w:val="both"/>
        <w:rPr>
          <w:color w:val="auto"/>
        </w:rPr>
      </w:pPr>
      <w:r>
        <w:rPr>
          <w:rFonts w:hint="eastAsia"/>
          <w:color w:val="auto"/>
        </w:rPr>
        <w:t>2、道路污染源</w:t>
      </w:r>
    </w:p>
    <w:p>
      <w:pPr>
        <w:spacing w:line="360" w:lineRule="auto"/>
        <w:ind w:firstLine="480"/>
        <w:jc w:val="both"/>
        <w:rPr>
          <w:color w:val="auto"/>
        </w:rPr>
      </w:pPr>
      <w:r>
        <w:rPr>
          <w:rFonts w:hint="eastAsia"/>
          <w:color w:val="auto"/>
        </w:rPr>
        <w:t>本项目西侧临近国道2</w:t>
      </w:r>
      <w:r>
        <w:rPr>
          <w:color w:val="auto"/>
        </w:rPr>
        <w:t>05</w:t>
      </w:r>
      <w:r>
        <w:rPr>
          <w:rFonts w:hint="eastAsia"/>
          <w:color w:val="auto"/>
        </w:rPr>
        <w:t>，东侧临近济广高速，项目建成后将主要受到国道2</w:t>
      </w:r>
      <w:r>
        <w:rPr>
          <w:color w:val="auto"/>
        </w:rPr>
        <w:t>05</w:t>
      </w:r>
      <w:r>
        <w:rPr>
          <w:rFonts w:hint="eastAsia"/>
          <w:color w:val="auto"/>
        </w:rPr>
        <w:t>及济广高速的汽车尾气和交通噪声影响。</w:t>
      </w:r>
    </w:p>
    <w:p>
      <w:pPr>
        <w:spacing w:line="360" w:lineRule="auto"/>
        <w:ind w:firstLine="480"/>
        <w:jc w:val="both"/>
        <w:rPr>
          <w:color w:val="auto"/>
        </w:rPr>
      </w:pPr>
      <w:r>
        <w:rPr>
          <w:rFonts w:hint="eastAsia"/>
          <w:color w:val="auto"/>
        </w:rPr>
        <w:t>国道2</w:t>
      </w:r>
      <w:r>
        <w:rPr>
          <w:color w:val="auto"/>
        </w:rPr>
        <w:t>05</w:t>
      </w:r>
      <w:r>
        <w:rPr>
          <w:rFonts w:hint="eastAsia"/>
          <w:color w:val="auto"/>
        </w:rPr>
        <w:t>及济广高速已建成运行多年，故本次评价将根据噪声现状监测结果，确定上述道路噪声对项目的影响</w:t>
      </w:r>
      <w:r>
        <w:rPr>
          <w:color w:val="auto"/>
        </w:rPr>
        <w:t>。</w:t>
      </w:r>
    </w:p>
    <w:p>
      <w:pPr>
        <w:pStyle w:val="3"/>
        <w:numPr>
          <w:ilvl w:val="0"/>
          <w:numId w:val="0"/>
        </w:numPr>
        <w:tabs>
          <w:tab w:val="clear" w:pos="680"/>
        </w:tabs>
        <w:rPr>
          <w:rFonts w:ascii="Times New Roman"/>
          <w:bCs/>
          <w:color w:val="auto"/>
        </w:rPr>
      </w:pPr>
      <w:bookmarkStart w:id="389" w:name="_Toc9517763"/>
      <w:bookmarkStart w:id="390" w:name="_Toc16647"/>
      <w:bookmarkStart w:id="391" w:name="_Toc14943322"/>
      <w:bookmarkStart w:id="392" w:name="_Toc24136776"/>
      <w:bookmarkStart w:id="393" w:name="_Toc23263165"/>
      <w:r>
        <w:rPr>
          <w:rFonts w:hint="eastAsia" w:ascii="Times New Roman"/>
          <w:bCs/>
          <w:color w:val="auto"/>
          <w:lang w:eastAsia="zh-CN"/>
        </w:rPr>
        <w:t>4</w:t>
      </w:r>
      <w:r>
        <w:rPr>
          <w:rFonts w:ascii="Times New Roman"/>
          <w:bCs/>
          <w:color w:val="auto"/>
          <w:lang w:eastAsia="zh-CN"/>
        </w:rPr>
        <w:t>.2</w:t>
      </w:r>
      <w:r>
        <w:rPr>
          <w:rFonts w:ascii="Times New Roman"/>
          <w:bCs/>
          <w:color w:val="auto"/>
        </w:rPr>
        <w:t>地表水环境质量现状监测与评价</w:t>
      </w:r>
      <w:bookmarkEnd w:id="389"/>
      <w:bookmarkEnd w:id="390"/>
      <w:bookmarkEnd w:id="391"/>
      <w:bookmarkEnd w:id="392"/>
      <w:bookmarkEnd w:id="393"/>
    </w:p>
    <w:p>
      <w:pPr>
        <w:keepNext/>
        <w:keepLines/>
        <w:spacing w:line="360" w:lineRule="auto"/>
        <w:outlineLvl w:val="2"/>
        <w:rPr>
          <w:b/>
          <w:bCs/>
          <w:color w:val="auto"/>
        </w:rPr>
      </w:pPr>
      <w:bookmarkStart w:id="394" w:name="_Toc34234696"/>
      <w:bookmarkStart w:id="395" w:name="_Toc2080"/>
      <w:bookmarkStart w:id="396" w:name="_Toc24136777"/>
      <w:bookmarkStart w:id="397" w:name="_Toc15912161"/>
      <w:bookmarkStart w:id="398" w:name="_Toc14946869"/>
      <w:r>
        <w:rPr>
          <w:rFonts w:hint="eastAsia"/>
          <w:b/>
          <w:bCs/>
          <w:color w:val="auto"/>
        </w:rPr>
        <w:t>4</w:t>
      </w:r>
      <w:r>
        <w:rPr>
          <w:b/>
          <w:bCs/>
          <w:color w:val="auto"/>
        </w:rPr>
        <w:t>.2.1</w:t>
      </w:r>
      <w:r>
        <w:rPr>
          <w:rFonts w:hint="eastAsia"/>
          <w:b/>
          <w:bCs/>
          <w:color w:val="auto"/>
        </w:rPr>
        <w:t>地表水例行监测断面环境质量现状</w:t>
      </w:r>
      <w:bookmarkEnd w:id="394"/>
      <w:bookmarkEnd w:id="395"/>
      <w:bookmarkEnd w:id="396"/>
    </w:p>
    <w:p>
      <w:pPr>
        <w:spacing w:line="360" w:lineRule="auto"/>
        <w:ind w:firstLine="480" w:firstLineChars="200"/>
        <w:jc w:val="both"/>
        <w:rPr>
          <w:color w:val="auto"/>
        </w:rPr>
      </w:pPr>
      <w:r>
        <w:rPr>
          <w:color w:val="auto"/>
        </w:rPr>
        <w:t>根据《2018年梅州市生态环境状况公报》，2018年梅州市饮用水源地水质保持优良，水质达标率100%；主要河流水质基本保持稳定，水质以优良为主，达到或优于Ⅲ类水质断面占93.8%</w:t>
      </w:r>
      <w:r>
        <w:rPr>
          <w:rFonts w:hint="eastAsia"/>
          <w:color w:val="auto"/>
        </w:rPr>
        <w:t>，韩江跨界交接赤凤断面</w:t>
      </w:r>
      <w:r>
        <w:rPr>
          <w:color w:val="auto"/>
        </w:rPr>
        <w:t>保持Ⅱ</w:t>
      </w:r>
      <w:r>
        <w:rPr>
          <w:rFonts w:hint="eastAsia"/>
          <w:color w:val="auto"/>
        </w:rPr>
        <w:t>类水质。</w:t>
      </w:r>
    </w:p>
    <w:p>
      <w:pPr>
        <w:spacing w:line="360" w:lineRule="auto"/>
        <w:ind w:firstLine="480" w:firstLineChars="200"/>
        <w:jc w:val="both"/>
        <w:rPr>
          <w:color w:val="auto"/>
        </w:rPr>
      </w:pPr>
      <w:r>
        <w:rPr>
          <w:rFonts w:hint="eastAsia"/>
          <w:color w:val="auto"/>
        </w:rPr>
        <w:t>全市1</w:t>
      </w:r>
      <w:r>
        <w:rPr>
          <w:color w:val="auto"/>
        </w:rPr>
        <w:t>5</w:t>
      </w:r>
      <w:r>
        <w:rPr>
          <w:rFonts w:hint="eastAsia"/>
          <w:color w:val="auto"/>
        </w:rPr>
        <w:t>个主要河段（不包含入境断面）的3</w:t>
      </w:r>
      <w:r>
        <w:rPr>
          <w:color w:val="auto"/>
        </w:rPr>
        <w:t>0</w:t>
      </w:r>
      <w:r>
        <w:rPr>
          <w:rFonts w:hint="eastAsia"/>
          <w:color w:val="auto"/>
        </w:rPr>
        <w:t>个监测断面中有2</w:t>
      </w:r>
      <w:r>
        <w:rPr>
          <w:color w:val="auto"/>
        </w:rPr>
        <w:t>5</w:t>
      </w:r>
      <w:r>
        <w:rPr>
          <w:rFonts w:hint="eastAsia"/>
          <w:color w:val="auto"/>
        </w:rPr>
        <w:t>个断面年均水质达到水环境功能区类别，达标率为</w:t>
      </w:r>
      <w:r>
        <w:rPr>
          <w:color w:val="auto"/>
        </w:rPr>
        <w:t>83.3</w:t>
      </w:r>
      <w:r>
        <w:rPr>
          <w:rFonts w:hint="eastAsia"/>
          <w:color w:val="auto"/>
        </w:rPr>
        <w:t>%；</w:t>
      </w:r>
      <w:r>
        <w:rPr>
          <w:color w:val="auto"/>
        </w:rPr>
        <w:t>达到或优于Ⅲ类水质断</w:t>
      </w:r>
      <w:r>
        <w:rPr>
          <w:rFonts w:hint="eastAsia"/>
          <w:color w:val="auto"/>
        </w:rPr>
        <w:t>面</w:t>
      </w:r>
      <w:r>
        <w:rPr>
          <w:color w:val="auto"/>
        </w:rPr>
        <w:t>28个，占93.3%；IV类水质断面1个，占3.3%；V类水质断面1个，占3.3%；无属I类、劣V类水质的断面</w:t>
      </w:r>
      <w:r>
        <w:rPr>
          <w:rFonts w:hint="eastAsia"/>
          <w:color w:val="auto"/>
        </w:rPr>
        <w:t>。</w:t>
      </w:r>
    </w:p>
    <w:p>
      <w:pPr>
        <w:spacing w:line="360" w:lineRule="auto"/>
        <w:ind w:firstLine="480" w:firstLineChars="200"/>
        <w:jc w:val="both"/>
        <w:rPr>
          <w:color w:val="auto"/>
        </w:rPr>
      </w:pPr>
      <w:r>
        <w:rPr>
          <w:color w:val="auto"/>
        </w:rPr>
        <w:t>梅江、韩江（梅州段）、石窟河、柚树河、梅潭河、汀江、五华河、隆文水、丰良河以及琴江水质为优；程江、鹤市河、宁江、榕江北河以及石正河水质为良好；松源河水质轻度污染</w:t>
      </w:r>
      <w:r>
        <w:rPr>
          <w:rFonts w:hint="eastAsia"/>
          <w:color w:val="auto"/>
        </w:rPr>
        <w:t>。</w:t>
      </w:r>
    </w:p>
    <w:p>
      <w:pPr>
        <w:pStyle w:val="298"/>
        <w:rPr>
          <w:rFonts w:hint="eastAsia"/>
          <w:bCs/>
          <w:color w:val="auto"/>
        </w:rPr>
      </w:pPr>
      <w:bookmarkStart w:id="399" w:name="_Toc24136778"/>
      <w:bookmarkStart w:id="400" w:name="_Toc4472"/>
      <w:bookmarkStart w:id="401" w:name="_Toc34234697"/>
      <w:r>
        <w:rPr>
          <w:color w:val="auto"/>
        </w:rPr>
        <w:t>4.2.2地表水</w:t>
      </w:r>
      <w:bookmarkEnd w:id="397"/>
      <w:bookmarkEnd w:id="398"/>
      <w:r>
        <w:rPr>
          <w:rFonts w:hint="eastAsia"/>
          <w:bCs/>
          <w:color w:val="auto"/>
          <w:lang w:eastAsia="zh-CN"/>
        </w:rPr>
        <w:t>引用</w:t>
      </w:r>
      <w:r>
        <w:rPr>
          <w:rFonts w:hint="eastAsia"/>
          <w:bCs/>
          <w:color w:val="auto"/>
        </w:rPr>
        <w:t>监测断面环境质量现状</w:t>
      </w:r>
      <w:bookmarkEnd w:id="399"/>
      <w:bookmarkEnd w:id="400"/>
      <w:bookmarkEnd w:id="401"/>
    </w:p>
    <w:p>
      <w:pPr>
        <w:pStyle w:val="301"/>
        <w:rPr>
          <w:color w:val="auto"/>
        </w:rPr>
      </w:pPr>
      <w:r>
        <w:rPr>
          <w:color w:val="auto"/>
        </w:rPr>
        <w:t>4.2.2.1</w:t>
      </w:r>
      <w:r>
        <w:rPr>
          <w:rFonts w:hint="eastAsia"/>
          <w:color w:val="auto"/>
          <w:lang w:eastAsia="zh-CN"/>
        </w:rPr>
        <w:t>监测数据引用的有效性分析</w:t>
      </w:r>
    </w:p>
    <w:p>
      <w:pPr>
        <w:pStyle w:val="293"/>
        <w:rPr>
          <w:rStyle w:val="409"/>
          <w:rFonts w:hint="eastAsia"/>
          <w:b w:val="0"/>
          <w:bCs/>
          <w:color w:val="auto"/>
        </w:rPr>
      </w:pPr>
      <w:r>
        <w:rPr>
          <w:rFonts w:hint="eastAsia"/>
          <w:bCs/>
          <w:color w:val="auto"/>
          <w:lang w:val="en-US" w:eastAsia="zh-CN"/>
        </w:rPr>
        <w:t xml:space="preserve"> </w:t>
      </w:r>
      <w:r>
        <w:rPr>
          <w:rStyle w:val="409"/>
          <w:rFonts w:hint="eastAsia"/>
          <w:b w:val="0"/>
          <w:bCs/>
          <w:color w:val="auto"/>
          <w:lang w:val="en-US" w:eastAsia="zh-CN"/>
        </w:rPr>
        <w:t>本项目周边水体为曾坑水库、曾坑河以及宁江，所引用的地表水监测断面距离本项目所在位置较近，同时，引用的监测数据监测时间为2019年3月及9月，距离本项目评价时间较近，并且</w:t>
      </w:r>
      <w:r>
        <w:rPr>
          <w:rStyle w:val="409"/>
          <w:rFonts w:hint="eastAsia"/>
          <w:b w:val="0"/>
          <w:bCs/>
          <w:color w:val="auto"/>
          <w:lang w:eastAsia="zh-CN"/>
        </w:rPr>
        <w:t>评价间隔内未发生可导致评价范围内地表水体恶化的环境事件，因此，本次环评引用的数据具有时效性及代表性，监测数据有效。</w:t>
      </w:r>
    </w:p>
    <w:p>
      <w:pPr>
        <w:pStyle w:val="301"/>
        <w:rPr>
          <w:color w:val="auto"/>
        </w:rPr>
      </w:pPr>
      <w:r>
        <w:rPr>
          <w:color w:val="auto"/>
        </w:rPr>
        <w:t>4.2.2.</w:t>
      </w:r>
      <w:r>
        <w:rPr>
          <w:rFonts w:hint="eastAsia"/>
          <w:color w:val="auto"/>
          <w:lang w:val="en-US" w:eastAsia="zh-CN"/>
        </w:rPr>
        <w:t>2</w:t>
      </w:r>
      <w:r>
        <w:rPr>
          <w:rFonts w:hint="eastAsia"/>
          <w:color w:val="auto"/>
          <w:lang w:eastAsia="zh-CN"/>
        </w:rPr>
        <w:t>引用</w:t>
      </w:r>
      <w:r>
        <w:rPr>
          <w:color w:val="auto"/>
        </w:rPr>
        <w:t>监测断面</w:t>
      </w:r>
      <w:r>
        <w:rPr>
          <w:rFonts w:hint="eastAsia"/>
          <w:color w:val="auto"/>
          <w:lang w:eastAsia="zh-CN"/>
        </w:rPr>
        <w:t>布设</w:t>
      </w:r>
    </w:p>
    <w:p>
      <w:pPr>
        <w:spacing w:line="360" w:lineRule="auto"/>
        <w:ind w:firstLine="480"/>
        <w:jc w:val="both"/>
        <w:rPr>
          <w:color w:val="auto"/>
        </w:rPr>
      </w:pPr>
      <w:r>
        <w:rPr>
          <w:color w:val="auto"/>
        </w:rPr>
        <w:t>为了解项目周边水体的环境质量现状，明确评价</w:t>
      </w:r>
      <w:r>
        <w:rPr>
          <w:rFonts w:hint="eastAsia"/>
          <w:color w:val="auto"/>
        </w:rPr>
        <w:t>区域现状</w:t>
      </w:r>
      <w:r>
        <w:rPr>
          <w:color w:val="auto"/>
        </w:rPr>
        <w:t>水环境质量，</w:t>
      </w:r>
      <w:r>
        <w:rPr>
          <w:rFonts w:hint="eastAsia"/>
          <w:color w:val="auto"/>
        </w:rPr>
        <w:t>为本</w:t>
      </w:r>
      <w:r>
        <w:rPr>
          <w:color w:val="auto"/>
        </w:rPr>
        <w:t>项目</w:t>
      </w:r>
      <w:r>
        <w:rPr>
          <w:rFonts w:hint="eastAsia"/>
          <w:color w:val="auto"/>
        </w:rPr>
        <w:t>的</w:t>
      </w:r>
      <w:r>
        <w:rPr>
          <w:color w:val="auto"/>
        </w:rPr>
        <w:t>环境管理提供必要基础数据，</w:t>
      </w:r>
      <w:r>
        <w:rPr>
          <w:rFonts w:hint="eastAsia"/>
          <w:color w:val="auto"/>
        </w:rPr>
        <w:t>本次评价引用广州京诚检测技术有限公司出具的《兴宁市静脉产业园及进场道路环境影响评价环境质量现状监测检测报告》（报告编号：GZH191059051040302a01R</w:t>
      </w:r>
      <w:r>
        <w:rPr>
          <w:rFonts w:hint="eastAsia"/>
          <w:color w:val="auto"/>
          <w:vertAlign w:val="subscript"/>
        </w:rPr>
        <w:t>1</w:t>
      </w:r>
      <w:r>
        <w:rPr>
          <w:rFonts w:hint="eastAsia"/>
          <w:color w:val="auto"/>
        </w:rPr>
        <w:t>），监测时间为2019年3月25日至27日，</w:t>
      </w:r>
      <w:r>
        <w:rPr>
          <w:color w:val="auto"/>
        </w:rPr>
        <w:t>共布设7个监测断面</w:t>
      </w:r>
      <w:r>
        <w:rPr>
          <w:rFonts w:hint="eastAsia"/>
          <w:color w:val="auto"/>
        </w:rPr>
        <w:t>，同时引用《兴宁市静脉产业园项目规划水资源论证报告书》中广东吉之准检测有限公司对曾坑水库水源水质监测的结果进行评价，监测时间为2</w:t>
      </w:r>
      <w:r>
        <w:rPr>
          <w:color w:val="auto"/>
        </w:rPr>
        <w:t>019</w:t>
      </w:r>
      <w:r>
        <w:rPr>
          <w:rFonts w:hint="eastAsia"/>
          <w:color w:val="auto"/>
        </w:rPr>
        <w:t>年9月2</w:t>
      </w:r>
      <w:r>
        <w:rPr>
          <w:color w:val="auto"/>
        </w:rPr>
        <w:t>6</w:t>
      </w:r>
      <w:r>
        <w:rPr>
          <w:rFonts w:hint="eastAsia"/>
          <w:color w:val="auto"/>
        </w:rPr>
        <w:t>日。监测断面为曾坑水库上游入库口和下游大坝处</w:t>
      </w:r>
      <w:r>
        <w:rPr>
          <w:color w:val="auto"/>
        </w:rPr>
        <w:t>。各监测断面位置</w:t>
      </w:r>
      <w:r>
        <w:rPr>
          <w:bCs/>
          <w:color w:val="auto"/>
        </w:rPr>
        <w:t>分布见表4.2-1</w:t>
      </w:r>
      <w:r>
        <w:rPr>
          <w:rFonts w:hint="eastAsia"/>
          <w:bCs/>
          <w:color w:val="auto"/>
        </w:rPr>
        <w:t>、</w:t>
      </w:r>
      <w:r>
        <w:rPr>
          <w:bCs/>
          <w:color w:val="auto"/>
        </w:rPr>
        <w:t>图4.2-1。</w:t>
      </w:r>
    </w:p>
    <w:p>
      <w:pPr>
        <w:pStyle w:val="5"/>
        <w:ind w:firstLine="482"/>
        <w:jc w:val="center"/>
        <w:rPr>
          <w:b/>
          <w:color w:val="auto"/>
        </w:rPr>
      </w:pPr>
      <w:r>
        <w:rPr>
          <w:b/>
          <w:color w:val="auto"/>
        </w:rPr>
        <w:t>表</w:t>
      </w:r>
      <w:r>
        <w:rPr>
          <w:rFonts w:hint="eastAsia"/>
          <w:b/>
          <w:color w:val="auto"/>
        </w:rPr>
        <w:t>4.2</w:t>
      </w:r>
      <w:r>
        <w:rPr>
          <w:b/>
          <w:color w:val="auto"/>
        </w:rPr>
        <w:noBreakHyphen/>
      </w:r>
      <w:r>
        <w:rPr>
          <w:b/>
          <w:color w:val="auto"/>
        </w:rPr>
        <w:fldChar w:fldCharType="begin"/>
      </w:r>
      <w:r>
        <w:rPr>
          <w:b/>
          <w:color w:val="auto"/>
        </w:rPr>
        <w:instrText xml:space="preserve"> SEQ 表 \* ARABIC \s 2 </w:instrText>
      </w:r>
      <w:r>
        <w:rPr>
          <w:b/>
          <w:color w:val="auto"/>
        </w:rPr>
        <w:fldChar w:fldCharType="separate"/>
      </w:r>
      <w:r>
        <w:rPr>
          <w:b/>
          <w:color w:val="auto"/>
        </w:rPr>
        <w:t>1</w:t>
      </w:r>
      <w:r>
        <w:rPr>
          <w:b/>
          <w:color w:val="auto"/>
        </w:rPr>
        <w:fldChar w:fldCharType="end"/>
      </w:r>
      <w:r>
        <w:rPr>
          <w:b/>
          <w:color w:val="auto"/>
        </w:rPr>
        <w:t xml:space="preserve">  地表水环境</w:t>
      </w:r>
      <w:r>
        <w:rPr>
          <w:rFonts w:hint="eastAsia"/>
          <w:b/>
          <w:color w:val="auto"/>
        </w:rPr>
        <w:t>质量</w:t>
      </w:r>
      <w:r>
        <w:rPr>
          <w:b/>
          <w:color w:val="auto"/>
        </w:rPr>
        <w:t>现状</w:t>
      </w:r>
      <w:r>
        <w:rPr>
          <w:rFonts w:hint="eastAsia"/>
          <w:b/>
          <w:color w:val="auto"/>
        </w:rPr>
        <w:t>补充</w:t>
      </w:r>
      <w:r>
        <w:rPr>
          <w:b/>
          <w:color w:val="auto"/>
        </w:rPr>
        <w:t>监测断面一览表</w:t>
      </w:r>
    </w:p>
    <w:tbl>
      <w:tblPr>
        <w:tblStyle w:val="53"/>
        <w:tblW w:w="912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803"/>
        <w:gridCol w:w="5415"/>
        <w:gridCol w:w="1548"/>
        <w:gridCol w:w="13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303" w:hRule="exact"/>
          <w:tblHeader/>
          <w:jc w:val="center"/>
        </w:trPr>
        <w:tc>
          <w:tcPr>
            <w:tcW w:w="6218" w:type="dxa"/>
            <w:gridSpan w:val="2"/>
            <w:vAlign w:val="center"/>
          </w:tcPr>
          <w:p>
            <w:pPr>
              <w:jc w:val="center"/>
              <w:rPr>
                <w:b/>
                <w:color w:val="auto"/>
                <w:sz w:val="21"/>
                <w:szCs w:val="21"/>
              </w:rPr>
            </w:pPr>
            <w:r>
              <w:rPr>
                <w:b/>
                <w:color w:val="auto"/>
                <w:sz w:val="21"/>
                <w:szCs w:val="21"/>
              </w:rPr>
              <w:t>监测断面</w:t>
            </w:r>
          </w:p>
        </w:tc>
        <w:tc>
          <w:tcPr>
            <w:tcW w:w="1548" w:type="dxa"/>
            <w:vMerge w:val="restart"/>
            <w:vAlign w:val="center"/>
          </w:tcPr>
          <w:p>
            <w:pPr>
              <w:jc w:val="center"/>
              <w:rPr>
                <w:b/>
                <w:color w:val="auto"/>
                <w:sz w:val="21"/>
                <w:szCs w:val="21"/>
              </w:rPr>
            </w:pPr>
            <w:r>
              <w:rPr>
                <w:b/>
                <w:color w:val="auto"/>
                <w:sz w:val="21"/>
                <w:szCs w:val="21"/>
              </w:rPr>
              <w:t>水质目标</w:t>
            </w:r>
          </w:p>
        </w:tc>
        <w:tc>
          <w:tcPr>
            <w:tcW w:w="1360" w:type="dxa"/>
            <w:vMerge w:val="restart"/>
            <w:vAlign w:val="center"/>
          </w:tcPr>
          <w:p>
            <w:pPr>
              <w:jc w:val="center"/>
              <w:rPr>
                <w:b/>
                <w:color w:val="auto"/>
                <w:sz w:val="21"/>
                <w:szCs w:val="21"/>
              </w:rPr>
            </w:pPr>
            <w:r>
              <w:rPr>
                <w:b/>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290" w:hRule="exact"/>
          <w:tblHeader/>
          <w:jc w:val="center"/>
        </w:trPr>
        <w:tc>
          <w:tcPr>
            <w:tcW w:w="803" w:type="dxa"/>
            <w:vAlign w:val="center"/>
          </w:tcPr>
          <w:p>
            <w:pPr>
              <w:jc w:val="center"/>
              <w:rPr>
                <w:b/>
                <w:color w:val="auto"/>
                <w:sz w:val="21"/>
                <w:szCs w:val="21"/>
              </w:rPr>
            </w:pPr>
            <w:r>
              <w:rPr>
                <w:b/>
                <w:color w:val="auto"/>
                <w:sz w:val="21"/>
                <w:szCs w:val="21"/>
              </w:rPr>
              <w:t>编号</w:t>
            </w:r>
          </w:p>
        </w:tc>
        <w:tc>
          <w:tcPr>
            <w:tcW w:w="5415" w:type="dxa"/>
            <w:vAlign w:val="center"/>
          </w:tcPr>
          <w:p>
            <w:pPr>
              <w:jc w:val="center"/>
              <w:rPr>
                <w:b/>
                <w:color w:val="auto"/>
                <w:sz w:val="21"/>
                <w:szCs w:val="21"/>
              </w:rPr>
            </w:pPr>
            <w:r>
              <w:rPr>
                <w:b/>
                <w:color w:val="auto"/>
                <w:sz w:val="21"/>
                <w:szCs w:val="21"/>
              </w:rPr>
              <w:t>名 称</w:t>
            </w:r>
          </w:p>
        </w:tc>
        <w:tc>
          <w:tcPr>
            <w:tcW w:w="1548" w:type="dxa"/>
            <w:vMerge w:val="continue"/>
            <w:vAlign w:val="center"/>
          </w:tcPr>
          <w:p>
            <w:pPr>
              <w:ind w:firstLine="420"/>
              <w:jc w:val="center"/>
              <w:rPr>
                <w:color w:val="auto"/>
                <w:sz w:val="21"/>
                <w:szCs w:val="21"/>
              </w:rPr>
            </w:pPr>
          </w:p>
        </w:tc>
        <w:tc>
          <w:tcPr>
            <w:tcW w:w="1360" w:type="dxa"/>
            <w:vMerge w:val="continue"/>
            <w:vAlign w:val="center"/>
          </w:tcPr>
          <w:p>
            <w:pPr>
              <w:ind w:firstLine="42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534" w:hRule="exact"/>
          <w:jc w:val="center"/>
        </w:trPr>
        <w:tc>
          <w:tcPr>
            <w:tcW w:w="803" w:type="dxa"/>
            <w:vAlign w:val="center"/>
          </w:tcPr>
          <w:p>
            <w:pPr>
              <w:jc w:val="center"/>
              <w:rPr>
                <w:color w:val="auto"/>
                <w:sz w:val="21"/>
                <w:szCs w:val="21"/>
              </w:rPr>
            </w:pPr>
            <w:r>
              <w:rPr>
                <w:color w:val="auto"/>
                <w:sz w:val="21"/>
                <w:szCs w:val="21"/>
              </w:rPr>
              <w:t>W1</w:t>
            </w:r>
          </w:p>
        </w:tc>
        <w:tc>
          <w:tcPr>
            <w:tcW w:w="5415" w:type="dxa"/>
            <w:vAlign w:val="center"/>
          </w:tcPr>
          <w:p>
            <w:pPr>
              <w:jc w:val="center"/>
              <w:rPr>
                <w:color w:val="auto"/>
                <w:sz w:val="21"/>
                <w:szCs w:val="21"/>
              </w:rPr>
            </w:pPr>
            <w:r>
              <w:rPr>
                <w:rFonts w:hint="eastAsia"/>
                <w:color w:val="auto"/>
                <w:sz w:val="21"/>
                <w:szCs w:val="21"/>
              </w:rPr>
              <w:t>曾坑水库与曾坑河交汇处（曾坑河段）</w:t>
            </w:r>
          </w:p>
        </w:tc>
        <w:tc>
          <w:tcPr>
            <w:tcW w:w="1548" w:type="dxa"/>
            <w:vAlign w:val="center"/>
          </w:tcPr>
          <w:p>
            <w:pPr>
              <w:jc w:val="center"/>
              <w:rPr>
                <w:color w:val="auto"/>
                <w:sz w:val="21"/>
                <w:szCs w:val="21"/>
              </w:rPr>
            </w:pPr>
            <w:r>
              <w:rPr>
                <w:color w:val="auto"/>
                <w:sz w:val="21"/>
                <w:szCs w:val="21"/>
              </w:rPr>
              <w:t>Ⅳ类</w:t>
            </w:r>
          </w:p>
        </w:tc>
        <w:tc>
          <w:tcPr>
            <w:tcW w:w="1360" w:type="dxa"/>
            <w:vMerge w:val="restart"/>
            <w:vAlign w:val="center"/>
          </w:tcPr>
          <w:p>
            <w:pPr>
              <w:jc w:val="center"/>
              <w:rPr>
                <w:color w:val="auto"/>
                <w:sz w:val="21"/>
                <w:szCs w:val="21"/>
              </w:rPr>
            </w:pPr>
            <w:r>
              <w:rPr>
                <w:color w:val="auto"/>
                <w:sz w:val="21"/>
                <w:szCs w:val="21"/>
              </w:rPr>
              <w:t>断面均为地表水常规监测断面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534" w:hRule="exact"/>
          <w:jc w:val="center"/>
        </w:trPr>
        <w:tc>
          <w:tcPr>
            <w:tcW w:w="803" w:type="dxa"/>
            <w:vAlign w:val="center"/>
          </w:tcPr>
          <w:p>
            <w:pPr>
              <w:jc w:val="center"/>
              <w:rPr>
                <w:color w:val="auto"/>
                <w:sz w:val="21"/>
                <w:szCs w:val="21"/>
              </w:rPr>
            </w:pPr>
            <w:r>
              <w:rPr>
                <w:color w:val="auto"/>
                <w:sz w:val="21"/>
                <w:szCs w:val="21"/>
              </w:rPr>
              <w:t>W2</w:t>
            </w:r>
          </w:p>
        </w:tc>
        <w:tc>
          <w:tcPr>
            <w:tcW w:w="5415" w:type="dxa"/>
            <w:vAlign w:val="center"/>
          </w:tcPr>
          <w:p>
            <w:pPr>
              <w:jc w:val="center"/>
              <w:rPr>
                <w:color w:val="auto"/>
                <w:sz w:val="21"/>
                <w:szCs w:val="21"/>
              </w:rPr>
            </w:pPr>
            <w:r>
              <w:rPr>
                <w:rFonts w:hint="eastAsia"/>
                <w:color w:val="auto"/>
                <w:sz w:val="21"/>
                <w:szCs w:val="21"/>
              </w:rPr>
              <w:t>曾坑水库与曾坑河交汇处下游1</w:t>
            </w:r>
            <w:r>
              <w:rPr>
                <w:color w:val="auto"/>
                <w:sz w:val="21"/>
                <w:szCs w:val="21"/>
              </w:rPr>
              <w:t>500m</w:t>
            </w:r>
            <w:r>
              <w:rPr>
                <w:rFonts w:hint="eastAsia"/>
                <w:color w:val="auto"/>
                <w:sz w:val="21"/>
                <w:szCs w:val="21"/>
              </w:rPr>
              <w:t>处（曾坑河段）</w:t>
            </w:r>
          </w:p>
        </w:tc>
        <w:tc>
          <w:tcPr>
            <w:tcW w:w="1548" w:type="dxa"/>
            <w:vAlign w:val="center"/>
          </w:tcPr>
          <w:p>
            <w:pPr>
              <w:jc w:val="center"/>
              <w:rPr>
                <w:color w:val="auto"/>
                <w:sz w:val="21"/>
                <w:szCs w:val="21"/>
              </w:rPr>
            </w:pPr>
            <w:r>
              <w:rPr>
                <w:color w:val="auto"/>
                <w:sz w:val="21"/>
                <w:szCs w:val="21"/>
              </w:rPr>
              <w:t>Ⅳ类</w:t>
            </w:r>
          </w:p>
        </w:tc>
        <w:tc>
          <w:tcPr>
            <w:tcW w:w="1360" w:type="dxa"/>
            <w:vMerge w:val="continue"/>
            <w:vAlign w:val="center"/>
          </w:tcPr>
          <w:p>
            <w:pPr>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534" w:hRule="exact"/>
          <w:jc w:val="center"/>
        </w:trPr>
        <w:tc>
          <w:tcPr>
            <w:tcW w:w="803" w:type="dxa"/>
            <w:vAlign w:val="center"/>
          </w:tcPr>
          <w:p>
            <w:pPr>
              <w:jc w:val="center"/>
              <w:rPr>
                <w:color w:val="auto"/>
                <w:sz w:val="21"/>
                <w:szCs w:val="21"/>
              </w:rPr>
            </w:pPr>
            <w:r>
              <w:rPr>
                <w:color w:val="auto"/>
                <w:sz w:val="21"/>
                <w:szCs w:val="21"/>
              </w:rPr>
              <w:t>W3</w:t>
            </w:r>
          </w:p>
        </w:tc>
        <w:tc>
          <w:tcPr>
            <w:tcW w:w="5415" w:type="dxa"/>
            <w:vAlign w:val="center"/>
          </w:tcPr>
          <w:p>
            <w:pPr>
              <w:jc w:val="center"/>
              <w:rPr>
                <w:color w:val="auto"/>
                <w:sz w:val="21"/>
                <w:szCs w:val="21"/>
              </w:rPr>
            </w:pPr>
            <w:r>
              <w:rPr>
                <w:rFonts w:hint="eastAsia"/>
                <w:color w:val="auto"/>
                <w:sz w:val="21"/>
              </w:rPr>
              <w:t>曾坑河与宁江汇合处（曾坑河段）</w:t>
            </w:r>
          </w:p>
        </w:tc>
        <w:tc>
          <w:tcPr>
            <w:tcW w:w="1548" w:type="dxa"/>
            <w:vAlign w:val="center"/>
          </w:tcPr>
          <w:p>
            <w:pPr>
              <w:jc w:val="center"/>
              <w:rPr>
                <w:b/>
                <w:color w:val="auto"/>
                <w:sz w:val="21"/>
                <w:szCs w:val="21"/>
              </w:rPr>
            </w:pPr>
            <w:r>
              <w:rPr>
                <w:color w:val="auto"/>
                <w:sz w:val="21"/>
                <w:szCs w:val="21"/>
              </w:rPr>
              <w:t>Ⅳ类</w:t>
            </w:r>
          </w:p>
        </w:tc>
        <w:tc>
          <w:tcPr>
            <w:tcW w:w="1360" w:type="dxa"/>
            <w:vMerge w:val="continue"/>
            <w:vAlign w:val="center"/>
          </w:tcPr>
          <w:p>
            <w:pPr>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534" w:hRule="exact"/>
          <w:jc w:val="center"/>
        </w:trPr>
        <w:tc>
          <w:tcPr>
            <w:tcW w:w="803" w:type="dxa"/>
            <w:vAlign w:val="center"/>
          </w:tcPr>
          <w:p>
            <w:pPr>
              <w:jc w:val="center"/>
              <w:rPr>
                <w:color w:val="auto"/>
                <w:sz w:val="21"/>
                <w:szCs w:val="21"/>
              </w:rPr>
            </w:pPr>
            <w:r>
              <w:rPr>
                <w:color w:val="auto"/>
                <w:sz w:val="21"/>
                <w:szCs w:val="21"/>
              </w:rPr>
              <w:t>W4</w:t>
            </w:r>
          </w:p>
        </w:tc>
        <w:tc>
          <w:tcPr>
            <w:tcW w:w="5415" w:type="dxa"/>
            <w:vAlign w:val="center"/>
          </w:tcPr>
          <w:p>
            <w:pPr>
              <w:jc w:val="center"/>
              <w:rPr>
                <w:color w:val="auto"/>
                <w:sz w:val="21"/>
                <w:szCs w:val="21"/>
              </w:rPr>
            </w:pPr>
            <w:r>
              <w:rPr>
                <w:rFonts w:hint="eastAsia"/>
                <w:color w:val="auto"/>
                <w:sz w:val="21"/>
              </w:rPr>
              <w:t>曾坑河与宁江汇合上游500m处</w:t>
            </w:r>
          </w:p>
        </w:tc>
        <w:tc>
          <w:tcPr>
            <w:tcW w:w="1548" w:type="dxa"/>
            <w:vAlign w:val="center"/>
          </w:tcPr>
          <w:p>
            <w:pPr>
              <w:jc w:val="center"/>
              <w:rPr>
                <w:color w:val="auto"/>
                <w:sz w:val="21"/>
                <w:szCs w:val="21"/>
              </w:rPr>
            </w:pPr>
            <w:r>
              <w:rPr>
                <w:color w:val="auto"/>
                <w:sz w:val="21"/>
                <w:szCs w:val="21"/>
              </w:rPr>
              <w:t>Ⅲ</w:t>
            </w:r>
            <w:r>
              <w:rPr>
                <w:rFonts w:hint="eastAsia"/>
                <w:color w:val="auto"/>
                <w:sz w:val="21"/>
                <w:szCs w:val="21"/>
              </w:rPr>
              <w:t>类</w:t>
            </w:r>
          </w:p>
        </w:tc>
        <w:tc>
          <w:tcPr>
            <w:tcW w:w="1360" w:type="dxa"/>
            <w:vMerge w:val="continue"/>
            <w:vAlign w:val="center"/>
          </w:tcPr>
          <w:p>
            <w:pPr>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675" w:hRule="exact"/>
          <w:jc w:val="center"/>
        </w:trPr>
        <w:tc>
          <w:tcPr>
            <w:tcW w:w="803" w:type="dxa"/>
            <w:vAlign w:val="center"/>
          </w:tcPr>
          <w:p>
            <w:pPr>
              <w:jc w:val="center"/>
              <w:rPr>
                <w:color w:val="auto"/>
                <w:sz w:val="21"/>
                <w:szCs w:val="21"/>
              </w:rPr>
            </w:pPr>
            <w:r>
              <w:rPr>
                <w:color w:val="auto"/>
                <w:sz w:val="21"/>
                <w:szCs w:val="21"/>
              </w:rPr>
              <w:t>W5</w:t>
            </w:r>
          </w:p>
        </w:tc>
        <w:tc>
          <w:tcPr>
            <w:tcW w:w="5415" w:type="dxa"/>
            <w:vAlign w:val="center"/>
          </w:tcPr>
          <w:p>
            <w:pPr>
              <w:jc w:val="center"/>
              <w:rPr>
                <w:color w:val="auto"/>
                <w:sz w:val="21"/>
                <w:szCs w:val="21"/>
              </w:rPr>
            </w:pPr>
            <w:r>
              <w:rPr>
                <w:rFonts w:hint="eastAsia"/>
                <w:color w:val="auto"/>
                <w:sz w:val="21"/>
              </w:rPr>
              <w:t>曾坑河与宁江汇合下游1000m处</w:t>
            </w:r>
          </w:p>
        </w:tc>
        <w:tc>
          <w:tcPr>
            <w:tcW w:w="1548" w:type="dxa"/>
            <w:vAlign w:val="center"/>
          </w:tcPr>
          <w:p>
            <w:pPr>
              <w:jc w:val="center"/>
              <w:rPr>
                <w:color w:val="auto"/>
                <w:sz w:val="21"/>
                <w:szCs w:val="21"/>
              </w:rPr>
            </w:pPr>
            <w:r>
              <w:rPr>
                <w:color w:val="auto"/>
                <w:sz w:val="21"/>
                <w:szCs w:val="21"/>
              </w:rPr>
              <w:t>Ⅲ</w:t>
            </w:r>
            <w:r>
              <w:rPr>
                <w:rFonts w:hint="eastAsia"/>
                <w:color w:val="auto"/>
                <w:sz w:val="21"/>
                <w:szCs w:val="21"/>
              </w:rPr>
              <w:t>类</w:t>
            </w:r>
          </w:p>
        </w:tc>
        <w:tc>
          <w:tcPr>
            <w:tcW w:w="1360" w:type="dxa"/>
            <w:vMerge w:val="continue"/>
            <w:vAlign w:val="center"/>
          </w:tcPr>
          <w:p>
            <w:pPr>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608" w:hRule="exact"/>
          <w:jc w:val="center"/>
        </w:trPr>
        <w:tc>
          <w:tcPr>
            <w:tcW w:w="803" w:type="dxa"/>
            <w:vAlign w:val="center"/>
          </w:tcPr>
          <w:p>
            <w:pPr>
              <w:jc w:val="center"/>
              <w:rPr>
                <w:color w:val="auto"/>
                <w:sz w:val="21"/>
                <w:szCs w:val="21"/>
              </w:rPr>
            </w:pPr>
            <w:r>
              <w:rPr>
                <w:color w:val="auto"/>
                <w:sz w:val="21"/>
                <w:szCs w:val="21"/>
              </w:rPr>
              <w:t>W6</w:t>
            </w:r>
          </w:p>
        </w:tc>
        <w:tc>
          <w:tcPr>
            <w:tcW w:w="5415" w:type="dxa"/>
            <w:vAlign w:val="center"/>
          </w:tcPr>
          <w:p>
            <w:pPr>
              <w:jc w:val="center"/>
              <w:rPr>
                <w:color w:val="auto"/>
                <w:sz w:val="21"/>
                <w:szCs w:val="21"/>
              </w:rPr>
            </w:pPr>
            <w:r>
              <w:rPr>
                <w:rFonts w:hint="eastAsia"/>
                <w:color w:val="auto"/>
                <w:sz w:val="21"/>
              </w:rPr>
              <w:t>东排渠与宁江汇合处上游1</w:t>
            </w:r>
            <w:r>
              <w:rPr>
                <w:color w:val="auto"/>
                <w:sz w:val="21"/>
              </w:rPr>
              <w:t>000</w:t>
            </w:r>
            <w:r>
              <w:rPr>
                <w:rFonts w:hint="eastAsia"/>
                <w:color w:val="auto"/>
                <w:sz w:val="21"/>
              </w:rPr>
              <w:t>m</w:t>
            </w:r>
            <w:r>
              <w:rPr>
                <w:color w:val="auto"/>
                <w:sz w:val="21"/>
              </w:rPr>
              <w:t>处</w:t>
            </w:r>
            <w:r>
              <w:rPr>
                <w:rFonts w:hint="eastAsia"/>
                <w:color w:val="auto"/>
                <w:sz w:val="21"/>
              </w:rPr>
              <w:t>（宁江段）</w:t>
            </w:r>
          </w:p>
        </w:tc>
        <w:tc>
          <w:tcPr>
            <w:tcW w:w="1548" w:type="dxa"/>
            <w:vAlign w:val="center"/>
          </w:tcPr>
          <w:p>
            <w:pPr>
              <w:jc w:val="center"/>
              <w:rPr>
                <w:color w:val="auto"/>
                <w:sz w:val="21"/>
                <w:szCs w:val="21"/>
              </w:rPr>
            </w:pPr>
            <w:r>
              <w:rPr>
                <w:color w:val="auto"/>
                <w:sz w:val="21"/>
                <w:szCs w:val="21"/>
              </w:rPr>
              <w:t>Ⅲ</w:t>
            </w:r>
            <w:r>
              <w:rPr>
                <w:rFonts w:hint="eastAsia"/>
                <w:color w:val="auto"/>
                <w:sz w:val="21"/>
                <w:szCs w:val="21"/>
              </w:rPr>
              <w:t>类</w:t>
            </w:r>
          </w:p>
        </w:tc>
        <w:tc>
          <w:tcPr>
            <w:tcW w:w="1360" w:type="dxa"/>
            <w:vMerge w:val="continue"/>
            <w:vAlign w:val="center"/>
          </w:tcPr>
          <w:p>
            <w:pPr>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608" w:hRule="exact"/>
          <w:jc w:val="center"/>
        </w:trPr>
        <w:tc>
          <w:tcPr>
            <w:tcW w:w="803" w:type="dxa"/>
            <w:vAlign w:val="center"/>
          </w:tcPr>
          <w:p>
            <w:pPr>
              <w:jc w:val="center"/>
              <w:rPr>
                <w:color w:val="auto"/>
                <w:sz w:val="21"/>
                <w:szCs w:val="21"/>
              </w:rPr>
            </w:pPr>
            <w:r>
              <w:rPr>
                <w:rFonts w:hint="eastAsia"/>
                <w:color w:val="auto"/>
                <w:sz w:val="21"/>
                <w:szCs w:val="21"/>
              </w:rPr>
              <w:t>W</w:t>
            </w:r>
            <w:r>
              <w:rPr>
                <w:color w:val="auto"/>
                <w:sz w:val="21"/>
                <w:szCs w:val="21"/>
              </w:rPr>
              <w:t>7</w:t>
            </w:r>
          </w:p>
        </w:tc>
        <w:tc>
          <w:tcPr>
            <w:tcW w:w="5415" w:type="dxa"/>
            <w:vAlign w:val="center"/>
          </w:tcPr>
          <w:p>
            <w:pPr>
              <w:jc w:val="center"/>
              <w:rPr>
                <w:color w:val="auto"/>
                <w:sz w:val="21"/>
                <w:szCs w:val="21"/>
              </w:rPr>
            </w:pPr>
            <w:r>
              <w:rPr>
                <w:rFonts w:hint="eastAsia"/>
                <w:color w:val="auto"/>
                <w:sz w:val="21"/>
              </w:rPr>
              <w:t>东排渠与宁江汇合处下游2</w:t>
            </w:r>
            <w:r>
              <w:rPr>
                <w:color w:val="auto"/>
                <w:sz w:val="21"/>
              </w:rPr>
              <w:t>000</w:t>
            </w:r>
            <w:r>
              <w:rPr>
                <w:rFonts w:hint="eastAsia"/>
                <w:color w:val="auto"/>
                <w:sz w:val="21"/>
              </w:rPr>
              <w:t>m处</w:t>
            </w:r>
          </w:p>
        </w:tc>
        <w:tc>
          <w:tcPr>
            <w:tcW w:w="1548" w:type="dxa"/>
            <w:vAlign w:val="center"/>
          </w:tcPr>
          <w:p>
            <w:pPr>
              <w:jc w:val="center"/>
              <w:rPr>
                <w:color w:val="auto"/>
                <w:sz w:val="21"/>
                <w:szCs w:val="21"/>
              </w:rPr>
            </w:pPr>
            <w:r>
              <w:rPr>
                <w:color w:val="auto"/>
                <w:sz w:val="21"/>
                <w:szCs w:val="21"/>
              </w:rPr>
              <w:t>Ⅲ</w:t>
            </w:r>
            <w:r>
              <w:rPr>
                <w:rFonts w:hint="eastAsia"/>
                <w:color w:val="auto"/>
                <w:sz w:val="21"/>
                <w:szCs w:val="21"/>
              </w:rPr>
              <w:t>类</w:t>
            </w:r>
          </w:p>
        </w:tc>
        <w:tc>
          <w:tcPr>
            <w:tcW w:w="1360" w:type="dxa"/>
            <w:vMerge w:val="continue"/>
            <w:vAlign w:val="center"/>
          </w:tcPr>
          <w:p>
            <w:pPr>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608" w:hRule="exact"/>
          <w:jc w:val="center"/>
        </w:trPr>
        <w:tc>
          <w:tcPr>
            <w:tcW w:w="803" w:type="dxa"/>
            <w:vMerge w:val="restart"/>
            <w:vAlign w:val="center"/>
          </w:tcPr>
          <w:p>
            <w:pPr>
              <w:jc w:val="center"/>
              <w:rPr>
                <w:color w:val="auto"/>
                <w:sz w:val="21"/>
                <w:szCs w:val="21"/>
              </w:rPr>
            </w:pPr>
            <w:r>
              <w:rPr>
                <w:rFonts w:hint="eastAsia"/>
                <w:color w:val="auto"/>
                <w:sz w:val="21"/>
                <w:szCs w:val="21"/>
              </w:rPr>
              <w:t>曾坑水库</w:t>
            </w:r>
          </w:p>
        </w:tc>
        <w:tc>
          <w:tcPr>
            <w:tcW w:w="5415" w:type="dxa"/>
            <w:vAlign w:val="center"/>
          </w:tcPr>
          <w:p>
            <w:pPr>
              <w:jc w:val="center"/>
              <w:rPr>
                <w:color w:val="auto"/>
                <w:sz w:val="21"/>
              </w:rPr>
            </w:pPr>
            <w:r>
              <w:rPr>
                <w:rFonts w:hint="eastAsia"/>
                <w:color w:val="auto"/>
                <w:sz w:val="21"/>
              </w:rPr>
              <w:t>曾坑水库上游入库口</w:t>
            </w:r>
          </w:p>
        </w:tc>
        <w:tc>
          <w:tcPr>
            <w:tcW w:w="1548" w:type="dxa"/>
            <w:vMerge w:val="restart"/>
            <w:vAlign w:val="center"/>
          </w:tcPr>
          <w:p>
            <w:pPr>
              <w:jc w:val="center"/>
              <w:rPr>
                <w:color w:val="auto"/>
                <w:sz w:val="21"/>
                <w:szCs w:val="21"/>
              </w:rPr>
            </w:pPr>
            <w:r>
              <w:rPr>
                <w:color w:val="auto"/>
                <w:sz w:val="21"/>
                <w:szCs w:val="21"/>
              </w:rPr>
              <w:t>III</w:t>
            </w:r>
            <w:r>
              <w:rPr>
                <w:rFonts w:hint="eastAsia"/>
                <w:color w:val="auto"/>
                <w:sz w:val="21"/>
                <w:szCs w:val="21"/>
              </w:rPr>
              <w:t>类</w:t>
            </w:r>
          </w:p>
        </w:tc>
        <w:tc>
          <w:tcPr>
            <w:tcW w:w="1360" w:type="dxa"/>
            <w:vMerge w:val="restart"/>
            <w:vAlign w:val="center"/>
          </w:tcPr>
          <w:p>
            <w:pPr>
              <w:jc w:val="center"/>
              <w:rPr>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Ex>
        <w:trPr>
          <w:cantSplit/>
          <w:trHeight w:val="608" w:hRule="exact"/>
          <w:jc w:val="center"/>
        </w:trPr>
        <w:tc>
          <w:tcPr>
            <w:tcW w:w="803" w:type="dxa"/>
            <w:vMerge w:val="continue"/>
            <w:vAlign w:val="center"/>
          </w:tcPr>
          <w:p>
            <w:pPr>
              <w:jc w:val="center"/>
              <w:rPr>
                <w:color w:val="auto"/>
                <w:sz w:val="21"/>
                <w:szCs w:val="21"/>
              </w:rPr>
            </w:pPr>
          </w:p>
        </w:tc>
        <w:tc>
          <w:tcPr>
            <w:tcW w:w="5415" w:type="dxa"/>
            <w:vAlign w:val="center"/>
          </w:tcPr>
          <w:p>
            <w:pPr>
              <w:jc w:val="center"/>
              <w:rPr>
                <w:color w:val="auto"/>
                <w:sz w:val="21"/>
              </w:rPr>
            </w:pPr>
            <w:r>
              <w:rPr>
                <w:rFonts w:hint="eastAsia"/>
                <w:color w:val="auto"/>
                <w:sz w:val="21"/>
              </w:rPr>
              <w:t>曾坑水库下游大坝</w:t>
            </w:r>
          </w:p>
        </w:tc>
        <w:tc>
          <w:tcPr>
            <w:tcW w:w="1548" w:type="dxa"/>
            <w:vMerge w:val="continue"/>
            <w:vAlign w:val="center"/>
          </w:tcPr>
          <w:p>
            <w:pPr>
              <w:jc w:val="center"/>
              <w:rPr>
                <w:color w:val="auto"/>
                <w:sz w:val="21"/>
                <w:szCs w:val="21"/>
              </w:rPr>
            </w:pPr>
          </w:p>
        </w:tc>
        <w:tc>
          <w:tcPr>
            <w:tcW w:w="1360" w:type="dxa"/>
            <w:vMerge w:val="continue"/>
            <w:vAlign w:val="center"/>
          </w:tcPr>
          <w:p>
            <w:pPr>
              <w:jc w:val="center"/>
              <w:rPr>
                <w:color w:val="auto"/>
                <w:sz w:val="21"/>
                <w:szCs w:val="21"/>
              </w:rPr>
            </w:pPr>
          </w:p>
        </w:tc>
      </w:tr>
    </w:tbl>
    <w:p>
      <w:pPr>
        <w:pStyle w:val="301"/>
        <w:rPr>
          <w:color w:val="auto"/>
        </w:rPr>
      </w:pPr>
      <w:r>
        <w:rPr>
          <w:rFonts w:hint="eastAsia"/>
          <w:color w:val="auto"/>
          <w:lang w:eastAsia="zh-CN"/>
        </w:rPr>
        <w:t>4</w:t>
      </w:r>
      <w:r>
        <w:rPr>
          <w:color w:val="auto"/>
        </w:rPr>
        <w:t>.2.2.</w:t>
      </w:r>
      <w:r>
        <w:rPr>
          <w:rFonts w:hint="eastAsia"/>
          <w:color w:val="auto"/>
          <w:lang w:val="en-US" w:eastAsia="zh-CN"/>
        </w:rPr>
        <w:t>3</w:t>
      </w:r>
      <w:r>
        <w:rPr>
          <w:rFonts w:hint="eastAsia"/>
          <w:color w:val="auto"/>
          <w:lang w:eastAsia="zh-CN"/>
        </w:rPr>
        <w:t>引用的监测因子</w:t>
      </w:r>
    </w:p>
    <w:p>
      <w:pPr>
        <w:spacing w:line="360" w:lineRule="auto"/>
        <w:ind w:firstLine="480"/>
        <w:jc w:val="both"/>
        <w:rPr>
          <w:color w:val="auto"/>
        </w:rPr>
      </w:pPr>
      <w:r>
        <w:rPr>
          <w:color w:val="auto"/>
        </w:rPr>
        <w:t>pH值、水温、色度、悬浮物、溶解氧、</w:t>
      </w:r>
      <w:r>
        <w:rPr>
          <w:rFonts w:hint="eastAsia"/>
          <w:color w:val="auto"/>
        </w:rPr>
        <w:t>C</w:t>
      </w:r>
      <w:r>
        <w:rPr>
          <w:color w:val="auto"/>
        </w:rPr>
        <w:t>OD</w:t>
      </w:r>
      <w:r>
        <w:rPr>
          <w:color w:val="auto"/>
          <w:vertAlign w:val="subscript"/>
        </w:rPr>
        <w:t>C</w:t>
      </w:r>
      <w:r>
        <w:rPr>
          <w:rFonts w:hint="eastAsia"/>
          <w:color w:val="auto"/>
          <w:vertAlign w:val="subscript"/>
        </w:rPr>
        <w:t>r</w:t>
      </w:r>
      <w:r>
        <w:rPr>
          <w:color w:val="auto"/>
        </w:rPr>
        <w:t>、</w:t>
      </w:r>
      <w:r>
        <w:rPr>
          <w:rFonts w:hint="eastAsia"/>
          <w:color w:val="auto"/>
        </w:rPr>
        <w:t>高锰酸盐指数、B</w:t>
      </w:r>
      <w:r>
        <w:rPr>
          <w:color w:val="auto"/>
        </w:rPr>
        <w:t>OD</w:t>
      </w:r>
      <w:r>
        <w:rPr>
          <w:color w:val="auto"/>
          <w:vertAlign w:val="subscript"/>
        </w:rPr>
        <w:t>5</w:t>
      </w:r>
      <w:r>
        <w:rPr>
          <w:color w:val="auto"/>
        </w:rPr>
        <w:t>、氨氮、总磷、石油类、硫化物、</w:t>
      </w:r>
      <w:r>
        <w:rPr>
          <w:rFonts w:hint="eastAsia"/>
          <w:color w:val="auto"/>
        </w:rPr>
        <w:t>氟化物、</w:t>
      </w:r>
      <w:r>
        <w:rPr>
          <w:color w:val="auto"/>
        </w:rPr>
        <w:t>挥发酚、粪大肠菌群、镉、六价铬、铅、砷、汞</w:t>
      </w:r>
      <w:r>
        <w:rPr>
          <w:rFonts w:hint="eastAsia"/>
          <w:color w:val="auto"/>
        </w:rPr>
        <w:t>、硫酸盐、氯化物、氰化物、硝酸盐、铁、锰</w:t>
      </w:r>
      <w:r>
        <w:rPr>
          <w:color w:val="auto"/>
        </w:rPr>
        <w:t>，</w:t>
      </w:r>
      <w:r>
        <w:rPr>
          <w:rFonts w:hint="eastAsia"/>
          <w:color w:val="auto"/>
        </w:rPr>
        <w:t>铜、锌</w:t>
      </w:r>
      <w:r>
        <w:rPr>
          <w:color w:val="auto"/>
        </w:rPr>
        <w:t>，同时观测流速、流量、河宽、水深等常规水文参数。</w:t>
      </w:r>
    </w:p>
    <w:p>
      <w:pPr>
        <w:pStyle w:val="301"/>
        <w:rPr>
          <w:color w:val="auto"/>
        </w:rPr>
      </w:pPr>
      <w:r>
        <w:rPr>
          <w:color w:val="auto"/>
        </w:rPr>
        <w:t>4.2.2.</w:t>
      </w:r>
      <w:r>
        <w:rPr>
          <w:rFonts w:hint="eastAsia"/>
          <w:color w:val="auto"/>
          <w:lang w:val="en-US" w:eastAsia="zh-CN"/>
        </w:rPr>
        <w:t>4</w:t>
      </w:r>
      <w:r>
        <w:rPr>
          <w:rFonts w:hint="eastAsia"/>
          <w:color w:val="auto"/>
          <w:lang w:eastAsia="zh-CN"/>
        </w:rPr>
        <w:t>引用监测的监测时间及频次</w:t>
      </w:r>
    </w:p>
    <w:p>
      <w:pPr>
        <w:spacing w:line="360" w:lineRule="auto"/>
        <w:ind w:firstLine="480"/>
        <w:jc w:val="both"/>
        <w:rPr>
          <w:color w:val="auto"/>
        </w:rPr>
      </w:pPr>
      <w:r>
        <w:rPr>
          <w:rFonts w:hint="eastAsia"/>
          <w:color w:val="auto"/>
        </w:rPr>
        <w:t>广州京诚检测技术有限公司于</w:t>
      </w:r>
      <w:r>
        <w:rPr>
          <w:color w:val="auto"/>
        </w:rPr>
        <w:t>2019年03月25日~03月27日</w:t>
      </w:r>
      <w:r>
        <w:rPr>
          <w:rFonts w:hint="eastAsia"/>
          <w:color w:val="auto"/>
        </w:rPr>
        <w:t>在所有监测断面连续3天，每天各采样一次</w:t>
      </w:r>
      <w:r>
        <w:rPr>
          <w:color w:val="auto"/>
        </w:rPr>
        <w:t>。</w:t>
      </w:r>
      <w:r>
        <w:rPr>
          <w:rFonts w:hint="eastAsia"/>
          <w:color w:val="auto"/>
        </w:rPr>
        <w:t>《兴宁市静脉产业园项目规划水资源论证报告书》中广东吉之准检测有限公司于2</w:t>
      </w:r>
      <w:r>
        <w:rPr>
          <w:color w:val="auto"/>
        </w:rPr>
        <w:t>019</w:t>
      </w:r>
      <w:r>
        <w:rPr>
          <w:rFonts w:hint="eastAsia"/>
          <w:color w:val="auto"/>
        </w:rPr>
        <w:t>年9月2</w:t>
      </w:r>
      <w:r>
        <w:rPr>
          <w:color w:val="auto"/>
        </w:rPr>
        <w:t>6</w:t>
      </w:r>
      <w:r>
        <w:rPr>
          <w:rFonts w:hint="eastAsia"/>
          <w:color w:val="auto"/>
        </w:rPr>
        <w:t>日在曾坑水库上游入库口和下游大坝处进行采样。</w:t>
      </w: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sectPr>
          <w:pgSz w:w="11906" w:h="16838"/>
          <w:pgMar w:top="1418" w:right="1418" w:bottom="1418" w:left="1418" w:header="851" w:footer="992" w:gutter="0"/>
          <w:pgNumType w:fmt="decimal"/>
          <w:cols w:space="425" w:num="1"/>
          <w:docGrid w:type="lines" w:linePitch="326" w:charSpace="0"/>
        </w:sectPr>
      </w:pPr>
    </w:p>
    <w:p>
      <w:pPr>
        <w:spacing w:line="360" w:lineRule="auto"/>
        <w:jc w:val="center"/>
        <w:rPr>
          <w:color w:val="auto"/>
        </w:rPr>
      </w:pPr>
      <w:r>
        <w:rPr>
          <w:color w:val="auto"/>
        </w:rPr>
        <w:drawing>
          <wp:anchor distT="0" distB="0" distL="114300" distR="114300" simplePos="0" relativeHeight="251622400" behindDoc="0" locked="0" layoutInCell="1" allowOverlap="1">
            <wp:simplePos x="0" y="0"/>
            <wp:positionH relativeFrom="column">
              <wp:posOffset>7587615</wp:posOffset>
            </wp:positionH>
            <wp:positionV relativeFrom="paragraph">
              <wp:posOffset>99695</wp:posOffset>
            </wp:positionV>
            <wp:extent cx="1262380" cy="1025525"/>
            <wp:effectExtent l="0" t="0" r="0" b="3810"/>
            <wp:wrapNone/>
            <wp:docPr id="1279" name="图片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图片 1279"/>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271446" cy="1032815"/>
                    </a:xfrm>
                    <a:prstGeom prst="rect">
                      <a:avLst/>
                    </a:prstGeom>
                  </pic:spPr>
                </pic:pic>
              </a:graphicData>
            </a:graphic>
          </wp:anchor>
        </w:drawing>
      </w:r>
      <w:r>
        <w:rPr>
          <w:color w:val="auto"/>
          <w:sz w:val="21"/>
        </w:rPr>
        <w:drawing>
          <wp:inline distT="0" distB="0" distL="0" distR="0">
            <wp:extent cx="8863330" cy="5229225"/>
            <wp:effectExtent l="0" t="0" r="0" b="952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8863330" cy="5229225"/>
                    </a:xfrm>
                    <a:prstGeom prst="rect">
                      <a:avLst/>
                    </a:prstGeom>
                  </pic:spPr>
                </pic:pic>
              </a:graphicData>
            </a:graphic>
          </wp:inline>
        </w:drawing>
      </w:r>
    </w:p>
    <w:p>
      <w:pPr>
        <w:spacing w:line="360" w:lineRule="auto"/>
        <w:jc w:val="center"/>
        <w:rPr>
          <w:color w:val="auto"/>
        </w:rPr>
      </w:pPr>
      <w:r>
        <w:rPr>
          <w:b/>
          <w:color w:val="auto"/>
        </w:rPr>
        <w:t>图4.2-1 项目地表水环境现状</w:t>
      </w:r>
      <w:r>
        <w:rPr>
          <w:rFonts w:hint="eastAsia"/>
          <w:b/>
          <w:color w:val="auto"/>
        </w:rPr>
        <w:t>引用</w:t>
      </w:r>
      <w:r>
        <w:rPr>
          <w:b/>
          <w:color w:val="auto"/>
        </w:rPr>
        <w:t>监测断面示意图</w:t>
      </w:r>
    </w:p>
    <w:p>
      <w:pPr>
        <w:spacing w:line="360" w:lineRule="auto"/>
        <w:rPr>
          <w:color w:val="auto"/>
        </w:rPr>
        <w:sectPr>
          <w:pgSz w:w="16838" w:h="11906" w:orient="landscape"/>
          <w:pgMar w:top="1418" w:right="1418" w:bottom="1418" w:left="1418" w:header="851" w:footer="992" w:gutter="0"/>
          <w:pgNumType w:fmt="decimal"/>
          <w:cols w:space="425" w:num="1"/>
          <w:docGrid w:type="lines" w:linePitch="326" w:charSpace="0"/>
        </w:sectPr>
      </w:pPr>
    </w:p>
    <w:p>
      <w:pPr>
        <w:pStyle w:val="301"/>
        <w:rPr>
          <w:color w:val="auto"/>
          <w:lang w:eastAsia="zh-CN"/>
        </w:rPr>
      </w:pPr>
      <w:r>
        <w:rPr>
          <w:color w:val="auto"/>
        </w:rPr>
        <w:t>4.2.2.</w:t>
      </w:r>
      <w:r>
        <w:rPr>
          <w:rFonts w:hint="eastAsia"/>
          <w:color w:val="auto"/>
          <w:lang w:val="en-US" w:eastAsia="zh-CN"/>
        </w:rPr>
        <w:t>5</w:t>
      </w:r>
      <w:r>
        <w:rPr>
          <w:rFonts w:hint="eastAsia"/>
          <w:color w:val="auto"/>
          <w:lang w:eastAsia="zh-CN"/>
        </w:rPr>
        <w:t>引用监测分析方法</w:t>
      </w:r>
    </w:p>
    <w:p>
      <w:pPr>
        <w:spacing w:line="360" w:lineRule="auto"/>
        <w:ind w:firstLine="480" w:firstLineChars="200"/>
        <w:jc w:val="both"/>
        <w:rPr>
          <w:color w:val="auto"/>
        </w:rPr>
      </w:pPr>
      <w:r>
        <w:rPr>
          <w:bCs/>
          <w:color w:val="auto"/>
        </w:rPr>
        <w:t>各水质监测因子的分析方法，参照《环境监测技术规范》、《水和废水监测分析方法》（第四版）及《环境监测 分析方法标准制修订技术导则》（HJ168-2010）等的有关规定进行，检测方法、使用仪器及方法检出限详见表4.2-2所示。</w:t>
      </w:r>
    </w:p>
    <w:p>
      <w:pPr>
        <w:widowControl/>
        <w:autoSpaceDE w:val="0"/>
        <w:autoSpaceDN w:val="0"/>
        <w:jc w:val="center"/>
        <w:rPr>
          <w:b/>
          <w:bCs/>
          <w:color w:val="auto"/>
        </w:rPr>
      </w:pPr>
      <w:r>
        <w:rPr>
          <w:b/>
          <w:bCs/>
          <w:color w:val="auto"/>
        </w:rPr>
        <w:t>表4.2-2  检测分析方法及检出限一览表</w:t>
      </w:r>
    </w:p>
    <w:tbl>
      <w:tblPr>
        <w:tblStyle w:val="53"/>
        <w:tblW w:w="928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0"/>
        <w:gridCol w:w="1259"/>
        <w:gridCol w:w="2674"/>
        <w:gridCol w:w="2648"/>
        <w:gridCol w:w="17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blHeader/>
          <w:jc w:val="center"/>
        </w:trPr>
        <w:tc>
          <w:tcPr>
            <w:tcW w:w="960" w:type="dxa"/>
            <w:vAlign w:val="center"/>
          </w:tcPr>
          <w:p>
            <w:pPr>
              <w:jc w:val="center"/>
              <w:rPr>
                <w:b/>
                <w:color w:val="auto"/>
                <w:sz w:val="21"/>
                <w:szCs w:val="21"/>
              </w:rPr>
            </w:pPr>
            <w:r>
              <w:rPr>
                <w:b/>
                <w:color w:val="auto"/>
                <w:sz w:val="21"/>
                <w:szCs w:val="21"/>
              </w:rPr>
              <w:t>类别</w:t>
            </w:r>
          </w:p>
        </w:tc>
        <w:tc>
          <w:tcPr>
            <w:tcW w:w="1259" w:type="dxa"/>
            <w:vAlign w:val="center"/>
          </w:tcPr>
          <w:p>
            <w:pPr>
              <w:jc w:val="center"/>
              <w:rPr>
                <w:b/>
                <w:color w:val="auto"/>
                <w:sz w:val="21"/>
                <w:szCs w:val="21"/>
              </w:rPr>
            </w:pPr>
            <w:r>
              <w:rPr>
                <w:b/>
                <w:color w:val="auto"/>
                <w:sz w:val="21"/>
                <w:szCs w:val="21"/>
              </w:rPr>
              <w:t>检测项目</w:t>
            </w:r>
          </w:p>
        </w:tc>
        <w:tc>
          <w:tcPr>
            <w:tcW w:w="2674" w:type="dxa"/>
            <w:vAlign w:val="center"/>
          </w:tcPr>
          <w:p>
            <w:pPr>
              <w:jc w:val="center"/>
              <w:rPr>
                <w:b/>
                <w:color w:val="auto"/>
                <w:sz w:val="21"/>
                <w:szCs w:val="21"/>
              </w:rPr>
            </w:pPr>
            <w:r>
              <w:rPr>
                <w:b/>
                <w:color w:val="auto"/>
                <w:sz w:val="21"/>
                <w:szCs w:val="21"/>
              </w:rPr>
              <w:t>方法依据</w:t>
            </w:r>
          </w:p>
        </w:tc>
        <w:tc>
          <w:tcPr>
            <w:tcW w:w="2648" w:type="dxa"/>
            <w:vAlign w:val="center"/>
          </w:tcPr>
          <w:p>
            <w:pPr>
              <w:jc w:val="center"/>
              <w:rPr>
                <w:b/>
                <w:color w:val="auto"/>
                <w:sz w:val="21"/>
                <w:szCs w:val="21"/>
              </w:rPr>
            </w:pPr>
            <w:r>
              <w:rPr>
                <w:b/>
                <w:color w:val="auto"/>
                <w:sz w:val="21"/>
                <w:szCs w:val="21"/>
              </w:rPr>
              <w:t>检测设备（型号）及编号</w:t>
            </w:r>
          </w:p>
        </w:tc>
        <w:tc>
          <w:tcPr>
            <w:tcW w:w="1745" w:type="dxa"/>
            <w:vAlign w:val="center"/>
          </w:tcPr>
          <w:p>
            <w:pPr>
              <w:jc w:val="center"/>
              <w:rPr>
                <w:b/>
                <w:color w:val="auto"/>
                <w:sz w:val="21"/>
                <w:szCs w:val="21"/>
              </w:rPr>
            </w:pPr>
            <w:r>
              <w:rPr>
                <w:b/>
                <w:color w:val="auto"/>
                <w:sz w:val="21"/>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960" w:type="dxa"/>
            <w:vMerge w:val="restart"/>
            <w:vAlign w:val="center"/>
          </w:tcPr>
          <w:p>
            <w:pPr>
              <w:jc w:val="center"/>
              <w:rPr>
                <w:color w:val="auto"/>
                <w:sz w:val="21"/>
                <w:szCs w:val="21"/>
              </w:rPr>
            </w:pPr>
            <w:r>
              <w:rPr>
                <w:color w:val="auto"/>
                <w:sz w:val="21"/>
                <w:szCs w:val="21"/>
              </w:rPr>
              <w:t>地表水</w:t>
            </w:r>
          </w:p>
        </w:tc>
        <w:tc>
          <w:tcPr>
            <w:tcW w:w="1259" w:type="dxa"/>
            <w:vAlign w:val="center"/>
          </w:tcPr>
          <w:p>
            <w:pPr>
              <w:jc w:val="center"/>
              <w:rPr>
                <w:color w:val="auto"/>
                <w:sz w:val="21"/>
                <w:szCs w:val="21"/>
              </w:rPr>
            </w:pPr>
            <w:r>
              <w:rPr>
                <w:color w:val="auto"/>
                <w:sz w:val="21"/>
                <w:szCs w:val="21"/>
              </w:rPr>
              <w:t>水温</w:t>
            </w:r>
          </w:p>
        </w:tc>
        <w:tc>
          <w:tcPr>
            <w:tcW w:w="2674" w:type="dxa"/>
            <w:vAlign w:val="center"/>
          </w:tcPr>
          <w:p>
            <w:pPr>
              <w:jc w:val="center"/>
              <w:rPr>
                <w:color w:val="auto"/>
                <w:sz w:val="21"/>
                <w:szCs w:val="21"/>
              </w:rPr>
            </w:pPr>
            <w:r>
              <w:rPr>
                <w:color w:val="auto"/>
                <w:sz w:val="21"/>
                <w:szCs w:val="21"/>
              </w:rPr>
              <w:t>《水质 水温的测定 温度计或颠倒温度计测定法》GB/T 13195-1991</w:t>
            </w:r>
          </w:p>
        </w:tc>
        <w:tc>
          <w:tcPr>
            <w:tcW w:w="2648" w:type="dxa"/>
            <w:vAlign w:val="center"/>
          </w:tcPr>
          <w:p>
            <w:pPr>
              <w:jc w:val="center"/>
              <w:rPr>
                <w:color w:val="auto"/>
                <w:sz w:val="21"/>
                <w:szCs w:val="21"/>
              </w:rPr>
            </w:pPr>
            <w:r>
              <w:rPr>
                <w:color w:val="auto"/>
                <w:sz w:val="21"/>
                <w:szCs w:val="21"/>
              </w:rPr>
              <w:t>表层水温计(SW-1)</w:t>
            </w:r>
          </w:p>
          <w:p>
            <w:pPr>
              <w:jc w:val="center"/>
              <w:rPr>
                <w:color w:val="auto"/>
                <w:sz w:val="21"/>
                <w:szCs w:val="21"/>
              </w:rPr>
            </w:pPr>
            <w:r>
              <w:rPr>
                <w:color w:val="auto"/>
                <w:sz w:val="21"/>
                <w:szCs w:val="21"/>
              </w:rPr>
              <w:t>YQ-270-01</w:t>
            </w:r>
          </w:p>
        </w:tc>
        <w:tc>
          <w:tcPr>
            <w:tcW w:w="1745" w:type="dxa"/>
            <w:vAlign w:val="center"/>
          </w:tcPr>
          <w:p>
            <w:pPr>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pH值</w:t>
            </w:r>
          </w:p>
        </w:tc>
        <w:tc>
          <w:tcPr>
            <w:tcW w:w="2674" w:type="dxa"/>
            <w:vAlign w:val="center"/>
          </w:tcPr>
          <w:p>
            <w:pPr>
              <w:jc w:val="center"/>
              <w:rPr>
                <w:color w:val="auto"/>
                <w:sz w:val="21"/>
                <w:szCs w:val="21"/>
              </w:rPr>
            </w:pPr>
            <w:r>
              <w:rPr>
                <w:color w:val="auto"/>
                <w:sz w:val="21"/>
                <w:szCs w:val="21"/>
              </w:rPr>
              <w:t>《水质 pH值的测定 玻璃电极法》</w:t>
            </w:r>
          </w:p>
          <w:p>
            <w:pPr>
              <w:jc w:val="center"/>
              <w:rPr>
                <w:color w:val="auto"/>
                <w:sz w:val="21"/>
                <w:szCs w:val="21"/>
              </w:rPr>
            </w:pPr>
            <w:r>
              <w:rPr>
                <w:color w:val="auto"/>
                <w:sz w:val="21"/>
                <w:szCs w:val="21"/>
              </w:rPr>
              <w:t>GB/T 6920-1986</w:t>
            </w:r>
          </w:p>
        </w:tc>
        <w:tc>
          <w:tcPr>
            <w:tcW w:w="2648" w:type="dxa"/>
            <w:vAlign w:val="center"/>
          </w:tcPr>
          <w:p>
            <w:pPr>
              <w:jc w:val="center"/>
              <w:rPr>
                <w:color w:val="auto"/>
                <w:sz w:val="21"/>
                <w:szCs w:val="21"/>
              </w:rPr>
            </w:pPr>
            <w:r>
              <w:rPr>
                <w:color w:val="auto"/>
                <w:sz w:val="21"/>
                <w:szCs w:val="21"/>
              </w:rPr>
              <w:t>pH计(PHS-25CW)</w:t>
            </w:r>
          </w:p>
          <w:p>
            <w:pPr>
              <w:jc w:val="center"/>
              <w:rPr>
                <w:color w:val="auto"/>
                <w:sz w:val="21"/>
                <w:szCs w:val="21"/>
              </w:rPr>
            </w:pPr>
            <w:r>
              <w:rPr>
                <w:color w:val="auto"/>
                <w:sz w:val="21"/>
                <w:szCs w:val="21"/>
              </w:rPr>
              <w:t>YQ-129-11</w:t>
            </w:r>
          </w:p>
        </w:tc>
        <w:tc>
          <w:tcPr>
            <w:tcW w:w="1745" w:type="dxa"/>
            <w:vAlign w:val="center"/>
          </w:tcPr>
          <w:p>
            <w:pPr>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溶解氧</w:t>
            </w:r>
          </w:p>
        </w:tc>
        <w:tc>
          <w:tcPr>
            <w:tcW w:w="2674" w:type="dxa"/>
            <w:vAlign w:val="center"/>
          </w:tcPr>
          <w:p>
            <w:pPr>
              <w:jc w:val="center"/>
              <w:rPr>
                <w:color w:val="auto"/>
                <w:sz w:val="21"/>
                <w:szCs w:val="21"/>
              </w:rPr>
            </w:pPr>
            <w:r>
              <w:rPr>
                <w:color w:val="auto"/>
                <w:sz w:val="21"/>
                <w:szCs w:val="21"/>
              </w:rPr>
              <w:t>《水质 溶解氧的测定 碘量法》GB/T 7489-1987</w:t>
            </w:r>
          </w:p>
        </w:tc>
        <w:tc>
          <w:tcPr>
            <w:tcW w:w="2648" w:type="dxa"/>
            <w:vAlign w:val="center"/>
          </w:tcPr>
          <w:p>
            <w:pPr>
              <w:jc w:val="center"/>
              <w:rPr>
                <w:color w:val="auto"/>
                <w:sz w:val="21"/>
                <w:szCs w:val="21"/>
              </w:rPr>
            </w:pPr>
            <w:r>
              <w:rPr>
                <w:color w:val="auto"/>
                <w:sz w:val="21"/>
                <w:szCs w:val="21"/>
              </w:rPr>
              <w:t>——</w:t>
            </w:r>
          </w:p>
        </w:tc>
        <w:tc>
          <w:tcPr>
            <w:tcW w:w="1745" w:type="dxa"/>
            <w:vAlign w:val="center"/>
          </w:tcPr>
          <w:p>
            <w:pPr>
              <w:jc w:val="center"/>
              <w:rPr>
                <w:color w:val="auto"/>
                <w:sz w:val="21"/>
                <w:szCs w:val="21"/>
              </w:rPr>
            </w:pPr>
            <w:r>
              <w:rPr>
                <w:color w:val="auto"/>
                <w:sz w:val="21"/>
                <w:szCs w:val="21"/>
              </w:rPr>
              <w:t>0.2mg/L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氟化物</w:t>
            </w:r>
          </w:p>
        </w:tc>
        <w:tc>
          <w:tcPr>
            <w:tcW w:w="2674" w:type="dxa"/>
            <w:vAlign w:val="center"/>
          </w:tcPr>
          <w:p>
            <w:pPr>
              <w:jc w:val="center"/>
              <w:rPr>
                <w:color w:val="auto"/>
                <w:sz w:val="21"/>
                <w:szCs w:val="21"/>
              </w:rPr>
            </w:pPr>
            <w:r>
              <w:rPr>
                <w:color w:val="auto"/>
                <w:sz w:val="21"/>
                <w:szCs w:val="21"/>
              </w:rPr>
              <w:t>《水质 氟化物的测定 离子选择电极法》</w:t>
            </w:r>
          </w:p>
          <w:p>
            <w:pPr>
              <w:jc w:val="center"/>
              <w:rPr>
                <w:color w:val="auto"/>
                <w:sz w:val="21"/>
                <w:szCs w:val="21"/>
              </w:rPr>
            </w:pPr>
            <w:r>
              <w:rPr>
                <w:color w:val="auto"/>
                <w:sz w:val="21"/>
                <w:szCs w:val="21"/>
              </w:rPr>
              <w:t>GB/T 7484-1987</w:t>
            </w:r>
          </w:p>
        </w:tc>
        <w:tc>
          <w:tcPr>
            <w:tcW w:w="2648" w:type="dxa"/>
            <w:vAlign w:val="center"/>
          </w:tcPr>
          <w:p>
            <w:pPr>
              <w:jc w:val="center"/>
              <w:rPr>
                <w:color w:val="auto"/>
                <w:sz w:val="21"/>
                <w:szCs w:val="21"/>
              </w:rPr>
            </w:pPr>
            <w:r>
              <w:rPr>
                <w:color w:val="auto"/>
                <w:sz w:val="21"/>
                <w:szCs w:val="21"/>
              </w:rPr>
              <w:t>离子计(PXSJ-226)YQ-157-02</w:t>
            </w:r>
          </w:p>
        </w:tc>
        <w:tc>
          <w:tcPr>
            <w:tcW w:w="1745" w:type="dxa"/>
            <w:vAlign w:val="center"/>
          </w:tcPr>
          <w:p>
            <w:pPr>
              <w:jc w:val="center"/>
              <w:rPr>
                <w:color w:val="auto"/>
                <w:sz w:val="21"/>
                <w:szCs w:val="21"/>
              </w:rPr>
            </w:pPr>
            <w:r>
              <w:rPr>
                <w:color w:val="auto"/>
                <w:sz w:val="21"/>
                <w:szCs w:val="21"/>
              </w:rPr>
              <w:t>0.05mg/L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氨氮</w:t>
            </w:r>
          </w:p>
        </w:tc>
        <w:tc>
          <w:tcPr>
            <w:tcW w:w="2674" w:type="dxa"/>
            <w:vAlign w:val="center"/>
          </w:tcPr>
          <w:p>
            <w:pPr>
              <w:jc w:val="center"/>
              <w:rPr>
                <w:color w:val="auto"/>
                <w:sz w:val="21"/>
                <w:szCs w:val="21"/>
              </w:rPr>
            </w:pPr>
            <w:r>
              <w:rPr>
                <w:color w:val="auto"/>
                <w:sz w:val="21"/>
                <w:szCs w:val="21"/>
              </w:rPr>
              <w:t>《水质 氨氮的测定 纳氏试剂分光光度法》</w:t>
            </w:r>
          </w:p>
          <w:p>
            <w:pPr>
              <w:jc w:val="center"/>
              <w:rPr>
                <w:color w:val="auto"/>
                <w:sz w:val="21"/>
                <w:szCs w:val="21"/>
              </w:rPr>
            </w:pPr>
            <w:r>
              <w:rPr>
                <w:color w:val="auto"/>
                <w:sz w:val="21"/>
                <w:szCs w:val="21"/>
              </w:rPr>
              <w:t>HJ 535-2009</w:t>
            </w:r>
          </w:p>
        </w:tc>
        <w:tc>
          <w:tcPr>
            <w:tcW w:w="2648" w:type="dxa"/>
            <w:vAlign w:val="center"/>
          </w:tcPr>
          <w:p>
            <w:pPr>
              <w:jc w:val="center"/>
              <w:rPr>
                <w:color w:val="auto"/>
                <w:sz w:val="21"/>
                <w:szCs w:val="21"/>
              </w:rPr>
            </w:pPr>
            <w:r>
              <w:rPr>
                <w:color w:val="auto"/>
                <w:sz w:val="21"/>
                <w:szCs w:val="21"/>
              </w:rPr>
              <w:t>紫外可见分光光度计(UV-1800)</w:t>
            </w:r>
          </w:p>
          <w:p>
            <w:pPr>
              <w:jc w:val="center"/>
              <w:rPr>
                <w:color w:val="auto"/>
                <w:sz w:val="21"/>
                <w:szCs w:val="21"/>
              </w:rPr>
            </w:pPr>
            <w:r>
              <w:rPr>
                <w:color w:val="auto"/>
                <w:sz w:val="21"/>
                <w:szCs w:val="21"/>
              </w:rPr>
              <w:t>YQ-008-02</w:t>
            </w:r>
          </w:p>
        </w:tc>
        <w:tc>
          <w:tcPr>
            <w:tcW w:w="1745" w:type="dxa"/>
            <w:vAlign w:val="center"/>
          </w:tcPr>
          <w:p>
            <w:pPr>
              <w:jc w:val="center"/>
              <w:rPr>
                <w:color w:val="auto"/>
                <w:sz w:val="21"/>
                <w:szCs w:val="21"/>
              </w:rPr>
            </w:pPr>
            <w:r>
              <w:rPr>
                <w:color w:val="auto"/>
                <w:sz w:val="21"/>
                <w:szCs w:val="21"/>
              </w:rPr>
              <w:t>0.025mg/L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高锰酸盐指数</w:t>
            </w:r>
          </w:p>
        </w:tc>
        <w:tc>
          <w:tcPr>
            <w:tcW w:w="2674" w:type="dxa"/>
            <w:vAlign w:val="center"/>
          </w:tcPr>
          <w:p>
            <w:pPr>
              <w:jc w:val="center"/>
              <w:rPr>
                <w:color w:val="auto"/>
                <w:sz w:val="21"/>
                <w:szCs w:val="21"/>
              </w:rPr>
            </w:pPr>
            <w:r>
              <w:rPr>
                <w:color w:val="auto"/>
                <w:sz w:val="21"/>
                <w:szCs w:val="21"/>
              </w:rPr>
              <w:t>《水质 高锰酸盐指数的测定》GB/T 11892-1989</w:t>
            </w:r>
          </w:p>
        </w:tc>
        <w:tc>
          <w:tcPr>
            <w:tcW w:w="2648" w:type="dxa"/>
            <w:vAlign w:val="center"/>
          </w:tcPr>
          <w:p>
            <w:pPr>
              <w:jc w:val="center"/>
              <w:rPr>
                <w:color w:val="auto"/>
                <w:sz w:val="21"/>
                <w:szCs w:val="21"/>
              </w:rPr>
            </w:pPr>
            <w:r>
              <w:rPr>
                <w:color w:val="auto"/>
                <w:sz w:val="21"/>
                <w:szCs w:val="21"/>
              </w:rPr>
              <w:t>——</w:t>
            </w:r>
          </w:p>
        </w:tc>
        <w:tc>
          <w:tcPr>
            <w:tcW w:w="1745" w:type="dxa"/>
            <w:vAlign w:val="center"/>
          </w:tcPr>
          <w:p>
            <w:pPr>
              <w:jc w:val="center"/>
              <w:rPr>
                <w:color w:val="auto"/>
                <w:sz w:val="21"/>
                <w:szCs w:val="21"/>
              </w:rPr>
            </w:pPr>
            <w:r>
              <w:rPr>
                <w:color w:val="auto"/>
                <w:sz w:val="21"/>
                <w:szCs w:val="21"/>
              </w:rPr>
              <w:t>0.5mg/L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化学需氧量</w:t>
            </w:r>
          </w:p>
        </w:tc>
        <w:tc>
          <w:tcPr>
            <w:tcW w:w="2674" w:type="dxa"/>
            <w:vAlign w:val="center"/>
          </w:tcPr>
          <w:p>
            <w:pPr>
              <w:jc w:val="center"/>
              <w:rPr>
                <w:color w:val="auto"/>
                <w:sz w:val="21"/>
                <w:szCs w:val="21"/>
              </w:rPr>
            </w:pPr>
            <w:r>
              <w:rPr>
                <w:color w:val="auto"/>
                <w:sz w:val="21"/>
                <w:szCs w:val="21"/>
              </w:rPr>
              <w:t>《水质 化学需氧量的测定 重铬酸盐法》</w:t>
            </w:r>
          </w:p>
          <w:p>
            <w:pPr>
              <w:jc w:val="center"/>
              <w:rPr>
                <w:color w:val="auto"/>
                <w:sz w:val="21"/>
                <w:szCs w:val="21"/>
              </w:rPr>
            </w:pPr>
            <w:r>
              <w:rPr>
                <w:color w:val="auto"/>
                <w:sz w:val="21"/>
                <w:szCs w:val="21"/>
              </w:rPr>
              <w:t>HJ 828-2017</w:t>
            </w:r>
          </w:p>
        </w:tc>
        <w:tc>
          <w:tcPr>
            <w:tcW w:w="2648" w:type="dxa"/>
            <w:vAlign w:val="center"/>
          </w:tcPr>
          <w:p>
            <w:pPr>
              <w:jc w:val="center"/>
              <w:rPr>
                <w:color w:val="auto"/>
                <w:sz w:val="21"/>
                <w:szCs w:val="21"/>
              </w:rPr>
            </w:pPr>
            <w:r>
              <w:rPr>
                <w:color w:val="auto"/>
                <w:sz w:val="21"/>
                <w:szCs w:val="21"/>
              </w:rPr>
              <w:t>——</w:t>
            </w:r>
          </w:p>
        </w:tc>
        <w:tc>
          <w:tcPr>
            <w:tcW w:w="1745" w:type="dxa"/>
            <w:vAlign w:val="center"/>
          </w:tcPr>
          <w:p>
            <w:pPr>
              <w:jc w:val="center"/>
              <w:rPr>
                <w:color w:val="auto"/>
                <w:sz w:val="21"/>
                <w:szCs w:val="21"/>
              </w:rPr>
            </w:pPr>
            <w:r>
              <w:rPr>
                <w:color w:val="auto"/>
                <w:sz w:val="21"/>
                <w:szCs w:val="21"/>
              </w:rPr>
              <w:t>4mg/L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挥发酚</w:t>
            </w:r>
          </w:p>
        </w:tc>
        <w:tc>
          <w:tcPr>
            <w:tcW w:w="2674" w:type="dxa"/>
            <w:vAlign w:val="center"/>
          </w:tcPr>
          <w:p>
            <w:pPr>
              <w:jc w:val="center"/>
              <w:rPr>
                <w:color w:val="auto"/>
                <w:sz w:val="21"/>
                <w:szCs w:val="21"/>
              </w:rPr>
            </w:pPr>
            <w:r>
              <w:rPr>
                <w:color w:val="auto"/>
                <w:sz w:val="21"/>
                <w:szCs w:val="21"/>
              </w:rPr>
              <w:t>《水质 挥发酚的测定 4-氨基安替比林分光光度法》HJ 503-2009 萃取分光光度法（方法1）</w:t>
            </w:r>
          </w:p>
        </w:tc>
        <w:tc>
          <w:tcPr>
            <w:tcW w:w="2648" w:type="dxa"/>
            <w:vAlign w:val="center"/>
          </w:tcPr>
          <w:p>
            <w:pPr>
              <w:jc w:val="center"/>
              <w:rPr>
                <w:color w:val="auto"/>
                <w:sz w:val="21"/>
                <w:szCs w:val="21"/>
              </w:rPr>
            </w:pPr>
            <w:r>
              <w:rPr>
                <w:color w:val="auto"/>
                <w:sz w:val="21"/>
                <w:szCs w:val="21"/>
              </w:rPr>
              <w:t>紫外可见分光光度计(752N)</w:t>
            </w:r>
          </w:p>
          <w:p>
            <w:pPr>
              <w:jc w:val="center"/>
              <w:rPr>
                <w:color w:val="auto"/>
                <w:sz w:val="21"/>
                <w:szCs w:val="21"/>
              </w:rPr>
            </w:pPr>
            <w:r>
              <w:rPr>
                <w:color w:val="auto"/>
                <w:sz w:val="21"/>
                <w:szCs w:val="21"/>
              </w:rPr>
              <w:t>YQ-122</w:t>
            </w:r>
          </w:p>
        </w:tc>
        <w:tc>
          <w:tcPr>
            <w:tcW w:w="1745" w:type="dxa"/>
            <w:vAlign w:val="center"/>
          </w:tcPr>
          <w:p>
            <w:pPr>
              <w:jc w:val="center"/>
              <w:rPr>
                <w:color w:val="auto"/>
                <w:sz w:val="21"/>
                <w:szCs w:val="21"/>
              </w:rPr>
            </w:pPr>
            <w:r>
              <w:rPr>
                <w:color w:val="auto"/>
                <w:sz w:val="21"/>
                <w:szCs w:val="21"/>
              </w:rPr>
              <w:t>0.0003mg/L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硫化物</w:t>
            </w:r>
          </w:p>
        </w:tc>
        <w:tc>
          <w:tcPr>
            <w:tcW w:w="2674" w:type="dxa"/>
            <w:vAlign w:val="center"/>
          </w:tcPr>
          <w:p>
            <w:pPr>
              <w:jc w:val="center"/>
              <w:rPr>
                <w:color w:val="auto"/>
                <w:sz w:val="21"/>
                <w:szCs w:val="21"/>
              </w:rPr>
            </w:pPr>
            <w:r>
              <w:rPr>
                <w:color w:val="auto"/>
                <w:sz w:val="21"/>
                <w:szCs w:val="21"/>
              </w:rPr>
              <w:t>《水质 硫化物的测定 亚甲基蓝分光光度法》GB/T 16489-1996</w:t>
            </w:r>
          </w:p>
        </w:tc>
        <w:tc>
          <w:tcPr>
            <w:tcW w:w="2648" w:type="dxa"/>
            <w:vAlign w:val="center"/>
          </w:tcPr>
          <w:p>
            <w:pPr>
              <w:jc w:val="center"/>
              <w:rPr>
                <w:color w:val="auto"/>
                <w:sz w:val="21"/>
                <w:szCs w:val="21"/>
              </w:rPr>
            </w:pPr>
            <w:r>
              <w:rPr>
                <w:color w:val="auto"/>
                <w:sz w:val="21"/>
                <w:szCs w:val="21"/>
              </w:rPr>
              <w:t>紫外可见分光光度计(UV-1800)</w:t>
            </w:r>
          </w:p>
          <w:p>
            <w:pPr>
              <w:jc w:val="center"/>
              <w:rPr>
                <w:color w:val="auto"/>
                <w:sz w:val="21"/>
                <w:szCs w:val="21"/>
              </w:rPr>
            </w:pPr>
            <w:r>
              <w:rPr>
                <w:color w:val="auto"/>
                <w:sz w:val="21"/>
                <w:szCs w:val="21"/>
              </w:rPr>
              <w:t>YQ-008-02</w:t>
            </w:r>
          </w:p>
        </w:tc>
        <w:tc>
          <w:tcPr>
            <w:tcW w:w="1745" w:type="dxa"/>
            <w:vAlign w:val="center"/>
          </w:tcPr>
          <w:p>
            <w:pPr>
              <w:jc w:val="center"/>
              <w:rPr>
                <w:color w:val="auto"/>
                <w:sz w:val="21"/>
                <w:szCs w:val="21"/>
              </w:rPr>
            </w:pPr>
            <w:r>
              <w:rPr>
                <w:color w:val="auto"/>
                <w:sz w:val="21"/>
                <w:szCs w:val="21"/>
              </w:rPr>
              <w:t>0.005mg/L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硫酸盐</w:t>
            </w:r>
          </w:p>
        </w:tc>
        <w:tc>
          <w:tcPr>
            <w:tcW w:w="2674" w:type="dxa"/>
            <w:vAlign w:val="center"/>
          </w:tcPr>
          <w:p>
            <w:pPr>
              <w:jc w:val="center"/>
              <w:rPr>
                <w:color w:val="auto"/>
                <w:sz w:val="21"/>
                <w:szCs w:val="21"/>
              </w:rPr>
            </w:pPr>
            <w:r>
              <w:rPr>
                <w:color w:val="auto"/>
                <w:sz w:val="21"/>
                <w:szCs w:val="21"/>
              </w:rPr>
              <w:t>《水质 硫酸盐的测定 铬酸钡分光光度法（试行）》HJ/T 342-2007</w:t>
            </w:r>
          </w:p>
        </w:tc>
        <w:tc>
          <w:tcPr>
            <w:tcW w:w="2648" w:type="dxa"/>
            <w:vAlign w:val="center"/>
          </w:tcPr>
          <w:p>
            <w:pPr>
              <w:jc w:val="center"/>
              <w:rPr>
                <w:color w:val="auto"/>
                <w:sz w:val="21"/>
                <w:szCs w:val="21"/>
              </w:rPr>
            </w:pPr>
            <w:r>
              <w:rPr>
                <w:color w:val="auto"/>
                <w:sz w:val="21"/>
                <w:szCs w:val="21"/>
              </w:rPr>
              <w:t>紫外可见分光光度计(UV-1800)</w:t>
            </w:r>
          </w:p>
          <w:p>
            <w:pPr>
              <w:jc w:val="center"/>
              <w:rPr>
                <w:color w:val="auto"/>
                <w:sz w:val="21"/>
                <w:szCs w:val="21"/>
              </w:rPr>
            </w:pPr>
            <w:r>
              <w:rPr>
                <w:color w:val="auto"/>
                <w:sz w:val="21"/>
                <w:szCs w:val="21"/>
              </w:rPr>
              <w:t>YQ-008-02</w:t>
            </w:r>
          </w:p>
        </w:tc>
        <w:tc>
          <w:tcPr>
            <w:tcW w:w="1745" w:type="dxa"/>
            <w:vAlign w:val="center"/>
          </w:tcPr>
          <w:p>
            <w:pPr>
              <w:jc w:val="center"/>
              <w:rPr>
                <w:color w:val="auto"/>
                <w:sz w:val="21"/>
                <w:szCs w:val="21"/>
              </w:rPr>
            </w:pPr>
            <w:r>
              <w:rPr>
                <w:color w:val="auto"/>
                <w:sz w:val="21"/>
                <w:szCs w:val="21"/>
              </w:rPr>
              <w:t>8.00mg/L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六价铬</w:t>
            </w:r>
          </w:p>
        </w:tc>
        <w:tc>
          <w:tcPr>
            <w:tcW w:w="2674" w:type="dxa"/>
            <w:vAlign w:val="center"/>
          </w:tcPr>
          <w:p>
            <w:pPr>
              <w:jc w:val="center"/>
              <w:rPr>
                <w:color w:val="auto"/>
                <w:sz w:val="21"/>
                <w:szCs w:val="21"/>
              </w:rPr>
            </w:pPr>
            <w:r>
              <w:rPr>
                <w:color w:val="auto"/>
                <w:sz w:val="21"/>
                <w:szCs w:val="21"/>
              </w:rPr>
              <w:t>《水质 六价铬的测定 二苯碳酰二肼分光光度法》GB/T 7467-1987</w:t>
            </w:r>
          </w:p>
        </w:tc>
        <w:tc>
          <w:tcPr>
            <w:tcW w:w="2648" w:type="dxa"/>
            <w:vAlign w:val="center"/>
          </w:tcPr>
          <w:p>
            <w:pPr>
              <w:jc w:val="center"/>
              <w:rPr>
                <w:color w:val="auto"/>
                <w:sz w:val="21"/>
                <w:szCs w:val="21"/>
              </w:rPr>
            </w:pPr>
            <w:r>
              <w:rPr>
                <w:color w:val="auto"/>
                <w:sz w:val="21"/>
                <w:szCs w:val="21"/>
              </w:rPr>
              <w:t>紫外可见分光光度计(UV-1800)</w:t>
            </w:r>
          </w:p>
          <w:p>
            <w:pPr>
              <w:jc w:val="center"/>
              <w:rPr>
                <w:color w:val="auto"/>
                <w:sz w:val="21"/>
                <w:szCs w:val="21"/>
              </w:rPr>
            </w:pPr>
            <w:r>
              <w:rPr>
                <w:color w:val="auto"/>
                <w:sz w:val="21"/>
                <w:szCs w:val="21"/>
              </w:rPr>
              <w:t>YQ-008-02</w:t>
            </w:r>
          </w:p>
        </w:tc>
        <w:tc>
          <w:tcPr>
            <w:tcW w:w="1745" w:type="dxa"/>
            <w:vAlign w:val="center"/>
          </w:tcPr>
          <w:p>
            <w:pPr>
              <w:jc w:val="center"/>
              <w:rPr>
                <w:color w:val="auto"/>
                <w:sz w:val="21"/>
                <w:szCs w:val="21"/>
              </w:rPr>
            </w:pPr>
            <w:r>
              <w:rPr>
                <w:color w:val="auto"/>
                <w:sz w:val="21"/>
                <w:szCs w:val="21"/>
              </w:rPr>
              <w:t>0.004mg/L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氯化物</w:t>
            </w:r>
          </w:p>
        </w:tc>
        <w:tc>
          <w:tcPr>
            <w:tcW w:w="2674" w:type="dxa"/>
            <w:vAlign w:val="center"/>
          </w:tcPr>
          <w:p>
            <w:pPr>
              <w:jc w:val="center"/>
              <w:rPr>
                <w:color w:val="auto"/>
                <w:sz w:val="21"/>
                <w:szCs w:val="21"/>
              </w:rPr>
            </w:pPr>
            <w:r>
              <w:rPr>
                <w:color w:val="auto"/>
                <w:sz w:val="21"/>
                <w:szCs w:val="21"/>
              </w:rPr>
              <w:t>《水质 氯化物的测定 硝酸银滴定法》</w:t>
            </w:r>
          </w:p>
          <w:p>
            <w:pPr>
              <w:jc w:val="center"/>
              <w:rPr>
                <w:color w:val="auto"/>
                <w:sz w:val="21"/>
                <w:szCs w:val="21"/>
              </w:rPr>
            </w:pPr>
            <w:r>
              <w:rPr>
                <w:color w:val="auto"/>
                <w:sz w:val="21"/>
                <w:szCs w:val="21"/>
              </w:rPr>
              <w:t>GB/T 11896-1989</w:t>
            </w:r>
          </w:p>
        </w:tc>
        <w:tc>
          <w:tcPr>
            <w:tcW w:w="2648" w:type="dxa"/>
            <w:vAlign w:val="center"/>
          </w:tcPr>
          <w:p>
            <w:pPr>
              <w:jc w:val="center"/>
              <w:rPr>
                <w:color w:val="auto"/>
                <w:sz w:val="21"/>
                <w:szCs w:val="21"/>
              </w:rPr>
            </w:pPr>
            <w:r>
              <w:rPr>
                <w:color w:val="auto"/>
                <w:sz w:val="21"/>
                <w:szCs w:val="21"/>
              </w:rPr>
              <w:t>——</w:t>
            </w:r>
          </w:p>
        </w:tc>
        <w:tc>
          <w:tcPr>
            <w:tcW w:w="1745" w:type="dxa"/>
            <w:vAlign w:val="center"/>
          </w:tcPr>
          <w:p>
            <w:pPr>
              <w:jc w:val="center"/>
              <w:rPr>
                <w:color w:val="auto"/>
                <w:sz w:val="21"/>
                <w:szCs w:val="21"/>
              </w:rPr>
            </w:pPr>
            <w:r>
              <w:rPr>
                <w:color w:val="auto"/>
                <w:sz w:val="21"/>
                <w:szCs w:val="21"/>
              </w:rPr>
              <w:t>10.0mg/L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氰化物</w:t>
            </w:r>
          </w:p>
        </w:tc>
        <w:tc>
          <w:tcPr>
            <w:tcW w:w="2674" w:type="dxa"/>
            <w:vAlign w:val="center"/>
          </w:tcPr>
          <w:p>
            <w:pPr>
              <w:jc w:val="center"/>
              <w:rPr>
                <w:color w:val="auto"/>
                <w:sz w:val="21"/>
                <w:szCs w:val="21"/>
              </w:rPr>
            </w:pPr>
            <w:r>
              <w:rPr>
                <w:color w:val="auto"/>
                <w:sz w:val="21"/>
                <w:szCs w:val="21"/>
              </w:rPr>
              <w:t>《水质 氰化物的测定 容量法和分光光度法》HJ 484-2009 异烟酸-吡唑啉酮分光光度法（方法2）</w:t>
            </w:r>
          </w:p>
        </w:tc>
        <w:tc>
          <w:tcPr>
            <w:tcW w:w="2648" w:type="dxa"/>
            <w:vAlign w:val="center"/>
          </w:tcPr>
          <w:p>
            <w:pPr>
              <w:jc w:val="center"/>
              <w:rPr>
                <w:color w:val="auto"/>
                <w:sz w:val="21"/>
                <w:szCs w:val="21"/>
              </w:rPr>
            </w:pPr>
            <w:r>
              <w:rPr>
                <w:color w:val="auto"/>
                <w:sz w:val="21"/>
                <w:szCs w:val="21"/>
              </w:rPr>
              <w:t>紫外可见分光光度计(752N)</w:t>
            </w:r>
          </w:p>
          <w:p>
            <w:pPr>
              <w:jc w:val="center"/>
              <w:rPr>
                <w:color w:val="auto"/>
                <w:sz w:val="21"/>
                <w:szCs w:val="21"/>
              </w:rPr>
            </w:pPr>
            <w:r>
              <w:rPr>
                <w:color w:val="auto"/>
                <w:sz w:val="21"/>
                <w:szCs w:val="21"/>
              </w:rPr>
              <w:t>YQ-122</w:t>
            </w:r>
          </w:p>
        </w:tc>
        <w:tc>
          <w:tcPr>
            <w:tcW w:w="1745" w:type="dxa"/>
            <w:vAlign w:val="center"/>
          </w:tcPr>
          <w:p>
            <w:pPr>
              <w:jc w:val="center"/>
              <w:rPr>
                <w:color w:val="auto"/>
                <w:sz w:val="21"/>
                <w:szCs w:val="21"/>
              </w:rPr>
            </w:pPr>
            <w:r>
              <w:rPr>
                <w:color w:val="auto"/>
                <w:sz w:val="21"/>
                <w:szCs w:val="21"/>
              </w:rPr>
              <w:t>0.004mg/L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64"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色度</w:t>
            </w:r>
          </w:p>
        </w:tc>
        <w:tc>
          <w:tcPr>
            <w:tcW w:w="2674" w:type="dxa"/>
            <w:vAlign w:val="center"/>
          </w:tcPr>
          <w:p>
            <w:pPr>
              <w:jc w:val="center"/>
              <w:rPr>
                <w:color w:val="auto"/>
                <w:sz w:val="21"/>
                <w:szCs w:val="21"/>
              </w:rPr>
            </w:pPr>
            <w:r>
              <w:rPr>
                <w:color w:val="auto"/>
                <w:sz w:val="21"/>
                <w:szCs w:val="21"/>
              </w:rPr>
              <w:t>《水质 色度的测定》GB/T 11903-1989 稀释倍数法（4）</w:t>
            </w:r>
          </w:p>
        </w:tc>
        <w:tc>
          <w:tcPr>
            <w:tcW w:w="2648" w:type="dxa"/>
            <w:vAlign w:val="center"/>
          </w:tcPr>
          <w:p>
            <w:pPr>
              <w:jc w:val="center"/>
              <w:rPr>
                <w:color w:val="auto"/>
                <w:sz w:val="21"/>
                <w:szCs w:val="21"/>
              </w:rPr>
            </w:pPr>
            <w:r>
              <w:rPr>
                <w:color w:val="auto"/>
                <w:sz w:val="21"/>
                <w:szCs w:val="21"/>
              </w:rPr>
              <w:t>——</w:t>
            </w:r>
          </w:p>
        </w:tc>
        <w:tc>
          <w:tcPr>
            <w:tcW w:w="1745" w:type="dxa"/>
            <w:vAlign w:val="center"/>
          </w:tcPr>
          <w:p>
            <w:pPr>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64"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石油类</w:t>
            </w:r>
          </w:p>
        </w:tc>
        <w:tc>
          <w:tcPr>
            <w:tcW w:w="2674" w:type="dxa"/>
            <w:vAlign w:val="center"/>
          </w:tcPr>
          <w:p>
            <w:pPr>
              <w:jc w:val="center"/>
              <w:rPr>
                <w:color w:val="auto"/>
                <w:sz w:val="21"/>
                <w:szCs w:val="21"/>
              </w:rPr>
            </w:pPr>
            <w:r>
              <w:rPr>
                <w:color w:val="auto"/>
                <w:sz w:val="21"/>
                <w:szCs w:val="21"/>
              </w:rPr>
              <w:t>《水质 石油类的测定 紫外分光光度法（试行）》HJ 970-2018</w:t>
            </w:r>
          </w:p>
        </w:tc>
        <w:tc>
          <w:tcPr>
            <w:tcW w:w="2648" w:type="dxa"/>
            <w:vAlign w:val="center"/>
          </w:tcPr>
          <w:p>
            <w:pPr>
              <w:jc w:val="center"/>
              <w:rPr>
                <w:color w:val="auto"/>
                <w:sz w:val="21"/>
                <w:szCs w:val="21"/>
              </w:rPr>
            </w:pPr>
            <w:r>
              <w:rPr>
                <w:color w:val="auto"/>
                <w:sz w:val="21"/>
                <w:szCs w:val="21"/>
              </w:rPr>
              <w:t>紫外可见分光光度计(UV-1800)</w:t>
            </w:r>
          </w:p>
          <w:p>
            <w:pPr>
              <w:jc w:val="center"/>
              <w:rPr>
                <w:color w:val="auto"/>
                <w:sz w:val="21"/>
                <w:szCs w:val="21"/>
              </w:rPr>
            </w:pPr>
            <w:r>
              <w:rPr>
                <w:color w:val="auto"/>
                <w:sz w:val="21"/>
                <w:szCs w:val="21"/>
              </w:rPr>
              <w:t>YQ-008-02</w:t>
            </w:r>
          </w:p>
        </w:tc>
        <w:tc>
          <w:tcPr>
            <w:tcW w:w="1745" w:type="dxa"/>
            <w:vAlign w:val="center"/>
          </w:tcPr>
          <w:p>
            <w:pPr>
              <w:jc w:val="center"/>
              <w:rPr>
                <w:color w:val="auto"/>
                <w:sz w:val="21"/>
                <w:szCs w:val="21"/>
              </w:rPr>
            </w:pPr>
            <w:r>
              <w:rPr>
                <w:color w:val="auto"/>
                <w:sz w:val="21"/>
                <w:szCs w:val="21"/>
              </w:rPr>
              <w:t>0.01mg/L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64"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五日生化需氧量</w:t>
            </w:r>
          </w:p>
        </w:tc>
        <w:tc>
          <w:tcPr>
            <w:tcW w:w="2674" w:type="dxa"/>
            <w:vAlign w:val="center"/>
          </w:tcPr>
          <w:p>
            <w:pPr>
              <w:jc w:val="center"/>
              <w:rPr>
                <w:color w:val="auto"/>
                <w:sz w:val="21"/>
                <w:szCs w:val="21"/>
              </w:rPr>
            </w:pPr>
            <w:r>
              <w:rPr>
                <w:color w:val="auto"/>
                <w:sz w:val="21"/>
                <w:szCs w:val="21"/>
              </w:rPr>
              <w:t>《水质 五日生化需氧量（BOD</w:t>
            </w:r>
            <w:r>
              <w:rPr>
                <w:color w:val="auto"/>
                <w:sz w:val="21"/>
                <w:szCs w:val="21"/>
                <w:vertAlign w:val="subscript"/>
              </w:rPr>
              <w:t>5</w:t>
            </w:r>
            <w:r>
              <w:rPr>
                <w:color w:val="auto"/>
                <w:sz w:val="21"/>
                <w:szCs w:val="21"/>
              </w:rPr>
              <w:t>）的测定 稀释与接种法》HJ 505-2009</w:t>
            </w:r>
          </w:p>
        </w:tc>
        <w:tc>
          <w:tcPr>
            <w:tcW w:w="2648" w:type="dxa"/>
            <w:vAlign w:val="center"/>
          </w:tcPr>
          <w:p>
            <w:pPr>
              <w:jc w:val="center"/>
              <w:rPr>
                <w:color w:val="auto"/>
                <w:sz w:val="21"/>
                <w:szCs w:val="21"/>
              </w:rPr>
            </w:pPr>
            <w:r>
              <w:rPr>
                <w:color w:val="auto"/>
                <w:sz w:val="21"/>
                <w:szCs w:val="21"/>
              </w:rPr>
              <w:t>生化培养箱(LRH-150)</w:t>
            </w:r>
          </w:p>
          <w:p>
            <w:pPr>
              <w:jc w:val="center"/>
              <w:rPr>
                <w:color w:val="auto"/>
                <w:sz w:val="21"/>
                <w:szCs w:val="21"/>
              </w:rPr>
            </w:pPr>
            <w:r>
              <w:rPr>
                <w:color w:val="auto"/>
                <w:sz w:val="21"/>
                <w:szCs w:val="21"/>
              </w:rPr>
              <w:t>YQ-024-02</w:t>
            </w:r>
          </w:p>
        </w:tc>
        <w:tc>
          <w:tcPr>
            <w:tcW w:w="1745" w:type="dxa"/>
            <w:vAlign w:val="center"/>
          </w:tcPr>
          <w:p>
            <w:pPr>
              <w:jc w:val="center"/>
              <w:rPr>
                <w:color w:val="auto"/>
                <w:sz w:val="21"/>
                <w:szCs w:val="21"/>
              </w:rPr>
            </w:pPr>
            <w:r>
              <w:rPr>
                <w:color w:val="auto"/>
                <w:sz w:val="21"/>
                <w:szCs w:val="21"/>
              </w:rPr>
              <w:t>0.5mg/L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64"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硝酸盐氮</w:t>
            </w:r>
          </w:p>
        </w:tc>
        <w:tc>
          <w:tcPr>
            <w:tcW w:w="2674" w:type="dxa"/>
            <w:vAlign w:val="center"/>
          </w:tcPr>
          <w:p>
            <w:pPr>
              <w:jc w:val="center"/>
              <w:rPr>
                <w:color w:val="auto"/>
                <w:sz w:val="21"/>
                <w:szCs w:val="21"/>
              </w:rPr>
            </w:pPr>
            <w:r>
              <w:rPr>
                <w:color w:val="auto"/>
                <w:sz w:val="21"/>
                <w:szCs w:val="21"/>
              </w:rPr>
              <w:t>《水质 硝酸盐氮的测定 酚二磺酸分光光度法》GB/T 7480-1987</w:t>
            </w:r>
          </w:p>
        </w:tc>
        <w:tc>
          <w:tcPr>
            <w:tcW w:w="2648" w:type="dxa"/>
            <w:vAlign w:val="center"/>
          </w:tcPr>
          <w:p>
            <w:pPr>
              <w:jc w:val="center"/>
              <w:rPr>
                <w:color w:val="auto"/>
                <w:sz w:val="21"/>
                <w:szCs w:val="21"/>
              </w:rPr>
            </w:pPr>
            <w:r>
              <w:rPr>
                <w:color w:val="auto"/>
                <w:sz w:val="21"/>
                <w:szCs w:val="21"/>
              </w:rPr>
              <w:t>紫外可见分光光度计(752N)</w:t>
            </w:r>
          </w:p>
          <w:p>
            <w:pPr>
              <w:jc w:val="center"/>
              <w:rPr>
                <w:color w:val="auto"/>
                <w:sz w:val="21"/>
                <w:szCs w:val="21"/>
              </w:rPr>
            </w:pPr>
            <w:r>
              <w:rPr>
                <w:color w:val="auto"/>
                <w:sz w:val="21"/>
                <w:szCs w:val="21"/>
              </w:rPr>
              <w:t>YQ-122</w:t>
            </w:r>
          </w:p>
        </w:tc>
        <w:tc>
          <w:tcPr>
            <w:tcW w:w="1745" w:type="dxa"/>
            <w:vAlign w:val="center"/>
          </w:tcPr>
          <w:p>
            <w:pPr>
              <w:jc w:val="center"/>
              <w:rPr>
                <w:color w:val="auto"/>
                <w:sz w:val="21"/>
                <w:szCs w:val="21"/>
              </w:rPr>
            </w:pPr>
            <w:r>
              <w:rPr>
                <w:color w:val="auto"/>
                <w:sz w:val="21"/>
                <w:szCs w:val="21"/>
              </w:rPr>
              <w:t>0.02mg/L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64"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悬浮物</w:t>
            </w:r>
          </w:p>
        </w:tc>
        <w:tc>
          <w:tcPr>
            <w:tcW w:w="2674" w:type="dxa"/>
            <w:vAlign w:val="center"/>
          </w:tcPr>
          <w:p>
            <w:pPr>
              <w:jc w:val="center"/>
              <w:rPr>
                <w:color w:val="auto"/>
                <w:sz w:val="21"/>
                <w:szCs w:val="21"/>
              </w:rPr>
            </w:pPr>
            <w:r>
              <w:rPr>
                <w:color w:val="auto"/>
                <w:sz w:val="21"/>
                <w:szCs w:val="21"/>
              </w:rPr>
              <w:t>《水质 悬浮物的测定 重量法》</w:t>
            </w:r>
          </w:p>
          <w:p>
            <w:pPr>
              <w:jc w:val="center"/>
              <w:rPr>
                <w:color w:val="auto"/>
                <w:sz w:val="21"/>
                <w:szCs w:val="21"/>
              </w:rPr>
            </w:pPr>
            <w:r>
              <w:rPr>
                <w:color w:val="auto"/>
                <w:sz w:val="21"/>
                <w:szCs w:val="21"/>
              </w:rPr>
              <w:t>GB/T 11901-1989</w:t>
            </w:r>
          </w:p>
        </w:tc>
        <w:tc>
          <w:tcPr>
            <w:tcW w:w="2648" w:type="dxa"/>
            <w:vAlign w:val="center"/>
          </w:tcPr>
          <w:p>
            <w:pPr>
              <w:jc w:val="center"/>
              <w:rPr>
                <w:color w:val="auto"/>
                <w:sz w:val="21"/>
                <w:szCs w:val="21"/>
              </w:rPr>
            </w:pPr>
            <w:r>
              <w:rPr>
                <w:color w:val="auto"/>
                <w:sz w:val="21"/>
                <w:szCs w:val="21"/>
              </w:rPr>
              <w:t>电子天平(BSA224S)</w:t>
            </w:r>
          </w:p>
          <w:p>
            <w:pPr>
              <w:jc w:val="center"/>
              <w:rPr>
                <w:color w:val="auto"/>
                <w:sz w:val="21"/>
                <w:szCs w:val="21"/>
              </w:rPr>
            </w:pPr>
            <w:r>
              <w:rPr>
                <w:color w:val="auto"/>
                <w:sz w:val="21"/>
                <w:szCs w:val="21"/>
              </w:rPr>
              <w:t>YQ-020-05</w:t>
            </w:r>
          </w:p>
        </w:tc>
        <w:tc>
          <w:tcPr>
            <w:tcW w:w="1745" w:type="dxa"/>
            <w:vAlign w:val="center"/>
          </w:tcPr>
          <w:p>
            <w:pPr>
              <w:jc w:val="center"/>
              <w:rPr>
                <w:color w:val="auto"/>
                <w:sz w:val="21"/>
                <w:szCs w:val="21"/>
              </w:rPr>
            </w:pPr>
            <w:r>
              <w:rPr>
                <w:color w:val="auto"/>
                <w:sz w:val="21"/>
                <w:szCs w:val="21"/>
              </w:rPr>
              <w:t>5mg/L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64"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总磷</w:t>
            </w:r>
          </w:p>
        </w:tc>
        <w:tc>
          <w:tcPr>
            <w:tcW w:w="2674" w:type="dxa"/>
            <w:vAlign w:val="center"/>
          </w:tcPr>
          <w:p>
            <w:pPr>
              <w:jc w:val="center"/>
              <w:rPr>
                <w:color w:val="auto"/>
                <w:sz w:val="21"/>
                <w:szCs w:val="21"/>
              </w:rPr>
            </w:pPr>
            <w:r>
              <w:rPr>
                <w:color w:val="auto"/>
                <w:sz w:val="21"/>
                <w:szCs w:val="21"/>
              </w:rPr>
              <w:t>《水质 总磷的测定 钼酸铵分光光度法》</w:t>
            </w:r>
          </w:p>
          <w:p>
            <w:pPr>
              <w:jc w:val="center"/>
              <w:rPr>
                <w:color w:val="auto"/>
                <w:sz w:val="21"/>
                <w:szCs w:val="21"/>
              </w:rPr>
            </w:pPr>
            <w:r>
              <w:rPr>
                <w:color w:val="auto"/>
                <w:sz w:val="21"/>
                <w:szCs w:val="21"/>
              </w:rPr>
              <w:t>GB/T 11893-1989</w:t>
            </w:r>
          </w:p>
        </w:tc>
        <w:tc>
          <w:tcPr>
            <w:tcW w:w="2648" w:type="dxa"/>
            <w:vAlign w:val="center"/>
          </w:tcPr>
          <w:p>
            <w:pPr>
              <w:jc w:val="center"/>
              <w:rPr>
                <w:color w:val="auto"/>
                <w:sz w:val="21"/>
                <w:szCs w:val="21"/>
              </w:rPr>
            </w:pPr>
            <w:r>
              <w:rPr>
                <w:color w:val="auto"/>
                <w:sz w:val="21"/>
                <w:szCs w:val="21"/>
              </w:rPr>
              <w:t>紫外可见分光光度计(UV-1800)</w:t>
            </w:r>
          </w:p>
          <w:p>
            <w:pPr>
              <w:jc w:val="center"/>
              <w:rPr>
                <w:color w:val="auto"/>
                <w:sz w:val="21"/>
                <w:szCs w:val="21"/>
              </w:rPr>
            </w:pPr>
            <w:r>
              <w:rPr>
                <w:color w:val="auto"/>
                <w:sz w:val="21"/>
                <w:szCs w:val="21"/>
              </w:rPr>
              <w:t>YQ-008-02</w:t>
            </w:r>
          </w:p>
        </w:tc>
        <w:tc>
          <w:tcPr>
            <w:tcW w:w="1745" w:type="dxa"/>
            <w:vAlign w:val="center"/>
          </w:tcPr>
          <w:p>
            <w:pPr>
              <w:jc w:val="center"/>
              <w:rPr>
                <w:color w:val="auto"/>
                <w:sz w:val="21"/>
                <w:szCs w:val="21"/>
              </w:rPr>
            </w:pPr>
            <w:r>
              <w:rPr>
                <w:color w:val="auto"/>
                <w:sz w:val="21"/>
                <w:szCs w:val="21"/>
              </w:rPr>
              <w:t>0.01mg/L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64"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粪大肠菌群</w:t>
            </w:r>
          </w:p>
        </w:tc>
        <w:tc>
          <w:tcPr>
            <w:tcW w:w="2674" w:type="dxa"/>
            <w:vAlign w:val="center"/>
          </w:tcPr>
          <w:p>
            <w:pPr>
              <w:jc w:val="center"/>
              <w:rPr>
                <w:color w:val="auto"/>
                <w:sz w:val="21"/>
                <w:szCs w:val="21"/>
              </w:rPr>
            </w:pPr>
            <w:r>
              <w:rPr>
                <w:color w:val="auto"/>
                <w:sz w:val="21"/>
                <w:szCs w:val="21"/>
              </w:rPr>
              <w:t>《水质 粪大肠菌群的测定 多管发酵法和滤膜法（试行）》HJ/T 347-2007 滤膜法（第二篇）</w:t>
            </w:r>
          </w:p>
        </w:tc>
        <w:tc>
          <w:tcPr>
            <w:tcW w:w="2648" w:type="dxa"/>
            <w:vAlign w:val="center"/>
          </w:tcPr>
          <w:p>
            <w:pPr>
              <w:jc w:val="center"/>
              <w:rPr>
                <w:color w:val="auto"/>
                <w:sz w:val="21"/>
                <w:szCs w:val="21"/>
              </w:rPr>
            </w:pPr>
            <w:r>
              <w:rPr>
                <w:color w:val="auto"/>
                <w:sz w:val="21"/>
                <w:szCs w:val="21"/>
              </w:rPr>
              <w:t>隔水式电热恒温培养箱(PYX-DHS 600-BS)</w:t>
            </w:r>
          </w:p>
          <w:p>
            <w:pPr>
              <w:jc w:val="center"/>
              <w:rPr>
                <w:color w:val="auto"/>
                <w:sz w:val="21"/>
                <w:szCs w:val="21"/>
              </w:rPr>
            </w:pPr>
            <w:r>
              <w:rPr>
                <w:color w:val="auto"/>
                <w:sz w:val="21"/>
                <w:szCs w:val="21"/>
              </w:rPr>
              <w:t>YQ-211-01</w:t>
            </w:r>
          </w:p>
        </w:tc>
        <w:tc>
          <w:tcPr>
            <w:tcW w:w="1745" w:type="dxa"/>
            <w:vAlign w:val="center"/>
          </w:tcPr>
          <w:p>
            <w:pPr>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64"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汞</w:t>
            </w:r>
          </w:p>
        </w:tc>
        <w:tc>
          <w:tcPr>
            <w:tcW w:w="2674" w:type="dxa"/>
            <w:vAlign w:val="center"/>
          </w:tcPr>
          <w:p>
            <w:pPr>
              <w:jc w:val="center"/>
              <w:rPr>
                <w:color w:val="auto"/>
                <w:sz w:val="21"/>
                <w:szCs w:val="21"/>
              </w:rPr>
            </w:pPr>
            <w:r>
              <w:rPr>
                <w:color w:val="auto"/>
                <w:sz w:val="21"/>
                <w:szCs w:val="21"/>
              </w:rPr>
              <w:t>《水质 汞、砷、硒、铋和锑的测定 原子荧光法》HJ 694-2014</w:t>
            </w:r>
          </w:p>
        </w:tc>
        <w:tc>
          <w:tcPr>
            <w:tcW w:w="2648" w:type="dxa"/>
            <w:vAlign w:val="center"/>
          </w:tcPr>
          <w:p>
            <w:pPr>
              <w:jc w:val="center"/>
              <w:rPr>
                <w:color w:val="auto"/>
                <w:sz w:val="21"/>
                <w:szCs w:val="21"/>
              </w:rPr>
            </w:pPr>
            <w:r>
              <w:rPr>
                <w:color w:val="auto"/>
                <w:sz w:val="21"/>
                <w:szCs w:val="21"/>
              </w:rPr>
              <w:t>原子荧光分光光度计(PF52)</w:t>
            </w:r>
          </w:p>
          <w:p>
            <w:pPr>
              <w:jc w:val="center"/>
              <w:rPr>
                <w:color w:val="auto"/>
                <w:sz w:val="21"/>
                <w:szCs w:val="21"/>
              </w:rPr>
            </w:pPr>
            <w:r>
              <w:rPr>
                <w:color w:val="auto"/>
                <w:sz w:val="21"/>
                <w:szCs w:val="21"/>
              </w:rPr>
              <w:t>YQ-002-01</w:t>
            </w:r>
          </w:p>
        </w:tc>
        <w:tc>
          <w:tcPr>
            <w:tcW w:w="1745" w:type="dxa"/>
            <w:vAlign w:val="center"/>
          </w:tcPr>
          <w:p>
            <w:pPr>
              <w:jc w:val="center"/>
              <w:rPr>
                <w:color w:val="auto"/>
                <w:sz w:val="21"/>
                <w:szCs w:val="21"/>
              </w:rPr>
            </w:pPr>
            <w:r>
              <w:rPr>
                <w:color w:val="auto"/>
                <w:sz w:val="21"/>
                <w:szCs w:val="21"/>
              </w:rPr>
              <w:t>0.00004mg/L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64"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砷</w:t>
            </w:r>
          </w:p>
        </w:tc>
        <w:tc>
          <w:tcPr>
            <w:tcW w:w="2674" w:type="dxa"/>
            <w:vAlign w:val="center"/>
          </w:tcPr>
          <w:p>
            <w:pPr>
              <w:jc w:val="center"/>
              <w:rPr>
                <w:color w:val="auto"/>
                <w:sz w:val="21"/>
                <w:szCs w:val="21"/>
              </w:rPr>
            </w:pPr>
            <w:r>
              <w:rPr>
                <w:color w:val="auto"/>
                <w:sz w:val="21"/>
                <w:szCs w:val="21"/>
              </w:rPr>
              <w:t>《水质 汞、砷、硒、铋和锑的测定 原子荧光法》HJ 694-2014</w:t>
            </w:r>
          </w:p>
        </w:tc>
        <w:tc>
          <w:tcPr>
            <w:tcW w:w="2648" w:type="dxa"/>
            <w:vAlign w:val="center"/>
          </w:tcPr>
          <w:p>
            <w:pPr>
              <w:jc w:val="center"/>
              <w:rPr>
                <w:color w:val="auto"/>
                <w:sz w:val="21"/>
                <w:szCs w:val="21"/>
              </w:rPr>
            </w:pPr>
            <w:r>
              <w:rPr>
                <w:color w:val="auto"/>
                <w:sz w:val="21"/>
                <w:szCs w:val="21"/>
              </w:rPr>
              <w:t>原子荧光分光光度计(PF52)</w:t>
            </w:r>
          </w:p>
          <w:p>
            <w:pPr>
              <w:jc w:val="center"/>
              <w:rPr>
                <w:color w:val="auto"/>
                <w:sz w:val="21"/>
                <w:szCs w:val="21"/>
              </w:rPr>
            </w:pPr>
            <w:r>
              <w:rPr>
                <w:color w:val="auto"/>
                <w:sz w:val="21"/>
                <w:szCs w:val="21"/>
              </w:rPr>
              <w:t>YQ-002-01</w:t>
            </w:r>
          </w:p>
        </w:tc>
        <w:tc>
          <w:tcPr>
            <w:tcW w:w="1745" w:type="dxa"/>
            <w:vAlign w:val="center"/>
          </w:tcPr>
          <w:p>
            <w:pPr>
              <w:jc w:val="center"/>
              <w:rPr>
                <w:color w:val="auto"/>
                <w:sz w:val="21"/>
                <w:szCs w:val="21"/>
              </w:rPr>
            </w:pPr>
            <w:r>
              <w:rPr>
                <w:color w:val="auto"/>
                <w:sz w:val="21"/>
                <w:szCs w:val="21"/>
              </w:rPr>
              <w:t>0.0003mg/L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64"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锰</w:t>
            </w:r>
          </w:p>
        </w:tc>
        <w:tc>
          <w:tcPr>
            <w:tcW w:w="2674" w:type="dxa"/>
            <w:vAlign w:val="center"/>
          </w:tcPr>
          <w:p>
            <w:pPr>
              <w:jc w:val="center"/>
              <w:rPr>
                <w:color w:val="auto"/>
                <w:sz w:val="21"/>
                <w:szCs w:val="21"/>
              </w:rPr>
            </w:pPr>
            <w:r>
              <w:rPr>
                <w:color w:val="auto"/>
                <w:sz w:val="21"/>
                <w:szCs w:val="21"/>
              </w:rPr>
              <w:t>《水质 65种元素的测定 电感耦合等离子体质谱法》HJ 700-2014</w:t>
            </w:r>
          </w:p>
        </w:tc>
        <w:tc>
          <w:tcPr>
            <w:tcW w:w="2648" w:type="dxa"/>
            <w:vAlign w:val="center"/>
          </w:tcPr>
          <w:p>
            <w:pPr>
              <w:jc w:val="center"/>
              <w:rPr>
                <w:color w:val="auto"/>
                <w:sz w:val="21"/>
                <w:szCs w:val="21"/>
              </w:rPr>
            </w:pPr>
            <w:r>
              <w:rPr>
                <w:color w:val="auto"/>
                <w:sz w:val="21"/>
                <w:szCs w:val="21"/>
              </w:rPr>
              <w:t>电感耦合等离子体质谱仪(7800 ICP-MS)</w:t>
            </w:r>
          </w:p>
          <w:p>
            <w:pPr>
              <w:jc w:val="center"/>
              <w:rPr>
                <w:color w:val="auto"/>
                <w:sz w:val="21"/>
                <w:szCs w:val="21"/>
              </w:rPr>
            </w:pPr>
            <w:r>
              <w:rPr>
                <w:color w:val="auto"/>
                <w:sz w:val="21"/>
                <w:szCs w:val="21"/>
              </w:rPr>
              <w:t>YQ-250-02</w:t>
            </w:r>
          </w:p>
        </w:tc>
        <w:tc>
          <w:tcPr>
            <w:tcW w:w="1745" w:type="dxa"/>
            <w:vAlign w:val="center"/>
          </w:tcPr>
          <w:p>
            <w:pPr>
              <w:jc w:val="center"/>
              <w:rPr>
                <w:color w:val="auto"/>
                <w:sz w:val="21"/>
                <w:szCs w:val="21"/>
              </w:rPr>
            </w:pPr>
            <w:r>
              <w:rPr>
                <w:color w:val="auto"/>
                <w:sz w:val="21"/>
                <w:szCs w:val="21"/>
              </w:rPr>
              <w:t>0.12μg/L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64"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铁</w:t>
            </w:r>
          </w:p>
        </w:tc>
        <w:tc>
          <w:tcPr>
            <w:tcW w:w="2674" w:type="dxa"/>
            <w:vAlign w:val="center"/>
          </w:tcPr>
          <w:p>
            <w:pPr>
              <w:jc w:val="center"/>
              <w:rPr>
                <w:color w:val="auto"/>
                <w:sz w:val="21"/>
                <w:szCs w:val="21"/>
              </w:rPr>
            </w:pPr>
            <w:r>
              <w:rPr>
                <w:color w:val="auto"/>
                <w:sz w:val="21"/>
                <w:szCs w:val="21"/>
              </w:rPr>
              <w:t>《水质 65种元素的测定 电感耦合等离子体质谱法》HJ 700-2014</w:t>
            </w:r>
          </w:p>
        </w:tc>
        <w:tc>
          <w:tcPr>
            <w:tcW w:w="2648" w:type="dxa"/>
            <w:vAlign w:val="center"/>
          </w:tcPr>
          <w:p>
            <w:pPr>
              <w:jc w:val="center"/>
              <w:rPr>
                <w:color w:val="auto"/>
                <w:sz w:val="21"/>
                <w:szCs w:val="21"/>
              </w:rPr>
            </w:pPr>
            <w:r>
              <w:rPr>
                <w:color w:val="auto"/>
                <w:sz w:val="21"/>
                <w:szCs w:val="21"/>
              </w:rPr>
              <w:t>电感耦合等离子体质谱仪(7800 ICP-MS)</w:t>
            </w:r>
          </w:p>
          <w:p>
            <w:pPr>
              <w:jc w:val="center"/>
              <w:rPr>
                <w:color w:val="auto"/>
                <w:sz w:val="21"/>
                <w:szCs w:val="21"/>
              </w:rPr>
            </w:pPr>
            <w:r>
              <w:rPr>
                <w:color w:val="auto"/>
                <w:sz w:val="21"/>
                <w:szCs w:val="21"/>
              </w:rPr>
              <w:t>YQ-250-02</w:t>
            </w:r>
          </w:p>
        </w:tc>
        <w:tc>
          <w:tcPr>
            <w:tcW w:w="1745" w:type="dxa"/>
            <w:vAlign w:val="center"/>
          </w:tcPr>
          <w:p>
            <w:pPr>
              <w:jc w:val="center"/>
              <w:rPr>
                <w:color w:val="auto"/>
                <w:sz w:val="21"/>
                <w:szCs w:val="21"/>
              </w:rPr>
            </w:pPr>
            <w:r>
              <w:rPr>
                <w:color w:val="auto"/>
                <w:sz w:val="21"/>
                <w:szCs w:val="21"/>
              </w:rPr>
              <w:t>0.82μg/L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64"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铜</w:t>
            </w:r>
          </w:p>
        </w:tc>
        <w:tc>
          <w:tcPr>
            <w:tcW w:w="2674" w:type="dxa"/>
            <w:vAlign w:val="center"/>
          </w:tcPr>
          <w:p>
            <w:pPr>
              <w:jc w:val="center"/>
              <w:rPr>
                <w:color w:val="auto"/>
                <w:sz w:val="21"/>
                <w:szCs w:val="21"/>
              </w:rPr>
            </w:pPr>
            <w:r>
              <w:rPr>
                <w:color w:val="auto"/>
                <w:sz w:val="21"/>
                <w:szCs w:val="21"/>
              </w:rPr>
              <w:t>《水质 65种元素的测定 电感耦合等离子体质谱法》HJ 700-2014</w:t>
            </w:r>
          </w:p>
        </w:tc>
        <w:tc>
          <w:tcPr>
            <w:tcW w:w="2648" w:type="dxa"/>
            <w:vAlign w:val="center"/>
          </w:tcPr>
          <w:p>
            <w:pPr>
              <w:jc w:val="center"/>
              <w:rPr>
                <w:color w:val="auto"/>
                <w:sz w:val="21"/>
                <w:szCs w:val="21"/>
              </w:rPr>
            </w:pPr>
            <w:r>
              <w:rPr>
                <w:color w:val="auto"/>
                <w:sz w:val="21"/>
                <w:szCs w:val="21"/>
              </w:rPr>
              <w:t>电感耦合等离子体质谱仪(7800 ICP-MS)</w:t>
            </w:r>
          </w:p>
          <w:p>
            <w:pPr>
              <w:jc w:val="center"/>
              <w:rPr>
                <w:color w:val="auto"/>
                <w:sz w:val="21"/>
                <w:szCs w:val="21"/>
              </w:rPr>
            </w:pPr>
            <w:r>
              <w:rPr>
                <w:color w:val="auto"/>
                <w:sz w:val="21"/>
                <w:szCs w:val="21"/>
              </w:rPr>
              <w:t>YQ-250-02</w:t>
            </w:r>
          </w:p>
        </w:tc>
        <w:tc>
          <w:tcPr>
            <w:tcW w:w="1745" w:type="dxa"/>
            <w:vAlign w:val="center"/>
          </w:tcPr>
          <w:p>
            <w:pPr>
              <w:jc w:val="center"/>
              <w:rPr>
                <w:color w:val="auto"/>
                <w:sz w:val="21"/>
                <w:szCs w:val="21"/>
              </w:rPr>
            </w:pPr>
            <w:r>
              <w:rPr>
                <w:color w:val="auto"/>
                <w:sz w:val="21"/>
                <w:szCs w:val="21"/>
              </w:rPr>
              <w:t>0.08μg/L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64"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锌</w:t>
            </w:r>
          </w:p>
        </w:tc>
        <w:tc>
          <w:tcPr>
            <w:tcW w:w="2674" w:type="dxa"/>
            <w:vAlign w:val="center"/>
          </w:tcPr>
          <w:p>
            <w:pPr>
              <w:jc w:val="center"/>
              <w:rPr>
                <w:color w:val="auto"/>
                <w:sz w:val="21"/>
                <w:szCs w:val="21"/>
              </w:rPr>
            </w:pPr>
            <w:r>
              <w:rPr>
                <w:color w:val="auto"/>
                <w:sz w:val="21"/>
                <w:szCs w:val="21"/>
              </w:rPr>
              <w:t>《水质 65种元素的测定 电感耦合等离子体质谱法》HJ 700-2014</w:t>
            </w:r>
          </w:p>
        </w:tc>
        <w:tc>
          <w:tcPr>
            <w:tcW w:w="2648" w:type="dxa"/>
            <w:vAlign w:val="center"/>
          </w:tcPr>
          <w:p>
            <w:pPr>
              <w:jc w:val="center"/>
              <w:rPr>
                <w:color w:val="auto"/>
                <w:sz w:val="21"/>
                <w:szCs w:val="21"/>
              </w:rPr>
            </w:pPr>
            <w:r>
              <w:rPr>
                <w:color w:val="auto"/>
                <w:sz w:val="21"/>
                <w:szCs w:val="21"/>
              </w:rPr>
              <w:t>电感耦合等离子体质谱仪(7800 ICP-MS)</w:t>
            </w:r>
          </w:p>
          <w:p>
            <w:pPr>
              <w:jc w:val="center"/>
              <w:rPr>
                <w:color w:val="auto"/>
                <w:sz w:val="21"/>
                <w:szCs w:val="21"/>
              </w:rPr>
            </w:pPr>
            <w:r>
              <w:rPr>
                <w:color w:val="auto"/>
                <w:sz w:val="21"/>
                <w:szCs w:val="21"/>
              </w:rPr>
              <w:t>YQ-250-02</w:t>
            </w:r>
          </w:p>
        </w:tc>
        <w:tc>
          <w:tcPr>
            <w:tcW w:w="1745" w:type="dxa"/>
            <w:vAlign w:val="center"/>
          </w:tcPr>
          <w:p>
            <w:pPr>
              <w:jc w:val="center"/>
              <w:rPr>
                <w:color w:val="auto"/>
                <w:sz w:val="21"/>
                <w:szCs w:val="21"/>
              </w:rPr>
            </w:pPr>
            <w:r>
              <w:rPr>
                <w:color w:val="auto"/>
                <w:sz w:val="21"/>
                <w:szCs w:val="21"/>
              </w:rPr>
              <w:t>0.67μg/L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镉</w:t>
            </w:r>
          </w:p>
        </w:tc>
        <w:tc>
          <w:tcPr>
            <w:tcW w:w="2674" w:type="dxa"/>
            <w:vAlign w:val="center"/>
          </w:tcPr>
          <w:p>
            <w:pPr>
              <w:jc w:val="center"/>
              <w:rPr>
                <w:color w:val="auto"/>
                <w:sz w:val="21"/>
                <w:szCs w:val="21"/>
              </w:rPr>
            </w:pPr>
            <w:r>
              <w:rPr>
                <w:color w:val="auto"/>
                <w:sz w:val="21"/>
                <w:szCs w:val="21"/>
              </w:rPr>
              <w:t>《水质 65种元素的测定 电感耦合等离子体质谱法》HJ 700-2014</w:t>
            </w:r>
          </w:p>
        </w:tc>
        <w:tc>
          <w:tcPr>
            <w:tcW w:w="2648" w:type="dxa"/>
            <w:vAlign w:val="center"/>
          </w:tcPr>
          <w:p>
            <w:pPr>
              <w:jc w:val="center"/>
              <w:rPr>
                <w:color w:val="auto"/>
                <w:sz w:val="21"/>
                <w:szCs w:val="21"/>
              </w:rPr>
            </w:pPr>
            <w:r>
              <w:rPr>
                <w:color w:val="auto"/>
                <w:sz w:val="21"/>
                <w:szCs w:val="21"/>
              </w:rPr>
              <w:t>电感耦合等离子体质谱仪(7800 ICP-MS)</w:t>
            </w:r>
          </w:p>
          <w:p>
            <w:pPr>
              <w:jc w:val="center"/>
              <w:rPr>
                <w:color w:val="auto"/>
                <w:sz w:val="21"/>
                <w:szCs w:val="21"/>
              </w:rPr>
            </w:pPr>
            <w:r>
              <w:rPr>
                <w:color w:val="auto"/>
                <w:sz w:val="21"/>
                <w:szCs w:val="21"/>
              </w:rPr>
              <w:t>YQ-250-02</w:t>
            </w:r>
          </w:p>
        </w:tc>
        <w:tc>
          <w:tcPr>
            <w:tcW w:w="1745" w:type="dxa"/>
            <w:vAlign w:val="center"/>
          </w:tcPr>
          <w:p>
            <w:pPr>
              <w:jc w:val="center"/>
              <w:rPr>
                <w:color w:val="auto"/>
                <w:sz w:val="21"/>
                <w:szCs w:val="21"/>
              </w:rPr>
            </w:pPr>
            <w:r>
              <w:rPr>
                <w:color w:val="auto"/>
                <w:sz w:val="21"/>
                <w:szCs w:val="21"/>
              </w:rPr>
              <w:t>0.05μg/L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960" w:type="dxa"/>
            <w:vMerge w:val="continue"/>
            <w:vAlign w:val="center"/>
          </w:tcPr>
          <w:p>
            <w:pPr>
              <w:jc w:val="center"/>
              <w:rPr>
                <w:color w:val="auto"/>
                <w:sz w:val="21"/>
                <w:szCs w:val="21"/>
              </w:rPr>
            </w:pPr>
          </w:p>
        </w:tc>
        <w:tc>
          <w:tcPr>
            <w:tcW w:w="1259" w:type="dxa"/>
            <w:vAlign w:val="center"/>
          </w:tcPr>
          <w:p>
            <w:pPr>
              <w:jc w:val="center"/>
              <w:rPr>
                <w:color w:val="auto"/>
                <w:sz w:val="21"/>
                <w:szCs w:val="21"/>
              </w:rPr>
            </w:pPr>
            <w:r>
              <w:rPr>
                <w:color w:val="auto"/>
                <w:sz w:val="21"/>
                <w:szCs w:val="21"/>
              </w:rPr>
              <w:t>铅</w:t>
            </w:r>
          </w:p>
        </w:tc>
        <w:tc>
          <w:tcPr>
            <w:tcW w:w="2674" w:type="dxa"/>
            <w:vAlign w:val="center"/>
          </w:tcPr>
          <w:p>
            <w:pPr>
              <w:jc w:val="center"/>
              <w:rPr>
                <w:color w:val="auto"/>
                <w:sz w:val="21"/>
                <w:szCs w:val="21"/>
              </w:rPr>
            </w:pPr>
            <w:r>
              <w:rPr>
                <w:color w:val="auto"/>
                <w:sz w:val="21"/>
                <w:szCs w:val="21"/>
              </w:rPr>
              <w:t>《水质 65种元素的测定 电感耦合等离子体质谱法》HJ 700-2014</w:t>
            </w:r>
          </w:p>
        </w:tc>
        <w:tc>
          <w:tcPr>
            <w:tcW w:w="2648" w:type="dxa"/>
            <w:vAlign w:val="center"/>
          </w:tcPr>
          <w:p>
            <w:pPr>
              <w:jc w:val="center"/>
              <w:rPr>
                <w:color w:val="auto"/>
                <w:sz w:val="21"/>
                <w:szCs w:val="21"/>
              </w:rPr>
            </w:pPr>
            <w:r>
              <w:rPr>
                <w:color w:val="auto"/>
                <w:sz w:val="21"/>
                <w:szCs w:val="21"/>
              </w:rPr>
              <w:t>电感耦合等离子体质谱仪(7800 ICP-MS)</w:t>
            </w:r>
          </w:p>
          <w:p>
            <w:pPr>
              <w:jc w:val="center"/>
              <w:rPr>
                <w:color w:val="auto"/>
                <w:sz w:val="21"/>
                <w:szCs w:val="21"/>
              </w:rPr>
            </w:pPr>
            <w:r>
              <w:rPr>
                <w:color w:val="auto"/>
                <w:sz w:val="21"/>
                <w:szCs w:val="21"/>
              </w:rPr>
              <w:t>YQ-250-02</w:t>
            </w:r>
          </w:p>
        </w:tc>
        <w:tc>
          <w:tcPr>
            <w:tcW w:w="1745" w:type="dxa"/>
            <w:vAlign w:val="center"/>
          </w:tcPr>
          <w:p>
            <w:pPr>
              <w:jc w:val="center"/>
              <w:rPr>
                <w:color w:val="auto"/>
                <w:sz w:val="21"/>
                <w:szCs w:val="21"/>
              </w:rPr>
            </w:pPr>
            <w:r>
              <w:rPr>
                <w:color w:val="auto"/>
                <w:sz w:val="21"/>
                <w:szCs w:val="21"/>
              </w:rPr>
              <w:t>0.09μg/L</w:t>
            </w:r>
          </w:p>
        </w:tc>
      </w:tr>
    </w:tbl>
    <w:p>
      <w:pPr>
        <w:pStyle w:val="301"/>
        <w:rPr>
          <w:color w:val="auto"/>
          <w:lang w:eastAsia="zh-CN"/>
        </w:rPr>
      </w:pPr>
      <w:r>
        <w:rPr>
          <w:color w:val="auto"/>
        </w:rPr>
        <w:t>4.2.2.</w:t>
      </w:r>
      <w:r>
        <w:rPr>
          <w:rFonts w:hint="eastAsia"/>
          <w:color w:val="auto"/>
          <w:lang w:val="en-US" w:eastAsia="zh-CN"/>
        </w:rPr>
        <w:t>6</w:t>
      </w:r>
      <w:r>
        <w:rPr>
          <w:rFonts w:hint="eastAsia"/>
          <w:color w:val="auto"/>
          <w:lang w:eastAsia="zh-CN"/>
        </w:rPr>
        <w:t>评价标准和评价方法</w:t>
      </w:r>
    </w:p>
    <w:p>
      <w:pPr>
        <w:widowControl/>
        <w:autoSpaceDE w:val="0"/>
        <w:autoSpaceDN w:val="0"/>
        <w:spacing w:line="360" w:lineRule="auto"/>
        <w:ind w:firstLine="480" w:firstLineChars="200"/>
        <w:jc w:val="both"/>
        <w:rPr>
          <w:color w:val="auto"/>
        </w:rPr>
      </w:pPr>
      <w:r>
        <w:rPr>
          <w:color w:val="auto"/>
        </w:rPr>
        <w:t>1、评价标准</w:t>
      </w:r>
    </w:p>
    <w:p>
      <w:pPr>
        <w:widowControl/>
        <w:autoSpaceDE w:val="0"/>
        <w:autoSpaceDN w:val="0"/>
        <w:spacing w:line="360" w:lineRule="auto"/>
        <w:ind w:firstLine="480" w:firstLineChars="200"/>
        <w:jc w:val="both"/>
        <w:rPr>
          <w:color w:val="auto"/>
        </w:rPr>
      </w:pPr>
      <w:r>
        <w:rPr>
          <w:rFonts w:hint="eastAsia"/>
          <w:color w:val="auto"/>
        </w:rPr>
        <w:t>本项目选址附近</w:t>
      </w:r>
      <w:r>
        <w:rPr>
          <w:color w:val="auto"/>
        </w:rPr>
        <w:t>的</w:t>
      </w:r>
      <w:r>
        <w:rPr>
          <w:rFonts w:hint="eastAsia"/>
          <w:color w:val="auto"/>
        </w:rPr>
        <w:t>地表水体为曾坑河及宁江，曾坑河</w:t>
      </w:r>
      <w:r>
        <w:rPr>
          <w:color w:val="auto"/>
        </w:rPr>
        <w:t>执行《地表水环境质量标准》（GB3838-2002）中的Ⅳ</w:t>
      </w:r>
      <w:r>
        <w:rPr>
          <w:rFonts w:hint="eastAsia"/>
          <w:color w:val="auto"/>
        </w:rPr>
        <w:t>类</w:t>
      </w:r>
      <w:r>
        <w:rPr>
          <w:color w:val="auto"/>
        </w:rPr>
        <w:t>水质标准要求</w:t>
      </w:r>
      <w:r>
        <w:rPr>
          <w:rFonts w:hint="eastAsia"/>
          <w:color w:val="auto"/>
        </w:rPr>
        <w:t>，曾坑水库、宁江（项目区域段）</w:t>
      </w:r>
      <w:r>
        <w:rPr>
          <w:color w:val="auto"/>
        </w:rPr>
        <w:t>执行《地表水环境质量标准》（GB3838-2002）中的Ⅲ类水质标准要求，项目地表水环境具体执行的质量标准值详见表2.8-2。</w:t>
      </w:r>
    </w:p>
    <w:p>
      <w:pPr>
        <w:widowControl/>
        <w:autoSpaceDE w:val="0"/>
        <w:autoSpaceDN w:val="0"/>
        <w:spacing w:line="360" w:lineRule="auto"/>
        <w:ind w:firstLine="480" w:firstLineChars="200"/>
        <w:jc w:val="both"/>
        <w:rPr>
          <w:color w:val="auto"/>
        </w:rPr>
      </w:pPr>
      <w:r>
        <w:rPr>
          <w:color w:val="auto"/>
        </w:rPr>
        <w:t>2、评价方法</w:t>
      </w:r>
    </w:p>
    <w:p>
      <w:pPr>
        <w:widowControl/>
        <w:autoSpaceDE w:val="0"/>
        <w:autoSpaceDN w:val="0"/>
        <w:spacing w:line="360" w:lineRule="auto"/>
        <w:ind w:firstLine="480" w:firstLineChars="200"/>
        <w:jc w:val="both"/>
        <w:rPr>
          <w:color w:val="auto"/>
        </w:rPr>
      </w:pPr>
      <w:r>
        <w:rPr>
          <w:color w:val="auto"/>
        </w:rPr>
        <w:t>按照《环境影响评价技术导则 地表水环境》（HJ 2.3-2018）所推荐的单项评价标准指数法进行水质现状评价。</w:t>
      </w:r>
    </w:p>
    <w:p>
      <w:pPr>
        <w:widowControl/>
        <w:autoSpaceDE w:val="0"/>
        <w:autoSpaceDN w:val="0"/>
        <w:spacing w:line="360" w:lineRule="auto"/>
        <w:ind w:firstLine="480" w:firstLineChars="200"/>
        <w:jc w:val="both"/>
        <w:rPr>
          <w:bCs/>
          <w:color w:val="auto"/>
        </w:rPr>
      </w:pPr>
      <w:r>
        <w:rPr>
          <w:bCs/>
          <w:color w:val="auto"/>
        </w:rPr>
        <w:t>（1）单项水质参数i在第j点的标准指数：</w:t>
      </w:r>
    </w:p>
    <w:p>
      <w:pPr>
        <w:spacing w:line="360" w:lineRule="auto"/>
        <w:jc w:val="center"/>
        <w:rPr>
          <w:color w:val="auto"/>
        </w:rPr>
      </w:pPr>
      <w:r>
        <w:rPr>
          <w:color w:val="auto"/>
        </w:rPr>
        <w:t>S</w:t>
      </w:r>
      <w:r>
        <w:rPr>
          <w:color w:val="auto"/>
          <w:vertAlign w:val="subscript"/>
        </w:rPr>
        <w:t>i,j</w:t>
      </w:r>
      <w:r>
        <w:rPr>
          <w:color w:val="auto"/>
        </w:rPr>
        <w:t>=C</w:t>
      </w:r>
      <w:r>
        <w:rPr>
          <w:color w:val="auto"/>
          <w:vertAlign w:val="subscript"/>
        </w:rPr>
        <w:t>i,j</w:t>
      </w:r>
      <w:r>
        <w:rPr>
          <w:color w:val="auto"/>
        </w:rPr>
        <w:t>/C</w:t>
      </w:r>
      <w:r>
        <w:rPr>
          <w:color w:val="auto"/>
          <w:vertAlign w:val="subscript"/>
        </w:rPr>
        <w:t>s,i</w:t>
      </w:r>
    </w:p>
    <w:p>
      <w:pPr>
        <w:widowControl/>
        <w:autoSpaceDE w:val="0"/>
        <w:autoSpaceDN w:val="0"/>
        <w:spacing w:line="360" w:lineRule="auto"/>
        <w:ind w:firstLine="480" w:firstLineChars="200"/>
        <w:jc w:val="both"/>
        <w:rPr>
          <w:bCs/>
          <w:color w:val="auto"/>
        </w:rPr>
      </w:pPr>
      <w:r>
        <w:rPr>
          <w:bCs/>
          <w:color w:val="auto"/>
        </w:rPr>
        <w:t>式中：S</w:t>
      </w:r>
      <w:r>
        <w:rPr>
          <w:bCs/>
          <w:color w:val="auto"/>
          <w:vertAlign w:val="subscript"/>
        </w:rPr>
        <w:t>i，j</w:t>
      </w:r>
      <w:r>
        <w:rPr>
          <w:bCs/>
          <w:color w:val="auto"/>
        </w:rPr>
        <w:t>为单项水质参数i在第j点的标准指数；</w:t>
      </w:r>
    </w:p>
    <w:p>
      <w:pPr>
        <w:widowControl/>
        <w:autoSpaceDE w:val="0"/>
        <w:autoSpaceDN w:val="0"/>
        <w:spacing w:line="360" w:lineRule="auto"/>
        <w:ind w:firstLine="1200" w:firstLineChars="500"/>
        <w:jc w:val="both"/>
        <w:rPr>
          <w:bCs/>
          <w:color w:val="auto"/>
        </w:rPr>
      </w:pPr>
      <w:r>
        <w:rPr>
          <w:bCs/>
          <w:color w:val="auto"/>
        </w:rPr>
        <w:t>C</w:t>
      </w:r>
      <w:r>
        <w:rPr>
          <w:bCs/>
          <w:color w:val="auto"/>
          <w:vertAlign w:val="subscript"/>
        </w:rPr>
        <w:t>i，j</w:t>
      </w:r>
      <w:r>
        <w:rPr>
          <w:bCs/>
          <w:color w:val="auto"/>
        </w:rPr>
        <w:t>为单项水质参数i在监测点j的浓度，mg/L。</w:t>
      </w:r>
    </w:p>
    <w:p>
      <w:pPr>
        <w:widowControl/>
        <w:autoSpaceDE w:val="0"/>
        <w:autoSpaceDN w:val="0"/>
        <w:spacing w:line="360" w:lineRule="auto"/>
        <w:ind w:firstLine="1200" w:firstLineChars="500"/>
        <w:jc w:val="both"/>
        <w:rPr>
          <w:bCs/>
          <w:color w:val="auto"/>
        </w:rPr>
      </w:pPr>
      <w:r>
        <w:rPr>
          <w:bCs/>
          <w:color w:val="auto"/>
        </w:rPr>
        <w:t>C</w:t>
      </w:r>
      <w:r>
        <w:rPr>
          <w:bCs/>
          <w:color w:val="auto"/>
          <w:vertAlign w:val="subscript"/>
        </w:rPr>
        <w:t>s，j</w:t>
      </w:r>
      <w:r>
        <w:rPr>
          <w:bCs/>
          <w:color w:val="auto"/>
        </w:rPr>
        <w:t>为水质参数i的水质标准浓度，mg/L。</w:t>
      </w:r>
    </w:p>
    <w:p>
      <w:pPr>
        <w:widowControl/>
        <w:autoSpaceDE w:val="0"/>
        <w:autoSpaceDN w:val="0"/>
        <w:spacing w:line="360" w:lineRule="auto"/>
        <w:ind w:firstLine="480" w:firstLineChars="200"/>
        <w:jc w:val="both"/>
        <w:rPr>
          <w:bCs/>
          <w:color w:val="auto"/>
        </w:rPr>
      </w:pPr>
      <w:r>
        <w:rPr>
          <w:bCs/>
          <w:color w:val="auto"/>
        </w:rPr>
        <w:t>（2）</w:t>
      </w:r>
      <w:r>
        <w:rPr>
          <w:rFonts w:hint="eastAsia"/>
          <w:color w:val="auto"/>
        </w:rPr>
        <w:t>溶解氧（</w:t>
      </w:r>
      <w:r>
        <w:rPr>
          <w:color w:val="auto"/>
        </w:rPr>
        <w:t>DO</w:t>
      </w:r>
      <w:r>
        <w:rPr>
          <w:rFonts w:hint="eastAsia"/>
          <w:color w:val="auto"/>
        </w:rPr>
        <w:t>）</w:t>
      </w:r>
      <w:r>
        <w:rPr>
          <w:bCs/>
          <w:color w:val="auto"/>
        </w:rPr>
        <w:t>的标准指数</w:t>
      </w:r>
      <w:r>
        <w:rPr>
          <w:rFonts w:hint="eastAsia"/>
          <w:color w:val="auto"/>
        </w:rPr>
        <w:t>计算公式</w:t>
      </w:r>
      <w:r>
        <w:rPr>
          <w:bCs/>
          <w:color w:val="auto"/>
        </w:rPr>
        <w:t>为：</w:t>
      </w:r>
    </w:p>
    <w:p>
      <w:pPr>
        <w:spacing w:line="360" w:lineRule="auto"/>
        <w:ind w:firstLine="480" w:firstLineChars="200"/>
        <w:jc w:val="both"/>
        <w:rPr>
          <w:color w:val="auto"/>
        </w:rPr>
      </w:pPr>
      <w:r>
        <w:rPr>
          <w:rFonts w:hint="eastAsia"/>
          <w:color w:val="auto"/>
        </w:rPr>
        <w:t>当</w:t>
      </w:r>
      <w:r>
        <w:rPr>
          <w:color w:val="auto"/>
        </w:rPr>
        <w:t>DO</w:t>
      </w:r>
      <w:r>
        <w:rPr>
          <w:color w:val="auto"/>
          <w:vertAlign w:val="subscript"/>
        </w:rPr>
        <w:t>j</w:t>
      </w:r>
      <w:r>
        <w:rPr>
          <w:color w:val="auto"/>
        </w:rPr>
        <w:t xml:space="preserve"> &gt;DO</w:t>
      </w:r>
      <w:r>
        <w:rPr>
          <w:color w:val="auto"/>
          <w:vertAlign w:val="subscript"/>
        </w:rPr>
        <w:t>f</w:t>
      </w:r>
      <w:r>
        <w:rPr>
          <w:rFonts w:hint="eastAsia"/>
          <w:color w:val="auto"/>
        </w:rPr>
        <w:t>时：</w:t>
      </w:r>
    </w:p>
    <w:p>
      <w:pPr>
        <w:spacing w:line="360" w:lineRule="auto"/>
        <w:ind w:firstLine="480" w:firstLineChars="200"/>
        <w:jc w:val="center"/>
        <w:rPr>
          <w:color w:val="auto"/>
        </w:rPr>
      </w:pPr>
      <w:r>
        <w:rPr>
          <w:color w:val="auto"/>
        </w:rPr>
        <w:drawing>
          <wp:inline distT="0" distB="0" distL="0" distR="0">
            <wp:extent cx="1330960" cy="511810"/>
            <wp:effectExtent l="0" t="0" r="2540" b="2540"/>
            <wp:docPr id="244" name="图片 14" descr="wps1C1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4" descr="wps1C1C.tmp"/>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1330960" cy="511810"/>
                    </a:xfrm>
                    <a:prstGeom prst="rect">
                      <a:avLst/>
                    </a:prstGeom>
                    <a:noFill/>
                    <a:ln>
                      <a:noFill/>
                    </a:ln>
                  </pic:spPr>
                </pic:pic>
              </a:graphicData>
            </a:graphic>
          </wp:inline>
        </w:drawing>
      </w:r>
    </w:p>
    <w:p>
      <w:pPr>
        <w:spacing w:line="360" w:lineRule="auto"/>
        <w:ind w:firstLine="480" w:firstLineChars="200"/>
        <w:jc w:val="both"/>
        <w:rPr>
          <w:color w:val="auto"/>
        </w:rPr>
      </w:pPr>
      <w:r>
        <w:rPr>
          <w:rFonts w:hint="eastAsia"/>
          <w:color w:val="auto"/>
        </w:rPr>
        <w:t>当</w:t>
      </w:r>
      <w:r>
        <w:rPr>
          <w:color w:val="auto"/>
        </w:rPr>
        <w:t>DO</w:t>
      </w:r>
      <w:r>
        <w:rPr>
          <w:color w:val="auto"/>
          <w:vertAlign w:val="subscript"/>
        </w:rPr>
        <w:t>j</w:t>
      </w:r>
      <w:r>
        <w:rPr>
          <w:rFonts w:hint="eastAsia"/>
          <w:color w:val="auto"/>
        </w:rPr>
        <w:t>≤</w:t>
      </w:r>
      <w:r>
        <w:rPr>
          <w:color w:val="auto"/>
        </w:rPr>
        <w:t>DO</w:t>
      </w:r>
      <w:r>
        <w:rPr>
          <w:color w:val="auto"/>
          <w:vertAlign w:val="subscript"/>
        </w:rPr>
        <w:t>f</w:t>
      </w:r>
      <w:r>
        <w:rPr>
          <w:rFonts w:hint="eastAsia"/>
          <w:color w:val="auto"/>
        </w:rPr>
        <w:t>时：</w:t>
      </w:r>
    </w:p>
    <w:p>
      <w:pPr>
        <w:spacing w:line="360" w:lineRule="auto"/>
        <w:ind w:firstLine="480" w:firstLineChars="200"/>
        <w:jc w:val="center"/>
        <w:rPr>
          <w:color w:val="auto"/>
        </w:rPr>
      </w:pPr>
      <w:r>
        <w:rPr>
          <w:color w:val="auto"/>
        </w:rPr>
        <w:t>S</w:t>
      </w:r>
      <w:r>
        <w:rPr>
          <w:color w:val="auto"/>
          <w:vertAlign w:val="subscript"/>
        </w:rPr>
        <w:t>DO,j</w:t>
      </w:r>
      <w:r>
        <w:rPr>
          <w:color w:val="auto"/>
        </w:rPr>
        <w:t>=DO</w:t>
      </w:r>
      <w:r>
        <w:rPr>
          <w:color w:val="auto"/>
          <w:vertAlign w:val="subscript"/>
        </w:rPr>
        <w:t>s</w:t>
      </w:r>
      <w:r>
        <w:rPr>
          <w:color w:val="auto"/>
        </w:rPr>
        <w:t>/DO</w:t>
      </w:r>
      <w:r>
        <w:rPr>
          <w:color w:val="auto"/>
          <w:vertAlign w:val="subscript"/>
        </w:rPr>
        <w:t>j</w:t>
      </w:r>
    </w:p>
    <w:p>
      <w:pPr>
        <w:spacing w:line="360" w:lineRule="auto"/>
        <w:ind w:firstLine="480" w:firstLineChars="200"/>
        <w:jc w:val="both"/>
        <w:rPr>
          <w:color w:val="auto"/>
        </w:rPr>
      </w:pPr>
      <w:r>
        <w:rPr>
          <w:rFonts w:hint="eastAsia"/>
          <w:color w:val="auto"/>
        </w:rPr>
        <w:t>式中：</w:t>
      </w:r>
      <w:r>
        <w:rPr>
          <w:color w:val="auto"/>
        </w:rPr>
        <w:t>S</w:t>
      </w:r>
      <w:r>
        <w:rPr>
          <w:color w:val="auto"/>
          <w:vertAlign w:val="subscript"/>
        </w:rPr>
        <w:t>DO,j</w:t>
      </w:r>
      <w:r>
        <w:rPr>
          <w:rFonts w:hint="eastAsia"/>
          <w:color w:val="auto"/>
        </w:rPr>
        <w:t>—溶解氧的标准指数，大于</w:t>
      </w:r>
      <w:r>
        <w:rPr>
          <w:color w:val="auto"/>
        </w:rPr>
        <w:t>1</w:t>
      </w:r>
      <w:r>
        <w:rPr>
          <w:rFonts w:hint="eastAsia"/>
          <w:color w:val="auto"/>
        </w:rPr>
        <w:t>表明该水质因子超标；</w:t>
      </w:r>
    </w:p>
    <w:p>
      <w:pPr>
        <w:spacing w:line="360" w:lineRule="auto"/>
        <w:ind w:firstLine="480" w:firstLineChars="200"/>
        <w:jc w:val="both"/>
        <w:rPr>
          <w:color w:val="auto"/>
        </w:rPr>
      </w:pPr>
      <w:r>
        <w:rPr>
          <w:color w:val="auto"/>
        </w:rPr>
        <w:t xml:space="preserve">      DO</w:t>
      </w:r>
      <w:r>
        <w:rPr>
          <w:color w:val="auto"/>
          <w:vertAlign w:val="subscript"/>
        </w:rPr>
        <w:t>j</w:t>
      </w:r>
      <w:r>
        <w:rPr>
          <w:rFonts w:hint="eastAsia"/>
          <w:color w:val="auto"/>
        </w:rPr>
        <w:t>—溶解氧在</w:t>
      </w:r>
      <w:r>
        <w:rPr>
          <w:color w:val="auto"/>
        </w:rPr>
        <w:t>j</w:t>
      </w:r>
      <w:r>
        <w:rPr>
          <w:rFonts w:hint="eastAsia"/>
          <w:color w:val="auto"/>
        </w:rPr>
        <w:t>点的实测统计代表值，</w:t>
      </w:r>
      <w:r>
        <w:rPr>
          <w:color w:val="auto"/>
        </w:rPr>
        <w:t>mg/L</w:t>
      </w:r>
      <w:r>
        <w:rPr>
          <w:rFonts w:hint="eastAsia"/>
          <w:color w:val="auto"/>
        </w:rPr>
        <w:t>；</w:t>
      </w:r>
    </w:p>
    <w:p>
      <w:pPr>
        <w:spacing w:line="360" w:lineRule="auto"/>
        <w:ind w:firstLine="480" w:firstLineChars="200"/>
        <w:jc w:val="both"/>
        <w:rPr>
          <w:color w:val="auto"/>
        </w:rPr>
      </w:pPr>
      <w:r>
        <w:rPr>
          <w:color w:val="auto"/>
        </w:rPr>
        <w:t xml:space="preserve">      DO</w:t>
      </w:r>
      <w:r>
        <w:rPr>
          <w:color w:val="auto"/>
          <w:vertAlign w:val="subscript"/>
        </w:rPr>
        <w:t>s</w:t>
      </w:r>
      <w:r>
        <w:rPr>
          <w:rFonts w:hint="eastAsia"/>
          <w:color w:val="auto"/>
        </w:rPr>
        <w:t>—溶解氧的水质评价标准限值，</w:t>
      </w:r>
      <w:r>
        <w:rPr>
          <w:color w:val="auto"/>
        </w:rPr>
        <w:t>mg/L</w:t>
      </w:r>
      <w:r>
        <w:rPr>
          <w:rFonts w:hint="eastAsia"/>
          <w:color w:val="auto"/>
        </w:rPr>
        <w:t>；</w:t>
      </w:r>
    </w:p>
    <w:p>
      <w:pPr>
        <w:spacing w:line="360" w:lineRule="auto"/>
        <w:ind w:firstLine="480" w:firstLineChars="200"/>
        <w:jc w:val="both"/>
        <w:rPr>
          <w:color w:val="auto"/>
        </w:rPr>
      </w:pPr>
      <w:r>
        <w:rPr>
          <w:color w:val="auto"/>
        </w:rPr>
        <w:t xml:space="preserve">      DO</w:t>
      </w:r>
      <w:r>
        <w:rPr>
          <w:color w:val="auto"/>
          <w:vertAlign w:val="subscript"/>
        </w:rPr>
        <w:t>f</w:t>
      </w:r>
      <w:r>
        <w:rPr>
          <w:rFonts w:hint="eastAsia"/>
          <w:color w:val="auto"/>
        </w:rPr>
        <w:t>—饱和溶解氧浓度，</w:t>
      </w:r>
      <w:r>
        <w:rPr>
          <w:color w:val="auto"/>
        </w:rPr>
        <w:t>mg/L</w:t>
      </w:r>
      <w:r>
        <w:rPr>
          <w:rFonts w:hint="eastAsia"/>
          <w:color w:val="auto"/>
        </w:rPr>
        <w:t>，对于河流，</w:t>
      </w:r>
      <w:r>
        <w:rPr>
          <w:color w:val="auto"/>
        </w:rPr>
        <w:t>DO</w:t>
      </w:r>
      <w:r>
        <w:rPr>
          <w:color w:val="auto"/>
          <w:vertAlign w:val="subscript"/>
        </w:rPr>
        <w:t>f</w:t>
      </w:r>
      <w:r>
        <w:rPr>
          <w:color w:val="auto"/>
        </w:rPr>
        <w:t xml:space="preserve"> =468/</w:t>
      </w:r>
      <w:r>
        <w:rPr>
          <w:rFonts w:hint="eastAsia"/>
          <w:color w:val="auto"/>
        </w:rPr>
        <w:t>（</w:t>
      </w:r>
      <w:r>
        <w:rPr>
          <w:color w:val="auto"/>
        </w:rPr>
        <w:t>31.6+T</w:t>
      </w:r>
      <w:r>
        <w:rPr>
          <w:rFonts w:hint="eastAsia"/>
          <w:color w:val="auto"/>
        </w:rPr>
        <w:t>）；对于盐度比较高的湖泊、水库及入海河口、近岸海域，</w:t>
      </w:r>
      <w:r>
        <w:rPr>
          <w:color w:val="auto"/>
        </w:rPr>
        <w:t>DO</w:t>
      </w:r>
      <w:r>
        <w:rPr>
          <w:color w:val="auto"/>
          <w:vertAlign w:val="subscript"/>
        </w:rPr>
        <w:t>f</w:t>
      </w:r>
      <w:r>
        <w:rPr>
          <w:color w:val="auto"/>
        </w:rPr>
        <w:t xml:space="preserve"> =</w:t>
      </w:r>
      <w:r>
        <w:rPr>
          <w:rFonts w:hint="eastAsia"/>
          <w:color w:val="auto"/>
        </w:rPr>
        <w:t>（</w:t>
      </w:r>
      <w:r>
        <w:rPr>
          <w:color w:val="auto"/>
        </w:rPr>
        <w:t>491-2.65S</w:t>
      </w:r>
      <w:r>
        <w:rPr>
          <w:rFonts w:hint="eastAsia"/>
          <w:color w:val="auto"/>
        </w:rPr>
        <w:t>）</w:t>
      </w:r>
      <w:r>
        <w:rPr>
          <w:color w:val="auto"/>
        </w:rPr>
        <w:t>/</w:t>
      </w:r>
      <w:r>
        <w:rPr>
          <w:rFonts w:hint="eastAsia"/>
          <w:color w:val="auto"/>
        </w:rPr>
        <w:t>（</w:t>
      </w:r>
      <w:r>
        <w:rPr>
          <w:color w:val="auto"/>
        </w:rPr>
        <w:t>33.5+T</w:t>
      </w:r>
      <w:r>
        <w:rPr>
          <w:rFonts w:hint="eastAsia"/>
          <w:color w:val="auto"/>
        </w:rPr>
        <w:t>）；</w:t>
      </w:r>
    </w:p>
    <w:p>
      <w:pPr>
        <w:spacing w:line="360" w:lineRule="auto"/>
        <w:ind w:firstLine="480" w:firstLineChars="200"/>
        <w:jc w:val="both"/>
        <w:rPr>
          <w:color w:val="auto"/>
        </w:rPr>
      </w:pPr>
      <w:r>
        <w:rPr>
          <w:color w:val="auto"/>
        </w:rPr>
        <w:t xml:space="preserve">      S</w:t>
      </w:r>
      <w:r>
        <w:rPr>
          <w:rFonts w:hint="eastAsia"/>
          <w:color w:val="auto"/>
        </w:rPr>
        <w:t>—实用盐度符号，量纲为</w:t>
      </w:r>
      <w:r>
        <w:rPr>
          <w:color w:val="auto"/>
        </w:rPr>
        <w:t>1</w:t>
      </w:r>
      <w:r>
        <w:rPr>
          <w:rFonts w:hint="eastAsia"/>
          <w:color w:val="auto"/>
        </w:rPr>
        <w:t>；</w:t>
      </w:r>
    </w:p>
    <w:p>
      <w:pPr>
        <w:spacing w:line="360" w:lineRule="auto"/>
        <w:ind w:firstLine="480" w:firstLineChars="200"/>
        <w:jc w:val="both"/>
        <w:rPr>
          <w:color w:val="auto"/>
        </w:rPr>
      </w:pPr>
      <w:r>
        <w:rPr>
          <w:color w:val="auto"/>
        </w:rPr>
        <w:t xml:space="preserve">      T</w:t>
      </w:r>
      <w:r>
        <w:rPr>
          <w:rFonts w:hint="eastAsia"/>
          <w:color w:val="auto"/>
        </w:rPr>
        <w:t>—水温，℃。</w:t>
      </w:r>
    </w:p>
    <w:p>
      <w:pPr>
        <w:spacing w:line="360" w:lineRule="auto"/>
        <w:ind w:firstLine="480" w:firstLineChars="200"/>
        <w:jc w:val="both"/>
        <w:rPr>
          <w:color w:val="auto"/>
        </w:rPr>
      </w:pPr>
      <w:r>
        <w:rPr>
          <w:rFonts w:hint="eastAsia"/>
          <w:color w:val="auto"/>
        </w:rPr>
        <w:t>（3）</w:t>
      </w:r>
      <w:r>
        <w:rPr>
          <w:color w:val="auto"/>
        </w:rPr>
        <w:t>pH</w:t>
      </w:r>
      <w:r>
        <w:rPr>
          <w:rFonts w:hint="eastAsia"/>
          <w:color w:val="auto"/>
        </w:rPr>
        <w:t>值的标准指数为：</w:t>
      </w:r>
    </w:p>
    <w:p>
      <w:pPr>
        <w:spacing w:line="360" w:lineRule="auto"/>
        <w:ind w:firstLine="480" w:firstLineChars="200"/>
        <w:jc w:val="both"/>
        <w:rPr>
          <w:color w:val="auto"/>
        </w:rPr>
      </w:pPr>
      <w:r>
        <w:rPr>
          <w:rFonts w:hint="eastAsia"/>
          <w:color w:val="auto"/>
        </w:rPr>
        <w:t>当</w:t>
      </w:r>
      <w:r>
        <w:rPr>
          <w:color w:val="auto"/>
        </w:rPr>
        <w:drawing>
          <wp:inline distT="0" distB="0" distL="0" distR="0">
            <wp:extent cx="730250" cy="245745"/>
            <wp:effectExtent l="0" t="0" r="0" b="1905"/>
            <wp:docPr id="245" name="图片 11" descr="wps1C2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1" descr="wps1C2F.tmp"/>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730250" cy="245745"/>
                    </a:xfrm>
                    <a:prstGeom prst="rect">
                      <a:avLst/>
                    </a:prstGeom>
                    <a:noFill/>
                    <a:ln>
                      <a:noFill/>
                    </a:ln>
                  </pic:spPr>
                </pic:pic>
              </a:graphicData>
            </a:graphic>
          </wp:inline>
        </w:drawing>
      </w:r>
      <w:r>
        <w:rPr>
          <w:rFonts w:hint="eastAsia"/>
          <w:color w:val="auto"/>
        </w:rPr>
        <w:t>时：</w:t>
      </w:r>
    </w:p>
    <w:p>
      <w:pPr>
        <w:spacing w:line="360" w:lineRule="auto"/>
        <w:ind w:firstLine="480" w:firstLineChars="200"/>
        <w:jc w:val="center"/>
        <w:rPr>
          <w:color w:val="auto"/>
        </w:rPr>
      </w:pPr>
      <w:r>
        <w:rPr>
          <w:color w:val="auto"/>
        </w:rPr>
        <w:drawing>
          <wp:inline distT="0" distB="0" distL="0" distR="0">
            <wp:extent cx="1146175" cy="436880"/>
            <wp:effectExtent l="0" t="0" r="0" b="1270"/>
            <wp:docPr id="246" name="图片 10" descr="wps1C3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0" descr="wps1C30.tmp"/>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1146175" cy="436880"/>
                    </a:xfrm>
                    <a:prstGeom prst="rect">
                      <a:avLst/>
                    </a:prstGeom>
                    <a:noFill/>
                    <a:ln>
                      <a:noFill/>
                    </a:ln>
                  </pic:spPr>
                </pic:pic>
              </a:graphicData>
            </a:graphic>
          </wp:inline>
        </w:drawing>
      </w:r>
    </w:p>
    <w:p>
      <w:pPr>
        <w:spacing w:line="360" w:lineRule="auto"/>
        <w:ind w:firstLine="480" w:firstLineChars="200"/>
        <w:jc w:val="both"/>
        <w:rPr>
          <w:color w:val="auto"/>
        </w:rPr>
      </w:pPr>
      <w:r>
        <w:rPr>
          <w:rFonts w:hint="eastAsia"/>
          <w:color w:val="auto"/>
        </w:rPr>
        <w:t>当</w:t>
      </w:r>
      <w:r>
        <w:rPr>
          <w:color w:val="auto"/>
        </w:rPr>
        <w:drawing>
          <wp:inline distT="0" distB="0" distL="0" distR="0">
            <wp:extent cx="688975" cy="231775"/>
            <wp:effectExtent l="0" t="0" r="0" b="0"/>
            <wp:docPr id="14" name="图片 9" descr="wps1C3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descr="wps1C31.tmp"/>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688975" cy="231775"/>
                    </a:xfrm>
                    <a:prstGeom prst="rect">
                      <a:avLst/>
                    </a:prstGeom>
                    <a:noFill/>
                    <a:ln>
                      <a:noFill/>
                    </a:ln>
                  </pic:spPr>
                </pic:pic>
              </a:graphicData>
            </a:graphic>
          </wp:inline>
        </w:drawing>
      </w:r>
      <w:r>
        <w:rPr>
          <w:rFonts w:hint="eastAsia"/>
          <w:color w:val="auto"/>
        </w:rPr>
        <w:t>时：</w:t>
      </w:r>
    </w:p>
    <w:p>
      <w:pPr>
        <w:spacing w:line="360" w:lineRule="auto"/>
        <w:ind w:firstLine="480" w:firstLineChars="200"/>
        <w:jc w:val="center"/>
        <w:rPr>
          <w:color w:val="auto"/>
        </w:rPr>
      </w:pPr>
      <w:r>
        <w:rPr>
          <w:color w:val="auto"/>
        </w:rPr>
        <w:drawing>
          <wp:inline distT="0" distB="0" distL="0" distR="0">
            <wp:extent cx="1153160" cy="436880"/>
            <wp:effectExtent l="0" t="0" r="8890" b="1270"/>
            <wp:docPr id="248" name="图片 8" descr="wps1C3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8" descr="wps1C32.tmp"/>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1153160" cy="436880"/>
                    </a:xfrm>
                    <a:prstGeom prst="rect">
                      <a:avLst/>
                    </a:prstGeom>
                    <a:noFill/>
                    <a:ln>
                      <a:noFill/>
                    </a:ln>
                  </pic:spPr>
                </pic:pic>
              </a:graphicData>
            </a:graphic>
          </wp:inline>
        </w:drawing>
      </w:r>
    </w:p>
    <w:p>
      <w:pPr>
        <w:spacing w:line="360" w:lineRule="auto"/>
        <w:ind w:firstLine="480" w:firstLineChars="200"/>
        <w:jc w:val="both"/>
        <w:rPr>
          <w:color w:val="auto"/>
        </w:rPr>
      </w:pPr>
      <w:r>
        <w:rPr>
          <w:rFonts w:hint="eastAsia"/>
          <w:color w:val="auto"/>
        </w:rPr>
        <w:t>式中：</w:t>
      </w:r>
      <w:r>
        <w:rPr>
          <w:color w:val="auto"/>
        </w:rPr>
        <w:t>S</w:t>
      </w:r>
      <w:r>
        <w:rPr>
          <w:color w:val="auto"/>
          <w:vertAlign w:val="subscript"/>
        </w:rPr>
        <w:t>pH,j</w:t>
      </w:r>
      <w:r>
        <w:rPr>
          <w:rFonts w:hint="eastAsia"/>
          <w:color w:val="auto"/>
        </w:rPr>
        <w:t>—</w:t>
      </w:r>
      <w:r>
        <w:rPr>
          <w:color w:val="auto"/>
        </w:rPr>
        <w:t>pH</w:t>
      </w:r>
      <w:r>
        <w:rPr>
          <w:rFonts w:hint="eastAsia"/>
          <w:color w:val="auto"/>
        </w:rPr>
        <w:t>值的指数，大于</w:t>
      </w:r>
      <w:r>
        <w:rPr>
          <w:color w:val="auto"/>
        </w:rPr>
        <w:t>1</w:t>
      </w:r>
      <w:r>
        <w:rPr>
          <w:rFonts w:hint="eastAsia"/>
          <w:color w:val="auto"/>
        </w:rPr>
        <w:t>表明该水质因子超标；</w:t>
      </w:r>
    </w:p>
    <w:p>
      <w:pPr>
        <w:spacing w:line="360" w:lineRule="auto"/>
        <w:ind w:firstLine="1200" w:firstLineChars="500"/>
        <w:jc w:val="both"/>
        <w:rPr>
          <w:color w:val="auto"/>
        </w:rPr>
      </w:pPr>
      <w:r>
        <w:rPr>
          <w:color w:val="auto"/>
        </w:rPr>
        <w:t>pH</w:t>
      </w:r>
      <w:r>
        <w:rPr>
          <w:color w:val="auto"/>
          <w:vertAlign w:val="subscript"/>
        </w:rPr>
        <w:t>j</w:t>
      </w:r>
      <w:r>
        <w:rPr>
          <w:rFonts w:hint="eastAsia"/>
          <w:color w:val="auto"/>
        </w:rPr>
        <w:t>—</w:t>
      </w:r>
      <w:r>
        <w:rPr>
          <w:color w:val="auto"/>
        </w:rPr>
        <w:t>pH</w:t>
      </w:r>
      <w:r>
        <w:rPr>
          <w:rFonts w:hint="eastAsia"/>
          <w:color w:val="auto"/>
        </w:rPr>
        <w:t>值实测统计代表值；</w:t>
      </w:r>
    </w:p>
    <w:p>
      <w:pPr>
        <w:spacing w:line="360" w:lineRule="auto"/>
        <w:ind w:firstLine="1200" w:firstLineChars="500"/>
        <w:jc w:val="both"/>
        <w:rPr>
          <w:color w:val="auto"/>
        </w:rPr>
      </w:pPr>
      <w:r>
        <w:rPr>
          <w:color w:val="auto"/>
        </w:rPr>
        <w:t>pH</w:t>
      </w:r>
      <w:r>
        <w:rPr>
          <w:color w:val="auto"/>
          <w:vertAlign w:val="subscript"/>
        </w:rPr>
        <w:t>sd</w:t>
      </w:r>
      <w:r>
        <w:rPr>
          <w:rFonts w:hint="eastAsia"/>
          <w:color w:val="auto"/>
        </w:rPr>
        <w:t>—评价标准中</w:t>
      </w:r>
      <w:r>
        <w:rPr>
          <w:color w:val="auto"/>
        </w:rPr>
        <w:t>pH</w:t>
      </w:r>
      <w:r>
        <w:rPr>
          <w:rFonts w:hint="eastAsia"/>
          <w:color w:val="auto"/>
        </w:rPr>
        <w:t>值的下限值；</w:t>
      </w:r>
    </w:p>
    <w:p>
      <w:pPr>
        <w:spacing w:line="360" w:lineRule="auto"/>
        <w:ind w:firstLine="1200" w:firstLineChars="500"/>
        <w:rPr>
          <w:color w:val="auto"/>
        </w:rPr>
      </w:pPr>
      <w:r>
        <w:rPr>
          <w:color w:val="auto"/>
        </w:rPr>
        <w:t>pH</w:t>
      </w:r>
      <w:r>
        <w:rPr>
          <w:color w:val="auto"/>
          <w:vertAlign w:val="subscript"/>
        </w:rPr>
        <w:t>su</w:t>
      </w:r>
      <w:r>
        <w:rPr>
          <w:rFonts w:hint="eastAsia"/>
          <w:color w:val="auto"/>
        </w:rPr>
        <w:t>—评价标准中</w:t>
      </w:r>
      <w:r>
        <w:rPr>
          <w:color w:val="auto"/>
        </w:rPr>
        <w:t>pH</w:t>
      </w:r>
      <w:r>
        <w:rPr>
          <w:rFonts w:hint="eastAsia"/>
          <w:color w:val="auto"/>
        </w:rPr>
        <w:t>值的上限值。</w:t>
      </w:r>
    </w:p>
    <w:p>
      <w:pPr>
        <w:spacing w:line="360" w:lineRule="auto"/>
        <w:ind w:firstLine="482"/>
        <w:rPr>
          <w:color w:val="auto"/>
        </w:rPr>
      </w:pPr>
      <w:r>
        <w:rPr>
          <w:color w:val="auto"/>
        </w:rPr>
        <w:t>水质参数的标准指数＞1，表明该水质参数超过了规定的水质标准限值，已不能满足水质功能要求。水质参数的标准指数越大，则水质超标越严重。</w:t>
      </w:r>
    </w:p>
    <w:p>
      <w:pPr>
        <w:pStyle w:val="301"/>
        <w:spacing w:line="360" w:lineRule="auto"/>
        <w:rPr>
          <w:color w:val="auto"/>
          <w:lang w:eastAsia="zh-CN"/>
        </w:rPr>
      </w:pPr>
      <w:r>
        <w:rPr>
          <w:color w:val="auto"/>
        </w:rPr>
        <w:t>4.2.2.</w:t>
      </w:r>
      <w:r>
        <w:rPr>
          <w:rFonts w:hint="eastAsia"/>
          <w:color w:val="auto"/>
          <w:lang w:val="en-US" w:eastAsia="zh-CN"/>
        </w:rPr>
        <w:t>7</w:t>
      </w:r>
      <w:r>
        <w:rPr>
          <w:rFonts w:hint="eastAsia"/>
          <w:color w:val="auto"/>
          <w:lang w:eastAsia="zh-CN"/>
        </w:rPr>
        <w:t>引用监测结果及评价</w:t>
      </w:r>
    </w:p>
    <w:p>
      <w:pPr>
        <w:spacing w:line="360" w:lineRule="auto"/>
        <w:ind w:firstLine="480" w:firstLineChars="200"/>
        <w:jc w:val="both"/>
        <w:rPr>
          <w:color w:val="auto"/>
        </w:rPr>
      </w:pPr>
      <w:r>
        <w:rPr>
          <w:bCs/>
          <w:color w:val="auto"/>
        </w:rPr>
        <w:t>地表水水质监测结果</w:t>
      </w:r>
      <w:r>
        <w:rPr>
          <w:rFonts w:hint="eastAsia"/>
          <w:bCs/>
          <w:color w:val="auto"/>
        </w:rPr>
        <w:t>统计</w:t>
      </w:r>
      <w:r>
        <w:rPr>
          <w:bCs/>
          <w:color w:val="auto"/>
        </w:rPr>
        <w:t>详见表4.2-3a</w:t>
      </w:r>
      <w:r>
        <w:rPr>
          <w:rFonts w:hint="eastAsia"/>
          <w:bCs/>
          <w:color w:val="auto"/>
        </w:rPr>
        <w:t>、表4</w:t>
      </w:r>
      <w:r>
        <w:rPr>
          <w:bCs/>
          <w:color w:val="auto"/>
        </w:rPr>
        <w:t>.2-3</w:t>
      </w:r>
      <w:r>
        <w:rPr>
          <w:rFonts w:hint="eastAsia"/>
          <w:bCs/>
          <w:color w:val="auto"/>
        </w:rPr>
        <w:t>b</w:t>
      </w:r>
      <w:r>
        <w:rPr>
          <w:bCs/>
          <w:color w:val="auto"/>
        </w:rPr>
        <w:t>。</w:t>
      </w:r>
      <w:r>
        <w:rPr>
          <w:rFonts w:hint="eastAsia"/>
          <w:color w:val="auto"/>
        </w:rPr>
        <w:t>本评价引用的</w:t>
      </w:r>
      <w:r>
        <w:rPr>
          <w:color w:val="auto"/>
        </w:rPr>
        <w:t>W1~W7</w:t>
      </w:r>
      <w:r>
        <w:rPr>
          <w:rFonts w:hint="eastAsia"/>
          <w:color w:val="auto"/>
        </w:rPr>
        <w:t>共</w:t>
      </w:r>
      <w:r>
        <w:rPr>
          <w:color w:val="auto"/>
        </w:rPr>
        <w:t>7</w:t>
      </w:r>
      <w:r>
        <w:rPr>
          <w:rFonts w:hint="eastAsia"/>
          <w:color w:val="auto"/>
        </w:rPr>
        <w:t>个地表水监测断面，其中</w:t>
      </w:r>
      <w:r>
        <w:rPr>
          <w:color w:val="auto"/>
        </w:rPr>
        <w:t>W1</w:t>
      </w:r>
      <w:r>
        <w:rPr>
          <w:rFonts w:hint="eastAsia"/>
          <w:color w:val="auto"/>
        </w:rPr>
        <w:t>断面、</w:t>
      </w:r>
      <w:r>
        <w:rPr>
          <w:color w:val="auto"/>
        </w:rPr>
        <w:t>W4~W6</w:t>
      </w:r>
      <w:r>
        <w:rPr>
          <w:rFonts w:hint="eastAsia"/>
          <w:color w:val="auto"/>
        </w:rPr>
        <w:t>断面所测的监测指标均分别能达到《地表水质量标准》（</w:t>
      </w:r>
      <w:r>
        <w:rPr>
          <w:color w:val="auto"/>
        </w:rPr>
        <w:t>GB3838-2002</w:t>
      </w:r>
      <w:r>
        <w:rPr>
          <w:rFonts w:hint="eastAsia"/>
          <w:color w:val="auto"/>
        </w:rPr>
        <w:t>）中的</w:t>
      </w:r>
      <w:r>
        <w:rPr>
          <w:color w:val="auto"/>
        </w:rPr>
        <w:t>Ⅳ</w:t>
      </w:r>
      <w:r>
        <w:rPr>
          <w:rFonts w:hint="eastAsia"/>
          <w:color w:val="auto"/>
        </w:rPr>
        <w:t>类、</w:t>
      </w:r>
      <w:r>
        <w:rPr>
          <w:color w:val="auto"/>
        </w:rPr>
        <w:t>Ⅲ</w:t>
      </w:r>
      <w:r>
        <w:rPr>
          <w:rFonts w:hint="eastAsia"/>
          <w:color w:val="auto"/>
        </w:rPr>
        <w:t>类标准要求；</w:t>
      </w:r>
      <w:r>
        <w:rPr>
          <w:color w:val="auto"/>
        </w:rPr>
        <w:t>W2</w:t>
      </w:r>
      <w:r>
        <w:rPr>
          <w:rFonts w:hint="eastAsia"/>
          <w:color w:val="auto"/>
        </w:rPr>
        <w:t>断面的</w:t>
      </w:r>
      <w:r>
        <w:rPr>
          <w:color w:val="auto"/>
        </w:rPr>
        <w:t>pH</w:t>
      </w:r>
      <w:r>
        <w:rPr>
          <w:rFonts w:hint="eastAsia"/>
          <w:color w:val="auto"/>
        </w:rPr>
        <w:t>值和</w:t>
      </w:r>
      <w:r>
        <w:rPr>
          <w:color w:val="auto"/>
        </w:rPr>
        <w:t>W3</w:t>
      </w:r>
      <w:r>
        <w:rPr>
          <w:rFonts w:hint="eastAsia"/>
          <w:color w:val="auto"/>
        </w:rPr>
        <w:t>断面的氨氮及粪大肠菌群、</w:t>
      </w:r>
      <w:r>
        <w:rPr>
          <w:color w:val="auto"/>
        </w:rPr>
        <w:t>W7</w:t>
      </w:r>
      <w:r>
        <w:rPr>
          <w:rFonts w:hint="eastAsia"/>
          <w:color w:val="auto"/>
        </w:rPr>
        <w:t>断面的溶解氧等监测指标均分别超过《地表水质量标准》（</w:t>
      </w:r>
      <w:r>
        <w:rPr>
          <w:color w:val="auto"/>
        </w:rPr>
        <w:t>GB3838-2002</w:t>
      </w:r>
      <w:r>
        <w:rPr>
          <w:rFonts w:hint="eastAsia"/>
          <w:color w:val="auto"/>
        </w:rPr>
        <w:t>）中的</w:t>
      </w:r>
      <w:r>
        <w:rPr>
          <w:color w:val="auto"/>
        </w:rPr>
        <w:t>Ⅳ</w:t>
      </w:r>
      <w:r>
        <w:rPr>
          <w:rFonts w:hint="eastAsia"/>
          <w:color w:val="auto"/>
        </w:rPr>
        <w:t>类、</w:t>
      </w:r>
      <w:r>
        <w:rPr>
          <w:color w:val="auto"/>
        </w:rPr>
        <w:t>Ⅲ</w:t>
      </w:r>
      <w:r>
        <w:rPr>
          <w:rFonts w:hint="eastAsia"/>
          <w:color w:val="auto"/>
        </w:rPr>
        <w:t>类标准要求，</w:t>
      </w:r>
      <w:r>
        <w:rPr>
          <w:color w:val="auto"/>
        </w:rPr>
        <w:t>W2</w:t>
      </w:r>
      <w:r>
        <w:rPr>
          <w:rFonts w:hint="eastAsia"/>
          <w:color w:val="auto"/>
        </w:rPr>
        <w:t>和</w:t>
      </w:r>
      <w:r>
        <w:rPr>
          <w:color w:val="auto"/>
        </w:rPr>
        <w:t>W3</w:t>
      </w:r>
      <w:r>
        <w:rPr>
          <w:rFonts w:hint="eastAsia"/>
          <w:color w:val="auto"/>
        </w:rPr>
        <w:t>、</w:t>
      </w:r>
      <w:r>
        <w:rPr>
          <w:color w:val="auto"/>
        </w:rPr>
        <w:t>W7</w:t>
      </w:r>
      <w:r>
        <w:rPr>
          <w:rFonts w:hint="eastAsia"/>
          <w:color w:val="auto"/>
        </w:rPr>
        <w:t>断面的其余监测指标均分别能满足《地表水质量标准》（</w:t>
      </w:r>
      <w:r>
        <w:rPr>
          <w:color w:val="auto"/>
        </w:rPr>
        <w:t>GB3838-2002</w:t>
      </w:r>
      <w:r>
        <w:rPr>
          <w:rFonts w:hint="eastAsia"/>
          <w:color w:val="auto"/>
        </w:rPr>
        <w:t>）中的</w:t>
      </w:r>
      <w:r>
        <w:rPr>
          <w:color w:val="auto"/>
        </w:rPr>
        <w:t>Ⅳ</w:t>
      </w:r>
      <w:r>
        <w:rPr>
          <w:rFonts w:hint="eastAsia"/>
          <w:color w:val="auto"/>
        </w:rPr>
        <w:t>类、</w:t>
      </w:r>
      <w:r>
        <w:rPr>
          <w:color w:val="auto"/>
        </w:rPr>
        <w:t>Ⅲ</w:t>
      </w:r>
      <w:r>
        <w:rPr>
          <w:rFonts w:hint="eastAsia"/>
          <w:color w:val="auto"/>
        </w:rPr>
        <w:t>类标准要求。</w:t>
      </w:r>
      <w:r>
        <w:rPr>
          <w:color w:val="auto"/>
        </w:rPr>
        <w:t>W2</w:t>
      </w:r>
      <w:r>
        <w:rPr>
          <w:rFonts w:hint="eastAsia"/>
          <w:color w:val="auto"/>
        </w:rPr>
        <w:t>断面超标原因可能是监测断面位于黄泥坑填埋场废水排入曾坑河处附近，受其废水的长期累积影响导致；</w:t>
      </w:r>
      <w:r>
        <w:rPr>
          <w:color w:val="auto"/>
        </w:rPr>
        <w:t>W3</w:t>
      </w:r>
      <w:r>
        <w:rPr>
          <w:rFonts w:hint="eastAsia"/>
          <w:color w:val="auto"/>
        </w:rPr>
        <w:t>断面超标原因可能是附近居民日常生活产生的生活污水未纳入市政污水管网，直接排放到曾坑河段中导致；</w:t>
      </w:r>
      <w:r>
        <w:rPr>
          <w:color w:val="auto"/>
        </w:rPr>
        <w:t>W7</w:t>
      </w:r>
      <w:r>
        <w:rPr>
          <w:rFonts w:hint="eastAsia"/>
          <w:color w:val="auto"/>
        </w:rPr>
        <w:t>断面超标原因可能是位于兴宁市污水处理厂的排污沟下游，受所排污水长期累积影响导致。曾坑水库监测指标均能满足《地表水质量标准》（</w:t>
      </w:r>
      <w:r>
        <w:rPr>
          <w:color w:val="auto"/>
        </w:rPr>
        <w:t>GB3838-2002</w:t>
      </w:r>
      <w:r>
        <w:rPr>
          <w:rFonts w:hint="eastAsia"/>
          <w:color w:val="auto"/>
        </w:rPr>
        <w:t>）</w:t>
      </w:r>
      <w:r>
        <w:rPr>
          <w:color w:val="auto"/>
        </w:rPr>
        <w:t>Ⅲ</w:t>
      </w:r>
      <w:r>
        <w:rPr>
          <w:rFonts w:hint="eastAsia"/>
          <w:color w:val="auto"/>
        </w:rPr>
        <w:t>类标准要求</w:t>
      </w:r>
      <w:r>
        <w:rPr>
          <w:color w:val="auto"/>
        </w:rPr>
        <w:t>。</w:t>
      </w: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sectPr>
          <w:pgSz w:w="11906" w:h="16838"/>
          <w:pgMar w:top="1418" w:right="1418" w:bottom="1418" w:left="1418" w:header="851" w:footer="992" w:gutter="0"/>
          <w:pgNumType w:fmt="decimal"/>
          <w:cols w:space="425" w:num="1"/>
          <w:docGrid w:type="lines" w:linePitch="326" w:charSpace="0"/>
        </w:sectPr>
      </w:pPr>
    </w:p>
    <w:p>
      <w:pPr>
        <w:jc w:val="center"/>
        <w:rPr>
          <w:b/>
          <w:bCs/>
          <w:color w:val="auto"/>
        </w:rPr>
      </w:pPr>
      <w:r>
        <w:rPr>
          <w:b/>
          <w:bCs/>
          <w:color w:val="auto"/>
        </w:rPr>
        <w:t>表4.2-3a 地表水监测断面水质监测结果</w:t>
      </w:r>
      <w:r>
        <w:rPr>
          <w:rFonts w:hint="eastAsia"/>
          <w:b/>
          <w:bCs/>
          <w:color w:val="auto"/>
        </w:rPr>
        <w:t>统计</w:t>
      </w:r>
    </w:p>
    <w:tbl>
      <w:tblPr>
        <w:tblStyle w:val="54"/>
        <w:tblW w:w="1417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2"/>
        <w:gridCol w:w="403"/>
        <w:gridCol w:w="61"/>
        <w:gridCol w:w="812"/>
        <w:gridCol w:w="708"/>
        <w:gridCol w:w="709"/>
        <w:gridCol w:w="851"/>
        <w:gridCol w:w="850"/>
        <w:gridCol w:w="851"/>
        <w:gridCol w:w="992"/>
        <w:gridCol w:w="992"/>
        <w:gridCol w:w="1122"/>
        <w:gridCol w:w="939"/>
        <w:gridCol w:w="939"/>
        <w:gridCol w:w="969"/>
        <w:gridCol w:w="851"/>
        <w:gridCol w:w="997"/>
        <w:gridCol w:w="7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856" w:type="dxa"/>
            <w:gridSpan w:val="3"/>
            <w:vAlign w:val="center"/>
          </w:tcPr>
          <w:p>
            <w:pPr>
              <w:jc w:val="center"/>
              <w:rPr>
                <w:rFonts w:eastAsiaTheme="minorEastAsia"/>
                <w:b/>
                <w:bCs/>
                <w:color w:val="auto"/>
                <w:sz w:val="21"/>
                <w:szCs w:val="21"/>
              </w:rPr>
            </w:pPr>
            <w:r>
              <w:rPr>
                <w:rFonts w:eastAsiaTheme="minorEastAsia"/>
                <w:b/>
                <w:bCs/>
                <w:color w:val="auto"/>
                <w:sz w:val="21"/>
                <w:szCs w:val="21"/>
              </w:rPr>
              <w:t>监测项目</w:t>
            </w:r>
          </w:p>
        </w:tc>
        <w:tc>
          <w:tcPr>
            <w:tcW w:w="812" w:type="dxa"/>
            <w:vAlign w:val="center"/>
          </w:tcPr>
          <w:p>
            <w:pPr>
              <w:jc w:val="center"/>
              <w:rPr>
                <w:rFonts w:eastAsiaTheme="minorEastAsia"/>
                <w:b/>
                <w:bCs/>
                <w:color w:val="auto"/>
                <w:sz w:val="21"/>
                <w:szCs w:val="21"/>
              </w:rPr>
            </w:pPr>
            <w:r>
              <w:rPr>
                <w:rFonts w:eastAsiaTheme="minorEastAsia"/>
                <w:b/>
                <w:bCs/>
                <w:color w:val="auto"/>
                <w:sz w:val="21"/>
                <w:szCs w:val="21"/>
              </w:rPr>
              <w:t>监测日期</w:t>
            </w:r>
          </w:p>
        </w:tc>
        <w:tc>
          <w:tcPr>
            <w:tcW w:w="708" w:type="dxa"/>
            <w:vAlign w:val="center"/>
          </w:tcPr>
          <w:p>
            <w:pPr>
              <w:jc w:val="center"/>
              <w:rPr>
                <w:rFonts w:eastAsiaTheme="minorEastAsia"/>
                <w:b/>
                <w:bCs/>
                <w:color w:val="auto"/>
                <w:sz w:val="21"/>
                <w:szCs w:val="21"/>
              </w:rPr>
            </w:pPr>
            <w:r>
              <w:rPr>
                <w:rFonts w:eastAsiaTheme="minorEastAsia"/>
                <w:b/>
                <w:bCs/>
                <w:color w:val="auto"/>
                <w:sz w:val="21"/>
                <w:szCs w:val="21"/>
              </w:rPr>
              <w:t>水温（℃）</w:t>
            </w:r>
          </w:p>
        </w:tc>
        <w:tc>
          <w:tcPr>
            <w:tcW w:w="709" w:type="dxa"/>
            <w:vAlign w:val="center"/>
          </w:tcPr>
          <w:p>
            <w:pPr>
              <w:jc w:val="center"/>
              <w:rPr>
                <w:rFonts w:eastAsiaTheme="minorEastAsia"/>
                <w:b/>
                <w:bCs/>
                <w:color w:val="auto"/>
                <w:sz w:val="21"/>
                <w:szCs w:val="21"/>
              </w:rPr>
            </w:pPr>
            <w:r>
              <w:rPr>
                <w:rFonts w:eastAsiaTheme="minorEastAsia"/>
                <w:b/>
                <w:bCs/>
                <w:color w:val="auto"/>
                <w:sz w:val="21"/>
                <w:szCs w:val="21"/>
              </w:rPr>
              <w:t>pH值</w:t>
            </w:r>
          </w:p>
        </w:tc>
        <w:tc>
          <w:tcPr>
            <w:tcW w:w="851" w:type="dxa"/>
            <w:vAlign w:val="center"/>
          </w:tcPr>
          <w:p>
            <w:pPr>
              <w:jc w:val="center"/>
              <w:rPr>
                <w:rFonts w:eastAsiaTheme="minorEastAsia"/>
                <w:b/>
                <w:bCs/>
                <w:color w:val="auto"/>
                <w:sz w:val="21"/>
                <w:szCs w:val="21"/>
              </w:rPr>
            </w:pPr>
            <w:r>
              <w:rPr>
                <w:rFonts w:eastAsiaTheme="minorEastAsia"/>
                <w:b/>
                <w:bCs/>
                <w:color w:val="auto"/>
                <w:sz w:val="21"/>
                <w:szCs w:val="21"/>
              </w:rPr>
              <w:t>溶解氧（mg/L）</w:t>
            </w:r>
          </w:p>
        </w:tc>
        <w:tc>
          <w:tcPr>
            <w:tcW w:w="850" w:type="dxa"/>
            <w:vAlign w:val="center"/>
          </w:tcPr>
          <w:p>
            <w:pPr>
              <w:jc w:val="center"/>
              <w:rPr>
                <w:rFonts w:eastAsiaTheme="minorEastAsia"/>
                <w:b/>
                <w:bCs/>
                <w:color w:val="auto"/>
                <w:sz w:val="21"/>
                <w:szCs w:val="21"/>
              </w:rPr>
            </w:pPr>
            <w:r>
              <w:rPr>
                <w:rFonts w:eastAsiaTheme="minorEastAsia"/>
                <w:b/>
                <w:bCs/>
                <w:color w:val="auto"/>
                <w:sz w:val="21"/>
                <w:szCs w:val="21"/>
              </w:rPr>
              <w:t>氟化物（mg/L）</w:t>
            </w:r>
          </w:p>
        </w:tc>
        <w:tc>
          <w:tcPr>
            <w:tcW w:w="851" w:type="dxa"/>
            <w:vAlign w:val="center"/>
          </w:tcPr>
          <w:p>
            <w:pPr>
              <w:jc w:val="center"/>
              <w:rPr>
                <w:rFonts w:eastAsiaTheme="minorEastAsia"/>
                <w:b/>
                <w:bCs/>
                <w:color w:val="auto"/>
                <w:sz w:val="21"/>
                <w:szCs w:val="21"/>
              </w:rPr>
            </w:pPr>
            <w:r>
              <w:rPr>
                <w:rFonts w:eastAsiaTheme="minorEastAsia"/>
                <w:b/>
                <w:bCs/>
                <w:color w:val="auto"/>
                <w:sz w:val="21"/>
                <w:szCs w:val="21"/>
              </w:rPr>
              <w:t>氨氮（mg/L）</w:t>
            </w:r>
          </w:p>
        </w:tc>
        <w:tc>
          <w:tcPr>
            <w:tcW w:w="992" w:type="dxa"/>
            <w:vAlign w:val="center"/>
          </w:tcPr>
          <w:p>
            <w:pPr>
              <w:jc w:val="center"/>
              <w:rPr>
                <w:rFonts w:eastAsiaTheme="minorEastAsia"/>
                <w:b/>
                <w:bCs/>
                <w:color w:val="auto"/>
                <w:sz w:val="21"/>
                <w:szCs w:val="21"/>
              </w:rPr>
            </w:pPr>
            <w:r>
              <w:rPr>
                <w:rFonts w:eastAsiaTheme="minorEastAsia"/>
                <w:b/>
                <w:bCs/>
                <w:color w:val="auto"/>
                <w:sz w:val="21"/>
                <w:szCs w:val="21"/>
              </w:rPr>
              <w:t>高锰酸盐指数（mg/L）</w:t>
            </w:r>
          </w:p>
        </w:tc>
        <w:tc>
          <w:tcPr>
            <w:tcW w:w="992" w:type="dxa"/>
            <w:vAlign w:val="center"/>
          </w:tcPr>
          <w:p>
            <w:pPr>
              <w:jc w:val="center"/>
              <w:rPr>
                <w:rFonts w:eastAsiaTheme="minorEastAsia"/>
                <w:b/>
                <w:bCs/>
                <w:color w:val="auto"/>
                <w:sz w:val="21"/>
                <w:szCs w:val="21"/>
              </w:rPr>
            </w:pPr>
            <w:r>
              <w:rPr>
                <w:rFonts w:eastAsiaTheme="minorEastAsia"/>
                <w:b/>
                <w:bCs/>
                <w:color w:val="auto"/>
                <w:sz w:val="21"/>
                <w:szCs w:val="21"/>
              </w:rPr>
              <w:t>化学需氧量（mg/L）</w:t>
            </w:r>
          </w:p>
        </w:tc>
        <w:tc>
          <w:tcPr>
            <w:tcW w:w="1122" w:type="dxa"/>
            <w:vAlign w:val="center"/>
          </w:tcPr>
          <w:p>
            <w:pPr>
              <w:jc w:val="center"/>
              <w:rPr>
                <w:rFonts w:eastAsiaTheme="minorEastAsia"/>
                <w:b/>
                <w:bCs/>
                <w:color w:val="auto"/>
                <w:sz w:val="21"/>
                <w:szCs w:val="21"/>
              </w:rPr>
            </w:pPr>
            <w:r>
              <w:rPr>
                <w:rFonts w:eastAsiaTheme="minorEastAsia"/>
                <w:b/>
                <w:bCs/>
                <w:color w:val="auto"/>
                <w:sz w:val="21"/>
                <w:szCs w:val="21"/>
              </w:rPr>
              <w:t>挥发酚（mg/L）</w:t>
            </w:r>
          </w:p>
        </w:tc>
        <w:tc>
          <w:tcPr>
            <w:tcW w:w="939" w:type="dxa"/>
            <w:vAlign w:val="center"/>
          </w:tcPr>
          <w:p>
            <w:pPr>
              <w:jc w:val="center"/>
              <w:rPr>
                <w:rFonts w:eastAsiaTheme="minorEastAsia"/>
                <w:b/>
                <w:bCs/>
                <w:color w:val="auto"/>
                <w:sz w:val="21"/>
                <w:szCs w:val="21"/>
              </w:rPr>
            </w:pPr>
            <w:r>
              <w:rPr>
                <w:rFonts w:eastAsiaTheme="minorEastAsia"/>
                <w:b/>
                <w:bCs/>
                <w:color w:val="auto"/>
                <w:sz w:val="21"/>
                <w:szCs w:val="21"/>
              </w:rPr>
              <w:t>硫化物（mg/L）</w:t>
            </w:r>
          </w:p>
        </w:tc>
        <w:tc>
          <w:tcPr>
            <w:tcW w:w="939" w:type="dxa"/>
            <w:vAlign w:val="center"/>
          </w:tcPr>
          <w:p>
            <w:pPr>
              <w:jc w:val="center"/>
              <w:rPr>
                <w:rFonts w:eastAsiaTheme="minorEastAsia"/>
                <w:b/>
                <w:bCs/>
                <w:color w:val="auto"/>
                <w:sz w:val="21"/>
                <w:szCs w:val="21"/>
              </w:rPr>
            </w:pPr>
            <w:r>
              <w:rPr>
                <w:rFonts w:eastAsiaTheme="minorEastAsia"/>
                <w:b/>
                <w:bCs/>
                <w:color w:val="auto"/>
                <w:sz w:val="21"/>
                <w:szCs w:val="21"/>
              </w:rPr>
              <w:t>硫酸盐（mg/L）</w:t>
            </w:r>
          </w:p>
        </w:tc>
        <w:tc>
          <w:tcPr>
            <w:tcW w:w="969" w:type="dxa"/>
            <w:vAlign w:val="center"/>
          </w:tcPr>
          <w:p>
            <w:pPr>
              <w:jc w:val="center"/>
              <w:rPr>
                <w:rFonts w:eastAsiaTheme="minorEastAsia"/>
                <w:b/>
                <w:bCs/>
                <w:color w:val="auto"/>
                <w:sz w:val="21"/>
                <w:szCs w:val="21"/>
              </w:rPr>
            </w:pPr>
            <w:r>
              <w:rPr>
                <w:rFonts w:eastAsiaTheme="minorEastAsia"/>
                <w:b/>
                <w:bCs/>
                <w:color w:val="auto"/>
                <w:sz w:val="21"/>
                <w:szCs w:val="21"/>
              </w:rPr>
              <w:t>六价铬（mg/L）</w:t>
            </w:r>
          </w:p>
        </w:tc>
        <w:tc>
          <w:tcPr>
            <w:tcW w:w="851" w:type="dxa"/>
            <w:vAlign w:val="center"/>
          </w:tcPr>
          <w:p>
            <w:pPr>
              <w:jc w:val="center"/>
              <w:rPr>
                <w:rFonts w:eastAsiaTheme="minorEastAsia"/>
                <w:b/>
                <w:bCs/>
                <w:color w:val="auto"/>
                <w:sz w:val="21"/>
                <w:szCs w:val="21"/>
              </w:rPr>
            </w:pPr>
            <w:r>
              <w:rPr>
                <w:rFonts w:eastAsiaTheme="minorEastAsia"/>
                <w:b/>
                <w:bCs/>
                <w:color w:val="auto"/>
                <w:sz w:val="21"/>
                <w:szCs w:val="21"/>
              </w:rPr>
              <w:t>氯化物（mg/L）</w:t>
            </w:r>
          </w:p>
        </w:tc>
        <w:tc>
          <w:tcPr>
            <w:tcW w:w="997" w:type="dxa"/>
            <w:vAlign w:val="center"/>
          </w:tcPr>
          <w:p>
            <w:pPr>
              <w:jc w:val="center"/>
              <w:rPr>
                <w:rFonts w:eastAsiaTheme="minorEastAsia"/>
                <w:b/>
                <w:bCs/>
                <w:color w:val="auto"/>
                <w:sz w:val="21"/>
                <w:szCs w:val="21"/>
              </w:rPr>
            </w:pPr>
            <w:r>
              <w:rPr>
                <w:rFonts w:eastAsiaTheme="minorEastAsia"/>
                <w:b/>
                <w:bCs/>
                <w:color w:val="auto"/>
                <w:sz w:val="21"/>
                <w:szCs w:val="21"/>
              </w:rPr>
              <w:t>氰化物（mg/L）</w:t>
            </w:r>
          </w:p>
        </w:tc>
        <w:tc>
          <w:tcPr>
            <w:tcW w:w="736" w:type="dxa"/>
            <w:vAlign w:val="center"/>
          </w:tcPr>
          <w:p>
            <w:pPr>
              <w:jc w:val="center"/>
              <w:rPr>
                <w:rFonts w:eastAsiaTheme="minorEastAsia"/>
                <w:b/>
                <w:bCs/>
                <w:color w:val="auto"/>
                <w:sz w:val="21"/>
                <w:szCs w:val="21"/>
              </w:rPr>
            </w:pPr>
            <w:r>
              <w:rPr>
                <w:rFonts w:eastAsiaTheme="minorEastAsia"/>
                <w:b/>
                <w:bCs/>
                <w:color w:val="auto"/>
                <w:sz w:val="21"/>
                <w:szCs w:val="21"/>
              </w:rPr>
              <w:t>总磷（mg/L）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restart"/>
            <w:vAlign w:val="center"/>
          </w:tcPr>
          <w:p>
            <w:pPr>
              <w:jc w:val="center"/>
              <w:rPr>
                <w:rFonts w:eastAsiaTheme="minorEastAsia"/>
                <w:color w:val="auto"/>
                <w:sz w:val="21"/>
                <w:szCs w:val="21"/>
              </w:rPr>
            </w:pPr>
            <w:r>
              <w:rPr>
                <w:rFonts w:eastAsiaTheme="minorEastAsia"/>
                <w:color w:val="auto"/>
                <w:sz w:val="21"/>
                <w:szCs w:val="21"/>
              </w:rPr>
              <w:t>W1</w:t>
            </w:r>
          </w:p>
        </w:tc>
        <w:tc>
          <w:tcPr>
            <w:tcW w:w="464" w:type="dxa"/>
            <w:gridSpan w:val="2"/>
            <w:vMerge w:val="restart"/>
            <w:vAlign w:val="center"/>
          </w:tcPr>
          <w:p>
            <w:pPr>
              <w:jc w:val="center"/>
              <w:rPr>
                <w:rFonts w:eastAsiaTheme="minorEastAsia"/>
                <w:color w:val="auto"/>
                <w:sz w:val="21"/>
                <w:szCs w:val="21"/>
              </w:rPr>
            </w:pPr>
            <w:r>
              <w:rPr>
                <w:rFonts w:eastAsiaTheme="minorEastAsia"/>
                <w:color w:val="auto"/>
                <w:sz w:val="21"/>
                <w:szCs w:val="21"/>
              </w:rPr>
              <w:t>监测值</w:t>
            </w:r>
          </w:p>
        </w:tc>
        <w:tc>
          <w:tcPr>
            <w:tcW w:w="812" w:type="dxa"/>
            <w:vAlign w:val="center"/>
          </w:tcPr>
          <w:p>
            <w:pPr>
              <w:jc w:val="center"/>
              <w:rPr>
                <w:rFonts w:eastAsiaTheme="minorEastAsia"/>
                <w:color w:val="auto"/>
                <w:sz w:val="21"/>
                <w:szCs w:val="21"/>
              </w:rPr>
            </w:pPr>
            <w:r>
              <w:rPr>
                <w:rFonts w:eastAsiaTheme="minorEastAsia"/>
                <w:color w:val="auto"/>
                <w:sz w:val="21"/>
                <w:szCs w:val="21"/>
              </w:rPr>
              <w:t>2019.3.25</w:t>
            </w:r>
          </w:p>
        </w:tc>
        <w:tc>
          <w:tcPr>
            <w:tcW w:w="708" w:type="dxa"/>
            <w:vAlign w:val="center"/>
          </w:tcPr>
          <w:p>
            <w:pPr>
              <w:jc w:val="center"/>
              <w:rPr>
                <w:rFonts w:eastAsiaTheme="minorEastAsia"/>
                <w:color w:val="auto"/>
                <w:sz w:val="21"/>
                <w:szCs w:val="21"/>
              </w:rPr>
            </w:pPr>
            <w:r>
              <w:rPr>
                <w:rFonts w:eastAsiaTheme="minorEastAsia"/>
                <w:color w:val="auto"/>
                <w:sz w:val="21"/>
                <w:szCs w:val="21"/>
              </w:rPr>
              <w:t>21.2</w:t>
            </w:r>
          </w:p>
        </w:tc>
        <w:tc>
          <w:tcPr>
            <w:tcW w:w="709" w:type="dxa"/>
            <w:vAlign w:val="center"/>
          </w:tcPr>
          <w:p>
            <w:pPr>
              <w:jc w:val="center"/>
              <w:rPr>
                <w:rFonts w:eastAsiaTheme="minorEastAsia"/>
                <w:color w:val="auto"/>
                <w:sz w:val="21"/>
                <w:szCs w:val="21"/>
              </w:rPr>
            </w:pPr>
            <w:r>
              <w:rPr>
                <w:rFonts w:eastAsiaTheme="minorEastAsia"/>
                <w:color w:val="auto"/>
                <w:sz w:val="21"/>
                <w:szCs w:val="21"/>
              </w:rPr>
              <w:t>7.40</w:t>
            </w:r>
          </w:p>
        </w:tc>
        <w:tc>
          <w:tcPr>
            <w:tcW w:w="851" w:type="dxa"/>
            <w:vAlign w:val="center"/>
          </w:tcPr>
          <w:p>
            <w:pPr>
              <w:jc w:val="center"/>
              <w:rPr>
                <w:rFonts w:eastAsiaTheme="minorEastAsia"/>
                <w:color w:val="auto"/>
                <w:sz w:val="21"/>
                <w:szCs w:val="21"/>
              </w:rPr>
            </w:pPr>
            <w:r>
              <w:rPr>
                <w:rFonts w:eastAsiaTheme="minorEastAsia"/>
                <w:color w:val="auto"/>
                <w:sz w:val="21"/>
                <w:szCs w:val="21"/>
              </w:rPr>
              <w:t>3.5</w:t>
            </w:r>
          </w:p>
        </w:tc>
        <w:tc>
          <w:tcPr>
            <w:tcW w:w="850" w:type="dxa"/>
            <w:vAlign w:val="center"/>
          </w:tcPr>
          <w:p>
            <w:pPr>
              <w:jc w:val="center"/>
              <w:rPr>
                <w:rFonts w:eastAsiaTheme="minorEastAsia"/>
                <w:color w:val="auto"/>
                <w:sz w:val="21"/>
                <w:szCs w:val="21"/>
              </w:rPr>
            </w:pPr>
            <w:r>
              <w:rPr>
                <w:rFonts w:eastAsiaTheme="minorEastAsia"/>
                <w:color w:val="auto"/>
                <w:sz w:val="21"/>
                <w:szCs w:val="21"/>
              </w:rPr>
              <w:t>0.11</w:t>
            </w:r>
          </w:p>
        </w:tc>
        <w:tc>
          <w:tcPr>
            <w:tcW w:w="851" w:type="dxa"/>
            <w:vAlign w:val="center"/>
          </w:tcPr>
          <w:p>
            <w:pPr>
              <w:jc w:val="center"/>
              <w:rPr>
                <w:rFonts w:eastAsiaTheme="minorEastAsia"/>
                <w:color w:val="auto"/>
                <w:sz w:val="21"/>
                <w:szCs w:val="21"/>
              </w:rPr>
            </w:pPr>
            <w:r>
              <w:rPr>
                <w:rFonts w:eastAsiaTheme="minorEastAsia"/>
                <w:color w:val="auto"/>
                <w:sz w:val="21"/>
                <w:szCs w:val="21"/>
              </w:rPr>
              <w:t>0.644</w:t>
            </w:r>
          </w:p>
        </w:tc>
        <w:tc>
          <w:tcPr>
            <w:tcW w:w="992" w:type="dxa"/>
            <w:vAlign w:val="center"/>
          </w:tcPr>
          <w:p>
            <w:pPr>
              <w:jc w:val="center"/>
              <w:rPr>
                <w:rFonts w:eastAsiaTheme="minorEastAsia"/>
                <w:color w:val="auto"/>
                <w:sz w:val="21"/>
                <w:szCs w:val="21"/>
              </w:rPr>
            </w:pPr>
            <w:r>
              <w:rPr>
                <w:rFonts w:eastAsiaTheme="minorEastAsia"/>
                <w:color w:val="auto"/>
                <w:sz w:val="21"/>
                <w:szCs w:val="21"/>
              </w:rPr>
              <w:t>2.8</w:t>
            </w:r>
          </w:p>
        </w:tc>
        <w:tc>
          <w:tcPr>
            <w:tcW w:w="992" w:type="dxa"/>
            <w:vAlign w:val="center"/>
          </w:tcPr>
          <w:p>
            <w:pPr>
              <w:jc w:val="center"/>
              <w:rPr>
                <w:rFonts w:eastAsiaTheme="minorEastAsia"/>
                <w:color w:val="auto"/>
                <w:sz w:val="21"/>
                <w:szCs w:val="21"/>
              </w:rPr>
            </w:pPr>
            <w:r>
              <w:rPr>
                <w:rFonts w:eastAsiaTheme="minorEastAsia"/>
                <w:color w:val="auto"/>
                <w:sz w:val="21"/>
                <w:szCs w:val="21"/>
              </w:rPr>
              <w:t>8</w:t>
            </w:r>
          </w:p>
        </w:tc>
        <w:tc>
          <w:tcPr>
            <w:tcW w:w="1122" w:type="dxa"/>
            <w:vAlign w:val="center"/>
          </w:tcPr>
          <w:p>
            <w:pPr>
              <w:jc w:val="center"/>
              <w:rPr>
                <w:rFonts w:eastAsiaTheme="minorEastAsia"/>
                <w:color w:val="auto"/>
                <w:sz w:val="21"/>
                <w:szCs w:val="21"/>
              </w:rPr>
            </w:pPr>
            <w:r>
              <w:rPr>
                <w:rFonts w:eastAsiaTheme="minorEastAsia"/>
                <w:color w:val="auto"/>
                <w:sz w:val="21"/>
                <w:szCs w:val="21"/>
              </w:rPr>
              <w:t>＜0.0003</w:t>
            </w:r>
          </w:p>
        </w:tc>
        <w:tc>
          <w:tcPr>
            <w:tcW w:w="939"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＜8.00</w:t>
            </w:r>
          </w:p>
        </w:tc>
        <w:tc>
          <w:tcPr>
            <w:tcW w:w="969" w:type="dxa"/>
            <w:vAlign w:val="center"/>
          </w:tcPr>
          <w:p>
            <w:pPr>
              <w:jc w:val="center"/>
              <w:rPr>
                <w:rFonts w:eastAsiaTheme="minorEastAsia"/>
                <w:color w:val="auto"/>
                <w:sz w:val="21"/>
                <w:szCs w:val="21"/>
              </w:rPr>
            </w:pPr>
            <w:r>
              <w:rPr>
                <w:rFonts w:eastAsiaTheme="minorEastAsia"/>
                <w:color w:val="auto"/>
                <w:sz w:val="21"/>
                <w:szCs w:val="21"/>
              </w:rPr>
              <w:t>＜0.004</w:t>
            </w:r>
          </w:p>
        </w:tc>
        <w:tc>
          <w:tcPr>
            <w:tcW w:w="851" w:type="dxa"/>
            <w:vAlign w:val="center"/>
          </w:tcPr>
          <w:p>
            <w:pPr>
              <w:jc w:val="center"/>
              <w:rPr>
                <w:rFonts w:eastAsiaTheme="minorEastAsia"/>
                <w:color w:val="auto"/>
                <w:sz w:val="21"/>
                <w:szCs w:val="21"/>
              </w:rPr>
            </w:pPr>
            <w:r>
              <w:rPr>
                <w:rFonts w:eastAsiaTheme="minorEastAsia"/>
                <w:color w:val="auto"/>
                <w:sz w:val="21"/>
                <w:szCs w:val="21"/>
              </w:rPr>
              <w:t>41.8</w:t>
            </w:r>
          </w:p>
        </w:tc>
        <w:tc>
          <w:tcPr>
            <w:tcW w:w="997" w:type="dxa"/>
            <w:vAlign w:val="center"/>
          </w:tcPr>
          <w:p>
            <w:pPr>
              <w:jc w:val="center"/>
              <w:rPr>
                <w:rFonts w:eastAsiaTheme="minorEastAsia"/>
                <w:color w:val="auto"/>
                <w:sz w:val="21"/>
                <w:szCs w:val="21"/>
              </w:rPr>
            </w:pPr>
            <w:r>
              <w:rPr>
                <w:rFonts w:eastAsiaTheme="minorEastAsia"/>
                <w:color w:val="auto"/>
                <w:sz w:val="21"/>
                <w:szCs w:val="21"/>
              </w:rPr>
              <w:t>＜0.004</w:t>
            </w:r>
          </w:p>
        </w:tc>
        <w:tc>
          <w:tcPr>
            <w:tcW w:w="736" w:type="dxa"/>
            <w:vAlign w:val="center"/>
          </w:tcPr>
          <w:p>
            <w:pPr>
              <w:jc w:val="center"/>
              <w:rPr>
                <w:rFonts w:eastAsiaTheme="minorEastAsia"/>
                <w:color w:val="auto"/>
                <w:sz w:val="21"/>
                <w:szCs w:val="21"/>
              </w:rPr>
            </w:pPr>
            <w:r>
              <w:rPr>
                <w:rFonts w:eastAsiaTheme="minorEastAsia"/>
                <w:color w:val="auto"/>
                <w:sz w:val="21"/>
                <w:szCs w:val="21"/>
              </w:rPr>
              <w:t>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464" w:type="dxa"/>
            <w:gridSpan w:val="2"/>
            <w:vMerge w:val="continue"/>
            <w:vAlign w:val="center"/>
          </w:tcPr>
          <w:p>
            <w:pPr>
              <w:jc w:val="center"/>
              <w:rPr>
                <w:rFonts w:eastAsiaTheme="minorEastAsia"/>
                <w:color w:val="auto"/>
                <w:sz w:val="21"/>
                <w:szCs w:val="21"/>
              </w:rPr>
            </w:pPr>
          </w:p>
        </w:tc>
        <w:tc>
          <w:tcPr>
            <w:tcW w:w="812" w:type="dxa"/>
            <w:vAlign w:val="center"/>
          </w:tcPr>
          <w:p>
            <w:pPr>
              <w:jc w:val="center"/>
              <w:rPr>
                <w:rFonts w:eastAsiaTheme="minorEastAsia"/>
                <w:color w:val="auto"/>
                <w:sz w:val="21"/>
                <w:szCs w:val="21"/>
              </w:rPr>
            </w:pPr>
            <w:r>
              <w:rPr>
                <w:rFonts w:eastAsiaTheme="minorEastAsia"/>
                <w:color w:val="auto"/>
                <w:sz w:val="21"/>
                <w:szCs w:val="21"/>
              </w:rPr>
              <w:t>2019.3.26</w:t>
            </w:r>
          </w:p>
        </w:tc>
        <w:tc>
          <w:tcPr>
            <w:tcW w:w="708" w:type="dxa"/>
            <w:vAlign w:val="center"/>
          </w:tcPr>
          <w:p>
            <w:pPr>
              <w:jc w:val="center"/>
              <w:rPr>
                <w:rFonts w:eastAsiaTheme="minorEastAsia"/>
                <w:color w:val="auto"/>
                <w:sz w:val="21"/>
                <w:szCs w:val="21"/>
              </w:rPr>
            </w:pPr>
            <w:r>
              <w:rPr>
                <w:rFonts w:eastAsiaTheme="minorEastAsia"/>
                <w:color w:val="auto"/>
                <w:sz w:val="21"/>
                <w:szCs w:val="21"/>
              </w:rPr>
              <w:t>20.8</w:t>
            </w:r>
          </w:p>
        </w:tc>
        <w:tc>
          <w:tcPr>
            <w:tcW w:w="709" w:type="dxa"/>
            <w:vAlign w:val="center"/>
          </w:tcPr>
          <w:p>
            <w:pPr>
              <w:jc w:val="center"/>
              <w:rPr>
                <w:rFonts w:eastAsiaTheme="minorEastAsia"/>
                <w:color w:val="auto"/>
                <w:sz w:val="21"/>
                <w:szCs w:val="21"/>
              </w:rPr>
            </w:pPr>
            <w:r>
              <w:rPr>
                <w:rFonts w:eastAsiaTheme="minorEastAsia"/>
                <w:color w:val="auto"/>
                <w:sz w:val="21"/>
                <w:szCs w:val="21"/>
              </w:rPr>
              <w:t>7.06</w:t>
            </w:r>
          </w:p>
        </w:tc>
        <w:tc>
          <w:tcPr>
            <w:tcW w:w="851" w:type="dxa"/>
            <w:vAlign w:val="center"/>
          </w:tcPr>
          <w:p>
            <w:pPr>
              <w:jc w:val="center"/>
              <w:rPr>
                <w:rFonts w:eastAsiaTheme="minorEastAsia"/>
                <w:color w:val="auto"/>
                <w:sz w:val="21"/>
                <w:szCs w:val="21"/>
              </w:rPr>
            </w:pPr>
            <w:r>
              <w:rPr>
                <w:rFonts w:eastAsiaTheme="minorEastAsia"/>
                <w:color w:val="auto"/>
                <w:sz w:val="21"/>
                <w:szCs w:val="21"/>
              </w:rPr>
              <w:t>3.6</w:t>
            </w:r>
          </w:p>
        </w:tc>
        <w:tc>
          <w:tcPr>
            <w:tcW w:w="850" w:type="dxa"/>
            <w:vAlign w:val="center"/>
          </w:tcPr>
          <w:p>
            <w:pPr>
              <w:jc w:val="center"/>
              <w:rPr>
                <w:rFonts w:eastAsiaTheme="minorEastAsia"/>
                <w:color w:val="auto"/>
                <w:sz w:val="21"/>
                <w:szCs w:val="21"/>
              </w:rPr>
            </w:pPr>
            <w:r>
              <w:rPr>
                <w:rFonts w:eastAsiaTheme="minorEastAsia"/>
                <w:color w:val="auto"/>
                <w:sz w:val="21"/>
                <w:szCs w:val="21"/>
              </w:rPr>
              <w:t>0.11</w:t>
            </w:r>
          </w:p>
        </w:tc>
        <w:tc>
          <w:tcPr>
            <w:tcW w:w="851" w:type="dxa"/>
            <w:vAlign w:val="center"/>
          </w:tcPr>
          <w:p>
            <w:pPr>
              <w:jc w:val="center"/>
              <w:rPr>
                <w:rFonts w:eastAsiaTheme="minorEastAsia"/>
                <w:color w:val="auto"/>
                <w:sz w:val="21"/>
                <w:szCs w:val="21"/>
              </w:rPr>
            </w:pPr>
            <w:r>
              <w:rPr>
                <w:rFonts w:eastAsiaTheme="minorEastAsia"/>
                <w:color w:val="auto"/>
                <w:sz w:val="21"/>
                <w:szCs w:val="21"/>
              </w:rPr>
              <w:t>0.703</w:t>
            </w:r>
          </w:p>
        </w:tc>
        <w:tc>
          <w:tcPr>
            <w:tcW w:w="992" w:type="dxa"/>
            <w:vAlign w:val="center"/>
          </w:tcPr>
          <w:p>
            <w:pPr>
              <w:jc w:val="center"/>
              <w:rPr>
                <w:rFonts w:eastAsiaTheme="minorEastAsia"/>
                <w:color w:val="auto"/>
                <w:sz w:val="21"/>
                <w:szCs w:val="21"/>
              </w:rPr>
            </w:pPr>
            <w:r>
              <w:rPr>
                <w:rFonts w:eastAsiaTheme="minorEastAsia"/>
                <w:color w:val="auto"/>
                <w:sz w:val="21"/>
                <w:szCs w:val="21"/>
              </w:rPr>
              <w:t>2.7</w:t>
            </w:r>
          </w:p>
        </w:tc>
        <w:tc>
          <w:tcPr>
            <w:tcW w:w="992" w:type="dxa"/>
            <w:vAlign w:val="center"/>
          </w:tcPr>
          <w:p>
            <w:pPr>
              <w:jc w:val="center"/>
              <w:rPr>
                <w:rFonts w:eastAsiaTheme="minorEastAsia"/>
                <w:color w:val="auto"/>
                <w:sz w:val="21"/>
                <w:szCs w:val="21"/>
              </w:rPr>
            </w:pPr>
            <w:r>
              <w:rPr>
                <w:rFonts w:eastAsiaTheme="minorEastAsia"/>
                <w:color w:val="auto"/>
                <w:sz w:val="21"/>
                <w:szCs w:val="21"/>
              </w:rPr>
              <w:t>10</w:t>
            </w:r>
          </w:p>
        </w:tc>
        <w:tc>
          <w:tcPr>
            <w:tcW w:w="1122" w:type="dxa"/>
            <w:vAlign w:val="center"/>
          </w:tcPr>
          <w:p>
            <w:pPr>
              <w:jc w:val="center"/>
              <w:rPr>
                <w:rFonts w:eastAsiaTheme="minorEastAsia"/>
                <w:color w:val="auto"/>
                <w:sz w:val="21"/>
                <w:szCs w:val="21"/>
              </w:rPr>
            </w:pPr>
            <w:r>
              <w:rPr>
                <w:rFonts w:eastAsiaTheme="minorEastAsia"/>
                <w:color w:val="auto"/>
                <w:sz w:val="21"/>
                <w:szCs w:val="21"/>
              </w:rPr>
              <w:t>＜0.0003</w:t>
            </w:r>
          </w:p>
        </w:tc>
        <w:tc>
          <w:tcPr>
            <w:tcW w:w="939"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＜8.00</w:t>
            </w:r>
          </w:p>
        </w:tc>
        <w:tc>
          <w:tcPr>
            <w:tcW w:w="969" w:type="dxa"/>
            <w:vAlign w:val="center"/>
          </w:tcPr>
          <w:p>
            <w:pPr>
              <w:jc w:val="center"/>
              <w:rPr>
                <w:rFonts w:eastAsiaTheme="minorEastAsia"/>
                <w:color w:val="auto"/>
                <w:sz w:val="21"/>
                <w:szCs w:val="21"/>
              </w:rPr>
            </w:pPr>
            <w:r>
              <w:rPr>
                <w:rFonts w:eastAsiaTheme="minorEastAsia"/>
                <w:color w:val="auto"/>
                <w:sz w:val="21"/>
                <w:szCs w:val="21"/>
              </w:rPr>
              <w:t>＜0.004</w:t>
            </w:r>
          </w:p>
        </w:tc>
        <w:tc>
          <w:tcPr>
            <w:tcW w:w="851" w:type="dxa"/>
            <w:vAlign w:val="center"/>
          </w:tcPr>
          <w:p>
            <w:pPr>
              <w:jc w:val="center"/>
              <w:rPr>
                <w:rFonts w:eastAsiaTheme="minorEastAsia"/>
                <w:color w:val="auto"/>
                <w:sz w:val="21"/>
                <w:szCs w:val="21"/>
              </w:rPr>
            </w:pPr>
            <w:r>
              <w:rPr>
                <w:rFonts w:eastAsiaTheme="minorEastAsia"/>
                <w:color w:val="auto"/>
                <w:sz w:val="21"/>
                <w:szCs w:val="21"/>
              </w:rPr>
              <w:t>48.2</w:t>
            </w:r>
          </w:p>
        </w:tc>
        <w:tc>
          <w:tcPr>
            <w:tcW w:w="997" w:type="dxa"/>
            <w:vAlign w:val="center"/>
          </w:tcPr>
          <w:p>
            <w:pPr>
              <w:jc w:val="center"/>
              <w:rPr>
                <w:rFonts w:eastAsiaTheme="minorEastAsia"/>
                <w:color w:val="auto"/>
                <w:sz w:val="21"/>
                <w:szCs w:val="21"/>
              </w:rPr>
            </w:pPr>
            <w:r>
              <w:rPr>
                <w:rFonts w:eastAsiaTheme="minorEastAsia"/>
                <w:color w:val="auto"/>
                <w:sz w:val="21"/>
                <w:szCs w:val="21"/>
              </w:rPr>
              <w:t>＜0.004</w:t>
            </w:r>
          </w:p>
        </w:tc>
        <w:tc>
          <w:tcPr>
            <w:tcW w:w="736" w:type="dxa"/>
            <w:vAlign w:val="center"/>
          </w:tcPr>
          <w:p>
            <w:pPr>
              <w:jc w:val="center"/>
              <w:rPr>
                <w:rFonts w:eastAsiaTheme="minorEastAsia"/>
                <w:color w:val="auto"/>
                <w:sz w:val="21"/>
                <w:szCs w:val="21"/>
              </w:rPr>
            </w:pPr>
            <w:r>
              <w:rPr>
                <w:rFonts w:eastAsiaTheme="minorEastAsia"/>
                <w:color w:val="auto"/>
                <w:sz w:val="21"/>
                <w:szCs w:val="21"/>
              </w:rPr>
              <w:t>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464" w:type="dxa"/>
            <w:gridSpan w:val="2"/>
            <w:vMerge w:val="continue"/>
            <w:vAlign w:val="center"/>
          </w:tcPr>
          <w:p>
            <w:pPr>
              <w:jc w:val="center"/>
              <w:rPr>
                <w:rFonts w:eastAsiaTheme="minorEastAsia"/>
                <w:color w:val="auto"/>
                <w:sz w:val="21"/>
                <w:szCs w:val="21"/>
              </w:rPr>
            </w:pPr>
          </w:p>
        </w:tc>
        <w:tc>
          <w:tcPr>
            <w:tcW w:w="812" w:type="dxa"/>
            <w:vAlign w:val="center"/>
          </w:tcPr>
          <w:p>
            <w:pPr>
              <w:jc w:val="center"/>
              <w:rPr>
                <w:rFonts w:eastAsiaTheme="minorEastAsia"/>
                <w:color w:val="auto"/>
                <w:sz w:val="21"/>
                <w:szCs w:val="21"/>
              </w:rPr>
            </w:pPr>
            <w:r>
              <w:rPr>
                <w:rFonts w:eastAsiaTheme="minorEastAsia"/>
                <w:color w:val="auto"/>
                <w:sz w:val="21"/>
                <w:szCs w:val="21"/>
              </w:rPr>
              <w:t>2019.3.27</w:t>
            </w:r>
          </w:p>
        </w:tc>
        <w:tc>
          <w:tcPr>
            <w:tcW w:w="708" w:type="dxa"/>
            <w:vAlign w:val="center"/>
          </w:tcPr>
          <w:p>
            <w:pPr>
              <w:jc w:val="center"/>
              <w:rPr>
                <w:rFonts w:eastAsiaTheme="minorEastAsia"/>
                <w:color w:val="auto"/>
                <w:sz w:val="21"/>
                <w:szCs w:val="21"/>
              </w:rPr>
            </w:pPr>
            <w:r>
              <w:rPr>
                <w:rFonts w:eastAsiaTheme="minorEastAsia"/>
                <w:color w:val="auto"/>
                <w:sz w:val="21"/>
                <w:szCs w:val="21"/>
              </w:rPr>
              <w:t>21.6</w:t>
            </w:r>
          </w:p>
        </w:tc>
        <w:tc>
          <w:tcPr>
            <w:tcW w:w="709" w:type="dxa"/>
            <w:vAlign w:val="center"/>
          </w:tcPr>
          <w:p>
            <w:pPr>
              <w:jc w:val="center"/>
              <w:rPr>
                <w:rFonts w:eastAsiaTheme="minorEastAsia"/>
                <w:color w:val="auto"/>
                <w:sz w:val="21"/>
                <w:szCs w:val="21"/>
              </w:rPr>
            </w:pPr>
            <w:r>
              <w:rPr>
                <w:rFonts w:eastAsiaTheme="minorEastAsia"/>
                <w:color w:val="auto"/>
                <w:sz w:val="21"/>
                <w:szCs w:val="21"/>
              </w:rPr>
              <w:t>7.03</w:t>
            </w:r>
          </w:p>
        </w:tc>
        <w:tc>
          <w:tcPr>
            <w:tcW w:w="851" w:type="dxa"/>
            <w:vAlign w:val="center"/>
          </w:tcPr>
          <w:p>
            <w:pPr>
              <w:jc w:val="center"/>
              <w:rPr>
                <w:rFonts w:eastAsiaTheme="minorEastAsia"/>
                <w:color w:val="auto"/>
                <w:sz w:val="21"/>
                <w:szCs w:val="21"/>
              </w:rPr>
            </w:pPr>
            <w:r>
              <w:rPr>
                <w:rFonts w:eastAsiaTheme="minorEastAsia"/>
                <w:color w:val="auto"/>
                <w:sz w:val="21"/>
                <w:szCs w:val="21"/>
              </w:rPr>
              <w:t>3.5</w:t>
            </w:r>
          </w:p>
        </w:tc>
        <w:tc>
          <w:tcPr>
            <w:tcW w:w="850" w:type="dxa"/>
            <w:vAlign w:val="center"/>
          </w:tcPr>
          <w:p>
            <w:pPr>
              <w:jc w:val="center"/>
              <w:rPr>
                <w:rFonts w:eastAsiaTheme="minorEastAsia"/>
                <w:color w:val="auto"/>
                <w:sz w:val="21"/>
                <w:szCs w:val="21"/>
              </w:rPr>
            </w:pPr>
            <w:r>
              <w:rPr>
                <w:rFonts w:eastAsiaTheme="minorEastAsia"/>
                <w:color w:val="auto"/>
                <w:sz w:val="21"/>
                <w:szCs w:val="21"/>
              </w:rPr>
              <w:t>0.11</w:t>
            </w:r>
          </w:p>
        </w:tc>
        <w:tc>
          <w:tcPr>
            <w:tcW w:w="851" w:type="dxa"/>
            <w:vAlign w:val="center"/>
          </w:tcPr>
          <w:p>
            <w:pPr>
              <w:jc w:val="center"/>
              <w:rPr>
                <w:rFonts w:eastAsiaTheme="minorEastAsia"/>
                <w:color w:val="auto"/>
                <w:sz w:val="21"/>
                <w:szCs w:val="21"/>
              </w:rPr>
            </w:pPr>
            <w:r>
              <w:rPr>
                <w:rFonts w:eastAsiaTheme="minorEastAsia"/>
                <w:color w:val="auto"/>
                <w:sz w:val="21"/>
                <w:szCs w:val="21"/>
              </w:rPr>
              <w:t>0.682</w:t>
            </w:r>
          </w:p>
        </w:tc>
        <w:tc>
          <w:tcPr>
            <w:tcW w:w="992" w:type="dxa"/>
            <w:vAlign w:val="center"/>
          </w:tcPr>
          <w:p>
            <w:pPr>
              <w:jc w:val="center"/>
              <w:rPr>
                <w:rFonts w:eastAsiaTheme="minorEastAsia"/>
                <w:color w:val="auto"/>
                <w:sz w:val="21"/>
                <w:szCs w:val="21"/>
              </w:rPr>
            </w:pPr>
            <w:r>
              <w:rPr>
                <w:rFonts w:eastAsiaTheme="minorEastAsia"/>
                <w:color w:val="auto"/>
                <w:sz w:val="21"/>
                <w:szCs w:val="21"/>
              </w:rPr>
              <w:t>3.1</w:t>
            </w:r>
          </w:p>
        </w:tc>
        <w:tc>
          <w:tcPr>
            <w:tcW w:w="992" w:type="dxa"/>
            <w:vAlign w:val="center"/>
          </w:tcPr>
          <w:p>
            <w:pPr>
              <w:jc w:val="center"/>
              <w:rPr>
                <w:rFonts w:eastAsiaTheme="minorEastAsia"/>
                <w:color w:val="auto"/>
                <w:sz w:val="21"/>
                <w:szCs w:val="21"/>
              </w:rPr>
            </w:pPr>
            <w:r>
              <w:rPr>
                <w:rFonts w:eastAsiaTheme="minorEastAsia"/>
                <w:color w:val="auto"/>
                <w:sz w:val="21"/>
                <w:szCs w:val="21"/>
              </w:rPr>
              <w:t>9</w:t>
            </w:r>
          </w:p>
        </w:tc>
        <w:tc>
          <w:tcPr>
            <w:tcW w:w="1122" w:type="dxa"/>
            <w:vAlign w:val="center"/>
          </w:tcPr>
          <w:p>
            <w:pPr>
              <w:jc w:val="center"/>
              <w:rPr>
                <w:rFonts w:eastAsiaTheme="minorEastAsia"/>
                <w:color w:val="auto"/>
                <w:sz w:val="21"/>
                <w:szCs w:val="21"/>
              </w:rPr>
            </w:pPr>
            <w:r>
              <w:rPr>
                <w:rFonts w:eastAsiaTheme="minorEastAsia"/>
                <w:color w:val="auto"/>
                <w:sz w:val="21"/>
                <w:szCs w:val="21"/>
              </w:rPr>
              <w:t>＜0.0003</w:t>
            </w:r>
          </w:p>
        </w:tc>
        <w:tc>
          <w:tcPr>
            <w:tcW w:w="939"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＜8.00</w:t>
            </w:r>
          </w:p>
        </w:tc>
        <w:tc>
          <w:tcPr>
            <w:tcW w:w="969" w:type="dxa"/>
            <w:vAlign w:val="center"/>
          </w:tcPr>
          <w:p>
            <w:pPr>
              <w:jc w:val="center"/>
              <w:rPr>
                <w:rFonts w:eastAsiaTheme="minorEastAsia"/>
                <w:color w:val="auto"/>
                <w:sz w:val="21"/>
                <w:szCs w:val="21"/>
              </w:rPr>
            </w:pPr>
            <w:r>
              <w:rPr>
                <w:rFonts w:eastAsiaTheme="minorEastAsia"/>
                <w:color w:val="auto"/>
                <w:sz w:val="21"/>
                <w:szCs w:val="21"/>
              </w:rPr>
              <w:t>＜0.004</w:t>
            </w:r>
          </w:p>
        </w:tc>
        <w:tc>
          <w:tcPr>
            <w:tcW w:w="851" w:type="dxa"/>
            <w:vAlign w:val="center"/>
          </w:tcPr>
          <w:p>
            <w:pPr>
              <w:jc w:val="center"/>
              <w:rPr>
                <w:rFonts w:eastAsiaTheme="minorEastAsia"/>
                <w:color w:val="auto"/>
                <w:sz w:val="21"/>
                <w:szCs w:val="21"/>
              </w:rPr>
            </w:pPr>
            <w:r>
              <w:rPr>
                <w:rFonts w:eastAsiaTheme="minorEastAsia"/>
                <w:color w:val="auto"/>
                <w:sz w:val="21"/>
                <w:szCs w:val="21"/>
              </w:rPr>
              <w:t>38.7</w:t>
            </w:r>
          </w:p>
        </w:tc>
        <w:tc>
          <w:tcPr>
            <w:tcW w:w="997" w:type="dxa"/>
            <w:vAlign w:val="center"/>
          </w:tcPr>
          <w:p>
            <w:pPr>
              <w:jc w:val="center"/>
              <w:rPr>
                <w:rFonts w:eastAsiaTheme="minorEastAsia"/>
                <w:color w:val="auto"/>
                <w:sz w:val="21"/>
                <w:szCs w:val="21"/>
              </w:rPr>
            </w:pPr>
            <w:r>
              <w:rPr>
                <w:rFonts w:eastAsiaTheme="minorEastAsia"/>
                <w:color w:val="auto"/>
                <w:sz w:val="21"/>
                <w:szCs w:val="21"/>
              </w:rPr>
              <w:t>＜0.004</w:t>
            </w:r>
          </w:p>
        </w:tc>
        <w:tc>
          <w:tcPr>
            <w:tcW w:w="736" w:type="dxa"/>
            <w:vAlign w:val="center"/>
          </w:tcPr>
          <w:p>
            <w:pPr>
              <w:jc w:val="center"/>
              <w:rPr>
                <w:rFonts w:eastAsiaTheme="minorEastAsia"/>
                <w:color w:val="auto"/>
                <w:sz w:val="21"/>
                <w:szCs w:val="21"/>
              </w:rPr>
            </w:pPr>
            <w:r>
              <w:rPr>
                <w:rFonts w:eastAsiaTheme="minorEastAsia"/>
                <w:color w:val="auto"/>
                <w:sz w:val="21"/>
                <w:szCs w:val="21"/>
              </w:rPr>
              <w:t>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超标率</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1122"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6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7" w:type="dxa"/>
            <w:vAlign w:val="center"/>
          </w:tcPr>
          <w:p>
            <w:pPr>
              <w:jc w:val="center"/>
              <w:rPr>
                <w:rFonts w:eastAsiaTheme="minorEastAsia"/>
                <w:color w:val="auto"/>
                <w:sz w:val="21"/>
                <w:szCs w:val="21"/>
              </w:rPr>
            </w:pPr>
            <w:r>
              <w:rPr>
                <w:rFonts w:eastAsiaTheme="minorEastAsia"/>
                <w:color w:val="auto"/>
                <w:sz w:val="21"/>
                <w:szCs w:val="21"/>
              </w:rPr>
              <w:t>0</w:t>
            </w:r>
          </w:p>
        </w:tc>
        <w:tc>
          <w:tcPr>
            <w:tcW w:w="736"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最大超标倍数</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1122"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6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7" w:type="dxa"/>
            <w:vAlign w:val="center"/>
          </w:tcPr>
          <w:p>
            <w:pPr>
              <w:jc w:val="center"/>
              <w:rPr>
                <w:rFonts w:eastAsiaTheme="minorEastAsia"/>
                <w:color w:val="auto"/>
                <w:sz w:val="21"/>
                <w:szCs w:val="21"/>
              </w:rPr>
            </w:pPr>
            <w:r>
              <w:rPr>
                <w:rFonts w:eastAsiaTheme="minorEastAsia"/>
                <w:color w:val="auto"/>
                <w:sz w:val="21"/>
                <w:szCs w:val="21"/>
              </w:rPr>
              <w:t>0</w:t>
            </w:r>
          </w:p>
        </w:tc>
        <w:tc>
          <w:tcPr>
            <w:tcW w:w="736"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最大单因子指数</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0.20</w:t>
            </w:r>
          </w:p>
        </w:tc>
        <w:tc>
          <w:tcPr>
            <w:tcW w:w="851" w:type="dxa"/>
            <w:vAlign w:val="center"/>
          </w:tcPr>
          <w:p>
            <w:pPr>
              <w:jc w:val="center"/>
              <w:rPr>
                <w:rFonts w:eastAsiaTheme="minorEastAsia"/>
                <w:color w:val="auto"/>
                <w:sz w:val="21"/>
                <w:szCs w:val="21"/>
              </w:rPr>
            </w:pPr>
            <w:r>
              <w:rPr>
                <w:rFonts w:eastAsiaTheme="minorEastAsia"/>
                <w:color w:val="auto"/>
                <w:sz w:val="21"/>
                <w:szCs w:val="21"/>
              </w:rPr>
              <w:t>0.86</w:t>
            </w:r>
          </w:p>
        </w:tc>
        <w:tc>
          <w:tcPr>
            <w:tcW w:w="850" w:type="dxa"/>
            <w:vAlign w:val="center"/>
          </w:tcPr>
          <w:p>
            <w:pPr>
              <w:jc w:val="center"/>
              <w:rPr>
                <w:rFonts w:eastAsiaTheme="minorEastAsia"/>
                <w:color w:val="auto"/>
                <w:sz w:val="21"/>
                <w:szCs w:val="21"/>
              </w:rPr>
            </w:pPr>
            <w:r>
              <w:rPr>
                <w:rFonts w:eastAsiaTheme="minorEastAsia"/>
                <w:color w:val="auto"/>
                <w:sz w:val="21"/>
                <w:szCs w:val="21"/>
              </w:rPr>
              <w:t>0.07</w:t>
            </w:r>
          </w:p>
        </w:tc>
        <w:tc>
          <w:tcPr>
            <w:tcW w:w="851" w:type="dxa"/>
            <w:vAlign w:val="center"/>
          </w:tcPr>
          <w:p>
            <w:pPr>
              <w:jc w:val="center"/>
              <w:rPr>
                <w:rFonts w:eastAsiaTheme="minorEastAsia"/>
                <w:color w:val="auto"/>
                <w:sz w:val="21"/>
                <w:szCs w:val="21"/>
              </w:rPr>
            </w:pPr>
            <w:r>
              <w:rPr>
                <w:rFonts w:eastAsiaTheme="minorEastAsia"/>
                <w:color w:val="auto"/>
                <w:sz w:val="21"/>
                <w:szCs w:val="21"/>
              </w:rPr>
              <w:t>0.47</w:t>
            </w:r>
          </w:p>
        </w:tc>
        <w:tc>
          <w:tcPr>
            <w:tcW w:w="992" w:type="dxa"/>
            <w:vAlign w:val="center"/>
          </w:tcPr>
          <w:p>
            <w:pPr>
              <w:jc w:val="center"/>
              <w:rPr>
                <w:rFonts w:eastAsiaTheme="minorEastAsia"/>
                <w:color w:val="auto"/>
                <w:sz w:val="21"/>
                <w:szCs w:val="21"/>
              </w:rPr>
            </w:pPr>
            <w:r>
              <w:rPr>
                <w:rFonts w:eastAsiaTheme="minorEastAsia"/>
                <w:color w:val="auto"/>
                <w:sz w:val="21"/>
                <w:szCs w:val="21"/>
              </w:rPr>
              <w:t>0.31</w:t>
            </w:r>
          </w:p>
        </w:tc>
        <w:tc>
          <w:tcPr>
            <w:tcW w:w="992" w:type="dxa"/>
            <w:vAlign w:val="center"/>
          </w:tcPr>
          <w:p>
            <w:pPr>
              <w:jc w:val="center"/>
              <w:rPr>
                <w:rFonts w:eastAsiaTheme="minorEastAsia"/>
                <w:color w:val="auto"/>
                <w:sz w:val="21"/>
                <w:szCs w:val="21"/>
              </w:rPr>
            </w:pPr>
            <w:r>
              <w:rPr>
                <w:rFonts w:eastAsiaTheme="minorEastAsia"/>
                <w:color w:val="auto"/>
                <w:sz w:val="21"/>
                <w:szCs w:val="21"/>
              </w:rPr>
              <w:t>0.33</w:t>
            </w:r>
          </w:p>
        </w:tc>
        <w:tc>
          <w:tcPr>
            <w:tcW w:w="1122" w:type="dxa"/>
            <w:vAlign w:val="center"/>
          </w:tcPr>
          <w:p>
            <w:pPr>
              <w:jc w:val="center"/>
              <w:rPr>
                <w:rFonts w:eastAsiaTheme="minorEastAsia"/>
                <w:color w:val="auto"/>
                <w:sz w:val="21"/>
                <w:szCs w:val="21"/>
              </w:rPr>
            </w:pPr>
            <w:r>
              <w:rPr>
                <w:rFonts w:eastAsiaTheme="minorEastAsia"/>
                <w:color w:val="auto"/>
                <w:sz w:val="21"/>
                <w:szCs w:val="21"/>
              </w:rPr>
              <w:t>/</w:t>
            </w:r>
          </w:p>
        </w:tc>
        <w:tc>
          <w:tcPr>
            <w:tcW w:w="939" w:type="dxa"/>
            <w:vAlign w:val="center"/>
          </w:tcPr>
          <w:p>
            <w:pPr>
              <w:jc w:val="center"/>
              <w:rPr>
                <w:rFonts w:eastAsiaTheme="minorEastAsia"/>
                <w:color w:val="auto"/>
                <w:sz w:val="21"/>
                <w:szCs w:val="21"/>
              </w:rPr>
            </w:pPr>
            <w:r>
              <w:rPr>
                <w:rFonts w:eastAsiaTheme="minorEastAsia"/>
                <w:color w:val="auto"/>
                <w:sz w:val="21"/>
                <w:szCs w:val="21"/>
              </w:rPr>
              <w:t>/</w:t>
            </w:r>
          </w:p>
        </w:tc>
        <w:tc>
          <w:tcPr>
            <w:tcW w:w="939" w:type="dxa"/>
            <w:vAlign w:val="center"/>
          </w:tcPr>
          <w:p>
            <w:pPr>
              <w:jc w:val="center"/>
              <w:rPr>
                <w:rFonts w:eastAsiaTheme="minorEastAsia"/>
                <w:color w:val="auto"/>
                <w:sz w:val="21"/>
                <w:szCs w:val="21"/>
              </w:rPr>
            </w:pPr>
            <w:r>
              <w:rPr>
                <w:rFonts w:eastAsiaTheme="minorEastAsia"/>
                <w:color w:val="auto"/>
                <w:sz w:val="21"/>
                <w:szCs w:val="21"/>
              </w:rPr>
              <w:t>/</w:t>
            </w:r>
          </w:p>
        </w:tc>
        <w:tc>
          <w:tcPr>
            <w:tcW w:w="969"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0.19</w:t>
            </w:r>
          </w:p>
        </w:tc>
        <w:tc>
          <w:tcPr>
            <w:tcW w:w="997" w:type="dxa"/>
            <w:vAlign w:val="center"/>
          </w:tcPr>
          <w:p>
            <w:pPr>
              <w:jc w:val="center"/>
              <w:rPr>
                <w:rFonts w:eastAsiaTheme="minorEastAsia"/>
                <w:color w:val="auto"/>
                <w:sz w:val="21"/>
                <w:szCs w:val="21"/>
              </w:rPr>
            </w:pPr>
            <w:r>
              <w:rPr>
                <w:rFonts w:eastAsiaTheme="minorEastAsia"/>
                <w:color w:val="auto"/>
                <w:sz w:val="21"/>
                <w:szCs w:val="21"/>
              </w:rPr>
              <w:t>/</w:t>
            </w:r>
          </w:p>
        </w:tc>
        <w:tc>
          <w:tcPr>
            <w:tcW w:w="736" w:type="dxa"/>
            <w:vAlign w:val="center"/>
          </w:tcPr>
          <w:p>
            <w:pPr>
              <w:jc w:val="center"/>
              <w:rPr>
                <w:rFonts w:eastAsiaTheme="minorEastAsia"/>
                <w:color w:val="auto"/>
                <w:sz w:val="21"/>
                <w:szCs w:val="21"/>
              </w:rPr>
            </w:pPr>
            <w:r>
              <w:rPr>
                <w:rFonts w:eastAsiaTheme="minorEastAsia"/>
                <w:color w:val="auto"/>
                <w:sz w:val="21"/>
                <w:szCs w:val="21"/>
              </w:rPr>
              <w:t>0.37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标准值（mg/L）</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6~9</w:t>
            </w:r>
          </w:p>
        </w:tc>
        <w:tc>
          <w:tcPr>
            <w:tcW w:w="851" w:type="dxa"/>
            <w:vAlign w:val="center"/>
          </w:tcPr>
          <w:p>
            <w:pPr>
              <w:jc w:val="center"/>
              <w:rPr>
                <w:rFonts w:eastAsiaTheme="minorEastAsia"/>
                <w:color w:val="auto"/>
                <w:sz w:val="21"/>
                <w:szCs w:val="21"/>
              </w:rPr>
            </w:pPr>
            <w:r>
              <w:rPr>
                <w:rFonts w:eastAsiaTheme="minorEastAsia"/>
                <w:color w:val="auto"/>
                <w:sz w:val="21"/>
                <w:szCs w:val="21"/>
              </w:rPr>
              <w:t>≥3</w:t>
            </w:r>
          </w:p>
        </w:tc>
        <w:tc>
          <w:tcPr>
            <w:tcW w:w="850" w:type="dxa"/>
            <w:vAlign w:val="center"/>
          </w:tcPr>
          <w:p>
            <w:pPr>
              <w:jc w:val="center"/>
              <w:rPr>
                <w:rFonts w:eastAsiaTheme="minorEastAsia"/>
                <w:color w:val="auto"/>
                <w:sz w:val="21"/>
                <w:szCs w:val="21"/>
              </w:rPr>
            </w:pPr>
            <w:r>
              <w:rPr>
                <w:rFonts w:eastAsiaTheme="minorEastAsia"/>
                <w:color w:val="auto"/>
                <w:sz w:val="21"/>
                <w:szCs w:val="21"/>
              </w:rPr>
              <w:t>≤1.5</w:t>
            </w:r>
          </w:p>
        </w:tc>
        <w:tc>
          <w:tcPr>
            <w:tcW w:w="851" w:type="dxa"/>
            <w:vAlign w:val="center"/>
          </w:tcPr>
          <w:p>
            <w:pPr>
              <w:jc w:val="center"/>
              <w:rPr>
                <w:rFonts w:eastAsiaTheme="minorEastAsia"/>
                <w:color w:val="auto"/>
                <w:sz w:val="21"/>
                <w:szCs w:val="21"/>
              </w:rPr>
            </w:pPr>
            <w:r>
              <w:rPr>
                <w:rFonts w:eastAsiaTheme="minorEastAsia"/>
                <w:color w:val="auto"/>
                <w:sz w:val="21"/>
                <w:szCs w:val="21"/>
              </w:rPr>
              <w:t>≤1.5</w:t>
            </w:r>
          </w:p>
        </w:tc>
        <w:tc>
          <w:tcPr>
            <w:tcW w:w="992" w:type="dxa"/>
            <w:vAlign w:val="center"/>
          </w:tcPr>
          <w:p>
            <w:pPr>
              <w:jc w:val="center"/>
              <w:rPr>
                <w:rFonts w:eastAsiaTheme="minorEastAsia"/>
                <w:color w:val="auto"/>
                <w:sz w:val="21"/>
                <w:szCs w:val="21"/>
              </w:rPr>
            </w:pPr>
            <w:r>
              <w:rPr>
                <w:rFonts w:eastAsiaTheme="minorEastAsia"/>
                <w:color w:val="auto"/>
                <w:sz w:val="21"/>
                <w:szCs w:val="21"/>
              </w:rPr>
              <w:t>≤10</w:t>
            </w:r>
          </w:p>
        </w:tc>
        <w:tc>
          <w:tcPr>
            <w:tcW w:w="992" w:type="dxa"/>
            <w:vAlign w:val="center"/>
          </w:tcPr>
          <w:p>
            <w:pPr>
              <w:jc w:val="center"/>
              <w:rPr>
                <w:rFonts w:eastAsiaTheme="minorEastAsia"/>
                <w:color w:val="auto"/>
                <w:sz w:val="21"/>
                <w:szCs w:val="21"/>
              </w:rPr>
            </w:pPr>
            <w:r>
              <w:rPr>
                <w:rFonts w:eastAsiaTheme="minorEastAsia"/>
                <w:color w:val="auto"/>
                <w:sz w:val="21"/>
                <w:szCs w:val="21"/>
              </w:rPr>
              <w:t>≤30</w:t>
            </w:r>
          </w:p>
        </w:tc>
        <w:tc>
          <w:tcPr>
            <w:tcW w:w="1122" w:type="dxa"/>
            <w:vAlign w:val="center"/>
          </w:tcPr>
          <w:p>
            <w:pPr>
              <w:jc w:val="center"/>
              <w:rPr>
                <w:rFonts w:eastAsiaTheme="minorEastAsia"/>
                <w:color w:val="auto"/>
                <w:sz w:val="21"/>
                <w:szCs w:val="21"/>
              </w:rPr>
            </w:pPr>
            <w:r>
              <w:rPr>
                <w:rFonts w:eastAsiaTheme="minorEastAsia"/>
                <w:color w:val="auto"/>
                <w:sz w:val="21"/>
                <w:szCs w:val="21"/>
              </w:rPr>
              <w:t>≤0.01</w:t>
            </w:r>
          </w:p>
        </w:tc>
        <w:tc>
          <w:tcPr>
            <w:tcW w:w="939" w:type="dxa"/>
            <w:vAlign w:val="center"/>
          </w:tcPr>
          <w:p>
            <w:pPr>
              <w:jc w:val="center"/>
              <w:rPr>
                <w:rFonts w:eastAsiaTheme="minorEastAsia"/>
                <w:color w:val="auto"/>
                <w:sz w:val="21"/>
                <w:szCs w:val="21"/>
              </w:rPr>
            </w:pPr>
            <w:r>
              <w:rPr>
                <w:rFonts w:eastAsiaTheme="minorEastAsia"/>
                <w:color w:val="auto"/>
                <w:sz w:val="21"/>
                <w:szCs w:val="21"/>
              </w:rPr>
              <w:t>≤0.5</w:t>
            </w:r>
          </w:p>
        </w:tc>
        <w:tc>
          <w:tcPr>
            <w:tcW w:w="939" w:type="dxa"/>
            <w:vAlign w:val="center"/>
          </w:tcPr>
          <w:p>
            <w:pPr>
              <w:jc w:val="center"/>
              <w:rPr>
                <w:rFonts w:eastAsiaTheme="minorEastAsia"/>
                <w:color w:val="auto"/>
                <w:sz w:val="21"/>
                <w:szCs w:val="21"/>
              </w:rPr>
            </w:pPr>
            <w:r>
              <w:rPr>
                <w:rFonts w:eastAsiaTheme="minorEastAsia"/>
                <w:color w:val="auto"/>
                <w:sz w:val="21"/>
                <w:szCs w:val="21"/>
              </w:rPr>
              <w:t>≤250</w:t>
            </w:r>
          </w:p>
        </w:tc>
        <w:tc>
          <w:tcPr>
            <w:tcW w:w="969" w:type="dxa"/>
            <w:vAlign w:val="center"/>
          </w:tcPr>
          <w:p>
            <w:pPr>
              <w:jc w:val="center"/>
              <w:rPr>
                <w:rFonts w:eastAsiaTheme="minorEastAsia"/>
                <w:color w:val="auto"/>
                <w:sz w:val="21"/>
                <w:szCs w:val="21"/>
              </w:rPr>
            </w:pPr>
            <w:r>
              <w:rPr>
                <w:rFonts w:eastAsiaTheme="minorEastAsia"/>
                <w:color w:val="auto"/>
                <w:sz w:val="21"/>
                <w:szCs w:val="21"/>
              </w:rPr>
              <w:t>≤0.05</w:t>
            </w:r>
          </w:p>
        </w:tc>
        <w:tc>
          <w:tcPr>
            <w:tcW w:w="851" w:type="dxa"/>
            <w:vAlign w:val="center"/>
          </w:tcPr>
          <w:p>
            <w:pPr>
              <w:jc w:val="center"/>
              <w:rPr>
                <w:rFonts w:eastAsiaTheme="minorEastAsia"/>
                <w:color w:val="auto"/>
                <w:sz w:val="21"/>
                <w:szCs w:val="21"/>
              </w:rPr>
            </w:pPr>
            <w:r>
              <w:rPr>
                <w:rFonts w:eastAsiaTheme="minorEastAsia"/>
                <w:color w:val="auto"/>
                <w:sz w:val="21"/>
                <w:szCs w:val="21"/>
              </w:rPr>
              <w:t>≤250</w:t>
            </w:r>
          </w:p>
        </w:tc>
        <w:tc>
          <w:tcPr>
            <w:tcW w:w="997" w:type="dxa"/>
            <w:vAlign w:val="center"/>
          </w:tcPr>
          <w:p>
            <w:pPr>
              <w:jc w:val="center"/>
              <w:rPr>
                <w:rFonts w:eastAsiaTheme="minorEastAsia"/>
                <w:color w:val="auto"/>
                <w:sz w:val="21"/>
                <w:szCs w:val="21"/>
              </w:rPr>
            </w:pPr>
            <w:r>
              <w:rPr>
                <w:rFonts w:eastAsiaTheme="minorEastAsia"/>
                <w:color w:val="auto"/>
                <w:sz w:val="21"/>
                <w:szCs w:val="21"/>
              </w:rPr>
              <w:t>≤0.2</w:t>
            </w:r>
          </w:p>
        </w:tc>
        <w:tc>
          <w:tcPr>
            <w:tcW w:w="736" w:type="dxa"/>
            <w:vAlign w:val="center"/>
          </w:tcPr>
          <w:p>
            <w:pPr>
              <w:jc w:val="center"/>
              <w:rPr>
                <w:rFonts w:eastAsiaTheme="minorEastAsia"/>
                <w:color w:val="auto"/>
                <w:sz w:val="21"/>
                <w:szCs w:val="21"/>
              </w:rPr>
            </w:pPr>
            <w:r>
              <w:rPr>
                <w:rFonts w:eastAsiaTheme="minorEastAsia"/>
                <w:color w:val="auto"/>
                <w:sz w:val="21"/>
                <w:szCs w:val="21"/>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restart"/>
            <w:vAlign w:val="center"/>
          </w:tcPr>
          <w:p>
            <w:pPr>
              <w:jc w:val="center"/>
              <w:rPr>
                <w:rFonts w:eastAsiaTheme="minorEastAsia"/>
                <w:color w:val="auto"/>
                <w:sz w:val="21"/>
                <w:szCs w:val="21"/>
              </w:rPr>
            </w:pPr>
            <w:r>
              <w:rPr>
                <w:rFonts w:eastAsiaTheme="minorEastAsia"/>
                <w:color w:val="auto"/>
                <w:sz w:val="21"/>
                <w:szCs w:val="21"/>
              </w:rPr>
              <w:t>W2</w:t>
            </w:r>
          </w:p>
        </w:tc>
        <w:tc>
          <w:tcPr>
            <w:tcW w:w="464" w:type="dxa"/>
            <w:gridSpan w:val="2"/>
            <w:vMerge w:val="restart"/>
            <w:vAlign w:val="center"/>
          </w:tcPr>
          <w:p>
            <w:pPr>
              <w:jc w:val="center"/>
              <w:rPr>
                <w:rFonts w:eastAsiaTheme="minorEastAsia"/>
                <w:color w:val="auto"/>
                <w:sz w:val="21"/>
                <w:szCs w:val="21"/>
              </w:rPr>
            </w:pPr>
            <w:r>
              <w:rPr>
                <w:rFonts w:eastAsiaTheme="minorEastAsia"/>
                <w:color w:val="auto"/>
                <w:sz w:val="21"/>
                <w:szCs w:val="21"/>
              </w:rPr>
              <w:t>监测值</w:t>
            </w:r>
          </w:p>
        </w:tc>
        <w:tc>
          <w:tcPr>
            <w:tcW w:w="812" w:type="dxa"/>
            <w:vAlign w:val="center"/>
          </w:tcPr>
          <w:p>
            <w:pPr>
              <w:jc w:val="center"/>
              <w:rPr>
                <w:rFonts w:eastAsiaTheme="minorEastAsia"/>
                <w:color w:val="auto"/>
                <w:sz w:val="21"/>
                <w:szCs w:val="21"/>
              </w:rPr>
            </w:pPr>
            <w:r>
              <w:rPr>
                <w:rFonts w:eastAsiaTheme="minorEastAsia"/>
                <w:color w:val="auto"/>
                <w:sz w:val="21"/>
                <w:szCs w:val="21"/>
              </w:rPr>
              <w:t>2019.3.25</w:t>
            </w:r>
          </w:p>
        </w:tc>
        <w:tc>
          <w:tcPr>
            <w:tcW w:w="708" w:type="dxa"/>
            <w:vAlign w:val="center"/>
          </w:tcPr>
          <w:p>
            <w:pPr>
              <w:jc w:val="center"/>
              <w:rPr>
                <w:rFonts w:eastAsiaTheme="minorEastAsia"/>
                <w:color w:val="auto"/>
                <w:sz w:val="21"/>
                <w:szCs w:val="21"/>
              </w:rPr>
            </w:pPr>
            <w:r>
              <w:rPr>
                <w:rFonts w:eastAsiaTheme="minorEastAsia"/>
                <w:color w:val="auto"/>
                <w:sz w:val="21"/>
                <w:szCs w:val="21"/>
              </w:rPr>
              <w:t>21.4</w:t>
            </w:r>
          </w:p>
        </w:tc>
        <w:tc>
          <w:tcPr>
            <w:tcW w:w="709" w:type="dxa"/>
            <w:vAlign w:val="center"/>
          </w:tcPr>
          <w:p>
            <w:pPr>
              <w:jc w:val="center"/>
              <w:rPr>
                <w:rFonts w:eastAsiaTheme="minorEastAsia"/>
                <w:color w:val="auto"/>
                <w:sz w:val="21"/>
                <w:szCs w:val="21"/>
              </w:rPr>
            </w:pPr>
            <w:r>
              <w:rPr>
                <w:rFonts w:eastAsiaTheme="minorEastAsia"/>
                <w:color w:val="auto"/>
                <w:sz w:val="21"/>
                <w:szCs w:val="21"/>
              </w:rPr>
              <w:t>4.15</w:t>
            </w:r>
          </w:p>
        </w:tc>
        <w:tc>
          <w:tcPr>
            <w:tcW w:w="851" w:type="dxa"/>
            <w:vAlign w:val="center"/>
          </w:tcPr>
          <w:p>
            <w:pPr>
              <w:jc w:val="center"/>
              <w:rPr>
                <w:rFonts w:eastAsiaTheme="minorEastAsia"/>
                <w:color w:val="auto"/>
                <w:sz w:val="21"/>
                <w:szCs w:val="21"/>
              </w:rPr>
            </w:pPr>
            <w:r>
              <w:rPr>
                <w:rFonts w:eastAsiaTheme="minorEastAsia"/>
                <w:color w:val="auto"/>
                <w:sz w:val="21"/>
                <w:szCs w:val="21"/>
              </w:rPr>
              <w:t>5.3</w:t>
            </w:r>
          </w:p>
        </w:tc>
        <w:tc>
          <w:tcPr>
            <w:tcW w:w="850" w:type="dxa"/>
            <w:vAlign w:val="center"/>
          </w:tcPr>
          <w:p>
            <w:pPr>
              <w:jc w:val="center"/>
              <w:rPr>
                <w:rFonts w:eastAsiaTheme="minorEastAsia"/>
                <w:color w:val="auto"/>
                <w:sz w:val="21"/>
                <w:szCs w:val="21"/>
              </w:rPr>
            </w:pPr>
            <w:r>
              <w:rPr>
                <w:rFonts w:eastAsiaTheme="minorEastAsia"/>
                <w:color w:val="auto"/>
                <w:sz w:val="21"/>
                <w:szCs w:val="21"/>
              </w:rPr>
              <w:t>0.13</w:t>
            </w:r>
          </w:p>
        </w:tc>
        <w:tc>
          <w:tcPr>
            <w:tcW w:w="851" w:type="dxa"/>
            <w:vAlign w:val="center"/>
          </w:tcPr>
          <w:p>
            <w:pPr>
              <w:jc w:val="center"/>
              <w:rPr>
                <w:rFonts w:eastAsiaTheme="minorEastAsia"/>
                <w:color w:val="auto"/>
                <w:sz w:val="21"/>
                <w:szCs w:val="21"/>
              </w:rPr>
            </w:pPr>
            <w:r>
              <w:rPr>
                <w:rFonts w:eastAsiaTheme="minorEastAsia"/>
                <w:color w:val="auto"/>
                <w:sz w:val="21"/>
                <w:szCs w:val="21"/>
              </w:rPr>
              <w:t>0.185</w:t>
            </w:r>
          </w:p>
        </w:tc>
        <w:tc>
          <w:tcPr>
            <w:tcW w:w="992" w:type="dxa"/>
            <w:vAlign w:val="center"/>
          </w:tcPr>
          <w:p>
            <w:pPr>
              <w:jc w:val="center"/>
              <w:rPr>
                <w:rFonts w:eastAsiaTheme="minorEastAsia"/>
                <w:color w:val="auto"/>
                <w:sz w:val="21"/>
                <w:szCs w:val="21"/>
              </w:rPr>
            </w:pPr>
            <w:r>
              <w:rPr>
                <w:rFonts w:eastAsiaTheme="minorEastAsia"/>
                <w:color w:val="auto"/>
                <w:sz w:val="21"/>
                <w:szCs w:val="21"/>
              </w:rPr>
              <w:t>2.9</w:t>
            </w:r>
          </w:p>
        </w:tc>
        <w:tc>
          <w:tcPr>
            <w:tcW w:w="992" w:type="dxa"/>
            <w:vAlign w:val="center"/>
          </w:tcPr>
          <w:p>
            <w:pPr>
              <w:jc w:val="center"/>
              <w:rPr>
                <w:rFonts w:eastAsiaTheme="minorEastAsia"/>
                <w:color w:val="auto"/>
                <w:sz w:val="21"/>
                <w:szCs w:val="21"/>
              </w:rPr>
            </w:pPr>
            <w:r>
              <w:rPr>
                <w:rFonts w:eastAsiaTheme="minorEastAsia"/>
                <w:color w:val="auto"/>
                <w:sz w:val="21"/>
                <w:szCs w:val="21"/>
              </w:rPr>
              <w:t>8</w:t>
            </w:r>
          </w:p>
        </w:tc>
        <w:tc>
          <w:tcPr>
            <w:tcW w:w="1122" w:type="dxa"/>
            <w:vAlign w:val="center"/>
          </w:tcPr>
          <w:p>
            <w:pPr>
              <w:jc w:val="center"/>
              <w:rPr>
                <w:rFonts w:eastAsiaTheme="minorEastAsia"/>
                <w:color w:val="auto"/>
                <w:sz w:val="21"/>
                <w:szCs w:val="21"/>
              </w:rPr>
            </w:pPr>
            <w:r>
              <w:rPr>
                <w:rFonts w:eastAsiaTheme="minorEastAsia"/>
                <w:color w:val="auto"/>
                <w:sz w:val="21"/>
                <w:szCs w:val="21"/>
              </w:rPr>
              <w:t>＜0.0003</w:t>
            </w:r>
          </w:p>
        </w:tc>
        <w:tc>
          <w:tcPr>
            <w:tcW w:w="939"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＜8.00</w:t>
            </w:r>
          </w:p>
        </w:tc>
        <w:tc>
          <w:tcPr>
            <w:tcW w:w="969" w:type="dxa"/>
            <w:vAlign w:val="center"/>
          </w:tcPr>
          <w:p>
            <w:pPr>
              <w:jc w:val="center"/>
              <w:rPr>
                <w:rFonts w:eastAsiaTheme="minorEastAsia"/>
                <w:color w:val="auto"/>
                <w:sz w:val="21"/>
                <w:szCs w:val="21"/>
              </w:rPr>
            </w:pPr>
            <w:r>
              <w:rPr>
                <w:rFonts w:eastAsiaTheme="minorEastAsia"/>
                <w:color w:val="auto"/>
                <w:sz w:val="21"/>
                <w:szCs w:val="21"/>
              </w:rPr>
              <w:t>＜0.004</w:t>
            </w:r>
          </w:p>
        </w:tc>
        <w:tc>
          <w:tcPr>
            <w:tcW w:w="851" w:type="dxa"/>
            <w:vAlign w:val="center"/>
          </w:tcPr>
          <w:p>
            <w:pPr>
              <w:jc w:val="center"/>
              <w:rPr>
                <w:rFonts w:eastAsiaTheme="minorEastAsia"/>
                <w:color w:val="auto"/>
                <w:sz w:val="21"/>
                <w:szCs w:val="21"/>
              </w:rPr>
            </w:pPr>
            <w:r>
              <w:rPr>
                <w:rFonts w:eastAsiaTheme="minorEastAsia"/>
                <w:color w:val="auto"/>
                <w:sz w:val="21"/>
                <w:szCs w:val="21"/>
              </w:rPr>
              <w:t>31.9</w:t>
            </w:r>
          </w:p>
        </w:tc>
        <w:tc>
          <w:tcPr>
            <w:tcW w:w="997" w:type="dxa"/>
            <w:vAlign w:val="center"/>
          </w:tcPr>
          <w:p>
            <w:pPr>
              <w:jc w:val="center"/>
              <w:rPr>
                <w:rFonts w:eastAsiaTheme="minorEastAsia"/>
                <w:color w:val="auto"/>
                <w:sz w:val="21"/>
                <w:szCs w:val="21"/>
              </w:rPr>
            </w:pPr>
            <w:r>
              <w:rPr>
                <w:rFonts w:eastAsiaTheme="minorEastAsia"/>
                <w:color w:val="auto"/>
                <w:sz w:val="21"/>
                <w:szCs w:val="21"/>
              </w:rPr>
              <w:t>＜0.004</w:t>
            </w:r>
          </w:p>
        </w:tc>
        <w:tc>
          <w:tcPr>
            <w:tcW w:w="736" w:type="dxa"/>
            <w:vAlign w:val="center"/>
          </w:tcPr>
          <w:p>
            <w:pPr>
              <w:jc w:val="center"/>
              <w:rPr>
                <w:rFonts w:eastAsiaTheme="minorEastAsia"/>
                <w:color w:val="auto"/>
                <w:sz w:val="21"/>
                <w:szCs w:val="21"/>
              </w:rPr>
            </w:pPr>
            <w:r>
              <w:rPr>
                <w:rFonts w:eastAsiaTheme="minorEastAsia"/>
                <w:color w:val="auto"/>
                <w:sz w:val="21"/>
                <w:szCs w:val="21"/>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464" w:type="dxa"/>
            <w:gridSpan w:val="2"/>
            <w:vMerge w:val="continue"/>
            <w:vAlign w:val="center"/>
          </w:tcPr>
          <w:p>
            <w:pPr>
              <w:jc w:val="center"/>
              <w:rPr>
                <w:rFonts w:eastAsiaTheme="minorEastAsia"/>
                <w:color w:val="auto"/>
                <w:sz w:val="21"/>
                <w:szCs w:val="21"/>
              </w:rPr>
            </w:pPr>
          </w:p>
        </w:tc>
        <w:tc>
          <w:tcPr>
            <w:tcW w:w="812" w:type="dxa"/>
            <w:vAlign w:val="center"/>
          </w:tcPr>
          <w:p>
            <w:pPr>
              <w:jc w:val="center"/>
              <w:rPr>
                <w:rFonts w:eastAsiaTheme="minorEastAsia"/>
                <w:color w:val="auto"/>
                <w:sz w:val="21"/>
                <w:szCs w:val="21"/>
              </w:rPr>
            </w:pPr>
            <w:r>
              <w:rPr>
                <w:rFonts w:eastAsiaTheme="minorEastAsia"/>
                <w:color w:val="auto"/>
                <w:sz w:val="21"/>
                <w:szCs w:val="21"/>
              </w:rPr>
              <w:t>2019.3.26</w:t>
            </w:r>
          </w:p>
        </w:tc>
        <w:tc>
          <w:tcPr>
            <w:tcW w:w="708" w:type="dxa"/>
            <w:vAlign w:val="center"/>
          </w:tcPr>
          <w:p>
            <w:pPr>
              <w:jc w:val="center"/>
              <w:rPr>
                <w:rFonts w:eastAsiaTheme="minorEastAsia"/>
                <w:color w:val="auto"/>
                <w:sz w:val="21"/>
                <w:szCs w:val="21"/>
              </w:rPr>
            </w:pPr>
            <w:r>
              <w:rPr>
                <w:rFonts w:eastAsiaTheme="minorEastAsia"/>
                <w:color w:val="auto"/>
                <w:sz w:val="21"/>
                <w:szCs w:val="21"/>
              </w:rPr>
              <w:t>21.6</w:t>
            </w:r>
          </w:p>
        </w:tc>
        <w:tc>
          <w:tcPr>
            <w:tcW w:w="709" w:type="dxa"/>
            <w:vAlign w:val="center"/>
          </w:tcPr>
          <w:p>
            <w:pPr>
              <w:jc w:val="center"/>
              <w:rPr>
                <w:rFonts w:eastAsiaTheme="minorEastAsia"/>
                <w:color w:val="auto"/>
                <w:sz w:val="21"/>
                <w:szCs w:val="21"/>
              </w:rPr>
            </w:pPr>
            <w:r>
              <w:rPr>
                <w:rFonts w:eastAsiaTheme="minorEastAsia"/>
                <w:color w:val="auto"/>
                <w:sz w:val="21"/>
                <w:szCs w:val="21"/>
              </w:rPr>
              <w:t>7.20</w:t>
            </w:r>
          </w:p>
        </w:tc>
        <w:tc>
          <w:tcPr>
            <w:tcW w:w="851" w:type="dxa"/>
            <w:vAlign w:val="center"/>
          </w:tcPr>
          <w:p>
            <w:pPr>
              <w:jc w:val="center"/>
              <w:rPr>
                <w:rFonts w:eastAsiaTheme="minorEastAsia"/>
                <w:color w:val="auto"/>
                <w:sz w:val="21"/>
                <w:szCs w:val="21"/>
              </w:rPr>
            </w:pPr>
            <w:r>
              <w:rPr>
                <w:rFonts w:eastAsiaTheme="minorEastAsia"/>
                <w:color w:val="auto"/>
                <w:sz w:val="21"/>
                <w:szCs w:val="21"/>
              </w:rPr>
              <w:t>5.1</w:t>
            </w:r>
          </w:p>
        </w:tc>
        <w:tc>
          <w:tcPr>
            <w:tcW w:w="850" w:type="dxa"/>
            <w:vAlign w:val="center"/>
          </w:tcPr>
          <w:p>
            <w:pPr>
              <w:jc w:val="center"/>
              <w:rPr>
                <w:rFonts w:eastAsiaTheme="minorEastAsia"/>
                <w:color w:val="auto"/>
                <w:sz w:val="21"/>
                <w:szCs w:val="21"/>
              </w:rPr>
            </w:pPr>
            <w:r>
              <w:rPr>
                <w:rFonts w:eastAsiaTheme="minorEastAsia"/>
                <w:color w:val="auto"/>
                <w:sz w:val="21"/>
                <w:szCs w:val="21"/>
              </w:rPr>
              <w:t>0.13</w:t>
            </w:r>
          </w:p>
        </w:tc>
        <w:tc>
          <w:tcPr>
            <w:tcW w:w="851" w:type="dxa"/>
            <w:vAlign w:val="center"/>
          </w:tcPr>
          <w:p>
            <w:pPr>
              <w:jc w:val="center"/>
              <w:rPr>
                <w:rFonts w:eastAsiaTheme="minorEastAsia"/>
                <w:color w:val="auto"/>
                <w:sz w:val="21"/>
                <w:szCs w:val="21"/>
              </w:rPr>
            </w:pPr>
            <w:r>
              <w:rPr>
                <w:rFonts w:eastAsiaTheme="minorEastAsia"/>
                <w:color w:val="auto"/>
                <w:sz w:val="21"/>
                <w:szCs w:val="21"/>
              </w:rPr>
              <w:t>0.196</w:t>
            </w:r>
          </w:p>
        </w:tc>
        <w:tc>
          <w:tcPr>
            <w:tcW w:w="992" w:type="dxa"/>
            <w:vAlign w:val="center"/>
          </w:tcPr>
          <w:p>
            <w:pPr>
              <w:jc w:val="center"/>
              <w:rPr>
                <w:rFonts w:eastAsiaTheme="minorEastAsia"/>
                <w:color w:val="auto"/>
                <w:sz w:val="21"/>
                <w:szCs w:val="21"/>
              </w:rPr>
            </w:pPr>
            <w:r>
              <w:rPr>
                <w:rFonts w:eastAsiaTheme="minorEastAsia"/>
                <w:color w:val="auto"/>
                <w:sz w:val="21"/>
                <w:szCs w:val="21"/>
              </w:rPr>
              <w:t>2.6</w:t>
            </w:r>
          </w:p>
        </w:tc>
        <w:tc>
          <w:tcPr>
            <w:tcW w:w="992" w:type="dxa"/>
            <w:vAlign w:val="center"/>
          </w:tcPr>
          <w:p>
            <w:pPr>
              <w:jc w:val="center"/>
              <w:rPr>
                <w:rFonts w:eastAsiaTheme="minorEastAsia"/>
                <w:color w:val="auto"/>
                <w:sz w:val="21"/>
                <w:szCs w:val="21"/>
              </w:rPr>
            </w:pPr>
            <w:r>
              <w:rPr>
                <w:rFonts w:eastAsiaTheme="minorEastAsia"/>
                <w:color w:val="auto"/>
                <w:sz w:val="21"/>
                <w:szCs w:val="21"/>
              </w:rPr>
              <w:t>11</w:t>
            </w:r>
          </w:p>
        </w:tc>
        <w:tc>
          <w:tcPr>
            <w:tcW w:w="1122" w:type="dxa"/>
            <w:vAlign w:val="center"/>
          </w:tcPr>
          <w:p>
            <w:pPr>
              <w:jc w:val="center"/>
              <w:rPr>
                <w:rFonts w:eastAsiaTheme="minorEastAsia"/>
                <w:color w:val="auto"/>
                <w:sz w:val="21"/>
                <w:szCs w:val="21"/>
              </w:rPr>
            </w:pPr>
            <w:r>
              <w:rPr>
                <w:rFonts w:eastAsiaTheme="minorEastAsia"/>
                <w:color w:val="auto"/>
                <w:sz w:val="21"/>
                <w:szCs w:val="21"/>
              </w:rPr>
              <w:t>＜0.0003</w:t>
            </w:r>
          </w:p>
        </w:tc>
        <w:tc>
          <w:tcPr>
            <w:tcW w:w="939"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＜8.00</w:t>
            </w:r>
          </w:p>
        </w:tc>
        <w:tc>
          <w:tcPr>
            <w:tcW w:w="969" w:type="dxa"/>
            <w:vAlign w:val="center"/>
          </w:tcPr>
          <w:p>
            <w:pPr>
              <w:jc w:val="center"/>
              <w:rPr>
                <w:rFonts w:eastAsiaTheme="minorEastAsia"/>
                <w:color w:val="auto"/>
                <w:sz w:val="21"/>
                <w:szCs w:val="21"/>
              </w:rPr>
            </w:pPr>
            <w:r>
              <w:rPr>
                <w:rFonts w:eastAsiaTheme="minorEastAsia"/>
                <w:color w:val="auto"/>
                <w:sz w:val="21"/>
                <w:szCs w:val="21"/>
              </w:rPr>
              <w:t>＜0.004</w:t>
            </w:r>
          </w:p>
        </w:tc>
        <w:tc>
          <w:tcPr>
            <w:tcW w:w="851" w:type="dxa"/>
            <w:vAlign w:val="center"/>
          </w:tcPr>
          <w:p>
            <w:pPr>
              <w:jc w:val="center"/>
              <w:rPr>
                <w:rFonts w:eastAsiaTheme="minorEastAsia"/>
                <w:color w:val="auto"/>
                <w:sz w:val="21"/>
                <w:szCs w:val="21"/>
              </w:rPr>
            </w:pPr>
            <w:r>
              <w:rPr>
                <w:rFonts w:eastAsiaTheme="minorEastAsia"/>
                <w:color w:val="auto"/>
                <w:sz w:val="21"/>
                <w:szCs w:val="21"/>
              </w:rPr>
              <w:t>41.1</w:t>
            </w:r>
          </w:p>
        </w:tc>
        <w:tc>
          <w:tcPr>
            <w:tcW w:w="997" w:type="dxa"/>
            <w:vAlign w:val="center"/>
          </w:tcPr>
          <w:p>
            <w:pPr>
              <w:jc w:val="center"/>
              <w:rPr>
                <w:rFonts w:eastAsiaTheme="minorEastAsia"/>
                <w:color w:val="auto"/>
                <w:sz w:val="21"/>
                <w:szCs w:val="21"/>
              </w:rPr>
            </w:pPr>
            <w:r>
              <w:rPr>
                <w:rFonts w:eastAsiaTheme="minorEastAsia"/>
                <w:color w:val="auto"/>
                <w:sz w:val="21"/>
                <w:szCs w:val="21"/>
              </w:rPr>
              <w:t>＜0.004</w:t>
            </w:r>
          </w:p>
        </w:tc>
        <w:tc>
          <w:tcPr>
            <w:tcW w:w="736" w:type="dxa"/>
            <w:vAlign w:val="center"/>
          </w:tcPr>
          <w:p>
            <w:pPr>
              <w:jc w:val="center"/>
              <w:rPr>
                <w:rFonts w:eastAsiaTheme="minorEastAsia"/>
                <w:color w:val="auto"/>
                <w:sz w:val="21"/>
                <w:szCs w:val="21"/>
              </w:rPr>
            </w:pPr>
            <w:r>
              <w:rPr>
                <w:rFonts w:eastAsiaTheme="minorEastAsia"/>
                <w:color w:val="auto"/>
                <w:sz w:val="21"/>
                <w:szCs w:val="21"/>
              </w:rPr>
              <w:t>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464" w:type="dxa"/>
            <w:gridSpan w:val="2"/>
            <w:vMerge w:val="continue"/>
            <w:vAlign w:val="center"/>
          </w:tcPr>
          <w:p>
            <w:pPr>
              <w:jc w:val="center"/>
              <w:rPr>
                <w:rFonts w:eastAsiaTheme="minorEastAsia"/>
                <w:color w:val="auto"/>
                <w:sz w:val="21"/>
                <w:szCs w:val="21"/>
              </w:rPr>
            </w:pPr>
          </w:p>
        </w:tc>
        <w:tc>
          <w:tcPr>
            <w:tcW w:w="812" w:type="dxa"/>
            <w:vAlign w:val="center"/>
          </w:tcPr>
          <w:p>
            <w:pPr>
              <w:jc w:val="center"/>
              <w:rPr>
                <w:rFonts w:eastAsiaTheme="minorEastAsia"/>
                <w:color w:val="auto"/>
                <w:sz w:val="21"/>
                <w:szCs w:val="21"/>
              </w:rPr>
            </w:pPr>
            <w:r>
              <w:rPr>
                <w:rFonts w:eastAsiaTheme="minorEastAsia"/>
                <w:color w:val="auto"/>
                <w:sz w:val="21"/>
                <w:szCs w:val="21"/>
              </w:rPr>
              <w:t>2019.3.27</w:t>
            </w:r>
          </w:p>
        </w:tc>
        <w:tc>
          <w:tcPr>
            <w:tcW w:w="708" w:type="dxa"/>
            <w:vAlign w:val="center"/>
          </w:tcPr>
          <w:p>
            <w:pPr>
              <w:jc w:val="center"/>
              <w:rPr>
                <w:rFonts w:eastAsiaTheme="minorEastAsia"/>
                <w:color w:val="auto"/>
                <w:sz w:val="21"/>
                <w:szCs w:val="21"/>
              </w:rPr>
            </w:pPr>
            <w:r>
              <w:rPr>
                <w:rFonts w:eastAsiaTheme="minorEastAsia"/>
                <w:color w:val="auto"/>
                <w:sz w:val="21"/>
                <w:szCs w:val="21"/>
              </w:rPr>
              <w:t>21.4</w:t>
            </w:r>
          </w:p>
        </w:tc>
        <w:tc>
          <w:tcPr>
            <w:tcW w:w="709" w:type="dxa"/>
            <w:vAlign w:val="center"/>
          </w:tcPr>
          <w:p>
            <w:pPr>
              <w:jc w:val="center"/>
              <w:rPr>
                <w:rFonts w:eastAsiaTheme="minorEastAsia"/>
                <w:color w:val="auto"/>
                <w:sz w:val="21"/>
                <w:szCs w:val="21"/>
              </w:rPr>
            </w:pPr>
            <w:r>
              <w:rPr>
                <w:rFonts w:eastAsiaTheme="minorEastAsia"/>
                <w:color w:val="auto"/>
                <w:sz w:val="21"/>
                <w:szCs w:val="21"/>
              </w:rPr>
              <w:t>7.01</w:t>
            </w:r>
          </w:p>
        </w:tc>
        <w:tc>
          <w:tcPr>
            <w:tcW w:w="851" w:type="dxa"/>
            <w:vAlign w:val="center"/>
          </w:tcPr>
          <w:p>
            <w:pPr>
              <w:jc w:val="center"/>
              <w:rPr>
                <w:rFonts w:eastAsiaTheme="minorEastAsia"/>
                <w:color w:val="auto"/>
                <w:sz w:val="21"/>
                <w:szCs w:val="21"/>
              </w:rPr>
            </w:pPr>
            <w:r>
              <w:rPr>
                <w:rFonts w:eastAsiaTheme="minorEastAsia"/>
                <w:color w:val="auto"/>
                <w:sz w:val="21"/>
                <w:szCs w:val="21"/>
              </w:rPr>
              <w:t>5.4</w:t>
            </w:r>
          </w:p>
        </w:tc>
        <w:tc>
          <w:tcPr>
            <w:tcW w:w="850" w:type="dxa"/>
            <w:vAlign w:val="center"/>
          </w:tcPr>
          <w:p>
            <w:pPr>
              <w:jc w:val="center"/>
              <w:rPr>
                <w:rFonts w:eastAsiaTheme="minorEastAsia"/>
                <w:color w:val="auto"/>
                <w:sz w:val="21"/>
                <w:szCs w:val="21"/>
              </w:rPr>
            </w:pPr>
            <w:r>
              <w:rPr>
                <w:rFonts w:eastAsiaTheme="minorEastAsia"/>
                <w:color w:val="auto"/>
                <w:sz w:val="21"/>
                <w:szCs w:val="21"/>
              </w:rPr>
              <w:t>0.12</w:t>
            </w:r>
          </w:p>
        </w:tc>
        <w:tc>
          <w:tcPr>
            <w:tcW w:w="851" w:type="dxa"/>
            <w:vAlign w:val="center"/>
          </w:tcPr>
          <w:p>
            <w:pPr>
              <w:jc w:val="center"/>
              <w:rPr>
                <w:rFonts w:eastAsiaTheme="minorEastAsia"/>
                <w:color w:val="auto"/>
                <w:sz w:val="21"/>
                <w:szCs w:val="21"/>
              </w:rPr>
            </w:pPr>
            <w:r>
              <w:rPr>
                <w:rFonts w:eastAsiaTheme="minorEastAsia"/>
                <w:color w:val="auto"/>
                <w:sz w:val="21"/>
                <w:szCs w:val="21"/>
              </w:rPr>
              <w:t>0.228</w:t>
            </w:r>
          </w:p>
        </w:tc>
        <w:tc>
          <w:tcPr>
            <w:tcW w:w="992" w:type="dxa"/>
            <w:vAlign w:val="center"/>
          </w:tcPr>
          <w:p>
            <w:pPr>
              <w:jc w:val="center"/>
              <w:rPr>
                <w:rFonts w:eastAsiaTheme="minorEastAsia"/>
                <w:color w:val="auto"/>
                <w:sz w:val="21"/>
                <w:szCs w:val="21"/>
              </w:rPr>
            </w:pPr>
            <w:r>
              <w:rPr>
                <w:rFonts w:eastAsiaTheme="minorEastAsia"/>
                <w:color w:val="auto"/>
                <w:sz w:val="21"/>
                <w:szCs w:val="21"/>
              </w:rPr>
              <w:t>2.7</w:t>
            </w:r>
          </w:p>
        </w:tc>
        <w:tc>
          <w:tcPr>
            <w:tcW w:w="992" w:type="dxa"/>
            <w:vAlign w:val="center"/>
          </w:tcPr>
          <w:p>
            <w:pPr>
              <w:jc w:val="center"/>
              <w:rPr>
                <w:rFonts w:eastAsiaTheme="minorEastAsia"/>
                <w:color w:val="auto"/>
                <w:sz w:val="21"/>
                <w:szCs w:val="21"/>
              </w:rPr>
            </w:pPr>
            <w:r>
              <w:rPr>
                <w:rFonts w:eastAsiaTheme="minorEastAsia"/>
                <w:color w:val="auto"/>
                <w:sz w:val="21"/>
                <w:szCs w:val="21"/>
              </w:rPr>
              <w:t>11</w:t>
            </w:r>
          </w:p>
        </w:tc>
        <w:tc>
          <w:tcPr>
            <w:tcW w:w="1122" w:type="dxa"/>
            <w:vAlign w:val="center"/>
          </w:tcPr>
          <w:p>
            <w:pPr>
              <w:jc w:val="center"/>
              <w:rPr>
                <w:rFonts w:eastAsiaTheme="minorEastAsia"/>
                <w:color w:val="auto"/>
                <w:sz w:val="21"/>
                <w:szCs w:val="21"/>
              </w:rPr>
            </w:pPr>
            <w:r>
              <w:rPr>
                <w:rFonts w:eastAsiaTheme="minorEastAsia"/>
                <w:color w:val="auto"/>
                <w:sz w:val="21"/>
                <w:szCs w:val="21"/>
              </w:rPr>
              <w:t>＜0.0003</w:t>
            </w:r>
          </w:p>
        </w:tc>
        <w:tc>
          <w:tcPr>
            <w:tcW w:w="939"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＜8.00</w:t>
            </w:r>
          </w:p>
        </w:tc>
        <w:tc>
          <w:tcPr>
            <w:tcW w:w="969" w:type="dxa"/>
            <w:vAlign w:val="center"/>
          </w:tcPr>
          <w:p>
            <w:pPr>
              <w:jc w:val="center"/>
              <w:rPr>
                <w:rFonts w:eastAsiaTheme="minorEastAsia"/>
                <w:color w:val="auto"/>
                <w:sz w:val="21"/>
                <w:szCs w:val="21"/>
              </w:rPr>
            </w:pPr>
            <w:r>
              <w:rPr>
                <w:rFonts w:eastAsiaTheme="minorEastAsia"/>
                <w:color w:val="auto"/>
                <w:sz w:val="21"/>
                <w:szCs w:val="21"/>
              </w:rPr>
              <w:t>＜0.004</w:t>
            </w:r>
          </w:p>
        </w:tc>
        <w:tc>
          <w:tcPr>
            <w:tcW w:w="851" w:type="dxa"/>
            <w:vAlign w:val="center"/>
          </w:tcPr>
          <w:p>
            <w:pPr>
              <w:jc w:val="center"/>
              <w:rPr>
                <w:rFonts w:eastAsiaTheme="minorEastAsia"/>
                <w:color w:val="auto"/>
                <w:sz w:val="21"/>
                <w:szCs w:val="21"/>
              </w:rPr>
            </w:pPr>
            <w:r>
              <w:rPr>
                <w:rFonts w:eastAsiaTheme="minorEastAsia"/>
                <w:color w:val="auto"/>
                <w:sz w:val="21"/>
                <w:szCs w:val="21"/>
              </w:rPr>
              <w:t>29.1</w:t>
            </w:r>
          </w:p>
        </w:tc>
        <w:tc>
          <w:tcPr>
            <w:tcW w:w="997" w:type="dxa"/>
            <w:vAlign w:val="center"/>
          </w:tcPr>
          <w:p>
            <w:pPr>
              <w:jc w:val="center"/>
              <w:rPr>
                <w:rFonts w:eastAsiaTheme="minorEastAsia"/>
                <w:color w:val="auto"/>
                <w:sz w:val="21"/>
                <w:szCs w:val="21"/>
              </w:rPr>
            </w:pPr>
            <w:r>
              <w:rPr>
                <w:rFonts w:eastAsiaTheme="minorEastAsia"/>
                <w:color w:val="auto"/>
                <w:sz w:val="21"/>
                <w:szCs w:val="21"/>
              </w:rPr>
              <w:t>＜0.004</w:t>
            </w:r>
          </w:p>
        </w:tc>
        <w:tc>
          <w:tcPr>
            <w:tcW w:w="736" w:type="dxa"/>
            <w:vAlign w:val="center"/>
          </w:tcPr>
          <w:p>
            <w:pPr>
              <w:jc w:val="center"/>
              <w:rPr>
                <w:rFonts w:eastAsiaTheme="minorEastAsia"/>
                <w:color w:val="auto"/>
                <w:sz w:val="21"/>
                <w:szCs w:val="21"/>
              </w:rPr>
            </w:pPr>
            <w:r>
              <w:rPr>
                <w:rFonts w:eastAsiaTheme="minorEastAsia"/>
                <w:color w:val="auto"/>
                <w:sz w:val="21"/>
                <w:szCs w:val="21"/>
              </w:rPr>
              <w:t>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超标率</w:t>
            </w:r>
            <w:r>
              <w:rPr>
                <w:rFonts w:hint="eastAsia" w:eastAsiaTheme="minorEastAsia"/>
                <w:color w:val="auto"/>
                <w:sz w:val="21"/>
                <w:szCs w:val="21"/>
                <w:lang w:eastAsia="zh-CN"/>
              </w:rPr>
              <w:t>（</w:t>
            </w:r>
            <w:r>
              <w:rPr>
                <w:rFonts w:hint="eastAsia" w:eastAsiaTheme="minorEastAsia"/>
                <w:color w:val="auto"/>
                <w:sz w:val="21"/>
                <w:szCs w:val="21"/>
                <w:lang w:val="en-US" w:eastAsia="zh-CN"/>
              </w:rPr>
              <w:t>%</w:t>
            </w:r>
            <w:r>
              <w:rPr>
                <w:rFonts w:hint="eastAsia" w:eastAsiaTheme="minorEastAsia"/>
                <w:color w:val="auto"/>
                <w:sz w:val="21"/>
                <w:szCs w:val="21"/>
                <w:lang w:eastAsia="zh-CN"/>
              </w:rPr>
              <w:t>）</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33</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1122"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6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7" w:type="dxa"/>
            <w:vAlign w:val="center"/>
          </w:tcPr>
          <w:p>
            <w:pPr>
              <w:jc w:val="center"/>
              <w:rPr>
                <w:rFonts w:eastAsiaTheme="minorEastAsia"/>
                <w:color w:val="auto"/>
                <w:sz w:val="21"/>
                <w:szCs w:val="21"/>
              </w:rPr>
            </w:pPr>
            <w:r>
              <w:rPr>
                <w:rFonts w:eastAsiaTheme="minorEastAsia"/>
                <w:color w:val="auto"/>
                <w:sz w:val="21"/>
                <w:szCs w:val="21"/>
              </w:rPr>
              <w:t>0</w:t>
            </w:r>
          </w:p>
        </w:tc>
        <w:tc>
          <w:tcPr>
            <w:tcW w:w="736"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最大超标倍数</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0.31</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1122"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6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7" w:type="dxa"/>
            <w:vAlign w:val="center"/>
          </w:tcPr>
          <w:p>
            <w:pPr>
              <w:jc w:val="center"/>
              <w:rPr>
                <w:rFonts w:eastAsiaTheme="minorEastAsia"/>
                <w:color w:val="auto"/>
                <w:sz w:val="21"/>
                <w:szCs w:val="21"/>
              </w:rPr>
            </w:pPr>
            <w:r>
              <w:rPr>
                <w:rFonts w:eastAsiaTheme="minorEastAsia"/>
                <w:color w:val="auto"/>
                <w:sz w:val="21"/>
                <w:szCs w:val="21"/>
              </w:rPr>
              <w:t>0</w:t>
            </w:r>
          </w:p>
        </w:tc>
        <w:tc>
          <w:tcPr>
            <w:tcW w:w="736"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最大单因子指数</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2.85</w:t>
            </w:r>
          </w:p>
        </w:tc>
        <w:tc>
          <w:tcPr>
            <w:tcW w:w="851" w:type="dxa"/>
            <w:vAlign w:val="center"/>
          </w:tcPr>
          <w:p>
            <w:pPr>
              <w:jc w:val="center"/>
              <w:rPr>
                <w:rFonts w:eastAsiaTheme="minorEastAsia"/>
                <w:color w:val="auto"/>
                <w:sz w:val="21"/>
                <w:szCs w:val="21"/>
              </w:rPr>
            </w:pPr>
            <w:r>
              <w:rPr>
                <w:rFonts w:eastAsiaTheme="minorEastAsia"/>
                <w:color w:val="auto"/>
                <w:sz w:val="21"/>
                <w:szCs w:val="21"/>
              </w:rPr>
              <w:t>0.59</w:t>
            </w:r>
          </w:p>
        </w:tc>
        <w:tc>
          <w:tcPr>
            <w:tcW w:w="850" w:type="dxa"/>
            <w:vAlign w:val="center"/>
          </w:tcPr>
          <w:p>
            <w:pPr>
              <w:jc w:val="center"/>
              <w:rPr>
                <w:rFonts w:eastAsiaTheme="minorEastAsia"/>
                <w:color w:val="auto"/>
                <w:sz w:val="21"/>
                <w:szCs w:val="21"/>
              </w:rPr>
            </w:pPr>
            <w:r>
              <w:rPr>
                <w:rFonts w:eastAsiaTheme="minorEastAsia"/>
                <w:color w:val="auto"/>
                <w:sz w:val="21"/>
                <w:szCs w:val="21"/>
              </w:rPr>
              <w:t>0.09</w:t>
            </w:r>
          </w:p>
        </w:tc>
        <w:tc>
          <w:tcPr>
            <w:tcW w:w="851" w:type="dxa"/>
            <w:vAlign w:val="center"/>
          </w:tcPr>
          <w:p>
            <w:pPr>
              <w:jc w:val="center"/>
              <w:rPr>
                <w:rFonts w:eastAsiaTheme="minorEastAsia"/>
                <w:color w:val="auto"/>
                <w:sz w:val="21"/>
                <w:szCs w:val="21"/>
              </w:rPr>
            </w:pPr>
            <w:r>
              <w:rPr>
                <w:rFonts w:eastAsiaTheme="minorEastAsia"/>
                <w:color w:val="auto"/>
                <w:sz w:val="21"/>
                <w:szCs w:val="21"/>
              </w:rPr>
              <w:t>0.15</w:t>
            </w:r>
          </w:p>
        </w:tc>
        <w:tc>
          <w:tcPr>
            <w:tcW w:w="992" w:type="dxa"/>
            <w:vAlign w:val="center"/>
          </w:tcPr>
          <w:p>
            <w:pPr>
              <w:jc w:val="center"/>
              <w:rPr>
                <w:rFonts w:eastAsiaTheme="minorEastAsia"/>
                <w:color w:val="auto"/>
                <w:sz w:val="21"/>
                <w:szCs w:val="21"/>
              </w:rPr>
            </w:pPr>
            <w:r>
              <w:rPr>
                <w:rFonts w:eastAsiaTheme="minorEastAsia"/>
                <w:color w:val="auto"/>
                <w:sz w:val="21"/>
                <w:szCs w:val="21"/>
              </w:rPr>
              <w:t>0.29</w:t>
            </w:r>
          </w:p>
        </w:tc>
        <w:tc>
          <w:tcPr>
            <w:tcW w:w="992" w:type="dxa"/>
            <w:vAlign w:val="center"/>
          </w:tcPr>
          <w:p>
            <w:pPr>
              <w:jc w:val="center"/>
              <w:rPr>
                <w:rFonts w:eastAsiaTheme="minorEastAsia"/>
                <w:color w:val="auto"/>
                <w:sz w:val="21"/>
                <w:szCs w:val="21"/>
              </w:rPr>
            </w:pPr>
            <w:r>
              <w:rPr>
                <w:rFonts w:eastAsiaTheme="minorEastAsia"/>
                <w:color w:val="auto"/>
                <w:sz w:val="21"/>
                <w:szCs w:val="21"/>
              </w:rPr>
              <w:t>0.37</w:t>
            </w:r>
          </w:p>
        </w:tc>
        <w:tc>
          <w:tcPr>
            <w:tcW w:w="1122" w:type="dxa"/>
            <w:vAlign w:val="center"/>
          </w:tcPr>
          <w:p>
            <w:pPr>
              <w:jc w:val="center"/>
              <w:rPr>
                <w:rFonts w:eastAsiaTheme="minorEastAsia"/>
                <w:color w:val="auto"/>
                <w:sz w:val="21"/>
                <w:szCs w:val="21"/>
              </w:rPr>
            </w:pPr>
            <w:r>
              <w:rPr>
                <w:rFonts w:eastAsiaTheme="minorEastAsia"/>
                <w:color w:val="auto"/>
                <w:sz w:val="21"/>
                <w:szCs w:val="21"/>
              </w:rPr>
              <w:t>/</w:t>
            </w:r>
          </w:p>
        </w:tc>
        <w:tc>
          <w:tcPr>
            <w:tcW w:w="939" w:type="dxa"/>
            <w:vAlign w:val="center"/>
          </w:tcPr>
          <w:p>
            <w:pPr>
              <w:jc w:val="center"/>
              <w:rPr>
                <w:rFonts w:eastAsiaTheme="minorEastAsia"/>
                <w:color w:val="auto"/>
                <w:sz w:val="21"/>
                <w:szCs w:val="21"/>
              </w:rPr>
            </w:pPr>
            <w:r>
              <w:rPr>
                <w:rFonts w:eastAsiaTheme="minorEastAsia"/>
                <w:color w:val="auto"/>
                <w:sz w:val="21"/>
                <w:szCs w:val="21"/>
              </w:rPr>
              <w:t>/</w:t>
            </w:r>
          </w:p>
        </w:tc>
        <w:tc>
          <w:tcPr>
            <w:tcW w:w="939" w:type="dxa"/>
            <w:vAlign w:val="center"/>
          </w:tcPr>
          <w:p>
            <w:pPr>
              <w:jc w:val="center"/>
              <w:rPr>
                <w:rFonts w:eastAsiaTheme="minorEastAsia"/>
                <w:color w:val="auto"/>
                <w:sz w:val="21"/>
                <w:szCs w:val="21"/>
              </w:rPr>
            </w:pPr>
            <w:r>
              <w:rPr>
                <w:rFonts w:eastAsiaTheme="minorEastAsia"/>
                <w:color w:val="auto"/>
                <w:sz w:val="21"/>
                <w:szCs w:val="21"/>
              </w:rPr>
              <w:t>/</w:t>
            </w:r>
          </w:p>
        </w:tc>
        <w:tc>
          <w:tcPr>
            <w:tcW w:w="969"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0.16</w:t>
            </w:r>
          </w:p>
        </w:tc>
        <w:tc>
          <w:tcPr>
            <w:tcW w:w="997" w:type="dxa"/>
            <w:vAlign w:val="center"/>
          </w:tcPr>
          <w:p>
            <w:pPr>
              <w:jc w:val="center"/>
              <w:rPr>
                <w:rFonts w:eastAsiaTheme="minorEastAsia"/>
                <w:color w:val="auto"/>
                <w:sz w:val="21"/>
                <w:szCs w:val="21"/>
              </w:rPr>
            </w:pPr>
            <w:r>
              <w:rPr>
                <w:rFonts w:eastAsiaTheme="minorEastAsia"/>
                <w:color w:val="auto"/>
                <w:sz w:val="21"/>
                <w:szCs w:val="21"/>
              </w:rPr>
              <w:t>/</w:t>
            </w:r>
          </w:p>
        </w:tc>
        <w:tc>
          <w:tcPr>
            <w:tcW w:w="736" w:type="dxa"/>
            <w:vAlign w:val="center"/>
          </w:tcPr>
          <w:p>
            <w:pPr>
              <w:jc w:val="center"/>
              <w:rPr>
                <w:rFonts w:eastAsiaTheme="minorEastAsia"/>
                <w:color w:val="auto"/>
                <w:sz w:val="21"/>
                <w:szCs w:val="21"/>
              </w:rPr>
            </w:pPr>
            <w:r>
              <w:rPr>
                <w:rFonts w:eastAsiaTheme="minorEastAsia"/>
                <w:color w:val="auto"/>
                <w:sz w:val="21"/>
                <w:szCs w:val="21"/>
              </w:rPr>
              <w:t>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标准值（mg/L）</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6~9</w:t>
            </w:r>
          </w:p>
        </w:tc>
        <w:tc>
          <w:tcPr>
            <w:tcW w:w="851" w:type="dxa"/>
            <w:vAlign w:val="center"/>
          </w:tcPr>
          <w:p>
            <w:pPr>
              <w:jc w:val="center"/>
              <w:rPr>
                <w:rFonts w:eastAsiaTheme="minorEastAsia"/>
                <w:color w:val="auto"/>
                <w:sz w:val="21"/>
                <w:szCs w:val="21"/>
              </w:rPr>
            </w:pPr>
            <w:r>
              <w:rPr>
                <w:rFonts w:eastAsiaTheme="minorEastAsia"/>
                <w:color w:val="auto"/>
                <w:sz w:val="21"/>
                <w:szCs w:val="21"/>
              </w:rPr>
              <w:t>≥3</w:t>
            </w:r>
          </w:p>
        </w:tc>
        <w:tc>
          <w:tcPr>
            <w:tcW w:w="850" w:type="dxa"/>
            <w:vAlign w:val="center"/>
          </w:tcPr>
          <w:p>
            <w:pPr>
              <w:jc w:val="center"/>
              <w:rPr>
                <w:rFonts w:eastAsiaTheme="minorEastAsia"/>
                <w:color w:val="auto"/>
                <w:sz w:val="21"/>
                <w:szCs w:val="21"/>
              </w:rPr>
            </w:pPr>
            <w:r>
              <w:rPr>
                <w:rFonts w:eastAsiaTheme="minorEastAsia"/>
                <w:color w:val="auto"/>
                <w:sz w:val="21"/>
                <w:szCs w:val="21"/>
              </w:rPr>
              <w:t>≤1.5</w:t>
            </w:r>
          </w:p>
        </w:tc>
        <w:tc>
          <w:tcPr>
            <w:tcW w:w="851" w:type="dxa"/>
            <w:vAlign w:val="center"/>
          </w:tcPr>
          <w:p>
            <w:pPr>
              <w:jc w:val="center"/>
              <w:rPr>
                <w:rFonts w:eastAsiaTheme="minorEastAsia"/>
                <w:color w:val="auto"/>
                <w:sz w:val="21"/>
                <w:szCs w:val="21"/>
              </w:rPr>
            </w:pPr>
            <w:r>
              <w:rPr>
                <w:rFonts w:eastAsiaTheme="minorEastAsia"/>
                <w:color w:val="auto"/>
                <w:sz w:val="21"/>
                <w:szCs w:val="21"/>
              </w:rPr>
              <w:t>≤1.5</w:t>
            </w:r>
          </w:p>
        </w:tc>
        <w:tc>
          <w:tcPr>
            <w:tcW w:w="992" w:type="dxa"/>
            <w:vAlign w:val="center"/>
          </w:tcPr>
          <w:p>
            <w:pPr>
              <w:jc w:val="center"/>
              <w:rPr>
                <w:rFonts w:eastAsiaTheme="minorEastAsia"/>
                <w:color w:val="auto"/>
                <w:sz w:val="21"/>
                <w:szCs w:val="21"/>
              </w:rPr>
            </w:pPr>
            <w:r>
              <w:rPr>
                <w:rFonts w:eastAsiaTheme="minorEastAsia"/>
                <w:color w:val="auto"/>
                <w:sz w:val="21"/>
                <w:szCs w:val="21"/>
              </w:rPr>
              <w:t>≤10</w:t>
            </w:r>
          </w:p>
        </w:tc>
        <w:tc>
          <w:tcPr>
            <w:tcW w:w="992" w:type="dxa"/>
            <w:vAlign w:val="center"/>
          </w:tcPr>
          <w:p>
            <w:pPr>
              <w:jc w:val="center"/>
              <w:rPr>
                <w:rFonts w:eastAsiaTheme="minorEastAsia"/>
                <w:color w:val="auto"/>
                <w:sz w:val="21"/>
                <w:szCs w:val="21"/>
              </w:rPr>
            </w:pPr>
            <w:r>
              <w:rPr>
                <w:rFonts w:eastAsiaTheme="minorEastAsia"/>
                <w:color w:val="auto"/>
                <w:sz w:val="21"/>
                <w:szCs w:val="21"/>
              </w:rPr>
              <w:t>≤30</w:t>
            </w:r>
          </w:p>
        </w:tc>
        <w:tc>
          <w:tcPr>
            <w:tcW w:w="1122" w:type="dxa"/>
            <w:vAlign w:val="center"/>
          </w:tcPr>
          <w:p>
            <w:pPr>
              <w:jc w:val="center"/>
              <w:rPr>
                <w:rFonts w:eastAsiaTheme="minorEastAsia"/>
                <w:color w:val="auto"/>
                <w:sz w:val="21"/>
                <w:szCs w:val="21"/>
              </w:rPr>
            </w:pPr>
            <w:r>
              <w:rPr>
                <w:rFonts w:eastAsiaTheme="minorEastAsia"/>
                <w:color w:val="auto"/>
                <w:sz w:val="21"/>
                <w:szCs w:val="21"/>
              </w:rPr>
              <w:t>≤0.01</w:t>
            </w:r>
          </w:p>
        </w:tc>
        <w:tc>
          <w:tcPr>
            <w:tcW w:w="939" w:type="dxa"/>
            <w:vAlign w:val="center"/>
          </w:tcPr>
          <w:p>
            <w:pPr>
              <w:jc w:val="center"/>
              <w:rPr>
                <w:rFonts w:eastAsiaTheme="minorEastAsia"/>
                <w:color w:val="auto"/>
                <w:sz w:val="21"/>
                <w:szCs w:val="21"/>
              </w:rPr>
            </w:pPr>
            <w:r>
              <w:rPr>
                <w:rFonts w:eastAsiaTheme="minorEastAsia"/>
                <w:color w:val="auto"/>
                <w:sz w:val="21"/>
                <w:szCs w:val="21"/>
              </w:rPr>
              <w:t>≤0.5</w:t>
            </w:r>
          </w:p>
        </w:tc>
        <w:tc>
          <w:tcPr>
            <w:tcW w:w="939" w:type="dxa"/>
            <w:vAlign w:val="center"/>
          </w:tcPr>
          <w:p>
            <w:pPr>
              <w:jc w:val="center"/>
              <w:rPr>
                <w:rFonts w:eastAsiaTheme="minorEastAsia"/>
                <w:color w:val="auto"/>
                <w:sz w:val="21"/>
                <w:szCs w:val="21"/>
              </w:rPr>
            </w:pPr>
            <w:r>
              <w:rPr>
                <w:rFonts w:eastAsiaTheme="minorEastAsia"/>
                <w:color w:val="auto"/>
                <w:sz w:val="21"/>
                <w:szCs w:val="21"/>
              </w:rPr>
              <w:t>≤250</w:t>
            </w:r>
          </w:p>
        </w:tc>
        <w:tc>
          <w:tcPr>
            <w:tcW w:w="969" w:type="dxa"/>
            <w:vAlign w:val="center"/>
          </w:tcPr>
          <w:p>
            <w:pPr>
              <w:jc w:val="center"/>
              <w:rPr>
                <w:rFonts w:eastAsiaTheme="minorEastAsia"/>
                <w:color w:val="auto"/>
                <w:sz w:val="21"/>
                <w:szCs w:val="21"/>
              </w:rPr>
            </w:pPr>
            <w:r>
              <w:rPr>
                <w:rFonts w:eastAsiaTheme="minorEastAsia"/>
                <w:color w:val="auto"/>
                <w:sz w:val="21"/>
                <w:szCs w:val="21"/>
              </w:rPr>
              <w:t>≤0.05</w:t>
            </w:r>
          </w:p>
        </w:tc>
        <w:tc>
          <w:tcPr>
            <w:tcW w:w="851" w:type="dxa"/>
            <w:vAlign w:val="center"/>
          </w:tcPr>
          <w:p>
            <w:pPr>
              <w:jc w:val="center"/>
              <w:rPr>
                <w:rFonts w:eastAsiaTheme="minorEastAsia"/>
                <w:color w:val="auto"/>
                <w:sz w:val="21"/>
                <w:szCs w:val="21"/>
              </w:rPr>
            </w:pPr>
            <w:r>
              <w:rPr>
                <w:rFonts w:eastAsiaTheme="minorEastAsia"/>
                <w:color w:val="auto"/>
                <w:sz w:val="21"/>
                <w:szCs w:val="21"/>
              </w:rPr>
              <w:t>≤250</w:t>
            </w:r>
          </w:p>
        </w:tc>
        <w:tc>
          <w:tcPr>
            <w:tcW w:w="997" w:type="dxa"/>
            <w:vAlign w:val="center"/>
          </w:tcPr>
          <w:p>
            <w:pPr>
              <w:jc w:val="center"/>
              <w:rPr>
                <w:rFonts w:eastAsiaTheme="minorEastAsia"/>
                <w:color w:val="auto"/>
                <w:sz w:val="21"/>
                <w:szCs w:val="21"/>
              </w:rPr>
            </w:pPr>
            <w:r>
              <w:rPr>
                <w:rFonts w:eastAsiaTheme="minorEastAsia"/>
                <w:color w:val="auto"/>
                <w:sz w:val="21"/>
                <w:szCs w:val="21"/>
              </w:rPr>
              <w:t>≤0.2</w:t>
            </w:r>
          </w:p>
        </w:tc>
        <w:tc>
          <w:tcPr>
            <w:tcW w:w="736" w:type="dxa"/>
            <w:vAlign w:val="center"/>
          </w:tcPr>
          <w:p>
            <w:pPr>
              <w:jc w:val="center"/>
              <w:rPr>
                <w:rFonts w:eastAsiaTheme="minorEastAsia"/>
                <w:color w:val="auto"/>
                <w:sz w:val="21"/>
                <w:szCs w:val="21"/>
              </w:rPr>
            </w:pPr>
            <w:r>
              <w:rPr>
                <w:rFonts w:eastAsiaTheme="minorEastAsia"/>
                <w:color w:val="auto"/>
                <w:sz w:val="21"/>
                <w:szCs w:val="21"/>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restart"/>
            <w:vAlign w:val="center"/>
          </w:tcPr>
          <w:p>
            <w:pPr>
              <w:jc w:val="center"/>
              <w:rPr>
                <w:rFonts w:eastAsiaTheme="minorEastAsia"/>
                <w:color w:val="auto"/>
                <w:sz w:val="21"/>
                <w:szCs w:val="21"/>
              </w:rPr>
            </w:pPr>
            <w:r>
              <w:rPr>
                <w:rFonts w:eastAsiaTheme="minorEastAsia"/>
                <w:color w:val="auto"/>
                <w:sz w:val="21"/>
                <w:szCs w:val="21"/>
              </w:rPr>
              <w:t>W3</w:t>
            </w:r>
          </w:p>
        </w:tc>
        <w:tc>
          <w:tcPr>
            <w:tcW w:w="464" w:type="dxa"/>
            <w:gridSpan w:val="2"/>
            <w:vMerge w:val="restart"/>
            <w:vAlign w:val="center"/>
          </w:tcPr>
          <w:p>
            <w:pPr>
              <w:jc w:val="center"/>
              <w:rPr>
                <w:rFonts w:eastAsiaTheme="minorEastAsia"/>
                <w:color w:val="auto"/>
                <w:sz w:val="21"/>
                <w:szCs w:val="21"/>
              </w:rPr>
            </w:pPr>
            <w:r>
              <w:rPr>
                <w:rFonts w:eastAsiaTheme="minorEastAsia"/>
                <w:color w:val="auto"/>
                <w:sz w:val="21"/>
                <w:szCs w:val="21"/>
              </w:rPr>
              <w:t>监测值</w:t>
            </w:r>
          </w:p>
        </w:tc>
        <w:tc>
          <w:tcPr>
            <w:tcW w:w="812" w:type="dxa"/>
            <w:vAlign w:val="center"/>
          </w:tcPr>
          <w:p>
            <w:pPr>
              <w:jc w:val="center"/>
              <w:rPr>
                <w:rFonts w:eastAsiaTheme="minorEastAsia"/>
                <w:color w:val="auto"/>
                <w:sz w:val="21"/>
                <w:szCs w:val="21"/>
              </w:rPr>
            </w:pPr>
            <w:r>
              <w:rPr>
                <w:rFonts w:eastAsiaTheme="minorEastAsia"/>
                <w:color w:val="auto"/>
                <w:sz w:val="21"/>
                <w:szCs w:val="21"/>
              </w:rPr>
              <w:t>2019.3.25</w:t>
            </w:r>
          </w:p>
        </w:tc>
        <w:tc>
          <w:tcPr>
            <w:tcW w:w="708" w:type="dxa"/>
            <w:vAlign w:val="center"/>
          </w:tcPr>
          <w:p>
            <w:pPr>
              <w:jc w:val="center"/>
              <w:rPr>
                <w:rFonts w:eastAsiaTheme="minorEastAsia"/>
                <w:color w:val="auto"/>
                <w:sz w:val="21"/>
                <w:szCs w:val="21"/>
              </w:rPr>
            </w:pPr>
            <w:r>
              <w:rPr>
                <w:rFonts w:eastAsiaTheme="minorEastAsia"/>
                <w:color w:val="auto"/>
                <w:sz w:val="21"/>
                <w:szCs w:val="21"/>
              </w:rPr>
              <w:t>23.8</w:t>
            </w:r>
          </w:p>
        </w:tc>
        <w:tc>
          <w:tcPr>
            <w:tcW w:w="709" w:type="dxa"/>
            <w:vAlign w:val="center"/>
          </w:tcPr>
          <w:p>
            <w:pPr>
              <w:jc w:val="center"/>
              <w:rPr>
                <w:rFonts w:eastAsiaTheme="minorEastAsia"/>
                <w:color w:val="auto"/>
                <w:sz w:val="21"/>
                <w:szCs w:val="21"/>
              </w:rPr>
            </w:pPr>
            <w:r>
              <w:rPr>
                <w:rFonts w:eastAsiaTheme="minorEastAsia"/>
                <w:color w:val="auto"/>
                <w:sz w:val="21"/>
                <w:szCs w:val="21"/>
              </w:rPr>
              <w:t>6.68</w:t>
            </w:r>
          </w:p>
        </w:tc>
        <w:tc>
          <w:tcPr>
            <w:tcW w:w="851" w:type="dxa"/>
            <w:vAlign w:val="center"/>
          </w:tcPr>
          <w:p>
            <w:pPr>
              <w:jc w:val="center"/>
              <w:rPr>
                <w:rFonts w:eastAsiaTheme="minorEastAsia"/>
                <w:color w:val="auto"/>
                <w:sz w:val="21"/>
                <w:szCs w:val="21"/>
              </w:rPr>
            </w:pPr>
            <w:r>
              <w:rPr>
                <w:rFonts w:eastAsiaTheme="minorEastAsia"/>
                <w:color w:val="auto"/>
                <w:sz w:val="21"/>
                <w:szCs w:val="21"/>
              </w:rPr>
              <w:t>5.2</w:t>
            </w:r>
          </w:p>
        </w:tc>
        <w:tc>
          <w:tcPr>
            <w:tcW w:w="850" w:type="dxa"/>
            <w:vAlign w:val="center"/>
          </w:tcPr>
          <w:p>
            <w:pPr>
              <w:jc w:val="center"/>
              <w:rPr>
                <w:rFonts w:eastAsiaTheme="minorEastAsia"/>
                <w:color w:val="auto"/>
                <w:sz w:val="21"/>
                <w:szCs w:val="21"/>
              </w:rPr>
            </w:pPr>
            <w:r>
              <w:rPr>
                <w:rFonts w:eastAsiaTheme="minorEastAsia"/>
                <w:color w:val="auto"/>
                <w:sz w:val="21"/>
                <w:szCs w:val="21"/>
              </w:rPr>
              <w:t>0.22</w:t>
            </w:r>
          </w:p>
        </w:tc>
        <w:tc>
          <w:tcPr>
            <w:tcW w:w="851" w:type="dxa"/>
            <w:vAlign w:val="center"/>
          </w:tcPr>
          <w:p>
            <w:pPr>
              <w:jc w:val="center"/>
              <w:rPr>
                <w:rFonts w:eastAsiaTheme="minorEastAsia"/>
                <w:color w:val="auto"/>
                <w:sz w:val="21"/>
                <w:szCs w:val="21"/>
              </w:rPr>
            </w:pPr>
            <w:r>
              <w:rPr>
                <w:rFonts w:eastAsiaTheme="minorEastAsia"/>
                <w:color w:val="auto"/>
                <w:sz w:val="21"/>
                <w:szCs w:val="21"/>
              </w:rPr>
              <w:t>2.25</w:t>
            </w:r>
          </w:p>
        </w:tc>
        <w:tc>
          <w:tcPr>
            <w:tcW w:w="992" w:type="dxa"/>
            <w:vAlign w:val="center"/>
          </w:tcPr>
          <w:p>
            <w:pPr>
              <w:jc w:val="center"/>
              <w:rPr>
                <w:rFonts w:eastAsiaTheme="minorEastAsia"/>
                <w:color w:val="auto"/>
                <w:sz w:val="21"/>
                <w:szCs w:val="21"/>
              </w:rPr>
            </w:pPr>
            <w:r>
              <w:rPr>
                <w:rFonts w:eastAsiaTheme="minorEastAsia"/>
                <w:color w:val="auto"/>
                <w:sz w:val="21"/>
                <w:szCs w:val="21"/>
              </w:rPr>
              <w:t>6.0</w:t>
            </w:r>
          </w:p>
        </w:tc>
        <w:tc>
          <w:tcPr>
            <w:tcW w:w="992" w:type="dxa"/>
            <w:vAlign w:val="center"/>
          </w:tcPr>
          <w:p>
            <w:pPr>
              <w:jc w:val="center"/>
              <w:rPr>
                <w:rFonts w:eastAsiaTheme="minorEastAsia"/>
                <w:color w:val="auto"/>
                <w:sz w:val="21"/>
                <w:szCs w:val="21"/>
              </w:rPr>
            </w:pPr>
            <w:r>
              <w:rPr>
                <w:rFonts w:eastAsiaTheme="minorEastAsia"/>
                <w:color w:val="auto"/>
                <w:sz w:val="21"/>
                <w:szCs w:val="21"/>
              </w:rPr>
              <w:t>13</w:t>
            </w:r>
          </w:p>
        </w:tc>
        <w:tc>
          <w:tcPr>
            <w:tcW w:w="1122" w:type="dxa"/>
            <w:vAlign w:val="center"/>
          </w:tcPr>
          <w:p>
            <w:pPr>
              <w:jc w:val="center"/>
              <w:rPr>
                <w:rFonts w:eastAsiaTheme="minorEastAsia"/>
                <w:color w:val="auto"/>
                <w:sz w:val="21"/>
                <w:szCs w:val="21"/>
              </w:rPr>
            </w:pPr>
            <w:r>
              <w:rPr>
                <w:rFonts w:eastAsiaTheme="minorEastAsia"/>
                <w:color w:val="auto"/>
                <w:sz w:val="21"/>
                <w:szCs w:val="21"/>
              </w:rPr>
              <w:t>＜0.0003</w:t>
            </w:r>
          </w:p>
        </w:tc>
        <w:tc>
          <w:tcPr>
            <w:tcW w:w="939"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＜8.00</w:t>
            </w:r>
          </w:p>
        </w:tc>
        <w:tc>
          <w:tcPr>
            <w:tcW w:w="969" w:type="dxa"/>
            <w:vAlign w:val="center"/>
          </w:tcPr>
          <w:p>
            <w:pPr>
              <w:jc w:val="center"/>
              <w:rPr>
                <w:rFonts w:eastAsiaTheme="minorEastAsia"/>
                <w:color w:val="auto"/>
                <w:sz w:val="21"/>
                <w:szCs w:val="21"/>
              </w:rPr>
            </w:pPr>
            <w:r>
              <w:rPr>
                <w:rFonts w:eastAsiaTheme="minorEastAsia"/>
                <w:color w:val="auto"/>
                <w:sz w:val="21"/>
                <w:szCs w:val="21"/>
              </w:rPr>
              <w:t>＜0.004</w:t>
            </w:r>
          </w:p>
        </w:tc>
        <w:tc>
          <w:tcPr>
            <w:tcW w:w="851" w:type="dxa"/>
            <w:vAlign w:val="center"/>
          </w:tcPr>
          <w:p>
            <w:pPr>
              <w:jc w:val="center"/>
              <w:rPr>
                <w:rFonts w:eastAsiaTheme="minorEastAsia"/>
                <w:color w:val="auto"/>
                <w:sz w:val="21"/>
                <w:szCs w:val="21"/>
              </w:rPr>
            </w:pPr>
            <w:r>
              <w:rPr>
                <w:rFonts w:eastAsiaTheme="minorEastAsia"/>
                <w:color w:val="auto"/>
                <w:sz w:val="21"/>
                <w:szCs w:val="21"/>
              </w:rPr>
              <w:t>80.8</w:t>
            </w:r>
          </w:p>
        </w:tc>
        <w:tc>
          <w:tcPr>
            <w:tcW w:w="997" w:type="dxa"/>
            <w:vAlign w:val="center"/>
          </w:tcPr>
          <w:p>
            <w:pPr>
              <w:jc w:val="center"/>
              <w:rPr>
                <w:rFonts w:eastAsiaTheme="minorEastAsia"/>
                <w:color w:val="auto"/>
                <w:sz w:val="21"/>
                <w:szCs w:val="21"/>
              </w:rPr>
            </w:pPr>
            <w:r>
              <w:rPr>
                <w:rFonts w:eastAsiaTheme="minorEastAsia"/>
                <w:color w:val="auto"/>
                <w:sz w:val="21"/>
                <w:szCs w:val="21"/>
              </w:rPr>
              <w:t>＜0.004</w:t>
            </w:r>
          </w:p>
        </w:tc>
        <w:tc>
          <w:tcPr>
            <w:tcW w:w="736" w:type="dxa"/>
            <w:vAlign w:val="center"/>
          </w:tcPr>
          <w:p>
            <w:pPr>
              <w:jc w:val="center"/>
              <w:rPr>
                <w:rFonts w:eastAsiaTheme="minorEastAsia"/>
                <w:color w:val="auto"/>
                <w:sz w:val="21"/>
                <w:szCs w:val="21"/>
              </w:rPr>
            </w:pPr>
            <w:r>
              <w:rPr>
                <w:rFonts w:eastAsiaTheme="minorEastAsia"/>
                <w:color w:val="auto"/>
                <w:sz w:val="21"/>
                <w:szCs w:val="21"/>
              </w:rPr>
              <w:t>0.18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464" w:type="dxa"/>
            <w:gridSpan w:val="2"/>
            <w:vMerge w:val="continue"/>
            <w:vAlign w:val="center"/>
          </w:tcPr>
          <w:p>
            <w:pPr>
              <w:jc w:val="center"/>
              <w:rPr>
                <w:rFonts w:eastAsiaTheme="minorEastAsia"/>
                <w:color w:val="auto"/>
                <w:sz w:val="21"/>
                <w:szCs w:val="21"/>
              </w:rPr>
            </w:pPr>
          </w:p>
        </w:tc>
        <w:tc>
          <w:tcPr>
            <w:tcW w:w="812" w:type="dxa"/>
            <w:vAlign w:val="center"/>
          </w:tcPr>
          <w:p>
            <w:pPr>
              <w:jc w:val="center"/>
              <w:rPr>
                <w:rFonts w:eastAsiaTheme="minorEastAsia"/>
                <w:color w:val="auto"/>
                <w:sz w:val="21"/>
                <w:szCs w:val="21"/>
              </w:rPr>
            </w:pPr>
            <w:r>
              <w:rPr>
                <w:rFonts w:eastAsiaTheme="minorEastAsia"/>
                <w:color w:val="auto"/>
                <w:sz w:val="21"/>
                <w:szCs w:val="21"/>
              </w:rPr>
              <w:t>2019.3.26</w:t>
            </w:r>
          </w:p>
        </w:tc>
        <w:tc>
          <w:tcPr>
            <w:tcW w:w="708" w:type="dxa"/>
            <w:vAlign w:val="center"/>
          </w:tcPr>
          <w:p>
            <w:pPr>
              <w:jc w:val="center"/>
              <w:rPr>
                <w:rFonts w:eastAsiaTheme="minorEastAsia"/>
                <w:color w:val="auto"/>
                <w:sz w:val="21"/>
                <w:szCs w:val="21"/>
              </w:rPr>
            </w:pPr>
            <w:r>
              <w:rPr>
                <w:rFonts w:eastAsiaTheme="minorEastAsia"/>
                <w:color w:val="auto"/>
                <w:sz w:val="21"/>
                <w:szCs w:val="21"/>
              </w:rPr>
              <w:t>23.2</w:t>
            </w:r>
          </w:p>
        </w:tc>
        <w:tc>
          <w:tcPr>
            <w:tcW w:w="709" w:type="dxa"/>
            <w:vAlign w:val="center"/>
          </w:tcPr>
          <w:p>
            <w:pPr>
              <w:jc w:val="center"/>
              <w:rPr>
                <w:rFonts w:eastAsiaTheme="minorEastAsia"/>
                <w:color w:val="auto"/>
                <w:sz w:val="21"/>
                <w:szCs w:val="21"/>
              </w:rPr>
            </w:pPr>
            <w:r>
              <w:rPr>
                <w:rFonts w:eastAsiaTheme="minorEastAsia"/>
                <w:color w:val="auto"/>
                <w:sz w:val="21"/>
                <w:szCs w:val="21"/>
              </w:rPr>
              <w:t>6.85</w:t>
            </w:r>
          </w:p>
        </w:tc>
        <w:tc>
          <w:tcPr>
            <w:tcW w:w="851" w:type="dxa"/>
            <w:vAlign w:val="center"/>
          </w:tcPr>
          <w:p>
            <w:pPr>
              <w:jc w:val="center"/>
              <w:rPr>
                <w:rFonts w:eastAsiaTheme="minorEastAsia"/>
                <w:color w:val="auto"/>
                <w:sz w:val="21"/>
                <w:szCs w:val="21"/>
              </w:rPr>
            </w:pPr>
            <w:r>
              <w:rPr>
                <w:rFonts w:eastAsiaTheme="minorEastAsia"/>
                <w:color w:val="auto"/>
                <w:sz w:val="21"/>
                <w:szCs w:val="21"/>
              </w:rPr>
              <w:t>5.4</w:t>
            </w:r>
          </w:p>
        </w:tc>
        <w:tc>
          <w:tcPr>
            <w:tcW w:w="850" w:type="dxa"/>
            <w:vAlign w:val="center"/>
          </w:tcPr>
          <w:p>
            <w:pPr>
              <w:jc w:val="center"/>
              <w:rPr>
                <w:rFonts w:eastAsiaTheme="minorEastAsia"/>
                <w:color w:val="auto"/>
                <w:sz w:val="21"/>
                <w:szCs w:val="21"/>
              </w:rPr>
            </w:pPr>
            <w:r>
              <w:rPr>
                <w:rFonts w:eastAsiaTheme="minorEastAsia"/>
                <w:color w:val="auto"/>
                <w:sz w:val="21"/>
                <w:szCs w:val="21"/>
              </w:rPr>
              <w:t>0.20</w:t>
            </w:r>
          </w:p>
        </w:tc>
        <w:tc>
          <w:tcPr>
            <w:tcW w:w="851" w:type="dxa"/>
            <w:vAlign w:val="center"/>
          </w:tcPr>
          <w:p>
            <w:pPr>
              <w:jc w:val="center"/>
              <w:rPr>
                <w:rFonts w:eastAsiaTheme="minorEastAsia"/>
                <w:color w:val="auto"/>
                <w:sz w:val="21"/>
                <w:szCs w:val="21"/>
              </w:rPr>
            </w:pPr>
            <w:r>
              <w:rPr>
                <w:rFonts w:eastAsiaTheme="minorEastAsia"/>
                <w:color w:val="auto"/>
                <w:sz w:val="21"/>
                <w:szCs w:val="21"/>
              </w:rPr>
              <w:t>2.28</w:t>
            </w:r>
          </w:p>
        </w:tc>
        <w:tc>
          <w:tcPr>
            <w:tcW w:w="992" w:type="dxa"/>
            <w:vAlign w:val="center"/>
          </w:tcPr>
          <w:p>
            <w:pPr>
              <w:jc w:val="center"/>
              <w:rPr>
                <w:rFonts w:eastAsiaTheme="minorEastAsia"/>
                <w:color w:val="auto"/>
                <w:sz w:val="21"/>
                <w:szCs w:val="21"/>
              </w:rPr>
            </w:pPr>
            <w:r>
              <w:rPr>
                <w:rFonts w:eastAsiaTheme="minorEastAsia"/>
                <w:color w:val="auto"/>
                <w:sz w:val="21"/>
                <w:szCs w:val="21"/>
              </w:rPr>
              <w:t>5.6</w:t>
            </w:r>
          </w:p>
        </w:tc>
        <w:tc>
          <w:tcPr>
            <w:tcW w:w="992" w:type="dxa"/>
            <w:vAlign w:val="center"/>
          </w:tcPr>
          <w:p>
            <w:pPr>
              <w:jc w:val="center"/>
              <w:rPr>
                <w:rFonts w:eastAsiaTheme="minorEastAsia"/>
                <w:color w:val="auto"/>
                <w:sz w:val="21"/>
                <w:szCs w:val="21"/>
              </w:rPr>
            </w:pPr>
            <w:r>
              <w:rPr>
                <w:rFonts w:eastAsiaTheme="minorEastAsia"/>
                <w:color w:val="auto"/>
                <w:sz w:val="21"/>
                <w:szCs w:val="21"/>
              </w:rPr>
              <w:t>12</w:t>
            </w:r>
          </w:p>
        </w:tc>
        <w:tc>
          <w:tcPr>
            <w:tcW w:w="1122" w:type="dxa"/>
            <w:vAlign w:val="center"/>
          </w:tcPr>
          <w:p>
            <w:pPr>
              <w:jc w:val="center"/>
              <w:rPr>
                <w:rFonts w:eastAsiaTheme="minorEastAsia"/>
                <w:color w:val="auto"/>
                <w:sz w:val="21"/>
                <w:szCs w:val="21"/>
              </w:rPr>
            </w:pPr>
            <w:r>
              <w:rPr>
                <w:rFonts w:eastAsiaTheme="minorEastAsia"/>
                <w:color w:val="auto"/>
                <w:sz w:val="21"/>
                <w:szCs w:val="21"/>
              </w:rPr>
              <w:t>＜0.0003</w:t>
            </w:r>
          </w:p>
        </w:tc>
        <w:tc>
          <w:tcPr>
            <w:tcW w:w="939"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＜8.00</w:t>
            </w:r>
          </w:p>
        </w:tc>
        <w:tc>
          <w:tcPr>
            <w:tcW w:w="969" w:type="dxa"/>
            <w:vAlign w:val="center"/>
          </w:tcPr>
          <w:p>
            <w:pPr>
              <w:jc w:val="center"/>
              <w:rPr>
                <w:rFonts w:eastAsiaTheme="minorEastAsia"/>
                <w:color w:val="auto"/>
                <w:sz w:val="21"/>
                <w:szCs w:val="21"/>
              </w:rPr>
            </w:pPr>
            <w:r>
              <w:rPr>
                <w:rFonts w:eastAsiaTheme="minorEastAsia"/>
                <w:color w:val="auto"/>
                <w:sz w:val="21"/>
                <w:szCs w:val="21"/>
              </w:rPr>
              <w:t>＜0.004</w:t>
            </w:r>
          </w:p>
        </w:tc>
        <w:tc>
          <w:tcPr>
            <w:tcW w:w="851" w:type="dxa"/>
            <w:vAlign w:val="center"/>
          </w:tcPr>
          <w:p>
            <w:pPr>
              <w:jc w:val="center"/>
              <w:rPr>
                <w:rFonts w:eastAsiaTheme="minorEastAsia"/>
                <w:color w:val="auto"/>
                <w:sz w:val="21"/>
                <w:szCs w:val="21"/>
              </w:rPr>
            </w:pPr>
            <w:r>
              <w:rPr>
                <w:rFonts w:eastAsiaTheme="minorEastAsia"/>
                <w:color w:val="auto"/>
                <w:sz w:val="21"/>
                <w:szCs w:val="21"/>
              </w:rPr>
              <w:t>78.0</w:t>
            </w:r>
          </w:p>
        </w:tc>
        <w:tc>
          <w:tcPr>
            <w:tcW w:w="997" w:type="dxa"/>
            <w:vAlign w:val="center"/>
          </w:tcPr>
          <w:p>
            <w:pPr>
              <w:jc w:val="center"/>
              <w:rPr>
                <w:rFonts w:eastAsiaTheme="minorEastAsia"/>
                <w:color w:val="auto"/>
                <w:sz w:val="21"/>
                <w:szCs w:val="21"/>
              </w:rPr>
            </w:pPr>
            <w:r>
              <w:rPr>
                <w:rFonts w:eastAsiaTheme="minorEastAsia"/>
                <w:color w:val="auto"/>
                <w:sz w:val="21"/>
                <w:szCs w:val="21"/>
              </w:rPr>
              <w:t>＜0.004</w:t>
            </w:r>
          </w:p>
        </w:tc>
        <w:tc>
          <w:tcPr>
            <w:tcW w:w="736" w:type="dxa"/>
            <w:vAlign w:val="center"/>
          </w:tcPr>
          <w:p>
            <w:pPr>
              <w:jc w:val="center"/>
              <w:rPr>
                <w:rFonts w:eastAsiaTheme="minorEastAsia"/>
                <w:color w:val="auto"/>
                <w:sz w:val="21"/>
                <w:szCs w:val="21"/>
              </w:rPr>
            </w:pPr>
            <w:r>
              <w:rPr>
                <w:rFonts w:eastAsiaTheme="minorEastAsia"/>
                <w:color w:val="auto"/>
                <w:sz w:val="21"/>
                <w:szCs w:val="21"/>
              </w:rPr>
              <w:t>0.17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464" w:type="dxa"/>
            <w:gridSpan w:val="2"/>
            <w:vMerge w:val="continue"/>
            <w:vAlign w:val="center"/>
          </w:tcPr>
          <w:p>
            <w:pPr>
              <w:jc w:val="center"/>
              <w:rPr>
                <w:rFonts w:eastAsiaTheme="minorEastAsia"/>
                <w:color w:val="auto"/>
                <w:sz w:val="21"/>
                <w:szCs w:val="21"/>
              </w:rPr>
            </w:pPr>
          </w:p>
        </w:tc>
        <w:tc>
          <w:tcPr>
            <w:tcW w:w="812" w:type="dxa"/>
            <w:vAlign w:val="center"/>
          </w:tcPr>
          <w:p>
            <w:pPr>
              <w:jc w:val="center"/>
              <w:rPr>
                <w:rFonts w:eastAsiaTheme="minorEastAsia"/>
                <w:color w:val="auto"/>
                <w:sz w:val="21"/>
                <w:szCs w:val="21"/>
              </w:rPr>
            </w:pPr>
            <w:r>
              <w:rPr>
                <w:rFonts w:eastAsiaTheme="minorEastAsia"/>
                <w:color w:val="auto"/>
                <w:sz w:val="21"/>
                <w:szCs w:val="21"/>
              </w:rPr>
              <w:t>2019.3.27</w:t>
            </w:r>
          </w:p>
        </w:tc>
        <w:tc>
          <w:tcPr>
            <w:tcW w:w="708" w:type="dxa"/>
            <w:vAlign w:val="center"/>
          </w:tcPr>
          <w:p>
            <w:pPr>
              <w:jc w:val="center"/>
              <w:rPr>
                <w:rFonts w:eastAsiaTheme="minorEastAsia"/>
                <w:color w:val="auto"/>
                <w:sz w:val="21"/>
                <w:szCs w:val="21"/>
              </w:rPr>
            </w:pPr>
            <w:r>
              <w:rPr>
                <w:rFonts w:eastAsiaTheme="minorEastAsia"/>
                <w:color w:val="auto"/>
                <w:sz w:val="21"/>
                <w:szCs w:val="21"/>
              </w:rPr>
              <w:t>23.4</w:t>
            </w:r>
          </w:p>
        </w:tc>
        <w:tc>
          <w:tcPr>
            <w:tcW w:w="709" w:type="dxa"/>
            <w:vAlign w:val="center"/>
          </w:tcPr>
          <w:p>
            <w:pPr>
              <w:jc w:val="center"/>
              <w:rPr>
                <w:rFonts w:eastAsiaTheme="minorEastAsia"/>
                <w:color w:val="auto"/>
                <w:sz w:val="21"/>
                <w:szCs w:val="21"/>
              </w:rPr>
            </w:pPr>
            <w:r>
              <w:rPr>
                <w:rFonts w:eastAsiaTheme="minorEastAsia"/>
                <w:color w:val="auto"/>
                <w:sz w:val="21"/>
                <w:szCs w:val="21"/>
              </w:rPr>
              <w:t>6.85</w:t>
            </w:r>
          </w:p>
        </w:tc>
        <w:tc>
          <w:tcPr>
            <w:tcW w:w="851" w:type="dxa"/>
            <w:vAlign w:val="center"/>
          </w:tcPr>
          <w:p>
            <w:pPr>
              <w:jc w:val="center"/>
              <w:rPr>
                <w:rFonts w:eastAsiaTheme="minorEastAsia"/>
                <w:color w:val="auto"/>
                <w:sz w:val="21"/>
                <w:szCs w:val="21"/>
              </w:rPr>
            </w:pPr>
            <w:r>
              <w:rPr>
                <w:rFonts w:eastAsiaTheme="minorEastAsia"/>
                <w:color w:val="auto"/>
                <w:sz w:val="21"/>
                <w:szCs w:val="21"/>
              </w:rPr>
              <w:t>5.3</w:t>
            </w:r>
          </w:p>
        </w:tc>
        <w:tc>
          <w:tcPr>
            <w:tcW w:w="850" w:type="dxa"/>
            <w:vAlign w:val="center"/>
          </w:tcPr>
          <w:p>
            <w:pPr>
              <w:jc w:val="center"/>
              <w:rPr>
                <w:rFonts w:eastAsiaTheme="minorEastAsia"/>
                <w:color w:val="auto"/>
                <w:sz w:val="21"/>
                <w:szCs w:val="21"/>
              </w:rPr>
            </w:pPr>
            <w:r>
              <w:rPr>
                <w:rFonts w:eastAsiaTheme="minorEastAsia"/>
                <w:color w:val="auto"/>
                <w:sz w:val="21"/>
                <w:szCs w:val="21"/>
              </w:rPr>
              <w:t>0.20</w:t>
            </w:r>
          </w:p>
        </w:tc>
        <w:tc>
          <w:tcPr>
            <w:tcW w:w="851" w:type="dxa"/>
            <w:vAlign w:val="center"/>
          </w:tcPr>
          <w:p>
            <w:pPr>
              <w:jc w:val="center"/>
              <w:rPr>
                <w:rFonts w:eastAsiaTheme="minorEastAsia"/>
                <w:color w:val="auto"/>
                <w:sz w:val="21"/>
                <w:szCs w:val="21"/>
              </w:rPr>
            </w:pPr>
            <w:r>
              <w:rPr>
                <w:rFonts w:eastAsiaTheme="minorEastAsia"/>
                <w:color w:val="auto"/>
                <w:sz w:val="21"/>
                <w:szCs w:val="21"/>
              </w:rPr>
              <w:t>2.06</w:t>
            </w:r>
          </w:p>
        </w:tc>
        <w:tc>
          <w:tcPr>
            <w:tcW w:w="992" w:type="dxa"/>
            <w:vAlign w:val="center"/>
          </w:tcPr>
          <w:p>
            <w:pPr>
              <w:jc w:val="center"/>
              <w:rPr>
                <w:rFonts w:eastAsiaTheme="minorEastAsia"/>
                <w:color w:val="auto"/>
                <w:sz w:val="21"/>
                <w:szCs w:val="21"/>
              </w:rPr>
            </w:pPr>
            <w:r>
              <w:rPr>
                <w:rFonts w:eastAsiaTheme="minorEastAsia"/>
                <w:color w:val="auto"/>
                <w:sz w:val="21"/>
                <w:szCs w:val="21"/>
              </w:rPr>
              <w:t>5.1</w:t>
            </w:r>
          </w:p>
        </w:tc>
        <w:tc>
          <w:tcPr>
            <w:tcW w:w="992" w:type="dxa"/>
            <w:vAlign w:val="center"/>
          </w:tcPr>
          <w:p>
            <w:pPr>
              <w:jc w:val="center"/>
              <w:rPr>
                <w:rFonts w:eastAsiaTheme="minorEastAsia"/>
                <w:color w:val="auto"/>
                <w:sz w:val="21"/>
                <w:szCs w:val="21"/>
              </w:rPr>
            </w:pPr>
            <w:r>
              <w:rPr>
                <w:rFonts w:eastAsiaTheme="minorEastAsia"/>
                <w:color w:val="auto"/>
                <w:sz w:val="21"/>
                <w:szCs w:val="21"/>
              </w:rPr>
              <w:t>8</w:t>
            </w:r>
          </w:p>
        </w:tc>
        <w:tc>
          <w:tcPr>
            <w:tcW w:w="1122" w:type="dxa"/>
            <w:vAlign w:val="center"/>
          </w:tcPr>
          <w:p>
            <w:pPr>
              <w:jc w:val="center"/>
              <w:rPr>
                <w:rFonts w:eastAsiaTheme="minorEastAsia"/>
                <w:color w:val="auto"/>
                <w:sz w:val="21"/>
                <w:szCs w:val="21"/>
              </w:rPr>
            </w:pPr>
            <w:r>
              <w:rPr>
                <w:rFonts w:eastAsiaTheme="minorEastAsia"/>
                <w:color w:val="auto"/>
                <w:sz w:val="21"/>
                <w:szCs w:val="21"/>
              </w:rPr>
              <w:t>＜0.0003</w:t>
            </w:r>
          </w:p>
        </w:tc>
        <w:tc>
          <w:tcPr>
            <w:tcW w:w="939"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＜8.00</w:t>
            </w:r>
          </w:p>
        </w:tc>
        <w:tc>
          <w:tcPr>
            <w:tcW w:w="969" w:type="dxa"/>
            <w:vAlign w:val="center"/>
          </w:tcPr>
          <w:p>
            <w:pPr>
              <w:jc w:val="center"/>
              <w:rPr>
                <w:rFonts w:eastAsiaTheme="minorEastAsia"/>
                <w:color w:val="auto"/>
                <w:sz w:val="21"/>
                <w:szCs w:val="21"/>
              </w:rPr>
            </w:pPr>
            <w:r>
              <w:rPr>
                <w:rFonts w:eastAsiaTheme="minorEastAsia"/>
                <w:color w:val="auto"/>
                <w:sz w:val="21"/>
                <w:szCs w:val="21"/>
              </w:rPr>
              <w:t>＜0.004</w:t>
            </w:r>
          </w:p>
        </w:tc>
        <w:tc>
          <w:tcPr>
            <w:tcW w:w="851" w:type="dxa"/>
            <w:vAlign w:val="center"/>
          </w:tcPr>
          <w:p>
            <w:pPr>
              <w:jc w:val="center"/>
              <w:rPr>
                <w:rFonts w:eastAsiaTheme="minorEastAsia"/>
                <w:color w:val="auto"/>
                <w:sz w:val="21"/>
                <w:szCs w:val="21"/>
              </w:rPr>
            </w:pPr>
            <w:r>
              <w:rPr>
                <w:rFonts w:eastAsiaTheme="minorEastAsia"/>
                <w:color w:val="auto"/>
                <w:sz w:val="21"/>
                <w:szCs w:val="21"/>
              </w:rPr>
              <w:t>96.4</w:t>
            </w:r>
          </w:p>
        </w:tc>
        <w:tc>
          <w:tcPr>
            <w:tcW w:w="997" w:type="dxa"/>
            <w:vAlign w:val="center"/>
          </w:tcPr>
          <w:p>
            <w:pPr>
              <w:jc w:val="center"/>
              <w:rPr>
                <w:rFonts w:eastAsiaTheme="minorEastAsia"/>
                <w:color w:val="auto"/>
                <w:sz w:val="21"/>
                <w:szCs w:val="21"/>
              </w:rPr>
            </w:pPr>
            <w:r>
              <w:rPr>
                <w:rFonts w:eastAsiaTheme="minorEastAsia"/>
                <w:color w:val="auto"/>
                <w:sz w:val="21"/>
                <w:szCs w:val="21"/>
              </w:rPr>
              <w:t>＜0.004</w:t>
            </w:r>
          </w:p>
        </w:tc>
        <w:tc>
          <w:tcPr>
            <w:tcW w:w="736" w:type="dxa"/>
            <w:vAlign w:val="center"/>
          </w:tcPr>
          <w:p>
            <w:pPr>
              <w:jc w:val="center"/>
              <w:rPr>
                <w:rFonts w:eastAsiaTheme="minorEastAsia"/>
                <w:color w:val="auto"/>
                <w:sz w:val="21"/>
                <w:szCs w:val="21"/>
              </w:rPr>
            </w:pPr>
            <w:r>
              <w:rPr>
                <w:rFonts w:eastAsiaTheme="minorEastAsia"/>
                <w:color w:val="auto"/>
                <w:sz w:val="21"/>
                <w:szCs w:val="21"/>
              </w:rPr>
              <w:t>0.19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超标率</w:t>
            </w:r>
            <w:r>
              <w:rPr>
                <w:rFonts w:hint="eastAsia" w:eastAsiaTheme="minorEastAsia"/>
                <w:color w:val="auto"/>
                <w:sz w:val="21"/>
                <w:szCs w:val="21"/>
                <w:lang w:eastAsia="zh-CN"/>
              </w:rPr>
              <w:t>（</w:t>
            </w:r>
            <w:r>
              <w:rPr>
                <w:rFonts w:hint="eastAsia" w:eastAsiaTheme="minorEastAsia"/>
                <w:color w:val="auto"/>
                <w:sz w:val="21"/>
                <w:szCs w:val="21"/>
                <w:lang w:val="en-US" w:eastAsia="zh-CN"/>
              </w:rPr>
              <w:t>%</w:t>
            </w:r>
            <w:r>
              <w:rPr>
                <w:rFonts w:hint="eastAsia" w:eastAsiaTheme="minorEastAsia"/>
                <w:color w:val="auto"/>
                <w:sz w:val="21"/>
                <w:szCs w:val="21"/>
                <w:lang w:eastAsia="zh-CN"/>
              </w:rPr>
              <w:t>）</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100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1122"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6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7" w:type="dxa"/>
            <w:vAlign w:val="center"/>
          </w:tcPr>
          <w:p>
            <w:pPr>
              <w:jc w:val="center"/>
              <w:rPr>
                <w:rFonts w:eastAsiaTheme="minorEastAsia"/>
                <w:color w:val="auto"/>
                <w:sz w:val="21"/>
                <w:szCs w:val="21"/>
              </w:rPr>
            </w:pPr>
            <w:r>
              <w:rPr>
                <w:rFonts w:eastAsiaTheme="minorEastAsia"/>
                <w:color w:val="auto"/>
                <w:sz w:val="21"/>
                <w:szCs w:val="21"/>
              </w:rPr>
              <w:t>0</w:t>
            </w:r>
          </w:p>
        </w:tc>
        <w:tc>
          <w:tcPr>
            <w:tcW w:w="736"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最大超标倍数</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0.52</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1122"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6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7" w:type="dxa"/>
            <w:vAlign w:val="center"/>
          </w:tcPr>
          <w:p>
            <w:pPr>
              <w:jc w:val="center"/>
              <w:rPr>
                <w:rFonts w:eastAsiaTheme="minorEastAsia"/>
                <w:color w:val="auto"/>
                <w:sz w:val="21"/>
                <w:szCs w:val="21"/>
              </w:rPr>
            </w:pPr>
            <w:r>
              <w:rPr>
                <w:rFonts w:eastAsiaTheme="minorEastAsia"/>
                <w:color w:val="auto"/>
                <w:sz w:val="21"/>
                <w:szCs w:val="21"/>
              </w:rPr>
              <w:t>0</w:t>
            </w:r>
          </w:p>
        </w:tc>
        <w:tc>
          <w:tcPr>
            <w:tcW w:w="736"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最大单因子指数</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0.32</w:t>
            </w:r>
          </w:p>
        </w:tc>
        <w:tc>
          <w:tcPr>
            <w:tcW w:w="851" w:type="dxa"/>
            <w:vAlign w:val="center"/>
          </w:tcPr>
          <w:p>
            <w:pPr>
              <w:jc w:val="center"/>
              <w:rPr>
                <w:rFonts w:eastAsiaTheme="minorEastAsia"/>
                <w:color w:val="auto"/>
                <w:sz w:val="21"/>
                <w:szCs w:val="21"/>
              </w:rPr>
            </w:pPr>
            <w:r>
              <w:rPr>
                <w:rFonts w:eastAsiaTheme="minorEastAsia"/>
                <w:color w:val="auto"/>
                <w:sz w:val="21"/>
                <w:szCs w:val="21"/>
              </w:rPr>
              <w:t>0.58</w:t>
            </w:r>
          </w:p>
        </w:tc>
        <w:tc>
          <w:tcPr>
            <w:tcW w:w="850" w:type="dxa"/>
            <w:vAlign w:val="center"/>
          </w:tcPr>
          <w:p>
            <w:pPr>
              <w:jc w:val="center"/>
              <w:rPr>
                <w:rFonts w:eastAsiaTheme="minorEastAsia"/>
                <w:color w:val="auto"/>
                <w:sz w:val="21"/>
                <w:szCs w:val="21"/>
              </w:rPr>
            </w:pPr>
            <w:r>
              <w:rPr>
                <w:rFonts w:eastAsiaTheme="minorEastAsia"/>
                <w:color w:val="auto"/>
                <w:sz w:val="21"/>
                <w:szCs w:val="21"/>
              </w:rPr>
              <w:t>0.15</w:t>
            </w:r>
          </w:p>
        </w:tc>
        <w:tc>
          <w:tcPr>
            <w:tcW w:w="851" w:type="dxa"/>
            <w:vAlign w:val="center"/>
          </w:tcPr>
          <w:p>
            <w:pPr>
              <w:jc w:val="center"/>
              <w:rPr>
                <w:rFonts w:eastAsiaTheme="minorEastAsia"/>
                <w:color w:val="auto"/>
                <w:sz w:val="21"/>
                <w:szCs w:val="21"/>
              </w:rPr>
            </w:pPr>
            <w:r>
              <w:rPr>
                <w:rFonts w:eastAsiaTheme="minorEastAsia"/>
                <w:color w:val="auto"/>
                <w:sz w:val="21"/>
                <w:szCs w:val="21"/>
              </w:rPr>
              <w:t>1.52</w:t>
            </w:r>
          </w:p>
        </w:tc>
        <w:tc>
          <w:tcPr>
            <w:tcW w:w="992" w:type="dxa"/>
            <w:vAlign w:val="center"/>
          </w:tcPr>
          <w:p>
            <w:pPr>
              <w:jc w:val="center"/>
              <w:rPr>
                <w:rFonts w:eastAsiaTheme="minorEastAsia"/>
                <w:color w:val="auto"/>
                <w:sz w:val="21"/>
                <w:szCs w:val="21"/>
              </w:rPr>
            </w:pPr>
            <w:r>
              <w:rPr>
                <w:rFonts w:eastAsiaTheme="minorEastAsia"/>
                <w:color w:val="auto"/>
                <w:sz w:val="21"/>
                <w:szCs w:val="21"/>
              </w:rPr>
              <w:t>0.60</w:t>
            </w:r>
          </w:p>
        </w:tc>
        <w:tc>
          <w:tcPr>
            <w:tcW w:w="992" w:type="dxa"/>
            <w:vAlign w:val="center"/>
          </w:tcPr>
          <w:p>
            <w:pPr>
              <w:jc w:val="center"/>
              <w:rPr>
                <w:rFonts w:eastAsiaTheme="minorEastAsia"/>
                <w:color w:val="auto"/>
                <w:sz w:val="21"/>
                <w:szCs w:val="21"/>
              </w:rPr>
            </w:pPr>
            <w:r>
              <w:rPr>
                <w:rFonts w:eastAsiaTheme="minorEastAsia"/>
                <w:color w:val="auto"/>
                <w:sz w:val="21"/>
                <w:szCs w:val="21"/>
              </w:rPr>
              <w:t>0.43</w:t>
            </w:r>
          </w:p>
        </w:tc>
        <w:tc>
          <w:tcPr>
            <w:tcW w:w="1122" w:type="dxa"/>
            <w:vAlign w:val="center"/>
          </w:tcPr>
          <w:p>
            <w:pPr>
              <w:jc w:val="center"/>
              <w:rPr>
                <w:rFonts w:eastAsiaTheme="minorEastAsia"/>
                <w:color w:val="auto"/>
                <w:sz w:val="21"/>
                <w:szCs w:val="21"/>
              </w:rPr>
            </w:pPr>
            <w:r>
              <w:rPr>
                <w:rFonts w:eastAsiaTheme="minorEastAsia"/>
                <w:color w:val="auto"/>
                <w:sz w:val="21"/>
                <w:szCs w:val="21"/>
              </w:rPr>
              <w:t>/</w:t>
            </w:r>
          </w:p>
        </w:tc>
        <w:tc>
          <w:tcPr>
            <w:tcW w:w="939" w:type="dxa"/>
            <w:vAlign w:val="center"/>
          </w:tcPr>
          <w:p>
            <w:pPr>
              <w:jc w:val="center"/>
              <w:rPr>
                <w:rFonts w:eastAsiaTheme="minorEastAsia"/>
                <w:color w:val="auto"/>
                <w:sz w:val="21"/>
                <w:szCs w:val="21"/>
              </w:rPr>
            </w:pPr>
            <w:r>
              <w:rPr>
                <w:rFonts w:eastAsiaTheme="minorEastAsia"/>
                <w:color w:val="auto"/>
                <w:sz w:val="21"/>
                <w:szCs w:val="21"/>
              </w:rPr>
              <w:t>/</w:t>
            </w:r>
          </w:p>
        </w:tc>
        <w:tc>
          <w:tcPr>
            <w:tcW w:w="939" w:type="dxa"/>
            <w:vAlign w:val="center"/>
          </w:tcPr>
          <w:p>
            <w:pPr>
              <w:jc w:val="center"/>
              <w:rPr>
                <w:rFonts w:eastAsiaTheme="minorEastAsia"/>
                <w:color w:val="auto"/>
                <w:sz w:val="21"/>
                <w:szCs w:val="21"/>
              </w:rPr>
            </w:pPr>
            <w:r>
              <w:rPr>
                <w:rFonts w:eastAsiaTheme="minorEastAsia"/>
                <w:color w:val="auto"/>
                <w:sz w:val="21"/>
                <w:szCs w:val="21"/>
              </w:rPr>
              <w:t>/</w:t>
            </w:r>
          </w:p>
        </w:tc>
        <w:tc>
          <w:tcPr>
            <w:tcW w:w="969"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0.39</w:t>
            </w:r>
          </w:p>
        </w:tc>
        <w:tc>
          <w:tcPr>
            <w:tcW w:w="997" w:type="dxa"/>
            <w:vAlign w:val="center"/>
          </w:tcPr>
          <w:p>
            <w:pPr>
              <w:jc w:val="center"/>
              <w:rPr>
                <w:rFonts w:eastAsiaTheme="minorEastAsia"/>
                <w:color w:val="auto"/>
                <w:sz w:val="21"/>
                <w:szCs w:val="21"/>
              </w:rPr>
            </w:pPr>
            <w:r>
              <w:rPr>
                <w:rFonts w:eastAsiaTheme="minorEastAsia"/>
                <w:color w:val="auto"/>
                <w:sz w:val="21"/>
                <w:szCs w:val="21"/>
              </w:rPr>
              <w:t>/</w:t>
            </w:r>
          </w:p>
        </w:tc>
        <w:tc>
          <w:tcPr>
            <w:tcW w:w="736" w:type="dxa"/>
            <w:vAlign w:val="center"/>
          </w:tcPr>
          <w:p>
            <w:pPr>
              <w:jc w:val="center"/>
              <w:rPr>
                <w:rFonts w:eastAsiaTheme="minorEastAsia"/>
                <w:color w:val="auto"/>
                <w:sz w:val="21"/>
                <w:szCs w:val="21"/>
              </w:rPr>
            </w:pPr>
            <w:r>
              <w:rPr>
                <w:rFonts w:eastAsiaTheme="minorEastAsia"/>
                <w:color w:val="auto"/>
                <w:sz w:val="21"/>
                <w:szCs w:val="21"/>
              </w:rPr>
              <w:t>0.63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标准值（mg/L）</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6~9</w:t>
            </w:r>
          </w:p>
        </w:tc>
        <w:tc>
          <w:tcPr>
            <w:tcW w:w="851" w:type="dxa"/>
            <w:vAlign w:val="center"/>
          </w:tcPr>
          <w:p>
            <w:pPr>
              <w:jc w:val="center"/>
              <w:rPr>
                <w:rFonts w:eastAsiaTheme="minorEastAsia"/>
                <w:color w:val="auto"/>
                <w:sz w:val="21"/>
                <w:szCs w:val="21"/>
              </w:rPr>
            </w:pPr>
            <w:r>
              <w:rPr>
                <w:rFonts w:eastAsiaTheme="minorEastAsia"/>
                <w:color w:val="auto"/>
                <w:sz w:val="21"/>
                <w:szCs w:val="21"/>
              </w:rPr>
              <w:t>≥3</w:t>
            </w:r>
          </w:p>
        </w:tc>
        <w:tc>
          <w:tcPr>
            <w:tcW w:w="850" w:type="dxa"/>
            <w:vAlign w:val="center"/>
          </w:tcPr>
          <w:p>
            <w:pPr>
              <w:jc w:val="center"/>
              <w:rPr>
                <w:rFonts w:eastAsiaTheme="minorEastAsia"/>
                <w:color w:val="auto"/>
                <w:sz w:val="21"/>
                <w:szCs w:val="21"/>
              </w:rPr>
            </w:pPr>
            <w:r>
              <w:rPr>
                <w:rFonts w:eastAsiaTheme="minorEastAsia"/>
                <w:color w:val="auto"/>
                <w:sz w:val="21"/>
                <w:szCs w:val="21"/>
              </w:rPr>
              <w:t>≤1.5</w:t>
            </w:r>
          </w:p>
        </w:tc>
        <w:tc>
          <w:tcPr>
            <w:tcW w:w="851" w:type="dxa"/>
            <w:vAlign w:val="center"/>
          </w:tcPr>
          <w:p>
            <w:pPr>
              <w:jc w:val="center"/>
              <w:rPr>
                <w:rFonts w:eastAsiaTheme="minorEastAsia"/>
                <w:color w:val="auto"/>
                <w:sz w:val="21"/>
                <w:szCs w:val="21"/>
              </w:rPr>
            </w:pPr>
            <w:r>
              <w:rPr>
                <w:rFonts w:eastAsiaTheme="minorEastAsia"/>
                <w:color w:val="auto"/>
                <w:sz w:val="21"/>
                <w:szCs w:val="21"/>
              </w:rPr>
              <w:t>≤1.5</w:t>
            </w:r>
          </w:p>
        </w:tc>
        <w:tc>
          <w:tcPr>
            <w:tcW w:w="992" w:type="dxa"/>
            <w:vAlign w:val="center"/>
          </w:tcPr>
          <w:p>
            <w:pPr>
              <w:jc w:val="center"/>
              <w:rPr>
                <w:rFonts w:eastAsiaTheme="minorEastAsia"/>
                <w:color w:val="auto"/>
                <w:sz w:val="21"/>
                <w:szCs w:val="21"/>
              </w:rPr>
            </w:pPr>
            <w:r>
              <w:rPr>
                <w:rFonts w:eastAsiaTheme="minorEastAsia"/>
                <w:color w:val="auto"/>
                <w:sz w:val="21"/>
                <w:szCs w:val="21"/>
              </w:rPr>
              <w:t>≤10</w:t>
            </w:r>
          </w:p>
        </w:tc>
        <w:tc>
          <w:tcPr>
            <w:tcW w:w="992" w:type="dxa"/>
            <w:vAlign w:val="center"/>
          </w:tcPr>
          <w:p>
            <w:pPr>
              <w:jc w:val="center"/>
              <w:rPr>
                <w:rFonts w:eastAsiaTheme="minorEastAsia"/>
                <w:color w:val="auto"/>
                <w:sz w:val="21"/>
                <w:szCs w:val="21"/>
              </w:rPr>
            </w:pPr>
            <w:r>
              <w:rPr>
                <w:rFonts w:eastAsiaTheme="minorEastAsia"/>
                <w:color w:val="auto"/>
                <w:sz w:val="21"/>
                <w:szCs w:val="21"/>
              </w:rPr>
              <w:t>≤30</w:t>
            </w:r>
          </w:p>
        </w:tc>
        <w:tc>
          <w:tcPr>
            <w:tcW w:w="1122" w:type="dxa"/>
            <w:vAlign w:val="center"/>
          </w:tcPr>
          <w:p>
            <w:pPr>
              <w:jc w:val="center"/>
              <w:rPr>
                <w:rFonts w:eastAsiaTheme="minorEastAsia"/>
                <w:color w:val="auto"/>
                <w:sz w:val="21"/>
                <w:szCs w:val="21"/>
              </w:rPr>
            </w:pPr>
            <w:r>
              <w:rPr>
                <w:rFonts w:eastAsiaTheme="minorEastAsia"/>
                <w:color w:val="auto"/>
                <w:sz w:val="21"/>
                <w:szCs w:val="21"/>
              </w:rPr>
              <w:t>≤0.01</w:t>
            </w:r>
          </w:p>
        </w:tc>
        <w:tc>
          <w:tcPr>
            <w:tcW w:w="939" w:type="dxa"/>
            <w:vAlign w:val="center"/>
          </w:tcPr>
          <w:p>
            <w:pPr>
              <w:jc w:val="center"/>
              <w:rPr>
                <w:rFonts w:eastAsiaTheme="minorEastAsia"/>
                <w:color w:val="auto"/>
                <w:sz w:val="21"/>
                <w:szCs w:val="21"/>
              </w:rPr>
            </w:pPr>
            <w:r>
              <w:rPr>
                <w:rFonts w:eastAsiaTheme="minorEastAsia"/>
                <w:color w:val="auto"/>
                <w:sz w:val="21"/>
                <w:szCs w:val="21"/>
              </w:rPr>
              <w:t>≤0.5</w:t>
            </w:r>
          </w:p>
        </w:tc>
        <w:tc>
          <w:tcPr>
            <w:tcW w:w="939" w:type="dxa"/>
            <w:vAlign w:val="center"/>
          </w:tcPr>
          <w:p>
            <w:pPr>
              <w:jc w:val="center"/>
              <w:rPr>
                <w:rFonts w:eastAsiaTheme="minorEastAsia"/>
                <w:color w:val="auto"/>
                <w:sz w:val="21"/>
                <w:szCs w:val="21"/>
              </w:rPr>
            </w:pPr>
            <w:r>
              <w:rPr>
                <w:rFonts w:eastAsiaTheme="minorEastAsia"/>
                <w:color w:val="auto"/>
                <w:sz w:val="21"/>
                <w:szCs w:val="21"/>
              </w:rPr>
              <w:t>≤250</w:t>
            </w:r>
          </w:p>
        </w:tc>
        <w:tc>
          <w:tcPr>
            <w:tcW w:w="969" w:type="dxa"/>
            <w:vAlign w:val="center"/>
          </w:tcPr>
          <w:p>
            <w:pPr>
              <w:jc w:val="center"/>
              <w:rPr>
                <w:rFonts w:eastAsiaTheme="minorEastAsia"/>
                <w:color w:val="auto"/>
                <w:sz w:val="21"/>
                <w:szCs w:val="21"/>
              </w:rPr>
            </w:pPr>
            <w:r>
              <w:rPr>
                <w:rFonts w:eastAsiaTheme="minorEastAsia"/>
                <w:color w:val="auto"/>
                <w:sz w:val="21"/>
                <w:szCs w:val="21"/>
              </w:rPr>
              <w:t>≤0.05</w:t>
            </w:r>
          </w:p>
        </w:tc>
        <w:tc>
          <w:tcPr>
            <w:tcW w:w="851" w:type="dxa"/>
            <w:vAlign w:val="center"/>
          </w:tcPr>
          <w:p>
            <w:pPr>
              <w:jc w:val="center"/>
              <w:rPr>
                <w:rFonts w:eastAsiaTheme="minorEastAsia"/>
                <w:color w:val="auto"/>
                <w:sz w:val="21"/>
                <w:szCs w:val="21"/>
              </w:rPr>
            </w:pPr>
            <w:r>
              <w:rPr>
                <w:rFonts w:eastAsiaTheme="minorEastAsia"/>
                <w:color w:val="auto"/>
                <w:sz w:val="21"/>
                <w:szCs w:val="21"/>
              </w:rPr>
              <w:t>≤250</w:t>
            </w:r>
          </w:p>
        </w:tc>
        <w:tc>
          <w:tcPr>
            <w:tcW w:w="997" w:type="dxa"/>
            <w:vAlign w:val="center"/>
          </w:tcPr>
          <w:p>
            <w:pPr>
              <w:jc w:val="center"/>
              <w:rPr>
                <w:rFonts w:eastAsiaTheme="minorEastAsia"/>
                <w:color w:val="auto"/>
                <w:sz w:val="21"/>
                <w:szCs w:val="21"/>
              </w:rPr>
            </w:pPr>
            <w:r>
              <w:rPr>
                <w:rFonts w:eastAsiaTheme="minorEastAsia"/>
                <w:color w:val="auto"/>
                <w:sz w:val="21"/>
                <w:szCs w:val="21"/>
              </w:rPr>
              <w:t>≤0.2</w:t>
            </w:r>
          </w:p>
        </w:tc>
        <w:tc>
          <w:tcPr>
            <w:tcW w:w="736" w:type="dxa"/>
            <w:vAlign w:val="center"/>
          </w:tcPr>
          <w:p>
            <w:pPr>
              <w:jc w:val="center"/>
              <w:rPr>
                <w:rFonts w:eastAsiaTheme="minorEastAsia"/>
                <w:color w:val="auto"/>
                <w:sz w:val="21"/>
                <w:szCs w:val="21"/>
              </w:rPr>
            </w:pPr>
            <w:r>
              <w:rPr>
                <w:rFonts w:eastAsiaTheme="minorEastAsia"/>
                <w:color w:val="auto"/>
                <w:sz w:val="21"/>
                <w:szCs w:val="21"/>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restart"/>
            <w:vAlign w:val="center"/>
          </w:tcPr>
          <w:p>
            <w:pPr>
              <w:jc w:val="center"/>
              <w:rPr>
                <w:rFonts w:eastAsiaTheme="minorEastAsia"/>
                <w:color w:val="auto"/>
                <w:sz w:val="21"/>
                <w:szCs w:val="21"/>
              </w:rPr>
            </w:pPr>
            <w:r>
              <w:rPr>
                <w:rFonts w:eastAsiaTheme="minorEastAsia"/>
                <w:color w:val="auto"/>
                <w:sz w:val="21"/>
                <w:szCs w:val="21"/>
              </w:rPr>
              <w:t>W4</w:t>
            </w:r>
          </w:p>
        </w:tc>
        <w:tc>
          <w:tcPr>
            <w:tcW w:w="464" w:type="dxa"/>
            <w:gridSpan w:val="2"/>
            <w:vMerge w:val="restart"/>
            <w:vAlign w:val="center"/>
          </w:tcPr>
          <w:p>
            <w:pPr>
              <w:jc w:val="center"/>
              <w:rPr>
                <w:rFonts w:eastAsiaTheme="minorEastAsia"/>
                <w:color w:val="auto"/>
                <w:sz w:val="21"/>
                <w:szCs w:val="21"/>
              </w:rPr>
            </w:pPr>
            <w:r>
              <w:rPr>
                <w:rFonts w:eastAsiaTheme="minorEastAsia"/>
                <w:color w:val="auto"/>
                <w:sz w:val="21"/>
                <w:szCs w:val="21"/>
              </w:rPr>
              <w:t>监测值</w:t>
            </w:r>
          </w:p>
        </w:tc>
        <w:tc>
          <w:tcPr>
            <w:tcW w:w="812" w:type="dxa"/>
            <w:vAlign w:val="center"/>
          </w:tcPr>
          <w:p>
            <w:pPr>
              <w:jc w:val="center"/>
              <w:rPr>
                <w:rFonts w:eastAsiaTheme="minorEastAsia"/>
                <w:color w:val="auto"/>
                <w:sz w:val="21"/>
                <w:szCs w:val="21"/>
              </w:rPr>
            </w:pPr>
            <w:r>
              <w:rPr>
                <w:rFonts w:eastAsiaTheme="minorEastAsia"/>
                <w:color w:val="auto"/>
                <w:sz w:val="21"/>
                <w:szCs w:val="21"/>
              </w:rPr>
              <w:t>2019.3.25</w:t>
            </w:r>
          </w:p>
        </w:tc>
        <w:tc>
          <w:tcPr>
            <w:tcW w:w="708" w:type="dxa"/>
            <w:vAlign w:val="center"/>
          </w:tcPr>
          <w:p>
            <w:pPr>
              <w:jc w:val="center"/>
              <w:rPr>
                <w:rFonts w:eastAsiaTheme="minorEastAsia"/>
                <w:color w:val="auto"/>
                <w:sz w:val="21"/>
                <w:szCs w:val="21"/>
              </w:rPr>
            </w:pPr>
            <w:r>
              <w:rPr>
                <w:rFonts w:eastAsiaTheme="minorEastAsia"/>
                <w:color w:val="auto"/>
                <w:sz w:val="21"/>
                <w:szCs w:val="21"/>
              </w:rPr>
              <w:t>22.4</w:t>
            </w:r>
          </w:p>
        </w:tc>
        <w:tc>
          <w:tcPr>
            <w:tcW w:w="709" w:type="dxa"/>
            <w:vAlign w:val="center"/>
          </w:tcPr>
          <w:p>
            <w:pPr>
              <w:jc w:val="center"/>
              <w:rPr>
                <w:rFonts w:eastAsiaTheme="minorEastAsia"/>
                <w:color w:val="auto"/>
                <w:sz w:val="21"/>
                <w:szCs w:val="21"/>
              </w:rPr>
            </w:pPr>
            <w:r>
              <w:rPr>
                <w:rFonts w:eastAsiaTheme="minorEastAsia"/>
                <w:color w:val="auto"/>
                <w:sz w:val="21"/>
                <w:szCs w:val="21"/>
              </w:rPr>
              <w:t>7.02</w:t>
            </w:r>
          </w:p>
        </w:tc>
        <w:tc>
          <w:tcPr>
            <w:tcW w:w="851" w:type="dxa"/>
            <w:vAlign w:val="center"/>
          </w:tcPr>
          <w:p>
            <w:pPr>
              <w:jc w:val="center"/>
              <w:rPr>
                <w:rFonts w:eastAsiaTheme="minorEastAsia"/>
                <w:color w:val="auto"/>
                <w:sz w:val="21"/>
                <w:szCs w:val="21"/>
              </w:rPr>
            </w:pPr>
            <w:r>
              <w:rPr>
                <w:rFonts w:eastAsiaTheme="minorEastAsia"/>
                <w:color w:val="auto"/>
                <w:sz w:val="21"/>
                <w:szCs w:val="21"/>
              </w:rPr>
              <w:t>6.9</w:t>
            </w:r>
          </w:p>
        </w:tc>
        <w:tc>
          <w:tcPr>
            <w:tcW w:w="850" w:type="dxa"/>
            <w:vAlign w:val="center"/>
          </w:tcPr>
          <w:p>
            <w:pPr>
              <w:jc w:val="center"/>
              <w:rPr>
                <w:rFonts w:eastAsiaTheme="minorEastAsia"/>
                <w:color w:val="auto"/>
                <w:sz w:val="21"/>
                <w:szCs w:val="21"/>
              </w:rPr>
            </w:pPr>
            <w:r>
              <w:rPr>
                <w:rFonts w:eastAsiaTheme="minorEastAsia"/>
                <w:color w:val="auto"/>
                <w:sz w:val="21"/>
                <w:szCs w:val="21"/>
              </w:rPr>
              <w:t>0.54</w:t>
            </w:r>
          </w:p>
        </w:tc>
        <w:tc>
          <w:tcPr>
            <w:tcW w:w="851" w:type="dxa"/>
            <w:vAlign w:val="center"/>
          </w:tcPr>
          <w:p>
            <w:pPr>
              <w:jc w:val="center"/>
              <w:rPr>
                <w:rFonts w:eastAsiaTheme="minorEastAsia"/>
                <w:color w:val="auto"/>
                <w:sz w:val="21"/>
                <w:szCs w:val="21"/>
              </w:rPr>
            </w:pPr>
            <w:r>
              <w:rPr>
                <w:rFonts w:eastAsiaTheme="minorEastAsia"/>
                <w:color w:val="auto"/>
                <w:sz w:val="21"/>
                <w:szCs w:val="21"/>
              </w:rPr>
              <w:t>0.218</w:t>
            </w:r>
          </w:p>
        </w:tc>
        <w:tc>
          <w:tcPr>
            <w:tcW w:w="992" w:type="dxa"/>
            <w:vAlign w:val="center"/>
          </w:tcPr>
          <w:p>
            <w:pPr>
              <w:jc w:val="center"/>
              <w:rPr>
                <w:rFonts w:eastAsiaTheme="minorEastAsia"/>
                <w:color w:val="auto"/>
                <w:sz w:val="21"/>
                <w:szCs w:val="21"/>
              </w:rPr>
            </w:pPr>
            <w:r>
              <w:rPr>
                <w:rFonts w:eastAsiaTheme="minorEastAsia"/>
                <w:color w:val="auto"/>
                <w:sz w:val="21"/>
                <w:szCs w:val="21"/>
              </w:rPr>
              <w:t>3.2</w:t>
            </w:r>
          </w:p>
        </w:tc>
        <w:tc>
          <w:tcPr>
            <w:tcW w:w="992" w:type="dxa"/>
            <w:vAlign w:val="center"/>
          </w:tcPr>
          <w:p>
            <w:pPr>
              <w:jc w:val="center"/>
              <w:rPr>
                <w:rFonts w:eastAsiaTheme="minorEastAsia"/>
                <w:color w:val="auto"/>
                <w:sz w:val="21"/>
                <w:szCs w:val="21"/>
              </w:rPr>
            </w:pPr>
            <w:r>
              <w:rPr>
                <w:rFonts w:eastAsiaTheme="minorEastAsia"/>
                <w:color w:val="auto"/>
                <w:sz w:val="21"/>
                <w:szCs w:val="21"/>
              </w:rPr>
              <w:t>13</w:t>
            </w:r>
          </w:p>
        </w:tc>
        <w:tc>
          <w:tcPr>
            <w:tcW w:w="1122" w:type="dxa"/>
            <w:vAlign w:val="center"/>
          </w:tcPr>
          <w:p>
            <w:pPr>
              <w:jc w:val="center"/>
              <w:rPr>
                <w:rFonts w:eastAsiaTheme="minorEastAsia"/>
                <w:color w:val="auto"/>
                <w:sz w:val="21"/>
                <w:szCs w:val="21"/>
              </w:rPr>
            </w:pPr>
            <w:r>
              <w:rPr>
                <w:rFonts w:eastAsiaTheme="minorEastAsia"/>
                <w:color w:val="auto"/>
                <w:sz w:val="21"/>
                <w:szCs w:val="21"/>
              </w:rPr>
              <w:t>＜0.0003</w:t>
            </w:r>
          </w:p>
        </w:tc>
        <w:tc>
          <w:tcPr>
            <w:tcW w:w="939"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14.3</w:t>
            </w:r>
          </w:p>
        </w:tc>
        <w:tc>
          <w:tcPr>
            <w:tcW w:w="969" w:type="dxa"/>
            <w:vAlign w:val="center"/>
          </w:tcPr>
          <w:p>
            <w:pPr>
              <w:jc w:val="center"/>
              <w:rPr>
                <w:rFonts w:eastAsiaTheme="minorEastAsia"/>
                <w:color w:val="auto"/>
                <w:sz w:val="21"/>
                <w:szCs w:val="21"/>
              </w:rPr>
            </w:pPr>
            <w:r>
              <w:rPr>
                <w:rFonts w:eastAsiaTheme="minorEastAsia"/>
                <w:color w:val="auto"/>
                <w:sz w:val="21"/>
                <w:szCs w:val="21"/>
              </w:rPr>
              <w:t>＜0.004</w:t>
            </w:r>
          </w:p>
        </w:tc>
        <w:tc>
          <w:tcPr>
            <w:tcW w:w="851" w:type="dxa"/>
            <w:vAlign w:val="center"/>
          </w:tcPr>
          <w:p>
            <w:pPr>
              <w:jc w:val="center"/>
              <w:rPr>
                <w:rFonts w:eastAsiaTheme="minorEastAsia"/>
                <w:color w:val="auto"/>
                <w:sz w:val="21"/>
                <w:szCs w:val="21"/>
              </w:rPr>
            </w:pPr>
            <w:r>
              <w:rPr>
                <w:rFonts w:eastAsiaTheme="minorEastAsia"/>
                <w:color w:val="auto"/>
                <w:sz w:val="21"/>
                <w:szCs w:val="21"/>
              </w:rPr>
              <w:t>80.1</w:t>
            </w:r>
          </w:p>
        </w:tc>
        <w:tc>
          <w:tcPr>
            <w:tcW w:w="997" w:type="dxa"/>
            <w:vAlign w:val="center"/>
          </w:tcPr>
          <w:p>
            <w:pPr>
              <w:jc w:val="center"/>
              <w:rPr>
                <w:rFonts w:eastAsiaTheme="minorEastAsia"/>
                <w:color w:val="auto"/>
                <w:sz w:val="21"/>
                <w:szCs w:val="21"/>
              </w:rPr>
            </w:pPr>
            <w:r>
              <w:rPr>
                <w:rFonts w:eastAsiaTheme="minorEastAsia"/>
                <w:color w:val="auto"/>
                <w:sz w:val="21"/>
                <w:szCs w:val="21"/>
              </w:rPr>
              <w:t>＜0.004</w:t>
            </w:r>
          </w:p>
        </w:tc>
        <w:tc>
          <w:tcPr>
            <w:tcW w:w="736" w:type="dxa"/>
            <w:vAlign w:val="center"/>
          </w:tcPr>
          <w:p>
            <w:pPr>
              <w:jc w:val="center"/>
              <w:rPr>
                <w:rFonts w:eastAsiaTheme="minorEastAsia"/>
                <w:color w:val="auto"/>
                <w:sz w:val="21"/>
                <w:szCs w:val="21"/>
              </w:rPr>
            </w:pPr>
            <w:r>
              <w:rPr>
                <w:rFonts w:eastAsiaTheme="minorEastAsia"/>
                <w:color w:val="auto"/>
                <w:sz w:val="21"/>
                <w:szCs w:val="21"/>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464" w:type="dxa"/>
            <w:gridSpan w:val="2"/>
            <w:vMerge w:val="continue"/>
            <w:vAlign w:val="center"/>
          </w:tcPr>
          <w:p>
            <w:pPr>
              <w:jc w:val="center"/>
              <w:rPr>
                <w:rFonts w:eastAsiaTheme="minorEastAsia"/>
                <w:color w:val="auto"/>
                <w:sz w:val="21"/>
                <w:szCs w:val="21"/>
              </w:rPr>
            </w:pPr>
          </w:p>
        </w:tc>
        <w:tc>
          <w:tcPr>
            <w:tcW w:w="812" w:type="dxa"/>
            <w:vAlign w:val="center"/>
          </w:tcPr>
          <w:p>
            <w:pPr>
              <w:jc w:val="center"/>
              <w:rPr>
                <w:rFonts w:eastAsiaTheme="minorEastAsia"/>
                <w:color w:val="auto"/>
                <w:sz w:val="21"/>
                <w:szCs w:val="21"/>
              </w:rPr>
            </w:pPr>
            <w:r>
              <w:rPr>
                <w:rFonts w:eastAsiaTheme="minorEastAsia"/>
                <w:color w:val="auto"/>
                <w:sz w:val="21"/>
                <w:szCs w:val="21"/>
              </w:rPr>
              <w:t>2019.3.26</w:t>
            </w:r>
          </w:p>
        </w:tc>
        <w:tc>
          <w:tcPr>
            <w:tcW w:w="708" w:type="dxa"/>
            <w:vAlign w:val="center"/>
          </w:tcPr>
          <w:p>
            <w:pPr>
              <w:jc w:val="center"/>
              <w:rPr>
                <w:rFonts w:eastAsiaTheme="minorEastAsia"/>
                <w:color w:val="auto"/>
                <w:sz w:val="21"/>
                <w:szCs w:val="21"/>
              </w:rPr>
            </w:pPr>
            <w:r>
              <w:rPr>
                <w:rFonts w:eastAsiaTheme="minorEastAsia"/>
                <w:color w:val="auto"/>
                <w:sz w:val="21"/>
                <w:szCs w:val="21"/>
              </w:rPr>
              <w:t>22.0</w:t>
            </w:r>
          </w:p>
        </w:tc>
        <w:tc>
          <w:tcPr>
            <w:tcW w:w="709" w:type="dxa"/>
            <w:vAlign w:val="center"/>
          </w:tcPr>
          <w:p>
            <w:pPr>
              <w:jc w:val="center"/>
              <w:rPr>
                <w:rFonts w:eastAsiaTheme="minorEastAsia"/>
                <w:color w:val="auto"/>
                <w:sz w:val="21"/>
                <w:szCs w:val="21"/>
              </w:rPr>
            </w:pPr>
            <w:r>
              <w:rPr>
                <w:rFonts w:eastAsiaTheme="minorEastAsia"/>
                <w:color w:val="auto"/>
                <w:sz w:val="21"/>
                <w:szCs w:val="21"/>
              </w:rPr>
              <w:t>6.92</w:t>
            </w:r>
          </w:p>
        </w:tc>
        <w:tc>
          <w:tcPr>
            <w:tcW w:w="851" w:type="dxa"/>
            <w:vAlign w:val="center"/>
          </w:tcPr>
          <w:p>
            <w:pPr>
              <w:jc w:val="center"/>
              <w:rPr>
                <w:rFonts w:eastAsiaTheme="minorEastAsia"/>
                <w:color w:val="auto"/>
                <w:sz w:val="21"/>
                <w:szCs w:val="21"/>
              </w:rPr>
            </w:pPr>
            <w:r>
              <w:rPr>
                <w:rFonts w:eastAsiaTheme="minorEastAsia"/>
                <w:color w:val="auto"/>
                <w:sz w:val="21"/>
                <w:szCs w:val="21"/>
              </w:rPr>
              <w:t>7.1</w:t>
            </w:r>
          </w:p>
        </w:tc>
        <w:tc>
          <w:tcPr>
            <w:tcW w:w="850" w:type="dxa"/>
            <w:vAlign w:val="center"/>
          </w:tcPr>
          <w:p>
            <w:pPr>
              <w:jc w:val="center"/>
              <w:rPr>
                <w:rFonts w:eastAsiaTheme="minorEastAsia"/>
                <w:color w:val="auto"/>
                <w:sz w:val="21"/>
                <w:szCs w:val="21"/>
              </w:rPr>
            </w:pPr>
            <w:r>
              <w:rPr>
                <w:rFonts w:eastAsiaTheme="minorEastAsia"/>
                <w:color w:val="auto"/>
                <w:sz w:val="21"/>
                <w:szCs w:val="21"/>
              </w:rPr>
              <w:t>0.52</w:t>
            </w:r>
          </w:p>
        </w:tc>
        <w:tc>
          <w:tcPr>
            <w:tcW w:w="851" w:type="dxa"/>
            <w:vAlign w:val="center"/>
          </w:tcPr>
          <w:p>
            <w:pPr>
              <w:jc w:val="center"/>
              <w:rPr>
                <w:rFonts w:eastAsiaTheme="minorEastAsia"/>
                <w:color w:val="auto"/>
                <w:sz w:val="21"/>
                <w:szCs w:val="21"/>
              </w:rPr>
            </w:pPr>
            <w:r>
              <w:rPr>
                <w:rFonts w:eastAsiaTheme="minorEastAsia"/>
                <w:color w:val="auto"/>
                <w:sz w:val="21"/>
                <w:szCs w:val="21"/>
              </w:rPr>
              <w:t>0.200</w:t>
            </w:r>
          </w:p>
        </w:tc>
        <w:tc>
          <w:tcPr>
            <w:tcW w:w="992" w:type="dxa"/>
            <w:vAlign w:val="center"/>
          </w:tcPr>
          <w:p>
            <w:pPr>
              <w:jc w:val="center"/>
              <w:rPr>
                <w:rFonts w:eastAsiaTheme="minorEastAsia"/>
                <w:color w:val="auto"/>
                <w:sz w:val="21"/>
                <w:szCs w:val="21"/>
              </w:rPr>
            </w:pPr>
            <w:r>
              <w:rPr>
                <w:rFonts w:eastAsiaTheme="minorEastAsia"/>
                <w:color w:val="auto"/>
                <w:sz w:val="21"/>
                <w:szCs w:val="21"/>
              </w:rPr>
              <w:t>3.1</w:t>
            </w:r>
          </w:p>
        </w:tc>
        <w:tc>
          <w:tcPr>
            <w:tcW w:w="992" w:type="dxa"/>
            <w:vAlign w:val="center"/>
          </w:tcPr>
          <w:p>
            <w:pPr>
              <w:jc w:val="center"/>
              <w:rPr>
                <w:rFonts w:eastAsiaTheme="minorEastAsia"/>
                <w:color w:val="auto"/>
                <w:sz w:val="21"/>
                <w:szCs w:val="21"/>
              </w:rPr>
            </w:pPr>
            <w:r>
              <w:rPr>
                <w:rFonts w:eastAsiaTheme="minorEastAsia"/>
                <w:color w:val="auto"/>
                <w:sz w:val="21"/>
                <w:szCs w:val="21"/>
              </w:rPr>
              <w:t>15</w:t>
            </w:r>
          </w:p>
        </w:tc>
        <w:tc>
          <w:tcPr>
            <w:tcW w:w="1122" w:type="dxa"/>
            <w:vAlign w:val="center"/>
          </w:tcPr>
          <w:p>
            <w:pPr>
              <w:jc w:val="center"/>
              <w:rPr>
                <w:rFonts w:eastAsiaTheme="minorEastAsia"/>
                <w:color w:val="auto"/>
                <w:sz w:val="21"/>
                <w:szCs w:val="21"/>
              </w:rPr>
            </w:pPr>
            <w:r>
              <w:rPr>
                <w:rFonts w:eastAsiaTheme="minorEastAsia"/>
                <w:color w:val="auto"/>
                <w:sz w:val="21"/>
                <w:szCs w:val="21"/>
              </w:rPr>
              <w:t>＜0.0003</w:t>
            </w:r>
          </w:p>
        </w:tc>
        <w:tc>
          <w:tcPr>
            <w:tcW w:w="939"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14.5</w:t>
            </w:r>
          </w:p>
        </w:tc>
        <w:tc>
          <w:tcPr>
            <w:tcW w:w="969" w:type="dxa"/>
            <w:vAlign w:val="center"/>
          </w:tcPr>
          <w:p>
            <w:pPr>
              <w:jc w:val="center"/>
              <w:rPr>
                <w:rFonts w:eastAsiaTheme="minorEastAsia"/>
                <w:color w:val="auto"/>
                <w:sz w:val="21"/>
                <w:szCs w:val="21"/>
              </w:rPr>
            </w:pPr>
            <w:r>
              <w:rPr>
                <w:rFonts w:eastAsiaTheme="minorEastAsia"/>
                <w:color w:val="auto"/>
                <w:sz w:val="21"/>
                <w:szCs w:val="21"/>
              </w:rPr>
              <w:t>＜0.004</w:t>
            </w:r>
          </w:p>
        </w:tc>
        <w:tc>
          <w:tcPr>
            <w:tcW w:w="851" w:type="dxa"/>
            <w:vAlign w:val="center"/>
          </w:tcPr>
          <w:p>
            <w:pPr>
              <w:jc w:val="center"/>
              <w:rPr>
                <w:rFonts w:eastAsiaTheme="minorEastAsia"/>
                <w:color w:val="auto"/>
                <w:sz w:val="21"/>
                <w:szCs w:val="21"/>
              </w:rPr>
            </w:pPr>
            <w:r>
              <w:rPr>
                <w:rFonts w:eastAsiaTheme="minorEastAsia"/>
                <w:color w:val="auto"/>
                <w:sz w:val="21"/>
                <w:szCs w:val="21"/>
              </w:rPr>
              <w:t>73.0</w:t>
            </w:r>
          </w:p>
        </w:tc>
        <w:tc>
          <w:tcPr>
            <w:tcW w:w="997" w:type="dxa"/>
            <w:vAlign w:val="center"/>
          </w:tcPr>
          <w:p>
            <w:pPr>
              <w:jc w:val="center"/>
              <w:rPr>
                <w:rFonts w:eastAsiaTheme="minorEastAsia"/>
                <w:color w:val="auto"/>
                <w:sz w:val="21"/>
                <w:szCs w:val="21"/>
              </w:rPr>
            </w:pPr>
            <w:r>
              <w:rPr>
                <w:rFonts w:eastAsiaTheme="minorEastAsia"/>
                <w:color w:val="auto"/>
                <w:sz w:val="21"/>
                <w:szCs w:val="21"/>
              </w:rPr>
              <w:t>＜0.004</w:t>
            </w:r>
          </w:p>
        </w:tc>
        <w:tc>
          <w:tcPr>
            <w:tcW w:w="736" w:type="dxa"/>
            <w:vAlign w:val="center"/>
          </w:tcPr>
          <w:p>
            <w:pPr>
              <w:jc w:val="center"/>
              <w:rPr>
                <w:rFonts w:eastAsiaTheme="minorEastAsia"/>
                <w:color w:val="auto"/>
                <w:sz w:val="21"/>
                <w:szCs w:val="21"/>
              </w:rPr>
            </w:pPr>
            <w:r>
              <w:rPr>
                <w:rFonts w:eastAsiaTheme="minorEastAsia"/>
                <w:color w:val="auto"/>
                <w:sz w:val="21"/>
                <w:szCs w:val="21"/>
              </w:rPr>
              <w:t>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464" w:type="dxa"/>
            <w:gridSpan w:val="2"/>
            <w:vMerge w:val="continue"/>
            <w:vAlign w:val="center"/>
          </w:tcPr>
          <w:p>
            <w:pPr>
              <w:jc w:val="center"/>
              <w:rPr>
                <w:rFonts w:eastAsiaTheme="minorEastAsia"/>
                <w:color w:val="auto"/>
                <w:sz w:val="21"/>
                <w:szCs w:val="21"/>
              </w:rPr>
            </w:pPr>
          </w:p>
        </w:tc>
        <w:tc>
          <w:tcPr>
            <w:tcW w:w="812" w:type="dxa"/>
            <w:vAlign w:val="center"/>
          </w:tcPr>
          <w:p>
            <w:pPr>
              <w:jc w:val="center"/>
              <w:rPr>
                <w:rFonts w:eastAsiaTheme="minorEastAsia"/>
                <w:color w:val="auto"/>
                <w:sz w:val="21"/>
                <w:szCs w:val="21"/>
              </w:rPr>
            </w:pPr>
            <w:r>
              <w:rPr>
                <w:rFonts w:eastAsiaTheme="minorEastAsia"/>
                <w:color w:val="auto"/>
                <w:sz w:val="21"/>
                <w:szCs w:val="21"/>
              </w:rPr>
              <w:t>2019.3.27</w:t>
            </w:r>
          </w:p>
        </w:tc>
        <w:tc>
          <w:tcPr>
            <w:tcW w:w="708" w:type="dxa"/>
            <w:vAlign w:val="center"/>
          </w:tcPr>
          <w:p>
            <w:pPr>
              <w:jc w:val="center"/>
              <w:rPr>
                <w:rFonts w:eastAsiaTheme="minorEastAsia"/>
                <w:color w:val="auto"/>
                <w:sz w:val="21"/>
                <w:szCs w:val="21"/>
              </w:rPr>
            </w:pPr>
            <w:r>
              <w:rPr>
                <w:rFonts w:eastAsiaTheme="minorEastAsia"/>
                <w:color w:val="auto"/>
                <w:sz w:val="21"/>
                <w:szCs w:val="21"/>
              </w:rPr>
              <w:t>22.2</w:t>
            </w:r>
          </w:p>
        </w:tc>
        <w:tc>
          <w:tcPr>
            <w:tcW w:w="709" w:type="dxa"/>
            <w:vAlign w:val="center"/>
          </w:tcPr>
          <w:p>
            <w:pPr>
              <w:jc w:val="center"/>
              <w:rPr>
                <w:rFonts w:eastAsiaTheme="minorEastAsia"/>
                <w:color w:val="auto"/>
                <w:sz w:val="21"/>
                <w:szCs w:val="21"/>
              </w:rPr>
            </w:pPr>
            <w:r>
              <w:rPr>
                <w:rFonts w:eastAsiaTheme="minorEastAsia"/>
                <w:color w:val="auto"/>
                <w:sz w:val="21"/>
                <w:szCs w:val="21"/>
              </w:rPr>
              <w:t>6.92</w:t>
            </w:r>
          </w:p>
        </w:tc>
        <w:tc>
          <w:tcPr>
            <w:tcW w:w="851" w:type="dxa"/>
            <w:vAlign w:val="center"/>
          </w:tcPr>
          <w:p>
            <w:pPr>
              <w:jc w:val="center"/>
              <w:rPr>
                <w:rFonts w:eastAsiaTheme="minorEastAsia"/>
                <w:color w:val="auto"/>
                <w:sz w:val="21"/>
                <w:szCs w:val="21"/>
              </w:rPr>
            </w:pPr>
            <w:r>
              <w:rPr>
                <w:rFonts w:eastAsiaTheme="minorEastAsia"/>
                <w:color w:val="auto"/>
                <w:sz w:val="21"/>
                <w:szCs w:val="21"/>
              </w:rPr>
              <w:t>7.0</w:t>
            </w:r>
          </w:p>
        </w:tc>
        <w:tc>
          <w:tcPr>
            <w:tcW w:w="850" w:type="dxa"/>
            <w:vAlign w:val="center"/>
          </w:tcPr>
          <w:p>
            <w:pPr>
              <w:jc w:val="center"/>
              <w:rPr>
                <w:rFonts w:eastAsiaTheme="minorEastAsia"/>
                <w:color w:val="auto"/>
                <w:sz w:val="21"/>
                <w:szCs w:val="21"/>
              </w:rPr>
            </w:pPr>
            <w:r>
              <w:rPr>
                <w:rFonts w:eastAsiaTheme="minorEastAsia"/>
                <w:color w:val="auto"/>
                <w:sz w:val="21"/>
                <w:szCs w:val="21"/>
              </w:rPr>
              <w:t>0.53</w:t>
            </w:r>
          </w:p>
        </w:tc>
        <w:tc>
          <w:tcPr>
            <w:tcW w:w="851" w:type="dxa"/>
            <w:vAlign w:val="center"/>
          </w:tcPr>
          <w:p>
            <w:pPr>
              <w:jc w:val="center"/>
              <w:rPr>
                <w:rFonts w:eastAsiaTheme="minorEastAsia"/>
                <w:color w:val="auto"/>
                <w:sz w:val="21"/>
                <w:szCs w:val="21"/>
              </w:rPr>
            </w:pPr>
            <w:r>
              <w:rPr>
                <w:rFonts w:eastAsiaTheme="minorEastAsia"/>
                <w:color w:val="auto"/>
                <w:sz w:val="21"/>
                <w:szCs w:val="21"/>
              </w:rPr>
              <w:t>0.238</w:t>
            </w:r>
          </w:p>
        </w:tc>
        <w:tc>
          <w:tcPr>
            <w:tcW w:w="992" w:type="dxa"/>
            <w:vAlign w:val="center"/>
          </w:tcPr>
          <w:p>
            <w:pPr>
              <w:jc w:val="center"/>
              <w:rPr>
                <w:rFonts w:eastAsiaTheme="minorEastAsia"/>
                <w:color w:val="auto"/>
                <w:sz w:val="21"/>
                <w:szCs w:val="21"/>
              </w:rPr>
            </w:pPr>
            <w:r>
              <w:rPr>
                <w:rFonts w:eastAsiaTheme="minorEastAsia"/>
                <w:color w:val="auto"/>
                <w:sz w:val="21"/>
                <w:szCs w:val="21"/>
              </w:rPr>
              <w:t>2.6</w:t>
            </w:r>
          </w:p>
        </w:tc>
        <w:tc>
          <w:tcPr>
            <w:tcW w:w="992" w:type="dxa"/>
            <w:vAlign w:val="center"/>
          </w:tcPr>
          <w:p>
            <w:pPr>
              <w:jc w:val="center"/>
              <w:rPr>
                <w:rFonts w:eastAsiaTheme="minorEastAsia"/>
                <w:color w:val="auto"/>
                <w:sz w:val="21"/>
                <w:szCs w:val="21"/>
              </w:rPr>
            </w:pPr>
            <w:r>
              <w:rPr>
                <w:rFonts w:eastAsiaTheme="minorEastAsia"/>
                <w:color w:val="auto"/>
                <w:sz w:val="21"/>
                <w:szCs w:val="21"/>
              </w:rPr>
              <w:t>11</w:t>
            </w:r>
          </w:p>
        </w:tc>
        <w:tc>
          <w:tcPr>
            <w:tcW w:w="1122" w:type="dxa"/>
            <w:vAlign w:val="center"/>
          </w:tcPr>
          <w:p>
            <w:pPr>
              <w:jc w:val="center"/>
              <w:rPr>
                <w:rFonts w:eastAsiaTheme="minorEastAsia"/>
                <w:color w:val="auto"/>
                <w:sz w:val="21"/>
                <w:szCs w:val="21"/>
              </w:rPr>
            </w:pPr>
            <w:r>
              <w:rPr>
                <w:rFonts w:eastAsiaTheme="minorEastAsia"/>
                <w:color w:val="auto"/>
                <w:sz w:val="21"/>
                <w:szCs w:val="21"/>
              </w:rPr>
              <w:t>＜0.0003</w:t>
            </w:r>
          </w:p>
        </w:tc>
        <w:tc>
          <w:tcPr>
            <w:tcW w:w="939"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14.7</w:t>
            </w:r>
          </w:p>
        </w:tc>
        <w:tc>
          <w:tcPr>
            <w:tcW w:w="969" w:type="dxa"/>
            <w:vAlign w:val="center"/>
          </w:tcPr>
          <w:p>
            <w:pPr>
              <w:jc w:val="center"/>
              <w:rPr>
                <w:rFonts w:eastAsiaTheme="minorEastAsia"/>
                <w:color w:val="auto"/>
                <w:sz w:val="21"/>
                <w:szCs w:val="21"/>
              </w:rPr>
            </w:pPr>
            <w:r>
              <w:rPr>
                <w:rFonts w:eastAsiaTheme="minorEastAsia"/>
                <w:color w:val="auto"/>
                <w:sz w:val="21"/>
                <w:szCs w:val="21"/>
              </w:rPr>
              <w:t>＜0.004</w:t>
            </w:r>
          </w:p>
        </w:tc>
        <w:tc>
          <w:tcPr>
            <w:tcW w:w="851" w:type="dxa"/>
            <w:vAlign w:val="center"/>
          </w:tcPr>
          <w:p>
            <w:pPr>
              <w:jc w:val="center"/>
              <w:rPr>
                <w:rFonts w:eastAsiaTheme="minorEastAsia"/>
                <w:color w:val="auto"/>
                <w:sz w:val="21"/>
                <w:szCs w:val="21"/>
              </w:rPr>
            </w:pPr>
            <w:r>
              <w:rPr>
                <w:rFonts w:eastAsiaTheme="minorEastAsia"/>
                <w:color w:val="auto"/>
                <w:sz w:val="21"/>
                <w:szCs w:val="21"/>
              </w:rPr>
              <w:t>90.0</w:t>
            </w:r>
          </w:p>
        </w:tc>
        <w:tc>
          <w:tcPr>
            <w:tcW w:w="997" w:type="dxa"/>
            <w:vAlign w:val="center"/>
          </w:tcPr>
          <w:p>
            <w:pPr>
              <w:jc w:val="center"/>
              <w:rPr>
                <w:rFonts w:eastAsiaTheme="minorEastAsia"/>
                <w:color w:val="auto"/>
                <w:sz w:val="21"/>
                <w:szCs w:val="21"/>
              </w:rPr>
            </w:pPr>
            <w:r>
              <w:rPr>
                <w:rFonts w:eastAsiaTheme="minorEastAsia"/>
                <w:color w:val="auto"/>
                <w:sz w:val="21"/>
                <w:szCs w:val="21"/>
              </w:rPr>
              <w:t>＜0.004</w:t>
            </w:r>
          </w:p>
        </w:tc>
        <w:tc>
          <w:tcPr>
            <w:tcW w:w="736" w:type="dxa"/>
            <w:vAlign w:val="center"/>
          </w:tcPr>
          <w:p>
            <w:pPr>
              <w:jc w:val="center"/>
              <w:rPr>
                <w:rFonts w:eastAsiaTheme="minorEastAsia"/>
                <w:color w:val="auto"/>
                <w:sz w:val="21"/>
                <w:szCs w:val="21"/>
              </w:rPr>
            </w:pPr>
            <w:r>
              <w:rPr>
                <w:rFonts w:eastAsiaTheme="minorEastAsia"/>
                <w:color w:val="auto"/>
                <w:sz w:val="21"/>
                <w:szCs w:val="21"/>
              </w:rPr>
              <w:t>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超标率</w:t>
            </w:r>
            <w:r>
              <w:rPr>
                <w:rFonts w:hint="eastAsia" w:eastAsiaTheme="minorEastAsia"/>
                <w:color w:val="auto"/>
                <w:sz w:val="21"/>
                <w:szCs w:val="21"/>
                <w:lang w:eastAsia="zh-CN"/>
              </w:rPr>
              <w:t>（</w:t>
            </w:r>
            <w:r>
              <w:rPr>
                <w:rFonts w:hint="eastAsia" w:eastAsiaTheme="minorEastAsia"/>
                <w:color w:val="auto"/>
                <w:sz w:val="21"/>
                <w:szCs w:val="21"/>
                <w:lang w:val="en-US" w:eastAsia="zh-CN"/>
              </w:rPr>
              <w:t>%</w:t>
            </w:r>
            <w:r>
              <w:rPr>
                <w:rFonts w:hint="eastAsia" w:eastAsiaTheme="minorEastAsia"/>
                <w:color w:val="auto"/>
                <w:sz w:val="21"/>
                <w:szCs w:val="21"/>
                <w:lang w:eastAsia="zh-CN"/>
              </w:rPr>
              <w:t>）</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1122"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6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7" w:type="dxa"/>
            <w:vAlign w:val="center"/>
          </w:tcPr>
          <w:p>
            <w:pPr>
              <w:jc w:val="center"/>
              <w:rPr>
                <w:rFonts w:eastAsiaTheme="minorEastAsia"/>
                <w:color w:val="auto"/>
                <w:sz w:val="21"/>
                <w:szCs w:val="21"/>
              </w:rPr>
            </w:pPr>
            <w:r>
              <w:rPr>
                <w:rFonts w:eastAsiaTheme="minorEastAsia"/>
                <w:color w:val="auto"/>
                <w:sz w:val="21"/>
                <w:szCs w:val="21"/>
              </w:rPr>
              <w:t>0</w:t>
            </w:r>
          </w:p>
        </w:tc>
        <w:tc>
          <w:tcPr>
            <w:tcW w:w="736"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最大超标倍数</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1122"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6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7" w:type="dxa"/>
            <w:vAlign w:val="center"/>
          </w:tcPr>
          <w:p>
            <w:pPr>
              <w:jc w:val="center"/>
              <w:rPr>
                <w:rFonts w:eastAsiaTheme="minorEastAsia"/>
                <w:color w:val="auto"/>
                <w:sz w:val="21"/>
                <w:szCs w:val="21"/>
              </w:rPr>
            </w:pPr>
            <w:r>
              <w:rPr>
                <w:rFonts w:eastAsiaTheme="minorEastAsia"/>
                <w:color w:val="auto"/>
                <w:sz w:val="21"/>
                <w:szCs w:val="21"/>
              </w:rPr>
              <w:t>0</w:t>
            </w:r>
          </w:p>
        </w:tc>
        <w:tc>
          <w:tcPr>
            <w:tcW w:w="736"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最大单因子指数</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0.08</w:t>
            </w:r>
          </w:p>
        </w:tc>
        <w:tc>
          <w:tcPr>
            <w:tcW w:w="851" w:type="dxa"/>
            <w:vAlign w:val="center"/>
          </w:tcPr>
          <w:p>
            <w:pPr>
              <w:jc w:val="center"/>
              <w:rPr>
                <w:rFonts w:eastAsiaTheme="minorEastAsia"/>
                <w:color w:val="auto"/>
                <w:sz w:val="21"/>
                <w:szCs w:val="21"/>
              </w:rPr>
            </w:pPr>
            <w:r>
              <w:rPr>
                <w:rFonts w:eastAsiaTheme="minorEastAsia"/>
                <w:color w:val="auto"/>
                <w:sz w:val="21"/>
                <w:szCs w:val="21"/>
              </w:rPr>
              <w:t>0.72</w:t>
            </w:r>
          </w:p>
        </w:tc>
        <w:tc>
          <w:tcPr>
            <w:tcW w:w="850" w:type="dxa"/>
            <w:vAlign w:val="center"/>
          </w:tcPr>
          <w:p>
            <w:pPr>
              <w:jc w:val="center"/>
              <w:rPr>
                <w:rFonts w:eastAsiaTheme="minorEastAsia"/>
                <w:color w:val="auto"/>
                <w:sz w:val="21"/>
                <w:szCs w:val="21"/>
              </w:rPr>
            </w:pPr>
            <w:r>
              <w:rPr>
                <w:rFonts w:eastAsiaTheme="minorEastAsia"/>
                <w:color w:val="auto"/>
                <w:sz w:val="21"/>
                <w:szCs w:val="21"/>
              </w:rPr>
              <w:t>0.54</w:t>
            </w:r>
          </w:p>
        </w:tc>
        <w:tc>
          <w:tcPr>
            <w:tcW w:w="851" w:type="dxa"/>
            <w:vAlign w:val="center"/>
          </w:tcPr>
          <w:p>
            <w:pPr>
              <w:jc w:val="center"/>
              <w:rPr>
                <w:rFonts w:eastAsiaTheme="minorEastAsia"/>
                <w:color w:val="auto"/>
                <w:sz w:val="21"/>
                <w:szCs w:val="21"/>
              </w:rPr>
            </w:pPr>
            <w:r>
              <w:rPr>
                <w:rFonts w:eastAsiaTheme="minorEastAsia"/>
                <w:color w:val="auto"/>
                <w:sz w:val="21"/>
                <w:szCs w:val="21"/>
              </w:rPr>
              <w:t>0.24</w:t>
            </w:r>
          </w:p>
        </w:tc>
        <w:tc>
          <w:tcPr>
            <w:tcW w:w="992" w:type="dxa"/>
            <w:vAlign w:val="center"/>
          </w:tcPr>
          <w:p>
            <w:pPr>
              <w:jc w:val="center"/>
              <w:rPr>
                <w:rFonts w:eastAsiaTheme="minorEastAsia"/>
                <w:color w:val="auto"/>
                <w:sz w:val="21"/>
                <w:szCs w:val="21"/>
              </w:rPr>
            </w:pPr>
            <w:r>
              <w:rPr>
                <w:rFonts w:eastAsiaTheme="minorEastAsia"/>
                <w:color w:val="auto"/>
                <w:sz w:val="21"/>
                <w:szCs w:val="21"/>
              </w:rPr>
              <w:t>0.53</w:t>
            </w:r>
          </w:p>
        </w:tc>
        <w:tc>
          <w:tcPr>
            <w:tcW w:w="992" w:type="dxa"/>
            <w:vAlign w:val="center"/>
          </w:tcPr>
          <w:p>
            <w:pPr>
              <w:jc w:val="center"/>
              <w:rPr>
                <w:rFonts w:eastAsiaTheme="minorEastAsia"/>
                <w:color w:val="auto"/>
                <w:sz w:val="21"/>
                <w:szCs w:val="21"/>
              </w:rPr>
            </w:pPr>
            <w:r>
              <w:rPr>
                <w:rFonts w:eastAsiaTheme="minorEastAsia"/>
                <w:color w:val="auto"/>
                <w:sz w:val="21"/>
                <w:szCs w:val="21"/>
              </w:rPr>
              <w:t>0.75</w:t>
            </w:r>
          </w:p>
        </w:tc>
        <w:tc>
          <w:tcPr>
            <w:tcW w:w="1122" w:type="dxa"/>
            <w:vAlign w:val="center"/>
          </w:tcPr>
          <w:p>
            <w:pPr>
              <w:jc w:val="center"/>
              <w:rPr>
                <w:rFonts w:eastAsiaTheme="minorEastAsia"/>
                <w:color w:val="auto"/>
                <w:sz w:val="21"/>
                <w:szCs w:val="21"/>
              </w:rPr>
            </w:pPr>
            <w:r>
              <w:rPr>
                <w:rFonts w:eastAsiaTheme="minorEastAsia"/>
                <w:color w:val="auto"/>
                <w:sz w:val="21"/>
                <w:szCs w:val="21"/>
              </w:rPr>
              <w:t>/</w:t>
            </w:r>
          </w:p>
        </w:tc>
        <w:tc>
          <w:tcPr>
            <w:tcW w:w="939" w:type="dxa"/>
            <w:vAlign w:val="center"/>
          </w:tcPr>
          <w:p>
            <w:pPr>
              <w:jc w:val="center"/>
              <w:rPr>
                <w:rFonts w:eastAsiaTheme="minorEastAsia"/>
                <w:color w:val="auto"/>
                <w:sz w:val="21"/>
                <w:szCs w:val="21"/>
              </w:rPr>
            </w:pPr>
            <w:r>
              <w:rPr>
                <w:rFonts w:eastAsiaTheme="minorEastAsia"/>
                <w:color w:val="auto"/>
                <w:sz w:val="21"/>
                <w:szCs w:val="21"/>
              </w:rPr>
              <w:t>/</w:t>
            </w:r>
          </w:p>
        </w:tc>
        <w:tc>
          <w:tcPr>
            <w:tcW w:w="939" w:type="dxa"/>
            <w:vAlign w:val="center"/>
          </w:tcPr>
          <w:p>
            <w:pPr>
              <w:jc w:val="center"/>
              <w:rPr>
                <w:rFonts w:eastAsiaTheme="minorEastAsia"/>
                <w:color w:val="auto"/>
                <w:sz w:val="21"/>
                <w:szCs w:val="21"/>
              </w:rPr>
            </w:pPr>
            <w:r>
              <w:rPr>
                <w:rFonts w:eastAsiaTheme="minorEastAsia"/>
                <w:color w:val="auto"/>
                <w:sz w:val="21"/>
                <w:szCs w:val="21"/>
              </w:rPr>
              <w:t>0.06</w:t>
            </w:r>
          </w:p>
        </w:tc>
        <w:tc>
          <w:tcPr>
            <w:tcW w:w="969"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0.36</w:t>
            </w:r>
          </w:p>
        </w:tc>
        <w:tc>
          <w:tcPr>
            <w:tcW w:w="997" w:type="dxa"/>
            <w:vAlign w:val="center"/>
          </w:tcPr>
          <w:p>
            <w:pPr>
              <w:jc w:val="center"/>
              <w:rPr>
                <w:rFonts w:eastAsiaTheme="minorEastAsia"/>
                <w:color w:val="auto"/>
                <w:sz w:val="21"/>
                <w:szCs w:val="21"/>
              </w:rPr>
            </w:pPr>
            <w:r>
              <w:rPr>
                <w:rFonts w:eastAsiaTheme="minorEastAsia"/>
                <w:color w:val="auto"/>
                <w:sz w:val="21"/>
                <w:szCs w:val="21"/>
              </w:rPr>
              <w:t>/</w:t>
            </w:r>
          </w:p>
        </w:tc>
        <w:tc>
          <w:tcPr>
            <w:tcW w:w="736" w:type="dxa"/>
            <w:vAlign w:val="center"/>
          </w:tcPr>
          <w:p>
            <w:pPr>
              <w:jc w:val="center"/>
              <w:rPr>
                <w:rFonts w:eastAsiaTheme="minorEastAsia"/>
                <w:color w:val="auto"/>
                <w:sz w:val="21"/>
                <w:szCs w:val="21"/>
              </w:rPr>
            </w:pPr>
            <w:r>
              <w:rPr>
                <w:rFonts w:eastAsiaTheme="minorEastAsia"/>
                <w:color w:val="auto"/>
                <w:sz w:val="21"/>
                <w:szCs w:val="21"/>
              </w:rPr>
              <w:t>0.45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标准值（mg/L）</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6~9</w:t>
            </w:r>
          </w:p>
        </w:tc>
        <w:tc>
          <w:tcPr>
            <w:tcW w:w="851" w:type="dxa"/>
            <w:vAlign w:val="center"/>
          </w:tcPr>
          <w:p>
            <w:pPr>
              <w:jc w:val="center"/>
              <w:rPr>
                <w:rFonts w:eastAsiaTheme="minorEastAsia"/>
                <w:color w:val="auto"/>
                <w:sz w:val="21"/>
                <w:szCs w:val="21"/>
              </w:rPr>
            </w:pPr>
            <w:r>
              <w:rPr>
                <w:rFonts w:eastAsiaTheme="minorEastAsia"/>
                <w:color w:val="auto"/>
                <w:sz w:val="21"/>
                <w:szCs w:val="21"/>
              </w:rPr>
              <w:t>≥5</w:t>
            </w:r>
          </w:p>
        </w:tc>
        <w:tc>
          <w:tcPr>
            <w:tcW w:w="850" w:type="dxa"/>
            <w:vAlign w:val="center"/>
          </w:tcPr>
          <w:p>
            <w:pPr>
              <w:jc w:val="center"/>
              <w:rPr>
                <w:rFonts w:eastAsiaTheme="minorEastAsia"/>
                <w:color w:val="auto"/>
                <w:sz w:val="21"/>
                <w:szCs w:val="21"/>
              </w:rPr>
            </w:pPr>
            <w:r>
              <w:rPr>
                <w:rFonts w:eastAsiaTheme="minorEastAsia"/>
                <w:color w:val="auto"/>
                <w:sz w:val="21"/>
                <w:szCs w:val="21"/>
              </w:rPr>
              <w:t>≤1.0</w:t>
            </w:r>
          </w:p>
        </w:tc>
        <w:tc>
          <w:tcPr>
            <w:tcW w:w="851" w:type="dxa"/>
            <w:vAlign w:val="center"/>
          </w:tcPr>
          <w:p>
            <w:pPr>
              <w:jc w:val="center"/>
              <w:rPr>
                <w:rFonts w:eastAsiaTheme="minorEastAsia"/>
                <w:color w:val="auto"/>
                <w:sz w:val="21"/>
                <w:szCs w:val="21"/>
              </w:rPr>
            </w:pPr>
            <w:r>
              <w:rPr>
                <w:rFonts w:eastAsiaTheme="minorEastAsia"/>
                <w:color w:val="auto"/>
                <w:sz w:val="21"/>
                <w:szCs w:val="21"/>
              </w:rPr>
              <w:t>≤1.0</w:t>
            </w:r>
          </w:p>
        </w:tc>
        <w:tc>
          <w:tcPr>
            <w:tcW w:w="992" w:type="dxa"/>
            <w:vAlign w:val="center"/>
          </w:tcPr>
          <w:p>
            <w:pPr>
              <w:jc w:val="center"/>
              <w:rPr>
                <w:rFonts w:eastAsiaTheme="minorEastAsia"/>
                <w:color w:val="auto"/>
                <w:sz w:val="21"/>
                <w:szCs w:val="21"/>
              </w:rPr>
            </w:pPr>
            <w:r>
              <w:rPr>
                <w:rFonts w:eastAsiaTheme="minorEastAsia"/>
                <w:color w:val="auto"/>
                <w:sz w:val="21"/>
                <w:szCs w:val="21"/>
              </w:rPr>
              <w:t>≤6</w:t>
            </w:r>
          </w:p>
        </w:tc>
        <w:tc>
          <w:tcPr>
            <w:tcW w:w="992" w:type="dxa"/>
            <w:vAlign w:val="center"/>
          </w:tcPr>
          <w:p>
            <w:pPr>
              <w:jc w:val="center"/>
              <w:rPr>
                <w:rFonts w:eastAsiaTheme="minorEastAsia"/>
                <w:color w:val="auto"/>
                <w:sz w:val="21"/>
                <w:szCs w:val="21"/>
              </w:rPr>
            </w:pPr>
            <w:r>
              <w:rPr>
                <w:rFonts w:eastAsiaTheme="minorEastAsia"/>
                <w:color w:val="auto"/>
                <w:sz w:val="21"/>
                <w:szCs w:val="21"/>
              </w:rPr>
              <w:t>≤20</w:t>
            </w:r>
          </w:p>
        </w:tc>
        <w:tc>
          <w:tcPr>
            <w:tcW w:w="1122"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≤0.2</w:t>
            </w:r>
          </w:p>
        </w:tc>
        <w:tc>
          <w:tcPr>
            <w:tcW w:w="939" w:type="dxa"/>
            <w:vAlign w:val="center"/>
          </w:tcPr>
          <w:p>
            <w:pPr>
              <w:jc w:val="center"/>
              <w:rPr>
                <w:rFonts w:eastAsiaTheme="minorEastAsia"/>
                <w:color w:val="auto"/>
                <w:sz w:val="21"/>
                <w:szCs w:val="21"/>
              </w:rPr>
            </w:pPr>
            <w:r>
              <w:rPr>
                <w:rFonts w:eastAsiaTheme="minorEastAsia"/>
                <w:color w:val="auto"/>
                <w:sz w:val="21"/>
                <w:szCs w:val="21"/>
              </w:rPr>
              <w:t>≤250</w:t>
            </w:r>
          </w:p>
        </w:tc>
        <w:tc>
          <w:tcPr>
            <w:tcW w:w="969" w:type="dxa"/>
            <w:vAlign w:val="center"/>
          </w:tcPr>
          <w:p>
            <w:pPr>
              <w:jc w:val="center"/>
              <w:rPr>
                <w:rFonts w:eastAsiaTheme="minorEastAsia"/>
                <w:color w:val="auto"/>
                <w:sz w:val="21"/>
                <w:szCs w:val="21"/>
              </w:rPr>
            </w:pPr>
            <w:r>
              <w:rPr>
                <w:rFonts w:eastAsiaTheme="minorEastAsia"/>
                <w:color w:val="auto"/>
                <w:sz w:val="21"/>
                <w:szCs w:val="21"/>
              </w:rPr>
              <w:t>≤0.05</w:t>
            </w:r>
          </w:p>
        </w:tc>
        <w:tc>
          <w:tcPr>
            <w:tcW w:w="851" w:type="dxa"/>
            <w:vAlign w:val="center"/>
          </w:tcPr>
          <w:p>
            <w:pPr>
              <w:jc w:val="center"/>
              <w:rPr>
                <w:rFonts w:eastAsiaTheme="minorEastAsia"/>
                <w:color w:val="auto"/>
                <w:sz w:val="21"/>
                <w:szCs w:val="21"/>
              </w:rPr>
            </w:pPr>
            <w:r>
              <w:rPr>
                <w:rFonts w:eastAsiaTheme="minorEastAsia"/>
                <w:color w:val="auto"/>
                <w:sz w:val="21"/>
                <w:szCs w:val="21"/>
              </w:rPr>
              <w:t>≤250</w:t>
            </w:r>
          </w:p>
        </w:tc>
        <w:tc>
          <w:tcPr>
            <w:tcW w:w="997" w:type="dxa"/>
            <w:vAlign w:val="center"/>
          </w:tcPr>
          <w:p>
            <w:pPr>
              <w:jc w:val="center"/>
              <w:rPr>
                <w:rFonts w:eastAsiaTheme="minorEastAsia"/>
                <w:color w:val="auto"/>
                <w:sz w:val="21"/>
                <w:szCs w:val="21"/>
              </w:rPr>
            </w:pPr>
            <w:r>
              <w:rPr>
                <w:rFonts w:eastAsiaTheme="minorEastAsia"/>
                <w:color w:val="auto"/>
                <w:sz w:val="21"/>
                <w:szCs w:val="21"/>
              </w:rPr>
              <w:t>≤0.2</w:t>
            </w:r>
          </w:p>
        </w:tc>
        <w:tc>
          <w:tcPr>
            <w:tcW w:w="736" w:type="dxa"/>
            <w:vAlign w:val="center"/>
          </w:tcPr>
          <w:p>
            <w:pPr>
              <w:jc w:val="center"/>
              <w:rPr>
                <w:rFonts w:eastAsiaTheme="minorEastAsia"/>
                <w:color w:val="auto"/>
                <w:sz w:val="21"/>
                <w:szCs w:val="21"/>
              </w:rPr>
            </w:pPr>
            <w:r>
              <w:rPr>
                <w:rFonts w:eastAsiaTheme="minorEastAsia"/>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restart"/>
            <w:vAlign w:val="center"/>
          </w:tcPr>
          <w:p>
            <w:pPr>
              <w:jc w:val="center"/>
              <w:rPr>
                <w:rFonts w:eastAsiaTheme="minorEastAsia"/>
                <w:color w:val="auto"/>
                <w:sz w:val="21"/>
                <w:szCs w:val="21"/>
              </w:rPr>
            </w:pPr>
            <w:r>
              <w:rPr>
                <w:rFonts w:eastAsiaTheme="minorEastAsia"/>
                <w:color w:val="auto"/>
                <w:sz w:val="21"/>
                <w:szCs w:val="21"/>
              </w:rPr>
              <w:t>W5</w:t>
            </w:r>
          </w:p>
        </w:tc>
        <w:tc>
          <w:tcPr>
            <w:tcW w:w="464" w:type="dxa"/>
            <w:gridSpan w:val="2"/>
            <w:vMerge w:val="restart"/>
            <w:vAlign w:val="center"/>
          </w:tcPr>
          <w:p>
            <w:pPr>
              <w:jc w:val="center"/>
              <w:rPr>
                <w:rFonts w:eastAsiaTheme="minorEastAsia"/>
                <w:color w:val="auto"/>
                <w:sz w:val="21"/>
                <w:szCs w:val="21"/>
              </w:rPr>
            </w:pPr>
            <w:r>
              <w:rPr>
                <w:rFonts w:eastAsiaTheme="minorEastAsia"/>
                <w:color w:val="auto"/>
                <w:sz w:val="21"/>
                <w:szCs w:val="21"/>
              </w:rPr>
              <w:t>监测值</w:t>
            </w:r>
          </w:p>
        </w:tc>
        <w:tc>
          <w:tcPr>
            <w:tcW w:w="812" w:type="dxa"/>
            <w:vAlign w:val="center"/>
          </w:tcPr>
          <w:p>
            <w:pPr>
              <w:jc w:val="center"/>
              <w:rPr>
                <w:rFonts w:eastAsiaTheme="minorEastAsia"/>
                <w:color w:val="auto"/>
                <w:sz w:val="21"/>
                <w:szCs w:val="21"/>
              </w:rPr>
            </w:pPr>
            <w:r>
              <w:rPr>
                <w:rFonts w:eastAsiaTheme="minorEastAsia"/>
                <w:color w:val="auto"/>
                <w:sz w:val="21"/>
                <w:szCs w:val="21"/>
              </w:rPr>
              <w:t>2019.3.25</w:t>
            </w:r>
          </w:p>
        </w:tc>
        <w:tc>
          <w:tcPr>
            <w:tcW w:w="708" w:type="dxa"/>
            <w:vAlign w:val="center"/>
          </w:tcPr>
          <w:p>
            <w:pPr>
              <w:jc w:val="center"/>
              <w:rPr>
                <w:rFonts w:eastAsiaTheme="minorEastAsia"/>
                <w:color w:val="auto"/>
                <w:sz w:val="21"/>
                <w:szCs w:val="21"/>
              </w:rPr>
            </w:pPr>
            <w:r>
              <w:rPr>
                <w:rFonts w:eastAsiaTheme="minorEastAsia"/>
                <w:color w:val="auto"/>
                <w:sz w:val="21"/>
                <w:szCs w:val="21"/>
              </w:rPr>
              <w:t>22.0</w:t>
            </w:r>
          </w:p>
        </w:tc>
        <w:tc>
          <w:tcPr>
            <w:tcW w:w="709" w:type="dxa"/>
            <w:vAlign w:val="center"/>
          </w:tcPr>
          <w:p>
            <w:pPr>
              <w:jc w:val="center"/>
              <w:rPr>
                <w:rFonts w:eastAsiaTheme="minorEastAsia"/>
                <w:color w:val="auto"/>
                <w:sz w:val="21"/>
                <w:szCs w:val="21"/>
              </w:rPr>
            </w:pPr>
            <w:r>
              <w:rPr>
                <w:rFonts w:eastAsiaTheme="minorEastAsia"/>
                <w:color w:val="auto"/>
                <w:sz w:val="21"/>
                <w:szCs w:val="21"/>
              </w:rPr>
              <w:t>6.85</w:t>
            </w:r>
          </w:p>
        </w:tc>
        <w:tc>
          <w:tcPr>
            <w:tcW w:w="851" w:type="dxa"/>
            <w:vAlign w:val="center"/>
          </w:tcPr>
          <w:p>
            <w:pPr>
              <w:jc w:val="center"/>
              <w:rPr>
                <w:rFonts w:eastAsiaTheme="minorEastAsia"/>
                <w:color w:val="auto"/>
                <w:sz w:val="21"/>
                <w:szCs w:val="21"/>
              </w:rPr>
            </w:pPr>
            <w:r>
              <w:rPr>
                <w:rFonts w:eastAsiaTheme="minorEastAsia"/>
                <w:color w:val="auto"/>
                <w:sz w:val="21"/>
                <w:szCs w:val="21"/>
              </w:rPr>
              <w:t>6.8</w:t>
            </w:r>
          </w:p>
        </w:tc>
        <w:tc>
          <w:tcPr>
            <w:tcW w:w="850" w:type="dxa"/>
            <w:vAlign w:val="center"/>
          </w:tcPr>
          <w:p>
            <w:pPr>
              <w:jc w:val="center"/>
              <w:rPr>
                <w:rFonts w:eastAsiaTheme="minorEastAsia"/>
                <w:color w:val="auto"/>
                <w:sz w:val="21"/>
                <w:szCs w:val="21"/>
              </w:rPr>
            </w:pPr>
            <w:r>
              <w:rPr>
                <w:rFonts w:eastAsiaTheme="minorEastAsia"/>
                <w:color w:val="auto"/>
                <w:sz w:val="21"/>
                <w:szCs w:val="21"/>
              </w:rPr>
              <w:t>0.55</w:t>
            </w:r>
          </w:p>
        </w:tc>
        <w:tc>
          <w:tcPr>
            <w:tcW w:w="851" w:type="dxa"/>
            <w:vAlign w:val="center"/>
          </w:tcPr>
          <w:p>
            <w:pPr>
              <w:jc w:val="center"/>
              <w:rPr>
                <w:rFonts w:eastAsiaTheme="minorEastAsia"/>
                <w:color w:val="auto"/>
                <w:sz w:val="21"/>
                <w:szCs w:val="21"/>
              </w:rPr>
            </w:pPr>
            <w:r>
              <w:rPr>
                <w:rFonts w:eastAsiaTheme="minorEastAsia"/>
                <w:color w:val="auto"/>
                <w:sz w:val="21"/>
                <w:szCs w:val="21"/>
              </w:rPr>
              <w:t>0.212</w:t>
            </w:r>
          </w:p>
        </w:tc>
        <w:tc>
          <w:tcPr>
            <w:tcW w:w="992" w:type="dxa"/>
            <w:vAlign w:val="center"/>
          </w:tcPr>
          <w:p>
            <w:pPr>
              <w:jc w:val="center"/>
              <w:rPr>
                <w:rFonts w:eastAsiaTheme="minorEastAsia"/>
                <w:color w:val="auto"/>
                <w:sz w:val="21"/>
                <w:szCs w:val="21"/>
              </w:rPr>
            </w:pPr>
            <w:r>
              <w:rPr>
                <w:rFonts w:eastAsiaTheme="minorEastAsia"/>
                <w:color w:val="auto"/>
                <w:sz w:val="21"/>
                <w:szCs w:val="21"/>
              </w:rPr>
              <w:t>3.6</w:t>
            </w:r>
          </w:p>
        </w:tc>
        <w:tc>
          <w:tcPr>
            <w:tcW w:w="992" w:type="dxa"/>
            <w:vAlign w:val="center"/>
          </w:tcPr>
          <w:p>
            <w:pPr>
              <w:jc w:val="center"/>
              <w:rPr>
                <w:rFonts w:eastAsiaTheme="minorEastAsia"/>
                <w:color w:val="auto"/>
                <w:sz w:val="21"/>
                <w:szCs w:val="21"/>
              </w:rPr>
            </w:pPr>
            <w:r>
              <w:rPr>
                <w:rFonts w:eastAsiaTheme="minorEastAsia"/>
                <w:color w:val="auto"/>
                <w:sz w:val="21"/>
                <w:szCs w:val="21"/>
              </w:rPr>
              <w:t>14</w:t>
            </w:r>
          </w:p>
        </w:tc>
        <w:tc>
          <w:tcPr>
            <w:tcW w:w="1122" w:type="dxa"/>
            <w:vAlign w:val="center"/>
          </w:tcPr>
          <w:p>
            <w:pPr>
              <w:jc w:val="center"/>
              <w:rPr>
                <w:rFonts w:eastAsiaTheme="minorEastAsia"/>
                <w:color w:val="auto"/>
                <w:sz w:val="21"/>
                <w:szCs w:val="21"/>
              </w:rPr>
            </w:pPr>
            <w:r>
              <w:rPr>
                <w:rFonts w:eastAsiaTheme="minorEastAsia"/>
                <w:color w:val="auto"/>
                <w:sz w:val="21"/>
                <w:szCs w:val="21"/>
              </w:rPr>
              <w:t>＜0.0003</w:t>
            </w:r>
          </w:p>
        </w:tc>
        <w:tc>
          <w:tcPr>
            <w:tcW w:w="939"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13.3</w:t>
            </w:r>
          </w:p>
        </w:tc>
        <w:tc>
          <w:tcPr>
            <w:tcW w:w="969" w:type="dxa"/>
            <w:vAlign w:val="center"/>
          </w:tcPr>
          <w:p>
            <w:pPr>
              <w:jc w:val="center"/>
              <w:rPr>
                <w:rFonts w:eastAsiaTheme="minorEastAsia"/>
                <w:color w:val="auto"/>
                <w:sz w:val="21"/>
                <w:szCs w:val="21"/>
              </w:rPr>
            </w:pPr>
            <w:r>
              <w:rPr>
                <w:rFonts w:eastAsiaTheme="minorEastAsia"/>
                <w:color w:val="auto"/>
                <w:sz w:val="21"/>
                <w:szCs w:val="21"/>
              </w:rPr>
              <w:t>＜0.004</w:t>
            </w:r>
          </w:p>
        </w:tc>
        <w:tc>
          <w:tcPr>
            <w:tcW w:w="851" w:type="dxa"/>
            <w:vAlign w:val="center"/>
          </w:tcPr>
          <w:p>
            <w:pPr>
              <w:jc w:val="center"/>
              <w:rPr>
                <w:rFonts w:eastAsiaTheme="minorEastAsia"/>
                <w:color w:val="auto"/>
                <w:sz w:val="21"/>
                <w:szCs w:val="21"/>
              </w:rPr>
            </w:pPr>
            <w:r>
              <w:rPr>
                <w:rFonts w:eastAsiaTheme="minorEastAsia"/>
                <w:color w:val="auto"/>
                <w:sz w:val="21"/>
                <w:szCs w:val="21"/>
              </w:rPr>
              <w:t>90.8</w:t>
            </w:r>
          </w:p>
        </w:tc>
        <w:tc>
          <w:tcPr>
            <w:tcW w:w="997" w:type="dxa"/>
            <w:vAlign w:val="center"/>
          </w:tcPr>
          <w:p>
            <w:pPr>
              <w:jc w:val="center"/>
              <w:rPr>
                <w:rFonts w:eastAsiaTheme="minorEastAsia"/>
                <w:color w:val="auto"/>
                <w:sz w:val="21"/>
                <w:szCs w:val="21"/>
              </w:rPr>
            </w:pPr>
            <w:r>
              <w:rPr>
                <w:rFonts w:eastAsiaTheme="minorEastAsia"/>
                <w:color w:val="auto"/>
                <w:sz w:val="21"/>
                <w:szCs w:val="21"/>
              </w:rPr>
              <w:t>＜0.004</w:t>
            </w:r>
          </w:p>
        </w:tc>
        <w:tc>
          <w:tcPr>
            <w:tcW w:w="736" w:type="dxa"/>
            <w:vAlign w:val="center"/>
          </w:tcPr>
          <w:p>
            <w:pPr>
              <w:jc w:val="center"/>
              <w:rPr>
                <w:rFonts w:eastAsiaTheme="minorEastAsia"/>
                <w:color w:val="auto"/>
                <w:sz w:val="21"/>
                <w:szCs w:val="21"/>
              </w:rPr>
            </w:pPr>
            <w:r>
              <w:rPr>
                <w:rFonts w:eastAsiaTheme="minorEastAsia"/>
                <w:color w:val="auto"/>
                <w:sz w:val="21"/>
                <w:szCs w:val="21"/>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464" w:type="dxa"/>
            <w:gridSpan w:val="2"/>
            <w:vMerge w:val="continue"/>
            <w:vAlign w:val="center"/>
          </w:tcPr>
          <w:p>
            <w:pPr>
              <w:jc w:val="center"/>
              <w:rPr>
                <w:rFonts w:eastAsiaTheme="minorEastAsia"/>
                <w:color w:val="auto"/>
                <w:sz w:val="21"/>
                <w:szCs w:val="21"/>
              </w:rPr>
            </w:pPr>
          </w:p>
        </w:tc>
        <w:tc>
          <w:tcPr>
            <w:tcW w:w="812" w:type="dxa"/>
            <w:vAlign w:val="center"/>
          </w:tcPr>
          <w:p>
            <w:pPr>
              <w:jc w:val="center"/>
              <w:rPr>
                <w:rFonts w:eastAsiaTheme="minorEastAsia"/>
                <w:color w:val="auto"/>
                <w:sz w:val="21"/>
                <w:szCs w:val="21"/>
              </w:rPr>
            </w:pPr>
            <w:r>
              <w:rPr>
                <w:rFonts w:eastAsiaTheme="minorEastAsia"/>
                <w:color w:val="auto"/>
                <w:sz w:val="21"/>
                <w:szCs w:val="21"/>
              </w:rPr>
              <w:t>2019.3.26</w:t>
            </w:r>
          </w:p>
        </w:tc>
        <w:tc>
          <w:tcPr>
            <w:tcW w:w="708" w:type="dxa"/>
            <w:vAlign w:val="center"/>
          </w:tcPr>
          <w:p>
            <w:pPr>
              <w:jc w:val="center"/>
              <w:rPr>
                <w:rFonts w:eastAsiaTheme="minorEastAsia"/>
                <w:color w:val="auto"/>
                <w:sz w:val="21"/>
                <w:szCs w:val="21"/>
              </w:rPr>
            </w:pPr>
            <w:r>
              <w:rPr>
                <w:rFonts w:eastAsiaTheme="minorEastAsia"/>
                <w:color w:val="auto"/>
                <w:sz w:val="21"/>
                <w:szCs w:val="21"/>
              </w:rPr>
              <w:t>21.8</w:t>
            </w:r>
          </w:p>
        </w:tc>
        <w:tc>
          <w:tcPr>
            <w:tcW w:w="709" w:type="dxa"/>
            <w:vAlign w:val="center"/>
          </w:tcPr>
          <w:p>
            <w:pPr>
              <w:jc w:val="center"/>
              <w:rPr>
                <w:rFonts w:eastAsiaTheme="minorEastAsia"/>
                <w:color w:val="auto"/>
                <w:sz w:val="21"/>
                <w:szCs w:val="21"/>
              </w:rPr>
            </w:pPr>
            <w:r>
              <w:rPr>
                <w:rFonts w:eastAsiaTheme="minorEastAsia"/>
                <w:color w:val="auto"/>
                <w:sz w:val="21"/>
                <w:szCs w:val="21"/>
              </w:rPr>
              <w:t>7.00</w:t>
            </w:r>
          </w:p>
        </w:tc>
        <w:tc>
          <w:tcPr>
            <w:tcW w:w="851" w:type="dxa"/>
            <w:vAlign w:val="center"/>
          </w:tcPr>
          <w:p>
            <w:pPr>
              <w:jc w:val="center"/>
              <w:rPr>
                <w:rFonts w:eastAsiaTheme="minorEastAsia"/>
                <w:color w:val="auto"/>
                <w:sz w:val="21"/>
                <w:szCs w:val="21"/>
              </w:rPr>
            </w:pPr>
            <w:r>
              <w:rPr>
                <w:rFonts w:eastAsiaTheme="minorEastAsia"/>
                <w:color w:val="auto"/>
                <w:sz w:val="21"/>
                <w:szCs w:val="21"/>
              </w:rPr>
              <w:t>6.7</w:t>
            </w:r>
          </w:p>
        </w:tc>
        <w:tc>
          <w:tcPr>
            <w:tcW w:w="850" w:type="dxa"/>
            <w:vAlign w:val="center"/>
          </w:tcPr>
          <w:p>
            <w:pPr>
              <w:jc w:val="center"/>
              <w:rPr>
                <w:rFonts w:eastAsiaTheme="minorEastAsia"/>
                <w:color w:val="auto"/>
                <w:sz w:val="21"/>
                <w:szCs w:val="21"/>
              </w:rPr>
            </w:pPr>
            <w:r>
              <w:rPr>
                <w:rFonts w:eastAsiaTheme="minorEastAsia"/>
                <w:color w:val="auto"/>
                <w:sz w:val="21"/>
                <w:szCs w:val="21"/>
              </w:rPr>
              <w:t>0.53</w:t>
            </w:r>
          </w:p>
        </w:tc>
        <w:tc>
          <w:tcPr>
            <w:tcW w:w="851" w:type="dxa"/>
            <w:vAlign w:val="center"/>
          </w:tcPr>
          <w:p>
            <w:pPr>
              <w:jc w:val="center"/>
              <w:rPr>
                <w:rFonts w:eastAsiaTheme="minorEastAsia"/>
                <w:color w:val="auto"/>
                <w:sz w:val="21"/>
                <w:szCs w:val="21"/>
              </w:rPr>
            </w:pPr>
            <w:r>
              <w:rPr>
                <w:rFonts w:eastAsiaTheme="minorEastAsia"/>
                <w:color w:val="auto"/>
                <w:sz w:val="21"/>
                <w:szCs w:val="21"/>
              </w:rPr>
              <w:t>0.178</w:t>
            </w:r>
          </w:p>
        </w:tc>
        <w:tc>
          <w:tcPr>
            <w:tcW w:w="992" w:type="dxa"/>
            <w:vAlign w:val="center"/>
          </w:tcPr>
          <w:p>
            <w:pPr>
              <w:jc w:val="center"/>
              <w:rPr>
                <w:rFonts w:eastAsiaTheme="minorEastAsia"/>
                <w:color w:val="auto"/>
                <w:sz w:val="21"/>
                <w:szCs w:val="21"/>
              </w:rPr>
            </w:pPr>
            <w:r>
              <w:rPr>
                <w:rFonts w:eastAsiaTheme="minorEastAsia"/>
                <w:color w:val="auto"/>
                <w:sz w:val="21"/>
                <w:szCs w:val="21"/>
              </w:rPr>
              <w:t>3.3</w:t>
            </w:r>
          </w:p>
        </w:tc>
        <w:tc>
          <w:tcPr>
            <w:tcW w:w="992" w:type="dxa"/>
            <w:vAlign w:val="center"/>
          </w:tcPr>
          <w:p>
            <w:pPr>
              <w:jc w:val="center"/>
              <w:rPr>
                <w:rFonts w:eastAsiaTheme="minorEastAsia"/>
                <w:color w:val="auto"/>
                <w:sz w:val="21"/>
                <w:szCs w:val="21"/>
              </w:rPr>
            </w:pPr>
            <w:r>
              <w:rPr>
                <w:rFonts w:eastAsiaTheme="minorEastAsia"/>
                <w:color w:val="auto"/>
                <w:sz w:val="21"/>
                <w:szCs w:val="21"/>
              </w:rPr>
              <w:t>12</w:t>
            </w:r>
          </w:p>
        </w:tc>
        <w:tc>
          <w:tcPr>
            <w:tcW w:w="1122" w:type="dxa"/>
            <w:vAlign w:val="center"/>
          </w:tcPr>
          <w:p>
            <w:pPr>
              <w:jc w:val="center"/>
              <w:rPr>
                <w:rFonts w:eastAsiaTheme="minorEastAsia"/>
                <w:color w:val="auto"/>
                <w:sz w:val="21"/>
                <w:szCs w:val="21"/>
              </w:rPr>
            </w:pPr>
            <w:r>
              <w:rPr>
                <w:rFonts w:eastAsiaTheme="minorEastAsia"/>
                <w:color w:val="auto"/>
                <w:sz w:val="21"/>
                <w:szCs w:val="21"/>
              </w:rPr>
              <w:t>＜0.0003</w:t>
            </w:r>
          </w:p>
        </w:tc>
        <w:tc>
          <w:tcPr>
            <w:tcW w:w="939"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13.7</w:t>
            </w:r>
          </w:p>
        </w:tc>
        <w:tc>
          <w:tcPr>
            <w:tcW w:w="969" w:type="dxa"/>
            <w:vAlign w:val="center"/>
          </w:tcPr>
          <w:p>
            <w:pPr>
              <w:jc w:val="center"/>
              <w:rPr>
                <w:rFonts w:eastAsiaTheme="minorEastAsia"/>
                <w:color w:val="auto"/>
                <w:sz w:val="21"/>
                <w:szCs w:val="21"/>
              </w:rPr>
            </w:pPr>
            <w:r>
              <w:rPr>
                <w:rFonts w:eastAsiaTheme="minorEastAsia"/>
                <w:color w:val="auto"/>
                <w:sz w:val="21"/>
                <w:szCs w:val="21"/>
              </w:rPr>
              <w:t>＜0.004</w:t>
            </w:r>
          </w:p>
        </w:tc>
        <w:tc>
          <w:tcPr>
            <w:tcW w:w="851" w:type="dxa"/>
            <w:vAlign w:val="center"/>
          </w:tcPr>
          <w:p>
            <w:pPr>
              <w:jc w:val="center"/>
              <w:rPr>
                <w:rFonts w:eastAsiaTheme="minorEastAsia"/>
                <w:color w:val="auto"/>
                <w:sz w:val="21"/>
                <w:szCs w:val="21"/>
              </w:rPr>
            </w:pPr>
            <w:r>
              <w:rPr>
                <w:rFonts w:eastAsiaTheme="minorEastAsia"/>
                <w:color w:val="auto"/>
                <w:sz w:val="21"/>
                <w:szCs w:val="21"/>
              </w:rPr>
              <w:t>81.2</w:t>
            </w:r>
          </w:p>
        </w:tc>
        <w:tc>
          <w:tcPr>
            <w:tcW w:w="997" w:type="dxa"/>
            <w:vAlign w:val="center"/>
          </w:tcPr>
          <w:p>
            <w:pPr>
              <w:jc w:val="center"/>
              <w:rPr>
                <w:rFonts w:eastAsiaTheme="minorEastAsia"/>
                <w:color w:val="auto"/>
                <w:sz w:val="21"/>
                <w:szCs w:val="21"/>
              </w:rPr>
            </w:pPr>
            <w:r>
              <w:rPr>
                <w:rFonts w:eastAsiaTheme="minorEastAsia"/>
                <w:color w:val="auto"/>
                <w:sz w:val="21"/>
                <w:szCs w:val="21"/>
              </w:rPr>
              <w:t>＜0.004</w:t>
            </w:r>
          </w:p>
        </w:tc>
        <w:tc>
          <w:tcPr>
            <w:tcW w:w="736" w:type="dxa"/>
            <w:vAlign w:val="center"/>
          </w:tcPr>
          <w:p>
            <w:pPr>
              <w:jc w:val="center"/>
              <w:rPr>
                <w:rFonts w:eastAsiaTheme="minorEastAsia"/>
                <w:color w:val="auto"/>
                <w:sz w:val="21"/>
                <w:szCs w:val="21"/>
              </w:rPr>
            </w:pPr>
            <w:r>
              <w:rPr>
                <w:rFonts w:eastAsiaTheme="minorEastAsia"/>
                <w:color w:val="auto"/>
                <w:sz w:val="21"/>
                <w:szCs w:val="21"/>
              </w:rPr>
              <w:t>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464" w:type="dxa"/>
            <w:gridSpan w:val="2"/>
            <w:vMerge w:val="continue"/>
            <w:vAlign w:val="center"/>
          </w:tcPr>
          <w:p>
            <w:pPr>
              <w:jc w:val="center"/>
              <w:rPr>
                <w:rFonts w:eastAsiaTheme="minorEastAsia"/>
                <w:color w:val="auto"/>
                <w:sz w:val="21"/>
                <w:szCs w:val="21"/>
              </w:rPr>
            </w:pPr>
          </w:p>
        </w:tc>
        <w:tc>
          <w:tcPr>
            <w:tcW w:w="812" w:type="dxa"/>
            <w:vAlign w:val="center"/>
          </w:tcPr>
          <w:p>
            <w:pPr>
              <w:jc w:val="center"/>
              <w:rPr>
                <w:rFonts w:eastAsiaTheme="minorEastAsia"/>
                <w:color w:val="auto"/>
                <w:sz w:val="21"/>
                <w:szCs w:val="21"/>
              </w:rPr>
            </w:pPr>
            <w:r>
              <w:rPr>
                <w:rFonts w:eastAsiaTheme="minorEastAsia"/>
                <w:color w:val="auto"/>
                <w:sz w:val="21"/>
                <w:szCs w:val="21"/>
              </w:rPr>
              <w:t>2019.3.27</w:t>
            </w:r>
          </w:p>
        </w:tc>
        <w:tc>
          <w:tcPr>
            <w:tcW w:w="708" w:type="dxa"/>
            <w:vAlign w:val="center"/>
          </w:tcPr>
          <w:p>
            <w:pPr>
              <w:jc w:val="center"/>
              <w:rPr>
                <w:rFonts w:eastAsiaTheme="minorEastAsia"/>
                <w:color w:val="auto"/>
                <w:sz w:val="21"/>
                <w:szCs w:val="21"/>
              </w:rPr>
            </w:pPr>
            <w:r>
              <w:rPr>
                <w:rFonts w:eastAsiaTheme="minorEastAsia"/>
                <w:color w:val="auto"/>
                <w:sz w:val="21"/>
                <w:szCs w:val="21"/>
              </w:rPr>
              <w:t>21.8</w:t>
            </w:r>
          </w:p>
        </w:tc>
        <w:tc>
          <w:tcPr>
            <w:tcW w:w="709" w:type="dxa"/>
            <w:vAlign w:val="center"/>
          </w:tcPr>
          <w:p>
            <w:pPr>
              <w:jc w:val="center"/>
              <w:rPr>
                <w:rFonts w:eastAsiaTheme="minorEastAsia"/>
                <w:color w:val="auto"/>
                <w:sz w:val="21"/>
                <w:szCs w:val="21"/>
              </w:rPr>
            </w:pPr>
            <w:r>
              <w:rPr>
                <w:rFonts w:eastAsiaTheme="minorEastAsia"/>
                <w:color w:val="auto"/>
                <w:sz w:val="21"/>
                <w:szCs w:val="21"/>
              </w:rPr>
              <w:t>7.02</w:t>
            </w:r>
          </w:p>
        </w:tc>
        <w:tc>
          <w:tcPr>
            <w:tcW w:w="851" w:type="dxa"/>
            <w:vAlign w:val="center"/>
          </w:tcPr>
          <w:p>
            <w:pPr>
              <w:jc w:val="center"/>
              <w:rPr>
                <w:rFonts w:eastAsiaTheme="minorEastAsia"/>
                <w:color w:val="auto"/>
                <w:sz w:val="21"/>
                <w:szCs w:val="21"/>
              </w:rPr>
            </w:pPr>
            <w:r>
              <w:rPr>
                <w:rFonts w:eastAsiaTheme="minorEastAsia"/>
                <w:color w:val="auto"/>
                <w:sz w:val="21"/>
                <w:szCs w:val="21"/>
              </w:rPr>
              <w:t>6.9</w:t>
            </w:r>
          </w:p>
        </w:tc>
        <w:tc>
          <w:tcPr>
            <w:tcW w:w="850" w:type="dxa"/>
            <w:vAlign w:val="center"/>
          </w:tcPr>
          <w:p>
            <w:pPr>
              <w:jc w:val="center"/>
              <w:rPr>
                <w:rFonts w:eastAsiaTheme="minorEastAsia"/>
                <w:color w:val="auto"/>
                <w:sz w:val="21"/>
                <w:szCs w:val="21"/>
              </w:rPr>
            </w:pPr>
            <w:r>
              <w:rPr>
                <w:rFonts w:eastAsiaTheme="minorEastAsia"/>
                <w:color w:val="auto"/>
                <w:sz w:val="21"/>
                <w:szCs w:val="21"/>
              </w:rPr>
              <w:t>0.50</w:t>
            </w:r>
          </w:p>
        </w:tc>
        <w:tc>
          <w:tcPr>
            <w:tcW w:w="851" w:type="dxa"/>
            <w:vAlign w:val="center"/>
          </w:tcPr>
          <w:p>
            <w:pPr>
              <w:jc w:val="center"/>
              <w:rPr>
                <w:rFonts w:eastAsiaTheme="minorEastAsia"/>
                <w:color w:val="auto"/>
                <w:sz w:val="21"/>
                <w:szCs w:val="21"/>
              </w:rPr>
            </w:pPr>
            <w:r>
              <w:rPr>
                <w:rFonts w:eastAsiaTheme="minorEastAsia"/>
                <w:color w:val="auto"/>
                <w:sz w:val="21"/>
                <w:szCs w:val="21"/>
              </w:rPr>
              <w:t>0.208</w:t>
            </w:r>
          </w:p>
        </w:tc>
        <w:tc>
          <w:tcPr>
            <w:tcW w:w="992" w:type="dxa"/>
            <w:vAlign w:val="center"/>
          </w:tcPr>
          <w:p>
            <w:pPr>
              <w:jc w:val="center"/>
              <w:rPr>
                <w:rFonts w:eastAsiaTheme="minorEastAsia"/>
                <w:color w:val="auto"/>
                <w:sz w:val="21"/>
                <w:szCs w:val="21"/>
              </w:rPr>
            </w:pPr>
            <w:r>
              <w:rPr>
                <w:rFonts w:eastAsiaTheme="minorEastAsia"/>
                <w:color w:val="auto"/>
                <w:sz w:val="21"/>
                <w:szCs w:val="21"/>
              </w:rPr>
              <w:t>2.7</w:t>
            </w:r>
          </w:p>
        </w:tc>
        <w:tc>
          <w:tcPr>
            <w:tcW w:w="992" w:type="dxa"/>
            <w:vAlign w:val="center"/>
          </w:tcPr>
          <w:p>
            <w:pPr>
              <w:jc w:val="center"/>
              <w:rPr>
                <w:rFonts w:eastAsiaTheme="minorEastAsia"/>
                <w:color w:val="auto"/>
                <w:sz w:val="21"/>
                <w:szCs w:val="21"/>
              </w:rPr>
            </w:pPr>
            <w:r>
              <w:rPr>
                <w:rFonts w:eastAsiaTheme="minorEastAsia"/>
                <w:color w:val="auto"/>
                <w:sz w:val="21"/>
                <w:szCs w:val="21"/>
              </w:rPr>
              <w:t>15</w:t>
            </w:r>
          </w:p>
        </w:tc>
        <w:tc>
          <w:tcPr>
            <w:tcW w:w="1122" w:type="dxa"/>
            <w:vAlign w:val="center"/>
          </w:tcPr>
          <w:p>
            <w:pPr>
              <w:jc w:val="center"/>
              <w:rPr>
                <w:rFonts w:eastAsiaTheme="minorEastAsia"/>
                <w:color w:val="auto"/>
                <w:sz w:val="21"/>
                <w:szCs w:val="21"/>
              </w:rPr>
            </w:pPr>
            <w:r>
              <w:rPr>
                <w:rFonts w:eastAsiaTheme="minorEastAsia"/>
                <w:color w:val="auto"/>
                <w:sz w:val="21"/>
                <w:szCs w:val="21"/>
              </w:rPr>
              <w:t>＜0.0003</w:t>
            </w:r>
          </w:p>
        </w:tc>
        <w:tc>
          <w:tcPr>
            <w:tcW w:w="939"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13.1</w:t>
            </w:r>
          </w:p>
        </w:tc>
        <w:tc>
          <w:tcPr>
            <w:tcW w:w="969" w:type="dxa"/>
            <w:vAlign w:val="center"/>
          </w:tcPr>
          <w:p>
            <w:pPr>
              <w:jc w:val="center"/>
              <w:rPr>
                <w:rFonts w:eastAsiaTheme="minorEastAsia"/>
                <w:color w:val="auto"/>
                <w:sz w:val="21"/>
                <w:szCs w:val="21"/>
              </w:rPr>
            </w:pPr>
            <w:r>
              <w:rPr>
                <w:rFonts w:eastAsiaTheme="minorEastAsia"/>
                <w:color w:val="auto"/>
                <w:sz w:val="21"/>
                <w:szCs w:val="21"/>
              </w:rPr>
              <w:t>＜0.004</w:t>
            </w:r>
          </w:p>
        </w:tc>
        <w:tc>
          <w:tcPr>
            <w:tcW w:w="851" w:type="dxa"/>
            <w:vAlign w:val="center"/>
          </w:tcPr>
          <w:p>
            <w:pPr>
              <w:jc w:val="center"/>
              <w:rPr>
                <w:rFonts w:eastAsiaTheme="minorEastAsia"/>
                <w:color w:val="auto"/>
                <w:sz w:val="21"/>
                <w:szCs w:val="21"/>
              </w:rPr>
            </w:pPr>
            <w:r>
              <w:rPr>
                <w:rFonts w:eastAsiaTheme="minorEastAsia"/>
                <w:color w:val="auto"/>
                <w:sz w:val="21"/>
                <w:szCs w:val="21"/>
              </w:rPr>
              <w:t>99.3</w:t>
            </w:r>
          </w:p>
        </w:tc>
        <w:tc>
          <w:tcPr>
            <w:tcW w:w="997" w:type="dxa"/>
            <w:vAlign w:val="center"/>
          </w:tcPr>
          <w:p>
            <w:pPr>
              <w:jc w:val="center"/>
              <w:rPr>
                <w:rFonts w:eastAsiaTheme="minorEastAsia"/>
                <w:color w:val="auto"/>
                <w:sz w:val="21"/>
                <w:szCs w:val="21"/>
              </w:rPr>
            </w:pPr>
            <w:r>
              <w:rPr>
                <w:rFonts w:eastAsiaTheme="minorEastAsia"/>
                <w:color w:val="auto"/>
                <w:sz w:val="21"/>
                <w:szCs w:val="21"/>
              </w:rPr>
              <w:t>＜0.004</w:t>
            </w:r>
          </w:p>
        </w:tc>
        <w:tc>
          <w:tcPr>
            <w:tcW w:w="736" w:type="dxa"/>
            <w:vAlign w:val="center"/>
          </w:tcPr>
          <w:p>
            <w:pPr>
              <w:jc w:val="center"/>
              <w:rPr>
                <w:rFonts w:eastAsiaTheme="minorEastAsia"/>
                <w:color w:val="auto"/>
                <w:sz w:val="21"/>
                <w:szCs w:val="21"/>
              </w:rPr>
            </w:pPr>
            <w:r>
              <w:rPr>
                <w:rFonts w:eastAsiaTheme="minorEastAsia"/>
                <w:color w:val="auto"/>
                <w:sz w:val="21"/>
                <w:szCs w:val="21"/>
              </w:rPr>
              <w:t>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超标率</w:t>
            </w:r>
            <w:r>
              <w:rPr>
                <w:rFonts w:hint="eastAsia" w:eastAsiaTheme="minorEastAsia"/>
                <w:color w:val="auto"/>
                <w:sz w:val="21"/>
                <w:szCs w:val="21"/>
                <w:lang w:eastAsia="zh-CN"/>
              </w:rPr>
              <w:t>（</w:t>
            </w:r>
            <w:r>
              <w:rPr>
                <w:rFonts w:hint="eastAsia" w:eastAsiaTheme="minorEastAsia"/>
                <w:color w:val="auto"/>
                <w:sz w:val="21"/>
                <w:szCs w:val="21"/>
                <w:lang w:val="en-US" w:eastAsia="zh-CN"/>
              </w:rPr>
              <w:t>%</w:t>
            </w:r>
            <w:r>
              <w:rPr>
                <w:rFonts w:hint="eastAsia" w:eastAsiaTheme="minorEastAsia"/>
                <w:color w:val="auto"/>
                <w:sz w:val="21"/>
                <w:szCs w:val="21"/>
                <w:lang w:eastAsia="zh-CN"/>
              </w:rPr>
              <w:t>）</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1122"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6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7" w:type="dxa"/>
            <w:vAlign w:val="center"/>
          </w:tcPr>
          <w:p>
            <w:pPr>
              <w:jc w:val="center"/>
              <w:rPr>
                <w:rFonts w:eastAsiaTheme="minorEastAsia"/>
                <w:color w:val="auto"/>
                <w:sz w:val="21"/>
                <w:szCs w:val="21"/>
              </w:rPr>
            </w:pPr>
            <w:r>
              <w:rPr>
                <w:rFonts w:eastAsiaTheme="minorEastAsia"/>
                <w:color w:val="auto"/>
                <w:sz w:val="21"/>
                <w:szCs w:val="21"/>
              </w:rPr>
              <w:t>0</w:t>
            </w:r>
          </w:p>
        </w:tc>
        <w:tc>
          <w:tcPr>
            <w:tcW w:w="736"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最大超标倍数</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1122"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6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7" w:type="dxa"/>
            <w:vAlign w:val="center"/>
          </w:tcPr>
          <w:p>
            <w:pPr>
              <w:jc w:val="center"/>
              <w:rPr>
                <w:rFonts w:eastAsiaTheme="minorEastAsia"/>
                <w:color w:val="auto"/>
                <w:sz w:val="21"/>
                <w:szCs w:val="21"/>
              </w:rPr>
            </w:pPr>
            <w:r>
              <w:rPr>
                <w:rFonts w:eastAsiaTheme="minorEastAsia"/>
                <w:color w:val="auto"/>
                <w:sz w:val="21"/>
                <w:szCs w:val="21"/>
              </w:rPr>
              <w:t>0</w:t>
            </w:r>
          </w:p>
        </w:tc>
        <w:tc>
          <w:tcPr>
            <w:tcW w:w="736"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最大单因子指数</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0.15</w:t>
            </w:r>
          </w:p>
        </w:tc>
        <w:tc>
          <w:tcPr>
            <w:tcW w:w="851" w:type="dxa"/>
            <w:vAlign w:val="center"/>
          </w:tcPr>
          <w:p>
            <w:pPr>
              <w:jc w:val="center"/>
              <w:rPr>
                <w:rFonts w:eastAsiaTheme="minorEastAsia"/>
                <w:color w:val="auto"/>
                <w:sz w:val="21"/>
                <w:szCs w:val="21"/>
              </w:rPr>
            </w:pPr>
            <w:r>
              <w:rPr>
                <w:rFonts w:eastAsiaTheme="minorEastAsia"/>
                <w:color w:val="auto"/>
                <w:sz w:val="21"/>
                <w:szCs w:val="21"/>
              </w:rPr>
              <w:t>0.75</w:t>
            </w:r>
          </w:p>
        </w:tc>
        <w:tc>
          <w:tcPr>
            <w:tcW w:w="850" w:type="dxa"/>
            <w:vAlign w:val="center"/>
          </w:tcPr>
          <w:p>
            <w:pPr>
              <w:jc w:val="center"/>
              <w:rPr>
                <w:rFonts w:eastAsiaTheme="minorEastAsia"/>
                <w:color w:val="auto"/>
                <w:sz w:val="21"/>
                <w:szCs w:val="21"/>
              </w:rPr>
            </w:pPr>
            <w:r>
              <w:rPr>
                <w:rFonts w:eastAsiaTheme="minorEastAsia"/>
                <w:color w:val="auto"/>
                <w:sz w:val="21"/>
                <w:szCs w:val="21"/>
              </w:rPr>
              <w:t>0.55</w:t>
            </w:r>
          </w:p>
        </w:tc>
        <w:tc>
          <w:tcPr>
            <w:tcW w:w="851" w:type="dxa"/>
            <w:vAlign w:val="center"/>
          </w:tcPr>
          <w:p>
            <w:pPr>
              <w:jc w:val="center"/>
              <w:rPr>
                <w:rFonts w:eastAsiaTheme="minorEastAsia"/>
                <w:color w:val="auto"/>
                <w:sz w:val="21"/>
                <w:szCs w:val="21"/>
              </w:rPr>
            </w:pPr>
            <w:r>
              <w:rPr>
                <w:rFonts w:eastAsiaTheme="minorEastAsia"/>
                <w:color w:val="auto"/>
                <w:sz w:val="21"/>
                <w:szCs w:val="21"/>
              </w:rPr>
              <w:t>0.21</w:t>
            </w:r>
          </w:p>
        </w:tc>
        <w:tc>
          <w:tcPr>
            <w:tcW w:w="992" w:type="dxa"/>
            <w:vAlign w:val="center"/>
          </w:tcPr>
          <w:p>
            <w:pPr>
              <w:jc w:val="center"/>
              <w:rPr>
                <w:rFonts w:eastAsiaTheme="minorEastAsia"/>
                <w:color w:val="auto"/>
                <w:sz w:val="21"/>
                <w:szCs w:val="21"/>
              </w:rPr>
            </w:pPr>
            <w:r>
              <w:rPr>
                <w:rFonts w:eastAsiaTheme="minorEastAsia"/>
                <w:color w:val="auto"/>
                <w:sz w:val="21"/>
                <w:szCs w:val="21"/>
              </w:rPr>
              <w:t>0.6</w:t>
            </w:r>
          </w:p>
        </w:tc>
        <w:tc>
          <w:tcPr>
            <w:tcW w:w="992" w:type="dxa"/>
            <w:vAlign w:val="center"/>
          </w:tcPr>
          <w:p>
            <w:pPr>
              <w:jc w:val="center"/>
              <w:rPr>
                <w:rFonts w:eastAsiaTheme="minorEastAsia"/>
                <w:color w:val="auto"/>
                <w:sz w:val="21"/>
                <w:szCs w:val="21"/>
              </w:rPr>
            </w:pPr>
            <w:r>
              <w:rPr>
                <w:rFonts w:eastAsiaTheme="minorEastAsia"/>
                <w:color w:val="auto"/>
                <w:sz w:val="21"/>
                <w:szCs w:val="21"/>
              </w:rPr>
              <w:t>0.75</w:t>
            </w:r>
          </w:p>
        </w:tc>
        <w:tc>
          <w:tcPr>
            <w:tcW w:w="1122" w:type="dxa"/>
            <w:vAlign w:val="center"/>
          </w:tcPr>
          <w:p>
            <w:pPr>
              <w:jc w:val="center"/>
              <w:rPr>
                <w:rFonts w:eastAsiaTheme="minorEastAsia"/>
                <w:color w:val="auto"/>
                <w:sz w:val="21"/>
                <w:szCs w:val="21"/>
              </w:rPr>
            </w:pPr>
            <w:r>
              <w:rPr>
                <w:rFonts w:eastAsiaTheme="minorEastAsia"/>
                <w:color w:val="auto"/>
                <w:sz w:val="21"/>
                <w:szCs w:val="21"/>
              </w:rPr>
              <w:t>/</w:t>
            </w:r>
          </w:p>
        </w:tc>
        <w:tc>
          <w:tcPr>
            <w:tcW w:w="939" w:type="dxa"/>
            <w:vAlign w:val="center"/>
          </w:tcPr>
          <w:p>
            <w:pPr>
              <w:jc w:val="center"/>
              <w:rPr>
                <w:rFonts w:eastAsiaTheme="minorEastAsia"/>
                <w:color w:val="auto"/>
                <w:sz w:val="21"/>
                <w:szCs w:val="21"/>
              </w:rPr>
            </w:pPr>
            <w:r>
              <w:rPr>
                <w:rFonts w:eastAsiaTheme="minorEastAsia"/>
                <w:color w:val="auto"/>
                <w:sz w:val="21"/>
                <w:szCs w:val="21"/>
              </w:rPr>
              <w:t>/</w:t>
            </w:r>
          </w:p>
        </w:tc>
        <w:tc>
          <w:tcPr>
            <w:tcW w:w="939" w:type="dxa"/>
            <w:vAlign w:val="center"/>
          </w:tcPr>
          <w:p>
            <w:pPr>
              <w:jc w:val="center"/>
              <w:rPr>
                <w:rFonts w:eastAsiaTheme="minorEastAsia"/>
                <w:color w:val="auto"/>
                <w:sz w:val="21"/>
                <w:szCs w:val="21"/>
              </w:rPr>
            </w:pPr>
            <w:r>
              <w:rPr>
                <w:rFonts w:eastAsiaTheme="minorEastAsia"/>
                <w:color w:val="auto"/>
                <w:sz w:val="21"/>
                <w:szCs w:val="21"/>
              </w:rPr>
              <w:t>0.05</w:t>
            </w:r>
          </w:p>
        </w:tc>
        <w:tc>
          <w:tcPr>
            <w:tcW w:w="969"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0.40</w:t>
            </w:r>
          </w:p>
        </w:tc>
        <w:tc>
          <w:tcPr>
            <w:tcW w:w="997" w:type="dxa"/>
            <w:vAlign w:val="center"/>
          </w:tcPr>
          <w:p>
            <w:pPr>
              <w:jc w:val="center"/>
              <w:rPr>
                <w:rFonts w:eastAsiaTheme="minorEastAsia"/>
                <w:color w:val="auto"/>
                <w:sz w:val="21"/>
                <w:szCs w:val="21"/>
              </w:rPr>
            </w:pPr>
            <w:r>
              <w:rPr>
                <w:rFonts w:eastAsiaTheme="minorEastAsia"/>
                <w:color w:val="auto"/>
                <w:sz w:val="21"/>
                <w:szCs w:val="21"/>
              </w:rPr>
              <w:t>/</w:t>
            </w:r>
          </w:p>
        </w:tc>
        <w:tc>
          <w:tcPr>
            <w:tcW w:w="736" w:type="dxa"/>
            <w:vAlign w:val="center"/>
          </w:tcPr>
          <w:p>
            <w:pPr>
              <w:jc w:val="center"/>
              <w:rPr>
                <w:rFonts w:eastAsiaTheme="minorEastAsia"/>
                <w:color w:val="auto"/>
                <w:sz w:val="21"/>
                <w:szCs w:val="21"/>
              </w:rPr>
            </w:pPr>
            <w:r>
              <w:rPr>
                <w:rFonts w:eastAsiaTheme="minorEastAsia"/>
                <w:color w:val="auto"/>
                <w:sz w:val="21"/>
                <w:szCs w:val="21"/>
              </w:rPr>
              <w:t>0.45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标准值（mg/L）</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6~9</w:t>
            </w:r>
          </w:p>
        </w:tc>
        <w:tc>
          <w:tcPr>
            <w:tcW w:w="851" w:type="dxa"/>
            <w:vAlign w:val="center"/>
          </w:tcPr>
          <w:p>
            <w:pPr>
              <w:jc w:val="center"/>
              <w:rPr>
                <w:rFonts w:eastAsiaTheme="minorEastAsia"/>
                <w:color w:val="auto"/>
                <w:sz w:val="21"/>
                <w:szCs w:val="21"/>
              </w:rPr>
            </w:pPr>
            <w:r>
              <w:rPr>
                <w:rFonts w:eastAsiaTheme="minorEastAsia"/>
                <w:color w:val="auto"/>
                <w:sz w:val="21"/>
                <w:szCs w:val="21"/>
              </w:rPr>
              <w:t>≥5</w:t>
            </w:r>
          </w:p>
        </w:tc>
        <w:tc>
          <w:tcPr>
            <w:tcW w:w="850" w:type="dxa"/>
            <w:vAlign w:val="center"/>
          </w:tcPr>
          <w:p>
            <w:pPr>
              <w:jc w:val="center"/>
              <w:rPr>
                <w:rFonts w:eastAsiaTheme="minorEastAsia"/>
                <w:color w:val="auto"/>
                <w:sz w:val="21"/>
                <w:szCs w:val="21"/>
              </w:rPr>
            </w:pPr>
            <w:r>
              <w:rPr>
                <w:rFonts w:eastAsiaTheme="minorEastAsia"/>
                <w:color w:val="auto"/>
                <w:sz w:val="21"/>
                <w:szCs w:val="21"/>
              </w:rPr>
              <w:t>≤1.0</w:t>
            </w:r>
          </w:p>
        </w:tc>
        <w:tc>
          <w:tcPr>
            <w:tcW w:w="851" w:type="dxa"/>
            <w:vAlign w:val="center"/>
          </w:tcPr>
          <w:p>
            <w:pPr>
              <w:jc w:val="center"/>
              <w:rPr>
                <w:rFonts w:eastAsiaTheme="minorEastAsia"/>
                <w:color w:val="auto"/>
                <w:sz w:val="21"/>
                <w:szCs w:val="21"/>
              </w:rPr>
            </w:pPr>
            <w:r>
              <w:rPr>
                <w:rFonts w:eastAsiaTheme="minorEastAsia"/>
                <w:color w:val="auto"/>
                <w:sz w:val="21"/>
                <w:szCs w:val="21"/>
              </w:rPr>
              <w:t>≤1.0</w:t>
            </w:r>
          </w:p>
        </w:tc>
        <w:tc>
          <w:tcPr>
            <w:tcW w:w="992" w:type="dxa"/>
            <w:vAlign w:val="center"/>
          </w:tcPr>
          <w:p>
            <w:pPr>
              <w:jc w:val="center"/>
              <w:rPr>
                <w:rFonts w:eastAsiaTheme="minorEastAsia"/>
                <w:color w:val="auto"/>
                <w:sz w:val="21"/>
                <w:szCs w:val="21"/>
              </w:rPr>
            </w:pPr>
            <w:r>
              <w:rPr>
                <w:rFonts w:eastAsiaTheme="minorEastAsia"/>
                <w:color w:val="auto"/>
                <w:sz w:val="21"/>
                <w:szCs w:val="21"/>
              </w:rPr>
              <w:t>≤6</w:t>
            </w:r>
          </w:p>
        </w:tc>
        <w:tc>
          <w:tcPr>
            <w:tcW w:w="992" w:type="dxa"/>
            <w:vAlign w:val="center"/>
          </w:tcPr>
          <w:p>
            <w:pPr>
              <w:jc w:val="center"/>
              <w:rPr>
                <w:rFonts w:eastAsiaTheme="minorEastAsia"/>
                <w:color w:val="auto"/>
                <w:sz w:val="21"/>
                <w:szCs w:val="21"/>
              </w:rPr>
            </w:pPr>
            <w:r>
              <w:rPr>
                <w:rFonts w:eastAsiaTheme="minorEastAsia"/>
                <w:color w:val="auto"/>
                <w:sz w:val="21"/>
                <w:szCs w:val="21"/>
              </w:rPr>
              <w:t>≤20</w:t>
            </w:r>
          </w:p>
        </w:tc>
        <w:tc>
          <w:tcPr>
            <w:tcW w:w="1122"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≤0.2</w:t>
            </w:r>
          </w:p>
        </w:tc>
        <w:tc>
          <w:tcPr>
            <w:tcW w:w="939" w:type="dxa"/>
            <w:vAlign w:val="center"/>
          </w:tcPr>
          <w:p>
            <w:pPr>
              <w:jc w:val="center"/>
              <w:rPr>
                <w:rFonts w:eastAsiaTheme="minorEastAsia"/>
                <w:color w:val="auto"/>
                <w:sz w:val="21"/>
                <w:szCs w:val="21"/>
              </w:rPr>
            </w:pPr>
            <w:r>
              <w:rPr>
                <w:rFonts w:eastAsiaTheme="minorEastAsia"/>
                <w:color w:val="auto"/>
                <w:sz w:val="21"/>
                <w:szCs w:val="21"/>
              </w:rPr>
              <w:t>≤250</w:t>
            </w:r>
          </w:p>
        </w:tc>
        <w:tc>
          <w:tcPr>
            <w:tcW w:w="969" w:type="dxa"/>
            <w:vAlign w:val="center"/>
          </w:tcPr>
          <w:p>
            <w:pPr>
              <w:jc w:val="center"/>
              <w:rPr>
                <w:rFonts w:eastAsiaTheme="minorEastAsia"/>
                <w:color w:val="auto"/>
                <w:sz w:val="21"/>
                <w:szCs w:val="21"/>
              </w:rPr>
            </w:pPr>
            <w:r>
              <w:rPr>
                <w:rFonts w:eastAsiaTheme="minorEastAsia"/>
                <w:color w:val="auto"/>
                <w:sz w:val="21"/>
                <w:szCs w:val="21"/>
              </w:rPr>
              <w:t>≤0.05</w:t>
            </w:r>
          </w:p>
        </w:tc>
        <w:tc>
          <w:tcPr>
            <w:tcW w:w="851" w:type="dxa"/>
            <w:vAlign w:val="center"/>
          </w:tcPr>
          <w:p>
            <w:pPr>
              <w:jc w:val="center"/>
              <w:rPr>
                <w:rFonts w:eastAsiaTheme="minorEastAsia"/>
                <w:color w:val="auto"/>
                <w:sz w:val="21"/>
                <w:szCs w:val="21"/>
              </w:rPr>
            </w:pPr>
            <w:r>
              <w:rPr>
                <w:rFonts w:eastAsiaTheme="minorEastAsia"/>
                <w:color w:val="auto"/>
                <w:sz w:val="21"/>
                <w:szCs w:val="21"/>
              </w:rPr>
              <w:t>≤250</w:t>
            </w:r>
          </w:p>
        </w:tc>
        <w:tc>
          <w:tcPr>
            <w:tcW w:w="997" w:type="dxa"/>
            <w:vAlign w:val="center"/>
          </w:tcPr>
          <w:p>
            <w:pPr>
              <w:jc w:val="center"/>
              <w:rPr>
                <w:rFonts w:eastAsiaTheme="minorEastAsia"/>
                <w:color w:val="auto"/>
                <w:sz w:val="21"/>
                <w:szCs w:val="21"/>
              </w:rPr>
            </w:pPr>
            <w:r>
              <w:rPr>
                <w:rFonts w:eastAsiaTheme="minorEastAsia"/>
                <w:color w:val="auto"/>
                <w:sz w:val="21"/>
                <w:szCs w:val="21"/>
              </w:rPr>
              <w:t>≤0.2</w:t>
            </w:r>
          </w:p>
        </w:tc>
        <w:tc>
          <w:tcPr>
            <w:tcW w:w="736" w:type="dxa"/>
            <w:vAlign w:val="center"/>
          </w:tcPr>
          <w:p>
            <w:pPr>
              <w:jc w:val="center"/>
              <w:rPr>
                <w:rFonts w:eastAsiaTheme="minorEastAsia"/>
                <w:color w:val="auto"/>
                <w:sz w:val="21"/>
                <w:szCs w:val="21"/>
              </w:rPr>
            </w:pPr>
            <w:r>
              <w:rPr>
                <w:rFonts w:eastAsiaTheme="minorEastAsia"/>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restart"/>
            <w:vAlign w:val="center"/>
          </w:tcPr>
          <w:p>
            <w:pPr>
              <w:jc w:val="center"/>
              <w:rPr>
                <w:rFonts w:eastAsiaTheme="minorEastAsia"/>
                <w:color w:val="auto"/>
                <w:sz w:val="21"/>
                <w:szCs w:val="21"/>
              </w:rPr>
            </w:pPr>
            <w:r>
              <w:rPr>
                <w:rFonts w:eastAsiaTheme="minorEastAsia"/>
                <w:color w:val="auto"/>
                <w:sz w:val="21"/>
                <w:szCs w:val="21"/>
              </w:rPr>
              <w:t>W6</w:t>
            </w:r>
          </w:p>
        </w:tc>
        <w:tc>
          <w:tcPr>
            <w:tcW w:w="464" w:type="dxa"/>
            <w:gridSpan w:val="2"/>
            <w:vMerge w:val="restart"/>
            <w:vAlign w:val="center"/>
          </w:tcPr>
          <w:p>
            <w:pPr>
              <w:jc w:val="center"/>
              <w:rPr>
                <w:rFonts w:eastAsiaTheme="minorEastAsia"/>
                <w:color w:val="auto"/>
                <w:sz w:val="21"/>
                <w:szCs w:val="21"/>
              </w:rPr>
            </w:pPr>
            <w:r>
              <w:rPr>
                <w:rFonts w:eastAsiaTheme="minorEastAsia"/>
                <w:color w:val="auto"/>
                <w:sz w:val="21"/>
                <w:szCs w:val="21"/>
              </w:rPr>
              <w:t>监测值</w:t>
            </w:r>
          </w:p>
        </w:tc>
        <w:tc>
          <w:tcPr>
            <w:tcW w:w="812" w:type="dxa"/>
            <w:vAlign w:val="center"/>
          </w:tcPr>
          <w:p>
            <w:pPr>
              <w:jc w:val="center"/>
              <w:rPr>
                <w:rFonts w:eastAsiaTheme="minorEastAsia"/>
                <w:color w:val="auto"/>
                <w:sz w:val="21"/>
                <w:szCs w:val="21"/>
              </w:rPr>
            </w:pPr>
            <w:r>
              <w:rPr>
                <w:rFonts w:eastAsiaTheme="minorEastAsia"/>
                <w:color w:val="auto"/>
                <w:sz w:val="21"/>
                <w:szCs w:val="21"/>
              </w:rPr>
              <w:t>2019.3.25</w:t>
            </w:r>
          </w:p>
        </w:tc>
        <w:tc>
          <w:tcPr>
            <w:tcW w:w="708" w:type="dxa"/>
            <w:vAlign w:val="center"/>
          </w:tcPr>
          <w:p>
            <w:pPr>
              <w:jc w:val="center"/>
              <w:rPr>
                <w:rFonts w:eastAsiaTheme="minorEastAsia"/>
                <w:color w:val="auto"/>
                <w:sz w:val="21"/>
                <w:szCs w:val="21"/>
              </w:rPr>
            </w:pPr>
            <w:r>
              <w:rPr>
                <w:rFonts w:eastAsiaTheme="minorEastAsia"/>
                <w:color w:val="auto"/>
                <w:sz w:val="21"/>
                <w:szCs w:val="21"/>
              </w:rPr>
              <w:t>23.6</w:t>
            </w:r>
          </w:p>
        </w:tc>
        <w:tc>
          <w:tcPr>
            <w:tcW w:w="709" w:type="dxa"/>
            <w:vAlign w:val="center"/>
          </w:tcPr>
          <w:p>
            <w:pPr>
              <w:jc w:val="center"/>
              <w:rPr>
                <w:rFonts w:eastAsiaTheme="minorEastAsia"/>
                <w:color w:val="auto"/>
                <w:sz w:val="21"/>
                <w:szCs w:val="21"/>
              </w:rPr>
            </w:pPr>
            <w:r>
              <w:rPr>
                <w:rFonts w:eastAsiaTheme="minorEastAsia"/>
                <w:color w:val="auto"/>
                <w:sz w:val="21"/>
                <w:szCs w:val="21"/>
              </w:rPr>
              <w:t>7.15</w:t>
            </w:r>
          </w:p>
        </w:tc>
        <w:tc>
          <w:tcPr>
            <w:tcW w:w="851" w:type="dxa"/>
            <w:vAlign w:val="center"/>
          </w:tcPr>
          <w:p>
            <w:pPr>
              <w:jc w:val="center"/>
              <w:rPr>
                <w:rFonts w:eastAsiaTheme="minorEastAsia"/>
                <w:color w:val="auto"/>
                <w:sz w:val="21"/>
                <w:szCs w:val="21"/>
              </w:rPr>
            </w:pPr>
            <w:r>
              <w:rPr>
                <w:rFonts w:eastAsiaTheme="minorEastAsia"/>
                <w:color w:val="auto"/>
                <w:sz w:val="21"/>
                <w:szCs w:val="21"/>
              </w:rPr>
              <w:t>5.9</w:t>
            </w:r>
          </w:p>
        </w:tc>
        <w:tc>
          <w:tcPr>
            <w:tcW w:w="850" w:type="dxa"/>
            <w:vAlign w:val="center"/>
          </w:tcPr>
          <w:p>
            <w:pPr>
              <w:jc w:val="center"/>
              <w:rPr>
                <w:rFonts w:eastAsiaTheme="minorEastAsia"/>
                <w:color w:val="auto"/>
                <w:sz w:val="21"/>
                <w:szCs w:val="21"/>
              </w:rPr>
            </w:pPr>
            <w:r>
              <w:rPr>
                <w:rFonts w:eastAsiaTheme="minorEastAsia"/>
                <w:color w:val="auto"/>
                <w:sz w:val="21"/>
                <w:szCs w:val="21"/>
              </w:rPr>
              <w:t>0.52</w:t>
            </w:r>
          </w:p>
        </w:tc>
        <w:tc>
          <w:tcPr>
            <w:tcW w:w="851" w:type="dxa"/>
            <w:vAlign w:val="center"/>
          </w:tcPr>
          <w:p>
            <w:pPr>
              <w:jc w:val="center"/>
              <w:rPr>
                <w:rFonts w:eastAsiaTheme="minorEastAsia"/>
                <w:color w:val="auto"/>
                <w:sz w:val="21"/>
                <w:szCs w:val="21"/>
              </w:rPr>
            </w:pPr>
            <w:r>
              <w:rPr>
                <w:rFonts w:eastAsiaTheme="minorEastAsia"/>
                <w:color w:val="auto"/>
                <w:sz w:val="21"/>
                <w:szCs w:val="21"/>
              </w:rPr>
              <w:t>0.200</w:t>
            </w:r>
          </w:p>
        </w:tc>
        <w:tc>
          <w:tcPr>
            <w:tcW w:w="992" w:type="dxa"/>
            <w:vAlign w:val="center"/>
          </w:tcPr>
          <w:p>
            <w:pPr>
              <w:jc w:val="center"/>
              <w:rPr>
                <w:rFonts w:eastAsiaTheme="minorEastAsia"/>
                <w:color w:val="auto"/>
                <w:sz w:val="21"/>
                <w:szCs w:val="21"/>
              </w:rPr>
            </w:pPr>
            <w:r>
              <w:rPr>
                <w:rFonts w:eastAsiaTheme="minorEastAsia"/>
                <w:color w:val="auto"/>
                <w:sz w:val="21"/>
                <w:szCs w:val="21"/>
              </w:rPr>
              <w:t>3.2</w:t>
            </w:r>
          </w:p>
        </w:tc>
        <w:tc>
          <w:tcPr>
            <w:tcW w:w="992" w:type="dxa"/>
            <w:vAlign w:val="center"/>
          </w:tcPr>
          <w:p>
            <w:pPr>
              <w:jc w:val="center"/>
              <w:rPr>
                <w:rFonts w:eastAsiaTheme="minorEastAsia"/>
                <w:color w:val="auto"/>
                <w:sz w:val="21"/>
                <w:szCs w:val="21"/>
              </w:rPr>
            </w:pPr>
            <w:r>
              <w:rPr>
                <w:rFonts w:eastAsiaTheme="minorEastAsia"/>
                <w:color w:val="auto"/>
                <w:sz w:val="21"/>
                <w:szCs w:val="21"/>
              </w:rPr>
              <w:t>16</w:t>
            </w:r>
          </w:p>
        </w:tc>
        <w:tc>
          <w:tcPr>
            <w:tcW w:w="1122" w:type="dxa"/>
            <w:vAlign w:val="center"/>
          </w:tcPr>
          <w:p>
            <w:pPr>
              <w:jc w:val="center"/>
              <w:rPr>
                <w:rFonts w:eastAsiaTheme="minorEastAsia"/>
                <w:color w:val="auto"/>
                <w:sz w:val="21"/>
                <w:szCs w:val="21"/>
              </w:rPr>
            </w:pPr>
            <w:r>
              <w:rPr>
                <w:rFonts w:eastAsiaTheme="minorEastAsia"/>
                <w:color w:val="auto"/>
                <w:sz w:val="21"/>
                <w:szCs w:val="21"/>
              </w:rPr>
              <w:t>＜0.0003</w:t>
            </w:r>
          </w:p>
        </w:tc>
        <w:tc>
          <w:tcPr>
            <w:tcW w:w="939"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11.5</w:t>
            </w:r>
          </w:p>
        </w:tc>
        <w:tc>
          <w:tcPr>
            <w:tcW w:w="969" w:type="dxa"/>
            <w:vAlign w:val="center"/>
          </w:tcPr>
          <w:p>
            <w:pPr>
              <w:jc w:val="center"/>
              <w:rPr>
                <w:rFonts w:eastAsiaTheme="minorEastAsia"/>
                <w:color w:val="auto"/>
                <w:sz w:val="21"/>
                <w:szCs w:val="21"/>
              </w:rPr>
            </w:pPr>
            <w:r>
              <w:rPr>
                <w:rFonts w:eastAsiaTheme="minorEastAsia"/>
                <w:color w:val="auto"/>
                <w:sz w:val="21"/>
                <w:szCs w:val="21"/>
              </w:rPr>
              <w:t>＜0.004</w:t>
            </w:r>
          </w:p>
        </w:tc>
        <w:tc>
          <w:tcPr>
            <w:tcW w:w="851" w:type="dxa"/>
            <w:vAlign w:val="center"/>
          </w:tcPr>
          <w:p>
            <w:pPr>
              <w:jc w:val="center"/>
              <w:rPr>
                <w:rFonts w:eastAsiaTheme="minorEastAsia"/>
                <w:color w:val="auto"/>
                <w:sz w:val="21"/>
                <w:szCs w:val="21"/>
              </w:rPr>
            </w:pPr>
            <w:r>
              <w:rPr>
                <w:rFonts w:eastAsiaTheme="minorEastAsia"/>
                <w:color w:val="auto"/>
                <w:sz w:val="21"/>
                <w:szCs w:val="21"/>
              </w:rPr>
              <w:t>87.2</w:t>
            </w:r>
          </w:p>
        </w:tc>
        <w:tc>
          <w:tcPr>
            <w:tcW w:w="997" w:type="dxa"/>
            <w:vAlign w:val="center"/>
          </w:tcPr>
          <w:p>
            <w:pPr>
              <w:jc w:val="center"/>
              <w:rPr>
                <w:rFonts w:eastAsiaTheme="minorEastAsia"/>
                <w:color w:val="auto"/>
                <w:sz w:val="21"/>
                <w:szCs w:val="21"/>
              </w:rPr>
            </w:pPr>
            <w:r>
              <w:rPr>
                <w:rFonts w:eastAsiaTheme="minorEastAsia"/>
                <w:color w:val="auto"/>
                <w:sz w:val="21"/>
                <w:szCs w:val="21"/>
              </w:rPr>
              <w:t>＜0.004</w:t>
            </w:r>
          </w:p>
        </w:tc>
        <w:tc>
          <w:tcPr>
            <w:tcW w:w="736" w:type="dxa"/>
            <w:vAlign w:val="center"/>
          </w:tcPr>
          <w:p>
            <w:pPr>
              <w:jc w:val="center"/>
              <w:rPr>
                <w:rFonts w:eastAsiaTheme="minorEastAsia"/>
                <w:color w:val="auto"/>
                <w:sz w:val="21"/>
                <w:szCs w:val="21"/>
              </w:rPr>
            </w:pPr>
            <w:r>
              <w:rPr>
                <w:rFonts w:eastAsiaTheme="minorEastAsia"/>
                <w:color w:val="auto"/>
                <w:sz w:val="21"/>
                <w:szCs w:val="21"/>
              </w:rPr>
              <w:t>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464" w:type="dxa"/>
            <w:gridSpan w:val="2"/>
            <w:vMerge w:val="continue"/>
            <w:vAlign w:val="center"/>
          </w:tcPr>
          <w:p>
            <w:pPr>
              <w:jc w:val="center"/>
              <w:rPr>
                <w:rFonts w:eastAsiaTheme="minorEastAsia"/>
                <w:color w:val="auto"/>
                <w:sz w:val="21"/>
                <w:szCs w:val="21"/>
              </w:rPr>
            </w:pPr>
          </w:p>
        </w:tc>
        <w:tc>
          <w:tcPr>
            <w:tcW w:w="812" w:type="dxa"/>
            <w:vAlign w:val="center"/>
          </w:tcPr>
          <w:p>
            <w:pPr>
              <w:jc w:val="center"/>
              <w:rPr>
                <w:rFonts w:eastAsiaTheme="minorEastAsia"/>
                <w:color w:val="auto"/>
                <w:sz w:val="21"/>
                <w:szCs w:val="21"/>
              </w:rPr>
            </w:pPr>
            <w:r>
              <w:rPr>
                <w:rFonts w:eastAsiaTheme="minorEastAsia"/>
                <w:color w:val="auto"/>
                <w:sz w:val="21"/>
                <w:szCs w:val="21"/>
              </w:rPr>
              <w:t>2019.3.26</w:t>
            </w:r>
          </w:p>
        </w:tc>
        <w:tc>
          <w:tcPr>
            <w:tcW w:w="708" w:type="dxa"/>
            <w:vAlign w:val="center"/>
          </w:tcPr>
          <w:p>
            <w:pPr>
              <w:jc w:val="center"/>
              <w:rPr>
                <w:rFonts w:eastAsiaTheme="minorEastAsia"/>
                <w:color w:val="auto"/>
                <w:sz w:val="21"/>
                <w:szCs w:val="21"/>
              </w:rPr>
            </w:pPr>
            <w:r>
              <w:rPr>
                <w:rFonts w:eastAsiaTheme="minorEastAsia"/>
                <w:color w:val="auto"/>
                <w:sz w:val="21"/>
                <w:szCs w:val="21"/>
              </w:rPr>
              <w:t>23.0</w:t>
            </w:r>
          </w:p>
        </w:tc>
        <w:tc>
          <w:tcPr>
            <w:tcW w:w="709" w:type="dxa"/>
            <w:vAlign w:val="center"/>
          </w:tcPr>
          <w:p>
            <w:pPr>
              <w:jc w:val="center"/>
              <w:rPr>
                <w:rFonts w:eastAsiaTheme="minorEastAsia"/>
                <w:color w:val="auto"/>
                <w:sz w:val="21"/>
                <w:szCs w:val="21"/>
              </w:rPr>
            </w:pPr>
            <w:r>
              <w:rPr>
                <w:rFonts w:eastAsiaTheme="minorEastAsia"/>
                <w:color w:val="auto"/>
                <w:sz w:val="21"/>
                <w:szCs w:val="21"/>
              </w:rPr>
              <w:t>7.01</w:t>
            </w:r>
          </w:p>
        </w:tc>
        <w:tc>
          <w:tcPr>
            <w:tcW w:w="851" w:type="dxa"/>
            <w:vAlign w:val="center"/>
          </w:tcPr>
          <w:p>
            <w:pPr>
              <w:jc w:val="center"/>
              <w:rPr>
                <w:rFonts w:eastAsiaTheme="minorEastAsia"/>
                <w:color w:val="auto"/>
                <w:sz w:val="21"/>
                <w:szCs w:val="21"/>
              </w:rPr>
            </w:pPr>
            <w:r>
              <w:rPr>
                <w:rFonts w:eastAsiaTheme="minorEastAsia"/>
                <w:color w:val="auto"/>
                <w:sz w:val="21"/>
                <w:szCs w:val="21"/>
              </w:rPr>
              <w:t>5.8</w:t>
            </w:r>
          </w:p>
        </w:tc>
        <w:tc>
          <w:tcPr>
            <w:tcW w:w="850" w:type="dxa"/>
            <w:vAlign w:val="center"/>
          </w:tcPr>
          <w:p>
            <w:pPr>
              <w:jc w:val="center"/>
              <w:rPr>
                <w:rFonts w:eastAsiaTheme="minorEastAsia"/>
                <w:color w:val="auto"/>
                <w:sz w:val="21"/>
                <w:szCs w:val="21"/>
              </w:rPr>
            </w:pPr>
            <w:r>
              <w:rPr>
                <w:rFonts w:eastAsiaTheme="minorEastAsia"/>
                <w:color w:val="auto"/>
                <w:sz w:val="21"/>
                <w:szCs w:val="21"/>
              </w:rPr>
              <w:t>0.50</w:t>
            </w:r>
          </w:p>
        </w:tc>
        <w:tc>
          <w:tcPr>
            <w:tcW w:w="851" w:type="dxa"/>
            <w:vAlign w:val="center"/>
          </w:tcPr>
          <w:p>
            <w:pPr>
              <w:jc w:val="center"/>
              <w:rPr>
                <w:rFonts w:eastAsiaTheme="minorEastAsia"/>
                <w:color w:val="auto"/>
                <w:sz w:val="21"/>
                <w:szCs w:val="21"/>
              </w:rPr>
            </w:pPr>
            <w:r>
              <w:rPr>
                <w:rFonts w:eastAsiaTheme="minorEastAsia"/>
                <w:color w:val="auto"/>
                <w:sz w:val="21"/>
                <w:szCs w:val="21"/>
              </w:rPr>
              <w:t>0.220</w:t>
            </w:r>
          </w:p>
        </w:tc>
        <w:tc>
          <w:tcPr>
            <w:tcW w:w="992" w:type="dxa"/>
            <w:vAlign w:val="center"/>
          </w:tcPr>
          <w:p>
            <w:pPr>
              <w:jc w:val="center"/>
              <w:rPr>
                <w:rFonts w:eastAsiaTheme="minorEastAsia"/>
                <w:color w:val="auto"/>
                <w:sz w:val="21"/>
                <w:szCs w:val="21"/>
              </w:rPr>
            </w:pPr>
            <w:r>
              <w:rPr>
                <w:rFonts w:eastAsiaTheme="minorEastAsia"/>
                <w:color w:val="auto"/>
                <w:sz w:val="21"/>
                <w:szCs w:val="21"/>
              </w:rPr>
              <w:t>3.3</w:t>
            </w:r>
          </w:p>
        </w:tc>
        <w:tc>
          <w:tcPr>
            <w:tcW w:w="992" w:type="dxa"/>
            <w:vAlign w:val="center"/>
          </w:tcPr>
          <w:p>
            <w:pPr>
              <w:jc w:val="center"/>
              <w:rPr>
                <w:rFonts w:eastAsiaTheme="minorEastAsia"/>
                <w:color w:val="auto"/>
                <w:sz w:val="21"/>
                <w:szCs w:val="21"/>
              </w:rPr>
            </w:pPr>
            <w:r>
              <w:rPr>
                <w:rFonts w:eastAsiaTheme="minorEastAsia"/>
                <w:color w:val="auto"/>
                <w:sz w:val="21"/>
                <w:szCs w:val="21"/>
              </w:rPr>
              <w:t>14</w:t>
            </w:r>
          </w:p>
        </w:tc>
        <w:tc>
          <w:tcPr>
            <w:tcW w:w="1122" w:type="dxa"/>
            <w:vAlign w:val="center"/>
          </w:tcPr>
          <w:p>
            <w:pPr>
              <w:jc w:val="center"/>
              <w:rPr>
                <w:rFonts w:eastAsiaTheme="minorEastAsia"/>
                <w:color w:val="auto"/>
                <w:sz w:val="21"/>
                <w:szCs w:val="21"/>
              </w:rPr>
            </w:pPr>
            <w:r>
              <w:rPr>
                <w:rFonts w:eastAsiaTheme="minorEastAsia"/>
                <w:color w:val="auto"/>
                <w:sz w:val="21"/>
                <w:szCs w:val="21"/>
              </w:rPr>
              <w:t>＜0.0003</w:t>
            </w:r>
          </w:p>
        </w:tc>
        <w:tc>
          <w:tcPr>
            <w:tcW w:w="939"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12.0</w:t>
            </w:r>
          </w:p>
        </w:tc>
        <w:tc>
          <w:tcPr>
            <w:tcW w:w="969" w:type="dxa"/>
            <w:vAlign w:val="center"/>
          </w:tcPr>
          <w:p>
            <w:pPr>
              <w:jc w:val="center"/>
              <w:rPr>
                <w:rFonts w:eastAsiaTheme="minorEastAsia"/>
                <w:color w:val="auto"/>
                <w:sz w:val="21"/>
                <w:szCs w:val="21"/>
              </w:rPr>
            </w:pPr>
            <w:r>
              <w:rPr>
                <w:rFonts w:eastAsiaTheme="minorEastAsia"/>
                <w:color w:val="auto"/>
                <w:sz w:val="21"/>
                <w:szCs w:val="21"/>
              </w:rPr>
              <w:t>＜0.004</w:t>
            </w:r>
          </w:p>
        </w:tc>
        <w:tc>
          <w:tcPr>
            <w:tcW w:w="851" w:type="dxa"/>
            <w:vAlign w:val="center"/>
          </w:tcPr>
          <w:p>
            <w:pPr>
              <w:jc w:val="center"/>
              <w:rPr>
                <w:rFonts w:eastAsiaTheme="minorEastAsia"/>
                <w:color w:val="auto"/>
                <w:sz w:val="21"/>
                <w:szCs w:val="21"/>
              </w:rPr>
            </w:pPr>
            <w:r>
              <w:rPr>
                <w:rFonts w:eastAsiaTheme="minorEastAsia"/>
                <w:color w:val="auto"/>
                <w:sz w:val="21"/>
                <w:szCs w:val="21"/>
              </w:rPr>
              <w:t>85.1</w:t>
            </w:r>
          </w:p>
        </w:tc>
        <w:tc>
          <w:tcPr>
            <w:tcW w:w="997" w:type="dxa"/>
            <w:vAlign w:val="center"/>
          </w:tcPr>
          <w:p>
            <w:pPr>
              <w:jc w:val="center"/>
              <w:rPr>
                <w:rFonts w:eastAsiaTheme="minorEastAsia"/>
                <w:color w:val="auto"/>
                <w:sz w:val="21"/>
                <w:szCs w:val="21"/>
              </w:rPr>
            </w:pPr>
            <w:r>
              <w:rPr>
                <w:rFonts w:eastAsiaTheme="minorEastAsia"/>
                <w:color w:val="auto"/>
                <w:sz w:val="21"/>
                <w:szCs w:val="21"/>
              </w:rPr>
              <w:t>＜0.004</w:t>
            </w:r>
          </w:p>
        </w:tc>
        <w:tc>
          <w:tcPr>
            <w:tcW w:w="736" w:type="dxa"/>
            <w:vAlign w:val="center"/>
          </w:tcPr>
          <w:p>
            <w:pPr>
              <w:jc w:val="center"/>
              <w:rPr>
                <w:rFonts w:eastAsiaTheme="minorEastAsia"/>
                <w:color w:val="auto"/>
                <w:sz w:val="21"/>
                <w:szCs w:val="21"/>
              </w:rPr>
            </w:pPr>
            <w:r>
              <w:rPr>
                <w:rFonts w:eastAsiaTheme="minorEastAsia"/>
                <w:color w:val="auto"/>
                <w:sz w:val="21"/>
                <w:szCs w:val="21"/>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464" w:type="dxa"/>
            <w:gridSpan w:val="2"/>
            <w:vMerge w:val="continue"/>
            <w:vAlign w:val="center"/>
          </w:tcPr>
          <w:p>
            <w:pPr>
              <w:jc w:val="center"/>
              <w:rPr>
                <w:rFonts w:eastAsiaTheme="minorEastAsia"/>
                <w:color w:val="auto"/>
                <w:sz w:val="21"/>
                <w:szCs w:val="21"/>
              </w:rPr>
            </w:pPr>
          </w:p>
        </w:tc>
        <w:tc>
          <w:tcPr>
            <w:tcW w:w="812" w:type="dxa"/>
            <w:vAlign w:val="center"/>
          </w:tcPr>
          <w:p>
            <w:pPr>
              <w:jc w:val="center"/>
              <w:rPr>
                <w:rFonts w:eastAsiaTheme="minorEastAsia"/>
                <w:color w:val="auto"/>
                <w:sz w:val="21"/>
                <w:szCs w:val="21"/>
              </w:rPr>
            </w:pPr>
            <w:r>
              <w:rPr>
                <w:rFonts w:eastAsiaTheme="minorEastAsia"/>
                <w:color w:val="auto"/>
                <w:sz w:val="21"/>
                <w:szCs w:val="21"/>
              </w:rPr>
              <w:t>2019.3.27</w:t>
            </w:r>
          </w:p>
        </w:tc>
        <w:tc>
          <w:tcPr>
            <w:tcW w:w="708" w:type="dxa"/>
            <w:vAlign w:val="center"/>
          </w:tcPr>
          <w:p>
            <w:pPr>
              <w:jc w:val="center"/>
              <w:rPr>
                <w:rFonts w:eastAsiaTheme="minorEastAsia"/>
                <w:color w:val="auto"/>
                <w:sz w:val="21"/>
                <w:szCs w:val="21"/>
              </w:rPr>
            </w:pPr>
            <w:r>
              <w:rPr>
                <w:rFonts w:eastAsiaTheme="minorEastAsia"/>
                <w:color w:val="auto"/>
                <w:sz w:val="21"/>
                <w:szCs w:val="21"/>
              </w:rPr>
              <w:t>23.2</w:t>
            </w:r>
          </w:p>
        </w:tc>
        <w:tc>
          <w:tcPr>
            <w:tcW w:w="709" w:type="dxa"/>
            <w:vAlign w:val="center"/>
          </w:tcPr>
          <w:p>
            <w:pPr>
              <w:jc w:val="center"/>
              <w:rPr>
                <w:rFonts w:eastAsiaTheme="minorEastAsia"/>
                <w:color w:val="auto"/>
                <w:sz w:val="21"/>
                <w:szCs w:val="21"/>
              </w:rPr>
            </w:pPr>
            <w:r>
              <w:rPr>
                <w:rFonts w:eastAsiaTheme="minorEastAsia"/>
                <w:color w:val="auto"/>
                <w:sz w:val="21"/>
                <w:szCs w:val="21"/>
              </w:rPr>
              <w:t>7.03</w:t>
            </w:r>
          </w:p>
        </w:tc>
        <w:tc>
          <w:tcPr>
            <w:tcW w:w="851" w:type="dxa"/>
            <w:vAlign w:val="center"/>
          </w:tcPr>
          <w:p>
            <w:pPr>
              <w:jc w:val="center"/>
              <w:rPr>
                <w:rFonts w:eastAsiaTheme="minorEastAsia"/>
                <w:color w:val="auto"/>
                <w:sz w:val="21"/>
                <w:szCs w:val="21"/>
              </w:rPr>
            </w:pPr>
            <w:r>
              <w:rPr>
                <w:rFonts w:eastAsiaTheme="minorEastAsia"/>
                <w:color w:val="auto"/>
                <w:sz w:val="21"/>
                <w:szCs w:val="21"/>
              </w:rPr>
              <w:t>6.0</w:t>
            </w:r>
          </w:p>
        </w:tc>
        <w:tc>
          <w:tcPr>
            <w:tcW w:w="850" w:type="dxa"/>
            <w:vAlign w:val="center"/>
          </w:tcPr>
          <w:p>
            <w:pPr>
              <w:jc w:val="center"/>
              <w:rPr>
                <w:rFonts w:eastAsiaTheme="minorEastAsia"/>
                <w:color w:val="auto"/>
                <w:sz w:val="21"/>
                <w:szCs w:val="21"/>
              </w:rPr>
            </w:pPr>
            <w:r>
              <w:rPr>
                <w:rFonts w:eastAsiaTheme="minorEastAsia"/>
                <w:color w:val="auto"/>
                <w:sz w:val="21"/>
                <w:szCs w:val="21"/>
              </w:rPr>
              <w:t>0.50</w:t>
            </w:r>
          </w:p>
        </w:tc>
        <w:tc>
          <w:tcPr>
            <w:tcW w:w="851" w:type="dxa"/>
            <w:vAlign w:val="center"/>
          </w:tcPr>
          <w:p>
            <w:pPr>
              <w:jc w:val="center"/>
              <w:rPr>
                <w:rFonts w:eastAsiaTheme="minorEastAsia"/>
                <w:color w:val="auto"/>
                <w:sz w:val="21"/>
                <w:szCs w:val="21"/>
              </w:rPr>
            </w:pPr>
            <w:r>
              <w:rPr>
                <w:rFonts w:eastAsiaTheme="minorEastAsia"/>
                <w:color w:val="auto"/>
                <w:sz w:val="21"/>
                <w:szCs w:val="21"/>
              </w:rPr>
              <w:t>0.228</w:t>
            </w:r>
          </w:p>
        </w:tc>
        <w:tc>
          <w:tcPr>
            <w:tcW w:w="992" w:type="dxa"/>
            <w:vAlign w:val="center"/>
          </w:tcPr>
          <w:p>
            <w:pPr>
              <w:jc w:val="center"/>
              <w:rPr>
                <w:rFonts w:eastAsiaTheme="minorEastAsia"/>
                <w:color w:val="auto"/>
                <w:sz w:val="21"/>
                <w:szCs w:val="21"/>
              </w:rPr>
            </w:pPr>
            <w:r>
              <w:rPr>
                <w:rFonts w:eastAsiaTheme="minorEastAsia"/>
                <w:color w:val="auto"/>
                <w:sz w:val="21"/>
                <w:szCs w:val="21"/>
              </w:rPr>
              <w:t>3.4</w:t>
            </w:r>
          </w:p>
        </w:tc>
        <w:tc>
          <w:tcPr>
            <w:tcW w:w="992" w:type="dxa"/>
            <w:vAlign w:val="center"/>
          </w:tcPr>
          <w:p>
            <w:pPr>
              <w:jc w:val="center"/>
              <w:rPr>
                <w:rFonts w:eastAsiaTheme="minorEastAsia"/>
                <w:color w:val="auto"/>
                <w:sz w:val="21"/>
                <w:szCs w:val="21"/>
              </w:rPr>
            </w:pPr>
            <w:r>
              <w:rPr>
                <w:rFonts w:eastAsiaTheme="minorEastAsia"/>
                <w:color w:val="auto"/>
                <w:sz w:val="21"/>
                <w:szCs w:val="21"/>
              </w:rPr>
              <w:t>18</w:t>
            </w:r>
          </w:p>
        </w:tc>
        <w:tc>
          <w:tcPr>
            <w:tcW w:w="1122" w:type="dxa"/>
            <w:vAlign w:val="center"/>
          </w:tcPr>
          <w:p>
            <w:pPr>
              <w:jc w:val="center"/>
              <w:rPr>
                <w:rFonts w:eastAsiaTheme="minorEastAsia"/>
                <w:color w:val="auto"/>
                <w:sz w:val="21"/>
                <w:szCs w:val="21"/>
              </w:rPr>
            </w:pPr>
            <w:r>
              <w:rPr>
                <w:rFonts w:eastAsiaTheme="minorEastAsia"/>
                <w:color w:val="auto"/>
                <w:sz w:val="21"/>
                <w:szCs w:val="21"/>
              </w:rPr>
              <w:t>＜0.0003</w:t>
            </w:r>
          </w:p>
        </w:tc>
        <w:tc>
          <w:tcPr>
            <w:tcW w:w="939"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11.8</w:t>
            </w:r>
          </w:p>
        </w:tc>
        <w:tc>
          <w:tcPr>
            <w:tcW w:w="969" w:type="dxa"/>
            <w:vAlign w:val="center"/>
          </w:tcPr>
          <w:p>
            <w:pPr>
              <w:jc w:val="center"/>
              <w:rPr>
                <w:rFonts w:eastAsiaTheme="minorEastAsia"/>
                <w:color w:val="auto"/>
                <w:sz w:val="21"/>
                <w:szCs w:val="21"/>
              </w:rPr>
            </w:pPr>
            <w:r>
              <w:rPr>
                <w:rFonts w:eastAsiaTheme="minorEastAsia"/>
                <w:color w:val="auto"/>
                <w:sz w:val="21"/>
                <w:szCs w:val="21"/>
              </w:rPr>
              <w:t>＜0.004</w:t>
            </w:r>
          </w:p>
        </w:tc>
        <w:tc>
          <w:tcPr>
            <w:tcW w:w="851" w:type="dxa"/>
            <w:vAlign w:val="center"/>
          </w:tcPr>
          <w:p>
            <w:pPr>
              <w:jc w:val="center"/>
              <w:rPr>
                <w:rFonts w:eastAsiaTheme="minorEastAsia"/>
                <w:color w:val="auto"/>
                <w:sz w:val="21"/>
                <w:szCs w:val="21"/>
              </w:rPr>
            </w:pPr>
            <w:r>
              <w:rPr>
                <w:rFonts w:eastAsiaTheme="minorEastAsia"/>
                <w:color w:val="auto"/>
                <w:sz w:val="21"/>
                <w:szCs w:val="21"/>
              </w:rPr>
              <w:t>77.3</w:t>
            </w:r>
          </w:p>
        </w:tc>
        <w:tc>
          <w:tcPr>
            <w:tcW w:w="997" w:type="dxa"/>
            <w:vAlign w:val="center"/>
          </w:tcPr>
          <w:p>
            <w:pPr>
              <w:jc w:val="center"/>
              <w:rPr>
                <w:rFonts w:eastAsiaTheme="minorEastAsia"/>
                <w:color w:val="auto"/>
                <w:sz w:val="21"/>
                <w:szCs w:val="21"/>
              </w:rPr>
            </w:pPr>
            <w:r>
              <w:rPr>
                <w:rFonts w:eastAsiaTheme="minorEastAsia"/>
                <w:color w:val="auto"/>
                <w:sz w:val="21"/>
                <w:szCs w:val="21"/>
              </w:rPr>
              <w:t>＜0.004</w:t>
            </w:r>
          </w:p>
        </w:tc>
        <w:tc>
          <w:tcPr>
            <w:tcW w:w="736" w:type="dxa"/>
            <w:vAlign w:val="center"/>
          </w:tcPr>
          <w:p>
            <w:pPr>
              <w:jc w:val="center"/>
              <w:rPr>
                <w:rFonts w:eastAsiaTheme="minorEastAsia"/>
                <w:color w:val="auto"/>
                <w:sz w:val="21"/>
                <w:szCs w:val="21"/>
              </w:rPr>
            </w:pPr>
            <w:r>
              <w:rPr>
                <w:rFonts w:eastAsiaTheme="minorEastAsia"/>
                <w:color w:val="auto"/>
                <w:sz w:val="21"/>
                <w:szCs w:val="21"/>
              </w:rPr>
              <w:t>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超标率</w:t>
            </w:r>
            <w:r>
              <w:rPr>
                <w:rFonts w:hint="eastAsia" w:eastAsiaTheme="minorEastAsia"/>
                <w:color w:val="auto"/>
                <w:sz w:val="21"/>
                <w:szCs w:val="21"/>
                <w:lang w:eastAsia="zh-CN"/>
              </w:rPr>
              <w:t>（</w:t>
            </w:r>
            <w:r>
              <w:rPr>
                <w:rFonts w:hint="eastAsia" w:eastAsiaTheme="minorEastAsia"/>
                <w:color w:val="auto"/>
                <w:sz w:val="21"/>
                <w:szCs w:val="21"/>
                <w:lang w:val="en-US" w:eastAsia="zh-CN"/>
              </w:rPr>
              <w:t>%</w:t>
            </w:r>
            <w:r>
              <w:rPr>
                <w:rFonts w:hint="eastAsia" w:eastAsiaTheme="minorEastAsia"/>
                <w:color w:val="auto"/>
                <w:sz w:val="21"/>
                <w:szCs w:val="21"/>
                <w:lang w:eastAsia="zh-CN"/>
              </w:rPr>
              <w:t>）</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1122"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6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7" w:type="dxa"/>
            <w:vAlign w:val="center"/>
          </w:tcPr>
          <w:p>
            <w:pPr>
              <w:jc w:val="center"/>
              <w:rPr>
                <w:rFonts w:eastAsiaTheme="minorEastAsia"/>
                <w:color w:val="auto"/>
                <w:sz w:val="21"/>
                <w:szCs w:val="21"/>
              </w:rPr>
            </w:pPr>
            <w:r>
              <w:rPr>
                <w:rFonts w:eastAsiaTheme="minorEastAsia"/>
                <w:color w:val="auto"/>
                <w:sz w:val="21"/>
                <w:szCs w:val="21"/>
              </w:rPr>
              <w:t>0</w:t>
            </w:r>
          </w:p>
        </w:tc>
        <w:tc>
          <w:tcPr>
            <w:tcW w:w="736"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最大超标倍数</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1122"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6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7" w:type="dxa"/>
            <w:vAlign w:val="center"/>
          </w:tcPr>
          <w:p>
            <w:pPr>
              <w:jc w:val="center"/>
              <w:rPr>
                <w:rFonts w:eastAsiaTheme="minorEastAsia"/>
                <w:color w:val="auto"/>
                <w:sz w:val="21"/>
                <w:szCs w:val="21"/>
              </w:rPr>
            </w:pPr>
            <w:r>
              <w:rPr>
                <w:rFonts w:eastAsiaTheme="minorEastAsia"/>
                <w:color w:val="auto"/>
                <w:sz w:val="21"/>
                <w:szCs w:val="21"/>
              </w:rPr>
              <w:t>0</w:t>
            </w:r>
          </w:p>
        </w:tc>
        <w:tc>
          <w:tcPr>
            <w:tcW w:w="736"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最大单因子指数</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0.08</w:t>
            </w:r>
          </w:p>
        </w:tc>
        <w:tc>
          <w:tcPr>
            <w:tcW w:w="851" w:type="dxa"/>
            <w:vAlign w:val="center"/>
          </w:tcPr>
          <w:p>
            <w:pPr>
              <w:jc w:val="center"/>
              <w:rPr>
                <w:rFonts w:eastAsiaTheme="minorEastAsia"/>
                <w:color w:val="auto"/>
                <w:sz w:val="21"/>
                <w:szCs w:val="21"/>
              </w:rPr>
            </w:pPr>
            <w:r>
              <w:rPr>
                <w:rFonts w:eastAsiaTheme="minorEastAsia"/>
                <w:color w:val="auto"/>
                <w:sz w:val="21"/>
                <w:szCs w:val="21"/>
              </w:rPr>
              <w:t>0.86</w:t>
            </w:r>
          </w:p>
        </w:tc>
        <w:tc>
          <w:tcPr>
            <w:tcW w:w="850" w:type="dxa"/>
            <w:vAlign w:val="center"/>
          </w:tcPr>
          <w:p>
            <w:pPr>
              <w:jc w:val="center"/>
              <w:rPr>
                <w:rFonts w:eastAsiaTheme="minorEastAsia"/>
                <w:color w:val="auto"/>
                <w:sz w:val="21"/>
                <w:szCs w:val="21"/>
              </w:rPr>
            </w:pPr>
            <w:r>
              <w:rPr>
                <w:rFonts w:eastAsiaTheme="minorEastAsia"/>
                <w:color w:val="auto"/>
                <w:sz w:val="21"/>
                <w:szCs w:val="21"/>
              </w:rPr>
              <w:t>0.52</w:t>
            </w:r>
          </w:p>
        </w:tc>
        <w:tc>
          <w:tcPr>
            <w:tcW w:w="851" w:type="dxa"/>
            <w:vAlign w:val="center"/>
          </w:tcPr>
          <w:p>
            <w:pPr>
              <w:jc w:val="center"/>
              <w:rPr>
                <w:rFonts w:eastAsiaTheme="minorEastAsia"/>
                <w:color w:val="auto"/>
                <w:sz w:val="21"/>
                <w:szCs w:val="21"/>
              </w:rPr>
            </w:pPr>
            <w:r>
              <w:rPr>
                <w:rFonts w:eastAsiaTheme="minorEastAsia"/>
                <w:color w:val="auto"/>
                <w:sz w:val="21"/>
                <w:szCs w:val="21"/>
              </w:rPr>
              <w:t>0.23</w:t>
            </w:r>
          </w:p>
        </w:tc>
        <w:tc>
          <w:tcPr>
            <w:tcW w:w="992" w:type="dxa"/>
            <w:vAlign w:val="center"/>
          </w:tcPr>
          <w:p>
            <w:pPr>
              <w:jc w:val="center"/>
              <w:rPr>
                <w:rFonts w:eastAsiaTheme="minorEastAsia"/>
                <w:color w:val="auto"/>
                <w:sz w:val="21"/>
                <w:szCs w:val="21"/>
              </w:rPr>
            </w:pPr>
            <w:r>
              <w:rPr>
                <w:rFonts w:eastAsiaTheme="minorEastAsia"/>
                <w:color w:val="auto"/>
                <w:sz w:val="21"/>
                <w:szCs w:val="21"/>
              </w:rPr>
              <w:t>0.57</w:t>
            </w:r>
          </w:p>
        </w:tc>
        <w:tc>
          <w:tcPr>
            <w:tcW w:w="992" w:type="dxa"/>
            <w:vAlign w:val="center"/>
          </w:tcPr>
          <w:p>
            <w:pPr>
              <w:jc w:val="center"/>
              <w:rPr>
                <w:rFonts w:eastAsiaTheme="minorEastAsia"/>
                <w:color w:val="auto"/>
                <w:sz w:val="21"/>
                <w:szCs w:val="21"/>
              </w:rPr>
            </w:pPr>
            <w:r>
              <w:rPr>
                <w:rFonts w:eastAsiaTheme="minorEastAsia"/>
                <w:color w:val="auto"/>
                <w:sz w:val="21"/>
                <w:szCs w:val="21"/>
              </w:rPr>
              <w:t>0.90</w:t>
            </w:r>
          </w:p>
        </w:tc>
        <w:tc>
          <w:tcPr>
            <w:tcW w:w="1122" w:type="dxa"/>
            <w:vAlign w:val="center"/>
          </w:tcPr>
          <w:p>
            <w:pPr>
              <w:jc w:val="center"/>
              <w:rPr>
                <w:rFonts w:eastAsiaTheme="minorEastAsia"/>
                <w:color w:val="auto"/>
                <w:sz w:val="21"/>
                <w:szCs w:val="21"/>
              </w:rPr>
            </w:pPr>
            <w:r>
              <w:rPr>
                <w:rFonts w:eastAsiaTheme="minorEastAsia"/>
                <w:color w:val="auto"/>
                <w:sz w:val="21"/>
                <w:szCs w:val="21"/>
              </w:rPr>
              <w:t>/</w:t>
            </w:r>
          </w:p>
        </w:tc>
        <w:tc>
          <w:tcPr>
            <w:tcW w:w="939" w:type="dxa"/>
            <w:vAlign w:val="center"/>
          </w:tcPr>
          <w:p>
            <w:pPr>
              <w:jc w:val="center"/>
              <w:rPr>
                <w:rFonts w:eastAsiaTheme="minorEastAsia"/>
                <w:color w:val="auto"/>
                <w:sz w:val="21"/>
                <w:szCs w:val="21"/>
              </w:rPr>
            </w:pPr>
            <w:r>
              <w:rPr>
                <w:rFonts w:eastAsiaTheme="minorEastAsia"/>
                <w:color w:val="auto"/>
                <w:sz w:val="21"/>
                <w:szCs w:val="21"/>
              </w:rPr>
              <w:t>/</w:t>
            </w:r>
          </w:p>
        </w:tc>
        <w:tc>
          <w:tcPr>
            <w:tcW w:w="939" w:type="dxa"/>
            <w:vAlign w:val="center"/>
          </w:tcPr>
          <w:p>
            <w:pPr>
              <w:jc w:val="center"/>
              <w:rPr>
                <w:rFonts w:eastAsiaTheme="minorEastAsia"/>
                <w:color w:val="auto"/>
                <w:sz w:val="21"/>
                <w:szCs w:val="21"/>
              </w:rPr>
            </w:pPr>
            <w:r>
              <w:rPr>
                <w:rFonts w:eastAsiaTheme="minorEastAsia"/>
                <w:color w:val="auto"/>
                <w:sz w:val="21"/>
                <w:szCs w:val="21"/>
              </w:rPr>
              <w:t>0.05</w:t>
            </w:r>
          </w:p>
        </w:tc>
        <w:tc>
          <w:tcPr>
            <w:tcW w:w="969"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0.35</w:t>
            </w:r>
          </w:p>
        </w:tc>
        <w:tc>
          <w:tcPr>
            <w:tcW w:w="997" w:type="dxa"/>
            <w:vAlign w:val="center"/>
          </w:tcPr>
          <w:p>
            <w:pPr>
              <w:jc w:val="center"/>
              <w:rPr>
                <w:rFonts w:eastAsiaTheme="minorEastAsia"/>
                <w:color w:val="auto"/>
                <w:sz w:val="21"/>
                <w:szCs w:val="21"/>
              </w:rPr>
            </w:pPr>
            <w:r>
              <w:rPr>
                <w:rFonts w:eastAsiaTheme="minorEastAsia"/>
                <w:color w:val="auto"/>
                <w:sz w:val="21"/>
                <w:szCs w:val="21"/>
              </w:rPr>
              <w:t>/</w:t>
            </w:r>
          </w:p>
        </w:tc>
        <w:tc>
          <w:tcPr>
            <w:tcW w:w="736" w:type="dxa"/>
            <w:vAlign w:val="center"/>
          </w:tcPr>
          <w:p>
            <w:pPr>
              <w:jc w:val="center"/>
              <w:rPr>
                <w:rFonts w:eastAsiaTheme="minorEastAsia"/>
                <w:color w:val="auto"/>
                <w:sz w:val="21"/>
                <w:szCs w:val="21"/>
              </w:rPr>
            </w:pPr>
            <w:r>
              <w:rPr>
                <w:rFonts w:eastAsiaTheme="minorEastAsia"/>
                <w:color w:val="auto"/>
                <w:sz w:val="21"/>
                <w:szCs w:val="21"/>
              </w:rPr>
              <w:t>0.55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标准值（mg/L）</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6~9</w:t>
            </w:r>
          </w:p>
        </w:tc>
        <w:tc>
          <w:tcPr>
            <w:tcW w:w="851" w:type="dxa"/>
            <w:vAlign w:val="center"/>
          </w:tcPr>
          <w:p>
            <w:pPr>
              <w:jc w:val="center"/>
              <w:rPr>
                <w:rFonts w:eastAsiaTheme="minorEastAsia"/>
                <w:color w:val="auto"/>
                <w:sz w:val="21"/>
                <w:szCs w:val="21"/>
              </w:rPr>
            </w:pPr>
            <w:r>
              <w:rPr>
                <w:rFonts w:eastAsiaTheme="minorEastAsia"/>
                <w:color w:val="auto"/>
                <w:sz w:val="21"/>
                <w:szCs w:val="21"/>
              </w:rPr>
              <w:t>≥5</w:t>
            </w:r>
          </w:p>
        </w:tc>
        <w:tc>
          <w:tcPr>
            <w:tcW w:w="850" w:type="dxa"/>
            <w:vAlign w:val="center"/>
          </w:tcPr>
          <w:p>
            <w:pPr>
              <w:jc w:val="center"/>
              <w:rPr>
                <w:rFonts w:eastAsiaTheme="minorEastAsia"/>
                <w:color w:val="auto"/>
                <w:sz w:val="21"/>
                <w:szCs w:val="21"/>
              </w:rPr>
            </w:pPr>
            <w:r>
              <w:rPr>
                <w:rFonts w:eastAsiaTheme="minorEastAsia"/>
                <w:color w:val="auto"/>
                <w:sz w:val="21"/>
                <w:szCs w:val="21"/>
              </w:rPr>
              <w:t>≤1.0</w:t>
            </w:r>
          </w:p>
        </w:tc>
        <w:tc>
          <w:tcPr>
            <w:tcW w:w="851" w:type="dxa"/>
            <w:vAlign w:val="center"/>
          </w:tcPr>
          <w:p>
            <w:pPr>
              <w:jc w:val="center"/>
              <w:rPr>
                <w:rFonts w:eastAsiaTheme="minorEastAsia"/>
                <w:color w:val="auto"/>
                <w:sz w:val="21"/>
                <w:szCs w:val="21"/>
              </w:rPr>
            </w:pPr>
            <w:r>
              <w:rPr>
                <w:rFonts w:eastAsiaTheme="minorEastAsia"/>
                <w:color w:val="auto"/>
                <w:sz w:val="21"/>
                <w:szCs w:val="21"/>
              </w:rPr>
              <w:t>≤1.0</w:t>
            </w:r>
          </w:p>
        </w:tc>
        <w:tc>
          <w:tcPr>
            <w:tcW w:w="992" w:type="dxa"/>
            <w:vAlign w:val="center"/>
          </w:tcPr>
          <w:p>
            <w:pPr>
              <w:jc w:val="center"/>
              <w:rPr>
                <w:rFonts w:eastAsiaTheme="minorEastAsia"/>
                <w:color w:val="auto"/>
                <w:sz w:val="21"/>
                <w:szCs w:val="21"/>
              </w:rPr>
            </w:pPr>
            <w:r>
              <w:rPr>
                <w:rFonts w:eastAsiaTheme="minorEastAsia"/>
                <w:color w:val="auto"/>
                <w:sz w:val="21"/>
                <w:szCs w:val="21"/>
              </w:rPr>
              <w:t>≤6</w:t>
            </w:r>
          </w:p>
        </w:tc>
        <w:tc>
          <w:tcPr>
            <w:tcW w:w="992" w:type="dxa"/>
            <w:vAlign w:val="center"/>
          </w:tcPr>
          <w:p>
            <w:pPr>
              <w:jc w:val="center"/>
              <w:rPr>
                <w:rFonts w:eastAsiaTheme="minorEastAsia"/>
                <w:color w:val="auto"/>
                <w:sz w:val="21"/>
                <w:szCs w:val="21"/>
              </w:rPr>
            </w:pPr>
            <w:r>
              <w:rPr>
                <w:rFonts w:eastAsiaTheme="minorEastAsia"/>
                <w:color w:val="auto"/>
                <w:sz w:val="21"/>
                <w:szCs w:val="21"/>
              </w:rPr>
              <w:t>≤20</w:t>
            </w:r>
          </w:p>
        </w:tc>
        <w:tc>
          <w:tcPr>
            <w:tcW w:w="1122"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≤0.2</w:t>
            </w:r>
          </w:p>
        </w:tc>
        <w:tc>
          <w:tcPr>
            <w:tcW w:w="939" w:type="dxa"/>
            <w:vAlign w:val="center"/>
          </w:tcPr>
          <w:p>
            <w:pPr>
              <w:jc w:val="center"/>
              <w:rPr>
                <w:rFonts w:eastAsiaTheme="minorEastAsia"/>
                <w:color w:val="auto"/>
                <w:sz w:val="21"/>
                <w:szCs w:val="21"/>
              </w:rPr>
            </w:pPr>
            <w:r>
              <w:rPr>
                <w:rFonts w:eastAsiaTheme="minorEastAsia"/>
                <w:color w:val="auto"/>
                <w:sz w:val="21"/>
                <w:szCs w:val="21"/>
              </w:rPr>
              <w:t>≤250</w:t>
            </w:r>
          </w:p>
        </w:tc>
        <w:tc>
          <w:tcPr>
            <w:tcW w:w="969" w:type="dxa"/>
            <w:vAlign w:val="center"/>
          </w:tcPr>
          <w:p>
            <w:pPr>
              <w:jc w:val="center"/>
              <w:rPr>
                <w:rFonts w:eastAsiaTheme="minorEastAsia"/>
                <w:color w:val="auto"/>
                <w:sz w:val="21"/>
                <w:szCs w:val="21"/>
              </w:rPr>
            </w:pPr>
            <w:r>
              <w:rPr>
                <w:rFonts w:eastAsiaTheme="minorEastAsia"/>
                <w:color w:val="auto"/>
                <w:sz w:val="21"/>
                <w:szCs w:val="21"/>
              </w:rPr>
              <w:t>≤0.05</w:t>
            </w:r>
          </w:p>
        </w:tc>
        <w:tc>
          <w:tcPr>
            <w:tcW w:w="851" w:type="dxa"/>
            <w:vAlign w:val="center"/>
          </w:tcPr>
          <w:p>
            <w:pPr>
              <w:jc w:val="center"/>
              <w:rPr>
                <w:rFonts w:eastAsiaTheme="minorEastAsia"/>
                <w:color w:val="auto"/>
                <w:sz w:val="21"/>
                <w:szCs w:val="21"/>
              </w:rPr>
            </w:pPr>
            <w:r>
              <w:rPr>
                <w:rFonts w:eastAsiaTheme="minorEastAsia"/>
                <w:color w:val="auto"/>
                <w:sz w:val="21"/>
                <w:szCs w:val="21"/>
              </w:rPr>
              <w:t>≤250</w:t>
            </w:r>
          </w:p>
        </w:tc>
        <w:tc>
          <w:tcPr>
            <w:tcW w:w="997" w:type="dxa"/>
            <w:vAlign w:val="center"/>
          </w:tcPr>
          <w:p>
            <w:pPr>
              <w:jc w:val="center"/>
              <w:rPr>
                <w:rFonts w:eastAsiaTheme="minorEastAsia"/>
                <w:color w:val="auto"/>
                <w:sz w:val="21"/>
                <w:szCs w:val="21"/>
              </w:rPr>
            </w:pPr>
            <w:r>
              <w:rPr>
                <w:rFonts w:eastAsiaTheme="minorEastAsia"/>
                <w:color w:val="auto"/>
                <w:sz w:val="21"/>
                <w:szCs w:val="21"/>
              </w:rPr>
              <w:t>≤0.2</w:t>
            </w:r>
          </w:p>
        </w:tc>
        <w:tc>
          <w:tcPr>
            <w:tcW w:w="736" w:type="dxa"/>
            <w:vAlign w:val="center"/>
          </w:tcPr>
          <w:p>
            <w:pPr>
              <w:jc w:val="center"/>
              <w:rPr>
                <w:rFonts w:eastAsiaTheme="minorEastAsia"/>
                <w:color w:val="auto"/>
                <w:sz w:val="21"/>
                <w:szCs w:val="21"/>
              </w:rPr>
            </w:pPr>
            <w:r>
              <w:rPr>
                <w:rFonts w:eastAsiaTheme="minorEastAsia"/>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restart"/>
            <w:vAlign w:val="center"/>
          </w:tcPr>
          <w:p>
            <w:pPr>
              <w:jc w:val="center"/>
              <w:rPr>
                <w:rFonts w:eastAsiaTheme="minorEastAsia"/>
                <w:color w:val="auto"/>
                <w:sz w:val="21"/>
                <w:szCs w:val="21"/>
              </w:rPr>
            </w:pPr>
            <w:r>
              <w:rPr>
                <w:rFonts w:eastAsiaTheme="minorEastAsia"/>
                <w:color w:val="auto"/>
                <w:sz w:val="21"/>
                <w:szCs w:val="21"/>
              </w:rPr>
              <w:t>W7</w:t>
            </w:r>
          </w:p>
        </w:tc>
        <w:tc>
          <w:tcPr>
            <w:tcW w:w="464" w:type="dxa"/>
            <w:gridSpan w:val="2"/>
            <w:vMerge w:val="restart"/>
            <w:vAlign w:val="center"/>
          </w:tcPr>
          <w:p>
            <w:pPr>
              <w:jc w:val="center"/>
              <w:rPr>
                <w:rFonts w:eastAsiaTheme="minorEastAsia"/>
                <w:color w:val="auto"/>
                <w:sz w:val="21"/>
                <w:szCs w:val="21"/>
              </w:rPr>
            </w:pPr>
            <w:r>
              <w:rPr>
                <w:rFonts w:eastAsiaTheme="minorEastAsia"/>
                <w:color w:val="auto"/>
                <w:sz w:val="21"/>
                <w:szCs w:val="21"/>
              </w:rPr>
              <w:t>监测值</w:t>
            </w:r>
          </w:p>
        </w:tc>
        <w:tc>
          <w:tcPr>
            <w:tcW w:w="812" w:type="dxa"/>
            <w:vAlign w:val="center"/>
          </w:tcPr>
          <w:p>
            <w:pPr>
              <w:jc w:val="center"/>
              <w:rPr>
                <w:rFonts w:eastAsiaTheme="minorEastAsia"/>
                <w:color w:val="auto"/>
                <w:sz w:val="21"/>
                <w:szCs w:val="21"/>
              </w:rPr>
            </w:pPr>
            <w:r>
              <w:rPr>
                <w:rFonts w:eastAsiaTheme="minorEastAsia"/>
                <w:color w:val="auto"/>
                <w:sz w:val="21"/>
                <w:szCs w:val="21"/>
              </w:rPr>
              <w:t>2019.3.25</w:t>
            </w:r>
          </w:p>
        </w:tc>
        <w:tc>
          <w:tcPr>
            <w:tcW w:w="708" w:type="dxa"/>
            <w:vAlign w:val="center"/>
          </w:tcPr>
          <w:p>
            <w:pPr>
              <w:jc w:val="center"/>
              <w:rPr>
                <w:rFonts w:eastAsiaTheme="minorEastAsia"/>
                <w:color w:val="auto"/>
                <w:sz w:val="21"/>
                <w:szCs w:val="21"/>
              </w:rPr>
            </w:pPr>
            <w:r>
              <w:rPr>
                <w:rFonts w:eastAsiaTheme="minorEastAsia"/>
                <w:color w:val="auto"/>
                <w:sz w:val="21"/>
                <w:szCs w:val="21"/>
              </w:rPr>
              <w:t>24.0</w:t>
            </w:r>
          </w:p>
        </w:tc>
        <w:tc>
          <w:tcPr>
            <w:tcW w:w="709" w:type="dxa"/>
            <w:vAlign w:val="center"/>
          </w:tcPr>
          <w:p>
            <w:pPr>
              <w:jc w:val="center"/>
              <w:rPr>
                <w:rFonts w:eastAsiaTheme="minorEastAsia"/>
                <w:color w:val="auto"/>
                <w:sz w:val="21"/>
                <w:szCs w:val="21"/>
              </w:rPr>
            </w:pPr>
            <w:r>
              <w:rPr>
                <w:rFonts w:eastAsiaTheme="minorEastAsia"/>
                <w:color w:val="auto"/>
                <w:sz w:val="21"/>
                <w:szCs w:val="21"/>
              </w:rPr>
              <w:t>6.92</w:t>
            </w:r>
          </w:p>
        </w:tc>
        <w:tc>
          <w:tcPr>
            <w:tcW w:w="851" w:type="dxa"/>
            <w:vAlign w:val="center"/>
          </w:tcPr>
          <w:p>
            <w:pPr>
              <w:jc w:val="center"/>
              <w:rPr>
                <w:rFonts w:eastAsiaTheme="minorEastAsia"/>
                <w:color w:val="auto"/>
                <w:sz w:val="21"/>
                <w:szCs w:val="21"/>
              </w:rPr>
            </w:pPr>
            <w:r>
              <w:rPr>
                <w:rFonts w:eastAsiaTheme="minorEastAsia"/>
                <w:color w:val="auto"/>
                <w:sz w:val="21"/>
                <w:szCs w:val="21"/>
              </w:rPr>
              <w:t>4.7</w:t>
            </w:r>
          </w:p>
        </w:tc>
        <w:tc>
          <w:tcPr>
            <w:tcW w:w="850" w:type="dxa"/>
            <w:vAlign w:val="center"/>
          </w:tcPr>
          <w:p>
            <w:pPr>
              <w:jc w:val="center"/>
              <w:rPr>
                <w:rFonts w:eastAsiaTheme="minorEastAsia"/>
                <w:color w:val="auto"/>
                <w:sz w:val="21"/>
                <w:szCs w:val="21"/>
              </w:rPr>
            </w:pPr>
            <w:r>
              <w:rPr>
                <w:rFonts w:eastAsiaTheme="minorEastAsia"/>
                <w:color w:val="auto"/>
                <w:sz w:val="21"/>
                <w:szCs w:val="21"/>
              </w:rPr>
              <w:t>0.57</w:t>
            </w:r>
          </w:p>
        </w:tc>
        <w:tc>
          <w:tcPr>
            <w:tcW w:w="851" w:type="dxa"/>
            <w:vAlign w:val="center"/>
          </w:tcPr>
          <w:p>
            <w:pPr>
              <w:jc w:val="center"/>
              <w:rPr>
                <w:rFonts w:eastAsiaTheme="minorEastAsia"/>
                <w:color w:val="auto"/>
                <w:sz w:val="21"/>
                <w:szCs w:val="21"/>
              </w:rPr>
            </w:pPr>
            <w:r>
              <w:rPr>
                <w:rFonts w:eastAsiaTheme="minorEastAsia"/>
                <w:color w:val="auto"/>
                <w:sz w:val="21"/>
                <w:szCs w:val="21"/>
              </w:rPr>
              <w:t>0.194</w:t>
            </w:r>
          </w:p>
        </w:tc>
        <w:tc>
          <w:tcPr>
            <w:tcW w:w="992" w:type="dxa"/>
            <w:vAlign w:val="center"/>
          </w:tcPr>
          <w:p>
            <w:pPr>
              <w:jc w:val="center"/>
              <w:rPr>
                <w:rFonts w:eastAsiaTheme="minorEastAsia"/>
                <w:color w:val="auto"/>
                <w:sz w:val="21"/>
                <w:szCs w:val="21"/>
              </w:rPr>
            </w:pPr>
            <w:r>
              <w:rPr>
                <w:rFonts w:eastAsiaTheme="minorEastAsia"/>
                <w:color w:val="auto"/>
                <w:sz w:val="21"/>
                <w:szCs w:val="21"/>
              </w:rPr>
              <w:t>2.4</w:t>
            </w:r>
          </w:p>
        </w:tc>
        <w:tc>
          <w:tcPr>
            <w:tcW w:w="992" w:type="dxa"/>
            <w:vAlign w:val="center"/>
          </w:tcPr>
          <w:p>
            <w:pPr>
              <w:jc w:val="center"/>
              <w:rPr>
                <w:rFonts w:eastAsiaTheme="minorEastAsia"/>
                <w:color w:val="auto"/>
                <w:sz w:val="21"/>
                <w:szCs w:val="21"/>
              </w:rPr>
            </w:pPr>
            <w:r>
              <w:rPr>
                <w:rFonts w:eastAsiaTheme="minorEastAsia"/>
                <w:color w:val="auto"/>
                <w:sz w:val="21"/>
                <w:szCs w:val="21"/>
              </w:rPr>
              <w:t>15</w:t>
            </w:r>
          </w:p>
        </w:tc>
        <w:tc>
          <w:tcPr>
            <w:tcW w:w="1122" w:type="dxa"/>
            <w:vAlign w:val="center"/>
          </w:tcPr>
          <w:p>
            <w:pPr>
              <w:jc w:val="center"/>
              <w:rPr>
                <w:rFonts w:eastAsiaTheme="minorEastAsia"/>
                <w:color w:val="auto"/>
                <w:sz w:val="21"/>
                <w:szCs w:val="21"/>
              </w:rPr>
            </w:pPr>
            <w:r>
              <w:rPr>
                <w:rFonts w:eastAsiaTheme="minorEastAsia"/>
                <w:color w:val="auto"/>
                <w:sz w:val="21"/>
                <w:szCs w:val="21"/>
              </w:rPr>
              <w:t>＜0.0003</w:t>
            </w:r>
          </w:p>
        </w:tc>
        <w:tc>
          <w:tcPr>
            <w:tcW w:w="939"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17.7</w:t>
            </w:r>
          </w:p>
        </w:tc>
        <w:tc>
          <w:tcPr>
            <w:tcW w:w="969" w:type="dxa"/>
            <w:vAlign w:val="center"/>
          </w:tcPr>
          <w:p>
            <w:pPr>
              <w:jc w:val="center"/>
              <w:rPr>
                <w:rFonts w:eastAsiaTheme="minorEastAsia"/>
                <w:color w:val="auto"/>
                <w:sz w:val="21"/>
                <w:szCs w:val="21"/>
              </w:rPr>
            </w:pPr>
            <w:r>
              <w:rPr>
                <w:rFonts w:eastAsiaTheme="minorEastAsia"/>
                <w:color w:val="auto"/>
                <w:sz w:val="21"/>
                <w:szCs w:val="21"/>
              </w:rPr>
              <w:t>＜0.004</w:t>
            </w:r>
          </w:p>
        </w:tc>
        <w:tc>
          <w:tcPr>
            <w:tcW w:w="851" w:type="dxa"/>
            <w:vAlign w:val="center"/>
          </w:tcPr>
          <w:p>
            <w:pPr>
              <w:jc w:val="center"/>
              <w:rPr>
                <w:rFonts w:eastAsiaTheme="minorEastAsia"/>
                <w:color w:val="auto"/>
                <w:sz w:val="21"/>
                <w:szCs w:val="21"/>
              </w:rPr>
            </w:pPr>
            <w:r>
              <w:rPr>
                <w:rFonts w:eastAsiaTheme="minorEastAsia"/>
                <w:color w:val="auto"/>
                <w:sz w:val="21"/>
                <w:szCs w:val="21"/>
              </w:rPr>
              <w:t>73.0</w:t>
            </w:r>
          </w:p>
        </w:tc>
        <w:tc>
          <w:tcPr>
            <w:tcW w:w="997" w:type="dxa"/>
            <w:vAlign w:val="center"/>
          </w:tcPr>
          <w:p>
            <w:pPr>
              <w:jc w:val="center"/>
              <w:rPr>
                <w:rFonts w:eastAsiaTheme="minorEastAsia"/>
                <w:color w:val="auto"/>
                <w:sz w:val="21"/>
                <w:szCs w:val="21"/>
              </w:rPr>
            </w:pPr>
            <w:r>
              <w:rPr>
                <w:rFonts w:eastAsiaTheme="minorEastAsia"/>
                <w:color w:val="auto"/>
                <w:sz w:val="21"/>
                <w:szCs w:val="21"/>
              </w:rPr>
              <w:t>＜0.004</w:t>
            </w:r>
          </w:p>
        </w:tc>
        <w:tc>
          <w:tcPr>
            <w:tcW w:w="736" w:type="dxa"/>
            <w:vAlign w:val="center"/>
          </w:tcPr>
          <w:p>
            <w:pPr>
              <w:jc w:val="center"/>
              <w:rPr>
                <w:rFonts w:eastAsiaTheme="minorEastAsia"/>
                <w:color w:val="auto"/>
                <w:sz w:val="21"/>
                <w:szCs w:val="21"/>
              </w:rPr>
            </w:pPr>
            <w:r>
              <w:rPr>
                <w:rFonts w:eastAsiaTheme="minorEastAsia"/>
                <w:color w:val="auto"/>
                <w:sz w:val="21"/>
                <w:szCs w:val="21"/>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464" w:type="dxa"/>
            <w:gridSpan w:val="2"/>
            <w:vMerge w:val="continue"/>
            <w:vAlign w:val="center"/>
          </w:tcPr>
          <w:p>
            <w:pPr>
              <w:jc w:val="center"/>
              <w:rPr>
                <w:rFonts w:eastAsiaTheme="minorEastAsia"/>
                <w:color w:val="auto"/>
                <w:sz w:val="21"/>
                <w:szCs w:val="21"/>
              </w:rPr>
            </w:pPr>
          </w:p>
        </w:tc>
        <w:tc>
          <w:tcPr>
            <w:tcW w:w="812" w:type="dxa"/>
            <w:vAlign w:val="center"/>
          </w:tcPr>
          <w:p>
            <w:pPr>
              <w:jc w:val="center"/>
              <w:rPr>
                <w:rFonts w:eastAsiaTheme="minorEastAsia"/>
                <w:color w:val="auto"/>
                <w:sz w:val="21"/>
                <w:szCs w:val="21"/>
              </w:rPr>
            </w:pPr>
            <w:r>
              <w:rPr>
                <w:rFonts w:eastAsiaTheme="minorEastAsia"/>
                <w:color w:val="auto"/>
                <w:sz w:val="21"/>
                <w:szCs w:val="21"/>
              </w:rPr>
              <w:t>2019.3.26</w:t>
            </w:r>
          </w:p>
        </w:tc>
        <w:tc>
          <w:tcPr>
            <w:tcW w:w="708" w:type="dxa"/>
            <w:vAlign w:val="center"/>
          </w:tcPr>
          <w:p>
            <w:pPr>
              <w:jc w:val="center"/>
              <w:rPr>
                <w:rFonts w:eastAsiaTheme="minorEastAsia"/>
                <w:color w:val="auto"/>
                <w:sz w:val="21"/>
                <w:szCs w:val="21"/>
              </w:rPr>
            </w:pPr>
            <w:r>
              <w:rPr>
                <w:rFonts w:eastAsiaTheme="minorEastAsia"/>
                <w:color w:val="auto"/>
                <w:sz w:val="21"/>
                <w:szCs w:val="21"/>
              </w:rPr>
              <w:t>23.6</w:t>
            </w:r>
          </w:p>
        </w:tc>
        <w:tc>
          <w:tcPr>
            <w:tcW w:w="709" w:type="dxa"/>
            <w:vAlign w:val="center"/>
          </w:tcPr>
          <w:p>
            <w:pPr>
              <w:jc w:val="center"/>
              <w:rPr>
                <w:rFonts w:eastAsiaTheme="minorEastAsia"/>
                <w:color w:val="auto"/>
                <w:sz w:val="21"/>
                <w:szCs w:val="21"/>
              </w:rPr>
            </w:pPr>
            <w:r>
              <w:rPr>
                <w:rFonts w:eastAsiaTheme="minorEastAsia"/>
                <w:color w:val="auto"/>
                <w:sz w:val="21"/>
                <w:szCs w:val="21"/>
              </w:rPr>
              <w:t>6.95</w:t>
            </w:r>
          </w:p>
        </w:tc>
        <w:tc>
          <w:tcPr>
            <w:tcW w:w="851" w:type="dxa"/>
            <w:vAlign w:val="center"/>
          </w:tcPr>
          <w:p>
            <w:pPr>
              <w:jc w:val="center"/>
              <w:rPr>
                <w:rFonts w:eastAsiaTheme="minorEastAsia"/>
                <w:color w:val="auto"/>
                <w:sz w:val="21"/>
                <w:szCs w:val="21"/>
              </w:rPr>
            </w:pPr>
            <w:r>
              <w:rPr>
                <w:rFonts w:eastAsiaTheme="minorEastAsia"/>
                <w:color w:val="auto"/>
                <w:sz w:val="21"/>
                <w:szCs w:val="21"/>
              </w:rPr>
              <w:t>4.6</w:t>
            </w:r>
          </w:p>
        </w:tc>
        <w:tc>
          <w:tcPr>
            <w:tcW w:w="850" w:type="dxa"/>
            <w:vAlign w:val="center"/>
          </w:tcPr>
          <w:p>
            <w:pPr>
              <w:jc w:val="center"/>
              <w:rPr>
                <w:rFonts w:eastAsiaTheme="minorEastAsia"/>
                <w:color w:val="auto"/>
                <w:sz w:val="21"/>
                <w:szCs w:val="21"/>
              </w:rPr>
            </w:pPr>
            <w:r>
              <w:rPr>
                <w:rFonts w:eastAsiaTheme="minorEastAsia"/>
                <w:color w:val="auto"/>
                <w:sz w:val="21"/>
                <w:szCs w:val="21"/>
              </w:rPr>
              <w:t>0.58</w:t>
            </w:r>
          </w:p>
        </w:tc>
        <w:tc>
          <w:tcPr>
            <w:tcW w:w="851" w:type="dxa"/>
            <w:vAlign w:val="center"/>
          </w:tcPr>
          <w:p>
            <w:pPr>
              <w:jc w:val="center"/>
              <w:rPr>
                <w:rFonts w:eastAsiaTheme="minorEastAsia"/>
                <w:color w:val="auto"/>
                <w:sz w:val="21"/>
                <w:szCs w:val="21"/>
              </w:rPr>
            </w:pPr>
            <w:r>
              <w:rPr>
                <w:rFonts w:eastAsiaTheme="minorEastAsia"/>
                <w:color w:val="auto"/>
                <w:sz w:val="21"/>
                <w:szCs w:val="21"/>
              </w:rPr>
              <w:t>0.228</w:t>
            </w:r>
          </w:p>
        </w:tc>
        <w:tc>
          <w:tcPr>
            <w:tcW w:w="992" w:type="dxa"/>
            <w:vAlign w:val="center"/>
          </w:tcPr>
          <w:p>
            <w:pPr>
              <w:jc w:val="center"/>
              <w:rPr>
                <w:rFonts w:eastAsiaTheme="minorEastAsia"/>
                <w:color w:val="auto"/>
                <w:sz w:val="21"/>
                <w:szCs w:val="21"/>
              </w:rPr>
            </w:pPr>
            <w:r>
              <w:rPr>
                <w:rFonts w:eastAsiaTheme="minorEastAsia"/>
                <w:color w:val="auto"/>
                <w:sz w:val="21"/>
                <w:szCs w:val="21"/>
              </w:rPr>
              <w:t>2.5</w:t>
            </w:r>
          </w:p>
        </w:tc>
        <w:tc>
          <w:tcPr>
            <w:tcW w:w="992" w:type="dxa"/>
            <w:vAlign w:val="center"/>
          </w:tcPr>
          <w:p>
            <w:pPr>
              <w:jc w:val="center"/>
              <w:rPr>
                <w:rFonts w:eastAsiaTheme="minorEastAsia"/>
                <w:color w:val="auto"/>
                <w:sz w:val="21"/>
                <w:szCs w:val="21"/>
              </w:rPr>
            </w:pPr>
            <w:r>
              <w:rPr>
                <w:rFonts w:eastAsiaTheme="minorEastAsia"/>
                <w:color w:val="auto"/>
                <w:sz w:val="21"/>
                <w:szCs w:val="21"/>
              </w:rPr>
              <w:t>17</w:t>
            </w:r>
          </w:p>
        </w:tc>
        <w:tc>
          <w:tcPr>
            <w:tcW w:w="1122" w:type="dxa"/>
            <w:vAlign w:val="center"/>
          </w:tcPr>
          <w:p>
            <w:pPr>
              <w:jc w:val="center"/>
              <w:rPr>
                <w:rFonts w:eastAsiaTheme="minorEastAsia"/>
                <w:color w:val="auto"/>
                <w:sz w:val="21"/>
                <w:szCs w:val="21"/>
              </w:rPr>
            </w:pPr>
            <w:r>
              <w:rPr>
                <w:rFonts w:eastAsiaTheme="minorEastAsia"/>
                <w:color w:val="auto"/>
                <w:sz w:val="21"/>
                <w:szCs w:val="21"/>
              </w:rPr>
              <w:t>＜0.0003</w:t>
            </w:r>
          </w:p>
        </w:tc>
        <w:tc>
          <w:tcPr>
            <w:tcW w:w="939"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19.6</w:t>
            </w:r>
          </w:p>
        </w:tc>
        <w:tc>
          <w:tcPr>
            <w:tcW w:w="969" w:type="dxa"/>
            <w:vAlign w:val="center"/>
          </w:tcPr>
          <w:p>
            <w:pPr>
              <w:jc w:val="center"/>
              <w:rPr>
                <w:rFonts w:eastAsiaTheme="minorEastAsia"/>
                <w:color w:val="auto"/>
                <w:sz w:val="21"/>
                <w:szCs w:val="21"/>
              </w:rPr>
            </w:pPr>
            <w:r>
              <w:rPr>
                <w:rFonts w:eastAsiaTheme="minorEastAsia"/>
                <w:color w:val="auto"/>
                <w:sz w:val="21"/>
                <w:szCs w:val="21"/>
              </w:rPr>
              <w:t>＜0.004</w:t>
            </w:r>
          </w:p>
        </w:tc>
        <w:tc>
          <w:tcPr>
            <w:tcW w:w="851" w:type="dxa"/>
            <w:vAlign w:val="center"/>
          </w:tcPr>
          <w:p>
            <w:pPr>
              <w:jc w:val="center"/>
              <w:rPr>
                <w:rFonts w:eastAsiaTheme="minorEastAsia"/>
                <w:color w:val="auto"/>
                <w:sz w:val="21"/>
                <w:szCs w:val="21"/>
              </w:rPr>
            </w:pPr>
            <w:r>
              <w:rPr>
                <w:rFonts w:eastAsiaTheme="minorEastAsia"/>
                <w:color w:val="auto"/>
                <w:sz w:val="21"/>
                <w:szCs w:val="21"/>
              </w:rPr>
              <w:t>83.7</w:t>
            </w:r>
          </w:p>
        </w:tc>
        <w:tc>
          <w:tcPr>
            <w:tcW w:w="997" w:type="dxa"/>
            <w:vAlign w:val="center"/>
          </w:tcPr>
          <w:p>
            <w:pPr>
              <w:jc w:val="center"/>
              <w:rPr>
                <w:rFonts w:eastAsiaTheme="minorEastAsia"/>
                <w:color w:val="auto"/>
                <w:sz w:val="21"/>
                <w:szCs w:val="21"/>
              </w:rPr>
            </w:pPr>
            <w:r>
              <w:rPr>
                <w:rFonts w:eastAsiaTheme="minorEastAsia"/>
                <w:color w:val="auto"/>
                <w:sz w:val="21"/>
                <w:szCs w:val="21"/>
              </w:rPr>
              <w:t>＜0.004</w:t>
            </w:r>
          </w:p>
        </w:tc>
        <w:tc>
          <w:tcPr>
            <w:tcW w:w="736" w:type="dxa"/>
            <w:vAlign w:val="center"/>
          </w:tcPr>
          <w:p>
            <w:pPr>
              <w:jc w:val="center"/>
              <w:rPr>
                <w:rFonts w:eastAsiaTheme="minorEastAsia"/>
                <w:color w:val="auto"/>
                <w:sz w:val="21"/>
                <w:szCs w:val="21"/>
              </w:rPr>
            </w:pPr>
            <w:r>
              <w:rPr>
                <w:rFonts w:eastAsiaTheme="minorEastAsia"/>
                <w:color w:val="auto"/>
                <w:sz w:val="21"/>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464" w:type="dxa"/>
            <w:gridSpan w:val="2"/>
            <w:vMerge w:val="continue"/>
            <w:vAlign w:val="center"/>
          </w:tcPr>
          <w:p>
            <w:pPr>
              <w:jc w:val="center"/>
              <w:rPr>
                <w:rFonts w:eastAsiaTheme="minorEastAsia"/>
                <w:color w:val="auto"/>
                <w:sz w:val="21"/>
                <w:szCs w:val="21"/>
              </w:rPr>
            </w:pPr>
          </w:p>
        </w:tc>
        <w:tc>
          <w:tcPr>
            <w:tcW w:w="812" w:type="dxa"/>
            <w:vAlign w:val="center"/>
          </w:tcPr>
          <w:p>
            <w:pPr>
              <w:jc w:val="center"/>
              <w:rPr>
                <w:rFonts w:eastAsiaTheme="minorEastAsia"/>
                <w:color w:val="auto"/>
                <w:sz w:val="21"/>
                <w:szCs w:val="21"/>
              </w:rPr>
            </w:pPr>
            <w:r>
              <w:rPr>
                <w:rFonts w:eastAsiaTheme="minorEastAsia"/>
                <w:color w:val="auto"/>
                <w:sz w:val="21"/>
                <w:szCs w:val="21"/>
              </w:rPr>
              <w:t>2019.3.27</w:t>
            </w:r>
          </w:p>
        </w:tc>
        <w:tc>
          <w:tcPr>
            <w:tcW w:w="708" w:type="dxa"/>
            <w:vAlign w:val="center"/>
          </w:tcPr>
          <w:p>
            <w:pPr>
              <w:jc w:val="center"/>
              <w:rPr>
                <w:rFonts w:eastAsiaTheme="minorEastAsia"/>
                <w:color w:val="auto"/>
                <w:sz w:val="21"/>
                <w:szCs w:val="21"/>
              </w:rPr>
            </w:pPr>
            <w:r>
              <w:rPr>
                <w:rFonts w:eastAsiaTheme="minorEastAsia"/>
                <w:color w:val="auto"/>
                <w:sz w:val="21"/>
                <w:szCs w:val="21"/>
              </w:rPr>
              <w:t>24.4</w:t>
            </w:r>
          </w:p>
        </w:tc>
        <w:tc>
          <w:tcPr>
            <w:tcW w:w="709" w:type="dxa"/>
            <w:vAlign w:val="center"/>
          </w:tcPr>
          <w:p>
            <w:pPr>
              <w:jc w:val="center"/>
              <w:rPr>
                <w:rFonts w:eastAsiaTheme="minorEastAsia"/>
                <w:color w:val="auto"/>
                <w:sz w:val="21"/>
                <w:szCs w:val="21"/>
              </w:rPr>
            </w:pPr>
            <w:r>
              <w:rPr>
                <w:rFonts w:eastAsiaTheme="minorEastAsia"/>
                <w:color w:val="auto"/>
                <w:sz w:val="21"/>
                <w:szCs w:val="21"/>
              </w:rPr>
              <w:t>7.17</w:t>
            </w:r>
          </w:p>
        </w:tc>
        <w:tc>
          <w:tcPr>
            <w:tcW w:w="851" w:type="dxa"/>
            <w:vAlign w:val="center"/>
          </w:tcPr>
          <w:p>
            <w:pPr>
              <w:jc w:val="center"/>
              <w:rPr>
                <w:rFonts w:eastAsiaTheme="minorEastAsia"/>
                <w:color w:val="auto"/>
                <w:sz w:val="21"/>
                <w:szCs w:val="21"/>
              </w:rPr>
            </w:pPr>
            <w:r>
              <w:rPr>
                <w:rFonts w:eastAsiaTheme="minorEastAsia"/>
                <w:color w:val="auto"/>
                <w:sz w:val="21"/>
                <w:szCs w:val="21"/>
              </w:rPr>
              <w:t>4.8</w:t>
            </w:r>
          </w:p>
        </w:tc>
        <w:tc>
          <w:tcPr>
            <w:tcW w:w="850" w:type="dxa"/>
            <w:vAlign w:val="center"/>
          </w:tcPr>
          <w:p>
            <w:pPr>
              <w:jc w:val="center"/>
              <w:rPr>
                <w:rFonts w:eastAsiaTheme="minorEastAsia"/>
                <w:color w:val="auto"/>
                <w:sz w:val="21"/>
                <w:szCs w:val="21"/>
              </w:rPr>
            </w:pPr>
            <w:r>
              <w:rPr>
                <w:rFonts w:eastAsiaTheme="minorEastAsia"/>
                <w:color w:val="auto"/>
                <w:sz w:val="21"/>
                <w:szCs w:val="21"/>
              </w:rPr>
              <w:t>0.60</w:t>
            </w:r>
          </w:p>
        </w:tc>
        <w:tc>
          <w:tcPr>
            <w:tcW w:w="851" w:type="dxa"/>
            <w:vAlign w:val="center"/>
          </w:tcPr>
          <w:p>
            <w:pPr>
              <w:jc w:val="center"/>
              <w:rPr>
                <w:rFonts w:eastAsiaTheme="minorEastAsia"/>
                <w:color w:val="auto"/>
                <w:sz w:val="21"/>
                <w:szCs w:val="21"/>
              </w:rPr>
            </w:pPr>
            <w:r>
              <w:rPr>
                <w:rFonts w:eastAsiaTheme="minorEastAsia"/>
                <w:color w:val="auto"/>
                <w:sz w:val="21"/>
                <w:szCs w:val="21"/>
              </w:rPr>
              <w:t>0.188</w:t>
            </w:r>
          </w:p>
        </w:tc>
        <w:tc>
          <w:tcPr>
            <w:tcW w:w="992" w:type="dxa"/>
            <w:vAlign w:val="center"/>
          </w:tcPr>
          <w:p>
            <w:pPr>
              <w:jc w:val="center"/>
              <w:rPr>
                <w:rFonts w:eastAsiaTheme="minorEastAsia"/>
                <w:color w:val="auto"/>
                <w:sz w:val="21"/>
                <w:szCs w:val="21"/>
              </w:rPr>
            </w:pPr>
            <w:r>
              <w:rPr>
                <w:rFonts w:eastAsiaTheme="minorEastAsia"/>
                <w:color w:val="auto"/>
                <w:sz w:val="21"/>
                <w:szCs w:val="21"/>
              </w:rPr>
              <w:t>2.4</w:t>
            </w:r>
          </w:p>
        </w:tc>
        <w:tc>
          <w:tcPr>
            <w:tcW w:w="992" w:type="dxa"/>
            <w:vAlign w:val="center"/>
          </w:tcPr>
          <w:p>
            <w:pPr>
              <w:jc w:val="center"/>
              <w:rPr>
                <w:rFonts w:eastAsiaTheme="minorEastAsia"/>
                <w:color w:val="auto"/>
                <w:sz w:val="21"/>
                <w:szCs w:val="21"/>
              </w:rPr>
            </w:pPr>
            <w:r>
              <w:rPr>
                <w:rFonts w:eastAsiaTheme="minorEastAsia"/>
                <w:color w:val="auto"/>
                <w:sz w:val="21"/>
                <w:szCs w:val="21"/>
              </w:rPr>
              <w:t>13</w:t>
            </w:r>
          </w:p>
        </w:tc>
        <w:tc>
          <w:tcPr>
            <w:tcW w:w="1122" w:type="dxa"/>
            <w:vAlign w:val="center"/>
          </w:tcPr>
          <w:p>
            <w:pPr>
              <w:jc w:val="center"/>
              <w:rPr>
                <w:rFonts w:eastAsiaTheme="minorEastAsia"/>
                <w:color w:val="auto"/>
                <w:sz w:val="21"/>
                <w:szCs w:val="21"/>
              </w:rPr>
            </w:pPr>
            <w:r>
              <w:rPr>
                <w:rFonts w:eastAsiaTheme="minorEastAsia"/>
                <w:color w:val="auto"/>
                <w:sz w:val="21"/>
                <w:szCs w:val="21"/>
              </w:rPr>
              <w:t>＜0.0003</w:t>
            </w:r>
          </w:p>
        </w:tc>
        <w:tc>
          <w:tcPr>
            <w:tcW w:w="939"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18.6</w:t>
            </w:r>
          </w:p>
        </w:tc>
        <w:tc>
          <w:tcPr>
            <w:tcW w:w="969" w:type="dxa"/>
            <w:vAlign w:val="center"/>
          </w:tcPr>
          <w:p>
            <w:pPr>
              <w:jc w:val="center"/>
              <w:rPr>
                <w:rFonts w:eastAsiaTheme="minorEastAsia"/>
                <w:color w:val="auto"/>
                <w:sz w:val="21"/>
                <w:szCs w:val="21"/>
              </w:rPr>
            </w:pPr>
            <w:r>
              <w:rPr>
                <w:rFonts w:eastAsiaTheme="minorEastAsia"/>
                <w:color w:val="auto"/>
                <w:sz w:val="21"/>
                <w:szCs w:val="21"/>
              </w:rPr>
              <w:t>＜0.004</w:t>
            </w:r>
          </w:p>
        </w:tc>
        <w:tc>
          <w:tcPr>
            <w:tcW w:w="851" w:type="dxa"/>
            <w:vAlign w:val="center"/>
          </w:tcPr>
          <w:p>
            <w:pPr>
              <w:jc w:val="center"/>
              <w:rPr>
                <w:rFonts w:eastAsiaTheme="minorEastAsia"/>
                <w:color w:val="auto"/>
                <w:sz w:val="21"/>
                <w:szCs w:val="21"/>
              </w:rPr>
            </w:pPr>
            <w:r>
              <w:rPr>
                <w:rFonts w:eastAsiaTheme="minorEastAsia"/>
                <w:color w:val="auto"/>
                <w:sz w:val="21"/>
                <w:szCs w:val="21"/>
              </w:rPr>
              <w:t>79.1</w:t>
            </w:r>
          </w:p>
        </w:tc>
        <w:tc>
          <w:tcPr>
            <w:tcW w:w="997" w:type="dxa"/>
            <w:vAlign w:val="center"/>
          </w:tcPr>
          <w:p>
            <w:pPr>
              <w:jc w:val="center"/>
              <w:rPr>
                <w:rFonts w:eastAsiaTheme="minorEastAsia"/>
                <w:color w:val="auto"/>
                <w:sz w:val="21"/>
                <w:szCs w:val="21"/>
              </w:rPr>
            </w:pPr>
            <w:r>
              <w:rPr>
                <w:rFonts w:eastAsiaTheme="minorEastAsia"/>
                <w:color w:val="auto"/>
                <w:sz w:val="21"/>
                <w:szCs w:val="21"/>
              </w:rPr>
              <w:t>＜0.004</w:t>
            </w:r>
          </w:p>
        </w:tc>
        <w:tc>
          <w:tcPr>
            <w:tcW w:w="736" w:type="dxa"/>
            <w:vAlign w:val="center"/>
          </w:tcPr>
          <w:p>
            <w:pPr>
              <w:jc w:val="center"/>
              <w:rPr>
                <w:rFonts w:eastAsiaTheme="minorEastAsia"/>
                <w:color w:val="auto"/>
                <w:sz w:val="21"/>
                <w:szCs w:val="21"/>
              </w:rPr>
            </w:pPr>
            <w:r>
              <w:rPr>
                <w:rFonts w:eastAsiaTheme="minorEastAsia"/>
                <w:color w:val="auto"/>
                <w:sz w:val="21"/>
                <w:szCs w:val="21"/>
              </w:rPr>
              <w:t>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超标率</w:t>
            </w:r>
            <w:r>
              <w:rPr>
                <w:rFonts w:hint="eastAsia" w:eastAsiaTheme="minorEastAsia"/>
                <w:color w:val="auto"/>
                <w:sz w:val="21"/>
                <w:szCs w:val="21"/>
                <w:lang w:eastAsia="zh-CN"/>
              </w:rPr>
              <w:t>（</w:t>
            </w:r>
            <w:r>
              <w:rPr>
                <w:rFonts w:hint="eastAsia" w:eastAsiaTheme="minorEastAsia"/>
                <w:color w:val="auto"/>
                <w:sz w:val="21"/>
                <w:szCs w:val="21"/>
                <w:lang w:val="en-US" w:eastAsia="zh-CN"/>
              </w:rPr>
              <w:t>%</w:t>
            </w:r>
            <w:r>
              <w:rPr>
                <w:rFonts w:hint="eastAsia" w:eastAsiaTheme="minorEastAsia"/>
                <w:color w:val="auto"/>
                <w:sz w:val="21"/>
                <w:szCs w:val="21"/>
                <w:lang w:eastAsia="zh-CN"/>
              </w:rPr>
              <w:t>）</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100</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1122"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6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7" w:type="dxa"/>
            <w:vAlign w:val="center"/>
          </w:tcPr>
          <w:p>
            <w:pPr>
              <w:jc w:val="center"/>
              <w:rPr>
                <w:rFonts w:eastAsiaTheme="minorEastAsia"/>
                <w:color w:val="auto"/>
                <w:sz w:val="21"/>
                <w:szCs w:val="21"/>
              </w:rPr>
            </w:pPr>
            <w:r>
              <w:rPr>
                <w:rFonts w:eastAsiaTheme="minorEastAsia"/>
                <w:color w:val="auto"/>
                <w:sz w:val="21"/>
                <w:szCs w:val="21"/>
              </w:rPr>
              <w:t>0</w:t>
            </w:r>
          </w:p>
        </w:tc>
        <w:tc>
          <w:tcPr>
            <w:tcW w:w="736"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最大超标倍数</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0.08</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992" w:type="dxa"/>
            <w:vAlign w:val="center"/>
          </w:tcPr>
          <w:p>
            <w:pPr>
              <w:jc w:val="center"/>
              <w:rPr>
                <w:rFonts w:eastAsiaTheme="minorEastAsia"/>
                <w:color w:val="auto"/>
                <w:sz w:val="21"/>
                <w:szCs w:val="21"/>
              </w:rPr>
            </w:pPr>
            <w:r>
              <w:rPr>
                <w:rFonts w:eastAsiaTheme="minorEastAsia"/>
                <w:color w:val="auto"/>
                <w:sz w:val="21"/>
                <w:szCs w:val="21"/>
              </w:rPr>
              <w:t>0</w:t>
            </w:r>
          </w:p>
        </w:tc>
        <w:tc>
          <w:tcPr>
            <w:tcW w:w="1122"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39" w:type="dxa"/>
            <w:vAlign w:val="center"/>
          </w:tcPr>
          <w:p>
            <w:pPr>
              <w:jc w:val="center"/>
              <w:rPr>
                <w:rFonts w:eastAsiaTheme="minorEastAsia"/>
                <w:color w:val="auto"/>
                <w:sz w:val="21"/>
                <w:szCs w:val="21"/>
              </w:rPr>
            </w:pPr>
            <w:r>
              <w:rPr>
                <w:rFonts w:eastAsiaTheme="minorEastAsia"/>
                <w:color w:val="auto"/>
                <w:sz w:val="21"/>
                <w:szCs w:val="21"/>
              </w:rPr>
              <w:t>0</w:t>
            </w:r>
          </w:p>
        </w:tc>
        <w:tc>
          <w:tcPr>
            <w:tcW w:w="969"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997" w:type="dxa"/>
            <w:vAlign w:val="center"/>
          </w:tcPr>
          <w:p>
            <w:pPr>
              <w:jc w:val="center"/>
              <w:rPr>
                <w:rFonts w:eastAsiaTheme="minorEastAsia"/>
                <w:color w:val="auto"/>
                <w:sz w:val="21"/>
                <w:szCs w:val="21"/>
              </w:rPr>
            </w:pPr>
            <w:r>
              <w:rPr>
                <w:rFonts w:eastAsiaTheme="minorEastAsia"/>
                <w:color w:val="auto"/>
                <w:sz w:val="21"/>
                <w:szCs w:val="21"/>
              </w:rPr>
              <w:t>0</w:t>
            </w:r>
          </w:p>
        </w:tc>
        <w:tc>
          <w:tcPr>
            <w:tcW w:w="736"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最大单因子指数</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0.08</w:t>
            </w:r>
          </w:p>
        </w:tc>
        <w:tc>
          <w:tcPr>
            <w:tcW w:w="851" w:type="dxa"/>
            <w:vAlign w:val="center"/>
          </w:tcPr>
          <w:p>
            <w:pPr>
              <w:jc w:val="center"/>
              <w:rPr>
                <w:rFonts w:eastAsiaTheme="minorEastAsia"/>
                <w:color w:val="auto"/>
                <w:sz w:val="21"/>
                <w:szCs w:val="21"/>
              </w:rPr>
            </w:pPr>
            <w:r>
              <w:rPr>
                <w:rFonts w:eastAsiaTheme="minorEastAsia"/>
                <w:color w:val="auto"/>
                <w:sz w:val="21"/>
                <w:szCs w:val="21"/>
              </w:rPr>
              <w:t>1.09</w:t>
            </w:r>
          </w:p>
        </w:tc>
        <w:tc>
          <w:tcPr>
            <w:tcW w:w="850" w:type="dxa"/>
            <w:vAlign w:val="center"/>
          </w:tcPr>
          <w:p>
            <w:pPr>
              <w:jc w:val="center"/>
              <w:rPr>
                <w:rFonts w:eastAsiaTheme="minorEastAsia"/>
                <w:color w:val="auto"/>
                <w:sz w:val="21"/>
                <w:szCs w:val="21"/>
              </w:rPr>
            </w:pPr>
            <w:r>
              <w:rPr>
                <w:rFonts w:eastAsiaTheme="minorEastAsia"/>
                <w:color w:val="auto"/>
                <w:sz w:val="21"/>
                <w:szCs w:val="21"/>
              </w:rPr>
              <w:t>0.60</w:t>
            </w:r>
          </w:p>
        </w:tc>
        <w:tc>
          <w:tcPr>
            <w:tcW w:w="851" w:type="dxa"/>
            <w:vAlign w:val="center"/>
          </w:tcPr>
          <w:p>
            <w:pPr>
              <w:jc w:val="center"/>
              <w:rPr>
                <w:rFonts w:eastAsiaTheme="minorEastAsia"/>
                <w:color w:val="auto"/>
                <w:sz w:val="21"/>
                <w:szCs w:val="21"/>
              </w:rPr>
            </w:pPr>
            <w:r>
              <w:rPr>
                <w:rFonts w:eastAsiaTheme="minorEastAsia"/>
                <w:color w:val="auto"/>
                <w:sz w:val="21"/>
                <w:szCs w:val="21"/>
              </w:rPr>
              <w:t>0.23</w:t>
            </w:r>
          </w:p>
        </w:tc>
        <w:tc>
          <w:tcPr>
            <w:tcW w:w="992" w:type="dxa"/>
            <w:vAlign w:val="center"/>
          </w:tcPr>
          <w:p>
            <w:pPr>
              <w:jc w:val="center"/>
              <w:rPr>
                <w:rFonts w:eastAsiaTheme="minorEastAsia"/>
                <w:color w:val="auto"/>
                <w:sz w:val="21"/>
                <w:szCs w:val="21"/>
              </w:rPr>
            </w:pPr>
            <w:r>
              <w:rPr>
                <w:rFonts w:eastAsiaTheme="minorEastAsia"/>
                <w:color w:val="auto"/>
                <w:sz w:val="21"/>
                <w:szCs w:val="21"/>
              </w:rPr>
              <w:t>0.42</w:t>
            </w:r>
          </w:p>
        </w:tc>
        <w:tc>
          <w:tcPr>
            <w:tcW w:w="992" w:type="dxa"/>
            <w:vAlign w:val="center"/>
          </w:tcPr>
          <w:p>
            <w:pPr>
              <w:jc w:val="center"/>
              <w:rPr>
                <w:rFonts w:eastAsiaTheme="minorEastAsia"/>
                <w:color w:val="auto"/>
                <w:sz w:val="21"/>
                <w:szCs w:val="21"/>
              </w:rPr>
            </w:pPr>
            <w:r>
              <w:rPr>
                <w:rFonts w:eastAsiaTheme="minorEastAsia"/>
                <w:color w:val="auto"/>
                <w:sz w:val="21"/>
                <w:szCs w:val="21"/>
              </w:rPr>
              <w:t>0.85</w:t>
            </w:r>
          </w:p>
        </w:tc>
        <w:tc>
          <w:tcPr>
            <w:tcW w:w="1122" w:type="dxa"/>
            <w:vAlign w:val="center"/>
          </w:tcPr>
          <w:p>
            <w:pPr>
              <w:jc w:val="center"/>
              <w:rPr>
                <w:rFonts w:eastAsiaTheme="minorEastAsia"/>
                <w:color w:val="auto"/>
                <w:sz w:val="21"/>
                <w:szCs w:val="21"/>
              </w:rPr>
            </w:pPr>
            <w:r>
              <w:rPr>
                <w:rFonts w:eastAsiaTheme="minorEastAsia"/>
                <w:color w:val="auto"/>
                <w:sz w:val="21"/>
                <w:szCs w:val="21"/>
              </w:rPr>
              <w:t>/</w:t>
            </w:r>
          </w:p>
        </w:tc>
        <w:tc>
          <w:tcPr>
            <w:tcW w:w="939" w:type="dxa"/>
            <w:vAlign w:val="center"/>
          </w:tcPr>
          <w:p>
            <w:pPr>
              <w:jc w:val="center"/>
              <w:rPr>
                <w:rFonts w:eastAsiaTheme="minorEastAsia"/>
                <w:color w:val="auto"/>
                <w:sz w:val="21"/>
                <w:szCs w:val="21"/>
              </w:rPr>
            </w:pPr>
            <w:r>
              <w:rPr>
                <w:rFonts w:eastAsiaTheme="minorEastAsia"/>
                <w:color w:val="auto"/>
                <w:sz w:val="21"/>
                <w:szCs w:val="21"/>
              </w:rPr>
              <w:t>/</w:t>
            </w:r>
          </w:p>
        </w:tc>
        <w:tc>
          <w:tcPr>
            <w:tcW w:w="939" w:type="dxa"/>
            <w:vAlign w:val="center"/>
          </w:tcPr>
          <w:p>
            <w:pPr>
              <w:jc w:val="center"/>
              <w:rPr>
                <w:rFonts w:eastAsiaTheme="minorEastAsia"/>
                <w:color w:val="auto"/>
                <w:sz w:val="21"/>
                <w:szCs w:val="21"/>
              </w:rPr>
            </w:pPr>
            <w:r>
              <w:rPr>
                <w:rFonts w:eastAsiaTheme="minorEastAsia"/>
                <w:color w:val="auto"/>
                <w:sz w:val="21"/>
                <w:szCs w:val="21"/>
              </w:rPr>
              <w:t>0.08</w:t>
            </w:r>
          </w:p>
        </w:tc>
        <w:tc>
          <w:tcPr>
            <w:tcW w:w="969"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0.33</w:t>
            </w:r>
          </w:p>
        </w:tc>
        <w:tc>
          <w:tcPr>
            <w:tcW w:w="997" w:type="dxa"/>
            <w:vAlign w:val="center"/>
          </w:tcPr>
          <w:p>
            <w:pPr>
              <w:jc w:val="center"/>
              <w:rPr>
                <w:rFonts w:eastAsiaTheme="minorEastAsia"/>
                <w:color w:val="auto"/>
                <w:sz w:val="21"/>
                <w:szCs w:val="21"/>
              </w:rPr>
            </w:pPr>
            <w:r>
              <w:rPr>
                <w:rFonts w:eastAsiaTheme="minorEastAsia"/>
                <w:color w:val="auto"/>
                <w:sz w:val="21"/>
                <w:szCs w:val="21"/>
              </w:rPr>
              <w:t>/</w:t>
            </w:r>
          </w:p>
        </w:tc>
        <w:tc>
          <w:tcPr>
            <w:tcW w:w="736" w:type="dxa"/>
            <w:vAlign w:val="center"/>
          </w:tcPr>
          <w:p>
            <w:pPr>
              <w:jc w:val="center"/>
              <w:rPr>
                <w:rFonts w:eastAsiaTheme="minorEastAsia"/>
                <w:color w:val="auto"/>
                <w:sz w:val="21"/>
                <w:szCs w:val="21"/>
              </w:rPr>
            </w:pPr>
            <w:r>
              <w:rPr>
                <w:rFonts w:eastAsiaTheme="minorEastAsia"/>
                <w:color w:val="auto"/>
                <w:sz w:val="21"/>
                <w:szCs w:val="21"/>
              </w:rPr>
              <w:t>0.35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eastAsiaTheme="minorEastAsia"/>
                <w:color w:val="auto"/>
                <w:sz w:val="21"/>
                <w:szCs w:val="21"/>
              </w:rPr>
              <w:t>标准值（mg/L）</w:t>
            </w:r>
          </w:p>
        </w:tc>
        <w:tc>
          <w:tcPr>
            <w:tcW w:w="708" w:type="dxa"/>
            <w:vAlign w:val="center"/>
          </w:tcPr>
          <w:p>
            <w:pPr>
              <w:jc w:val="center"/>
              <w:rPr>
                <w:rFonts w:eastAsiaTheme="minorEastAsia"/>
                <w:color w:val="auto"/>
                <w:sz w:val="21"/>
                <w:szCs w:val="21"/>
              </w:rPr>
            </w:pPr>
            <w:r>
              <w:rPr>
                <w:rFonts w:eastAsiaTheme="minorEastAsia"/>
                <w:color w:val="auto"/>
                <w:sz w:val="21"/>
                <w:szCs w:val="21"/>
              </w:rPr>
              <w:t>---</w:t>
            </w:r>
          </w:p>
        </w:tc>
        <w:tc>
          <w:tcPr>
            <w:tcW w:w="709" w:type="dxa"/>
            <w:vAlign w:val="center"/>
          </w:tcPr>
          <w:p>
            <w:pPr>
              <w:jc w:val="center"/>
              <w:rPr>
                <w:rFonts w:eastAsiaTheme="minorEastAsia"/>
                <w:color w:val="auto"/>
                <w:sz w:val="21"/>
                <w:szCs w:val="21"/>
              </w:rPr>
            </w:pPr>
            <w:r>
              <w:rPr>
                <w:rFonts w:eastAsiaTheme="minorEastAsia"/>
                <w:color w:val="auto"/>
                <w:sz w:val="21"/>
                <w:szCs w:val="21"/>
              </w:rPr>
              <w:t>6~9</w:t>
            </w:r>
          </w:p>
        </w:tc>
        <w:tc>
          <w:tcPr>
            <w:tcW w:w="851" w:type="dxa"/>
            <w:vAlign w:val="center"/>
          </w:tcPr>
          <w:p>
            <w:pPr>
              <w:jc w:val="center"/>
              <w:rPr>
                <w:rFonts w:eastAsiaTheme="minorEastAsia"/>
                <w:color w:val="auto"/>
                <w:sz w:val="21"/>
                <w:szCs w:val="21"/>
              </w:rPr>
            </w:pPr>
            <w:r>
              <w:rPr>
                <w:rFonts w:eastAsiaTheme="minorEastAsia"/>
                <w:color w:val="auto"/>
                <w:sz w:val="21"/>
                <w:szCs w:val="21"/>
              </w:rPr>
              <w:t>≥5</w:t>
            </w:r>
          </w:p>
        </w:tc>
        <w:tc>
          <w:tcPr>
            <w:tcW w:w="850" w:type="dxa"/>
            <w:vAlign w:val="center"/>
          </w:tcPr>
          <w:p>
            <w:pPr>
              <w:jc w:val="center"/>
              <w:rPr>
                <w:rFonts w:eastAsiaTheme="minorEastAsia"/>
                <w:color w:val="auto"/>
                <w:sz w:val="21"/>
                <w:szCs w:val="21"/>
              </w:rPr>
            </w:pPr>
            <w:r>
              <w:rPr>
                <w:rFonts w:eastAsiaTheme="minorEastAsia"/>
                <w:color w:val="auto"/>
                <w:sz w:val="21"/>
                <w:szCs w:val="21"/>
              </w:rPr>
              <w:t>≤1.0</w:t>
            </w:r>
          </w:p>
        </w:tc>
        <w:tc>
          <w:tcPr>
            <w:tcW w:w="851" w:type="dxa"/>
            <w:vAlign w:val="center"/>
          </w:tcPr>
          <w:p>
            <w:pPr>
              <w:jc w:val="center"/>
              <w:rPr>
                <w:rFonts w:eastAsiaTheme="minorEastAsia"/>
                <w:color w:val="auto"/>
                <w:sz w:val="21"/>
                <w:szCs w:val="21"/>
              </w:rPr>
            </w:pPr>
            <w:r>
              <w:rPr>
                <w:rFonts w:eastAsiaTheme="minorEastAsia"/>
                <w:color w:val="auto"/>
                <w:sz w:val="21"/>
                <w:szCs w:val="21"/>
              </w:rPr>
              <w:t>≤1.0</w:t>
            </w:r>
          </w:p>
        </w:tc>
        <w:tc>
          <w:tcPr>
            <w:tcW w:w="992" w:type="dxa"/>
            <w:vAlign w:val="center"/>
          </w:tcPr>
          <w:p>
            <w:pPr>
              <w:jc w:val="center"/>
              <w:rPr>
                <w:rFonts w:eastAsiaTheme="minorEastAsia"/>
                <w:color w:val="auto"/>
                <w:sz w:val="21"/>
                <w:szCs w:val="21"/>
              </w:rPr>
            </w:pPr>
            <w:r>
              <w:rPr>
                <w:rFonts w:eastAsiaTheme="minorEastAsia"/>
                <w:color w:val="auto"/>
                <w:sz w:val="21"/>
                <w:szCs w:val="21"/>
              </w:rPr>
              <w:t>≤6</w:t>
            </w:r>
          </w:p>
        </w:tc>
        <w:tc>
          <w:tcPr>
            <w:tcW w:w="992" w:type="dxa"/>
            <w:vAlign w:val="center"/>
          </w:tcPr>
          <w:p>
            <w:pPr>
              <w:jc w:val="center"/>
              <w:rPr>
                <w:rFonts w:eastAsiaTheme="minorEastAsia"/>
                <w:color w:val="auto"/>
                <w:sz w:val="21"/>
                <w:szCs w:val="21"/>
              </w:rPr>
            </w:pPr>
            <w:r>
              <w:rPr>
                <w:rFonts w:eastAsiaTheme="minorEastAsia"/>
                <w:color w:val="auto"/>
                <w:sz w:val="21"/>
                <w:szCs w:val="21"/>
              </w:rPr>
              <w:t>≤20</w:t>
            </w:r>
          </w:p>
        </w:tc>
        <w:tc>
          <w:tcPr>
            <w:tcW w:w="1122" w:type="dxa"/>
            <w:vAlign w:val="center"/>
          </w:tcPr>
          <w:p>
            <w:pPr>
              <w:jc w:val="center"/>
              <w:rPr>
                <w:rFonts w:eastAsiaTheme="minorEastAsia"/>
                <w:color w:val="auto"/>
                <w:sz w:val="21"/>
                <w:szCs w:val="21"/>
              </w:rPr>
            </w:pPr>
            <w:r>
              <w:rPr>
                <w:rFonts w:eastAsiaTheme="minorEastAsia"/>
                <w:color w:val="auto"/>
                <w:sz w:val="21"/>
                <w:szCs w:val="21"/>
              </w:rPr>
              <w:t>≤0.005</w:t>
            </w:r>
          </w:p>
        </w:tc>
        <w:tc>
          <w:tcPr>
            <w:tcW w:w="939" w:type="dxa"/>
            <w:vAlign w:val="center"/>
          </w:tcPr>
          <w:p>
            <w:pPr>
              <w:jc w:val="center"/>
              <w:rPr>
                <w:rFonts w:eastAsiaTheme="minorEastAsia"/>
                <w:color w:val="auto"/>
                <w:sz w:val="21"/>
                <w:szCs w:val="21"/>
              </w:rPr>
            </w:pPr>
            <w:r>
              <w:rPr>
                <w:rFonts w:eastAsiaTheme="minorEastAsia"/>
                <w:color w:val="auto"/>
                <w:sz w:val="21"/>
                <w:szCs w:val="21"/>
              </w:rPr>
              <w:t>≤0.2</w:t>
            </w:r>
          </w:p>
        </w:tc>
        <w:tc>
          <w:tcPr>
            <w:tcW w:w="939" w:type="dxa"/>
            <w:vAlign w:val="center"/>
          </w:tcPr>
          <w:p>
            <w:pPr>
              <w:jc w:val="center"/>
              <w:rPr>
                <w:rFonts w:eastAsiaTheme="minorEastAsia"/>
                <w:color w:val="auto"/>
                <w:sz w:val="21"/>
                <w:szCs w:val="21"/>
              </w:rPr>
            </w:pPr>
            <w:r>
              <w:rPr>
                <w:rFonts w:eastAsiaTheme="minorEastAsia"/>
                <w:color w:val="auto"/>
                <w:sz w:val="21"/>
                <w:szCs w:val="21"/>
              </w:rPr>
              <w:t>≤250</w:t>
            </w:r>
          </w:p>
        </w:tc>
        <w:tc>
          <w:tcPr>
            <w:tcW w:w="969" w:type="dxa"/>
            <w:vAlign w:val="center"/>
          </w:tcPr>
          <w:p>
            <w:pPr>
              <w:jc w:val="center"/>
              <w:rPr>
                <w:rFonts w:eastAsiaTheme="minorEastAsia"/>
                <w:color w:val="auto"/>
                <w:sz w:val="21"/>
                <w:szCs w:val="21"/>
              </w:rPr>
            </w:pPr>
            <w:r>
              <w:rPr>
                <w:rFonts w:eastAsiaTheme="minorEastAsia"/>
                <w:color w:val="auto"/>
                <w:sz w:val="21"/>
                <w:szCs w:val="21"/>
              </w:rPr>
              <w:t>≤0.05</w:t>
            </w:r>
          </w:p>
        </w:tc>
        <w:tc>
          <w:tcPr>
            <w:tcW w:w="851" w:type="dxa"/>
            <w:vAlign w:val="center"/>
          </w:tcPr>
          <w:p>
            <w:pPr>
              <w:jc w:val="center"/>
              <w:rPr>
                <w:rFonts w:eastAsiaTheme="minorEastAsia"/>
                <w:color w:val="auto"/>
                <w:sz w:val="21"/>
                <w:szCs w:val="21"/>
              </w:rPr>
            </w:pPr>
            <w:r>
              <w:rPr>
                <w:rFonts w:eastAsiaTheme="minorEastAsia"/>
                <w:color w:val="auto"/>
                <w:sz w:val="21"/>
                <w:szCs w:val="21"/>
              </w:rPr>
              <w:t>≤250</w:t>
            </w:r>
          </w:p>
        </w:tc>
        <w:tc>
          <w:tcPr>
            <w:tcW w:w="997" w:type="dxa"/>
            <w:vAlign w:val="center"/>
          </w:tcPr>
          <w:p>
            <w:pPr>
              <w:jc w:val="center"/>
              <w:rPr>
                <w:rFonts w:eastAsiaTheme="minorEastAsia"/>
                <w:color w:val="auto"/>
                <w:sz w:val="21"/>
                <w:szCs w:val="21"/>
              </w:rPr>
            </w:pPr>
            <w:r>
              <w:rPr>
                <w:rFonts w:eastAsiaTheme="minorEastAsia"/>
                <w:color w:val="auto"/>
                <w:sz w:val="21"/>
                <w:szCs w:val="21"/>
              </w:rPr>
              <w:t>≤0.2</w:t>
            </w:r>
          </w:p>
        </w:tc>
        <w:tc>
          <w:tcPr>
            <w:tcW w:w="736" w:type="dxa"/>
            <w:vAlign w:val="center"/>
          </w:tcPr>
          <w:p>
            <w:pPr>
              <w:jc w:val="center"/>
              <w:rPr>
                <w:rFonts w:eastAsiaTheme="minorEastAsia"/>
                <w:color w:val="auto"/>
                <w:sz w:val="21"/>
                <w:szCs w:val="21"/>
              </w:rPr>
            </w:pPr>
            <w:r>
              <w:rPr>
                <w:rFonts w:eastAsiaTheme="minorEastAsia"/>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restart"/>
            <w:vAlign w:val="center"/>
          </w:tcPr>
          <w:p>
            <w:pPr>
              <w:jc w:val="center"/>
              <w:rPr>
                <w:rFonts w:eastAsiaTheme="minorEastAsia"/>
                <w:color w:val="auto"/>
                <w:sz w:val="21"/>
                <w:szCs w:val="21"/>
              </w:rPr>
            </w:pPr>
            <w:r>
              <w:rPr>
                <w:rFonts w:eastAsiaTheme="minorEastAsia"/>
                <w:color w:val="auto"/>
                <w:sz w:val="21"/>
                <w:szCs w:val="21"/>
              </w:rPr>
              <w:t>曾坑水库上游入库口</w:t>
            </w:r>
          </w:p>
        </w:tc>
        <w:tc>
          <w:tcPr>
            <w:tcW w:w="403" w:type="dxa"/>
            <w:vAlign w:val="center"/>
          </w:tcPr>
          <w:p>
            <w:pPr>
              <w:jc w:val="center"/>
              <w:rPr>
                <w:rFonts w:eastAsiaTheme="minorEastAsia"/>
                <w:color w:val="auto"/>
                <w:sz w:val="21"/>
                <w:szCs w:val="21"/>
              </w:rPr>
            </w:pPr>
            <w:r>
              <w:rPr>
                <w:rFonts w:eastAsiaTheme="minorEastAsia"/>
                <w:color w:val="auto"/>
                <w:sz w:val="21"/>
                <w:szCs w:val="21"/>
              </w:rPr>
              <w:t>监测值</w:t>
            </w:r>
          </w:p>
        </w:tc>
        <w:tc>
          <w:tcPr>
            <w:tcW w:w="873" w:type="dxa"/>
            <w:gridSpan w:val="2"/>
            <w:vAlign w:val="center"/>
          </w:tcPr>
          <w:p>
            <w:pPr>
              <w:jc w:val="center"/>
              <w:rPr>
                <w:rFonts w:eastAsiaTheme="minorEastAsia"/>
                <w:color w:val="auto"/>
                <w:sz w:val="21"/>
                <w:szCs w:val="21"/>
              </w:rPr>
            </w:pPr>
            <w:r>
              <w:rPr>
                <w:rFonts w:eastAsiaTheme="minorEastAsia"/>
                <w:color w:val="auto"/>
                <w:sz w:val="21"/>
                <w:szCs w:val="21"/>
              </w:rPr>
              <w:t>2019.9.26</w:t>
            </w:r>
          </w:p>
        </w:tc>
        <w:tc>
          <w:tcPr>
            <w:tcW w:w="708" w:type="dxa"/>
            <w:vAlign w:val="center"/>
          </w:tcPr>
          <w:p>
            <w:pPr>
              <w:jc w:val="center"/>
              <w:rPr>
                <w:rFonts w:eastAsiaTheme="minorEastAsia"/>
                <w:color w:val="auto"/>
                <w:sz w:val="21"/>
                <w:szCs w:val="21"/>
              </w:rPr>
            </w:pPr>
            <w:r>
              <w:rPr>
                <w:rFonts w:eastAsiaTheme="minorEastAsia"/>
                <w:color w:val="auto"/>
                <w:sz w:val="21"/>
                <w:szCs w:val="21"/>
              </w:rPr>
              <w:t>29.4</w:t>
            </w:r>
          </w:p>
        </w:tc>
        <w:tc>
          <w:tcPr>
            <w:tcW w:w="709" w:type="dxa"/>
            <w:vAlign w:val="center"/>
          </w:tcPr>
          <w:p>
            <w:pPr>
              <w:jc w:val="center"/>
              <w:rPr>
                <w:rFonts w:eastAsiaTheme="minorEastAsia"/>
                <w:color w:val="auto"/>
                <w:sz w:val="21"/>
                <w:szCs w:val="21"/>
              </w:rPr>
            </w:pPr>
            <w:r>
              <w:rPr>
                <w:rFonts w:eastAsiaTheme="minorEastAsia"/>
                <w:color w:val="auto"/>
                <w:sz w:val="21"/>
                <w:szCs w:val="21"/>
              </w:rPr>
              <w:t>6.94</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0.70</w:t>
            </w:r>
          </w:p>
        </w:tc>
        <w:tc>
          <w:tcPr>
            <w:tcW w:w="992" w:type="dxa"/>
            <w:vAlign w:val="center"/>
          </w:tcPr>
          <w:p>
            <w:pPr>
              <w:jc w:val="center"/>
              <w:rPr>
                <w:rFonts w:eastAsiaTheme="minorEastAsia"/>
                <w:color w:val="auto"/>
                <w:sz w:val="21"/>
                <w:szCs w:val="21"/>
              </w:rPr>
            </w:pPr>
            <w:r>
              <w:rPr>
                <w:rFonts w:eastAsiaTheme="minorEastAsia"/>
                <w:color w:val="auto"/>
                <w:sz w:val="21"/>
                <w:szCs w:val="21"/>
              </w:rPr>
              <w:t>3.2</w:t>
            </w:r>
          </w:p>
        </w:tc>
        <w:tc>
          <w:tcPr>
            <w:tcW w:w="992" w:type="dxa"/>
            <w:vAlign w:val="center"/>
          </w:tcPr>
          <w:p>
            <w:pPr>
              <w:jc w:val="center"/>
              <w:rPr>
                <w:rFonts w:eastAsiaTheme="minorEastAsia"/>
                <w:color w:val="auto"/>
                <w:sz w:val="21"/>
                <w:szCs w:val="21"/>
              </w:rPr>
            </w:pPr>
            <w:r>
              <w:rPr>
                <w:rFonts w:eastAsiaTheme="minorEastAsia"/>
                <w:color w:val="auto"/>
                <w:sz w:val="21"/>
                <w:szCs w:val="21"/>
              </w:rPr>
              <w:t>14</w:t>
            </w:r>
          </w:p>
        </w:tc>
        <w:tc>
          <w:tcPr>
            <w:tcW w:w="1122" w:type="dxa"/>
            <w:vAlign w:val="center"/>
          </w:tcPr>
          <w:p>
            <w:pPr>
              <w:jc w:val="center"/>
              <w:rPr>
                <w:rFonts w:eastAsiaTheme="minorEastAsia"/>
                <w:color w:val="auto"/>
                <w:sz w:val="21"/>
                <w:szCs w:val="21"/>
              </w:rPr>
            </w:pPr>
            <w:r>
              <w:rPr>
                <w:rFonts w:eastAsiaTheme="minorEastAsia"/>
                <w:color w:val="auto"/>
                <w:sz w:val="21"/>
                <w:szCs w:val="21"/>
              </w:rPr>
              <w:t>/</w:t>
            </w:r>
          </w:p>
        </w:tc>
        <w:tc>
          <w:tcPr>
            <w:tcW w:w="939" w:type="dxa"/>
            <w:vAlign w:val="center"/>
          </w:tcPr>
          <w:p>
            <w:pPr>
              <w:jc w:val="center"/>
              <w:rPr>
                <w:rFonts w:eastAsiaTheme="minorEastAsia"/>
                <w:color w:val="auto"/>
                <w:sz w:val="21"/>
                <w:szCs w:val="21"/>
              </w:rPr>
            </w:pPr>
            <w:r>
              <w:rPr>
                <w:rFonts w:eastAsiaTheme="minorEastAsia"/>
                <w:color w:val="auto"/>
                <w:sz w:val="21"/>
                <w:szCs w:val="21"/>
              </w:rPr>
              <w:t>＜0.02</w:t>
            </w:r>
          </w:p>
        </w:tc>
        <w:tc>
          <w:tcPr>
            <w:tcW w:w="939" w:type="dxa"/>
            <w:vAlign w:val="center"/>
          </w:tcPr>
          <w:p>
            <w:pPr>
              <w:jc w:val="center"/>
              <w:rPr>
                <w:rFonts w:eastAsiaTheme="minorEastAsia"/>
                <w:color w:val="auto"/>
                <w:sz w:val="21"/>
                <w:szCs w:val="21"/>
              </w:rPr>
            </w:pPr>
            <w:r>
              <w:rPr>
                <w:rFonts w:eastAsiaTheme="minorEastAsia"/>
                <w:color w:val="auto"/>
                <w:sz w:val="21"/>
                <w:szCs w:val="21"/>
              </w:rPr>
              <w:t>/</w:t>
            </w:r>
          </w:p>
        </w:tc>
        <w:tc>
          <w:tcPr>
            <w:tcW w:w="969"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97" w:type="dxa"/>
            <w:vAlign w:val="center"/>
          </w:tcPr>
          <w:p>
            <w:pPr>
              <w:jc w:val="center"/>
              <w:rPr>
                <w:rFonts w:eastAsiaTheme="minorEastAsia"/>
                <w:color w:val="auto"/>
                <w:sz w:val="21"/>
                <w:szCs w:val="21"/>
              </w:rPr>
            </w:pPr>
            <w:r>
              <w:rPr>
                <w:rFonts w:eastAsiaTheme="minorEastAsia"/>
                <w:color w:val="auto"/>
                <w:sz w:val="21"/>
                <w:szCs w:val="21"/>
              </w:rPr>
              <w:t>/</w:t>
            </w:r>
          </w:p>
        </w:tc>
        <w:tc>
          <w:tcPr>
            <w:tcW w:w="736" w:type="dxa"/>
            <w:vAlign w:val="center"/>
          </w:tcPr>
          <w:p>
            <w:pPr>
              <w:jc w:val="center"/>
              <w:rPr>
                <w:rFonts w:eastAsiaTheme="minorEastAsia"/>
                <w:color w:val="auto"/>
                <w:sz w:val="21"/>
                <w:szCs w:val="21"/>
              </w:rPr>
            </w:pPr>
            <w:r>
              <w:rPr>
                <w:rFonts w:eastAsiaTheme="minorEastAsia"/>
                <w:color w:val="auto"/>
                <w:sz w:val="21"/>
                <w:szCs w:val="21"/>
              </w:rPr>
              <w:t>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hint="eastAsia"/>
                <w:color w:val="auto"/>
                <w:sz w:val="21"/>
                <w:szCs w:val="21"/>
              </w:rPr>
              <w:t>超标率</w:t>
            </w:r>
            <w:r>
              <w:rPr>
                <w:rFonts w:hint="eastAsia"/>
                <w:color w:val="auto"/>
                <w:sz w:val="21"/>
                <w:szCs w:val="21"/>
                <w:lang w:eastAsia="zh-CN"/>
              </w:rPr>
              <w:t>（</w:t>
            </w:r>
            <w:r>
              <w:rPr>
                <w:rFonts w:hint="eastAsia"/>
                <w:color w:val="auto"/>
                <w:sz w:val="21"/>
                <w:szCs w:val="21"/>
                <w:lang w:val="en-US" w:eastAsia="zh-CN"/>
              </w:rPr>
              <w:t>%</w:t>
            </w:r>
            <w:r>
              <w:rPr>
                <w:rFonts w:hint="eastAsia"/>
                <w:color w:val="auto"/>
                <w:sz w:val="21"/>
                <w:szCs w:val="21"/>
                <w:lang w:eastAsia="zh-CN"/>
              </w:rPr>
              <w:t>）</w:t>
            </w:r>
          </w:p>
        </w:tc>
        <w:tc>
          <w:tcPr>
            <w:tcW w:w="708" w:type="dxa"/>
            <w:vAlign w:val="center"/>
          </w:tcPr>
          <w:p>
            <w:pPr>
              <w:jc w:val="center"/>
              <w:rPr>
                <w:rFonts w:eastAsiaTheme="minorEastAsia"/>
                <w:color w:val="auto"/>
                <w:sz w:val="21"/>
                <w:szCs w:val="21"/>
              </w:rPr>
            </w:pPr>
            <w:r>
              <w:rPr>
                <w:rFonts w:hint="eastAsia"/>
                <w:color w:val="auto"/>
                <w:sz w:val="21"/>
                <w:szCs w:val="21"/>
              </w:rPr>
              <w:t>/</w:t>
            </w:r>
          </w:p>
        </w:tc>
        <w:tc>
          <w:tcPr>
            <w:tcW w:w="709" w:type="dxa"/>
            <w:vAlign w:val="center"/>
          </w:tcPr>
          <w:p>
            <w:pPr>
              <w:jc w:val="center"/>
              <w:rPr>
                <w:rFonts w:eastAsiaTheme="minorEastAsia"/>
                <w:color w:val="auto"/>
                <w:sz w:val="21"/>
                <w:szCs w:val="21"/>
              </w:rPr>
            </w:pPr>
            <w:r>
              <w:rPr>
                <w:rFonts w:hint="eastAsia"/>
                <w:color w:val="auto"/>
                <w:sz w:val="21"/>
                <w:szCs w:val="21"/>
              </w:rPr>
              <w:t>0</w:t>
            </w:r>
          </w:p>
        </w:tc>
        <w:tc>
          <w:tcPr>
            <w:tcW w:w="851" w:type="dxa"/>
            <w:vAlign w:val="center"/>
          </w:tcPr>
          <w:p>
            <w:pPr>
              <w:jc w:val="center"/>
              <w:rPr>
                <w:rFonts w:eastAsiaTheme="minorEastAsia"/>
                <w:color w:val="auto"/>
                <w:sz w:val="21"/>
                <w:szCs w:val="21"/>
              </w:rPr>
            </w:pPr>
            <w:r>
              <w:rPr>
                <w:rFonts w:hint="eastAsia"/>
                <w:color w:val="auto"/>
                <w:sz w:val="21"/>
                <w:szCs w:val="21"/>
              </w:rPr>
              <w:t>/</w:t>
            </w:r>
          </w:p>
        </w:tc>
        <w:tc>
          <w:tcPr>
            <w:tcW w:w="850" w:type="dxa"/>
            <w:vAlign w:val="center"/>
          </w:tcPr>
          <w:p>
            <w:pPr>
              <w:jc w:val="center"/>
              <w:rPr>
                <w:rFonts w:eastAsiaTheme="minorEastAsia"/>
                <w:color w:val="auto"/>
                <w:sz w:val="21"/>
                <w:szCs w:val="21"/>
              </w:rPr>
            </w:pPr>
            <w:r>
              <w:rPr>
                <w:rFonts w:hint="eastAsia"/>
                <w:color w:val="auto"/>
                <w:sz w:val="21"/>
                <w:szCs w:val="21"/>
              </w:rPr>
              <w:t>/</w:t>
            </w:r>
          </w:p>
        </w:tc>
        <w:tc>
          <w:tcPr>
            <w:tcW w:w="851" w:type="dxa"/>
            <w:vAlign w:val="center"/>
          </w:tcPr>
          <w:p>
            <w:pPr>
              <w:jc w:val="center"/>
              <w:rPr>
                <w:rFonts w:eastAsiaTheme="minorEastAsia"/>
                <w:color w:val="auto"/>
                <w:sz w:val="21"/>
                <w:szCs w:val="21"/>
              </w:rPr>
            </w:pPr>
            <w:r>
              <w:rPr>
                <w:rFonts w:hint="eastAsia"/>
                <w:color w:val="auto"/>
                <w:sz w:val="21"/>
                <w:szCs w:val="21"/>
              </w:rPr>
              <w:t>0</w:t>
            </w:r>
          </w:p>
        </w:tc>
        <w:tc>
          <w:tcPr>
            <w:tcW w:w="992" w:type="dxa"/>
            <w:vAlign w:val="center"/>
          </w:tcPr>
          <w:p>
            <w:pPr>
              <w:jc w:val="center"/>
              <w:rPr>
                <w:rFonts w:eastAsiaTheme="minorEastAsia"/>
                <w:color w:val="auto"/>
                <w:sz w:val="21"/>
                <w:szCs w:val="21"/>
              </w:rPr>
            </w:pPr>
            <w:r>
              <w:rPr>
                <w:rFonts w:hint="eastAsia"/>
                <w:color w:val="auto"/>
                <w:sz w:val="21"/>
                <w:szCs w:val="21"/>
              </w:rPr>
              <w:t>0</w:t>
            </w:r>
          </w:p>
        </w:tc>
        <w:tc>
          <w:tcPr>
            <w:tcW w:w="992" w:type="dxa"/>
            <w:vAlign w:val="center"/>
          </w:tcPr>
          <w:p>
            <w:pPr>
              <w:jc w:val="center"/>
              <w:rPr>
                <w:rFonts w:eastAsiaTheme="minorEastAsia"/>
                <w:color w:val="auto"/>
                <w:sz w:val="21"/>
                <w:szCs w:val="21"/>
              </w:rPr>
            </w:pPr>
            <w:r>
              <w:rPr>
                <w:rFonts w:hint="eastAsia"/>
                <w:color w:val="auto"/>
                <w:sz w:val="21"/>
                <w:szCs w:val="21"/>
              </w:rPr>
              <w:t>0</w:t>
            </w:r>
          </w:p>
        </w:tc>
        <w:tc>
          <w:tcPr>
            <w:tcW w:w="1122" w:type="dxa"/>
            <w:vAlign w:val="center"/>
          </w:tcPr>
          <w:p>
            <w:pPr>
              <w:jc w:val="center"/>
              <w:rPr>
                <w:rFonts w:eastAsiaTheme="minorEastAsia"/>
                <w:color w:val="auto"/>
                <w:sz w:val="21"/>
                <w:szCs w:val="21"/>
              </w:rPr>
            </w:pPr>
            <w:r>
              <w:rPr>
                <w:rFonts w:hint="eastAsia"/>
                <w:color w:val="auto"/>
                <w:sz w:val="21"/>
                <w:szCs w:val="21"/>
              </w:rPr>
              <w:t>/</w:t>
            </w:r>
          </w:p>
        </w:tc>
        <w:tc>
          <w:tcPr>
            <w:tcW w:w="939" w:type="dxa"/>
            <w:vAlign w:val="center"/>
          </w:tcPr>
          <w:p>
            <w:pPr>
              <w:jc w:val="center"/>
              <w:rPr>
                <w:rFonts w:eastAsiaTheme="minorEastAsia"/>
                <w:color w:val="auto"/>
                <w:sz w:val="21"/>
                <w:szCs w:val="21"/>
              </w:rPr>
            </w:pPr>
            <w:r>
              <w:rPr>
                <w:rFonts w:hint="eastAsia"/>
                <w:color w:val="auto"/>
                <w:sz w:val="21"/>
                <w:szCs w:val="21"/>
              </w:rPr>
              <w:t>0</w:t>
            </w:r>
          </w:p>
        </w:tc>
        <w:tc>
          <w:tcPr>
            <w:tcW w:w="939" w:type="dxa"/>
            <w:vAlign w:val="center"/>
          </w:tcPr>
          <w:p>
            <w:pPr>
              <w:jc w:val="center"/>
              <w:rPr>
                <w:rFonts w:eastAsiaTheme="minorEastAsia"/>
                <w:color w:val="auto"/>
                <w:sz w:val="21"/>
                <w:szCs w:val="21"/>
              </w:rPr>
            </w:pPr>
            <w:r>
              <w:rPr>
                <w:rFonts w:hint="eastAsia"/>
                <w:color w:val="auto"/>
                <w:sz w:val="21"/>
                <w:szCs w:val="21"/>
              </w:rPr>
              <w:t>/</w:t>
            </w:r>
          </w:p>
        </w:tc>
        <w:tc>
          <w:tcPr>
            <w:tcW w:w="969" w:type="dxa"/>
            <w:vAlign w:val="center"/>
          </w:tcPr>
          <w:p>
            <w:pPr>
              <w:jc w:val="center"/>
              <w:rPr>
                <w:rFonts w:eastAsiaTheme="minorEastAsia"/>
                <w:color w:val="auto"/>
                <w:sz w:val="21"/>
                <w:szCs w:val="21"/>
              </w:rPr>
            </w:pPr>
            <w:r>
              <w:rPr>
                <w:rFonts w:hint="eastAsia"/>
                <w:color w:val="auto"/>
                <w:sz w:val="21"/>
                <w:szCs w:val="21"/>
              </w:rPr>
              <w:t>/</w:t>
            </w:r>
          </w:p>
        </w:tc>
        <w:tc>
          <w:tcPr>
            <w:tcW w:w="851" w:type="dxa"/>
            <w:vAlign w:val="center"/>
          </w:tcPr>
          <w:p>
            <w:pPr>
              <w:jc w:val="center"/>
              <w:rPr>
                <w:rFonts w:eastAsiaTheme="minorEastAsia"/>
                <w:color w:val="auto"/>
                <w:sz w:val="21"/>
                <w:szCs w:val="21"/>
              </w:rPr>
            </w:pPr>
            <w:r>
              <w:rPr>
                <w:rFonts w:hint="eastAsia"/>
                <w:color w:val="auto"/>
                <w:sz w:val="21"/>
                <w:szCs w:val="21"/>
              </w:rPr>
              <w:t>/</w:t>
            </w:r>
          </w:p>
        </w:tc>
        <w:tc>
          <w:tcPr>
            <w:tcW w:w="997" w:type="dxa"/>
            <w:vAlign w:val="center"/>
          </w:tcPr>
          <w:p>
            <w:pPr>
              <w:jc w:val="center"/>
              <w:rPr>
                <w:rFonts w:eastAsiaTheme="minorEastAsia"/>
                <w:color w:val="auto"/>
                <w:sz w:val="21"/>
                <w:szCs w:val="21"/>
              </w:rPr>
            </w:pPr>
            <w:r>
              <w:rPr>
                <w:rFonts w:hint="eastAsia"/>
                <w:color w:val="auto"/>
                <w:sz w:val="21"/>
                <w:szCs w:val="21"/>
              </w:rPr>
              <w:t>/</w:t>
            </w:r>
          </w:p>
        </w:tc>
        <w:tc>
          <w:tcPr>
            <w:tcW w:w="736" w:type="dxa"/>
            <w:vAlign w:val="center"/>
          </w:tcPr>
          <w:p>
            <w:pPr>
              <w:jc w:val="center"/>
              <w:rPr>
                <w:rFonts w:eastAsiaTheme="minorEastAsia"/>
                <w:color w:val="auto"/>
                <w:sz w:val="21"/>
                <w:szCs w:val="21"/>
              </w:rPr>
            </w:pPr>
            <w:r>
              <w:rPr>
                <w:rFonts w:hint="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hint="eastAsia"/>
                <w:color w:val="auto"/>
                <w:sz w:val="21"/>
                <w:szCs w:val="21"/>
              </w:rPr>
              <w:t>最大超标倍数</w:t>
            </w:r>
          </w:p>
        </w:tc>
        <w:tc>
          <w:tcPr>
            <w:tcW w:w="708" w:type="dxa"/>
            <w:vAlign w:val="center"/>
          </w:tcPr>
          <w:p>
            <w:pPr>
              <w:jc w:val="center"/>
              <w:rPr>
                <w:rFonts w:eastAsiaTheme="minorEastAsia"/>
                <w:color w:val="auto"/>
                <w:sz w:val="21"/>
                <w:szCs w:val="21"/>
              </w:rPr>
            </w:pPr>
            <w:r>
              <w:rPr>
                <w:rFonts w:hint="eastAsia"/>
                <w:color w:val="auto"/>
                <w:sz w:val="21"/>
                <w:szCs w:val="21"/>
              </w:rPr>
              <w:t>/</w:t>
            </w:r>
          </w:p>
        </w:tc>
        <w:tc>
          <w:tcPr>
            <w:tcW w:w="709" w:type="dxa"/>
            <w:vAlign w:val="center"/>
          </w:tcPr>
          <w:p>
            <w:pPr>
              <w:jc w:val="center"/>
              <w:rPr>
                <w:rFonts w:eastAsiaTheme="minorEastAsia"/>
                <w:color w:val="auto"/>
                <w:sz w:val="21"/>
                <w:szCs w:val="21"/>
              </w:rPr>
            </w:pPr>
            <w:r>
              <w:rPr>
                <w:rFonts w:hint="eastAsia"/>
                <w:color w:val="auto"/>
                <w:sz w:val="21"/>
                <w:szCs w:val="21"/>
              </w:rPr>
              <w:t>0</w:t>
            </w:r>
          </w:p>
        </w:tc>
        <w:tc>
          <w:tcPr>
            <w:tcW w:w="851" w:type="dxa"/>
            <w:vAlign w:val="center"/>
          </w:tcPr>
          <w:p>
            <w:pPr>
              <w:jc w:val="center"/>
              <w:rPr>
                <w:rFonts w:eastAsiaTheme="minorEastAsia"/>
                <w:color w:val="auto"/>
                <w:sz w:val="21"/>
                <w:szCs w:val="21"/>
              </w:rPr>
            </w:pPr>
            <w:r>
              <w:rPr>
                <w:rFonts w:hint="eastAsia"/>
                <w:color w:val="auto"/>
                <w:sz w:val="21"/>
                <w:szCs w:val="21"/>
              </w:rPr>
              <w:t>/</w:t>
            </w:r>
          </w:p>
        </w:tc>
        <w:tc>
          <w:tcPr>
            <w:tcW w:w="850" w:type="dxa"/>
            <w:vAlign w:val="center"/>
          </w:tcPr>
          <w:p>
            <w:pPr>
              <w:jc w:val="center"/>
              <w:rPr>
                <w:rFonts w:eastAsiaTheme="minorEastAsia"/>
                <w:color w:val="auto"/>
                <w:sz w:val="21"/>
                <w:szCs w:val="21"/>
              </w:rPr>
            </w:pPr>
            <w:r>
              <w:rPr>
                <w:rFonts w:hint="eastAsia"/>
                <w:color w:val="auto"/>
                <w:sz w:val="21"/>
                <w:szCs w:val="21"/>
              </w:rPr>
              <w:t>/</w:t>
            </w:r>
          </w:p>
        </w:tc>
        <w:tc>
          <w:tcPr>
            <w:tcW w:w="851" w:type="dxa"/>
            <w:vAlign w:val="center"/>
          </w:tcPr>
          <w:p>
            <w:pPr>
              <w:jc w:val="center"/>
              <w:rPr>
                <w:rFonts w:eastAsiaTheme="minorEastAsia"/>
                <w:color w:val="auto"/>
                <w:sz w:val="21"/>
                <w:szCs w:val="21"/>
              </w:rPr>
            </w:pPr>
            <w:r>
              <w:rPr>
                <w:rFonts w:hint="eastAsia"/>
                <w:color w:val="auto"/>
                <w:sz w:val="21"/>
                <w:szCs w:val="21"/>
              </w:rPr>
              <w:t>0</w:t>
            </w:r>
          </w:p>
        </w:tc>
        <w:tc>
          <w:tcPr>
            <w:tcW w:w="992" w:type="dxa"/>
            <w:vAlign w:val="center"/>
          </w:tcPr>
          <w:p>
            <w:pPr>
              <w:jc w:val="center"/>
              <w:rPr>
                <w:rFonts w:eastAsiaTheme="minorEastAsia"/>
                <w:color w:val="auto"/>
                <w:sz w:val="21"/>
                <w:szCs w:val="21"/>
              </w:rPr>
            </w:pPr>
            <w:r>
              <w:rPr>
                <w:rFonts w:hint="eastAsia"/>
                <w:color w:val="auto"/>
                <w:sz w:val="21"/>
                <w:szCs w:val="21"/>
              </w:rPr>
              <w:t>0</w:t>
            </w:r>
          </w:p>
        </w:tc>
        <w:tc>
          <w:tcPr>
            <w:tcW w:w="992" w:type="dxa"/>
            <w:vAlign w:val="center"/>
          </w:tcPr>
          <w:p>
            <w:pPr>
              <w:jc w:val="center"/>
              <w:rPr>
                <w:rFonts w:eastAsiaTheme="minorEastAsia"/>
                <w:color w:val="auto"/>
                <w:sz w:val="21"/>
                <w:szCs w:val="21"/>
              </w:rPr>
            </w:pPr>
            <w:r>
              <w:rPr>
                <w:rFonts w:hint="eastAsia"/>
                <w:color w:val="auto"/>
                <w:sz w:val="21"/>
                <w:szCs w:val="21"/>
              </w:rPr>
              <w:t>0</w:t>
            </w:r>
          </w:p>
        </w:tc>
        <w:tc>
          <w:tcPr>
            <w:tcW w:w="1122" w:type="dxa"/>
            <w:vAlign w:val="center"/>
          </w:tcPr>
          <w:p>
            <w:pPr>
              <w:jc w:val="center"/>
              <w:rPr>
                <w:rFonts w:eastAsiaTheme="minorEastAsia"/>
                <w:color w:val="auto"/>
                <w:sz w:val="21"/>
                <w:szCs w:val="21"/>
              </w:rPr>
            </w:pPr>
            <w:r>
              <w:rPr>
                <w:rFonts w:hint="eastAsia"/>
                <w:color w:val="auto"/>
                <w:sz w:val="21"/>
                <w:szCs w:val="21"/>
              </w:rPr>
              <w:t>/</w:t>
            </w:r>
          </w:p>
        </w:tc>
        <w:tc>
          <w:tcPr>
            <w:tcW w:w="939" w:type="dxa"/>
            <w:vAlign w:val="center"/>
          </w:tcPr>
          <w:p>
            <w:pPr>
              <w:jc w:val="center"/>
              <w:rPr>
                <w:rFonts w:eastAsiaTheme="minorEastAsia"/>
                <w:color w:val="auto"/>
                <w:sz w:val="21"/>
                <w:szCs w:val="21"/>
              </w:rPr>
            </w:pPr>
            <w:r>
              <w:rPr>
                <w:rFonts w:hint="eastAsia"/>
                <w:color w:val="auto"/>
                <w:sz w:val="21"/>
                <w:szCs w:val="21"/>
              </w:rPr>
              <w:t>0</w:t>
            </w:r>
          </w:p>
        </w:tc>
        <w:tc>
          <w:tcPr>
            <w:tcW w:w="939" w:type="dxa"/>
            <w:vAlign w:val="center"/>
          </w:tcPr>
          <w:p>
            <w:pPr>
              <w:jc w:val="center"/>
              <w:rPr>
                <w:rFonts w:eastAsiaTheme="minorEastAsia"/>
                <w:color w:val="auto"/>
                <w:sz w:val="21"/>
                <w:szCs w:val="21"/>
              </w:rPr>
            </w:pPr>
            <w:r>
              <w:rPr>
                <w:rFonts w:hint="eastAsia"/>
                <w:color w:val="auto"/>
                <w:sz w:val="21"/>
                <w:szCs w:val="21"/>
              </w:rPr>
              <w:t>/</w:t>
            </w:r>
          </w:p>
        </w:tc>
        <w:tc>
          <w:tcPr>
            <w:tcW w:w="969" w:type="dxa"/>
            <w:vAlign w:val="center"/>
          </w:tcPr>
          <w:p>
            <w:pPr>
              <w:jc w:val="center"/>
              <w:rPr>
                <w:rFonts w:eastAsiaTheme="minorEastAsia"/>
                <w:color w:val="auto"/>
                <w:sz w:val="21"/>
                <w:szCs w:val="21"/>
              </w:rPr>
            </w:pPr>
            <w:r>
              <w:rPr>
                <w:rFonts w:hint="eastAsia"/>
                <w:color w:val="auto"/>
                <w:sz w:val="21"/>
                <w:szCs w:val="21"/>
              </w:rPr>
              <w:t>/</w:t>
            </w:r>
          </w:p>
        </w:tc>
        <w:tc>
          <w:tcPr>
            <w:tcW w:w="851" w:type="dxa"/>
            <w:vAlign w:val="center"/>
          </w:tcPr>
          <w:p>
            <w:pPr>
              <w:jc w:val="center"/>
              <w:rPr>
                <w:rFonts w:eastAsiaTheme="minorEastAsia"/>
                <w:color w:val="auto"/>
                <w:sz w:val="21"/>
                <w:szCs w:val="21"/>
              </w:rPr>
            </w:pPr>
            <w:r>
              <w:rPr>
                <w:rFonts w:hint="eastAsia"/>
                <w:color w:val="auto"/>
                <w:sz w:val="21"/>
                <w:szCs w:val="21"/>
              </w:rPr>
              <w:t>/</w:t>
            </w:r>
          </w:p>
        </w:tc>
        <w:tc>
          <w:tcPr>
            <w:tcW w:w="997" w:type="dxa"/>
            <w:vAlign w:val="center"/>
          </w:tcPr>
          <w:p>
            <w:pPr>
              <w:jc w:val="center"/>
              <w:rPr>
                <w:rFonts w:eastAsiaTheme="minorEastAsia"/>
                <w:color w:val="auto"/>
                <w:sz w:val="21"/>
                <w:szCs w:val="21"/>
              </w:rPr>
            </w:pPr>
            <w:r>
              <w:rPr>
                <w:rFonts w:hint="eastAsia"/>
                <w:color w:val="auto"/>
                <w:sz w:val="21"/>
                <w:szCs w:val="21"/>
              </w:rPr>
              <w:t>/</w:t>
            </w:r>
          </w:p>
        </w:tc>
        <w:tc>
          <w:tcPr>
            <w:tcW w:w="736" w:type="dxa"/>
            <w:vAlign w:val="center"/>
          </w:tcPr>
          <w:p>
            <w:pPr>
              <w:jc w:val="center"/>
              <w:rPr>
                <w:rFonts w:eastAsiaTheme="minorEastAsia"/>
                <w:color w:val="auto"/>
                <w:sz w:val="21"/>
                <w:szCs w:val="21"/>
              </w:rPr>
            </w:pPr>
            <w:r>
              <w:rPr>
                <w:rFonts w:hint="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hint="eastAsia"/>
                <w:color w:val="auto"/>
                <w:sz w:val="21"/>
                <w:szCs w:val="21"/>
              </w:rPr>
              <w:t>最大单因子指数</w:t>
            </w:r>
          </w:p>
        </w:tc>
        <w:tc>
          <w:tcPr>
            <w:tcW w:w="708" w:type="dxa"/>
            <w:vAlign w:val="center"/>
          </w:tcPr>
          <w:p>
            <w:pPr>
              <w:jc w:val="center"/>
              <w:rPr>
                <w:rFonts w:eastAsiaTheme="minorEastAsia"/>
                <w:color w:val="auto"/>
                <w:sz w:val="21"/>
                <w:szCs w:val="21"/>
              </w:rPr>
            </w:pPr>
            <w:r>
              <w:rPr>
                <w:rFonts w:hint="eastAsia"/>
                <w:color w:val="auto"/>
                <w:sz w:val="21"/>
                <w:szCs w:val="21"/>
              </w:rPr>
              <w:t>/</w:t>
            </w:r>
          </w:p>
        </w:tc>
        <w:tc>
          <w:tcPr>
            <w:tcW w:w="709" w:type="dxa"/>
            <w:vAlign w:val="center"/>
          </w:tcPr>
          <w:p>
            <w:pPr>
              <w:jc w:val="center"/>
              <w:rPr>
                <w:rFonts w:eastAsiaTheme="minorEastAsia"/>
                <w:color w:val="auto"/>
                <w:sz w:val="21"/>
                <w:szCs w:val="21"/>
              </w:rPr>
            </w:pPr>
            <w:r>
              <w:rPr>
                <w:rFonts w:hint="eastAsia"/>
                <w:color w:val="auto"/>
                <w:sz w:val="21"/>
                <w:szCs w:val="21"/>
              </w:rPr>
              <w:t>0</w:t>
            </w:r>
            <w:r>
              <w:rPr>
                <w:color w:val="auto"/>
                <w:sz w:val="21"/>
                <w:szCs w:val="21"/>
              </w:rPr>
              <w:t>.06</w:t>
            </w:r>
          </w:p>
        </w:tc>
        <w:tc>
          <w:tcPr>
            <w:tcW w:w="851" w:type="dxa"/>
            <w:vAlign w:val="center"/>
          </w:tcPr>
          <w:p>
            <w:pPr>
              <w:jc w:val="center"/>
              <w:rPr>
                <w:rFonts w:eastAsiaTheme="minorEastAsia"/>
                <w:color w:val="auto"/>
                <w:sz w:val="21"/>
                <w:szCs w:val="21"/>
              </w:rPr>
            </w:pPr>
            <w:r>
              <w:rPr>
                <w:rFonts w:hint="eastAsia"/>
                <w:color w:val="auto"/>
                <w:sz w:val="21"/>
                <w:szCs w:val="21"/>
              </w:rPr>
              <w:t>/</w:t>
            </w:r>
          </w:p>
        </w:tc>
        <w:tc>
          <w:tcPr>
            <w:tcW w:w="850" w:type="dxa"/>
            <w:vAlign w:val="center"/>
          </w:tcPr>
          <w:p>
            <w:pPr>
              <w:jc w:val="center"/>
              <w:rPr>
                <w:rFonts w:eastAsiaTheme="minorEastAsia"/>
                <w:color w:val="auto"/>
                <w:sz w:val="21"/>
                <w:szCs w:val="21"/>
              </w:rPr>
            </w:pPr>
            <w:r>
              <w:rPr>
                <w:rFonts w:hint="eastAsia"/>
                <w:color w:val="auto"/>
                <w:sz w:val="21"/>
                <w:szCs w:val="21"/>
              </w:rPr>
              <w:t>/</w:t>
            </w:r>
          </w:p>
        </w:tc>
        <w:tc>
          <w:tcPr>
            <w:tcW w:w="851" w:type="dxa"/>
            <w:vAlign w:val="center"/>
          </w:tcPr>
          <w:p>
            <w:pPr>
              <w:jc w:val="center"/>
              <w:rPr>
                <w:rFonts w:eastAsiaTheme="minorEastAsia"/>
                <w:color w:val="auto"/>
                <w:sz w:val="21"/>
                <w:szCs w:val="21"/>
              </w:rPr>
            </w:pPr>
            <w:r>
              <w:rPr>
                <w:rFonts w:hint="eastAsia"/>
                <w:color w:val="auto"/>
                <w:sz w:val="21"/>
                <w:szCs w:val="21"/>
              </w:rPr>
              <w:t>0</w:t>
            </w:r>
            <w:r>
              <w:rPr>
                <w:color w:val="auto"/>
                <w:sz w:val="21"/>
                <w:szCs w:val="21"/>
              </w:rPr>
              <w:t>.70</w:t>
            </w:r>
          </w:p>
        </w:tc>
        <w:tc>
          <w:tcPr>
            <w:tcW w:w="992" w:type="dxa"/>
            <w:vAlign w:val="center"/>
          </w:tcPr>
          <w:p>
            <w:pPr>
              <w:jc w:val="center"/>
              <w:rPr>
                <w:rFonts w:eastAsiaTheme="minorEastAsia"/>
                <w:color w:val="auto"/>
                <w:sz w:val="21"/>
                <w:szCs w:val="21"/>
              </w:rPr>
            </w:pPr>
            <w:r>
              <w:rPr>
                <w:rFonts w:hint="eastAsia"/>
                <w:color w:val="auto"/>
                <w:sz w:val="21"/>
                <w:szCs w:val="21"/>
              </w:rPr>
              <w:t>0</w:t>
            </w:r>
            <w:r>
              <w:rPr>
                <w:color w:val="auto"/>
                <w:sz w:val="21"/>
                <w:szCs w:val="21"/>
              </w:rPr>
              <w:t>.53</w:t>
            </w:r>
          </w:p>
        </w:tc>
        <w:tc>
          <w:tcPr>
            <w:tcW w:w="992" w:type="dxa"/>
            <w:vAlign w:val="center"/>
          </w:tcPr>
          <w:p>
            <w:pPr>
              <w:jc w:val="center"/>
              <w:rPr>
                <w:rFonts w:eastAsiaTheme="minorEastAsia"/>
                <w:color w:val="auto"/>
                <w:sz w:val="21"/>
                <w:szCs w:val="21"/>
              </w:rPr>
            </w:pPr>
            <w:r>
              <w:rPr>
                <w:rFonts w:hint="eastAsia"/>
                <w:color w:val="auto"/>
                <w:sz w:val="21"/>
                <w:szCs w:val="21"/>
              </w:rPr>
              <w:t>0</w:t>
            </w:r>
            <w:r>
              <w:rPr>
                <w:color w:val="auto"/>
                <w:sz w:val="21"/>
                <w:szCs w:val="21"/>
              </w:rPr>
              <w:t>.70</w:t>
            </w:r>
          </w:p>
        </w:tc>
        <w:tc>
          <w:tcPr>
            <w:tcW w:w="1122" w:type="dxa"/>
            <w:vAlign w:val="center"/>
          </w:tcPr>
          <w:p>
            <w:pPr>
              <w:jc w:val="center"/>
              <w:rPr>
                <w:rFonts w:eastAsiaTheme="minorEastAsia"/>
                <w:color w:val="auto"/>
                <w:sz w:val="21"/>
                <w:szCs w:val="21"/>
              </w:rPr>
            </w:pPr>
            <w:r>
              <w:rPr>
                <w:rFonts w:hint="eastAsia"/>
                <w:color w:val="auto"/>
                <w:sz w:val="21"/>
                <w:szCs w:val="21"/>
              </w:rPr>
              <w:t>/</w:t>
            </w:r>
          </w:p>
        </w:tc>
        <w:tc>
          <w:tcPr>
            <w:tcW w:w="939" w:type="dxa"/>
            <w:vAlign w:val="center"/>
          </w:tcPr>
          <w:p>
            <w:pPr>
              <w:jc w:val="center"/>
              <w:rPr>
                <w:rFonts w:eastAsiaTheme="minorEastAsia"/>
                <w:color w:val="auto"/>
                <w:sz w:val="21"/>
                <w:szCs w:val="21"/>
              </w:rPr>
            </w:pPr>
            <w:r>
              <w:rPr>
                <w:rFonts w:hint="eastAsia"/>
                <w:color w:val="auto"/>
                <w:sz w:val="21"/>
                <w:szCs w:val="21"/>
              </w:rPr>
              <w:t>/</w:t>
            </w:r>
          </w:p>
        </w:tc>
        <w:tc>
          <w:tcPr>
            <w:tcW w:w="939" w:type="dxa"/>
            <w:vAlign w:val="center"/>
          </w:tcPr>
          <w:p>
            <w:pPr>
              <w:jc w:val="center"/>
              <w:rPr>
                <w:rFonts w:eastAsiaTheme="minorEastAsia"/>
                <w:color w:val="auto"/>
                <w:sz w:val="21"/>
                <w:szCs w:val="21"/>
              </w:rPr>
            </w:pPr>
            <w:r>
              <w:rPr>
                <w:rFonts w:hint="eastAsia"/>
                <w:color w:val="auto"/>
                <w:sz w:val="21"/>
                <w:szCs w:val="21"/>
              </w:rPr>
              <w:t>/</w:t>
            </w:r>
          </w:p>
        </w:tc>
        <w:tc>
          <w:tcPr>
            <w:tcW w:w="969" w:type="dxa"/>
            <w:vAlign w:val="center"/>
          </w:tcPr>
          <w:p>
            <w:pPr>
              <w:jc w:val="center"/>
              <w:rPr>
                <w:rFonts w:eastAsiaTheme="minorEastAsia"/>
                <w:color w:val="auto"/>
                <w:sz w:val="21"/>
                <w:szCs w:val="21"/>
              </w:rPr>
            </w:pPr>
            <w:r>
              <w:rPr>
                <w:rFonts w:hint="eastAsia"/>
                <w:color w:val="auto"/>
                <w:sz w:val="21"/>
                <w:szCs w:val="21"/>
              </w:rPr>
              <w:t>/</w:t>
            </w:r>
          </w:p>
        </w:tc>
        <w:tc>
          <w:tcPr>
            <w:tcW w:w="851" w:type="dxa"/>
            <w:vAlign w:val="center"/>
          </w:tcPr>
          <w:p>
            <w:pPr>
              <w:jc w:val="center"/>
              <w:rPr>
                <w:rFonts w:eastAsiaTheme="minorEastAsia"/>
                <w:color w:val="auto"/>
                <w:sz w:val="21"/>
                <w:szCs w:val="21"/>
              </w:rPr>
            </w:pPr>
            <w:r>
              <w:rPr>
                <w:rFonts w:hint="eastAsia"/>
                <w:color w:val="auto"/>
                <w:sz w:val="21"/>
                <w:szCs w:val="21"/>
              </w:rPr>
              <w:t>/</w:t>
            </w:r>
          </w:p>
        </w:tc>
        <w:tc>
          <w:tcPr>
            <w:tcW w:w="997" w:type="dxa"/>
            <w:vAlign w:val="center"/>
          </w:tcPr>
          <w:p>
            <w:pPr>
              <w:jc w:val="center"/>
              <w:rPr>
                <w:rFonts w:eastAsiaTheme="minorEastAsia"/>
                <w:color w:val="auto"/>
                <w:sz w:val="21"/>
                <w:szCs w:val="21"/>
              </w:rPr>
            </w:pPr>
            <w:r>
              <w:rPr>
                <w:rFonts w:hint="eastAsia"/>
                <w:color w:val="auto"/>
                <w:sz w:val="21"/>
                <w:szCs w:val="21"/>
              </w:rPr>
              <w:t>/</w:t>
            </w:r>
          </w:p>
        </w:tc>
        <w:tc>
          <w:tcPr>
            <w:tcW w:w="736" w:type="dxa"/>
            <w:vAlign w:val="center"/>
          </w:tcPr>
          <w:p>
            <w:pPr>
              <w:jc w:val="center"/>
              <w:rPr>
                <w:rFonts w:eastAsiaTheme="minorEastAsia"/>
                <w:color w:val="auto"/>
                <w:sz w:val="21"/>
                <w:szCs w:val="21"/>
              </w:rPr>
            </w:pPr>
            <w:r>
              <w:rPr>
                <w:rFonts w:hint="eastAsia"/>
                <w:color w:val="auto"/>
                <w:sz w:val="21"/>
                <w:szCs w:val="21"/>
              </w:rPr>
              <w:t>0</w:t>
            </w:r>
            <w:r>
              <w:rPr>
                <w:color w:val="auto"/>
                <w:sz w:val="21"/>
                <w:szCs w:val="21"/>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hint="eastAsia"/>
                <w:color w:val="auto"/>
                <w:sz w:val="21"/>
                <w:szCs w:val="21"/>
              </w:rPr>
              <w:t>标准值（</w:t>
            </w:r>
            <w:r>
              <w:rPr>
                <w:color w:val="auto"/>
                <w:sz w:val="21"/>
                <w:szCs w:val="21"/>
              </w:rPr>
              <w:t>mg/L</w:t>
            </w:r>
            <w:r>
              <w:rPr>
                <w:rFonts w:hint="eastAsia"/>
                <w:color w:val="auto"/>
                <w:sz w:val="21"/>
                <w:szCs w:val="21"/>
              </w:rPr>
              <w:t>）</w:t>
            </w:r>
          </w:p>
        </w:tc>
        <w:tc>
          <w:tcPr>
            <w:tcW w:w="708" w:type="dxa"/>
            <w:vAlign w:val="center"/>
          </w:tcPr>
          <w:p>
            <w:pPr>
              <w:jc w:val="center"/>
              <w:rPr>
                <w:rFonts w:eastAsiaTheme="minorEastAsia"/>
                <w:color w:val="auto"/>
                <w:sz w:val="21"/>
                <w:szCs w:val="21"/>
              </w:rPr>
            </w:pPr>
            <w:r>
              <w:rPr>
                <w:rFonts w:hint="eastAsia"/>
                <w:color w:val="auto"/>
                <w:sz w:val="21"/>
                <w:szCs w:val="21"/>
              </w:rPr>
              <w:t>-</w:t>
            </w:r>
            <w:r>
              <w:rPr>
                <w:color w:val="auto"/>
                <w:sz w:val="21"/>
                <w:szCs w:val="21"/>
              </w:rPr>
              <w:t>--</w:t>
            </w:r>
          </w:p>
        </w:tc>
        <w:tc>
          <w:tcPr>
            <w:tcW w:w="709" w:type="dxa"/>
            <w:vAlign w:val="center"/>
          </w:tcPr>
          <w:p>
            <w:pPr>
              <w:jc w:val="center"/>
              <w:rPr>
                <w:rFonts w:eastAsiaTheme="minorEastAsia"/>
                <w:color w:val="auto"/>
                <w:sz w:val="21"/>
                <w:szCs w:val="21"/>
              </w:rPr>
            </w:pPr>
            <w:r>
              <w:rPr>
                <w:rFonts w:hint="eastAsia"/>
                <w:color w:val="auto"/>
                <w:sz w:val="21"/>
                <w:szCs w:val="21"/>
              </w:rPr>
              <w:t>6~</w:t>
            </w:r>
            <w:r>
              <w:rPr>
                <w:color w:val="auto"/>
                <w:sz w:val="21"/>
                <w:szCs w:val="21"/>
              </w:rPr>
              <w:t>9</w:t>
            </w:r>
          </w:p>
        </w:tc>
        <w:tc>
          <w:tcPr>
            <w:tcW w:w="851" w:type="dxa"/>
            <w:vAlign w:val="center"/>
          </w:tcPr>
          <w:p>
            <w:pPr>
              <w:jc w:val="center"/>
              <w:rPr>
                <w:rFonts w:eastAsiaTheme="minorEastAsia"/>
                <w:color w:val="auto"/>
                <w:sz w:val="21"/>
                <w:szCs w:val="21"/>
              </w:rPr>
            </w:pPr>
            <w:r>
              <w:rPr>
                <w:rFonts w:hint="eastAsia"/>
                <w:color w:val="auto"/>
                <w:sz w:val="21"/>
                <w:szCs w:val="21"/>
              </w:rPr>
              <w:t>≥5</w:t>
            </w:r>
          </w:p>
        </w:tc>
        <w:tc>
          <w:tcPr>
            <w:tcW w:w="850" w:type="dxa"/>
            <w:vAlign w:val="center"/>
          </w:tcPr>
          <w:p>
            <w:pPr>
              <w:jc w:val="center"/>
              <w:rPr>
                <w:rFonts w:eastAsiaTheme="minorEastAsia"/>
                <w:color w:val="auto"/>
                <w:sz w:val="21"/>
                <w:szCs w:val="21"/>
              </w:rPr>
            </w:pPr>
            <w:r>
              <w:rPr>
                <w:rFonts w:hint="eastAsia"/>
                <w:color w:val="auto"/>
                <w:sz w:val="21"/>
                <w:szCs w:val="21"/>
              </w:rPr>
              <w:t>≤1</w:t>
            </w:r>
            <w:r>
              <w:rPr>
                <w:color w:val="auto"/>
                <w:sz w:val="21"/>
                <w:szCs w:val="21"/>
              </w:rPr>
              <w:t>.0</w:t>
            </w:r>
          </w:p>
        </w:tc>
        <w:tc>
          <w:tcPr>
            <w:tcW w:w="851" w:type="dxa"/>
            <w:vAlign w:val="center"/>
          </w:tcPr>
          <w:p>
            <w:pPr>
              <w:jc w:val="center"/>
              <w:rPr>
                <w:rFonts w:eastAsiaTheme="minorEastAsia"/>
                <w:color w:val="auto"/>
                <w:sz w:val="21"/>
                <w:szCs w:val="21"/>
              </w:rPr>
            </w:pPr>
            <w:r>
              <w:rPr>
                <w:rFonts w:hint="eastAsia"/>
                <w:color w:val="auto"/>
                <w:sz w:val="21"/>
                <w:szCs w:val="21"/>
              </w:rPr>
              <w:t>≤1</w:t>
            </w:r>
            <w:r>
              <w:rPr>
                <w:color w:val="auto"/>
                <w:sz w:val="21"/>
                <w:szCs w:val="21"/>
              </w:rPr>
              <w:t>.0</w:t>
            </w:r>
          </w:p>
        </w:tc>
        <w:tc>
          <w:tcPr>
            <w:tcW w:w="992" w:type="dxa"/>
            <w:vAlign w:val="center"/>
          </w:tcPr>
          <w:p>
            <w:pPr>
              <w:jc w:val="center"/>
              <w:rPr>
                <w:rFonts w:eastAsiaTheme="minorEastAsia"/>
                <w:color w:val="auto"/>
                <w:sz w:val="21"/>
                <w:szCs w:val="21"/>
              </w:rPr>
            </w:pPr>
            <w:r>
              <w:rPr>
                <w:rFonts w:hint="eastAsia"/>
                <w:color w:val="auto"/>
                <w:sz w:val="21"/>
                <w:szCs w:val="21"/>
              </w:rPr>
              <w:t>≤6</w:t>
            </w:r>
          </w:p>
        </w:tc>
        <w:tc>
          <w:tcPr>
            <w:tcW w:w="992" w:type="dxa"/>
            <w:vAlign w:val="center"/>
          </w:tcPr>
          <w:p>
            <w:pPr>
              <w:jc w:val="center"/>
              <w:rPr>
                <w:rFonts w:eastAsiaTheme="minorEastAsia"/>
                <w:color w:val="auto"/>
                <w:sz w:val="21"/>
                <w:szCs w:val="21"/>
              </w:rPr>
            </w:pPr>
            <w:r>
              <w:rPr>
                <w:rFonts w:hint="eastAsia"/>
                <w:color w:val="auto"/>
                <w:sz w:val="21"/>
                <w:szCs w:val="21"/>
              </w:rPr>
              <w:t>≤2</w:t>
            </w:r>
            <w:r>
              <w:rPr>
                <w:color w:val="auto"/>
                <w:sz w:val="21"/>
                <w:szCs w:val="21"/>
              </w:rPr>
              <w:t>0</w:t>
            </w:r>
          </w:p>
        </w:tc>
        <w:tc>
          <w:tcPr>
            <w:tcW w:w="1122" w:type="dxa"/>
            <w:vAlign w:val="center"/>
          </w:tcPr>
          <w:p>
            <w:pPr>
              <w:jc w:val="center"/>
              <w:rPr>
                <w:rFonts w:eastAsiaTheme="minorEastAsia"/>
                <w:color w:val="auto"/>
                <w:sz w:val="21"/>
                <w:szCs w:val="21"/>
              </w:rPr>
            </w:pPr>
            <w:r>
              <w:rPr>
                <w:rFonts w:hint="eastAsia"/>
                <w:color w:val="auto"/>
                <w:sz w:val="21"/>
                <w:szCs w:val="21"/>
              </w:rPr>
              <w:t>≤0</w:t>
            </w:r>
            <w:r>
              <w:rPr>
                <w:color w:val="auto"/>
                <w:sz w:val="21"/>
                <w:szCs w:val="21"/>
              </w:rPr>
              <w:t>.005</w:t>
            </w:r>
          </w:p>
        </w:tc>
        <w:tc>
          <w:tcPr>
            <w:tcW w:w="939" w:type="dxa"/>
            <w:vAlign w:val="center"/>
          </w:tcPr>
          <w:p>
            <w:pPr>
              <w:jc w:val="center"/>
              <w:rPr>
                <w:rFonts w:eastAsiaTheme="minorEastAsia"/>
                <w:color w:val="auto"/>
                <w:sz w:val="21"/>
                <w:szCs w:val="21"/>
              </w:rPr>
            </w:pPr>
            <w:r>
              <w:rPr>
                <w:rFonts w:hint="eastAsia"/>
                <w:color w:val="auto"/>
                <w:sz w:val="21"/>
                <w:szCs w:val="21"/>
              </w:rPr>
              <w:t>≤0</w:t>
            </w:r>
            <w:r>
              <w:rPr>
                <w:color w:val="auto"/>
                <w:sz w:val="21"/>
                <w:szCs w:val="21"/>
              </w:rPr>
              <w:t>.2</w:t>
            </w:r>
          </w:p>
        </w:tc>
        <w:tc>
          <w:tcPr>
            <w:tcW w:w="939" w:type="dxa"/>
            <w:vAlign w:val="center"/>
          </w:tcPr>
          <w:p>
            <w:pPr>
              <w:jc w:val="center"/>
              <w:rPr>
                <w:rFonts w:eastAsiaTheme="minorEastAsia"/>
                <w:color w:val="auto"/>
                <w:sz w:val="21"/>
                <w:szCs w:val="21"/>
              </w:rPr>
            </w:pPr>
            <w:r>
              <w:rPr>
                <w:rFonts w:hint="eastAsia"/>
                <w:color w:val="auto"/>
                <w:sz w:val="21"/>
                <w:szCs w:val="21"/>
              </w:rPr>
              <w:t>≤2</w:t>
            </w:r>
            <w:r>
              <w:rPr>
                <w:color w:val="auto"/>
                <w:sz w:val="21"/>
                <w:szCs w:val="21"/>
              </w:rPr>
              <w:t>50</w:t>
            </w:r>
          </w:p>
        </w:tc>
        <w:tc>
          <w:tcPr>
            <w:tcW w:w="969" w:type="dxa"/>
            <w:vAlign w:val="center"/>
          </w:tcPr>
          <w:p>
            <w:pPr>
              <w:jc w:val="center"/>
              <w:rPr>
                <w:rFonts w:eastAsiaTheme="minorEastAsia"/>
                <w:color w:val="auto"/>
                <w:sz w:val="21"/>
                <w:szCs w:val="21"/>
              </w:rPr>
            </w:pPr>
            <w:r>
              <w:rPr>
                <w:rFonts w:hint="eastAsia"/>
                <w:color w:val="auto"/>
                <w:sz w:val="21"/>
                <w:szCs w:val="21"/>
              </w:rPr>
              <w:t>≤0</w:t>
            </w:r>
            <w:r>
              <w:rPr>
                <w:color w:val="auto"/>
                <w:sz w:val="21"/>
                <w:szCs w:val="21"/>
              </w:rPr>
              <w:t>.05</w:t>
            </w:r>
          </w:p>
        </w:tc>
        <w:tc>
          <w:tcPr>
            <w:tcW w:w="851" w:type="dxa"/>
            <w:vAlign w:val="center"/>
          </w:tcPr>
          <w:p>
            <w:pPr>
              <w:jc w:val="center"/>
              <w:rPr>
                <w:rFonts w:eastAsiaTheme="minorEastAsia"/>
                <w:color w:val="auto"/>
                <w:sz w:val="21"/>
                <w:szCs w:val="21"/>
              </w:rPr>
            </w:pPr>
            <w:r>
              <w:rPr>
                <w:rFonts w:hint="eastAsia"/>
                <w:color w:val="auto"/>
                <w:sz w:val="21"/>
                <w:szCs w:val="21"/>
              </w:rPr>
              <w:t>≤2</w:t>
            </w:r>
            <w:r>
              <w:rPr>
                <w:color w:val="auto"/>
                <w:sz w:val="21"/>
                <w:szCs w:val="21"/>
              </w:rPr>
              <w:t>50</w:t>
            </w:r>
          </w:p>
        </w:tc>
        <w:tc>
          <w:tcPr>
            <w:tcW w:w="997" w:type="dxa"/>
            <w:vAlign w:val="center"/>
          </w:tcPr>
          <w:p>
            <w:pPr>
              <w:jc w:val="center"/>
              <w:rPr>
                <w:rFonts w:eastAsiaTheme="minorEastAsia"/>
                <w:color w:val="auto"/>
                <w:sz w:val="21"/>
                <w:szCs w:val="21"/>
              </w:rPr>
            </w:pPr>
            <w:r>
              <w:rPr>
                <w:rFonts w:hint="eastAsia"/>
                <w:color w:val="auto"/>
                <w:sz w:val="21"/>
                <w:szCs w:val="21"/>
              </w:rPr>
              <w:t>≤0</w:t>
            </w:r>
            <w:r>
              <w:rPr>
                <w:color w:val="auto"/>
                <w:sz w:val="21"/>
                <w:szCs w:val="21"/>
              </w:rPr>
              <w:t>.2</w:t>
            </w:r>
          </w:p>
        </w:tc>
        <w:tc>
          <w:tcPr>
            <w:tcW w:w="736" w:type="dxa"/>
            <w:vAlign w:val="center"/>
          </w:tcPr>
          <w:p>
            <w:pPr>
              <w:jc w:val="center"/>
              <w:rPr>
                <w:rFonts w:eastAsiaTheme="minorEastAsia"/>
                <w:color w:val="auto"/>
                <w:sz w:val="21"/>
                <w:szCs w:val="21"/>
              </w:rPr>
            </w:pPr>
            <w:r>
              <w:rPr>
                <w:rFonts w:hint="eastAsia"/>
                <w:color w:val="auto"/>
                <w:sz w:val="21"/>
                <w:szCs w:val="21"/>
              </w:rPr>
              <w:t>≤</w:t>
            </w:r>
            <w:r>
              <w:rPr>
                <w:color w:val="auto"/>
                <w:sz w:val="21"/>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restart"/>
            <w:vAlign w:val="center"/>
          </w:tcPr>
          <w:p>
            <w:pPr>
              <w:jc w:val="center"/>
              <w:rPr>
                <w:rFonts w:eastAsiaTheme="minorEastAsia"/>
                <w:color w:val="auto"/>
                <w:sz w:val="21"/>
                <w:szCs w:val="21"/>
              </w:rPr>
            </w:pPr>
            <w:r>
              <w:rPr>
                <w:rFonts w:eastAsiaTheme="minorEastAsia"/>
                <w:color w:val="auto"/>
                <w:sz w:val="21"/>
                <w:szCs w:val="21"/>
              </w:rPr>
              <w:t>曾坑水库下游大坝</w:t>
            </w:r>
          </w:p>
        </w:tc>
        <w:tc>
          <w:tcPr>
            <w:tcW w:w="403" w:type="dxa"/>
            <w:vAlign w:val="center"/>
          </w:tcPr>
          <w:p>
            <w:pPr>
              <w:jc w:val="center"/>
              <w:rPr>
                <w:rFonts w:eastAsiaTheme="minorEastAsia"/>
                <w:color w:val="auto"/>
                <w:sz w:val="21"/>
                <w:szCs w:val="21"/>
              </w:rPr>
            </w:pPr>
            <w:r>
              <w:rPr>
                <w:rFonts w:eastAsiaTheme="minorEastAsia"/>
                <w:color w:val="auto"/>
                <w:sz w:val="21"/>
                <w:szCs w:val="21"/>
              </w:rPr>
              <w:t>监测值</w:t>
            </w:r>
          </w:p>
        </w:tc>
        <w:tc>
          <w:tcPr>
            <w:tcW w:w="873" w:type="dxa"/>
            <w:gridSpan w:val="2"/>
            <w:vAlign w:val="center"/>
          </w:tcPr>
          <w:p>
            <w:pPr>
              <w:jc w:val="center"/>
              <w:rPr>
                <w:rFonts w:eastAsiaTheme="minorEastAsia"/>
                <w:color w:val="auto"/>
                <w:sz w:val="21"/>
                <w:szCs w:val="21"/>
              </w:rPr>
            </w:pPr>
            <w:r>
              <w:rPr>
                <w:rFonts w:eastAsiaTheme="minorEastAsia"/>
                <w:color w:val="auto"/>
                <w:sz w:val="21"/>
                <w:szCs w:val="21"/>
              </w:rPr>
              <w:t>2019.9.26</w:t>
            </w:r>
          </w:p>
        </w:tc>
        <w:tc>
          <w:tcPr>
            <w:tcW w:w="708" w:type="dxa"/>
            <w:vAlign w:val="center"/>
          </w:tcPr>
          <w:p>
            <w:pPr>
              <w:jc w:val="center"/>
              <w:rPr>
                <w:rFonts w:eastAsiaTheme="minorEastAsia"/>
                <w:color w:val="auto"/>
                <w:sz w:val="21"/>
                <w:szCs w:val="21"/>
              </w:rPr>
            </w:pPr>
            <w:r>
              <w:rPr>
                <w:rFonts w:eastAsiaTheme="minorEastAsia"/>
                <w:color w:val="auto"/>
                <w:sz w:val="21"/>
                <w:szCs w:val="21"/>
              </w:rPr>
              <w:t>29.2</w:t>
            </w:r>
          </w:p>
        </w:tc>
        <w:tc>
          <w:tcPr>
            <w:tcW w:w="709" w:type="dxa"/>
            <w:vAlign w:val="center"/>
          </w:tcPr>
          <w:p>
            <w:pPr>
              <w:jc w:val="center"/>
              <w:rPr>
                <w:rFonts w:eastAsiaTheme="minorEastAsia"/>
                <w:color w:val="auto"/>
                <w:sz w:val="21"/>
                <w:szCs w:val="21"/>
              </w:rPr>
            </w:pPr>
            <w:r>
              <w:rPr>
                <w:rFonts w:eastAsiaTheme="minorEastAsia"/>
                <w:color w:val="auto"/>
                <w:sz w:val="21"/>
                <w:szCs w:val="21"/>
              </w:rPr>
              <w:t>7.12</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0.82</w:t>
            </w:r>
          </w:p>
        </w:tc>
        <w:tc>
          <w:tcPr>
            <w:tcW w:w="992" w:type="dxa"/>
            <w:vAlign w:val="center"/>
          </w:tcPr>
          <w:p>
            <w:pPr>
              <w:jc w:val="center"/>
              <w:rPr>
                <w:rFonts w:eastAsiaTheme="minorEastAsia"/>
                <w:color w:val="auto"/>
                <w:sz w:val="21"/>
                <w:szCs w:val="21"/>
              </w:rPr>
            </w:pPr>
            <w:r>
              <w:rPr>
                <w:rFonts w:eastAsiaTheme="minorEastAsia"/>
                <w:color w:val="auto"/>
                <w:sz w:val="21"/>
                <w:szCs w:val="21"/>
              </w:rPr>
              <w:t>3.0</w:t>
            </w:r>
          </w:p>
        </w:tc>
        <w:tc>
          <w:tcPr>
            <w:tcW w:w="992" w:type="dxa"/>
            <w:vAlign w:val="center"/>
          </w:tcPr>
          <w:p>
            <w:pPr>
              <w:jc w:val="center"/>
              <w:rPr>
                <w:rFonts w:eastAsiaTheme="minorEastAsia"/>
                <w:color w:val="auto"/>
                <w:sz w:val="21"/>
                <w:szCs w:val="21"/>
              </w:rPr>
            </w:pPr>
            <w:r>
              <w:rPr>
                <w:rFonts w:eastAsiaTheme="minorEastAsia"/>
                <w:color w:val="auto"/>
                <w:sz w:val="21"/>
                <w:szCs w:val="21"/>
              </w:rPr>
              <w:t>14</w:t>
            </w:r>
          </w:p>
        </w:tc>
        <w:tc>
          <w:tcPr>
            <w:tcW w:w="1122" w:type="dxa"/>
            <w:vAlign w:val="center"/>
          </w:tcPr>
          <w:p>
            <w:pPr>
              <w:jc w:val="center"/>
              <w:rPr>
                <w:rFonts w:eastAsiaTheme="minorEastAsia"/>
                <w:color w:val="auto"/>
                <w:sz w:val="21"/>
                <w:szCs w:val="21"/>
              </w:rPr>
            </w:pPr>
            <w:r>
              <w:rPr>
                <w:rFonts w:eastAsiaTheme="minorEastAsia"/>
                <w:color w:val="auto"/>
                <w:sz w:val="21"/>
                <w:szCs w:val="21"/>
              </w:rPr>
              <w:t>/</w:t>
            </w:r>
          </w:p>
        </w:tc>
        <w:tc>
          <w:tcPr>
            <w:tcW w:w="939" w:type="dxa"/>
            <w:vAlign w:val="center"/>
          </w:tcPr>
          <w:p>
            <w:pPr>
              <w:jc w:val="center"/>
              <w:rPr>
                <w:rFonts w:eastAsiaTheme="minorEastAsia"/>
                <w:color w:val="auto"/>
                <w:sz w:val="21"/>
                <w:szCs w:val="21"/>
              </w:rPr>
            </w:pPr>
            <w:r>
              <w:rPr>
                <w:rFonts w:eastAsiaTheme="minorEastAsia"/>
                <w:color w:val="auto"/>
                <w:sz w:val="21"/>
                <w:szCs w:val="21"/>
              </w:rPr>
              <w:t>＜0.02</w:t>
            </w:r>
          </w:p>
        </w:tc>
        <w:tc>
          <w:tcPr>
            <w:tcW w:w="939" w:type="dxa"/>
            <w:vAlign w:val="center"/>
          </w:tcPr>
          <w:p>
            <w:pPr>
              <w:jc w:val="center"/>
              <w:rPr>
                <w:rFonts w:eastAsiaTheme="minorEastAsia"/>
                <w:color w:val="auto"/>
                <w:sz w:val="21"/>
                <w:szCs w:val="21"/>
              </w:rPr>
            </w:pPr>
            <w:r>
              <w:rPr>
                <w:rFonts w:eastAsiaTheme="minorEastAsia"/>
                <w:color w:val="auto"/>
                <w:sz w:val="21"/>
                <w:szCs w:val="21"/>
              </w:rPr>
              <w:t>/</w:t>
            </w:r>
          </w:p>
        </w:tc>
        <w:tc>
          <w:tcPr>
            <w:tcW w:w="969"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97" w:type="dxa"/>
            <w:vAlign w:val="center"/>
          </w:tcPr>
          <w:p>
            <w:pPr>
              <w:jc w:val="center"/>
              <w:rPr>
                <w:rFonts w:eastAsiaTheme="minorEastAsia"/>
                <w:color w:val="auto"/>
                <w:sz w:val="21"/>
                <w:szCs w:val="21"/>
              </w:rPr>
            </w:pPr>
            <w:r>
              <w:rPr>
                <w:rFonts w:eastAsiaTheme="minorEastAsia"/>
                <w:color w:val="auto"/>
                <w:sz w:val="21"/>
                <w:szCs w:val="21"/>
              </w:rPr>
              <w:t>/</w:t>
            </w:r>
          </w:p>
        </w:tc>
        <w:tc>
          <w:tcPr>
            <w:tcW w:w="736" w:type="dxa"/>
            <w:vAlign w:val="center"/>
          </w:tcPr>
          <w:p>
            <w:pPr>
              <w:jc w:val="center"/>
              <w:rPr>
                <w:rFonts w:eastAsiaTheme="minorEastAsia"/>
                <w:color w:val="auto"/>
                <w:sz w:val="21"/>
                <w:szCs w:val="21"/>
              </w:rPr>
            </w:pPr>
            <w:r>
              <w:rPr>
                <w:rFonts w:eastAsiaTheme="minorEastAsia"/>
                <w:color w:val="auto"/>
                <w:sz w:val="21"/>
                <w:szCs w:val="21"/>
              </w:rPr>
              <w:t>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hint="eastAsia"/>
                <w:color w:val="auto"/>
                <w:sz w:val="21"/>
                <w:szCs w:val="21"/>
              </w:rPr>
              <w:t>超标</w:t>
            </w:r>
            <w:r>
              <w:rPr>
                <w:rFonts w:hint="eastAsia"/>
                <w:color w:val="auto"/>
                <w:sz w:val="21"/>
                <w:szCs w:val="21"/>
                <w:lang w:eastAsia="zh-CN"/>
              </w:rPr>
              <w:t>率（</w:t>
            </w:r>
            <w:r>
              <w:rPr>
                <w:rFonts w:hint="eastAsia"/>
                <w:color w:val="auto"/>
                <w:sz w:val="21"/>
                <w:szCs w:val="21"/>
                <w:lang w:val="en-US" w:eastAsia="zh-CN"/>
              </w:rPr>
              <w:t>%</w:t>
            </w:r>
            <w:r>
              <w:rPr>
                <w:rFonts w:hint="eastAsia"/>
                <w:color w:val="auto"/>
                <w:sz w:val="21"/>
                <w:szCs w:val="21"/>
                <w:lang w:eastAsia="zh-CN"/>
              </w:rPr>
              <w:t>）</w:t>
            </w:r>
          </w:p>
        </w:tc>
        <w:tc>
          <w:tcPr>
            <w:tcW w:w="708" w:type="dxa"/>
            <w:vAlign w:val="center"/>
          </w:tcPr>
          <w:p>
            <w:pPr>
              <w:jc w:val="center"/>
              <w:rPr>
                <w:rFonts w:eastAsiaTheme="minorEastAsia"/>
                <w:color w:val="auto"/>
                <w:sz w:val="21"/>
                <w:szCs w:val="21"/>
              </w:rPr>
            </w:pPr>
            <w:r>
              <w:rPr>
                <w:rFonts w:hint="eastAsia"/>
                <w:color w:val="auto"/>
                <w:sz w:val="21"/>
                <w:szCs w:val="21"/>
              </w:rPr>
              <w:t>/</w:t>
            </w:r>
          </w:p>
        </w:tc>
        <w:tc>
          <w:tcPr>
            <w:tcW w:w="709" w:type="dxa"/>
            <w:vAlign w:val="center"/>
          </w:tcPr>
          <w:p>
            <w:pPr>
              <w:jc w:val="center"/>
              <w:rPr>
                <w:rFonts w:eastAsiaTheme="minorEastAsia"/>
                <w:color w:val="auto"/>
                <w:sz w:val="21"/>
                <w:szCs w:val="21"/>
              </w:rPr>
            </w:pPr>
            <w:r>
              <w:rPr>
                <w:rFonts w:hint="eastAsia"/>
                <w:color w:val="auto"/>
                <w:sz w:val="21"/>
                <w:szCs w:val="21"/>
              </w:rPr>
              <w:t>0</w:t>
            </w:r>
          </w:p>
        </w:tc>
        <w:tc>
          <w:tcPr>
            <w:tcW w:w="851" w:type="dxa"/>
            <w:vAlign w:val="center"/>
          </w:tcPr>
          <w:p>
            <w:pPr>
              <w:jc w:val="center"/>
              <w:rPr>
                <w:rFonts w:eastAsiaTheme="minorEastAsia"/>
                <w:color w:val="auto"/>
                <w:sz w:val="21"/>
                <w:szCs w:val="21"/>
              </w:rPr>
            </w:pPr>
            <w:r>
              <w:rPr>
                <w:rFonts w:hint="eastAsia"/>
                <w:color w:val="auto"/>
                <w:sz w:val="21"/>
                <w:szCs w:val="21"/>
              </w:rPr>
              <w:t>/</w:t>
            </w:r>
          </w:p>
        </w:tc>
        <w:tc>
          <w:tcPr>
            <w:tcW w:w="850" w:type="dxa"/>
            <w:vAlign w:val="center"/>
          </w:tcPr>
          <w:p>
            <w:pPr>
              <w:jc w:val="center"/>
              <w:rPr>
                <w:rFonts w:eastAsiaTheme="minorEastAsia"/>
                <w:color w:val="auto"/>
                <w:sz w:val="21"/>
                <w:szCs w:val="21"/>
              </w:rPr>
            </w:pPr>
            <w:r>
              <w:rPr>
                <w:rFonts w:hint="eastAsia"/>
                <w:color w:val="auto"/>
                <w:sz w:val="21"/>
                <w:szCs w:val="21"/>
              </w:rPr>
              <w:t>/</w:t>
            </w:r>
          </w:p>
        </w:tc>
        <w:tc>
          <w:tcPr>
            <w:tcW w:w="851" w:type="dxa"/>
            <w:vAlign w:val="center"/>
          </w:tcPr>
          <w:p>
            <w:pPr>
              <w:jc w:val="center"/>
              <w:rPr>
                <w:rFonts w:eastAsiaTheme="minorEastAsia"/>
                <w:color w:val="auto"/>
                <w:sz w:val="21"/>
                <w:szCs w:val="21"/>
              </w:rPr>
            </w:pPr>
            <w:r>
              <w:rPr>
                <w:rFonts w:hint="eastAsia"/>
                <w:color w:val="auto"/>
                <w:sz w:val="21"/>
                <w:szCs w:val="21"/>
              </w:rPr>
              <w:t>0</w:t>
            </w:r>
          </w:p>
        </w:tc>
        <w:tc>
          <w:tcPr>
            <w:tcW w:w="992" w:type="dxa"/>
            <w:vAlign w:val="center"/>
          </w:tcPr>
          <w:p>
            <w:pPr>
              <w:jc w:val="center"/>
              <w:rPr>
                <w:rFonts w:eastAsiaTheme="minorEastAsia"/>
                <w:color w:val="auto"/>
                <w:sz w:val="21"/>
                <w:szCs w:val="21"/>
              </w:rPr>
            </w:pPr>
            <w:r>
              <w:rPr>
                <w:rFonts w:hint="eastAsia"/>
                <w:color w:val="auto"/>
                <w:sz w:val="21"/>
                <w:szCs w:val="21"/>
              </w:rPr>
              <w:t>0</w:t>
            </w:r>
          </w:p>
        </w:tc>
        <w:tc>
          <w:tcPr>
            <w:tcW w:w="992" w:type="dxa"/>
            <w:vAlign w:val="center"/>
          </w:tcPr>
          <w:p>
            <w:pPr>
              <w:jc w:val="center"/>
              <w:rPr>
                <w:rFonts w:eastAsiaTheme="minorEastAsia"/>
                <w:color w:val="auto"/>
                <w:sz w:val="21"/>
                <w:szCs w:val="21"/>
              </w:rPr>
            </w:pPr>
            <w:r>
              <w:rPr>
                <w:rFonts w:hint="eastAsia"/>
                <w:color w:val="auto"/>
                <w:sz w:val="21"/>
                <w:szCs w:val="21"/>
              </w:rPr>
              <w:t>0</w:t>
            </w:r>
          </w:p>
        </w:tc>
        <w:tc>
          <w:tcPr>
            <w:tcW w:w="1122" w:type="dxa"/>
            <w:vAlign w:val="center"/>
          </w:tcPr>
          <w:p>
            <w:pPr>
              <w:jc w:val="center"/>
              <w:rPr>
                <w:rFonts w:eastAsiaTheme="minorEastAsia"/>
                <w:color w:val="auto"/>
                <w:sz w:val="21"/>
                <w:szCs w:val="21"/>
              </w:rPr>
            </w:pPr>
            <w:r>
              <w:rPr>
                <w:rFonts w:hint="eastAsia"/>
                <w:color w:val="auto"/>
                <w:sz w:val="21"/>
                <w:szCs w:val="21"/>
              </w:rPr>
              <w:t>/</w:t>
            </w:r>
          </w:p>
        </w:tc>
        <w:tc>
          <w:tcPr>
            <w:tcW w:w="939" w:type="dxa"/>
            <w:vAlign w:val="center"/>
          </w:tcPr>
          <w:p>
            <w:pPr>
              <w:jc w:val="center"/>
              <w:rPr>
                <w:rFonts w:eastAsiaTheme="minorEastAsia"/>
                <w:color w:val="auto"/>
                <w:sz w:val="21"/>
                <w:szCs w:val="21"/>
              </w:rPr>
            </w:pPr>
            <w:r>
              <w:rPr>
                <w:rFonts w:hint="eastAsia"/>
                <w:color w:val="auto"/>
                <w:sz w:val="21"/>
                <w:szCs w:val="21"/>
              </w:rPr>
              <w:t>0</w:t>
            </w:r>
          </w:p>
        </w:tc>
        <w:tc>
          <w:tcPr>
            <w:tcW w:w="939" w:type="dxa"/>
            <w:vAlign w:val="center"/>
          </w:tcPr>
          <w:p>
            <w:pPr>
              <w:jc w:val="center"/>
              <w:rPr>
                <w:rFonts w:eastAsiaTheme="minorEastAsia"/>
                <w:color w:val="auto"/>
                <w:sz w:val="21"/>
                <w:szCs w:val="21"/>
              </w:rPr>
            </w:pPr>
            <w:r>
              <w:rPr>
                <w:rFonts w:hint="eastAsia"/>
                <w:color w:val="auto"/>
                <w:sz w:val="21"/>
                <w:szCs w:val="21"/>
              </w:rPr>
              <w:t>/</w:t>
            </w:r>
          </w:p>
        </w:tc>
        <w:tc>
          <w:tcPr>
            <w:tcW w:w="969" w:type="dxa"/>
            <w:vAlign w:val="center"/>
          </w:tcPr>
          <w:p>
            <w:pPr>
              <w:jc w:val="center"/>
              <w:rPr>
                <w:rFonts w:eastAsiaTheme="minorEastAsia"/>
                <w:color w:val="auto"/>
                <w:sz w:val="21"/>
                <w:szCs w:val="21"/>
              </w:rPr>
            </w:pPr>
            <w:r>
              <w:rPr>
                <w:rFonts w:hint="eastAsia"/>
                <w:color w:val="auto"/>
                <w:sz w:val="21"/>
                <w:szCs w:val="21"/>
              </w:rPr>
              <w:t>/</w:t>
            </w:r>
          </w:p>
        </w:tc>
        <w:tc>
          <w:tcPr>
            <w:tcW w:w="851" w:type="dxa"/>
            <w:vAlign w:val="center"/>
          </w:tcPr>
          <w:p>
            <w:pPr>
              <w:jc w:val="center"/>
              <w:rPr>
                <w:rFonts w:eastAsiaTheme="minorEastAsia"/>
                <w:color w:val="auto"/>
                <w:sz w:val="21"/>
                <w:szCs w:val="21"/>
              </w:rPr>
            </w:pPr>
            <w:r>
              <w:rPr>
                <w:rFonts w:hint="eastAsia"/>
                <w:color w:val="auto"/>
                <w:sz w:val="21"/>
                <w:szCs w:val="21"/>
              </w:rPr>
              <w:t>/</w:t>
            </w:r>
          </w:p>
        </w:tc>
        <w:tc>
          <w:tcPr>
            <w:tcW w:w="997" w:type="dxa"/>
            <w:vAlign w:val="center"/>
          </w:tcPr>
          <w:p>
            <w:pPr>
              <w:jc w:val="center"/>
              <w:rPr>
                <w:rFonts w:eastAsiaTheme="minorEastAsia"/>
                <w:color w:val="auto"/>
                <w:sz w:val="21"/>
                <w:szCs w:val="21"/>
              </w:rPr>
            </w:pPr>
            <w:r>
              <w:rPr>
                <w:rFonts w:hint="eastAsia"/>
                <w:color w:val="auto"/>
                <w:sz w:val="21"/>
                <w:szCs w:val="21"/>
              </w:rPr>
              <w:t>/</w:t>
            </w:r>
          </w:p>
        </w:tc>
        <w:tc>
          <w:tcPr>
            <w:tcW w:w="736" w:type="dxa"/>
            <w:vAlign w:val="center"/>
          </w:tcPr>
          <w:p>
            <w:pPr>
              <w:jc w:val="center"/>
              <w:rPr>
                <w:rFonts w:eastAsiaTheme="minorEastAsia"/>
                <w:color w:val="auto"/>
                <w:sz w:val="21"/>
                <w:szCs w:val="21"/>
              </w:rPr>
            </w:pPr>
            <w:r>
              <w:rPr>
                <w:rFonts w:hint="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hint="eastAsia"/>
                <w:color w:val="auto"/>
                <w:sz w:val="21"/>
                <w:szCs w:val="21"/>
              </w:rPr>
              <w:t>最大超标倍数</w:t>
            </w:r>
          </w:p>
        </w:tc>
        <w:tc>
          <w:tcPr>
            <w:tcW w:w="708" w:type="dxa"/>
            <w:vAlign w:val="center"/>
          </w:tcPr>
          <w:p>
            <w:pPr>
              <w:jc w:val="center"/>
              <w:rPr>
                <w:rFonts w:eastAsiaTheme="minorEastAsia"/>
                <w:color w:val="auto"/>
                <w:sz w:val="21"/>
                <w:szCs w:val="21"/>
              </w:rPr>
            </w:pPr>
            <w:r>
              <w:rPr>
                <w:rFonts w:hint="eastAsia"/>
                <w:color w:val="auto"/>
                <w:sz w:val="21"/>
                <w:szCs w:val="21"/>
              </w:rPr>
              <w:t>/</w:t>
            </w:r>
          </w:p>
        </w:tc>
        <w:tc>
          <w:tcPr>
            <w:tcW w:w="709" w:type="dxa"/>
            <w:vAlign w:val="center"/>
          </w:tcPr>
          <w:p>
            <w:pPr>
              <w:jc w:val="center"/>
              <w:rPr>
                <w:rFonts w:eastAsiaTheme="minorEastAsia"/>
                <w:color w:val="auto"/>
                <w:sz w:val="21"/>
                <w:szCs w:val="21"/>
              </w:rPr>
            </w:pPr>
            <w:r>
              <w:rPr>
                <w:rFonts w:hint="eastAsia"/>
                <w:color w:val="auto"/>
                <w:sz w:val="21"/>
                <w:szCs w:val="21"/>
              </w:rPr>
              <w:t>0</w:t>
            </w:r>
          </w:p>
        </w:tc>
        <w:tc>
          <w:tcPr>
            <w:tcW w:w="851" w:type="dxa"/>
            <w:vAlign w:val="center"/>
          </w:tcPr>
          <w:p>
            <w:pPr>
              <w:jc w:val="center"/>
              <w:rPr>
                <w:rFonts w:eastAsiaTheme="minorEastAsia"/>
                <w:color w:val="auto"/>
                <w:sz w:val="21"/>
                <w:szCs w:val="21"/>
              </w:rPr>
            </w:pPr>
            <w:r>
              <w:rPr>
                <w:rFonts w:hint="eastAsia"/>
                <w:color w:val="auto"/>
                <w:sz w:val="21"/>
                <w:szCs w:val="21"/>
              </w:rPr>
              <w:t>/</w:t>
            </w:r>
          </w:p>
        </w:tc>
        <w:tc>
          <w:tcPr>
            <w:tcW w:w="850" w:type="dxa"/>
            <w:vAlign w:val="center"/>
          </w:tcPr>
          <w:p>
            <w:pPr>
              <w:jc w:val="center"/>
              <w:rPr>
                <w:rFonts w:eastAsiaTheme="minorEastAsia"/>
                <w:color w:val="auto"/>
                <w:sz w:val="21"/>
                <w:szCs w:val="21"/>
              </w:rPr>
            </w:pPr>
            <w:r>
              <w:rPr>
                <w:rFonts w:hint="eastAsia"/>
                <w:color w:val="auto"/>
                <w:sz w:val="21"/>
                <w:szCs w:val="21"/>
              </w:rPr>
              <w:t>/</w:t>
            </w:r>
          </w:p>
        </w:tc>
        <w:tc>
          <w:tcPr>
            <w:tcW w:w="851" w:type="dxa"/>
            <w:vAlign w:val="center"/>
          </w:tcPr>
          <w:p>
            <w:pPr>
              <w:jc w:val="center"/>
              <w:rPr>
                <w:rFonts w:eastAsiaTheme="minorEastAsia"/>
                <w:color w:val="auto"/>
                <w:sz w:val="21"/>
                <w:szCs w:val="21"/>
              </w:rPr>
            </w:pPr>
            <w:r>
              <w:rPr>
                <w:rFonts w:hint="eastAsia"/>
                <w:color w:val="auto"/>
                <w:sz w:val="21"/>
                <w:szCs w:val="21"/>
              </w:rPr>
              <w:t>0</w:t>
            </w:r>
          </w:p>
        </w:tc>
        <w:tc>
          <w:tcPr>
            <w:tcW w:w="992" w:type="dxa"/>
            <w:vAlign w:val="center"/>
          </w:tcPr>
          <w:p>
            <w:pPr>
              <w:jc w:val="center"/>
              <w:rPr>
                <w:rFonts w:eastAsiaTheme="minorEastAsia"/>
                <w:color w:val="auto"/>
                <w:sz w:val="21"/>
                <w:szCs w:val="21"/>
              </w:rPr>
            </w:pPr>
            <w:r>
              <w:rPr>
                <w:rFonts w:hint="eastAsia"/>
                <w:color w:val="auto"/>
                <w:sz w:val="21"/>
                <w:szCs w:val="21"/>
              </w:rPr>
              <w:t>0</w:t>
            </w:r>
          </w:p>
        </w:tc>
        <w:tc>
          <w:tcPr>
            <w:tcW w:w="992" w:type="dxa"/>
            <w:vAlign w:val="center"/>
          </w:tcPr>
          <w:p>
            <w:pPr>
              <w:jc w:val="center"/>
              <w:rPr>
                <w:rFonts w:eastAsiaTheme="minorEastAsia"/>
                <w:color w:val="auto"/>
                <w:sz w:val="21"/>
                <w:szCs w:val="21"/>
              </w:rPr>
            </w:pPr>
            <w:r>
              <w:rPr>
                <w:rFonts w:hint="eastAsia"/>
                <w:color w:val="auto"/>
                <w:sz w:val="21"/>
                <w:szCs w:val="21"/>
              </w:rPr>
              <w:t>0</w:t>
            </w:r>
          </w:p>
        </w:tc>
        <w:tc>
          <w:tcPr>
            <w:tcW w:w="1122" w:type="dxa"/>
            <w:vAlign w:val="center"/>
          </w:tcPr>
          <w:p>
            <w:pPr>
              <w:jc w:val="center"/>
              <w:rPr>
                <w:rFonts w:eastAsiaTheme="minorEastAsia"/>
                <w:color w:val="auto"/>
                <w:sz w:val="21"/>
                <w:szCs w:val="21"/>
              </w:rPr>
            </w:pPr>
            <w:r>
              <w:rPr>
                <w:rFonts w:hint="eastAsia"/>
                <w:color w:val="auto"/>
                <w:sz w:val="21"/>
                <w:szCs w:val="21"/>
              </w:rPr>
              <w:t>/</w:t>
            </w:r>
          </w:p>
        </w:tc>
        <w:tc>
          <w:tcPr>
            <w:tcW w:w="939" w:type="dxa"/>
            <w:vAlign w:val="center"/>
          </w:tcPr>
          <w:p>
            <w:pPr>
              <w:jc w:val="center"/>
              <w:rPr>
                <w:rFonts w:eastAsiaTheme="minorEastAsia"/>
                <w:color w:val="auto"/>
                <w:sz w:val="21"/>
                <w:szCs w:val="21"/>
              </w:rPr>
            </w:pPr>
            <w:r>
              <w:rPr>
                <w:rFonts w:hint="eastAsia"/>
                <w:color w:val="auto"/>
                <w:sz w:val="21"/>
                <w:szCs w:val="21"/>
              </w:rPr>
              <w:t>0</w:t>
            </w:r>
          </w:p>
        </w:tc>
        <w:tc>
          <w:tcPr>
            <w:tcW w:w="939" w:type="dxa"/>
            <w:vAlign w:val="center"/>
          </w:tcPr>
          <w:p>
            <w:pPr>
              <w:jc w:val="center"/>
              <w:rPr>
                <w:rFonts w:eastAsiaTheme="minorEastAsia"/>
                <w:color w:val="auto"/>
                <w:sz w:val="21"/>
                <w:szCs w:val="21"/>
              </w:rPr>
            </w:pPr>
            <w:r>
              <w:rPr>
                <w:rFonts w:hint="eastAsia"/>
                <w:color w:val="auto"/>
                <w:sz w:val="21"/>
                <w:szCs w:val="21"/>
              </w:rPr>
              <w:t>/</w:t>
            </w:r>
          </w:p>
        </w:tc>
        <w:tc>
          <w:tcPr>
            <w:tcW w:w="969" w:type="dxa"/>
            <w:vAlign w:val="center"/>
          </w:tcPr>
          <w:p>
            <w:pPr>
              <w:jc w:val="center"/>
              <w:rPr>
                <w:rFonts w:eastAsiaTheme="minorEastAsia"/>
                <w:color w:val="auto"/>
                <w:sz w:val="21"/>
                <w:szCs w:val="21"/>
              </w:rPr>
            </w:pPr>
            <w:r>
              <w:rPr>
                <w:rFonts w:hint="eastAsia"/>
                <w:color w:val="auto"/>
                <w:sz w:val="21"/>
                <w:szCs w:val="21"/>
              </w:rPr>
              <w:t>/</w:t>
            </w:r>
          </w:p>
        </w:tc>
        <w:tc>
          <w:tcPr>
            <w:tcW w:w="851" w:type="dxa"/>
            <w:vAlign w:val="center"/>
          </w:tcPr>
          <w:p>
            <w:pPr>
              <w:jc w:val="center"/>
              <w:rPr>
                <w:rFonts w:eastAsiaTheme="minorEastAsia"/>
                <w:color w:val="auto"/>
                <w:sz w:val="21"/>
                <w:szCs w:val="21"/>
              </w:rPr>
            </w:pPr>
            <w:r>
              <w:rPr>
                <w:rFonts w:hint="eastAsia"/>
                <w:color w:val="auto"/>
                <w:sz w:val="21"/>
                <w:szCs w:val="21"/>
              </w:rPr>
              <w:t>/</w:t>
            </w:r>
          </w:p>
        </w:tc>
        <w:tc>
          <w:tcPr>
            <w:tcW w:w="997" w:type="dxa"/>
            <w:vAlign w:val="center"/>
          </w:tcPr>
          <w:p>
            <w:pPr>
              <w:jc w:val="center"/>
              <w:rPr>
                <w:rFonts w:eastAsiaTheme="minorEastAsia"/>
                <w:color w:val="auto"/>
                <w:sz w:val="21"/>
                <w:szCs w:val="21"/>
              </w:rPr>
            </w:pPr>
            <w:r>
              <w:rPr>
                <w:rFonts w:hint="eastAsia"/>
                <w:color w:val="auto"/>
                <w:sz w:val="21"/>
                <w:szCs w:val="21"/>
              </w:rPr>
              <w:t>/</w:t>
            </w:r>
          </w:p>
        </w:tc>
        <w:tc>
          <w:tcPr>
            <w:tcW w:w="736" w:type="dxa"/>
            <w:vAlign w:val="center"/>
          </w:tcPr>
          <w:p>
            <w:pPr>
              <w:jc w:val="center"/>
              <w:rPr>
                <w:rFonts w:eastAsiaTheme="minorEastAsia"/>
                <w:color w:val="auto"/>
                <w:sz w:val="21"/>
                <w:szCs w:val="21"/>
              </w:rPr>
            </w:pPr>
            <w:r>
              <w:rPr>
                <w:rFonts w:hint="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hint="eastAsia"/>
                <w:color w:val="auto"/>
                <w:sz w:val="21"/>
                <w:szCs w:val="21"/>
              </w:rPr>
              <w:t>最大单因子指数</w:t>
            </w:r>
          </w:p>
        </w:tc>
        <w:tc>
          <w:tcPr>
            <w:tcW w:w="708" w:type="dxa"/>
            <w:vAlign w:val="center"/>
          </w:tcPr>
          <w:p>
            <w:pPr>
              <w:jc w:val="center"/>
              <w:rPr>
                <w:rFonts w:eastAsiaTheme="minorEastAsia"/>
                <w:color w:val="auto"/>
                <w:sz w:val="21"/>
                <w:szCs w:val="21"/>
              </w:rPr>
            </w:pPr>
            <w:r>
              <w:rPr>
                <w:rFonts w:hint="eastAsia"/>
                <w:color w:val="auto"/>
                <w:sz w:val="21"/>
                <w:szCs w:val="21"/>
              </w:rPr>
              <w:t>/</w:t>
            </w:r>
          </w:p>
        </w:tc>
        <w:tc>
          <w:tcPr>
            <w:tcW w:w="709" w:type="dxa"/>
            <w:vAlign w:val="center"/>
          </w:tcPr>
          <w:p>
            <w:pPr>
              <w:jc w:val="center"/>
              <w:rPr>
                <w:rFonts w:eastAsiaTheme="minorEastAsia"/>
                <w:color w:val="auto"/>
                <w:sz w:val="21"/>
                <w:szCs w:val="21"/>
              </w:rPr>
            </w:pPr>
            <w:r>
              <w:rPr>
                <w:rFonts w:hint="eastAsia"/>
                <w:color w:val="auto"/>
                <w:sz w:val="21"/>
                <w:szCs w:val="21"/>
              </w:rPr>
              <w:t>0</w:t>
            </w:r>
            <w:r>
              <w:rPr>
                <w:color w:val="auto"/>
                <w:sz w:val="21"/>
                <w:szCs w:val="21"/>
              </w:rPr>
              <w:t>.06</w:t>
            </w:r>
          </w:p>
        </w:tc>
        <w:tc>
          <w:tcPr>
            <w:tcW w:w="851" w:type="dxa"/>
            <w:vAlign w:val="center"/>
          </w:tcPr>
          <w:p>
            <w:pPr>
              <w:jc w:val="center"/>
              <w:rPr>
                <w:rFonts w:eastAsiaTheme="minorEastAsia"/>
                <w:color w:val="auto"/>
                <w:sz w:val="21"/>
                <w:szCs w:val="21"/>
              </w:rPr>
            </w:pPr>
            <w:r>
              <w:rPr>
                <w:rFonts w:hint="eastAsia"/>
                <w:color w:val="auto"/>
                <w:sz w:val="21"/>
                <w:szCs w:val="21"/>
              </w:rPr>
              <w:t>/</w:t>
            </w:r>
          </w:p>
        </w:tc>
        <w:tc>
          <w:tcPr>
            <w:tcW w:w="850" w:type="dxa"/>
            <w:vAlign w:val="center"/>
          </w:tcPr>
          <w:p>
            <w:pPr>
              <w:jc w:val="center"/>
              <w:rPr>
                <w:rFonts w:eastAsiaTheme="minorEastAsia"/>
                <w:color w:val="auto"/>
                <w:sz w:val="21"/>
                <w:szCs w:val="21"/>
              </w:rPr>
            </w:pPr>
            <w:r>
              <w:rPr>
                <w:rFonts w:hint="eastAsia"/>
                <w:color w:val="auto"/>
                <w:sz w:val="21"/>
                <w:szCs w:val="21"/>
              </w:rPr>
              <w:t>/</w:t>
            </w:r>
          </w:p>
        </w:tc>
        <w:tc>
          <w:tcPr>
            <w:tcW w:w="851" w:type="dxa"/>
            <w:vAlign w:val="center"/>
          </w:tcPr>
          <w:p>
            <w:pPr>
              <w:jc w:val="center"/>
              <w:rPr>
                <w:rFonts w:eastAsiaTheme="minorEastAsia"/>
                <w:color w:val="auto"/>
                <w:sz w:val="21"/>
                <w:szCs w:val="21"/>
              </w:rPr>
            </w:pPr>
            <w:r>
              <w:rPr>
                <w:rFonts w:hint="eastAsia"/>
                <w:color w:val="auto"/>
                <w:sz w:val="21"/>
                <w:szCs w:val="21"/>
              </w:rPr>
              <w:t>0</w:t>
            </w:r>
            <w:r>
              <w:rPr>
                <w:color w:val="auto"/>
                <w:sz w:val="21"/>
                <w:szCs w:val="21"/>
              </w:rPr>
              <w:t>.82</w:t>
            </w:r>
          </w:p>
        </w:tc>
        <w:tc>
          <w:tcPr>
            <w:tcW w:w="992" w:type="dxa"/>
            <w:vAlign w:val="center"/>
          </w:tcPr>
          <w:p>
            <w:pPr>
              <w:jc w:val="center"/>
              <w:rPr>
                <w:rFonts w:eastAsiaTheme="minorEastAsia"/>
                <w:color w:val="auto"/>
                <w:sz w:val="21"/>
                <w:szCs w:val="21"/>
              </w:rPr>
            </w:pPr>
            <w:r>
              <w:rPr>
                <w:rFonts w:hint="eastAsia"/>
                <w:color w:val="auto"/>
                <w:sz w:val="21"/>
                <w:szCs w:val="21"/>
              </w:rPr>
              <w:t>0</w:t>
            </w:r>
            <w:r>
              <w:rPr>
                <w:color w:val="auto"/>
                <w:sz w:val="21"/>
                <w:szCs w:val="21"/>
              </w:rPr>
              <w:t>.50</w:t>
            </w:r>
          </w:p>
        </w:tc>
        <w:tc>
          <w:tcPr>
            <w:tcW w:w="992" w:type="dxa"/>
            <w:vAlign w:val="center"/>
          </w:tcPr>
          <w:p>
            <w:pPr>
              <w:jc w:val="center"/>
              <w:rPr>
                <w:rFonts w:eastAsiaTheme="minorEastAsia"/>
                <w:color w:val="auto"/>
                <w:sz w:val="21"/>
                <w:szCs w:val="21"/>
              </w:rPr>
            </w:pPr>
            <w:r>
              <w:rPr>
                <w:rFonts w:hint="eastAsia"/>
                <w:color w:val="auto"/>
                <w:sz w:val="21"/>
                <w:szCs w:val="21"/>
              </w:rPr>
              <w:t>0</w:t>
            </w:r>
            <w:r>
              <w:rPr>
                <w:color w:val="auto"/>
                <w:sz w:val="21"/>
                <w:szCs w:val="21"/>
              </w:rPr>
              <w:t>.70</w:t>
            </w:r>
          </w:p>
        </w:tc>
        <w:tc>
          <w:tcPr>
            <w:tcW w:w="1122" w:type="dxa"/>
            <w:vAlign w:val="center"/>
          </w:tcPr>
          <w:p>
            <w:pPr>
              <w:jc w:val="center"/>
              <w:rPr>
                <w:rFonts w:eastAsiaTheme="minorEastAsia"/>
                <w:color w:val="auto"/>
                <w:sz w:val="21"/>
                <w:szCs w:val="21"/>
              </w:rPr>
            </w:pPr>
            <w:r>
              <w:rPr>
                <w:rFonts w:hint="eastAsia"/>
                <w:color w:val="auto"/>
                <w:sz w:val="21"/>
                <w:szCs w:val="21"/>
              </w:rPr>
              <w:t>/</w:t>
            </w:r>
          </w:p>
        </w:tc>
        <w:tc>
          <w:tcPr>
            <w:tcW w:w="939" w:type="dxa"/>
            <w:vAlign w:val="center"/>
          </w:tcPr>
          <w:p>
            <w:pPr>
              <w:jc w:val="center"/>
              <w:rPr>
                <w:rFonts w:eastAsiaTheme="minorEastAsia"/>
                <w:color w:val="auto"/>
                <w:sz w:val="21"/>
                <w:szCs w:val="21"/>
              </w:rPr>
            </w:pPr>
            <w:r>
              <w:rPr>
                <w:rFonts w:hint="eastAsia"/>
                <w:color w:val="auto"/>
                <w:sz w:val="21"/>
                <w:szCs w:val="21"/>
              </w:rPr>
              <w:t>/</w:t>
            </w:r>
          </w:p>
        </w:tc>
        <w:tc>
          <w:tcPr>
            <w:tcW w:w="939" w:type="dxa"/>
            <w:vAlign w:val="center"/>
          </w:tcPr>
          <w:p>
            <w:pPr>
              <w:jc w:val="center"/>
              <w:rPr>
                <w:rFonts w:eastAsiaTheme="minorEastAsia"/>
                <w:color w:val="auto"/>
                <w:sz w:val="21"/>
                <w:szCs w:val="21"/>
              </w:rPr>
            </w:pPr>
            <w:r>
              <w:rPr>
                <w:rFonts w:hint="eastAsia"/>
                <w:color w:val="auto"/>
                <w:sz w:val="21"/>
                <w:szCs w:val="21"/>
              </w:rPr>
              <w:t>/</w:t>
            </w:r>
          </w:p>
        </w:tc>
        <w:tc>
          <w:tcPr>
            <w:tcW w:w="969" w:type="dxa"/>
            <w:vAlign w:val="center"/>
          </w:tcPr>
          <w:p>
            <w:pPr>
              <w:jc w:val="center"/>
              <w:rPr>
                <w:rFonts w:eastAsiaTheme="minorEastAsia"/>
                <w:color w:val="auto"/>
                <w:sz w:val="21"/>
                <w:szCs w:val="21"/>
              </w:rPr>
            </w:pPr>
            <w:r>
              <w:rPr>
                <w:rFonts w:hint="eastAsia"/>
                <w:color w:val="auto"/>
                <w:sz w:val="21"/>
                <w:szCs w:val="21"/>
              </w:rPr>
              <w:t>/</w:t>
            </w:r>
          </w:p>
        </w:tc>
        <w:tc>
          <w:tcPr>
            <w:tcW w:w="851" w:type="dxa"/>
            <w:vAlign w:val="center"/>
          </w:tcPr>
          <w:p>
            <w:pPr>
              <w:jc w:val="center"/>
              <w:rPr>
                <w:rFonts w:eastAsiaTheme="minorEastAsia"/>
                <w:color w:val="auto"/>
                <w:sz w:val="21"/>
                <w:szCs w:val="21"/>
              </w:rPr>
            </w:pPr>
            <w:r>
              <w:rPr>
                <w:rFonts w:hint="eastAsia"/>
                <w:color w:val="auto"/>
                <w:sz w:val="21"/>
                <w:szCs w:val="21"/>
              </w:rPr>
              <w:t>/</w:t>
            </w:r>
          </w:p>
        </w:tc>
        <w:tc>
          <w:tcPr>
            <w:tcW w:w="997" w:type="dxa"/>
            <w:vAlign w:val="center"/>
          </w:tcPr>
          <w:p>
            <w:pPr>
              <w:jc w:val="center"/>
              <w:rPr>
                <w:rFonts w:eastAsiaTheme="minorEastAsia"/>
                <w:color w:val="auto"/>
                <w:sz w:val="21"/>
                <w:szCs w:val="21"/>
              </w:rPr>
            </w:pPr>
            <w:r>
              <w:rPr>
                <w:rFonts w:hint="eastAsia"/>
                <w:color w:val="auto"/>
                <w:sz w:val="21"/>
                <w:szCs w:val="21"/>
              </w:rPr>
              <w:t>/</w:t>
            </w:r>
          </w:p>
        </w:tc>
        <w:tc>
          <w:tcPr>
            <w:tcW w:w="736" w:type="dxa"/>
            <w:vAlign w:val="center"/>
          </w:tcPr>
          <w:p>
            <w:pPr>
              <w:jc w:val="center"/>
              <w:rPr>
                <w:rFonts w:eastAsiaTheme="minorEastAsia"/>
                <w:color w:val="auto"/>
                <w:sz w:val="21"/>
                <w:szCs w:val="21"/>
              </w:rPr>
            </w:pPr>
            <w:r>
              <w:rPr>
                <w:rFonts w:hint="eastAsia"/>
                <w:color w:val="auto"/>
                <w:sz w:val="21"/>
                <w:szCs w:val="21"/>
              </w:rPr>
              <w:t>0</w:t>
            </w:r>
            <w:r>
              <w:rPr>
                <w:color w:val="auto"/>
                <w:sz w:val="21"/>
                <w:szCs w:val="21"/>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2" w:type="dxa"/>
            <w:vMerge w:val="continue"/>
            <w:vAlign w:val="center"/>
          </w:tcPr>
          <w:p>
            <w:pPr>
              <w:jc w:val="center"/>
              <w:rPr>
                <w:rFonts w:eastAsiaTheme="minorEastAsia"/>
                <w:color w:val="auto"/>
                <w:sz w:val="21"/>
                <w:szCs w:val="21"/>
              </w:rPr>
            </w:pPr>
          </w:p>
        </w:tc>
        <w:tc>
          <w:tcPr>
            <w:tcW w:w="1276" w:type="dxa"/>
            <w:gridSpan w:val="3"/>
            <w:vAlign w:val="center"/>
          </w:tcPr>
          <w:p>
            <w:pPr>
              <w:jc w:val="center"/>
              <w:rPr>
                <w:rFonts w:eastAsiaTheme="minorEastAsia"/>
                <w:color w:val="auto"/>
                <w:sz w:val="21"/>
                <w:szCs w:val="21"/>
              </w:rPr>
            </w:pPr>
            <w:r>
              <w:rPr>
                <w:rFonts w:hint="eastAsia"/>
                <w:color w:val="auto"/>
                <w:sz w:val="21"/>
                <w:szCs w:val="21"/>
              </w:rPr>
              <w:t>标准值（mg/L）</w:t>
            </w:r>
          </w:p>
        </w:tc>
        <w:tc>
          <w:tcPr>
            <w:tcW w:w="708" w:type="dxa"/>
            <w:vAlign w:val="center"/>
          </w:tcPr>
          <w:p>
            <w:pPr>
              <w:jc w:val="center"/>
              <w:rPr>
                <w:rFonts w:eastAsiaTheme="minorEastAsia"/>
                <w:color w:val="auto"/>
                <w:sz w:val="21"/>
                <w:szCs w:val="21"/>
              </w:rPr>
            </w:pPr>
            <w:r>
              <w:rPr>
                <w:rFonts w:hint="eastAsia"/>
                <w:color w:val="auto"/>
                <w:sz w:val="21"/>
                <w:szCs w:val="21"/>
              </w:rPr>
              <w:t>-</w:t>
            </w:r>
            <w:r>
              <w:rPr>
                <w:color w:val="auto"/>
                <w:sz w:val="21"/>
                <w:szCs w:val="21"/>
              </w:rPr>
              <w:t>--</w:t>
            </w:r>
          </w:p>
        </w:tc>
        <w:tc>
          <w:tcPr>
            <w:tcW w:w="709" w:type="dxa"/>
            <w:vAlign w:val="center"/>
          </w:tcPr>
          <w:p>
            <w:pPr>
              <w:jc w:val="center"/>
              <w:rPr>
                <w:rFonts w:eastAsiaTheme="minorEastAsia"/>
                <w:color w:val="auto"/>
                <w:sz w:val="21"/>
                <w:szCs w:val="21"/>
              </w:rPr>
            </w:pPr>
            <w:r>
              <w:rPr>
                <w:rFonts w:hint="eastAsia"/>
                <w:color w:val="auto"/>
                <w:sz w:val="21"/>
                <w:szCs w:val="21"/>
              </w:rPr>
              <w:t>6~</w:t>
            </w:r>
            <w:r>
              <w:rPr>
                <w:color w:val="auto"/>
                <w:sz w:val="21"/>
                <w:szCs w:val="21"/>
              </w:rPr>
              <w:t>9</w:t>
            </w:r>
          </w:p>
        </w:tc>
        <w:tc>
          <w:tcPr>
            <w:tcW w:w="851" w:type="dxa"/>
            <w:vAlign w:val="center"/>
          </w:tcPr>
          <w:p>
            <w:pPr>
              <w:jc w:val="center"/>
              <w:rPr>
                <w:rFonts w:eastAsiaTheme="minorEastAsia"/>
                <w:color w:val="auto"/>
                <w:sz w:val="21"/>
                <w:szCs w:val="21"/>
              </w:rPr>
            </w:pPr>
            <w:r>
              <w:rPr>
                <w:rFonts w:hint="eastAsia"/>
                <w:color w:val="auto"/>
                <w:sz w:val="21"/>
                <w:szCs w:val="21"/>
              </w:rPr>
              <w:t>≥5</w:t>
            </w:r>
          </w:p>
        </w:tc>
        <w:tc>
          <w:tcPr>
            <w:tcW w:w="850" w:type="dxa"/>
            <w:vAlign w:val="center"/>
          </w:tcPr>
          <w:p>
            <w:pPr>
              <w:jc w:val="center"/>
              <w:rPr>
                <w:rFonts w:eastAsiaTheme="minorEastAsia"/>
                <w:color w:val="auto"/>
                <w:sz w:val="21"/>
                <w:szCs w:val="21"/>
              </w:rPr>
            </w:pPr>
            <w:r>
              <w:rPr>
                <w:rFonts w:hint="eastAsia"/>
                <w:color w:val="auto"/>
                <w:sz w:val="21"/>
                <w:szCs w:val="21"/>
              </w:rPr>
              <w:t>≤1</w:t>
            </w:r>
            <w:r>
              <w:rPr>
                <w:color w:val="auto"/>
                <w:sz w:val="21"/>
                <w:szCs w:val="21"/>
              </w:rPr>
              <w:t>.0</w:t>
            </w:r>
          </w:p>
        </w:tc>
        <w:tc>
          <w:tcPr>
            <w:tcW w:w="851" w:type="dxa"/>
            <w:vAlign w:val="center"/>
          </w:tcPr>
          <w:p>
            <w:pPr>
              <w:jc w:val="center"/>
              <w:rPr>
                <w:rFonts w:eastAsiaTheme="minorEastAsia"/>
                <w:color w:val="auto"/>
                <w:sz w:val="21"/>
                <w:szCs w:val="21"/>
              </w:rPr>
            </w:pPr>
            <w:r>
              <w:rPr>
                <w:rFonts w:hint="eastAsia"/>
                <w:color w:val="auto"/>
                <w:sz w:val="21"/>
                <w:szCs w:val="21"/>
              </w:rPr>
              <w:t>≤1</w:t>
            </w:r>
            <w:r>
              <w:rPr>
                <w:color w:val="auto"/>
                <w:sz w:val="21"/>
                <w:szCs w:val="21"/>
              </w:rPr>
              <w:t>.0</w:t>
            </w:r>
          </w:p>
        </w:tc>
        <w:tc>
          <w:tcPr>
            <w:tcW w:w="992" w:type="dxa"/>
            <w:vAlign w:val="center"/>
          </w:tcPr>
          <w:p>
            <w:pPr>
              <w:jc w:val="center"/>
              <w:rPr>
                <w:rFonts w:eastAsiaTheme="minorEastAsia"/>
                <w:color w:val="auto"/>
                <w:sz w:val="21"/>
                <w:szCs w:val="21"/>
              </w:rPr>
            </w:pPr>
            <w:r>
              <w:rPr>
                <w:rFonts w:hint="eastAsia"/>
                <w:color w:val="auto"/>
                <w:sz w:val="21"/>
                <w:szCs w:val="21"/>
              </w:rPr>
              <w:t>≤6</w:t>
            </w:r>
          </w:p>
        </w:tc>
        <w:tc>
          <w:tcPr>
            <w:tcW w:w="992" w:type="dxa"/>
            <w:vAlign w:val="center"/>
          </w:tcPr>
          <w:p>
            <w:pPr>
              <w:jc w:val="center"/>
              <w:rPr>
                <w:rFonts w:eastAsiaTheme="minorEastAsia"/>
                <w:color w:val="auto"/>
                <w:sz w:val="21"/>
                <w:szCs w:val="21"/>
              </w:rPr>
            </w:pPr>
            <w:r>
              <w:rPr>
                <w:rFonts w:hint="eastAsia"/>
                <w:color w:val="auto"/>
                <w:sz w:val="21"/>
                <w:szCs w:val="21"/>
              </w:rPr>
              <w:t>≤2</w:t>
            </w:r>
            <w:r>
              <w:rPr>
                <w:color w:val="auto"/>
                <w:sz w:val="21"/>
                <w:szCs w:val="21"/>
              </w:rPr>
              <w:t>0</w:t>
            </w:r>
          </w:p>
        </w:tc>
        <w:tc>
          <w:tcPr>
            <w:tcW w:w="1122" w:type="dxa"/>
            <w:vAlign w:val="center"/>
          </w:tcPr>
          <w:p>
            <w:pPr>
              <w:jc w:val="center"/>
              <w:rPr>
                <w:rFonts w:eastAsiaTheme="minorEastAsia"/>
                <w:color w:val="auto"/>
                <w:sz w:val="21"/>
                <w:szCs w:val="21"/>
              </w:rPr>
            </w:pPr>
            <w:r>
              <w:rPr>
                <w:rFonts w:hint="eastAsia"/>
                <w:color w:val="auto"/>
                <w:sz w:val="21"/>
                <w:szCs w:val="21"/>
              </w:rPr>
              <w:t>≤0</w:t>
            </w:r>
            <w:r>
              <w:rPr>
                <w:color w:val="auto"/>
                <w:sz w:val="21"/>
                <w:szCs w:val="21"/>
              </w:rPr>
              <w:t>.005</w:t>
            </w:r>
          </w:p>
        </w:tc>
        <w:tc>
          <w:tcPr>
            <w:tcW w:w="939" w:type="dxa"/>
            <w:vAlign w:val="center"/>
          </w:tcPr>
          <w:p>
            <w:pPr>
              <w:jc w:val="center"/>
              <w:rPr>
                <w:rFonts w:eastAsiaTheme="minorEastAsia"/>
                <w:color w:val="auto"/>
                <w:sz w:val="21"/>
                <w:szCs w:val="21"/>
              </w:rPr>
            </w:pPr>
            <w:r>
              <w:rPr>
                <w:rFonts w:hint="eastAsia"/>
                <w:color w:val="auto"/>
                <w:sz w:val="21"/>
                <w:szCs w:val="21"/>
              </w:rPr>
              <w:t>≤0</w:t>
            </w:r>
            <w:r>
              <w:rPr>
                <w:color w:val="auto"/>
                <w:sz w:val="21"/>
                <w:szCs w:val="21"/>
              </w:rPr>
              <w:t>.2</w:t>
            </w:r>
          </w:p>
        </w:tc>
        <w:tc>
          <w:tcPr>
            <w:tcW w:w="939" w:type="dxa"/>
            <w:vAlign w:val="center"/>
          </w:tcPr>
          <w:p>
            <w:pPr>
              <w:jc w:val="center"/>
              <w:rPr>
                <w:rFonts w:eastAsiaTheme="minorEastAsia"/>
                <w:color w:val="auto"/>
                <w:sz w:val="21"/>
                <w:szCs w:val="21"/>
              </w:rPr>
            </w:pPr>
            <w:r>
              <w:rPr>
                <w:rFonts w:hint="eastAsia"/>
                <w:color w:val="auto"/>
                <w:sz w:val="21"/>
                <w:szCs w:val="21"/>
              </w:rPr>
              <w:t>≤2</w:t>
            </w:r>
            <w:r>
              <w:rPr>
                <w:color w:val="auto"/>
                <w:sz w:val="21"/>
                <w:szCs w:val="21"/>
              </w:rPr>
              <w:t>50</w:t>
            </w:r>
          </w:p>
        </w:tc>
        <w:tc>
          <w:tcPr>
            <w:tcW w:w="969" w:type="dxa"/>
            <w:vAlign w:val="center"/>
          </w:tcPr>
          <w:p>
            <w:pPr>
              <w:jc w:val="center"/>
              <w:rPr>
                <w:rFonts w:eastAsiaTheme="minorEastAsia"/>
                <w:color w:val="auto"/>
                <w:sz w:val="21"/>
                <w:szCs w:val="21"/>
              </w:rPr>
            </w:pPr>
            <w:r>
              <w:rPr>
                <w:rFonts w:hint="eastAsia"/>
                <w:color w:val="auto"/>
                <w:sz w:val="21"/>
                <w:szCs w:val="21"/>
              </w:rPr>
              <w:t>≤0</w:t>
            </w:r>
            <w:r>
              <w:rPr>
                <w:color w:val="auto"/>
                <w:sz w:val="21"/>
                <w:szCs w:val="21"/>
              </w:rPr>
              <w:t>.05</w:t>
            </w:r>
          </w:p>
        </w:tc>
        <w:tc>
          <w:tcPr>
            <w:tcW w:w="851" w:type="dxa"/>
            <w:vAlign w:val="center"/>
          </w:tcPr>
          <w:p>
            <w:pPr>
              <w:jc w:val="center"/>
              <w:rPr>
                <w:rFonts w:eastAsiaTheme="minorEastAsia"/>
                <w:color w:val="auto"/>
                <w:sz w:val="21"/>
                <w:szCs w:val="21"/>
              </w:rPr>
            </w:pPr>
            <w:r>
              <w:rPr>
                <w:rFonts w:hint="eastAsia"/>
                <w:color w:val="auto"/>
                <w:sz w:val="21"/>
                <w:szCs w:val="21"/>
              </w:rPr>
              <w:t>≤2</w:t>
            </w:r>
            <w:r>
              <w:rPr>
                <w:color w:val="auto"/>
                <w:sz w:val="21"/>
                <w:szCs w:val="21"/>
              </w:rPr>
              <w:t>50</w:t>
            </w:r>
          </w:p>
        </w:tc>
        <w:tc>
          <w:tcPr>
            <w:tcW w:w="997" w:type="dxa"/>
            <w:vAlign w:val="center"/>
          </w:tcPr>
          <w:p>
            <w:pPr>
              <w:jc w:val="center"/>
              <w:rPr>
                <w:rFonts w:eastAsiaTheme="minorEastAsia"/>
                <w:color w:val="auto"/>
                <w:sz w:val="21"/>
                <w:szCs w:val="21"/>
              </w:rPr>
            </w:pPr>
            <w:r>
              <w:rPr>
                <w:rFonts w:hint="eastAsia"/>
                <w:color w:val="auto"/>
                <w:sz w:val="21"/>
                <w:szCs w:val="21"/>
              </w:rPr>
              <w:t>≤0</w:t>
            </w:r>
            <w:r>
              <w:rPr>
                <w:color w:val="auto"/>
                <w:sz w:val="21"/>
                <w:szCs w:val="21"/>
              </w:rPr>
              <w:t>.2</w:t>
            </w:r>
          </w:p>
        </w:tc>
        <w:tc>
          <w:tcPr>
            <w:tcW w:w="736" w:type="dxa"/>
            <w:vAlign w:val="center"/>
          </w:tcPr>
          <w:p>
            <w:pPr>
              <w:jc w:val="center"/>
              <w:rPr>
                <w:rFonts w:eastAsiaTheme="minorEastAsia"/>
                <w:color w:val="auto"/>
                <w:sz w:val="21"/>
                <w:szCs w:val="21"/>
              </w:rPr>
            </w:pPr>
            <w:r>
              <w:rPr>
                <w:rFonts w:hint="eastAsia"/>
                <w:color w:val="auto"/>
                <w:sz w:val="21"/>
                <w:szCs w:val="21"/>
              </w:rPr>
              <w:t>≤</w:t>
            </w:r>
            <w:r>
              <w:rPr>
                <w:color w:val="auto"/>
                <w:sz w:val="21"/>
                <w:szCs w:val="21"/>
              </w:rPr>
              <w:t>0.2</w:t>
            </w:r>
          </w:p>
        </w:tc>
      </w:tr>
    </w:tbl>
    <w:p>
      <w:pPr>
        <w:jc w:val="center"/>
        <w:rPr>
          <w:b/>
          <w:bCs/>
          <w:color w:val="auto"/>
        </w:rPr>
      </w:pPr>
    </w:p>
    <w:p>
      <w:pPr>
        <w:jc w:val="center"/>
        <w:rPr>
          <w:b/>
          <w:bCs/>
          <w:color w:val="auto"/>
        </w:rPr>
      </w:pPr>
    </w:p>
    <w:p>
      <w:pPr>
        <w:jc w:val="center"/>
        <w:rPr>
          <w:b/>
          <w:bCs/>
          <w:color w:val="auto"/>
        </w:rPr>
      </w:pPr>
    </w:p>
    <w:p>
      <w:pPr>
        <w:jc w:val="center"/>
        <w:rPr>
          <w:b/>
          <w:bCs/>
          <w:color w:val="auto"/>
        </w:rPr>
      </w:pPr>
      <w:r>
        <w:rPr>
          <w:b/>
          <w:bCs/>
          <w:color w:val="auto"/>
        </w:rPr>
        <w:t>表4.2-3b 地表水监测断面水质监测结果</w:t>
      </w:r>
      <w:r>
        <w:rPr>
          <w:rFonts w:hint="eastAsia"/>
          <w:b/>
          <w:bCs/>
          <w:color w:val="auto"/>
        </w:rPr>
        <w:t>统计</w:t>
      </w:r>
    </w:p>
    <w:tbl>
      <w:tblPr>
        <w:tblStyle w:val="54"/>
        <w:tblW w:w="1417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3"/>
        <w:gridCol w:w="387"/>
        <w:gridCol w:w="676"/>
        <w:gridCol w:w="850"/>
        <w:gridCol w:w="1134"/>
        <w:gridCol w:w="851"/>
        <w:gridCol w:w="850"/>
        <w:gridCol w:w="851"/>
        <w:gridCol w:w="952"/>
        <w:gridCol w:w="925"/>
        <w:gridCol w:w="925"/>
        <w:gridCol w:w="885"/>
        <w:gridCol w:w="885"/>
        <w:gridCol w:w="885"/>
        <w:gridCol w:w="885"/>
        <w:gridCol w:w="885"/>
        <w:gridCol w:w="8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850" w:type="dxa"/>
            <w:gridSpan w:val="2"/>
            <w:vAlign w:val="center"/>
          </w:tcPr>
          <w:p>
            <w:pPr>
              <w:jc w:val="center"/>
              <w:rPr>
                <w:rFonts w:eastAsiaTheme="minorEastAsia"/>
                <w:b/>
                <w:bCs/>
                <w:color w:val="auto"/>
                <w:sz w:val="21"/>
                <w:szCs w:val="21"/>
              </w:rPr>
            </w:pPr>
            <w:r>
              <w:rPr>
                <w:rFonts w:eastAsiaTheme="minorEastAsia"/>
                <w:b/>
                <w:bCs/>
                <w:color w:val="auto"/>
                <w:sz w:val="21"/>
                <w:szCs w:val="21"/>
              </w:rPr>
              <w:t>监测项目</w:t>
            </w:r>
          </w:p>
        </w:tc>
        <w:tc>
          <w:tcPr>
            <w:tcW w:w="676" w:type="dxa"/>
            <w:vAlign w:val="center"/>
          </w:tcPr>
          <w:p>
            <w:pPr>
              <w:jc w:val="center"/>
              <w:rPr>
                <w:rFonts w:eastAsiaTheme="minorEastAsia"/>
                <w:b/>
                <w:bCs/>
                <w:color w:val="auto"/>
                <w:sz w:val="21"/>
                <w:szCs w:val="21"/>
              </w:rPr>
            </w:pPr>
            <w:r>
              <w:rPr>
                <w:rFonts w:eastAsiaTheme="minorEastAsia"/>
                <w:b/>
                <w:bCs/>
                <w:color w:val="auto"/>
                <w:sz w:val="21"/>
                <w:szCs w:val="21"/>
              </w:rPr>
              <w:t>监测日期</w:t>
            </w:r>
          </w:p>
        </w:tc>
        <w:tc>
          <w:tcPr>
            <w:tcW w:w="850" w:type="dxa"/>
            <w:vAlign w:val="center"/>
          </w:tcPr>
          <w:p>
            <w:pPr>
              <w:jc w:val="center"/>
              <w:rPr>
                <w:rFonts w:eastAsiaTheme="minorEastAsia"/>
                <w:b/>
                <w:bCs/>
                <w:color w:val="auto"/>
                <w:sz w:val="21"/>
                <w:szCs w:val="21"/>
              </w:rPr>
            </w:pPr>
            <w:r>
              <w:rPr>
                <w:rFonts w:eastAsiaTheme="minorEastAsia"/>
                <w:b/>
                <w:bCs/>
                <w:color w:val="auto"/>
                <w:sz w:val="21"/>
                <w:szCs w:val="21"/>
              </w:rPr>
              <w:t>石油类（mg/L）</w:t>
            </w:r>
          </w:p>
        </w:tc>
        <w:tc>
          <w:tcPr>
            <w:tcW w:w="1134" w:type="dxa"/>
            <w:vAlign w:val="center"/>
          </w:tcPr>
          <w:p>
            <w:pPr>
              <w:jc w:val="center"/>
              <w:rPr>
                <w:rFonts w:eastAsiaTheme="minorEastAsia"/>
                <w:b/>
                <w:bCs/>
                <w:color w:val="auto"/>
                <w:sz w:val="21"/>
                <w:szCs w:val="21"/>
              </w:rPr>
            </w:pPr>
            <w:r>
              <w:rPr>
                <w:rFonts w:eastAsiaTheme="minorEastAsia"/>
                <w:b/>
                <w:bCs/>
                <w:color w:val="auto"/>
                <w:sz w:val="21"/>
                <w:szCs w:val="21"/>
              </w:rPr>
              <w:t>五日生化需氧量（mg/L）</w:t>
            </w:r>
          </w:p>
        </w:tc>
        <w:tc>
          <w:tcPr>
            <w:tcW w:w="851" w:type="dxa"/>
            <w:vAlign w:val="center"/>
          </w:tcPr>
          <w:p>
            <w:pPr>
              <w:jc w:val="center"/>
              <w:rPr>
                <w:rFonts w:eastAsiaTheme="minorEastAsia"/>
                <w:b/>
                <w:bCs/>
                <w:color w:val="auto"/>
                <w:sz w:val="21"/>
                <w:szCs w:val="21"/>
              </w:rPr>
            </w:pPr>
            <w:r>
              <w:rPr>
                <w:rFonts w:eastAsiaTheme="minorEastAsia"/>
                <w:b/>
                <w:bCs/>
                <w:color w:val="auto"/>
                <w:sz w:val="21"/>
                <w:szCs w:val="21"/>
              </w:rPr>
              <w:t>硝酸盐（mg/L）</w:t>
            </w:r>
          </w:p>
        </w:tc>
        <w:tc>
          <w:tcPr>
            <w:tcW w:w="850" w:type="dxa"/>
            <w:vAlign w:val="center"/>
          </w:tcPr>
          <w:p>
            <w:pPr>
              <w:jc w:val="center"/>
              <w:rPr>
                <w:rFonts w:eastAsiaTheme="minorEastAsia"/>
                <w:b/>
                <w:bCs/>
                <w:color w:val="auto"/>
                <w:sz w:val="21"/>
                <w:szCs w:val="21"/>
              </w:rPr>
            </w:pPr>
            <w:r>
              <w:rPr>
                <w:rFonts w:eastAsiaTheme="minorEastAsia"/>
                <w:b/>
                <w:bCs/>
                <w:color w:val="auto"/>
                <w:sz w:val="21"/>
                <w:szCs w:val="21"/>
              </w:rPr>
              <w:t>悬浮物（mg/L）</w:t>
            </w:r>
          </w:p>
        </w:tc>
        <w:tc>
          <w:tcPr>
            <w:tcW w:w="851" w:type="dxa"/>
            <w:vAlign w:val="center"/>
          </w:tcPr>
          <w:p>
            <w:pPr>
              <w:jc w:val="center"/>
              <w:rPr>
                <w:rFonts w:eastAsiaTheme="minorEastAsia"/>
                <w:b/>
                <w:bCs/>
                <w:color w:val="auto"/>
                <w:sz w:val="21"/>
                <w:szCs w:val="21"/>
              </w:rPr>
            </w:pPr>
            <w:r>
              <w:rPr>
                <w:rFonts w:eastAsiaTheme="minorEastAsia"/>
                <w:b/>
                <w:bCs/>
                <w:color w:val="auto"/>
                <w:sz w:val="21"/>
                <w:szCs w:val="21"/>
              </w:rPr>
              <w:t>色度（倍）</w:t>
            </w:r>
          </w:p>
        </w:tc>
        <w:tc>
          <w:tcPr>
            <w:tcW w:w="952" w:type="dxa"/>
            <w:vAlign w:val="center"/>
          </w:tcPr>
          <w:p>
            <w:pPr>
              <w:jc w:val="center"/>
              <w:rPr>
                <w:rFonts w:eastAsiaTheme="minorEastAsia"/>
                <w:b/>
                <w:bCs/>
                <w:color w:val="auto"/>
                <w:sz w:val="21"/>
                <w:szCs w:val="21"/>
              </w:rPr>
            </w:pPr>
            <w:r>
              <w:rPr>
                <w:rFonts w:eastAsiaTheme="minorEastAsia"/>
                <w:b/>
                <w:bCs/>
                <w:color w:val="auto"/>
                <w:sz w:val="21"/>
                <w:szCs w:val="21"/>
              </w:rPr>
              <w:t>粪大肠菌群（个L）</w:t>
            </w:r>
          </w:p>
        </w:tc>
        <w:tc>
          <w:tcPr>
            <w:tcW w:w="925" w:type="dxa"/>
            <w:vAlign w:val="center"/>
          </w:tcPr>
          <w:p>
            <w:pPr>
              <w:jc w:val="center"/>
              <w:rPr>
                <w:rFonts w:eastAsiaTheme="minorEastAsia"/>
                <w:b/>
                <w:bCs/>
                <w:color w:val="auto"/>
                <w:sz w:val="21"/>
                <w:szCs w:val="21"/>
              </w:rPr>
            </w:pPr>
            <w:r>
              <w:rPr>
                <w:rFonts w:eastAsiaTheme="minorEastAsia"/>
                <w:b/>
                <w:bCs/>
                <w:color w:val="auto"/>
                <w:sz w:val="21"/>
                <w:szCs w:val="21"/>
              </w:rPr>
              <w:t>汞（mg/L）</w:t>
            </w:r>
          </w:p>
        </w:tc>
        <w:tc>
          <w:tcPr>
            <w:tcW w:w="925" w:type="dxa"/>
            <w:vAlign w:val="center"/>
          </w:tcPr>
          <w:p>
            <w:pPr>
              <w:jc w:val="center"/>
              <w:rPr>
                <w:rFonts w:eastAsiaTheme="minorEastAsia"/>
                <w:b/>
                <w:bCs/>
                <w:color w:val="auto"/>
                <w:sz w:val="21"/>
                <w:szCs w:val="21"/>
              </w:rPr>
            </w:pPr>
            <w:r>
              <w:rPr>
                <w:rFonts w:eastAsiaTheme="minorEastAsia"/>
                <w:b/>
                <w:bCs/>
                <w:color w:val="auto"/>
                <w:sz w:val="21"/>
                <w:szCs w:val="21"/>
              </w:rPr>
              <w:t>砷（mg/L）</w:t>
            </w:r>
          </w:p>
        </w:tc>
        <w:tc>
          <w:tcPr>
            <w:tcW w:w="885" w:type="dxa"/>
            <w:vAlign w:val="center"/>
          </w:tcPr>
          <w:p>
            <w:pPr>
              <w:jc w:val="center"/>
              <w:rPr>
                <w:rFonts w:eastAsiaTheme="minorEastAsia"/>
                <w:b/>
                <w:bCs/>
                <w:color w:val="auto"/>
                <w:sz w:val="21"/>
                <w:szCs w:val="21"/>
              </w:rPr>
            </w:pPr>
            <w:r>
              <w:rPr>
                <w:rFonts w:eastAsiaTheme="minorEastAsia"/>
                <w:b/>
                <w:bCs/>
                <w:color w:val="auto"/>
                <w:sz w:val="21"/>
                <w:szCs w:val="21"/>
              </w:rPr>
              <w:t>锰（μg/L）</w:t>
            </w:r>
          </w:p>
        </w:tc>
        <w:tc>
          <w:tcPr>
            <w:tcW w:w="885" w:type="dxa"/>
            <w:vAlign w:val="center"/>
          </w:tcPr>
          <w:p>
            <w:pPr>
              <w:jc w:val="center"/>
              <w:rPr>
                <w:rFonts w:eastAsiaTheme="minorEastAsia"/>
                <w:b/>
                <w:bCs/>
                <w:color w:val="auto"/>
                <w:sz w:val="21"/>
                <w:szCs w:val="21"/>
              </w:rPr>
            </w:pPr>
            <w:r>
              <w:rPr>
                <w:rFonts w:eastAsiaTheme="minorEastAsia"/>
                <w:b/>
                <w:bCs/>
                <w:color w:val="auto"/>
                <w:sz w:val="21"/>
                <w:szCs w:val="21"/>
              </w:rPr>
              <w:t>铁（μg/L）</w:t>
            </w:r>
          </w:p>
        </w:tc>
        <w:tc>
          <w:tcPr>
            <w:tcW w:w="885" w:type="dxa"/>
            <w:vAlign w:val="center"/>
          </w:tcPr>
          <w:p>
            <w:pPr>
              <w:jc w:val="center"/>
              <w:rPr>
                <w:rFonts w:eastAsiaTheme="minorEastAsia"/>
                <w:b/>
                <w:bCs/>
                <w:color w:val="auto"/>
                <w:sz w:val="21"/>
                <w:szCs w:val="21"/>
              </w:rPr>
            </w:pPr>
            <w:r>
              <w:rPr>
                <w:rFonts w:eastAsiaTheme="minorEastAsia"/>
                <w:b/>
                <w:bCs/>
                <w:color w:val="auto"/>
                <w:sz w:val="21"/>
                <w:szCs w:val="21"/>
              </w:rPr>
              <w:t>铜（μg/L）</w:t>
            </w:r>
          </w:p>
        </w:tc>
        <w:tc>
          <w:tcPr>
            <w:tcW w:w="885" w:type="dxa"/>
            <w:vAlign w:val="center"/>
          </w:tcPr>
          <w:p>
            <w:pPr>
              <w:jc w:val="center"/>
              <w:rPr>
                <w:rFonts w:eastAsiaTheme="minorEastAsia"/>
                <w:b/>
                <w:bCs/>
                <w:color w:val="auto"/>
                <w:sz w:val="21"/>
                <w:szCs w:val="21"/>
              </w:rPr>
            </w:pPr>
            <w:r>
              <w:rPr>
                <w:rFonts w:eastAsiaTheme="minorEastAsia"/>
                <w:b/>
                <w:bCs/>
                <w:color w:val="auto"/>
                <w:sz w:val="21"/>
                <w:szCs w:val="21"/>
              </w:rPr>
              <w:t>锌（μg/L）</w:t>
            </w:r>
          </w:p>
        </w:tc>
        <w:tc>
          <w:tcPr>
            <w:tcW w:w="885" w:type="dxa"/>
            <w:vAlign w:val="center"/>
          </w:tcPr>
          <w:p>
            <w:pPr>
              <w:jc w:val="center"/>
              <w:rPr>
                <w:rFonts w:eastAsiaTheme="minorEastAsia"/>
                <w:b/>
                <w:bCs/>
                <w:color w:val="auto"/>
                <w:sz w:val="21"/>
                <w:szCs w:val="21"/>
              </w:rPr>
            </w:pPr>
            <w:r>
              <w:rPr>
                <w:rFonts w:eastAsiaTheme="minorEastAsia"/>
                <w:b/>
                <w:bCs/>
                <w:color w:val="auto"/>
                <w:sz w:val="21"/>
                <w:szCs w:val="21"/>
              </w:rPr>
              <w:t>镉（μg/L）</w:t>
            </w:r>
          </w:p>
        </w:tc>
        <w:tc>
          <w:tcPr>
            <w:tcW w:w="885" w:type="dxa"/>
            <w:vAlign w:val="center"/>
          </w:tcPr>
          <w:p>
            <w:pPr>
              <w:jc w:val="center"/>
              <w:rPr>
                <w:rFonts w:eastAsiaTheme="minorEastAsia"/>
                <w:b/>
                <w:bCs/>
                <w:color w:val="auto"/>
                <w:sz w:val="21"/>
                <w:szCs w:val="21"/>
              </w:rPr>
            </w:pPr>
            <w:r>
              <w:rPr>
                <w:rFonts w:eastAsiaTheme="minorEastAsia"/>
                <w:b/>
                <w:bCs/>
                <w:color w:val="auto"/>
                <w:sz w:val="21"/>
                <w:szCs w:val="21"/>
              </w:rPr>
              <w:t>铅（μg/L）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restart"/>
            <w:vAlign w:val="center"/>
          </w:tcPr>
          <w:p>
            <w:pPr>
              <w:jc w:val="center"/>
              <w:rPr>
                <w:rFonts w:eastAsiaTheme="minorEastAsia"/>
                <w:color w:val="auto"/>
                <w:sz w:val="21"/>
                <w:szCs w:val="21"/>
              </w:rPr>
            </w:pPr>
            <w:r>
              <w:rPr>
                <w:rFonts w:eastAsiaTheme="minorEastAsia"/>
                <w:color w:val="auto"/>
                <w:sz w:val="21"/>
                <w:szCs w:val="21"/>
              </w:rPr>
              <w:t>W1</w:t>
            </w:r>
          </w:p>
        </w:tc>
        <w:tc>
          <w:tcPr>
            <w:tcW w:w="387" w:type="dxa"/>
            <w:vMerge w:val="restart"/>
            <w:vAlign w:val="center"/>
          </w:tcPr>
          <w:p>
            <w:pPr>
              <w:jc w:val="center"/>
              <w:rPr>
                <w:rFonts w:eastAsiaTheme="minorEastAsia"/>
                <w:color w:val="auto"/>
                <w:sz w:val="21"/>
                <w:szCs w:val="21"/>
              </w:rPr>
            </w:pPr>
            <w:r>
              <w:rPr>
                <w:rFonts w:eastAsiaTheme="minorEastAsia"/>
                <w:color w:val="auto"/>
                <w:sz w:val="21"/>
                <w:szCs w:val="21"/>
              </w:rPr>
              <w:t>监测值</w:t>
            </w:r>
          </w:p>
        </w:tc>
        <w:tc>
          <w:tcPr>
            <w:tcW w:w="676" w:type="dxa"/>
            <w:vAlign w:val="center"/>
          </w:tcPr>
          <w:p>
            <w:pPr>
              <w:jc w:val="center"/>
              <w:rPr>
                <w:rFonts w:eastAsiaTheme="minorEastAsia"/>
                <w:color w:val="auto"/>
                <w:sz w:val="21"/>
                <w:szCs w:val="21"/>
              </w:rPr>
            </w:pPr>
            <w:r>
              <w:rPr>
                <w:rFonts w:eastAsiaTheme="minorEastAsia"/>
                <w:color w:val="auto"/>
                <w:sz w:val="21"/>
                <w:szCs w:val="21"/>
              </w:rPr>
              <w:t>2019.3.25</w:t>
            </w:r>
          </w:p>
        </w:tc>
        <w:tc>
          <w:tcPr>
            <w:tcW w:w="850" w:type="dxa"/>
            <w:vAlign w:val="center"/>
          </w:tcPr>
          <w:p>
            <w:pPr>
              <w:jc w:val="center"/>
              <w:rPr>
                <w:rFonts w:eastAsiaTheme="minorEastAsia"/>
                <w:color w:val="auto"/>
                <w:sz w:val="21"/>
                <w:szCs w:val="21"/>
              </w:rPr>
            </w:pPr>
            <w:r>
              <w:rPr>
                <w:rFonts w:eastAsiaTheme="minorEastAsia"/>
                <w:color w:val="auto"/>
                <w:sz w:val="21"/>
                <w:szCs w:val="21"/>
              </w:rPr>
              <w:t>0.02</w:t>
            </w:r>
          </w:p>
        </w:tc>
        <w:tc>
          <w:tcPr>
            <w:tcW w:w="1134" w:type="dxa"/>
            <w:vAlign w:val="center"/>
          </w:tcPr>
          <w:p>
            <w:pPr>
              <w:jc w:val="center"/>
              <w:rPr>
                <w:rFonts w:eastAsiaTheme="minorEastAsia"/>
                <w:color w:val="auto"/>
                <w:sz w:val="21"/>
                <w:szCs w:val="21"/>
              </w:rPr>
            </w:pPr>
            <w:r>
              <w:rPr>
                <w:rFonts w:eastAsiaTheme="minorEastAsia"/>
                <w:color w:val="auto"/>
                <w:sz w:val="21"/>
                <w:szCs w:val="21"/>
              </w:rPr>
              <w:t>1.8</w:t>
            </w:r>
          </w:p>
        </w:tc>
        <w:tc>
          <w:tcPr>
            <w:tcW w:w="851" w:type="dxa"/>
            <w:vAlign w:val="center"/>
          </w:tcPr>
          <w:p>
            <w:pPr>
              <w:jc w:val="center"/>
              <w:rPr>
                <w:rFonts w:eastAsiaTheme="minorEastAsia"/>
                <w:color w:val="auto"/>
                <w:sz w:val="21"/>
                <w:szCs w:val="21"/>
              </w:rPr>
            </w:pPr>
            <w:r>
              <w:rPr>
                <w:rFonts w:eastAsiaTheme="minorEastAsia"/>
                <w:color w:val="auto"/>
                <w:sz w:val="21"/>
                <w:szCs w:val="21"/>
              </w:rPr>
              <w:t>1.54</w:t>
            </w:r>
          </w:p>
        </w:tc>
        <w:tc>
          <w:tcPr>
            <w:tcW w:w="850" w:type="dxa"/>
            <w:vAlign w:val="center"/>
          </w:tcPr>
          <w:p>
            <w:pPr>
              <w:jc w:val="center"/>
              <w:rPr>
                <w:rFonts w:eastAsiaTheme="minorEastAsia"/>
                <w:color w:val="auto"/>
                <w:sz w:val="21"/>
                <w:szCs w:val="21"/>
              </w:rPr>
            </w:pPr>
            <w:r>
              <w:rPr>
                <w:rFonts w:eastAsiaTheme="minorEastAsia"/>
                <w:color w:val="auto"/>
                <w:sz w:val="21"/>
                <w:szCs w:val="21"/>
              </w:rPr>
              <w:t>24</w:t>
            </w:r>
          </w:p>
        </w:tc>
        <w:tc>
          <w:tcPr>
            <w:tcW w:w="851" w:type="dxa"/>
            <w:vAlign w:val="center"/>
          </w:tcPr>
          <w:p>
            <w:pPr>
              <w:jc w:val="center"/>
              <w:rPr>
                <w:rFonts w:eastAsiaTheme="minorEastAsia"/>
                <w:color w:val="auto"/>
                <w:sz w:val="21"/>
                <w:szCs w:val="21"/>
              </w:rPr>
            </w:pPr>
            <w:r>
              <w:rPr>
                <w:rFonts w:eastAsiaTheme="minorEastAsia"/>
                <w:color w:val="auto"/>
                <w:sz w:val="21"/>
                <w:szCs w:val="21"/>
              </w:rPr>
              <w:t>2</w:t>
            </w:r>
          </w:p>
        </w:tc>
        <w:tc>
          <w:tcPr>
            <w:tcW w:w="952" w:type="dxa"/>
            <w:vAlign w:val="center"/>
          </w:tcPr>
          <w:p>
            <w:pPr>
              <w:jc w:val="center"/>
              <w:rPr>
                <w:rFonts w:eastAsiaTheme="minorEastAsia"/>
                <w:color w:val="auto"/>
                <w:sz w:val="21"/>
                <w:szCs w:val="21"/>
              </w:rPr>
            </w:pPr>
            <w:r>
              <w:rPr>
                <w:rFonts w:eastAsiaTheme="minorEastAsia"/>
                <w:color w:val="auto"/>
                <w:sz w:val="21"/>
                <w:szCs w:val="21"/>
              </w:rPr>
              <w:t>230</w:t>
            </w:r>
          </w:p>
        </w:tc>
        <w:tc>
          <w:tcPr>
            <w:tcW w:w="925" w:type="dxa"/>
            <w:vAlign w:val="center"/>
          </w:tcPr>
          <w:p>
            <w:pPr>
              <w:jc w:val="center"/>
              <w:rPr>
                <w:rFonts w:eastAsiaTheme="minorEastAsia"/>
                <w:color w:val="auto"/>
                <w:sz w:val="21"/>
                <w:szCs w:val="21"/>
              </w:rPr>
            </w:pPr>
            <w:r>
              <w:rPr>
                <w:rFonts w:eastAsiaTheme="minorEastAsia"/>
                <w:color w:val="auto"/>
                <w:sz w:val="21"/>
                <w:szCs w:val="21"/>
              </w:rPr>
              <w:t>＜0.00004</w:t>
            </w:r>
          </w:p>
        </w:tc>
        <w:tc>
          <w:tcPr>
            <w:tcW w:w="925" w:type="dxa"/>
            <w:vAlign w:val="center"/>
          </w:tcPr>
          <w:p>
            <w:pPr>
              <w:jc w:val="center"/>
              <w:rPr>
                <w:rFonts w:eastAsiaTheme="minorEastAsia"/>
                <w:color w:val="auto"/>
                <w:sz w:val="21"/>
                <w:szCs w:val="21"/>
              </w:rPr>
            </w:pPr>
            <w:r>
              <w:rPr>
                <w:rFonts w:eastAsiaTheme="minorEastAsia"/>
                <w:color w:val="auto"/>
                <w:sz w:val="21"/>
                <w:szCs w:val="21"/>
              </w:rPr>
              <w:t>＜0.0003</w:t>
            </w:r>
          </w:p>
        </w:tc>
        <w:tc>
          <w:tcPr>
            <w:tcW w:w="885" w:type="dxa"/>
            <w:vAlign w:val="center"/>
          </w:tcPr>
          <w:p>
            <w:pPr>
              <w:jc w:val="center"/>
              <w:rPr>
                <w:rFonts w:eastAsiaTheme="minorEastAsia"/>
                <w:color w:val="auto"/>
                <w:sz w:val="21"/>
                <w:szCs w:val="21"/>
              </w:rPr>
            </w:pPr>
            <w:r>
              <w:rPr>
                <w:rFonts w:eastAsiaTheme="minorEastAsia"/>
                <w:color w:val="auto"/>
                <w:sz w:val="21"/>
                <w:szCs w:val="21"/>
              </w:rPr>
              <w:t>41.7</w:t>
            </w:r>
          </w:p>
        </w:tc>
        <w:tc>
          <w:tcPr>
            <w:tcW w:w="885" w:type="dxa"/>
            <w:vAlign w:val="center"/>
          </w:tcPr>
          <w:p>
            <w:pPr>
              <w:jc w:val="center"/>
              <w:rPr>
                <w:rFonts w:eastAsiaTheme="minorEastAsia"/>
                <w:color w:val="auto"/>
                <w:sz w:val="21"/>
                <w:szCs w:val="21"/>
              </w:rPr>
            </w:pPr>
            <w:r>
              <w:rPr>
                <w:rFonts w:eastAsiaTheme="minorEastAsia"/>
                <w:color w:val="auto"/>
                <w:sz w:val="21"/>
                <w:szCs w:val="21"/>
              </w:rPr>
              <w:t>74.4</w:t>
            </w:r>
          </w:p>
        </w:tc>
        <w:tc>
          <w:tcPr>
            <w:tcW w:w="885" w:type="dxa"/>
            <w:vAlign w:val="center"/>
          </w:tcPr>
          <w:p>
            <w:pPr>
              <w:jc w:val="center"/>
              <w:rPr>
                <w:rFonts w:eastAsiaTheme="minorEastAsia"/>
                <w:color w:val="auto"/>
                <w:sz w:val="21"/>
                <w:szCs w:val="21"/>
              </w:rPr>
            </w:pPr>
            <w:r>
              <w:rPr>
                <w:rFonts w:eastAsiaTheme="minorEastAsia"/>
                <w:color w:val="auto"/>
                <w:sz w:val="21"/>
                <w:szCs w:val="21"/>
              </w:rPr>
              <w:t>1.36</w:t>
            </w:r>
          </w:p>
        </w:tc>
        <w:tc>
          <w:tcPr>
            <w:tcW w:w="885" w:type="dxa"/>
            <w:vAlign w:val="center"/>
          </w:tcPr>
          <w:p>
            <w:pPr>
              <w:jc w:val="center"/>
              <w:rPr>
                <w:rFonts w:eastAsiaTheme="minorEastAsia"/>
                <w:color w:val="auto"/>
                <w:sz w:val="21"/>
                <w:szCs w:val="21"/>
              </w:rPr>
            </w:pPr>
            <w:r>
              <w:rPr>
                <w:rFonts w:eastAsiaTheme="minorEastAsia"/>
                <w:color w:val="auto"/>
                <w:sz w:val="21"/>
                <w:szCs w:val="21"/>
              </w:rPr>
              <w:t>13.6</w:t>
            </w:r>
          </w:p>
        </w:tc>
        <w:tc>
          <w:tcPr>
            <w:tcW w:w="885" w:type="dxa"/>
            <w:vAlign w:val="center"/>
          </w:tcPr>
          <w:p>
            <w:pPr>
              <w:jc w:val="center"/>
              <w:rPr>
                <w:rFonts w:eastAsiaTheme="minorEastAsia"/>
                <w:color w:val="auto"/>
                <w:sz w:val="21"/>
                <w:szCs w:val="21"/>
              </w:rPr>
            </w:pPr>
            <w:r>
              <w:rPr>
                <w:rFonts w:eastAsiaTheme="minorEastAsia"/>
                <w:color w:val="auto"/>
                <w:sz w:val="21"/>
                <w:szCs w:val="21"/>
              </w:rPr>
              <w:t>＜0.05</w:t>
            </w:r>
          </w:p>
        </w:tc>
        <w:tc>
          <w:tcPr>
            <w:tcW w:w="885" w:type="dxa"/>
            <w:vAlign w:val="center"/>
          </w:tcPr>
          <w:p>
            <w:pPr>
              <w:jc w:val="center"/>
              <w:rPr>
                <w:rFonts w:eastAsiaTheme="minorEastAsia"/>
                <w:color w:val="auto"/>
                <w:sz w:val="21"/>
                <w:szCs w:val="21"/>
              </w:rPr>
            </w:pPr>
            <w:r>
              <w:rPr>
                <w:rFonts w:eastAsiaTheme="minorEastAsia"/>
                <w:color w:val="auto"/>
                <w:sz w:val="21"/>
                <w:szCs w:val="21"/>
              </w:rPr>
              <w:t>1.15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387" w:type="dxa"/>
            <w:vMerge w:val="continue"/>
            <w:vAlign w:val="center"/>
          </w:tcPr>
          <w:p>
            <w:pPr>
              <w:jc w:val="center"/>
              <w:rPr>
                <w:rFonts w:eastAsiaTheme="minorEastAsia"/>
                <w:color w:val="auto"/>
                <w:sz w:val="21"/>
                <w:szCs w:val="21"/>
              </w:rPr>
            </w:pPr>
          </w:p>
        </w:tc>
        <w:tc>
          <w:tcPr>
            <w:tcW w:w="676" w:type="dxa"/>
            <w:vAlign w:val="center"/>
          </w:tcPr>
          <w:p>
            <w:pPr>
              <w:jc w:val="center"/>
              <w:rPr>
                <w:rFonts w:eastAsiaTheme="minorEastAsia"/>
                <w:color w:val="auto"/>
                <w:sz w:val="21"/>
                <w:szCs w:val="21"/>
              </w:rPr>
            </w:pPr>
            <w:r>
              <w:rPr>
                <w:rFonts w:eastAsiaTheme="minorEastAsia"/>
                <w:color w:val="auto"/>
                <w:sz w:val="21"/>
                <w:szCs w:val="21"/>
              </w:rPr>
              <w:t>2019.3.26</w:t>
            </w:r>
          </w:p>
        </w:tc>
        <w:tc>
          <w:tcPr>
            <w:tcW w:w="850" w:type="dxa"/>
            <w:vAlign w:val="center"/>
          </w:tcPr>
          <w:p>
            <w:pPr>
              <w:jc w:val="center"/>
              <w:rPr>
                <w:rFonts w:eastAsiaTheme="minorEastAsia"/>
                <w:color w:val="auto"/>
                <w:sz w:val="21"/>
                <w:szCs w:val="21"/>
              </w:rPr>
            </w:pPr>
            <w:r>
              <w:rPr>
                <w:rFonts w:eastAsiaTheme="minorEastAsia"/>
                <w:color w:val="auto"/>
                <w:sz w:val="21"/>
                <w:szCs w:val="21"/>
              </w:rPr>
              <w:t>0.02</w:t>
            </w:r>
          </w:p>
        </w:tc>
        <w:tc>
          <w:tcPr>
            <w:tcW w:w="1134" w:type="dxa"/>
            <w:vAlign w:val="center"/>
          </w:tcPr>
          <w:p>
            <w:pPr>
              <w:jc w:val="center"/>
              <w:rPr>
                <w:rFonts w:eastAsiaTheme="minorEastAsia"/>
                <w:color w:val="auto"/>
                <w:sz w:val="21"/>
                <w:szCs w:val="21"/>
              </w:rPr>
            </w:pPr>
            <w:r>
              <w:rPr>
                <w:rFonts w:eastAsiaTheme="minorEastAsia"/>
                <w:color w:val="auto"/>
                <w:sz w:val="21"/>
                <w:szCs w:val="21"/>
              </w:rPr>
              <w:t>1.9</w:t>
            </w:r>
          </w:p>
        </w:tc>
        <w:tc>
          <w:tcPr>
            <w:tcW w:w="851" w:type="dxa"/>
            <w:vAlign w:val="center"/>
          </w:tcPr>
          <w:p>
            <w:pPr>
              <w:jc w:val="center"/>
              <w:rPr>
                <w:rFonts w:eastAsiaTheme="minorEastAsia"/>
                <w:color w:val="auto"/>
                <w:sz w:val="21"/>
                <w:szCs w:val="21"/>
              </w:rPr>
            </w:pPr>
            <w:r>
              <w:rPr>
                <w:rFonts w:eastAsiaTheme="minorEastAsia"/>
                <w:color w:val="auto"/>
                <w:sz w:val="21"/>
                <w:szCs w:val="21"/>
              </w:rPr>
              <w:t>1.60</w:t>
            </w:r>
          </w:p>
        </w:tc>
        <w:tc>
          <w:tcPr>
            <w:tcW w:w="850" w:type="dxa"/>
            <w:vAlign w:val="center"/>
          </w:tcPr>
          <w:p>
            <w:pPr>
              <w:jc w:val="center"/>
              <w:rPr>
                <w:rFonts w:eastAsiaTheme="minorEastAsia"/>
                <w:color w:val="auto"/>
                <w:sz w:val="21"/>
                <w:szCs w:val="21"/>
              </w:rPr>
            </w:pPr>
            <w:r>
              <w:rPr>
                <w:rFonts w:eastAsiaTheme="minorEastAsia"/>
                <w:color w:val="auto"/>
                <w:sz w:val="21"/>
                <w:szCs w:val="21"/>
              </w:rPr>
              <w:t>22</w:t>
            </w:r>
          </w:p>
        </w:tc>
        <w:tc>
          <w:tcPr>
            <w:tcW w:w="851" w:type="dxa"/>
            <w:vAlign w:val="center"/>
          </w:tcPr>
          <w:p>
            <w:pPr>
              <w:jc w:val="center"/>
              <w:rPr>
                <w:rFonts w:eastAsiaTheme="minorEastAsia"/>
                <w:color w:val="auto"/>
                <w:sz w:val="21"/>
                <w:szCs w:val="21"/>
              </w:rPr>
            </w:pPr>
            <w:r>
              <w:rPr>
                <w:rFonts w:eastAsiaTheme="minorEastAsia"/>
                <w:color w:val="auto"/>
                <w:sz w:val="21"/>
                <w:szCs w:val="21"/>
              </w:rPr>
              <w:t>2</w:t>
            </w:r>
          </w:p>
        </w:tc>
        <w:tc>
          <w:tcPr>
            <w:tcW w:w="952" w:type="dxa"/>
            <w:vAlign w:val="center"/>
          </w:tcPr>
          <w:p>
            <w:pPr>
              <w:jc w:val="center"/>
              <w:rPr>
                <w:rFonts w:eastAsiaTheme="minorEastAsia"/>
                <w:color w:val="auto"/>
                <w:sz w:val="21"/>
                <w:szCs w:val="21"/>
              </w:rPr>
            </w:pPr>
            <w:r>
              <w:rPr>
                <w:rFonts w:eastAsiaTheme="minorEastAsia"/>
                <w:color w:val="auto"/>
                <w:sz w:val="21"/>
                <w:szCs w:val="21"/>
              </w:rPr>
              <w:t>340</w:t>
            </w:r>
          </w:p>
        </w:tc>
        <w:tc>
          <w:tcPr>
            <w:tcW w:w="925" w:type="dxa"/>
            <w:vAlign w:val="center"/>
          </w:tcPr>
          <w:p>
            <w:pPr>
              <w:jc w:val="center"/>
              <w:rPr>
                <w:rFonts w:eastAsiaTheme="minorEastAsia"/>
                <w:color w:val="auto"/>
                <w:sz w:val="21"/>
                <w:szCs w:val="21"/>
              </w:rPr>
            </w:pPr>
            <w:r>
              <w:rPr>
                <w:rFonts w:eastAsiaTheme="minorEastAsia"/>
                <w:color w:val="auto"/>
                <w:sz w:val="21"/>
                <w:szCs w:val="21"/>
              </w:rPr>
              <w:t>＜0.00004</w:t>
            </w:r>
          </w:p>
        </w:tc>
        <w:tc>
          <w:tcPr>
            <w:tcW w:w="925" w:type="dxa"/>
            <w:vAlign w:val="center"/>
          </w:tcPr>
          <w:p>
            <w:pPr>
              <w:jc w:val="center"/>
              <w:rPr>
                <w:rFonts w:eastAsiaTheme="minorEastAsia"/>
                <w:color w:val="auto"/>
                <w:sz w:val="21"/>
                <w:szCs w:val="21"/>
              </w:rPr>
            </w:pPr>
            <w:r>
              <w:rPr>
                <w:rFonts w:eastAsiaTheme="minorEastAsia"/>
                <w:color w:val="auto"/>
                <w:sz w:val="21"/>
                <w:szCs w:val="21"/>
              </w:rPr>
              <w:t>＜0.0003</w:t>
            </w:r>
          </w:p>
        </w:tc>
        <w:tc>
          <w:tcPr>
            <w:tcW w:w="885" w:type="dxa"/>
            <w:vAlign w:val="center"/>
          </w:tcPr>
          <w:p>
            <w:pPr>
              <w:jc w:val="center"/>
              <w:rPr>
                <w:rFonts w:eastAsiaTheme="minorEastAsia"/>
                <w:color w:val="auto"/>
                <w:sz w:val="21"/>
                <w:szCs w:val="21"/>
              </w:rPr>
            </w:pPr>
            <w:r>
              <w:rPr>
                <w:rFonts w:eastAsiaTheme="minorEastAsia"/>
                <w:color w:val="auto"/>
                <w:sz w:val="21"/>
                <w:szCs w:val="21"/>
              </w:rPr>
              <w:t>42.0</w:t>
            </w:r>
          </w:p>
        </w:tc>
        <w:tc>
          <w:tcPr>
            <w:tcW w:w="885" w:type="dxa"/>
            <w:vAlign w:val="center"/>
          </w:tcPr>
          <w:p>
            <w:pPr>
              <w:jc w:val="center"/>
              <w:rPr>
                <w:rFonts w:eastAsiaTheme="minorEastAsia"/>
                <w:color w:val="auto"/>
                <w:sz w:val="21"/>
                <w:szCs w:val="21"/>
              </w:rPr>
            </w:pPr>
            <w:r>
              <w:rPr>
                <w:rFonts w:eastAsiaTheme="minorEastAsia"/>
                <w:color w:val="auto"/>
                <w:sz w:val="21"/>
                <w:szCs w:val="21"/>
              </w:rPr>
              <w:t>75.2</w:t>
            </w:r>
          </w:p>
        </w:tc>
        <w:tc>
          <w:tcPr>
            <w:tcW w:w="885" w:type="dxa"/>
            <w:vAlign w:val="center"/>
          </w:tcPr>
          <w:p>
            <w:pPr>
              <w:jc w:val="center"/>
              <w:rPr>
                <w:rFonts w:eastAsiaTheme="minorEastAsia"/>
                <w:color w:val="auto"/>
                <w:sz w:val="21"/>
                <w:szCs w:val="21"/>
              </w:rPr>
            </w:pPr>
            <w:r>
              <w:rPr>
                <w:rFonts w:eastAsiaTheme="minorEastAsia"/>
                <w:color w:val="auto"/>
                <w:sz w:val="21"/>
                <w:szCs w:val="21"/>
              </w:rPr>
              <w:t>1.38</w:t>
            </w:r>
          </w:p>
        </w:tc>
        <w:tc>
          <w:tcPr>
            <w:tcW w:w="885" w:type="dxa"/>
            <w:vAlign w:val="center"/>
          </w:tcPr>
          <w:p>
            <w:pPr>
              <w:jc w:val="center"/>
              <w:rPr>
                <w:rFonts w:eastAsiaTheme="minorEastAsia"/>
                <w:color w:val="auto"/>
                <w:sz w:val="21"/>
                <w:szCs w:val="21"/>
              </w:rPr>
            </w:pPr>
            <w:r>
              <w:rPr>
                <w:rFonts w:eastAsiaTheme="minorEastAsia"/>
                <w:color w:val="auto"/>
                <w:sz w:val="21"/>
                <w:szCs w:val="21"/>
              </w:rPr>
              <w:t>13.6</w:t>
            </w:r>
          </w:p>
        </w:tc>
        <w:tc>
          <w:tcPr>
            <w:tcW w:w="885" w:type="dxa"/>
            <w:vAlign w:val="center"/>
          </w:tcPr>
          <w:p>
            <w:pPr>
              <w:jc w:val="center"/>
              <w:rPr>
                <w:rFonts w:eastAsiaTheme="minorEastAsia"/>
                <w:color w:val="auto"/>
                <w:sz w:val="21"/>
                <w:szCs w:val="21"/>
              </w:rPr>
            </w:pPr>
            <w:r>
              <w:rPr>
                <w:rFonts w:eastAsiaTheme="minorEastAsia"/>
                <w:color w:val="auto"/>
                <w:sz w:val="21"/>
                <w:szCs w:val="21"/>
              </w:rPr>
              <w:t>＜0.05</w:t>
            </w:r>
          </w:p>
        </w:tc>
        <w:tc>
          <w:tcPr>
            <w:tcW w:w="885" w:type="dxa"/>
            <w:vAlign w:val="center"/>
          </w:tcPr>
          <w:p>
            <w:pPr>
              <w:jc w:val="center"/>
              <w:rPr>
                <w:rFonts w:eastAsiaTheme="minorEastAsia"/>
                <w:color w:val="auto"/>
                <w:sz w:val="21"/>
                <w:szCs w:val="21"/>
              </w:rPr>
            </w:pPr>
            <w:r>
              <w:rPr>
                <w:rFonts w:eastAsiaTheme="minorEastAsia"/>
                <w:color w:val="auto"/>
                <w:sz w:val="21"/>
                <w:szCs w:val="21"/>
              </w:rPr>
              <w:t>1.14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387" w:type="dxa"/>
            <w:vMerge w:val="continue"/>
            <w:vAlign w:val="center"/>
          </w:tcPr>
          <w:p>
            <w:pPr>
              <w:jc w:val="center"/>
              <w:rPr>
                <w:rFonts w:eastAsiaTheme="minorEastAsia"/>
                <w:color w:val="auto"/>
                <w:sz w:val="21"/>
                <w:szCs w:val="21"/>
              </w:rPr>
            </w:pPr>
          </w:p>
        </w:tc>
        <w:tc>
          <w:tcPr>
            <w:tcW w:w="676" w:type="dxa"/>
            <w:vAlign w:val="center"/>
          </w:tcPr>
          <w:p>
            <w:pPr>
              <w:jc w:val="center"/>
              <w:rPr>
                <w:rFonts w:eastAsiaTheme="minorEastAsia"/>
                <w:color w:val="auto"/>
                <w:sz w:val="21"/>
                <w:szCs w:val="21"/>
              </w:rPr>
            </w:pPr>
            <w:r>
              <w:rPr>
                <w:rFonts w:eastAsiaTheme="minorEastAsia"/>
                <w:color w:val="auto"/>
                <w:sz w:val="21"/>
                <w:szCs w:val="21"/>
              </w:rPr>
              <w:t>2019.3.27</w:t>
            </w:r>
          </w:p>
        </w:tc>
        <w:tc>
          <w:tcPr>
            <w:tcW w:w="850" w:type="dxa"/>
            <w:vAlign w:val="center"/>
          </w:tcPr>
          <w:p>
            <w:pPr>
              <w:jc w:val="center"/>
              <w:rPr>
                <w:rFonts w:eastAsiaTheme="minorEastAsia"/>
                <w:color w:val="auto"/>
                <w:sz w:val="21"/>
                <w:szCs w:val="21"/>
              </w:rPr>
            </w:pPr>
            <w:r>
              <w:rPr>
                <w:rFonts w:eastAsiaTheme="minorEastAsia"/>
                <w:color w:val="auto"/>
                <w:sz w:val="21"/>
                <w:szCs w:val="21"/>
              </w:rPr>
              <w:t>0.02</w:t>
            </w:r>
          </w:p>
        </w:tc>
        <w:tc>
          <w:tcPr>
            <w:tcW w:w="1134" w:type="dxa"/>
            <w:vAlign w:val="center"/>
          </w:tcPr>
          <w:p>
            <w:pPr>
              <w:jc w:val="center"/>
              <w:rPr>
                <w:rFonts w:eastAsiaTheme="minorEastAsia"/>
                <w:color w:val="auto"/>
                <w:sz w:val="21"/>
                <w:szCs w:val="21"/>
              </w:rPr>
            </w:pPr>
            <w:r>
              <w:rPr>
                <w:rFonts w:eastAsiaTheme="minorEastAsia"/>
                <w:color w:val="auto"/>
                <w:sz w:val="21"/>
                <w:szCs w:val="21"/>
              </w:rPr>
              <w:t>1.8</w:t>
            </w:r>
          </w:p>
        </w:tc>
        <w:tc>
          <w:tcPr>
            <w:tcW w:w="851" w:type="dxa"/>
            <w:vAlign w:val="center"/>
          </w:tcPr>
          <w:p>
            <w:pPr>
              <w:jc w:val="center"/>
              <w:rPr>
                <w:rFonts w:eastAsiaTheme="minorEastAsia"/>
                <w:color w:val="auto"/>
                <w:sz w:val="21"/>
                <w:szCs w:val="21"/>
              </w:rPr>
            </w:pPr>
            <w:r>
              <w:rPr>
                <w:rFonts w:eastAsiaTheme="minorEastAsia"/>
                <w:color w:val="auto"/>
                <w:sz w:val="21"/>
                <w:szCs w:val="21"/>
              </w:rPr>
              <w:t>1.52</w:t>
            </w:r>
          </w:p>
        </w:tc>
        <w:tc>
          <w:tcPr>
            <w:tcW w:w="850" w:type="dxa"/>
            <w:vAlign w:val="center"/>
          </w:tcPr>
          <w:p>
            <w:pPr>
              <w:jc w:val="center"/>
              <w:rPr>
                <w:rFonts w:eastAsiaTheme="minorEastAsia"/>
                <w:color w:val="auto"/>
                <w:sz w:val="21"/>
                <w:szCs w:val="21"/>
              </w:rPr>
            </w:pPr>
            <w:r>
              <w:rPr>
                <w:rFonts w:eastAsiaTheme="minorEastAsia"/>
                <w:color w:val="auto"/>
                <w:sz w:val="21"/>
                <w:szCs w:val="21"/>
              </w:rPr>
              <w:t>23</w:t>
            </w:r>
          </w:p>
        </w:tc>
        <w:tc>
          <w:tcPr>
            <w:tcW w:w="851" w:type="dxa"/>
            <w:vAlign w:val="center"/>
          </w:tcPr>
          <w:p>
            <w:pPr>
              <w:jc w:val="center"/>
              <w:rPr>
                <w:rFonts w:eastAsiaTheme="minorEastAsia"/>
                <w:color w:val="auto"/>
                <w:sz w:val="21"/>
                <w:szCs w:val="21"/>
              </w:rPr>
            </w:pPr>
            <w:r>
              <w:rPr>
                <w:rFonts w:eastAsiaTheme="minorEastAsia"/>
                <w:color w:val="auto"/>
                <w:sz w:val="21"/>
                <w:szCs w:val="21"/>
              </w:rPr>
              <w:t>2</w:t>
            </w:r>
          </w:p>
        </w:tc>
        <w:tc>
          <w:tcPr>
            <w:tcW w:w="952" w:type="dxa"/>
            <w:vAlign w:val="center"/>
          </w:tcPr>
          <w:p>
            <w:pPr>
              <w:jc w:val="center"/>
              <w:rPr>
                <w:rFonts w:eastAsiaTheme="minorEastAsia"/>
                <w:color w:val="auto"/>
                <w:sz w:val="21"/>
                <w:szCs w:val="21"/>
              </w:rPr>
            </w:pPr>
            <w:r>
              <w:rPr>
                <w:rFonts w:eastAsiaTheme="minorEastAsia"/>
                <w:color w:val="auto"/>
                <w:sz w:val="21"/>
                <w:szCs w:val="21"/>
              </w:rPr>
              <w:t>260</w:t>
            </w:r>
          </w:p>
        </w:tc>
        <w:tc>
          <w:tcPr>
            <w:tcW w:w="925" w:type="dxa"/>
            <w:vAlign w:val="center"/>
          </w:tcPr>
          <w:p>
            <w:pPr>
              <w:jc w:val="center"/>
              <w:rPr>
                <w:rFonts w:eastAsiaTheme="minorEastAsia"/>
                <w:color w:val="auto"/>
                <w:sz w:val="21"/>
                <w:szCs w:val="21"/>
              </w:rPr>
            </w:pPr>
            <w:r>
              <w:rPr>
                <w:rFonts w:eastAsiaTheme="minorEastAsia"/>
                <w:color w:val="auto"/>
                <w:sz w:val="21"/>
                <w:szCs w:val="21"/>
              </w:rPr>
              <w:t>＜0.00004</w:t>
            </w:r>
          </w:p>
        </w:tc>
        <w:tc>
          <w:tcPr>
            <w:tcW w:w="925" w:type="dxa"/>
            <w:vAlign w:val="center"/>
          </w:tcPr>
          <w:p>
            <w:pPr>
              <w:jc w:val="center"/>
              <w:rPr>
                <w:rFonts w:eastAsiaTheme="minorEastAsia"/>
                <w:color w:val="auto"/>
                <w:sz w:val="21"/>
                <w:szCs w:val="21"/>
              </w:rPr>
            </w:pPr>
            <w:r>
              <w:rPr>
                <w:rFonts w:eastAsiaTheme="minorEastAsia"/>
                <w:color w:val="auto"/>
                <w:sz w:val="21"/>
                <w:szCs w:val="21"/>
              </w:rPr>
              <w:t>＜0.0003</w:t>
            </w:r>
          </w:p>
        </w:tc>
        <w:tc>
          <w:tcPr>
            <w:tcW w:w="885" w:type="dxa"/>
            <w:vAlign w:val="center"/>
          </w:tcPr>
          <w:p>
            <w:pPr>
              <w:jc w:val="center"/>
              <w:rPr>
                <w:rFonts w:eastAsiaTheme="minorEastAsia"/>
                <w:color w:val="auto"/>
                <w:sz w:val="21"/>
                <w:szCs w:val="21"/>
              </w:rPr>
            </w:pPr>
            <w:r>
              <w:rPr>
                <w:rFonts w:eastAsiaTheme="minorEastAsia"/>
                <w:color w:val="auto"/>
                <w:sz w:val="21"/>
                <w:szCs w:val="21"/>
              </w:rPr>
              <w:t>45.7</w:t>
            </w:r>
          </w:p>
        </w:tc>
        <w:tc>
          <w:tcPr>
            <w:tcW w:w="885" w:type="dxa"/>
            <w:vAlign w:val="center"/>
          </w:tcPr>
          <w:p>
            <w:pPr>
              <w:jc w:val="center"/>
              <w:rPr>
                <w:rFonts w:eastAsiaTheme="minorEastAsia"/>
                <w:color w:val="auto"/>
                <w:sz w:val="21"/>
                <w:szCs w:val="21"/>
              </w:rPr>
            </w:pPr>
            <w:r>
              <w:rPr>
                <w:rFonts w:eastAsiaTheme="minorEastAsia"/>
                <w:color w:val="auto"/>
                <w:sz w:val="21"/>
                <w:szCs w:val="21"/>
              </w:rPr>
              <w:t>79.0</w:t>
            </w:r>
          </w:p>
        </w:tc>
        <w:tc>
          <w:tcPr>
            <w:tcW w:w="885" w:type="dxa"/>
            <w:vAlign w:val="center"/>
          </w:tcPr>
          <w:p>
            <w:pPr>
              <w:jc w:val="center"/>
              <w:rPr>
                <w:rFonts w:eastAsiaTheme="minorEastAsia"/>
                <w:color w:val="auto"/>
                <w:sz w:val="21"/>
                <w:szCs w:val="21"/>
              </w:rPr>
            </w:pPr>
            <w:r>
              <w:rPr>
                <w:rFonts w:eastAsiaTheme="minorEastAsia"/>
                <w:color w:val="auto"/>
                <w:sz w:val="21"/>
                <w:szCs w:val="21"/>
              </w:rPr>
              <w:t>1.20</w:t>
            </w:r>
          </w:p>
        </w:tc>
        <w:tc>
          <w:tcPr>
            <w:tcW w:w="885" w:type="dxa"/>
            <w:vAlign w:val="center"/>
          </w:tcPr>
          <w:p>
            <w:pPr>
              <w:jc w:val="center"/>
              <w:rPr>
                <w:rFonts w:eastAsiaTheme="minorEastAsia"/>
                <w:color w:val="auto"/>
                <w:sz w:val="21"/>
                <w:szCs w:val="21"/>
              </w:rPr>
            </w:pPr>
            <w:r>
              <w:rPr>
                <w:rFonts w:eastAsiaTheme="minorEastAsia"/>
                <w:color w:val="auto"/>
                <w:sz w:val="21"/>
                <w:szCs w:val="21"/>
              </w:rPr>
              <w:t>21.4</w:t>
            </w:r>
          </w:p>
        </w:tc>
        <w:tc>
          <w:tcPr>
            <w:tcW w:w="885" w:type="dxa"/>
            <w:vAlign w:val="center"/>
          </w:tcPr>
          <w:p>
            <w:pPr>
              <w:jc w:val="center"/>
              <w:rPr>
                <w:rFonts w:eastAsiaTheme="minorEastAsia"/>
                <w:color w:val="auto"/>
                <w:sz w:val="21"/>
                <w:szCs w:val="21"/>
              </w:rPr>
            </w:pPr>
            <w:r>
              <w:rPr>
                <w:rFonts w:eastAsiaTheme="minorEastAsia"/>
                <w:color w:val="auto"/>
                <w:sz w:val="21"/>
                <w:szCs w:val="21"/>
              </w:rPr>
              <w:t>＜0.05</w:t>
            </w:r>
          </w:p>
        </w:tc>
        <w:tc>
          <w:tcPr>
            <w:tcW w:w="885" w:type="dxa"/>
            <w:vAlign w:val="center"/>
          </w:tcPr>
          <w:p>
            <w:pPr>
              <w:jc w:val="center"/>
              <w:rPr>
                <w:rFonts w:eastAsiaTheme="minorEastAsia"/>
                <w:color w:val="auto"/>
                <w:sz w:val="21"/>
                <w:szCs w:val="21"/>
              </w:rPr>
            </w:pPr>
            <w:r>
              <w:rPr>
                <w:rFonts w:eastAsiaTheme="minorEastAsia"/>
                <w:color w:val="auto"/>
                <w:sz w:val="21"/>
                <w:szCs w:val="21"/>
              </w:rPr>
              <w:t>0.94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超标率</w:t>
            </w:r>
            <w:r>
              <w:rPr>
                <w:rFonts w:hint="eastAsia" w:eastAsiaTheme="minorEastAsia"/>
                <w:color w:val="auto"/>
                <w:sz w:val="21"/>
                <w:szCs w:val="21"/>
                <w:lang w:eastAsia="zh-CN"/>
              </w:rPr>
              <w:t>（</w:t>
            </w:r>
            <w:r>
              <w:rPr>
                <w:rFonts w:hint="eastAsia" w:eastAsiaTheme="minorEastAsia"/>
                <w:color w:val="auto"/>
                <w:sz w:val="21"/>
                <w:szCs w:val="21"/>
                <w:lang w:val="en-US" w:eastAsia="zh-CN"/>
              </w:rPr>
              <w:t>%</w:t>
            </w:r>
            <w:r>
              <w:rPr>
                <w:rFonts w:hint="eastAsia" w:eastAsiaTheme="minorEastAsia"/>
                <w:color w:val="auto"/>
                <w:sz w:val="21"/>
                <w:szCs w:val="21"/>
                <w:lang w:eastAsia="zh-CN"/>
              </w:rPr>
              <w:t>）</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1134"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最大超标倍数</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1134"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最大单因子指数</w:t>
            </w:r>
          </w:p>
        </w:tc>
        <w:tc>
          <w:tcPr>
            <w:tcW w:w="850" w:type="dxa"/>
            <w:vAlign w:val="center"/>
          </w:tcPr>
          <w:p>
            <w:pPr>
              <w:jc w:val="center"/>
              <w:rPr>
                <w:rFonts w:eastAsiaTheme="minorEastAsia"/>
                <w:color w:val="auto"/>
                <w:sz w:val="21"/>
                <w:szCs w:val="21"/>
              </w:rPr>
            </w:pPr>
            <w:r>
              <w:rPr>
                <w:rFonts w:eastAsiaTheme="minorEastAsia"/>
                <w:color w:val="auto"/>
                <w:sz w:val="21"/>
                <w:szCs w:val="21"/>
              </w:rPr>
              <w:t>0.04</w:t>
            </w:r>
          </w:p>
        </w:tc>
        <w:tc>
          <w:tcPr>
            <w:tcW w:w="1134" w:type="dxa"/>
            <w:vAlign w:val="center"/>
          </w:tcPr>
          <w:p>
            <w:pPr>
              <w:jc w:val="center"/>
              <w:rPr>
                <w:rFonts w:eastAsiaTheme="minorEastAsia"/>
                <w:color w:val="auto"/>
                <w:sz w:val="21"/>
                <w:szCs w:val="21"/>
              </w:rPr>
            </w:pPr>
            <w:r>
              <w:rPr>
                <w:rFonts w:eastAsiaTheme="minorEastAsia"/>
                <w:color w:val="auto"/>
                <w:sz w:val="21"/>
                <w:szCs w:val="21"/>
              </w:rPr>
              <w:t>0.32</w:t>
            </w:r>
          </w:p>
        </w:tc>
        <w:tc>
          <w:tcPr>
            <w:tcW w:w="851" w:type="dxa"/>
            <w:vAlign w:val="center"/>
          </w:tcPr>
          <w:p>
            <w:pPr>
              <w:jc w:val="center"/>
              <w:rPr>
                <w:rFonts w:eastAsiaTheme="minorEastAsia"/>
                <w:color w:val="auto"/>
                <w:sz w:val="21"/>
                <w:szCs w:val="21"/>
              </w:rPr>
            </w:pPr>
            <w:r>
              <w:rPr>
                <w:rFonts w:eastAsiaTheme="minorEastAsia"/>
                <w:color w:val="auto"/>
                <w:sz w:val="21"/>
                <w:szCs w:val="21"/>
              </w:rPr>
              <w:t>0.16</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0.02</w:t>
            </w:r>
          </w:p>
        </w:tc>
        <w:tc>
          <w:tcPr>
            <w:tcW w:w="925" w:type="dxa"/>
            <w:vAlign w:val="center"/>
          </w:tcPr>
          <w:p>
            <w:pPr>
              <w:jc w:val="center"/>
              <w:rPr>
                <w:rFonts w:eastAsiaTheme="minorEastAsia"/>
                <w:color w:val="auto"/>
                <w:sz w:val="21"/>
                <w:szCs w:val="21"/>
              </w:rPr>
            </w:pPr>
            <w:r>
              <w:rPr>
                <w:rFonts w:eastAsiaTheme="minorEastAsia"/>
                <w:color w:val="auto"/>
                <w:sz w:val="21"/>
                <w:szCs w:val="21"/>
              </w:rPr>
              <w:t>/</w:t>
            </w:r>
          </w:p>
        </w:tc>
        <w:tc>
          <w:tcPr>
            <w:tcW w:w="925" w:type="dxa"/>
            <w:vAlign w:val="center"/>
          </w:tcPr>
          <w:p>
            <w:pPr>
              <w:jc w:val="center"/>
              <w:rPr>
                <w:rFonts w:eastAsiaTheme="minorEastAsia"/>
                <w:color w:val="auto"/>
                <w:sz w:val="21"/>
                <w:szCs w:val="21"/>
              </w:rPr>
            </w:pPr>
            <w:r>
              <w:rPr>
                <w:rFonts w:eastAsiaTheme="minorEastAsia"/>
                <w:color w:val="auto"/>
                <w:sz w:val="21"/>
                <w:szCs w:val="21"/>
              </w:rPr>
              <w:t>/</w:t>
            </w:r>
          </w:p>
        </w:tc>
        <w:tc>
          <w:tcPr>
            <w:tcW w:w="885" w:type="dxa"/>
            <w:vAlign w:val="center"/>
          </w:tcPr>
          <w:p>
            <w:pPr>
              <w:jc w:val="center"/>
              <w:rPr>
                <w:rFonts w:eastAsiaTheme="minorEastAsia"/>
                <w:color w:val="auto"/>
                <w:sz w:val="21"/>
                <w:szCs w:val="21"/>
              </w:rPr>
            </w:pPr>
            <w:r>
              <w:rPr>
                <w:rFonts w:eastAsiaTheme="minorEastAsia"/>
                <w:color w:val="auto"/>
                <w:sz w:val="21"/>
                <w:szCs w:val="21"/>
              </w:rPr>
              <w:t>0.46</w:t>
            </w:r>
          </w:p>
        </w:tc>
        <w:tc>
          <w:tcPr>
            <w:tcW w:w="885" w:type="dxa"/>
            <w:vAlign w:val="center"/>
          </w:tcPr>
          <w:p>
            <w:pPr>
              <w:jc w:val="center"/>
              <w:rPr>
                <w:rFonts w:eastAsiaTheme="minorEastAsia"/>
                <w:color w:val="auto"/>
                <w:sz w:val="21"/>
                <w:szCs w:val="21"/>
              </w:rPr>
            </w:pPr>
            <w:r>
              <w:rPr>
                <w:rFonts w:eastAsiaTheme="minorEastAsia"/>
                <w:color w:val="auto"/>
                <w:sz w:val="21"/>
                <w:szCs w:val="21"/>
              </w:rPr>
              <w:t>0.26</w:t>
            </w:r>
          </w:p>
        </w:tc>
        <w:tc>
          <w:tcPr>
            <w:tcW w:w="885" w:type="dxa"/>
            <w:vAlign w:val="center"/>
          </w:tcPr>
          <w:p>
            <w:pPr>
              <w:jc w:val="center"/>
              <w:rPr>
                <w:rFonts w:eastAsiaTheme="minorEastAsia"/>
                <w:color w:val="auto"/>
                <w:sz w:val="21"/>
                <w:szCs w:val="21"/>
              </w:rPr>
            </w:pPr>
            <w:r>
              <w:rPr>
                <w:rFonts w:eastAsiaTheme="minorEastAsia"/>
                <w:color w:val="auto"/>
                <w:sz w:val="21"/>
                <w:szCs w:val="21"/>
              </w:rPr>
              <w:t>0.001</w:t>
            </w:r>
          </w:p>
        </w:tc>
        <w:tc>
          <w:tcPr>
            <w:tcW w:w="885" w:type="dxa"/>
            <w:vAlign w:val="center"/>
          </w:tcPr>
          <w:p>
            <w:pPr>
              <w:jc w:val="center"/>
              <w:rPr>
                <w:rFonts w:eastAsiaTheme="minorEastAsia"/>
                <w:color w:val="auto"/>
                <w:sz w:val="21"/>
                <w:szCs w:val="21"/>
              </w:rPr>
            </w:pPr>
            <w:r>
              <w:rPr>
                <w:rFonts w:eastAsiaTheme="minorEastAsia"/>
                <w:color w:val="auto"/>
                <w:sz w:val="21"/>
                <w:szCs w:val="21"/>
              </w:rPr>
              <w:t>0.01</w:t>
            </w:r>
          </w:p>
        </w:tc>
        <w:tc>
          <w:tcPr>
            <w:tcW w:w="885" w:type="dxa"/>
            <w:vAlign w:val="center"/>
          </w:tcPr>
          <w:p>
            <w:pPr>
              <w:jc w:val="center"/>
              <w:rPr>
                <w:rFonts w:eastAsiaTheme="minorEastAsia"/>
                <w:color w:val="auto"/>
                <w:sz w:val="21"/>
                <w:szCs w:val="21"/>
              </w:rPr>
            </w:pPr>
            <w:r>
              <w:rPr>
                <w:rFonts w:eastAsiaTheme="minorEastAsia"/>
                <w:color w:val="auto"/>
                <w:sz w:val="21"/>
                <w:szCs w:val="21"/>
              </w:rPr>
              <w:t>/</w:t>
            </w:r>
          </w:p>
        </w:tc>
        <w:tc>
          <w:tcPr>
            <w:tcW w:w="885" w:type="dxa"/>
            <w:vAlign w:val="center"/>
          </w:tcPr>
          <w:p>
            <w:pPr>
              <w:jc w:val="center"/>
              <w:rPr>
                <w:rFonts w:eastAsiaTheme="minorEastAsia"/>
                <w:color w:val="auto"/>
                <w:sz w:val="21"/>
                <w:szCs w:val="21"/>
              </w:rPr>
            </w:pPr>
            <w:r>
              <w:rPr>
                <w:rFonts w:eastAsiaTheme="minorEastAsia"/>
                <w:color w:val="auto"/>
                <w:sz w:val="21"/>
                <w:szCs w:val="21"/>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标准值（mg/L）</w:t>
            </w:r>
          </w:p>
        </w:tc>
        <w:tc>
          <w:tcPr>
            <w:tcW w:w="850" w:type="dxa"/>
            <w:vAlign w:val="center"/>
          </w:tcPr>
          <w:p>
            <w:pPr>
              <w:jc w:val="center"/>
              <w:rPr>
                <w:rFonts w:eastAsiaTheme="minorEastAsia"/>
                <w:color w:val="auto"/>
                <w:sz w:val="21"/>
                <w:szCs w:val="21"/>
              </w:rPr>
            </w:pPr>
            <w:r>
              <w:rPr>
                <w:rFonts w:eastAsiaTheme="minorEastAsia"/>
                <w:color w:val="auto"/>
                <w:sz w:val="21"/>
                <w:szCs w:val="21"/>
              </w:rPr>
              <w:t>≤0.5</w:t>
            </w:r>
          </w:p>
        </w:tc>
        <w:tc>
          <w:tcPr>
            <w:tcW w:w="1134" w:type="dxa"/>
            <w:vAlign w:val="center"/>
          </w:tcPr>
          <w:p>
            <w:pPr>
              <w:jc w:val="center"/>
              <w:rPr>
                <w:rFonts w:eastAsiaTheme="minorEastAsia"/>
                <w:color w:val="auto"/>
                <w:sz w:val="21"/>
                <w:szCs w:val="21"/>
              </w:rPr>
            </w:pPr>
            <w:r>
              <w:rPr>
                <w:rFonts w:eastAsiaTheme="minorEastAsia"/>
                <w:color w:val="auto"/>
                <w:sz w:val="21"/>
                <w:szCs w:val="21"/>
              </w:rPr>
              <w:t>≤6</w:t>
            </w:r>
          </w:p>
        </w:tc>
        <w:tc>
          <w:tcPr>
            <w:tcW w:w="851" w:type="dxa"/>
            <w:vAlign w:val="center"/>
          </w:tcPr>
          <w:p>
            <w:pPr>
              <w:jc w:val="center"/>
              <w:rPr>
                <w:rFonts w:eastAsiaTheme="minorEastAsia"/>
                <w:color w:val="auto"/>
                <w:sz w:val="21"/>
                <w:szCs w:val="21"/>
              </w:rPr>
            </w:pPr>
            <w:r>
              <w:rPr>
                <w:rFonts w:eastAsiaTheme="minorEastAsia"/>
                <w:color w:val="auto"/>
                <w:sz w:val="21"/>
                <w:szCs w:val="21"/>
              </w:rPr>
              <w:t>≤10</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≤20000</w:t>
            </w:r>
          </w:p>
        </w:tc>
        <w:tc>
          <w:tcPr>
            <w:tcW w:w="925" w:type="dxa"/>
            <w:vAlign w:val="center"/>
          </w:tcPr>
          <w:p>
            <w:pPr>
              <w:jc w:val="center"/>
              <w:rPr>
                <w:rFonts w:eastAsiaTheme="minorEastAsia"/>
                <w:color w:val="auto"/>
                <w:sz w:val="21"/>
                <w:szCs w:val="21"/>
              </w:rPr>
            </w:pPr>
            <w:r>
              <w:rPr>
                <w:rFonts w:eastAsiaTheme="minorEastAsia"/>
                <w:color w:val="auto"/>
                <w:sz w:val="21"/>
                <w:szCs w:val="21"/>
              </w:rPr>
              <w:t>≤0.001</w:t>
            </w:r>
          </w:p>
        </w:tc>
        <w:tc>
          <w:tcPr>
            <w:tcW w:w="925" w:type="dxa"/>
            <w:vAlign w:val="center"/>
          </w:tcPr>
          <w:p>
            <w:pPr>
              <w:jc w:val="center"/>
              <w:rPr>
                <w:rFonts w:eastAsiaTheme="minorEastAsia"/>
                <w:color w:val="auto"/>
                <w:sz w:val="21"/>
                <w:szCs w:val="21"/>
              </w:rPr>
            </w:pPr>
            <w:r>
              <w:rPr>
                <w:rFonts w:eastAsiaTheme="minorEastAsia"/>
                <w:color w:val="auto"/>
                <w:sz w:val="21"/>
                <w:szCs w:val="21"/>
              </w:rPr>
              <w:t>≤0.1</w:t>
            </w:r>
          </w:p>
        </w:tc>
        <w:tc>
          <w:tcPr>
            <w:tcW w:w="885" w:type="dxa"/>
            <w:vAlign w:val="center"/>
          </w:tcPr>
          <w:p>
            <w:pPr>
              <w:jc w:val="center"/>
              <w:rPr>
                <w:rFonts w:eastAsiaTheme="minorEastAsia"/>
                <w:color w:val="auto"/>
                <w:sz w:val="21"/>
                <w:szCs w:val="21"/>
              </w:rPr>
            </w:pPr>
            <w:r>
              <w:rPr>
                <w:rFonts w:eastAsiaTheme="minorEastAsia"/>
                <w:color w:val="auto"/>
                <w:sz w:val="21"/>
                <w:szCs w:val="21"/>
              </w:rPr>
              <w:t>≤0.1</w:t>
            </w:r>
          </w:p>
        </w:tc>
        <w:tc>
          <w:tcPr>
            <w:tcW w:w="885" w:type="dxa"/>
            <w:vAlign w:val="center"/>
          </w:tcPr>
          <w:p>
            <w:pPr>
              <w:jc w:val="center"/>
              <w:rPr>
                <w:rFonts w:eastAsiaTheme="minorEastAsia"/>
                <w:color w:val="auto"/>
                <w:sz w:val="21"/>
                <w:szCs w:val="21"/>
              </w:rPr>
            </w:pPr>
            <w:r>
              <w:rPr>
                <w:rFonts w:eastAsiaTheme="minorEastAsia"/>
                <w:color w:val="auto"/>
                <w:sz w:val="21"/>
                <w:szCs w:val="21"/>
              </w:rPr>
              <w:t>≤0.3</w:t>
            </w:r>
          </w:p>
        </w:tc>
        <w:tc>
          <w:tcPr>
            <w:tcW w:w="885" w:type="dxa"/>
            <w:vAlign w:val="center"/>
          </w:tcPr>
          <w:p>
            <w:pPr>
              <w:jc w:val="center"/>
              <w:rPr>
                <w:rFonts w:eastAsiaTheme="minorEastAsia"/>
                <w:color w:val="auto"/>
                <w:sz w:val="21"/>
                <w:szCs w:val="21"/>
              </w:rPr>
            </w:pPr>
            <w:r>
              <w:rPr>
                <w:rFonts w:eastAsiaTheme="minorEastAsia"/>
                <w:color w:val="auto"/>
                <w:sz w:val="21"/>
                <w:szCs w:val="21"/>
              </w:rPr>
              <w:t>≤1.0</w:t>
            </w:r>
          </w:p>
        </w:tc>
        <w:tc>
          <w:tcPr>
            <w:tcW w:w="885" w:type="dxa"/>
            <w:vAlign w:val="center"/>
          </w:tcPr>
          <w:p>
            <w:pPr>
              <w:jc w:val="center"/>
              <w:rPr>
                <w:rFonts w:eastAsiaTheme="minorEastAsia"/>
                <w:color w:val="auto"/>
                <w:sz w:val="21"/>
                <w:szCs w:val="21"/>
              </w:rPr>
            </w:pPr>
            <w:r>
              <w:rPr>
                <w:rFonts w:eastAsiaTheme="minorEastAsia"/>
                <w:color w:val="auto"/>
                <w:sz w:val="21"/>
                <w:szCs w:val="21"/>
              </w:rPr>
              <w:t>≤2.0</w:t>
            </w:r>
          </w:p>
        </w:tc>
        <w:tc>
          <w:tcPr>
            <w:tcW w:w="885" w:type="dxa"/>
            <w:vAlign w:val="center"/>
          </w:tcPr>
          <w:p>
            <w:pPr>
              <w:jc w:val="center"/>
              <w:rPr>
                <w:rFonts w:eastAsiaTheme="minorEastAsia"/>
                <w:color w:val="auto"/>
                <w:sz w:val="21"/>
                <w:szCs w:val="21"/>
              </w:rPr>
            </w:pPr>
            <w:r>
              <w:rPr>
                <w:rFonts w:eastAsiaTheme="minorEastAsia"/>
                <w:color w:val="auto"/>
                <w:sz w:val="21"/>
                <w:szCs w:val="21"/>
              </w:rPr>
              <w:t>≤0.005</w:t>
            </w:r>
          </w:p>
        </w:tc>
        <w:tc>
          <w:tcPr>
            <w:tcW w:w="885" w:type="dxa"/>
            <w:vAlign w:val="center"/>
          </w:tcPr>
          <w:p>
            <w:pPr>
              <w:jc w:val="center"/>
              <w:rPr>
                <w:rFonts w:eastAsiaTheme="minorEastAsia"/>
                <w:color w:val="auto"/>
                <w:sz w:val="21"/>
                <w:szCs w:val="21"/>
              </w:rPr>
            </w:pPr>
            <w:r>
              <w:rPr>
                <w:rFonts w:eastAsiaTheme="minorEastAsia"/>
                <w:color w:val="auto"/>
                <w:sz w:val="21"/>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restart"/>
            <w:vAlign w:val="center"/>
          </w:tcPr>
          <w:p>
            <w:pPr>
              <w:jc w:val="center"/>
              <w:rPr>
                <w:rFonts w:eastAsiaTheme="minorEastAsia"/>
                <w:color w:val="auto"/>
                <w:sz w:val="21"/>
                <w:szCs w:val="21"/>
              </w:rPr>
            </w:pPr>
            <w:r>
              <w:rPr>
                <w:rFonts w:eastAsiaTheme="minorEastAsia"/>
                <w:color w:val="auto"/>
                <w:sz w:val="21"/>
                <w:szCs w:val="21"/>
              </w:rPr>
              <w:t>W2</w:t>
            </w:r>
          </w:p>
        </w:tc>
        <w:tc>
          <w:tcPr>
            <w:tcW w:w="387" w:type="dxa"/>
            <w:vMerge w:val="restart"/>
            <w:vAlign w:val="center"/>
          </w:tcPr>
          <w:p>
            <w:pPr>
              <w:jc w:val="center"/>
              <w:rPr>
                <w:rFonts w:eastAsiaTheme="minorEastAsia"/>
                <w:color w:val="auto"/>
                <w:sz w:val="21"/>
                <w:szCs w:val="21"/>
              </w:rPr>
            </w:pPr>
            <w:r>
              <w:rPr>
                <w:rFonts w:eastAsiaTheme="minorEastAsia"/>
                <w:color w:val="auto"/>
                <w:sz w:val="21"/>
                <w:szCs w:val="21"/>
              </w:rPr>
              <w:t>监测值</w:t>
            </w:r>
          </w:p>
        </w:tc>
        <w:tc>
          <w:tcPr>
            <w:tcW w:w="676" w:type="dxa"/>
            <w:vAlign w:val="center"/>
          </w:tcPr>
          <w:p>
            <w:pPr>
              <w:jc w:val="center"/>
              <w:rPr>
                <w:rFonts w:eastAsiaTheme="minorEastAsia"/>
                <w:color w:val="auto"/>
                <w:sz w:val="21"/>
                <w:szCs w:val="21"/>
              </w:rPr>
            </w:pPr>
            <w:r>
              <w:rPr>
                <w:rFonts w:eastAsiaTheme="minorEastAsia"/>
                <w:color w:val="auto"/>
                <w:sz w:val="21"/>
                <w:szCs w:val="21"/>
              </w:rPr>
              <w:t>2019.3.25</w:t>
            </w:r>
          </w:p>
        </w:tc>
        <w:tc>
          <w:tcPr>
            <w:tcW w:w="850" w:type="dxa"/>
            <w:vAlign w:val="center"/>
          </w:tcPr>
          <w:p>
            <w:pPr>
              <w:jc w:val="center"/>
              <w:rPr>
                <w:rFonts w:eastAsiaTheme="minorEastAsia"/>
                <w:color w:val="auto"/>
                <w:sz w:val="21"/>
                <w:szCs w:val="21"/>
              </w:rPr>
            </w:pPr>
            <w:r>
              <w:rPr>
                <w:rFonts w:eastAsiaTheme="minorEastAsia"/>
                <w:color w:val="auto"/>
                <w:sz w:val="21"/>
                <w:szCs w:val="21"/>
              </w:rPr>
              <w:t>0.02</w:t>
            </w:r>
          </w:p>
        </w:tc>
        <w:tc>
          <w:tcPr>
            <w:tcW w:w="1134" w:type="dxa"/>
            <w:vAlign w:val="center"/>
          </w:tcPr>
          <w:p>
            <w:pPr>
              <w:jc w:val="center"/>
              <w:rPr>
                <w:rFonts w:eastAsiaTheme="minorEastAsia"/>
                <w:color w:val="auto"/>
                <w:sz w:val="21"/>
                <w:szCs w:val="21"/>
              </w:rPr>
            </w:pPr>
            <w:r>
              <w:rPr>
                <w:rFonts w:eastAsiaTheme="minorEastAsia"/>
                <w:color w:val="auto"/>
                <w:sz w:val="21"/>
                <w:szCs w:val="21"/>
              </w:rPr>
              <w:t>1.7</w:t>
            </w:r>
          </w:p>
        </w:tc>
        <w:tc>
          <w:tcPr>
            <w:tcW w:w="851" w:type="dxa"/>
            <w:vAlign w:val="center"/>
          </w:tcPr>
          <w:p>
            <w:pPr>
              <w:jc w:val="center"/>
              <w:rPr>
                <w:rFonts w:eastAsiaTheme="minorEastAsia"/>
                <w:color w:val="auto"/>
                <w:sz w:val="21"/>
                <w:szCs w:val="21"/>
              </w:rPr>
            </w:pPr>
            <w:r>
              <w:rPr>
                <w:rFonts w:eastAsiaTheme="minorEastAsia"/>
                <w:color w:val="auto"/>
                <w:sz w:val="21"/>
                <w:szCs w:val="21"/>
              </w:rPr>
              <w:t>2.29</w:t>
            </w:r>
          </w:p>
        </w:tc>
        <w:tc>
          <w:tcPr>
            <w:tcW w:w="850" w:type="dxa"/>
            <w:vAlign w:val="center"/>
          </w:tcPr>
          <w:p>
            <w:pPr>
              <w:jc w:val="center"/>
              <w:rPr>
                <w:rFonts w:eastAsiaTheme="minorEastAsia"/>
                <w:color w:val="auto"/>
                <w:sz w:val="21"/>
                <w:szCs w:val="21"/>
              </w:rPr>
            </w:pPr>
            <w:r>
              <w:rPr>
                <w:rFonts w:eastAsiaTheme="minorEastAsia"/>
                <w:color w:val="auto"/>
                <w:sz w:val="21"/>
                <w:szCs w:val="21"/>
              </w:rPr>
              <w:t>20</w:t>
            </w:r>
          </w:p>
        </w:tc>
        <w:tc>
          <w:tcPr>
            <w:tcW w:w="851" w:type="dxa"/>
            <w:vAlign w:val="center"/>
          </w:tcPr>
          <w:p>
            <w:pPr>
              <w:jc w:val="center"/>
              <w:rPr>
                <w:rFonts w:eastAsiaTheme="minorEastAsia"/>
                <w:color w:val="auto"/>
                <w:sz w:val="21"/>
                <w:szCs w:val="21"/>
              </w:rPr>
            </w:pPr>
            <w:r>
              <w:rPr>
                <w:rFonts w:eastAsiaTheme="minorEastAsia"/>
                <w:color w:val="auto"/>
                <w:sz w:val="21"/>
                <w:szCs w:val="21"/>
              </w:rPr>
              <w:t>2</w:t>
            </w:r>
          </w:p>
        </w:tc>
        <w:tc>
          <w:tcPr>
            <w:tcW w:w="952" w:type="dxa"/>
            <w:vAlign w:val="center"/>
          </w:tcPr>
          <w:p>
            <w:pPr>
              <w:jc w:val="center"/>
              <w:rPr>
                <w:rFonts w:eastAsiaTheme="minorEastAsia"/>
                <w:color w:val="auto"/>
                <w:sz w:val="21"/>
                <w:szCs w:val="21"/>
              </w:rPr>
            </w:pPr>
            <w:r>
              <w:rPr>
                <w:rFonts w:eastAsiaTheme="minorEastAsia"/>
                <w:color w:val="auto"/>
                <w:sz w:val="21"/>
                <w:szCs w:val="21"/>
              </w:rPr>
              <w:t>170</w:t>
            </w:r>
          </w:p>
        </w:tc>
        <w:tc>
          <w:tcPr>
            <w:tcW w:w="925" w:type="dxa"/>
            <w:vAlign w:val="center"/>
          </w:tcPr>
          <w:p>
            <w:pPr>
              <w:jc w:val="center"/>
              <w:rPr>
                <w:rFonts w:eastAsiaTheme="minorEastAsia"/>
                <w:color w:val="auto"/>
                <w:sz w:val="21"/>
                <w:szCs w:val="21"/>
              </w:rPr>
            </w:pPr>
            <w:r>
              <w:rPr>
                <w:rFonts w:eastAsiaTheme="minorEastAsia"/>
                <w:color w:val="auto"/>
                <w:sz w:val="21"/>
                <w:szCs w:val="21"/>
              </w:rPr>
              <w:t>＜0.00004</w:t>
            </w:r>
          </w:p>
        </w:tc>
        <w:tc>
          <w:tcPr>
            <w:tcW w:w="925" w:type="dxa"/>
            <w:vAlign w:val="center"/>
          </w:tcPr>
          <w:p>
            <w:pPr>
              <w:jc w:val="center"/>
              <w:rPr>
                <w:rFonts w:eastAsiaTheme="minorEastAsia"/>
                <w:color w:val="auto"/>
                <w:sz w:val="21"/>
                <w:szCs w:val="21"/>
              </w:rPr>
            </w:pPr>
            <w:r>
              <w:rPr>
                <w:rFonts w:eastAsiaTheme="minorEastAsia"/>
                <w:color w:val="auto"/>
                <w:sz w:val="21"/>
                <w:szCs w:val="21"/>
              </w:rPr>
              <w:t>＜0.0003</w:t>
            </w:r>
          </w:p>
        </w:tc>
        <w:tc>
          <w:tcPr>
            <w:tcW w:w="885" w:type="dxa"/>
            <w:vAlign w:val="center"/>
          </w:tcPr>
          <w:p>
            <w:pPr>
              <w:jc w:val="center"/>
              <w:rPr>
                <w:rFonts w:eastAsiaTheme="minorEastAsia"/>
                <w:color w:val="auto"/>
                <w:sz w:val="21"/>
                <w:szCs w:val="21"/>
              </w:rPr>
            </w:pPr>
            <w:r>
              <w:rPr>
                <w:rFonts w:eastAsiaTheme="minorEastAsia"/>
                <w:color w:val="auto"/>
                <w:sz w:val="21"/>
                <w:szCs w:val="21"/>
              </w:rPr>
              <w:t>11.0</w:t>
            </w:r>
          </w:p>
        </w:tc>
        <w:tc>
          <w:tcPr>
            <w:tcW w:w="885" w:type="dxa"/>
            <w:vAlign w:val="center"/>
          </w:tcPr>
          <w:p>
            <w:pPr>
              <w:jc w:val="center"/>
              <w:rPr>
                <w:rFonts w:eastAsiaTheme="minorEastAsia"/>
                <w:color w:val="auto"/>
                <w:sz w:val="21"/>
                <w:szCs w:val="21"/>
              </w:rPr>
            </w:pPr>
            <w:r>
              <w:rPr>
                <w:rFonts w:eastAsiaTheme="minorEastAsia"/>
                <w:color w:val="auto"/>
                <w:sz w:val="21"/>
                <w:szCs w:val="21"/>
              </w:rPr>
              <w:t>84.0</w:t>
            </w:r>
          </w:p>
        </w:tc>
        <w:tc>
          <w:tcPr>
            <w:tcW w:w="885" w:type="dxa"/>
            <w:vAlign w:val="center"/>
          </w:tcPr>
          <w:p>
            <w:pPr>
              <w:jc w:val="center"/>
              <w:rPr>
                <w:rFonts w:eastAsiaTheme="minorEastAsia"/>
                <w:color w:val="auto"/>
                <w:sz w:val="21"/>
                <w:szCs w:val="21"/>
              </w:rPr>
            </w:pPr>
            <w:r>
              <w:rPr>
                <w:rFonts w:eastAsiaTheme="minorEastAsia"/>
                <w:color w:val="auto"/>
                <w:sz w:val="21"/>
                <w:szCs w:val="21"/>
              </w:rPr>
              <w:t>2.50</w:t>
            </w:r>
          </w:p>
        </w:tc>
        <w:tc>
          <w:tcPr>
            <w:tcW w:w="885" w:type="dxa"/>
            <w:vAlign w:val="center"/>
          </w:tcPr>
          <w:p>
            <w:pPr>
              <w:jc w:val="center"/>
              <w:rPr>
                <w:rFonts w:eastAsiaTheme="minorEastAsia"/>
                <w:color w:val="auto"/>
                <w:sz w:val="21"/>
                <w:szCs w:val="21"/>
              </w:rPr>
            </w:pPr>
            <w:r>
              <w:rPr>
                <w:rFonts w:eastAsiaTheme="minorEastAsia"/>
                <w:color w:val="auto"/>
                <w:sz w:val="21"/>
                <w:szCs w:val="21"/>
              </w:rPr>
              <w:t>9.17</w:t>
            </w:r>
          </w:p>
        </w:tc>
        <w:tc>
          <w:tcPr>
            <w:tcW w:w="885" w:type="dxa"/>
            <w:vAlign w:val="center"/>
          </w:tcPr>
          <w:p>
            <w:pPr>
              <w:jc w:val="center"/>
              <w:rPr>
                <w:rFonts w:eastAsiaTheme="minorEastAsia"/>
                <w:color w:val="auto"/>
                <w:sz w:val="21"/>
                <w:szCs w:val="21"/>
              </w:rPr>
            </w:pPr>
            <w:r>
              <w:rPr>
                <w:rFonts w:eastAsiaTheme="minorEastAsia"/>
                <w:color w:val="auto"/>
                <w:sz w:val="21"/>
                <w:szCs w:val="21"/>
              </w:rPr>
              <w:t>＜0.05</w:t>
            </w:r>
          </w:p>
        </w:tc>
        <w:tc>
          <w:tcPr>
            <w:tcW w:w="885" w:type="dxa"/>
            <w:vAlign w:val="center"/>
          </w:tcPr>
          <w:p>
            <w:pPr>
              <w:jc w:val="center"/>
              <w:rPr>
                <w:rFonts w:eastAsiaTheme="minorEastAsia"/>
                <w:color w:val="auto"/>
                <w:sz w:val="21"/>
                <w:szCs w:val="21"/>
              </w:rPr>
            </w:pPr>
            <w:r>
              <w:rPr>
                <w:rFonts w:eastAsiaTheme="minorEastAsia"/>
                <w:color w:val="auto"/>
                <w:sz w:val="21"/>
                <w:szCs w:val="21"/>
              </w:rPr>
              <w:t>0.78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387" w:type="dxa"/>
            <w:vMerge w:val="continue"/>
            <w:vAlign w:val="center"/>
          </w:tcPr>
          <w:p>
            <w:pPr>
              <w:jc w:val="center"/>
              <w:rPr>
                <w:rFonts w:eastAsiaTheme="minorEastAsia"/>
                <w:color w:val="auto"/>
                <w:sz w:val="21"/>
                <w:szCs w:val="21"/>
              </w:rPr>
            </w:pPr>
          </w:p>
        </w:tc>
        <w:tc>
          <w:tcPr>
            <w:tcW w:w="676" w:type="dxa"/>
            <w:vAlign w:val="center"/>
          </w:tcPr>
          <w:p>
            <w:pPr>
              <w:jc w:val="center"/>
              <w:rPr>
                <w:rFonts w:eastAsiaTheme="minorEastAsia"/>
                <w:color w:val="auto"/>
                <w:sz w:val="21"/>
                <w:szCs w:val="21"/>
              </w:rPr>
            </w:pPr>
            <w:r>
              <w:rPr>
                <w:rFonts w:eastAsiaTheme="minorEastAsia"/>
                <w:color w:val="auto"/>
                <w:sz w:val="21"/>
                <w:szCs w:val="21"/>
              </w:rPr>
              <w:t>2019.3.26</w:t>
            </w:r>
          </w:p>
        </w:tc>
        <w:tc>
          <w:tcPr>
            <w:tcW w:w="850" w:type="dxa"/>
            <w:vAlign w:val="center"/>
          </w:tcPr>
          <w:p>
            <w:pPr>
              <w:jc w:val="center"/>
              <w:rPr>
                <w:rFonts w:eastAsiaTheme="minorEastAsia"/>
                <w:color w:val="auto"/>
                <w:sz w:val="21"/>
                <w:szCs w:val="21"/>
              </w:rPr>
            </w:pPr>
            <w:r>
              <w:rPr>
                <w:rFonts w:eastAsiaTheme="minorEastAsia"/>
                <w:color w:val="auto"/>
                <w:sz w:val="21"/>
                <w:szCs w:val="21"/>
              </w:rPr>
              <w:t>0.01</w:t>
            </w:r>
          </w:p>
        </w:tc>
        <w:tc>
          <w:tcPr>
            <w:tcW w:w="1134" w:type="dxa"/>
            <w:vAlign w:val="center"/>
          </w:tcPr>
          <w:p>
            <w:pPr>
              <w:jc w:val="center"/>
              <w:rPr>
                <w:rFonts w:eastAsiaTheme="minorEastAsia"/>
                <w:color w:val="auto"/>
                <w:sz w:val="21"/>
                <w:szCs w:val="21"/>
              </w:rPr>
            </w:pPr>
            <w:r>
              <w:rPr>
                <w:rFonts w:eastAsiaTheme="minorEastAsia"/>
                <w:color w:val="auto"/>
                <w:sz w:val="21"/>
                <w:szCs w:val="21"/>
              </w:rPr>
              <w:t>2.3</w:t>
            </w:r>
          </w:p>
        </w:tc>
        <w:tc>
          <w:tcPr>
            <w:tcW w:w="851" w:type="dxa"/>
            <w:vAlign w:val="center"/>
          </w:tcPr>
          <w:p>
            <w:pPr>
              <w:jc w:val="center"/>
              <w:rPr>
                <w:rFonts w:eastAsiaTheme="minorEastAsia"/>
                <w:color w:val="auto"/>
                <w:sz w:val="21"/>
                <w:szCs w:val="21"/>
              </w:rPr>
            </w:pPr>
            <w:r>
              <w:rPr>
                <w:rFonts w:eastAsiaTheme="minorEastAsia"/>
                <w:color w:val="auto"/>
                <w:sz w:val="21"/>
                <w:szCs w:val="21"/>
              </w:rPr>
              <w:t>2.14</w:t>
            </w:r>
          </w:p>
        </w:tc>
        <w:tc>
          <w:tcPr>
            <w:tcW w:w="850" w:type="dxa"/>
            <w:vAlign w:val="center"/>
          </w:tcPr>
          <w:p>
            <w:pPr>
              <w:jc w:val="center"/>
              <w:rPr>
                <w:rFonts w:eastAsiaTheme="minorEastAsia"/>
                <w:color w:val="auto"/>
                <w:sz w:val="21"/>
                <w:szCs w:val="21"/>
              </w:rPr>
            </w:pPr>
            <w:r>
              <w:rPr>
                <w:rFonts w:eastAsiaTheme="minorEastAsia"/>
                <w:color w:val="auto"/>
                <w:sz w:val="21"/>
                <w:szCs w:val="21"/>
              </w:rPr>
              <w:t>24</w:t>
            </w:r>
          </w:p>
        </w:tc>
        <w:tc>
          <w:tcPr>
            <w:tcW w:w="851" w:type="dxa"/>
            <w:vAlign w:val="center"/>
          </w:tcPr>
          <w:p>
            <w:pPr>
              <w:jc w:val="center"/>
              <w:rPr>
                <w:rFonts w:eastAsiaTheme="minorEastAsia"/>
                <w:color w:val="auto"/>
                <w:sz w:val="21"/>
                <w:szCs w:val="21"/>
              </w:rPr>
            </w:pPr>
            <w:r>
              <w:rPr>
                <w:rFonts w:eastAsiaTheme="minorEastAsia"/>
                <w:color w:val="auto"/>
                <w:sz w:val="21"/>
                <w:szCs w:val="21"/>
              </w:rPr>
              <w:t>2</w:t>
            </w:r>
          </w:p>
        </w:tc>
        <w:tc>
          <w:tcPr>
            <w:tcW w:w="952" w:type="dxa"/>
            <w:vAlign w:val="center"/>
          </w:tcPr>
          <w:p>
            <w:pPr>
              <w:jc w:val="center"/>
              <w:rPr>
                <w:rFonts w:eastAsiaTheme="minorEastAsia"/>
                <w:color w:val="auto"/>
                <w:sz w:val="21"/>
                <w:szCs w:val="21"/>
              </w:rPr>
            </w:pPr>
            <w:r>
              <w:rPr>
                <w:rFonts w:eastAsiaTheme="minorEastAsia"/>
                <w:color w:val="auto"/>
                <w:sz w:val="21"/>
                <w:szCs w:val="21"/>
              </w:rPr>
              <w:t>210</w:t>
            </w:r>
          </w:p>
        </w:tc>
        <w:tc>
          <w:tcPr>
            <w:tcW w:w="925" w:type="dxa"/>
            <w:vAlign w:val="center"/>
          </w:tcPr>
          <w:p>
            <w:pPr>
              <w:jc w:val="center"/>
              <w:rPr>
                <w:rFonts w:eastAsiaTheme="minorEastAsia"/>
                <w:color w:val="auto"/>
                <w:sz w:val="21"/>
                <w:szCs w:val="21"/>
              </w:rPr>
            </w:pPr>
            <w:r>
              <w:rPr>
                <w:rFonts w:eastAsiaTheme="minorEastAsia"/>
                <w:color w:val="auto"/>
                <w:sz w:val="21"/>
                <w:szCs w:val="21"/>
              </w:rPr>
              <w:t>＜0.00004</w:t>
            </w:r>
          </w:p>
        </w:tc>
        <w:tc>
          <w:tcPr>
            <w:tcW w:w="925" w:type="dxa"/>
            <w:vAlign w:val="center"/>
          </w:tcPr>
          <w:p>
            <w:pPr>
              <w:jc w:val="center"/>
              <w:rPr>
                <w:rFonts w:eastAsiaTheme="minorEastAsia"/>
                <w:color w:val="auto"/>
                <w:sz w:val="21"/>
                <w:szCs w:val="21"/>
              </w:rPr>
            </w:pPr>
            <w:r>
              <w:rPr>
                <w:rFonts w:eastAsiaTheme="minorEastAsia"/>
                <w:color w:val="auto"/>
                <w:sz w:val="21"/>
                <w:szCs w:val="21"/>
              </w:rPr>
              <w:t>＜0.0003</w:t>
            </w:r>
          </w:p>
        </w:tc>
        <w:tc>
          <w:tcPr>
            <w:tcW w:w="885" w:type="dxa"/>
            <w:vAlign w:val="center"/>
          </w:tcPr>
          <w:p>
            <w:pPr>
              <w:jc w:val="center"/>
              <w:rPr>
                <w:rFonts w:eastAsiaTheme="minorEastAsia"/>
                <w:color w:val="auto"/>
                <w:sz w:val="21"/>
                <w:szCs w:val="21"/>
              </w:rPr>
            </w:pPr>
            <w:r>
              <w:rPr>
                <w:rFonts w:eastAsiaTheme="minorEastAsia"/>
                <w:color w:val="auto"/>
                <w:sz w:val="21"/>
                <w:szCs w:val="21"/>
              </w:rPr>
              <w:t>11.3</w:t>
            </w:r>
          </w:p>
        </w:tc>
        <w:tc>
          <w:tcPr>
            <w:tcW w:w="885" w:type="dxa"/>
            <w:vAlign w:val="center"/>
          </w:tcPr>
          <w:p>
            <w:pPr>
              <w:jc w:val="center"/>
              <w:rPr>
                <w:rFonts w:eastAsiaTheme="minorEastAsia"/>
                <w:color w:val="auto"/>
                <w:sz w:val="21"/>
                <w:szCs w:val="21"/>
              </w:rPr>
            </w:pPr>
            <w:r>
              <w:rPr>
                <w:rFonts w:eastAsiaTheme="minorEastAsia"/>
                <w:color w:val="auto"/>
                <w:sz w:val="21"/>
                <w:szCs w:val="21"/>
              </w:rPr>
              <w:t>94.5</w:t>
            </w:r>
          </w:p>
        </w:tc>
        <w:tc>
          <w:tcPr>
            <w:tcW w:w="885" w:type="dxa"/>
            <w:vAlign w:val="center"/>
          </w:tcPr>
          <w:p>
            <w:pPr>
              <w:jc w:val="center"/>
              <w:rPr>
                <w:rFonts w:eastAsiaTheme="minorEastAsia"/>
                <w:color w:val="auto"/>
                <w:sz w:val="21"/>
                <w:szCs w:val="21"/>
              </w:rPr>
            </w:pPr>
            <w:r>
              <w:rPr>
                <w:rFonts w:eastAsiaTheme="minorEastAsia"/>
                <w:color w:val="auto"/>
                <w:sz w:val="21"/>
                <w:szCs w:val="21"/>
              </w:rPr>
              <w:t>2.67</w:t>
            </w:r>
          </w:p>
        </w:tc>
        <w:tc>
          <w:tcPr>
            <w:tcW w:w="885" w:type="dxa"/>
            <w:vAlign w:val="center"/>
          </w:tcPr>
          <w:p>
            <w:pPr>
              <w:jc w:val="center"/>
              <w:rPr>
                <w:rFonts w:eastAsiaTheme="minorEastAsia"/>
                <w:color w:val="auto"/>
                <w:sz w:val="21"/>
                <w:szCs w:val="21"/>
              </w:rPr>
            </w:pPr>
            <w:r>
              <w:rPr>
                <w:rFonts w:eastAsiaTheme="minorEastAsia"/>
                <w:color w:val="auto"/>
                <w:sz w:val="21"/>
                <w:szCs w:val="21"/>
              </w:rPr>
              <w:t>9.41</w:t>
            </w:r>
          </w:p>
        </w:tc>
        <w:tc>
          <w:tcPr>
            <w:tcW w:w="885" w:type="dxa"/>
            <w:vAlign w:val="center"/>
          </w:tcPr>
          <w:p>
            <w:pPr>
              <w:jc w:val="center"/>
              <w:rPr>
                <w:rFonts w:eastAsiaTheme="minorEastAsia"/>
                <w:color w:val="auto"/>
                <w:sz w:val="21"/>
                <w:szCs w:val="21"/>
              </w:rPr>
            </w:pPr>
            <w:r>
              <w:rPr>
                <w:rFonts w:eastAsiaTheme="minorEastAsia"/>
                <w:color w:val="auto"/>
                <w:sz w:val="21"/>
                <w:szCs w:val="21"/>
              </w:rPr>
              <w:t>＜0.05</w:t>
            </w:r>
          </w:p>
        </w:tc>
        <w:tc>
          <w:tcPr>
            <w:tcW w:w="885" w:type="dxa"/>
            <w:vAlign w:val="center"/>
          </w:tcPr>
          <w:p>
            <w:pPr>
              <w:jc w:val="center"/>
              <w:rPr>
                <w:rFonts w:eastAsiaTheme="minorEastAsia"/>
                <w:color w:val="auto"/>
                <w:sz w:val="21"/>
                <w:szCs w:val="21"/>
              </w:rPr>
            </w:pPr>
            <w:r>
              <w:rPr>
                <w:rFonts w:eastAsiaTheme="minorEastAsia"/>
                <w:color w:val="auto"/>
                <w:sz w:val="21"/>
                <w:szCs w:val="21"/>
              </w:rPr>
              <w:t>0.87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387" w:type="dxa"/>
            <w:vMerge w:val="continue"/>
            <w:vAlign w:val="center"/>
          </w:tcPr>
          <w:p>
            <w:pPr>
              <w:jc w:val="center"/>
              <w:rPr>
                <w:rFonts w:eastAsiaTheme="minorEastAsia"/>
                <w:color w:val="auto"/>
                <w:sz w:val="21"/>
                <w:szCs w:val="21"/>
              </w:rPr>
            </w:pPr>
          </w:p>
        </w:tc>
        <w:tc>
          <w:tcPr>
            <w:tcW w:w="676" w:type="dxa"/>
            <w:vAlign w:val="center"/>
          </w:tcPr>
          <w:p>
            <w:pPr>
              <w:jc w:val="center"/>
              <w:rPr>
                <w:rFonts w:eastAsiaTheme="minorEastAsia"/>
                <w:color w:val="auto"/>
                <w:sz w:val="21"/>
                <w:szCs w:val="21"/>
              </w:rPr>
            </w:pPr>
            <w:r>
              <w:rPr>
                <w:rFonts w:eastAsiaTheme="minorEastAsia"/>
                <w:color w:val="auto"/>
                <w:sz w:val="21"/>
                <w:szCs w:val="21"/>
              </w:rPr>
              <w:t>2019.3.27</w:t>
            </w:r>
          </w:p>
        </w:tc>
        <w:tc>
          <w:tcPr>
            <w:tcW w:w="850" w:type="dxa"/>
            <w:vAlign w:val="center"/>
          </w:tcPr>
          <w:p>
            <w:pPr>
              <w:jc w:val="center"/>
              <w:rPr>
                <w:rFonts w:eastAsiaTheme="minorEastAsia"/>
                <w:color w:val="auto"/>
                <w:sz w:val="21"/>
                <w:szCs w:val="21"/>
              </w:rPr>
            </w:pPr>
            <w:r>
              <w:rPr>
                <w:rFonts w:eastAsiaTheme="minorEastAsia"/>
                <w:color w:val="auto"/>
                <w:sz w:val="21"/>
                <w:szCs w:val="21"/>
              </w:rPr>
              <w:t>0.01</w:t>
            </w:r>
          </w:p>
        </w:tc>
        <w:tc>
          <w:tcPr>
            <w:tcW w:w="1134" w:type="dxa"/>
            <w:vAlign w:val="center"/>
          </w:tcPr>
          <w:p>
            <w:pPr>
              <w:jc w:val="center"/>
              <w:rPr>
                <w:rFonts w:eastAsiaTheme="minorEastAsia"/>
                <w:color w:val="auto"/>
                <w:sz w:val="21"/>
                <w:szCs w:val="21"/>
              </w:rPr>
            </w:pPr>
            <w:r>
              <w:rPr>
                <w:rFonts w:eastAsiaTheme="minorEastAsia"/>
                <w:color w:val="auto"/>
                <w:sz w:val="21"/>
                <w:szCs w:val="21"/>
              </w:rPr>
              <w:t>2.3</w:t>
            </w:r>
          </w:p>
        </w:tc>
        <w:tc>
          <w:tcPr>
            <w:tcW w:w="851" w:type="dxa"/>
            <w:vAlign w:val="center"/>
          </w:tcPr>
          <w:p>
            <w:pPr>
              <w:jc w:val="center"/>
              <w:rPr>
                <w:rFonts w:eastAsiaTheme="minorEastAsia"/>
                <w:color w:val="auto"/>
                <w:sz w:val="21"/>
                <w:szCs w:val="21"/>
              </w:rPr>
            </w:pPr>
            <w:r>
              <w:rPr>
                <w:rFonts w:eastAsiaTheme="minorEastAsia"/>
                <w:color w:val="auto"/>
                <w:sz w:val="21"/>
                <w:szCs w:val="21"/>
              </w:rPr>
              <w:t>2.37</w:t>
            </w:r>
          </w:p>
        </w:tc>
        <w:tc>
          <w:tcPr>
            <w:tcW w:w="850" w:type="dxa"/>
            <w:vAlign w:val="center"/>
          </w:tcPr>
          <w:p>
            <w:pPr>
              <w:jc w:val="center"/>
              <w:rPr>
                <w:rFonts w:eastAsiaTheme="minorEastAsia"/>
                <w:color w:val="auto"/>
                <w:sz w:val="21"/>
                <w:szCs w:val="21"/>
              </w:rPr>
            </w:pPr>
            <w:r>
              <w:rPr>
                <w:rFonts w:eastAsiaTheme="minorEastAsia"/>
                <w:color w:val="auto"/>
                <w:sz w:val="21"/>
                <w:szCs w:val="21"/>
              </w:rPr>
              <w:t>22</w:t>
            </w:r>
          </w:p>
        </w:tc>
        <w:tc>
          <w:tcPr>
            <w:tcW w:w="851" w:type="dxa"/>
            <w:vAlign w:val="center"/>
          </w:tcPr>
          <w:p>
            <w:pPr>
              <w:jc w:val="center"/>
              <w:rPr>
                <w:rFonts w:eastAsiaTheme="minorEastAsia"/>
                <w:color w:val="auto"/>
                <w:sz w:val="21"/>
                <w:szCs w:val="21"/>
              </w:rPr>
            </w:pPr>
            <w:r>
              <w:rPr>
                <w:rFonts w:eastAsiaTheme="minorEastAsia"/>
                <w:color w:val="auto"/>
                <w:sz w:val="21"/>
                <w:szCs w:val="21"/>
              </w:rPr>
              <w:t>2</w:t>
            </w:r>
          </w:p>
        </w:tc>
        <w:tc>
          <w:tcPr>
            <w:tcW w:w="952" w:type="dxa"/>
            <w:vAlign w:val="center"/>
          </w:tcPr>
          <w:p>
            <w:pPr>
              <w:jc w:val="center"/>
              <w:rPr>
                <w:rFonts w:eastAsiaTheme="minorEastAsia"/>
                <w:color w:val="auto"/>
                <w:sz w:val="21"/>
                <w:szCs w:val="21"/>
              </w:rPr>
            </w:pPr>
            <w:r>
              <w:rPr>
                <w:rFonts w:eastAsiaTheme="minorEastAsia"/>
                <w:color w:val="auto"/>
                <w:sz w:val="21"/>
                <w:szCs w:val="21"/>
              </w:rPr>
              <w:t>180</w:t>
            </w:r>
          </w:p>
        </w:tc>
        <w:tc>
          <w:tcPr>
            <w:tcW w:w="925" w:type="dxa"/>
            <w:vAlign w:val="center"/>
          </w:tcPr>
          <w:p>
            <w:pPr>
              <w:jc w:val="center"/>
              <w:rPr>
                <w:rFonts w:eastAsiaTheme="minorEastAsia"/>
                <w:color w:val="auto"/>
                <w:sz w:val="21"/>
                <w:szCs w:val="21"/>
              </w:rPr>
            </w:pPr>
            <w:r>
              <w:rPr>
                <w:rFonts w:eastAsiaTheme="minorEastAsia"/>
                <w:color w:val="auto"/>
                <w:sz w:val="21"/>
                <w:szCs w:val="21"/>
              </w:rPr>
              <w:t>＜0.00004</w:t>
            </w:r>
          </w:p>
        </w:tc>
        <w:tc>
          <w:tcPr>
            <w:tcW w:w="925" w:type="dxa"/>
            <w:vAlign w:val="center"/>
          </w:tcPr>
          <w:p>
            <w:pPr>
              <w:jc w:val="center"/>
              <w:rPr>
                <w:rFonts w:eastAsiaTheme="minorEastAsia"/>
                <w:color w:val="auto"/>
                <w:sz w:val="21"/>
                <w:szCs w:val="21"/>
              </w:rPr>
            </w:pPr>
            <w:r>
              <w:rPr>
                <w:rFonts w:eastAsiaTheme="minorEastAsia"/>
                <w:color w:val="auto"/>
                <w:sz w:val="21"/>
                <w:szCs w:val="21"/>
              </w:rPr>
              <w:t>＜0.0003</w:t>
            </w:r>
          </w:p>
        </w:tc>
        <w:tc>
          <w:tcPr>
            <w:tcW w:w="885" w:type="dxa"/>
            <w:vAlign w:val="center"/>
          </w:tcPr>
          <w:p>
            <w:pPr>
              <w:jc w:val="center"/>
              <w:rPr>
                <w:rFonts w:eastAsiaTheme="minorEastAsia"/>
                <w:color w:val="auto"/>
                <w:sz w:val="21"/>
                <w:szCs w:val="21"/>
              </w:rPr>
            </w:pPr>
            <w:r>
              <w:rPr>
                <w:rFonts w:eastAsiaTheme="minorEastAsia"/>
                <w:color w:val="auto"/>
                <w:sz w:val="21"/>
                <w:szCs w:val="21"/>
              </w:rPr>
              <w:t>12.4</w:t>
            </w:r>
          </w:p>
        </w:tc>
        <w:tc>
          <w:tcPr>
            <w:tcW w:w="885" w:type="dxa"/>
            <w:vAlign w:val="center"/>
          </w:tcPr>
          <w:p>
            <w:pPr>
              <w:jc w:val="center"/>
              <w:rPr>
                <w:rFonts w:eastAsiaTheme="minorEastAsia"/>
                <w:color w:val="auto"/>
                <w:sz w:val="21"/>
                <w:szCs w:val="21"/>
              </w:rPr>
            </w:pPr>
            <w:r>
              <w:rPr>
                <w:rFonts w:eastAsiaTheme="minorEastAsia"/>
                <w:color w:val="auto"/>
                <w:sz w:val="21"/>
                <w:szCs w:val="21"/>
              </w:rPr>
              <w:t>100</w:t>
            </w:r>
          </w:p>
        </w:tc>
        <w:tc>
          <w:tcPr>
            <w:tcW w:w="885" w:type="dxa"/>
            <w:vAlign w:val="center"/>
          </w:tcPr>
          <w:p>
            <w:pPr>
              <w:jc w:val="center"/>
              <w:rPr>
                <w:rFonts w:eastAsiaTheme="minorEastAsia"/>
                <w:color w:val="auto"/>
                <w:sz w:val="21"/>
                <w:szCs w:val="21"/>
              </w:rPr>
            </w:pPr>
            <w:r>
              <w:rPr>
                <w:rFonts w:eastAsiaTheme="minorEastAsia"/>
                <w:color w:val="auto"/>
                <w:sz w:val="21"/>
                <w:szCs w:val="21"/>
              </w:rPr>
              <w:t>2.70</w:t>
            </w:r>
          </w:p>
        </w:tc>
        <w:tc>
          <w:tcPr>
            <w:tcW w:w="885" w:type="dxa"/>
            <w:vAlign w:val="center"/>
          </w:tcPr>
          <w:p>
            <w:pPr>
              <w:jc w:val="center"/>
              <w:rPr>
                <w:rFonts w:eastAsiaTheme="minorEastAsia"/>
                <w:color w:val="auto"/>
                <w:sz w:val="21"/>
                <w:szCs w:val="21"/>
              </w:rPr>
            </w:pPr>
            <w:r>
              <w:rPr>
                <w:rFonts w:eastAsiaTheme="minorEastAsia"/>
                <w:color w:val="auto"/>
                <w:sz w:val="21"/>
                <w:szCs w:val="21"/>
              </w:rPr>
              <w:t>9.56</w:t>
            </w:r>
          </w:p>
        </w:tc>
        <w:tc>
          <w:tcPr>
            <w:tcW w:w="885" w:type="dxa"/>
            <w:vAlign w:val="center"/>
          </w:tcPr>
          <w:p>
            <w:pPr>
              <w:jc w:val="center"/>
              <w:rPr>
                <w:rFonts w:eastAsiaTheme="minorEastAsia"/>
                <w:color w:val="auto"/>
                <w:sz w:val="21"/>
                <w:szCs w:val="21"/>
              </w:rPr>
            </w:pPr>
            <w:r>
              <w:rPr>
                <w:rFonts w:eastAsiaTheme="minorEastAsia"/>
                <w:color w:val="auto"/>
                <w:sz w:val="21"/>
                <w:szCs w:val="21"/>
              </w:rPr>
              <w:t>＜0.05</w:t>
            </w:r>
          </w:p>
        </w:tc>
        <w:tc>
          <w:tcPr>
            <w:tcW w:w="885" w:type="dxa"/>
            <w:vAlign w:val="center"/>
          </w:tcPr>
          <w:p>
            <w:pPr>
              <w:jc w:val="center"/>
              <w:rPr>
                <w:rFonts w:eastAsiaTheme="minorEastAsia"/>
                <w:color w:val="auto"/>
                <w:sz w:val="21"/>
                <w:szCs w:val="21"/>
              </w:rPr>
            </w:pPr>
            <w:r>
              <w:rPr>
                <w:rFonts w:eastAsiaTheme="minorEastAsia"/>
                <w:color w:val="auto"/>
                <w:sz w:val="21"/>
                <w:szCs w:val="21"/>
              </w:rPr>
              <w:t>0.90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超标率</w:t>
            </w:r>
            <w:r>
              <w:rPr>
                <w:rFonts w:hint="eastAsia" w:eastAsiaTheme="minorEastAsia"/>
                <w:color w:val="auto"/>
                <w:sz w:val="21"/>
                <w:szCs w:val="21"/>
                <w:lang w:eastAsia="zh-CN"/>
              </w:rPr>
              <w:t>（</w:t>
            </w:r>
            <w:r>
              <w:rPr>
                <w:rFonts w:hint="eastAsia" w:eastAsiaTheme="minorEastAsia"/>
                <w:color w:val="auto"/>
                <w:sz w:val="21"/>
                <w:szCs w:val="21"/>
                <w:lang w:val="en-US" w:eastAsia="zh-CN"/>
              </w:rPr>
              <w:t>%</w:t>
            </w:r>
            <w:r>
              <w:rPr>
                <w:rFonts w:hint="eastAsia" w:eastAsiaTheme="minorEastAsia"/>
                <w:color w:val="auto"/>
                <w:sz w:val="21"/>
                <w:szCs w:val="21"/>
                <w:lang w:eastAsia="zh-CN"/>
              </w:rPr>
              <w:t>）</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1134"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最大超标倍数</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1134"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最大单因子指数</w:t>
            </w:r>
          </w:p>
        </w:tc>
        <w:tc>
          <w:tcPr>
            <w:tcW w:w="850" w:type="dxa"/>
            <w:vAlign w:val="center"/>
          </w:tcPr>
          <w:p>
            <w:pPr>
              <w:jc w:val="center"/>
              <w:rPr>
                <w:rFonts w:eastAsiaTheme="minorEastAsia"/>
                <w:color w:val="auto"/>
                <w:sz w:val="21"/>
                <w:szCs w:val="21"/>
              </w:rPr>
            </w:pPr>
            <w:r>
              <w:rPr>
                <w:rFonts w:eastAsiaTheme="minorEastAsia"/>
                <w:color w:val="auto"/>
                <w:sz w:val="21"/>
                <w:szCs w:val="21"/>
              </w:rPr>
              <w:t>0.04</w:t>
            </w:r>
          </w:p>
        </w:tc>
        <w:tc>
          <w:tcPr>
            <w:tcW w:w="1134" w:type="dxa"/>
            <w:vAlign w:val="center"/>
          </w:tcPr>
          <w:p>
            <w:pPr>
              <w:jc w:val="center"/>
              <w:rPr>
                <w:rFonts w:eastAsiaTheme="minorEastAsia"/>
                <w:color w:val="auto"/>
                <w:sz w:val="21"/>
                <w:szCs w:val="21"/>
              </w:rPr>
            </w:pPr>
            <w:r>
              <w:rPr>
                <w:rFonts w:eastAsiaTheme="minorEastAsia"/>
                <w:color w:val="auto"/>
                <w:sz w:val="21"/>
                <w:szCs w:val="21"/>
              </w:rPr>
              <w:t>0.38</w:t>
            </w:r>
          </w:p>
        </w:tc>
        <w:tc>
          <w:tcPr>
            <w:tcW w:w="851" w:type="dxa"/>
            <w:vAlign w:val="center"/>
          </w:tcPr>
          <w:p>
            <w:pPr>
              <w:jc w:val="center"/>
              <w:rPr>
                <w:rFonts w:eastAsiaTheme="minorEastAsia"/>
                <w:color w:val="auto"/>
                <w:sz w:val="21"/>
                <w:szCs w:val="21"/>
              </w:rPr>
            </w:pPr>
            <w:r>
              <w:rPr>
                <w:rFonts w:eastAsiaTheme="minorEastAsia"/>
                <w:color w:val="auto"/>
                <w:sz w:val="21"/>
                <w:szCs w:val="21"/>
              </w:rPr>
              <w:t>0.24</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0.01</w:t>
            </w:r>
          </w:p>
        </w:tc>
        <w:tc>
          <w:tcPr>
            <w:tcW w:w="925" w:type="dxa"/>
            <w:vAlign w:val="center"/>
          </w:tcPr>
          <w:p>
            <w:pPr>
              <w:jc w:val="center"/>
              <w:rPr>
                <w:rFonts w:eastAsiaTheme="minorEastAsia"/>
                <w:color w:val="auto"/>
                <w:sz w:val="21"/>
                <w:szCs w:val="21"/>
              </w:rPr>
            </w:pPr>
            <w:r>
              <w:rPr>
                <w:rFonts w:eastAsiaTheme="minorEastAsia"/>
                <w:color w:val="auto"/>
                <w:sz w:val="21"/>
                <w:szCs w:val="21"/>
              </w:rPr>
              <w:t>/</w:t>
            </w:r>
          </w:p>
        </w:tc>
        <w:tc>
          <w:tcPr>
            <w:tcW w:w="925" w:type="dxa"/>
            <w:vAlign w:val="center"/>
          </w:tcPr>
          <w:p>
            <w:pPr>
              <w:jc w:val="center"/>
              <w:rPr>
                <w:rFonts w:eastAsiaTheme="minorEastAsia"/>
                <w:color w:val="auto"/>
                <w:sz w:val="21"/>
                <w:szCs w:val="21"/>
              </w:rPr>
            </w:pPr>
            <w:r>
              <w:rPr>
                <w:rFonts w:eastAsiaTheme="minorEastAsia"/>
                <w:color w:val="auto"/>
                <w:sz w:val="21"/>
                <w:szCs w:val="21"/>
              </w:rPr>
              <w:t>/</w:t>
            </w:r>
          </w:p>
        </w:tc>
        <w:tc>
          <w:tcPr>
            <w:tcW w:w="885" w:type="dxa"/>
            <w:vAlign w:val="center"/>
          </w:tcPr>
          <w:p>
            <w:pPr>
              <w:jc w:val="center"/>
              <w:rPr>
                <w:rFonts w:eastAsiaTheme="minorEastAsia"/>
                <w:color w:val="auto"/>
                <w:sz w:val="21"/>
                <w:szCs w:val="21"/>
              </w:rPr>
            </w:pPr>
            <w:r>
              <w:rPr>
                <w:rFonts w:eastAsiaTheme="minorEastAsia"/>
                <w:color w:val="auto"/>
                <w:sz w:val="21"/>
                <w:szCs w:val="21"/>
              </w:rPr>
              <w:t>0.12</w:t>
            </w:r>
          </w:p>
        </w:tc>
        <w:tc>
          <w:tcPr>
            <w:tcW w:w="885" w:type="dxa"/>
            <w:vAlign w:val="center"/>
          </w:tcPr>
          <w:p>
            <w:pPr>
              <w:jc w:val="center"/>
              <w:rPr>
                <w:rFonts w:eastAsiaTheme="minorEastAsia"/>
                <w:color w:val="auto"/>
                <w:sz w:val="21"/>
                <w:szCs w:val="21"/>
              </w:rPr>
            </w:pPr>
            <w:r>
              <w:rPr>
                <w:rFonts w:eastAsiaTheme="minorEastAsia"/>
                <w:color w:val="auto"/>
                <w:sz w:val="21"/>
                <w:szCs w:val="21"/>
              </w:rPr>
              <w:t>0.33</w:t>
            </w:r>
          </w:p>
        </w:tc>
        <w:tc>
          <w:tcPr>
            <w:tcW w:w="885" w:type="dxa"/>
            <w:vAlign w:val="center"/>
          </w:tcPr>
          <w:p>
            <w:pPr>
              <w:jc w:val="center"/>
              <w:rPr>
                <w:rFonts w:eastAsiaTheme="minorEastAsia"/>
                <w:color w:val="auto"/>
                <w:sz w:val="21"/>
                <w:szCs w:val="21"/>
              </w:rPr>
            </w:pPr>
            <w:r>
              <w:rPr>
                <w:rFonts w:eastAsiaTheme="minorEastAsia"/>
                <w:color w:val="auto"/>
                <w:sz w:val="21"/>
                <w:szCs w:val="21"/>
              </w:rPr>
              <w:t>0.003</w:t>
            </w:r>
          </w:p>
        </w:tc>
        <w:tc>
          <w:tcPr>
            <w:tcW w:w="885" w:type="dxa"/>
            <w:vAlign w:val="center"/>
          </w:tcPr>
          <w:p>
            <w:pPr>
              <w:jc w:val="center"/>
              <w:rPr>
                <w:rFonts w:eastAsiaTheme="minorEastAsia"/>
                <w:color w:val="auto"/>
                <w:sz w:val="21"/>
                <w:szCs w:val="21"/>
              </w:rPr>
            </w:pPr>
            <w:r>
              <w:rPr>
                <w:rFonts w:eastAsiaTheme="minorEastAsia"/>
                <w:color w:val="auto"/>
                <w:sz w:val="21"/>
                <w:szCs w:val="21"/>
              </w:rPr>
              <w:t>0.005</w:t>
            </w:r>
          </w:p>
        </w:tc>
        <w:tc>
          <w:tcPr>
            <w:tcW w:w="885" w:type="dxa"/>
            <w:vAlign w:val="center"/>
          </w:tcPr>
          <w:p>
            <w:pPr>
              <w:jc w:val="center"/>
              <w:rPr>
                <w:rFonts w:eastAsiaTheme="minorEastAsia"/>
                <w:color w:val="auto"/>
                <w:sz w:val="21"/>
                <w:szCs w:val="21"/>
              </w:rPr>
            </w:pPr>
            <w:r>
              <w:rPr>
                <w:rFonts w:eastAsiaTheme="minorEastAsia"/>
                <w:color w:val="auto"/>
                <w:sz w:val="21"/>
                <w:szCs w:val="21"/>
              </w:rPr>
              <w:t>/</w:t>
            </w:r>
          </w:p>
        </w:tc>
        <w:tc>
          <w:tcPr>
            <w:tcW w:w="885" w:type="dxa"/>
            <w:vAlign w:val="center"/>
          </w:tcPr>
          <w:p>
            <w:pPr>
              <w:jc w:val="center"/>
              <w:rPr>
                <w:rFonts w:eastAsiaTheme="minorEastAsia"/>
                <w:color w:val="auto"/>
                <w:sz w:val="21"/>
                <w:szCs w:val="21"/>
              </w:rPr>
            </w:pPr>
            <w:r>
              <w:rPr>
                <w:rFonts w:eastAsiaTheme="minorEastAsia"/>
                <w:color w:val="auto"/>
                <w:sz w:val="21"/>
                <w:szCs w:val="21"/>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标准值（mg/L）</w:t>
            </w:r>
          </w:p>
        </w:tc>
        <w:tc>
          <w:tcPr>
            <w:tcW w:w="850" w:type="dxa"/>
            <w:vAlign w:val="center"/>
          </w:tcPr>
          <w:p>
            <w:pPr>
              <w:jc w:val="center"/>
              <w:rPr>
                <w:rFonts w:eastAsiaTheme="minorEastAsia"/>
                <w:color w:val="auto"/>
                <w:sz w:val="21"/>
                <w:szCs w:val="21"/>
              </w:rPr>
            </w:pPr>
            <w:r>
              <w:rPr>
                <w:rFonts w:eastAsiaTheme="minorEastAsia"/>
                <w:color w:val="auto"/>
                <w:sz w:val="21"/>
                <w:szCs w:val="21"/>
              </w:rPr>
              <w:t>≤0.5</w:t>
            </w:r>
          </w:p>
        </w:tc>
        <w:tc>
          <w:tcPr>
            <w:tcW w:w="1134" w:type="dxa"/>
            <w:vAlign w:val="center"/>
          </w:tcPr>
          <w:p>
            <w:pPr>
              <w:jc w:val="center"/>
              <w:rPr>
                <w:rFonts w:eastAsiaTheme="minorEastAsia"/>
                <w:color w:val="auto"/>
                <w:sz w:val="21"/>
                <w:szCs w:val="21"/>
              </w:rPr>
            </w:pPr>
            <w:r>
              <w:rPr>
                <w:rFonts w:eastAsiaTheme="minorEastAsia"/>
                <w:color w:val="auto"/>
                <w:sz w:val="21"/>
                <w:szCs w:val="21"/>
              </w:rPr>
              <w:t>≤6</w:t>
            </w:r>
          </w:p>
        </w:tc>
        <w:tc>
          <w:tcPr>
            <w:tcW w:w="851" w:type="dxa"/>
            <w:vAlign w:val="center"/>
          </w:tcPr>
          <w:p>
            <w:pPr>
              <w:jc w:val="center"/>
              <w:rPr>
                <w:rFonts w:eastAsiaTheme="minorEastAsia"/>
                <w:color w:val="auto"/>
                <w:sz w:val="21"/>
                <w:szCs w:val="21"/>
              </w:rPr>
            </w:pPr>
            <w:r>
              <w:rPr>
                <w:rFonts w:eastAsiaTheme="minorEastAsia"/>
                <w:color w:val="auto"/>
                <w:sz w:val="21"/>
                <w:szCs w:val="21"/>
              </w:rPr>
              <w:t>≤10</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≤20000</w:t>
            </w:r>
          </w:p>
        </w:tc>
        <w:tc>
          <w:tcPr>
            <w:tcW w:w="925" w:type="dxa"/>
            <w:vAlign w:val="center"/>
          </w:tcPr>
          <w:p>
            <w:pPr>
              <w:jc w:val="center"/>
              <w:rPr>
                <w:rFonts w:eastAsiaTheme="minorEastAsia"/>
                <w:color w:val="auto"/>
                <w:sz w:val="21"/>
                <w:szCs w:val="21"/>
              </w:rPr>
            </w:pPr>
            <w:r>
              <w:rPr>
                <w:rFonts w:eastAsiaTheme="minorEastAsia"/>
                <w:color w:val="auto"/>
                <w:sz w:val="21"/>
                <w:szCs w:val="21"/>
              </w:rPr>
              <w:t>≤0.001</w:t>
            </w:r>
          </w:p>
        </w:tc>
        <w:tc>
          <w:tcPr>
            <w:tcW w:w="925" w:type="dxa"/>
            <w:vAlign w:val="center"/>
          </w:tcPr>
          <w:p>
            <w:pPr>
              <w:jc w:val="center"/>
              <w:rPr>
                <w:rFonts w:eastAsiaTheme="minorEastAsia"/>
                <w:color w:val="auto"/>
                <w:sz w:val="21"/>
                <w:szCs w:val="21"/>
              </w:rPr>
            </w:pPr>
            <w:r>
              <w:rPr>
                <w:rFonts w:eastAsiaTheme="minorEastAsia"/>
                <w:color w:val="auto"/>
                <w:sz w:val="21"/>
                <w:szCs w:val="21"/>
              </w:rPr>
              <w:t>≤0.1</w:t>
            </w:r>
          </w:p>
        </w:tc>
        <w:tc>
          <w:tcPr>
            <w:tcW w:w="885" w:type="dxa"/>
            <w:vAlign w:val="center"/>
          </w:tcPr>
          <w:p>
            <w:pPr>
              <w:jc w:val="center"/>
              <w:rPr>
                <w:rFonts w:eastAsiaTheme="minorEastAsia"/>
                <w:color w:val="auto"/>
                <w:sz w:val="21"/>
                <w:szCs w:val="21"/>
              </w:rPr>
            </w:pPr>
            <w:r>
              <w:rPr>
                <w:rFonts w:eastAsiaTheme="minorEastAsia"/>
                <w:color w:val="auto"/>
                <w:sz w:val="21"/>
                <w:szCs w:val="21"/>
              </w:rPr>
              <w:t>≤0.1</w:t>
            </w:r>
          </w:p>
        </w:tc>
        <w:tc>
          <w:tcPr>
            <w:tcW w:w="885" w:type="dxa"/>
            <w:vAlign w:val="center"/>
          </w:tcPr>
          <w:p>
            <w:pPr>
              <w:jc w:val="center"/>
              <w:rPr>
                <w:rFonts w:eastAsiaTheme="minorEastAsia"/>
                <w:color w:val="auto"/>
                <w:sz w:val="21"/>
                <w:szCs w:val="21"/>
              </w:rPr>
            </w:pPr>
            <w:r>
              <w:rPr>
                <w:rFonts w:eastAsiaTheme="minorEastAsia"/>
                <w:color w:val="auto"/>
                <w:sz w:val="21"/>
                <w:szCs w:val="21"/>
              </w:rPr>
              <w:t>≤0.3</w:t>
            </w:r>
          </w:p>
        </w:tc>
        <w:tc>
          <w:tcPr>
            <w:tcW w:w="885" w:type="dxa"/>
            <w:vAlign w:val="center"/>
          </w:tcPr>
          <w:p>
            <w:pPr>
              <w:jc w:val="center"/>
              <w:rPr>
                <w:rFonts w:eastAsiaTheme="minorEastAsia"/>
                <w:color w:val="auto"/>
                <w:sz w:val="21"/>
                <w:szCs w:val="21"/>
              </w:rPr>
            </w:pPr>
            <w:r>
              <w:rPr>
                <w:rFonts w:eastAsiaTheme="minorEastAsia"/>
                <w:color w:val="auto"/>
                <w:sz w:val="21"/>
                <w:szCs w:val="21"/>
              </w:rPr>
              <w:t>≤1.0</w:t>
            </w:r>
          </w:p>
        </w:tc>
        <w:tc>
          <w:tcPr>
            <w:tcW w:w="885" w:type="dxa"/>
            <w:vAlign w:val="center"/>
          </w:tcPr>
          <w:p>
            <w:pPr>
              <w:jc w:val="center"/>
              <w:rPr>
                <w:rFonts w:eastAsiaTheme="minorEastAsia"/>
                <w:color w:val="auto"/>
                <w:sz w:val="21"/>
                <w:szCs w:val="21"/>
              </w:rPr>
            </w:pPr>
            <w:r>
              <w:rPr>
                <w:rFonts w:eastAsiaTheme="minorEastAsia"/>
                <w:color w:val="auto"/>
                <w:sz w:val="21"/>
                <w:szCs w:val="21"/>
              </w:rPr>
              <w:t>≤2.0</w:t>
            </w:r>
          </w:p>
        </w:tc>
        <w:tc>
          <w:tcPr>
            <w:tcW w:w="885" w:type="dxa"/>
            <w:vAlign w:val="center"/>
          </w:tcPr>
          <w:p>
            <w:pPr>
              <w:jc w:val="center"/>
              <w:rPr>
                <w:rFonts w:eastAsiaTheme="minorEastAsia"/>
                <w:color w:val="auto"/>
                <w:sz w:val="21"/>
                <w:szCs w:val="21"/>
              </w:rPr>
            </w:pPr>
            <w:r>
              <w:rPr>
                <w:rFonts w:eastAsiaTheme="minorEastAsia"/>
                <w:color w:val="auto"/>
                <w:sz w:val="21"/>
                <w:szCs w:val="21"/>
              </w:rPr>
              <w:t>≤0.005</w:t>
            </w:r>
          </w:p>
        </w:tc>
        <w:tc>
          <w:tcPr>
            <w:tcW w:w="885" w:type="dxa"/>
            <w:vAlign w:val="center"/>
          </w:tcPr>
          <w:p>
            <w:pPr>
              <w:jc w:val="center"/>
              <w:rPr>
                <w:rFonts w:eastAsiaTheme="minorEastAsia"/>
                <w:color w:val="auto"/>
                <w:sz w:val="21"/>
                <w:szCs w:val="21"/>
              </w:rPr>
            </w:pPr>
            <w:r>
              <w:rPr>
                <w:rFonts w:eastAsiaTheme="minorEastAsia"/>
                <w:color w:val="auto"/>
                <w:sz w:val="21"/>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restart"/>
            <w:vAlign w:val="center"/>
          </w:tcPr>
          <w:p>
            <w:pPr>
              <w:jc w:val="center"/>
              <w:rPr>
                <w:rFonts w:eastAsiaTheme="minorEastAsia"/>
                <w:color w:val="auto"/>
                <w:sz w:val="21"/>
                <w:szCs w:val="21"/>
              </w:rPr>
            </w:pPr>
            <w:r>
              <w:rPr>
                <w:rFonts w:eastAsiaTheme="minorEastAsia"/>
                <w:color w:val="auto"/>
                <w:sz w:val="21"/>
                <w:szCs w:val="21"/>
              </w:rPr>
              <w:t>W3</w:t>
            </w:r>
          </w:p>
        </w:tc>
        <w:tc>
          <w:tcPr>
            <w:tcW w:w="387" w:type="dxa"/>
            <w:vMerge w:val="restart"/>
            <w:vAlign w:val="center"/>
          </w:tcPr>
          <w:p>
            <w:pPr>
              <w:jc w:val="center"/>
              <w:rPr>
                <w:rFonts w:eastAsiaTheme="minorEastAsia"/>
                <w:color w:val="auto"/>
                <w:sz w:val="21"/>
                <w:szCs w:val="21"/>
              </w:rPr>
            </w:pPr>
            <w:r>
              <w:rPr>
                <w:rFonts w:eastAsiaTheme="minorEastAsia"/>
                <w:color w:val="auto"/>
                <w:sz w:val="21"/>
                <w:szCs w:val="21"/>
              </w:rPr>
              <w:t>监测值</w:t>
            </w:r>
          </w:p>
        </w:tc>
        <w:tc>
          <w:tcPr>
            <w:tcW w:w="676" w:type="dxa"/>
            <w:vAlign w:val="center"/>
          </w:tcPr>
          <w:p>
            <w:pPr>
              <w:jc w:val="center"/>
              <w:rPr>
                <w:rFonts w:eastAsiaTheme="minorEastAsia"/>
                <w:color w:val="auto"/>
                <w:sz w:val="21"/>
                <w:szCs w:val="21"/>
              </w:rPr>
            </w:pPr>
            <w:r>
              <w:rPr>
                <w:rFonts w:eastAsiaTheme="minorEastAsia"/>
                <w:color w:val="auto"/>
                <w:sz w:val="21"/>
                <w:szCs w:val="21"/>
              </w:rPr>
              <w:t>2019.3.25</w:t>
            </w:r>
          </w:p>
        </w:tc>
        <w:tc>
          <w:tcPr>
            <w:tcW w:w="850" w:type="dxa"/>
            <w:vAlign w:val="center"/>
          </w:tcPr>
          <w:p>
            <w:pPr>
              <w:jc w:val="center"/>
              <w:rPr>
                <w:rFonts w:eastAsiaTheme="minorEastAsia"/>
                <w:color w:val="auto"/>
                <w:sz w:val="21"/>
                <w:szCs w:val="21"/>
              </w:rPr>
            </w:pPr>
            <w:r>
              <w:rPr>
                <w:rFonts w:eastAsiaTheme="minorEastAsia"/>
                <w:color w:val="auto"/>
                <w:sz w:val="21"/>
                <w:szCs w:val="21"/>
              </w:rPr>
              <w:t>0.02</w:t>
            </w:r>
          </w:p>
        </w:tc>
        <w:tc>
          <w:tcPr>
            <w:tcW w:w="1134" w:type="dxa"/>
            <w:vAlign w:val="center"/>
          </w:tcPr>
          <w:p>
            <w:pPr>
              <w:jc w:val="center"/>
              <w:rPr>
                <w:rFonts w:eastAsiaTheme="minorEastAsia"/>
                <w:color w:val="auto"/>
                <w:sz w:val="21"/>
                <w:szCs w:val="21"/>
              </w:rPr>
            </w:pPr>
            <w:r>
              <w:rPr>
                <w:rFonts w:eastAsiaTheme="minorEastAsia"/>
                <w:color w:val="auto"/>
                <w:sz w:val="21"/>
                <w:szCs w:val="21"/>
              </w:rPr>
              <w:t>2.8</w:t>
            </w:r>
          </w:p>
        </w:tc>
        <w:tc>
          <w:tcPr>
            <w:tcW w:w="851" w:type="dxa"/>
            <w:vAlign w:val="center"/>
          </w:tcPr>
          <w:p>
            <w:pPr>
              <w:jc w:val="center"/>
              <w:rPr>
                <w:rFonts w:eastAsiaTheme="minorEastAsia"/>
                <w:color w:val="auto"/>
                <w:sz w:val="21"/>
                <w:szCs w:val="21"/>
              </w:rPr>
            </w:pPr>
            <w:r>
              <w:rPr>
                <w:rFonts w:eastAsiaTheme="minorEastAsia"/>
                <w:color w:val="auto"/>
                <w:sz w:val="21"/>
                <w:szCs w:val="21"/>
              </w:rPr>
              <w:t>2.23</w:t>
            </w:r>
          </w:p>
        </w:tc>
        <w:tc>
          <w:tcPr>
            <w:tcW w:w="850" w:type="dxa"/>
            <w:vAlign w:val="center"/>
          </w:tcPr>
          <w:p>
            <w:pPr>
              <w:jc w:val="center"/>
              <w:rPr>
                <w:rFonts w:eastAsiaTheme="minorEastAsia"/>
                <w:color w:val="auto"/>
                <w:sz w:val="21"/>
                <w:szCs w:val="21"/>
              </w:rPr>
            </w:pPr>
            <w:r>
              <w:rPr>
                <w:rFonts w:eastAsiaTheme="minorEastAsia"/>
                <w:color w:val="auto"/>
                <w:sz w:val="21"/>
                <w:szCs w:val="21"/>
              </w:rPr>
              <w:t>22</w:t>
            </w:r>
          </w:p>
        </w:tc>
        <w:tc>
          <w:tcPr>
            <w:tcW w:w="851" w:type="dxa"/>
            <w:vAlign w:val="center"/>
          </w:tcPr>
          <w:p>
            <w:pPr>
              <w:jc w:val="center"/>
              <w:rPr>
                <w:rFonts w:eastAsiaTheme="minorEastAsia"/>
                <w:color w:val="auto"/>
                <w:sz w:val="21"/>
                <w:szCs w:val="21"/>
              </w:rPr>
            </w:pPr>
            <w:r>
              <w:rPr>
                <w:rFonts w:eastAsiaTheme="minorEastAsia"/>
                <w:color w:val="auto"/>
                <w:sz w:val="21"/>
                <w:szCs w:val="21"/>
              </w:rPr>
              <w:t>2</w:t>
            </w:r>
          </w:p>
        </w:tc>
        <w:tc>
          <w:tcPr>
            <w:tcW w:w="952" w:type="dxa"/>
            <w:vAlign w:val="center"/>
          </w:tcPr>
          <w:p>
            <w:pPr>
              <w:jc w:val="center"/>
              <w:rPr>
                <w:rFonts w:eastAsiaTheme="minorEastAsia"/>
                <w:color w:val="auto"/>
                <w:sz w:val="21"/>
                <w:szCs w:val="21"/>
              </w:rPr>
            </w:pPr>
            <w:r>
              <w:rPr>
                <w:rFonts w:eastAsiaTheme="minorEastAsia"/>
                <w:color w:val="auto"/>
                <w:sz w:val="21"/>
                <w:szCs w:val="21"/>
              </w:rPr>
              <w:t>2.5*10</w:t>
            </w:r>
            <w:r>
              <w:rPr>
                <w:rFonts w:eastAsiaTheme="minorEastAsia"/>
                <w:color w:val="auto"/>
                <w:sz w:val="21"/>
                <w:szCs w:val="21"/>
                <w:vertAlign w:val="superscript"/>
              </w:rPr>
              <w:t>4</w:t>
            </w:r>
          </w:p>
        </w:tc>
        <w:tc>
          <w:tcPr>
            <w:tcW w:w="925" w:type="dxa"/>
            <w:vAlign w:val="center"/>
          </w:tcPr>
          <w:p>
            <w:pPr>
              <w:jc w:val="center"/>
              <w:rPr>
                <w:rFonts w:eastAsiaTheme="minorEastAsia"/>
                <w:color w:val="auto"/>
                <w:sz w:val="21"/>
                <w:szCs w:val="21"/>
              </w:rPr>
            </w:pPr>
            <w:r>
              <w:rPr>
                <w:rFonts w:eastAsiaTheme="minorEastAsia"/>
                <w:color w:val="auto"/>
                <w:sz w:val="21"/>
                <w:szCs w:val="21"/>
              </w:rPr>
              <w:t>＜0.00004</w:t>
            </w:r>
          </w:p>
        </w:tc>
        <w:tc>
          <w:tcPr>
            <w:tcW w:w="925" w:type="dxa"/>
            <w:vAlign w:val="center"/>
          </w:tcPr>
          <w:p>
            <w:pPr>
              <w:jc w:val="center"/>
              <w:rPr>
                <w:rFonts w:eastAsiaTheme="minorEastAsia"/>
                <w:color w:val="auto"/>
                <w:sz w:val="21"/>
                <w:szCs w:val="21"/>
              </w:rPr>
            </w:pPr>
            <w:r>
              <w:rPr>
                <w:rFonts w:eastAsiaTheme="minorEastAsia"/>
                <w:color w:val="auto"/>
                <w:sz w:val="21"/>
                <w:szCs w:val="21"/>
              </w:rPr>
              <w:t>＜0.0003</w:t>
            </w:r>
          </w:p>
        </w:tc>
        <w:tc>
          <w:tcPr>
            <w:tcW w:w="885" w:type="dxa"/>
            <w:vAlign w:val="center"/>
          </w:tcPr>
          <w:p>
            <w:pPr>
              <w:jc w:val="center"/>
              <w:rPr>
                <w:rFonts w:eastAsiaTheme="minorEastAsia"/>
                <w:color w:val="auto"/>
                <w:sz w:val="21"/>
                <w:szCs w:val="21"/>
              </w:rPr>
            </w:pPr>
            <w:r>
              <w:rPr>
                <w:rFonts w:eastAsiaTheme="minorEastAsia"/>
                <w:color w:val="auto"/>
                <w:sz w:val="21"/>
                <w:szCs w:val="21"/>
              </w:rPr>
              <w:t>69.9</w:t>
            </w:r>
          </w:p>
        </w:tc>
        <w:tc>
          <w:tcPr>
            <w:tcW w:w="885" w:type="dxa"/>
            <w:vAlign w:val="center"/>
          </w:tcPr>
          <w:p>
            <w:pPr>
              <w:jc w:val="center"/>
              <w:rPr>
                <w:rFonts w:eastAsiaTheme="minorEastAsia"/>
                <w:color w:val="auto"/>
                <w:sz w:val="21"/>
                <w:szCs w:val="21"/>
              </w:rPr>
            </w:pPr>
            <w:r>
              <w:rPr>
                <w:rFonts w:eastAsiaTheme="minorEastAsia"/>
                <w:color w:val="auto"/>
                <w:sz w:val="21"/>
                <w:szCs w:val="21"/>
              </w:rPr>
              <w:t>278</w:t>
            </w:r>
          </w:p>
        </w:tc>
        <w:tc>
          <w:tcPr>
            <w:tcW w:w="885" w:type="dxa"/>
            <w:vAlign w:val="center"/>
          </w:tcPr>
          <w:p>
            <w:pPr>
              <w:jc w:val="center"/>
              <w:rPr>
                <w:rFonts w:eastAsiaTheme="minorEastAsia"/>
                <w:color w:val="auto"/>
                <w:sz w:val="21"/>
                <w:szCs w:val="21"/>
              </w:rPr>
            </w:pPr>
            <w:r>
              <w:rPr>
                <w:rFonts w:eastAsiaTheme="minorEastAsia"/>
                <w:color w:val="auto"/>
                <w:sz w:val="21"/>
                <w:szCs w:val="21"/>
              </w:rPr>
              <w:t>3.17</w:t>
            </w:r>
          </w:p>
        </w:tc>
        <w:tc>
          <w:tcPr>
            <w:tcW w:w="885" w:type="dxa"/>
            <w:vAlign w:val="center"/>
          </w:tcPr>
          <w:p>
            <w:pPr>
              <w:jc w:val="center"/>
              <w:rPr>
                <w:rFonts w:eastAsiaTheme="minorEastAsia"/>
                <w:color w:val="auto"/>
                <w:sz w:val="21"/>
                <w:szCs w:val="21"/>
              </w:rPr>
            </w:pPr>
            <w:r>
              <w:rPr>
                <w:rFonts w:eastAsiaTheme="minorEastAsia"/>
                <w:color w:val="auto"/>
                <w:sz w:val="21"/>
                <w:szCs w:val="21"/>
              </w:rPr>
              <w:t>11.0</w:t>
            </w:r>
          </w:p>
        </w:tc>
        <w:tc>
          <w:tcPr>
            <w:tcW w:w="885" w:type="dxa"/>
            <w:vAlign w:val="center"/>
          </w:tcPr>
          <w:p>
            <w:pPr>
              <w:jc w:val="center"/>
              <w:rPr>
                <w:rFonts w:eastAsiaTheme="minorEastAsia"/>
                <w:color w:val="auto"/>
                <w:sz w:val="21"/>
                <w:szCs w:val="21"/>
              </w:rPr>
            </w:pPr>
            <w:r>
              <w:rPr>
                <w:rFonts w:eastAsiaTheme="minorEastAsia"/>
                <w:color w:val="auto"/>
                <w:sz w:val="21"/>
                <w:szCs w:val="21"/>
              </w:rPr>
              <w:t>＜0.05</w:t>
            </w:r>
          </w:p>
        </w:tc>
        <w:tc>
          <w:tcPr>
            <w:tcW w:w="885" w:type="dxa"/>
            <w:vAlign w:val="center"/>
          </w:tcPr>
          <w:p>
            <w:pPr>
              <w:jc w:val="center"/>
              <w:rPr>
                <w:rFonts w:eastAsiaTheme="minorEastAsia"/>
                <w:color w:val="auto"/>
                <w:sz w:val="21"/>
                <w:szCs w:val="21"/>
              </w:rPr>
            </w:pPr>
            <w:r>
              <w:rPr>
                <w:rFonts w:eastAsiaTheme="minorEastAsia"/>
                <w:color w:val="auto"/>
                <w:sz w:val="21"/>
                <w:szCs w:val="21"/>
              </w:rPr>
              <w:t>1.48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387" w:type="dxa"/>
            <w:vMerge w:val="continue"/>
            <w:vAlign w:val="center"/>
          </w:tcPr>
          <w:p>
            <w:pPr>
              <w:jc w:val="center"/>
              <w:rPr>
                <w:rFonts w:eastAsiaTheme="minorEastAsia"/>
                <w:color w:val="auto"/>
                <w:sz w:val="21"/>
                <w:szCs w:val="21"/>
              </w:rPr>
            </w:pPr>
          </w:p>
        </w:tc>
        <w:tc>
          <w:tcPr>
            <w:tcW w:w="676" w:type="dxa"/>
            <w:vAlign w:val="center"/>
          </w:tcPr>
          <w:p>
            <w:pPr>
              <w:jc w:val="center"/>
              <w:rPr>
                <w:rFonts w:eastAsiaTheme="minorEastAsia"/>
                <w:color w:val="auto"/>
                <w:sz w:val="21"/>
                <w:szCs w:val="21"/>
              </w:rPr>
            </w:pPr>
            <w:r>
              <w:rPr>
                <w:rFonts w:eastAsiaTheme="minorEastAsia"/>
                <w:color w:val="auto"/>
                <w:sz w:val="21"/>
                <w:szCs w:val="21"/>
              </w:rPr>
              <w:t>2019.3.26</w:t>
            </w:r>
          </w:p>
        </w:tc>
        <w:tc>
          <w:tcPr>
            <w:tcW w:w="850" w:type="dxa"/>
            <w:vAlign w:val="center"/>
          </w:tcPr>
          <w:p>
            <w:pPr>
              <w:jc w:val="center"/>
              <w:rPr>
                <w:rFonts w:eastAsiaTheme="minorEastAsia"/>
                <w:color w:val="auto"/>
                <w:sz w:val="21"/>
                <w:szCs w:val="21"/>
              </w:rPr>
            </w:pPr>
            <w:r>
              <w:rPr>
                <w:rFonts w:eastAsiaTheme="minorEastAsia"/>
                <w:color w:val="auto"/>
                <w:sz w:val="21"/>
                <w:szCs w:val="21"/>
              </w:rPr>
              <w:t>0.02</w:t>
            </w:r>
          </w:p>
        </w:tc>
        <w:tc>
          <w:tcPr>
            <w:tcW w:w="1134" w:type="dxa"/>
            <w:vAlign w:val="center"/>
          </w:tcPr>
          <w:p>
            <w:pPr>
              <w:jc w:val="center"/>
              <w:rPr>
                <w:rFonts w:eastAsiaTheme="minorEastAsia"/>
                <w:color w:val="auto"/>
                <w:sz w:val="21"/>
                <w:szCs w:val="21"/>
              </w:rPr>
            </w:pPr>
            <w:r>
              <w:rPr>
                <w:rFonts w:eastAsiaTheme="minorEastAsia"/>
                <w:color w:val="auto"/>
                <w:sz w:val="21"/>
                <w:szCs w:val="21"/>
              </w:rPr>
              <w:t>2.7</w:t>
            </w:r>
          </w:p>
        </w:tc>
        <w:tc>
          <w:tcPr>
            <w:tcW w:w="851" w:type="dxa"/>
            <w:vAlign w:val="center"/>
          </w:tcPr>
          <w:p>
            <w:pPr>
              <w:jc w:val="center"/>
              <w:rPr>
                <w:rFonts w:eastAsiaTheme="minorEastAsia"/>
                <w:color w:val="auto"/>
                <w:sz w:val="21"/>
                <w:szCs w:val="21"/>
              </w:rPr>
            </w:pPr>
            <w:r>
              <w:rPr>
                <w:rFonts w:eastAsiaTheme="minorEastAsia"/>
                <w:color w:val="auto"/>
                <w:sz w:val="21"/>
                <w:szCs w:val="21"/>
              </w:rPr>
              <w:t>2.09</w:t>
            </w:r>
          </w:p>
        </w:tc>
        <w:tc>
          <w:tcPr>
            <w:tcW w:w="850" w:type="dxa"/>
            <w:vAlign w:val="center"/>
          </w:tcPr>
          <w:p>
            <w:pPr>
              <w:jc w:val="center"/>
              <w:rPr>
                <w:rFonts w:eastAsiaTheme="minorEastAsia"/>
                <w:color w:val="auto"/>
                <w:sz w:val="21"/>
                <w:szCs w:val="21"/>
              </w:rPr>
            </w:pPr>
            <w:r>
              <w:rPr>
                <w:rFonts w:eastAsiaTheme="minorEastAsia"/>
                <w:color w:val="auto"/>
                <w:sz w:val="21"/>
                <w:szCs w:val="21"/>
              </w:rPr>
              <w:t>21</w:t>
            </w:r>
          </w:p>
        </w:tc>
        <w:tc>
          <w:tcPr>
            <w:tcW w:w="851" w:type="dxa"/>
            <w:vAlign w:val="center"/>
          </w:tcPr>
          <w:p>
            <w:pPr>
              <w:jc w:val="center"/>
              <w:rPr>
                <w:rFonts w:eastAsiaTheme="minorEastAsia"/>
                <w:color w:val="auto"/>
                <w:sz w:val="21"/>
                <w:szCs w:val="21"/>
              </w:rPr>
            </w:pPr>
            <w:r>
              <w:rPr>
                <w:rFonts w:eastAsiaTheme="minorEastAsia"/>
                <w:color w:val="auto"/>
                <w:sz w:val="21"/>
                <w:szCs w:val="21"/>
              </w:rPr>
              <w:t>2</w:t>
            </w:r>
          </w:p>
        </w:tc>
        <w:tc>
          <w:tcPr>
            <w:tcW w:w="952" w:type="dxa"/>
            <w:vAlign w:val="center"/>
          </w:tcPr>
          <w:p>
            <w:pPr>
              <w:jc w:val="center"/>
              <w:rPr>
                <w:rFonts w:eastAsiaTheme="minorEastAsia"/>
                <w:color w:val="auto"/>
                <w:sz w:val="21"/>
                <w:szCs w:val="21"/>
              </w:rPr>
            </w:pPr>
            <w:r>
              <w:rPr>
                <w:rFonts w:eastAsiaTheme="minorEastAsia"/>
                <w:color w:val="auto"/>
                <w:sz w:val="21"/>
                <w:szCs w:val="21"/>
              </w:rPr>
              <w:t>1.8*10</w:t>
            </w:r>
            <w:r>
              <w:rPr>
                <w:rFonts w:eastAsiaTheme="minorEastAsia"/>
                <w:color w:val="auto"/>
                <w:sz w:val="21"/>
                <w:szCs w:val="21"/>
                <w:vertAlign w:val="superscript"/>
              </w:rPr>
              <w:t>4</w:t>
            </w:r>
          </w:p>
        </w:tc>
        <w:tc>
          <w:tcPr>
            <w:tcW w:w="925" w:type="dxa"/>
            <w:vAlign w:val="center"/>
          </w:tcPr>
          <w:p>
            <w:pPr>
              <w:jc w:val="center"/>
              <w:rPr>
                <w:rFonts w:eastAsiaTheme="minorEastAsia"/>
                <w:color w:val="auto"/>
                <w:sz w:val="21"/>
                <w:szCs w:val="21"/>
              </w:rPr>
            </w:pPr>
            <w:r>
              <w:rPr>
                <w:rFonts w:eastAsiaTheme="minorEastAsia"/>
                <w:color w:val="auto"/>
                <w:sz w:val="21"/>
                <w:szCs w:val="21"/>
              </w:rPr>
              <w:t>＜0.00004</w:t>
            </w:r>
          </w:p>
        </w:tc>
        <w:tc>
          <w:tcPr>
            <w:tcW w:w="925" w:type="dxa"/>
            <w:vAlign w:val="center"/>
          </w:tcPr>
          <w:p>
            <w:pPr>
              <w:jc w:val="center"/>
              <w:rPr>
                <w:rFonts w:eastAsiaTheme="minorEastAsia"/>
                <w:color w:val="auto"/>
                <w:sz w:val="21"/>
                <w:szCs w:val="21"/>
              </w:rPr>
            </w:pPr>
            <w:r>
              <w:rPr>
                <w:rFonts w:eastAsiaTheme="minorEastAsia"/>
                <w:color w:val="auto"/>
                <w:sz w:val="21"/>
                <w:szCs w:val="21"/>
              </w:rPr>
              <w:t>0.0004</w:t>
            </w:r>
          </w:p>
        </w:tc>
        <w:tc>
          <w:tcPr>
            <w:tcW w:w="885" w:type="dxa"/>
            <w:vAlign w:val="center"/>
          </w:tcPr>
          <w:p>
            <w:pPr>
              <w:jc w:val="center"/>
              <w:rPr>
                <w:rFonts w:eastAsiaTheme="minorEastAsia"/>
                <w:color w:val="auto"/>
                <w:sz w:val="21"/>
                <w:szCs w:val="21"/>
              </w:rPr>
            </w:pPr>
            <w:r>
              <w:rPr>
                <w:rFonts w:eastAsiaTheme="minorEastAsia"/>
                <w:color w:val="auto"/>
                <w:sz w:val="21"/>
                <w:szCs w:val="21"/>
              </w:rPr>
              <w:t>76.4</w:t>
            </w:r>
          </w:p>
        </w:tc>
        <w:tc>
          <w:tcPr>
            <w:tcW w:w="885" w:type="dxa"/>
            <w:vAlign w:val="center"/>
          </w:tcPr>
          <w:p>
            <w:pPr>
              <w:jc w:val="center"/>
              <w:rPr>
                <w:rFonts w:eastAsiaTheme="minorEastAsia"/>
                <w:color w:val="auto"/>
                <w:sz w:val="21"/>
                <w:szCs w:val="21"/>
              </w:rPr>
            </w:pPr>
            <w:r>
              <w:rPr>
                <w:rFonts w:eastAsiaTheme="minorEastAsia"/>
                <w:color w:val="auto"/>
                <w:sz w:val="21"/>
                <w:szCs w:val="21"/>
              </w:rPr>
              <w:t>268</w:t>
            </w:r>
          </w:p>
        </w:tc>
        <w:tc>
          <w:tcPr>
            <w:tcW w:w="885" w:type="dxa"/>
            <w:vAlign w:val="center"/>
          </w:tcPr>
          <w:p>
            <w:pPr>
              <w:jc w:val="center"/>
              <w:rPr>
                <w:rFonts w:eastAsiaTheme="minorEastAsia"/>
                <w:color w:val="auto"/>
                <w:sz w:val="21"/>
                <w:szCs w:val="21"/>
              </w:rPr>
            </w:pPr>
            <w:r>
              <w:rPr>
                <w:rFonts w:eastAsiaTheme="minorEastAsia"/>
                <w:color w:val="auto"/>
                <w:sz w:val="21"/>
                <w:szCs w:val="21"/>
              </w:rPr>
              <w:t>3.48</w:t>
            </w:r>
          </w:p>
        </w:tc>
        <w:tc>
          <w:tcPr>
            <w:tcW w:w="885" w:type="dxa"/>
            <w:vAlign w:val="center"/>
          </w:tcPr>
          <w:p>
            <w:pPr>
              <w:jc w:val="center"/>
              <w:rPr>
                <w:rFonts w:eastAsiaTheme="minorEastAsia"/>
                <w:color w:val="auto"/>
                <w:sz w:val="21"/>
                <w:szCs w:val="21"/>
              </w:rPr>
            </w:pPr>
            <w:r>
              <w:rPr>
                <w:rFonts w:eastAsiaTheme="minorEastAsia"/>
                <w:color w:val="auto"/>
                <w:sz w:val="21"/>
                <w:szCs w:val="21"/>
              </w:rPr>
              <w:t>12.1</w:t>
            </w:r>
          </w:p>
        </w:tc>
        <w:tc>
          <w:tcPr>
            <w:tcW w:w="885" w:type="dxa"/>
            <w:vAlign w:val="center"/>
          </w:tcPr>
          <w:p>
            <w:pPr>
              <w:jc w:val="center"/>
              <w:rPr>
                <w:rFonts w:eastAsiaTheme="minorEastAsia"/>
                <w:color w:val="auto"/>
                <w:sz w:val="21"/>
                <w:szCs w:val="21"/>
              </w:rPr>
            </w:pPr>
            <w:r>
              <w:rPr>
                <w:rFonts w:eastAsiaTheme="minorEastAsia"/>
                <w:color w:val="auto"/>
                <w:sz w:val="21"/>
                <w:szCs w:val="21"/>
              </w:rPr>
              <w:t>＜0.05</w:t>
            </w:r>
          </w:p>
        </w:tc>
        <w:tc>
          <w:tcPr>
            <w:tcW w:w="885" w:type="dxa"/>
            <w:vAlign w:val="center"/>
          </w:tcPr>
          <w:p>
            <w:pPr>
              <w:jc w:val="center"/>
              <w:rPr>
                <w:rFonts w:eastAsiaTheme="minorEastAsia"/>
                <w:color w:val="auto"/>
                <w:sz w:val="21"/>
                <w:szCs w:val="21"/>
              </w:rPr>
            </w:pPr>
            <w:r>
              <w:rPr>
                <w:rFonts w:eastAsiaTheme="minorEastAsia"/>
                <w:color w:val="auto"/>
                <w:sz w:val="21"/>
                <w:szCs w:val="21"/>
              </w:rPr>
              <w:t>1.63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387" w:type="dxa"/>
            <w:vMerge w:val="continue"/>
            <w:vAlign w:val="center"/>
          </w:tcPr>
          <w:p>
            <w:pPr>
              <w:jc w:val="center"/>
              <w:rPr>
                <w:rFonts w:eastAsiaTheme="minorEastAsia"/>
                <w:color w:val="auto"/>
                <w:sz w:val="21"/>
                <w:szCs w:val="21"/>
              </w:rPr>
            </w:pPr>
          </w:p>
        </w:tc>
        <w:tc>
          <w:tcPr>
            <w:tcW w:w="676" w:type="dxa"/>
            <w:vAlign w:val="center"/>
          </w:tcPr>
          <w:p>
            <w:pPr>
              <w:jc w:val="center"/>
              <w:rPr>
                <w:rFonts w:eastAsiaTheme="minorEastAsia"/>
                <w:color w:val="auto"/>
                <w:sz w:val="21"/>
                <w:szCs w:val="21"/>
              </w:rPr>
            </w:pPr>
            <w:r>
              <w:rPr>
                <w:rFonts w:eastAsiaTheme="minorEastAsia"/>
                <w:color w:val="auto"/>
                <w:sz w:val="21"/>
                <w:szCs w:val="21"/>
              </w:rPr>
              <w:t>2019.3.27</w:t>
            </w:r>
          </w:p>
        </w:tc>
        <w:tc>
          <w:tcPr>
            <w:tcW w:w="850" w:type="dxa"/>
            <w:vAlign w:val="center"/>
          </w:tcPr>
          <w:p>
            <w:pPr>
              <w:jc w:val="center"/>
              <w:rPr>
                <w:rFonts w:eastAsiaTheme="minorEastAsia"/>
                <w:color w:val="auto"/>
                <w:sz w:val="21"/>
                <w:szCs w:val="21"/>
              </w:rPr>
            </w:pPr>
            <w:r>
              <w:rPr>
                <w:rFonts w:eastAsiaTheme="minorEastAsia"/>
                <w:color w:val="auto"/>
                <w:sz w:val="21"/>
                <w:szCs w:val="21"/>
              </w:rPr>
              <w:t>0.02</w:t>
            </w:r>
          </w:p>
        </w:tc>
        <w:tc>
          <w:tcPr>
            <w:tcW w:w="1134" w:type="dxa"/>
            <w:vAlign w:val="center"/>
          </w:tcPr>
          <w:p>
            <w:pPr>
              <w:jc w:val="center"/>
              <w:rPr>
                <w:rFonts w:eastAsiaTheme="minorEastAsia"/>
                <w:color w:val="auto"/>
                <w:sz w:val="21"/>
                <w:szCs w:val="21"/>
              </w:rPr>
            </w:pPr>
            <w:r>
              <w:rPr>
                <w:rFonts w:eastAsiaTheme="minorEastAsia"/>
                <w:color w:val="auto"/>
                <w:sz w:val="21"/>
                <w:szCs w:val="21"/>
              </w:rPr>
              <w:t>1.9</w:t>
            </w:r>
          </w:p>
        </w:tc>
        <w:tc>
          <w:tcPr>
            <w:tcW w:w="851" w:type="dxa"/>
            <w:vAlign w:val="center"/>
          </w:tcPr>
          <w:p>
            <w:pPr>
              <w:jc w:val="center"/>
              <w:rPr>
                <w:rFonts w:eastAsiaTheme="minorEastAsia"/>
                <w:color w:val="auto"/>
                <w:sz w:val="21"/>
                <w:szCs w:val="21"/>
              </w:rPr>
            </w:pPr>
            <w:r>
              <w:rPr>
                <w:rFonts w:eastAsiaTheme="minorEastAsia"/>
                <w:color w:val="auto"/>
                <w:sz w:val="21"/>
                <w:szCs w:val="21"/>
              </w:rPr>
              <w:t>1.59</w:t>
            </w:r>
          </w:p>
        </w:tc>
        <w:tc>
          <w:tcPr>
            <w:tcW w:w="850" w:type="dxa"/>
            <w:vAlign w:val="center"/>
          </w:tcPr>
          <w:p>
            <w:pPr>
              <w:jc w:val="center"/>
              <w:rPr>
                <w:rFonts w:eastAsiaTheme="minorEastAsia"/>
                <w:color w:val="auto"/>
                <w:sz w:val="21"/>
                <w:szCs w:val="21"/>
              </w:rPr>
            </w:pPr>
            <w:r>
              <w:rPr>
                <w:rFonts w:eastAsiaTheme="minorEastAsia"/>
                <w:color w:val="auto"/>
                <w:sz w:val="21"/>
                <w:szCs w:val="21"/>
              </w:rPr>
              <w:t>19</w:t>
            </w:r>
          </w:p>
        </w:tc>
        <w:tc>
          <w:tcPr>
            <w:tcW w:w="851" w:type="dxa"/>
            <w:vAlign w:val="center"/>
          </w:tcPr>
          <w:p>
            <w:pPr>
              <w:jc w:val="center"/>
              <w:rPr>
                <w:rFonts w:eastAsiaTheme="minorEastAsia"/>
                <w:color w:val="auto"/>
                <w:sz w:val="21"/>
                <w:szCs w:val="21"/>
              </w:rPr>
            </w:pPr>
            <w:r>
              <w:rPr>
                <w:rFonts w:eastAsiaTheme="minorEastAsia"/>
                <w:color w:val="auto"/>
                <w:sz w:val="21"/>
                <w:szCs w:val="21"/>
              </w:rPr>
              <w:t>2</w:t>
            </w:r>
          </w:p>
        </w:tc>
        <w:tc>
          <w:tcPr>
            <w:tcW w:w="952" w:type="dxa"/>
            <w:vAlign w:val="center"/>
          </w:tcPr>
          <w:p>
            <w:pPr>
              <w:jc w:val="center"/>
              <w:rPr>
                <w:rFonts w:eastAsiaTheme="minorEastAsia"/>
                <w:color w:val="auto"/>
                <w:sz w:val="21"/>
                <w:szCs w:val="21"/>
              </w:rPr>
            </w:pPr>
            <w:r>
              <w:rPr>
                <w:rFonts w:eastAsiaTheme="minorEastAsia"/>
                <w:color w:val="auto"/>
                <w:sz w:val="21"/>
                <w:szCs w:val="21"/>
              </w:rPr>
              <w:t>2.1*10</w:t>
            </w:r>
            <w:r>
              <w:rPr>
                <w:rFonts w:eastAsiaTheme="minorEastAsia"/>
                <w:color w:val="auto"/>
                <w:sz w:val="21"/>
                <w:szCs w:val="21"/>
                <w:vertAlign w:val="superscript"/>
              </w:rPr>
              <w:t>4</w:t>
            </w:r>
          </w:p>
        </w:tc>
        <w:tc>
          <w:tcPr>
            <w:tcW w:w="925" w:type="dxa"/>
            <w:vAlign w:val="center"/>
          </w:tcPr>
          <w:p>
            <w:pPr>
              <w:jc w:val="center"/>
              <w:rPr>
                <w:rFonts w:eastAsiaTheme="minorEastAsia"/>
                <w:color w:val="auto"/>
                <w:sz w:val="21"/>
                <w:szCs w:val="21"/>
              </w:rPr>
            </w:pPr>
            <w:r>
              <w:rPr>
                <w:rFonts w:eastAsiaTheme="minorEastAsia"/>
                <w:color w:val="auto"/>
                <w:sz w:val="21"/>
                <w:szCs w:val="21"/>
              </w:rPr>
              <w:t>＜0.00004</w:t>
            </w:r>
          </w:p>
        </w:tc>
        <w:tc>
          <w:tcPr>
            <w:tcW w:w="925" w:type="dxa"/>
            <w:vAlign w:val="center"/>
          </w:tcPr>
          <w:p>
            <w:pPr>
              <w:jc w:val="center"/>
              <w:rPr>
                <w:rFonts w:eastAsiaTheme="minorEastAsia"/>
                <w:color w:val="auto"/>
                <w:sz w:val="21"/>
                <w:szCs w:val="21"/>
              </w:rPr>
            </w:pPr>
            <w:r>
              <w:rPr>
                <w:rFonts w:eastAsiaTheme="minorEastAsia"/>
                <w:color w:val="auto"/>
                <w:sz w:val="21"/>
                <w:szCs w:val="21"/>
              </w:rPr>
              <w:t>＜0.0003</w:t>
            </w:r>
          </w:p>
        </w:tc>
        <w:tc>
          <w:tcPr>
            <w:tcW w:w="885" w:type="dxa"/>
            <w:vAlign w:val="center"/>
          </w:tcPr>
          <w:p>
            <w:pPr>
              <w:jc w:val="center"/>
              <w:rPr>
                <w:rFonts w:eastAsiaTheme="minorEastAsia"/>
                <w:color w:val="auto"/>
                <w:sz w:val="21"/>
                <w:szCs w:val="21"/>
              </w:rPr>
            </w:pPr>
            <w:r>
              <w:rPr>
                <w:rFonts w:eastAsiaTheme="minorEastAsia"/>
                <w:color w:val="auto"/>
                <w:sz w:val="21"/>
                <w:szCs w:val="21"/>
              </w:rPr>
              <w:t>69.7</w:t>
            </w:r>
          </w:p>
        </w:tc>
        <w:tc>
          <w:tcPr>
            <w:tcW w:w="885" w:type="dxa"/>
            <w:vAlign w:val="center"/>
          </w:tcPr>
          <w:p>
            <w:pPr>
              <w:jc w:val="center"/>
              <w:rPr>
                <w:rFonts w:eastAsiaTheme="minorEastAsia"/>
                <w:color w:val="auto"/>
                <w:sz w:val="21"/>
                <w:szCs w:val="21"/>
              </w:rPr>
            </w:pPr>
            <w:r>
              <w:rPr>
                <w:rFonts w:eastAsiaTheme="minorEastAsia"/>
                <w:color w:val="auto"/>
                <w:sz w:val="21"/>
                <w:szCs w:val="21"/>
              </w:rPr>
              <w:t>279</w:t>
            </w:r>
          </w:p>
        </w:tc>
        <w:tc>
          <w:tcPr>
            <w:tcW w:w="885" w:type="dxa"/>
            <w:vAlign w:val="center"/>
          </w:tcPr>
          <w:p>
            <w:pPr>
              <w:jc w:val="center"/>
              <w:rPr>
                <w:rFonts w:eastAsiaTheme="minorEastAsia"/>
                <w:color w:val="auto"/>
                <w:sz w:val="21"/>
                <w:szCs w:val="21"/>
              </w:rPr>
            </w:pPr>
            <w:r>
              <w:rPr>
                <w:rFonts w:eastAsiaTheme="minorEastAsia"/>
                <w:color w:val="auto"/>
                <w:sz w:val="21"/>
                <w:szCs w:val="21"/>
              </w:rPr>
              <w:t>3.10</w:t>
            </w:r>
          </w:p>
        </w:tc>
        <w:tc>
          <w:tcPr>
            <w:tcW w:w="885" w:type="dxa"/>
            <w:vAlign w:val="center"/>
          </w:tcPr>
          <w:p>
            <w:pPr>
              <w:jc w:val="center"/>
              <w:rPr>
                <w:rFonts w:eastAsiaTheme="minorEastAsia"/>
                <w:color w:val="auto"/>
                <w:sz w:val="21"/>
                <w:szCs w:val="21"/>
              </w:rPr>
            </w:pPr>
            <w:r>
              <w:rPr>
                <w:rFonts w:eastAsiaTheme="minorEastAsia"/>
                <w:color w:val="auto"/>
                <w:sz w:val="21"/>
                <w:szCs w:val="21"/>
              </w:rPr>
              <w:t>11.1</w:t>
            </w:r>
          </w:p>
        </w:tc>
        <w:tc>
          <w:tcPr>
            <w:tcW w:w="885" w:type="dxa"/>
            <w:vAlign w:val="center"/>
          </w:tcPr>
          <w:p>
            <w:pPr>
              <w:jc w:val="center"/>
              <w:rPr>
                <w:rFonts w:eastAsiaTheme="minorEastAsia"/>
                <w:color w:val="auto"/>
                <w:sz w:val="21"/>
                <w:szCs w:val="21"/>
              </w:rPr>
            </w:pPr>
            <w:r>
              <w:rPr>
                <w:rFonts w:eastAsiaTheme="minorEastAsia"/>
                <w:color w:val="auto"/>
                <w:sz w:val="21"/>
                <w:szCs w:val="21"/>
              </w:rPr>
              <w:t>＜0.05</w:t>
            </w:r>
          </w:p>
        </w:tc>
        <w:tc>
          <w:tcPr>
            <w:tcW w:w="885" w:type="dxa"/>
            <w:vAlign w:val="center"/>
          </w:tcPr>
          <w:p>
            <w:pPr>
              <w:jc w:val="center"/>
              <w:rPr>
                <w:rFonts w:eastAsiaTheme="minorEastAsia"/>
                <w:color w:val="auto"/>
                <w:sz w:val="21"/>
                <w:szCs w:val="21"/>
              </w:rPr>
            </w:pPr>
            <w:r>
              <w:rPr>
                <w:rFonts w:eastAsiaTheme="minorEastAsia"/>
                <w:color w:val="auto"/>
                <w:sz w:val="21"/>
                <w:szCs w:val="21"/>
              </w:rPr>
              <w:t>1.55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超标率</w:t>
            </w:r>
            <w:r>
              <w:rPr>
                <w:rFonts w:hint="eastAsia" w:eastAsiaTheme="minorEastAsia"/>
                <w:color w:val="auto"/>
                <w:sz w:val="21"/>
                <w:szCs w:val="21"/>
                <w:lang w:eastAsia="zh-CN"/>
              </w:rPr>
              <w:t>（</w:t>
            </w:r>
            <w:r>
              <w:rPr>
                <w:rFonts w:hint="eastAsia" w:eastAsiaTheme="minorEastAsia"/>
                <w:color w:val="auto"/>
                <w:sz w:val="21"/>
                <w:szCs w:val="21"/>
                <w:lang w:val="en-US" w:eastAsia="zh-CN"/>
              </w:rPr>
              <w:t>%</w:t>
            </w:r>
            <w:r>
              <w:rPr>
                <w:rFonts w:hint="eastAsia" w:eastAsiaTheme="minorEastAsia"/>
                <w:color w:val="auto"/>
                <w:sz w:val="21"/>
                <w:szCs w:val="21"/>
                <w:lang w:eastAsia="zh-CN"/>
              </w:rPr>
              <w:t>）</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1134"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0.67</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最大超标倍数</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1134"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0.25</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最大单因子指数</w:t>
            </w:r>
          </w:p>
        </w:tc>
        <w:tc>
          <w:tcPr>
            <w:tcW w:w="850" w:type="dxa"/>
            <w:vAlign w:val="center"/>
          </w:tcPr>
          <w:p>
            <w:pPr>
              <w:jc w:val="center"/>
              <w:rPr>
                <w:rFonts w:eastAsiaTheme="minorEastAsia"/>
                <w:color w:val="auto"/>
                <w:sz w:val="21"/>
                <w:szCs w:val="21"/>
              </w:rPr>
            </w:pPr>
            <w:r>
              <w:rPr>
                <w:rFonts w:eastAsiaTheme="minorEastAsia"/>
                <w:color w:val="auto"/>
                <w:sz w:val="21"/>
                <w:szCs w:val="21"/>
              </w:rPr>
              <w:t>0.04</w:t>
            </w:r>
          </w:p>
        </w:tc>
        <w:tc>
          <w:tcPr>
            <w:tcW w:w="1134" w:type="dxa"/>
            <w:vAlign w:val="center"/>
          </w:tcPr>
          <w:p>
            <w:pPr>
              <w:jc w:val="center"/>
              <w:rPr>
                <w:rFonts w:eastAsiaTheme="minorEastAsia"/>
                <w:color w:val="auto"/>
                <w:sz w:val="21"/>
                <w:szCs w:val="21"/>
              </w:rPr>
            </w:pPr>
            <w:r>
              <w:rPr>
                <w:rFonts w:eastAsiaTheme="minorEastAsia"/>
                <w:color w:val="auto"/>
                <w:sz w:val="21"/>
                <w:szCs w:val="21"/>
              </w:rPr>
              <w:t>0.47</w:t>
            </w:r>
          </w:p>
        </w:tc>
        <w:tc>
          <w:tcPr>
            <w:tcW w:w="851" w:type="dxa"/>
            <w:vAlign w:val="center"/>
          </w:tcPr>
          <w:p>
            <w:pPr>
              <w:jc w:val="center"/>
              <w:rPr>
                <w:rFonts w:eastAsiaTheme="minorEastAsia"/>
                <w:color w:val="auto"/>
                <w:sz w:val="21"/>
                <w:szCs w:val="21"/>
              </w:rPr>
            </w:pPr>
            <w:r>
              <w:rPr>
                <w:rFonts w:eastAsiaTheme="minorEastAsia"/>
                <w:color w:val="auto"/>
                <w:sz w:val="21"/>
                <w:szCs w:val="21"/>
              </w:rPr>
              <w:t>0.22</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1.25</w:t>
            </w:r>
          </w:p>
        </w:tc>
        <w:tc>
          <w:tcPr>
            <w:tcW w:w="925" w:type="dxa"/>
            <w:vAlign w:val="center"/>
          </w:tcPr>
          <w:p>
            <w:pPr>
              <w:jc w:val="center"/>
              <w:rPr>
                <w:rFonts w:eastAsiaTheme="minorEastAsia"/>
                <w:color w:val="auto"/>
                <w:sz w:val="21"/>
                <w:szCs w:val="21"/>
              </w:rPr>
            </w:pPr>
            <w:r>
              <w:rPr>
                <w:rFonts w:eastAsiaTheme="minorEastAsia"/>
                <w:color w:val="auto"/>
                <w:sz w:val="21"/>
                <w:szCs w:val="21"/>
              </w:rPr>
              <w:t>/</w:t>
            </w:r>
          </w:p>
        </w:tc>
        <w:tc>
          <w:tcPr>
            <w:tcW w:w="925" w:type="dxa"/>
            <w:vAlign w:val="center"/>
          </w:tcPr>
          <w:p>
            <w:pPr>
              <w:jc w:val="center"/>
              <w:rPr>
                <w:rFonts w:eastAsiaTheme="minorEastAsia"/>
                <w:color w:val="auto"/>
                <w:sz w:val="21"/>
                <w:szCs w:val="21"/>
              </w:rPr>
            </w:pPr>
            <w:r>
              <w:rPr>
                <w:rFonts w:eastAsiaTheme="minorEastAsia"/>
                <w:color w:val="auto"/>
                <w:sz w:val="21"/>
                <w:szCs w:val="21"/>
              </w:rPr>
              <w:t>/</w:t>
            </w:r>
          </w:p>
        </w:tc>
        <w:tc>
          <w:tcPr>
            <w:tcW w:w="885" w:type="dxa"/>
            <w:vAlign w:val="center"/>
          </w:tcPr>
          <w:p>
            <w:pPr>
              <w:jc w:val="center"/>
              <w:rPr>
                <w:rFonts w:eastAsiaTheme="minorEastAsia"/>
                <w:color w:val="auto"/>
                <w:sz w:val="21"/>
                <w:szCs w:val="21"/>
              </w:rPr>
            </w:pPr>
            <w:r>
              <w:rPr>
                <w:rFonts w:eastAsiaTheme="minorEastAsia"/>
                <w:color w:val="auto"/>
                <w:sz w:val="21"/>
                <w:szCs w:val="21"/>
              </w:rPr>
              <w:t>0.76</w:t>
            </w:r>
          </w:p>
        </w:tc>
        <w:tc>
          <w:tcPr>
            <w:tcW w:w="885" w:type="dxa"/>
            <w:vAlign w:val="center"/>
          </w:tcPr>
          <w:p>
            <w:pPr>
              <w:jc w:val="center"/>
              <w:rPr>
                <w:rFonts w:eastAsiaTheme="minorEastAsia"/>
                <w:color w:val="auto"/>
                <w:sz w:val="21"/>
                <w:szCs w:val="21"/>
              </w:rPr>
            </w:pPr>
            <w:r>
              <w:rPr>
                <w:rFonts w:eastAsiaTheme="minorEastAsia"/>
                <w:color w:val="auto"/>
                <w:sz w:val="21"/>
                <w:szCs w:val="21"/>
              </w:rPr>
              <w:t>0.93</w:t>
            </w:r>
          </w:p>
        </w:tc>
        <w:tc>
          <w:tcPr>
            <w:tcW w:w="885" w:type="dxa"/>
            <w:vAlign w:val="center"/>
          </w:tcPr>
          <w:p>
            <w:pPr>
              <w:jc w:val="center"/>
              <w:rPr>
                <w:rFonts w:eastAsiaTheme="minorEastAsia"/>
                <w:color w:val="auto"/>
                <w:sz w:val="21"/>
                <w:szCs w:val="21"/>
              </w:rPr>
            </w:pPr>
            <w:r>
              <w:rPr>
                <w:rFonts w:eastAsiaTheme="minorEastAsia"/>
                <w:color w:val="auto"/>
                <w:sz w:val="21"/>
                <w:szCs w:val="21"/>
              </w:rPr>
              <w:t>0.003</w:t>
            </w:r>
          </w:p>
        </w:tc>
        <w:tc>
          <w:tcPr>
            <w:tcW w:w="885" w:type="dxa"/>
            <w:vAlign w:val="center"/>
          </w:tcPr>
          <w:p>
            <w:pPr>
              <w:jc w:val="center"/>
              <w:rPr>
                <w:rFonts w:eastAsiaTheme="minorEastAsia"/>
                <w:color w:val="auto"/>
                <w:sz w:val="21"/>
                <w:szCs w:val="21"/>
              </w:rPr>
            </w:pPr>
            <w:r>
              <w:rPr>
                <w:rFonts w:eastAsiaTheme="minorEastAsia"/>
                <w:color w:val="auto"/>
                <w:sz w:val="21"/>
                <w:szCs w:val="21"/>
              </w:rPr>
              <w:t>0.006</w:t>
            </w:r>
          </w:p>
        </w:tc>
        <w:tc>
          <w:tcPr>
            <w:tcW w:w="885" w:type="dxa"/>
            <w:vAlign w:val="center"/>
          </w:tcPr>
          <w:p>
            <w:pPr>
              <w:jc w:val="center"/>
              <w:rPr>
                <w:rFonts w:eastAsiaTheme="minorEastAsia"/>
                <w:color w:val="auto"/>
                <w:sz w:val="21"/>
                <w:szCs w:val="21"/>
              </w:rPr>
            </w:pPr>
            <w:r>
              <w:rPr>
                <w:rFonts w:eastAsiaTheme="minorEastAsia"/>
                <w:color w:val="auto"/>
                <w:sz w:val="21"/>
                <w:szCs w:val="21"/>
              </w:rPr>
              <w:t>/</w:t>
            </w:r>
          </w:p>
        </w:tc>
        <w:tc>
          <w:tcPr>
            <w:tcW w:w="885" w:type="dxa"/>
            <w:vAlign w:val="center"/>
          </w:tcPr>
          <w:p>
            <w:pPr>
              <w:jc w:val="center"/>
              <w:rPr>
                <w:rFonts w:eastAsiaTheme="minorEastAsia"/>
                <w:color w:val="auto"/>
                <w:sz w:val="21"/>
                <w:szCs w:val="21"/>
              </w:rPr>
            </w:pPr>
            <w:r>
              <w:rPr>
                <w:rFonts w:eastAsiaTheme="minorEastAsia"/>
                <w:color w:val="auto"/>
                <w:sz w:val="21"/>
                <w:szCs w:val="21"/>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标准值（mg/L）</w:t>
            </w:r>
          </w:p>
        </w:tc>
        <w:tc>
          <w:tcPr>
            <w:tcW w:w="850" w:type="dxa"/>
            <w:vAlign w:val="center"/>
          </w:tcPr>
          <w:p>
            <w:pPr>
              <w:jc w:val="center"/>
              <w:rPr>
                <w:rFonts w:eastAsiaTheme="minorEastAsia"/>
                <w:color w:val="auto"/>
                <w:sz w:val="21"/>
                <w:szCs w:val="21"/>
              </w:rPr>
            </w:pPr>
            <w:r>
              <w:rPr>
                <w:rFonts w:eastAsiaTheme="minorEastAsia"/>
                <w:color w:val="auto"/>
                <w:sz w:val="21"/>
                <w:szCs w:val="21"/>
              </w:rPr>
              <w:t>≤0.5</w:t>
            </w:r>
          </w:p>
        </w:tc>
        <w:tc>
          <w:tcPr>
            <w:tcW w:w="1134" w:type="dxa"/>
            <w:vAlign w:val="center"/>
          </w:tcPr>
          <w:p>
            <w:pPr>
              <w:jc w:val="center"/>
              <w:rPr>
                <w:rFonts w:eastAsiaTheme="minorEastAsia"/>
                <w:color w:val="auto"/>
                <w:sz w:val="21"/>
                <w:szCs w:val="21"/>
              </w:rPr>
            </w:pPr>
            <w:r>
              <w:rPr>
                <w:rFonts w:eastAsiaTheme="minorEastAsia"/>
                <w:color w:val="auto"/>
                <w:sz w:val="21"/>
                <w:szCs w:val="21"/>
              </w:rPr>
              <w:t>≤6</w:t>
            </w:r>
          </w:p>
        </w:tc>
        <w:tc>
          <w:tcPr>
            <w:tcW w:w="851" w:type="dxa"/>
            <w:vAlign w:val="center"/>
          </w:tcPr>
          <w:p>
            <w:pPr>
              <w:jc w:val="center"/>
              <w:rPr>
                <w:rFonts w:eastAsiaTheme="minorEastAsia"/>
                <w:color w:val="auto"/>
                <w:sz w:val="21"/>
                <w:szCs w:val="21"/>
              </w:rPr>
            </w:pPr>
            <w:r>
              <w:rPr>
                <w:rFonts w:eastAsiaTheme="minorEastAsia"/>
                <w:color w:val="auto"/>
                <w:sz w:val="21"/>
                <w:szCs w:val="21"/>
              </w:rPr>
              <w:t>≤10</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≤20000</w:t>
            </w:r>
          </w:p>
        </w:tc>
        <w:tc>
          <w:tcPr>
            <w:tcW w:w="925" w:type="dxa"/>
            <w:vAlign w:val="center"/>
          </w:tcPr>
          <w:p>
            <w:pPr>
              <w:jc w:val="center"/>
              <w:rPr>
                <w:rFonts w:eastAsiaTheme="minorEastAsia"/>
                <w:color w:val="auto"/>
                <w:sz w:val="21"/>
                <w:szCs w:val="21"/>
              </w:rPr>
            </w:pPr>
            <w:r>
              <w:rPr>
                <w:rFonts w:eastAsiaTheme="minorEastAsia"/>
                <w:color w:val="auto"/>
                <w:sz w:val="21"/>
                <w:szCs w:val="21"/>
              </w:rPr>
              <w:t>≤0.001</w:t>
            </w:r>
          </w:p>
        </w:tc>
        <w:tc>
          <w:tcPr>
            <w:tcW w:w="925" w:type="dxa"/>
            <w:vAlign w:val="center"/>
          </w:tcPr>
          <w:p>
            <w:pPr>
              <w:jc w:val="center"/>
              <w:rPr>
                <w:rFonts w:eastAsiaTheme="minorEastAsia"/>
                <w:color w:val="auto"/>
                <w:sz w:val="21"/>
                <w:szCs w:val="21"/>
              </w:rPr>
            </w:pPr>
            <w:r>
              <w:rPr>
                <w:rFonts w:eastAsiaTheme="minorEastAsia"/>
                <w:color w:val="auto"/>
                <w:sz w:val="21"/>
                <w:szCs w:val="21"/>
              </w:rPr>
              <w:t>≤0.1</w:t>
            </w:r>
          </w:p>
        </w:tc>
        <w:tc>
          <w:tcPr>
            <w:tcW w:w="885" w:type="dxa"/>
            <w:vAlign w:val="center"/>
          </w:tcPr>
          <w:p>
            <w:pPr>
              <w:jc w:val="center"/>
              <w:rPr>
                <w:rFonts w:eastAsiaTheme="minorEastAsia"/>
                <w:color w:val="auto"/>
                <w:sz w:val="21"/>
                <w:szCs w:val="21"/>
              </w:rPr>
            </w:pPr>
            <w:r>
              <w:rPr>
                <w:rFonts w:eastAsiaTheme="minorEastAsia"/>
                <w:color w:val="auto"/>
                <w:sz w:val="21"/>
                <w:szCs w:val="21"/>
              </w:rPr>
              <w:t>≤0.1</w:t>
            </w:r>
          </w:p>
        </w:tc>
        <w:tc>
          <w:tcPr>
            <w:tcW w:w="885" w:type="dxa"/>
            <w:vAlign w:val="center"/>
          </w:tcPr>
          <w:p>
            <w:pPr>
              <w:jc w:val="center"/>
              <w:rPr>
                <w:rFonts w:eastAsiaTheme="minorEastAsia"/>
                <w:color w:val="auto"/>
                <w:sz w:val="21"/>
                <w:szCs w:val="21"/>
              </w:rPr>
            </w:pPr>
            <w:r>
              <w:rPr>
                <w:rFonts w:eastAsiaTheme="minorEastAsia"/>
                <w:color w:val="auto"/>
                <w:sz w:val="21"/>
                <w:szCs w:val="21"/>
              </w:rPr>
              <w:t>≤0.3</w:t>
            </w:r>
          </w:p>
        </w:tc>
        <w:tc>
          <w:tcPr>
            <w:tcW w:w="885" w:type="dxa"/>
            <w:vAlign w:val="center"/>
          </w:tcPr>
          <w:p>
            <w:pPr>
              <w:jc w:val="center"/>
              <w:rPr>
                <w:rFonts w:eastAsiaTheme="minorEastAsia"/>
                <w:color w:val="auto"/>
                <w:sz w:val="21"/>
                <w:szCs w:val="21"/>
              </w:rPr>
            </w:pPr>
            <w:r>
              <w:rPr>
                <w:rFonts w:eastAsiaTheme="minorEastAsia"/>
                <w:color w:val="auto"/>
                <w:sz w:val="21"/>
                <w:szCs w:val="21"/>
              </w:rPr>
              <w:t>≤1.0</w:t>
            </w:r>
          </w:p>
        </w:tc>
        <w:tc>
          <w:tcPr>
            <w:tcW w:w="885" w:type="dxa"/>
            <w:vAlign w:val="center"/>
          </w:tcPr>
          <w:p>
            <w:pPr>
              <w:jc w:val="center"/>
              <w:rPr>
                <w:rFonts w:eastAsiaTheme="minorEastAsia"/>
                <w:color w:val="auto"/>
                <w:sz w:val="21"/>
                <w:szCs w:val="21"/>
              </w:rPr>
            </w:pPr>
            <w:r>
              <w:rPr>
                <w:rFonts w:eastAsiaTheme="minorEastAsia"/>
                <w:color w:val="auto"/>
                <w:sz w:val="21"/>
                <w:szCs w:val="21"/>
              </w:rPr>
              <w:t>≤2.0</w:t>
            </w:r>
          </w:p>
        </w:tc>
        <w:tc>
          <w:tcPr>
            <w:tcW w:w="885" w:type="dxa"/>
            <w:vAlign w:val="center"/>
          </w:tcPr>
          <w:p>
            <w:pPr>
              <w:jc w:val="center"/>
              <w:rPr>
                <w:rFonts w:eastAsiaTheme="minorEastAsia"/>
                <w:color w:val="auto"/>
                <w:sz w:val="21"/>
                <w:szCs w:val="21"/>
              </w:rPr>
            </w:pPr>
            <w:r>
              <w:rPr>
                <w:rFonts w:eastAsiaTheme="minorEastAsia"/>
                <w:color w:val="auto"/>
                <w:sz w:val="21"/>
                <w:szCs w:val="21"/>
              </w:rPr>
              <w:t>≤0.005</w:t>
            </w:r>
          </w:p>
        </w:tc>
        <w:tc>
          <w:tcPr>
            <w:tcW w:w="885" w:type="dxa"/>
            <w:vAlign w:val="center"/>
          </w:tcPr>
          <w:p>
            <w:pPr>
              <w:jc w:val="center"/>
              <w:rPr>
                <w:rFonts w:eastAsiaTheme="minorEastAsia"/>
                <w:color w:val="auto"/>
                <w:sz w:val="21"/>
                <w:szCs w:val="21"/>
              </w:rPr>
            </w:pPr>
            <w:r>
              <w:rPr>
                <w:rFonts w:eastAsiaTheme="minorEastAsia"/>
                <w:color w:val="auto"/>
                <w:sz w:val="21"/>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restart"/>
            <w:vAlign w:val="center"/>
          </w:tcPr>
          <w:p>
            <w:pPr>
              <w:jc w:val="center"/>
              <w:rPr>
                <w:rFonts w:eastAsiaTheme="minorEastAsia"/>
                <w:color w:val="auto"/>
                <w:sz w:val="21"/>
                <w:szCs w:val="21"/>
              </w:rPr>
            </w:pPr>
            <w:r>
              <w:rPr>
                <w:rFonts w:eastAsiaTheme="minorEastAsia"/>
                <w:color w:val="auto"/>
                <w:sz w:val="21"/>
                <w:szCs w:val="21"/>
              </w:rPr>
              <w:t>W4</w:t>
            </w:r>
          </w:p>
        </w:tc>
        <w:tc>
          <w:tcPr>
            <w:tcW w:w="387" w:type="dxa"/>
            <w:vMerge w:val="restart"/>
            <w:vAlign w:val="center"/>
          </w:tcPr>
          <w:p>
            <w:pPr>
              <w:jc w:val="center"/>
              <w:rPr>
                <w:rFonts w:eastAsiaTheme="minorEastAsia"/>
                <w:color w:val="auto"/>
                <w:sz w:val="21"/>
                <w:szCs w:val="21"/>
              </w:rPr>
            </w:pPr>
            <w:r>
              <w:rPr>
                <w:rFonts w:eastAsiaTheme="minorEastAsia"/>
                <w:color w:val="auto"/>
                <w:sz w:val="21"/>
                <w:szCs w:val="21"/>
              </w:rPr>
              <w:t>监测值</w:t>
            </w:r>
          </w:p>
        </w:tc>
        <w:tc>
          <w:tcPr>
            <w:tcW w:w="676" w:type="dxa"/>
            <w:vAlign w:val="center"/>
          </w:tcPr>
          <w:p>
            <w:pPr>
              <w:jc w:val="center"/>
              <w:rPr>
                <w:rFonts w:eastAsiaTheme="minorEastAsia"/>
                <w:color w:val="auto"/>
                <w:sz w:val="21"/>
                <w:szCs w:val="21"/>
              </w:rPr>
            </w:pPr>
            <w:r>
              <w:rPr>
                <w:rFonts w:eastAsiaTheme="minorEastAsia"/>
                <w:color w:val="auto"/>
                <w:sz w:val="21"/>
                <w:szCs w:val="21"/>
              </w:rPr>
              <w:t>2019.3.25</w:t>
            </w:r>
          </w:p>
        </w:tc>
        <w:tc>
          <w:tcPr>
            <w:tcW w:w="850" w:type="dxa"/>
            <w:vAlign w:val="center"/>
          </w:tcPr>
          <w:p>
            <w:pPr>
              <w:jc w:val="center"/>
              <w:rPr>
                <w:rFonts w:eastAsiaTheme="minorEastAsia"/>
                <w:color w:val="auto"/>
                <w:sz w:val="21"/>
                <w:szCs w:val="21"/>
              </w:rPr>
            </w:pPr>
            <w:r>
              <w:rPr>
                <w:rFonts w:eastAsiaTheme="minorEastAsia"/>
                <w:color w:val="auto"/>
                <w:sz w:val="21"/>
                <w:szCs w:val="21"/>
              </w:rPr>
              <w:t>0.01</w:t>
            </w:r>
          </w:p>
        </w:tc>
        <w:tc>
          <w:tcPr>
            <w:tcW w:w="1134" w:type="dxa"/>
            <w:vAlign w:val="center"/>
          </w:tcPr>
          <w:p>
            <w:pPr>
              <w:jc w:val="center"/>
              <w:rPr>
                <w:rFonts w:eastAsiaTheme="minorEastAsia"/>
                <w:color w:val="auto"/>
                <w:sz w:val="21"/>
                <w:szCs w:val="21"/>
              </w:rPr>
            </w:pPr>
            <w:r>
              <w:rPr>
                <w:rFonts w:eastAsiaTheme="minorEastAsia"/>
                <w:color w:val="auto"/>
                <w:sz w:val="21"/>
                <w:szCs w:val="21"/>
              </w:rPr>
              <w:t>2.8</w:t>
            </w:r>
          </w:p>
        </w:tc>
        <w:tc>
          <w:tcPr>
            <w:tcW w:w="851" w:type="dxa"/>
            <w:vAlign w:val="center"/>
          </w:tcPr>
          <w:p>
            <w:pPr>
              <w:jc w:val="center"/>
              <w:rPr>
                <w:rFonts w:eastAsiaTheme="minorEastAsia"/>
                <w:color w:val="auto"/>
                <w:sz w:val="21"/>
                <w:szCs w:val="21"/>
              </w:rPr>
            </w:pPr>
            <w:r>
              <w:rPr>
                <w:rFonts w:eastAsiaTheme="minorEastAsia"/>
                <w:color w:val="auto"/>
                <w:sz w:val="21"/>
                <w:szCs w:val="21"/>
              </w:rPr>
              <w:t>1.61</w:t>
            </w:r>
          </w:p>
        </w:tc>
        <w:tc>
          <w:tcPr>
            <w:tcW w:w="850" w:type="dxa"/>
            <w:vAlign w:val="center"/>
          </w:tcPr>
          <w:p>
            <w:pPr>
              <w:jc w:val="center"/>
              <w:rPr>
                <w:rFonts w:eastAsiaTheme="minorEastAsia"/>
                <w:color w:val="auto"/>
                <w:sz w:val="21"/>
                <w:szCs w:val="21"/>
              </w:rPr>
            </w:pPr>
            <w:r>
              <w:rPr>
                <w:rFonts w:eastAsiaTheme="minorEastAsia"/>
                <w:color w:val="auto"/>
                <w:sz w:val="21"/>
                <w:szCs w:val="21"/>
              </w:rPr>
              <w:t>14</w:t>
            </w:r>
          </w:p>
        </w:tc>
        <w:tc>
          <w:tcPr>
            <w:tcW w:w="851" w:type="dxa"/>
            <w:vAlign w:val="center"/>
          </w:tcPr>
          <w:p>
            <w:pPr>
              <w:jc w:val="center"/>
              <w:rPr>
                <w:rFonts w:eastAsiaTheme="minorEastAsia"/>
                <w:color w:val="auto"/>
                <w:sz w:val="21"/>
                <w:szCs w:val="21"/>
              </w:rPr>
            </w:pPr>
            <w:r>
              <w:rPr>
                <w:rFonts w:eastAsiaTheme="minorEastAsia"/>
                <w:color w:val="auto"/>
                <w:sz w:val="21"/>
                <w:szCs w:val="21"/>
              </w:rPr>
              <w:t>2</w:t>
            </w:r>
          </w:p>
        </w:tc>
        <w:tc>
          <w:tcPr>
            <w:tcW w:w="952" w:type="dxa"/>
            <w:vAlign w:val="center"/>
          </w:tcPr>
          <w:p>
            <w:pPr>
              <w:jc w:val="center"/>
              <w:rPr>
                <w:rFonts w:eastAsiaTheme="minorEastAsia"/>
                <w:color w:val="auto"/>
                <w:sz w:val="21"/>
                <w:szCs w:val="21"/>
              </w:rPr>
            </w:pPr>
            <w:r>
              <w:rPr>
                <w:rFonts w:eastAsiaTheme="minorEastAsia"/>
                <w:color w:val="auto"/>
                <w:sz w:val="21"/>
                <w:szCs w:val="21"/>
              </w:rPr>
              <w:t>3.3*10</w:t>
            </w:r>
            <w:r>
              <w:rPr>
                <w:rFonts w:eastAsiaTheme="minorEastAsia"/>
                <w:color w:val="auto"/>
                <w:sz w:val="21"/>
                <w:szCs w:val="21"/>
                <w:vertAlign w:val="superscript"/>
              </w:rPr>
              <w:t>3</w:t>
            </w:r>
          </w:p>
        </w:tc>
        <w:tc>
          <w:tcPr>
            <w:tcW w:w="925" w:type="dxa"/>
            <w:vAlign w:val="center"/>
          </w:tcPr>
          <w:p>
            <w:pPr>
              <w:jc w:val="center"/>
              <w:rPr>
                <w:rFonts w:eastAsiaTheme="minorEastAsia"/>
                <w:color w:val="auto"/>
                <w:sz w:val="21"/>
                <w:szCs w:val="21"/>
              </w:rPr>
            </w:pPr>
            <w:r>
              <w:rPr>
                <w:rFonts w:eastAsiaTheme="minorEastAsia"/>
                <w:color w:val="auto"/>
                <w:sz w:val="21"/>
                <w:szCs w:val="21"/>
              </w:rPr>
              <w:t>＜0.00004</w:t>
            </w:r>
          </w:p>
        </w:tc>
        <w:tc>
          <w:tcPr>
            <w:tcW w:w="925" w:type="dxa"/>
            <w:vAlign w:val="center"/>
          </w:tcPr>
          <w:p>
            <w:pPr>
              <w:jc w:val="center"/>
              <w:rPr>
                <w:rFonts w:eastAsiaTheme="minorEastAsia"/>
                <w:color w:val="auto"/>
                <w:sz w:val="21"/>
                <w:szCs w:val="21"/>
              </w:rPr>
            </w:pPr>
            <w:r>
              <w:rPr>
                <w:rFonts w:eastAsiaTheme="minorEastAsia"/>
                <w:color w:val="auto"/>
                <w:sz w:val="21"/>
                <w:szCs w:val="21"/>
              </w:rPr>
              <w:t>0.0010</w:t>
            </w:r>
          </w:p>
        </w:tc>
        <w:tc>
          <w:tcPr>
            <w:tcW w:w="885" w:type="dxa"/>
            <w:vAlign w:val="center"/>
          </w:tcPr>
          <w:p>
            <w:pPr>
              <w:jc w:val="center"/>
              <w:rPr>
                <w:rFonts w:eastAsiaTheme="minorEastAsia"/>
                <w:color w:val="auto"/>
                <w:sz w:val="21"/>
                <w:szCs w:val="21"/>
              </w:rPr>
            </w:pPr>
            <w:r>
              <w:rPr>
                <w:rFonts w:eastAsiaTheme="minorEastAsia"/>
                <w:color w:val="auto"/>
                <w:sz w:val="21"/>
                <w:szCs w:val="21"/>
              </w:rPr>
              <w:t>84.0</w:t>
            </w:r>
          </w:p>
        </w:tc>
        <w:tc>
          <w:tcPr>
            <w:tcW w:w="885" w:type="dxa"/>
            <w:vAlign w:val="center"/>
          </w:tcPr>
          <w:p>
            <w:pPr>
              <w:jc w:val="center"/>
              <w:rPr>
                <w:rFonts w:eastAsiaTheme="minorEastAsia"/>
                <w:color w:val="auto"/>
                <w:sz w:val="21"/>
                <w:szCs w:val="21"/>
              </w:rPr>
            </w:pPr>
            <w:r>
              <w:rPr>
                <w:rFonts w:eastAsiaTheme="minorEastAsia"/>
                <w:color w:val="auto"/>
                <w:sz w:val="21"/>
                <w:szCs w:val="21"/>
              </w:rPr>
              <w:t>79.1</w:t>
            </w:r>
          </w:p>
        </w:tc>
        <w:tc>
          <w:tcPr>
            <w:tcW w:w="885" w:type="dxa"/>
            <w:vAlign w:val="center"/>
          </w:tcPr>
          <w:p>
            <w:pPr>
              <w:jc w:val="center"/>
              <w:rPr>
                <w:rFonts w:eastAsiaTheme="minorEastAsia"/>
                <w:color w:val="auto"/>
                <w:sz w:val="21"/>
                <w:szCs w:val="21"/>
              </w:rPr>
            </w:pPr>
            <w:r>
              <w:rPr>
                <w:rFonts w:eastAsiaTheme="minorEastAsia"/>
                <w:color w:val="auto"/>
                <w:sz w:val="21"/>
                <w:szCs w:val="21"/>
              </w:rPr>
              <w:t>6.65</w:t>
            </w:r>
          </w:p>
        </w:tc>
        <w:tc>
          <w:tcPr>
            <w:tcW w:w="885" w:type="dxa"/>
            <w:vAlign w:val="center"/>
          </w:tcPr>
          <w:p>
            <w:pPr>
              <w:jc w:val="center"/>
              <w:rPr>
                <w:rFonts w:eastAsiaTheme="minorEastAsia"/>
                <w:color w:val="auto"/>
                <w:sz w:val="21"/>
                <w:szCs w:val="21"/>
              </w:rPr>
            </w:pPr>
            <w:r>
              <w:rPr>
                <w:rFonts w:eastAsiaTheme="minorEastAsia"/>
                <w:color w:val="auto"/>
                <w:sz w:val="21"/>
                <w:szCs w:val="21"/>
              </w:rPr>
              <w:t>10.1</w:t>
            </w:r>
          </w:p>
        </w:tc>
        <w:tc>
          <w:tcPr>
            <w:tcW w:w="885" w:type="dxa"/>
            <w:vAlign w:val="center"/>
          </w:tcPr>
          <w:p>
            <w:pPr>
              <w:jc w:val="center"/>
              <w:rPr>
                <w:rFonts w:eastAsiaTheme="minorEastAsia"/>
                <w:color w:val="auto"/>
                <w:sz w:val="21"/>
                <w:szCs w:val="21"/>
              </w:rPr>
            </w:pPr>
            <w:r>
              <w:rPr>
                <w:rFonts w:eastAsiaTheme="minorEastAsia"/>
                <w:color w:val="auto"/>
                <w:sz w:val="21"/>
                <w:szCs w:val="21"/>
              </w:rPr>
              <w:t>0.11</w:t>
            </w:r>
          </w:p>
        </w:tc>
        <w:tc>
          <w:tcPr>
            <w:tcW w:w="885" w:type="dxa"/>
            <w:vAlign w:val="center"/>
          </w:tcPr>
          <w:p>
            <w:pPr>
              <w:jc w:val="center"/>
              <w:rPr>
                <w:rFonts w:eastAsiaTheme="minorEastAsia"/>
                <w:color w:val="auto"/>
                <w:sz w:val="21"/>
                <w:szCs w:val="21"/>
              </w:rPr>
            </w:pPr>
            <w:r>
              <w:rPr>
                <w:rFonts w:eastAsiaTheme="minorEastAsia"/>
                <w:color w:val="auto"/>
                <w:sz w:val="21"/>
                <w:szCs w:val="21"/>
              </w:rPr>
              <w:t>0.84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387" w:type="dxa"/>
            <w:vMerge w:val="continue"/>
            <w:vAlign w:val="center"/>
          </w:tcPr>
          <w:p>
            <w:pPr>
              <w:jc w:val="center"/>
              <w:rPr>
                <w:rFonts w:eastAsiaTheme="minorEastAsia"/>
                <w:color w:val="auto"/>
                <w:sz w:val="21"/>
                <w:szCs w:val="21"/>
              </w:rPr>
            </w:pPr>
          </w:p>
        </w:tc>
        <w:tc>
          <w:tcPr>
            <w:tcW w:w="676" w:type="dxa"/>
            <w:vAlign w:val="center"/>
          </w:tcPr>
          <w:p>
            <w:pPr>
              <w:jc w:val="center"/>
              <w:rPr>
                <w:rFonts w:eastAsiaTheme="minorEastAsia"/>
                <w:color w:val="auto"/>
                <w:sz w:val="21"/>
                <w:szCs w:val="21"/>
              </w:rPr>
            </w:pPr>
            <w:r>
              <w:rPr>
                <w:rFonts w:eastAsiaTheme="minorEastAsia"/>
                <w:color w:val="auto"/>
                <w:sz w:val="21"/>
                <w:szCs w:val="21"/>
              </w:rPr>
              <w:t>2019.3.26</w:t>
            </w:r>
          </w:p>
        </w:tc>
        <w:tc>
          <w:tcPr>
            <w:tcW w:w="850" w:type="dxa"/>
            <w:vAlign w:val="center"/>
          </w:tcPr>
          <w:p>
            <w:pPr>
              <w:jc w:val="center"/>
              <w:rPr>
                <w:rFonts w:eastAsiaTheme="minorEastAsia"/>
                <w:color w:val="auto"/>
                <w:sz w:val="21"/>
                <w:szCs w:val="21"/>
              </w:rPr>
            </w:pPr>
            <w:r>
              <w:rPr>
                <w:rFonts w:eastAsiaTheme="minorEastAsia"/>
                <w:color w:val="auto"/>
                <w:sz w:val="21"/>
                <w:szCs w:val="21"/>
              </w:rPr>
              <w:t>0.01</w:t>
            </w:r>
          </w:p>
        </w:tc>
        <w:tc>
          <w:tcPr>
            <w:tcW w:w="1134" w:type="dxa"/>
            <w:vAlign w:val="center"/>
          </w:tcPr>
          <w:p>
            <w:pPr>
              <w:jc w:val="center"/>
              <w:rPr>
                <w:rFonts w:eastAsiaTheme="minorEastAsia"/>
                <w:color w:val="auto"/>
                <w:sz w:val="21"/>
                <w:szCs w:val="21"/>
              </w:rPr>
            </w:pPr>
            <w:r>
              <w:rPr>
                <w:rFonts w:eastAsiaTheme="minorEastAsia"/>
                <w:color w:val="auto"/>
                <w:sz w:val="21"/>
                <w:szCs w:val="21"/>
              </w:rPr>
              <w:t>2.9</w:t>
            </w:r>
          </w:p>
        </w:tc>
        <w:tc>
          <w:tcPr>
            <w:tcW w:w="851" w:type="dxa"/>
            <w:vAlign w:val="center"/>
          </w:tcPr>
          <w:p>
            <w:pPr>
              <w:jc w:val="center"/>
              <w:rPr>
                <w:rFonts w:eastAsiaTheme="minorEastAsia"/>
                <w:color w:val="auto"/>
                <w:sz w:val="21"/>
                <w:szCs w:val="21"/>
              </w:rPr>
            </w:pPr>
            <w:r>
              <w:rPr>
                <w:rFonts w:eastAsiaTheme="minorEastAsia"/>
                <w:color w:val="auto"/>
                <w:sz w:val="21"/>
                <w:szCs w:val="21"/>
              </w:rPr>
              <w:t>1.73</w:t>
            </w:r>
          </w:p>
        </w:tc>
        <w:tc>
          <w:tcPr>
            <w:tcW w:w="850" w:type="dxa"/>
            <w:vAlign w:val="center"/>
          </w:tcPr>
          <w:p>
            <w:pPr>
              <w:jc w:val="center"/>
              <w:rPr>
                <w:rFonts w:eastAsiaTheme="minorEastAsia"/>
                <w:color w:val="auto"/>
                <w:sz w:val="21"/>
                <w:szCs w:val="21"/>
              </w:rPr>
            </w:pPr>
            <w:r>
              <w:rPr>
                <w:rFonts w:eastAsiaTheme="minorEastAsia"/>
                <w:color w:val="auto"/>
                <w:sz w:val="21"/>
                <w:szCs w:val="21"/>
              </w:rPr>
              <w:t>16</w:t>
            </w:r>
          </w:p>
        </w:tc>
        <w:tc>
          <w:tcPr>
            <w:tcW w:w="851" w:type="dxa"/>
            <w:vAlign w:val="center"/>
          </w:tcPr>
          <w:p>
            <w:pPr>
              <w:jc w:val="center"/>
              <w:rPr>
                <w:rFonts w:eastAsiaTheme="minorEastAsia"/>
                <w:color w:val="auto"/>
                <w:sz w:val="21"/>
                <w:szCs w:val="21"/>
              </w:rPr>
            </w:pPr>
            <w:r>
              <w:rPr>
                <w:rFonts w:eastAsiaTheme="minorEastAsia"/>
                <w:color w:val="auto"/>
                <w:sz w:val="21"/>
                <w:szCs w:val="21"/>
              </w:rPr>
              <w:t>2</w:t>
            </w:r>
          </w:p>
        </w:tc>
        <w:tc>
          <w:tcPr>
            <w:tcW w:w="952" w:type="dxa"/>
            <w:vAlign w:val="center"/>
          </w:tcPr>
          <w:p>
            <w:pPr>
              <w:jc w:val="center"/>
              <w:rPr>
                <w:rFonts w:eastAsiaTheme="minorEastAsia"/>
                <w:color w:val="auto"/>
                <w:sz w:val="21"/>
                <w:szCs w:val="21"/>
              </w:rPr>
            </w:pPr>
            <w:r>
              <w:rPr>
                <w:rFonts w:eastAsiaTheme="minorEastAsia"/>
                <w:color w:val="auto"/>
                <w:sz w:val="21"/>
                <w:szCs w:val="21"/>
              </w:rPr>
              <w:t>2.3*10</w:t>
            </w:r>
            <w:r>
              <w:rPr>
                <w:rFonts w:eastAsiaTheme="minorEastAsia"/>
                <w:color w:val="auto"/>
                <w:sz w:val="21"/>
                <w:szCs w:val="21"/>
                <w:vertAlign w:val="superscript"/>
              </w:rPr>
              <w:t>3</w:t>
            </w:r>
          </w:p>
        </w:tc>
        <w:tc>
          <w:tcPr>
            <w:tcW w:w="925" w:type="dxa"/>
            <w:vAlign w:val="center"/>
          </w:tcPr>
          <w:p>
            <w:pPr>
              <w:jc w:val="center"/>
              <w:rPr>
                <w:rFonts w:eastAsiaTheme="minorEastAsia"/>
                <w:color w:val="auto"/>
                <w:sz w:val="21"/>
                <w:szCs w:val="21"/>
              </w:rPr>
            </w:pPr>
            <w:r>
              <w:rPr>
                <w:rFonts w:eastAsiaTheme="minorEastAsia"/>
                <w:color w:val="auto"/>
                <w:sz w:val="21"/>
                <w:szCs w:val="21"/>
              </w:rPr>
              <w:t>＜0.00004</w:t>
            </w:r>
          </w:p>
        </w:tc>
        <w:tc>
          <w:tcPr>
            <w:tcW w:w="925" w:type="dxa"/>
            <w:vAlign w:val="center"/>
          </w:tcPr>
          <w:p>
            <w:pPr>
              <w:jc w:val="center"/>
              <w:rPr>
                <w:rFonts w:eastAsiaTheme="minorEastAsia"/>
                <w:color w:val="auto"/>
                <w:sz w:val="21"/>
                <w:szCs w:val="21"/>
              </w:rPr>
            </w:pPr>
            <w:r>
              <w:rPr>
                <w:rFonts w:eastAsiaTheme="minorEastAsia"/>
                <w:color w:val="auto"/>
                <w:sz w:val="21"/>
                <w:szCs w:val="21"/>
              </w:rPr>
              <w:t>0.0004</w:t>
            </w:r>
          </w:p>
        </w:tc>
        <w:tc>
          <w:tcPr>
            <w:tcW w:w="885" w:type="dxa"/>
            <w:vAlign w:val="center"/>
          </w:tcPr>
          <w:p>
            <w:pPr>
              <w:jc w:val="center"/>
              <w:rPr>
                <w:rFonts w:eastAsiaTheme="minorEastAsia"/>
                <w:color w:val="auto"/>
                <w:sz w:val="21"/>
                <w:szCs w:val="21"/>
              </w:rPr>
            </w:pPr>
            <w:r>
              <w:rPr>
                <w:rFonts w:eastAsiaTheme="minorEastAsia"/>
                <w:color w:val="auto"/>
                <w:sz w:val="21"/>
                <w:szCs w:val="21"/>
              </w:rPr>
              <w:t>83.6</w:t>
            </w:r>
          </w:p>
        </w:tc>
        <w:tc>
          <w:tcPr>
            <w:tcW w:w="885" w:type="dxa"/>
            <w:vAlign w:val="center"/>
          </w:tcPr>
          <w:p>
            <w:pPr>
              <w:jc w:val="center"/>
              <w:rPr>
                <w:rFonts w:eastAsiaTheme="minorEastAsia"/>
                <w:color w:val="auto"/>
                <w:sz w:val="21"/>
                <w:szCs w:val="21"/>
              </w:rPr>
            </w:pPr>
            <w:r>
              <w:rPr>
                <w:rFonts w:eastAsiaTheme="minorEastAsia"/>
                <w:color w:val="auto"/>
                <w:sz w:val="21"/>
                <w:szCs w:val="21"/>
              </w:rPr>
              <w:t>75.3</w:t>
            </w:r>
          </w:p>
        </w:tc>
        <w:tc>
          <w:tcPr>
            <w:tcW w:w="885" w:type="dxa"/>
            <w:vAlign w:val="center"/>
          </w:tcPr>
          <w:p>
            <w:pPr>
              <w:jc w:val="center"/>
              <w:rPr>
                <w:rFonts w:eastAsiaTheme="minorEastAsia"/>
                <w:color w:val="auto"/>
                <w:sz w:val="21"/>
                <w:szCs w:val="21"/>
              </w:rPr>
            </w:pPr>
            <w:r>
              <w:rPr>
                <w:rFonts w:eastAsiaTheme="minorEastAsia"/>
                <w:color w:val="auto"/>
                <w:sz w:val="21"/>
                <w:szCs w:val="21"/>
              </w:rPr>
              <w:t>6.69</w:t>
            </w:r>
          </w:p>
        </w:tc>
        <w:tc>
          <w:tcPr>
            <w:tcW w:w="885" w:type="dxa"/>
            <w:vAlign w:val="center"/>
          </w:tcPr>
          <w:p>
            <w:pPr>
              <w:jc w:val="center"/>
              <w:rPr>
                <w:rFonts w:eastAsiaTheme="minorEastAsia"/>
                <w:color w:val="auto"/>
                <w:sz w:val="21"/>
                <w:szCs w:val="21"/>
              </w:rPr>
            </w:pPr>
            <w:r>
              <w:rPr>
                <w:rFonts w:eastAsiaTheme="minorEastAsia"/>
                <w:color w:val="auto"/>
                <w:sz w:val="21"/>
                <w:szCs w:val="21"/>
              </w:rPr>
              <w:t>10.2</w:t>
            </w:r>
          </w:p>
        </w:tc>
        <w:tc>
          <w:tcPr>
            <w:tcW w:w="885" w:type="dxa"/>
            <w:vAlign w:val="center"/>
          </w:tcPr>
          <w:p>
            <w:pPr>
              <w:jc w:val="center"/>
              <w:rPr>
                <w:rFonts w:eastAsiaTheme="minorEastAsia"/>
                <w:color w:val="auto"/>
                <w:sz w:val="21"/>
                <w:szCs w:val="21"/>
              </w:rPr>
            </w:pPr>
            <w:r>
              <w:rPr>
                <w:rFonts w:eastAsiaTheme="minorEastAsia"/>
                <w:color w:val="auto"/>
                <w:sz w:val="21"/>
                <w:szCs w:val="21"/>
              </w:rPr>
              <w:t>0.10</w:t>
            </w:r>
          </w:p>
        </w:tc>
        <w:tc>
          <w:tcPr>
            <w:tcW w:w="885" w:type="dxa"/>
            <w:vAlign w:val="center"/>
          </w:tcPr>
          <w:p>
            <w:pPr>
              <w:jc w:val="center"/>
              <w:rPr>
                <w:rFonts w:eastAsiaTheme="minorEastAsia"/>
                <w:color w:val="auto"/>
                <w:sz w:val="21"/>
                <w:szCs w:val="21"/>
              </w:rPr>
            </w:pPr>
            <w:r>
              <w:rPr>
                <w:rFonts w:eastAsiaTheme="minorEastAsia"/>
                <w:color w:val="auto"/>
                <w:sz w:val="21"/>
                <w:szCs w:val="21"/>
              </w:rPr>
              <w:t>0.87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387" w:type="dxa"/>
            <w:vMerge w:val="continue"/>
            <w:vAlign w:val="center"/>
          </w:tcPr>
          <w:p>
            <w:pPr>
              <w:jc w:val="center"/>
              <w:rPr>
                <w:rFonts w:eastAsiaTheme="minorEastAsia"/>
                <w:color w:val="auto"/>
                <w:sz w:val="21"/>
                <w:szCs w:val="21"/>
              </w:rPr>
            </w:pPr>
          </w:p>
        </w:tc>
        <w:tc>
          <w:tcPr>
            <w:tcW w:w="676" w:type="dxa"/>
            <w:vAlign w:val="center"/>
          </w:tcPr>
          <w:p>
            <w:pPr>
              <w:jc w:val="center"/>
              <w:rPr>
                <w:rFonts w:eastAsiaTheme="minorEastAsia"/>
                <w:color w:val="auto"/>
                <w:sz w:val="21"/>
                <w:szCs w:val="21"/>
              </w:rPr>
            </w:pPr>
            <w:r>
              <w:rPr>
                <w:rFonts w:eastAsiaTheme="minorEastAsia"/>
                <w:color w:val="auto"/>
                <w:sz w:val="21"/>
                <w:szCs w:val="21"/>
              </w:rPr>
              <w:t>2019.3.27</w:t>
            </w:r>
          </w:p>
        </w:tc>
        <w:tc>
          <w:tcPr>
            <w:tcW w:w="850" w:type="dxa"/>
            <w:vAlign w:val="center"/>
          </w:tcPr>
          <w:p>
            <w:pPr>
              <w:jc w:val="center"/>
              <w:rPr>
                <w:rFonts w:eastAsiaTheme="minorEastAsia"/>
                <w:color w:val="auto"/>
                <w:sz w:val="21"/>
                <w:szCs w:val="21"/>
              </w:rPr>
            </w:pPr>
            <w:r>
              <w:rPr>
                <w:rFonts w:eastAsiaTheme="minorEastAsia"/>
                <w:color w:val="auto"/>
                <w:sz w:val="21"/>
                <w:szCs w:val="21"/>
              </w:rPr>
              <w:t>0.01</w:t>
            </w:r>
          </w:p>
        </w:tc>
        <w:tc>
          <w:tcPr>
            <w:tcW w:w="1134" w:type="dxa"/>
            <w:vAlign w:val="center"/>
          </w:tcPr>
          <w:p>
            <w:pPr>
              <w:jc w:val="center"/>
              <w:rPr>
                <w:rFonts w:eastAsiaTheme="minorEastAsia"/>
                <w:color w:val="auto"/>
                <w:sz w:val="21"/>
                <w:szCs w:val="21"/>
              </w:rPr>
            </w:pPr>
            <w:r>
              <w:rPr>
                <w:rFonts w:eastAsiaTheme="minorEastAsia"/>
                <w:color w:val="auto"/>
                <w:sz w:val="21"/>
                <w:szCs w:val="21"/>
              </w:rPr>
              <w:t>2.5</w:t>
            </w:r>
          </w:p>
        </w:tc>
        <w:tc>
          <w:tcPr>
            <w:tcW w:w="851" w:type="dxa"/>
            <w:vAlign w:val="center"/>
          </w:tcPr>
          <w:p>
            <w:pPr>
              <w:jc w:val="center"/>
              <w:rPr>
                <w:rFonts w:eastAsiaTheme="minorEastAsia"/>
                <w:color w:val="auto"/>
                <w:sz w:val="21"/>
                <w:szCs w:val="21"/>
              </w:rPr>
            </w:pPr>
            <w:r>
              <w:rPr>
                <w:rFonts w:eastAsiaTheme="minorEastAsia"/>
                <w:color w:val="auto"/>
                <w:sz w:val="21"/>
                <w:szCs w:val="21"/>
              </w:rPr>
              <w:t>1.73</w:t>
            </w:r>
          </w:p>
        </w:tc>
        <w:tc>
          <w:tcPr>
            <w:tcW w:w="850" w:type="dxa"/>
            <w:vAlign w:val="center"/>
          </w:tcPr>
          <w:p>
            <w:pPr>
              <w:jc w:val="center"/>
              <w:rPr>
                <w:rFonts w:eastAsiaTheme="minorEastAsia"/>
                <w:color w:val="auto"/>
                <w:sz w:val="21"/>
                <w:szCs w:val="21"/>
              </w:rPr>
            </w:pPr>
            <w:r>
              <w:rPr>
                <w:rFonts w:eastAsiaTheme="minorEastAsia"/>
                <w:color w:val="auto"/>
                <w:sz w:val="21"/>
                <w:szCs w:val="21"/>
              </w:rPr>
              <w:t>18</w:t>
            </w:r>
          </w:p>
        </w:tc>
        <w:tc>
          <w:tcPr>
            <w:tcW w:w="851" w:type="dxa"/>
            <w:vAlign w:val="center"/>
          </w:tcPr>
          <w:p>
            <w:pPr>
              <w:jc w:val="center"/>
              <w:rPr>
                <w:rFonts w:eastAsiaTheme="minorEastAsia"/>
                <w:color w:val="auto"/>
                <w:sz w:val="21"/>
                <w:szCs w:val="21"/>
              </w:rPr>
            </w:pPr>
            <w:r>
              <w:rPr>
                <w:rFonts w:eastAsiaTheme="minorEastAsia"/>
                <w:color w:val="auto"/>
                <w:sz w:val="21"/>
                <w:szCs w:val="21"/>
              </w:rPr>
              <w:t>2</w:t>
            </w:r>
          </w:p>
        </w:tc>
        <w:tc>
          <w:tcPr>
            <w:tcW w:w="952" w:type="dxa"/>
            <w:vAlign w:val="center"/>
          </w:tcPr>
          <w:p>
            <w:pPr>
              <w:jc w:val="center"/>
              <w:rPr>
                <w:rFonts w:eastAsiaTheme="minorEastAsia"/>
                <w:color w:val="auto"/>
                <w:sz w:val="21"/>
                <w:szCs w:val="21"/>
              </w:rPr>
            </w:pPr>
            <w:r>
              <w:rPr>
                <w:rFonts w:eastAsiaTheme="minorEastAsia"/>
                <w:color w:val="auto"/>
                <w:sz w:val="21"/>
                <w:szCs w:val="21"/>
              </w:rPr>
              <w:t>2.5*10</w:t>
            </w:r>
            <w:r>
              <w:rPr>
                <w:rFonts w:eastAsiaTheme="minorEastAsia"/>
                <w:color w:val="auto"/>
                <w:sz w:val="21"/>
                <w:szCs w:val="21"/>
                <w:vertAlign w:val="superscript"/>
              </w:rPr>
              <w:t>3</w:t>
            </w:r>
          </w:p>
        </w:tc>
        <w:tc>
          <w:tcPr>
            <w:tcW w:w="925" w:type="dxa"/>
            <w:vAlign w:val="center"/>
          </w:tcPr>
          <w:p>
            <w:pPr>
              <w:jc w:val="center"/>
              <w:rPr>
                <w:rFonts w:eastAsiaTheme="minorEastAsia"/>
                <w:color w:val="auto"/>
                <w:sz w:val="21"/>
                <w:szCs w:val="21"/>
              </w:rPr>
            </w:pPr>
            <w:r>
              <w:rPr>
                <w:rFonts w:eastAsiaTheme="minorEastAsia"/>
                <w:color w:val="auto"/>
                <w:sz w:val="21"/>
                <w:szCs w:val="21"/>
              </w:rPr>
              <w:t>＜0.00004</w:t>
            </w:r>
          </w:p>
        </w:tc>
        <w:tc>
          <w:tcPr>
            <w:tcW w:w="925" w:type="dxa"/>
            <w:vAlign w:val="center"/>
          </w:tcPr>
          <w:p>
            <w:pPr>
              <w:jc w:val="center"/>
              <w:rPr>
                <w:rFonts w:eastAsiaTheme="minorEastAsia"/>
                <w:color w:val="auto"/>
                <w:sz w:val="21"/>
                <w:szCs w:val="21"/>
              </w:rPr>
            </w:pPr>
            <w:r>
              <w:rPr>
                <w:rFonts w:eastAsiaTheme="minorEastAsia"/>
                <w:color w:val="auto"/>
                <w:sz w:val="21"/>
                <w:szCs w:val="21"/>
              </w:rPr>
              <w:t>0.0004</w:t>
            </w:r>
          </w:p>
        </w:tc>
        <w:tc>
          <w:tcPr>
            <w:tcW w:w="885" w:type="dxa"/>
            <w:vAlign w:val="center"/>
          </w:tcPr>
          <w:p>
            <w:pPr>
              <w:jc w:val="center"/>
              <w:rPr>
                <w:rFonts w:eastAsiaTheme="minorEastAsia"/>
                <w:color w:val="auto"/>
                <w:sz w:val="21"/>
                <w:szCs w:val="21"/>
              </w:rPr>
            </w:pPr>
            <w:r>
              <w:rPr>
                <w:rFonts w:eastAsiaTheme="minorEastAsia"/>
                <w:color w:val="auto"/>
                <w:sz w:val="21"/>
                <w:szCs w:val="21"/>
              </w:rPr>
              <w:t>85.1</w:t>
            </w:r>
          </w:p>
        </w:tc>
        <w:tc>
          <w:tcPr>
            <w:tcW w:w="885" w:type="dxa"/>
            <w:vAlign w:val="center"/>
          </w:tcPr>
          <w:p>
            <w:pPr>
              <w:jc w:val="center"/>
              <w:rPr>
                <w:rFonts w:eastAsiaTheme="minorEastAsia"/>
                <w:color w:val="auto"/>
                <w:sz w:val="21"/>
                <w:szCs w:val="21"/>
              </w:rPr>
            </w:pPr>
            <w:r>
              <w:rPr>
                <w:rFonts w:eastAsiaTheme="minorEastAsia"/>
                <w:color w:val="auto"/>
                <w:sz w:val="21"/>
                <w:szCs w:val="21"/>
              </w:rPr>
              <w:t>80.0</w:t>
            </w:r>
          </w:p>
        </w:tc>
        <w:tc>
          <w:tcPr>
            <w:tcW w:w="885" w:type="dxa"/>
            <w:vAlign w:val="center"/>
          </w:tcPr>
          <w:p>
            <w:pPr>
              <w:jc w:val="center"/>
              <w:rPr>
                <w:rFonts w:eastAsiaTheme="minorEastAsia"/>
                <w:color w:val="auto"/>
                <w:sz w:val="21"/>
                <w:szCs w:val="21"/>
              </w:rPr>
            </w:pPr>
            <w:r>
              <w:rPr>
                <w:rFonts w:eastAsiaTheme="minorEastAsia"/>
                <w:color w:val="auto"/>
                <w:sz w:val="21"/>
                <w:szCs w:val="21"/>
              </w:rPr>
              <w:t>6.65</w:t>
            </w:r>
          </w:p>
        </w:tc>
        <w:tc>
          <w:tcPr>
            <w:tcW w:w="885" w:type="dxa"/>
            <w:vAlign w:val="center"/>
          </w:tcPr>
          <w:p>
            <w:pPr>
              <w:jc w:val="center"/>
              <w:rPr>
                <w:rFonts w:eastAsiaTheme="minorEastAsia"/>
                <w:color w:val="auto"/>
                <w:sz w:val="21"/>
                <w:szCs w:val="21"/>
              </w:rPr>
            </w:pPr>
            <w:r>
              <w:rPr>
                <w:rFonts w:eastAsiaTheme="minorEastAsia"/>
                <w:color w:val="auto"/>
                <w:sz w:val="21"/>
                <w:szCs w:val="21"/>
              </w:rPr>
              <w:t>10.1</w:t>
            </w:r>
          </w:p>
        </w:tc>
        <w:tc>
          <w:tcPr>
            <w:tcW w:w="885" w:type="dxa"/>
            <w:vAlign w:val="center"/>
          </w:tcPr>
          <w:p>
            <w:pPr>
              <w:jc w:val="center"/>
              <w:rPr>
                <w:rFonts w:eastAsiaTheme="minorEastAsia"/>
                <w:color w:val="auto"/>
                <w:sz w:val="21"/>
                <w:szCs w:val="21"/>
              </w:rPr>
            </w:pPr>
            <w:r>
              <w:rPr>
                <w:rFonts w:eastAsiaTheme="minorEastAsia"/>
                <w:color w:val="auto"/>
                <w:sz w:val="21"/>
                <w:szCs w:val="21"/>
              </w:rPr>
              <w:t>0.11</w:t>
            </w:r>
          </w:p>
        </w:tc>
        <w:tc>
          <w:tcPr>
            <w:tcW w:w="885" w:type="dxa"/>
            <w:vAlign w:val="center"/>
          </w:tcPr>
          <w:p>
            <w:pPr>
              <w:jc w:val="center"/>
              <w:rPr>
                <w:rFonts w:eastAsiaTheme="minorEastAsia"/>
                <w:color w:val="auto"/>
                <w:sz w:val="21"/>
                <w:szCs w:val="21"/>
              </w:rPr>
            </w:pPr>
            <w:r>
              <w:rPr>
                <w:rFonts w:eastAsiaTheme="minorEastAsia"/>
                <w:color w:val="auto"/>
                <w:sz w:val="21"/>
                <w:szCs w:val="21"/>
              </w:rPr>
              <w:t>0.86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超标率</w:t>
            </w:r>
            <w:r>
              <w:rPr>
                <w:rFonts w:hint="eastAsia" w:eastAsiaTheme="minorEastAsia"/>
                <w:color w:val="auto"/>
                <w:sz w:val="21"/>
                <w:szCs w:val="21"/>
                <w:lang w:eastAsia="zh-CN"/>
              </w:rPr>
              <w:t>（</w:t>
            </w:r>
            <w:r>
              <w:rPr>
                <w:rFonts w:hint="eastAsia" w:eastAsiaTheme="minorEastAsia"/>
                <w:color w:val="auto"/>
                <w:sz w:val="21"/>
                <w:szCs w:val="21"/>
                <w:lang w:val="en-US" w:eastAsia="zh-CN"/>
              </w:rPr>
              <w:t>%</w:t>
            </w:r>
            <w:r>
              <w:rPr>
                <w:rFonts w:hint="eastAsia" w:eastAsiaTheme="minorEastAsia"/>
                <w:color w:val="auto"/>
                <w:sz w:val="21"/>
                <w:szCs w:val="21"/>
                <w:lang w:eastAsia="zh-CN"/>
              </w:rPr>
              <w:t>）</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1134"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最大超标倍数</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1134"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最大单因子指数</w:t>
            </w:r>
          </w:p>
        </w:tc>
        <w:tc>
          <w:tcPr>
            <w:tcW w:w="850" w:type="dxa"/>
            <w:vAlign w:val="center"/>
          </w:tcPr>
          <w:p>
            <w:pPr>
              <w:jc w:val="center"/>
              <w:rPr>
                <w:rFonts w:eastAsiaTheme="minorEastAsia"/>
                <w:color w:val="auto"/>
                <w:sz w:val="21"/>
                <w:szCs w:val="21"/>
              </w:rPr>
            </w:pPr>
            <w:r>
              <w:rPr>
                <w:rFonts w:eastAsiaTheme="minorEastAsia"/>
                <w:color w:val="auto"/>
                <w:sz w:val="21"/>
                <w:szCs w:val="21"/>
              </w:rPr>
              <w:t>0.20</w:t>
            </w:r>
          </w:p>
        </w:tc>
        <w:tc>
          <w:tcPr>
            <w:tcW w:w="1134" w:type="dxa"/>
            <w:vAlign w:val="center"/>
          </w:tcPr>
          <w:p>
            <w:pPr>
              <w:jc w:val="center"/>
              <w:rPr>
                <w:rFonts w:eastAsiaTheme="minorEastAsia"/>
                <w:color w:val="auto"/>
                <w:sz w:val="21"/>
                <w:szCs w:val="21"/>
              </w:rPr>
            </w:pPr>
            <w:r>
              <w:rPr>
                <w:rFonts w:eastAsiaTheme="minorEastAsia"/>
                <w:color w:val="auto"/>
                <w:sz w:val="21"/>
                <w:szCs w:val="21"/>
              </w:rPr>
              <w:t>0.73</w:t>
            </w:r>
          </w:p>
        </w:tc>
        <w:tc>
          <w:tcPr>
            <w:tcW w:w="851" w:type="dxa"/>
            <w:vAlign w:val="center"/>
          </w:tcPr>
          <w:p>
            <w:pPr>
              <w:jc w:val="center"/>
              <w:rPr>
                <w:rFonts w:eastAsiaTheme="minorEastAsia"/>
                <w:color w:val="auto"/>
                <w:sz w:val="21"/>
                <w:szCs w:val="21"/>
              </w:rPr>
            </w:pPr>
            <w:r>
              <w:rPr>
                <w:rFonts w:eastAsiaTheme="minorEastAsia"/>
                <w:color w:val="auto"/>
                <w:sz w:val="21"/>
                <w:szCs w:val="21"/>
              </w:rPr>
              <w:t>0.17</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0.33</w:t>
            </w:r>
          </w:p>
        </w:tc>
        <w:tc>
          <w:tcPr>
            <w:tcW w:w="925" w:type="dxa"/>
            <w:vAlign w:val="center"/>
          </w:tcPr>
          <w:p>
            <w:pPr>
              <w:jc w:val="center"/>
              <w:rPr>
                <w:rFonts w:eastAsiaTheme="minorEastAsia"/>
                <w:color w:val="auto"/>
                <w:sz w:val="21"/>
                <w:szCs w:val="21"/>
              </w:rPr>
            </w:pPr>
            <w:r>
              <w:rPr>
                <w:rFonts w:eastAsiaTheme="minorEastAsia"/>
                <w:color w:val="auto"/>
                <w:sz w:val="21"/>
                <w:szCs w:val="21"/>
              </w:rPr>
              <w:t>/</w:t>
            </w:r>
          </w:p>
        </w:tc>
        <w:tc>
          <w:tcPr>
            <w:tcW w:w="925" w:type="dxa"/>
            <w:vAlign w:val="center"/>
          </w:tcPr>
          <w:p>
            <w:pPr>
              <w:jc w:val="center"/>
              <w:rPr>
                <w:rFonts w:eastAsiaTheme="minorEastAsia"/>
                <w:color w:val="auto"/>
                <w:sz w:val="21"/>
                <w:szCs w:val="21"/>
              </w:rPr>
            </w:pPr>
            <w:r>
              <w:rPr>
                <w:rFonts w:eastAsiaTheme="minorEastAsia"/>
                <w:color w:val="auto"/>
                <w:sz w:val="21"/>
                <w:szCs w:val="21"/>
              </w:rPr>
              <w:t>0.02</w:t>
            </w:r>
          </w:p>
        </w:tc>
        <w:tc>
          <w:tcPr>
            <w:tcW w:w="885" w:type="dxa"/>
            <w:vAlign w:val="center"/>
          </w:tcPr>
          <w:p>
            <w:pPr>
              <w:jc w:val="center"/>
              <w:rPr>
                <w:rFonts w:eastAsiaTheme="minorEastAsia"/>
                <w:color w:val="auto"/>
                <w:sz w:val="21"/>
                <w:szCs w:val="21"/>
              </w:rPr>
            </w:pPr>
            <w:r>
              <w:rPr>
                <w:rFonts w:eastAsiaTheme="minorEastAsia"/>
                <w:color w:val="auto"/>
                <w:sz w:val="21"/>
                <w:szCs w:val="21"/>
              </w:rPr>
              <w:t>0.85</w:t>
            </w:r>
          </w:p>
        </w:tc>
        <w:tc>
          <w:tcPr>
            <w:tcW w:w="885" w:type="dxa"/>
            <w:vAlign w:val="center"/>
          </w:tcPr>
          <w:p>
            <w:pPr>
              <w:jc w:val="center"/>
              <w:rPr>
                <w:rFonts w:eastAsiaTheme="minorEastAsia"/>
                <w:color w:val="auto"/>
                <w:sz w:val="21"/>
                <w:szCs w:val="21"/>
              </w:rPr>
            </w:pPr>
            <w:r>
              <w:rPr>
                <w:rFonts w:eastAsiaTheme="minorEastAsia"/>
                <w:color w:val="auto"/>
                <w:sz w:val="21"/>
                <w:szCs w:val="21"/>
              </w:rPr>
              <w:t>0.27</w:t>
            </w:r>
          </w:p>
        </w:tc>
        <w:tc>
          <w:tcPr>
            <w:tcW w:w="885" w:type="dxa"/>
            <w:vAlign w:val="center"/>
          </w:tcPr>
          <w:p>
            <w:pPr>
              <w:jc w:val="center"/>
              <w:rPr>
                <w:rFonts w:eastAsiaTheme="minorEastAsia"/>
                <w:color w:val="auto"/>
                <w:sz w:val="21"/>
                <w:szCs w:val="21"/>
              </w:rPr>
            </w:pPr>
            <w:r>
              <w:rPr>
                <w:rFonts w:eastAsiaTheme="minorEastAsia"/>
                <w:color w:val="auto"/>
                <w:sz w:val="21"/>
                <w:szCs w:val="21"/>
              </w:rPr>
              <w:t>0.01</w:t>
            </w:r>
          </w:p>
        </w:tc>
        <w:tc>
          <w:tcPr>
            <w:tcW w:w="885" w:type="dxa"/>
            <w:vAlign w:val="center"/>
          </w:tcPr>
          <w:p>
            <w:pPr>
              <w:jc w:val="center"/>
              <w:rPr>
                <w:rFonts w:eastAsiaTheme="minorEastAsia"/>
                <w:color w:val="auto"/>
                <w:sz w:val="21"/>
                <w:szCs w:val="21"/>
              </w:rPr>
            </w:pPr>
            <w:r>
              <w:rPr>
                <w:rFonts w:eastAsiaTheme="minorEastAsia"/>
                <w:color w:val="auto"/>
                <w:sz w:val="21"/>
                <w:szCs w:val="21"/>
              </w:rPr>
              <w:t>0.01</w:t>
            </w:r>
          </w:p>
        </w:tc>
        <w:tc>
          <w:tcPr>
            <w:tcW w:w="885" w:type="dxa"/>
            <w:vAlign w:val="center"/>
          </w:tcPr>
          <w:p>
            <w:pPr>
              <w:jc w:val="center"/>
              <w:rPr>
                <w:rFonts w:eastAsiaTheme="minorEastAsia"/>
                <w:color w:val="auto"/>
                <w:sz w:val="21"/>
                <w:szCs w:val="21"/>
              </w:rPr>
            </w:pPr>
            <w:r>
              <w:rPr>
                <w:rFonts w:eastAsiaTheme="minorEastAsia"/>
                <w:color w:val="auto"/>
                <w:sz w:val="21"/>
                <w:szCs w:val="21"/>
              </w:rPr>
              <w:t>0.02</w:t>
            </w:r>
          </w:p>
        </w:tc>
        <w:tc>
          <w:tcPr>
            <w:tcW w:w="885" w:type="dxa"/>
            <w:vAlign w:val="center"/>
          </w:tcPr>
          <w:p>
            <w:pPr>
              <w:jc w:val="center"/>
              <w:rPr>
                <w:rFonts w:eastAsiaTheme="minorEastAsia"/>
                <w:color w:val="auto"/>
                <w:sz w:val="21"/>
                <w:szCs w:val="21"/>
              </w:rPr>
            </w:pPr>
            <w:r>
              <w:rPr>
                <w:rFonts w:eastAsiaTheme="minorEastAsia"/>
                <w:color w:val="auto"/>
                <w:sz w:val="21"/>
                <w:szCs w:val="21"/>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标准值（mg/L）</w:t>
            </w:r>
          </w:p>
        </w:tc>
        <w:tc>
          <w:tcPr>
            <w:tcW w:w="850" w:type="dxa"/>
            <w:vAlign w:val="center"/>
          </w:tcPr>
          <w:p>
            <w:pPr>
              <w:jc w:val="center"/>
              <w:rPr>
                <w:rFonts w:eastAsiaTheme="minorEastAsia"/>
                <w:color w:val="auto"/>
                <w:sz w:val="21"/>
                <w:szCs w:val="21"/>
              </w:rPr>
            </w:pPr>
            <w:r>
              <w:rPr>
                <w:rFonts w:eastAsiaTheme="minorEastAsia"/>
                <w:color w:val="auto"/>
                <w:sz w:val="21"/>
                <w:szCs w:val="21"/>
              </w:rPr>
              <w:t>≤0.05</w:t>
            </w:r>
          </w:p>
        </w:tc>
        <w:tc>
          <w:tcPr>
            <w:tcW w:w="1134" w:type="dxa"/>
            <w:vAlign w:val="center"/>
          </w:tcPr>
          <w:p>
            <w:pPr>
              <w:jc w:val="center"/>
              <w:rPr>
                <w:rFonts w:eastAsiaTheme="minorEastAsia"/>
                <w:color w:val="auto"/>
                <w:sz w:val="21"/>
                <w:szCs w:val="21"/>
              </w:rPr>
            </w:pPr>
            <w:r>
              <w:rPr>
                <w:rFonts w:eastAsiaTheme="minorEastAsia"/>
                <w:color w:val="auto"/>
                <w:sz w:val="21"/>
                <w:szCs w:val="21"/>
              </w:rPr>
              <w:t>≤4</w:t>
            </w:r>
          </w:p>
        </w:tc>
        <w:tc>
          <w:tcPr>
            <w:tcW w:w="851" w:type="dxa"/>
            <w:vAlign w:val="center"/>
          </w:tcPr>
          <w:p>
            <w:pPr>
              <w:jc w:val="center"/>
              <w:rPr>
                <w:rFonts w:eastAsiaTheme="minorEastAsia"/>
                <w:color w:val="auto"/>
                <w:sz w:val="21"/>
                <w:szCs w:val="21"/>
              </w:rPr>
            </w:pPr>
            <w:r>
              <w:rPr>
                <w:rFonts w:eastAsiaTheme="minorEastAsia"/>
                <w:color w:val="auto"/>
                <w:sz w:val="21"/>
                <w:szCs w:val="21"/>
              </w:rPr>
              <w:t>≤10</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≤10000</w:t>
            </w:r>
          </w:p>
        </w:tc>
        <w:tc>
          <w:tcPr>
            <w:tcW w:w="925" w:type="dxa"/>
            <w:vAlign w:val="center"/>
          </w:tcPr>
          <w:p>
            <w:pPr>
              <w:jc w:val="center"/>
              <w:rPr>
                <w:rFonts w:eastAsiaTheme="minorEastAsia"/>
                <w:color w:val="auto"/>
                <w:sz w:val="21"/>
                <w:szCs w:val="21"/>
              </w:rPr>
            </w:pPr>
            <w:r>
              <w:rPr>
                <w:rFonts w:eastAsiaTheme="minorEastAsia"/>
                <w:color w:val="auto"/>
                <w:sz w:val="21"/>
                <w:szCs w:val="21"/>
              </w:rPr>
              <w:t>≤0.0001</w:t>
            </w:r>
          </w:p>
        </w:tc>
        <w:tc>
          <w:tcPr>
            <w:tcW w:w="925" w:type="dxa"/>
            <w:vAlign w:val="center"/>
          </w:tcPr>
          <w:p>
            <w:pPr>
              <w:jc w:val="center"/>
              <w:rPr>
                <w:rFonts w:eastAsiaTheme="minorEastAsia"/>
                <w:color w:val="auto"/>
                <w:sz w:val="21"/>
                <w:szCs w:val="21"/>
              </w:rPr>
            </w:pPr>
            <w:r>
              <w:rPr>
                <w:rFonts w:eastAsiaTheme="minorEastAsia"/>
                <w:color w:val="auto"/>
                <w:sz w:val="21"/>
                <w:szCs w:val="21"/>
              </w:rPr>
              <w:t>≤0.05</w:t>
            </w:r>
          </w:p>
        </w:tc>
        <w:tc>
          <w:tcPr>
            <w:tcW w:w="885" w:type="dxa"/>
            <w:vAlign w:val="center"/>
          </w:tcPr>
          <w:p>
            <w:pPr>
              <w:jc w:val="center"/>
              <w:rPr>
                <w:rFonts w:eastAsiaTheme="minorEastAsia"/>
                <w:color w:val="auto"/>
                <w:sz w:val="21"/>
                <w:szCs w:val="21"/>
              </w:rPr>
            </w:pPr>
            <w:r>
              <w:rPr>
                <w:rFonts w:eastAsiaTheme="minorEastAsia"/>
                <w:color w:val="auto"/>
                <w:sz w:val="21"/>
                <w:szCs w:val="21"/>
              </w:rPr>
              <w:t>≤0.1</w:t>
            </w:r>
          </w:p>
        </w:tc>
        <w:tc>
          <w:tcPr>
            <w:tcW w:w="885" w:type="dxa"/>
            <w:vAlign w:val="center"/>
          </w:tcPr>
          <w:p>
            <w:pPr>
              <w:jc w:val="center"/>
              <w:rPr>
                <w:rFonts w:eastAsiaTheme="minorEastAsia"/>
                <w:color w:val="auto"/>
                <w:sz w:val="21"/>
                <w:szCs w:val="21"/>
              </w:rPr>
            </w:pPr>
            <w:r>
              <w:rPr>
                <w:rFonts w:eastAsiaTheme="minorEastAsia"/>
                <w:color w:val="auto"/>
                <w:sz w:val="21"/>
                <w:szCs w:val="21"/>
              </w:rPr>
              <w:t>≤0.3</w:t>
            </w:r>
          </w:p>
        </w:tc>
        <w:tc>
          <w:tcPr>
            <w:tcW w:w="885" w:type="dxa"/>
            <w:vAlign w:val="center"/>
          </w:tcPr>
          <w:p>
            <w:pPr>
              <w:jc w:val="center"/>
              <w:rPr>
                <w:rFonts w:eastAsiaTheme="minorEastAsia"/>
                <w:color w:val="auto"/>
                <w:sz w:val="21"/>
                <w:szCs w:val="21"/>
              </w:rPr>
            </w:pPr>
            <w:r>
              <w:rPr>
                <w:rFonts w:eastAsiaTheme="minorEastAsia"/>
                <w:color w:val="auto"/>
                <w:sz w:val="21"/>
                <w:szCs w:val="21"/>
              </w:rPr>
              <w:t>≤1.0</w:t>
            </w:r>
          </w:p>
        </w:tc>
        <w:tc>
          <w:tcPr>
            <w:tcW w:w="885" w:type="dxa"/>
            <w:vAlign w:val="center"/>
          </w:tcPr>
          <w:p>
            <w:pPr>
              <w:jc w:val="center"/>
              <w:rPr>
                <w:rFonts w:eastAsiaTheme="minorEastAsia"/>
                <w:color w:val="auto"/>
                <w:sz w:val="21"/>
                <w:szCs w:val="21"/>
              </w:rPr>
            </w:pPr>
            <w:r>
              <w:rPr>
                <w:rFonts w:eastAsiaTheme="minorEastAsia"/>
                <w:color w:val="auto"/>
                <w:sz w:val="21"/>
                <w:szCs w:val="21"/>
              </w:rPr>
              <w:t>≤1.0</w:t>
            </w:r>
          </w:p>
        </w:tc>
        <w:tc>
          <w:tcPr>
            <w:tcW w:w="885" w:type="dxa"/>
            <w:vAlign w:val="center"/>
          </w:tcPr>
          <w:p>
            <w:pPr>
              <w:jc w:val="center"/>
              <w:rPr>
                <w:rFonts w:eastAsiaTheme="minorEastAsia"/>
                <w:color w:val="auto"/>
                <w:sz w:val="21"/>
                <w:szCs w:val="21"/>
              </w:rPr>
            </w:pPr>
            <w:r>
              <w:rPr>
                <w:rFonts w:eastAsiaTheme="minorEastAsia"/>
                <w:color w:val="auto"/>
                <w:sz w:val="21"/>
                <w:szCs w:val="21"/>
              </w:rPr>
              <w:t>≤0.005</w:t>
            </w:r>
          </w:p>
        </w:tc>
        <w:tc>
          <w:tcPr>
            <w:tcW w:w="885" w:type="dxa"/>
            <w:vAlign w:val="center"/>
          </w:tcPr>
          <w:p>
            <w:pPr>
              <w:jc w:val="center"/>
              <w:rPr>
                <w:rFonts w:eastAsiaTheme="minorEastAsia"/>
                <w:color w:val="auto"/>
                <w:sz w:val="21"/>
                <w:szCs w:val="21"/>
              </w:rPr>
            </w:pPr>
            <w:r>
              <w:rPr>
                <w:rFonts w:eastAsiaTheme="minorEastAsia"/>
                <w:color w:val="auto"/>
                <w:sz w:val="21"/>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restart"/>
            <w:vAlign w:val="center"/>
          </w:tcPr>
          <w:p>
            <w:pPr>
              <w:jc w:val="center"/>
              <w:rPr>
                <w:rFonts w:eastAsiaTheme="minorEastAsia"/>
                <w:color w:val="auto"/>
                <w:sz w:val="21"/>
                <w:szCs w:val="21"/>
              </w:rPr>
            </w:pPr>
            <w:r>
              <w:rPr>
                <w:rFonts w:eastAsiaTheme="minorEastAsia"/>
                <w:color w:val="auto"/>
                <w:sz w:val="21"/>
                <w:szCs w:val="21"/>
              </w:rPr>
              <w:t>W5</w:t>
            </w:r>
          </w:p>
        </w:tc>
        <w:tc>
          <w:tcPr>
            <w:tcW w:w="387" w:type="dxa"/>
            <w:vMerge w:val="restart"/>
            <w:vAlign w:val="center"/>
          </w:tcPr>
          <w:p>
            <w:pPr>
              <w:jc w:val="center"/>
              <w:rPr>
                <w:rFonts w:eastAsiaTheme="minorEastAsia"/>
                <w:color w:val="auto"/>
                <w:sz w:val="21"/>
                <w:szCs w:val="21"/>
              </w:rPr>
            </w:pPr>
            <w:r>
              <w:rPr>
                <w:rFonts w:eastAsiaTheme="minorEastAsia"/>
                <w:color w:val="auto"/>
                <w:sz w:val="21"/>
                <w:szCs w:val="21"/>
              </w:rPr>
              <w:t>监测值</w:t>
            </w:r>
          </w:p>
        </w:tc>
        <w:tc>
          <w:tcPr>
            <w:tcW w:w="676" w:type="dxa"/>
            <w:vAlign w:val="center"/>
          </w:tcPr>
          <w:p>
            <w:pPr>
              <w:jc w:val="center"/>
              <w:rPr>
                <w:rFonts w:eastAsiaTheme="minorEastAsia"/>
                <w:color w:val="auto"/>
                <w:sz w:val="21"/>
                <w:szCs w:val="21"/>
              </w:rPr>
            </w:pPr>
            <w:r>
              <w:rPr>
                <w:rFonts w:eastAsiaTheme="minorEastAsia"/>
                <w:color w:val="auto"/>
                <w:sz w:val="21"/>
                <w:szCs w:val="21"/>
              </w:rPr>
              <w:t>2019.3.25</w:t>
            </w:r>
          </w:p>
        </w:tc>
        <w:tc>
          <w:tcPr>
            <w:tcW w:w="850" w:type="dxa"/>
            <w:vAlign w:val="center"/>
          </w:tcPr>
          <w:p>
            <w:pPr>
              <w:jc w:val="center"/>
              <w:rPr>
                <w:rFonts w:eastAsiaTheme="minorEastAsia"/>
                <w:color w:val="auto"/>
                <w:sz w:val="21"/>
                <w:szCs w:val="21"/>
              </w:rPr>
            </w:pPr>
            <w:r>
              <w:rPr>
                <w:rFonts w:eastAsiaTheme="minorEastAsia"/>
                <w:color w:val="auto"/>
                <w:sz w:val="21"/>
                <w:szCs w:val="21"/>
              </w:rPr>
              <w:t>0.01</w:t>
            </w:r>
          </w:p>
        </w:tc>
        <w:tc>
          <w:tcPr>
            <w:tcW w:w="1134" w:type="dxa"/>
            <w:vAlign w:val="center"/>
          </w:tcPr>
          <w:p>
            <w:pPr>
              <w:jc w:val="center"/>
              <w:rPr>
                <w:rFonts w:eastAsiaTheme="minorEastAsia"/>
                <w:color w:val="auto"/>
                <w:sz w:val="21"/>
                <w:szCs w:val="21"/>
              </w:rPr>
            </w:pPr>
            <w:r>
              <w:rPr>
                <w:rFonts w:eastAsiaTheme="minorEastAsia"/>
                <w:color w:val="auto"/>
                <w:sz w:val="21"/>
                <w:szCs w:val="21"/>
              </w:rPr>
              <w:t>2.9</w:t>
            </w:r>
          </w:p>
        </w:tc>
        <w:tc>
          <w:tcPr>
            <w:tcW w:w="851" w:type="dxa"/>
            <w:vAlign w:val="center"/>
          </w:tcPr>
          <w:p>
            <w:pPr>
              <w:jc w:val="center"/>
              <w:rPr>
                <w:rFonts w:eastAsiaTheme="minorEastAsia"/>
                <w:color w:val="auto"/>
                <w:sz w:val="21"/>
                <w:szCs w:val="21"/>
              </w:rPr>
            </w:pPr>
            <w:r>
              <w:rPr>
                <w:rFonts w:eastAsiaTheme="minorEastAsia"/>
                <w:color w:val="auto"/>
                <w:sz w:val="21"/>
                <w:szCs w:val="21"/>
              </w:rPr>
              <w:t>1.55</w:t>
            </w:r>
          </w:p>
        </w:tc>
        <w:tc>
          <w:tcPr>
            <w:tcW w:w="850" w:type="dxa"/>
            <w:vAlign w:val="center"/>
          </w:tcPr>
          <w:p>
            <w:pPr>
              <w:jc w:val="center"/>
              <w:rPr>
                <w:rFonts w:eastAsiaTheme="minorEastAsia"/>
                <w:color w:val="auto"/>
                <w:sz w:val="21"/>
                <w:szCs w:val="21"/>
              </w:rPr>
            </w:pPr>
            <w:r>
              <w:rPr>
                <w:rFonts w:eastAsiaTheme="minorEastAsia"/>
                <w:color w:val="auto"/>
                <w:sz w:val="21"/>
                <w:szCs w:val="21"/>
              </w:rPr>
              <w:t>17</w:t>
            </w:r>
          </w:p>
        </w:tc>
        <w:tc>
          <w:tcPr>
            <w:tcW w:w="851" w:type="dxa"/>
            <w:vAlign w:val="center"/>
          </w:tcPr>
          <w:p>
            <w:pPr>
              <w:jc w:val="center"/>
              <w:rPr>
                <w:rFonts w:eastAsiaTheme="minorEastAsia"/>
                <w:color w:val="auto"/>
                <w:sz w:val="21"/>
                <w:szCs w:val="21"/>
              </w:rPr>
            </w:pPr>
            <w:r>
              <w:rPr>
                <w:rFonts w:eastAsiaTheme="minorEastAsia"/>
                <w:color w:val="auto"/>
                <w:sz w:val="21"/>
                <w:szCs w:val="21"/>
              </w:rPr>
              <w:t>2</w:t>
            </w:r>
          </w:p>
        </w:tc>
        <w:tc>
          <w:tcPr>
            <w:tcW w:w="952" w:type="dxa"/>
            <w:vAlign w:val="center"/>
          </w:tcPr>
          <w:p>
            <w:pPr>
              <w:jc w:val="center"/>
              <w:rPr>
                <w:rFonts w:eastAsiaTheme="minorEastAsia"/>
                <w:color w:val="auto"/>
                <w:sz w:val="21"/>
                <w:szCs w:val="21"/>
              </w:rPr>
            </w:pPr>
            <w:r>
              <w:rPr>
                <w:rFonts w:eastAsiaTheme="minorEastAsia"/>
                <w:color w:val="auto"/>
                <w:sz w:val="21"/>
                <w:szCs w:val="21"/>
              </w:rPr>
              <w:t>4.6*10</w:t>
            </w:r>
            <w:r>
              <w:rPr>
                <w:rFonts w:eastAsiaTheme="minorEastAsia"/>
                <w:color w:val="auto"/>
                <w:sz w:val="21"/>
                <w:szCs w:val="21"/>
                <w:vertAlign w:val="superscript"/>
              </w:rPr>
              <w:t>3</w:t>
            </w:r>
          </w:p>
        </w:tc>
        <w:tc>
          <w:tcPr>
            <w:tcW w:w="925" w:type="dxa"/>
            <w:vAlign w:val="center"/>
          </w:tcPr>
          <w:p>
            <w:pPr>
              <w:jc w:val="center"/>
              <w:rPr>
                <w:rFonts w:eastAsiaTheme="minorEastAsia"/>
                <w:color w:val="auto"/>
                <w:sz w:val="21"/>
                <w:szCs w:val="21"/>
              </w:rPr>
            </w:pPr>
            <w:r>
              <w:rPr>
                <w:rFonts w:eastAsiaTheme="minorEastAsia"/>
                <w:color w:val="auto"/>
                <w:sz w:val="21"/>
                <w:szCs w:val="21"/>
              </w:rPr>
              <w:t>＜0.00004</w:t>
            </w:r>
          </w:p>
        </w:tc>
        <w:tc>
          <w:tcPr>
            <w:tcW w:w="925" w:type="dxa"/>
            <w:vAlign w:val="center"/>
          </w:tcPr>
          <w:p>
            <w:pPr>
              <w:jc w:val="center"/>
              <w:rPr>
                <w:rFonts w:eastAsiaTheme="minorEastAsia"/>
                <w:color w:val="auto"/>
                <w:sz w:val="21"/>
                <w:szCs w:val="21"/>
              </w:rPr>
            </w:pPr>
            <w:r>
              <w:rPr>
                <w:rFonts w:eastAsiaTheme="minorEastAsia"/>
                <w:color w:val="auto"/>
                <w:sz w:val="21"/>
                <w:szCs w:val="21"/>
              </w:rPr>
              <w:t>0.0011</w:t>
            </w:r>
          </w:p>
        </w:tc>
        <w:tc>
          <w:tcPr>
            <w:tcW w:w="885" w:type="dxa"/>
            <w:vAlign w:val="center"/>
          </w:tcPr>
          <w:p>
            <w:pPr>
              <w:jc w:val="center"/>
              <w:rPr>
                <w:rFonts w:eastAsiaTheme="minorEastAsia"/>
                <w:color w:val="auto"/>
                <w:sz w:val="21"/>
                <w:szCs w:val="21"/>
              </w:rPr>
            </w:pPr>
            <w:r>
              <w:rPr>
                <w:rFonts w:eastAsiaTheme="minorEastAsia"/>
                <w:color w:val="auto"/>
                <w:sz w:val="21"/>
                <w:szCs w:val="21"/>
              </w:rPr>
              <w:t>64.9</w:t>
            </w:r>
          </w:p>
        </w:tc>
        <w:tc>
          <w:tcPr>
            <w:tcW w:w="885" w:type="dxa"/>
            <w:vAlign w:val="center"/>
          </w:tcPr>
          <w:p>
            <w:pPr>
              <w:jc w:val="center"/>
              <w:rPr>
                <w:rFonts w:eastAsiaTheme="minorEastAsia"/>
                <w:color w:val="auto"/>
                <w:sz w:val="21"/>
                <w:szCs w:val="21"/>
              </w:rPr>
            </w:pPr>
            <w:r>
              <w:rPr>
                <w:rFonts w:eastAsiaTheme="minorEastAsia"/>
                <w:color w:val="auto"/>
                <w:sz w:val="21"/>
                <w:szCs w:val="21"/>
              </w:rPr>
              <w:t>102</w:t>
            </w:r>
          </w:p>
        </w:tc>
        <w:tc>
          <w:tcPr>
            <w:tcW w:w="885" w:type="dxa"/>
            <w:vAlign w:val="center"/>
          </w:tcPr>
          <w:p>
            <w:pPr>
              <w:jc w:val="center"/>
              <w:rPr>
                <w:rFonts w:eastAsiaTheme="minorEastAsia"/>
                <w:color w:val="auto"/>
                <w:sz w:val="21"/>
                <w:szCs w:val="21"/>
              </w:rPr>
            </w:pPr>
            <w:r>
              <w:rPr>
                <w:rFonts w:eastAsiaTheme="minorEastAsia"/>
                <w:color w:val="auto"/>
                <w:sz w:val="21"/>
                <w:szCs w:val="21"/>
              </w:rPr>
              <w:t>5.38</w:t>
            </w:r>
          </w:p>
        </w:tc>
        <w:tc>
          <w:tcPr>
            <w:tcW w:w="885" w:type="dxa"/>
            <w:vAlign w:val="center"/>
          </w:tcPr>
          <w:p>
            <w:pPr>
              <w:jc w:val="center"/>
              <w:rPr>
                <w:rFonts w:eastAsiaTheme="minorEastAsia"/>
                <w:color w:val="auto"/>
                <w:sz w:val="21"/>
                <w:szCs w:val="21"/>
              </w:rPr>
            </w:pPr>
            <w:r>
              <w:rPr>
                <w:rFonts w:eastAsiaTheme="minorEastAsia"/>
                <w:color w:val="auto"/>
                <w:sz w:val="21"/>
                <w:szCs w:val="21"/>
              </w:rPr>
              <w:t>7.31</w:t>
            </w:r>
          </w:p>
        </w:tc>
        <w:tc>
          <w:tcPr>
            <w:tcW w:w="885" w:type="dxa"/>
            <w:vAlign w:val="center"/>
          </w:tcPr>
          <w:p>
            <w:pPr>
              <w:jc w:val="center"/>
              <w:rPr>
                <w:rFonts w:eastAsiaTheme="minorEastAsia"/>
                <w:color w:val="auto"/>
                <w:sz w:val="21"/>
                <w:szCs w:val="21"/>
              </w:rPr>
            </w:pPr>
            <w:r>
              <w:rPr>
                <w:rFonts w:eastAsiaTheme="minorEastAsia"/>
                <w:color w:val="auto"/>
                <w:sz w:val="21"/>
                <w:szCs w:val="21"/>
              </w:rPr>
              <w:t>0.09</w:t>
            </w:r>
          </w:p>
        </w:tc>
        <w:tc>
          <w:tcPr>
            <w:tcW w:w="885" w:type="dxa"/>
            <w:vAlign w:val="center"/>
          </w:tcPr>
          <w:p>
            <w:pPr>
              <w:jc w:val="center"/>
              <w:rPr>
                <w:rFonts w:eastAsiaTheme="minorEastAsia"/>
                <w:color w:val="auto"/>
                <w:sz w:val="21"/>
                <w:szCs w:val="21"/>
              </w:rPr>
            </w:pPr>
            <w:r>
              <w:rPr>
                <w:rFonts w:eastAsiaTheme="minorEastAsia"/>
                <w:color w:val="auto"/>
                <w:sz w:val="21"/>
                <w:szCs w:val="21"/>
              </w:rPr>
              <w:t>1.31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387" w:type="dxa"/>
            <w:vMerge w:val="continue"/>
            <w:vAlign w:val="center"/>
          </w:tcPr>
          <w:p>
            <w:pPr>
              <w:jc w:val="center"/>
              <w:rPr>
                <w:rFonts w:eastAsiaTheme="minorEastAsia"/>
                <w:color w:val="auto"/>
                <w:sz w:val="21"/>
                <w:szCs w:val="21"/>
              </w:rPr>
            </w:pPr>
          </w:p>
        </w:tc>
        <w:tc>
          <w:tcPr>
            <w:tcW w:w="676" w:type="dxa"/>
            <w:vAlign w:val="center"/>
          </w:tcPr>
          <w:p>
            <w:pPr>
              <w:jc w:val="center"/>
              <w:rPr>
                <w:rFonts w:eastAsiaTheme="minorEastAsia"/>
                <w:color w:val="auto"/>
                <w:sz w:val="21"/>
                <w:szCs w:val="21"/>
              </w:rPr>
            </w:pPr>
            <w:r>
              <w:rPr>
                <w:rFonts w:eastAsiaTheme="minorEastAsia"/>
                <w:color w:val="auto"/>
                <w:sz w:val="21"/>
                <w:szCs w:val="21"/>
              </w:rPr>
              <w:t>2019.3.26</w:t>
            </w:r>
          </w:p>
        </w:tc>
        <w:tc>
          <w:tcPr>
            <w:tcW w:w="850" w:type="dxa"/>
            <w:vAlign w:val="center"/>
          </w:tcPr>
          <w:p>
            <w:pPr>
              <w:jc w:val="center"/>
              <w:rPr>
                <w:rFonts w:eastAsiaTheme="minorEastAsia"/>
                <w:color w:val="auto"/>
                <w:sz w:val="21"/>
                <w:szCs w:val="21"/>
              </w:rPr>
            </w:pPr>
            <w:r>
              <w:rPr>
                <w:rFonts w:eastAsiaTheme="minorEastAsia"/>
                <w:color w:val="auto"/>
                <w:sz w:val="21"/>
                <w:szCs w:val="21"/>
              </w:rPr>
              <w:t>＜0.01</w:t>
            </w:r>
          </w:p>
        </w:tc>
        <w:tc>
          <w:tcPr>
            <w:tcW w:w="1134" w:type="dxa"/>
            <w:vAlign w:val="center"/>
          </w:tcPr>
          <w:p>
            <w:pPr>
              <w:jc w:val="center"/>
              <w:rPr>
                <w:rFonts w:eastAsiaTheme="minorEastAsia"/>
                <w:color w:val="auto"/>
                <w:sz w:val="21"/>
                <w:szCs w:val="21"/>
              </w:rPr>
            </w:pPr>
            <w:r>
              <w:rPr>
                <w:rFonts w:eastAsiaTheme="minorEastAsia"/>
                <w:color w:val="auto"/>
                <w:sz w:val="21"/>
                <w:szCs w:val="21"/>
              </w:rPr>
              <w:t>2.6</w:t>
            </w:r>
          </w:p>
        </w:tc>
        <w:tc>
          <w:tcPr>
            <w:tcW w:w="851" w:type="dxa"/>
            <w:vAlign w:val="center"/>
          </w:tcPr>
          <w:p>
            <w:pPr>
              <w:jc w:val="center"/>
              <w:rPr>
                <w:rFonts w:eastAsiaTheme="minorEastAsia"/>
                <w:color w:val="auto"/>
                <w:sz w:val="21"/>
                <w:szCs w:val="21"/>
              </w:rPr>
            </w:pPr>
            <w:r>
              <w:rPr>
                <w:rFonts w:eastAsiaTheme="minorEastAsia"/>
                <w:color w:val="auto"/>
                <w:sz w:val="21"/>
                <w:szCs w:val="21"/>
              </w:rPr>
              <w:t>1.68</w:t>
            </w:r>
          </w:p>
        </w:tc>
        <w:tc>
          <w:tcPr>
            <w:tcW w:w="850" w:type="dxa"/>
            <w:vAlign w:val="center"/>
          </w:tcPr>
          <w:p>
            <w:pPr>
              <w:jc w:val="center"/>
              <w:rPr>
                <w:rFonts w:eastAsiaTheme="minorEastAsia"/>
                <w:color w:val="auto"/>
                <w:sz w:val="21"/>
                <w:szCs w:val="21"/>
              </w:rPr>
            </w:pPr>
            <w:r>
              <w:rPr>
                <w:rFonts w:eastAsiaTheme="minorEastAsia"/>
                <w:color w:val="auto"/>
                <w:sz w:val="21"/>
                <w:szCs w:val="21"/>
              </w:rPr>
              <w:t>16</w:t>
            </w:r>
          </w:p>
        </w:tc>
        <w:tc>
          <w:tcPr>
            <w:tcW w:w="851" w:type="dxa"/>
            <w:vAlign w:val="center"/>
          </w:tcPr>
          <w:p>
            <w:pPr>
              <w:jc w:val="center"/>
              <w:rPr>
                <w:rFonts w:eastAsiaTheme="minorEastAsia"/>
                <w:color w:val="auto"/>
                <w:sz w:val="21"/>
                <w:szCs w:val="21"/>
              </w:rPr>
            </w:pPr>
            <w:r>
              <w:rPr>
                <w:rFonts w:eastAsiaTheme="minorEastAsia"/>
                <w:color w:val="auto"/>
                <w:sz w:val="21"/>
                <w:szCs w:val="21"/>
              </w:rPr>
              <w:t>2</w:t>
            </w:r>
          </w:p>
        </w:tc>
        <w:tc>
          <w:tcPr>
            <w:tcW w:w="952" w:type="dxa"/>
            <w:vAlign w:val="center"/>
          </w:tcPr>
          <w:p>
            <w:pPr>
              <w:jc w:val="center"/>
              <w:rPr>
                <w:rFonts w:eastAsiaTheme="minorEastAsia"/>
                <w:color w:val="auto"/>
                <w:sz w:val="21"/>
                <w:szCs w:val="21"/>
              </w:rPr>
            </w:pPr>
            <w:r>
              <w:rPr>
                <w:rFonts w:eastAsiaTheme="minorEastAsia"/>
                <w:color w:val="auto"/>
                <w:sz w:val="21"/>
                <w:szCs w:val="21"/>
              </w:rPr>
              <w:t>3.4*10</w:t>
            </w:r>
            <w:r>
              <w:rPr>
                <w:rFonts w:eastAsiaTheme="minorEastAsia"/>
                <w:color w:val="auto"/>
                <w:sz w:val="21"/>
                <w:szCs w:val="21"/>
                <w:vertAlign w:val="superscript"/>
              </w:rPr>
              <w:t>3</w:t>
            </w:r>
          </w:p>
        </w:tc>
        <w:tc>
          <w:tcPr>
            <w:tcW w:w="925" w:type="dxa"/>
            <w:vAlign w:val="center"/>
          </w:tcPr>
          <w:p>
            <w:pPr>
              <w:jc w:val="center"/>
              <w:rPr>
                <w:rFonts w:eastAsiaTheme="minorEastAsia"/>
                <w:color w:val="auto"/>
                <w:sz w:val="21"/>
                <w:szCs w:val="21"/>
              </w:rPr>
            </w:pPr>
            <w:r>
              <w:rPr>
                <w:rFonts w:eastAsiaTheme="minorEastAsia"/>
                <w:color w:val="auto"/>
                <w:sz w:val="21"/>
                <w:szCs w:val="21"/>
              </w:rPr>
              <w:t>＜0.00004</w:t>
            </w:r>
          </w:p>
        </w:tc>
        <w:tc>
          <w:tcPr>
            <w:tcW w:w="925" w:type="dxa"/>
            <w:vAlign w:val="center"/>
          </w:tcPr>
          <w:p>
            <w:pPr>
              <w:jc w:val="center"/>
              <w:rPr>
                <w:rFonts w:eastAsiaTheme="minorEastAsia"/>
                <w:color w:val="auto"/>
                <w:sz w:val="21"/>
                <w:szCs w:val="21"/>
              </w:rPr>
            </w:pPr>
            <w:r>
              <w:rPr>
                <w:rFonts w:eastAsiaTheme="minorEastAsia"/>
                <w:color w:val="auto"/>
                <w:sz w:val="21"/>
                <w:szCs w:val="21"/>
              </w:rPr>
              <w:t>0.0013</w:t>
            </w:r>
          </w:p>
        </w:tc>
        <w:tc>
          <w:tcPr>
            <w:tcW w:w="885" w:type="dxa"/>
            <w:vAlign w:val="center"/>
          </w:tcPr>
          <w:p>
            <w:pPr>
              <w:jc w:val="center"/>
              <w:rPr>
                <w:rFonts w:eastAsiaTheme="minorEastAsia"/>
                <w:color w:val="auto"/>
                <w:sz w:val="21"/>
                <w:szCs w:val="21"/>
              </w:rPr>
            </w:pPr>
            <w:r>
              <w:rPr>
                <w:rFonts w:eastAsiaTheme="minorEastAsia"/>
                <w:color w:val="auto"/>
                <w:sz w:val="21"/>
                <w:szCs w:val="21"/>
              </w:rPr>
              <w:t>77.4</w:t>
            </w:r>
          </w:p>
        </w:tc>
        <w:tc>
          <w:tcPr>
            <w:tcW w:w="885" w:type="dxa"/>
            <w:vAlign w:val="center"/>
          </w:tcPr>
          <w:p>
            <w:pPr>
              <w:jc w:val="center"/>
              <w:rPr>
                <w:rFonts w:eastAsiaTheme="minorEastAsia"/>
                <w:color w:val="auto"/>
                <w:sz w:val="21"/>
                <w:szCs w:val="21"/>
              </w:rPr>
            </w:pPr>
            <w:r>
              <w:rPr>
                <w:rFonts w:eastAsiaTheme="minorEastAsia"/>
                <w:color w:val="auto"/>
                <w:sz w:val="21"/>
                <w:szCs w:val="21"/>
              </w:rPr>
              <w:t>116</w:t>
            </w:r>
          </w:p>
        </w:tc>
        <w:tc>
          <w:tcPr>
            <w:tcW w:w="885" w:type="dxa"/>
            <w:vAlign w:val="center"/>
          </w:tcPr>
          <w:p>
            <w:pPr>
              <w:jc w:val="center"/>
              <w:rPr>
                <w:rFonts w:eastAsiaTheme="minorEastAsia"/>
                <w:color w:val="auto"/>
                <w:sz w:val="21"/>
                <w:szCs w:val="21"/>
              </w:rPr>
            </w:pPr>
            <w:r>
              <w:rPr>
                <w:rFonts w:eastAsiaTheme="minorEastAsia"/>
                <w:color w:val="auto"/>
                <w:sz w:val="21"/>
                <w:szCs w:val="21"/>
              </w:rPr>
              <w:t>6.38</w:t>
            </w:r>
          </w:p>
        </w:tc>
        <w:tc>
          <w:tcPr>
            <w:tcW w:w="885" w:type="dxa"/>
            <w:vAlign w:val="center"/>
          </w:tcPr>
          <w:p>
            <w:pPr>
              <w:jc w:val="center"/>
              <w:rPr>
                <w:rFonts w:eastAsiaTheme="minorEastAsia"/>
                <w:color w:val="auto"/>
                <w:sz w:val="21"/>
                <w:szCs w:val="21"/>
              </w:rPr>
            </w:pPr>
            <w:r>
              <w:rPr>
                <w:rFonts w:eastAsiaTheme="minorEastAsia"/>
                <w:color w:val="auto"/>
                <w:sz w:val="21"/>
                <w:szCs w:val="21"/>
              </w:rPr>
              <w:t>8.76</w:t>
            </w:r>
          </w:p>
        </w:tc>
        <w:tc>
          <w:tcPr>
            <w:tcW w:w="885" w:type="dxa"/>
            <w:vAlign w:val="center"/>
          </w:tcPr>
          <w:p>
            <w:pPr>
              <w:jc w:val="center"/>
              <w:rPr>
                <w:rFonts w:eastAsiaTheme="minorEastAsia"/>
                <w:color w:val="auto"/>
                <w:sz w:val="21"/>
                <w:szCs w:val="21"/>
              </w:rPr>
            </w:pPr>
            <w:r>
              <w:rPr>
                <w:rFonts w:eastAsiaTheme="minorEastAsia"/>
                <w:color w:val="auto"/>
                <w:sz w:val="21"/>
                <w:szCs w:val="21"/>
              </w:rPr>
              <w:t>0.10</w:t>
            </w:r>
          </w:p>
        </w:tc>
        <w:tc>
          <w:tcPr>
            <w:tcW w:w="885" w:type="dxa"/>
            <w:vAlign w:val="center"/>
          </w:tcPr>
          <w:p>
            <w:pPr>
              <w:jc w:val="center"/>
              <w:rPr>
                <w:rFonts w:eastAsiaTheme="minorEastAsia"/>
                <w:color w:val="auto"/>
                <w:sz w:val="21"/>
                <w:szCs w:val="21"/>
              </w:rPr>
            </w:pPr>
            <w:r>
              <w:rPr>
                <w:rFonts w:eastAsiaTheme="minorEastAsia"/>
                <w:color w:val="auto"/>
                <w:sz w:val="21"/>
                <w:szCs w:val="21"/>
              </w:rPr>
              <w:t>1.62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387" w:type="dxa"/>
            <w:vMerge w:val="continue"/>
            <w:vAlign w:val="center"/>
          </w:tcPr>
          <w:p>
            <w:pPr>
              <w:jc w:val="center"/>
              <w:rPr>
                <w:rFonts w:eastAsiaTheme="minorEastAsia"/>
                <w:color w:val="auto"/>
                <w:sz w:val="21"/>
                <w:szCs w:val="21"/>
              </w:rPr>
            </w:pPr>
          </w:p>
        </w:tc>
        <w:tc>
          <w:tcPr>
            <w:tcW w:w="676" w:type="dxa"/>
            <w:vAlign w:val="center"/>
          </w:tcPr>
          <w:p>
            <w:pPr>
              <w:jc w:val="center"/>
              <w:rPr>
                <w:rFonts w:eastAsiaTheme="minorEastAsia"/>
                <w:color w:val="auto"/>
                <w:sz w:val="21"/>
                <w:szCs w:val="21"/>
              </w:rPr>
            </w:pPr>
            <w:r>
              <w:rPr>
                <w:rFonts w:eastAsiaTheme="minorEastAsia"/>
                <w:color w:val="auto"/>
                <w:sz w:val="21"/>
                <w:szCs w:val="21"/>
              </w:rPr>
              <w:t>2019.3.27</w:t>
            </w:r>
          </w:p>
        </w:tc>
        <w:tc>
          <w:tcPr>
            <w:tcW w:w="850" w:type="dxa"/>
            <w:vAlign w:val="center"/>
          </w:tcPr>
          <w:p>
            <w:pPr>
              <w:jc w:val="center"/>
              <w:rPr>
                <w:rFonts w:eastAsiaTheme="minorEastAsia"/>
                <w:color w:val="auto"/>
                <w:sz w:val="21"/>
                <w:szCs w:val="21"/>
              </w:rPr>
            </w:pPr>
            <w:r>
              <w:rPr>
                <w:rFonts w:eastAsiaTheme="minorEastAsia"/>
                <w:color w:val="auto"/>
                <w:sz w:val="21"/>
                <w:szCs w:val="21"/>
              </w:rPr>
              <w:t>0.01</w:t>
            </w:r>
          </w:p>
        </w:tc>
        <w:tc>
          <w:tcPr>
            <w:tcW w:w="1134" w:type="dxa"/>
            <w:vAlign w:val="center"/>
          </w:tcPr>
          <w:p>
            <w:pPr>
              <w:jc w:val="center"/>
              <w:rPr>
                <w:rFonts w:eastAsiaTheme="minorEastAsia"/>
                <w:color w:val="auto"/>
                <w:sz w:val="21"/>
                <w:szCs w:val="21"/>
              </w:rPr>
            </w:pPr>
            <w:r>
              <w:rPr>
                <w:rFonts w:eastAsiaTheme="minorEastAsia"/>
                <w:color w:val="auto"/>
                <w:sz w:val="21"/>
                <w:szCs w:val="21"/>
              </w:rPr>
              <w:t>2.9</w:t>
            </w:r>
          </w:p>
        </w:tc>
        <w:tc>
          <w:tcPr>
            <w:tcW w:w="851" w:type="dxa"/>
            <w:vAlign w:val="center"/>
          </w:tcPr>
          <w:p>
            <w:pPr>
              <w:jc w:val="center"/>
              <w:rPr>
                <w:rFonts w:eastAsiaTheme="minorEastAsia"/>
                <w:color w:val="auto"/>
                <w:sz w:val="21"/>
                <w:szCs w:val="21"/>
              </w:rPr>
            </w:pPr>
            <w:r>
              <w:rPr>
                <w:rFonts w:eastAsiaTheme="minorEastAsia"/>
                <w:color w:val="auto"/>
                <w:sz w:val="21"/>
                <w:szCs w:val="21"/>
              </w:rPr>
              <w:t>1.81</w:t>
            </w:r>
          </w:p>
        </w:tc>
        <w:tc>
          <w:tcPr>
            <w:tcW w:w="850" w:type="dxa"/>
            <w:vAlign w:val="center"/>
          </w:tcPr>
          <w:p>
            <w:pPr>
              <w:jc w:val="center"/>
              <w:rPr>
                <w:rFonts w:eastAsiaTheme="minorEastAsia"/>
                <w:color w:val="auto"/>
                <w:sz w:val="21"/>
                <w:szCs w:val="21"/>
              </w:rPr>
            </w:pPr>
            <w:r>
              <w:rPr>
                <w:rFonts w:eastAsiaTheme="minorEastAsia"/>
                <w:color w:val="auto"/>
                <w:sz w:val="21"/>
                <w:szCs w:val="21"/>
              </w:rPr>
              <w:t>16</w:t>
            </w:r>
          </w:p>
        </w:tc>
        <w:tc>
          <w:tcPr>
            <w:tcW w:w="851" w:type="dxa"/>
            <w:vAlign w:val="center"/>
          </w:tcPr>
          <w:p>
            <w:pPr>
              <w:jc w:val="center"/>
              <w:rPr>
                <w:rFonts w:eastAsiaTheme="minorEastAsia"/>
                <w:color w:val="auto"/>
                <w:sz w:val="21"/>
                <w:szCs w:val="21"/>
              </w:rPr>
            </w:pPr>
            <w:r>
              <w:rPr>
                <w:rFonts w:eastAsiaTheme="minorEastAsia"/>
                <w:color w:val="auto"/>
                <w:sz w:val="21"/>
                <w:szCs w:val="21"/>
              </w:rPr>
              <w:t>2</w:t>
            </w:r>
          </w:p>
        </w:tc>
        <w:tc>
          <w:tcPr>
            <w:tcW w:w="952" w:type="dxa"/>
            <w:vAlign w:val="center"/>
          </w:tcPr>
          <w:p>
            <w:pPr>
              <w:jc w:val="center"/>
              <w:rPr>
                <w:rFonts w:eastAsiaTheme="minorEastAsia"/>
                <w:color w:val="auto"/>
                <w:sz w:val="21"/>
                <w:szCs w:val="21"/>
              </w:rPr>
            </w:pPr>
            <w:r>
              <w:rPr>
                <w:rFonts w:eastAsiaTheme="minorEastAsia"/>
                <w:color w:val="auto"/>
                <w:sz w:val="21"/>
                <w:szCs w:val="21"/>
              </w:rPr>
              <w:t>3.5*10</w:t>
            </w:r>
            <w:r>
              <w:rPr>
                <w:rFonts w:eastAsiaTheme="minorEastAsia"/>
                <w:color w:val="auto"/>
                <w:sz w:val="21"/>
                <w:szCs w:val="21"/>
                <w:vertAlign w:val="superscript"/>
              </w:rPr>
              <w:t>3</w:t>
            </w:r>
          </w:p>
        </w:tc>
        <w:tc>
          <w:tcPr>
            <w:tcW w:w="925" w:type="dxa"/>
            <w:vAlign w:val="center"/>
          </w:tcPr>
          <w:p>
            <w:pPr>
              <w:jc w:val="center"/>
              <w:rPr>
                <w:rFonts w:eastAsiaTheme="minorEastAsia"/>
                <w:color w:val="auto"/>
                <w:sz w:val="21"/>
                <w:szCs w:val="21"/>
              </w:rPr>
            </w:pPr>
            <w:r>
              <w:rPr>
                <w:rFonts w:eastAsiaTheme="minorEastAsia"/>
                <w:color w:val="auto"/>
                <w:sz w:val="21"/>
                <w:szCs w:val="21"/>
              </w:rPr>
              <w:t>＜0.00004</w:t>
            </w:r>
          </w:p>
        </w:tc>
        <w:tc>
          <w:tcPr>
            <w:tcW w:w="925" w:type="dxa"/>
            <w:vAlign w:val="center"/>
          </w:tcPr>
          <w:p>
            <w:pPr>
              <w:jc w:val="center"/>
              <w:rPr>
                <w:rFonts w:eastAsiaTheme="minorEastAsia"/>
                <w:color w:val="auto"/>
                <w:sz w:val="21"/>
                <w:szCs w:val="21"/>
              </w:rPr>
            </w:pPr>
            <w:r>
              <w:rPr>
                <w:rFonts w:eastAsiaTheme="minorEastAsia"/>
                <w:color w:val="auto"/>
                <w:sz w:val="21"/>
                <w:szCs w:val="21"/>
              </w:rPr>
              <w:t>0.0004</w:t>
            </w:r>
          </w:p>
        </w:tc>
        <w:tc>
          <w:tcPr>
            <w:tcW w:w="885" w:type="dxa"/>
            <w:vAlign w:val="center"/>
          </w:tcPr>
          <w:p>
            <w:pPr>
              <w:jc w:val="center"/>
              <w:rPr>
                <w:rFonts w:eastAsiaTheme="minorEastAsia"/>
                <w:color w:val="auto"/>
                <w:sz w:val="21"/>
                <w:szCs w:val="21"/>
              </w:rPr>
            </w:pPr>
            <w:r>
              <w:rPr>
                <w:rFonts w:eastAsiaTheme="minorEastAsia"/>
                <w:color w:val="auto"/>
                <w:sz w:val="21"/>
                <w:szCs w:val="21"/>
              </w:rPr>
              <w:t>45.8</w:t>
            </w:r>
          </w:p>
        </w:tc>
        <w:tc>
          <w:tcPr>
            <w:tcW w:w="885" w:type="dxa"/>
            <w:vAlign w:val="center"/>
          </w:tcPr>
          <w:p>
            <w:pPr>
              <w:jc w:val="center"/>
              <w:rPr>
                <w:rFonts w:eastAsiaTheme="minorEastAsia"/>
                <w:color w:val="auto"/>
                <w:sz w:val="21"/>
                <w:szCs w:val="21"/>
              </w:rPr>
            </w:pPr>
            <w:r>
              <w:rPr>
                <w:rFonts w:eastAsiaTheme="minorEastAsia"/>
                <w:color w:val="auto"/>
                <w:sz w:val="21"/>
                <w:szCs w:val="21"/>
              </w:rPr>
              <w:t>78.2</w:t>
            </w:r>
          </w:p>
        </w:tc>
        <w:tc>
          <w:tcPr>
            <w:tcW w:w="885" w:type="dxa"/>
            <w:vAlign w:val="center"/>
          </w:tcPr>
          <w:p>
            <w:pPr>
              <w:jc w:val="center"/>
              <w:rPr>
                <w:rFonts w:eastAsiaTheme="minorEastAsia"/>
                <w:color w:val="auto"/>
                <w:sz w:val="21"/>
                <w:szCs w:val="21"/>
              </w:rPr>
            </w:pPr>
            <w:r>
              <w:rPr>
                <w:rFonts w:eastAsiaTheme="minorEastAsia"/>
                <w:color w:val="auto"/>
                <w:sz w:val="21"/>
                <w:szCs w:val="21"/>
              </w:rPr>
              <w:t>4.02</w:t>
            </w:r>
          </w:p>
        </w:tc>
        <w:tc>
          <w:tcPr>
            <w:tcW w:w="885" w:type="dxa"/>
            <w:vAlign w:val="center"/>
          </w:tcPr>
          <w:p>
            <w:pPr>
              <w:jc w:val="center"/>
              <w:rPr>
                <w:rFonts w:eastAsiaTheme="minorEastAsia"/>
                <w:color w:val="auto"/>
                <w:sz w:val="21"/>
                <w:szCs w:val="21"/>
              </w:rPr>
            </w:pPr>
            <w:r>
              <w:rPr>
                <w:rFonts w:eastAsiaTheme="minorEastAsia"/>
                <w:color w:val="auto"/>
                <w:sz w:val="21"/>
                <w:szCs w:val="21"/>
              </w:rPr>
              <w:t>4.72</w:t>
            </w:r>
          </w:p>
        </w:tc>
        <w:tc>
          <w:tcPr>
            <w:tcW w:w="885" w:type="dxa"/>
            <w:vAlign w:val="center"/>
          </w:tcPr>
          <w:p>
            <w:pPr>
              <w:jc w:val="center"/>
              <w:rPr>
                <w:rFonts w:eastAsiaTheme="minorEastAsia"/>
                <w:color w:val="auto"/>
                <w:sz w:val="21"/>
                <w:szCs w:val="21"/>
              </w:rPr>
            </w:pPr>
            <w:r>
              <w:rPr>
                <w:rFonts w:eastAsiaTheme="minorEastAsia"/>
                <w:color w:val="auto"/>
                <w:sz w:val="21"/>
                <w:szCs w:val="21"/>
              </w:rPr>
              <w:t>＜0.05</w:t>
            </w:r>
          </w:p>
        </w:tc>
        <w:tc>
          <w:tcPr>
            <w:tcW w:w="885" w:type="dxa"/>
            <w:vAlign w:val="center"/>
          </w:tcPr>
          <w:p>
            <w:pPr>
              <w:jc w:val="center"/>
              <w:rPr>
                <w:rFonts w:eastAsiaTheme="minorEastAsia"/>
                <w:color w:val="auto"/>
                <w:sz w:val="21"/>
                <w:szCs w:val="21"/>
              </w:rPr>
            </w:pPr>
            <w:r>
              <w:rPr>
                <w:rFonts w:eastAsiaTheme="minorEastAsia"/>
                <w:color w:val="auto"/>
                <w:sz w:val="21"/>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超标率</w:t>
            </w:r>
            <w:r>
              <w:rPr>
                <w:rFonts w:hint="eastAsia" w:eastAsiaTheme="minorEastAsia"/>
                <w:color w:val="auto"/>
                <w:sz w:val="21"/>
                <w:szCs w:val="21"/>
                <w:lang w:eastAsia="zh-CN"/>
              </w:rPr>
              <w:t>（</w:t>
            </w:r>
            <w:r>
              <w:rPr>
                <w:rFonts w:hint="eastAsia" w:eastAsiaTheme="minorEastAsia"/>
                <w:color w:val="auto"/>
                <w:sz w:val="21"/>
                <w:szCs w:val="21"/>
                <w:lang w:val="en-US" w:eastAsia="zh-CN"/>
              </w:rPr>
              <w:t>%</w:t>
            </w:r>
            <w:r>
              <w:rPr>
                <w:rFonts w:hint="eastAsia" w:eastAsiaTheme="minorEastAsia"/>
                <w:color w:val="auto"/>
                <w:sz w:val="21"/>
                <w:szCs w:val="21"/>
                <w:lang w:eastAsia="zh-CN"/>
              </w:rPr>
              <w:t>）</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1134"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最大超标倍数</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1134"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最大单因子指数</w:t>
            </w:r>
          </w:p>
        </w:tc>
        <w:tc>
          <w:tcPr>
            <w:tcW w:w="850" w:type="dxa"/>
            <w:vAlign w:val="center"/>
          </w:tcPr>
          <w:p>
            <w:pPr>
              <w:jc w:val="center"/>
              <w:rPr>
                <w:rFonts w:eastAsiaTheme="minorEastAsia"/>
                <w:color w:val="auto"/>
                <w:sz w:val="21"/>
                <w:szCs w:val="21"/>
              </w:rPr>
            </w:pPr>
            <w:r>
              <w:rPr>
                <w:rFonts w:eastAsiaTheme="minorEastAsia"/>
                <w:color w:val="auto"/>
                <w:sz w:val="21"/>
                <w:szCs w:val="21"/>
              </w:rPr>
              <w:t>0.20</w:t>
            </w:r>
          </w:p>
        </w:tc>
        <w:tc>
          <w:tcPr>
            <w:tcW w:w="1134" w:type="dxa"/>
            <w:vAlign w:val="center"/>
          </w:tcPr>
          <w:p>
            <w:pPr>
              <w:jc w:val="center"/>
              <w:rPr>
                <w:rFonts w:eastAsiaTheme="minorEastAsia"/>
                <w:color w:val="auto"/>
                <w:sz w:val="21"/>
                <w:szCs w:val="21"/>
              </w:rPr>
            </w:pPr>
            <w:r>
              <w:rPr>
                <w:rFonts w:eastAsiaTheme="minorEastAsia"/>
                <w:color w:val="auto"/>
                <w:sz w:val="21"/>
                <w:szCs w:val="21"/>
              </w:rPr>
              <w:t>0.73</w:t>
            </w:r>
          </w:p>
        </w:tc>
        <w:tc>
          <w:tcPr>
            <w:tcW w:w="851" w:type="dxa"/>
            <w:vAlign w:val="center"/>
          </w:tcPr>
          <w:p>
            <w:pPr>
              <w:jc w:val="center"/>
              <w:rPr>
                <w:rFonts w:eastAsiaTheme="minorEastAsia"/>
                <w:color w:val="auto"/>
                <w:sz w:val="21"/>
                <w:szCs w:val="21"/>
              </w:rPr>
            </w:pPr>
            <w:r>
              <w:rPr>
                <w:rFonts w:eastAsiaTheme="minorEastAsia"/>
                <w:color w:val="auto"/>
                <w:sz w:val="21"/>
                <w:szCs w:val="21"/>
              </w:rPr>
              <w:t>0.18</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0.46</w:t>
            </w:r>
          </w:p>
        </w:tc>
        <w:tc>
          <w:tcPr>
            <w:tcW w:w="925" w:type="dxa"/>
            <w:vAlign w:val="center"/>
          </w:tcPr>
          <w:p>
            <w:pPr>
              <w:jc w:val="center"/>
              <w:rPr>
                <w:rFonts w:eastAsiaTheme="minorEastAsia"/>
                <w:color w:val="auto"/>
                <w:sz w:val="21"/>
                <w:szCs w:val="21"/>
              </w:rPr>
            </w:pPr>
            <w:r>
              <w:rPr>
                <w:rFonts w:eastAsiaTheme="minorEastAsia"/>
                <w:color w:val="auto"/>
                <w:sz w:val="21"/>
                <w:szCs w:val="21"/>
              </w:rPr>
              <w:t>/</w:t>
            </w:r>
          </w:p>
        </w:tc>
        <w:tc>
          <w:tcPr>
            <w:tcW w:w="925" w:type="dxa"/>
            <w:vAlign w:val="center"/>
          </w:tcPr>
          <w:p>
            <w:pPr>
              <w:jc w:val="center"/>
              <w:rPr>
                <w:rFonts w:eastAsiaTheme="minorEastAsia"/>
                <w:color w:val="auto"/>
                <w:sz w:val="21"/>
                <w:szCs w:val="21"/>
              </w:rPr>
            </w:pPr>
            <w:r>
              <w:rPr>
                <w:rFonts w:eastAsiaTheme="minorEastAsia"/>
                <w:color w:val="auto"/>
                <w:sz w:val="21"/>
                <w:szCs w:val="21"/>
              </w:rPr>
              <w:t>0.03</w:t>
            </w:r>
          </w:p>
        </w:tc>
        <w:tc>
          <w:tcPr>
            <w:tcW w:w="885" w:type="dxa"/>
            <w:vAlign w:val="center"/>
          </w:tcPr>
          <w:p>
            <w:pPr>
              <w:jc w:val="center"/>
              <w:rPr>
                <w:rFonts w:eastAsiaTheme="minorEastAsia"/>
                <w:color w:val="auto"/>
                <w:sz w:val="21"/>
                <w:szCs w:val="21"/>
              </w:rPr>
            </w:pPr>
            <w:r>
              <w:rPr>
                <w:rFonts w:eastAsiaTheme="minorEastAsia"/>
                <w:color w:val="auto"/>
                <w:sz w:val="21"/>
                <w:szCs w:val="21"/>
              </w:rPr>
              <w:t>0.77</w:t>
            </w:r>
          </w:p>
        </w:tc>
        <w:tc>
          <w:tcPr>
            <w:tcW w:w="885" w:type="dxa"/>
            <w:vAlign w:val="center"/>
          </w:tcPr>
          <w:p>
            <w:pPr>
              <w:jc w:val="center"/>
              <w:rPr>
                <w:rFonts w:eastAsiaTheme="minorEastAsia"/>
                <w:color w:val="auto"/>
                <w:sz w:val="21"/>
                <w:szCs w:val="21"/>
              </w:rPr>
            </w:pPr>
            <w:r>
              <w:rPr>
                <w:rFonts w:eastAsiaTheme="minorEastAsia"/>
                <w:color w:val="auto"/>
                <w:sz w:val="21"/>
                <w:szCs w:val="21"/>
              </w:rPr>
              <w:t>0.39</w:t>
            </w:r>
          </w:p>
        </w:tc>
        <w:tc>
          <w:tcPr>
            <w:tcW w:w="885" w:type="dxa"/>
            <w:vAlign w:val="center"/>
          </w:tcPr>
          <w:p>
            <w:pPr>
              <w:jc w:val="center"/>
              <w:rPr>
                <w:rFonts w:eastAsiaTheme="minorEastAsia"/>
                <w:color w:val="auto"/>
                <w:sz w:val="21"/>
                <w:szCs w:val="21"/>
              </w:rPr>
            </w:pPr>
            <w:r>
              <w:rPr>
                <w:rFonts w:eastAsiaTheme="minorEastAsia"/>
                <w:color w:val="auto"/>
                <w:sz w:val="21"/>
                <w:szCs w:val="21"/>
              </w:rPr>
              <w:t>0.01</w:t>
            </w:r>
          </w:p>
        </w:tc>
        <w:tc>
          <w:tcPr>
            <w:tcW w:w="885" w:type="dxa"/>
            <w:vAlign w:val="center"/>
          </w:tcPr>
          <w:p>
            <w:pPr>
              <w:jc w:val="center"/>
              <w:rPr>
                <w:rFonts w:eastAsiaTheme="minorEastAsia"/>
                <w:color w:val="auto"/>
                <w:sz w:val="21"/>
                <w:szCs w:val="21"/>
              </w:rPr>
            </w:pPr>
            <w:r>
              <w:rPr>
                <w:rFonts w:eastAsiaTheme="minorEastAsia"/>
                <w:color w:val="auto"/>
                <w:sz w:val="21"/>
                <w:szCs w:val="21"/>
              </w:rPr>
              <w:t>0.01</w:t>
            </w:r>
          </w:p>
        </w:tc>
        <w:tc>
          <w:tcPr>
            <w:tcW w:w="885" w:type="dxa"/>
            <w:vAlign w:val="center"/>
          </w:tcPr>
          <w:p>
            <w:pPr>
              <w:jc w:val="center"/>
              <w:rPr>
                <w:rFonts w:eastAsiaTheme="minorEastAsia"/>
                <w:color w:val="auto"/>
                <w:sz w:val="21"/>
                <w:szCs w:val="21"/>
              </w:rPr>
            </w:pPr>
            <w:r>
              <w:rPr>
                <w:rFonts w:eastAsiaTheme="minorEastAsia"/>
                <w:color w:val="auto"/>
                <w:sz w:val="21"/>
                <w:szCs w:val="21"/>
              </w:rPr>
              <w:t>0.02</w:t>
            </w:r>
          </w:p>
        </w:tc>
        <w:tc>
          <w:tcPr>
            <w:tcW w:w="885" w:type="dxa"/>
            <w:vAlign w:val="center"/>
          </w:tcPr>
          <w:p>
            <w:pPr>
              <w:jc w:val="center"/>
              <w:rPr>
                <w:rFonts w:eastAsiaTheme="minorEastAsia"/>
                <w:color w:val="auto"/>
                <w:sz w:val="21"/>
                <w:szCs w:val="21"/>
              </w:rPr>
            </w:pPr>
            <w:r>
              <w:rPr>
                <w:rFonts w:eastAsiaTheme="minorEastAsia"/>
                <w:color w:val="auto"/>
                <w:sz w:val="21"/>
                <w:szCs w:val="21"/>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标准值（mg/L）</w:t>
            </w:r>
          </w:p>
        </w:tc>
        <w:tc>
          <w:tcPr>
            <w:tcW w:w="850" w:type="dxa"/>
            <w:vAlign w:val="center"/>
          </w:tcPr>
          <w:p>
            <w:pPr>
              <w:jc w:val="center"/>
              <w:rPr>
                <w:rFonts w:eastAsiaTheme="minorEastAsia"/>
                <w:color w:val="auto"/>
                <w:sz w:val="21"/>
                <w:szCs w:val="21"/>
              </w:rPr>
            </w:pPr>
            <w:r>
              <w:rPr>
                <w:rFonts w:eastAsiaTheme="minorEastAsia"/>
                <w:color w:val="auto"/>
                <w:sz w:val="21"/>
                <w:szCs w:val="21"/>
              </w:rPr>
              <w:t>≤0.05</w:t>
            </w:r>
          </w:p>
        </w:tc>
        <w:tc>
          <w:tcPr>
            <w:tcW w:w="1134" w:type="dxa"/>
            <w:vAlign w:val="center"/>
          </w:tcPr>
          <w:p>
            <w:pPr>
              <w:jc w:val="center"/>
              <w:rPr>
                <w:rFonts w:eastAsiaTheme="minorEastAsia"/>
                <w:color w:val="auto"/>
                <w:sz w:val="21"/>
                <w:szCs w:val="21"/>
              </w:rPr>
            </w:pPr>
            <w:r>
              <w:rPr>
                <w:rFonts w:eastAsiaTheme="minorEastAsia"/>
                <w:color w:val="auto"/>
                <w:sz w:val="21"/>
                <w:szCs w:val="21"/>
              </w:rPr>
              <w:t>≤4</w:t>
            </w:r>
          </w:p>
        </w:tc>
        <w:tc>
          <w:tcPr>
            <w:tcW w:w="851" w:type="dxa"/>
            <w:vAlign w:val="center"/>
          </w:tcPr>
          <w:p>
            <w:pPr>
              <w:jc w:val="center"/>
              <w:rPr>
                <w:rFonts w:eastAsiaTheme="minorEastAsia"/>
                <w:color w:val="auto"/>
                <w:sz w:val="21"/>
                <w:szCs w:val="21"/>
              </w:rPr>
            </w:pPr>
            <w:r>
              <w:rPr>
                <w:rFonts w:eastAsiaTheme="minorEastAsia"/>
                <w:color w:val="auto"/>
                <w:sz w:val="21"/>
                <w:szCs w:val="21"/>
              </w:rPr>
              <w:t>≤10</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≤10000</w:t>
            </w:r>
          </w:p>
        </w:tc>
        <w:tc>
          <w:tcPr>
            <w:tcW w:w="925" w:type="dxa"/>
            <w:vAlign w:val="center"/>
          </w:tcPr>
          <w:p>
            <w:pPr>
              <w:jc w:val="center"/>
              <w:rPr>
                <w:rFonts w:eastAsiaTheme="minorEastAsia"/>
                <w:color w:val="auto"/>
                <w:sz w:val="21"/>
                <w:szCs w:val="21"/>
              </w:rPr>
            </w:pPr>
            <w:r>
              <w:rPr>
                <w:rFonts w:eastAsiaTheme="minorEastAsia"/>
                <w:color w:val="auto"/>
                <w:sz w:val="21"/>
                <w:szCs w:val="21"/>
              </w:rPr>
              <w:t>≤0.0001</w:t>
            </w:r>
          </w:p>
        </w:tc>
        <w:tc>
          <w:tcPr>
            <w:tcW w:w="925" w:type="dxa"/>
            <w:vAlign w:val="center"/>
          </w:tcPr>
          <w:p>
            <w:pPr>
              <w:jc w:val="center"/>
              <w:rPr>
                <w:rFonts w:eastAsiaTheme="minorEastAsia"/>
                <w:color w:val="auto"/>
                <w:sz w:val="21"/>
                <w:szCs w:val="21"/>
              </w:rPr>
            </w:pPr>
            <w:r>
              <w:rPr>
                <w:rFonts w:eastAsiaTheme="minorEastAsia"/>
                <w:color w:val="auto"/>
                <w:sz w:val="21"/>
                <w:szCs w:val="21"/>
              </w:rPr>
              <w:t>≤0.05</w:t>
            </w:r>
          </w:p>
        </w:tc>
        <w:tc>
          <w:tcPr>
            <w:tcW w:w="885" w:type="dxa"/>
            <w:vAlign w:val="center"/>
          </w:tcPr>
          <w:p>
            <w:pPr>
              <w:jc w:val="center"/>
              <w:rPr>
                <w:rFonts w:eastAsiaTheme="minorEastAsia"/>
                <w:color w:val="auto"/>
                <w:sz w:val="21"/>
                <w:szCs w:val="21"/>
              </w:rPr>
            </w:pPr>
            <w:r>
              <w:rPr>
                <w:rFonts w:eastAsiaTheme="minorEastAsia"/>
                <w:color w:val="auto"/>
                <w:sz w:val="21"/>
                <w:szCs w:val="21"/>
              </w:rPr>
              <w:t>≤0.1</w:t>
            </w:r>
          </w:p>
        </w:tc>
        <w:tc>
          <w:tcPr>
            <w:tcW w:w="885" w:type="dxa"/>
            <w:vAlign w:val="center"/>
          </w:tcPr>
          <w:p>
            <w:pPr>
              <w:jc w:val="center"/>
              <w:rPr>
                <w:rFonts w:eastAsiaTheme="minorEastAsia"/>
                <w:color w:val="auto"/>
                <w:sz w:val="21"/>
                <w:szCs w:val="21"/>
              </w:rPr>
            </w:pPr>
            <w:r>
              <w:rPr>
                <w:rFonts w:eastAsiaTheme="minorEastAsia"/>
                <w:color w:val="auto"/>
                <w:sz w:val="21"/>
                <w:szCs w:val="21"/>
              </w:rPr>
              <w:t>≤0.3</w:t>
            </w:r>
          </w:p>
        </w:tc>
        <w:tc>
          <w:tcPr>
            <w:tcW w:w="885" w:type="dxa"/>
            <w:vAlign w:val="center"/>
          </w:tcPr>
          <w:p>
            <w:pPr>
              <w:jc w:val="center"/>
              <w:rPr>
                <w:rFonts w:eastAsiaTheme="minorEastAsia"/>
                <w:color w:val="auto"/>
                <w:sz w:val="21"/>
                <w:szCs w:val="21"/>
              </w:rPr>
            </w:pPr>
            <w:r>
              <w:rPr>
                <w:rFonts w:eastAsiaTheme="minorEastAsia"/>
                <w:color w:val="auto"/>
                <w:sz w:val="21"/>
                <w:szCs w:val="21"/>
              </w:rPr>
              <w:t>≤1.0</w:t>
            </w:r>
          </w:p>
        </w:tc>
        <w:tc>
          <w:tcPr>
            <w:tcW w:w="885" w:type="dxa"/>
            <w:vAlign w:val="center"/>
          </w:tcPr>
          <w:p>
            <w:pPr>
              <w:jc w:val="center"/>
              <w:rPr>
                <w:rFonts w:eastAsiaTheme="minorEastAsia"/>
                <w:color w:val="auto"/>
                <w:sz w:val="21"/>
                <w:szCs w:val="21"/>
              </w:rPr>
            </w:pPr>
            <w:r>
              <w:rPr>
                <w:rFonts w:eastAsiaTheme="minorEastAsia"/>
                <w:color w:val="auto"/>
                <w:sz w:val="21"/>
                <w:szCs w:val="21"/>
              </w:rPr>
              <w:t>≤1.0</w:t>
            </w:r>
          </w:p>
        </w:tc>
        <w:tc>
          <w:tcPr>
            <w:tcW w:w="885" w:type="dxa"/>
            <w:vAlign w:val="center"/>
          </w:tcPr>
          <w:p>
            <w:pPr>
              <w:jc w:val="center"/>
              <w:rPr>
                <w:rFonts w:eastAsiaTheme="minorEastAsia"/>
                <w:color w:val="auto"/>
                <w:sz w:val="21"/>
                <w:szCs w:val="21"/>
              </w:rPr>
            </w:pPr>
            <w:r>
              <w:rPr>
                <w:rFonts w:eastAsiaTheme="minorEastAsia"/>
                <w:color w:val="auto"/>
                <w:sz w:val="21"/>
                <w:szCs w:val="21"/>
              </w:rPr>
              <w:t>≤0.005</w:t>
            </w:r>
          </w:p>
        </w:tc>
        <w:tc>
          <w:tcPr>
            <w:tcW w:w="885" w:type="dxa"/>
            <w:vAlign w:val="center"/>
          </w:tcPr>
          <w:p>
            <w:pPr>
              <w:jc w:val="center"/>
              <w:rPr>
                <w:rFonts w:eastAsiaTheme="minorEastAsia"/>
                <w:color w:val="auto"/>
                <w:sz w:val="21"/>
                <w:szCs w:val="21"/>
              </w:rPr>
            </w:pPr>
            <w:r>
              <w:rPr>
                <w:rFonts w:eastAsiaTheme="minorEastAsia"/>
                <w:color w:val="auto"/>
                <w:sz w:val="21"/>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restart"/>
            <w:vAlign w:val="center"/>
          </w:tcPr>
          <w:p>
            <w:pPr>
              <w:jc w:val="center"/>
              <w:rPr>
                <w:rFonts w:eastAsiaTheme="minorEastAsia"/>
                <w:color w:val="auto"/>
                <w:sz w:val="21"/>
                <w:szCs w:val="21"/>
              </w:rPr>
            </w:pPr>
            <w:r>
              <w:rPr>
                <w:rFonts w:eastAsiaTheme="minorEastAsia"/>
                <w:color w:val="auto"/>
                <w:sz w:val="21"/>
                <w:szCs w:val="21"/>
              </w:rPr>
              <w:t>W6</w:t>
            </w:r>
          </w:p>
        </w:tc>
        <w:tc>
          <w:tcPr>
            <w:tcW w:w="387" w:type="dxa"/>
            <w:vMerge w:val="restart"/>
            <w:vAlign w:val="center"/>
          </w:tcPr>
          <w:p>
            <w:pPr>
              <w:jc w:val="center"/>
              <w:rPr>
                <w:rFonts w:eastAsiaTheme="minorEastAsia"/>
                <w:color w:val="auto"/>
                <w:sz w:val="21"/>
                <w:szCs w:val="21"/>
              </w:rPr>
            </w:pPr>
            <w:r>
              <w:rPr>
                <w:rFonts w:eastAsiaTheme="minorEastAsia"/>
                <w:color w:val="auto"/>
                <w:sz w:val="21"/>
                <w:szCs w:val="21"/>
              </w:rPr>
              <w:t>监测值</w:t>
            </w:r>
          </w:p>
        </w:tc>
        <w:tc>
          <w:tcPr>
            <w:tcW w:w="676" w:type="dxa"/>
            <w:vAlign w:val="center"/>
          </w:tcPr>
          <w:p>
            <w:pPr>
              <w:jc w:val="center"/>
              <w:rPr>
                <w:rFonts w:eastAsiaTheme="minorEastAsia"/>
                <w:color w:val="auto"/>
                <w:sz w:val="21"/>
                <w:szCs w:val="21"/>
              </w:rPr>
            </w:pPr>
            <w:r>
              <w:rPr>
                <w:rFonts w:eastAsiaTheme="minorEastAsia"/>
                <w:color w:val="auto"/>
                <w:sz w:val="21"/>
                <w:szCs w:val="21"/>
              </w:rPr>
              <w:t>2019.3.25</w:t>
            </w:r>
          </w:p>
        </w:tc>
        <w:tc>
          <w:tcPr>
            <w:tcW w:w="850" w:type="dxa"/>
            <w:vAlign w:val="center"/>
          </w:tcPr>
          <w:p>
            <w:pPr>
              <w:jc w:val="center"/>
              <w:rPr>
                <w:rFonts w:eastAsiaTheme="minorEastAsia"/>
                <w:color w:val="auto"/>
                <w:sz w:val="21"/>
                <w:szCs w:val="21"/>
              </w:rPr>
            </w:pPr>
            <w:r>
              <w:rPr>
                <w:rFonts w:eastAsiaTheme="minorEastAsia"/>
                <w:color w:val="auto"/>
                <w:sz w:val="21"/>
                <w:szCs w:val="21"/>
              </w:rPr>
              <w:t>0.01</w:t>
            </w:r>
          </w:p>
        </w:tc>
        <w:tc>
          <w:tcPr>
            <w:tcW w:w="1134" w:type="dxa"/>
            <w:vAlign w:val="center"/>
          </w:tcPr>
          <w:p>
            <w:pPr>
              <w:jc w:val="center"/>
              <w:rPr>
                <w:rFonts w:eastAsiaTheme="minorEastAsia"/>
                <w:color w:val="auto"/>
                <w:sz w:val="21"/>
                <w:szCs w:val="21"/>
              </w:rPr>
            </w:pPr>
            <w:r>
              <w:rPr>
                <w:rFonts w:eastAsiaTheme="minorEastAsia"/>
                <w:color w:val="auto"/>
                <w:sz w:val="21"/>
                <w:szCs w:val="21"/>
              </w:rPr>
              <w:t>3.5</w:t>
            </w:r>
          </w:p>
        </w:tc>
        <w:tc>
          <w:tcPr>
            <w:tcW w:w="851" w:type="dxa"/>
            <w:vAlign w:val="center"/>
          </w:tcPr>
          <w:p>
            <w:pPr>
              <w:jc w:val="center"/>
              <w:rPr>
                <w:rFonts w:eastAsiaTheme="minorEastAsia"/>
                <w:color w:val="auto"/>
                <w:sz w:val="21"/>
                <w:szCs w:val="21"/>
              </w:rPr>
            </w:pPr>
            <w:r>
              <w:rPr>
                <w:rFonts w:eastAsiaTheme="minorEastAsia"/>
                <w:color w:val="auto"/>
                <w:sz w:val="21"/>
                <w:szCs w:val="21"/>
              </w:rPr>
              <w:t>1.74</w:t>
            </w:r>
          </w:p>
        </w:tc>
        <w:tc>
          <w:tcPr>
            <w:tcW w:w="850" w:type="dxa"/>
            <w:vAlign w:val="center"/>
          </w:tcPr>
          <w:p>
            <w:pPr>
              <w:jc w:val="center"/>
              <w:rPr>
                <w:rFonts w:eastAsiaTheme="minorEastAsia"/>
                <w:color w:val="auto"/>
                <w:sz w:val="21"/>
                <w:szCs w:val="21"/>
              </w:rPr>
            </w:pPr>
            <w:r>
              <w:rPr>
                <w:rFonts w:eastAsiaTheme="minorEastAsia"/>
                <w:color w:val="auto"/>
                <w:sz w:val="21"/>
                <w:szCs w:val="21"/>
              </w:rPr>
              <w:t>19</w:t>
            </w:r>
          </w:p>
        </w:tc>
        <w:tc>
          <w:tcPr>
            <w:tcW w:w="851" w:type="dxa"/>
            <w:vAlign w:val="center"/>
          </w:tcPr>
          <w:p>
            <w:pPr>
              <w:jc w:val="center"/>
              <w:rPr>
                <w:rFonts w:eastAsiaTheme="minorEastAsia"/>
                <w:color w:val="auto"/>
                <w:sz w:val="21"/>
                <w:szCs w:val="21"/>
              </w:rPr>
            </w:pPr>
            <w:r>
              <w:rPr>
                <w:rFonts w:eastAsiaTheme="minorEastAsia"/>
                <w:color w:val="auto"/>
                <w:sz w:val="21"/>
                <w:szCs w:val="21"/>
              </w:rPr>
              <w:t>2</w:t>
            </w:r>
          </w:p>
        </w:tc>
        <w:tc>
          <w:tcPr>
            <w:tcW w:w="952" w:type="dxa"/>
            <w:vAlign w:val="center"/>
          </w:tcPr>
          <w:p>
            <w:pPr>
              <w:jc w:val="center"/>
              <w:rPr>
                <w:rFonts w:eastAsiaTheme="minorEastAsia"/>
                <w:color w:val="auto"/>
                <w:sz w:val="21"/>
                <w:szCs w:val="21"/>
              </w:rPr>
            </w:pPr>
            <w:r>
              <w:rPr>
                <w:rFonts w:eastAsiaTheme="minorEastAsia"/>
                <w:color w:val="auto"/>
                <w:sz w:val="21"/>
                <w:szCs w:val="21"/>
              </w:rPr>
              <w:t>700</w:t>
            </w:r>
          </w:p>
        </w:tc>
        <w:tc>
          <w:tcPr>
            <w:tcW w:w="925" w:type="dxa"/>
            <w:vAlign w:val="center"/>
          </w:tcPr>
          <w:p>
            <w:pPr>
              <w:jc w:val="center"/>
              <w:rPr>
                <w:rFonts w:eastAsiaTheme="minorEastAsia"/>
                <w:color w:val="auto"/>
                <w:sz w:val="21"/>
                <w:szCs w:val="21"/>
              </w:rPr>
            </w:pPr>
            <w:r>
              <w:rPr>
                <w:rFonts w:eastAsiaTheme="minorEastAsia"/>
                <w:color w:val="auto"/>
                <w:sz w:val="21"/>
                <w:szCs w:val="21"/>
              </w:rPr>
              <w:t>＜0.00004</w:t>
            </w:r>
          </w:p>
        </w:tc>
        <w:tc>
          <w:tcPr>
            <w:tcW w:w="925" w:type="dxa"/>
            <w:vAlign w:val="center"/>
          </w:tcPr>
          <w:p>
            <w:pPr>
              <w:jc w:val="center"/>
              <w:rPr>
                <w:rFonts w:eastAsiaTheme="minorEastAsia"/>
                <w:color w:val="auto"/>
                <w:sz w:val="21"/>
                <w:szCs w:val="21"/>
              </w:rPr>
            </w:pPr>
            <w:r>
              <w:rPr>
                <w:rFonts w:eastAsiaTheme="minorEastAsia"/>
                <w:color w:val="auto"/>
                <w:sz w:val="21"/>
                <w:szCs w:val="21"/>
              </w:rPr>
              <w:t>0.0008</w:t>
            </w:r>
          </w:p>
        </w:tc>
        <w:tc>
          <w:tcPr>
            <w:tcW w:w="885" w:type="dxa"/>
            <w:vAlign w:val="center"/>
          </w:tcPr>
          <w:p>
            <w:pPr>
              <w:jc w:val="center"/>
              <w:rPr>
                <w:rFonts w:eastAsiaTheme="minorEastAsia"/>
                <w:color w:val="auto"/>
                <w:sz w:val="21"/>
                <w:szCs w:val="21"/>
              </w:rPr>
            </w:pPr>
            <w:r>
              <w:rPr>
                <w:rFonts w:eastAsiaTheme="minorEastAsia"/>
                <w:color w:val="auto"/>
                <w:sz w:val="21"/>
                <w:szCs w:val="21"/>
              </w:rPr>
              <w:t>44.1</w:t>
            </w:r>
          </w:p>
        </w:tc>
        <w:tc>
          <w:tcPr>
            <w:tcW w:w="885" w:type="dxa"/>
            <w:vAlign w:val="center"/>
          </w:tcPr>
          <w:p>
            <w:pPr>
              <w:jc w:val="center"/>
              <w:rPr>
                <w:rFonts w:eastAsiaTheme="minorEastAsia"/>
                <w:color w:val="auto"/>
                <w:sz w:val="21"/>
                <w:szCs w:val="21"/>
              </w:rPr>
            </w:pPr>
            <w:r>
              <w:rPr>
                <w:rFonts w:eastAsiaTheme="minorEastAsia"/>
                <w:color w:val="auto"/>
                <w:sz w:val="21"/>
                <w:szCs w:val="21"/>
              </w:rPr>
              <w:t>77.9</w:t>
            </w:r>
          </w:p>
        </w:tc>
        <w:tc>
          <w:tcPr>
            <w:tcW w:w="885" w:type="dxa"/>
            <w:vAlign w:val="center"/>
          </w:tcPr>
          <w:p>
            <w:pPr>
              <w:jc w:val="center"/>
              <w:rPr>
                <w:rFonts w:eastAsiaTheme="minorEastAsia"/>
                <w:color w:val="auto"/>
                <w:sz w:val="21"/>
                <w:szCs w:val="21"/>
              </w:rPr>
            </w:pPr>
            <w:r>
              <w:rPr>
                <w:rFonts w:eastAsiaTheme="minorEastAsia"/>
                <w:color w:val="auto"/>
                <w:sz w:val="21"/>
                <w:szCs w:val="21"/>
              </w:rPr>
              <w:t>4.04</w:t>
            </w:r>
          </w:p>
        </w:tc>
        <w:tc>
          <w:tcPr>
            <w:tcW w:w="885" w:type="dxa"/>
            <w:vAlign w:val="center"/>
          </w:tcPr>
          <w:p>
            <w:pPr>
              <w:jc w:val="center"/>
              <w:rPr>
                <w:rFonts w:eastAsiaTheme="minorEastAsia"/>
                <w:color w:val="auto"/>
                <w:sz w:val="21"/>
                <w:szCs w:val="21"/>
              </w:rPr>
            </w:pPr>
            <w:r>
              <w:rPr>
                <w:rFonts w:eastAsiaTheme="minorEastAsia"/>
                <w:color w:val="auto"/>
                <w:sz w:val="21"/>
                <w:szCs w:val="21"/>
              </w:rPr>
              <w:t>4.71</w:t>
            </w:r>
          </w:p>
        </w:tc>
        <w:tc>
          <w:tcPr>
            <w:tcW w:w="885" w:type="dxa"/>
            <w:vAlign w:val="center"/>
          </w:tcPr>
          <w:p>
            <w:pPr>
              <w:jc w:val="center"/>
              <w:rPr>
                <w:rFonts w:eastAsiaTheme="minorEastAsia"/>
                <w:color w:val="auto"/>
                <w:sz w:val="21"/>
                <w:szCs w:val="21"/>
              </w:rPr>
            </w:pPr>
            <w:r>
              <w:rPr>
                <w:rFonts w:eastAsiaTheme="minorEastAsia"/>
                <w:color w:val="auto"/>
                <w:sz w:val="21"/>
                <w:szCs w:val="21"/>
              </w:rPr>
              <w:t>＜0.05</w:t>
            </w:r>
          </w:p>
        </w:tc>
        <w:tc>
          <w:tcPr>
            <w:tcW w:w="885" w:type="dxa"/>
            <w:vAlign w:val="center"/>
          </w:tcPr>
          <w:p>
            <w:pPr>
              <w:jc w:val="center"/>
              <w:rPr>
                <w:rFonts w:eastAsiaTheme="minorEastAsia"/>
                <w:color w:val="auto"/>
                <w:sz w:val="21"/>
                <w:szCs w:val="21"/>
              </w:rPr>
            </w:pPr>
            <w:r>
              <w:rPr>
                <w:rFonts w:eastAsiaTheme="minorEastAsia"/>
                <w:color w:val="auto"/>
                <w:sz w:val="21"/>
                <w:szCs w:val="21"/>
              </w:rPr>
              <w:t>0.93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387" w:type="dxa"/>
            <w:vMerge w:val="continue"/>
            <w:vAlign w:val="center"/>
          </w:tcPr>
          <w:p>
            <w:pPr>
              <w:jc w:val="center"/>
              <w:rPr>
                <w:rFonts w:eastAsiaTheme="minorEastAsia"/>
                <w:color w:val="auto"/>
                <w:sz w:val="21"/>
                <w:szCs w:val="21"/>
              </w:rPr>
            </w:pPr>
          </w:p>
        </w:tc>
        <w:tc>
          <w:tcPr>
            <w:tcW w:w="676" w:type="dxa"/>
            <w:vAlign w:val="center"/>
          </w:tcPr>
          <w:p>
            <w:pPr>
              <w:jc w:val="center"/>
              <w:rPr>
                <w:rFonts w:eastAsiaTheme="minorEastAsia"/>
                <w:color w:val="auto"/>
                <w:sz w:val="21"/>
                <w:szCs w:val="21"/>
              </w:rPr>
            </w:pPr>
            <w:r>
              <w:rPr>
                <w:rFonts w:eastAsiaTheme="minorEastAsia"/>
                <w:color w:val="auto"/>
                <w:sz w:val="21"/>
                <w:szCs w:val="21"/>
              </w:rPr>
              <w:t>2019.3.26</w:t>
            </w:r>
          </w:p>
        </w:tc>
        <w:tc>
          <w:tcPr>
            <w:tcW w:w="850" w:type="dxa"/>
            <w:vAlign w:val="center"/>
          </w:tcPr>
          <w:p>
            <w:pPr>
              <w:jc w:val="center"/>
              <w:rPr>
                <w:rFonts w:eastAsiaTheme="minorEastAsia"/>
                <w:color w:val="auto"/>
                <w:sz w:val="21"/>
                <w:szCs w:val="21"/>
              </w:rPr>
            </w:pPr>
            <w:r>
              <w:rPr>
                <w:rFonts w:eastAsiaTheme="minorEastAsia"/>
                <w:color w:val="auto"/>
                <w:sz w:val="21"/>
                <w:szCs w:val="21"/>
              </w:rPr>
              <w:t>0.01</w:t>
            </w:r>
          </w:p>
        </w:tc>
        <w:tc>
          <w:tcPr>
            <w:tcW w:w="1134" w:type="dxa"/>
            <w:vAlign w:val="center"/>
          </w:tcPr>
          <w:p>
            <w:pPr>
              <w:jc w:val="center"/>
              <w:rPr>
                <w:rFonts w:eastAsiaTheme="minorEastAsia"/>
                <w:color w:val="auto"/>
                <w:sz w:val="21"/>
                <w:szCs w:val="21"/>
              </w:rPr>
            </w:pPr>
            <w:r>
              <w:rPr>
                <w:rFonts w:eastAsiaTheme="minorEastAsia"/>
                <w:color w:val="auto"/>
                <w:sz w:val="21"/>
                <w:szCs w:val="21"/>
              </w:rPr>
              <w:t>2.9</w:t>
            </w:r>
          </w:p>
        </w:tc>
        <w:tc>
          <w:tcPr>
            <w:tcW w:w="851" w:type="dxa"/>
            <w:vAlign w:val="center"/>
          </w:tcPr>
          <w:p>
            <w:pPr>
              <w:jc w:val="center"/>
              <w:rPr>
                <w:rFonts w:eastAsiaTheme="minorEastAsia"/>
                <w:color w:val="auto"/>
                <w:sz w:val="21"/>
                <w:szCs w:val="21"/>
              </w:rPr>
            </w:pPr>
            <w:r>
              <w:rPr>
                <w:rFonts w:eastAsiaTheme="minorEastAsia"/>
                <w:color w:val="auto"/>
                <w:sz w:val="21"/>
                <w:szCs w:val="21"/>
              </w:rPr>
              <w:t>1.92</w:t>
            </w:r>
          </w:p>
        </w:tc>
        <w:tc>
          <w:tcPr>
            <w:tcW w:w="850" w:type="dxa"/>
            <w:vAlign w:val="center"/>
          </w:tcPr>
          <w:p>
            <w:pPr>
              <w:jc w:val="center"/>
              <w:rPr>
                <w:rFonts w:eastAsiaTheme="minorEastAsia"/>
                <w:color w:val="auto"/>
                <w:sz w:val="21"/>
                <w:szCs w:val="21"/>
              </w:rPr>
            </w:pPr>
            <w:r>
              <w:rPr>
                <w:rFonts w:eastAsiaTheme="minorEastAsia"/>
                <w:color w:val="auto"/>
                <w:sz w:val="21"/>
                <w:szCs w:val="21"/>
              </w:rPr>
              <w:t>22</w:t>
            </w:r>
          </w:p>
        </w:tc>
        <w:tc>
          <w:tcPr>
            <w:tcW w:w="851" w:type="dxa"/>
            <w:vAlign w:val="center"/>
          </w:tcPr>
          <w:p>
            <w:pPr>
              <w:jc w:val="center"/>
              <w:rPr>
                <w:rFonts w:eastAsiaTheme="minorEastAsia"/>
                <w:color w:val="auto"/>
                <w:sz w:val="21"/>
                <w:szCs w:val="21"/>
              </w:rPr>
            </w:pPr>
            <w:r>
              <w:rPr>
                <w:rFonts w:eastAsiaTheme="minorEastAsia"/>
                <w:color w:val="auto"/>
                <w:sz w:val="21"/>
                <w:szCs w:val="21"/>
              </w:rPr>
              <w:t>2</w:t>
            </w:r>
          </w:p>
        </w:tc>
        <w:tc>
          <w:tcPr>
            <w:tcW w:w="952" w:type="dxa"/>
            <w:vAlign w:val="center"/>
          </w:tcPr>
          <w:p>
            <w:pPr>
              <w:jc w:val="center"/>
              <w:rPr>
                <w:rFonts w:eastAsiaTheme="minorEastAsia"/>
                <w:color w:val="auto"/>
                <w:sz w:val="21"/>
                <w:szCs w:val="21"/>
              </w:rPr>
            </w:pPr>
            <w:r>
              <w:rPr>
                <w:rFonts w:eastAsiaTheme="minorEastAsia"/>
                <w:color w:val="auto"/>
                <w:sz w:val="21"/>
                <w:szCs w:val="21"/>
              </w:rPr>
              <w:t>630</w:t>
            </w:r>
          </w:p>
        </w:tc>
        <w:tc>
          <w:tcPr>
            <w:tcW w:w="925" w:type="dxa"/>
            <w:vAlign w:val="center"/>
          </w:tcPr>
          <w:p>
            <w:pPr>
              <w:jc w:val="center"/>
              <w:rPr>
                <w:rFonts w:eastAsiaTheme="minorEastAsia"/>
                <w:color w:val="auto"/>
                <w:sz w:val="21"/>
                <w:szCs w:val="21"/>
              </w:rPr>
            </w:pPr>
            <w:r>
              <w:rPr>
                <w:rFonts w:eastAsiaTheme="minorEastAsia"/>
                <w:color w:val="auto"/>
                <w:sz w:val="21"/>
                <w:szCs w:val="21"/>
              </w:rPr>
              <w:t>＜0.00004</w:t>
            </w:r>
          </w:p>
        </w:tc>
        <w:tc>
          <w:tcPr>
            <w:tcW w:w="925" w:type="dxa"/>
            <w:vAlign w:val="center"/>
          </w:tcPr>
          <w:p>
            <w:pPr>
              <w:jc w:val="center"/>
              <w:rPr>
                <w:rFonts w:eastAsiaTheme="minorEastAsia"/>
                <w:color w:val="auto"/>
                <w:sz w:val="21"/>
                <w:szCs w:val="21"/>
              </w:rPr>
            </w:pPr>
            <w:r>
              <w:rPr>
                <w:rFonts w:eastAsiaTheme="minorEastAsia"/>
                <w:color w:val="auto"/>
                <w:sz w:val="21"/>
                <w:szCs w:val="21"/>
              </w:rPr>
              <w:t>0.0014</w:t>
            </w:r>
          </w:p>
        </w:tc>
        <w:tc>
          <w:tcPr>
            <w:tcW w:w="885" w:type="dxa"/>
            <w:vAlign w:val="center"/>
          </w:tcPr>
          <w:p>
            <w:pPr>
              <w:jc w:val="center"/>
              <w:rPr>
                <w:rFonts w:eastAsiaTheme="minorEastAsia"/>
                <w:color w:val="auto"/>
                <w:sz w:val="21"/>
                <w:szCs w:val="21"/>
              </w:rPr>
            </w:pPr>
            <w:r>
              <w:rPr>
                <w:rFonts w:eastAsiaTheme="minorEastAsia"/>
                <w:color w:val="auto"/>
                <w:sz w:val="21"/>
                <w:szCs w:val="21"/>
              </w:rPr>
              <w:t>43.6</w:t>
            </w:r>
          </w:p>
        </w:tc>
        <w:tc>
          <w:tcPr>
            <w:tcW w:w="885" w:type="dxa"/>
            <w:vAlign w:val="center"/>
          </w:tcPr>
          <w:p>
            <w:pPr>
              <w:jc w:val="center"/>
              <w:rPr>
                <w:rFonts w:eastAsiaTheme="minorEastAsia"/>
                <w:color w:val="auto"/>
                <w:sz w:val="21"/>
                <w:szCs w:val="21"/>
              </w:rPr>
            </w:pPr>
            <w:r>
              <w:rPr>
                <w:rFonts w:eastAsiaTheme="minorEastAsia"/>
                <w:color w:val="auto"/>
                <w:sz w:val="21"/>
                <w:szCs w:val="21"/>
              </w:rPr>
              <w:t>73.5</w:t>
            </w:r>
          </w:p>
        </w:tc>
        <w:tc>
          <w:tcPr>
            <w:tcW w:w="885" w:type="dxa"/>
            <w:vAlign w:val="center"/>
          </w:tcPr>
          <w:p>
            <w:pPr>
              <w:jc w:val="center"/>
              <w:rPr>
                <w:rFonts w:eastAsiaTheme="minorEastAsia"/>
                <w:color w:val="auto"/>
                <w:sz w:val="21"/>
                <w:szCs w:val="21"/>
              </w:rPr>
            </w:pPr>
            <w:r>
              <w:rPr>
                <w:rFonts w:eastAsiaTheme="minorEastAsia"/>
                <w:color w:val="auto"/>
                <w:sz w:val="21"/>
                <w:szCs w:val="21"/>
              </w:rPr>
              <w:t>3.89</w:t>
            </w:r>
          </w:p>
        </w:tc>
        <w:tc>
          <w:tcPr>
            <w:tcW w:w="885" w:type="dxa"/>
            <w:vAlign w:val="center"/>
          </w:tcPr>
          <w:p>
            <w:pPr>
              <w:jc w:val="center"/>
              <w:rPr>
                <w:rFonts w:eastAsiaTheme="minorEastAsia"/>
                <w:color w:val="auto"/>
                <w:sz w:val="21"/>
                <w:szCs w:val="21"/>
              </w:rPr>
            </w:pPr>
            <w:r>
              <w:rPr>
                <w:rFonts w:eastAsiaTheme="minorEastAsia"/>
                <w:color w:val="auto"/>
                <w:sz w:val="21"/>
                <w:szCs w:val="21"/>
              </w:rPr>
              <w:t>4.53</w:t>
            </w:r>
          </w:p>
        </w:tc>
        <w:tc>
          <w:tcPr>
            <w:tcW w:w="885" w:type="dxa"/>
            <w:vAlign w:val="center"/>
          </w:tcPr>
          <w:p>
            <w:pPr>
              <w:jc w:val="center"/>
              <w:rPr>
                <w:rFonts w:eastAsiaTheme="minorEastAsia"/>
                <w:color w:val="auto"/>
                <w:sz w:val="21"/>
                <w:szCs w:val="21"/>
              </w:rPr>
            </w:pPr>
            <w:r>
              <w:rPr>
                <w:rFonts w:eastAsiaTheme="minorEastAsia"/>
                <w:color w:val="auto"/>
                <w:sz w:val="21"/>
                <w:szCs w:val="21"/>
              </w:rPr>
              <w:t>＜0.05</w:t>
            </w:r>
          </w:p>
        </w:tc>
        <w:tc>
          <w:tcPr>
            <w:tcW w:w="885" w:type="dxa"/>
            <w:vAlign w:val="center"/>
          </w:tcPr>
          <w:p>
            <w:pPr>
              <w:jc w:val="center"/>
              <w:rPr>
                <w:rFonts w:eastAsiaTheme="minorEastAsia"/>
                <w:color w:val="auto"/>
                <w:sz w:val="21"/>
                <w:szCs w:val="21"/>
              </w:rPr>
            </w:pPr>
            <w:r>
              <w:rPr>
                <w:rFonts w:eastAsiaTheme="minorEastAsia"/>
                <w:color w:val="auto"/>
                <w:sz w:val="21"/>
                <w:szCs w:val="21"/>
              </w:rPr>
              <w:t>0.93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387" w:type="dxa"/>
            <w:vMerge w:val="continue"/>
            <w:vAlign w:val="center"/>
          </w:tcPr>
          <w:p>
            <w:pPr>
              <w:jc w:val="center"/>
              <w:rPr>
                <w:rFonts w:eastAsiaTheme="minorEastAsia"/>
                <w:color w:val="auto"/>
                <w:sz w:val="21"/>
                <w:szCs w:val="21"/>
              </w:rPr>
            </w:pPr>
          </w:p>
        </w:tc>
        <w:tc>
          <w:tcPr>
            <w:tcW w:w="676" w:type="dxa"/>
            <w:vAlign w:val="center"/>
          </w:tcPr>
          <w:p>
            <w:pPr>
              <w:jc w:val="center"/>
              <w:rPr>
                <w:rFonts w:eastAsiaTheme="minorEastAsia"/>
                <w:color w:val="auto"/>
                <w:sz w:val="21"/>
                <w:szCs w:val="21"/>
              </w:rPr>
            </w:pPr>
            <w:r>
              <w:rPr>
                <w:rFonts w:eastAsiaTheme="minorEastAsia"/>
                <w:color w:val="auto"/>
                <w:sz w:val="21"/>
                <w:szCs w:val="21"/>
              </w:rPr>
              <w:t>2019.3.27</w:t>
            </w:r>
          </w:p>
        </w:tc>
        <w:tc>
          <w:tcPr>
            <w:tcW w:w="850" w:type="dxa"/>
            <w:vAlign w:val="center"/>
          </w:tcPr>
          <w:p>
            <w:pPr>
              <w:jc w:val="center"/>
              <w:rPr>
                <w:rFonts w:eastAsiaTheme="minorEastAsia"/>
                <w:color w:val="auto"/>
                <w:sz w:val="21"/>
                <w:szCs w:val="21"/>
              </w:rPr>
            </w:pPr>
            <w:r>
              <w:rPr>
                <w:rFonts w:eastAsiaTheme="minorEastAsia"/>
                <w:color w:val="auto"/>
                <w:sz w:val="21"/>
                <w:szCs w:val="21"/>
              </w:rPr>
              <w:t>0.01</w:t>
            </w:r>
          </w:p>
        </w:tc>
        <w:tc>
          <w:tcPr>
            <w:tcW w:w="1134" w:type="dxa"/>
            <w:vAlign w:val="center"/>
          </w:tcPr>
          <w:p>
            <w:pPr>
              <w:jc w:val="center"/>
              <w:rPr>
                <w:rFonts w:eastAsiaTheme="minorEastAsia"/>
                <w:color w:val="auto"/>
                <w:sz w:val="21"/>
                <w:szCs w:val="21"/>
              </w:rPr>
            </w:pPr>
            <w:r>
              <w:rPr>
                <w:rFonts w:eastAsiaTheme="minorEastAsia"/>
                <w:color w:val="auto"/>
                <w:sz w:val="21"/>
                <w:szCs w:val="21"/>
              </w:rPr>
              <w:t>3.7</w:t>
            </w:r>
          </w:p>
        </w:tc>
        <w:tc>
          <w:tcPr>
            <w:tcW w:w="851" w:type="dxa"/>
            <w:vAlign w:val="center"/>
          </w:tcPr>
          <w:p>
            <w:pPr>
              <w:jc w:val="center"/>
              <w:rPr>
                <w:rFonts w:eastAsiaTheme="minorEastAsia"/>
                <w:color w:val="auto"/>
                <w:sz w:val="21"/>
                <w:szCs w:val="21"/>
              </w:rPr>
            </w:pPr>
            <w:r>
              <w:rPr>
                <w:rFonts w:eastAsiaTheme="minorEastAsia"/>
                <w:color w:val="auto"/>
                <w:sz w:val="21"/>
                <w:szCs w:val="21"/>
              </w:rPr>
              <w:t>1.77</w:t>
            </w:r>
          </w:p>
        </w:tc>
        <w:tc>
          <w:tcPr>
            <w:tcW w:w="850" w:type="dxa"/>
            <w:vAlign w:val="center"/>
          </w:tcPr>
          <w:p>
            <w:pPr>
              <w:jc w:val="center"/>
              <w:rPr>
                <w:rFonts w:eastAsiaTheme="minorEastAsia"/>
                <w:color w:val="auto"/>
                <w:sz w:val="21"/>
                <w:szCs w:val="21"/>
              </w:rPr>
            </w:pPr>
            <w:r>
              <w:rPr>
                <w:rFonts w:eastAsiaTheme="minorEastAsia"/>
                <w:color w:val="auto"/>
                <w:sz w:val="21"/>
                <w:szCs w:val="21"/>
              </w:rPr>
              <w:t>20</w:t>
            </w:r>
          </w:p>
        </w:tc>
        <w:tc>
          <w:tcPr>
            <w:tcW w:w="851" w:type="dxa"/>
            <w:vAlign w:val="center"/>
          </w:tcPr>
          <w:p>
            <w:pPr>
              <w:jc w:val="center"/>
              <w:rPr>
                <w:rFonts w:eastAsiaTheme="minorEastAsia"/>
                <w:color w:val="auto"/>
                <w:sz w:val="21"/>
                <w:szCs w:val="21"/>
              </w:rPr>
            </w:pPr>
            <w:r>
              <w:rPr>
                <w:rFonts w:eastAsiaTheme="minorEastAsia"/>
                <w:color w:val="auto"/>
                <w:sz w:val="21"/>
                <w:szCs w:val="21"/>
              </w:rPr>
              <w:t>2</w:t>
            </w:r>
          </w:p>
        </w:tc>
        <w:tc>
          <w:tcPr>
            <w:tcW w:w="952" w:type="dxa"/>
            <w:vAlign w:val="center"/>
          </w:tcPr>
          <w:p>
            <w:pPr>
              <w:jc w:val="center"/>
              <w:rPr>
                <w:rFonts w:eastAsiaTheme="minorEastAsia"/>
                <w:color w:val="auto"/>
                <w:sz w:val="21"/>
                <w:szCs w:val="21"/>
              </w:rPr>
            </w:pPr>
            <w:r>
              <w:rPr>
                <w:rFonts w:eastAsiaTheme="minorEastAsia"/>
                <w:color w:val="auto"/>
                <w:sz w:val="21"/>
                <w:szCs w:val="21"/>
              </w:rPr>
              <w:t>790</w:t>
            </w:r>
          </w:p>
        </w:tc>
        <w:tc>
          <w:tcPr>
            <w:tcW w:w="925" w:type="dxa"/>
            <w:vAlign w:val="center"/>
          </w:tcPr>
          <w:p>
            <w:pPr>
              <w:jc w:val="center"/>
              <w:rPr>
                <w:rFonts w:eastAsiaTheme="minorEastAsia"/>
                <w:color w:val="auto"/>
                <w:sz w:val="21"/>
                <w:szCs w:val="21"/>
              </w:rPr>
            </w:pPr>
            <w:r>
              <w:rPr>
                <w:rFonts w:eastAsiaTheme="minorEastAsia"/>
                <w:color w:val="auto"/>
                <w:sz w:val="21"/>
                <w:szCs w:val="21"/>
              </w:rPr>
              <w:t>＜0.00004</w:t>
            </w:r>
          </w:p>
        </w:tc>
        <w:tc>
          <w:tcPr>
            <w:tcW w:w="925" w:type="dxa"/>
            <w:vAlign w:val="center"/>
          </w:tcPr>
          <w:p>
            <w:pPr>
              <w:jc w:val="center"/>
              <w:rPr>
                <w:rFonts w:eastAsiaTheme="minorEastAsia"/>
                <w:color w:val="auto"/>
                <w:sz w:val="21"/>
                <w:szCs w:val="21"/>
              </w:rPr>
            </w:pPr>
            <w:r>
              <w:rPr>
                <w:rFonts w:eastAsiaTheme="minorEastAsia"/>
                <w:color w:val="auto"/>
                <w:sz w:val="21"/>
                <w:szCs w:val="21"/>
              </w:rPr>
              <w:t>0.0014</w:t>
            </w:r>
          </w:p>
        </w:tc>
        <w:tc>
          <w:tcPr>
            <w:tcW w:w="885" w:type="dxa"/>
            <w:vAlign w:val="center"/>
          </w:tcPr>
          <w:p>
            <w:pPr>
              <w:jc w:val="center"/>
              <w:rPr>
                <w:rFonts w:eastAsiaTheme="minorEastAsia"/>
                <w:color w:val="auto"/>
                <w:sz w:val="21"/>
                <w:szCs w:val="21"/>
              </w:rPr>
            </w:pPr>
            <w:r>
              <w:rPr>
                <w:rFonts w:eastAsiaTheme="minorEastAsia"/>
                <w:color w:val="auto"/>
                <w:sz w:val="21"/>
                <w:szCs w:val="21"/>
              </w:rPr>
              <w:t>43.8</w:t>
            </w:r>
          </w:p>
        </w:tc>
        <w:tc>
          <w:tcPr>
            <w:tcW w:w="885" w:type="dxa"/>
            <w:vAlign w:val="center"/>
          </w:tcPr>
          <w:p>
            <w:pPr>
              <w:jc w:val="center"/>
              <w:rPr>
                <w:rFonts w:eastAsiaTheme="minorEastAsia"/>
                <w:color w:val="auto"/>
                <w:sz w:val="21"/>
                <w:szCs w:val="21"/>
              </w:rPr>
            </w:pPr>
            <w:r>
              <w:rPr>
                <w:rFonts w:eastAsiaTheme="minorEastAsia"/>
                <w:color w:val="auto"/>
                <w:sz w:val="21"/>
                <w:szCs w:val="21"/>
              </w:rPr>
              <w:t>72.9</w:t>
            </w:r>
          </w:p>
        </w:tc>
        <w:tc>
          <w:tcPr>
            <w:tcW w:w="885" w:type="dxa"/>
            <w:vAlign w:val="center"/>
          </w:tcPr>
          <w:p>
            <w:pPr>
              <w:jc w:val="center"/>
              <w:rPr>
                <w:rFonts w:eastAsiaTheme="minorEastAsia"/>
                <w:color w:val="auto"/>
                <w:sz w:val="21"/>
                <w:szCs w:val="21"/>
              </w:rPr>
            </w:pPr>
            <w:r>
              <w:rPr>
                <w:rFonts w:eastAsiaTheme="minorEastAsia"/>
                <w:color w:val="auto"/>
                <w:sz w:val="21"/>
                <w:szCs w:val="21"/>
              </w:rPr>
              <w:t>3.90</w:t>
            </w:r>
          </w:p>
        </w:tc>
        <w:tc>
          <w:tcPr>
            <w:tcW w:w="885" w:type="dxa"/>
            <w:vAlign w:val="center"/>
          </w:tcPr>
          <w:p>
            <w:pPr>
              <w:jc w:val="center"/>
              <w:rPr>
                <w:rFonts w:eastAsiaTheme="minorEastAsia"/>
                <w:color w:val="auto"/>
                <w:sz w:val="21"/>
                <w:szCs w:val="21"/>
              </w:rPr>
            </w:pPr>
            <w:r>
              <w:rPr>
                <w:rFonts w:eastAsiaTheme="minorEastAsia"/>
                <w:color w:val="auto"/>
                <w:sz w:val="21"/>
                <w:szCs w:val="21"/>
              </w:rPr>
              <w:t>4.55</w:t>
            </w:r>
          </w:p>
        </w:tc>
        <w:tc>
          <w:tcPr>
            <w:tcW w:w="885" w:type="dxa"/>
            <w:vAlign w:val="center"/>
          </w:tcPr>
          <w:p>
            <w:pPr>
              <w:jc w:val="center"/>
              <w:rPr>
                <w:rFonts w:eastAsiaTheme="minorEastAsia"/>
                <w:color w:val="auto"/>
                <w:sz w:val="21"/>
                <w:szCs w:val="21"/>
              </w:rPr>
            </w:pPr>
            <w:r>
              <w:rPr>
                <w:rFonts w:eastAsiaTheme="minorEastAsia"/>
                <w:color w:val="auto"/>
                <w:sz w:val="21"/>
                <w:szCs w:val="21"/>
              </w:rPr>
              <w:t>＜0.05</w:t>
            </w:r>
          </w:p>
        </w:tc>
        <w:tc>
          <w:tcPr>
            <w:tcW w:w="885" w:type="dxa"/>
            <w:vAlign w:val="center"/>
          </w:tcPr>
          <w:p>
            <w:pPr>
              <w:jc w:val="center"/>
              <w:rPr>
                <w:rFonts w:eastAsiaTheme="minorEastAsia"/>
                <w:color w:val="auto"/>
                <w:sz w:val="21"/>
                <w:szCs w:val="21"/>
              </w:rPr>
            </w:pPr>
            <w:r>
              <w:rPr>
                <w:rFonts w:eastAsiaTheme="minorEastAsia"/>
                <w:color w:val="auto"/>
                <w:sz w:val="21"/>
                <w:szCs w:val="21"/>
              </w:rPr>
              <w:t>0.90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超标率</w:t>
            </w:r>
            <w:r>
              <w:rPr>
                <w:rFonts w:hint="eastAsia" w:eastAsiaTheme="minorEastAsia"/>
                <w:color w:val="auto"/>
                <w:sz w:val="21"/>
                <w:szCs w:val="21"/>
                <w:lang w:eastAsia="zh-CN"/>
              </w:rPr>
              <w:t>（</w:t>
            </w:r>
            <w:r>
              <w:rPr>
                <w:rFonts w:hint="eastAsia" w:eastAsiaTheme="minorEastAsia"/>
                <w:color w:val="auto"/>
                <w:sz w:val="21"/>
                <w:szCs w:val="21"/>
                <w:lang w:val="en-US" w:eastAsia="zh-CN"/>
              </w:rPr>
              <w:t>%</w:t>
            </w:r>
            <w:r>
              <w:rPr>
                <w:rFonts w:hint="eastAsia" w:eastAsiaTheme="minorEastAsia"/>
                <w:color w:val="auto"/>
                <w:sz w:val="21"/>
                <w:szCs w:val="21"/>
                <w:lang w:eastAsia="zh-CN"/>
              </w:rPr>
              <w:t>）</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1134"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最大超标倍数</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1134"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最大单因子指数</w:t>
            </w:r>
          </w:p>
        </w:tc>
        <w:tc>
          <w:tcPr>
            <w:tcW w:w="850" w:type="dxa"/>
            <w:vAlign w:val="center"/>
          </w:tcPr>
          <w:p>
            <w:pPr>
              <w:jc w:val="center"/>
              <w:rPr>
                <w:rFonts w:eastAsiaTheme="minorEastAsia"/>
                <w:color w:val="auto"/>
                <w:sz w:val="21"/>
                <w:szCs w:val="21"/>
              </w:rPr>
            </w:pPr>
            <w:r>
              <w:rPr>
                <w:rFonts w:eastAsiaTheme="minorEastAsia"/>
                <w:color w:val="auto"/>
                <w:sz w:val="21"/>
                <w:szCs w:val="21"/>
              </w:rPr>
              <w:t>0.20</w:t>
            </w:r>
          </w:p>
        </w:tc>
        <w:tc>
          <w:tcPr>
            <w:tcW w:w="1134" w:type="dxa"/>
            <w:vAlign w:val="center"/>
          </w:tcPr>
          <w:p>
            <w:pPr>
              <w:jc w:val="center"/>
              <w:rPr>
                <w:rFonts w:eastAsiaTheme="minorEastAsia"/>
                <w:color w:val="auto"/>
                <w:sz w:val="21"/>
                <w:szCs w:val="21"/>
              </w:rPr>
            </w:pPr>
            <w:r>
              <w:rPr>
                <w:rFonts w:eastAsiaTheme="minorEastAsia"/>
                <w:color w:val="auto"/>
                <w:sz w:val="21"/>
                <w:szCs w:val="21"/>
              </w:rPr>
              <w:t>0.93</w:t>
            </w:r>
          </w:p>
        </w:tc>
        <w:tc>
          <w:tcPr>
            <w:tcW w:w="851" w:type="dxa"/>
            <w:vAlign w:val="center"/>
          </w:tcPr>
          <w:p>
            <w:pPr>
              <w:jc w:val="center"/>
              <w:rPr>
                <w:rFonts w:eastAsiaTheme="minorEastAsia"/>
                <w:color w:val="auto"/>
                <w:sz w:val="21"/>
                <w:szCs w:val="21"/>
              </w:rPr>
            </w:pPr>
            <w:r>
              <w:rPr>
                <w:rFonts w:eastAsiaTheme="minorEastAsia"/>
                <w:color w:val="auto"/>
                <w:sz w:val="21"/>
                <w:szCs w:val="21"/>
              </w:rPr>
              <w:t>0.19</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0.08</w:t>
            </w:r>
          </w:p>
        </w:tc>
        <w:tc>
          <w:tcPr>
            <w:tcW w:w="925" w:type="dxa"/>
            <w:vAlign w:val="center"/>
          </w:tcPr>
          <w:p>
            <w:pPr>
              <w:jc w:val="center"/>
              <w:rPr>
                <w:rFonts w:eastAsiaTheme="minorEastAsia"/>
                <w:color w:val="auto"/>
                <w:sz w:val="21"/>
                <w:szCs w:val="21"/>
              </w:rPr>
            </w:pPr>
            <w:r>
              <w:rPr>
                <w:rFonts w:eastAsiaTheme="minorEastAsia"/>
                <w:color w:val="auto"/>
                <w:sz w:val="21"/>
                <w:szCs w:val="21"/>
              </w:rPr>
              <w:t>/</w:t>
            </w:r>
          </w:p>
        </w:tc>
        <w:tc>
          <w:tcPr>
            <w:tcW w:w="925" w:type="dxa"/>
            <w:vAlign w:val="center"/>
          </w:tcPr>
          <w:p>
            <w:pPr>
              <w:jc w:val="center"/>
              <w:rPr>
                <w:rFonts w:eastAsiaTheme="minorEastAsia"/>
                <w:color w:val="auto"/>
                <w:sz w:val="21"/>
                <w:szCs w:val="21"/>
              </w:rPr>
            </w:pPr>
            <w:r>
              <w:rPr>
                <w:rFonts w:eastAsiaTheme="minorEastAsia"/>
                <w:color w:val="auto"/>
                <w:sz w:val="21"/>
                <w:szCs w:val="21"/>
              </w:rPr>
              <w:t>0.03</w:t>
            </w:r>
          </w:p>
        </w:tc>
        <w:tc>
          <w:tcPr>
            <w:tcW w:w="885" w:type="dxa"/>
            <w:vAlign w:val="center"/>
          </w:tcPr>
          <w:p>
            <w:pPr>
              <w:jc w:val="center"/>
              <w:rPr>
                <w:rFonts w:eastAsiaTheme="minorEastAsia"/>
                <w:color w:val="auto"/>
                <w:sz w:val="21"/>
                <w:szCs w:val="21"/>
              </w:rPr>
            </w:pPr>
            <w:r>
              <w:rPr>
                <w:rFonts w:eastAsiaTheme="minorEastAsia"/>
                <w:color w:val="auto"/>
                <w:sz w:val="21"/>
                <w:szCs w:val="21"/>
              </w:rPr>
              <w:t>0.44</w:t>
            </w:r>
          </w:p>
        </w:tc>
        <w:tc>
          <w:tcPr>
            <w:tcW w:w="885" w:type="dxa"/>
            <w:vAlign w:val="center"/>
          </w:tcPr>
          <w:p>
            <w:pPr>
              <w:jc w:val="center"/>
              <w:rPr>
                <w:rFonts w:eastAsiaTheme="minorEastAsia"/>
                <w:color w:val="auto"/>
                <w:sz w:val="21"/>
                <w:szCs w:val="21"/>
              </w:rPr>
            </w:pPr>
            <w:r>
              <w:rPr>
                <w:rFonts w:eastAsiaTheme="minorEastAsia"/>
                <w:color w:val="auto"/>
                <w:sz w:val="21"/>
                <w:szCs w:val="21"/>
              </w:rPr>
              <w:t>0.26</w:t>
            </w:r>
          </w:p>
        </w:tc>
        <w:tc>
          <w:tcPr>
            <w:tcW w:w="885" w:type="dxa"/>
            <w:vAlign w:val="center"/>
          </w:tcPr>
          <w:p>
            <w:pPr>
              <w:jc w:val="center"/>
              <w:rPr>
                <w:rFonts w:eastAsiaTheme="minorEastAsia"/>
                <w:color w:val="auto"/>
                <w:sz w:val="21"/>
                <w:szCs w:val="21"/>
              </w:rPr>
            </w:pPr>
            <w:r>
              <w:rPr>
                <w:rFonts w:eastAsiaTheme="minorEastAsia"/>
                <w:color w:val="auto"/>
                <w:sz w:val="21"/>
                <w:szCs w:val="21"/>
              </w:rPr>
              <w:t>0.004</w:t>
            </w:r>
          </w:p>
        </w:tc>
        <w:tc>
          <w:tcPr>
            <w:tcW w:w="885" w:type="dxa"/>
            <w:vAlign w:val="center"/>
          </w:tcPr>
          <w:p>
            <w:pPr>
              <w:jc w:val="center"/>
              <w:rPr>
                <w:rFonts w:eastAsiaTheme="minorEastAsia"/>
                <w:color w:val="auto"/>
                <w:sz w:val="21"/>
                <w:szCs w:val="21"/>
              </w:rPr>
            </w:pPr>
            <w:r>
              <w:rPr>
                <w:rFonts w:eastAsiaTheme="minorEastAsia"/>
                <w:color w:val="auto"/>
                <w:sz w:val="21"/>
                <w:szCs w:val="21"/>
              </w:rPr>
              <w:t>0.005</w:t>
            </w:r>
          </w:p>
        </w:tc>
        <w:tc>
          <w:tcPr>
            <w:tcW w:w="885" w:type="dxa"/>
            <w:vAlign w:val="center"/>
          </w:tcPr>
          <w:p>
            <w:pPr>
              <w:jc w:val="center"/>
              <w:rPr>
                <w:rFonts w:eastAsiaTheme="minorEastAsia"/>
                <w:color w:val="auto"/>
                <w:sz w:val="21"/>
                <w:szCs w:val="21"/>
              </w:rPr>
            </w:pPr>
            <w:r>
              <w:rPr>
                <w:rFonts w:eastAsiaTheme="minorEastAsia"/>
                <w:color w:val="auto"/>
                <w:sz w:val="21"/>
                <w:szCs w:val="21"/>
              </w:rPr>
              <w:t>/</w:t>
            </w:r>
          </w:p>
        </w:tc>
        <w:tc>
          <w:tcPr>
            <w:tcW w:w="885" w:type="dxa"/>
            <w:vAlign w:val="center"/>
          </w:tcPr>
          <w:p>
            <w:pPr>
              <w:jc w:val="center"/>
              <w:rPr>
                <w:rFonts w:eastAsiaTheme="minorEastAsia"/>
                <w:color w:val="auto"/>
                <w:sz w:val="21"/>
                <w:szCs w:val="21"/>
              </w:rPr>
            </w:pPr>
            <w:r>
              <w:rPr>
                <w:rFonts w:eastAsiaTheme="minorEastAsia"/>
                <w:color w:val="auto"/>
                <w:sz w:val="21"/>
                <w:szCs w:val="21"/>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标准值（mg/L）</w:t>
            </w:r>
          </w:p>
        </w:tc>
        <w:tc>
          <w:tcPr>
            <w:tcW w:w="850" w:type="dxa"/>
            <w:vAlign w:val="center"/>
          </w:tcPr>
          <w:p>
            <w:pPr>
              <w:jc w:val="center"/>
              <w:rPr>
                <w:rFonts w:eastAsiaTheme="minorEastAsia"/>
                <w:color w:val="auto"/>
                <w:sz w:val="21"/>
                <w:szCs w:val="21"/>
              </w:rPr>
            </w:pPr>
            <w:r>
              <w:rPr>
                <w:rFonts w:eastAsiaTheme="minorEastAsia"/>
                <w:color w:val="auto"/>
                <w:sz w:val="21"/>
                <w:szCs w:val="21"/>
              </w:rPr>
              <w:t>≤0.05</w:t>
            </w:r>
          </w:p>
        </w:tc>
        <w:tc>
          <w:tcPr>
            <w:tcW w:w="1134" w:type="dxa"/>
            <w:vAlign w:val="center"/>
          </w:tcPr>
          <w:p>
            <w:pPr>
              <w:jc w:val="center"/>
              <w:rPr>
                <w:rFonts w:eastAsiaTheme="minorEastAsia"/>
                <w:color w:val="auto"/>
                <w:sz w:val="21"/>
                <w:szCs w:val="21"/>
              </w:rPr>
            </w:pPr>
            <w:r>
              <w:rPr>
                <w:rFonts w:eastAsiaTheme="minorEastAsia"/>
                <w:color w:val="auto"/>
                <w:sz w:val="21"/>
                <w:szCs w:val="21"/>
              </w:rPr>
              <w:t>≤4</w:t>
            </w:r>
          </w:p>
        </w:tc>
        <w:tc>
          <w:tcPr>
            <w:tcW w:w="851" w:type="dxa"/>
            <w:vAlign w:val="center"/>
          </w:tcPr>
          <w:p>
            <w:pPr>
              <w:jc w:val="center"/>
              <w:rPr>
                <w:rFonts w:eastAsiaTheme="minorEastAsia"/>
                <w:color w:val="auto"/>
                <w:sz w:val="21"/>
                <w:szCs w:val="21"/>
              </w:rPr>
            </w:pPr>
            <w:r>
              <w:rPr>
                <w:rFonts w:eastAsiaTheme="minorEastAsia"/>
                <w:color w:val="auto"/>
                <w:sz w:val="21"/>
                <w:szCs w:val="21"/>
              </w:rPr>
              <w:t>≤10</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≤10000</w:t>
            </w:r>
          </w:p>
        </w:tc>
        <w:tc>
          <w:tcPr>
            <w:tcW w:w="925" w:type="dxa"/>
            <w:vAlign w:val="center"/>
          </w:tcPr>
          <w:p>
            <w:pPr>
              <w:jc w:val="center"/>
              <w:rPr>
                <w:rFonts w:eastAsiaTheme="minorEastAsia"/>
                <w:color w:val="auto"/>
                <w:sz w:val="21"/>
                <w:szCs w:val="21"/>
              </w:rPr>
            </w:pPr>
            <w:r>
              <w:rPr>
                <w:rFonts w:eastAsiaTheme="minorEastAsia"/>
                <w:color w:val="auto"/>
                <w:sz w:val="21"/>
                <w:szCs w:val="21"/>
              </w:rPr>
              <w:t>≤0.0001</w:t>
            </w:r>
          </w:p>
        </w:tc>
        <w:tc>
          <w:tcPr>
            <w:tcW w:w="925" w:type="dxa"/>
            <w:vAlign w:val="center"/>
          </w:tcPr>
          <w:p>
            <w:pPr>
              <w:jc w:val="center"/>
              <w:rPr>
                <w:rFonts w:eastAsiaTheme="minorEastAsia"/>
                <w:color w:val="auto"/>
                <w:sz w:val="21"/>
                <w:szCs w:val="21"/>
              </w:rPr>
            </w:pPr>
            <w:r>
              <w:rPr>
                <w:rFonts w:eastAsiaTheme="minorEastAsia"/>
                <w:color w:val="auto"/>
                <w:sz w:val="21"/>
                <w:szCs w:val="21"/>
              </w:rPr>
              <w:t>≤0.05</w:t>
            </w:r>
          </w:p>
        </w:tc>
        <w:tc>
          <w:tcPr>
            <w:tcW w:w="885" w:type="dxa"/>
            <w:vAlign w:val="center"/>
          </w:tcPr>
          <w:p>
            <w:pPr>
              <w:jc w:val="center"/>
              <w:rPr>
                <w:rFonts w:eastAsiaTheme="minorEastAsia"/>
                <w:color w:val="auto"/>
                <w:sz w:val="21"/>
                <w:szCs w:val="21"/>
              </w:rPr>
            </w:pPr>
            <w:r>
              <w:rPr>
                <w:rFonts w:eastAsiaTheme="minorEastAsia"/>
                <w:color w:val="auto"/>
                <w:sz w:val="21"/>
                <w:szCs w:val="21"/>
              </w:rPr>
              <w:t>≤0.1</w:t>
            </w:r>
          </w:p>
        </w:tc>
        <w:tc>
          <w:tcPr>
            <w:tcW w:w="885" w:type="dxa"/>
            <w:vAlign w:val="center"/>
          </w:tcPr>
          <w:p>
            <w:pPr>
              <w:jc w:val="center"/>
              <w:rPr>
                <w:rFonts w:eastAsiaTheme="minorEastAsia"/>
                <w:color w:val="auto"/>
                <w:sz w:val="21"/>
                <w:szCs w:val="21"/>
              </w:rPr>
            </w:pPr>
            <w:r>
              <w:rPr>
                <w:rFonts w:eastAsiaTheme="minorEastAsia"/>
                <w:color w:val="auto"/>
                <w:sz w:val="21"/>
                <w:szCs w:val="21"/>
              </w:rPr>
              <w:t>≤0.3</w:t>
            </w:r>
          </w:p>
        </w:tc>
        <w:tc>
          <w:tcPr>
            <w:tcW w:w="885" w:type="dxa"/>
            <w:vAlign w:val="center"/>
          </w:tcPr>
          <w:p>
            <w:pPr>
              <w:jc w:val="center"/>
              <w:rPr>
                <w:rFonts w:eastAsiaTheme="minorEastAsia"/>
                <w:color w:val="auto"/>
                <w:sz w:val="21"/>
                <w:szCs w:val="21"/>
              </w:rPr>
            </w:pPr>
            <w:r>
              <w:rPr>
                <w:rFonts w:eastAsiaTheme="minorEastAsia"/>
                <w:color w:val="auto"/>
                <w:sz w:val="21"/>
                <w:szCs w:val="21"/>
              </w:rPr>
              <w:t>≤1.0</w:t>
            </w:r>
          </w:p>
        </w:tc>
        <w:tc>
          <w:tcPr>
            <w:tcW w:w="885" w:type="dxa"/>
            <w:vAlign w:val="center"/>
          </w:tcPr>
          <w:p>
            <w:pPr>
              <w:jc w:val="center"/>
              <w:rPr>
                <w:rFonts w:eastAsiaTheme="minorEastAsia"/>
                <w:color w:val="auto"/>
                <w:sz w:val="21"/>
                <w:szCs w:val="21"/>
              </w:rPr>
            </w:pPr>
            <w:r>
              <w:rPr>
                <w:rFonts w:eastAsiaTheme="minorEastAsia"/>
                <w:color w:val="auto"/>
                <w:sz w:val="21"/>
                <w:szCs w:val="21"/>
              </w:rPr>
              <w:t>≤1.0</w:t>
            </w:r>
          </w:p>
        </w:tc>
        <w:tc>
          <w:tcPr>
            <w:tcW w:w="885" w:type="dxa"/>
            <w:vAlign w:val="center"/>
          </w:tcPr>
          <w:p>
            <w:pPr>
              <w:jc w:val="center"/>
              <w:rPr>
                <w:rFonts w:eastAsiaTheme="minorEastAsia"/>
                <w:color w:val="auto"/>
                <w:sz w:val="21"/>
                <w:szCs w:val="21"/>
              </w:rPr>
            </w:pPr>
            <w:r>
              <w:rPr>
                <w:rFonts w:eastAsiaTheme="minorEastAsia"/>
                <w:color w:val="auto"/>
                <w:sz w:val="21"/>
                <w:szCs w:val="21"/>
              </w:rPr>
              <w:t>≤0.005</w:t>
            </w:r>
          </w:p>
        </w:tc>
        <w:tc>
          <w:tcPr>
            <w:tcW w:w="885" w:type="dxa"/>
            <w:vAlign w:val="center"/>
          </w:tcPr>
          <w:p>
            <w:pPr>
              <w:jc w:val="center"/>
              <w:rPr>
                <w:rFonts w:eastAsiaTheme="minorEastAsia"/>
                <w:color w:val="auto"/>
                <w:sz w:val="21"/>
                <w:szCs w:val="21"/>
              </w:rPr>
            </w:pPr>
            <w:r>
              <w:rPr>
                <w:rFonts w:eastAsiaTheme="minorEastAsia"/>
                <w:color w:val="auto"/>
                <w:sz w:val="21"/>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restart"/>
            <w:vAlign w:val="center"/>
          </w:tcPr>
          <w:p>
            <w:pPr>
              <w:jc w:val="center"/>
              <w:rPr>
                <w:rFonts w:eastAsiaTheme="minorEastAsia"/>
                <w:color w:val="auto"/>
                <w:sz w:val="21"/>
                <w:szCs w:val="21"/>
              </w:rPr>
            </w:pPr>
            <w:r>
              <w:rPr>
                <w:rFonts w:eastAsiaTheme="minorEastAsia"/>
                <w:color w:val="auto"/>
                <w:sz w:val="21"/>
                <w:szCs w:val="21"/>
              </w:rPr>
              <w:t>W7</w:t>
            </w:r>
          </w:p>
        </w:tc>
        <w:tc>
          <w:tcPr>
            <w:tcW w:w="387" w:type="dxa"/>
            <w:vMerge w:val="restart"/>
            <w:vAlign w:val="center"/>
          </w:tcPr>
          <w:p>
            <w:pPr>
              <w:jc w:val="center"/>
              <w:rPr>
                <w:rFonts w:eastAsiaTheme="minorEastAsia"/>
                <w:color w:val="auto"/>
                <w:sz w:val="21"/>
                <w:szCs w:val="21"/>
              </w:rPr>
            </w:pPr>
            <w:r>
              <w:rPr>
                <w:rFonts w:eastAsiaTheme="minorEastAsia"/>
                <w:color w:val="auto"/>
                <w:sz w:val="21"/>
                <w:szCs w:val="21"/>
              </w:rPr>
              <w:t>监测值</w:t>
            </w:r>
          </w:p>
        </w:tc>
        <w:tc>
          <w:tcPr>
            <w:tcW w:w="676" w:type="dxa"/>
            <w:vAlign w:val="center"/>
          </w:tcPr>
          <w:p>
            <w:pPr>
              <w:jc w:val="center"/>
              <w:rPr>
                <w:rFonts w:eastAsiaTheme="minorEastAsia"/>
                <w:color w:val="auto"/>
                <w:sz w:val="21"/>
                <w:szCs w:val="21"/>
              </w:rPr>
            </w:pPr>
            <w:r>
              <w:rPr>
                <w:rFonts w:eastAsiaTheme="minorEastAsia"/>
                <w:color w:val="auto"/>
                <w:sz w:val="21"/>
                <w:szCs w:val="21"/>
              </w:rPr>
              <w:t>2019.3.25</w:t>
            </w:r>
          </w:p>
        </w:tc>
        <w:tc>
          <w:tcPr>
            <w:tcW w:w="850" w:type="dxa"/>
            <w:vAlign w:val="center"/>
          </w:tcPr>
          <w:p>
            <w:pPr>
              <w:jc w:val="center"/>
              <w:rPr>
                <w:rFonts w:eastAsiaTheme="minorEastAsia"/>
                <w:color w:val="auto"/>
                <w:sz w:val="21"/>
                <w:szCs w:val="21"/>
              </w:rPr>
            </w:pPr>
            <w:r>
              <w:rPr>
                <w:rFonts w:eastAsiaTheme="minorEastAsia"/>
                <w:color w:val="auto"/>
                <w:sz w:val="21"/>
                <w:szCs w:val="21"/>
              </w:rPr>
              <w:t>0.02</w:t>
            </w:r>
          </w:p>
        </w:tc>
        <w:tc>
          <w:tcPr>
            <w:tcW w:w="1134" w:type="dxa"/>
            <w:vAlign w:val="center"/>
          </w:tcPr>
          <w:p>
            <w:pPr>
              <w:jc w:val="center"/>
              <w:rPr>
                <w:rFonts w:eastAsiaTheme="minorEastAsia"/>
                <w:color w:val="auto"/>
                <w:sz w:val="21"/>
                <w:szCs w:val="21"/>
              </w:rPr>
            </w:pPr>
            <w:r>
              <w:rPr>
                <w:rFonts w:eastAsiaTheme="minorEastAsia"/>
                <w:color w:val="auto"/>
                <w:sz w:val="21"/>
                <w:szCs w:val="21"/>
              </w:rPr>
              <w:t>2.9</w:t>
            </w:r>
          </w:p>
        </w:tc>
        <w:tc>
          <w:tcPr>
            <w:tcW w:w="851" w:type="dxa"/>
            <w:vAlign w:val="center"/>
          </w:tcPr>
          <w:p>
            <w:pPr>
              <w:jc w:val="center"/>
              <w:rPr>
                <w:rFonts w:eastAsiaTheme="minorEastAsia"/>
                <w:color w:val="auto"/>
                <w:sz w:val="21"/>
                <w:szCs w:val="21"/>
              </w:rPr>
            </w:pPr>
            <w:r>
              <w:rPr>
                <w:rFonts w:eastAsiaTheme="minorEastAsia"/>
                <w:color w:val="auto"/>
                <w:sz w:val="21"/>
                <w:szCs w:val="21"/>
              </w:rPr>
              <w:t>1.71</w:t>
            </w:r>
          </w:p>
        </w:tc>
        <w:tc>
          <w:tcPr>
            <w:tcW w:w="850" w:type="dxa"/>
            <w:vAlign w:val="center"/>
          </w:tcPr>
          <w:p>
            <w:pPr>
              <w:jc w:val="center"/>
              <w:rPr>
                <w:rFonts w:eastAsiaTheme="minorEastAsia"/>
                <w:color w:val="auto"/>
                <w:sz w:val="21"/>
                <w:szCs w:val="21"/>
              </w:rPr>
            </w:pPr>
            <w:r>
              <w:rPr>
                <w:rFonts w:eastAsiaTheme="minorEastAsia"/>
                <w:color w:val="auto"/>
                <w:sz w:val="21"/>
                <w:szCs w:val="21"/>
              </w:rPr>
              <w:t>20</w:t>
            </w:r>
          </w:p>
        </w:tc>
        <w:tc>
          <w:tcPr>
            <w:tcW w:w="851" w:type="dxa"/>
            <w:vAlign w:val="center"/>
          </w:tcPr>
          <w:p>
            <w:pPr>
              <w:jc w:val="center"/>
              <w:rPr>
                <w:rFonts w:eastAsiaTheme="minorEastAsia"/>
                <w:color w:val="auto"/>
                <w:sz w:val="21"/>
                <w:szCs w:val="21"/>
              </w:rPr>
            </w:pPr>
            <w:r>
              <w:rPr>
                <w:rFonts w:eastAsiaTheme="minorEastAsia"/>
                <w:color w:val="auto"/>
                <w:sz w:val="21"/>
                <w:szCs w:val="21"/>
              </w:rPr>
              <w:t>2</w:t>
            </w:r>
          </w:p>
        </w:tc>
        <w:tc>
          <w:tcPr>
            <w:tcW w:w="952" w:type="dxa"/>
            <w:vAlign w:val="center"/>
          </w:tcPr>
          <w:p>
            <w:pPr>
              <w:jc w:val="center"/>
              <w:rPr>
                <w:rFonts w:eastAsiaTheme="minorEastAsia"/>
                <w:color w:val="auto"/>
                <w:sz w:val="21"/>
                <w:szCs w:val="21"/>
              </w:rPr>
            </w:pPr>
            <w:r>
              <w:rPr>
                <w:rFonts w:eastAsiaTheme="minorEastAsia"/>
                <w:color w:val="auto"/>
                <w:sz w:val="21"/>
                <w:szCs w:val="21"/>
              </w:rPr>
              <w:t>1.1*10</w:t>
            </w:r>
            <w:r>
              <w:rPr>
                <w:rFonts w:eastAsiaTheme="minorEastAsia"/>
                <w:color w:val="auto"/>
                <w:sz w:val="21"/>
                <w:szCs w:val="21"/>
                <w:vertAlign w:val="superscript"/>
              </w:rPr>
              <w:t>3</w:t>
            </w:r>
          </w:p>
        </w:tc>
        <w:tc>
          <w:tcPr>
            <w:tcW w:w="925" w:type="dxa"/>
            <w:vAlign w:val="center"/>
          </w:tcPr>
          <w:p>
            <w:pPr>
              <w:jc w:val="center"/>
              <w:rPr>
                <w:rFonts w:eastAsiaTheme="minorEastAsia"/>
                <w:color w:val="auto"/>
                <w:sz w:val="21"/>
                <w:szCs w:val="21"/>
              </w:rPr>
            </w:pPr>
            <w:r>
              <w:rPr>
                <w:rFonts w:eastAsiaTheme="minorEastAsia"/>
                <w:color w:val="auto"/>
                <w:sz w:val="21"/>
                <w:szCs w:val="21"/>
              </w:rPr>
              <w:t>＜0.00004</w:t>
            </w:r>
          </w:p>
        </w:tc>
        <w:tc>
          <w:tcPr>
            <w:tcW w:w="925" w:type="dxa"/>
            <w:vAlign w:val="center"/>
          </w:tcPr>
          <w:p>
            <w:pPr>
              <w:jc w:val="center"/>
              <w:rPr>
                <w:rFonts w:eastAsiaTheme="minorEastAsia"/>
                <w:color w:val="auto"/>
                <w:sz w:val="21"/>
                <w:szCs w:val="21"/>
              </w:rPr>
            </w:pPr>
            <w:r>
              <w:rPr>
                <w:rFonts w:eastAsiaTheme="minorEastAsia"/>
                <w:color w:val="auto"/>
                <w:sz w:val="21"/>
                <w:szCs w:val="21"/>
              </w:rPr>
              <w:t>0.0012</w:t>
            </w:r>
          </w:p>
        </w:tc>
        <w:tc>
          <w:tcPr>
            <w:tcW w:w="885" w:type="dxa"/>
            <w:vAlign w:val="center"/>
          </w:tcPr>
          <w:p>
            <w:pPr>
              <w:jc w:val="center"/>
              <w:rPr>
                <w:rFonts w:eastAsiaTheme="minorEastAsia"/>
                <w:color w:val="auto"/>
                <w:sz w:val="21"/>
                <w:szCs w:val="21"/>
              </w:rPr>
            </w:pPr>
            <w:r>
              <w:rPr>
                <w:rFonts w:eastAsiaTheme="minorEastAsia"/>
                <w:color w:val="auto"/>
                <w:sz w:val="21"/>
                <w:szCs w:val="21"/>
              </w:rPr>
              <w:t>42.5</w:t>
            </w:r>
          </w:p>
        </w:tc>
        <w:tc>
          <w:tcPr>
            <w:tcW w:w="885" w:type="dxa"/>
            <w:vAlign w:val="center"/>
          </w:tcPr>
          <w:p>
            <w:pPr>
              <w:jc w:val="center"/>
              <w:rPr>
                <w:rFonts w:eastAsiaTheme="minorEastAsia"/>
                <w:color w:val="auto"/>
                <w:sz w:val="21"/>
                <w:szCs w:val="21"/>
              </w:rPr>
            </w:pPr>
            <w:r>
              <w:rPr>
                <w:rFonts w:eastAsiaTheme="minorEastAsia"/>
                <w:color w:val="auto"/>
                <w:sz w:val="21"/>
                <w:szCs w:val="21"/>
              </w:rPr>
              <w:t>65.4</w:t>
            </w:r>
          </w:p>
        </w:tc>
        <w:tc>
          <w:tcPr>
            <w:tcW w:w="885" w:type="dxa"/>
            <w:vAlign w:val="center"/>
          </w:tcPr>
          <w:p>
            <w:pPr>
              <w:jc w:val="center"/>
              <w:rPr>
                <w:rFonts w:eastAsiaTheme="minorEastAsia"/>
                <w:color w:val="auto"/>
                <w:sz w:val="21"/>
                <w:szCs w:val="21"/>
              </w:rPr>
            </w:pPr>
            <w:r>
              <w:rPr>
                <w:rFonts w:eastAsiaTheme="minorEastAsia"/>
                <w:color w:val="auto"/>
                <w:sz w:val="21"/>
                <w:szCs w:val="21"/>
              </w:rPr>
              <w:t>5.13</w:t>
            </w:r>
          </w:p>
        </w:tc>
        <w:tc>
          <w:tcPr>
            <w:tcW w:w="885" w:type="dxa"/>
            <w:vAlign w:val="center"/>
          </w:tcPr>
          <w:p>
            <w:pPr>
              <w:jc w:val="center"/>
              <w:rPr>
                <w:rFonts w:eastAsiaTheme="minorEastAsia"/>
                <w:color w:val="auto"/>
                <w:sz w:val="21"/>
                <w:szCs w:val="21"/>
              </w:rPr>
            </w:pPr>
            <w:r>
              <w:rPr>
                <w:rFonts w:eastAsiaTheme="minorEastAsia"/>
                <w:color w:val="auto"/>
                <w:sz w:val="21"/>
                <w:szCs w:val="21"/>
              </w:rPr>
              <w:t>5.02</w:t>
            </w:r>
          </w:p>
        </w:tc>
        <w:tc>
          <w:tcPr>
            <w:tcW w:w="885" w:type="dxa"/>
            <w:vAlign w:val="center"/>
          </w:tcPr>
          <w:p>
            <w:pPr>
              <w:jc w:val="center"/>
              <w:rPr>
                <w:rFonts w:eastAsiaTheme="minorEastAsia"/>
                <w:color w:val="auto"/>
                <w:sz w:val="21"/>
                <w:szCs w:val="21"/>
              </w:rPr>
            </w:pPr>
            <w:r>
              <w:rPr>
                <w:rFonts w:eastAsiaTheme="minorEastAsia"/>
                <w:color w:val="auto"/>
                <w:sz w:val="21"/>
                <w:szCs w:val="21"/>
              </w:rPr>
              <w:t>＜0.05</w:t>
            </w:r>
          </w:p>
        </w:tc>
        <w:tc>
          <w:tcPr>
            <w:tcW w:w="885" w:type="dxa"/>
            <w:vAlign w:val="center"/>
          </w:tcPr>
          <w:p>
            <w:pPr>
              <w:jc w:val="center"/>
              <w:rPr>
                <w:rFonts w:eastAsiaTheme="minorEastAsia"/>
                <w:color w:val="auto"/>
                <w:sz w:val="21"/>
                <w:szCs w:val="21"/>
              </w:rPr>
            </w:pPr>
            <w:r>
              <w:rPr>
                <w:rFonts w:eastAsiaTheme="minorEastAsia"/>
                <w:color w:val="auto"/>
                <w:sz w:val="21"/>
                <w:szCs w:val="21"/>
              </w:rPr>
              <w:t>1.19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387" w:type="dxa"/>
            <w:vMerge w:val="continue"/>
            <w:vAlign w:val="center"/>
          </w:tcPr>
          <w:p>
            <w:pPr>
              <w:jc w:val="center"/>
              <w:rPr>
                <w:rFonts w:eastAsiaTheme="minorEastAsia"/>
                <w:color w:val="auto"/>
                <w:sz w:val="21"/>
                <w:szCs w:val="21"/>
              </w:rPr>
            </w:pPr>
          </w:p>
        </w:tc>
        <w:tc>
          <w:tcPr>
            <w:tcW w:w="676" w:type="dxa"/>
            <w:vAlign w:val="center"/>
          </w:tcPr>
          <w:p>
            <w:pPr>
              <w:jc w:val="center"/>
              <w:rPr>
                <w:rFonts w:eastAsiaTheme="minorEastAsia"/>
                <w:color w:val="auto"/>
                <w:sz w:val="21"/>
                <w:szCs w:val="21"/>
              </w:rPr>
            </w:pPr>
            <w:r>
              <w:rPr>
                <w:rFonts w:eastAsiaTheme="minorEastAsia"/>
                <w:color w:val="auto"/>
                <w:sz w:val="21"/>
                <w:szCs w:val="21"/>
              </w:rPr>
              <w:t>2019.3.26</w:t>
            </w:r>
          </w:p>
        </w:tc>
        <w:tc>
          <w:tcPr>
            <w:tcW w:w="850" w:type="dxa"/>
            <w:vAlign w:val="center"/>
          </w:tcPr>
          <w:p>
            <w:pPr>
              <w:jc w:val="center"/>
              <w:rPr>
                <w:rFonts w:eastAsiaTheme="minorEastAsia"/>
                <w:color w:val="auto"/>
                <w:sz w:val="21"/>
                <w:szCs w:val="21"/>
              </w:rPr>
            </w:pPr>
            <w:r>
              <w:rPr>
                <w:rFonts w:eastAsiaTheme="minorEastAsia"/>
                <w:color w:val="auto"/>
                <w:sz w:val="21"/>
                <w:szCs w:val="21"/>
              </w:rPr>
              <w:t>0.02</w:t>
            </w:r>
          </w:p>
        </w:tc>
        <w:tc>
          <w:tcPr>
            <w:tcW w:w="1134" w:type="dxa"/>
            <w:vAlign w:val="center"/>
          </w:tcPr>
          <w:p>
            <w:pPr>
              <w:jc w:val="center"/>
              <w:rPr>
                <w:rFonts w:eastAsiaTheme="minorEastAsia"/>
                <w:color w:val="auto"/>
                <w:sz w:val="21"/>
                <w:szCs w:val="21"/>
              </w:rPr>
            </w:pPr>
            <w:r>
              <w:rPr>
                <w:rFonts w:eastAsiaTheme="minorEastAsia"/>
                <w:color w:val="auto"/>
                <w:sz w:val="21"/>
                <w:szCs w:val="21"/>
              </w:rPr>
              <w:t>3.6</w:t>
            </w:r>
          </w:p>
        </w:tc>
        <w:tc>
          <w:tcPr>
            <w:tcW w:w="851" w:type="dxa"/>
            <w:vAlign w:val="center"/>
          </w:tcPr>
          <w:p>
            <w:pPr>
              <w:jc w:val="center"/>
              <w:rPr>
                <w:rFonts w:eastAsiaTheme="minorEastAsia"/>
                <w:color w:val="auto"/>
                <w:sz w:val="21"/>
                <w:szCs w:val="21"/>
              </w:rPr>
            </w:pPr>
            <w:r>
              <w:rPr>
                <w:rFonts w:eastAsiaTheme="minorEastAsia"/>
                <w:color w:val="auto"/>
                <w:sz w:val="21"/>
                <w:szCs w:val="21"/>
              </w:rPr>
              <w:t>1.64</w:t>
            </w:r>
          </w:p>
        </w:tc>
        <w:tc>
          <w:tcPr>
            <w:tcW w:w="850" w:type="dxa"/>
            <w:vAlign w:val="center"/>
          </w:tcPr>
          <w:p>
            <w:pPr>
              <w:jc w:val="center"/>
              <w:rPr>
                <w:rFonts w:eastAsiaTheme="minorEastAsia"/>
                <w:color w:val="auto"/>
                <w:sz w:val="21"/>
                <w:szCs w:val="21"/>
              </w:rPr>
            </w:pPr>
            <w:r>
              <w:rPr>
                <w:rFonts w:eastAsiaTheme="minorEastAsia"/>
                <w:color w:val="auto"/>
                <w:sz w:val="21"/>
                <w:szCs w:val="21"/>
              </w:rPr>
              <w:t>19</w:t>
            </w:r>
          </w:p>
        </w:tc>
        <w:tc>
          <w:tcPr>
            <w:tcW w:w="851" w:type="dxa"/>
            <w:vAlign w:val="center"/>
          </w:tcPr>
          <w:p>
            <w:pPr>
              <w:jc w:val="center"/>
              <w:rPr>
                <w:rFonts w:eastAsiaTheme="minorEastAsia"/>
                <w:color w:val="auto"/>
                <w:sz w:val="21"/>
                <w:szCs w:val="21"/>
              </w:rPr>
            </w:pPr>
            <w:r>
              <w:rPr>
                <w:rFonts w:eastAsiaTheme="minorEastAsia"/>
                <w:color w:val="auto"/>
                <w:sz w:val="21"/>
                <w:szCs w:val="21"/>
              </w:rPr>
              <w:t>2</w:t>
            </w:r>
          </w:p>
        </w:tc>
        <w:tc>
          <w:tcPr>
            <w:tcW w:w="952" w:type="dxa"/>
            <w:vAlign w:val="center"/>
          </w:tcPr>
          <w:p>
            <w:pPr>
              <w:jc w:val="center"/>
              <w:rPr>
                <w:rFonts w:eastAsiaTheme="minorEastAsia"/>
                <w:color w:val="auto"/>
                <w:sz w:val="21"/>
                <w:szCs w:val="21"/>
              </w:rPr>
            </w:pPr>
            <w:r>
              <w:rPr>
                <w:rFonts w:eastAsiaTheme="minorEastAsia"/>
                <w:color w:val="auto"/>
                <w:sz w:val="21"/>
                <w:szCs w:val="21"/>
              </w:rPr>
              <w:t>1.4*10</w:t>
            </w:r>
            <w:r>
              <w:rPr>
                <w:rFonts w:eastAsiaTheme="minorEastAsia"/>
                <w:color w:val="auto"/>
                <w:sz w:val="21"/>
                <w:szCs w:val="21"/>
                <w:vertAlign w:val="superscript"/>
              </w:rPr>
              <w:t>3</w:t>
            </w:r>
          </w:p>
        </w:tc>
        <w:tc>
          <w:tcPr>
            <w:tcW w:w="925" w:type="dxa"/>
            <w:vAlign w:val="center"/>
          </w:tcPr>
          <w:p>
            <w:pPr>
              <w:jc w:val="center"/>
              <w:rPr>
                <w:rFonts w:eastAsiaTheme="minorEastAsia"/>
                <w:color w:val="auto"/>
                <w:sz w:val="21"/>
                <w:szCs w:val="21"/>
              </w:rPr>
            </w:pPr>
            <w:r>
              <w:rPr>
                <w:rFonts w:eastAsiaTheme="minorEastAsia"/>
                <w:color w:val="auto"/>
                <w:sz w:val="21"/>
                <w:szCs w:val="21"/>
              </w:rPr>
              <w:t>＜0.00004</w:t>
            </w:r>
          </w:p>
        </w:tc>
        <w:tc>
          <w:tcPr>
            <w:tcW w:w="925" w:type="dxa"/>
            <w:vAlign w:val="center"/>
          </w:tcPr>
          <w:p>
            <w:pPr>
              <w:jc w:val="center"/>
              <w:rPr>
                <w:rFonts w:eastAsiaTheme="minorEastAsia"/>
                <w:color w:val="auto"/>
                <w:sz w:val="21"/>
                <w:szCs w:val="21"/>
              </w:rPr>
            </w:pPr>
            <w:r>
              <w:rPr>
                <w:rFonts w:eastAsiaTheme="minorEastAsia"/>
                <w:color w:val="auto"/>
                <w:sz w:val="21"/>
                <w:szCs w:val="21"/>
              </w:rPr>
              <w:t>0.0015</w:t>
            </w:r>
          </w:p>
        </w:tc>
        <w:tc>
          <w:tcPr>
            <w:tcW w:w="885" w:type="dxa"/>
            <w:vAlign w:val="center"/>
          </w:tcPr>
          <w:p>
            <w:pPr>
              <w:jc w:val="center"/>
              <w:rPr>
                <w:rFonts w:eastAsiaTheme="minorEastAsia"/>
                <w:color w:val="auto"/>
                <w:sz w:val="21"/>
                <w:szCs w:val="21"/>
              </w:rPr>
            </w:pPr>
            <w:r>
              <w:rPr>
                <w:rFonts w:eastAsiaTheme="minorEastAsia"/>
                <w:color w:val="auto"/>
                <w:sz w:val="21"/>
                <w:szCs w:val="21"/>
              </w:rPr>
              <w:t>42.1</w:t>
            </w:r>
          </w:p>
        </w:tc>
        <w:tc>
          <w:tcPr>
            <w:tcW w:w="885" w:type="dxa"/>
            <w:vAlign w:val="center"/>
          </w:tcPr>
          <w:p>
            <w:pPr>
              <w:jc w:val="center"/>
              <w:rPr>
                <w:rFonts w:eastAsiaTheme="minorEastAsia"/>
                <w:color w:val="auto"/>
                <w:sz w:val="21"/>
                <w:szCs w:val="21"/>
              </w:rPr>
            </w:pPr>
            <w:r>
              <w:rPr>
                <w:rFonts w:eastAsiaTheme="minorEastAsia"/>
                <w:color w:val="auto"/>
                <w:sz w:val="21"/>
                <w:szCs w:val="21"/>
              </w:rPr>
              <w:t>70.0</w:t>
            </w:r>
          </w:p>
        </w:tc>
        <w:tc>
          <w:tcPr>
            <w:tcW w:w="885" w:type="dxa"/>
            <w:vAlign w:val="center"/>
          </w:tcPr>
          <w:p>
            <w:pPr>
              <w:jc w:val="center"/>
              <w:rPr>
                <w:rFonts w:eastAsiaTheme="minorEastAsia"/>
                <w:color w:val="auto"/>
                <w:sz w:val="21"/>
                <w:szCs w:val="21"/>
              </w:rPr>
            </w:pPr>
            <w:r>
              <w:rPr>
                <w:rFonts w:eastAsiaTheme="minorEastAsia"/>
                <w:color w:val="auto"/>
                <w:sz w:val="21"/>
                <w:szCs w:val="21"/>
              </w:rPr>
              <w:t>5.04</w:t>
            </w:r>
          </w:p>
        </w:tc>
        <w:tc>
          <w:tcPr>
            <w:tcW w:w="885" w:type="dxa"/>
            <w:vAlign w:val="center"/>
          </w:tcPr>
          <w:p>
            <w:pPr>
              <w:jc w:val="center"/>
              <w:rPr>
                <w:rFonts w:eastAsiaTheme="minorEastAsia"/>
                <w:color w:val="auto"/>
                <w:sz w:val="21"/>
                <w:szCs w:val="21"/>
              </w:rPr>
            </w:pPr>
            <w:r>
              <w:rPr>
                <w:rFonts w:eastAsiaTheme="minorEastAsia"/>
                <w:color w:val="auto"/>
                <w:sz w:val="21"/>
                <w:szCs w:val="21"/>
              </w:rPr>
              <w:t>4.97</w:t>
            </w:r>
          </w:p>
        </w:tc>
        <w:tc>
          <w:tcPr>
            <w:tcW w:w="885" w:type="dxa"/>
            <w:vAlign w:val="center"/>
          </w:tcPr>
          <w:p>
            <w:pPr>
              <w:jc w:val="center"/>
              <w:rPr>
                <w:rFonts w:eastAsiaTheme="minorEastAsia"/>
                <w:color w:val="auto"/>
                <w:sz w:val="21"/>
                <w:szCs w:val="21"/>
              </w:rPr>
            </w:pPr>
            <w:r>
              <w:rPr>
                <w:rFonts w:eastAsiaTheme="minorEastAsia"/>
                <w:color w:val="auto"/>
                <w:sz w:val="21"/>
                <w:szCs w:val="21"/>
              </w:rPr>
              <w:t>＜0.05</w:t>
            </w:r>
          </w:p>
        </w:tc>
        <w:tc>
          <w:tcPr>
            <w:tcW w:w="885" w:type="dxa"/>
            <w:vAlign w:val="center"/>
          </w:tcPr>
          <w:p>
            <w:pPr>
              <w:jc w:val="center"/>
              <w:rPr>
                <w:rFonts w:eastAsiaTheme="minorEastAsia"/>
                <w:color w:val="auto"/>
                <w:sz w:val="21"/>
                <w:szCs w:val="21"/>
              </w:rPr>
            </w:pPr>
            <w:r>
              <w:rPr>
                <w:rFonts w:eastAsiaTheme="minorEastAsia"/>
                <w:color w:val="auto"/>
                <w:sz w:val="21"/>
                <w:szCs w:val="21"/>
              </w:rPr>
              <w:t>1.19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387" w:type="dxa"/>
            <w:vMerge w:val="continue"/>
            <w:vAlign w:val="center"/>
          </w:tcPr>
          <w:p>
            <w:pPr>
              <w:jc w:val="center"/>
              <w:rPr>
                <w:rFonts w:eastAsiaTheme="minorEastAsia"/>
                <w:color w:val="auto"/>
                <w:sz w:val="21"/>
                <w:szCs w:val="21"/>
              </w:rPr>
            </w:pPr>
          </w:p>
        </w:tc>
        <w:tc>
          <w:tcPr>
            <w:tcW w:w="676" w:type="dxa"/>
            <w:vAlign w:val="center"/>
          </w:tcPr>
          <w:p>
            <w:pPr>
              <w:jc w:val="center"/>
              <w:rPr>
                <w:rFonts w:eastAsiaTheme="minorEastAsia"/>
                <w:color w:val="auto"/>
                <w:sz w:val="21"/>
                <w:szCs w:val="21"/>
              </w:rPr>
            </w:pPr>
            <w:r>
              <w:rPr>
                <w:rFonts w:eastAsiaTheme="minorEastAsia"/>
                <w:color w:val="auto"/>
                <w:sz w:val="21"/>
                <w:szCs w:val="21"/>
              </w:rPr>
              <w:t>2019.3.27</w:t>
            </w:r>
          </w:p>
        </w:tc>
        <w:tc>
          <w:tcPr>
            <w:tcW w:w="850" w:type="dxa"/>
            <w:vAlign w:val="center"/>
          </w:tcPr>
          <w:p>
            <w:pPr>
              <w:jc w:val="center"/>
              <w:rPr>
                <w:rFonts w:eastAsiaTheme="minorEastAsia"/>
                <w:color w:val="auto"/>
                <w:sz w:val="21"/>
                <w:szCs w:val="21"/>
              </w:rPr>
            </w:pPr>
            <w:r>
              <w:rPr>
                <w:rFonts w:eastAsiaTheme="minorEastAsia"/>
                <w:color w:val="auto"/>
                <w:sz w:val="21"/>
                <w:szCs w:val="21"/>
              </w:rPr>
              <w:t>0.02</w:t>
            </w:r>
          </w:p>
        </w:tc>
        <w:tc>
          <w:tcPr>
            <w:tcW w:w="1134" w:type="dxa"/>
            <w:vAlign w:val="center"/>
          </w:tcPr>
          <w:p>
            <w:pPr>
              <w:jc w:val="center"/>
              <w:rPr>
                <w:rFonts w:eastAsiaTheme="minorEastAsia"/>
                <w:color w:val="auto"/>
                <w:sz w:val="21"/>
                <w:szCs w:val="21"/>
              </w:rPr>
            </w:pPr>
            <w:r>
              <w:rPr>
                <w:rFonts w:eastAsiaTheme="minorEastAsia"/>
                <w:color w:val="auto"/>
                <w:sz w:val="21"/>
                <w:szCs w:val="21"/>
              </w:rPr>
              <w:t>2.8</w:t>
            </w:r>
          </w:p>
        </w:tc>
        <w:tc>
          <w:tcPr>
            <w:tcW w:w="851" w:type="dxa"/>
            <w:vAlign w:val="center"/>
          </w:tcPr>
          <w:p>
            <w:pPr>
              <w:jc w:val="center"/>
              <w:rPr>
                <w:rFonts w:eastAsiaTheme="minorEastAsia"/>
                <w:color w:val="auto"/>
                <w:sz w:val="21"/>
                <w:szCs w:val="21"/>
              </w:rPr>
            </w:pPr>
            <w:r>
              <w:rPr>
                <w:rFonts w:eastAsiaTheme="minorEastAsia"/>
                <w:color w:val="auto"/>
                <w:sz w:val="21"/>
                <w:szCs w:val="21"/>
              </w:rPr>
              <w:t>1.80</w:t>
            </w:r>
          </w:p>
        </w:tc>
        <w:tc>
          <w:tcPr>
            <w:tcW w:w="850" w:type="dxa"/>
            <w:vAlign w:val="center"/>
          </w:tcPr>
          <w:p>
            <w:pPr>
              <w:jc w:val="center"/>
              <w:rPr>
                <w:rFonts w:eastAsiaTheme="minorEastAsia"/>
                <w:color w:val="auto"/>
                <w:sz w:val="21"/>
                <w:szCs w:val="21"/>
              </w:rPr>
            </w:pPr>
            <w:r>
              <w:rPr>
                <w:rFonts w:eastAsiaTheme="minorEastAsia"/>
                <w:color w:val="auto"/>
                <w:sz w:val="21"/>
                <w:szCs w:val="21"/>
              </w:rPr>
              <w:t>19</w:t>
            </w:r>
          </w:p>
        </w:tc>
        <w:tc>
          <w:tcPr>
            <w:tcW w:w="851" w:type="dxa"/>
            <w:vAlign w:val="center"/>
          </w:tcPr>
          <w:p>
            <w:pPr>
              <w:jc w:val="center"/>
              <w:rPr>
                <w:rFonts w:eastAsiaTheme="minorEastAsia"/>
                <w:color w:val="auto"/>
                <w:sz w:val="21"/>
                <w:szCs w:val="21"/>
              </w:rPr>
            </w:pPr>
            <w:r>
              <w:rPr>
                <w:rFonts w:eastAsiaTheme="minorEastAsia"/>
                <w:color w:val="auto"/>
                <w:sz w:val="21"/>
                <w:szCs w:val="21"/>
              </w:rPr>
              <w:t>2</w:t>
            </w:r>
          </w:p>
        </w:tc>
        <w:tc>
          <w:tcPr>
            <w:tcW w:w="952" w:type="dxa"/>
            <w:vAlign w:val="center"/>
          </w:tcPr>
          <w:p>
            <w:pPr>
              <w:jc w:val="center"/>
              <w:rPr>
                <w:rFonts w:eastAsiaTheme="minorEastAsia"/>
                <w:color w:val="auto"/>
                <w:sz w:val="21"/>
                <w:szCs w:val="21"/>
              </w:rPr>
            </w:pPr>
            <w:r>
              <w:rPr>
                <w:rFonts w:eastAsiaTheme="minorEastAsia"/>
                <w:color w:val="auto"/>
                <w:sz w:val="21"/>
                <w:szCs w:val="21"/>
              </w:rPr>
              <w:t>1.2*10</w:t>
            </w:r>
            <w:r>
              <w:rPr>
                <w:rFonts w:eastAsiaTheme="minorEastAsia"/>
                <w:color w:val="auto"/>
                <w:sz w:val="21"/>
                <w:szCs w:val="21"/>
                <w:vertAlign w:val="superscript"/>
              </w:rPr>
              <w:t>3</w:t>
            </w:r>
          </w:p>
        </w:tc>
        <w:tc>
          <w:tcPr>
            <w:tcW w:w="925" w:type="dxa"/>
            <w:vAlign w:val="center"/>
          </w:tcPr>
          <w:p>
            <w:pPr>
              <w:jc w:val="center"/>
              <w:rPr>
                <w:rFonts w:eastAsiaTheme="minorEastAsia"/>
                <w:color w:val="auto"/>
                <w:sz w:val="21"/>
                <w:szCs w:val="21"/>
              </w:rPr>
            </w:pPr>
            <w:r>
              <w:rPr>
                <w:rFonts w:eastAsiaTheme="minorEastAsia"/>
                <w:color w:val="auto"/>
                <w:sz w:val="21"/>
                <w:szCs w:val="21"/>
              </w:rPr>
              <w:t>＜0.00004</w:t>
            </w:r>
          </w:p>
        </w:tc>
        <w:tc>
          <w:tcPr>
            <w:tcW w:w="925" w:type="dxa"/>
            <w:vAlign w:val="center"/>
          </w:tcPr>
          <w:p>
            <w:pPr>
              <w:jc w:val="center"/>
              <w:rPr>
                <w:rFonts w:eastAsiaTheme="minorEastAsia"/>
                <w:color w:val="auto"/>
                <w:sz w:val="21"/>
                <w:szCs w:val="21"/>
              </w:rPr>
            </w:pPr>
            <w:r>
              <w:rPr>
                <w:rFonts w:eastAsiaTheme="minorEastAsia"/>
                <w:color w:val="auto"/>
                <w:sz w:val="21"/>
                <w:szCs w:val="21"/>
              </w:rPr>
              <w:t>0.0014</w:t>
            </w:r>
          </w:p>
        </w:tc>
        <w:tc>
          <w:tcPr>
            <w:tcW w:w="885" w:type="dxa"/>
            <w:vAlign w:val="center"/>
          </w:tcPr>
          <w:p>
            <w:pPr>
              <w:jc w:val="center"/>
              <w:rPr>
                <w:rFonts w:eastAsiaTheme="minorEastAsia"/>
                <w:color w:val="auto"/>
                <w:sz w:val="21"/>
                <w:szCs w:val="21"/>
              </w:rPr>
            </w:pPr>
            <w:r>
              <w:rPr>
                <w:rFonts w:eastAsiaTheme="minorEastAsia"/>
                <w:color w:val="auto"/>
                <w:sz w:val="21"/>
                <w:szCs w:val="21"/>
              </w:rPr>
              <w:t>44.3</w:t>
            </w:r>
          </w:p>
        </w:tc>
        <w:tc>
          <w:tcPr>
            <w:tcW w:w="885" w:type="dxa"/>
            <w:vAlign w:val="center"/>
          </w:tcPr>
          <w:p>
            <w:pPr>
              <w:jc w:val="center"/>
              <w:rPr>
                <w:rFonts w:eastAsiaTheme="minorEastAsia"/>
                <w:color w:val="auto"/>
                <w:sz w:val="21"/>
                <w:szCs w:val="21"/>
              </w:rPr>
            </w:pPr>
            <w:r>
              <w:rPr>
                <w:rFonts w:eastAsiaTheme="minorEastAsia"/>
                <w:color w:val="auto"/>
                <w:sz w:val="21"/>
                <w:szCs w:val="21"/>
              </w:rPr>
              <w:t>71.4</w:t>
            </w:r>
          </w:p>
        </w:tc>
        <w:tc>
          <w:tcPr>
            <w:tcW w:w="885" w:type="dxa"/>
            <w:vAlign w:val="center"/>
          </w:tcPr>
          <w:p>
            <w:pPr>
              <w:jc w:val="center"/>
              <w:rPr>
                <w:rFonts w:eastAsiaTheme="minorEastAsia"/>
                <w:color w:val="auto"/>
                <w:sz w:val="21"/>
                <w:szCs w:val="21"/>
              </w:rPr>
            </w:pPr>
            <w:r>
              <w:rPr>
                <w:rFonts w:eastAsiaTheme="minorEastAsia"/>
                <w:color w:val="auto"/>
                <w:sz w:val="21"/>
                <w:szCs w:val="21"/>
              </w:rPr>
              <w:t>5.17</w:t>
            </w:r>
          </w:p>
        </w:tc>
        <w:tc>
          <w:tcPr>
            <w:tcW w:w="885" w:type="dxa"/>
            <w:vAlign w:val="center"/>
          </w:tcPr>
          <w:p>
            <w:pPr>
              <w:jc w:val="center"/>
              <w:rPr>
                <w:rFonts w:eastAsiaTheme="minorEastAsia"/>
                <w:color w:val="auto"/>
                <w:sz w:val="21"/>
                <w:szCs w:val="21"/>
              </w:rPr>
            </w:pPr>
            <w:r>
              <w:rPr>
                <w:rFonts w:eastAsiaTheme="minorEastAsia"/>
                <w:color w:val="auto"/>
                <w:sz w:val="21"/>
                <w:szCs w:val="21"/>
              </w:rPr>
              <w:t>5.08</w:t>
            </w:r>
          </w:p>
        </w:tc>
        <w:tc>
          <w:tcPr>
            <w:tcW w:w="885" w:type="dxa"/>
            <w:vAlign w:val="center"/>
          </w:tcPr>
          <w:p>
            <w:pPr>
              <w:jc w:val="center"/>
              <w:rPr>
                <w:rFonts w:eastAsiaTheme="minorEastAsia"/>
                <w:color w:val="auto"/>
                <w:sz w:val="21"/>
                <w:szCs w:val="21"/>
              </w:rPr>
            </w:pPr>
            <w:r>
              <w:rPr>
                <w:rFonts w:eastAsiaTheme="minorEastAsia"/>
                <w:color w:val="auto"/>
                <w:sz w:val="21"/>
                <w:szCs w:val="21"/>
              </w:rPr>
              <w:t>＜0.05</w:t>
            </w:r>
          </w:p>
        </w:tc>
        <w:tc>
          <w:tcPr>
            <w:tcW w:w="885" w:type="dxa"/>
            <w:vAlign w:val="center"/>
          </w:tcPr>
          <w:p>
            <w:pPr>
              <w:jc w:val="center"/>
              <w:rPr>
                <w:rFonts w:eastAsiaTheme="minorEastAsia"/>
                <w:color w:val="auto"/>
                <w:sz w:val="21"/>
                <w:szCs w:val="21"/>
              </w:rPr>
            </w:pPr>
            <w:r>
              <w:rPr>
                <w:rFonts w:eastAsiaTheme="minorEastAsia"/>
                <w:color w:val="auto"/>
                <w:sz w:val="21"/>
                <w:szCs w:val="21"/>
              </w:rPr>
              <w:t>1.26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超标率</w:t>
            </w:r>
            <w:r>
              <w:rPr>
                <w:rFonts w:hint="eastAsia" w:eastAsiaTheme="minorEastAsia"/>
                <w:color w:val="auto"/>
                <w:sz w:val="21"/>
                <w:szCs w:val="21"/>
                <w:lang w:eastAsia="zh-CN"/>
              </w:rPr>
              <w:t>（</w:t>
            </w:r>
            <w:r>
              <w:rPr>
                <w:rFonts w:hint="eastAsia" w:eastAsiaTheme="minorEastAsia"/>
                <w:color w:val="auto"/>
                <w:sz w:val="21"/>
                <w:szCs w:val="21"/>
                <w:lang w:val="en-US" w:eastAsia="zh-CN"/>
              </w:rPr>
              <w:t>%</w:t>
            </w:r>
            <w:r>
              <w:rPr>
                <w:rFonts w:hint="eastAsia" w:eastAsiaTheme="minorEastAsia"/>
                <w:color w:val="auto"/>
                <w:sz w:val="21"/>
                <w:szCs w:val="21"/>
                <w:lang w:eastAsia="zh-CN"/>
              </w:rPr>
              <w:t>）</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1134"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最大超标倍数</w:t>
            </w:r>
          </w:p>
        </w:tc>
        <w:tc>
          <w:tcPr>
            <w:tcW w:w="850" w:type="dxa"/>
            <w:vAlign w:val="center"/>
          </w:tcPr>
          <w:p>
            <w:pPr>
              <w:jc w:val="center"/>
              <w:rPr>
                <w:rFonts w:eastAsiaTheme="minorEastAsia"/>
                <w:color w:val="auto"/>
                <w:sz w:val="21"/>
                <w:szCs w:val="21"/>
              </w:rPr>
            </w:pPr>
            <w:r>
              <w:rPr>
                <w:rFonts w:eastAsiaTheme="minorEastAsia"/>
                <w:color w:val="auto"/>
                <w:sz w:val="21"/>
                <w:szCs w:val="21"/>
              </w:rPr>
              <w:t>0</w:t>
            </w:r>
          </w:p>
        </w:tc>
        <w:tc>
          <w:tcPr>
            <w:tcW w:w="1134" w:type="dxa"/>
            <w:vAlign w:val="center"/>
          </w:tcPr>
          <w:p>
            <w:pPr>
              <w:jc w:val="center"/>
              <w:rPr>
                <w:rFonts w:eastAsiaTheme="minorEastAsia"/>
                <w:color w:val="auto"/>
                <w:sz w:val="21"/>
                <w:szCs w:val="21"/>
              </w:rPr>
            </w:pPr>
            <w:r>
              <w:rPr>
                <w:rFonts w:eastAsiaTheme="minorEastAsia"/>
                <w:color w:val="auto"/>
                <w:sz w:val="21"/>
                <w:szCs w:val="21"/>
              </w:rPr>
              <w:t>0</w:t>
            </w:r>
          </w:p>
        </w:tc>
        <w:tc>
          <w:tcPr>
            <w:tcW w:w="851" w:type="dxa"/>
            <w:vAlign w:val="center"/>
          </w:tcPr>
          <w:p>
            <w:pPr>
              <w:jc w:val="center"/>
              <w:rPr>
                <w:rFonts w:eastAsiaTheme="minorEastAsia"/>
                <w:color w:val="auto"/>
                <w:sz w:val="21"/>
                <w:szCs w:val="21"/>
              </w:rPr>
            </w:pPr>
            <w:r>
              <w:rPr>
                <w:rFonts w:eastAsiaTheme="minorEastAsia"/>
                <w:color w:val="auto"/>
                <w:sz w:val="21"/>
                <w:szCs w:val="21"/>
              </w:rPr>
              <w:t>0</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92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c>
          <w:tcPr>
            <w:tcW w:w="885" w:type="dxa"/>
            <w:vAlign w:val="center"/>
          </w:tcPr>
          <w:p>
            <w:pPr>
              <w:jc w:val="center"/>
              <w:rPr>
                <w:rFonts w:eastAsiaTheme="minorEastAsia"/>
                <w:color w:val="auto"/>
                <w:sz w:val="21"/>
                <w:szCs w:val="21"/>
              </w:rPr>
            </w:pPr>
            <w:r>
              <w:rPr>
                <w:rFonts w:eastAsiaTheme="minor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最大单因子指数</w:t>
            </w:r>
          </w:p>
        </w:tc>
        <w:tc>
          <w:tcPr>
            <w:tcW w:w="850" w:type="dxa"/>
            <w:vAlign w:val="center"/>
          </w:tcPr>
          <w:p>
            <w:pPr>
              <w:jc w:val="center"/>
              <w:rPr>
                <w:rFonts w:eastAsiaTheme="minorEastAsia"/>
                <w:color w:val="auto"/>
                <w:sz w:val="21"/>
                <w:szCs w:val="21"/>
              </w:rPr>
            </w:pPr>
            <w:r>
              <w:rPr>
                <w:rFonts w:eastAsiaTheme="minorEastAsia"/>
                <w:color w:val="auto"/>
                <w:sz w:val="21"/>
                <w:szCs w:val="21"/>
              </w:rPr>
              <w:t>0.40</w:t>
            </w:r>
          </w:p>
        </w:tc>
        <w:tc>
          <w:tcPr>
            <w:tcW w:w="1134" w:type="dxa"/>
            <w:vAlign w:val="center"/>
          </w:tcPr>
          <w:p>
            <w:pPr>
              <w:jc w:val="center"/>
              <w:rPr>
                <w:rFonts w:eastAsiaTheme="minorEastAsia"/>
                <w:color w:val="auto"/>
                <w:sz w:val="21"/>
                <w:szCs w:val="21"/>
              </w:rPr>
            </w:pPr>
            <w:r>
              <w:rPr>
                <w:rFonts w:eastAsiaTheme="minorEastAsia"/>
                <w:color w:val="auto"/>
                <w:sz w:val="21"/>
                <w:szCs w:val="21"/>
              </w:rPr>
              <w:t>0.90</w:t>
            </w:r>
          </w:p>
        </w:tc>
        <w:tc>
          <w:tcPr>
            <w:tcW w:w="851" w:type="dxa"/>
            <w:vAlign w:val="center"/>
          </w:tcPr>
          <w:p>
            <w:pPr>
              <w:jc w:val="center"/>
              <w:rPr>
                <w:rFonts w:eastAsiaTheme="minorEastAsia"/>
                <w:color w:val="auto"/>
                <w:sz w:val="21"/>
                <w:szCs w:val="21"/>
              </w:rPr>
            </w:pPr>
            <w:r>
              <w:rPr>
                <w:rFonts w:eastAsiaTheme="minorEastAsia"/>
                <w:color w:val="auto"/>
                <w:sz w:val="21"/>
                <w:szCs w:val="21"/>
              </w:rPr>
              <w:t>0.18</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0.14</w:t>
            </w:r>
          </w:p>
        </w:tc>
        <w:tc>
          <w:tcPr>
            <w:tcW w:w="925" w:type="dxa"/>
            <w:vAlign w:val="center"/>
          </w:tcPr>
          <w:p>
            <w:pPr>
              <w:jc w:val="center"/>
              <w:rPr>
                <w:rFonts w:eastAsiaTheme="minorEastAsia"/>
                <w:color w:val="auto"/>
                <w:sz w:val="21"/>
                <w:szCs w:val="21"/>
              </w:rPr>
            </w:pPr>
            <w:r>
              <w:rPr>
                <w:rFonts w:eastAsiaTheme="minorEastAsia"/>
                <w:color w:val="auto"/>
                <w:sz w:val="21"/>
                <w:szCs w:val="21"/>
              </w:rPr>
              <w:t>/</w:t>
            </w:r>
          </w:p>
        </w:tc>
        <w:tc>
          <w:tcPr>
            <w:tcW w:w="925" w:type="dxa"/>
            <w:vAlign w:val="center"/>
          </w:tcPr>
          <w:p>
            <w:pPr>
              <w:jc w:val="center"/>
              <w:rPr>
                <w:rFonts w:eastAsiaTheme="minorEastAsia"/>
                <w:color w:val="auto"/>
                <w:sz w:val="21"/>
                <w:szCs w:val="21"/>
              </w:rPr>
            </w:pPr>
            <w:r>
              <w:rPr>
                <w:rFonts w:eastAsiaTheme="minorEastAsia"/>
                <w:color w:val="auto"/>
                <w:sz w:val="21"/>
                <w:szCs w:val="21"/>
              </w:rPr>
              <w:t>0.03</w:t>
            </w:r>
          </w:p>
        </w:tc>
        <w:tc>
          <w:tcPr>
            <w:tcW w:w="885" w:type="dxa"/>
            <w:vAlign w:val="center"/>
          </w:tcPr>
          <w:p>
            <w:pPr>
              <w:jc w:val="center"/>
              <w:rPr>
                <w:rFonts w:eastAsiaTheme="minorEastAsia"/>
                <w:color w:val="auto"/>
                <w:sz w:val="21"/>
                <w:szCs w:val="21"/>
              </w:rPr>
            </w:pPr>
            <w:r>
              <w:rPr>
                <w:rFonts w:eastAsiaTheme="minorEastAsia"/>
                <w:color w:val="auto"/>
                <w:sz w:val="21"/>
                <w:szCs w:val="21"/>
              </w:rPr>
              <w:t>0.44</w:t>
            </w:r>
          </w:p>
        </w:tc>
        <w:tc>
          <w:tcPr>
            <w:tcW w:w="885" w:type="dxa"/>
            <w:vAlign w:val="center"/>
          </w:tcPr>
          <w:p>
            <w:pPr>
              <w:jc w:val="center"/>
              <w:rPr>
                <w:rFonts w:eastAsiaTheme="minorEastAsia"/>
                <w:color w:val="auto"/>
                <w:sz w:val="21"/>
                <w:szCs w:val="21"/>
              </w:rPr>
            </w:pPr>
            <w:r>
              <w:rPr>
                <w:rFonts w:eastAsiaTheme="minorEastAsia"/>
                <w:color w:val="auto"/>
                <w:sz w:val="21"/>
                <w:szCs w:val="21"/>
              </w:rPr>
              <w:t>0.24</w:t>
            </w:r>
          </w:p>
        </w:tc>
        <w:tc>
          <w:tcPr>
            <w:tcW w:w="885" w:type="dxa"/>
            <w:vAlign w:val="center"/>
          </w:tcPr>
          <w:p>
            <w:pPr>
              <w:jc w:val="center"/>
              <w:rPr>
                <w:rFonts w:eastAsiaTheme="minorEastAsia"/>
                <w:color w:val="auto"/>
                <w:sz w:val="21"/>
                <w:szCs w:val="21"/>
              </w:rPr>
            </w:pPr>
            <w:r>
              <w:rPr>
                <w:rFonts w:eastAsiaTheme="minorEastAsia"/>
                <w:color w:val="auto"/>
                <w:sz w:val="21"/>
                <w:szCs w:val="21"/>
              </w:rPr>
              <w:t>0.01</w:t>
            </w:r>
          </w:p>
        </w:tc>
        <w:tc>
          <w:tcPr>
            <w:tcW w:w="885" w:type="dxa"/>
            <w:vAlign w:val="center"/>
          </w:tcPr>
          <w:p>
            <w:pPr>
              <w:jc w:val="center"/>
              <w:rPr>
                <w:rFonts w:eastAsiaTheme="minorEastAsia"/>
                <w:color w:val="auto"/>
                <w:sz w:val="21"/>
                <w:szCs w:val="21"/>
              </w:rPr>
            </w:pPr>
            <w:r>
              <w:rPr>
                <w:rFonts w:eastAsiaTheme="minorEastAsia"/>
                <w:color w:val="auto"/>
                <w:sz w:val="21"/>
                <w:szCs w:val="21"/>
              </w:rPr>
              <w:t>0.01</w:t>
            </w:r>
          </w:p>
        </w:tc>
        <w:tc>
          <w:tcPr>
            <w:tcW w:w="885" w:type="dxa"/>
            <w:vAlign w:val="center"/>
          </w:tcPr>
          <w:p>
            <w:pPr>
              <w:jc w:val="center"/>
              <w:rPr>
                <w:rFonts w:eastAsiaTheme="minorEastAsia"/>
                <w:color w:val="auto"/>
                <w:sz w:val="21"/>
                <w:szCs w:val="21"/>
              </w:rPr>
            </w:pPr>
            <w:r>
              <w:rPr>
                <w:rFonts w:eastAsiaTheme="minorEastAsia"/>
                <w:color w:val="auto"/>
                <w:sz w:val="21"/>
                <w:szCs w:val="21"/>
              </w:rPr>
              <w:t>/</w:t>
            </w:r>
          </w:p>
        </w:tc>
        <w:tc>
          <w:tcPr>
            <w:tcW w:w="885" w:type="dxa"/>
            <w:vAlign w:val="center"/>
          </w:tcPr>
          <w:p>
            <w:pPr>
              <w:jc w:val="center"/>
              <w:rPr>
                <w:rFonts w:eastAsiaTheme="minorEastAsia"/>
                <w:color w:val="auto"/>
                <w:sz w:val="21"/>
                <w:szCs w:val="21"/>
              </w:rPr>
            </w:pPr>
            <w:r>
              <w:rPr>
                <w:rFonts w:eastAsiaTheme="minorEastAsia"/>
                <w:color w:val="auto"/>
                <w:sz w:val="21"/>
                <w:szCs w:val="21"/>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3" w:type="dxa"/>
            <w:vMerge w:val="continue"/>
            <w:vAlign w:val="center"/>
          </w:tcPr>
          <w:p>
            <w:pPr>
              <w:jc w:val="center"/>
              <w:rPr>
                <w:rFonts w:eastAsiaTheme="minorEastAsia"/>
                <w:color w:val="auto"/>
                <w:sz w:val="21"/>
                <w:szCs w:val="21"/>
              </w:rPr>
            </w:pPr>
          </w:p>
        </w:tc>
        <w:tc>
          <w:tcPr>
            <w:tcW w:w="1063" w:type="dxa"/>
            <w:gridSpan w:val="2"/>
            <w:vAlign w:val="center"/>
          </w:tcPr>
          <w:p>
            <w:pPr>
              <w:jc w:val="center"/>
              <w:rPr>
                <w:rFonts w:eastAsiaTheme="minorEastAsia"/>
                <w:color w:val="auto"/>
                <w:sz w:val="21"/>
                <w:szCs w:val="21"/>
              </w:rPr>
            </w:pPr>
            <w:r>
              <w:rPr>
                <w:rFonts w:eastAsiaTheme="minorEastAsia"/>
                <w:color w:val="auto"/>
                <w:sz w:val="21"/>
                <w:szCs w:val="21"/>
              </w:rPr>
              <w:t>标准值（mg/L）</w:t>
            </w:r>
          </w:p>
        </w:tc>
        <w:tc>
          <w:tcPr>
            <w:tcW w:w="850" w:type="dxa"/>
            <w:vAlign w:val="center"/>
          </w:tcPr>
          <w:p>
            <w:pPr>
              <w:jc w:val="center"/>
              <w:rPr>
                <w:rFonts w:eastAsiaTheme="minorEastAsia"/>
                <w:color w:val="auto"/>
                <w:sz w:val="21"/>
                <w:szCs w:val="21"/>
              </w:rPr>
            </w:pPr>
            <w:r>
              <w:rPr>
                <w:rFonts w:eastAsiaTheme="minorEastAsia"/>
                <w:color w:val="auto"/>
                <w:sz w:val="21"/>
                <w:szCs w:val="21"/>
              </w:rPr>
              <w:t>≤0.05</w:t>
            </w:r>
          </w:p>
        </w:tc>
        <w:tc>
          <w:tcPr>
            <w:tcW w:w="1134" w:type="dxa"/>
            <w:vAlign w:val="center"/>
          </w:tcPr>
          <w:p>
            <w:pPr>
              <w:jc w:val="center"/>
              <w:rPr>
                <w:rFonts w:eastAsiaTheme="minorEastAsia"/>
                <w:color w:val="auto"/>
                <w:sz w:val="21"/>
                <w:szCs w:val="21"/>
              </w:rPr>
            </w:pPr>
            <w:r>
              <w:rPr>
                <w:rFonts w:eastAsiaTheme="minorEastAsia"/>
                <w:color w:val="auto"/>
                <w:sz w:val="21"/>
                <w:szCs w:val="21"/>
              </w:rPr>
              <w:t>≤4</w:t>
            </w:r>
          </w:p>
        </w:tc>
        <w:tc>
          <w:tcPr>
            <w:tcW w:w="851" w:type="dxa"/>
            <w:vAlign w:val="center"/>
          </w:tcPr>
          <w:p>
            <w:pPr>
              <w:jc w:val="center"/>
              <w:rPr>
                <w:rFonts w:eastAsiaTheme="minorEastAsia"/>
                <w:color w:val="auto"/>
                <w:sz w:val="21"/>
                <w:szCs w:val="21"/>
              </w:rPr>
            </w:pPr>
            <w:r>
              <w:rPr>
                <w:rFonts w:eastAsiaTheme="minorEastAsia"/>
                <w:color w:val="auto"/>
                <w:sz w:val="21"/>
                <w:szCs w:val="21"/>
              </w:rPr>
              <w:t>≤10</w:t>
            </w:r>
          </w:p>
        </w:tc>
        <w:tc>
          <w:tcPr>
            <w:tcW w:w="850" w:type="dxa"/>
            <w:vAlign w:val="center"/>
          </w:tcPr>
          <w:p>
            <w:pPr>
              <w:jc w:val="center"/>
              <w:rPr>
                <w:rFonts w:eastAsiaTheme="minorEastAsia"/>
                <w:color w:val="auto"/>
                <w:sz w:val="21"/>
                <w:szCs w:val="21"/>
              </w:rPr>
            </w:pPr>
            <w:r>
              <w:rPr>
                <w:rFonts w:eastAsiaTheme="minorEastAsia"/>
                <w:color w:val="auto"/>
                <w:sz w:val="21"/>
                <w:szCs w:val="21"/>
              </w:rPr>
              <w:t>---</w:t>
            </w:r>
          </w:p>
        </w:tc>
        <w:tc>
          <w:tcPr>
            <w:tcW w:w="851" w:type="dxa"/>
            <w:vAlign w:val="center"/>
          </w:tcPr>
          <w:p>
            <w:pPr>
              <w:jc w:val="center"/>
              <w:rPr>
                <w:rFonts w:eastAsiaTheme="minorEastAsia"/>
                <w:color w:val="auto"/>
                <w:sz w:val="21"/>
                <w:szCs w:val="21"/>
              </w:rPr>
            </w:pPr>
            <w:r>
              <w:rPr>
                <w:rFonts w:eastAsiaTheme="minorEastAsia"/>
                <w:color w:val="auto"/>
                <w:sz w:val="21"/>
                <w:szCs w:val="21"/>
              </w:rPr>
              <w:t>---</w:t>
            </w:r>
          </w:p>
        </w:tc>
        <w:tc>
          <w:tcPr>
            <w:tcW w:w="952" w:type="dxa"/>
            <w:vAlign w:val="center"/>
          </w:tcPr>
          <w:p>
            <w:pPr>
              <w:jc w:val="center"/>
              <w:rPr>
                <w:rFonts w:eastAsiaTheme="minorEastAsia"/>
                <w:color w:val="auto"/>
                <w:sz w:val="21"/>
                <w:szCs w:val="21"/>
              </w:rPr>
            </w:pPr>
            <w:r>
              <w:rPr>
                <w:rFonts w:eastAsiaTheme="minorEastAsia"/>
                <w:color w:val="auto"/>
                <w:sz w:val="21"/>
                <w:szCs w:val="21"/>
              </w:rPr>
              <w:t>≤10000</w:t>
            </w:r>
          </w:p>
        </w:tc>
        <w:tc>
          <w:tcPr>
            <w:tcW w:w="925" w:type="dxa"/>
            <w:vAlign w:val="center"/>
          </w:tcPr>
          <w:p>
            <w:pPr>
              <w:jc w:val="center"/>
              <w:rPr>
                <w:rFonts w:eastAsiaTheme="minorEastAsia"/>
                <w:color w:val="auto"/>
                <w:sz w:val="21"/>
                <w:szCs w:val="21"/>
              </w:rPr>
            </w:pPr>
            <w:r>
              <w:rPr>
                <w:rFonts w:eastAsiaTheme="minorEastAsia"/>
                <w:color w:val="auto"/>
                <w:sz w:val="21"/>
                <w:szCs w:val="21"/>
              </w:rPr>
              <w:t>≤0.0001</w:t>
            </w:r>
          </w:p>
        </w:tc>
        <w:tc>
          <w:tcPr>
            <w:tcW w:w="925" w:type="dxa"/>
            <w:vAlign w:val="center"/>
          </w:tcPr>
          <w:p>
            <w:pPr>
              <w:jc w:val="center"/>
              <w:rPr>
                <w:rFonts w:eastAsiaTheme="minorEastAsia"/>
                <w:color w:val="auto"/>
                <w:sz w:val="21"/>
                <w:szCs w:val="21"/>
              </w:rPr>
            </w:pPr>
            <w:r>
              <w:rPr>
                <w:rFonts w:eastAsiaTheme="minorEastAsia"/>
                <w:color w:val="auto"/>
                <w:sz w:val="21"/>
                <w:szCs w:val="21"/>
              </w:rPr>
              <w:t>≤0.05</w:t>
            </w:r>
          </w:p>
        </w:tc>
        <w:tc>
          <w:tcPr>
            <w:tcW w:w="885" w:type="dxa"/>
            <w:vAlign w:val="center"/>
          </w:tcPr>
          <w:p>
            <w:pPr>
              <w:jc w:val="center"/>
              <w:rPr>
                <w:rFonts w:eastAsiaTheme="minorEastAsia"/>
                <w:color w:val="auto"/>
                <w:sz w:val="21"/>
                <w:szCs w:val="21"/>
              </w:rPr>
            </w:pPr>
            <w:r>
              <w:rPr>
                <w:rFonts w:eastAsiaTheme="minorEastAsia"/>
                <w:color w:val="auto"/>
                <w:sz w:val="21"/>
                <w:szCs w:val="21"/>
              </w:rPr>
              <w:t>≤0.1</w:t>
            </w:r>
          </w:p>
        </w:tc>
        <w:tc>
          <w:tcPr>
            <w:tcW w:w="885" w:type="dxa"/>
            <w:vAlign w:val="center"/>
          </w:tcPr>
          <w:p>
            <w:pPr>
              <w:jc w:val="center"/>
              <w:rPr>
                <w:rFonts w:eastAsiaTheme="minorEastAsia"/>
                <w:color w:val="auto"/>
                <w:sz w:val="21"/>
                <w:szCs w:val="21"/>
              </w:rPr>
            </w:pPr>
            <w:r>
              <w:rPr>
                <w:rFonts w:eastAsiaTheme="minorEastAsia"/>
                <w:color w:val="auto"/>
                <w:sz w:val="21"/>
                <w:szCs w:val="21"/>
              </w:rPr>
              <w:t>≤0.3</w:t>
            </w:r>
          </w:p>
        </w:tc>
        <w:tc>
          <w:tcPr>
            <w:tcW w:w="885" w:type="dxa"/>
            <w:vAlign w:val="center"/>
          </w:tcPr>
          <w:p>
            <w:pPr>
              <w:jc w:val="center"/>
              <w:rPr>
                <w:rFonts w:eastAsiaTheme="minorEastAsia"/>
                <w:color w:val="auto"/>
                <w:sz w:val="21"/>
                <w:szCs w:val="21"/>
              </w:rPr>
            </w:pPr>
            <w:r>
              <w:rPr>
                <w:rFonts w:eastAsiaTheme="minorEastAsia"/>
                <w:color w:val="auto"/>
                <w:sz w:val="21"/>
                <w:szCs w:val="21"/>
              </w:rPr>
              <w:t>≤1.0</w:t>
            </w:r>
          </w:p>
        </w:tc>
        <w:tc>
          <w:tcPr>
            <w:tcW w:w="885" w:type="dxa"/>
            <w:vAlign w:val="center"/>
          </w:tcPr>
          <w:p>
            <w:pPr>
              <w:jc w:val="center"/>
              <w:rPr>
                <w:rFonts w:eastAsiaTheme="minorEastAsia"/>
                <w:color w:val="auto"/>
                <w:sz w:val="21"/>
                <w:szCs w:val="21"/>
              </w:rPr>
            </w:pPr>
            <w:r>
              <w:rPr>
                <w:rFonts w:eastAsiaTheme="minorEastAsia"/>
                <w:color w:val="auto"/>
                <w:sz w:val="21"/>
                <w:szCs w:val="21"/>
              </w:rPr>
              <w:t>≤1.0</w:t>
            </w:r>
          </w:p>
        </w:tc>
        <w:tc>
          <w:tcPr>
            <w:tcW w:w="885" w:type="dxa"/>
            <w:vAlign w:val="center"/>
          </w:tcPr>
          <w:p>
            <w:pPr>
              <w:jc w:val="center"/>
              <w:rPr>
                <w:rFonts w:eastAsiaTheme="minorEastAsia"/>
                <w:color w:val="auto"/>
                <w:sz w:val="21"/>
                <w:szCs w:val="21"/>
              </w:rPr>
            </w:pPr>
            <w:r>
              <w:rPr>
                <w:rFonts w:eastAsiaTheme="minorEastAsia"/>
                <w:color w:val="auto"/>
                <w:sz w:val="21"/>
                <w:szCs w:val="21"/>
              </w:rPr>
              <w:t>≤0.005</w:t>
            </w:r>
          </w:p>
        </w:tc>
        <w:tc>
          <w:tcPr>
            <w:tcW w:w="885" w:type="dxa"/>
            <w:vAlign w:val="center"/>
          </w:tcPr>
          <w:p>
            <w:pPr>
              <w:jc w:val="center"/>
              <w:rPr>
                <w:rFonts w:eastAsiaTheme="minorEastAsia"/>
                <w:color w:val="auto"/>
                <w:sz w:val="21"/>
                <w:szCs w:val="21"/>
              </w:rPr>
            </w:pPr>
            <w:r>
              <w:rPr>
                <w:rFonts w:eastAsiaTheme="minorEastAsia"/>
                <w:color w:val="auto"/>
                <w:sz w:val="21"/>
                <w:szCs w:val="21"/>
              </w:rPr>
              <w:t>≤0.05</w:t>
            </w:r>
          </w:p>
        </w:tc>
      </w:tr>
    </w:tbl>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sectPr>
          <w:pgSz w:w="16838" w:h="11906" w:orient="landscape"/>
          <w:pgMar w:top="1418" w:right="1418" w:bottom="1418" w:left="1418" w:header="851" w:footer="992" w:gutter="0"/>
          <w:pgNumType w:fmt="decimal"/>
          <w:cols w:space="425" w:num="1"/>
          <w:docGrid w:type="lines" w:linePitch="326" w:charSpace="0"/>
        </w:sectPr>
      </w:pPr>
    </w:p>
    <w:p>
      <w:pPr>
        <w:pStyle w:val="3"/>
        <w:numPr>
          <w:ilvl w:val="0"/>
          <w:numId w:val="0"/>
        </w:numPr>
        <w:tabs>
          <w:tab w:val="clear" w:pos="680"/>
        </w:tabs>
        <w:rPr>
          <w:rFonts w:ascii="Times New Roman"/>
          <w:bCs/>
          <w:color w:val="auto"/>
        </w:rPr>
      </w:pPr>
      <w:bookmarkStart w:id="402" w:name="_Toc14943323"/>
      <w:bookmarkStart w:id="403" w:name="_Toc9517764"/>
      <w:bookmarkStart w:id="404" w:name="_Toc23263166"/>
      <w:bookmarkStart w:id="405" w:name="_Toc24136779"/>
      <w:bookmarkStart w:id="406" w:name="_Toc20983"/>
      <w:r>
        <w:rPr>
          <w:rFonts w:hint="eastAsia" w:ascii="Times New Roman"/>
          <w:bCs/>
          <w:color w:val="auto"/>
          <w:lang w:eastAsia="zh-CN"/>
        </w:rPr>
        <w:t>4</w:t>
      </w:r>
      <w:r>
        <w:rPr>
          <w:rFonts w:ascii="Times New Roman"/>
          <w:bCs/>
          <w:color w:val="auto"/>
          <w:lang w:eastAsia="zh-CN"/>
        </w:rPr>
        <w:t>.3</w:t>
      </w:r>
      <w:r>
        <w:rPr>
          <w:rFonts w:ascii="Times New Roman"/>
          <w:bCs/>
          <w:color w:val="auto"/>
        </w:rPr>
        <w:t>环境空气质量现状监测与评价</w:t>
      </w:r>
      <w:bookmarkEnd w:id="402"/>
      <w:bookmarkEnd w:id="403"/>
      <w:bookmarkEnd w:id="404"/>
      <w:bookmarkEnd w:id="405"/>
      <w:bookmarkEnd w:id="406"/>
    </w:p>
    <w:p>
      <w:pPr>
        <w:pStyle w:val="298"/>
        <w:rPr>
          <w:color w:val="auto"/>
        </w:rPr>
      </w:pPr>
      <w:bookmarkStart w:id="407" w:name="_Toc15912167"/>
      <w:bookmarkStart w:id="408" w:name="_Toc14946875"/>
      <w:bookmarkStart w:id="409" w:name="_Toc34234699"/>
      <w:bookmarkStart w:id="410" w:name="_Toc20888"/>
      <w:bookmarkStart w:id="411" w:name="_Toc24136780"/>
      <w:r>
        <w:rPr>
          <w:color w:val="auto"/>
        </w:rPr>
        <w:t>4.3.1</w:t>
      </w:r>
      <w:bookmarkEnd w:id="407"/>
      <w:bookmarkEnd w:id="408"/>
      <w:r>
        <w:rPr>
          <w:rFonts w:hint="eastAsia"/>
          <w:bCs/>
          <w:color w:val="auto"/>
        </w:rPr>
        <w:t>项目所在区域环境空气质量达标判定</w:t>
      </w:r>
      <w:bookmarkEnd w:id="409"/>
      <w:bookmarkEnd w:id="410"/>
      <w:bookmarkEnd w:id="411"/>
    </w:p>
    <w:p>
      <w:pPr>
        <w:pStyle w:val="301"/>
        <w:rPr>
          <w:color w:val="auto"/>
        </w:rPr>
      </w:pPr>
      <w:r>
        <w:rPr>
          <w:color w:val="auto"/>
        </w:rPr>
        <w:t>4.3.1.1</w:t>
      </w:r>
      <w:r>
        <w:rPr>
          <w:rFonts w:hint="eastAsia"/>
          <w:color w:val="auto"/>
          <w:lang w:eastAsia="zh-CN"/>
        </w:rPr>
        <w:t>环境空气基本污染物现状</w:t>
      </w:r>
    </w:p>
    <w:p>
      <w:pPr>
        <w:spacing w:line="360" w:lineRule="auto"/>
        <w:ind w:firstLine="480"/>
        <w:jc w:val="both"/>
        <w:rPr>
          <w:color w:val="auto"/>
        </w:rPr>
      </w:pPr>
      <w:r>
        <w:rPr>
          <w:rFonts w:hint="eastAsia"/>
          <w:color w:val="auto"/>
        </w:rPr>
        <w:t>根</w:t>
      </w:r>
      <w:r>
        <w:rPr>
          <w:color w:val="auto"/>
        </w:rPr>
        <w:t>据《</w:t>
      </w:r>
      <w:r>
        <w:rPr>
          <w:rFonts w:hint="eastAsia"/>
          <w:color w:val="auto"/>
        </w:rPr>
        <w:t>2</w:t>
      </w:r>
      <w:r>
        <w:rPr>
          <w:color w:val="auto"/>
        </w:rPr>
        <w:t>018</w:t>
      </w:r>
      <w:r>
        <w:rPr>
          <w:rFonts w:hint="eastAsia"/>
          <w:color w:val="auto"/>
        </w:rPr>
        <w:t>年梅州市生态环境质量状况公报</w:t>
      </w:r>
      <w:r>
        <w:rPr>
          <w:color w:val="auto"/>
        </w:rPr>
        <w:t>》，</w:t>
      </w:r>
      <w:r>
        <w:rPr>
          <w:rFonts w:hint="eastAsia"/>
          <w:color w:val="auto"/>
        </w:rPr>
        <w:t>2018年梅州市环境空气质量各项监测指标年均值均达到国家《环境空气质量标准》（GB3095-2012）及其修改单中的二级标准。其中，</w:t>
      </w:r>
      <w:r>
        <w:rPr>
          <w:color w:val="auto"/>
        </w:rPr>
        <w:t>SO</w:t>
      </w:r>
      <w:r>
        <w:rPr>
          <w:color w:val="auto"/>
          <w:vertAlign w:val="subscript"/>
        </w:rPr>
        <w:t>2</w:t>
      </w:r>
      <w:r>
        <w:rPr>
          <w:color w:val="auto"/>
        </w:rPr>
        <w:t>年平均浓度</w:t>
      </w:r>
      <w:r>
        <w:rPr>
          <w:rFonts w:hint="eastAsia"/>
          <w:color w:val="auto"/>
        </w:rPr>
        <w:t>为7</w:t>
      </w:r>
      <w:r>
        <w:rPr>
          <w:color w:val="auto"/>
        </w:rPr>
        <w:t>μg/m</w:t>
      </w:r>
      <w:r>
        <w:rPr>
          <w:color w:val="auto"/>
          <w:vertAlign w:val="superscript"/>
        </w:rPr>
        <w:t>3</w:t>
      </w:r>
      <w:r>
        <w:rPr>
          <w:color w:val="auto"/>
        </w:rPr>
        <w:t>，NO</w:t>
      </w:r>
      <w:r>
        <w:rPr>
          <w:color w:val="auto"/>
          <w:vertAlign w:val="subscript"/>
        </w:rPr>
        <w:t>2</w:t>
      </w:r>
      <w:r>
        <w:rPr>
          <w:color w:val="auto"/>
        </w:rPr>
        <w:t>年平均浓度</w:t>
      </w:r>
      <w:r>
        <w:rPr>
          <w:rFonts w:hint="eastAsia"/>
          <w:color w:val="auto"/>
        </w:rPr>
        <w:t>为28</w:t>
      </w:r>
      <w:r>
        <w:rPr>
          <w:color w:val="auto"/>
        </w:rPr>
        <w:t>μg/m</w:t>
      </w:r>
      <w:r>
        <w:rPr>
          <w:color w:val="auto"/>
          <w:vertAlign w:val="superscript"/>
        </w:rPr>
        <w:t>3</w:t>
      </w:r>
      <w:r>
        <w:rPr>
          <w:color w:val="auto"/>
        </w:rPr>
        <w:t>，PM</w:t>
      </w:r>
      <w:r>
        <w:rPr>
          <w:color w:val="auto"/>
          <w:vertAlign w:val="subscript"/>
        </w:rPr>
        <w:t>2.5</w:t>
      </w:r>
      <w:r>
        <w:rPr>
          <w:color w:val="auto"/>
        </w:rPr>
        <w:t>年平均浓度</w:t>
      </w:r>
      <w:r>
        <w:rPr>
          <w:rFonts w:hint="eastAsia"/>
          <w:color w:val="auto"/>
        </w:rPr>
        <w:t>为</w:t>
      </w:r>
      <w:r>
        <w:rPr>
          <w:color w:val="auto"/>
        </w:rPr>
        <w:t>30μg/m</w:t>
      </w:r>
      <w:r>
        <w:rPr>
          <w:color w:val="auto"/>
          <w:vertAlign w:val="superscript"/>
        </w:rPr>
        <w:t>3</w:t>
      </w:r>
      <w:r>
        <w:rPr>
          <w:color w:val="auto"/>
        </w:rPr>
        <w:t>，PM</w:t>
      </w:r>
      <w:r>
        <w:rPr>
          <w:color w:val="auto"/>
          <w:vertAlign w:val="subscript"/>
        </w:rPr>
        <w:t>10</w:t>
      </w:r>
      <w:r>
        <w:rPr>
          <w:color w:val="auto"/>
        </w:rPr>
        <w:t>年平均</w:t>
      </w:r>
      <w:r>
        <w:rPr>
          <w:rFonts w:hint="eastAsia"/>
          <w:color w:val="auto"/>
        </w:rPr>
        <w:t>浓度为49</w:t>
      </w:r>
      <w:r>
        <w:rPr>
          <w:color w:val="auto"/>
        </w:rPr>
        <w:t>μg/m</w:t>
      </w:r>
      <w:r>
        <w:rPr>
          <w:color w:val="auto"/>
          <w:vertAlign w:val="superscript"/>
        </w:rPr>
        <w:t>3</w:t>
      </w:r>
      <w:r>
        <w:rPr>
          <w:color w:val="auto"/>
        </w:rPr>
        <w:t>，</w:t>
      </w:r>
      <w:r>
        <w:rPr>
          <w:rFonts w:hint="eastAsia"/>
          <w:color w:val="auto"/>
        </w:rPr>
        <w:t>C</w:t>
      </w:r>
      <w:r>
        <w:rPr>
          <w:color w:val="auto"/>
        </w:rPr>
        <w:t>O第95百分位数</w:t>
      </w:r>
      <w:r>
        <w:rPr>
          <w:rFonts w:hint="eastAsia"/>
          <w:color w:val="auto"/>
        </w:rPr>
        <w:t>浓度为1</w:t>
      </w:r>
      <w:r>
        <w:rPr>
          <w:color w:val="auto"/>
        </w:rPr>
        <w:t>.2</w:t>
      </w:r>
      <w:r>
        <w:rPr>
          <w:rFonts w:hint="eastAsia"/>
          <w:color w:val="auto"/>
        </w:rPr>
        <w:t>mg/m</w:t>
      </w:r>
      <w:r>
        <w:rPr>
          <w:rFonts w:hint="eastAsia"/>
          <w:color w:val="auto"/>
          <w:vertAlign w:val="superscript"/>
        </w:rPr>
        <w:t>3</w:t>
      </w:r>
      <w:r>
        <w:rPr>
          <w:rFonts w:hint="eastAsia"/>
          <w:color w:val="auto"/>
        </w:rPr>
        <w:t>，</w:t>
      </w:r>
      <w:r>
        <w:rPr>
          <w:color w:val="auto"/>
          <w:lang w:val="zh-CN"/>
        </w:rPr>
        <w:t>O</w:t>
      </w:r>
      <w:r>
        <w:rPr>
          <w:color w:val="auto"/>
          <w:vertAlign w:val="subscript"/>
          <w:lang w:val="zh-CN"/>
        </w:rPr>
        <w:t>3</w:t>
      </w:r>
      <w:r>
        <w:rPr>
          <w:color w:val="auto"/>
          <w:lang w:val="zh-CN"/>
        </w:rPr>
        <w:t>日最大8小时平均值第90百分位浓度为123</w:t>
      </w:r>
      <w:r>
        <w:rPr>
          <w:color w:val="auto"/>
        </w:rPr>
        <w:t>μg/m</w:t>
      </w:r>
      <w:r>
        <w:rPr>
          <w:color w:val="auto"/>
          <w:vertAlign w:val="superscript"/>
        </w:rPr>
        <w:t>3</w:t>
      </w:r>
      <w:r>
        <w:rPr>
          <w:rFonts w:hint="eastAsia"/>
          <w:color w:val="auto"/>
        </w:rPr>
        <w:t>。</w:t>
      </w:r>
    </w:p>
    <w:p>
      <w:pPr>
        <w:spacing w:line="360" w:lineRule="auto"/>
        <w:ind w:firstLine="480"/>
        <w:jc w:val="both"/>
        <w:rPr>
          <w:color w:val="auto"/>
        </w:rPr>
      </w:pPr>
      <w:r>
        <w:rPr>
          <w:rFonts w:hint="eastAsia"/>
          <w:color w:val="auto"/>
        </w:rPr>
        <w:t>选取梅州市</w:t>
      </w:r>
      <w:r>
        <w:rPr>
          <w:color w:val="auto"/>
        </w:rPr>
        <w:t>2018</w:t>
      </w:r>
      <w:r>
        <w:rPr>
          <w:rFonts w:hint="eastAsia"/>
          <w:color w:val="auto"/>
        </w:rPr>
        <w:t>年连续</w:t>
      </w:r>
      <w:r>
        <w:rPr>
          <w:color w:val="auto"/>
        </w:rPr>
        <w:t>1</w:t>
      </w:r>
      <w:r>
        <w:rPr>
          <w:rFonts w:hint="eastAsia"/>
          <w:color w:val="auto"/>
        </w:rPr>
        <w:t>年的环境空气质量现状监测数据作为项目所在区域基本污染物环境质量现状分析数据。</w:t>
      </w:r>
    </w:p>
    <w:p>
      <w:pPr>
        <w:adjustRightInd w:val="0"/>
        <w:snapToGrid w:val="0"/>
        <w:jc w:val="center"/>
        <w:rPr>
          <w:rFonts w:eastAsiaTheme="minorEastAsia"/>
          <w:b/>
          <w:bCs/>
          <w:color w:val="auto"/>
        </w:rPr>
      </w:pPr>
      <w:r>
        <w:rPr>
          <w:rFonts w:eastAsiaTheme="minorEastAsia"/>
          <w:b/>
          <w:bCs/>
          <w:color w:val="auto"/>
        </w:rPr>
        <w:t>表4.3-1  梅州市环境空气基本污染物质量现状统计表</w:t>
      </w:r>
    </w:p>
    <w:tbl>
      <w:tblPr>
        <w:tblStyle w:val="53"/>
        <w:tblW w:w="8306" w:type="dxa"/>
        <w:jc w:val="center"/>
        <w:tblInd w:w="0" w:type="dxa"/>
        <w:tblLayout w:type="fixed"/>
        <w:tblCellMar>
          <w:top w:w="0" w:type="dxa"/>
          <w:left w:w="0" w:type="dxa"/>
          <w:bottom w:w="0" w:type="dxa"/>
          <w:right w:w="0" w:type="dxa"/>
        </w:tblCellMar>
      </w:tblPr>
      <w:tblGrid>
        <w:gridCol w:w="546"/>
        <w:gridCol w:w="2430"/>
        <w:gridCol w:w="849"/>
        <w:gridCol w:w="1191"/>
        <w:gridCol w:w="676"/>
        <w:gridCol w:w="821"/>
        <w:gridCol w:w="1793"/>
      </w:tblGrid>
      <w:tr>
        <w:tblPrEx>
          <w:tblLayout w:type="fixed"/>
          <w:tblCellMar>
            <w:top w:w="0" w:type="dxa"/>
            <w:left w:w="0" w:type="dxa"/>
            <w:bottom w:w="0" w:type="dxa"/>
            <w:right w:w="0" w:type="dxa"/>
          </w:tblCellMar>
        </w:tblPrEx>
        <w:trPr>
          <w:jc w:val="center"/>
        </w:trPr>
        <w:tc>
          <w:tcPr>
            <w:tcW w:w="546" w:type="dxa"/>
            <w:tcBorders>
              <w:top w:val="single" w:color="000000" w:sz="12" w:space="0"/>
              <w:bottom w:val="single" w:color="000000" w:sz="4" w:space="0"/>
              <w:right w:val="single" w:color="000000" w:sz="4" w:space="0"/>
            </w:tcBorders>
            <w:vAlign w:val="center"/>
          </w:tcPr>
          <w:p>
            <w:pPr>
              <w:adjustRightInd w:val="0"/>
              <w:snapToGrid w:val="0"/>
              <w:jc w:val="center"/>
              <w:rPr>
                <w:b/>
                <w:bCs/>
                <w:color w:val="auto"/>
                <w:sz w:val="21"/>
                <w:szCs w:val="21"/>
              </w:rPr>
            </w:pPr>
            <w:r>
              <w:rPr>
                <w:b/>
                <w:bCs/>
                <w:color w:val="auto"/>
                <w:sz w:val="21"/>
                <w:szCs w:val="21"/>
              </w:rPr>
              <w:t>污染物</w:t>
            </w:r>
          </w:p>
        </w:tc>
        <w:tc>
          <w:tcPr>
            <w:tcW w:w="2430" w:type="dxa"/>
            <w:tcBorders>
              <w:top w:val="single" w:color="000000" w:sz="12" w:space="0"/>
              <w:left w:val="single" w:color="000000" w:sz="4" w:space="0"/>
              <w:bottom w:val="single" w:color="000000" w:sz="4" w:space="0"/>
              <w:right w:val="single" w:color="000000" w:sz="4" w:space="0"/>
            </w:tcBorders>
            <w:vAlign w:val="center"/>
          </w:tcPr>
          <w:p>
            <w:pPr>
              <w:adjustRightInd w:val="0"/>
              <w:snapToGrid w:val="0"/>
              <w:jc w:val="center"/>
              <w:rPr>
                <w:b/>
                <w:bCs/>
                <w:color w:val="auto"/>
                <w:sz w:val="21"/>
                <w:szCs w:val="21"/>
              </w:rPr>
            </w:pPr>
            <w:r>
              <w:rPr>
                <w:b/>
                <w:bCs/>
                <w:color w:val="auto"/>
                <w:sz w:val="21"/>
                <w:szCs w:val="21"/>
              </w:rPr>
              <w:t>年评价指标</w:t>
            </w:r>
          </w:p>
        </w:tc>
        <w:tc>
          <w:tcPr>
            <w:tcW w:w="849" w:type="dxa"/>
            <w:tcBorders>
              <w:top w:val="single" w:color="000000" w:sz="12" w:space="0"/>
              <w:left w:val="single" w:color="000000" w:sz="4" w:space="0"/>
              <w:bottom w:val="single" w:color="000000" w:sz="4" w:space="0"/>
              <w:right w:val="single" w:color="000000" w:sz="4" w:space="0"/>
            </w:tcBorders>
            <w:vAlign w:val="center"/>
          </w:tcPr>
          <w:p>
            <w:pPr>
              <w:adjustRightInd w:val="0"/>
              <w:snapToGrid w:val="0"/>
              <w:jc w:val="center"/>
              <w:rPr>
                <w:b/>
                <w:bCs/>
                <w:color w:val="auto"/>
                <w:sz w:val="21"/>
                <w:szCs w:val="21"/>
              </w:rPr>
            </w:pPr>
            <w:r>
              <w:rPr>
                <w:b/>
                <w:bCs/>
                <w:color w:val="auto"/>
                <w:sz w:val="21"/>
                <w:szCs w:val="21"/>
              </w:rPr>
              <w:t>评价标准（μg/m</w:t>
            </w:r>
            <w:r>
              <w:rPr>
                <w:b/>
                <w:bCs/>
                <w:color w:val="auto"/>
                <w:sz w:val="21"/>
                <w:szCs w:val="21"/>
                <w:vertAlign w:val="superscript"/>
              </w:rPr>
              <w:t>3</w:t>
            </w:r>
            <w:r>
              <w:rPr>
                <w:b/>
                <w:bCs/>
                <w:color w:val="auto"/>
                <w:sz w:val="21"/>
                <w:szCs w:val="21"/>
              </w:rPr>
              <w:t>）</w:t>
            </w:r>
          </w:p>
        </w:tc>
        <w:tc>
          <w:tcPr>
            <w:tcW w:w="1191" w:type="dxa"/>
            <w:tcBorders>
              <w:top w:val="single" w:color="000000" w:sz="12" w:space="0"/>
              <w:left w:val="single" w:color="000000" w:sz="4" w:space="0"/>
              <w:bottom w:val="single" w:color="000000" w:sz="4" w:space="0"/>
              <w:right w:val="single" w:color="000000" w:sz="4" w:space="0"/>
            </w:tcBorders>
            <w:vAlign w:val="center"/>
          </w:tcPr>
          <w:p>
            <w:pPr>
              <w:adjustRightInd w:val="0"/>
              <w:snapToGrid w:val="0"/>
              <w:jc w:val="center"/>
              <w:rPr>
                <w:b/>
                <w:bCs/>
                <w:color w:val="auto"/>
                <w:sz w:val="21"/>
                <w:szCs w:val="21"/>
              </w:rPr>
            </w:pPr>
            <w:r>
              <w:rPr>
                <w:b/>
                <w:bCs/>
                <w:color w:val="auto"/>
                <w:sz w:val="21"/>
                <w:szCs w:val="21"/>
              </w:rPr>
              <w:t>现状浓度（μg/m</w:t>
            </w:r>
            <w:r>
              <w:rPr>
                <w:b/>
                <w:bCs/>
                <w:color w:val="auto"/>
                <w:sz w:val="21"/>
                <w:szCs w:val="21"/>
                <w:vertAlign w:val="superscript"/>
              </w:rPr>
              <w:t>3</w:t>
            </w:r>
            <w:r>
              <w:rPr>
                <w:b/>
                <w:bCs/>
                <w:color w:val="auto"/>
                <w:sz w:val="21"/>
                <w:szCs w:val="21"/>
              </w:rPr>
              <w:t>）</w:t>
            </w:r>
          </w:p>
        </w:tc>
        <w:tc>
          <w:tcPr>
            <w:tcW w:w="676" w:type="dxa"/>
            <w:tcBorders>
              <w:top w:val="single" w:color="000000" w:sz="12" w:space="0"/>
              <w:left w:val="single" w:color="000000" w:sz="4" w:space="0"/>
              <w:bottom w:val="single" w:color="000000" w:sz="4" w:space="0"/>
              <w:right w:val="single" w:color="000000" w:sz="4" w:space="0"/>
            </w:tcBorders>
            <w:vAlign w:val="center"/>
          </w:tcPr>
          <w:p>
            <w:pPr>
              <w:adjustRightInd w:val="0"/>
              <w:snapToGrid w:val="0"/>
              <w:jc w:val="center"/>
              <w:rPr>
                <w:b/>
                <w:bCs/>
                <w:color w:val="auto"/>
                <w:sz w:val="21"/>
                <w:szCs w:val="21"/>
              </w:rPr>
            </w:pPr>
            <w:r>
              <w:rPr>
                <w:b/>
                <w:bCs/>
                <w:color w:val="auto"/>
                <w:sz w:val="21"/>
                <w:szCs w:val="21"/>
              </w:rPr>
              <w:t>最大占标率%</w:t>
            </w:r>
          </w:p>
        </w:tc>
        <w:tc>
          <w:tcPr>
            <w:tcW w:w="821" w:type="dxa"/>
            <w:tcBorders>
              <w:top w:val="single" w:color="000000" w:sz="12" w:space="0"/>
              <w:left w:val="single" w:color="000000" w:sz="4" w:space="0"/>
              <w:bottom w:val="single" w:color="000000" w:sz="4" w:space="0"/>
              <w:right w:val="single" w:color="000000" w:sz="4" w:space="0"/>
            </w:tcBorders>
            <w:vAlign w:val="center"/>
          </w:tcPr>
          <w:p>
            <w:pPr>
              <w:adjustRightInd w:val="0"/>
              <w:snapToGrid w:val="0"/>
              <w:jc w:val="center"/>
              <w:rPr>
                <w:b/>
                <w:bCs/>
                <w:color w:val="auto"/>
                <w:sz w:val="21"/>
                <w:szCs w:val="21"/>
              </w:rPr>
            </w:pPr>
            <w:r>
              <w:rPr>
                <w:b/>
                <w:bCs/>
                <w:color w:val="auto"/>
                <w:sz w:val="21"/>
                <w:szCs w:val="21"/>
              </w:rPr>
              <w:t>超标率%</w:t>
            </w:r>
          </w:p>
        </w:tc>
        <w:tc>
          <w:tcPr>
            <w:tcW w:w="1793" w:type="dxa"/>
            <w:tcBorders>
              <w:top w:val="single" w:color="000000" w:sz="12" w:space="0"/>
              <w:left w:val="single" w:color="000000" w:sz="4" w:space="0"/>
              <w:bottom w:val="single" w:color="000000" w:sz="4" w:space="0"/>
            </w:tcBorders>
            <w:vAlign w:val="center"/>
          </w:tcPr>
          <w:p>
            <w:pPr>
              <w:adjustRightInd w:val="0"/>
              <w:snapToGrid w:val="0"/>
              <w:jc w:val="center"/>
              <w:rPr>
                <w:b/>
                <w:bCs/>
                <w:color w:val="auto"/>
                <w:sz w:val="21"/>
                <w:szCs w:val="21"/>
              </w:rPr>
            </w:pPr>
            <w:r>
              <w:rPr>
                <w:b/>
                <w:bCs/>
                <w:color w:val="auto"/>
                <w:sz w:val="21"/>
                <w:szCs w:val="21"/>
              </w:rPr>
              <w:t>达标情况</w:t>
            </w:r>
          </w:p>
        </w:tc>
      </w:tr>
      <w:tr>
        <w:tblPrEx>
          <w:tblLayout w:type="fixed"/>
          <w:tblCellMar>
            <w:top w:w="0" w:type="dxa"/>
            <w:left w:w="0" w:type="dxa"/>
            <w:bottom w:w="0" w:type="dxa"/>
            <w:right w:w="0" w:type="dxa"/>
          </w:tblCellMar>
        </w:tblPrEx>
        <w:trPr>
          <w:jc w:val="center"/>
        </w:trPr>
        <w:tc>
          <w:tcPr>
            <w:tcW w:w="546" w:type="dxa"/>
            <w:vMerge w:val="restart"/>
            <w:tcBorders>
              <w:top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SO</w:t>
            </w:r>
            <w:r>
              <w:rPr>
                <w:color w:val="auto"/>
                <w:sz w:val="21"/>
                <w:szCs w:val="21"/>
                <w:vertAlign w:val="subscript"/>
              </w:rPr>
              <w:t>2</w:t>
            </w:r>
          </w:p>
        </w:tc>
        <w:tc>
          <w:tcPr>
            <w:tcW w:w="243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98%位数日平均质量浓度</w:t>
            </w:r>
          </w:p>
        </w:tc>
        <w:tc>
          <w:tcPr>
            <w:tcW w:w="8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150</w:t>
            </w:r>
          </w:p>
        </w:tc>
        <w:tc>
          <w:tcPr>
            <w:tcW w:w="119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rFonts w:hint="eastAsia"/>
                <w:color w:val="auto"/>
                <w:sz w:val="21"/>
                <w:szCs w:val="21"/>
              </w:rPr>
              <w:t>1</w:t>
            </w:r>
            <w:r>
              <w:rPr>
                <w:color w:val="auto"/>
                <w:sz w:val="21"/>
                <w:szCs w:val="21"/>
              </w:rPr>
              <w:t>0</w:t>
            </w:r>
          </w:p>
        </w:tc>
        <w:tc>
          <w:tcPr>
            <w:tcW w:w="676"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rFonts w:hint="eastAsia"/>
                <w:color w:val="auto"/>
                <w:sz w:val="21"/>
                <w:szCs w:val="21"/>
              </w:rPr>
              <w:t>6</w:t>
            </w:r>
            <w:r>
              <w:rPr>
                <w:color w:val="auto"/>
                <w:sz w:val="21"/>
                <w:szCs w:val="21"/>
              </w:rPr>
              <w:t>.7</w:t>
            </w:r>
          </w:p>
        </w:tc>
        <w:tc>
          <w:tcPr>
            <w:tcW w:w="8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0</w:t>
            </w:r>
          </w:p>
        </w:tc>
        <w:tc>
          <w:tcPr>
            <w:tcW w:w="1793" w:type="dxa"/>
            <w:vMerge w:val="restart"/>
            <w:tcBorders>
              <w:top w:val="single" w:color="000000" w:sz="4" w:space="0"/>
              <w:left w:val="single" w:color="000000" w:sz="4" w:space="0"/>
              <w:bottom w:val="single" w:color="000000" w:sz="4" w:space="0"/>
            </w:tcBorders>
            <w:vAlign w:val="center"/>
          </w:tcPr>
          <w:p>
            <w:pPr>
              <w:adjustRightInd w:val="0"/>
              <w:snapToGrid w:val="0"/>
              <w:jc w:val="center"/>
              <w:rPr>
                <w:color w:val="auto"/>
                <w:sz w:val="21"/>
                <w:szCs w:val="21"/>
              </w:rPr>
            </w:pPr>
            <w:r>
              <w:rPr>
                <w:color w:val="auto"/>
                <w:sz w:val="21"/>
                <w:szCs w:val="21"/>
              </w:rPr>
              <w:t>达标</w:t>
            </w:r>
          </w:p>
        </w:tc>
      </w:tr>
      <w:tr>
        <w:tblPrEx>
          <w:tblLayout w:type="fixed"/>
          <w:tblCellMar>
            <w:top w:w="0" w:type="dxa"/>
            <w:left w:w="0" w:type="dxa"/>
            <w:bottom w:w="0" w:type="dxa"/>
            <w:right w:w="0" w:type="dxa"/>
          </w:tblCellMar>
        </w:tblPrEx>
        <w:trPr>
          <w:jc w:val="center"/>
        </w:trPr>
        <w:tc>
          <w:tcPr>
            <w:tcW w:w="546" w:type="dxa"/>
            <w:vMerge w:val="continue"/>
            <w:tcBorders>
              <w:top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p>
        </w:tc>
        <w:tc>
          <w:tcPr>
            <w:tcW w:w="243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年均浓度</w:t>
            </w:r>
          </w:p>
        </w:tc>
        <w:tc>
          <w:tcPr>
            <w:tcW w:w="8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60</w:t>
            </w:r>
          </w:p>
        </w:tc>
        <w:tc>
          <w:tcPr>
            <w:tcW w:w="119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rFonts w:hint="eastAsia"/>
                <w:color w:val="auto"/>
                <w:sz w:val="21"/>
                <w:szCs w:val="21"/>
              </w:rPr>
              <w:t>7</w:t>
            </w:r>
          </w:p>
        </w:tc>
        <w:tc>
          <w:tcPr>
            <w:tcW w:w="676"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rFonts w:hint="eastAsia"/>
                <w:color w:val="auto"/>
                <w:sz w:val="21"/>
                <w:szCs w:val="21"/>
              </w:rPr>
              <w:t>1</w:t>
            </w:r>
            <w:r>
              <w:rPr>
                <w:color w:val="auto"/>
                <w:sz w:val="21"/>
                <w:szCs w:val="21"/>
              </w:rPr>
              <w:t>1.7</w:t>
            </w:r>
          </w:p>
        </w:tc>
        <w:tc>
          <w:tcPr>
            <w:tcW w:w="8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0</w:t>
            </w:r>
          </w:p>
        </w:tc>
        <w:tc>
          <w:tcPr>
            <w:tcW w:w="1793" w:type="dxa"/>
            <w:vMerge w:val="continue"/>
            <w:tcBorders>
              <w:top w:val="single" w:color="000000" w:sz="4" w:space="0"/>
              <w:left w:val="single" w:color="000000" w:sz="4" w:space="0"/>
              <w:bottom w:val="single" w:color="000000" w:sz="4" w:space="0"/>
            </w:tcBorders>
            <w:vAlign w:val="center"/>
          </w:tcPr>
          <w:p>
            <w:pPr>
              <w:adjustRightInd w:val="0"/>
              <w:snapToGrid w:val="0"/>
              <w:jc w:val="center"/>
              <w:rPr>
                <w:color w:val="auto"/>
                <w:sz w:val="21"/>
                <w:szCs w:val="21"/>
              </w:rPr>
            </w:pPr>
          </w:p>
        </w:tc>
      </w:tr>
      <w:tr>
        <w:tblPrEx>
          <w:tblLayout w:type="fixed"/>
          <w:tblCellMar>
            <w:top w:w="0" w:type="dxa"/>
            <w:left w:w="0" w:type="dxa"/>
            <w:bottom w:w="0" w:type="dxa"/>
            <w:right w:w="0" w:type="dxa"/>
          </w:tblCellMar>
        </w:tblPrEx>
        <w:trPr>
          <w:jc w:val="center"/>
        </w:trPr>
        <w:tc>
          <w:tcPr>
            <w:tcW w:w="546" w:type="dxa"/>
            <w:vMerge w:val="restart"/>
            <w:tcBorders>
              <w:top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NO</w:t>
            </w:r>
            <w:r>
              <w:rPr>
                <w:color w:val="auto"/>
                <w:sz w:val="21"/>
                <w:szCs w:val="21"/>
                <w:vertAlign w:val="subscript"/>
              </w:rPr>
              <w:t>2</w:t>
            </w:r>
          </w:p>
        </w:tc>
        <w:tc>
          <w:tcPr>
            <w:tcW w:w="243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98%位数日平均质量浓度</w:t>
            </w:r>
          </w:p>
        </w:tc>
        <w:tc>
          <w:tcPr>
            <w:tcW w:w="8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80</w:t>
            </w:r>
          </w:p>
        </w:tc>
        <w:tc>
          <w:tcPr>
            <w:tcW w:w="119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rFonts w:hint="eastAsia"/>
                <w:color w:val="auto"/>
                <w:sz w:val="21"/>
                <w:szCs w:val="21"/>
              </w:rPr>
              <w:t>4</w:t>
            </w:r>
            <w:r>
              <w:rPr>
                <w:color w:val="auto"/>
                <w:sz w:val="21"/>
                <w:szCs w:val="21"/>
              </w:rPr>
              <w:t>6</w:t>
            </w:r>
          </w:p>
        </w:tc>
        <w:tc>
          <w:tcPr>
            <w:tcW w:w="676"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rFonts w:hint="eastAsia"/>
                <w:color w:val="auto"/>
                <w:sz w:val="21"/>
                <w:szCs w:val="21"/>
              </w:rPr>
              <w:t>5</w:t>
            </w:r>
            <w:r>
              <w:rPr>
                <w:color w:val="auto"/>
                <w:sz w:val="21"/>
                <w:szCs w:val="21"/>
              </w:rPr>
              <w:t>7.5</w:t>
            </w:r>
          </w:p>
        </w:tc>
        <w:tc>
          <w:tcPr>
            <w:tcW w:w="8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0</w:t>
            </w:r>
          </w:p>
        </w:tc>
        <w:tc>
          <w:tcPr>
            <w:tcW w:w="1793" w:type="dxa"/>
            <w:vMerge w:val="restart"/>
            <w:tcBorders>
              <w:top w:val="single" w:color="000000" w:sz="4" w:space="0"/>
              <w:left w:val="single" w:color="000000" w:sz="4" w:space="0"/>
              <w:bottom w:val="single" w:color="000000" w:sz="4" w:space="0"/>
            </w:tcBorders>
            <w:vAlign w:val="center"/>
          </w:tcPr>
          <w:p>
            <w:pPr>
              <w:adjustRightInd w:val="0"/>
              <w:snapToGrid w:val="0"/>
              <w:jc w:val="center"/>
              <w:rPr>
                <w:color w:val="auto"/>
                <w:sz w:val="21"/>
                <w:szCs w:val="21"/>
              </w:rPr>
            </w:pPr>
            <w:r>
              <w:rPr>
                <w:color w:val="auto"/>
                <w:sz w:val="21"/>
                <w:szCs w:val="21"/>
              </w:rPr>
              <w:t>达标</w:t>
            </w:r>
          </w:p>
        </w:tc>
      </w:tr>
      <w:tr>
        <w:tblPrEx>
          <w:tblLayout w:type="fixed"/>
          <w:tblCellMar>
            <w:top w:w="0" w:type="dxa"/>
            <w:left w:w="0" w:type="dxa"/>
            <w:bottom w:w="0" w:type="dxa"/>
            <w:right w:w="0" w:type="dxa"/>
          </w:tblCellMar>
        </w:tblPrEx>
        <w:trPr>
          <w:jc w:val="center"/>
        </w:trPr>
        <w:tc>
          <w:tcPr>
            <w:tcW w:w="546" w:type="dxa"/>
            <w:vMerge w:val="continue"/>
            <w:tcBorders>
              <w:top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p>
        </w:tc>
        <w:tc>
          <w:tcPr>
            <w:tcW w:w="243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年均浓度</w:t>
            </w:r>
          </w:p>
        </w:tc>
        <w:tc>
          <w:tcPr>
            <w:tcW w:w="8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40</w:t>
            </w:r>
          </w:p>
        </w:tc>
        <w:tc>
          <w:tcPr>
            <w:tcW w:w="119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rFonts w:hint="eastAsia"/>
                <w:color w:val="auto"/>
                <w:sz w:val="21"/>
                <w:szCs w:val="21"/>
              </w:rPr>
              <w:t>2</w:t>
            </w:r>
            <w:r>
              <w:rPr>
                <w:color w:val="auto"/>
                <w:sz w:val="21"/>
                <w:szCs w:val="21"/>
              </w:rPr>
              <w:t>8</w:t>
            </w:r>
          </w:p>
        </w:tc>
        <w:tc>
          <w:tcPr>
            <w:tcW w:w="676"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rFonts w:hint="eastAsia"/>
                <w:color w:val="auto"/>
                <w:sz w:val="21"/>
                <w:szCs w:val="21"/>
              </w:rPr>
              <w:t>7</w:t>
            </w:r>
            <w:r>
              <w:rPr>
                <w:color w:val="auto"/>
                <w:sz w:val="21"/>
                <w:szCs w:val="21"/>
              </w:rPr>
              <w:t>0.0</w:t>
            </w:r>
          </w:p>
        </w:tc>
        <w:tc>
          <w:tcPr>
            <w:tcW w:w="8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0</w:t>
            </w:r>
          </w:p>
        </w:tc>
        <w:tc>
          <w:tcPr>
            <w:tcW w:w="1793" w:type="dxa"/>
            <w:vMerge w:val="continue"/>
            <w:tcBorders>
              <w:top w:val="single" w:color="000000" w:sz="4" w:space="0"/>
              <w:left w:val="single" w:color="000000" w:sz="4" w:space="0"/>
              <w:bottom w:val="single" w:color="000000" w:sz="4" w:space="0"/>
            </w:tcBorders>
            <w:vAlign w:val="center"/>
          </w:tcPr>
          <w:p>
            <w:pPr>
              <w:adjustRightInd w:val="0"/>
              <w:snapToGrid w:val="0"/>
              <w:jc w:val="center"/>
              <w:rPr>
                <w:color w:val="auto"/>
                <w:sz w:val="21"/>
                <w:szCs w:val="21"/>
              </w:rPr>
            </w:pPr>
          </w:p>
        </w:tc>
      </w:tr>
      <w:tr>
        <w:tblPrEx>
          <w:tblLayout w:type="fixed"/>
          <w:tblCellMar>
            <w:top w:w="0" w:type="dxa"/>
            <w:left w:w="0" w:type="dxa"/>
            <w:bottom w:w="0" w:type="dxa"/>
            <w:right w:w="0" w:type="dxa"/>
          </w:tblCellMar>
        </w:tblPrEx>
        <w:trPr>
          <w:jc w:val="center"/>
        </w:trPr>
        <w:tc>
          <w:tcPr>
            <w:tcW w:w="546" w:type="dxa"/>
            <w:vMerge w:val="restart"/>
            <w:tcBorders>
              <w:top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PM</w:t>
            </w:r>
            <w:r>
              <w:rPr>
                <w:color w:val="auto"/>
                <w:sz w:val="21"/>
                <w:szCs w:val="21"/>
                <w:vertAlign w:val="subscript"/>
              </w:rPr>
              <w:t>2.5</w:t>
            </w:r>
          </w:p>
        </w:tc>
        <w:tc>
          <w:tcPr>
            <w:tcW w:w="243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95%位数日平均质量浓度</w:t>
            </w:r>
          </w:p>
        </w:tc>
        <w:tc>
          <w:tcPr>
            <w:tcW w:w="8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rFonts w:hint="eastAsia"/>
                <w:color w:val="auto"/>
                <w:sz w:val="21"/>
                <w:szCs w:val="21"/>
              </w:rPr>
              <w:t>7</w:t>
            </w:r>
            <w:r>
              <w:rPr>
                <w:color w:val="auto"/>
                <w:sz w:val="21"/>
                <w:szCs w:val="21"/>
              </w:rPr>
              <w:t>5</w:t>
            </w:r>
          </w:p>
        </w:tc>
        <w:tc>
          <w:tcPr>
            <w:tcW w:w="119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rFonts w:hint="eastAsia"/>
                <w:color w:val="auto"/>
                <w:sz w:val="21"/>
                <w:szCs w:val="21"/>
              </w:rPr>
              <w:t>5</w:t>
            </w:r>
            <w:r>
              <w:rPr>
                <w:color w:val="auto"/>
                <w:sz w:val="21"/>
                <w:szCs w:val="21"/>
              </w:rPr>
              <w:t>1.6</w:t>
            </w:r>
          </w:p>
        </w:tc>
        <w:tc>
          <w:tcPr>
            <w:tcW w:w="676"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rFonts w:hint="eastAsia"/>
                <w:color w:val="auto"/>
                <w:sz w:val="21"/>
                <w:szCs w:val="21"/>
              </w:rPr>
              <w:t>6</w:t>
            </w:r>
            <w:r>
              <w:rPr>
                <w:color w:val="auto"/>
                <w:sz w:val="21"/>
                <w:szCs w:val="21"/>
              </w:rPr>
              <w:t>8.8</w:t>
            </w:r>
          </w:p>
        </w:tc>
        <w:tc>
          <w:tcPr>
            <w:tcW w:w="821" w:type="dxa"/>
            <w:tcBorders>
              <w:top w:val="single" w:color="000000" w:sz="4" w:space="0"/>
              <w:left w:val="single" w:color="000000" w:sz="4" w:space="0"/>
              <w:bottom w:val="single" w:color="000000" w:sz="4" w:space="0"/>
              <w:right w:val="single" w:color="auto" w:sz="4" w:space="0"/>
            </w:tcBorders>
            <w:vAlign w:val="center"/>
          </w:tcPr>
          <w:p>
            <w:pPr>
              <w:adjustRightInd w:val="0"/>
              <w:snapToGrid w:val="0"/>
              <w:jc w:val="center"/>
              <w:rPr>
                <w:color w:val="auto"/>
                <w:sz w:val="21"/>
                <w:szCs w:val="21"/>
              </w:rPr>
            </w:pPr>
            <w:r>
              <w:rPr>
                <w:color w:val="auto"/>
                <w:sz w:val="21"/>
                <w:szCs w:val="21"/>
              </w:rPr>
              <w:t>0</w:t>
            </w:r>
          </w:p>
        </w:tc>
        <w:tc>
          <w:tcPr>
            <w:tcW w:w="1793" w:type="dxa"/>
            <w:vMerge w:val="restart"/>
            <w:tcBorders>
              <w:top w:val="single" w:color="auto" w:sz="4" w:space="0"/>
              <w:left w:val="single" w:color="auto" w:sz="4" w:space="0"/>
            </w:tcBorders>
            <w:vAlign w:val="center"/>
          </w:tcPr>
          <w:p>
            <w:pPr>
              <w:adjustRightInd w:val="0"/>
              <w:snapToGrid w:val="0"/>
              <w:jc w:val="center"/>
              <w:rPr>
                <w:color w:val="auto"/>
                <w:sz w:val="21"/>
                <w:szCs w:val="21"/>
              </w:rPr>
            </w:pPr>
            <w:r>
              <w:rPr>
                <w:color w:val="auto"/>
                <w:sz w:val="21"/>
                <w:szCs w:val="21"/>
              </w:rPr>
              <w:t>达标</w:t>
            </w:r>
          </w:p>
        </w:tc>
      </w:tr>
      <w:tr>
        <w:tblPrEx>
          <w:tblLayout w:type="fixed"/>
          <w:tblCellMar>
            <w:top w:w="0" w:type="dxa"/>
            <w:left w:w="0" w:type="dxa"/>
            <w:bottom w:w="0" w:type="dxa"/>
            <w:right w:w="0" w:type="dxa"/>
          </w:tblCellMar>
        </w:tblPrEx>
        <w:trPr>
          <w:jc w:val="center"/>
        </w:trPr>
        <w:tc>
          <w:tcPr>
            <w:tcW w:w="546" w:type="dxa"/>
            <w:vMerge w:val="continue"/>
            <w:tcBorders>
              <w:bottom w:val="single" w:color="000000" w:sz="4" w:space="0"/>
              <w:right w:val="single" w:color="000000" w:sz="4" w:space="0"/>
            </w:tcBorders>
            <w:vAlign w:val="center"/>
          </w:tcPr>
          <w:p>
            <w:pPr>
              <w:adjustRightInd w:val="0"/>
              <w:snapToGrid w:val="0"/>
              <w:jc w:val="center"/>
              <w:rPr>
                <w:color w:val="auto"/>
                <w:sz w:val="21"/>
                <w:szCs w:val="21"/>
              </w:rPr>
            </w:pPr>
          </w:p>
        </w:tc>
        <w:tc>
          <w:tcPr>
            <w:tcW w:w="243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年均浓度</w:t>
            </w:r>
          </w:p>
        </w:tc>
        <w:tc>
          <w:tcPr>
            <w:tcW w:w="8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35</w:t>
            </w:r>
          </w:p>
        </w:tc>
        <w:tc>
          <w:tcPr>
            <w:tcW w:w="119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rFonts w:hint="eastAsia"/>
                <w:color w:val="auto"/>
                <w:sz w:val="21"/>
                <w:szCs w:val="21"/>
              </w:rPr>
              <w:t>3</w:t>
            </w:r>
            <w:r>
              <w:rPr>
                <w:color w:val="auto"/>
                <w:sz w:val="21"/>
                <w:szCs w:val="21"/>
              </w:rPr>
              <w:t>0</w:t>
            </w:r>
          </w:p>
        </w:tc>
        <w:tc>
          <w:tcPr>
            <w:tcW w:w="676"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rFonts w:hint="eastAsia"/>
                <w:color w:val="auto"/>
                <w:sz w:val="21"/>
                <w:szCs w:val="21"/>
              </w:rPr>
              <w:t>8</w:t>
            </w:r>
            <w:r>
              <w:rPr>
                <w:color w:val="auto"/>
                <w:sz w:val="21"/>
                <w:szCs w:val="21"/>
              </w:rPr>
              <w:t>5.7</w:t>
            </w:r>
          </w:p>
        </w:tc>
        <w:tc>
          <w:tcPr>
            <w:tcW w:w="821" w:type="dxa"/>
            <w:tcBorders>
              <w:top w:val="single" w:color="000000" w:sz="4" w:space="0"/>
              <w:left w:val="single" w:color="000000" w:sz="4" w:space="0"/>
              <w:bottom w:val="single" w:color="000000" w:sz="4" w:space="0"/>
              <w:right w:val="single" w:color="auto" w:sz="4" w:space="0"/>
            </w:tcBorders>
            <w:vAlign w:val="center"/>
          </w:tcPr>
          <w:p>
            <w:pPr>
              <w:adjustRightInd w:val="0"/>
              <w:snapToGrid w:val="0"/>
              <w:jc w:val="center"/>
              <w:rPr>
                <w:color w:val="auto"/>
                <w:sz w:val="21"/>
                <w:szCs w:val="21"/>
              </w:rPr>
            </w:pPr>
            <w:r>
              <w:rPr>
                <w:color w:val="auto"/>
                <w:sz w:val="21"/>
                <w:szCs w:val="21"/>
              </w:rPr>
              <w:t>0</w:t>
            </w:r>
          </w:p>
        </w:tc>
        <w:tc>
          <w:tcPr>
            <w:tcW w:w="1793" w:type="dxa"/>
            <w:vMerge w:val="continue"/>
            <w:tcBorders>
              <w:left w:val="single" w:color="auto" w:sz="4" w:space="0"/>
              <w:bottom w:val="single" w:color="auto" w:sz="4" w:space="0"/>
            </w:tcBorders>
            <w:vAlign w:val="center"/>
          </w:tcPr>
          <w:p>
            <w:pPr>
              <w:adjustRightInd w:val="0"/>
              <w:snapToGrid w:val="0"/>
              <w:jc w:val="center"/>
              <w:rPr>
                <w:color w:val="auto"/>
                <w:sz w:val="21"/>
                <w:szCs w:val="21"/>
              </w:rPr>
            </w:pPr>
          </w:p>
        </w:tc>
      </w:tr>
      <w:tr>
        <w:tblPrEx>
          <w:tblLayout w:type="fixed"/>
          <w:tblCellMar>
            <w:top w:w="0" w:type="dxa"/>
            <w:left w:w="0" w:type="dxa"/>
            <w:bottom w:w="0" w:type="dxa"/>
            <w:right w:w="0" w:type="dxa"/>
          </w:tblCellMar>
        </w:tblPrEx>
        <w:trPr>
          <w:jc w:val="center"/>
        </w:trPr>
        <w:tc>
          <w:tcPr>
            <w:tcW w:w="546" w:type="dxa"/>
            <w:vMerge w:val="restart"/>
            <w:tcBorders>
              <w:top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PM</w:t>
            </w:r>
            <w:r>
              <w:rPr>
                <w:color w:val="auto"/>
                <w:sz w:val="21"/>
                <w:szCs w:val="21"/>
                <w:vertAlign w:val="subscript"/>
              </w:rPr>
              <w:t>10</w:t>
            </w:r>
          </w:p>
        </w:tc>
        <w:tc>
          <w:tcPr>
            <w:tcW w:w="243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95%位数日平均质量浓度</w:t>
            </w:r>
          </w:p>
        </w:tc>
        <w:tc>
          <w:tcPr>
            <w:tcW w:w="8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150</w:t>
            </w:r>
          </w:p>
        </w:tc>
        <w:tc>
          <w:tcPr>
            <w:tcW w:w="119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rFonts w:hint="eastAsia"/>
                <w:color w:val="auto"/>
                <w:sz w:val="21"/>
                <w:szCs w:val="21"/>
              </w:rPr>
              <w:t>8</w:t>
            </w:r>
            <w:r>
              <w:rPr>
                <w:color w:val="auto"/>
                <w:sz w:val="21"/>
                <w:szCs w:val="21"/>
              </w:rPr>
              <w:t>4</w:t>
            </w:r>
          </w:p>
        </w:tc>
        <w:tc>
          <w:tcPr>
            <w:tcW w:w="676"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rFonts w:hint="eastAsia"/>
                <w:color w:val="auto"/>
                <w:sz w:val="21"/>
                <w:szCs w:val="21"/>
              </w:rPr>
              <w:t>5</w:t>
            </w:r>
            <w:r>
              <w:rPr>
                <w:color w:val="auto"/>
                <w:sz w:val="21"/>
                <w:szCs w:val="21"/>
              </w:rPr>
              <w:t>6.0</w:t>
            </w:r>
          </w:p>
        </w:tc>
        <w:tc>
          <w:tcPr>
            <w:tcW w:w="8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0</w:t>
            </w:r>
          </w:p>
        </w:tc>
        <w:tc>
          <w:tcPr>
            <w:tcW w:w="1793" w:type="dxa"/>
            <w:vMerge w:val="restart"/>
            <w:tcBorders>
              <w:top w:val="single" w:color="000000" w:sz="4" w:space="0"/>
              <w:left w:val="single" w:color="000000" w:sz="4" w:space="0"/>
            </w:tcBorders>
            <w:vAlign w:val="center"/>
          </w:tcPr>
          <w:p>
            <w:pPr>
              <w:adjustRightInd w:val="0"/>
              <w:snapToGrid w:val="0"/>
              <w:jc w:val="center"/>
              <w:rPr>
                <w:color w:val="auto"/>
                <w:sz w:val="21"/>
                <w:szCs w:val="21"/>
              </w:rPr>
            </w:pPr>
            <w:r>
              <w:rPr>
                <w:color w:val="auto"/>
                <w:sz w:val="21"/>
                <w:szCs w:val="21"/>
              </w:rPr>
              <w:t>达标</w:t>
            </w:r>
          </w:p>
        </w:tc>
      </w:tr>
      <w:tr>
        <w:tblPrEx>
          <w:tblLayout w:type="fixed"/>
          <w:tblCellMar>
            <w:top w:w="0" w:type="dxa"/>
            <w:left w:w="0" w:type="dxa"/>
            <w:bottom w:w="0" w:type="dxa"/>
            <w:right w:w="0" w:type="dxa"/>
          </w:tblCellMar>
        </w:tblPrEx>
        <w:trPr>
          <w:jc w:val="center"/>
        </w:trPr>
        <w:tc>
          <w:tcPr>
            <w:tcW w:w="546" w:type="dxa"/>
            <w:vMerge w:val="continue"/>
            <w:tcBorders>
              <w:bottom w:val="single" w:color="000000" w:sz="4" w:space="0"/>
              <w:right w:val="single" w:color="000000" w:sz="4" w:space="0"/>
            </w:tcBorders>
            <w:vAlign w:val="center"/>
          </w:tcPr>
          <w:p>
            <w:pPr>
              <w:adjustRightInd w:val="0"/>
              <w:snapToGrid w:val="0"/>
              <w:jc w:val="center"/>
              <w:rPr>
                <w:color w:val="auto"/>
                <w:sz w:val="21"/>
                <w:szCs w:val="21"/>
              </w:rPr>
            </w:pPr>
          </w:p>
        </w:tc>
        <w:tc>
          <w:tcPr>
            <w:tcW w:w="243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年均浓度</w:t>
            </w:r>
          </w:p>
        </w:tc>
        <w:tc>
          <w:tcPr>
            <w:tcW w:w="8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70</w:t>
            </w:r>
          </w:p>
        </w:tc>
        <w:tc>
          <w:tcPr>
            <w:tcW w:w="119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rFonts w:hint="eastAsia"/>
                <w:color w:val="auto"/>
                <w:sz w:val="21"/>
                <w:szCs w:val="21"/>
              </w:rPr>
              <w:t>4</w:t>
            </w:r>
            <w:r>
              <w:rPr>
                <w:color w:val="auto"/>
                <w:sz w:val="21"/>
                <w:szCs w:val="21"/>
              </w:rPr>
              <w:t>9</w:t>
            </w:r>
          </w:p>
        </w:tc>
        <w:tc>
          <w:tcPr>
            <w:tcW w:w="676"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rFonts w:hint="eastAsia"/>
                <w:color w:val="auto"/>
                <w:sz w:val="21"/>
                <w:szCs w:val="21"/>
              </w:rPr>
              <w:t>7</w:t>
            </w:r>
            <w:r>
              <w:rPr>
                <w:color w:val="auto"/>
                <w:sz w:val="21"/>
                <w:szCs w:val="21"/>
              </w:rPr>
              <w:t>0.0</w:t>
            </w:r>
          </w:p>
        </w:tc>
        <w:tc>
          <w:tcPr>
            <w:tcW w:w="8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0</w:t>
            </w:r>
          </w:p>
        </w:tc>
        <w:tc>
          <w:tcPr>
            <w:tcW w:w="1793" w:type="dxa"/>
            <w:vMerge w:val="continue"/>
            <w:tcBorders>
              <w:left w:val="single" w:color="000000" w:sz="4" w:space="0"/>
              <w:bottom w:val="single" w:color="000000" w:sz="4" w:space="0"/>
            </w:tcBorders>
            <w:vAlign w:val="center"/>
          </w:tcPr>
          <w:p>
            <w:pPr>
              <w:adjustRightInd w:val="0"/>
              <w:snapToGrid w:val="0"/>
              <w:jc w:val="center"/>
              <w:rPr>
                <w:color w:val="auto"/>
                <w:sz w:val="21"/>
                <w:szCs w:val="21"/>
              </w:rPr>
            </w:pPr>
          </w:p>
        </w:tc>
      </w:tr>
      <w:tr>
        <w:tblPrEx>
          <w:tblLayout w:type="fixed"/>
          <w:tblCellMar>
            <w:top w:w="0" w:type="dxa"/>
            <w:left w:w="0" w:type="dxa"/>
            <w:bottom w:w="0" w:type="dxa"/>
            <w:right w:w="0" w:type="dxa"/>
          </w:tblCellMar>
        </w:tblPrEx>
        <w:trPr>
          <w:jc w:val="center"/>
        </w:trPr>
        <w:tc>
          <w:tcPr>
            <w:tcW w:w="546" w:type="dxa"/>
            <w:tcBorders>
              <w:top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CO</w:t>
            </w:r>
          </w:p>
        </w:tc>
        <w:tc>
          <w:tcPr>
            <w:tcW w:w="2430"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95%位数24小时平均质量浓度</w:t>
            </w:r>
          </w:p>
        </w:tc>
        <w:tc>
          <w:tcPr>
            <w:tcW w:w="84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4000</w:t>
            </w:r>
          </w:p>
        </w:tc>
        <w:tc>
          <w:tcPr>
            <w:tcW w:w="119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rFonts w:hint="eastAsia"/>
                <w:color w:val="auto"/>
                <w:sz w:val="21"/>
                <w:szCs w:val="21"/>
              </w:rPr>
              <w:t>1</w:t>
            </w:r>
            <w:r>
              <w:rPr>
                <w:color w:val="auto"/>
                <w:sz w:val="21"/>
                <w:szCs w:val="21"/>
              </w:rPr>
              <w:t>200</w:t>
            </w:r>
          </w:p>
        </w:tc>
        <w:tc>
          <w:tcPr>
            <w:tcW w:w="676"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rFonts w:hint="eastAsia"/>
                <w:color w:val="auto"/>
                <w:sz w:val="21"/>
                <w:szCs w:val="21"/>
              </w:rPr>
              <w:t>3</w:t>
            </w:r>
            <w:r>
              <w:rPr>
                <w:color w:val="auto"/>
                <w:sz w:val="21"/>
                <w:szCs w:val="21"/>
              </w:rPr>
              <w:t>0.0</w:t>
            </w:r>
          </w:p>
        </w:tc>
        <w:tc>
          <w:tcPr>
            <w:tcW w:w="821"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color w:val="auto"/>
                <w:sz w:val="21"/>
                <w:szCs w:val="21"/>
              </w:rPr>
            </w:pPr>
            <w:r>
              <w:rPr>
                <w:color w:val="auto"/>
                <w:sz w:val="21"/>
                <w:szCs w:val="21"/>
              </w:rPr>
              <w:t>0</w:t>
            </w:r>
          </w:p>
        </w:tc>
        <w:tc>
          <w:tcPr>
            <w:tcW w:w="1793" w:type="dxa"/>
            <w:tcBorders>
              <w:top w:val="single" w:color="000000" w:sz="4" w:space="0"/>
              <w:left w:val="single" w:color="000000" w:sz="4" w:space="0"/>
              <w:bottom w:val="single" w:color="000000" w:sz="4" w:space="0"/>
            </w:tcBorders>
            <w:vAlign w:val="center"/>
          </w:tcPr>
          <w:p>
            <w:pPr>
              <w:adjustRightInd w:val="0"/>
              <w:snapToGrid w:val="0"/>
              <w:jc w:val="center"/>
              <w:rPr>
                <w:color w:val="auto"/>
                <w:sz w:val="21"/>
                <w:szCs w:val="21"/>
              </w:rPr>
            </w:pPr>
            <w:r>
              <w:rPr>
                <w:color w:val="auto"/>
                <w:sz w:val="21"/>
                <w:szCs w:val="21"/>
              </w:rPr>
              <w:t>达标</w:t>
            </w:r>
          </w:p>
        </w:tc>
      </w:tr>
      <w:tr>
        <w:tblPrEx>
          <w:tblLayout w:type="fixed"/>
          <w:tblCellMar>
            <w:top w:w="0" w:type="dxa"/>
            <w:left w:w="0" w:type="dxa"/>
            <w:bottom w:w="0" w:type="dxa"/>
            <w:right w:w="0" w:type="dxa"/>
          </w:tblCellMar>
        </w:tblPrEx>
        <w:trPr>
          <w:jc w:val="center"/>
        </w:trPr>
        <w:tc>
          <w:tcPr>
            <w:tcW w:w="546" w:type="dxa"/>
            <w:tcBorders>
              <w:top w:val="single" w:color="000000" w:sz="4" w:space="0"/>
              <w:bottom w:val="single" w:color="000000" w:sz="12" w:space="0"/>
              <w:right w:val="single" w:color="000000" w:sz="4" w:space="0"/>
            </w:tcBorders>
            <w:vAlign w:val="center"/>
          </w:tcPr>
          <w:p>
            <w:pPr>
              <w:adjustRightInd w:val="0"/>
              <w:snapToGrid w:val="0"/>
              <w:jc w:val="center"/>
              <w:rPr>
                <w:color w:val="auto"/>
                <w:sz w:val="21"/>
                <w:szCs w:val="21"/>
              </w:rPr>
            </w:pPr>
            <w:r>
              <w:rPr>
                <w:color w:val="auto"/>
                <w:sz w:val="21"/>
                <w:szCs w:val="21"/>
              </w:rPr>
              <w:t>O</w:t>
            </w:r>
            <w:r>
              <w:rPr>
                <w:color w:val="auto"/>
                <w:sz w:val="21"/>
                <w:szCs w:val="21"/>
                <w:vertAlign w:val="subscript"/>
              </w:rPr>
              <w:t>3</w:t>
            </w:r>
          </w:p>
        </w:tc>
        <w:tc>
          <w:tcPr>
            <w:tcW w:w="2430" w:type="dxa"/>
            <w:tcBorders>
              <w:top w:val="single" w:color="000000" w:sz="4" w:space="0"/>
              <w:left w:val="single" w:color="000000" w:sz="4" w:space="0"/>
              <w:bottom w:val="single" w:color="000000" w:sz="12" w:space="0"/>
              <w:right w:val="single" w:color="000000" w:sz="4" w:space="0"/>
            </w:tcBorders>
            <w:vAlign w:val="center"/>
          </w:tcPr>
          <w:p>
            <w:pPr>
              <w:adjustRightInd w:val="0"/>
              <w:snapToGrid w:val="0"/>
              <w:jc w:val="center"/>
              <w:rPr>
                <w:color w:val="auto"/>
                <w:sz w:val="21"/>
                <w:szCs w:val="21"/>
              </w:rPr>
            </w:pPr>
            <w:r>
              <w:rPr>
                <w:color w:val="auto"/>
                <w:sz w:val="21"/>
                <w:szCs w:val="21"/>
              </w:rPr>
              <w:t>90%位数8h平均质量浓度</w:t>
            </w:r>
          </w:p>
        </w:tc>
        <w:tc>
          <w:tcPr>
            <w:tcW w:w="849" w:type="dxa"/>
            <w:tcBorders>
              <w:top w:val="single" w:color="000000" w:sz="4" w:space="0"/>
              <w:left w:val="single" w:color="000000" w:sz="4" w:space="0"/>
              <w:bottom w:val="single" w:color="000000" w:sz="12" w:space="0"/>
              <w:right w:val="single" w:color="000000" w:sz="4" w:space="0"/>
            </w:tcBorders>
            <w:vAlign w:val="center"/>
          </w:tcPr>
          <w:p>
            <w:pPr>
              <w:adjustRightInd w:val="0"/>
              <w:snapToGrid w:val="0"/>
              <w:jc w:val="center"/>
              <w:rPr>
                <w:color w:val="auto"/>
                <w:sz w:val="21"/>
                <w:szCs w:val="21"/>
              </w:rPr>
            </w:pPr>
            <w:r>
              <w:rPr>
                <w:color w:val="auto"/>
                <w:sz w:val="21"/>
                <w:szCs w:val="21"/>
              </w:rPr>
              <w:t>160</w:t>
            </w:r>
          </w:p>
        </w:tc>
        <w:tc>
          <w:tcPr>
            <w:tcW w:w="1191" w:type="dxa"/>
            <w:tcBorders>
              <w:top w:val="single" w:color="000000" w:sz="4" w:space="0"/>
              <w:left w:val="single" w:color="000000" w:sz="4" w:space="0"/>
              <w:bottom w:val="single" w:color="000000" w:sz="12" w:space="0"/>
              <w:right w:val="single" w:color="000000" w:sz="4" w:space="0"/>
            </w:tcBorders>
            <w:vAlign w:val="center"/>
          </w:tcPr>
          <w:p>
            <w:pPr>
              <w:adjustRightInd w:val="0"/>
              <w:snapToGrid w:val="0"/>
              <w:jc w:val="center"/>
              <w:rPr>
                <w:color w:val="auto"/>
                <w:sz w:val="21"/>
                <w:szCs w:val="21"/>
              </w:rPr>
            </w:pPr>
            <w:r>
              <w:rPr>
                <w:rFonts w:hint="eastAsia"/>
                <w:color w:val="auto"/>
                <w:sz w:val="21"/>
                <w:szCs w:val="21"/>
              </w:rPr>
              <w:t>1</w:t>
            </w:r>
            <w:r>
              <w:rPr>
                <w:color w:val="auto"/>
                <w:sz w:val="21"/>
                <w:szCs w:val="21"/>
              </w:rPr>
              <w:t>23</w:t>
            </w:r>
          </w:p>
        </w:tc>
        <w:tc>
          <w:tcPr>
            <w:tcW w:w="676" w:type="dxa"/>
            <w:tcBorders>
              <w:top w:val="single" w:color="000000" w:sz="4" w:space="0"/>
              <w:left w:val="single" w:color="000000" w:sz="4" w:space="0"/>
              <w:bottom w:val="single" w:color="000000" w:sz="12" w:space="0"/>
              <w:right w:val="single" w:color="000000" w:sz="4" w:space="0"/>
            </w:tcBorders>
            <w:vAlign w:val="center"/>
          </w:tcPr>
          <w:p>
            <w:pPr>
              <w:adjustRightInd w:val="0"/>
              <w:snapToGrid w:val="0"/>
              <w:jc w:val="center"/>
              <w:rPr>
                <w:color w:val="auto"/>
                <w:sz w:val="21"/>
                <w:szCs w:val="21"/>
              </w:rPr>
            </w:pPr>
            <w:r>
              <w:rPr>
                <w:rFonts w:hint="eastAsia"/>
                <w:color w:val="auto"/>
                <w:sz w:val="21"/>
                <w:szCs w:val="21"/>
              </w:rPr>
              <w:t>7</w:t>
            </w:r>
            <w:r>
              <w:rPr>
                <w:color w:val="auto"/>
                <w:sz w:val="21"/>
                <w:szCs w:val="21"/>
              </w:rPr>
              <w:t>6.9</w:t>
            </w:r>
          </w:p>
        </w:tc>
        <w:tc>
          <w:tcPr>
            <w:tcW w:w="821" w:type="dxa"/>
            <w:tcBorders>
              <w:top w:val="single" w:color="000000" w:sz="4" w:space="0"/>
              <w:left w:val="single" w:color="000000" w:sz="4" w:space="0"/>
              <w:bottom w:val="single" w:color="000000" w:sz="12" w:space="0"/>
              <w:right w:val="single" w:color="auto" w:sz="4" w:space="0"/>
            </w:tcBorders>
            <w:vAlign w:val="center"/>
          </w:tcPr>
          <w:p>
            <w:pPr>
              <w:adjustRightInd w:val="0"/>
              <w:snapToGrid w:val="0"/>
              <w:jc w:val="center"/>
              <w:rPr>
                <w:color w:val="auto"/>
                <w:sz w:val="21"/>
                <w:szCs w:val="21"/>
              </w:rPr>
            </w:pPr>
            <w:r>
              <w:rPr>
                <w:color w:val="auto"/>
                <w:sz w:val="21"/>
                <w:szCs w:val="21"/>
              </w:rPr>
              <w:t>0</w:t>
            </w:r>
          </w:p>
        </w:tc>
        <w:tc>
          <w:tcPr>
            <w:tcW w:w="1793" w:type="dxa"/>
            <w:tcBorders>
              <w:top w:val="single" w:color="000000" w:sz="4" w:space="0"/>
              <w:left w:val="single" w:color="auto" w:sz="4" w:space="0"/>
              <w:bottom w:val="single" w:color="000000" w:sz="12" w:space="0"/>
            </w:tcBorders>
            <w:vAlign w:val="center"/>
          </w:tcPr>
          <w:p>
            <w:pPr>
              <w:adjustRightInd w:val="0"/>
              <w:snapToGrid w:val="0"/>
              <w:jc w:val="center"/>
              <w:rPr>
                <w:color w:val="auto"/>
                <w:sz w:val="21"/>
                <w:szCs w:val="21"/>
              </w:rPr>
            </w:pPr>
            <w:r>
              <w:rPr>
                <w:color w:val="auto"/>
                <w:sz w:val="21"/>
                <w:szCs w:val="21"/>
              </w:rPr>
              <w:t>达标</w:t>
            </w:r>
          </w:p>
        </w:tc>
      </w:tr>
    </w:tbl>
    <w:p>
      <w:pPr>
        <w:spacing w:line="360" w:lineRule="auto"/>
        <w:ind w:firstLine="480" w:firstLineChars="200"/>
        <w:jc w:val="both"/>
        <w:rPr>
          <w:color w:val="auto"/>
        </w:rPr>
      </w:pPr>
      <w:r>
        <w:rPr>
          <w:rFonts w:hint="eastAsia"/>
          <w:color w:val="auto"/>
        </w:rPr>
        <w:t>由上表可知，项目所在区域2018年环境空气基本污染物中的SO</w:t>
      </w:r>
      <w:r>
        <w:rPr>
          <w:rFonts w:hint="eastAsia"/>
          <w:color w:val="auto"/>
          <w:vertAlign w:val="subscript"/>
        </w:rPr>
        <w:t>2</w:t>
      </w:r>
      <w:r>
        <w:rPr>
          <w:rFonts w:hint="eastAsia"/>
          <w:color w:val="auto"/>
        </w:rPr>
        <w:t>、NO</w:t>
      </w:r>
      <w:r>
        <w:rPr>
          <w:rFonts w:hint="eastAsia"/>
          <w:color w:val="auto"/>
          <w:vertAlign w:val="subscript"/>
        </w:rPr>
        <w:t>2</w:t>
      </w:r>
      <w:r>
        <w:rPr>
          <w:rFonts w:hint="eastAsia"/>
          <w:color w:val="auto"/>
        </w:rPr>
        <w:t>、PM</w:t>
      </w:r>
      <w:r>
        <w:rPr>
          <w:rFonts w:hint="eastAsia"/>
          <w:color w:val="auto"/>
          <w:vertAlign w:val="subscript"/>
        </w:rPr>
        <w:t>2.5</w:t>
      </w:r>
      <w:r>
        <w:rPr>
          <w:rFonts w:hint="eastAsia"/>
          <w:color w:val="auto"/>
        </w:rPr>
        <w:t>、PM</w:t>
      </w:r>
      <w:r>
        <w:rPr>
          <w:rFonts w:hint="eastAsia"/>
          <w:color w:val="auto"/>
          <w:vertAlign w:val="subscript"/>
        </w:rPr>
        <w:t>10</w:t>
      </w:r>
      <w:r>
        <w:rPr>
          <w:rFonts w:hint="eastAsia"/>
          <w:color w:val="auto"/>
        </w:rPr>
        <w:t>的保证率日均浓度和年均浓度均可达《环境空气质量标准》（GB3095-2012）及其修改单的二级标准要求；CO、O</w:t>
      </w:r>
      <w:r>
        <w:rPr>
          <w:rFonts w:hint="eastAsia"/>
          <w:color w:val="auto"/>
          <w:vertAlign w:val="subscript"/>
        </w:rPr>
        <w:t>3</w:t>
      </w:r>
      <w:r>
        <w:rPr>
          <w:rFonts w:hint="eastAsia"/>
          <w:color w:val="auto"/>
        </w:rPr>
        <w:t>的保证率日均浓度均可达《环境空气质量标准》（GB3095-2012）及其修改单的二级标准要求。</w:t>
      </w:r>
    </w:p>
    <w:p>
      <w:pPr>
        <w:pStyle w:val="301"/>
        <w:spacing w:line="360" w:lineRule="auto"/>
        <w:rPr>
          <w:color w:val="auto"/>
        </w:rPr>
      </w:pPr>
      <w:r>
        <w:rPr>
          <w:color w:val="auto"/>
        </w:rPr>
        <w:t>4.3.1.2</w:t>
      </w:r>
      <w:r>
        <w:rPr>
          <w:rFonts w:hint="eastAsia"/>
          <w:color w:val="auto"/>
          <w:lang w:eastAsia="zh-CN"/>
        </w:rPr>
        <w:t>环境空气质量现状达标判定</w:t>
      </w:r>
    </w:p>
    <w:p>
      <w:pPr>
        <w:adjustRightInd w:val="0"/>
        <w:snapToGrid w:val="0"/>
        <w:spacing w:line="360" w:lineRule="auto"/>
        <w:ind w:firstLine="480" w:firstLineChars="200"/>
        <w:jc w:val="both"/>
        <w:rPr>
          <w:color w:val="auto"/>
        </w:rPr>
      </w:pPr>
      <w:r>
        <w:rPr>
          <w:rFonts w:hint="eastAsia"/>
          <w:color w:val="auto"/>
        </w:rPr>
        <w:t>根据《环境影响评价技术导则</w:t>
      </w:r>
      <w:r>
        <w:rPr>
          <w:color w:val="auto"/>
        </w:rPr>
        <w:t xml:space="preserve"> </w:t>
      </w:r>
      <w:r>
        <w:rPr>
          <w:rFonts w:hint="eastAsia"/>
          <w:color w:val="auto"/>
        </w:rPr>
        <w:t>大气环境》(HJ</w:t>
      </w:r>
      <w:r>
        <w:rPr>
          <w:color w:val="auto"/>
        </w:rPr>
        <w:t xml:space="preserve"> </w:t>
      </w:r>
      <w:r>
        <w:rPr>
          <w:rFonts w:hint="eastAsia"/>
          <w:color w:val="auto"/>
        </w:rPr>
        <w:t>2.2-2018)，城市环境空气质量达标情况评价指标为SO</w:t>
      </w:r>
      <w:r>
        <w:rPr>
          <w:rFonts w:hint="eastAsia"/>
          <w:color w:val="auto"/>
          <w:vertAlign w:val="subscript"/>
        </w:rPr>
        <w:t>2</w:t>
      </w:r>
      <w:r>
        <w:rPr>
          <w:rFonts w:hint="eastAsia"/>
          <w:color w:val="auto"/>
        </w:rPr>
        <w:t>、NO</w:t>
      </w:r>
      <w:r>
        <w:rPr>
          <w:rFonts w:hint="eastAsia"/>
          <w:color w:val="auto"/>
          <w:vertAlign w:val="subscript"/>
        </w:rPr>
        <w:t>2</w:t>
      </w:r>
      <w:r>
        <w:rPr>
          <w:rFonts w:hint="eastAsia"/>
          <w:color w:val="auto"/>
        </w:rPr>
        <w:t>、PM</w:t>
      </w:r>
      <w:r>
        <w:rPr>
          <w:rFonts w:hint="eastAsia"/>
          <w:color w:val="auto"/>
          <w:vertAlign w:val="subscript"/>
        </w:rPr>
        <w:t>10</w:t>
      </w:r>
      <w:r>
        <w:rPr>
          <w:rFonts w:hint="eastAsia"/>
          <w:color w:val="auto"/>
        </w:rPr>
        <w:t>、PM</w:t>
      </w:r>
      <w:r>
        <w:rPr>
          <w:rFonts w:hint="eastAsia"/>
          <w:color w:val="auto"/>
          <w:vertAlign w:val="subscript"/>
        </w:rPr>
        <w:t>2.5</w:t>
      </w:r>
      <w:r>
        <w:rPr>
          <w:rFonts w:hint="eastAsia"/>
          <w:color w:val="auto"/>
        </w:rPr>
        <w:t>、CO和O</w:t>
      </w:r>
      <w:r>
        <w:rPr>
          <w:rFonts w:hint="eastAsia"/>
          <w:color w:val="auto"/>
          <w:vertAlign w:val="subscript"/>
        </w:rPr>
        <w:t>3</w:t>
      </w:r>
      <w:r>
        <w:rPr>
          <w:rFonts w:hint="eastAsia"/>
          <w:color w:val="auto"/>
        </w:rPr>
        <w:t>，六项污染物全部达标即为城市环境空气质量达标。</w:t>
      </w:r>
    </w:p>
    <w:p>
      <w:pPr>
        <w:adjustRightInd w:val="0"/>
        <w:snapToGrid w:val="0"/>
        <w:spacing w:line="360" w:lineRule="auto"/>
        <w:ind w:firstLine="480" w:firstLineChars="200"/>
        <w:jc w:val="both"/>
        <w:rPr>
          <w:color w:val="auto"/>
        </w:rPr>
      </w:pPr>
      <w:r>
        <w:rPr>
          <w:rFonts w:hint="eastAsia"/>
          <w:color w:val="auto"/>
        </w:rPr>
        <w:t>根据《环境空气质量评价技术规范（试行）》（</w:t>
      </w:r>
      <w:r>
        <w:rPr>
          <w:color w:val="auto"/>
        </w:rPr>
        <w:t>HJ 663-2013</w:t>
      </w:r>
      <w:r>
        <w:rPr>
          <w:rFonts w:hint="eastAsia"/>
          <w:color w:val="auto"/>
        </w:rPr>
        <w:t>），城市环境空气质量评价中各评价时段内污染物的统计指标和统计方法见表</w:t>
      </w:r>
      <w:r>
        <w:rPr>
          <w:color w:val="auto"/>
        </w:rPr>
        <w:t>4.3-2</w:t>
      </w:r>
      <w:r>
        <w:rPr>
          <w:rFonts w:hint="eastAsia"/>
          <w:color w:val="auto"/>
        </w:rPr>
        <w:t>。</w:t>
      </w:r>
    </w:p>
    <w:p>
      <w:pPr>
        <w:widowControl/>
        <w:adjustRightInd w:val="0"/>
        <w:snapToGrid w:val="0"/>
        <w:jc w:val="center"/>
        <w:rPr>
          <w:b/>
          <w:bCs/>
          <w:color w:val="auto"/>
          <w:kern w:val="0"/>
        </w:rPr>
      </w:pPr>
      <w:r>
        <w:rPr>
          <w:b/>
          <w:bCs/>
          <w:color w:val="auto"/>
          <w:kern w:val="0"/>
        </w:rPr>
        <w:t>表4.3-2  不同评价时段内基本评价项目的统计方法（城市范围）摘选</w:t>
      </w:r>
    </w:p>
    <w:p>
      <w:pPr>
        <w:autoSpaceDE w:val="0"/>
        <w:autoSpaceDN w:val="0"/>
        <w:adjustRightInd w:val="0"/>
        <w:spacing w:line="50" w:lineRule="exact"/>
        <w:rPr>
          <w:color w:val="auto"/>
          <w:kern w:val="0"/>
          <w:sz w:val="5"/>
          <w:szCs w:val="5"/>
        </w:rPr>
      </w:pPr>
    </w:p>
    <w:tbl>
      <w:tblPr>
        <w:tblStyle w:val="53"/>
        <w:tblW w:w="8306"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997"/>
        <w:gridCol w:w="4105"/>
        <w:gridCol w:w="320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50" w:hRule="exact"/>
          <w:jc w:val="center"/>
        </w:trPr>
        <w:tc>
          <w:tcPr>
            <w:tcW w:w="997" w:type="dxa"/>
            <w:vAlign w:val="center"/>
          </w:tcPr>
          <w:p>
            <w:pPr>
              <w:adjustRightInd w:val="0"/>
              <w:snapToGrid w:val="0"/>
              <w:jc w:val="center"/>
              <w:rPr>
                <w:b/>
                <w:bCs/>
                <w:color w:val="auto"/>
                <w:sz w:val="21"/>
                <w:szCs w:val="21"/>
              </w:rPr>
            </w:pPr>
            <w:r>
              <w:rPr>
                <w:b/>
                <w:bCs/>
                <w:color w:val="auto"/>
                <w:sz w:val="21"/>
                <w:szCs w:val="21"/>
              </w:rPr>
              <w:t>评价时段</w:t>
            </w:r>
          </w:p>
        </w:tc>
        <w:tc>
          <w:tcPr>
            <w:tcW w:w="4105" w:type="dxa"/>
            <w:vAlign w:val="center"/>
          </w:tcPr>
          <w:p>
            <w:pPr>
              <w:adjustRightInd w:val="0"/>
              <w:snapToGrid w:val="0"/>
              <w:jc w:val="center"/>
              <w:rPr>
                <w:b/>
                <w:bCs/>
                <w:color w:val="auto"/>
                <w:sz w:val="21"/>
                <w:szCs w:val="21"/>
              </w:rPr>
            </w:pPr>
            <w:r>
              <w:rPr>
                <w:b/>
                <w:bCs/>
                <w:color w:val="auto"/>
                <w:sz w:val="21"/>
                <w:szCs w:val="21"/>
              </w:rPr>
              <w:t>评价项目</w:t>
            </w:r>
          </w:p>
        </w:tc>
        <w:tc>
          <w:tcPr>
            <w:tcW w:w="3204" w:type="dxa"/>
            <w:vAlign w:val="center"/>
          </w:tcPr>
          <w:p>
            <w:pPr>
              <w:adjustRightInd w:val="0"/>
              <w:snapToGrid w:val="0"/>
              <w:jc w:val="center"/>
              <w:rPr>
                <w:b/>
                <w:bCs/>
                <w:color w:val="auto"/>
                <w:sz w:val="21"/>
                <w:szCs w:val="21"/>
              </w:rPr>
            </w:pPr>
            <w:r>
              <w:rPr>
                <w:b/>
                <w:bCs/>
                <w:color w:val="auto"/>
                <w:sz w:val="21"/>
                <w:szCs w:val="21"/>
              </w:rPr>
              <w:t>统计方法</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660" w:hRule="exact"/>
          <w:jc w:val="center"/>
        </w:trPr>
        <w:tc>
          <w:tcPr>
            <w:tcW w:w="997" w:type="dxa"/>
            <w:vMerge w:val="restart"/>
            <w:vAlign w:val="center"/>
          </w:tcPr>
          <w:p>
            <w:pPr>
              <w:adjustRightInd w:val="0"/>
              <w:snapToGrid w:val="0"/>
              <w:jc w:val="center"/>
              <w:rPr>
                <w:color w:val="auto"/>
                <w:sz w:val="21"/>
                <w:szCs w:val="21"/>
              </w:rPr>
            </w:pPr>
            <w:r>
              <w:rPr>
                <w:color w:val="auto"/>
                <w:sz w:val="21"/>
                <w:szCs w:val="21"/>
              </w:rPr>
              <w:t>年评价</w:t>
            </w:r>
          </w:p>
        </w:tc>
        <w:tc>
          <w:tcPr>
            <w:tcW w:w="4105" w:type="dxa"/>
            <w:vAlign w:val="center"/>
          </w:tcPr>
          <w:p>
            <w:pPr>
              <w:adjustRightInd w:val="0"/>
              <w:snapToGrid w:val="0"/>
              <w:jc w:val="center"/>
              <w:rPr>
                <w:color w:val="auto"/>
                <w:sz w:val="21"/>
                <w:szCs w:val="21"/>
              </w:rPr>
            </w:pPr>
            <w:r>
              <w:rPr>
                <w:color w:val="auto"/>
                <w:sz w:val="21"/>
                <w:szCs w:val="21"/>
              </w:rPr>
              <w:t>城市SO</w:t>
            </w:r>
            <w:r>
              <w:rPr>
                <w:color w:val="auto"/>
                <w:sz w:val="21"/>
                <w:szCs w:val="21"/>
                <w:vertAlign w:val="subscript"/>
              </w:rPr>
              <w:t>2</w:t>
            </w:r>
            <w:r>
              <w:rPr>
                <w:color w:val="auto"/>
                <w:sz w:val="21"/>
                <w:szCs w:val="21"/>
              </w:rPr>
              <w:t>、NO</w:t>
            </w:r>
            <w:r>
              <w:rPr>
                <w:color w:val="auto"/>
                <w:sz w:val="21"/>
                <w:szCs w:val="21"/>
                <w:vertAlign w:val="subscript"/>
              </w:rPr>
              <w:t>2</w:t>
            </w:r>
            <w:r>
              <w:rPr>
                <w:color w:val="auto"/>
                <w:sz w:val="21"/>
                <w:szCs w:val="21"/>
              </w:rPr>
              <w:t>、PM</w:t>
            </w:r>
            <w:r>
              <w:rPr>
                <w:color w:val="auto"/>
                <w:sz w:val="21"/>
                <w:szCs w:val="21"/>
                <w:vertAlign w:val="subscript"/>
              </w:rPr>
              <w:t>10</w:t>
            </w:r>
            <w:r>
              <w:rPr>
                <w:color w:val="auto"/>
                <w:sz w:val="21"/>
                <w:szCs w:val="21"/>
              </w:rPr>
              <w:t>、PM</w:t>
            </w:r>
            <w:r>
              <w:rPr>
                <w:color w:val="auto"/>
                <w:sz w:val="21"/>
                <w:szCs w:val="21"/>
                <w:vertAlign w:val="subscript"/>
              </w:rPr>
              <w:t>2.5</w:t>
            </w:r>
            <w:r>
              <w:rPr>
                <w:color w:val="auto"/>
                <w:sz w:val="21"/>
                <w:szCs w:val="21"/>
              </w:rPr>
              <w:t>的年平均</w:t>
            </w:r>
          </w:p>
        </w:tc>
        <w:tc>
          <w:tcPr>
            <w:tcW w:w="3204" w:type="dxa"/>
            <w:vAlign w:val="center"/>
          </w:tcPr>
          <w:p>
            <w:pPr>
              <w:adjustRightInd w:val="0"/>
              <w:snapToGrid w:val="0"/>
              <w:jc w:val="center"/>
              <w:rPr>
                <w:color w:val="auto"/>
                <w:sz w:val="21"/>
                <w:szCs w:val="21"/>
              </w:rPr>
            </w:pPr>
            <w:r>
              <w:rPr>
                <w:color w:val="auto"/>
                <w:sz w:val="21"/>
                <w:szCs w:val="21"/>
              </w:rPr>
              <w:t>一个日历年内城市24小时平均浓度值的算术平均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50" w:hRule="exact"/>
          <w:jc w:val="center"/>
        </w:trPr>
        <w:tc>
          <w:tcPr>
            <w:tcW w:w="997" w:type="dxa"/>
            <w:vMerge w:val="continue"/>
            <w:vAlign w:val="center"/>
          </w:tcPr>
          <w:p>
            <w:pPr>
              <w:widowControl/>
              <w:rPr>
                <w:color w:val="auto"/>
                <w:sz w:val="21"/>
                <w:szCs w:val="21"/>
              </w:rPr>
            </w:pPr>
          </w:p>
        </w:tc>
        <w:tc>
          <w:tcPr>
            <w:tcW w:w="4105" w:type="dxa"/>
            <w:vAlign w:val="center"/>
          </w:tcPr>
          <w:p>
            <w:pPr>
              <w:adjustRightInd w:val="0"/>
              <w:snapToGrid w:val="0"/>
              <w:jc w:val="center"/>
              <w:rPr>
                <w:color w:val="auto"/>
                <w:sz w:val="21"/>
                <w:szCs w:val="21"/>
              </w:rPr>
            </w:pPr>
            <w:r>
              <w:rPr>
                <w:color w:val="auto"/>
                <w:sz w:val="21"/>
                <w:szCs w:val="21"/>
              </w:rPr>
              <w:t>城市SO</w:t>
            </w:r>
            <w:r>
              <w:rPr>
                <w:color w:val="auto"/>
                <w:sz w:val="21"/>
                <w:szCs w:val="21"/>
                <w:vertAlign w:val="subscript"/>
              </w:rPr>
              <w:t>2</w:t>
            </w:r>
            <w:r>
              <w:rPr>
                <w:color w:val="auto"/>
                <w:sz w:val="21"/>
                <w:szCs w:val="21"/>
              </w:rPr>
              <w:t>、NO</w:t>
            </w:r>
            <w:r>
              <w:rPr>
                <w:color w:val="auto"/>
                <w:sz w:val="21"/>
                <w:szCs w:val="21"/>
                <w:vertAlign w:val="subscript"/>
              </w:rPr>
              <w:t>2</w:t>
            </w:r>
            <w:r>
              <w:rPr>
                <w:color w:val="auto"/>
                <w:sz w:val="21"/>
                <w:szCs w:val="21"/>
              </w:rPr>
              <w:t>24小时平均第98百分位数</w:t>
            </w:r>
          </w:p>
        </w:tc>
        <w:tc>
          <w:tcPr>
            <w:tcW w:w="3204" w:type="dxa"/>
            <w:vMerge w:val="restart"/>
            <w:vAlign w:val="center"/>
          </w:tcPr>
          <w:p>
            <w:pPr>
              <w:adjustRightInd w:val="0"/>
              <w:snapToGrid w:val="0"/>
              <w:jc w:val="center"/>
              <w:rPr>
                <w:color w:val="auto"/>
                <w:sz w:val="21"/>
                <w:szCs w:val="21"/>
              </w:rPr>
            </w:pPr>
            <w:r>
              <w:rPr>
                <w:color w:val="auto"/>
                <w:sz w:val="21"/>
                <w:szCs w:val="21"/>
              </w:rPr>
              <w:t>按HJ 663-2013附录A.6计算一个日历年内城市日评价项目的相应百分位数浓度。</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50" w:hRule="atLeast"/>
          <w:jc w:val="center"/>
        </w:trPr>
        <w:tc>
          <w:tcPr>
            <w:tcW w:w="997" w:type="dxa"/>
            <w:vMerge w:val="continue"/>
            <w:vAlign w:val="center"/>
          </w:tcPr>
          <w:p>
            <w:pPr>
              <w:widowControl/>
              <w:rPr>
                <w:color w:val="auto"/>
                <w:sz w:val="21"/>
                <w:szCs w:val="21"/>
              </w:rPr>
            </w:pPr>
          </w:p>
        </w:tc>
        <w:tc>
          <w:tcPr>
            <w:tcW w:w="4105" w:type="dxa"/>
            <w:vAlign w:val="center"/>
          </w:tcPr>
          <w:p>
            <w:pPr>
              <w:adjustRightInd w:val="0"/>
              <w:snapToGrid w:val="0"/>
              <w:jc w:val="center"/>
              <w:rPr>
                <w:color w:val="auto"/>
                <w:sz w:val="21"/>
                <w:szCs w:val="21"/>
              </w:rPr>
            </w:pPr>
            <w:r>
              <w:rPr>
                <w:color w:val="auto"/>
                <w:sz w:val="21"/>
                <w:szCs w:val="21"/>
              </w:rPr>
              <w:t>城市PM</w:t>
            </w:r>
            <w:r>
              <w:rPr>
                <w:color w:val="auto"/>
                <w:sz w:val="21"/>
                <w:szCs w:val="21"/>
                <w:vertAlign w:val="subscript"/>
              </w:rPr>
              <w:t>10</w:t>
            </w:r>
            <w:r>
              <w:rPr>
                <w:color w:val="auto"/>
                <w:sz w:val="21"/>
                <w:szCs w:val="21"/>
              </w:rPr>
              <w:t>、PM</w:t>
            </w:r>
            <w:r>
              <w:rPr>
                <w:color w:val="auto"/>
                <w:sz w:val="21"/>
                <w:szCs w:val="21"/>
                <w:vertAlign w:val="subscript"/>
              </w:rPr>
              <w:t>2.5</w:t>
            </w:r>
            <w:r>
              <w:rPr>
                <w:color w:val="auto"/>
                <w:sz w:val="21"/>
                <w:szCs w:val="21"/>
              </w:rPr>
              <w:t>24小时平均第95百分位数</w:t>
            </w:r>
          </w:p>
        </w:tc>
        <w:tc>
          <w:tcPr>
            <w:tcW w:w="3204" w:type="dxa"/>
            <w:vMerge w:val="continue"/>
            <w:vAlign w:val="center"/>
          </w:tcPr>
          <w:p>
            <w:pPr>
              <w:widowControl/>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50" w:hRule="atLeast"/>
          <w:jc w:val="center"/>
        </w:trPr>
        <w:tc>
          <w:tcPr>
            <w:tcW w:w="997" w:type="dxa"/>
            <w:vMerge w:val="continue"/>
            <w:vAlign w:val="center"/>
          </w:tcPr>
          <w:p>
            <w:pPr>
              <w:widowControl/>
              <w:rPr>
                <w:color w:val="auto"/>
                <w:sz w:val="21"/>
                <w:szCs w:val="21"/>
              </w:rPr>
            </w:pPr>
          </w:p>
        </w:tc>
        <w:tc>
          <w:tcPr>
            <w:tcW w:w="4105" w:type="dxa"/>
            <w:vAlign w:val="center"/>
          </w:tcPr>
          <w:p>
            <w:pPr>
              <w:adjustRightInd w:val="0"/>
              <w:snapToGrid w:val="0"/>
              <w:jc w:val="center"/>
              <w:rPr>
                <w:color w:val="auto"/>
                <w:sz w:val="21"/>
                <w:szCs w:val="21"/>
              </w:rPr>
            </w:pPr>
            <w:r>
              <w:rPr>
                <w:color w:val="auto"/>
                <w:sz w:val="21"/>
                <w:szCs w:val="21"/>
              </w:rPr>
              <w:t>城市CO 24小时平均第95百分位数</w:t>
            </w:r>
          </w:p>
        </w:tc>
        <w:tc>
          <w:tcPr>
            <w:tcW w:w="3204" w:type="dxa"/>
            <w:vMerge w:val="continue"/>
            <w:vAlign w:val="center"/>
          </w:tcPr>
          <w:p>
            <w:pPr>
              <w:widowControl/>
              <w:rPr>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50" w:hRule="atLeast"/>
          <w:jc w:val="center"/>
        </w:trPr>
        <w:tc>
          <w:tcPr>
            <w:tcW w:w="997" w:type="dxa"/>
            <w:vMerge w:val="continue"/>
            <w:vAlign w:val="center"/>
          </w:tcPr>
          <w:p>
            <w:pPr>
              <w:widowControl/>
              <w:rPr>
                <w:color w:val="auto"/>
                <w:sz w:val="21"/>
                <w:szCs w:val="21"/>
              </w:rPr>
            </w:pPr>
          </w:p>
        </w:tc>
        <w:tc>
          <w:tcPr>
            <w:tcW w:w="4105" w:type="dxa"/>
            <w:vAlign w:val="center"/>
          </w:tcPr>
          <w:p>
            <w:pPr>
              <w:adjustRightInd w:val="0"/>
              <w:snapToGrid w:val="0"/>
              <w:jc w:val="center"/>
              <w:rPr>
                <w:color w:val="auto"/>
                <w:sz w:val="21"/>
                <w:szCs w:val="21"/>
              </w:rPr>
            </w:pPr>
            <w:r>
              <w:rPr>
                <w:color w:val="auto"/>
                <w:sz w:val="21"/>
                <w:szCs w:val="21"/>
              </w:rPr>
              <w:t>城市O</w:t>
            </w:r>
            <w:r>
              <w:rPr>
                <w:color w:val="auto"/>
                <w:sz w:val="21"/>
                <w:szCs w:val="21"/>
                <w:vertAlign w:val="subscript"/>
              </w:rPr>
              <w:t>3</w:t>
            </w:r>
            <w:r>
              <w:rPr>
                <w:color w:val="auto"/>
                <w:sz w:val="21"/>
                <w:szCs w:val="21"/>
              </w:rPr>
              <w:t>日最大8小时平均第90百分位数</w:t>
            </w:r>
          </w:p>
        </w:tc>
        <w:tc>
          <w:tcPr>
            <w:tcW w:w="3204" w:type="dxa"/>
            <w:vMerge w:val="continue"/>
            <w:vAlign w:val="center"/>
          </w:tcPr>
          <w:p>
            <w:pPr>
              <w:widowControl/>
              <w:rPr>
                <w:color w:val="auto"/>
                <w:sz w:val="21"/>
                <w:szCs w:val="21"/>
              </w:rPr>
            </w:pPr>
          </w:p>
        </w:tc>
      </w:tr>
    </w:tbl>
    <w:p>
      <w:pPr>
        <w:spacing w:line="360" w:lineRule="auto"/>
        <w:ind w:firstLine="480" w:firstLineChars="200"/>
        <w:jc w:val="both"/>
        <w:rPr>
          <w:color w:val="auto"/>
          <w:lang w:val="zh-CN"/>
        </w:rPr>
      </w:pPr>
      <w:r>
        <w:rPr>
          <w:color w:val="auto"/>
          <w:szCs w:val="22"/>
        </w:rPr>
        <w:t>由表4.3-1</w:t>
      </w:r>
      <w:r>
        <w:rPr>
          <w:rFonts w:hint="eastAsia"/>
          <w:color w:val="auto"/>
          <w:szCs w:val="22"/>
        </w:rPr>
        <w:t>的统计结果</w:t>
      </w:r>
      <w:r>
        <w:rPr>
          <w:color w:val="auto"/>
          <w:szCs w:val="22"/>
        </w:rPr>
        <w:t>可知，项目</w:t>
      </w:r>
      <w:r>
        <w:rPr>
          <w:rFonts w:hint="eastAsia"/>
          <w:color w:val="auto"/>
          <w:szCs w:val="22"/>
        </w:rPr>
        <w:t>所属区域</w:t>
      </w:r>
      <w:r>
        <w:rPr>
          <w:color w:val="auto"/>
          <w:szCs w:val="22"/>
        </w:rPr>
        <w:t>2018年SO</w:t>
      </w:r>
      <w:r>
        <w:rPr>
          <w:color w:val="auto"/>
          <w:szCs w:val="22"/>
          <w:vertAlign w:val="subscript"/>
        </w:rPr>
        <w:t>2</w:t>
      </w:r>
      <w:r>
        <w:rPr>
          <w:color w:val="auto"/>
          <w:szCs w:val="22"/>
        </w:rPr>
        <w:t>、NO</w:t>
      </w:r>
      <w:r>
        <w:rPr>
          <w:color w:val="auto"/>
          <w:szCs w:val="22"/>
          <w:vertAlign w:val="subscript"/>
        </w:rPr>
        <w:t>2</w:t>
      </w:r>
      <w:r>
        <w:rPr>
          <w:color w:val="auto"/>
          <w:szCs w:val="22"/>
        </w:rPr>
        <w:t>、PM</w:t>
      </w:r>
      <w:r>
        <w:rPr>
          <w:color w:val="auto"/>
          <w:szCs w:val="22"/>
          <w:vertAlign w:val="subscript"/>
        </w:rPr>
        <w:t>10</w:t>
      </w:r>
      <w:r>
        <w:rPr>
          <w:color w:val="auto"/>
          <w:szCs w:val="22"/>
        </w:rPr>
        <w:t>、PM</w:t>
      </w:r>
      <w:r>
        <w:rPr>
          <w:color w:val="auto"/>
          <w:szCs w:val="22"/>
          <w:vertAlign w:val="subscript"/>
        </w:rPr>
        <w:t>2.5</w:t>
      </w:r>
      <w:r>
        <w:rPr>
          <w:color w:val="auto"/>
          <w:szCs w:val="22"/>
        </w:rPr>
        <w:t>的年平均浓度均</w:t>
      </w:r>
      <w:r>
        <w:rPr>
          <w:rFonts w:hint="eastAsia"/>
          <w:color w:val="auto"/>
        </w:rPr>
        <w:t>达《环境空气质量标准》（</w:t>
      </w:r>
      <w:r>
        <w:rPr>
          <w:color w:val="auto"/>
        </w:rPr>
        <w:t>GB3095-2012</w:t>
      </w:r>
      <w:r>
        <w:rPr>
          <w:rFonts w:hint="eastAsia"/>
          <w:color w:val="auto"/>
        </w:rPr>
        <w:t>）及其修改单的二级标准要求</w:t>
      </w:r>
      <w:r>
        <w:rPr>
          <w:color w:val="auto"/>
          <w:szCs w:val="22"/>
        </w:rPr>
        <w:t>；SO</w:t>
      </w:r>
      <w:r>
        <w:rPr>
          <w:color w:val="auto"/>
          <w:szCs w:val="22"/>
          <w:vertAlign w:val="subscript"/>
        </w:rPr>
        <w:t>2</w:t>
      </w:r>
      <w:r>
        <w:rPr>
          <w:color w:val="auto"/>
          <w:szCs w:val="22"/>
        </w:rPr>
        <w:t>、NO</w:t>
      </w:r>
      <w:r>
        <w:rPr>
          <w:color w:val="auto"/>
          <w:szCs w:val="22"/>
          <w:vertAlign w:val="subscript"/>
        </w:rPr>
        <w:t>2</w:t>
      </w:r>
      <w:r>
        <w:rPr>
          <w:color w:val="auto"/>
          <w:szCs w:val="22"/>
        </w:rPr>
        <w:t>的24小时平均第98百分位数，CO、PM</w:t>
      </w:r>
      <w:r>
        <w:rPr>
          <w:color w:val="auto"/>
          <w:szCs w:val="22"/>
          <w:vertAlign w:val="subscript"/>
        </w:rPr>
        <w:t>10</w:t>
      </w:r>
      <w:r>
        <w:rPr>
          <w:color w:val="auto"/>
          <w:szCs w:val="22"/>
        </w:rPr>
        <w:t>、PM</w:t>
      </w:r>
      <w:r>
        <w:rPr>
          <w:color w:val="auto"/>
          <w:szCs w:val="22"/>
          <w:vertAlign w:val="subscript"/>
        </w:rPr>
        <w:t>2.5</w:t>
      </w:r>
      <w:r>
        <w:rPr>
          <w:rFonts w:hint="eastAsia"/>
          <w:color w:val="auto"/>
          <w:szCs w:val="22"/>
        </w:rPr>
        <w:t>的</w:t>
      </w:r>
      <w:r>
        <w:rPr>
          <w:color w:val="auto"/>
          <w:szCs w:val="22"/>
        </w:rPr>
        <w:t>24小时平均第95百分位数，O</w:t>
      </w:r>
      <w:r>
        <w:rPr>
          <w:color w:val="auto"/>
          <w:szCs w:val="22"/>
          <w:vertAlign w:val="subscript"/>
        </w:rPr>
        <w:t>3</w:t>
      </w:r>
      <w:r>
        <w:rPr>
          <w:rFonts w:hint="eastAsia"/>
          <w:color w:val="auto"/>
          <w:szCs w:val="22"/>
        </w:rPr>
        <w:t>的</w:t>
      </w:r>
      <w:r>
        <w:rPr>
          <w:color w:val="auto"/>
          <w:szCs w:val="22"/>
        </w:rPr>
        <w:t>日最大8小时平均第90百分位数，以上几个评价项目均达</w:t>
      </w:r>
      <w:r>
        <w:rPr>
          <w:rFonts w:hint="eastAsia"/>
          <w:color w:val="auto"/>
        </w:rPr>
        <w:t>《环境空气质量标准》（</w:t>
      </w:r>
      <w:r>
        <w:rPr>
          <w:color w:val="auto"/>
        </w:rPr>
        <w:t>GB3095-2012</w:t>
      </w:r>
      <w:r>
        <w:rPr>
          <w:rFonts w:hint="eastAsia"/>
          <w:color w:val="auto"/>
        </w:rPr>
        <w:t>）及其修改单的二级标准要求</w:t>
      </w:r>
      <w:r>
        <w:rPr>
          <w:color w:val="auto"/>
          <w:szCs w:val="22"/>
        </w:rPr>
        <w:t>，</w:t>
      </w:r>
      <w:r>
        <w:rPr>
          <w:rFonts w:hint="eastAsia"/>
          <w:color w:val="auto"/>
          <w:szCs w:val="22"/>
        </w:rPr>
        <w:t>故</w:t>
      </w:r>
      <w:r>
        <w:rPr>
          <w:color w:val="auto"/>
          <w:szCs w:val="22"/>
        </w:rPr>
        <w:t>项目</w:t>
      </w:r>
      <w:r>
        <w:rPr>
          <w:rFonts w:hint="eastAsia"/>
          <w:color w:val="auto"/>
          <w:szCs w:val="22"/>
        </w:rPr>
        <w:t>所属区域</w:t>
      </w:r>
      <w:r>
        <w:rPr>
          <w:color w:val="auto"/>
          <w:szCs w:val="22"/>
        </w:rPr>
        <w:t>2018年环境空气质量</w:t>
      </w:r>
      <w:r>
        <w:rPr>
          <w:rFonts w:hint="eastAsia"/>
          <w:color w:val="auto"/>
          <w:szCs w:val="22"/>
        </w:rPr>
        <w:t>现状为</w:t>
      </w:r>
      <w:r>
        <w:rPr>
          <w:color w:val="auto"/>
          <w:szCs w:val="22"/>
        </w:rPr>
        <w:t>达标区。</w:t>
      </w:r>
    </w:p>
    <w:p>
      <w:pPr>
        <w:pStyle w:val="298"/>
        <w:rPr>
          <w:color w:val="auto"/>
          <w:lang w:eastAsia="zh-CN"/>
        </w:rPr>
      </w:pPr>
      <w:bookmarkStart w:id="412" w:name="_Toc15912168"/>
      <w:bookmarkStart w:id="413" w:name="_Toc14946876"/>
      <w:bookmarkStart w:id="414" w:name="_Toc34234700"/>
      <w:bookmarkStart w:id="415" w:name="_Toc19273"/>
      <w:bookmarkStart w:id="416" w:name="_Toc24136781"/>
      <w:r>
        <w:rPr>
          <w:color w:val="auto"/>
        </w:rPr>
        <w:t>4.3.2环境空气质量现状</w:t>
      </w:r>
      <w:bookmarkEnd w:id="412"/>
      <w:bookmarkEnd w:id="413"/>
      <w:r>
        <w:rPr>
          <w:rFonts w:hint="eastAsia"/>
          <w:color w:val="auto"/>
          <w:lang w:eastAsia="zh-CN"/>
        </w:rPr>
        <w:t>引用监测</w:t>
      </w:r>
      <w:bookmarkEnd w:id="414"/>
      <w:bookmarkEnd w:id="415"/>
      <w:bookmarkEnd w:id="416"/>
    </w:p>
    <w:p>
      <w:pPr>
        <w:spacing w:line="360" w:lineRule="auto"/>
        <w:ind w:firstLine="480" w:firstLineChars="200"/>
        <w:jc w:val="both"/>
        <w:rPr>
          <w:color w:val="auto"/>
        </w:rPr>
      </w:pPr>
      <w:r>
        <w:rPr>
          <w:color w:val="auto"/>
        </w:rPr>
        <w:t>根据项目所在区域的主导风向</w:t>
      </w:r>
      <w:r>
        <w:rPr>
          <w:rFonts w:hint="eastAsia"/>
          <w:color w:val="auto"/>
        </w:rPr>
        <w:t>及本项目产生的其他污染物类型</w:t>
      </w:r>
      <w:r>
        <w:rPr>
          <w:color w:val="auto"/>
        </w:rPr>
        <w:t>，并结合评价范围内环境空气敏感点的分布情况，本次环境空气质量现状评价</w:t>
      </w:r>
      <w:r>
        <w:rPr>
          <w:rFonts w:hint="eastAsia"/>
          <w:color w:val="auto"/>
        </w:rPr>
        <w:t>引用广州京诚检测技术有限公司出具的《兴宁市静脉产业园及进场道路环境影响评价环境质量现状监测检测报告》（报告编号：GZH191059051040302a01R</w:t>
      </w:r>
      <w:r>
        <w:rPr>
          <w:rFonts w:hint="eastAsia"/>
          <w:color w:val="auto"/>
          <w:vertAlign w:val="subscript"/>
        </w:rPr>
        <w:t>1</w:t>
      </w:r>
      <w:r>
        <w:rPr>
          <w:rFonts w:hint="eastAsia"/>
          <w:color w:val="auto"/>
        </w:rPr>
        <w:t>），引用2个监测点位</w:t>
      </w:r>
      <w:r>
        <w:rPr>
          <w:color w:val="auto"/>
        </w:rPr>
        <w:t>，具体布点位置见表4.3-3和图4.3-1。</w:t>
      </w:r>
    </w:p>
    <w:p>
      <w:pPr>
        <w:spacing w:line="360" w:lineRule="auto"/>
        <w:ind w:firstLine="480"/>
        <w:rPr>
          <w:color w:val="auto"/>
        </w:rPr>
      </w:pPr>
      <w:r>
        <w:rPr>
          <w:rFonts w:hint="eastAsia"/>
          <w:color w:val="auto"/>
        </w:rPr>
        <w:t>引用监测数据有效性分析：</w:t>
      </w:r>
    </w:p>
    <w:p>
      <w:pPr>
        <w:spacing w:line="360" w:lineRule="auto"/>
        <w:ind w:firstLine="480"/>
        <w:rPr>
          <w:color w:val="auto"/>
        </w:rPr>
      </w:pPr>
      <w:r>
        <w:rPr>
          <w:color w:val="auto"/>
        </w:rPr>
        <w:fldChar w:fldCharType="begin"/>
      </w:r>
      <w:r>
        <w:rPr>
          <w:color w:val="auto"/>
        </w:rPr>
        <w:instrText xml:space="preserve"> </w:instrText>
      </w:r>
      <w:r>
        <w:rPr>
          <w:rFonts w:hint="eastAsia"/>
          <w:color w:val="auto"/>
        </w:rPr>
        <w:instrText xml:space="preserve">= 1 \* GB3</w:instrText>
      </w:r>
      <w:r>
        <w:rPr>
          <w:color w:val="auto"/>
        </w:rPr>
        <w:instrText xml:space="preserve"> </w:instrText>
      </w:r>
      <w:r>
        <w:rPr>
          <w:color w:val="auto"/>
        </w:rPr>
        <w:fldChar w:fldCharType="separate"/>
      </w:r>
      <w:r>
        <w:rPr>
          <w:rFonts w:hint="eastAsia"/>
          <w:color w:val="auto"/>
        </w:rPr>
        <w:t>①</w:t>
      </w:r>
      <w:r>
        <w:rPr>
          <w:color w:val="auto"/>
        </w:rPr>
        <w:fldChar w:fldCharType="end"/>
      </w:r>
      <w:r>
        <w:rPr>
          <w:rFonts w:hint="eastAsia"/>
          <w:color w:val="auto"/>
        </w:rPr>
        <w:t>距离有效性：引用的环境空气监测点G</w:t>
      </w:r>
      <w:r>
        <w:rPr>
          <w:rFonts w:hint="eastAsia"/>
          <w:color w:val="auto"/>
          <w:lang w:val="en-US" w:eastAsia="zh-CN"/>
        </w:rPr>
        <w:t>1</w:t>
      </w:r>
      <w:r>
        <w:rPr>
          <w:rFonts w:hint="eastAsia"/>
          <w:color w:val="auto"/>
        </w:rPr>
        <w:t>位于兴宁市静脉产业园场址，</w:t>
      </w:r>
      <w:r>
        <w:rPr>
          <w:rFonts w:hint="eastAsia"/>
          <w:color w:val="auto"/>
          <w:lang w:eastAsia="zh-CN"/>
        </w:rPr>
        <w:t>本项目所在位置为</w:t>
      </w:r>
      <w:r>
        <w:rPr>
          <w:rFonts w:hint="eastAsia"/>
          <w:color w:val="auto"/>
        </w:rPr>
        <w:t>兴宁市静脉产业园场址</w:t>
      </w:r>
      <w:r>
        <w:rPr>
          <w:rFonts w:hint="eastAsia"/>
          <w:color w:val="auto"/>
          <w:lang w:eastAsia="zh-CN"/>
        </w:rPr>
        <w:t>的预留用地，</w:t>
      </w:r>
      <w:r>
        <w:rPr>
          <w:rFonts w:hint="eastAsia"/>
          <w:color w:val="auto"/>
        </w:rPr>
        <w:t>监测点G</w:t>
      </w:r>
      <w:r>
        <w:rPr>
          <w:color w:val="auto"/>
        </w:rPr>
        <w:t>2</w:t>
      </w:r>
      <w:r>
        <w:rPr>
          <w:rFonts w:hint="eastAsia"/>
          <w:color w:val="auto"/>
        </w:rPr>
        <w:t>位于塘尾朱屋，距离本项目边界直线距离</w:t>
      </w:r>
      <w:r>
        <w:rPr>
          <w:rFonts w:hint="eastAsia"/>
          <w:color w:val="auto"/>
          <w:lang w:eastAsia="zh-CN"/>
        </w:rPr>
        <w:t>约</w:t>
      </w:r>
      <w:r>
        <w:rPr>
          <w:rFonts w:hint="eastAsia"/>
          <w:color w:val="auto"/>
        </w:rPr>
        <w:t>为</w:t>
      </w:r>
      <w:r>
        <w:rPr>
          <w:rFonts w:hint="eastAsia"/>
          <w:color w:val="auto"/>
          <w:lang w:val="en-US" w:eastAsia="zh-CN"/>
        </w:rPr>
        <w:t>800</w:t>
      </w:r>
      <w:r>
        <w:rPr>
          <w:rFonts w:hint="eastAsia"/>
          <w:color w:val="auto"/>
        </w:rPr>
        <w:t>m</w:t>
      </w:r>
      <w:r>
        <w:rPr>
          <w:rFonts w:hint="eastAsia"/>
          <w:color w:val="auto"/>
          <w:lang w:eastAsia="zh-CN"/>
        </w:rPr>
        <w:t>，</w:t>
      </w:r>
      <w:r>
        <w:rPr>
          <w:rFonts w:hint="eastAsia"/>
          <w:color w:val="auto"/>
        </w:rPr>
        <w:t>均为评价范围内的监测点位（大气环境评价范围为：</w:t>
      </w:r>
      <w:r>
        <w:rPr>
          <w:color w:val="auto"/>
        </w:rPr>
        <w:t>项目厂址为中心区域，</w:t>
      </w:r>
      <w:r>
        <w:rPr>
          <w:rFonts w:hint="eastAsia"/>
          <w:color w:val="auto"/>
        </w:rPr>
        <w:t>边长5k</w:t>
      </w:r>
      <w:r>
        <w:rPr>
          <w:color w:val="auto"/>
        </w:rPr>
        <w:t>m的矩形区域</w:t>
      </w:r>
      <w:r>
        <w:rPr>
          <w:rFonts w:hint="eastAsia"/>
          <w:color w:val="auto"/>
        </w:rPr>
        <w:t>）。</w:t>
      </w:r>
    </w:p>
    <w:p>
      <w:pPr>
        <w:spacing w:line="360" w:lineRule="auto"/>
        <w:ind w:firstLine="480"/>
        <w:rPr>
          <w:color w:val="auto"/>
        </w:rPr>
      </w:pPr>
      <w:r>
        <w:rPr>
          <w:color w:val="auto"/>
        </w:rPr>
        <w:fldChar w:fldCharType="begin"/>
      </w:r>
      <w:r>
        <w:rPr>
          <w:color w:val="auto"/>
        </w:rPr>
        <w:instrText xml:space="preserve"> </w:instrText>
      </w:r>
      <w:r>
        <w:rPr>
          <w:rFonts w:hint="eastAsia"/>
          <w:color w:val="auto"/>
        </w:rPr>
        <w:instrText xml:space="preserve">= 2 \* GB3</w:instrText>
      </w:r>
      <w:r>
        <w:rPr>
          <w:color w:val="auto"/>
        </w:rPr>
        <w:instrText xml:space="preserve"> </w:instrText>
      </w:r>
      <w:r>
        <w:rPr>
          <w:color w:val="auto"/>
        </w:rPr>
        <w:fldChar w:fldCharType="separate"/>
      </w:r>
      <w:r>
        <w:rPr>
          <w:rFonts w:hint="eastAsia"/>
          <w:color w:val="auto"/>
        </w:rPr>
        <w:t>②</w:t>
      </w:r>
      <w:r>
        <w:rPr>
          <w:color w:val="auto"/>
        </w:rPr>
        <w:fldChar w:fldCharType="end"/>
      </w:r>
      <w:r>
        <w:rPr>
          <w:rFonts w:hint="eastAsia"/>
          <w:color w:val="auto"/>
        </w:rPr>
        <w:t>时间有效性：本项目评价时间为</w:t>
      </w:r>
      <w:r>
        <w:rPr>
          <w:rFonts w:hint="eastAsia"/>
          <w:color w:val="auto"/>
          <w:lang w:val="en-US" w:eastAsia="zh-CN"/>
        </w:rPr>
        <w:t>2020</w:t>
      </w:r>
      <w:r>
        <w:rPr>
          <w:rFonts w:hint="eastAsia"/>
          <w:color w:val="auto"/>
        </w:rPr>
        <w:t>年，引用监测数据时间为20</w:t>
      </w:r>
      <w:r>
        <w:rPr>
          <w:rFonts w:hint="eastAsia"/>
          <w:color w:val="auto"/>
          <w:lang w:val="en-US" w:eastAsia="zh-CN"/>
        </w:rPr>
        <w:t>19</w:t>
      </w:r>
      <w:r>
        <w:rPr>
          <w:rFonts w:hint="eastAsia"/>
          <w:color w:val="auto"/>
        </w:rPr>
        <w:t>年</w:t>
      </w:r>
      <w:r>
        <w:rPr>
          <w:rFonts w:hint="eastAsia"/>
          <w:color w:val="auto"/>
          <w:lang w:val="en-US" w:eastAsia="zh-CN"/>
        </w:rPr>
        <w:t>4</w:t>
      </w:r>
      <w:r>
        <w:rPr>
          <w:rFonts w:hint="eastAsia"/>
          <w:color w:val="auto"/>
        </w:rPr>
        <w:t>月，时间符合有效性的相关规定（监测数据为三年之内有效监测数据）</w:t>
      </w:r>
    </w:p>
    <w:p>
      <w:pPr>
        <w:ind w:firstLine="482" w:firstLineChars="200"/>
        <w:jc w:val="center"/>
        <w:rPr>
          <w:b/>
          <w:color w:val="auto"/>
        </w:rPr>
      </w:pPr>
      <w:r>
        <w:rPr>
          <w:b/>
          <w:color w:val="auto"/>
        </w:rPr>
        <w:t>表4.3-3  环境空气现状</w:t>
      </w:r>
      <w:r>
        <w:rPr>
          <w:rFonts w:hint="eastAsia"/>
          <w:b/>
          <w:color w:val="auto"/>
        </w:rPr>
        <w:t>补充</w:t>
      </w:r>
      <w:r>
        <w:rPr>
          <w:b/>
          <w:color w:val="auto"/>
        </w:rPr>
        <w:t>监测布点一览表</w:t>
      </w:r>
    </w:p>
    <w:tbl>
      <w:tblPr>
        <w:tblStyle w:val="53"/>
        <w:tblW w:w="8362" w:type="dxa"/>
        <w:jc w:val="center"/>
        <w:tblInd w:w="0" w:type="dxa"/>
        <w:tblBorders>
          <w:top w:val="single" w:color="000000" w:sz="6" w:space="0"/>
          <w:left w:val="single" w:color="000000" w:sz="6" w:space="0"/>
          <w:bottom w:val="single" w:color="000000" w:sz="6" w:space="0"/>
          <w:right w:val="single" w:color="000000" w:sz="6" w:space="0"/>
          <w:insideH w:val="single" w:color="000000" w:sz="4" w:space="0"/>
          <w:insideV w:val="single" w:color="000000" w:sz="6" w:space="0"/>
        </w:tblBorders>
        <w:tblLayout w:type="fixed"/>
        <w:tblCellMar>
          <w:top w:w="0" w:type="dxa"/>
          <w:left w:w="28" w:type="dxa"/>
          <w:bottom w:w="0" w:type="dxa"/>
          <w:right w:w="28" w:type="dxa"/>
        </w:tblCellMar>
      </w:tblPr>
      <w:tblGrid>
        <w:gridCol w:w="963"/>
        <w:gridCol w:w="1900"/>
        <w:gridCol w:w="3544"/>
        <w:gridCol w:w="1955"/>
      </w:tblGrid>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6" w:space="0"/>
          </w:tblBorders>
          <w:tblLayout w:type="fixed"/>
          <w:tblCellMar>
            <w:top w:w="0" w:type="dxa"/>
            <w:left w:w="28" w:type="dxa"/>
            <w:bottom w:w="0" w:type="dxa"/>
            <w:right w:w="28" w:type="dxa"/>
          </w:tblCellMar>
        </w:tblPrEx>
        <w:trPr>
          <w:trHeight w:val="340" w:hRule="atLeast"/>
          <w:jc w:val="center"/>
        </w:trPr>
        <w:tc>
          <w:tcPr>
            <w:tcW w:w="963" w:type="dxa"/>
            <w:tcBorders>
              <w:top w:val="single" w:color="000000" w:sz="12" w:space="0"/>
              <w:left w:val="nil"/>
              <w:bottom w:val="single" w:color="000000" w:sz="4" w:space="0"/>
              <w:right w:val="single" w:color="000000" w:sz="6" w:space="0"/>
            </w:tcBorders>
            <w:vAlign w:val="center"/>
          </w:tcPr>
          <w:p>
            <w:pPr>
              <w:adjustRightInd w:val="0"/>
              <w:jc w:val="center"/>
              <w:rPr>
                <w:color w:val="auto"/>
                <w:sz w:val="21"/>
                <w:szCs w:val="21"/>
              </w:rPr>
            </w:pPr>
            <w:bookmarkStart w:id="417" w:name="_Toc61005046"/>
            <w:bookmarkStart w:id="418" w:name="_Toc70416244"/>
            <w:bookmarkStart w:id="419" w:name="_Toc70702646"/>
            <w:bookmarkStart w:id="420" w:name="_Toc78690270"/>
            <w:bookmarkStart w:id="421" w:name="_Toc76811157"/>
            <w:bookmarkStart w:id="422" w:name="_Toc59248515"/>
            <w:bookmarkStart w:id="423" w:name="_Toc70331992"/>
            <w:bookmarkStart w:id="424" w:name="_Toc69102188"/>
            <w:bookmarkStart w:id="425" w:name="_Toc69100160"/>
            <w:bookmarkStart w:id="426" w:name="_Toc69753247"/>
            <w:bookmarkStart w:id="427" w:name="_Toc70412381"/>
            <w:bookmarkStart w:id="428" w:name="_Toc70244332"/>
            <w:r>
              <w:rPr>
                <w:color w:val="auto"/>
                <w:sz w:val="21"/>
                <w:szCs w:val="21"/>
              </w:rPr>
              <w:t>编号</w:t>
            </w:r>
          </w:p>
        </w:tc>
        <w:tc>
          <w:tcPr>
            <w:tcW w:w="1900" w:type="dxa"/>
            <w:tcBorders>
              <w:top w:val="single" w:color="000000" w:sz="12" w:space="0"/>
              <w:left w:val="single" w:color="000000" w:sz="6" w:space="0"/>
              <w:bottom w:val="single" w:color="auto" w:sz="4" w:space="0"/>
              <w:right w:val="single" w:color="000000" w:sz="6" w:space="0"/>
            </w:tcBorders>
            <w:vAlign w:val="center"/>
          </w:tcPr>
          <w:p>
            <w:pPr>
              <w:adjustRightInd w:val="0"/>
              <w:jc w:val="center"/>
              <w:rPr>
                <w:color w:val="auto"/>
                <w:sz w:val="21"/>
                <w:szCs w:val="21"/>
              </w:rPr>
            </w:pPr>
            <w:r>
              <w:rPr>
                <w:color w:val="auto"/>
                <w:sz w:val="21"/>
                <w:szCs w:val="21"/>
              </w:rPr>
              <w:t>监测点位</w:t>
            </w:r>
          </w:p>
        </w:tc>
        <w:tc>
          <w:tcPr>
            <w:tcW w:w="3544" w:type="dxa"/>
            <w:tcBorders>
              <w:top w:val="single" w:color="000000" w:sz="12" w:space="0"/>
              <w:left w:val="single" w:color="000000" w:sz="6" w:space="0"/>
              <w:bottom w:val="single" w:color="auto" w:sz="4" w:space="0"/>
              <w:right w:val="single" w:color="000000" w:sz="6" w:space="0"/>
            </w:tcBorders>
            <w:vAlign w:val="center"/>
          </w:tcPr>
          <w:p>
            <w:pPr>
              <w:adjustRightInd w:val="0"/>
              <w:jc w:val="center"/>
              <w:rPr>
                <w:color w:val="auto"/>
                <w:sz w:val="21"/>
                <w:szCs w:val="21"/>
              </w:rPr>
            </w:pPr>
            <w:r>
              <w:rPr>
                <w:color w:val="auto"/>
                <w:sz w:val="21"/>
                <w:szCs w:val="21"/>
              </w:rPr>
              <w:t>监测项目</w:t>
            </w:r>
          </w:p>
        </w:tc>
        <w:tc>
          <w:tcPr>
            <w:tcW w:w="1955" w:type="dxa"/>
            <w:tcBorders>
              <w:top w:val="single" w:color="000000" w:sz="12" w:space="0"/>
              <w:left w:val="single" w:color="000000" w:sz="6" w:space="0"/>
              <w:bottom w:val="single" w:color="auto" w:sz="4" w:space="0"/>
              <w:right w:val="nil"/>
            </w:tcBorders>
            <w:vAlign w:val="center"/>
          </w:tcPr>
          <w:p>
            <w:pPr>
              <w:adjustRightInd w:val="0"/>
              <w:jc w:val="center"/>
              <w:rPr>
                <w:color w:val="auto"/>
                <w:sz w:val="21"/>
                <w:szCs w:val="21"/>
              </w:rPr>
            </w:pPr>
            <w:r>
              <w:rPr>
                <w:color w:val="auto"/>
                <w:sz w:val="21"/>
                <w:szCs w:val="21"/>
              </w:rPr>
              <w:t>方位/距离（m）</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6" w:space="0"/>
          </w:tblBorders>
          <w:tblLayout w:type="fixed"/>
          <w:tblCellMar>
            <w:top w:w="0" w:type="dxa"/>
            <w:left w:w="28" w:type="dxa"/>
            <w:bottom w:w="0" w:type="dxa"/>
            <w:right w:w="28" w:type="dxa"/>
          </w:tblCellMar>
        </w:tblPrEx>
        <w:trPr>
          <w:trHeight w:val="340" w:hRule="atLeast"/>
          <w:jc w:val="center"/>
        </w:trPr>
        <w:tc>
          <w:tcPr>
            <w:tcW w:w="963" w:type="dxa"/>
            <w:tcBorders>
              <w:top w:val="single" w:color="000000" w:sz="4" w:space="0"/>
              <w:left w:val="nil"/>
              <w:bottom w:val="single" w:color="000000" w:sz="4" w:space="0"/>
              <w:right w:val="single" w:color="000000" w:sz="6" w:space="0"/>
            </w:tcBorders>
            <w:vAlign w:val="center"/>
          </w:tcPr>
          <w:p>
            <w:pPr>
              <w:adjustRightInd w:val="0"/>
              <w:jc w:val="center"/>
              <w:rPr>
                <w:color w:val="auto"/>
                <w:sz w:val="21"/>
                <w:szCs w:val="21"/>
              </w:rPr>
            </w:pPr>
            <w:r>
              <w:rPr>
                <w:color w:val="auto"/>
                <w:sz w:val="21"/>
                <w:szCs w:val="21"/>
              </w:rPr>
              <w:t>G1</w:t>
            </w:r>
          </w:p>
        </w:tc>
        <w:tc>
          <w:tcPr>
            <w:tcW w:w="1900" w:type="dxa"/>
            <w:tcBorders>
              <w:top w:val="single" w:color="000000" w:sz="4" w:space="0"/>
              <w:left w:val="single" w:color="000000" w:sz="6" w:space="0"/>
              <w:bottom w:val="single" w:color="000000" w:sz="4" w:space="0"/>
              <w:right w:val="single" w:color="000000" w:sz="6" w:space="0"/>
            </w:tcBorders>
            <w:vAlign w:val="center"/>
          </w:tcPr>
          <w:p>
            <w:pPr>
              <w:widowControl/>
              <w:adjustRightInd w:val="0"/>
              <w:jc w:val="center"/>
              <w:rPr>
                <w:color w:val="auto"/>
                <w:sz w:val="21"/>
                <w:szCs w:val="21"/>
              </w:rPr>
            </w:pPr>
            <w:r>
              <w:rPr>
                <w:rFonts w:hint="eastAsia"/>
                <w:color w:val="auto"/>
                <w:sz w:val="21"/>
                <w:szCs w:val="21"/>
              </w:rPr>
              <w:t>兴宁市静脉产业园</w:t>
            </w:r>
            <w:r>
              <w:rPr>
                <w:color w:val="auto"/>
                <w:sz w:val="21"/>
                <w:szCs w:val="21"/>
              </w:rPr>
              <w:t>场址</w:t>
            </w:r>
          </w:p>
        </w:tc>
        <w:tc>
          <w:tcPr>
            <w:tcW w:w="3544" w:type="dxa"/>
            <w:vMerge w:val="restart"/>
            <w:tcBorders>
              <w:top w:val="single" w:color="auto" w:sz="4" w:space="0"/>
              <w:left w:val="single" w:color="000000" w:sz="6" w:space="0"/>
              <w:bottom w:val="single" w:color="000000" w:sz="6" w:space="0"/>
              <w:right w:val="single" w:color="000000" w:sz="6" w:space="0"/>
            </w:tcBorders>
            <w:vAlign w:val="center"/>
          </w:tcPr>
          <w:p>
            <w:pPr>
              <w:adjustRightInd w:val="0"/>
              <w:jc w:val="center"/>
              <w:rPr>
                <w:color w:val="auto"/>
                <w:sz w:val="21"/>
                <w:szCs w:val="21"/>
              </w:rPr>
            </w:pPr>
            <w:r>
              <w:rPr>
                <w:color w:val="auto"/>
                <w:sz w:val="21"/>
                <w:szCs w:val="21"/>
              </w:rPr>
              <w:t>TSP、H</w:t>
            </w:r>
            <w:r>
              <w:rPr>
                <w:color w:val="auto"/>
                <w:sz w:val="21"/>
                <w:szCs w:val="21"/>
                <w:vertAlign w:val="subscript"/>
              </w:rPr>
              <w:t>2</w:t>
            </w:r>
            <w:r>
              <w:rPr>
                <w:color w:val="auto"/>
                <w:sz w:val="21"/>
                <w:szCs w:val="21"/>
              </w:rPr>
              <w:t>S、NH</w:t>
            </w:r>
            <w:r>
              <w:rPr>
                <w:color w:val="auto"/>
                <w:sz w:val="21"/>
                <w:szCs w:val="21"/>
                <w:vertAlign w:val="subscript"/>
              </w:rPr>
              <w:t>3</w:t>
            </w:r>
            <w:r>
              <w:rPr>
                <w:color w:val="auto"/>
                <w:sz w:val="21"/>
                <w:szCs w:val="21"/>
              </w:rPr>
              <w:t>、CH</w:t>
            </w:r>
            <w:r>
              <w:rPr>
                <w:color w:val="auto"/>
                <w:sz w:val="21"/>
                <w:szCs w:val="21"/>
                <w:vertAlign w:val="subscript"/>
              </w:rPr>
              <w:t>3</w:t>
            </w:r>
            <w:r>
              <w:rPr>
                <w:color w:val="auto"/>
                <w:sz w:val="21"/>
                <w:szCs w:val="21"/>
              </w:rPr>
              <w:t>SH、臭气浓度、HCl、Hg、Pb、Cd、二噁英</w:t>
            </w:r>
          </w:p>
        </w:tc>
        <w:tc>
          <w:tcPr>
            <w:tcW w:w="1955" w:type="dxa"/>
            <w:tcBorders>
              <w:top w:val="single" w:color="000000" w:sz="4" w:space="0"/>
              <w:left w:val="single" w:color="000000" w:sz="6" w:space="0"/>
              <w:bottom w:val="single" w:color="000000" w:sz="4" w:space="0"/>
              <w:right w:val="nil"/>
            </w:tcBorders>
            <w:vAlign w:val="center"/>
          </w:tcPr>
          <w:p>
            <w:pPr>
              <w:widowControl/>
              <w:adjustRightInd w:val="0"/>
              <w:jc w:val="center"/>
              <w:rPr>
                <w:color w:val="auto"/>
                <w:sz w:val="21"/>
                <w:szCs w:val="21"/>
              </w:rPr>
            </w:pPr>
            <w:r>
              <w:rPr>
                <w:color w:val="auto"/>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6" w:space="0"/>
          </w:tblBorders>
          <w:tblLayout w:type="fixed"/>
          <w:tblCellMar>
            <w:top w:w="0" w:type="dxa"/>
            <w:left w:w="28" w:type="dxa"/>
            <w:bottom w:w="0" w:type="dxa"/>
            <w:right w:w="28" w:type="dxa"/>
          </w:tblCellMar>
        </w:tblPrEx>
        <w:trPr>
          <w:trHeight w:val="229" w:hRule="atLeast"/>
          <w:jc w:val="center"/>
        </w:trPr>
        <w:tc>
          <w:tcPr>
            <w:tcW w:w="963" w:type="dxa"/>
            <w:tcBorders>
              <w:top w:val="single" w:color="000000" w:sz="4" w:space="0"/>
              <w:left w:val="nil"/>
              <w:bottom w:val="single" w:color="000000" w:sz="12" w:space="0"/>
              <w:right w:val="single" w:color="000000" w:sz="6" w:space="0"/>
            </w:tcBorders>
            <w:vAlign w:val="center"/>
          </w:tcPr>
          <w:p>
            <w:pPr>
              <w:adjustRightInd w:val="0"/>
              <w:jc w:val="center"/>
              <w:rPr>
                <w:color w:val="auto"/>
                <w:sz w:val="21"/>
                <w:szCs w:val="21"/>
              </w:rPr>
            </w:pPr>
            <w:r>
              <w:rPr>
                <w:color w:val="auto"/>
                <w:sz w:val="21"/>
                <w:szCs w:val="21"/>
              </w:rPr>
              <w:t>G2</w:t>
            </w:r>
          </w:p>
        </w:tc>
        <w:tc>
          <w:tcPr>
            <w:tcW w:w="1900" w:type="dxa"/>
            <w:tcBorders>
              <w:top w:val="single" w:color="000000" w:sz="4" w:space="0"/>
              <w:left w:val="single" w:color="000000" w:sz="6" w:space="0"/>
              <w:bottom w:val="single" w:color="000000" w:sz="12" w:space="0"/>
              <w:right w:val="single" w:color="000000" w:sz="6" w:space="0"/>
            </w:tcBorders>
            <w:vAlign w:val="center"/>
          </w:tcPr>
          <w:p>
            <w:pPr>
              <w:widowControl/>
              <w:adjustRightInd w:val="0"/>
              <w:jc w:val="center"/>
              <w:rPr>
                <w:color w:val="auto"/>
                <w:sz w:val="21"/>
                <w:szCs w:val="21"/>
              </w:rPr>
            </w:pPr>
            <w:r>
              <w:rPr>
                <w:color w:val="auto"/>
                <w:sz w:val="21"/>
                <w:szCs w:val="21"/>
              </w:rPr>
              <w:t>塘尾朱屋</w:t>
            </w:r>
          </w:p>
        </w:tc>
        <w:tc>
          <w:tcPr>
            <w:tcW w:w="3544" w:type="dxa"/>
            <w:vMerge w:val="continue"/>
            <w:tcBorders>
              <w:top w:val="single" w:color="auto" w:sz="4" w:space="0"/>
              <w:left w:val="single" w:color="000000" w:sz="6" w:space="0"/>
              <w:bottom w:val="single" w:color="000000" w:sz="12" w:space="0"/>
              <w:right w:val="single" w:color="000000" w:sz="6" w:space="0"/>
            </w:tcBorders>
            <w:vAlign w:val="center"/>
          </w:tcPr>
          <w:p>
            <w:pPr>
              <w:widowControl/>
              <w:rPr>
                <w:color w:val="auto"/>
                <w:sz w:val="21"/>
                <w:szCs w:val="21"/>
              </w:rPr>
            </w:pPr>
          </w:p>
        </w:tc>
        <w:tc>
          <w:tcPr>
            <w:tcW w:w="1955" w:type="dxa"/>
            <w:tcBorders>
              <w:top w:val="single" w:color="000000" w:sz="4" w:space="0"/>
              <w:left w:val="single" w:color="000000" w:sz="6" w:space="0"/>
              <w:bottom w:val="single" w:color="000000" w:sz="12" w:space="0"/>
              <w:right w:val="nil"/>
            </w:tcBorders>
            <w:vAlign w:val="center"/>
          </w:tcPr>
          <w:p>
            <w:pPr>
              <w:widowControl/>
              <w:adjustRightInd w:val="0"/>
              <w:jc w:val="center"/>
              <w:rPr>
                <w:color w:val="auto"/>
                <w:kern w:val="0"/>
                <w:sz w:val="21"/>
                <w:szCs w:val="21"/>
              </w:rPr>
            </w:pPr>
            <w:r>
              <w:rPr>
                <w:color w:val="auto"/>
                <w:kern w:val="0"/>
                <w:sz w:val="21"/>
                <w:szCs w:val="21"/>
              </w:rPr>
              <w:t>SE、700m</w:t>
            </w:r>
          </w:p>
        </w:tc>
      </w:tr>
      <w:bookmarkEnd w:id="417"/>
      <w:bookmarkEnd w:id="418"/>
      <w:bookmarkEnd w:id="419"/>
      <w:bookmarkEnd w:id="420"/>
      <w:bookmarkEnd w:id="421"/>
      <w:bookmarkEnd w:id="422"/>
      <w:bookmarkEnd w:id="423"/>
      <w:bookmarkEnd w:id="424"/>
      <w:bookmarkEnd w:id="425"/>
      <w:bookmarkEnd w:id="426"/>
      <w:bookmarkEnd w:id="427"/>
      <w:bookmarkEnd w:id="428"/>
    </w:tbl>
    <w:p>
      <w:pPr>
        <w:pStyle w:val="301"/>
        <w:rPr>
          <w:color w:val="auto"/>
        </w:rPr>
      </w:pPr>
      <w:r>
        <w:rPr>
          <w:color w:val="auto"/>
        </w:rPr>
        <w:t>4.3.2.1</w:t>
      </w:r>
      <w:r>
        <w:rPr>
          <w:rFonts w:hint="eastAsia"/>
          <w:color w:val="auto"/>
          <w:lang w:eastAsia="zh-CN"/>
        </w:rPr>
        <w:t>引用监测时间及频次</w:t>
      </w:r>
    </w:p>
    <w:p>
      <w:pPr>
        <w:spacing w:line="360" w:lineRule="auto"/>
        <w:ind w:firstLine="480"/>
        <w:jc w:val="both"/>
        <w:rPr>
          <w:color w:val="auto"/>
        </w:rPr>
      </w:pPr>
      <w:bookmarkStart w:id="429" w:name="_Hlk24557150"/>
      <w:r>
        <w:rPr>
          <w:rFonts w:hint="eastAsia"/>
          <w:color w:val="auto"/>
        </w:rPr>
        <w:t>广州京诚检测技术有限公司于2019年4月15日~4月21日进行除二噁英、CH</w:t>
      </w:r>
      <w:r>
        <w:rPr>
          <w:rFonts w:hint="eastAsia"/>
          <w:color w:val="auto"/>
          <w:vertAlign w:val="subscript"/>
        </w:rPr>
        <w:t>3</w:t>
      </w:r>
      <w:r>
        <w:rPr>
          <w:rFonts w:hint="eastAsia"/>
          <w:color w:val="auto"/>
        </w:rPr>
        <w:t>SH外的因子监测，国化低碳技术工程中心于2019年4月17日~4月20日进行二噁英的监测，青岛京诚检测科技有限公司于2019年10月17日进行CH</w:t>
      </w:r>
      <w:r>
        <w:rPr>
          <w:rFonts w:hint="eastAsia"/>
          <w:color w:val="auto"/>
          <w:vertAlign w:val="subscript"/>
        </w:rPr>
        <w:t>3</w:t>
      </w:r>
      <w:r>
        <w:rPr>
          <w:rFonts w:hint="eastAsia"/>
          <w:color w:val="auto"/>
        </w:rPr>
        <w:t>SH的监测</w:t>
      </w:r>
      <w:bookmarkEnd w:id="429"/>
      <w:r>
        <w:rPr>
          <w:rFonts w:hint="eastAsia"/>
          <w:color w:val="auto"/>
        </w:rPr>
        <w:t>。</w:t>
      </w:r>
      <w:r>
        <w:rPr>
          <w:bCs/>
          <w:color w:val="auto"/>
        </w:rPr>
        <w:t>H</w:t>
      </w:r>
      <w:r>
        <w:rPr>
          <w:bCs/>
          <w:color w:val="auto"/>
          <w:vertAlign w:val="subscript"/>
        </w:rPr>
        <w:t>2</w:t>
      </w:r>
      <w:r>
        <w:rPr>
          <w:bCs/>
          <w:color w:val="auto"/>
        </w:rPr>
        <w:t>S</w:t>
      </w:r>
      <w:r>
        <w:rPr>
          <w:rFonts w:hint="eastAsia"/>
          <w:bCs/>
          <w:color w:val="auto"/>
        </w:rPr>
        <w:t>、</w:t>
      </w:r>
      <w:r>
        <w:rPr>
          <w:bCs/>
          <w:color w:val="auto"/>
        </w:rPr>
        <w:t>NH</w:t>
      </w:r>
      <w:r>
        <w:rPr>
          <w:bCs/>
          <w:color w:val="auto"/>
          <w:vertAlign w:val="subscript"/>
        </w:rPr>
        <w:t>3</w:t>
      </w:r>
      <w:r>
        <w:rPr>
          <w:rFonts w:hint="eastAsia"/>
          <w:bCs/>
          <w:color w:val="auto"/>
        </w:rPr>
        <w:t>、</w:t>
      </w:r>
      <w:r>
        <w:rPr>
          <w:bCs/>
          <w:color w:val="auto"/>
        </w:rPr>
        <w:t>CH</w:t>
      </w:r>
      <w:r>
        <w:rPr>
          <w:bCs/>
          <w:color w:val="auto"/>
          <w:vertAlign w:val="subscript"/>
        </w:rPr>
        <w:t>3</w:t>
      </w:r>
      <w:r>
        <w:rPr>
          <w:bCs/>
          <w:color w:val="auto"/>
        </w:rPr>
        <w:t>SH</w:t>
      </w:r>
      <w:r>
        <w:rPr>
          <w:rFonts w:hint="eastAsia"/>
          <w:bCs/>
          <w:color w:val="auto"/>
        </w:rPr>
        <w:t>、臭气浓度、</w:t>
      </w:r>
      <w:r>
        <w:rPr>
          <w:bCs/>
          <w:color w:val="auto"/>
        </w:rPr>
        <w:t>HCl</w:t>
      </w:r>
      <w:r>
        <w:rPr>
          <w:rFonts w:hint="eastAsia"/>
          <w:bCs/>
          <w:color w:val="auto"/>
        </w:rPr>
        <w:t>监测小时浓度，连续</w:t>
      </w:r>
      <w:r>
        <w:rPr>
          <w:bCs/>
          <w:color w:val="auto"/>
        </w:rPr>
        <w:t>7</w:t>
      </w:r>
      <w:r>
        <w:rPr>
          <w:rFonts w:hint="eastAsia"/>
          <w:bCs/>
          <w:color w:val="auto"/>
        </w:rPr>
        <w:t>天监测；</w:t>
      </w:r>
      <w:r>
        <w:rPr>
          <w:bCs/>
          <w:color w:val="auto"/>
        </w:rPr>
        <w:t>TSP</w:t>
      </w:r>
      <w:r>
        <w:rPr>
          <w:rFonts w:hint="eastAsia"/>
          <w:bCs/>
          <w:color w:val="auto"/>
        </w:rPr>
        <w:t>、</w:t>
      </w:r>
      <w:r>
        <w:rPr>
          <w:bCs/>
          <w:color w:val="auto"/>
        </w:rPr>
        <w:t>Hg</w:t>
      </w:r>
      <w:r>
        <w:rPr>
          <w:rFonts w:hint="eastAsia"/>
          <w:bCs/>
          <w:color w:val="auto"/>
        </w:rPr>
        <w:t>、</w:t>
      </w:r>
      <w:r>
        <w:rPr>
          <w:bCs/>
          <w:color w:val="auto"/>
        </w:rPr>
        <w:t>Pb</w:t>
      </w:r>
      <w:r>
        <w:rPr>
          <w:rFonts w:hint="eastAsia"/>
          <w:bCs/>
          <w:color w:val="auto"/>
        </w:rPr>
        <w:t>、</w:t>
      </w:r>
      <w:r>
        <w:rPr>
          <w:bCs/>
          <w:color w:val="auto"/>
        </w:rPr>
        <w:t>Cd</w:t>
      </w:r>
      <w:r>
        <w:rPr>
          <w:rFonts w:hint="eastAsia"/>
          <w:bCs/>
          <w:color w:val="auto"/>
        </w:rPr>
        <w:t>监测日均浓度，连续</w:t>
      </w:r>
      <w:r>
        <w:rPr>
          <w:bCs/>
          <w:color w:val="auto"/>
        </w:rPr>
        <w:t>7</w:t>
      </w:r>
      <w:r>
        <w:rPr>
          <w:rFonts w:hint="eastAsia"/>
          <w:bCs/>
          <w:color w:val="auto"/>
        </w:rPr>
        <w:t>天监测；二噁英连续</w:t>
      </w:r>
      <w:r>
        <w:rPr>
          <w:bCs/>
          <w:color w:val="auto"/>
        </w:rPr>
        <w:t>3</w:t>
      </w:r>
      <w:r>
        <w:rPr>
          <w:rFonts w:hint="eastAsia"/>
          <w:bCs/>
          <w:color w:val="auto"/>
        </w:rPr>
        <w:t>天监测，每天累计采样时间不少于</w:t>
      </w:r>
      <w:r>
        <w:rPr>
          <w:bCs/>
          <w:color w:val="auto"/>
        </w:rPr>
        <w:t>18</w:t>
      </w:r>
      <w:r>
        <w:rPr>
          <w:rFonts w:hint="eastAsia"/>
          <w:bCs/>
          <w:color w:val="auto"/>
        </w:rPr>
        <w:t>小时</w:t>
      </w:r>
      <w:r>
        <w:rPr>
          <w:color w:val="auto"/>
        </w:rPr>
        <w:t>。</w:t>
      </w:r>
    </w:p>
    <w:p>
      <w:pPr>
        <w:spacing w:line="360" w:lineRule="auto"/>
        <w:jc w:val="both"/>
        <w:rPr>
          <w:color w:val="auto"/>
          <w:sz w:val="21"/>
          <w:szCs w:val="21"/>
        </w:rPr>
      </w:pPr>
      <w:r>
        <w:rPr>
          <w:rFonts w:hint="eastAsia"/>
          <w:color w:val="auto"/>
          <w:sz w:val="21"/>
          <w:szCs w:val="21"/>
        </w:rPr>
        <w:t>*注：根据《环境二噁英类监测技术规范》（HJ916-2017），如监测区域内无明显二噁英类排放源，可减少监测频次，每个监测点不少于3天。</w:t>
      </w:r>
    </w:p>
    <w:p>
      <w:pPr>
        <w:pStyle w:val="301"/>
        <w:rPr>
          <w:color w:val="auto"/>
        </w:rPr>
      </w:pPr>
      <w:r>
        <w:rPr>
          <w:color w:val="auto"/>
        </w:rPr>
        <w:t>4.3.2.2</w:t>
      </w:r>
      <w:r>
        <w:rPr>
          <w:rFonts w:hint="eastAsia"/>
          <w:color w:val="auto"/>
          <w:lang w:eastAsia="zh-CN"/>
        </w:rPr>
        <w:t>引用监测分析方法</w:t>
      </w:r>
    </w:p>
    <w:p>
      <w:pPr>
        <w:spacing w:line="360" w:lineRule="auto"/>
        <w:ind w:firstLine="480" w:firstLineChars="200"/>
        <w:jc w:val="both"/>
        <w:rPr>
          <w:color w:val="auto"/>
        </w:rPr>
      </w:pPr>
      <w:r>
        <w:rPr>
          <w:color w:val="auto"/>
        </w:rPr>
        <w:t>采样和分析方法按照原国家环保局颁布的《环境空气质量标准》(GB3095-2012)</w:t>
      </w:r>
      <w:r>
        <w:rPr>
          <w:rFonts w:hint="eastAsia"/>
          <w:color w:val="auto"/>
          <w:kern w:val="0"/>
        </w:rPr>
        <w:t>及</w:t>
      </w:r>
      <w:r>
        <w:rPr>
          <w:color w:val="auto"/>
          <w:kern w:val="0"/>
        </w:rPr>
        <w:t>2018</w:t>
      </w:r>
      <w:r>
        <w:rPr>
          <w:rFonts w:hint="eastAsia"/>
          <w:color w:val="auto"/>
          <w:kern w:val="0"/>
        </w:rPr>
        <w:t>年修改单</w:t>
      </w:r>
      <w:r>
        <w:rPr>
          <w:color w:val="auto"/>
        </w:rPr>
        <w:t>、《空气和废气监测分析方法》（第四版）</w:t>
      </w:r>
      <w:r>
        <w:rPr>
          <w:rFonts w:hint="eastAsia"/>
          <w:color w:val="auto"/>
        </w:rPr>
        <w:t>、</w:t>
      </w:r>
      <w:r>
        <w:rPr>
          <w:color w:val="auto"/>
        </w:rPr>
        <w:t>《环境监测技术规范》（大气部分）及《环境空气和废气 二噁英类的测定 同位素稀释高分辨气相色谱-高分辨质谱法》（HJ 77.2-2008）等有关要求和规定进行。项目环境空气现状监测分析方法详见表4.3-4。</w:t>
      </w:r>
    </w:p>
    <w:p>
      <w:pPr>
        <w:jc w:val="center"/>
        <w:rPr>
          <w:b/>
          <w:color w:val="auto"/>
        </w:rPr>
      </w:pPr>
      <w:r>
        <w:rPr>
          <w:b/>
          <w:color w:val="auto"/>
        </w:rPr>
        <w:t>表4.3-4  环境空气监测项目检测分析方法及检出限一览表</w:t>
      </w:r>
    </w:p>
    <w:tbl>
      <w:tblPr>
        <w:tblStyle w:val="53"/>
        <w:tblW w:w="852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1"/>
        <w:gridCol w:w="1156"/>
        <w:gridCol w:w="2454"/>
        <w:gridCol w:w="2430"/>
        <w:gridCol w:w="16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blHeader/>
          <w:jc w:val="center"/>
        </w:trPr>
        <w:tc>
          <w:tcPr>
            <w:tcW w:w="881" w:type="dxa"/>
            <w:vAlign w:val="center"/>
          </w:tcPr>
          <w:p>
            <w:pPr>
              <w:jc w:val="center"/>
              <w:rPr>
                <w:rFonts w:eastAsiaTheme="minorEastAsia"/>
                <w:color w:val="auto"/>
                <w:sz w:val="21"/>
                <w:szCs w:val="21"/>
              </w:rPr>
            </w:pPr>
            <w:r>
              <w:rPr>
                <w:rFonts w:eastAsiaTheme="minorEastAsia"/>
                <w:color w:val="auto"/>
                <w:sz w:val="21"/>
                <w:szCs w:val="21"/>
              </w:rPr>
              <w:t>类别</w:t>
            </w:r>
          </w:p>
        </w:tc>
        <w:tc>
          <w:tcPr>
            <w:tcW w:w="1156" w:type="dxa"/>
            <w:vAlign w:val="center"/>
          </w:tcPr>
          <w:p>
            <w:pPr>
              <w:jc w:val="center"/>
              <w:rPr>
                <w:rFonts w:eastAsiaTheme="minorEastAsia"/>
                <w:color w:val="auto"/>
                <w:sz w:val="21"/>
                <w:szCs w:val="21"/>
              </w:rPr>
            </w:pPr>
            <w:r>
              <w:rPr>
                <w:rFonts w:eastAsiaTheme="minorEastAsia"/>
                <w:color w:val="auto"/>
                <w:sz w:val="21"/>
                <w:szCs w:val="21"/>
              </w:rPr>
              <w:t>检测项目</w:t>
            </w:r>
          </w:p>
        </w:tc>
        <w:tc>
          <w:tcPr>
            <w:tcW w:w="2454" w:type="dxa"/>
            <w:vAlign w:val="center"/>
          </w:tcPr>
          <w:p>
            <w:pPr>
              <w:jc w:val="center"/>
              <w:rPr>
                <w:rFonts w:eastAsiaTheme="minorEastAsia"/>
                <w:color w:val="auto"/>
                <w:sz w:val="21"/>
                <w:szCs w:val="21"/>
              </w:rPr>
            </w:pPr>
            <w:r>
              <w:rPr>
                <w:rFonts w:eastAsiaTheme="minorEastAsia"/>
                <w:color w:val="auto"/>
                <w:sz w:val="21"/>
                <w:szCs w:val="21"/>
              </w:rPr>
              <w:t>方法依据</w:t>
            </w:r>
          </w:p>
        </w:tc>
        <w:tc>
          <w:tcPr>
            <w:tcW w:w="2430" w:type="dxa"/>
            <w:vAlign w:val="center"/>
          </w:tcPr>
          <w:p>
            <w:pPr>
              <w:jc w:val="center"/>
              <w:rPr>
                <w:rFonts w:eastAsiaTheme="minorEastAsia"/>
                <w:color w:val="auto"/>
                <w:sz w:val="21"/>
                <w:szCs w:val="21"/>
              </w:rPr>
            </w:pPr>
            <w:r>
              <w:rPr>
                <w:rFonts w:eastAsiaTheme="minorEastAsia"/>
                <w:color w:val="auto"/>
                <w:sz w:val="21"/>
                <w:szCs w:val="21"/>
              </w:rPr>
              <w:t>检测设备（型号）及编号</w:t>
            </w:r>
          </w:p>
        </w:tc>
        <w:tc>
          <w:tcPr>
            <w:tcW w:w="1601" w:type="dxa"/>
            <w:vAlign w:val="center"/>
          </w:tcPr>
          <w:p>
            <w:pPr>
              <w:jc w:val="center"/>
              <w:rPr>
                <w:rFonts w:eastAsiaTheme="minorEastAsia"/>
                <w:color w:val="auto"/>
                <w:sz w:val="21"/>
                <w:szCs w:val="21"/>
              </w:rPr>
            </w:pPr>
            <w:r>
              <w:rPr>
                <w:rFonts w:eastAsiaTheme="minorEastAsia"/>
                <w:color w:val="auto"/>
                <w:sz w:val="21"/>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0" w:hRule="atLeast"/>
          <w:jc w:val="center"/>
        </w:trPr>
        <w:tc>
          <w:tcPr>
            <w:tcW w:w="881" w:type="dxa"/>
            <w:vMerge w:val="restart"/>
            <w:vAlign w:val="center"/>
          </w:tcPr>
          <w:p>
            <w:pPr>
              <w:jc w:val="center"/>
              <w:rPr>
                <w:rFonts w:eastAsiaTheme="minorEastAsia"/>
                <w:color w:val="auto"/>
                <w:sz w:val="21"/>
                <w:szCs w:val="21"/>
              </w:rPr>
            </w:pPr>
            <w:r>
              <w:rPr>
                <w:rFonts w:eastAsiaTheme="minorEastAsia"/>
                <w:color w:val="auto"/>
                <w:sz w:val="21"/>
                <w:szCs w:val="21"/>
              </w:rPr>
              <w:t>环境空气</w:t>
            </w:r>
          </w:p>
        </w:tc>
        <w:tc>
          <w:tcPr>
            <w:tcW w:w="1156" w:type="dxa"/>
            <w:vAlign w:val="center"/>
          </w:tcPr>
          <w:p>
            <w:pPr>
              <w:jc w:val="center"/>
              <w:rPr>
                <w:rFonts w:eastAsiaTheme="minorEastAsia"/>
                <w:color w:val="auto"/>
                <w:sz w:val="21"/>
                <w:szCs w:val="21"/>
              </w:rPr>
            </w:pPr>
            <w:r>
              <w:rPr>
                <w:rFonts w:eastAsiaTheme="minorEastAsia"/>
                <w:color w:val="auto"/>
                <w:sz w:val="21"/>
                <w:szCs w:val="21"/>
              </w:rPr>
              <w:t>氨</w:t>
            </w:r>
          </w:p>
        </w:tc>
        <w:tc>
          <w:tcPr>
            <w:tcW w:w="2454" w:type="dxa"/>
            <w:vAlign w:val="center"/>
          </w:tcPr>
          <w:p>
            <w:pPr>
              <w:jc w:val="center"/>
              <w:rPr>
                <w:rFonts w:eastAsiaTheme="minorEastAsia"/>
                <w:color w:val="auto"/>
                <w:sz w:val="21"/>
                <w:szCs w:val="21"/>
              </w:rPr>
            </w:pPr>
            <w:r>
              <w:rPr>
                <w:rFonts w:eastAsiaTheme="minorEastAsia"/>
                <w:color w:val="auto"/>
                <w:sz w:val="21"/>
                <w:szCs w:val="21"/>
              </w:rPr>
              <w:t>《环境空气和废气 氨的测定 纳氏试剂分光光度法》HJ 533-2009</w:t>
            </w:r>
          </w:p>
        </w:tc>
        <w:tc>
          <w:tcPr>
            <w:tcW w:w="2430" w:type="dxa"/>
            <w:vAlign w:val="center"/>
          </w:tcPr>
          <w:p>
            <w:pPr>
              <w:jc w:val="center"/>
              <w:rPr>
                <w:rFonts w:eastAsiaTheme="minorEastAsia"/>
                <w:color w:val="auto"/>
                <w:sz w:val="21"/>
                <w:szCs w:val="21"/>
              </w:rPr>
            </w:pPr>
            <w:r>
              <w:rPr>
                <w:rFonts w:eastAsiaTheme="minorEastAsia"/>
                <w:color w:val="auto"/>
                <w:sz w:val="21"/>
                <w:szCs w:val="21"/>
              </w:rPr>
              <w:t>紫外可见分光光度计(752N)</w:t>
            </w:r>
          </w:p>
          <w:p>
            <w:pPr>
              <w:jc w:val="center"/>
              <w:rPr>
                <w:rFonts w:eastAsiaTheme="minorEastAsia"/>
                <w:color w:val="auto"/>
                <w:sz w:val="21"/>
                <w:szCs w:val="21"/>
              </w:rPr>
            </w:pPr>
            <w:r>
              <w:rPr>
                <w:rFonts w:eastAsiaTheme="minorEastAsia"/>
                <w:color w:val="auto"/>
                <w:sz w:val="21"/>
                <w:szCs w:val="21"/>
              </w:rPr>
              <w:t>YQ-122</w:t>
            </w:r>
          </w:p>
        </w:tc>
        <w:tc>
          <w:tcPr>
            <w:tcW w:w="1601" w:type="dxa"/>
            <w:vAlign w:val="center"/>
          </w:tcPr>
          <w:p>
            <w:pPr>
              <w:jc w:val="center"/>
              <w:rPr>
                <w:rFonts w:eastAsiaTheme="minorEastAsia"/>
                <w:color w:val="auto"/>
                <w:sz w:val="21"/>
                <w:szCs w:val="21"/>
              </w:rPr>
            </w:pPr>
            <w:r>
              <w:rPr>
                <w:rFonts w:eastAsiaTheme="minorEastAsia"/>
                <w:color w:val="auto"/>
                <w:sz w:val="21"/>
                <w:szCs w:val="21"/>
              </w:rPr>
              <w:t>0.01mg/m</w:t>
            </w:r>
            <w:r>
              <w:rPr>
                <w:rFonts w:eastAsiaTheme="minorEastAsia"/>
                <w:color w:val="auto"/>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0" w:hRule="atLeast"/>
          <w:jc w:val="center"/>
        </w:trPr>
        <w:tc>
          <w:tcPr>
            <w:tcW w:w="881" w:type="dxa"/>
            <w:vMerge w:val="continue"/>
            <w:vAlign w:val="center"/>
          </w:tcPr>
          <w:p>
            <w:pPr>
              <w:jc w:val="center"/>
              <w:rPr>
                <w:rFonts w:eastAsiaTheme="minorEastAsia"/>
                <w:color w:val="auto"/>
                <w:sz w:val="21"/>
                <w:szCs w:val="21"/>
              </w:rPr>
            </w:pPr>
          </w:p>
        </w:tc>
        <w:tc>
          <w:tcPr>
            <w:tcW w:w="1156" w:type="dxa"/>
            <w:vAlign w:val="center"/>
          </w:tcPr>
          <w:p>
            <w:pPr>
              <w:jc w:val="center"/>
              <w:rPr>
                <w:rFonts w:eastAsiaTheme="minorEastAsia"/>
                <w:color w:val="auto"/>
                <w:sz w:val="21"/>
                <w:szCs w:val="21"/>
              </w:rPr>
            </w:pPr>
            <w:r>
              <w:rPr>
                <w:rFonts w:eastAsiaTheme="minorEastAsia"/>
                <w:color w:val="auto"/>
                <w:sz w:val="21"/>
                <w:szCs w:val="21"/>
              </w:rPr>
              <w:t>硫化氢</w:t>
            </w:r>
          </w:p>
        </w:tc>
        <w:tc>
          <w:tcPr>
            <w:tcW w:w="2454" w:type="dxa"/>
            <w:vAlign w:val="center"/>
          </w:tcPr>
          <w:p>
            <w:pPr>
              <w:jc w:val="center"/>
              <w:rPr>
                <w:rFonts w:eastAsiaTheme="minorEastAsia"/>
                <w:color w:val="auto"/>
                <w:sz w:val="21"/>
                <w:szCs w:val="21"/>
              </w:rPr>
            </w:pPr>
            <w:r>
              <w:rPr>
                <w:rFonts w:eastAsiaTheme="minorEastAsia"/>
                <w:color w:val="auto"/>
                <w:sz w:val="21"/>
                <w:szCs w:val="21"/>
              </w:rPr>
              <w:t>《空气和废气监测分析方法》（第四版增补版）国家环境保护总局2007年 亚甲基蓝分光光度法 3.1.11（2）</w:t>
            </w:r>
          </w:p>
        </w:tc>
        <w:tc>
          <w:tcPr>
            <w:tcW w:w="2430" w:type="dxa"/>
            <w:vAlign w:val="center"/>
          </w:tcPr>
          <w:p>
            <w:pPr>
              <w:jc w:val="center"/>
              <w:rPr>
                <w:rFonts w:eastAsiaTheme="minorEastAsia"/>
                <w:color w:val="auto"/>
                <w:sz w:val="21"/>
                <w:szCs w:val="21"/>
              </w:rPr>
            </w:pPr>
            <w:r>
              <w:rPr>
                <w:rFonts w:eastAsiaTheme="minorEastAsia"/>
                <w:color w:val="auto"/>
                <w:sz w:val="21"/>
                <w:szCs w:val="21"/>
              </w:rPr>
              <w:t>紫外可见分光光度计(752N)</w:t>
            </w:r>
          </w:p>
          <w:p>
            <w:pPr>
              <w:jc w:val="center"/>
              <w:rPr>
                <w:rFonts w:eastAsiaTheme="minorEastAsia"/>
                <w:color w:val="auto"/>
                <w:sz w:val="21"/>
                <w:szCs w:val="21"/>
              </w:rPr>
            </w:pPr>
            <w:r>
              <w:rPr>
                <w:rFonts w:eastAsiaTheme="minorEastAsia"/>
                <w:color w:val="auto"/>
                <w:sz w:val="21"/>
                <w:szCs w:val="21"/>
              </w:rPr>
              <w:t>YQ-122</w:t>
            </w:r>
          </w:p>
        </w:tc>
        <w:tc>
          <w:tcPr>
            <w:tcW w:w="1601" w:type="dxa"/>
            <w:vAlign w:val="center"/>
          </w:tcPr>
          <w:p>
            <w:pPr>
              <w:jc w:val="center"/>
              <w:rPr>
                <w:rFonts w:eastAsiaTheme="minorEastAsia"/>
                <w:color w:val="auto"/>
                <w:sz w:val="21"/>
                <w:szCs w:val="21"/>
              </w:rPr>
            </w:pPr>
            <w:r>
              <w:rPr>
                <w:rFonts w:eastAsiaTheme="minorEastAsia"/>
                <w:color w:val="auto"/>
                <w:sz w:val="21"/>
                <w:szCs w:val="21"/>
              </w:rPr>
              <w:t>0.001mg/m</w:t>
            </w:r>
            <w:r>
              <w:rPr>
                <w:rFonts w:eastAsiaTheme="minorEastAsia"/>
                <w:color w:val="auto"/>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0" w:hRule="atLeast"/>
          <w:jc w:val="center"/>
        </w:trPr>
        <w:tc>
          <w:tcPr>
            <w:tcW w:w="881" w:type="dxa"/>
            <w:vMerge w:val="continue"/>
            <w:vAlign w:val="center"/>
          </w:tcPr>
          <w:p>
            <w:pPr>
              <w:jc w:val="center"/>
              <w:rPr>
                <w:rFonts w:eastAsiaTheme="minorEastAsia"/>
                <w:color w:val="auto"/>
                <w:sz w:val="21"/>
                <w:szCs w:val="21"/>
              </w:rPr>
            </w:pPr>
          </w:p>
        </w:tc>
        <w:tc>
          <w:tcPr>
            <w:tcW w:w="1156" w:type="dxa"/>
            <w:vAlign w:val="center"/>
          </w:tcPr>
          <w:p>
            <w:pPr>
              <w:jc w:val="center"/>
              <w:rPr>
                <w:rFonts w:eastAsiaTheme="minorEastAsia"/>
                <w:color w:val="auto"/>
                <w:sz w:val="21"/>
                <w:szCs w:val="21"/>
              </w:rPr>
            </w:pPr>
            <w:r>
              <w:rPr>
                <w:rFonts w:eastAsiaTheme="minorEastAsia"/>
                <w:color w:val="auto"/>
                <w:sz w:val="21"/>
                <w:szCs w:val="21"/>
              </w:rPr>
              <w:t>氯化氢</w:t>
            </w:r>
          </w:p>
        </w:tc>
        <w:tc>
          <w:tcPr>
            <w:tcW w:w="2454" w:type="dxa"/>
            <w:vAlign w:val="center"/>
          </w:tcPr>
          <w:p>
            <w:pPr>
              <w:jc w:val="center"/>
              <w:rPr>
                <w:rFonts w:eastAsiaTheme="minorEastAsia"/>
                <w:color w:val="auto"/>
                <w:sz w:val="21"/>
                <w:szCs w:val="21"/>
              </w:rPr>
            </w:pPr>
            <w:r>
              <w:rPr>
                <w:rFonts w:eastAsiaTheme="minorEastAsia"/>
                <w:color w:val="auto"/>
                <w:sz w:val="21"/>
                <w:szCs w:val="21"/>
              </w:rPr>
              <w:t>《环境空气和废气 氯化氢的测定 离子色谱法》HJ 549-2016</w:t>
            </w:r>
          </w:p>
        </w:tc>
        <w:tc>
          <w:tcPr>
            <w:tcW w:w="2430" w:type="dxa"/>
            <w:vAlign w:val="center"/>
          </w:tcPr>
          <w:p>
            <w:pPr>
              <w:jc w:val="center"/>
              <w:rPr>
                <w:rFonts w:eastAsiaTheme="minorEastAsia"/>
                <w:color w:val="auto"/>
                <w:sz w:val="21"/>
                <w:szCs w:val="21"/>
              </w:rPr>
            </w:pPr>
            <w:r>
              <w:rPr>
                <w:rFonts w:eastAsiaTheme="minorEastAsia"/>
                <w:color w:val="auto"/>
                <w:sz w:val="21"/>
                <w:szCs w:val="21"/>
              </w:rPr>
              <w:t>离子色谱仪(ICS-1000)</w:t>
            </w:r>
          </w:p>
          <w:p>
            <w:pPr>
              <w:jc w:val="center"/>
              <w:rPr>
                <w:rFonts w:eastAsiaTheme="minorEastAsia"/>
                <w:color w:val="auto"/>
                <w:sz w:val="21"/>
                <w:szCs w:val="21"/>
              </w:rPr>
            </w:pPr>
            <w:r>
              <w:rPr>
                <w:rFonts w:eastAsiaTheme="minorEastAsia"/>
                <w:color w:val="auto"/>
                <w:sz w:val="21"/>
                <w:szCs w:val="21"/>
              </w:rPr>
              <w:t>YQ-116</w:t>
            </w:r>
          </w:p>
        </w:tc>
        <w:tc>
          <w:tcPr>
            <w:tcW w:w="1601" w:type="dxa"/>
            <w:vAlign w:val="center"/>
          </w:tcPr>
          <w:p>
            <w:pPr>
              <w:jc w:val="center"/>
              <w:rPr>
                <w:rFonts w:eastAsiaTheme="minorEastAsia"/>
                <w:color w:val="auto"/>
                <w:sz w:val="21"/>
                <w:szCs w:val="21"/>
              </w:rPr>
            </w:pPr>
            <w:r>
              <w:rPr>
                <w:rFonts w:eastAsiaTheme="minorEastAsia"/>
                <w:color w:val="auto"/>
                <w:sz w:val="21"/>
                <w:szCs w:val="21"/>
              </w:rPr>
              <w:t>0.02mg/m</w:t>
            </w:r>
            <w:r>
              <w:rPr>
                <w:rFonts w:eastAsiaTheme="minorEastAsia"/>
                <w:color w:val="auto"/>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0" w:hRule="atLeast"/>
          <w:jc w:val="center"/>
        </w:trPr>
        <w:tc>
          <w:tcPr>
            <w:tcW w:w="881" w:type="dxa"/>
            <w:vMerge w:val="continue"/>
            <w:vAlign w:val="center"/>
          </w:tcPr>
          <w:p>
            <w:pPr>
              <w:jc w:val="center"/>
              <w:rPr>
                <w:rFonts w:eastAsiaTheme="minorEastAsia"/>
                <w:color w:val="auto"/>
                <w:sz w:val="21"/>
                <w:szCs w:val="21"/>
              </w:rPr>
            </w:pPr>
          </w:p>
        </w:tc>
        <w:tc>
          <w:tcPr>
            <w:tcW w:w="1156" w:type="dxa"/>
            <w:vAlign w:val="center"/>
          </w:tcPr>
          <w:p>
            <w:pPr>
              <w:jc w:val="center"/>
              <w:rPr>
                <w:rFonts w:eastAsiaTheme="minorEastAsia"/>
                <w:color w:val="auto"/>
                <w:sz w:val="21"/>
                <w:szCs w:val="21"/>
              </w:rPr>
            </w:pPr>
            <w:r>
              <w:rPr>
                <w:rFonts w:eastAsiaTheme="minorEastAsia"/>
                <w:color w:val="auto"/>
                <w:sz w:val="21"/>
                <w:szCs w:val="21"/>
              </w:rPr>
              <w:t>恶臭（臭气浓度）</w:t>
            </w:r>
          </w:p>
        </w:tc>
        <w:tc>
          <w:tcPr>
            <w:tcW w:w="2454" w:type="dxa"/>
            <w:vAlign w:val="center"/>
          </w:tcPr>
          <w:p>
            <w:pPr>
              <w:jc w:val="center"/>
              <w:rPr>
                <w:rFonts w:eastAsiaTheme="minorEastAsia"/>
                <w:color w:val="auto"/>
                <w:sz w:val="21"/>
                <w:szCs w:val="21"/>
              </w:rPr>
            </w:pPr>
            <w:r>
              <w:rPr>
                <w:rFonts w:eastAsiaTheme="minorEastAsia"/>
                <w:color w:val="auto"/>
                <w:sz w:val="21"/>
                <w:szCs w:val="21"/>
              </w:rPr>
              <w:t>《空气质量 恶臭的测定 三点比较式臭袋法》GB/T 14675-1993</w:t>
            </w:r>
          </w:p>
        </w:tc>
        <w:tc>
          <w:tcPr>
            <w:tcW w:w="2430" w:type="dxa"/>
            <w:vAlign w:val="center"/>
          </w:tcPr>
          <w:p>
            <w:pPr>
              <w:jc w:val="center"/>
              <w:rPr>
                <w:rFonts w:eastAsiaTheme="minorEastAsia"/>
                <w:color w:val="auto"/>
                <w:sz w:val="21"/>
                <w:szCs w:val="21"/>
              </w:rPr>
            </w:pPr>
            <w:r>
              <w:rPr>
                <w:rFonts w:eastAsiaTheme="minorEastAsia"/>
                <w:color w:val="auto"/>
                <w:sz w:val="21"/>
                <w:szCs w:val="21"/>
              </w:rPr>
              <w:t>——</w:t>
            </w:r>
          </w:p>
        </w:tc>
        <w:tc>
          <w:tcPr>
            <w:tcW w:w="1601" w:type="dxa"/>
            <w:vAlign w:val="center"/>
          </w:tcPr>
          <w:p>
            <w:pPr>
              <w:jc w:val="center"/>
              <w:rPr>
                <w:rFonts w:eastAsiaTheme="minorEastAsia"/>
                <w:color w:val="auto"/>
                <w:sz w:val="21"/>
                <w:szCs w:val="21"/>
              </w:rPr>
            </w:pPr>
            <w:r>
              <w:rPr>
                <w:rFonts w:eastAsiaTheme="minorEastAsia"/>
                <w:color w:val="auto"/>
                <w:sz w:val="21"/>
                <w:szCs w:val="21"/>
              </w:rPr>
              <w:t>10（无量纲）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0" w:hRule="atLeast"/>
          <w:jc w:val="center"/>
        </w:trPr>
        <w:tc>
          <w:tcPr>
            <w:tcW w:w="881" w:type="dxa"/>
            <w:vMerge w:val="continue"/>
            <w:vAlign w:val="center"/>
          </w:tcPr>
          <w:p>
            <w:pPr>
              <w:jc w:val="center"/>
              <w:rPr>
                <w:rFonts w:eastAsiaTheme="minorEastAsia"/>
                <w:color w:val="auto"/>
                <w:sz w:val="21"/>
                <w:szCs w:val="21"/>
              </w:rPr>
            </w:pPr>
          </w:p>
        </w:tc>
        <w:tc>
          <w:tcPr>
            <w:tcW w:w="1156" w:type="dxa"/>
            <w:vAlign w:val="center"/>
          </w:tcPr>
          <w:p>
            <w:pPr>
              <w:jc w:val="center"/>
              <w:rPr>
                <w:rFonts w:eastAsiaTheme="minorEastAsia"/>
                <w:color w:val="auto"/>
                <w:sz w:val="21"/>
                <w:szCs w:val="21"/>
              </w:rPr>
            </w:pPr>
            <w:r>
              <w:rPr>
                <w:rFonts w:eastAsiaTheme="minorEastAsia"/>
                <w:color w:val="auto"/>
                <w:sz w:val="21"/>
                <w:szCs w:val="21"/>
              </w:rPr>
              <w:t>TSP（总悬浮颗粒物）</w:t>
            </w:r>
          </w:p>
        </w:tc>
        <w:tc>
          <w:tcPr>
            <w:tcW w:w="2454" w:type="dxa"/>
            <w:vAlign w:val="center"/>
          </w:tcPr>
          <w:p>
            <w:pPr>
              <w:jc w:val="center"/>
              <w:rPr>
                <w:rFonts w:eastAsiaTheme="minorEastAsia"/>
                <w:color w:val="auto"/>
                <w:sz w:val="21"/>
                <w:szCs w:val="21"/>
              </w:rPr>
            </w:pPr>
            <w:r>
              <w:rPr>
                <w:rFonts w:eastAsiaTheme="minorEastAsia"/>
                <w:color w:val="auto"/>
                <w:sz w:val="21"/>
                <w:szCs w:val="21"/>
              </w:rPr>
              <w:t>《环境空气 总悬浮颗粒物的测定 重量法》</w:t>
            </w:r>
          </w:p>
          <w:p>
            <w:pPr>
              <w:jc w:val="center"/>
              <w:rPr>
                <w:rFonts w:eastAsiaTheme="minorEastAsia"/>
                <w:color w:val="auto"/>
                <w:sz w:val="21"/>
                <w:szCs w:val="21"/>
              </w:rPr>
            </w:pPr>
            <w:r>
              <w:rPr>
                <w:rFonts w:eastAsiaTheme="minorEastAsia"/>
                <w:color w:val="auto"/>
                <w:sz w:val="21"/>
                <w:szCs w:val="21"/>
              </w:rPr>
              <w:t>GB/T 15432-1995</w:t>
            </w:r>
          </w:p>
        </w:tc>
        <w:tc>
          <w:tcPr>
            <w:tcW w:w="2430" w:type="dxa"/>
            <w:vAlign w:val="center"/>
          </w:tcPr>
          <w:p>
            <w:pPr>
              <w:jc w:val="center"/>
              <w:rPr>
                <w:rFonts w:eastAsiaTheme="minorEastAsia"/>
                <w:color w:val="auto"/>
                <w:sz w:val="21"/>
                <w:szCs w:val="21"/>
              </w:rPr>
            </w:pPr>
            <w:r>
              <w:rPr>
                <w:rFonts w:eastAsiaTheme="minorEastAsia"/>
                <w:color w:val="auto"/>
                <w:sz w:val="21"/>
                <w:szCs w:val="21"/>
              </w:rPr>
              <w:t>电子天平(QUINTIX125D-1CN)</w:t>
            </w:r>
          </w:p>
          <w:p>
            <w:pPr>
              <w:jc w:val="center"/>
              <w:rPr>
                <w:rFonts w:eastAsiaTheme="minorEastAsia"/>
                <w:color w:val="auto"/>
                <w:sz w:val="21"/>
                <w:szCs w:val="21"/>
              </w:rPr>
            </w:pPr>
            <w:r>
              <w:rPr>
                <w:rFonts w:eastAsiaTheme="minorEastAsia"/>
                <w:color w:val="auto"/>
                <w:sz w:val="21"/>
                <w:szCs w:val="21"/>
              </w:rPr>
              <w:t>YQ-020-13</w:t>
            </w:r>
          </w:p>
        </w:tc>
        <w:tc>
          <w:tcPr>
            <w:tcW w:w="1601" w:type="dxa"/>
            <w:vAlign w:val="center"/>
          </w:tcPr>
          <w:p>
            <w:pPr>
              <w:jc w:val="center"/>
              <w:rPr>
                <w:rFonts w:eastAsiaTheme="minorEastAsia"/>
                <w:color w:val="auto"/>
                <w:sz w:val="21"/>
                <w:szCs w:val="21"/>
              </w:rPr>
            </w:pPr>
            <w:r>
              <w:rPr>
                <w:rFonts w:eastAsiaTheme="minorEastAsia"/>
                <w:color w:val="auto"/>
                <w:sz w:val="21"/>
                <w:szCs w:val="21"/>
              </w:rPr>
              <w:t>0.001mg/m</w:t>
            </w:r>
            <w:r>
              <w:rPr>
                <w:rFonts w:eastAsiaTheme="minorEastAsia"/>
                <w:color w:val="auto"/>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0" w:hRule="atLeast"/>
          <w:jc w:val="center"/>
        </w:trPr>
        <w:tc>
          <w:tcPr>
            <w:tcW w:w="881" w:type="dxa"/>
            <w:vMerge w:val="continue"/>
            <w:vAlign w:val="center"/>
          </w:tcPr>
          <w:p>
            <w:pPr>
              <w:jc w:val="center"/>
              <w:rPr>
                <w:rFonts w:eastAsiaTheme="minorEastAsia"/>
                <w:color w:val="auto"/>
                <w:sz w:val="21"/>
                <w:szCs w:val="21"/>
              </w:rPr>
            </w:pPr>
          </w:p>
        </w:tc>
        <w:tc>
          <w:tcPr>
            <w:tcW w:w="1156" w:type="dxa"/>
            <w:vAlign w:val="center"/>
          </w:tcPr>
          <w:p>
            <w:pPr>
              <w:jc w:val="center"/>
              <w:rPr>
                <w:rFonts w:eastAsiaTheme="minorEastAsia"/>
                <w:color w:val="auto"/>
                <w:sz w:val="21"/>
                <w:szCs w:val="21"/>
              </w:rPr>
            </w:pPr>
            <w:r>
              <w:rPr>
                <w:rFonts w:eastAsiaTheme="minorEastAsia"/>
                <w:color w:val="auto"/>
                <w:sz w:val="21"/>
                <w:szCs w:val="21"/>
              </w:rPr>
              <w:t>镉</w:t>
            </w:r>
          </w:p>
        </w:tc>
        <w:tc>
          <w:tcPr>
            <w:tcW w:w="2454" w:type="dxa"/>
            <w:vAlign w:val="center"/>
          </w:tcPr>
          <w:p>
            <w:pPr>
              <w:jc w:val="center"/>
              <w:rPr>
                <w:rFonts w:eastAsiaTheme="minorEastAsia"/>
                <w:color w:val="auto"/>
                <w:sz w:val="21"/>
                <w:szCs w:val="21"/>
              </w:rPr>
            </w:pPr>
            <w:r>
              <w:rPr>
                <w:rFonts w:eastAsiaTheme="minorEastAsia"/>
                <w:color w:val="auto"/>
                <w:sz w:val="21"/>
                <w:szCs w:val="21"/>
              </w:rPr>
              <w:t>《空气和废气监测分析方法》（第四版增补版）3.2.12</w:t>
            </w:r>
          </w:p>
        </w:tc>
        <w:tc>
          <w:tcPr>
            <w:tcW w:w="2430" w:type="dxa"/>
            <w:vAlign w:val="center"/>
          </w:tcPr>
          <w:p>
            <w:pPr>
              <w:jc w:val="center"/>
              <w:rPr>
                <w:rFonts w:eastAsiaTheme="minorEastAsia"/>
                <w:color w:val="auto"/>
                <w:sz w:val="21"/>
                <w:szCs w:val="21"/>
              </w:rPr>
            </w:pPr>
            <w:r>
              <w:rPr>
                <w:rFonts w:eastAsiaTheme="minorEastAsia"/>
                <w:color w:val="auto"/>
                <w:sz w:val="21"/>
                <w:szCs w:val="21"/>
              </w:rPr>
              <w:t>原子吸收分光光度计(Z-2000)</w:t>
            </w:r>
          </w:p>
          <w:p>
            <w:pPr>
              <w:jc w:val="center"/>
              <w:rPr>
                <w:rFonts w:eastAsiaTheme="minorEastAsia"/>
                <w:color w:val="auto"/>
                <w:sz w:val="21"/>
                <w:szCs w:val="21"/>
              </w:rPr>
            </w:pPr>
            <w:r>
              <w:rPr>
                <w:rFonts w:eastAsiaTheme="minorEastAsia"/>
                <w:color w:val="auto"/>
                <w:sz w:val="21"/>
                <w:szCs w:val="21"/>
              </w:rPr>
              <w:t>YQ-001</w:t>
            </w:r>
          </w:p>
        </w:tc>
        <w:tc>
          <w:tcPr>
            <w:tcW w:w="1601" w:type="dxa"/>
            <w:vAlign w:val="center"/>
          </w:tcPr>
          <w:p>
            <w:pPr>
              <w:jc w:val="center"/>
              <w:rPr>
                <w:rFonts w:eastAsiaTheme="minorEastAsia"/>
                <w:color w:val="auto"/>
                <w:sz w:val="21"/>
                <w:szCs w:val="21"/>
              </w:rPr>
            </w:pPr>
            <w:r>
              <w:rPr>
                <w:rFonts w:eastAsiaTheme="minorEastAsia"/>
                <w:color w:val="auto"/>
                <w:sz w:val="21"/>
                <w:szCs w:val="21"/>
              </w:rPr>
              <w:t>5.0×10</w:t>
            </w:r>
            <w:r>
              <w:rPr>
                <w:rFonts w:eastAsiaTheme="minorEastAsia"/>
                <w:color w:val="auto"/>
                <w:sz w:val="21"/>
                <w:szCs w:val="21"/>
                <w:vertAlign w:val="superscript"/>
              </w:rPr>
              <w:t>-6</w:t>
            </w:r>
            <w:r>
              <w:rPr>
                <w:rFonts w:eastAsiaTheme="minorEastAsia"/>
                <w:color w:val="auto"/>
                <w:sz w:val="21"/>
                <w:szCs w:val="21"/>
              </w:rPr>
              <w:t>mg/m</w:t>
            </w:r>
            <w:r>
              <w:rPr>
                <w:rFonts w:eastAsiaTheme="minorEastAsia"/>
                <w:color w:val="auto"/>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0" w:hRule="atLeast"/>
          <w:jc w:val="center"/>
        </w:trPr>
        <w:tc>
          <w:tcPr>
            <w:tcW w:w="881" w:type="dxa"/>
            <w:vMerge w:val="continue"/>
            <w:vAlign w:val="center"/>
          </w:tcPr>
          <w:p>
            <w:pPr>
              <w:jc w:val="center"/>
              <w:rPr>
                <w:rFonts w:eastAsiaTheme="minorEastAsia"/>
                <w:color w:val="auto"/>
                <w:sz w:val="21"/>
                <w:szCs w:val="21"/>
              </w:rPr>
            </w:pPr>
          </w:p>
        </w:tc>
        <w:tc>
          <w:tcPr>
            <w:tcW w:w="1156" w:type="dxa"/>
            <w:vAlign w:val="center"/>
          </w:tcPr>
          <w:p>
            <w:pPr>
              <w:jc w:val="center"/>
              <w:rPr>
                <w:rFonts w:eastAsiaTheme="minorEastAsia"/>
                <w:color w:val="auto"/>
                <w:sz w:val="21"/>
                <w:szCs w:val="21"/>
              </w:rPr>
            </w:pPr>
            <w:r>
              <w:rPr>
                <w:rFonts w:eastAsiaTheme="minorEastAsia"/>
                <w:color w:val="auto"/>
                <w:sz w:val="21"/>
                <w:szCs w:val="21"/>
              </w:rPr>
              <w:t>汞</w:t>
            </w:r>
          </w:p>
        </w:tc>
        <w:tc>
          <w:tcPr>
            <w:tcW w:w="2454" w:type="dxa"/>
            <w:vAlign w:val="center"/>
          </w:tcPr>
          <w:p>
            <w:pPr>
              <w:jc w:val="center"/>
              <w:rPr>
                <w:rFonts w:eastAsiaTheme="minorEastAsia"/>
                <w:color w:val="auto"/>
                <w:sz w:val="21"/>
                <w:szCs w:val="21"/>
              </w:rPr>
            </w:pPr>
            <w:r>
              <w:rPr>
                <w:rFonts w:eastAsiaTheme="minorEastAsia"/>
                <w:color w:val="auto"/>
                <w:sz w:val="21"/>
                <w:szCs w:val="21"/>
              </w:rPr>
              <w:t>《环境空气 汞的测定 巯基棉富集-冷原子荧光分光光度法 (暂行)》</w:t>
            </w:r>
          </w:p>
          <w:p>
            <w:pPr>
              <w:jc w:val="center"/>
              <w:rPr>
                <w:rFonts w:eastAsiaTheme="minorEastAsia"/>
                <w:color w:val="auto"/>
                <w:sz w:val="21"/>
                <w:szCs w:val="21"/>
              </w:rPr>
            </w:pPr>
            <w:r>
              <w:rPr>
                <w:rFonts w:eastAsiaTheme="minorEastAsia"/>
                <w:color w:val="auto"/>
                <w:sz w:val="21"/>
                <w:szCs w:val="21"/>
              </w:rPr>
              <w:t>HJ 542-2009</w:t>
            </w:r>
          </w:p>
        </w:tc>
        <w:tc>
          <w:tcPr>
            <w:tcW w:w="2430" w:type="dxa"/>
            <w:vAlign w:val="center"/>
          </w:tcPr>
          <w:p>
            <w:pPr>
              <w:jc w:val="center"/>
              <w:rPr>
                <w:rFonts w:eastAsiaTheme="minorEastAsia"/>
                <w:color w:val="auto"/>
                <w:sz w:val="21"/>
                <w:szCs w:val="21"/>
              </w:rPr>
            </w:pPr>
            <w:r>
              <w:rPr>
                <w:rFonts w:eastAsiaTheme="minorEastAsia"/>
                <w:color w:val="auto"/>
                <w:sz w:val="21"/>
                <w:szCs w:val="21"/>
              </w:rPr>
              <w:t>智能冷原子荧光测汞仪(ZYG-II)</w:t>
            </w:r>
          </w:p>
          <w:p>
            <w:pPr>
              <w:jc w:val="center"/>
              <w:rPr>
                <w:rFonts w:eastAsiaTheme="minorEastAsia"/>
                <w:color w:val="auto"/>
                <w:sz w:val="21"/>
                <w:szCs w:val="21"/>
              </w:rPr>
            </w:pPr>
            <w:r>
              <w:rPr>
                <w:rFonts w:eastAsiaTheme="minorEastAsia"/>
                <w:color w:val="auto"/>
                <w:sz w:val="21"/>
                <w:szCs w:val="21"/>
              </w:rPr>
              <w:t>YQ-242-01</w:t>
            </w:r>
          </w:p>
        </w:tc>
        <w:tc>
          <w:tcPr>
            <w:tcW w:w="1601" w:type="dxa"/>
            <w:vAlign w:val="center"/>
          </w:tcPr>
          <w:p>
            <w:pPr>
              <w:jc w:val="center"/>
              <w:rPr>
                <w:rFonts w:eastAsiaTheme="minorEastAsia"/>
                <w:color w:val="auto"/>
                <w:sz w:val="21"/>
                <w:szCs w:val="21"/>
              </w:rPr>
            </w:pPr>
            <w:r>
              <w:rPr>
                <w:rFonts w:eastAsiaTheme="minorEastAsia"/>
                <w:color w:val="auto"/>
                <w:sz w:val="21"/>
                <w:szCs w:val="21"/>
              </w:rPr>
              <w:t>6.6×10</w:t>
            </w:r>
            <w:r>
              <w:rPr>
                <w:rFonts w:eastAsiaTheme="minorEastAsia"/>
                <w:color w:val="auto"/>
                <w:sz w:val="21"/>
                <w:szCs w:val="21"/>
                <w:vertAlign w:val="superscript"/>
              </w:rPr>
              <w:t>-6</w:t>
            </w:r>
            <w:r>
              <w:rPr>
                <w:rFonts w:eastAsiaTheme="minorEastAsia"/>
                <w:color w:val="auto"/>
                <w:sz w:val="21"/>
                <w:szCs w:val="21"/>
              </w:rPr>
              <w:t>mg/m</w:t>
            </w:r>
            <w:r>
              <w:rPr>
                <w:rFonts w:eastAsiaTheme="minorEastAsia"/>
                <w:color w:val="auto"/>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0" w:hRule="atLeast"/>
          <w:jc w:val="center"/>
        </w:trPr>
        <w:tc>
          <w:tcPr>
            <w:tcW w:w="881" w:type="dxa"/>
            <w:vMerge w:val="continue"/>
            <w:vAlign w:val="center"/>
          </w:tcPr>
          <w:p>
            <w:pPr>
              <w:jc w:val="center"/>
              <w:rPr>
                <w:rFonts w:eastAsiaTheme="minorEastAsia"/>
                <w:color w:val="auto"/>
                <w:sz w:val="21"/>
                <w:szCs w:val="21"/>
              </w:rPr>
            </w:pPr>
          </w:p>
        </w:tc>
        <w:tc>
          <w:tcPr>
            <w:tcW w:w="1156" w:type="dxa"/>
            <w:vAlign w:val="center"/>
          </w:tcPr>
          <w:p>
            <w:pPr>
              <w:jc w:val="center"/>
              <w:rPr>
                <w:rFonts w:eastAsiaTheme="minorEastAsia"/>
                <w:color w:val="auto"/>
                <w:sz w:val="21"/>
                <w:szCs w:val="21"/>
              </w:rPr>
            </w:pPr>
            <w:r>
              <w:rPr>
                <w:rFonts w:eastAsiaTheme="minorEastAsia"/>
                <w:color w:val="auto"/>
                <w:sz w:val="21"/>
                <w:szCs w:val="21"/>
              </w:rPr>
              <w:t>铅</w:t>
            </w:r>
          </w:p>
        </w:tc>
        <w:tc>
          <w:tcPr>
            <w:tcW w:w="2454" w:type="dxa"/>
            <w:vAlign w:val="center"/>
          </w:tcPr>
          <w:p>
            <w:pPr>
              <w:jc w:val="center"/>
              <w:rPr>
                <w:rFonts w:eastAsiaTheme="minorEastAsia"/>
                <w:color w:val="auto"/>
                <w:sz w:val="21"/>
                <w:szCs w:val="21"/>
              </w:rPr>
            </w:pPr>
            <w:r>
              <w:rPr>
                <w:rFonts w:eastAsiaTheme="minorEastAsia"/>
                <w:color w:val="auto"/>
                <w:sz w:val="21"/>
                <w:szCs w:val="21"/>
              </w:rPr>
              <w:t>《环境空气 铅的测定 火焰原子吸收分光光度法》GB/T 15264-1994</w:t>
            </w:r>
          </w:p>
        </w:tc>
        <w:tc>
          <w:tcPr>
            <w:tcW w:w="2430" w:type="dxa"/>
            <w:vAlign w:val="center"/>
          </w:tcPr>
          <w:p>
            <w:pPr>
              <w:jc w:val="center"/>
              <w:rPr>
                <w:rFonts w:eastAsiaTheme="minorEastAsia"/>
                <w:color w:val="auto"/>
                <w:sz w:val="21"/>
                <w:szCs w:val="21"/>
              </w:rPr>
            </w:pPr>
            <w:r>
              <w:rPr>
                <w:rFonts w:eastAsiaTheme="minorEastAsia"/>
                <w:color w:val="auto"/>
                <w:sz w:val="21"/>
                <w:szCs w:val="21"/>
              </w:rPr>
              <w:t>原子吸收分光光度计(Z-2000)</w:t>
            </w:r>
          </w:p>
          <w:p>
            <w:pPr>
              <w:jc w:val="center"/>
              <w:rPr>
                <w:rFonts w:eastAsiaTheme="minorEastAsia"/>
                <w:color w:val="auto"/>
                <w:sz w:val="21"/>
                <w:szCs w:val="21"/>
              </w:rPr>
            </w:pPr>
            <w:r>
              <w:rPr>
                <w:rFonts w:eastAsiaTheme="minorEastAsia"/>
                <w:color w:val="auto"/>
                <w:sz w:val="21"/>
                <w:szCs w:val="21"/>
              </w:rPr>
              <w:t>YQ-001</w:t>
            </w:r>
          </w:p>
        </w:tc>
        <w:tc>
          <w:tcPr>
            <w:tcW w:w="1601" w:type="dxa"/>
            <w:vAlign w:val="center"/>
          </w:tcPr>
          <w:p>
            <w:pPr>
              <w:jc w:val="center"/>
              <w:rPr>
                <w:rFonts w:eastAsiaTheme="minorEastAsia"/>
                <w:color w:val="auto"/>
                <w:sz w:val="21"/>
                <w:szCs w:val="21"/>
              </w:rPr>
            </w:pPr>
            <w:r>
              <w:rPr>
                <w:rFonts w:eastAsiaTheme="minorEastAsia"/>
                <w:color w:val="auto"/>
                <w:sz w:val="21"/>
                <w:szCs w:val="21"/>
              </w:rPr>
              <w:t>5.0×10</w:t>
            </w:r>
            <w:r>
              <w:rPr>
                <w:rFonts w:eastAsiaTheme="minorEastAsia"/>
                <w:color w:val="auto"/>
                <w:sz w:val="21"/>
                <w:szCs w:val="21"/>
                <w:vertAlign w:val="superscript"/>
              </w:rPr>
              <w:t>-4</w:t>
            </w:r>
            <w:r>
              <w:rPr>
                <w:rFonts w:eastAsiaTheme="minorEastAsia"/>
                <w:color w:val="auto"/>
                <w:sz w:val="21"/>
                <w:szCs w:val="21"/>
              </w:rPr>
              <w:t>mg/m</w:t>
            </w:r>
            <w:r>
              <w:rPr>
                <w:rFonts w:eastAsiaTheme="minorEastAsia"/>
                <w:color w:val="auto"/>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0" w:hRule="atLeast"/>
          <w:jc w:val="center"/>
        </w:trPr>
        <w:tc>
          <w:tcPr>
            <w:tcW w:w="881" w:type="dxa"/>
            <w:vMerge w:val="continue"/>
            <w:vAlign w:val="center"/>
          </w:tcPr>
          <w:p>
            <w:pPr>
              <w:jc w:val="center"/>
              <w:rPr>
                <w:rFonts w:eastAsiaTheme="minorEastAsia"/>
                <w:color w:val="auto"/>
                <w:sz w:val="21"/>
                <w:szCs w:val="21"/>
              </w:rPr>
            </w:pPr>
          </w:p>
        </w:tc>
        <w:tc>
          <w:tcPr>
            <w:tcW w:w="1156" w:type="dxa"/>
            <w:vAlign w:val="center"/>
          </w:tcPr>
          <w:p>
            <w:pPr>
              <w:jc w:val="center"/>
              <w:rPr>
                <w:rFonts w:eastAsiaTheme="minorEastAsia"/>
                <w:color w:val="auto"/>
                <w:sz w:val="21"/>
                <w:szCs w:val="21"/>
              </w:rPr>
            </w:pPr>
            <w:r>
              <w:rPr>
                <w:rFonts w:eastAsiaTheme="minorEastAsia"/>
                <w:color w:val="auto"/>
                <w:sz w:val="21"/>
                <w:szCs w:val="21"/>
              </w:rPr>
              <w:t>二噁英</w:t>
            </w:r>
          </w:p>
        </w:tc>
        <w:tc>
          <w:tcPr>
            <w:tcW w:w="2454" w:type="dxa"/>
            <w:vAlign w:val="center"/>
          </w:tcPr>
          <w:p>
            <w:pPr>
              <w:jc w:val="center"/>
              <w:rPr>
                <w:rFonts w:eastAsiaTheme="minorEastAsia"/>
                <w:color w:val="auto"/>
                <w:sz w:val="21"/>
                <w:szCs w:val="21"/>
              </w:rPr>
            </w:pPr>
            <w:r>
              <w:rPr>
                <w:rFonts w:eastAsiaTheme="minorEastAsia"/>
                <w:color w:val="auto"/>
                <w:sz w:val="21"/>
                <w:szCs w:val="21"/>
              </w:rPr>
              <w:t>《环境空气和废气 二噁英类的测定 同位素稀释高分辨气相色谱-高分辨质谱法》HJ 77.2-2008</w:t>
            </w:r>
          </w:p>
        </w:tc>
        <w:tc>
          <w:tcPr>
            <w:tcW w:w="2430" w:type="dxa"/>
            <w:vAlign w:val="center"/>
          </w:tcPr>
          <w:p>
            <w:pPr>
              <w:jc w:val="center"/>
              <w:rPr>
                <w:rFonts w:eastAsiaTheme="minorEastAsia"/>
                <w:color w:val="auto"/>
                <w:sz w:val="21"/>
                <w:szCs w:val="21"/>
              </w:rPr>
            </w:pPr>
          </w:p>
        </w:tc>
        <w:tc>
          <w:tcPr>
            <w:tcW w:w="1601" w:type="dxa"/>
            <w:vAlign w:val="center"/>
          </w:tcPr>
          <w:p>
            <w:pPr>
              <w:jc w:val="center"/>
              <w:rPr>
                <w:rFonts w:eastAsiaTheme="minorEastAsia"/>
                <w:color w:val="auto"/>
                <w:sz w:val="21"/>
                <w:szCs w:val="21"/>
              </w:rPr>
            </w:pPr>
          </w:p>
        </w:tc>
      </w:tr>
    </w:tbl>
    <w:p>
      <w:pPr>
        <w:pStyle w:val="301"/>
        <w:rPr>
          <w:color w:val="auto"/>
          <w:lang w:eastAsia="zh-CN"/>
        </w:rPr>
      </w:pPr>
      <w:r>
        <w:rPr>
          <w:color w:val="auto"/>
        </w:rPr>
        <w:t>4.3.2.3</w:t>
      </w:r>
      <w:r>
        <w:rPr>
          <w:rFonts w:hint="eastAsia"/>
          <w:color w:val="auto"/>
          <w:lang w:eastAsia="zh-CN"/>
        </w:rPr>
        <w:t>评价标准与方法</w:t>
      </w:r>
    </w:p>
    <w:p>
      <w:pPr>
        <w:spacing w:line="360" w:lineRule="auto"/>
        <w:ind w:firstLine="480" w:firstLineChars="200"/>
        <w:jc w:val="both"/>
        <w:rPr>
          <w:color w:val="auto"/>
        </w:rPr>
      </w:pPr>
      <w:r>
        <w:rPr>
          <w:rFonts w:hint="eastAsia"/>
          <w:color w:val="auto"/>
        </w:rPr>
        <w:t>1、</w:t>
      </w:r>
      <w:r>
        <w:rPr>
          <w:color w:val="auto"/>
        </w:rPr>
        <w:t>评价标准</w:t>
      </w:r>
    </w:p>
    <w:p>
      <w:pPr>
        <w:spacing w:line="360" w:lineRule="auto"/>
        <w:ind w:firstLine="480" w:firstLineChars="200"/>
        <w:jc w:val="both"/>
        <w:rPr>
          <w:color w:val="auto"/>
        </w:rPr>
      </w:pPr>
      <w:r>
        <w:rPr>
          <w:color w:val="auto"/>
        </w:rPr>
        <w:t>根据</w:t>
      </w:r>
      <w:r>
        <w:rPr>
          <w:rFonts w:hint="eastAsia"/>
          <w:color w:val="auto"/>
        </w:rPr>
        <w:t>《梅州市环境保护“十三五”规划》中的环境空气质量功能区分类有关规定，本项目所在地不属于自然保护区、风景名胜区或旅游区，属二类环境空气质量功能区。T</w:t>
      </w:r>
      <w:r>
        <w:rPr>
          <w:color w:val="auto"/>
        </w:rPr>
        <w:t>SP</w:t>
      </w:r>
      <w:r>
        <w:rPr>
          <w:rFonts w:hint="eastAsia"/>
          <w:color w:val="auto"/>
        </w:rPr>
        <w:t>、H</w:t>
      </w:r>
      <w:r>
        <w:rPr>
          <w:color w:val="auto"/>
        </w:rPr>
        <w:t>g</w:t>
      </w:r>
      <w:r>
        <w:rPr>
          <w:rFonts w:hint="eastAsia"/>
          <w:color w:val="auto"/>
        </w:rPr>
        <w:t>、C</w:t>
      </w:r>
      <w:r>
        <w:rPr>
          <w:color w:val="auto"/>
        </w:rPr>
        <w:t>d</w:t>
      </w:r>
      <w:r>
        <w:rPr>
          <w:rFonts w:hint="eastAsia"/>
          <w:color w:val="auto"/>
        </w:rPr>
        <w:t>、Pb</w:t>
      </w:r>
      <w:r>
        <w:rPr>
          <w:color w:val="auto"/>
        </w:rPr>
        <w:t>执行《环境空气质量标准》（GB3095-2012）</w:t>
      </w:r>
      <w:r>
        <w:rPr>
          <w:rFonts w:hint="eastAsia"/>
          <w:color w:val="auto"/>
          <w:kern w:val="0"/>
        </w:rPr>
        <w:t>及</w:t>
      </w:r>
      <w:r>
        <w:rPr>
          <w:color w:val="auto"/>
          <w:kern w:val="0"/>
        </w:rPr>
        <w:t>2018</w:t>
      </w:r>
      <w:r>
        <w:rPr>
          <w:rFonts w:hint="eastAsia"/>
          <w:color w:val="auto"/>
          <w:kern w:val="0"/>
        </w:rPr>
        <w:t>年修改单中的二级</w:t>
      </w:r>
      <w:r>
        <w:rPr>
          <w:color w:val="auto"/>
        </w:rPr>
        <w:t>标准</w:t>
      </w:r>
      <w:r>
        <w:rPr>
          <w:rFonts w:hint="eastAsia"/>
          <w:color w:val="auto"/>
        </w:rPr>
        <w:t>，</w:t>
      </w:r>
      <w:r>
        <w:rPr>
          <w:color w:val="auto"/>
        </w:rPr>
        <w:t>H</w:t>
      </w:r>
      <w:r>
        <w:rPr>
          <w:color w:val="auto"/>
          <w:vertAlign w:val="subscript"/>
        </w:rPr>
        <w:t>2</w:t>
      </w:r>
      <w:r>
        <w:rPr>
          <w:color w:val="auto"/>
        </w:rPr>
        <w:t>S</w:t>
      </w:r>
      <w:r>
        <w:rPr>
          <w:rFonts w:hint="eastAsia"/>
          <w:color w:val="auto"/>
        </w:rPr>
        <w:t>、</w:t>
      </w:r>
      <w:r>
        <w:rPr>
          <w:color w:val="auto"/>
        </w:rPr>
        <w:t>NH</w:t>
      </w:r>
      <w:r>
        <w:rPr>
          <w:color w:val="auto"/>
          <w:vertAlign w:val="subscript"/>
        </w:rPr>
        <w:t>3</w:t>
      </w:r>
      <w:r>
        <w:rPr>
          <w:rFonts w:hint="eastAsia"/>
          <w:color w:val="auto"/>
        </w:rPr>
        <w:t>、</w:t>
      </w:r>
      <w:r>
        <w:rPr>
          <w:color w:val="auto"/>
        </w:rPr>
        <w:t>HCl</w:t>
      </w:r>
      <w:r>
        <w:rPr>
          <w:rFonts w:hint="eastAsia"/>
          <w:color w:val="auto"/>
        </w:rPr>
        <w:t>执行《环境影响评价技术导则大气环境》（HJ2.2-2018）附录D中其它污染物空气质量浓度参考限值，臭气浓度、甲硫醇执行</w:t>
      </w:r>
      <w:r>
        <w:rPr>
          <w:color w:val="auto"/>
        </w:rPr>
        <w:t>《恶臭污染物排放标准》（GB14554-93）厂界标准值的二级标准</w:t>
      </w:r>
      <w:r>
        <w:rPr>
          <w:rFonts w:hint="eastAsia"/>
          <w:color w:val="auto"/>
        </w:rPr>
        <w:t>，以及二噁英类执行</w:t>
      </w:r>
      <w:r>
        <w:rPr>
          <w:color w:val="auto"/>
        </w:rPr>
        <w:t>《日本环境质量标准》日本环境厅公告第46号令</w:t>
      </w:r>
      <w:r>
        <w:rPr>
          <w:rFonts w:hint="eastAsia"/>
          <w:color w:val="auto"/>
        </w:rPr>
        <w:t>标准，各评价因子对应的</w:t>
      </w:r>
      <w:r>
        <w:rPr>
          <w:color w:val="auto"/>
        </w:rPr>
        <w:t>标准限值详见表2.8-1。</w:t>
      </w:r>
    </w:p>
    <w:p>
      <w:pPr>
        <w:spacing w:line="360" w:lineRule="auto"/>
        <w:ind w:firstLine="480" w:firstLineChars="200"/>
        <w:jc w:val="both"/>
        <w:rPr>
          <w:color w:val="auto"/>
        </w:rPr>
      </w:pPr>
      <w:r>
        <w:rPr>
          <w:color w:val="auto"/>
        </w:rPr>
        <w:t>2</w:t>
      </w:r>
      <w:r>
        <w:rPr>
          <w:rFonts w:hint="eastAsia"/>
          <w:color w:val="auto"/>
        </w:rPr>
        <w:t>、</w:t>
      </w:r>
      <w:r>
        <w:rPr>
          <w:color w:val="auto"/>
        </w:rPr>
        <w:t>评价方法</w:t>
      </w:r>
    </w:p>
    <w:p>
      <w:pPr>
        <w:spacing w:line="360" w:lineRule="auto"/>
        <w:ind w:firstLine="480" w:firstLineChars="200"/>
        <w:jc w:val="both"/>
        <w:rPr>
          <w:color w:val="auto"/>
        </w:rPr>
      </w:pPr>
      <w:r>
        <w:rPr>
          <w:color w:val="auto"/>
        </w:rPr>
        <w:t>环境空气质量现状评价采用单项大气污染指数法。</w:t>
      </w:r>
    </w:p>
    <w:p>
      <w:pPr>
        <w:spacing w:line="360" w:lineRule="auto"/>
        <w:ind w:firstLine="480" w:firstLineChars="200"/>
        <w:jc w:val="both"/>
        <w:rPr>
          <w:color w:val="auto"/>
        </w:rPr>
      </w:pPr>
      <w:r>
        <w:rPr>
          <w:color w:val="auto"/>
        </w:rPr>
        <w:t>单项大气污染指数计算公式：</w:t>
      </w:r>
    </w:p>
    <w:p>
      <w:pPr>
        <w:spacing w:line="360" w:lineRule="auto"/>
        <w:ind w:firstLine="482"/>
        <w:jc w:val="center"/>
        <w:rPr>
          <w:color w:val="auto"/>
        </w:rPr>
      </w:pPr>
      <w:r>
        <w:rPr>
          <w:color w:val="auto"/>
        </w:rPr>
        <w:drawing>
          <wp:inline distT="0" distB="0" distL="0" distR="0">
            <wp:extent cx="497205" cy="446405"/>
            <wp:effectExtent l="0" t="0" r="0" b="0"/>
            <wp:docPr id="2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497205" cy="446405"/>
                    </a:xfrm>
                    <a:prstGeom prst="rect">
                      <a:avLst/>
                    </a:prstGeom>
                    <a:noFill/>
                    <a:ln>
                      <a:noFill/>
                    </a:ln>
                  </pic:spPr>
                </pic:pic>
              </a:graphicData>
            </a:graphic>
          </wp:inline>
        </w:drawing>
      </w:r>
    </w:p>
    <w:p>
      <w:pPr>
        <w:spacing w:line="360" w:lineRule="auto"/>
        <w:ind w:firstLine="480" w:firstLineChars="200"/>
        <w:jc w:val="both"/>
        <w:rPr>
          <w:color w:val="auto"/>
        </w:rPr>
      </w:pPr>
      <w:r>
        <w:rPr>
          <w:color w:val="auto"/>
        </w:rPr>
        <w:t>式中：P</w:t>
      </w:r>
      <w:r>
        <w:rPr>
          <w:color w:val="auto"/>
          <w:vertAlign w:val="subscript"/>
        </w:rPr>
        <w:t>i</w:t>
      </w:r>
      <w:r>
        <w:rPr>
          <w:color w:val="auto"/>
        </w:rPr>
        <w:t>－第i种污染物的大气质量指数；</w:t>
      </w:r>
    </w:p>
    <w:p>
      <w:pPr>
        <w:spacing w:line="360" w:lineRule="auto"/>
        <w:ind w:firstLine="1200" w:firstLineChars="500"/>
        <w:jc w:val="both"/>
        <w:rPr>
          <w:color w:val="auto"/>
        </w:rPr>
      </w:pPr>
      <w:r>
        <w:rPr>
          <w:color w:val="auto"/>
        </w:rPr>
        <w:t>C</w:t>
      </w:r>
      <w:r>
        <w:rPr>
          <w:color w:val="auto"/>
          <w:vertAlign w:val="subscript"/>
        </w:rPr>
        <w:t>i</w:t>
      </w:r>
      <w:r>
        <w:rPr>
          <w:color w:val="auto"/>
        </w:rPr>
        <w:t>－第i种污染物的实测值，mg/m</w:t>
      </w:r>
      <w:r>
        <w:rPr>
          <w:color w:val="auto"/>
          <w:vertAlign w:val="superscript"/>
        </w:rPr>
        <w:t>3</w:t>
      </w:r>
      <w:r>
        <w:rPr>
          <w:color w:val="auto"/>
        </w:rPr>
        <w:t>；</w:t>
      </w:r>
    </w:p>
    <w:p>
      <w:pPr>
        <w:spacing w:line="360" w:lineRule="auto"/>
        <w:ind w:firstLine="1200" w:firstLineChars="500"/>
        <w:rPr>
          <w:color w:val="auto"/>
        </w:rPr>
      </w:pPr>
      <w:r>
        <w:rPr>
          <w:color w:val="auto"/>
        </w:rPr>
        <w:t>S</w:t>
      </w:r>
      <w:r>
        <w:rPr>
          <w:color w:val="auto"/>
          <w:vertAlign w:val="subscript"/>
        </w:rPr>
        <w:t>i</w:t>
      </w:r>
      <w:r>
        <w:rPr>
          <w:color w:val="auto"/>
        </w:rPr>
        <w:t>－第i种污染物的标准值，mg/m</w:t>
      </w:r>
      <w:r>
        <w:rPr>
          <w:color w:val="auto"/>
          <w:vertAlign w:val="superscript"/>
        </w:rPr>
        <w:t>3</w:t>
      </w:r>
      <w:r>
        <w:rPr>
          <w:color w:val="auto"/>
        </w:rPr>
        <w:t>。</w:t>
      </w:r>
    </w:p>
    <w:p>
      <w:pPr>
        <w:spacing w:line="360" w:lineRule="auto"/>
        <w:rPr>
          <w:color w:val="auto"/>
        </w:rPr>
      </w:pPr>
      <w:r>
        <w:rPr>
          <w:color w:val="auto"/>
        </w:rPr>
        <w:drawing>
          <wp:anchor distT="0" distB="0" distL="114300" distR="114300" simplePos="0" relativeHeight="251642880" behindDoc="0" locked="0" layoutInCell="1" allowOverlap="1">
            <wp:simplePos x="0" y="0"/>
            <wp:positionH relativeFrom="column">
              <wp:posOffset>4201795</wp:posOffset>
            </wp:positionH>
            <wp:positionV relativeFrom="paragraph">
              <wp:posOffset>102870</wp:posOffset>
            </wp:positionV>
            <wp:extent cx="1072515" cy="871220"/>
            <wp:effectExtent l="0" t="0" r="0" b="5080"/>
            <wp:wrapNone/>
            <wp:docPr id="1281" name="图片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 name="图片 128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072515" cy="871220"/>
                    </a:xfrm>
                    <a:prstGeom prst="rect">
                      <a:avLst/>
                    </a:prstGeom>
                  </pic:spPr>
                </pic:pic>
              </a:graphicData>
            </a:graphic>
          </wp:anchor>
        </w:drawing>
      </w:r>
      <w:r>
        <w:rPr>
          <w:color w:val="auto"/>
        </w:rPr>
        <w:drawing>
          <wp:inline distT="0" distB="0" distL="0" distR="0">
            <wp:extent cx="5270500" cy="3177540"/>
            <wp:effectExtent l="0" t="0" r="6350" b="381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97"/>
                    <a:stretch>
                      <a:fillRect/>
                    </a:stretch>
                  </pic:blipFill>
                  <pic:spPr>
                    <a:xfrm>
                      <a:off x="0" y="0"/>
                      <a:ext cx="5305550" cy="3198674"/>
                    </a:xfrm>
                    <a:prstGeom prst="rect">
                      <a:avLst/>
                    </a:prstGeom>
                  </pic:spPr>
                </pic:pic>
              </a:graphicData>
            </a:graphic>
          </wp:inline>
        </w:drawing>
      </w:r>
    </w:p>
    <w:p>
      <w:pPr>
        <w:jc w:val="center"/>
        <w:rPr>
          <w:color w:val="auto"/>
        </w:rPr>
      </w:pPr>
      <w:r>
        <w:rPr>
          <w:rFonts w:hint="eastAsia"/>
          <w:b/>
          <w:color w:val="auto"/>
        </w:rPr>
        <w:t>图4</w:t>
      </w:r>
      <w:r>
        <w:rPr>
          <w:b/>
          <w:color w:val="auto"/>
        </w:rPr>
        <w:t xml:space="preserve">.3-1  </w:t>
      </w:r>
      <w:r>
        <w:rPr>
          <w:rFonts w:hint="eastAsia"/>
          <w:b/>
          <w:color w:val="auto"/>
        </w:rPr>
        <w:t>项目所在区域环境空气质量现状引用监测布点示意图</w:t>
      </w:r>
    </w:p>
    <w:p>
      <w:pPr>
        <w:pStyle w:val="301"/>
        <w:rPr>
          <w:color w:val="auto"/>
          <w:lang w:eastAsia="zh-CN"/>
        </w:rPr>
      </w:pPr>
      <w:bookmarkStart w:id="430" w:name="_Toc14946877"/>
      <w:bookmarkStart w:id="431" w:name="_Toc15912169"/>
      <w:r>
        <w:rPr>
          <w:color w:val="auto"/>
        </w:rPr>
        <w:t>4.3.2.4</w:t>
      </w:r>
      <w:r>
        <w:rPr>
          <w:rFonts w:hint="eastAsia"/>
          <w:color w:val="auto"/>
          <w:lang w:eastAsia="zh-CN"/>
        </w:rPr>
        <w:t>引用监测结果与评价</w:t>
      </w:r>
    </w:p>
    <w:bookmarkEnd w:id="430"/>
    <w:bookmarkEnd w:id="431"/>
    <w:p>
      <w:pPr>
        <w:spacing w:line="360" w:lineRule="auto"/>
        <w:ind w:firstLine="480" w:firstLineChars="200"/>
        <w:jc w:val="both"/>
        <w:rPr>
          <w:color w:val="auto"/>
        </w:rPr>
      </w:pPr>
      <w:r>
        <w:rPr>
          <w:color w:val="auto"/>
        </w:rPr>
        <w:t>项目所在区域环境空气质量现状监测结果及分析情况见表4.3-5。</w:t>
      </w:r>
      <w:bookmarkStart w:id="432" w:name="_Toc70412084"/>
      <w:bookmarkStart w:id="433" w:name="_Toc70331997"/>
      <w:bookmarkStart w:id="434" w:name="_Toc69752712"/>
      <w:bookmarkStart w:id="435" w:name="_Toc78690275"/>
      <w:bookmarkStart w:id="436" w:name="_Toc69753252"/>
      <w:bookmarkStart w:id="437" w:name="_Toc70702651"/>
      <w:bookmarkStart w:id="438" w:name="_Toc70411384"/>
      <w:bookmarkStart w:id="439" w:name="_Toc70412386"/>
      <w:bookmarkStart w:id="440" w:name="_Toc70416249"/>
      <w:bookmarkStart w:id="441" w:name="_Toc70244337"/>
      <w:bookmarkStart w:id="442" w:name="_Toc76811162"/>
      <w:r>
        <w:rPr>
          <w:color w:val="auto"/>
        </w:rPr>
        <w:t>监测结果表明：</w:t>
      </w:r>
      <w:bookmarkEnd w:id="432"/>
      <w:bookmarkEnd w:id="433"/>
      <w:bookmarkEnd w:id="434"/>
      <w:bookmarkEnd w:id="435"/>
      <w:bookmarkEnd w:id="436"/>
      <w:bookmarkEnd w:id="437"/>
      <w:bookmarkEnd w:id="438"/>
      <w:bookmarkEnd w:id="439"/>
      <w:bookmarkEnd w:id="440"/>
      <w:bookmarkEnd w:id="441"/>
      <w:bookmarkEnd w:id="442"/>
    </w:p>
    <w:p>
      <w:pPr>
        <w:spacing w:line="360" w:lineRule="auto"/>
        <w:ind w:firstLine="480"/>
        <w:jc w:val="both"/>
        <w:rPr>
          <w:color w:val="auto"/>
          <w:kern w:val="0"/>
        </w:rPr>
      </w:pPr>
      <w:r>
        <w:rPr>
          <w:color w:val="auto"/>
        </w:rPr>
        <w:t>本</w:t>
      </w:r>
      <w:r>
        <w:rPr>
          <w:rFonts w:hint="eastAsia"/>
          <w:color w:val="auto"/>
        </w:rPr>
        <w:t>评价所引用的</w:t>
      </w:r>
      <w:r>
        <w:rPr>
          <w:color w:val="auto"/>
        </w:rPr>
        <w:t>G1</w:t>
      </w:r>
      <w:r>
        <w:rPr>
          <w:rFonts w:hint="eastAsia"/>
          <w:color w:val="auto"/>
        </w:rPr>
        <w:t>、G</w:t>
      </w:r>
      <w:r>
        <w:rPr>
          <w:color w:val="auto"/>
        </w:rPr>
        <w:t>2环境空气现状监测点位，</w:t>
      </w:r>
      <w:r>
        <w:rPr>
          <w:rFonts w:hint="eastAsia"/>
          <w:color w:val="auto"/>
        </w:rPr>
        <w:t>其监测指标中</w:t>
      </w:r>
      <w:r>
        <w:rPr>
          <w:color w:val="auto"/>
        </w:rPr>
        <w:t>H</w:t>
      </w:r>
      <w:r>
        <w:rPr>
          <w:color w:val="auto"/>
          <w:vertAlign w:val="subscript"/>
        </w:rPr>
        <w:t>2</w:t>
      </w:r>
      <w:r>
        <w:rPr>
          <w:color w:val="auto"/>
        </w:rPr>
        <w:t>S</w:t>
      </w:r>
      <w:r>
        <w:rPr>
          <w:rFonts w:hint="eastAsia"/>
          <w:color w:val="auto"/>
        </w:rPr>
        <w:t>、</w:t>
      </w:r>
      <w:r>
        <w:rPr>
          <w:color w:val="auto"/>
        </w:rPr>
        <w:t>NH</w:t>
      </w:r>
      <w:r>
        <w:rPr>
          <w:color w:val="auto"/>
          <w:vertAlign w:val="subscript"/>
        </w:rPr>
        <w:t>3</w:t>
      </w:r>
      <w:r>
        <w:rPr>
          <w:rFonts w:hint="eastAsia"/>
          <w:color w:val="auto"/>
        </w:rPr>
        <w:t>、</w:t>
      </w:r>
      <w:r>
        <w:rPr>
          <w:color w:val="auto"/>
        </w:rPr>
        <w:t>HCl</w:t>
      </w:r>
      <w:r>
        <w:rPr>
          <w:rFonts w:hint="eastAsia"/>
          <w:color w:val="auto"/>
        </w:rPr>
        <w:t>的小时浓度最大值均能满足《环境影响评价技术导则 大气环境》（HJ</w:t>
      </w:r>
      <w:r>
        <w:rPr>
          <w:color w:val="auto"/>
        </w:rPr>
        <w:t xml:space="preserve"> </w:t>
      </w:r>
      <w:r>
        <w:rPr>
          <w:rFonts w:hint="eastAsia"/>
          <w:color w:val="auto"/>
        </w:rPr>
        <w:t>2.2-2018）附录D中其它污染物空气质量浓度参考限值要求，其中</w:t>
      </w:r>
      <w:r>
        <w:rPr>
          <w:color w:val="auto"/>
        </w:rPr>
        <w:t>H</w:t>
      </w:r>
      <w:r>
        <w:rPr>
          <w:color w:val="auto"/>
          <w:vertAlign w:val="subscript"/>
        </w:rPr>
        <w:t>2</w:t>
      </w:r>
      <w:r>
        <w:rPr>
          <w:color w:val="auto"/>
        </w:rPr>
        <w:t>S</w:t>
      </w:r>
      <w:r>
        <w:rPr>
          <w:rFonts w:hint="eastAsia"/>
          <w:color w:val="auto"/>
        </w:rPr>
        <w:t>、</w:t>
      </w:r>
      <w:r>
        <w:rPr>
          <w:color w:val="auto"/>
        </w:rPr>
        <w:t>HCl</w:t>
      </w:r>
      <w:r>
        <w:rPr>
          <w:rFonts w:hint="eastAsia"/>
          <w:color w:val="auto"/>
        </w:rPr>
        <w:t>小时浓度未检出；臭气浓度、甲硫醇的小时浓度最大值均能满足《恶臭污染物排放标准》（</w:t>
      </w:r>
      <w:r>
        <w:rPr>
          <w:color w:val="auto"/>
        </w:rPr>
        <w:t>GB14554-93</w:t>
      </w:r>
      <w:r>
        <w:rPr>
          <w:rFonts w:hint="eastAsia"/>
          <w:color w:val="auto"/>
        </w:rPr>
        <w:t>）厂界标准值的二级标准要求；</w:t>
      </w:r>
      <w:r>
        <w:rPr>
          <w:color w:val="auto"/>
        </w:rPr>
        <w:t>TSP</w:t>
      </w:r>
      <w:r>
        <w:rPr>
          <w:rFonts w:hint="eastAsia"/>
          <w:color w:val="auto"/>
        </w:rPr>
        <w:t>、H</w:t>
      </w:r>
      <w:r>
        <w:rPr>
          <w:color w:val="auto"/>
        </w:rPr>
        <w:t>g</w:t>
      </w:r>
      <w:r>
        <w:rPr>
          <w:rFonts w:hint="eastAsia"/>
          <w:color w:val="auto"/>
        </w:rPr>
        <w:t>、C</w:t>
      </w:r>
      <w:r>
        <w:rPr>
          <w:color w:val="auto"/>
        </w:rPr>
        <w:t>d</w:t>
      </w:r>
      <w:r>
        <w:rPr>
          <w:rFonts w:hint="eastAsia"/>
          <w:color w:val="auto"/>
        </w:rPr>
        <w:t>、Pb的</w:t>
      </w:r>
      <w:r>
        <w:rPr>
          <w:color w:val="auto"/>
          <w:kern w:val="0"/>
        </w:rPr>
        <w:t>日均浓度最大值</w:t>
      </w:r>
      <w:r>
        <w:rPr>
          <w:rFonts w:hint="eastAsia"/>
          <w:color w:val="auto"/>
          <w:kern w:val="0"/>
        </w:rPr>
        <w:t>均</w:t>
      </w:r>
      <w:r>
        <w:rPr>
          <w:color w:val="auto"/>
          <w:kern w:val="0"/>
        </w:rPr>
        <w:t>能满足</w:t>
      </w:r>
      <w:r>
        <w:rPr>
          <w:color w:val="auto"/>
        </w:rPr>
        <w:t>《环境空气质量标准》（GB3095-2012）</w:t>
      </w:r>
      <w:r>
        <w:rPr>
          <w:rFonts w:hint="eastAsia"/>
          <w:color w:val="auto"/>
        </w:rPr>
        <w:t>及其2</w:t>
      </w:r>
      <w:r>
        <w:rPr>
          <w:color w:val="auto"/>
        </w:rPr>
        <w:t>018</w:t>
      </w:r>
      <w:r>
        <w:rPr>
          <w:rFonts w:hint="eastAsia"/>
          <w:color w:val="auto"/>
        </w:rPr>
        <w:t>年修改单的</w:t>
      </w:r>
      <w:r>
        <w:rPr>
          <w:color w:val="auto"/>
        </w:rPr>
        <w:t>二级标准</w:t>
      </w:r>
      <w:r>
        <w:rPr>
          <w:color w:val="auto"/>
          <w:kern w:val="0"/>
        </w:rPr>
        <w:t>限值要求</w:t>
      </w:r>
      <w:r>
        <w:rPr>
          <w:rFonts w:hint="eastAsia"/>
          <w:color w:val="auto"/>
          <w:kern w:val="0"/>
        </w:rPr>
        <w:t>，其中H</w:t>
      </w:r>
      <w:r>
        <w:rPr>
          <w:color w:val="auto"/>
          <w:kern w:val="0"/>
        </w:rPr>
        <w:t>g</w:t>
      </w:r>
      <w:r>
        <w:rPr>
          <w:rFonts w:hint="eastAsia"/>
          <w:color w:val="auto"/>
          <w:kern w:val="0"/>
        </w:rPr>
        <w:t>、</w:t>
      </w:r>
      <w:r>
        <w:rPr>
          <w:rFonts w:hint="eastAsia"/>
          <w:color w:val="auto"/>
        </w:rPr>
        <w:t>C</w:t>
      </w:r>
      <w:r>
        <w:rPr>
          <w:color w:val="auto"/>
        </w:rPr>
        <w:t>d</w:t>
      </w:r>
      <w:r>
        <w:rPr>
          <w:rFonts w:hint="eastAsia"/>
          <w:color w:val="auto"/>
        </w:rPr>
        <w:t>、P</w:t>
      </w:r>
      <w:r>
        <w:rPr>
          <w:color w:val="auto"/>
        </w:rPr>
        <w:t>b</w:t>
      </w:r>
      <w:r>
        <w:rPr>
          <w:rFonts w:hint="eastAsia"/>
          <w:color w:val="auto"/>
        </w:rPr>
        <w:t>日均浓度未检出；二噁英类最大浓度值均能满足《日本环境质量标准》日本环境厅公告第</w:t>
      </w:r>
      <w:r>
        <w:rPr>
          <w:color w:val="auto"/>
        </w:rPr>
        <w:t>46</w:t>
      </w:r>
      <w:r>
        <w:rPr>
          <w:rFonts w:hint="eastAsia"/>
          <w:color w:val="auto"/>
        </w:rPr>
        <w:t>号令标准限值要求</w:t>
      </w:r>
      <w:r>
        <w:rPr>
          <w:color w:val="auto"/>
          <w:kern w:val="0"/>
        </w:rPr>
        <w:t>。</w:t>
      </w:r>
      <w:r>
        <w:rPr>
          <w:rFonts w:hint="eastAsia"/>
          <w:color w:val="auto"/>
          <w:kern w:val="0"/>
        </w:rPr>
        <w:t xml:space="preserve"> </w:t>
      </w:r>
    </w:p>
    <w:p>
      <w:pPr>
        <w:jc w:val="center"/>
        <w:rPr>
          <w:b/>
          <w:color w:val="auto"/>
        </w:rPr>
      </w:pPr>
      <w:r>
        <w:rPr>
          <w:b/>
          <w:color w:val="auto"/>
        </w:rPr>
        <w:t>表4.3-5  项目所在区域环境空气质量现状</w:t>
      </w:r>
      <w:r>
        <w:rPr>
          <w:rFonts w:hint="eastAsia"/>
          <w:b/>
          <w:color w:val="auto"/>
        </w:rPr>
        <w:t>引用</w:t>
      </w:r>
      <w:r>
        <w:rPr>
          <w:b/>
          <w:color w:val="auto"/>
        </w:rPr>
        <w:t>监测结果及分析</w:t>
      </w:r>
    </w:p>
    <w:tbl>
      <w:tblPr>
        <w:tblStyle w:val="53"/>
        <w:tblW w:w="852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1"/>
        <w:gridCol w:w="530"/>
        <w:gridCol w:w="1124"/>
        <w:gridCol w:w="782"/>
        <w:gridCol w:w="783"/>
        <w:gridCol w:w="909"/>
        <w:gridCol w:w="1413"/>
        <w:gridCol w:w="530"/>
        <w:gridCol w:w="759"/>
        <w:gridCol w:w="9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791" w:type="dxa"/>
            <w:vMerge w:val="restart"/>
            <w:vAlign w:val="center"/>
          </w:tcPr>
          <w:p>
            <w:pPr>
              <w:adjustRightInd w:val="0"/>
              <w:snapToGrid w:val="0"/>
              <w:jc w:val="center"/>
              <w:rPr>
                <w:rFonts w:eastAsiaTheme="minorEastAsia"/>
                <w:b/>
                <w:bCs/>
                <w:color w:val="auto"/>
                <w:sz w:val="21"/>
                <w:szCs w:val="21"/>
              </w:rPr>
            </w:pPr>
            <w:r>
              <w:rPr>
                <w:rFonts w:eastAsiaTheme="minorEastAsia"/>
                <w:b/>
                <w:bCs/>
                <w:color w:val="auto"/>
                <w:sz w:val="21"/>
                <w:szCs w:val="21"/>
              </w:rPr>
              <w:t>污染物</w:t>
            </w:r>
          </w:p>
        </w:tc>
        <w:tc>
          <w:tcPr>
            <w:tcW w:w="530" w:type="dxa"/>
            <w:vMerge w:val="restart"/>
            <w:vAlign w:val="center"/>
          </w:tcPr>
          <w:p>
            <w:pPr>
              <w:adjustRightInd w:val="0"/>
              <w:snapToGrid w:val="0"/>
              <w:jc w:val="center"/>
              <w:rPr>
                <w:rFonts w:eastAsiaTheme="minorEastAsia"/>
                <w:b/>
                <w:bCs/>
                <w:color w:val="auto"/>
                <w:sz w:val="21"/>
                <w:szCs w:val="21"/>
              </w:rPr>
            </w:pPr>
            <w:r>
              <w:rPr>
                <w:rFonts w:eastAsiaTheme="minorEastAsia"/>
                <w:b/>
                <w:bCs/>
                <w:color w:val="auto"/>
                <w:sz w:val="21"/>
                <w:szCs w:val="21"/>
              </w:rPr>
              <w:t>监测点</w:t>
            </w:r>
          </w:p>
        </w:tc>
        <w:tc>
          <w:tcPr>
            <w:tcW w:w="3598" w:type="dxa"/>
            <w:gridSpan w:val="4"/>
            <w:vAlign w:val="center"/>
          </w:tcPr>
          <w:p>
            <w:pPr>
              <w:adjustRightInd w:val="0"/>
              <w:snapToGrid w:val="0"/>
              <w:jc w:val="center"/>
              <w:rPr>
                <w:rFonts w:eastAsiaTheme="minorEastAsia"/>
                <w:b/>
                <w:bCs/>
                <w:color w:val="auto"/>
                <w:sz w:val="21"/>
                <w:szCs w:val="21"/>
              </w:rPr>
            </w:pPr>
            <w:r>
              <w:rPr>
                <w:rFonts w:eastAsiaTheme="minorEastAsia"/>
                <w:b/>
                <w:bCs/>
                <w:color w:val="auto"/>
                <w:sz w:val="21"/>
                <w:szCs w:val="21"/>
              </w:rPr>
              <w:t>小时浓度</w:t>
            </w:r>
          </w:p>
        </w:tc>
        <w:tc>
          <w:tcPr>
            <w:tcW w:w="3603" w:type="dxa"/>
            <w:gridSpan w:val="4"/>
            <w:vAlign w:val="center"/>
          </w:tcPr>
          <w:p>
            <w:pPr>
              <w:adjustRightInd w:val="0"/>
              <w:snapToGrid w:val="0"/>
              <w:jc w:val="center"/>
              <w:rPr>
                <w:rFonts w:eastAsiaTheme="minorEastAsia"/>
                <w:b/>
                <w:bCs/>
                <w:color w:val="auto"/>
                <w:sz w:val="21"/>
                <w:szCs w:val="21"/>
              </w:rPr>
            </w:pPr>
            <w:r>
              <w:rPr>
                <w:rFonts w:eastAsiaTheme="minorEastAsia"/>
                <w:b/>
                <w:bCs/>
                <w:color w:val="auto"/>
                <w:sz w:val="21"/>
                <w:szCs w:val="21"/>
              </w:rPr>
              <w:t>日均浓度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791" w:type="dxa"/>
            <w:vMerge w:val="continue"/>
            <w:vAlign w:val="center"/>
          </w:tcPr>
          <w:p>
            <w:pPr>
              <w:adjustRightInd w:val="0"/>
              <w:snapToGrid w:val="0"/>
              <w:jc w:val="center"/>
              <w:rPr>
                <w:rFonts w:eastAsiaTheme="minorEastAsia"/>
                <w:b/>
                <w:bCs/>
                <w:color w:val="auto"/>
                <w:sz w:val="21"/>
                <w:szCs w:val="21"/>
              </w:rPr>
            </w:pPr>
          </w:p>
        </w:tc>
        <w:tc>
          <w:tcPr>
            <w:tcW w:w="530" w:type="dxa"/>
            <w:vMerge w:val="continue"/>
            <w:vAlign w:val="center"/>
          </w:tcPr>
          <w:p>
            <w:pPr>
              <w:adjustRightInd w:val="0"/>
              <w:snapToGrid w:val="0"/>
              <w:jc w:val="center"/>
              <w:rPr>
                <w:rFonts w:eastAsiaTheme="minorEastAsia"/>
                <w:b/>
                <w:bCs/>
                <w:color w:val="auto"/>
                <w:sz w:val="21"/>
                <w:szCs w:val="21"/>
              </w:rPr>
            </w:pPr>
          </w:p>
        </w:tc>
        <w:tc>
          <w:tcPr>
            <w:tcW w:w="1124" w:type="dxa"/>
            <w:vAlign w:val="center"/>
          </w:tcPr>
          <w:p>
            <w:pPr>
              <w:adjustRightInd w:val="0"/>
              <w:snapToGrid w:val="0"/>
              <w:jc w:val="center"/>
              <w:rPr>
                <w:rFonts w:eastAsiaTheme="minorEastAsia"/>
                <w:b/>
                <w:bCs/>
                <w:color w:val="auto"/>
                <w:sz w:val="21"/>
                <w:szCs w:val="21"/>
              </w:rPr>
            </w:pPr>
            <w:r>
              <w:rPr>
                <w:rFonts w:eastAsiaTheme="minorEastAsia"/>
                <w:b/>
                <w:bCs/>
                <w:color w:val="auto"/>
                <w:sz w:val="21"/>
                <w:szCs w:val="21"/>
              </w:rPr>
              <w:t>浓度范围(mg/m</w:t>
            </w:r>
            <w:r>
              <w:rPr>
                <w:rFonts w:eastAsiaTheme="minorEastAsia"/>
                <w:b/>
                <w:bCs/>
                <w:color w:val="auto"/>
                <w:sz w:val="21"/>
                <w:szCs w:val="21"/>
                <w:vertAlign w:val="superscript"/>
              </w:rPr>
              <w:t>3</w:t>
            </w:r>
            <w:r>
              <w:rPr>
                <w:rFonts w:eastAsiaTheme="minorEastAsia"/>
                <w:b/>
                <w:bCs/>
                <w:color w:val="auto"/>
                <w:sz w:val="21"/>
                <w:szCs w:val="21"/>
              </w:rPr>
              <w:t>)</w:t>
            </w:r>
          </w:p>
        </w:tc>
        <w:tc>
          <w:tcPr>
            <w:tcW w:w="782" w:type="dxa"/>
            <w:vAlign w:val="center"/>
          </w:tcPr>
          <w:p>
            <w:pPr>
              <w:adjustRightInd w:val="0"/>
              <w:snapToGrid w:val="0"/>
              <w:jc w:val="center"/>
              <w:rPr>
                <w:rFonts w:eastAsiaTheme="minorEastAsia"/>
                <w:b/>
                <w:bCs/>
                <w:color w:val="auto"/>
                <w:sz w:val="21"/>
                <w:szCs w:val="21"/>
              </w:rPr>
            </w:pPr>
            <w:r>
              <w:rPr>
                <w:rFonts w:eastAsiaTheme="minorEastAsia"/>
                <w:b/>
                <w:bCs/>
                <w:color w:val="auto"/>
                <w:sz w:val="21"/>
                <w:szCs w:val="21"/>
              </w:rPr>
              <w:t>超标率(%)</w:t>
            </w:r>
          </w:p>
        </w:tc>
        <w:tc>
          <w:tcPr>
            <w:tcW w:w="783" w:type="dxa"/>
            <w:vAlign w:val="center"/>
          </w:tcPr>
          <w:p>
            <w:pPr>
              <w:adjustRightInd w:val="0"/>
              <w:snapToGrid w:val="0"/>
              <w:jc w:val="center"/>
              <w:rPr>
                <w:rFonts w:eastAsiaTheme="minorEastAsia"/>
                <w:b/>
                <w:bCs/>
                <w:color w:val="auto"/>
                <w:sz w:val="21"/>
                <w:szCs w:val="21"/>
              </w:rPr>
            </w:pPr>
            <w:r>
              <w:rPr>
                <w:rFonts w:eastAsiaTheme="minorEastAsia"/>
                <w:b/>
                <w:bCs/>
                <w:color w:val="auto"/>
                <w:sz w:val="21"/>
                <w:szCs w:val="21"/>
              </w:rPr>
              <w:t>最大单因子指数</w:t>
            </w:r>
          </w:p>
        </w:tc>
        <w:tc>
          <w:tcPr>
            <w:tcW w:w="909" w:type="dxa"/>
            <w:vAlign w:val="center"/>
          </w:tcPr>
          <w:p>
            <w:pPr>
              <w:adjustRightInd w:val="0"/>
              <w:snapToGrid w:val="0"/>
              <w:jc w:val="center"/>
              <w:rPr>
                <w:rFonts w:eastAsiaTheme="minorEastAsia"/>
                <w:b/>
                <w:bCs/>
                <w:color w:val="auto"/>
                <w:sz w:val="21"/>
                <w:szCs w:val="21"/>
              </w:rPr>
            </w:pPr>
            <w:r>
              <w:rPr>
                <w:rFonts w:eastAsiaTheme="minorEastAsia"/>
                <w:b/>
                <w:bCs/>
                <w:color w:val="auto"/>
                <w:sz w:val="21"/>
                <w:szCs w:val="21"/>
              </w:rPr>
              <w:t>评价标准(mg/m</w:t>
            </w:r>
            <w:r>
              <w:rPr>
                <w:rFonts w:eastAsiaTheme="minorEastAsia"/>
                <w:b/>
                <w:bCs/>
                <w:color w:val="auto"/>
                <w:sz w:val="21"/>
                <w:szCs w:val="21"/>
                <w:vertAlign w:val="superscript"/>
              </w:rPr>
              <w:t>3</w:t>
            </w:r>
            <w:r>
              <w:rPr>
                <w:rFonts w:eastAsiaTheme="minorEastAsia"/>
                <w:b/>
                <w:bCs/>
                <w:color w:val="auto"/>
                <w:sz w:val="21"/>
                <w:szCs w:val="21"/>
              </w:rPr>
              <w:t>)</w:t>
            </w:r>
          </w:p>
        </w:tc>
        <w:tc>
          <w:tcPr>
            <w:tcW w:w="1413" w:type="dxa"/>
            <w:vAlign w:val="center"/>
          </w:tcPr>
          <w:p>
            <w:pPr>
              <w:adjustRightInd w:val="0"/>
              <w:snapToGrid w:val="0"/>
              <w:jc w:val="center"/>
              <w:rPr>
                <w:rFonts w:eastAsiaTheme="minorEastAsia"/>
                <w:b/>
                <w:bCs/>
                <w:color w:val="auto"/>
                <w:sz w:val="21"/>
                <w:szCs w:val="21"/>
              </w:rPr>
            </w:pPr>
            <w:r>
              <w:rPr>
                <w:rFonts w:eastAsiaTheme="minorEastAsia"/>
                <w:b/>
                <w:bCs/>
                <w:color w:val="auto"/>
                <w:sz w:val="21"/>
                <w:szCs w:val="21"/>
              </w:rPr>
              <w:t>浓度范围(mg/m</w:t>
            </w:r>
            <w:r>
              <w:rPr>
                <w:rFonts w:eastAsiaTheme="minorEastAsia"/>
                <w:b/>
                <w:bCs/>
                <w:color w:val="auto"/>
                <w:sz w:val="21"/>
                <w:szCs w:val="21"/>
                <w:vertAlign w:val="superscript"/>
              </w:rPr>
              <w:t>3</w:t>
            </w:r>
            <w:r>
              <w:rPr>
                <w:rFonts w:eastAsiaTheme="minorEastAsia"/>
                <w:b/>
                <w:bCs/>
                <w:color w:val="auto"/>
                <w:sz w:val="21"/>
                <w:szCs w:val="21"/>
              </w:rPr>
              <w:t>)</w:t>
            </w:r>
          </w:p>
        </w:tc>
        <w:tc>
          <w:tcPr>
            <w:tcW w:w="530" w:type="dxa"/>
            <w:vAlign w:val="center"/>
          </w:tcPr>
          <w:p>
            <w:pPr>
              <w:adjustRightInd w:val="0"/>
              <w:snapToGrid w:val="0"/>
              <w:jc w:val="center"/>
              <w:rPr>
                <w:rFonts w:eastAsiaTheme="minorEastAsia"/>
                <w:b/>
                <w:bCs/>
                <w:color w:val="auto"/>
                <w:sz w:val="21"/>
                <w:szCs w:val="21"/>
              </w:rPr>
            </w:pPr>
            <w:r>
              <w:rPr>
                <w:rFonts w:eastAsiaTheme="minorEastAsia"/>
                <w:b/>
                <w:bCs/>
                <w:color w:val="auto"/>
                <w:sz w:val="21"/>
                <w:szCs w:val="21"/>
              </w:rPr>
              <w:t>超标率(%)</w:t>
            </w:r>
          </w:p>
        </w:tc>
        <w:tc>
          <w:tcPr>
            <w:tcW w:w="759" w:type="dxa"/>
            <w:vAlign w:val="center"/>
          </w:tcPr>
          <w:p>
            <w:pPr>
              <w:adjustRightInd w:val="0"/>
              <w:snapToGrid w:val="0"/>
              <w:jc w:val="center"/>
              <w:rPr>
                <w:rFonts w:eastAsiaTheme="minorEastAsia"/>
                <w:b/>
                <w:bCs/>
                <w:color w:val="auto"/>
                <w:sz w:val="21"/>
                <w:szCs w:val="21"/>
              </w:rPr>
            </w:pPr>
            <w:r>
              <w:rPr>
                <w:rFonts w:eastAsiaTheme="minorEastAsia"/>
                <w:b/>
                <w:bCs/>
                <w:color w:val="auto"/>
                <w:sz w:val="21"/>
                <w:szCs w:val="21"/>
              </w:rPr>
              <w:t>最大单因子指数</w:t>
            </w:r>
          </w:p>
        </w:tc>
        <w:tc>
          <w:tcPr>
            <w:tcW w:w="901" w:type="dxa"/>
            <w:vAlign w:val="center"/>
          </w:tcPr>
          <w:p>
            <w:pPr>
              <w:adjustRightInd w:val="0"/>
              <w:snapToGrid w:val="0"/>
              <w:jc w:val="center"/>
              <w:rPr>
                <w:rFonts w:eastAsiaTheme="minorEastAsia"/>
                <w:b/>
                <w:bCs/>
                <w:color w:val="auto"/>
                <w:sz w:val="21"/>
                <w:szCs w:val="21"/>
              </w:rPr>
            </w:pPr>
            <w:r>
              <w:rPr>
                <w:rFonts w:eastAsiaTheme="minorEastAsia"/>
                <w:b/>
                <w:bCs/>
                <w:color w:val="auto"/>
                <w:sz w:val="21"/>
                <w:szCs w:val="21"/>
              </w:rPr>
              <w:t>评价标准(mg/m</w:t>
            </w:r>
            <w:r>
              <w:rPr>
                <w:rFonts w:eastAsiaTheme="minorEastAsia"/>
                <w:b/>
                <w:bCs/>
                <w:color w:val="auto"/>
                <w:sz w:val="21"/>
                <w:szCs w:val="21"/>
                <w:vertAlign w:val="superscript"/>
              </w:rPr>
              <w:t>3</w:t>
            </w:r>
            <w:r>
              <w:rPr>
                <w:rFonts w:eastAsiaTheme="minorEastAsia"/>
                <w:b/>
                <w:bCs/>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1" w:type="dxa"/>
            <w:vMerge w:val="restart"/>
            <w:vAlign w:val="center"/>
          </w:tcPr>
          <w:p>
            <w:pPr>
              <w:adjustRightInd w:val="0"/>
              <w:snapToGrid w:val="0"/>
              <w:jc w:val="center"/>
              <w:rPr>
                <w:rFonts w:eastAsiaTheme="minorEastAsia"/>
                <w:color w:val="auto"/>
                <w:sz w:val="21"/>
                <w:szCs w:val="21"/>
                <w:vertAlign w:val="subscript"/>
              </w:rPr>
            </w:pPr>
            <w:r>
              <w:rPr>
                <w:rFonts w:eastAsiaTheme="minorEastAsia"/>
                <w:color w:val="auto"/>
                <w:sz w:val="21"/>
                <w:szCs w:val="21"/>
              </w:rPr>
              <w:t>H</w:t>
            </w:r>
            <w:r>
              <w:rPr>
                <w:rFonts w:eastAsiaTheme="minorEastAsia"/>
                <w:color w:val="auto"/>
                <w:sz w:val="21"/>
                <w:szCs w:val="21"/>
                <w:vertAlign w:val="subscript"/>
              </w:rPr>
              <w:t>2</w:t>
            </w:r>
            <w:r>
              <w:rPr>
                <w:rFonts w:eastAsiaTheme="minorEastAsia"/>
                <w:color w:val="auto"/>
                <w:sz w:val="21"/>
                <w:szCs w:val="21"/>
              </w:rPr>
              <w:t>S</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G1</w:t>
            </w:r>
          </w:p>
        </w:tc>
        <w:tc>
          <w:tcPr>
            <w:tcW w:w="1124"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＜0.001</w:t>
            </w:r>
          </w:p>
        </w:tc>
        <w:tc>
          <w:tcPr>
            <w:tcW w:w="782"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w:t>
            </w:r>
          </w:p>
        </w:tc>
        <w:tc>
          <w:tcPr>
            <w:tcW w:w="78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9"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0.010</w:t>
            </w:r>
          </w:p>
        </w:tc>
        <w:tc>
          <w:tcPr>
            <w:tcW w:w="141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59"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1"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1" w:type="dxa"/>
            <w:vMerge w:val="continue"/>
            <w:vAlign w:val="center"/>
          </w:tcPr>
          <w:p>
            <w:pPr>
              <w:adjustRightInd w:val="0"/>
              <w:snapToGrid w:val="0"/>
              <w:jc w:val="center"/>
              <w:rPr>
                <w:rFonts w:eastAsiaTheme="minorEastAsia"/>
                <w:color w:val="auto"/>
                <w:sz w:val="21"/>
                <w:szCs w:val="21"/>
              </w:rPr>
            </w:pP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G2</w:t>
            </w:r>
          </w:p>
        </w:tc>
        <w:tc>
          <w:tcPr>
            <w:tcW w:w="1124"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＜0.001</w:t>
            </w:r>
          </w:p>
        </w:tc>
        <w:tc>
          <w:tcPr>
            <w:tcW w:w="782"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w:t>
            </w:r>
          </w:p>
        </w:tc>
        <w:tc>
          <w:tcPr>
            <w:tcW w:w="78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9" w:type="dxa"/>
            <w:vMerge w:val="continue"/>
            <w:vAlign w:val="center"/>
          </w:tcPr>
          <w:p>
            <w:pPr>
              <w:adjustRightInd w:val="0"/>
              <w:snapToGrid w:val="0"/>
              <w:jc w:val="center"/>
              <w:rPr>
                <w:rFonts w:eastAsiaTheme="minorEastAsia"/>
                <w:color w:val="auto"/>
                <w:sz w:val="21"/>
                <w:szCs w:val="21"/>
              </w:rPr>
            </w:pPr>
          </w:p>
        </w:tc>
        <w:tc>
          <w:tcPr>
            <w:tcW w:w="141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59"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1" w:type="dxa"/>
            <w:vMerge w:val="continue"/>
            <w:vAlign w:val="center"/>
          </w:tcPr>
          <w:p>
            <w:pPr>
              <w:adjustRightInd w:val="0"/>
              <w:snapToGrid w:val="0"/>
              <w:jc w:val="center"/>
              <w:rPr>
                <w:rFonts w:eastAsiaTheme="minorEastAsia"/>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1" w:type="dxa"/>
            <w:vMerge w:val="restart"/>
            <w:vAlign w:val="center"/>
          </w:tcPr>
          <w:p>
            <w:pPr>
              <w:adjustRightInd w:val="0"/>
              <w:snapToGrid w:val="0"/>
              <w:jc w:val="center"/>
              <w:rPr>
                <w:rFonts w:eastAsiaTheme="minorEastAsia"/>
                <w:color w:val="auto"/>
                <w:sz w:val="21"/>
                <w:szCs w:val="21"/>
                <w:vertAlign w:val="subscript"/>
              </w:rPr>
            </w:pPr>
            <w:r>
              <w:rPr>
                <w:rFonts w:eastAsiaTheme="minorEastAsia"/>
                <w:color w:val="auto"/>
                <w:sz w:val="21"/>
                <w:szCs w:val="21"/>
              </w:rPr>
              <w:t>NH</w:t>
            </w:r>
            <w:r>
              <w:rPr>
                <w:rFonts w:eastAsiaTheme="minorEastAsia"/>
                <w:color w:val="auto"/>
                <w:sz w:val="21"/>
                <w:szCs w:val="21"/>
                <w:vertAlign w:val="subscript"/>
              </w:rPr>
              <w:t>3</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G1</w:t>
            </w:r>
          </w:p>
        </w:tc>
        <w:tc>
          <w:tcPr>
            <w:tcW w:w="1124"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0.03~0.07</w:t>
            </w:r>
          </w:p>
        </w:tc>
        <w:tc>
          <w:tcPr>
            <w:tcW w:w="782"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w:t>
            </w:r>
          </w:p>
        </w:tc>
        <w:tc>
          <w:tcPr>
            <w:tcW w:w="78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0.35</w:t>
            </w:r>
          </w:p>
        </w:tc>
        <w:tc>
          <w:tcPr>
            <w:tcW w:w="909"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0.20</w:t>
            </w:r>
          </w:p>
        </w:tc>
        <w:tc>
          <w:tcPr>
            <w:tcW w:w="141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59"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1"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1" w:type="dxa"/>
            <w:vMerge w:val="continue"/>
            <w:vAlign w:val="center"/>
          </w:tcPr>
          <w:p>
            <w:pPr>
              <w:adjustRightInd w:val="0"/>
              <w:snapToGrid w:val="0"/>
              <w:jc w:val="center"/>
              <w:rPr>
                <w:rFonts w:eastAsiaTheme="minorEastAsia"/>
                <w:color w:val="auto"/>
                <w:sz w:val="21"/>
                <w:szCs w:val="21"/>
              </w:rPr>
            </w:pP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G2</w:t>
            </w:r>
          </w:p>
        </w:tc>
        <w:tc>
          <w:tcPr>
            <w:tcW w:w="1124"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0.03~0.07</w:t>
            </w:r>
          </w:p>
        </w:tc>
        <w:tc>
          <w:tcPr>
            <w:tcW w:w="782"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w:t>
            </w:r>
          </w:p>
        </w:tc>
        <w:tc>
          <w:tcPr>
            <w:tcW w:w="78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0.35</w:t>
            </w:r>
          </w:p>
        </w:tc>
        <w:tc>
          <w:tcPr>
            <w:tcW w:w="909" w:type="dxa"/>
            <w:vMerge w:val="continue"/>
            <w:vAlign w:val="center"/>
          </w:tcPr>
          <w:p>
            <w:pPr>
              <w:adjustRightInd w:val="0"/>
              <w:snapToGrid w:val="0"/>
              <w:jc w:val="center"/>
              <w:rPr>
                <w:rFonts w:eastAsiaTheme="minorEastAsia"/>
                <w:color w:val="auto"/>
                <w:sz w:val="21"/>
                <w:szCs w:val="21"/>
              </w:rPr>
            </w:pPr>
          </w:p>
        </w:tc>
        <w:tc>
          <w:tcPr>
            <w:tcW w:w="141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59"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1" w:type="dxa"/>
            <w:vMerge w:val="continue"/>
            <w:vAlign w:val="center"/>
          </w:tcPr>
          <w:p>
            <w:pPr>
              <w:adjustRightInd w:val="0"/>
              <w:snapToGrid w:val="0"/>
              <w:jc w:val="center"/>
              <w:rPr>
                <w:rFonts w:eastAsiaTheme="minorEastAsia"/>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1"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CH</w:t>
            </w:r>
            <w:r>
              <w:rPr>
                <w:rFonts w:eastAsiaTheme="minorEastAsia"/>
                <w:color w:val="auto"/>
                <w:sz w:val="21"/>
                <w:szCs w:val="21"/>
                <w:vertAlign w:val="subscript"/>
              </w:rPr>
              <w:t>3</w:t>
            </w:r>
            <w:r>
              <w:rPr>
                <w:rFonts w:eastAsiaTheme="minorEastAsia"/>
                <w:color w:val="auto"/>
                <w:sz w:val="21"/>
                <w:szCs w:val="21"/>
              </w:rPr>
              <w:t>SH</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G1</w:t>
            </w:r>
          </w:p>
        </w:tc>
        <w:tc>
          <w:tcPr>
            <w:tcW w:w="1124"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＜0.5×10</w:t>
            </w:r>
            <w:r>
              <w:rPr>
                <w:rFonts w:eastAsiaTheme="minorEastAsia"/>
                <w:color w:val="auto"/>
                <w:sz w:val="21"/>
                <w:szCs w:val="21"/>
                <w:vertAlign w:val="superscript"/>
              </w:rPr>
              <w:t>-3</w:t>
            </w:r>
          </w:p>
        </w:tc>
        <w:tc>
          <w:tcPr>
            <w:tcW w:w="782"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w:t>
            </w:r>
          </w:p>
        </w:tc>
        <w:tc>
          <w:tcPr>
            <w:tcW w:w="78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9"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0.007</w:t>
            </w:r>
          </w:p>
        </w:tc>
        <w:tc>
          <w:tcPr>
            <w:tcW w:w="141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59"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1"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1" w:type="dxa"/>
            <w:vMerge w:val="continue"/>
            <w:vAlign w:val="center"/>
          </w:tcPr>
          <w:p>
            <w:pPr>
              <w:adjustRightInd w:val="0"/>
              <w:snapToGrid w:val="0"/>
              <w:jc w:val="center"/>
              <w:rPr>
                <w:rFonts w:eastAsiaTheme="minorEastAsia"/>
                <w:color w:val="auto"/>
                <w:sz w:val="21"/>
                <w:szCs w:val="21"/>
              </w:rPr>
            </w:pP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G2</w:t>
            </w:r>
          </w:p>
        </w:tc>
        <w:tc>
          <w:tcPr>
            <w:tcW w:w="1124"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＜0.5×10</w:t>
            </w:r>
            <w:r>
              <w:rPr>
                <w:rFonts w:eastAsiaTheme="minorEastAsia"/>
                <w:color w:val="auto"/>
                <w:sz w:val="21"/>
                <w:szCs w:val="21"/>
                <w:vertAlign w:val="superscript"/>
              </w:rPr>
              <w:t>-3</w:t>
            </w:r>
          </w:p>
        </w:tc>
        <w:tc>
          <w:tcPr>
            <w:tcW w:w="782"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w:t>
            </w:r>
          </w:p>
        </w:tc>
        <w:tc>
          <w:tcPr>
            <w:tcW w:w="78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9" w:type="dxa"/>
            <w:vMerge w:val="continue"/>
            <w:vAlign w:val="center"/>
          </w:tcPr>
          <w:p>
            <w:pPr>
              <w:adjustRightInd w:val="0"/>
              <w:snapToGrid w:val="0"/>
              <w:jc w:val="center"/>
              <w:rPr>
                <w:rFonts w:eastAsiaTheme="minorEastAsia"/>
                <w:color w:val="auto"/>
                <w:sz w:val="21"/>
                <w:szCs w:val="21"/>
              </w:rPr>
            </w:pPr>
          </w:p>
        </w:tc>
        <w:tc>
          <w:tcPr>
            <w:tcW w:w="141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59"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1" w:type="dxa"/>
            <w:vMerge w:val="continue"/>
            <w:vAlign w:val="center"/>
          </w:tcPr>
          <w:p>
            <w:pPr>
              <w:adjustRightInd w:val="0"/>
              <w:snapToGrid w:val="0"/>
              <w:jc w:val="center"/>
              <w:rPr>
                <w:rFonts w:eastAsiaTheme="minorEastAsia"/>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1"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臭气浓度</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G1</w:t>
            </w:r>
          </w:p>
        </w:tc>
        <w:tc>
          <w:tcPr>
            <w:tcW w:w="1124"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11~15</w:t>
            </w:r>
          </w:p>
        </w:tc>
        <w:tc>
          <w:tcPr>
            <w:tcW w:w="782"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w:t>
            </w:r>
          </w:p>
        </w:tc>
        <w:tc>
          <w:tcPr>
            <w:tcW w:w="78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0.75</w:t>
            </w:r>
          </w:p>
        </w:tc>
        <w:tc>
          <w:tcPr>
            <w:tcW w:w="909"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20</w:t>
            </w:r>
          </w:p>
        </w:tc>
        <w:tc>
          <w:tcPr>
            <w:tcW w:w="141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59"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1"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1" w:type="dxa"/>
            <w:vMerge w:val="continue"/>
            <w:vAlign w:val="center"/>
          </w:tcPr>
          <w:p>
            <w:pPr>
              <w:adjustRightInd w:val="0"/>
              <w:snapToGrid w:val="0"/>
              <w:jc w:val="center"/>
              <w:rPr>
                <w:rFonts w:eastAsiaTheme="minorEastAsia"/>
                <w:color w:val="auto"/>
                <w:sz w:val="21"/>
                <w:szCs w:val="21"/>
              </w:rPr>
            </w:pP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G2</w:t>
            </w:r>
          </w:p>
        </w:tc>
        <w:tc>
          <w:tcPr>
            <w:tcW w:w="1124"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11~15</w:t>
            </w:r>
          </w:p>
        </w:tc>
        <w:tc>
          <w:tcPr>
            <w:tcW w:w="782"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w:t>
            </w:r>
          </w:p>
        </w:tc>
        <w:tc>
          <w:tcPr>
            <w:tcW w:w="78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0.75</w:t>
            </w:r>
          </w:p>
        </w:tc>
        <w:tc>
          <w:tcPr>
            <w:tcW w:w="909" w:type="dxa"/>
            <w:vMerge w:val="continue"/>
            <w:vAlign w:val="center"/>
          </w:tcPr>
          <w:p>
            <w:pPr>
              <w:adjustRightInd w:val="0"/>
              <w:snapToGrid w:val="0"/>
              <w:jc w:val="center"/>
              <w:rPr>
                <w:rFonts w:eastAsiaTheme="minorEastAsia"/>
                <w:color w:val="auto"/>
                <w:sz w:val="21"/>
                <w:szCs w:val="21"/>
              </w:rPr>
            </w:pPr>
          </w:p>
        </w:tc>
        <w:tc>
          <w:tcPr>
            <w:tcW w:w="141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59"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1" w:type="dxa"/>
            <w:vMerge w:val="continue"/>
            <w:vAlign w:val="center"/>
          </w:tcPr>
          <w:p>
            <w:pPr>
              <w:adjustRightInd w:val="0"/>
              <w:snapToGrid w:val="0"/>
              <w:jc w:val="center"/>
              <w:rPr>
                <w:rFonts w:eastAsiaTheme="minorEastAsia"/>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1"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HCl</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G1</w:t>
            </w:r>
          </w:p>
        </w:tc>
        <w:tc>
          <w:tcPr>
            <w:tcW w:w="1124"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＜0.02</w:t>
            </w:r>
          </w:p>
        </w:tc>
        <w:tc>
          <w:tcPr>
            <w:tcW w:w="782"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w:t>
            </w:r>
          </w:p>
        </w:tc>
        <w:tc>
          <w:tcPr>
            <w:tcW w:w="78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9"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0.05</w:t>
            </w:r>
          </w:p>
        </w:tc>
        <w:tc>
          <w:tcPr>
            <w:tcW w:w="141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59"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1"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1" w:type="dxa"/>
            <w:vMerge w:val="continue"/>
            <w:vAlign w:val="center"/>
          </w:tcPr>
          <w:p>
            <w:pPr>
              <w:adjustRightInd w:val="0"/>
              <w:snapToGrid w:val="0"/>
              <w:jc w:val="center"/>
              <w:rPr>
                <w:rFonts w:eastAsiaTheme="minorEastAsia"/>
                <w:color w:val="auto"/>
                <w:sz w:val="21"/>
                <w:szCs w:val="21"/>
              </w:rPr>
            </w:pP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G2</w:t>
            </w:r>
          </w:p>
        </w:tc>
        <w:tc>
          <w:tcPr>
            <w:tcW w:w="1124"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＜0.02</w:t>
            </w:r>
          </w:p>
        </w:tc>
        <w:tc>
          <w:tcPr>
            <w:tcW w:w="782"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w:t>
            </w:r>
          </w:p>
        </w:tc>
        <w:tc>
          <w:tcPr>
            <w:tcW w:w="78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9" w:type="dxa"/>
            <w:vMerge w:val="continue"/>
            <w:vAlign w:val="center"/>
          </w:tcPr>
          <w:p>
            <w:pPr>
              <w:adjustRightInd w:val="0"/>
              <w:snapToGrid w:val="0"/>
              <w:jc w:val="center"/>
              <w:rPr>
                <w:rFonts w:eastAsiaTheme="minorEastAsia"/>
                <w:color w:val="auto"/>
                <w:sz w:val="21"/>
                <w:szCs w:val="21"/>
              </w:rPr>
            </w:pPr>
          </w:p>
        </w:tc>
        <w:tc>
          <w:tcPr>
            <w:tcW w:w="141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59"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1" w:type="dxa"/>
            <w:vMerge w:val="continue"/>
            <w:vAlign w:val="center"/>
          </w:tcPr>
          <w:p>
            <w:pPr>
              <w:adjustRightInd w:val="0"/>
              <w:snapToGrid w:val="0"/>
              <w:jc w:val="center"/>
              <w:rPr>
                <w:rFonts w:eastAsiaTheme="minorEastAsia"/>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1"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TSP</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G1</w:t>
            </w:r>
          </w:p>
        </w:tc>
        <w:tc>
          <w:tcPr>
            <w:tcW w:w="1124"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82"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8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9"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141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0.091~0.105</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w:t>
            </w:r>
          </w:p>
        </w:tc>
        <w:tc>
          <w:tcPr>
            <w:tcW w:w="759"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0.35</w:t>
            </w:r>
          </w:p>
        </w:tc>
        <w:tc>
          <w:tcPr>
            <w:tcW w:w="901"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0.300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1" w:type="dxa"/>
            <w:vMerge w:val="continue"/>
            <w:vAlign w:val="center"/>
          </w:tcPr>
          <w:p>
            <w:pPr>
              <w:adjustRightInd w:val="0"/>
              <w:snapToGrid w:val="0"/>
              <w:jc w:val="center"/>
              <w:rPr>
                <w:rFonts w:eastAsiaTheme="minorEastAsia"/>
                <w:color w:val="auto"/>
                <w:sz w:val="21"/>
                <w:szCs w:val="21"/>
              </w:rPr>
            </w:pP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G2</w:t>
            </w:r>
          </w:p>
        </w:tc>
        <w:tc>
          <w:tcPr>
            <w:tcW w:w="1124"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82"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8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9" w:type="dxa"/>
            <w:vMerge w:val="continue"/>
            <w:vAlign w:val="center"/>
          </w:tcPr>
          <w:p>
            <w:pPr>
              <w:adjustRightInd w:val="0"/>
              <w:snapToGrid w:val="0"/>
              <w:jc w:val="center"/>
              <w:rPr>
                <w:rFonts w:eastAsiaTheme="minorEastAsia"/>
                <w:color w:val="auto"/>
                <w:sz w:val="21"/>
                <w:szCs w:val="21"/>
              </w:rPr>
            </w:pPr>
          </w:p>
        </w:tc>
        <w:tc>
          <w:tcPr>
            <w:tcW w:w="141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0.096~0.109</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w:t>
            </w:r>
          </w:p>
        </w:tc>
        <w:tc>
          <w:tcPr>
            <w:tcW w:w="759"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0.36</w:t>
            </w:r>
          </w:p>
        </w:tc>
        <w:tc>
          <w:tcPr>
            <w:tcW w:w="901" w:type="dxa"/>
            <w:vMerge w:val="continue"/>
            <w:vAlign w:val="center"/>
          </w:tcPr>
          <w:p>
            <w:pPr>
              <w:adjustRightInd w:val="0"/>
              <w:snapToGrid w:val="0"/>
              <w:jc w:val="center"/>
              <w:rPr>
                <w:rFonts w:eastAsiaTheme="minorEastAsia"/>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1"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Hg</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G1</w:t>
            </w:r>
          </w:p>
        </w:tc>
        <w:tc>
          <w:tcPr>
            <w:tcW w:w="1124"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82"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8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9"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1413" w:type="dxa"/>
            <w:vAlign w:val="center"/>
          </w:tcPr>
          <w:p>
            <w:pPr>
              <w:widowControl/>
              <w:jc w:val="center"/>
              <w:rPr>
                <w:rFonts w:eastAsiaTheme="minorEastAsia"/>
                <w:color w:val="auto"/>
                <w:sz w:val="21"/>
                <w:szCs w:val="21"/>
              </w:rPr>
            </w:pPr>
            <w:r>
              <w:rPr>
                <w:rFonts w:eastAsiaTheme="minorEastAsia"/>
                <w:color w:val="auto"/>
                <w:sz w:val="21"/>
                <w:szCs w:val="21"/>
              </w:rPr>
              <w:t>＜6.6×10</w:t>
            </w:r>
            <w:r>
              <w:rPr>
                <w:rFonts w:eastAsiaTheme="minorEastAsia"/>
                <w:color w:val="auto"/>
                <w:sz w:val="21"/>
                <w:szCs w:val="21"/>
                <w:vertAlign w:val="superscript"/>
              </w:rPr>
              <w:t>-6</w:t>
            </w:r>
          </w:p>
        </w:tc>
        <w:tc>
          <w:tcPr>
            <w:tcW w:w="530" w:type="dxa"/>
            <w:vAlign w:val="center"/>
          </w:tcPr>
          <w:p>
            <w:pPr>
              <w:pStyle w:val="346"/>
              <w:rPr>
                <w:rFonts w:cs="Times New Roman" w:eastAsiaTheme="minorEastAsia"/>
                <w:b w:val="0"/>
                <w:bCs/>
                <w:color w:val="auto"/>
                <w:sz w:val="21"/>
                <w:szCs w:val="21"/>
              </w:rPr>
            </w:pPr>
            <w:r>
              <w:rPr>
                <w:rFonts w:cs="Times New Roman" w:eastAsiaTheme="minorEastAsia"/>
                <w:b w:val="0"/>
                <w:bCs/>
                <w:color w:val="auto"/>
                <w:sz w:val="21"/>
                <w:szCs w:val="21"/>
              </w:rPr>
              <w:t>0</w:t>
            </w:r>
          </w:p>
        </w:tc>
        <w:tc>
          <w:tcPr>
            <w:tcW w:w="759"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1"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0.0001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1" w:type="dxa"/>
            <w:vMerge w:val="continue"/>
            <w:vAlign w:val="center"/>
          </w:tcPr>
          <w:p>
            <w:pPr>
              <w:adjustRightInd w:val="0"/>
              <w:snapToGrid w:val="0"/>
              <w:jc w:val="center"/>
              <w:rPr>
                <w:rFonts w:eastAsiaTheme="minorEastAsia"/>
                <w:color w:val="auto"/>
                <w:sz w:val="21"/>
                <w:szCs w:val="21"/>
              </w:rPr>
            </w:pP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G2</w:t>
            </w:r>
          </w:p>
        </w:tc>
        <w:tc>
          <w:tcPr>
            <w:tcW w:w="1124"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82"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8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9" w:type="dxa"/>
            <w:vMerge w:val="continue"/>
            <w:vAlign w:val="center"/>
          </w:tcPr>
          <w:p>
            <w:pPr>
              <w:adjustRightInd w:val="0"/>
              <w:snapToGrid w:val="0"/>
              <w:jc w:val="center"/>
              <w:rPr>
                <w:rFonts w:eastAsiaTheme="minorEastAsia"/>
                <w:color w:val="auto"/>
                <w:sz w:val="21"/>
                <w:szCs w:val="21"/>
              </w:rPr>
            </w:pPr>
          </w:p>
        </w:tc>
        <w:tc>
          <w:tcPr>
            <w:tcW w:w="141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＜6.6×10</w:t>
            </w:r>
            <w:r>
              <w:rPr>
                <w:rFonts w:eastAsiaTheme="minorEastAsia"/>
                <w:color w:val="auto"/>
                <w:sz w:val="21"/>
                <w:szCs w:val="21"/>
                <w:vertAlign w:val="superscript"/>
              </w:rPr>
              <w:t>-6</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w:t>
            </w:r>
          </w:p>
        </w:tc>
        <w:tc>
          <w:tcPr>
            <w:tcW w:w="759"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1" w:type="dxa"/>
            <w:vMerge w:val="continue"/>
            <w:vAlign w:val="center"/>
          </w:tcPr>
          <w:p>
            <w:pPr>
              <w:adjustRightInd w:val="0"/>
              <w:snapToGrid w:val="0"/>
              <w:jc w:val="center"/>
              <w:rPr>
                <w:rFonts w:eastAsiaTheme="minorEastAsia"/>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1"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Pb</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G1</w:t>
            </w:r>
          </w:p>
        </w:tc>
        <w:tc>
          <w:tcPr>
            <w:tcW w:w="1124"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82"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83" w:type="dxa"/>
            <w:vAlign w:val="center"/>
          </w:tcPr>
          <w:p>
            <w:pPr>
              <w:adjustRightInd w:val="0"/>
              <w:snapToGrid w:val="0"/>
              <w:jc w:val="center"/>
              <w:rPr>
                <w:rFonts w:eastAsiaTheme="minorEastAsia"/>
                <w:color w:val="auto"/>
                <w:kern w:val="0"/>
                <w:sz w:val="21"/>
                <w:szCs w:val="21"/>
              </w:rPr>
            </w:pPr>
            <w:r>
              <w:rPr>
                <w:rFonts w:eastAsiaTheme="minorEastAsia"/>
                <w:color w:val="auto"/>
                <w:sz w:val="21"/>
                <w:szCs w:val="21"/>
              </w:rPr>
              <w:t>/</w:t>
            </w:r>
          </w:p>
        </w:tc>
        <w:tc>
          <w:tcPr>
            <w:tcW w:w="909"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1413" w:type="dxa"/>
            <w:vAlign w:val="center"/>
          </w:tcPr>
          <w:p>
            <w:pPr>
              <w:widowControl/>
              <w:jc w:val="center"/>
              <w:rPr>
                <w:rFonts w:eastAsiaTheme="minorEastAsia"/>
                <w:color w:val="auto"/>
                <w:sz w:val="21"/>
                <w:szCs w:val="21"/>
              </w:rPr>
            </w:pPr>
            <w:r>
              <w:rPr>
                <w:rFonts w:eastAsiaTheme="minorEastAsia"/>
                <w:color w:val="auto"/>
                <w:sz w:val="21"/>
                <w:szCs w:val="21"/>
              </w:rPr>
              <w:t>＜5.0×10</w:t>
            </w:r>
            <w:r>
              <w:rPr>
                <w:rFonts w:eastAsiaTheme="minorEastAsia"/>
                <w:color w:val="auto"/>
                <w:sz w:val="21"/>
                <w:szCs w:val="21"/>
                <w:vertAlign w:val="superscript"/>
              </w:rPr>
              <w:t>-4</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w:t>
            </w:r>
          </w:p>
        </w:tc>
        <w:tc>
          <w:tcPr>
            <w:tcW w:w="759"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1"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0.0005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1" w:type="dxa"/>
            <w:vMerge w:val="continue"/>
            <w:vAlign w:val="center"/>
          </w:tcPr>
          <w:p>
            <w:pPr>
              <w:adjustRightInd w:val="0"/>
              <w:snapToGrid w:val="0"/>
              <w:jc w:val="center"/>
              <w:rPr>
                <w:rFonts w:eastAsiaTheme="minorEastAsia"/>
                <w:color w:val="auto"/>
                <w:sz w:val="21"/>
                <w:szCs w:val="21"/>
              </w:rPr>
            </w:pP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G2</w:t>
            </w:r>
          </w:p>
        </w:tc>
        <w:tc>
          <w:tcPr>
            <w:tcW w:w="1124"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82"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8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9" w:type="dxa"/>
            <w:vMerge w:val="continue"/>
            <w:vAlign w:val="center"/>
          </w:tcPr>
          <w:p>
            <w:pPr>
              <w:adjustRightInd w:val="0"/>
              <w:snapToGrid w:val="0"/>
              <w:jc w:val="center"/>
              <w:rPr>
                <w:rFonts w:eastAsiaTheme="minorEastAsia"/>
                <w:color w:val="auto"/>
                <w:sz w:val="21"/>
                <w:szCs w:val="21"/>
              </w:rPr>
            </w:pPr>
          </w:p>
        </w:tc>
        <w:tc>
          <w:tcPr>
            <w:tcW w:w="141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＜5.0×10</w:t>
            </w:r>
            <w:r>
              <w:rPr>
                <w:rFonts w:eastAsiaTheme="minorEastAsia"/>
                <w:color w:val="auto"/>
                <w:sz w:val="21"/>
                <w:szCs w:val="21"/>
                <w:vertAlign w:val="superscript"/>
              </w:rPr>
              <w:t>-4</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w:t>
            </w:r>
          </w:p>
        </w:tc>
        <w:tc>
          <w:tcPr>
            <w:tcW w:w="759"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1" w:type="dxa"/>
            <w:vMerge w:val="continue"/>
            <w:vAlign w:val="center"/>
          </w:tcPr>
          <w:p>
            <w:pPr>
              <w:adjustRightInd w:val="0"/>
              <w:snapToGrid w:val="0"/>
              <w:jc w:val="center"/>
              <w:rPr>
                <w:rFonts w:eastAsiaTheme="minorEastAsia"/>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1"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Cd</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G1</w:t>
            </w:r>
          </w:p>
        </w:tc>
        <w:tc>
          <w:tcPr>
            <w:tcW w:w="1124"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82"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8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9"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1413" w:type="dxa"/>
            <w:vAlign w:val="center"/>
          </w:tcPr>
          <w:p>
            <w:pPr>
              <w:widowControl/>
              <w:jc w:val="center"/>
              <w:rPr>
                <w:rFonts w:eastAsiaTheme="minorEastAsia"/>
                <w:color w:val="auto"/>
                <w:sz w:val="21"/>
                <w:szCs w:val="21"/>
              </w:rPr>
            </w:pPr>
            <w:r>
              <w:rPr>
                <w:rFonts w:eastAsiaTheme="minorEastAsia"/>
                <w:color w:val="auto"/>
                <w:sz w:val="21"/>
                <w:szCs w:val="21"/>
              </w:rPr>
              <w:t>＜5.0×10</w:t>
            </w:r>
            <w:r>
              <w:rPr>
                <w:rFonts w:eastAsiaTheme="minorEastAsia"/>
                <w:color w:val="auto"/>
                <w:sz w:val="21"/>
                <w:szCs w:val="21"/>
                <w:vertAlign w:val="superscript"/>
              </w:rPr>
              <w:t>-6</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w:t>
            </w:r>
          </w:p>
        </w:tc>
        <w:tc>
          <w:tcPr>
            <w:tcW w:w="759"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1"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0.00001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1" w:type="dxa"/>
            <w:vMerge w:val="continue"/>
            <w:vAlign w:val="center"/>
          </w:tcPr>
          <w:p>
            <w:pPr>
              <w:adjustRightInd w:val="0"/>
              <w:snapToGrid w:val="0"/>
              <w:jc w:val="center"/>
              <w:rPr>
                <w:rFonts w:eastAsiaTheme="minorEastAsia"/>
                <w:color w:val="auto"/>
                <w:sz w:val="21"/>
                <w:szCs w:val="21"/>
              </w:rPr>
            </w:pP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G2</w:t>
            </w:r>
          </w:p>
        </w:tc>
        <w:tc>
          <w:tcPr>
            <w:tcW w:w="1124"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82"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8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9" w:type="dxa"/>
            <w:vMerge w:val="continue"/>
            <w:vAlign w:val="center"/>
          </w:tcPr>
          <w:p>
            <w:pPr>
              <w:adjustRightInd w:val="0"/>
              <w:snapToGrid w:val="0"/>
              <w:jc w:val="center"/>
              <w:rPr>
                <w:rFonts w:eastAsiaTheme="minorEastAsia"/>
                <w:color w:val="auto"/>
                <w:sz w:val="21"/>
                <w:szCs w:val="21"/>
              </w:rPr>
            </w:pPr>
          </w:p>
        </w:tc>
        <w:tc>
          <w:tcPr>
            <w:tcW w:w="1413" w:type="dxa"/>
            <w:vAlign w:val="center"/>
          </w:tcPr>
          <w:p>
            <w:pPr>
              <w:widowControl/>
              <w:jc w:val="center"/>
              <w:rPr>
                <w:rFonts w:eastAsiaTheme="minorEastAsia"/>
                <w:color w:val="auto"/>
                <w:sz w:val="21"/>
                <w:szCs w:val="21"/>
              </w:rPr>
            </w:pPr>
            <w:r>
              <w:rPr>
                <w:rFonts w:eastAsiaTheme="minorEastAsia"/>
                <w:color w:val="auto"/>
                <w:sz w:val="21"/>
                <w:szCs w:val="21"/>
              </w:rPr>
              <w:t>＜5.0×10</w:t>
            </w:r>
            <w:r>
              <w:rPr>
                <w:rFonts w:eastAsiaTheme="minorEastAsia"/>
                <w:color w:val="auto"/>
                <w:sz w:val="21"/>
                <w:szCs w:val="21"/>
                <w:vertAlign w:val="superscript"/>
              </w:rPr>
              <w:t>-6</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w:t>
            </w:r>
          </w:p>
        </w:tc>
        <w:tc>
          <w:tcPr>
            <w:tcW w:w="759"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1" w:type="dxa"/>
            <w:vMerge w:val="continue"/>
            <w:vAlign w:val="center"/>
          </w:tcPr>
          <w:p>
            <w:pPr>
              <w:adjustRightInd w:val="0"/>
              <w:snapToGrid w:val="0"/>
              <w:jc w:val="center"/>
              <w:rPr>
                <w:rFonts w:eastAsiaTheme="minorEastAsia"/>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1"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二噁英类</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G1</w:t>
            </w:r>
          </w:p>
        </w:tc>
        <w:tc>
          <w:tcPr>
            <w:tcW w:w="1124"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82"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8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9"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141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0.016~0.044（pgTEQ/m</w:t>
            </w:r>
            <w:r>
              <w:rPr>
                <w:rFonts w:eastAsiaTheme="minorEastAsia"/>
                <w:color w:val="auto"/>
                <w:sz w:val="21"/>
                <w:szCs w:val="21"/>
                <w:vertAlign w:val="superscript"/>
              </w:rPr>
              <w:t>3</w:t>
            </w:r>
            <w:r>
              <w:rPr>
                <w:rFonts w:eastAsiaTheme="minorEastAsia"/>
                <w:color w:val="auto"/>
                <w:sz w:val="21"/>
                <w:szCs w:val="21"/>
              </w:rPr>
              <w:t>）</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w:t>
            </w:r>
          </w:p>
        </w:tc>
        <w:tc>
          <w:tcPr>
            <w:tcW w:w="759"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0.037</w:t>
            </w:r>
          </w:p>
        </w:tc>
        <w:tc>
          <w:tcPr>
            <w:tcW w:w="901" w:type="dxa"/>
            <w:vMerge w:val="restart"/>
            <w:vAlign w:val="center"/>
          </w:tcPr>
          <w:p>
            <w:pPr>
              <w:adjustRightInd w:val="0"/>
              <w:snapToGrid w:val="0"/>
              <w:jc w:val="center"/>
              <w:rPr>
                <w:rFonts w:eastAsiaTheme="minorEastAsia"/>
                <w:color w:val="auto"/>
                <w:sz w:val="21"/>
                <w:szCs w:val="21"/>
              </w:rPr>
            </w:pPr>
            <w:r>
              <w:rPr>
                <w:rFonts w:eastAsiaTheme="minorEastAsia"/>
                <w:color w:val="auto"/>
                <w:sz w:val="21"/>
                <w:szCs w:val="21"/>
              </w:rPr>
              <w:t>1.2（pgTEQ/Nm</w:t>
            </w:r>
            <w:r>
              <w:rPr>
                <w:rFonts w:eastAsiaTheme="minorEastAsia"/>
                <w:color w:val="auto"/>
                <w:sz w:val="21"/>
                <w:szCs w:val="21"/>
                <w:vertAlign w:val="superscript"/>
              </w:rPr>
              <w:t>3</w:t>
            </w:r>
            <w:r>
              <w:rPr>
                <w:rFonts w:eastAsiaTheme="minor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91" w:type="dxa"/>
            <w:vMerge w:val="continue"/>
            <w:vAlign w:val="center"/>
          </w:tcPr>
          <w:p>
            <w:pPr>
              <w:adjustRightInd w:val="0"/>
              <w:snapToGrid w:val="0"/>
              <w:jc w:val="center"/>
              <w:rPr>
                <w:rFonts w:eastAsiaTheme="minorEastAsia"/>
                <w:color w:val="auto"/>
                <w:sz w:val="21"/>
                <w:szCs w:val="21"/>
              </w:rPr>
            </w:pP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G2</w:t>
            </w:r>
          </w:p>
        </w:tc>
        <w:tc>
          <w:tcPr>
            <w:tcW w:w="1124"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82"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78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w:t>
            </w:r>
          </w:p>
        </w:tc>
        <w:tc>
          <w:tcPr>
            <w:tcW w:w="909" w:type="dxa"/>
            <w:vMerge w:val="continue"/>
            <w:vAlign w:val="center"/>
          </w:tcPr>
          <w:p>
            <w:pPr>
              <w:adjustRightInd w:val="0"/>
              <w:snapToGrid w:val="0"/>
              <w:jc w:val="center"/>
              <w:rPr>
                <w:rFonts w:eastAsiaTheme="minorEastAsia"/>
                <w:color w:val="auto"/>
                <w:sz w:val="21"/>
                <w:szCs w:val="21"/>
              </w:rPr>
            </w:pPr>
          </w:p>
        </w:tc>
        <w:tc>
          <w:tcPr>
            <w:tcW w:w="1413"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0.010~0.027（pgTEQ/m</w:t>
            </w:r>
            <w:r>
              <w:rPr>
                <w:rFonts w:eastAsiaTheme="minorEastAsia"/>
                <w:color w:val="auto"/>
                <w:sz w:val="21"/>
                <w:szCs w:val="21"/>
                <w:vertAlign w:val="superscript"/>
              </w:rPr>
              <w:t>3</w:t>
            </w:r>
            <w:r>
              <w:rPr>
                <w:rFonts w:eastAsiaTheme="minorEastAsia"/>
                <w:color w:val="auto"/>
                <w:sz w:val="21"/>
                <w:szCs w:val="21"/>
              </w:rPr>
              <w:t>）</w:t>
            </w:r>
          </w:p>
        </w:tc>
        <w:tc>
          <w:tcPr>
            <w:tcW w:w="530"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w:t>
            </w:r>
          </w:p>
        </w:tc>
        <w:tc>
          <w:tcPr>
            <w:tcW w:w="759" w:type="dxa"/>
            <w:vAlign w:val="center"/>
          </w:tcPr>
          <w:p>
            <w:pPr>
              <w:adjustRightInd w:val="0"/>
              <w:snapToGrid w:val="0"/>
              <w:jc w:val="center"/>
              <w:rPr>
                <w:rFonts w:eastAsiaTheme="minorEastAsia"/>
                <w:color w:val="auto"/>
                <w:sz w:val="21"/>
                <w:szCs w:val="21"/>
              </w:rPr>
            </w:pPr>
            <w:r>
              <w:rPr>
                <w:rFonts w:eastAsiaTheme="minorEastAsia"/>
                <w:color w:val="auto"/>
                <w:sz w:val="21"/>
                <w:szCs w:val="21"/>
              </w:rPr>
              <w:t>0.022</w:t>
            </w:r>
          </w:p>
        </w:tc>
        <w:tc>
          <w:tcPr>
            <w:tcW w:w="901" w:type="dxa"/>
            <w:vMerge w:val="continue"/>
            <w:vAlign w:val="center"/>
          </w:tcPr>
          <w:p>
            <w:pPr>
              <w:adjustRightInd w:val="0"/>
              <w:snapToGrid w:val="0"/>
              <w:jc w:val="center"/>
              <w:rPr>
                <w:rFonts w:eastAsiaTheme="minorEastAsia"/>
                <w:color w:val="auto"/>
                <w:sz w:val="21"/>
                <w:szCs w:val="21"/>
              </w:rPr>
            </w:pPr>
          </w:p>
        </w:tc>
      </w:tr>
    </w:tbl>
    <w:p>
      <w:pPr>
        <w:pStyle w:val="3"/>
        <w:numPr>
          <w:ilvl w:val="0"/>
          <w:numId w:val="0"/>
        </w:numPr>
        <w:tabs>
          <w:tab w:val="clear" w:pos="680"/>
        </w:tabs>
        <w:rPr>
          <w:rFonts w:ascii="Times New Roman"/>
          <w:bCs/>
          <w:color w:val="auto"/>
        </w:rPr>
      </w:pPr>
      <w:bookmarkStart w:id="443" w:name="_Toc24136782"/>
      <w:bookmarkStart w:id="444" w:name="_Toc9517765"/>
      <w:bookmarkStart w:id="445" w:name="_Toc23263167"/>
      <w:bookmarkStart w:id="446" w:name="_Toc168"/>
      <w:bookmarkStart w:id="447" w:name="_Toc14943324"/>
      <w:r>
        <w:rPr>
          <w:rFonts w:hint="eastAsia" w:ascii="Times New Roman"/>
          <w:bCs/>
          <w:color w:val="auto"/>
          <w:lang w:eastAsia="zh-CN"/>
        </w:rPr>
        <w:t>4</w:t>
      </w:r>
      <w:r>
        <w:rPr>
          <w:rFonts w:ascii="Times New Roman"/>
          <w:bCs/>
          <w:color w:val="auto"/>
          <w:lang w:eastAsia="zh-CN"/>
        </w:rPr>
        <w:t>.4</w:t>
      </w:r>
      <w:r>
        <w:rPr>
          <w:rFonts w:ascii="Times New Roman"/>
          <w:bCs/>
          <w:color w:val="auto"/>
        </w:rPr>
        <w:t>声环境质量现状监测与评价</w:t>
      </w:r>
      <w:bookmarkEnd w:id="443"/>
      <w:bookmarkEnd w:id="444"/>
      <w:bookmarkEnd w:id="445"/>
      <w:bookmarkEnd w:id="446"/>
      <w:bookmarkEnd w:id="447"/>
    </w:p>
    <w:p>
      <w:pPr>
        <w:pStyle w:val="5"/>
        <w:spacing w:line="360" w:lineRule="auto"/>
        <w:ind w:firstLine="480"/>
        <w:jc w:val="both"/>
        <w:rPr>
          <w:rFonts w:eastAsiaTheme="minorEastAsia"/>
          <w:color w:val="auto"/>
          <w:lang w:val="zh-CN" w:eastAsia="zh-CN"/>
        </w:rPr>
      </w:pPr>
      <w:r>
        <w:rPr>
          <w:rFonts w:eastAsiaTheme="minorEastAsia"/>
          <w:color w:val="auto"/>
        </w:rPr>
        <w:t>本项目所在区域环境噪声质量现状</w:t>
      </w:r>
      <w:r>
        <w:rPr>
          <w:rFonts w:hint="eastAsia" w:eastAsiaTheme="minorEastAsia"/>
          <w:color w:val="auto"/>
        </w:rPr>
        <w:t>引用</w:t>
      </w:r>
      <w:r>
        <w:rPr>
          <w:rFonts w:eastAsiaTheme="minorEastAsia"/>
          <w:color w:val="auto"/>
        </w:rPr>
        <w:t>广州京诚检测技术有限公司于2019年4月18日~4月19日，对</w:t>
      </w:r>
      <w:r>
        <w:rPr>
          <w:rFonts w:hint="eastAsia" w:eastAsiaTheme="minorEastAsia"/>
          <w:color w:val="auto"/>
        </w:rPr>
        <w:t>兴宁市静脉产业园</w:t>
      </w:r>
      <w:r>
        <w:rPr>
          <w:rFonts w:eastAsiaTheme="minorEastAsia"/>
          <w:color w:val="auto"/>
        </w:rPr>
        <w:t>占地范围内、厂界外，以及项目边界外200m范围内的环境敏感点处现状监测得到的数据进行评价。</w:t>
      </w:r>
    </w:p>
    <w:p>
      <w:pPr>
        <w:pStyle w:val="298"/>
        <w:spacing w:before="156" w:after="156"/>
        <w:rPr>
          <w:color w:val="auto"/>
          <w:lang w:eastAsia="zh-CN"/>
        </w:rPr>
      </w:pPr>
      <w:bookmarkStart w:id="448" w:name="_Toc15912174"/>
      <w:bookmarkStart w:id="449" w:name="_Toc14946882"/>
      <w:bookmarkStart w:id="450" w:name="_Toc24136783"/>
      <w:bookmarkStart w:id="451" w:name="_Toc34234702"/>
      <w:bookmarkStart w:id="452" w:name="_Toc5290"/>
      <w:r>
        <w:rPr>
          <w:color w:val="auto"/>
        </w:rPr>
        <w:t>4.4.1</w:t>
      </w:r>
      <w:bookmarkEnd w:id="448"/>
      <w:bookmarkEnd w:id="449"/>
      <w:r>
        <w:rPr>
          <w:rFonts w:hint="eastAsia"/>
          <w:color w:val="auto"/>
          <w:lang w:eastAsia="zh-CN"/>
        </w:rPr>
        <w:t>引用监测点布设</w:t>
      </w:r>
      <w:bookmarkEnd w:id="450"/>
      <w:bookmarkEnd w:id="451"/>
      <w:bookmarkEnd w:id="452"/>
    </w:p>
    <w:p>
      <w:pPr>
        <w:spacing w:line="360" w:lineRule="auto"/>
        <w:ind w:firstLine="480"/>
        <w:jc w:val="both"/>
        <w:rPr>
          <w:color w:val="auto"/>
        </w:rPr>
      </w:pPr>
      <w:r>
        <w:rPr>
          <w:rFonts w:hint="eastAsia"/>
          <w:color w:val="auto"/>
        </w:rPr>
        <w:t>评价引用的环境噪声现状监测布点为在</w:t>
      </w:r>
      <w:r>
        <w:rPr>
          <w:rFonts w:hint="eastAsia" w:eastAsiaTheme="minorEastAsia"/>
          <w:color w:val="auto"/>
        </w:rPr>
        <w:t>兴宁市静脉产业园</w:t>
      </w:r>
      <w:r>
        <w:rPr>
          <w:rFonts w:hint="eastAsia"/>
          <w:color w:val="auto"/>
        </w:rPr>
        <w:t>占地范围内采取近似网格布点，在项目边界外2</w:t>
      </w:r>
      <w:r>
        <w:rPr>
          <w:color w:val="auto"/>
        </w:rPr>
        <w:t>00m</w:t>
      </w:r>
      <w:r>
        <w:rPr>
          <w:rFonts w:hint="eastAsia"/>
          <w:color w:val="auto"/>
        </w:rPr>
        <w:t>范围内的环境敏感点处布设2个监测点位，</w:t>
      </w:r>
      <w:r>
        <w:rPr>
          <w:color w:val="auto"/>
        </w:rPr>
        <w:t>各监测布点</w:t>
      </w:r>
      <w:r>
        <w:rPr>
          <w:rFonts w:hint="eastAsia"/>
          <w:color w:val="auto"/>
        </w:rPr>
        <w:t>详</w:t>
      </w:r>
      <w:r>
        <w:rPr>
          <w:color w:val="auto"/>
        </w:rPr>
        <w:t>见表4.4-1和图4.4-1。</w:t>
      </w:r>
    </w:p>
    <w:p>
      <w:pPr>
        <w:spacing w:line="360" w:lineRule="auto"/>
        <w:ind w:firstLine="480"/>
        <w:jc w:val="both"/>
        <w:rPr>
          <w:rFonts w:hint="eastAsia"/>
          <w:color w:val="auto"/>
          <w:lang w:eastAsia="zh-CN"/>
        </w:rPr>
      </w:pPr>
      <w:r>
        <w:rPr>
          <w:rFonts w:hint="eastAsia"/>
          <w:color w:val="auto"/>
          <w:lang w:eastAsia="zh-CN"/>
        </w:rPr>
        <w:t>引用数据的有效性说明：</w:t>
      </w:r>
    </w:p>
    <w:p>
      <w:pPr>
        <w:spacing w:line="360" w:lineRule="auto"/>
        <w:ind w:firstLine="480"/>
        <w:jc w:val="both"/>
        <w:rPr>
          <w:rFonts w:hint="eastAsia"/>
          <w:color w:val="auto"/>
          <w:lang w:eastAsia="zh-CN"/>
        </w:rPr>
      </w:pPr>
      <w:r>
        <w:rPr>
          <w:rFonts w:hint="eastAsia"/>
          <w:color w:val="auto"/>
          <w:lang w:eastAsia="zh-CN"/>
        </w:rPr>
        <w:t>由于</w:t>
      </w:r>
      <w:r>
        <w:rPr>
          <w:rFonts w:hint="eastAsia"/>
          <w:color w:val="auto"/>
        </w:rPr>
        <w:t>本</w:t>
      </w:r>
      <w:r>
        <w:rPr>
          <w:rFonts w:hint="eastAsia"/>
          <w:color w:val="auto"/>
          <w:lang w:eastAsia="zh-CN"/>
        </w:rPr>
        <w:t>项目是在兴宁市静脉产业园项目的预留用地内建设，所引用的监测点位则为兴宁市静脉产业园项目内的网格布设声环境质量监测点位，引用的监测点位与本次项目评价范围一致，同时，引用的监测数据监测时间为</w:t>
      </w:r>
      <w:r>
        <w:rPr>
          <w:rFonts w:hint="eastAsia"/>
          <w:color w:val="auto"/>
          <w:lang w:val="en-US" w:eastAsia="zh-CN"/>
        </w:rPr>
        <w:t>2019年4月，与本次环评评价时间2020年较近，且间隔时间内餐厨垃圾处理厂和建筑垃圾消纳场所在位置周边尚未建设其他强噪声污染源，因此，本项目所引用的监测数据有效。</w:t>
      </w:r>
    </w:p>
    <w:p>
      <w:pPr>
        <w:pStyle w:val="5"/>
        <w:ind w:firstLine="482"/>
        <w:jc w:val="center"/>
        <w:rPr>
          <w:b/>
          <w:color w:val="auto"/>
        </w:rPr>
      </w:pPr>
      <w:r>
        <w:rPr>
          <w:b/>
          <w:color w:val="auto"/>
        </w:rPr>
        <w:t>表</w:t>
      </w:r>
      <w:r>
        <w:rPr>
          <w:rFonts w:hint="eastAsia"/>
          <w:b/>
          <w:color w:val="auto"/>
        </w:rPr>
        <w:t>4</w:t>
      </w:r>
      <w:r>
        <w:rPr>
          <w:b/>
          <w:color w:val="auto"/>
        </w:rPr>
        <w:t>.4</w:t>
      </w:r>
      <w:r>
        <w:rPr>
          <w:b/>
          <w:color w:val="auto"/>
        </w:rPr>
        <w:noBreakHyphen/>
      </w:r>
      <w:r>
        <w:rPr>
          <w:b/>
          <w:color w:val="auto"/>
        </w:rPr>
        <w:fldChar w:fldCharType="begin"/>
      </w:r>
      <w:r>
        <w:rPr>
          <w:b/>
          <w:color w:val="auto"/>
        </w:rPr>
        <w:instrText xml:space="preserve"> SEQ 表 \* ARABIC \s 2 </w:instrText>
      </w:r>
      <w:r>
        <w:rPr>
          <w:b/>
          <w:color w:val="auto"/>
        </w:rPr>
        <w:fldChar w:fldCharType="separate"/>
      </w:r>
      <w:r>
        <w:rPr>
          <w:b/>
          <w:color w:val="auto"/>
        </w:rPr>
        <w:t>1</w:t>
      </w:r>
      <w:r>
        <w:rPr>
          <w:b/>
          <w:color w:val="auto"/>
        </w:rPr>
        <w:fldChar w:fldCharType="end"/>
      </w:r>
      <w:r>
        <w:rPr>
          <w:b/>
          <w:color w:val="auto"/>
        </w:rPr>
        <w:t xml:space="preserve"> 声环境质量现状监测布点</w:t>
      </w:r>
    </w:p>
    <w:tbl>
      <w:tblPr>
        <w:tblStyle w:val="53"/>
        <w:tblW w:w="8160"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4125"/>
        <w:gridCol w:w="40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29" w:hRule="atLeast"/>
          <w:jc w:val="center"/>
        </w:trPr>
        <w:tc>
          <w:tcPr>
            <w:tcW w:w="4125" w:type="dxa"/>
            <w:vAlign w:val="center"/>
          </w:tcPr>
          <w:p>
            <w:pPr>
              <w:spacing w:line="260" w:lineRule="exact"/>
              <w:ind w:right="-96"/>
              <w:jc w:val="center"/>
              <w:rPr>
                <w:b/>
                <w:color w:val="auto"/>
                <w:sz w:val="21"/>
                <w:szCs w:val="21"/>
              </w:rPr>
            </w:pPr>
            <w:r>
              <w:rPr>
                <w:rFonts w:hint="eastAsia"/>
                <w:b/>
                <w:color w:val="auto"/>
                <w:sz w:val="21"/>
                <w:szCs w:val="21"/>
              </w:rPr>
              <w:t>布点编号</w:t>
            </w:r>
          </w:p>
        </w:tc>
        <w:tc>
          <w:tcPr>
            <w:tcW w:w="4035" w:type="dxa"/>
            <w:vAlign w:val="center"/>
          </w:tcPr>
          <w:p>
            <w:pPr>
              <w:spacing w:line="260" w:lineRule="exact"/>
              <w:ind w:right="-96"/>
              <w:jc w:val="center"/>
              <w:rPr>
                <w:b/>
                <w:color w:val="auto"/>
                <w:sz w:val="21"/>
                <w:szCs w:val="21"/>
              </w:rPr>
            </w:pPr>
            <w:r>
              <w:rPr>
                <w:rFonts w:hint="eastAsia"/>
                <w:b/>
                <w:color w:val="auto"/>
                <w:sz w:val="21"/>
                <w:szCs w:val="21"/>
              </w:rPr>
              <w:t>监测点位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38" w:hRule="atLeast"/>
          <w:jc w:val="center"/>
        </w:trPr>
        <w:tc>
          <w:tcPr>
            <w:tcW w:w="4125" w:type="dxa"/>
            <w:vAlign w:val="center"/>
          </w:tcPr>
          <w:p>
            <w:pPr>
              <w:spacing w:line="260" w:lineRule="exact"/>
              <w:ind w:right="-96"/>
              <w:jc w:val="center"/>
              <w:rPr>
                <w:color w:val="auto"/>
                <w:sz w:val="21"/>
                <w:szCs w:val="21"/>
              </w:rPr>
            </w:pPr>
            <w:r>
              <w:rPr>
                <w:color w:val="auto"/>
                <w:sz w:val="21"/>
                <w:szCs w:val="21"/>
              </w:rPr>
              <w:t>N1~ N17</w:t>
            </w:r>
          </w:p>
        </w:tc>
        <w:tc>
          <w:tcPr>
            <w:tcW w:w="4035" w:type="dxa"/>
            <w:vAlign w:val="center"/>
          </w:tcPr>
          <w:p>
            <w:pPr>
              <w:spacing w:line="260" w:lineRule="exact"/>
              <w:ind w:right="-96"/>
              <w:jc w:val="center"/>
              <w:rPr>
                <w:color w:val="auto"/>
                <w:sz w:val="21"/>
                <w:szCs w:val="21"/>
              </w:rPr>
            </w:pPr>
            <w:r>
              <w:rPr>
                <w:rFonts w:hint="eastAsia"/>
                <w:color w:val="auto"/>
                <w:sz w:val="21"/>
                <w:szCs w:val="21"/>
              </w:rPr>
              <w:t>近似网格点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38" w:hRule="atLeast"/>
          <w:jc w:val="center"/>
        </w:trPr>
        <w:tc>
          <w:tcPr>
            <w:tcW w:w="4125" w:type="dxa"/>
            <w:vAlign w:val="center"/>
          </w:tcPr>
          <w:p>
            <w:pPr>
              <w:spacing w:line="260" w:lineRule="exact"/>
              <w:ind w:right="-96"/>
              <w:jc w:val="center"/>
              <w:rPr>
                <w:color w:val="auto"/>
                <w:sz w:val="21"/>
                <w:szCs w:val="21"/>
              </w:rPr>
            </w:pPr>
            <w:r>
              <w:rPr>
                <w:color w:val="auto"/>
                <w:sz w:val="21"/>
                <w:szCs w:val="21"/>
              </w:rPr>
              <w:t>N18</w:t>
            </w:r>
          </w:p>
        </w:tc>
        <w:tc>
          <w:tcPr>
            <w:tcW w:w="4035" w:type="dxa"/>
            <w:vAlign w:val="center"/>
          </w:tcPr>
          <w:p>
            <w:pPr>
              <w:spacing w:line="260" w:lineRule="exact"/>
              <w:ind w:right="-96"/>
              <w:jc w:val="center"/>
              <w:rPr>
                <w:color w:val="auto"/>
                <w:sz w:val="21"/>
                <w:szCs w:val="21"/>
              </w:rPr>
            </w:pPr>
            <w:r>
              <w:rPr>
                <w:rFonts w:hint="eastAsia"/>
                <w:color w:val="auto"/>
                <w:sz w:val="21"/>
                <w:szCs w:val="21"/>
              </w:rPr>
              <w:t>先声村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38" w:hRule="atLeast"/>
          <w:jc w:val="center"/>
        </w:trPr>
        <w:tc>
          <w:tcPr>
            <w:tcW w:w="4125" w:type="dxa"/>
            <w:vAlign w:val="center"/>
          </w:tcPr>
          <w:p>
            <w:pPr>
              <w:spacing w:line="260" w:lineRule="exact"/>
              <w:ind w:right="-96"/>
              <w:jc w:val="center"/>
              <w:rPr>
                <w:color w:val="auto"/>
                <w:sz w:val="21"/>
                <w:szCs w:val="21"/>
              </w:rPr>
            </w:pPr>
            <w:r>
              <w:rPr>
                <w:color w:val="auto"/>
                <w:sz w:val="21"/>
                <w:szCs w:val="21"/>
              </w:rPr>
              <w:t>N19</w:t>
            </w:r>
          </w:p>
        </w:tc>
        <w:tc>
          <w:tcPr>
            <w:tcW w:w="4035" w:type="dxa"/>
            <w:vAlign w:val="center"/>
          </w:tcPr>
          <w:p>
            <w:pPr>
              <w:spacing w:line="260" w:lineRule="exact"/>
              <w:ind w:right="-96"/>
              <w:jc w:val="center"/>
              <w:rPr>
                <w:color w:val="auto"/>
                <w:sz w:val="21"/>
                <w:szCs w:val="21"/>
              </w:rPr>
            </w:pPr>
            <w:r>
              <w:rPr>
                <w:rFonts w:hint="eastAsia"/>
                <w:color w:val="auto"/>
                <w:sz w:val="21"/>
                <w:szCs w:val="21"/>
              </w:rPr>
              <w:t>柘鸪塘</w:t>
            </w:r>
          </w:p>
        </w:tc>
      </w:tr>
    </w:tbl>
    <w:p>
      <w:pPr>
        <w:pStyle w:val="298"/>
        <w:spacing w:before="156" w:after="156"/>
        <w:rPr>
          <w:color w:val="auto"/>
          <w:lang w:eastAsia="zh-CN"/>
        </w:rPr>
      </w:pPr>
      <w:bookmarkStart w:id="453" w:name="_Toc10741"/>
      <w:bookmarkStart w:id="454" w:name="_Toc24136784"/>
      <w:bookmarkStart w:id="455" w:name="_Toc34234703"/>
      <w:r>
        <w:rPr>
          <w:color w:val="auto"/>
        </w:rPr>
        <w:t>4.4.2</w:t>
      </w:r>
      <w:r>
        <w:rPr>
          <w:rFonts w:hint="eastAsia"/>
          <w:color w:val="auto"/>
          <w:lang w:eastAsia="zh-CN"/>
        </w:rPr>
        <w:t>引用监测时间及频次</w:t>
      </w:r>
      <w:bookmarkEnd w:id="453"/>
      <w:bookmarkEnd w:id="454"/>
      <w:bookmarkEnd w:id="455"/>
    </w:p>
    <w:p>
      <w:pPr>
        <w:spacing w:line="360" w:lineRule="auto"/>
        <w:ind w:firstLine="480" w:firstLineChars="200"/>
        <w:jc w:val="both"/>
        <w:rPr>
          <w:color w:val="auto"/>
        </w:rPr>
      </w:pPr>
      <w:r>
        <w:rPr>
          <w:rFonts w:hint="eastAsia"/>
          <w:bCs/>
          <w:color w:val="auto"/>
          <w:lang w:eastAsia="zh-CN"/>
        </w:rPr>
        <w:t>引用</w:t>
      </w:r>
      <w:r>
        <w:rPr>
          <w:rFonts w:hint="eastAsia"/>
          <w:bCs/>
          <w:color w:val="auto"/>
        </w:rPr>
        <w:t>连续监测两天，昼间、夜间各监测一次，昼间安排在</w:t>
      </w:r>
      <w:r>
        <w:rPr>
          <w:bCs/>
          <w:color w:val="auto"/>
        </w:rPr>
        <w:t>08:00~22:00</w:t>
      </w:r>
      <w:r>
        <w:rPr>
          <w:rFonts w:hint="eastAsia"/>
          <w:bCs/>
          <w:color w:val="auto"/>
        </w:rPr>
        <w:t>，夜间安排在</w:t>
      </w:r>
      <w:r>
        <w:rPr>
          <w:bCs/>
          <w:color w:val="auto"/>
        </w:rPr>
        <w:t>22:00~24:00</w:t>
      </w:r>
      <w:r>
        <w:rPr>
          <w:rFonts w:hint="eastAsia"/>
          <w:bCs/>
          <w:color w:val="auto"/>
        </w:rPr>
        <w:t>，测量时间每次</w:t>
      </w:r>
      <w:r>
        <w:rPr>
          <w:bCs/>
          <w:color w:val="auto"/>
        </w:rPr>
        <w:t>20min</w:t>
      </w:r>
      <w:r>
        <w:rPr>
          <w:rFonts w:hint="eastAsia"/>
          <w:bCs/>
          <w:color w:val="auto"/>
        </w:rPr>
        <w:t>，同时记录监测时风速。选在无雨、风速小于</w:t>
      </w:r>
      <w:r>
        <w:rPr>
          <w:bCs/>
          <w:color w:val="auto"/>
        </w:rPr>
        <w:t>5.5m/s</w:t>
      </w:r>
      <w:r>
        <w:rPr>
          <w:rFonts w:hint="eastAsia"/>
          <w:bCs/>
          <w:color w:val="auto"/>
        </w:rPr>
        <w:t>的天气进行测量，传声器设置高度为</w:t>
      </w:r>
      <w:r>
        <w:rPr>
          <w:bCs/>
          <w:color w:val="auto"/>
        </w:rPr>
        <w:t>1.2</w:t>
      </w:r>
      <w:r>
        <w:rPr>
          <w:rFonts w:hint="eastAsia"/>
          <w:bCs/>
          <w:color w:val="auto"/>
        </w:rPr>
        <w:t>～</w:t>
      </w:r>
      <w:r>
        <w:rPr>
          <w:bCs/>
          <w:color w:val="auto"/>
        </w:rPr>
        <w:t>1.5m</w:t>
      </w:r>
      <w:r>
        <w:rPr>
          <w:rFonts w:hint="eastAsia"/>
          <w:bCs/>
          <w:color w:val="auto"/>
        </w:rPr>
        <w:t>。</w:t>
      </w:r>
    </w:p>
    <w:p>
      <w:pPr>
        <w:pStyle w:val="298"/>
        <w:spacing w:before="156" w:after="156"/>
        <w:rPr>
          <w:color w:val="auto"/>
          <w:lang w:eastAsia="zh-CN"/>
        </w:rPr>
      </w:pPr>
      <w:bookmarkStart w:id="456" w:name="_Toc34234704"/>
      <w:bookmarkStart w:id="457" w:name="_Toc24136785"/>
      <w:bookmarkStart w:id="458" w:name="_Toc27919"/>
      <w:r>
        <w:rPr>
          <w:color w:val="auto"/>
        </w:rPr>
        <w:t>4.4.3</w:t>
      </w:r>
      <w:r>
        <w:rPr>
          <w:rFonts w:hint="eastAsia"/>
          <w:color w:val="auto"/>
          <w:lang w:eastAsia="zh-CN"/>
        </w:rPr>
        <w:t>引用监测分析方法</w:t>
      </w:r>
      <w:bookmarkEnd w:id="456"/>
      <w:bookmarkEnd w:id="457"/>
      <w:bookmarkEnd w:id="458"/>
    </w:p>
    <w:p>
      <w:pPr>
        <w:spacing w:line="360" w:lineRule="auto"/>
        <w:ind w:firstLine="480" w:firstLineChars="200"/>
        <w:jc w:val="both"/>
        <w:rPr>
          <w:color w:val="auto"/>
        </w:rPr>
      </w:pPr>
      <w:r>
        <w:rPr>
          <w:color w:val="auto"/>
        </w:rPr>
        <w:t>按《声学环境噪声测量方法》（GB/T 3222-1994）中第五款“测量方法”的要求和《声环境质量标准》（GB 3096-2008）中的有关规定进行。本项目环境噪声现状监测采用</w:t>
      </w:r>
      <w:r>
        <w:rPr>
          <w:rFonts w:hint="eastAsia"/>
          <w:color w:val="auto"/>
        </w:rPr>
        <w:t>多功能声级计（噪声统计分析仪）（AWA5680）YQ-102-0</w:t>
      </w:r>
      <w:r>
        <w:rPr>
          <w:color w:val="auto"/>
        </w:rPr>
        <w:t>7</w:t>
      </w:r>
      <w:r>
        <w:rPr>
          <w:rFonts w:hint="eastAsia"/>
          <w:color w:val="auto"/>
        </w:rPr>
        <w:t>、YQ-102-0</w:t>
      </w:r>
      <w:r>
        <w:rPr>
          <w:color w:val="auto"/>
        </w:rPr>
        <w:t>1</w:t>
      </w:r>
      <w:r>
        <w:rPr>
          <w:rFonts w:hint="eastAsia"/>
          <w:color w:val="auto"/>
        </w:rPr>
        <w:t>、YQ-102-0</w:t>
      </w:r>
      <w:r>
        <w:rPr>
          <w:color w:val="auto"/>
        </w:rPr>
        <w:t>2</w:t>
      </w:r>
      <w:r>
        <w:rPr>
          <w:rFonts w:hint="eastAsia"/>
          <w:color w:val="auto"/>
        </w:rPr>
        <w:t>、YQ-102-0</w:t>
      </w:r>
      <w:r>
        <w:rPr>
          <w:color w:val="auto"/>
        </w:rPr>
        <w:t>5</w:t>
      </w:r>
      <w:r>
        <w:rPr>
          <w:rFonts w:hint="eastAsia"/>
          <w:color w:val="auto"/>
        </w:rPr>
        <w:t>、YQ-102-0</w:t>
      </w:r>
      <w:r>
        <w:rPr>
          <w:color w:val="auto"/>
        </w:rPr>
        <w:t>8进行测量</w:t>
      </w:r>
      <w:r>
        <w:rPr>
          <w:rFonts w:hint="eastAsia"/>
          <w:color w:val="auto"/>
        </w:rPr>
        <w:t>。</w:t>
      </w:r>
    </w:p>
    <w:p>
      <w:pPr>
        <w:pStyle w:val="298"/>
        <w:spacing w:before="156" w:after="156"/>
        <w:rPr>
          <w:color w:val="auto"/>
          <w:lang w:eastAsia="zh-CN"/>
        </w:rPr>
      </w:pPr>
      <w:bookmarkStart w:id="459" w:name="_Toc24136786"/>
      <w:bookmarkStart w:id="460" w:name="_Toc34234705"/>
      <w:bookmarkStart w:id="461" w:name="_Toc30202"/>
      <w:r>
        <w:rPr>
          <w:color w:val="auto"/>
        </w:rPr>
        <w:t>4.4.4</w:t>
      </w:r>
      <w:r>
        <w:rPr>
          <w:rFonts w:hint="eastAsia"/>
          <w:color w:val="auto"/>
          <w:lang w:eastAsia="zh-CN"/>
        </w:rPr>
        <w:t>评价标准</w:t>
      </w:r>
      <w:bookmarkEnd w:id="459"/>
      <w:bookmarkEnd w:id="460"/>
      <w:bookmarkEnd w:id="461"/>
    </w:p>
    <w:p>
      <w:pPr>
        <w:spacing w:line="360" w:lineRule="auto"/>
        <w:ind w:firstLine="480" w:firstLineChars="200"/>
        <w:rPr>
          <w:color w:val="auto"/>
        </w:rPr>
      </w:pPr>
      <w:r>
        <w:rPr>
          <w:color w:val="auto"/>
        </w:rPr>
        <w:t>根据《梅州市环境保护</w:t>
      </w:r>
      <w:r>
        <w:rPr>
          <w:rFonts w:hint="eastAsia"/>
          <w:color w:val="auto"/>
        </w:rPr>
        <w:t>“十三五”规划</w:t>
      </w:r>
      <w:r>
        <w:rPr>
          <w:color w:val="auto"/>
        </w:rPr>
        <w:t>》（2016~2020年），2类功能区主要适用于居住、工业、商业及商住混合区，</w:t>
      </w:r>
      <w:r>
        <w:rPr>
          <w:rFonts w:hint="eastAsia"/>
          <w:color w:val="auto"/>
        </w:rPr>
        <w:t>故</w:t>
      </w:r>
      <w:r>
        <w:rPr>
          <w:color w:val="auto"/>
        </w:rPr>
        <w:t>项目</w:t>
      </w:r>
      <w:r>
        <w:rPr>
          <w:rFonts w:hint="eastAsia"/>
          <w:color w:val="auto"/>
        </w:rPr>
        <w:t>所在区域</w:t>
      </w:r>
      <w:r>
        <w:rPr>
          <w:color w:val="auto"/>
        </w:rPr>
        <w:t>适用于2类</w:t>
      </w:r>
      <w:r>
        <w:rPr>
          <w:rFonts w:hint="eastAsia"/>
          <w:color w:val="auto"/>
        </w:rPr>
        <w:t>声</w:t>
      </w:r>
      <w:r>
        <w:rPr>
          <w:color w:val="auto"/>
        </w:rPr>
        <w:t>环境</w:t>
      </w:r>
      <w:r>
        <w:rPr>
          <w:rFonts w:hint="eastAsia"/>
          <w:color w:val="auto"/>
        </w:rPr>
        <w:t>功能区</w:t>
      </w:r>
      <w:r>
        <w:rPr>
          <w:color w:val="auto"/>
        </w:rPr>
        <w:t>，</w:t>
      </w:r>
      <w:r>
        <w:rPr>
          <w:rFonts w:hint="eastAsia"/>
          <w:color w:val="auto"/>
        </w:rPr>
        <w:t>除东边界执行</w:t>
      </w:r>
      <w:r>
        <w:rPr>
          <w:color w:val="auto"/>
        </w:rPr>
        <w:t>《声环境质量标准》（GB3096-2008）</w:t>
      </w:r>
      <w:r>
        <w:rPr>
          <w:rFonts w:hint="eastAsia"/>
          <w:color w:val="auto"/>
        </w:rPr>
        <w:t>4</w:t>
      </w:r>
      <w:r>
        <w:rPr>
          <w:color w:val="auto"/>
        </w:rPr>
        <w:t>a</w:t>
      </w:r>
      <w:r>
        <w:rPr>
          <w:rFonts w:hint="eastAsia"/>
          <w:color w:val="auto"/>
        </w:rPr>
        <w:t>类标准外，其余区域执行</w:t>
      </w:r>
      <w:r>
        <w:rPr>
          <w:color w:val="auto"/>
        </w:rPr>
        <w:t>2类标准。</w:t>
      </w:r>
    </w:p>
    <w:p>
      <w:pPr>
        <w:pStyle w:val="298"/>
        <w:spacing w:before="156" w:after="156"/>
        <w:rPr>
          <w:color w:val="auto"/>
        </w:rPr>
      </w:pPr>
      <w:bookmarkStart w:id="462" w:name="_Toc24136787"/>
      <w:bookmarkStart w:id="463" w:name="_Toc34234706"/>
      <w:bookmarkStart w:id="464" w:name="_Toc4864"/>
      <w:r>
        <w:rPr>
          <w:color w:val="auto"/>
        </w:rPr>
        <w:t>4.4.5评价方法</w:t>
      </w:r>
      <w:bookmarkEnd w:id="462"/>
      <w:bookmarkEnd w:id="463"/>
      <w:bookmarkEnd w:id="464"/>
    </w:p>
    <w:p>
      <w:pPr>
        <w:ind w:firstLine="480"/>
        <w:rPr>
          <w:color w:val="auto"/>
        </w:rPr>
      </w:pPr>
      <w:r>
        <w:rPr>
          <w:color w:val="auto"/>
        </w:rPr>
        <w:t>对照评价标准限值，对监测结果进行统计分析，评价本项目声环境质量现状。</w:t>
      </w:r>
    </w:p>
    <w:p>
      <w:pPr>
        <w:rPr>
          <w:color w:val="auto"/>
        </w:rPr>
      </w:pPr>
    </w:p>
    <w:p>
      <w:pPr>
        <w:rPr>
          <w:color w:val="auto"/>
        </w:rPr>
      </w:pPr>
      <w:r>
        <w:rPr>
          <w:color w:val="auto"/>
        </w:rPr>
        <w:drawing>
          <wp:anchor distT="0" distB="0" distL="114300" distR="114300" simplePos="0" relativeHeight="251661312" behindDoc="0" locked="0" layoutInCell="1" allowOverlap="1">
            <wp:simplePos x="0" y="0"/>
            <wp:positionH relativeFrom="column">
              <wp:posOffset>4170045</wp:posOffset>
            </wp:positionH>
            <wp:positionV relativeFrom="paragraph">
              <wp:posOffset>120015</wp:posOffset>
            </wp:positionV>
            <wp:extent cx="1072515" cy="871220"/>
            <wp:effectExtent l="0" t="0" r="0" b="5080"/>
            <wp:wrapNone/>
            <wp:docPr id="1282" name="图片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 name="图片 1282"/>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072515" cy="871220"/>
                    </a:xfrm>
                    <a:prstGeom prst="rect">
                      <a:avLst/>
                    </a:prstGeom>
                  </pic:spPr>
                </pic:pic>
              </a:graphicData>
            </a:graphic>
          </wp:anchor>
        </w:drawing>
      </w:r>
      <w:r>
        <w:rPr>
          <w:b/>
          <w:bCs/>
          <w:color w:val="auto"/>
          <w:sz w:val="21"/>
          <w:szCs w:val="21"/>
        </w:rPr>
        <w:drawing>
          <wp:inline distT="0" distB="0" distL="0" distR="0">
            <wp:extent cx="5274310" cy="3172460"/>
            <wp:effectExtent l="0" t="0" r="2540" b="8890"/>
            <wp:docPr id="1280" name="图片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图片 1280"/>
                    <pic:cNvPicPr>
                      <a:picLocks noChangeAspect="1"/>
                    </pic:cNvPicPr>
                  </pic:nvPicPr>
                  <pic:blipFill>
                    <a:blip r:embed="rId98">
                      <a:extLst>
                        <a:ext uri="{28A0092B-C50C-407E-A947-70E740481C1C}">
                          <a14:useLocalDpi xmlns:a14="http://schemas.microsoft.com/office/drawing/2010/main" val="0"/>
                        </a:ext>
                      </a:extLst>
                    </a:blip>
                    <a:srcRect l="9193" t="21852" r="28621" b="25235"/>
                    <a:stretch>
                      <a:fillRect/>
                    </a:stretch>
                  </pic:blipFill>
                  <pic:spPr>
                    <a:xfrm>
                      <a:off x="0" y="0"/>
                      <a:ext cx="5274310" cy="3172902"/>
                    </a:xfrm>
                    <a:prstGeom prst="rect">
                      <a:avLst/>
                    </a:prstGeom>
                    <a:ln>
                      <a:noFill/>
                    </a:ln>
                  </pic:spPr>
                </pic:pic>
              </a:graphicData>
            </a:graphic>
          </wp:inline>
        </w:drawing>
      </w:r>
    </w:p>
    <w:p>
      <w:pPr>
        <w:jc w:val="center"/>
        <w:rPr>
          <w:color w:val="auto"/>
        </w:rPr>
      </w:pPr>
      <w:r>
        <w:rPr>
          <w:rFonts w:hint="eastAsia"/>
          <w:b/>
          <w:bCs/>
          <w:color w:val="auto"/>
        </w:rPr>
        <w:t>图4</w:t>
      </w:r>
      <w:r>
        <w:rPr>
          <w:b/>
          <w:bCs/>
          <w:color w:val="auto"/>
        </w:rPr>
        <w:t xml:space="preserve">.4-1 </w:t>
      </w:r>
      <w:r>
        <w:rPr>
          <w:rFonts w:hint="eastAsia"/>
          <w:b/>
          <w:bCs/>
          <w:color w:val="auto"/>
        </w:rPr>
        <w:t>项目所在区域环境噪声质量现状监测布点示意图</w:t>
      </w:r>
    </w:p>
    <w:p>
      <w:pPr>
        <w:pStyle w:val="298"/>
        <w:spacing w:before="156" w:after="156"/>
        <w:rPr>
          <w:color w:val="auto"/>
        </w:rPr>
      </w:pPr>
      <w:bookmarkStart w:id="465" w:name="_Toc14946885"/>
      <w:bookmarkStart w:id="466" w:name="_Toc15912177"/>
      <w:bookmarkStart w:id="467" w:name="_Toc34234707"/>
      <w:bookmarkStart w:id="468" w:name="_Toc24136788"/>
      <w:bookmarkStart w:id="469" w:name="_Toc18766"/>
      <w:r>
        <w:rPr>
          <w:color w:val="auto"/>
        </w:rPr>
        <w:t>4.4.6监测结果与</w:t>
      </w:r>
      <w:bookmarkEnd w:id="465"/>
      <w:bookmarkEnd w:id="466"/>
      <w:r>
        <w:rPr>
          <w:rFonts w:hint="eastAsia"/>
          <w:color w:val="auto"/>
          <w:lang w:eastAsia="zh-CN"/>
        </w:rPr>
        <w:t>评价</w:t>
      </w:r>
      <w:bookmarkEnd w:id="467"/>
      <w:bookmarkEnd w:id="468"/>
      <w:bookmarkEnd w:id="469"/>
    </w:p>
    <w:p>
      <w:pPr>
        <w:spacing w:line="360" w:lineRule="auto"/>
        <w:ind w:firstLine="480"/>
        <w:rPr>
          <w:color w:val="auto"/>
        </w:rPr>
      </w:pPr>
      <w:r>
        <w:rPr>
          <w:color w:val="auto"/>
        </w:rPr>
        <w:t>声环境质量现状监测情况见下表4.4-2。</w:t>
      </w:r>
    </w:p>
    <w:p>
      <w:pPr>
        <w:pStyle w:val="5"/>
        <w:ind w:firstLine="482"/>
        <w:jc w:val="center"/>
        <w:rPr>
          <w:b/>
          <w:color w:val="auto"/>
        </w:rPr>
      </w:pPr>
      <w:r>
        <w:rPr>
          <w:b/>
          <w:color w:val="auto"/>
        </w:rPr>
        <w:t xml:space="preserve">表4.4-2  </w:t>
      </w:r>
      <w:r>
        <w:rPr>
          <w:rFonts w:hint="eastAsia"/>
          <w:b/>
          <w:color w:val="auto"/>
        </w:rPr>
        <w:t>引用</w:t>
      </w:r>
      <w:r>
        <w:rPr>
          <w:b/>
          <w:color w:val="auto"/>
        </w:rPr>
        <w:t>声环境质量监测结果  单位：dB（A）</w:t>
      </w:r>
    </w:p>
    <w:tbl>
      <w:tblPr>
        <w:tblStyle w:val="53"/>
        <w:tblW w:w="852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04"/>
        <w:gridCol w:w="1416"/>
        <w:gridCol w:w="1418"/>
        <w:gridCol w:w="1418"/>
        <w:gridCol w:w="14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804" w:type="dxa"/>
            <w:vMerge w:val="restart"/>
            <w:tcBorders>
              <w:top w:val="single" w:color="auto" w:sz="12" w:space="0"/>
              <w:left w:val="nil"/>
              <w:bottom w:val="single" w:color="auto" w:sz="4" w:space="0"/>
              <w:tl2br w:val="single" w:color="auto" w:sz="4" w:space="0"/>
            </w:tcBorders>
            <w:shd w:val="clear" w:color="auto" w:fill="auto"/>
            <w:vAlign w:val="center"/>
          </w:tcPr>
          <w:p>
            <w:pPr>
              <w:kinsoku w:val="0"/>
              <w:overflowPunct w:val="0"/>
              <w:autoSpaceDE w:val="0"/>
              <w:autoSpaceDN w:val="0"/>
              <w:adjustRightInd w:val="0"/>
              <w:ind w:right="410"/>
              <w:jc w:val="right"/>
              <w:rPr>
                <w:b/>
                <w:color w:val="auto"/>
                <w:spacing w:val="-3"/>
                <w:sz w:val="21"/>
                <w:szCs w:val="21"/>
              </w:rPr>
            </w:pPr>
            <w:r>
              <w:rPr>
                <w:b/>
                <w:color w:val="auto"/>
                <w:spacing w:val="-3"/>
                <w:sz w:val="21"/>
                <w:szCs w:val="21"/>
              </w:rPr>
              <w:t>监测日期</w:t>
            </w:r>
          </w:p>
          <w:p>
            <w:pPr>
              <w:kinsoku w:val="0"/>
              <w:overflowPunct w:val="0"/>
              <w:autoSpaceDE w:val="0"/>
              <w:autoSpaceDN w:val="0"/>
              <w:adjustRightInd w:val="0"/>
              <w:jc w:val="center"/>
              <w:rPr>
                <w:b/>
                <w:color w:val="auto"/>
                <w:spacing w:val="-3"/>
                <w:sz w:val="21"/>
                <w:szCs w:val="21"/>
              </w:rPr>
            </w:pPr>
          </w:p>
          <w:p>
            <w:pPr>
              <w:kinsoku w:val="0"/>
              <w:overflowPunct w:val="0"/>
              <w:autoSpaceDE w:val="0"/>
              <w:autoSpaceDN w:val="0"/>
              <w:adjustRightInd w:val="0"/>
              <w:ind w:firstLine="410" w:firstLineChars="200"/>
              <w:rPr>
                <w:b/>
                <w:color w:val="auto"/>
                <w:spacing w:val="-3"/>
                <w:sz w:val="21"/>
                <w:szCs w:val="21"/>
              </w:rPr>
            </w:pPr>
            <w:r>
              <w:rPr>
                <w:b/>
                <w:color w:val="auto"/>
                <w:spacing w:val="-3"/>
                <w:sz w:val="21"/>
                <w:szCs w:val="21"/>
              </w:rPr>
              <w:t>监测</w:t>
            </w:r>
            <w:r>
              <w:rPr>
                <w:rFonts w:hint="eastAsia"/>
                <w:b/>
                <w:color w:val="auto"/>
                <w:spacing w:val="-3"/>
                <w:sz w:val="21"/>
                <w:szCs w:val="21"/>
              </w:rPr>
              <w:t>点位</w:t>
            </w:r>
          </w:p>
        </w:tc>
        <w:tc>
          <w:tcPr>
            <w:tcW w:w="2834" w:type="dxa"/>
            <w:gridSpan w:val="2"/>
            <w:tcBorders>
              <w:top w:val="single" w:color="auto" w:sz="12" w:space="0"/>
              <w:bottom w:val="single" w:color="auto" w:sz="4" w:space="0"/>
            </w:tcBorders>
            <w:shd w:val="clear" w:color="auto" w:fill="auto"/>
            <w:vAlign w:val="center"/>
          </w:tcPr>
          <w:p>
            <w:pPr>
              <w:jc w:val="center"/>
              <w:rPr>
                <w:b/>
                <w:color w:val="auto"/>
                <w:spacing w:val="-3"/>
                <w:sz w:val="21"/>
                <w:szCs w:val="21"/>
              </w:rPr>
            </w:pPr>
            <w:r>
              <w:rPr>
                <w:b/>
                <w:color w:val="auto"/>
                <w:spacing w:val="-3"/>
                <w:sz w:val="21"/>
                <w:szCs w:val="21"/>
              </w:rPr>
              <w:t>2019.04.18</w:t>
            </w:r>
          </w:p>
        </w:tc>
        <w:tc>
          <w:tcPr>
            <w:tcW w:w="2884" w:type="dxa"/>
            <w:gridSpan w:val="2"/>
            <w:tcBorders>
              <w:top w:val="single" w:color="auto" w:sz="12" w:space="0"/>
              <w:bottom w:val="single" w:color="auto" w:sz="4" w:space="0"/>
              <w:right w:val="nil"/>
            </w:tcBorders>
            <w:shd w:val="clear" w:color="auto" w:fill="auto"/>
            <w:vAlign w:val="center"/>
          </w:tcPr>
          <w:p>
            <w:pPr>
              <w:jc w:val="center"/>
              <w:rPr>
                <w:b/>
                <w:color w:val="auto"/>
                <w:spacing w:val="-3"/>
                <w:sz w:val="21"/>
                <w:szCs w:val="21"/>
              </w:rPr>
            </w:pPr>
            <w:r>
              <w:rPr>
                <w:b/>
                <w:color w:val="auto"/>
                <w:spacing w:val="-3"/>
                <w:sz w:val="21"/>
                <w:szCs w:val="21"/>
              </w:rPr>
              <w:t>2019.04.19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804" w:type="dxa"/>
            <w:vMerge w:val="continue"/>
            <w:tcBorders>
              <w:top w:val="single" w:color="auto" w:sz="4" w:space="0"/>
              <w:left w:val="nil"/>
              <w:bottom w:val="single" w:color="auto" w:sz="4" w:space="0"/>
              <w:tl2br w:val="single" w:color="auto" w:sz="4" w:space="0"/>
            </w:tcBorders>
            <w:shd w:val="clear" w:color="auto" w:fill="auto"/>
            <w:vAlign w:val="center"/>
          </w:tcPr>
          <w:p>
            <w:pPr>
              <w:kinsoku w:val="0"/>
              <w:overflowPunct w:val="0"/>
              <w:autoSpaceDE w:val="0"/>
              <w:autoSpaceDN w:val="0"/>
              <w:adjustRightInd w:val="0"/>
              <w:jc w:val="center"/>
              <w:rPr>
                <w:b/>
                <w:color w:val="auto"/>
                <w:spacing w:val="-3"/>
                <w:sz w:val="21"/>
                <w:szCs w:val="21"/>
              </w:rPr>
            </w:pPr>
          </w:p>
        </w:tc>
        <w:tc>
          <w:tcPr>
            <w:tcW w:w="2834" w:type="dxa"/>
            <w:gridSpan w:val="2"/>
            <w:tcBorders>
              <w:top w:val="single" w:color="auto" w:sz="4" w:space="0"/>
              <w:bottom w:val="single" w:color="auto" w:sz="4" w:space="0"/>
            </w:tcBorders>
            <w:shd w:val="clear" w:color="auto" w:fill="auto"/>
            <w:vAlign w:val="center"/>
          </w:tcPr>
          <w:p>
            <w:pPr>
              <w:jc w:val="center"/>
              <w:rPr>
                <w:b/>
                <w:color w:val="auto"/>
                <w:spacing w:val="-3"/>
                <w:sz w:val="21"/>
                <w:szCs w:val="21"/>
              </w:rPr>
            </w:pPr>
            <w:r>
              <w:rPr>
                <w:b/>
                <w:color w:val="auto"/>
                <w:spacing w:val="-3"/>
                <w:sz w:val="21"/>
                <w:szCs w:val="21"/>
              </w:rPr>
              <w:t>Leq〔dB（A）〕</w:t>
            </w:r>
          </w:p>
        </w:tc>
        <w:tc>
          <w:tcPr>
            <w:tcW w:w="2884" w:type="dxa"/>
            <w:gridSpan w:val="2"/>
            <w:tcBorders>
              <w:top w:val="single" w:color="auto" w:sz="4" w:space="0"/>
              <w:bottom w:val="single" w:color="auto" w:sz="4" w:space="0"/>
              <w:right w:val="nil"/>
            </w:tcBorders>
            <w:shd w:val="clear" w:color="auto" w:fill="auto"/>
            <w:vAlign w:val="center"/>
          </w:tcPr>
          <w:p>
            <w:pPr>
              <w:jc w:val="center"/>
              <w:rPr>
                <w:b/>
                <w:color w:val="auto"/>
                <w:spacing w:val="-3"/>
                <w:sz w:val="21"/>
                <w:szCs w:val="21"/>
              </w:rPr>
            </w:pPr>
            <w:r>
              <w:rPr>
                <w:b/>
                <w:color w:val="auto"/>
                <w:spacing w:val="-3"/>
                <w:sz w:val="21"/>
                <w:szCs w:val="21"/>
              </w:rPr>
              <w:t>Leq〔dB（A）〕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804" w:type="dxa"/>
            <w:vMerge w:val="continue"/>
            <w:tcBorders>
              <w:top w:val="single" w:color="auto" w:sz="4" w:space="0"/>
              <w:left w:val="nil"/>
              <w:bottom w:val="single" w:color="auto" w:sz="4" w:space="0"/>
              <w:tl2br w:val="single" w:color="auto" w:sz="4" w:space="0"/>
            </w:tcBorders>
            <w:shd w:val="clear" w:color="auto" w:fill="auto"/>
            <w:vAlign w:val="center"/>
          </w:tcPr>
          <w:p>
            <w:pPr>
              <w:kinsoku w:val="0"/>
              <w:overflowPunct w:val="0"/>
              <w:autoSpaceDE w:val="0"/>
              <w:autoSpaceDN w:val="0"/>
              <w:adjustRightInd w:val="0"/>
              <w:jc w:val="center"/>
              <w:rPr>
                <w:b/>
                <w:color w:val="auto"/>
                <w:spacing w:val="-3"/>
                <w:sz w:val="21"/>
                <w:szCs w:val="21"/>
              </w:rPr>
            </w:pPr>
          </w:p>
        </w:tc>
        <w:tc>
          <w:tcPr>
            <w:tcW w:w="1416" w:type="dxa"/>
            <w:tcBorders>
              <w:top w:val="single" w:color="auto" w:sz="4" w:space="0"/>
              <w:bottom w:val="single" w:color="auto" w:sz="4" w:space="0"/>
            </w:tcBorders>
            <w:shd w:val="clear" w:color="auto" w:fill="auto"/>
            <w:vAlign w:val="center"/>
          </w:tcPr>
          <w:p>
            <w:pPr>
              <w:jc w:val="center"/>
              <w:rPr>
                <w:b/>
                <w:color w:val="auto"/>
                <w:spacing w:val="-3"/>
                <w:sz w:val="21"/>
                <w:szCs w:val="21"/>
              </w:rPr>
            </w:pPr>
            <w:r>
              <w:rPr>
                <w:b/>
                <w:color w:val="auto"/>
                <w:spacing w:val="-3"/>
                <w:sz w:val="21"/>
                <w:szCs w:val="21"/>
              </w:rPr>
              <w:t>昼间</w:t>
            </w:r>
          </w:p>
        </w:tc>
        <w:tc>
          <w:tcPr>
            <w:tcW w:w="1418" w:type="dxa"/>
            <w:tcBorders>
              <w:top w:val="single" w:color="auto" w:sz="4" w:space="0"/>
              <w:bottom w:val="single" w:color="auto" w:sz="4" w:space="0"/>
            </w:tcBorders>
            <w:shd w:val="clear" w:color="auto" w:fill="auto"/>
            <w:vAlign w:val="center"/>
          </w:tcPr>
          <w:p>
            <w:pPr>
              <w:jc w:val="center"/>
              <w:rPr>
                <w:b/>
                <w:color w:val="auto"/>
                <w:spacing w:val="-3"/>
                <w:sz w:val="21"/>
                <w:szCs w:val="21"/>
              </w:rPr>
            </w:pPr>
            <w:r>
              <w:rPr>
                <w:b/>
                <w:color w:val="auto"/>
                <w:spacing w:val="-3"/>
                <w:sz w:val="21"/>
                <w:szCs w:val="21"/>
              </w:rPr>
              <w:t>夜间</w:t>
            </w:r>
          </w:p>
        </w:tc>
        <w:tc>
          <w:tcPr>
            <w:tcW w:w="1418" w:type="dxa"/>
            <w:tcBorders>
              <w:top w:val="single" w:color="auto" w:sz="4" w:space="0"/>
              <w:bottom w:val="single" w:color="auto" w:sz="4" w:space="0"/>
            </w:tcBorders>
            <w:shd w:val="clear" w:color="auto" w:fill="auto"/>
            <w:vAlign w:val="center"/>
          </w:tcPr>
          <w:p>
            <w:pPr>
              <w:jc w:val="center"/>
              <w:rPr>
                <w:b/>
                <w:color w:val="auto"/>
                <w:spacing w:val="-3"/>
                <w:sz w:val="21"/>
                <w:szCs w:val="21"/>
              </w:rPr>
            </w:pPr>
            <w:r>
              <w:rPr>
                <w:b/>
                <w:color w:val="auto"/>
                <w:spacing w:val="-3"/>
                <w:sz w:val="21"/>
                <w:szCs w:val="21"/>
              </w:rPr>
              <w:t>昼间</w:t>
            </w:r>
          </w:p>
        </w:tc>
        <w:tc>
          <w:tcPr>
            <w:tcW w:w="1466" w:type="dxa"/>
            <w:tcBorders>
              <w:top w:val="single" w:color="auto" w:sz="4" w:space="0"/>
              <w:bottom w:val="single" w:color="auto" w:sz="4" w:space="0"/>
              <w:right w:val="nil"/>
            </w:tcBorders>
            <w:shd w:val="clear" w:color="auto" w:fill="auto"/>
            <w:vAlign w:val="center"/>
          </w:tcPr>
          <w:p>
            <w:pPr>
              <w:jc w:val="center"/>
              <w:rPr>
                <w:b/>
                <w:color w:val="auto"/>
                <w:spacing w:val="-3"/>
                <w:sz w:val="21"/>
                <w:szCs w:val="21"/>
              </w:rPr>
            </w:pPr>
            <w:r>
              <w:rPr>
                <w:b/>
                <w:color w:val="auto"/>
                <w:spacing w:val="-3"/>
                <w:sz w:val="21"/>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804" w:type="dxa"/>
            <w:tcBorders>
              <w:top w:val="single" w:color="auto" w:sz="4" w:space="0"/>
              <w:left w:val="nil"/>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N</w:t>
            </w:r>
            <w:r>
              <w:rPr>
                <w:color w:val="auto"/>
                <w:spacing w:val="-3"/>
                <w:sz w:val="21"/>
                <w:szCs w:val="21"/>
              </w:rPr>
              <w:t>1</w:t>
            </w:r>
          </w:p>
        </w:tc>
        <w:tc>
          <w:tcPr>
            <w:tcW w:w="1416"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4</w:t>
            </w:r>
            <w:r>
              <w:rPr>
                <w:color w:val="auto"/>
                <w:spacing w:val="-3"/>
                <w:sz w:val="21"/>
                <w:szCs w:val="21"/>
              </w:rPr>
              <w:t>3.2</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9.5</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4</w:t>
            </w:r>
            <w:r>
              <w:rPr>
                <w:color w:val="auto"/>
                <w:spacing w:val="-3"/>
                <w:sz w:val="21"/>
                <w:szCs w:val="21"/>
              </w:rPr>
              <w:t>0.4</w:t>
            </w:r>
          </w:p>
        </w:tc>
        <w:tc>
          <w:tcPr>
            <w:tcW w:w="1466" w:type="dxa"/>
            <w:tcBorders>
              <w:top w:val="single" w:color="auto" w:sz="4" w:space="0"/>
              <w:bottom w:val="single" w:color="auto" w:sz="4" w:space="0"/>
              <w:right w:val="nil"/>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804" w:type="dxa"/>
            <w:tcBorders>
              <w:top w:val="single" w:color="auto" w:sz="4" w:space="0"/>
              <w:left w:val="nil"/>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N</w:t>
            </w:r>
            <w:r>
              <w:rPr>
                <w:color w:val="auto"/>
                <w:spacing w:val="-3"/>
                <w:sz w:val="21"/>
                <w:szCs w:val="21"/>
              </w:rPr>
              <w:t>2</w:t>
            </w:r>
          </w:p>
        </w:tc>
        <w:tc>
          <w:tcPr>
            <w:tcW w:w="1416"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4</w:t>
            </w:r>
            <w:r>
              <w:rPr>
                <w:color w:val="auto"/>
                <w:spacing w:val="-3"/>
                <w:sz w:val="21"/>
                <w:szCs w:val="21"/>
              </w:rPr>
              <w:t>3.1</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8.0</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7.7</w:t>
            </w:r>
          </w:p>
        </w:tc>
        <w:tc>
          <w:tcPr>
            <w:tcW w:w="1466" w:type="dxa"/>
            <w:tcBorders>
              <w:top w:val="single" w:color="auto" w:sz="4" w:space="0"/>
              <w:bottom w:val="single" w:color="auto" w:sz="4" w:space="0"/>
              <w:right w:val="nil"/>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804" w:type="dxa"/>
            <w:tcBorders>
              <w:top w:val="single" w:color="auto" w:sz="4" w:space="0"/>
              <w:left w:val="nil"/>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N</w:t>
            </w:r>
            <w:r>
              <w:rPr>
                <w:color w:val="auto"/>
                <w:spacing w:val="-3"/>
                <w:sz w:val="21"/>
                <w:szCs w:val="21"/>
              </w:rPr>
              <w:t>3</w:t>
            </w:r>
          </w:p>
        </w:tc>
        <w:tc>
          <w:tcPr>
            <w:tcW w:w="1416"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8.0</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6.0</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6.9</w:t>
            </w:r>
          </w:p>
        </w:tc>
        <w:tc>
          <w:tcPr>
            <w:tcW w:w="1466" w:type="dxa"/>
            <w:tcBorders>
              <w:top w:val="single" w:color="auto" w:sz="4" w:space="0"/>
              <w:bottom w:val="single" w:color="auto" w:sz="4" w:space="0"/>
              <w:right w:val="nil"/>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804" w:type="dxa"/>
            <w:tcBorders>
              <w:top w:val="single" w:color="auto" w:sz="4" w:space="0"/>
              <w:left w:val="nil"/>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N</w:t>
            </w:r>
            <w:r>
              <w:rPr>
                <w:color w:val="auto"/>
                <w:spacing w:val="-3"/>
                <w:sz w:val="21"/>
                <w:szCs w:val="21"/>
              </w:rPr>
              <w:t>4</w:t>
            </w:r>
          </w:p>
        </w:tc>
        <w:tc>
          <w:tcPr>
            <w:tcW w:w="1416"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4</w:t>
            </w:r>
            <w:r>
              <w:rPr>
                <w:color w:val="auto"/>
                <w:spacing w:val="-3"/>
                <w:sz w:val="21"/>
                <w:szCs w:val="21"/>
              </w:rPr>
              <w:t>2.7</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8.7</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4</w:t>
            </w:r>
            <w:r>
              <w:rPr>
                <w:color w:val="auto"/>
                <w:spacing w:val="-3"/>
                <w:sz w:val="21"/>
                <w:szCs w:val="21"/>
              </w:rPr>
              <w:t>0.2</w:t>
            </w:r>
          </w:p>
        </w:tc>
        <w:tc>
          <w:tcPr>
            <w:tcW w:w="1466" w:type="dxa"/>
            <w:tcBorders>
              <w:top w:val="single" w:color="auto" w:sz="4" w:space="0"/>
              <w:bottom w:val="single" w:color="auto" w:sz="4" w:space="0"/>
              <w:right w:val="nil"/>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804" w:type="dxa"/>
            <w:tcBorders>
              <w:top w:val="single" w:color="auto" w:sz="4" w:space="0"/>
              <w:left w:val="nil"/>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N</w:t>
            </w:r>
            <w:r>
              <w:rPr>
                <w:color w:val="auto"/>
                <w:spacing w:val="-3"/>
                <w:sz w:val="21"/>
                <w:szCs w:val="21"/>
              </w:rPr>
              <w:t>5</w:t>
            </w:r>
          </w:p>
        </w:tc>
        <w:tc>
          <w:tcPr>
            <w:tcW w:w="1416"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4</w:t>
            </w:r>
            <w:r>
              <w:rPr>
                <w:color w:val="auto"/>
                <w:spacing w:val="-3"/>
                <w:sz w:val="21"/>
                <w:szCs w:val="21"/>
              </w:rPr>
              <w:t>2.4</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7.1</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9.9</w:t>
            </w:r>
          </w:p>
        </w:tc>
        <w:tc>
          <w:tcPr>
            <w:tcW w:w="1466" w:type="dxa"/>
            <w:tcBorders>
              <w:top w:val="single" w:color="auto" w:sz="4" w:space="0"/>
              <w:bottom w:val="single" w:color="auto" w:sz="4" w:space="0"/>
              <w:right w:val="nil"/>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804" w:type="dxa"/>
            <w:tcBorders>
              <w:top w:val="single" w:color="auto" w:sz="4" w:space="0"/>
              <w:left w:val="nil"/>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N</w:t>
            </w:r>
            <w:r>
              <w:rPr>
                <w:color w:val="auto"/>
                <w:spacing w:val="-3"/>
                <w:sz w:val="21"/>
                <w:szCs w:val="21"/>
              </w:rPr>
              <w:t>6</w:t>
            </w:r>
          </w:p>
        </w:tc>
        <w:tc>
          <w:tcPr>
            <w:tcW w:w="1416"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4</w:t>
            </w:r>
            <w:r>
              <w:rPr>
                <w:color w:val="auto"/>
                <w:spacing w:val="-3"/>
                <w:sz w:val="21"/>
                <w:szCs w:val="21"/>
              </w:rPr>
              <w:t>0.4</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6.9</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8.0</w:t>
            </w:r>
          </w:p>
        </w:tc>
        <w:tc>
          <w:tcPr>
            <w:tcW w:w="1466" w:type="dxa"/>
            <w:tcBorders>
              <w:top w:val="single" w:color="auto" w:sz="4" w:space="0"/>
              <w:bottom w:val="single" w:color="auto" w:sz="4" w:space="0"/>
              <w:right w:val="nil"/>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804" w:type="dxa"/>
            <w:tcBorders>
              <w:top w:val="single" w:color="auto" w:sz="4" w:space="0"/>
              <w:left w:val="nil"/>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N</w:t>
            </w:r>
            <w:r>
              <w:rPr>
                <w:color w:val="auto"/>
                <w:spacing w:val="-3"/>
                <w:sz w:val="21"/>
                <w:szCs w:val="21"/>
              </w:rPr>
              <w:t>7</w:t>
            </w:r>
          </w:p>
        </w:tc>
        <w:tc>
          <w:tcPr>
            <w:tcW w:w="1416"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4</w:t>
            </w:r>
            <w:r>
              <w:rPr>
                <w:color w:val="auto"/>
                <w:spacing w:val="-3"/>
                <w:sz w:val="21"/>
                <w:szCs w:val="21"/>
              </w:rPr>
              <w:t>1.9</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7.4</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4</w:t>
            </w:r>
            <w:r>
              <w:rPr>
                <w:color w:val="auto"/>
                <w:spacing w:val="-3"/>
                <w:sz w:val="21"/>
                <w:szCs w:val="21"/>
              </w:rPr>
              <w:t>1.1</w:t>
            </w:r>
          </w:p>
        </w:tc>
        <w:tc>
          <w:tcPr>
            <w:tcW w:w="1466" w:type="dxa"/>
            <w:tcBorders>
              <w:top w:val="single" w:color="auto" w:sz="4" w:space="0"/>
              <w:bottom w:val="single" w:color="auto" w:sz="4" w:space="0"/>
              <w:right w:val="nil"/>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804" w:type="dxa"/>
            <w:tcBorders>
              <w:top w:val="single" w:color="auto" w:sz="4" w:space="0"/>
              <w:left w:val="nil"/>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N</w:t>
            </w:r>
            <w:r>
              <w:rPr>
                <w:color w:val="auto"/>
                <w:spacing w:val="-3"/>
                <w:sz w:val="21"/>
                <w:szCs w:val="21"/>
              </w:rPr>
              <w:t>8</w:t>
            </w:r>
          </w:p>
        </w:tc>
        <w:tc>
          <w:tcPr>
            <w:tcW w:w="1416"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4</w:t>
            </w:r>
            <w:r>
              <w:rPr>
                <w:color w:val="auto"/>
                <w:spacing w:val="-3"/>
                <w:sz w:val="21"/>
                <w:szCs w:val="21"/>
              </w:rPr>
              <w:t>1.7</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7.1</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9.6</w:t>
            </w:r>
          </w:p>
        </w:tc>
        <w:tc>
          <w:tcPr>
            <w:tcW w:w="1466" w:type="dxa"/>
            <w:tcBorders>
              <w:top w:val="single" w:color="auto" w:sz="4" w:space="0"/>
              <w:bottom w:val="single" w:color="auto" w:sz="4" w:space="0"/>
              <w:right w:val="nil"/>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804" w:type="dxa"/>
            <w:tcBorders>
              <w:top w:val="single" w:color="auto" w:sz="4" w:space="0"/>
              <w:left w:val="nil"/>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N</w:t>
            </w:r>
            <w:r>
              <w:rPr>
                <w:color w:val="auto"/>
                <w:spacing w:val="-3"/>
                <w:sz w:val="21"/>
                <w:szCs w:val="21"/>
              </w:rPr>
              <w:t>9</w:t>
            </w:r>
          </w:p>
        </w:tc>
        <w:tc>
          <w:tcPr>
            <w:tcW w:w="1416"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8.4</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4.4</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7.5</w:t>
            </w:r>
          </w:p>
        </w:tc>
        <w:tc>
          <w:tcPr>
            <w:tcW w:w="1466" w:type="dxa"/>
            <w:tcBorders>
              <w:top w:val="single" w:color="auto" w:sz="4" w:space="0"/>
              <w:bottom w:val="single" w:color="auto" w:sz="4" w:space="0"/>
              <w:right w:val="nil"/>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804" w:type="dxa"/>
            <w:tcBorders>
              <w:top w:val="single" w:color="auto" w:sz="4" w:space="0"/>
              <w:left w:val="nil"/>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N</w:t>
            </w:r>
            <w:r>
              <w:rPr>
                <w:color w:val="auto"/>
                <w:spacing w:val="-3"/>
                <w:sz w:val="21"/>
                <w:szCs w:val="21"/>
              </w:rPr>
              <w:t>10</w:t>
            </w:r>
          </w:p>
        </w:tc>
        <w:tc>
          <w:tcPr>
            <w:tcW w:w="1416"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4</w:t>
            </w:r>
            <w:r>
              <w:rPr>
                <w:color w:val="auto"/>
                <w:spacing w:val="-3"/>
                <w:sz w:val="21"/>
                <w:szCs w:val="21"/>
              </w:rPr>
              <w:t>1.3</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7.6</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4</w:t>
            </w:r>
            <w:r>
              <w:rPr>
                <w:color w:val="auto"/>
                <w:spacing w:val="-3"/>
                <w:sz w:val="21"/>
                <w:szCs w:val="21"/>
              </w:rPr>
              <w:t>0.0</w:t>
            </w:r>
          </w:p>
        </w:tc>
        <w:tc>
          <w:tcPr>
            <w:tcW w:w="1466" w:type="dxa"/>
            <w:tcBorders>
              <w:top w:val="single" w:color="auto" w:sz="4" w:space="0"/>
              <w:bottom w:val="single" w:color="auto" w:sz="4" w:space="0"/>
              <w:right w:val="nil"/>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804" w:type="dxa"/>
            <w:tcBorders>
              <w:top w:val="single" w:color="auto" w:sz="4" w:space="0"/>
              <w:left w:val="nil"/>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N</w:t>
            </w:r>
            <w:r>
              <w:rPr>
                <w:color w:val="auto"/>
                <w:spacing w:val="-3"/>
                <w:sz w:val="21"/>
                <w:szCs w:val="21"/>
              </w:rPr>
              <w:t>11</w:t>
            </w:r>
          </w:p>
        </w:tc>
        <w:tc>
          <w:tcPr>
            <w:tcW w:w="1416"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9.7</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6.4</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7.6</w:t>
            </w:r>
          </w:p>
        </w:tc>
        <w:tc>
          <w:tcPr>
            <w:tcW w:w="1466" w:type="dxa"/>
            <w:tcBorders>
              <w:top w:val="single" w:color="auto" w:sz="4" w:space="0"/>
              <w:bottom w:val="single" w:color="auto" w:sz="4" w:space="0"/>
              <w:right w:val="nil"/>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804" w:type="dxa"/>
            <w:tcBorders>
              <w:top w:val="single" w:color="auto" w:sz="4" w:space="0"/>
              <w:left w:val="nil"/>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N</w:t>
            </w:r>
            <w:r>
              <w:rPr>
                <w:color w:val="auto"/>
                <w:spacing w:val="-3"/>
                <w:sz w:val="21"/>
                <w:szCs w:val="21"/>
              </w:rPr>
              <w:t>12</w:t>
            </w:r>
          </w:p>
        </w:tc>
        <w:tc>
          <w:tcPr>
            <w:tcW w:w="1416"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9.5</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6.9</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4</w:t>
            </w:r>
            <w:r>
              <w:rPr>
                <w:color w:val="auto"/>
                <w:spacing w:val="-3"/>
                <w:sz w:val="21"/>
                <w:szCs w:val="21"/>
              </w:rPr>
              <w:t>0.9</w:t>
            </w:r>
          </w:p>
        </w:tc>
        <w:tc>
          <w:tcPr>
            <w:tcW w:w="1466" w:type="dxa"/>
            <w:tcBorders>
              <w:top w:val="single" w:color="auto" w:sz="4" w:space="0"/>
              <w:bottom w:val="single" w:color="auto" w:sz="4" w:space="0"/>
              <w:right w:val="nil"/>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804" w:type="dxa"/>
            <w:tcBorders>
              <w:top w:val="single" w:color="auto" w:sz="4" w:space="0"/>
              <w:left w:val="nil"/>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N</w:t>
            </w:r>
            <w:r>
              <w:rPr>
                <w:color w:val="auto"/>
                <w:spacing w:val="-3"/>
                <w:sz w:val="21"/>
                <w:szCs w:val="21"/>
              </w:rPr>
              <w:t>13</w:t>
            </w:r>
          </w:p>
        </w:tc>
        <w:tc>
          <w:tcPr>
            <w:tcW w:w="1416"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4</w:t>
            </w:r>
            <w:r>
              <w:rPr>
                <w:color w:val="auto"/>
                <w:spacing w:val="-3"/>
                <w:sz w:val="21"/>
                <w:szCs w:val="21"/>
              </w:rPr>
              <w:t>2.9</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5.8</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8.0</w:t>
            </w:r>
          </w:p>
        </w:tc>
        <w:tc>
          <w:tcPr>
            <w:tcW w:w="1466" w:type="dxa"/>
            <w:tcBorders>
              <w:top w:val="single" w:color="auto" w:sz="4" w:space="0"/>
              <w:bottom w:val="single" w:color="auto" w:sz="4" w:space="0"/>
              <w:right w:val="nil"/>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804" w:type="dxa"/>
            <w:tcBorders>
              <w:top w:val="single" w:color="auto" w:sz="4" w:space="0"/>
              <w:left w:val="nil"/>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N</w:t>
            </w:r>
            <w:r>
              <w:rPr>
                <w:color w:val="auto"/>
                <w:spacing w:val="-3"/>
                <w:sz w:val="21"/>
                <w:szCs w:val="21"/>
              </w:rPr>
              <w:t>14</w:t>
            </w:r>
          </w:p>
        </w:tc>
        <w:tc>
          <w:tcPr>
            <w:tcW w:w="1416"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4</w:t>
            </w:r>
            <w:r>
              <w:rPr>
                <w:color w:val="auto"/>
                <w:spacing w:val="-3"/>
                <w:sz w:val="21"/>
                <w:szCs w:val="21"/>
              </w:rPr>
              <w:t>2.5</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7.3</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7.7</w:t>
            </w:r>
          </w:p>
        </w:tc>
        <w:tc>
          <w:tcPr>
            <w:tcW w:w="1466" w:type="dxa"/>
            <w:tcBorders>
              <w:top w:val="single" w:color="auto" w:sz="4" w:space="0"/>
              <w:bottom w:val="single" w:color="auto" w:sz="4" w:space="0"/>
              <w:right w:val="nil"/>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7.3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804" w:type="dxa"/>
            <w:tcBorders>
              <w:top w:val="single" w:color="auto" w:sz="4" w:space="0"/>
              <w:left w:val="nil"/>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N</w:t>
            </w:r>
            <w:r>
              <w:rPr>
                <w:color w:val="auto"/>
                <w:spacing w:val="-3"/>
                <w:sz w:val="21"/>
                <w:szCs w:val="21"/>
              </w:rPr>
              <w:t>15</w:t>
            </w:r>
          </w:p>
        </w:tc>
        <w:tc>
          <w:tcPr>
            <w:tcW w:w="1416"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8.9</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7.1</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4</w:t>
            </w:r>
            <w:r>
              <w:rPr>
                <w:color w:val="auto"/>
                <w:spacing w:val="-3"/>
                <w:sz w:val="21"/>
                <w:szCs w:val="21"/>
              </w:rPr>
              <w:t>0.3</w:t>
            </w:r>
          </w:p>
        </w:tc>
        <w:tc>
          <w:tcPr>
            <w:tcW w:w="1466" w:type="dxa"/>
            <w:tcBorders>
              <w:top w:val="single" w:color="auto" w:sz="4" w:space="0"/>
              <w:bottom w:val="single" w:color="auto" w:sz="4" w:space="0"/>
              <w:right w:val="nil"/>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804" w:type="dxa"/>
            <w:tcBorders>
              <w:top w:val="single" w:color="auto" w:sz="4" w:space="0"/>
              <w:left w:val="nil"/>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N</w:t>
            </w:r>
            <w:r>
              <w:rPr>
                <w:color w:val="auto"/>
                <w:spacing w:val="-3"/>
                <w:sz w:val="21"/>
                <w:szCs w:val="21"/>
              </w:rPr>
              <w:t>16</w:t>
            </w:r>
          </w:p>
        </w:tc>
        <w:tc>
          <w:tcPr>
            <w:tcW w:w="1416"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9.0</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7.1</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8.9</w:t>
            </w:r>
          </w:p>
        </w:tc>
        <w:tc>
          <w:tcPr>
            <w:tcW w:w="1466" w:type="dxa"/>
            <w:tcBorders>
              <w:top w:val="single" w:color="auto" w:sz="4" w:space="0"/>
              <w:bottom w:val="single" w:color="auto" w:sz="4" w:space="0"/>
              <w:right w:val="nil"/>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804" w:type="dxa"/>
            <w:tcBorders>
              <w:top w:val="single" w:color="auto" w:sz="4" w:space="0"/>
              <w:left w:val="nil"/>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N</w:t>
            </w:r>
            <w:r>
              <w:rPr>
                <w:color w:val="auto"/>
                <w:spacing w:val="-3"/>
                <w:sz w:val="21"/>
                <w:szCs w:val="21"/>
              </w:rPr>
              <w:t>17</w:t>
            </w:r>
          </w:p>
        </w:tc>
        <w:tc>
          <w:tcPr>
            <w:tcW w:w="1416"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4</w:t>
            </w:r>
            <w:r>
              <w:rPr>
                <w:color w:val="auto"/>
                <w:spacing w:val="-3"/>
                <w:sz w:val="21"/>
                <w:szCs w:val="21"/>
              </w:rPr>
              <w:t>1.2</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8.5</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4</w:t>
            </w:r>
            <w:r>
              <w:rPr>
                <w:color w:val="auto"/>
                <w:spacing w:val="-3"/>
                <w:sz w:val="21"/>
                <w:szCs w:val="21"/>
              </w:rPr>
              <w:t>0.2</w:t>
            </w:r>
          </w:p>
        </w:tc>
        <w:tc>
          <w:tcPr>
            <w:tcW w:w="1466" w:type="dxa"/>
            <w:tcBorders>
              <w:top w:val="single" w:color="auto" w:sz="4" w:space="0"/>
              <w:bottom w:val="single" w:color="auto" w:sz="4" w:space="0"/>
              <w:right w:val="nil"/>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804" w:type="dxa"/>
            <w:tcBorders>
              <w:top w:val="single" w:color="auto" w:sz="4" w:space="0"/>
              <w:left w:val="nil"/>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N</w:t>
            </w:r>
            <w:r>
              <w:rPr>
                <w:color w:val="auto"/>
                <w:spacing w:val="-3"/>
                <w:sz w:val="21"/>
                <w:szCs w:val="21"/>
              </w:rPr>
              <w:t>18</w:t>
            </w:r>
            <w:r>
              <w:rPr>
                <w:rFonts w:hint="eastAsia"/>
                <w:color w:val="auto"/>
                <w:spacing w:val="-3"/>
                <w:sz w:val="21"/>
                <w:szCs w:val="21"/>
              </w:rPr>
              <w:t>先声村</w:t>
            </w:r>
          </w:p>
        </w:tc>
        <w:tc>
          <w:tcPr>
            <w:tcW w:w="1416"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4</w:t>
            </w:r>
            <w:r>
              <w:rPr>
                <w:color w:val="auto"/>
                <w:spacing w:val="-3"/>
                <w:sz w:val="21"/>
                <w:szCs w:val="21"/>
              </w:rPr>
              <w:t>8.0</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8.7</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4</w:t>
            </w:r>
            <w:r>
              <w:rPr>
                <w:color w:val="auto"/>
                <w:spacing w:val="-3"/>
                <w:sz w:val="21"/>
                <w:szCs w:val="21"/>
              </w:rPr>
              <w:t>3.0</w:t>
            </w:r>
          </w:p>
        </w:tc>
        <w:tc>
          <w:tcPr>
            <w:tcW w:w="1466" w:type="dxa"/>
            <w:tcBorders>
              <w:top w:val="single" w:color="auto" w:sz="4" w:space="0"/>
              <w:bottom w:val="single" w:color="auto" w:sz="4" w:space="0"/>
              <w:right w:val="nil"/>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804" w:type="dxa"/>
            <w:tcBorders>
              <w:top w:val="single" w:color="auto" w:sz="4" w:space="0"/>
              <w:left w:val="nil"/>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N</w:t>
            </w:r>
            <w:r>
              <w:rPr>
                <w:color w:val="auto"/>
                <w:spacing w:val="-3"/>
                <w:sz w:val="21"/>
                <w:szCs w:val="21"/>
              </w:rPr>
              <w:t>19</w:t>
            </w:r>
            <w:r>
              <w:rPr>
                <w:rFonts w:hint="eastAsia"/>
                <w:color w:val="auto"/>
                <w:spacing w:val="-3"/>
                <w:sz w:val="21"/>
                <w:szCs w:val="21"/>
              </w:rPr>
              <w:t>柘鸪塘</w:t>
            </w:r>
          </w:p>
        </w:tc>
        <w:tc>
          <w:tcPr>
            <w:tcW w:w="1416"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4</w:t>
            </w:r>
            <w:r>
              <w:rPr>
                <w:color w:val="auto"/>
                <w:spacing w:val="-3"/>
                <w:sz w:val="21"/>
                <w:szCs w:val="21"/>
              </w:rPr>
              <w:t>2.5</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8.2</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4</w:t>
            </w:r>
            <w:r>
              <w:rPr>
                <w:color w:val="auto"/>
                <w:spacing w:val="-3"/>
                <w:sz w:val="21"/>
                <w:szCs w:val="21"/>
              </w:rPr>
              <w:t>1.6</w:t>
            </w:r>
          </w:p>
        </w:tc>
        <w:tc>
          <w:tcPr>
            <w:tcW w:w="1466" w:type="dxa"/>
            <w:tcBorders>
              <w:top w:val="single" w:color="auto" w:sz="4" w:space="0"/>
              <w:bottom w:val="single" w:color="auto" w:sz="4" w:space="0"/>
              <w:right w:val="nil"/>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3</w:t>
            </w:r>
            <w:r>
              <w:rPr>
                <w:color w:val="auto"/>
                <w:spacing w:val="-3"/>
                <w:sz w:val="21"/>
                <w:szCs w:val="21"/>
              </w:rPr>
              <w:t>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804" w:type="dxa"/>
            <w:tcBorders>
              <w:top w:val="single" w:color="auto" w:sz="4" w:space="0"/>
              <w:left w:val="nil"/>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2类标准限值</w:t>
            </w:r>
          </w:p>
        </w:tc>
        <w:tc>
          <w:tcPr>
            <w:tcW w:w="1416"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≤60dB（A）</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≤50dB（A）</w:t>
            </w:r>
          </w:p>
        </w:tc>
        <w:tc>
          <w:tcPr>
            <w:tcW w:w="1418" w:type="dxa"/>
            <w:tcBorders>
              <w:top w:val="single" w:color="auto" w:sz="4" w:space="0"/>
              <w:bottom w:val="single" w:color="auto" w:sz="4"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≤60dB（A）</w:t>
            </w:r>
          </w:p>
        </w:tc>
        <w:tc>
          <w:tcPr>
            <w:tcW w:w="1466" w:type="dxa"/>
            <w:tcBorders>
              <w:top w:val="single" w:color="auto" w:sz="4" w:space="0"/>
              <w:bottom w:val="single" w:color="auto" w:sz="4" w:space="0"/>
              <w:right w:val="nil"/>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≤50dB（A）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804" w:type="dxa"/>
            <w:tcBorders>
              <w:top w:val="single" w:color="auto" w:sz="4" w:space="0"/>
              <w:left w:val="nil"/>
              <w:bottom w:val="single" w:color="auto" w:sz="12"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4</w:t>
            </w:r>
            <w:r>
              <w:rPr>
                <w:color w:val="auto"/>
                <w:spacing w:val="-3"/>
                <w:sz w:val="21"/>
                <w:szCs w:val="21"/>
              </w:rPr>
              <w:t>a</w:t>
            </w:r>
            <w:r>
              <w:rPr>
                <w:rFonts w:hint="eastAsia"/>
                <w:color w:val="auto"/>
                <w:spacing w:val="-3"/>
                <w:sz w:val="21"/>
                <w:szCs w:val="21"/>
              </w:rPr>
              <w:t>类标准限值</w:t>
            </w:r>
          </w:p>
        </w:tc>
        <w:tc>
          <w:tcPr>
            <w:tcW w:w="1416" w:type="dxa"/>
            <w:tcBorders>
              <w:top w:val="single" w:color="auto" w:sz="4" w:space="0"/>
              <w:bottom w:val="single" w:color="auto" w:sz="12"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≤70dB（A）</w:t>
            </w:r>
          </w:p>
        </w:tc>
        <w:tc>
          <w:tcPr>
            <w:tcW w:w="1418" w:type="dxa"/>
            <w:tcBorders>
              <w:top w:val="single" w:color="auto" w:sz="4" w:space="0"/>
              <w:bottom w:val="single" w:color="auto" w:sz="12"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≤5</w:t>
            </w:r>
            <w:r>
              <w:rPr>
                <w:color w:val="auto"/>
                <w:spacing w:val="-3"/>
                <w:sz w:val="21"/>
                <w:szCs w:val="21"/>
              </w:rPr>
              <w:t>5</w:t>
            </w:r>
            <w:r>
              <w:rPr>
                <w:rFonts w:hint="eastAsia"/>
                <w:color w:val="auto"/>
                <w:spacing w:val="-3"/>
                <w:sz w:val="21"/>
                <w:szCs w:val="21"/>
              </w:rPr>
              <w:t>dB（A）</w:t>
            </w:r>
          </w:p>
        </w:tc>
        <w:tc>
          <w:tcPr>
            <w:tcW w:w="1418" w:type="dxa"/>
            <w:tcBorders>
              <w:top w:val="single" w:color="auto" w:sz="4" w:space="0"/>
              <w:bottom w:val="single" w:color="auto" w:sz="12" w:space="0"/>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≤70dB（A）</w:t>
            </w:r>
          </w:p>
        </w:tc>
        <w:tc>
          <w:tcPr>
            <w:tcW w:w="1466" w:type="dxa"/>
            <w:tcBorders>
              <w:top w:val="single" w:color="auto" w:sz="4" w:space="0"/>
              <w:bottom w:val="single" w:color="auto" w:sz="12" w:space="0"/>
              <w:right w:val="nil"/>
            </w:tcBorders>
            <w:shd w:val="clear" w:color="auto" w:fill="auto"/>
            <w:vAlign w:val="center"/>
          </w:tcPr>
          <w:p>
            <w:pPr>
              <w:kinsoku w:val="0"/>
              <w:overflowPunct w:val="0"/>
              <w:autoSpaceDE w:val="0"/>
              <w:autoSpaceDN w:val="0"/>
              <w:adjustRightInd w:val="0"/>
              <w:jc w:val="center"/>
              <w:rPr>
                <w:color w:val="auto"/>
                <w:spacing w:val="-3"/>
                <w:sz w:val="21"/>
                <w:szCs w:val="21"/>
              </w:rPr>
            </w:pPr>
            <w:r>
              <w:rPr>
                <w:rFonts w:hint="eastAsia"/>
                <w:color w:val="auto"/>
                <w:spacing w:val="-3"/>
                <w:sz w:val="21"/>
                <w:szCs w:val="21"/>
              </w:rPr>
              <w:t>≤5</w:t>
            </w:r>
            <w:r>
              <w:rPr>
                <w:color w:val="auto"/>
                <w:spacing w:val="-3"/>
                <w:sz w:val="21"/>
                <w:szCs w:val="21"/>
              </w:rPr>
              <w:t>5</w:t>
            </w:r>
            <w:r>
              <w:rPr>
                <w:rFonts w:hint="eastAsia"/>
                <w:color w:val="auto"/>
                <w:spacing w:val="-3"/>
                <w:sz w:val="21"/>
                <w:szCs w:val="21"/>
              </w:rPr>
              <w:t>dB（A）</w:t>
            </w:r>
          </w:p>
        </w:tc>
      </w:tr>
    </w:tbl>
    <w:p>
      <w:pPr>
        <w:spacing w:line="360" w:lineRule="auto"/>
        <w:ind w:firstLine="480" w:firstLineChars="200"/>
        <w:jc w:val="both"/>
        <w:rPr>
          <w:color w:val="auto"/>
        </w:rPr>
      </w:pPr>
      <w:r>
        <w:rPr>
          <w:color w:val="auto"/>
        </w:rPr>
        <w:t>由监测结果可以看出，</w:t>
      </w:r>
      <w:r>
        <w:rPr>
          <w:rFonts w:hint="eastAsia"/>
          <w:color w:val="auto"/>
        </w:rPr>
        <w:t>监测期间，N</w:t>
      </w:r>
      <w:r>
        <w:rPr>
          <w:color w:val="auto"/>
        </w:rPr>
        <w:t>2</w:t>
      </w:r>
      <w:r>
        <w:rPr>
          <w:rFonts w:hint="eastAsia"/>
          <w:color w:val="auto"/>
        </w:rPr>
        <w:t>、N</w:t>
      </w:r>
      <w:r>
        <w:rPr>
          <w:color w:val="auto"/>
        </w:rPr>
        <w:t>10</w:t>
      </w:r>
      <w:r>
        <w:rPr>
          <w:rFonts w:hint="eastAsia"/>
          <w:color w:val="auto"/>
        </w:rPr>
        <w:t>监测点可满足</w:t>
      </w:r>
      <w:r>
        <w:rPr>
          <w:color w:val="auto"/>
        </w:rPr>
        <w:t>《声环境质量标准》（GB3096-2008）中4</w:t>
      </w:r>
      <w:r>
        <w:rPr>
          <w:rFonts w:hint="eastAsia"/>
          <w:color w:val="auto"/>
        </w:rPr>
        <w:t>a</w:t>
      </w:r>
      <w:r>
        <w:rPr>
          <w:color w:val="auto"/>
        </w:rPr>
        <w:t>类标准的要求，即噪声昼间≤70dB(A)、夜间≤55dB(A)</w:t>
      </w:r>
      <w:r>
        <w:rPr>
          <w:rFonts w:hint="eastAsia"/>
          <w:color w:val="auto"/>
        </w:rPr>
        <w:t>;其余</w:t>
      </w:r>
      <w:r>
        <w:rPr>
          <w:color w:val="auto"/>
        </w:rPr>
        <w:t>监测点昼间噪声值</w:t>
      </w:r>
      <w:r>
        <w:rPr>
          <w:rFonts w:hint="eastAsia"/>
          <w:color w:val="auto"/>
        </w:rPr>
        <w:t>范围</w:t>
      </w:r>
      <w:r>
        <w:rPr>
          <w:color w:val="auto"/>
        </w:rPr>
        <w:t>为</w:t>
      </w:r>
      <w:r>
        <w:rPr>
          <w:rFonts w:hint="eastAsia"/>
          <w:color w:val="auto"/>
        </w:rPr>
        <w:t>3</w:t>
      </w:r>
      <w:r>
        <w:rPr>
          <w:color w:val="auto"/>
        </w:rPr>
        <w:t>6.9</w:t>
      </w:r>
      <w:r>
        <w:rPr>
          <w:rFonts w:hint="eastAsia"/>
          <w:color w:val="auto"/>
        </w:rPr>
        <w:t>~</w:t>
      </w:r>
      <w:r>
        <w:rPr>
          <w:color w:val="auto"/>
        </w:rPr>
        <w:t>48.0 dB（A），夜间噪声值范围为34.4</w:t>
      </w:r>
      <w:r>
        <w:rPr>
          <w:rFonts w:hint="eastAsia"/>
          <w:color w:val="auto"/>
        </w:rPr>
        <w:t>~</w:t>
      </w:r>
      <w:r>
        <w:rPr>
          <w:color w:val="auto"/>
        </w:rPr>
        <w:t>39.5 dB（A），</w:t>
      </w:r>
      <w:r>
        <w:rPr>
          <w:rFonts w:hint="eastAsia"/>
          <w:color w:val="auto"/>
        </w:rPr>
        <w:t>昼、夜</w:t>
      </w:r>
      <w:r>
        <w:rPr>
          <w:color w:val="auto"/>
        </w:rPr>
        <w:t>噪声值均可满足《声环境质量标准》（GB3096-2008）中2类标准的要求，即噪声昼间≤60dB(A)、夜间≤50dB(A)。可见，本项目所在地的声环境</w:t>
      </w:r>
      <w:r>
        <w:rPr>
          <w:rFonts w:hint="eastAsia"/>
          <w:color w:val="auto"/>
        </w:rPr>
        <w:t>质量</w:t>
      </w:r>
      <w:r>
        <w:rPr>
          <w:color w:val="auto"/>
        </w:rPr>
        <w:t>现状良好。</w:t>
      </w:r>
    </w:p>
    <w:p>
      <w:pPr>
        <w:pStyle w:val="3"/>
        <w:numPr>
          <w:ilvl w:val="0"/>
          <w:numId w:val="0"/>
        </w:numPr>
        <w:tabs>
          <w:tab w:val="clear" w:pos="680"/>
        </w:tabs>
        <w:rPr>
          <w:rFonts w:ascii="Times New Roman"/>
          <w:bCs/>
          <w:color w:val="auto"/>
        </w:rPr>
      </w:pPr>
      <w:bookmarkStart w:id="470" w:name="_Toc9517766"/>
      <w:bookmarkStart w:id="471" w:name="_Toc23263168"/>
      <w:bookmarkStart w:id="472" w:name="_Toc24136789"/>
      <w:bookmarkStart w:id="473" w:name="_Toc14943325"/>
      <w:bookmarkStart w:id="474" w:name="_Toc8245"/>
      <w:r>
        <w:rPr>
          <w:rFonts w:hint="eastAsia" w:ascii="Times New Roman"/>
          <w:bCs/>
          <w:color w:val="auto"/>
          <w:lang w:eastAsia="zh-CN"/>
        </w:rPr>
        <w:t>4</w:t>
      </w:r>
      <w:r>
        <w:rPr>
          <w:rFonts w:ascii="Times New Roman"/>
          <w:bCs/>
          <w:color w:val="auto"/>
          <w:lang w:eastAsia="zh-CN"/>
        </w:rPr>
        <w:t>.5</w:t>
      </w:r>
      <w:r>
        <w:rPr>
          <w:rFonts w:ascii="Times New Roman"/>
          <w:bCs/>
          <w:color w:val="auto"/>
        </w:rPr>
        <w:t>地下水环境质量现状监测与评价</w:t>
      </w:r>
      <w:bookmarkEnd w:id="470"/>
      <w:bookmarkEnd w:id="471"/>
      <w:bookmarkEnd w:id="472"/>
      <w:bookmarkEnd w:id="473"/>
      <w:bookmarkEnd w:id="474"/>
    </w:p>
    <w:p>
      <w:pPr>
        <w:pStyle w:val="298"/>
        <w:spacing w:before="156" w:after="156"/>
        <w:rPr>
          <w:color w:val="auto"/>
        </w:rPr>
      </w:pPr>
      <w:bookmarkStart w:id="475" w:name="_Toc14946888"/>
      <w:bookmarkStart w:id="476" w:name="_Toc15912180"/>
      <w:bookmarkStart w:id="477" w:name="_Toc2108"/>
      <w:bookmarkStart w:id="478" w:name="_Toc24136790"/>
      <w:bookmarkStart w:id="479" w:name="_Toc34234709"/>
      <w:r>
        <w:rPr>
          <w:color w:val="auto"/>
        </w:rPr>
        <w:t>4.5.1</w:t>
      </w:r>
      <w:bookmarkEnd w:id="475"/>
      <w:bookmarkEnd w:id="476"/>
      <w:r>
        <w:rPr>
          <w:rFonts w:hint="eastAsia"/>
          <w:color w:val="auto"/>
          <w:lang w:eastAsia="zh-CN"/>
        </w:rPr>
        <w:t>引用监测点布设</w:t>
      </w:r>
      <w:bookmarkEnd w:id="477"/>
      <w:bookmarkEnd w:id="478"/>
      <w:bookmarkEnd w:id="479"/>
    </w:p>
    <w:p>
      <w:pPr>
        <w:spacing w:line="360" w:lineRule="auto"/>
        <w:ind w:firstLine="480" w:firstLineChars="200"/>
        <w:jc w:val="both"/>
        <w:rPr>
          <w:bCs/>
          <w:color w:val="auto"/>
        </w:rPr>
      </w:pPr>
      <w:r>
        <w:rPr>
          <w:color w:val="auto"/>
        </w:rPr>
        <w:t>根据评价区的水文地质特征，此次评价</w:t>
      </w:r>
      <w:r>
        <w:rPr>
          <w:rFonts w:hint="eastAsia"/>
          <w:color w:val="auto"/>
        </w:rPr>
        <w:t>引用广州京诚检测技术有限公司出具的《兴宁市静脉产业园及进场道路环境影响评价环境质量现状监测检测报告》（报告编号：GZH191059051040302a01R</w:t>
      </w:r>
      <w:r>
        <w:rPr>
          <w:rFonts w:hint="eastAsia"/>
          <w:color w:val="auto"/>
          <w:vertAlign w:val="subscript"/>
        </w:rPr>
        <w:t>1</w:t>
      </w:r>
      <w:r>
        <w:rPr>
          <w:rFonts w:hint="eastAsia"/>
          <w:color w:val="auto"/>
        </w:rPr>
        <w:t>），</w:t>
      </w:r>
      <w:r>
        <w:rPr>
          <w:color w:val="auto"/>
        </w:rPr>
        <w:t>共</w:t>
      </w:r>
      <w:r>
        <w:rPr>
          <w:rFonts w:hint="eastAsia"/>
          <w:color w:val="auto"/>
        </w:rPr>
        <w:t>引用</w:t>
      </w:r>
      <w:r>
        <w:rPr>
          <w:color w:val="auto"/>
        </w:rPr>
        <w:t>10个监测点。</w:t>
      </w:r>
      <w:r>
        <w:rPr>
          <w:bCs/>
          <w:color w:val="auto"/>
        </w:rPr>
        <w:t>采样点分布见表4.5-1和图4.5-1。</w:t>
      </w:r>
    </w:p>
    <w:p>
      <w:pPr>
        <w:spacing w:line="360" w:lineRule="auto"/>
        <w:ind w:firstLine="480"/>
        <w:rPr>
          <w:color w:val="auto"/>
        </w:rPr>
      </w:pPr>
      <w:r>
        <w:rPr>
          <w:rFonts w:hint="eastAsia"/>
          <w:color w:val="auto"/>
        </w:rPr>
        <w:t>引用监测数据有效性分析：</w:t>
      </w:r>
    </w:p>
    <w:p>
      <w:pPr>
        <w:spacing w:line="360" w:lineRule="auto"/>
        <w:ind w:firstLine="480"/>
        <w:rPr>
          <w:color w:val="auto"/>
        </w:rPr>
      </w:pPr>
      <w:r>
        <w:rPr>
          <w:color w:val="auto"/>
        </w:rPr>
        <w:fldChar w:fldCharType="begin"/>
      </w:r>
      <w:r>
        <w:rPr>
          <w:color w:val="auto"/>
        </w:rPr>
        <w:instrText xml:space="preserve"> </w:instrText>
      </w:r>
      <w:r>
        <w:rPr>
          <w:rFonts w:hint="eastAsia"/>
          <w:color w:val="auto"/>
        </w:rPr>
        <w:instrText xml:space="preserve">= 1 \* GB3</w:instrText>
      </w:r>
      <w:r>
        <w:rPr>
          <w:color w:val="auto"/>
        </w:rPr>
        <w:instrText xml:space="preserve"> </w:instrText>
      </w:r>
      <w:r>
        <w:rPr>
          <w:color w:val="auto"/>
        </w:rPr>
        <w:fldChar w:fldCharType="separate"/>
      </w:r>
      <w:r>
        <w:rPr>
          <w:rFonts w:hint="eastAsia"/>
          <w:color w:val="auto"/>
        </w:rPr>
        <w:t>①</w:t>
      </w:r>
      <w:r>
        <w:rPr>
          <w:color w:val="auto"/>
        </w:rPr>
        <w:fldChar w:fldCharType="end"/>
      </w:r>
      <w:r>
        <w:rPr>
          <w:rFonts w:hint="eastAsia"/>
          <w:color w:val="auto"/>
        </w:rPr>
        <w:t>本项目引用的监测点位</w:t>
      </w:r>
      <w:r>
        <w:rPr>
          <w:color w:val="auto"/>
        </w:rPr>
        <w:t>D</w:t>
      </w:r>
      <w:r>
        <w:rPr>
          <w:color w:val="auto"/>
          <w:vertAlign w:val="subscript"/>
        </w:rPr>
        <w:t>1</w:t>
      </w:r>
      <w:r>
        <w:rPr>
          <w:rFonts w:hint="eastAsia"/>
          <w:color w:val="auto"/>
          <w:vertAlign w:val="baseline"/>
          <w:lang w:eastAsia="zh-CN"/>
        </w:rPr>
        <w:t>至</w:t>
      </w:r>
      <w:r>
        <w:rPr>
          <w:color w:val="auto"/>
        </w:rPr>
        <w:t>D</w:t>
      </w:r>
      <w:r>
        <w:rPr>
          <w:rFonts w:hint="eastAsia"/>
          <w:color w:val="auto"/>
          <w:vertAlign w:val="subscript"/>
          <w:lang w:val="en-US" w:eastAsia="zh-CN"/>
        </w:rPr>
        <w:t>10</w:t>
      </w:r>
      <w:r>
        <w:rPr>
          <w:rFonts w:hint="eastAsia"/>
          <w:color w:val="auto"/>
        </w:rPr>
        <w:t>与本项目</w:t>
      </w:r>
      <w:r>
        <w:rPr>
          <w:rFonts w:hint="eastAsia"/>
          <w:color w:val="auto"/>
          <w:lang w:eastAsia="zh-CN"/>
        </w:rPr>
        <w:t>距离较近</w:t>
      </w:r>
      <w:r>
        <w:rPr>
          <w:rFonts w:hint="eastAsia"/>
          <w:color w:val="auto"/>
        </w:rPr>
        <w:t>，与项目处于同一地下水水文单元，且在本项目的地下水环境影响评价范围内（以项目为中心，周边6km</w:t>
      </w:r>
      <w:r>
        <w:rPr>
          <w:rFonts w:hint="eastAsia"/>
          <w:color w:val="auto"/>
          <w:vertAlign w:val="superscript"/>
        </w:rPr>
        <w:t>2</w:t>
      </w:r>
      <w:r>
        <w:rPr>
          <w:rFonts w:hint="eastAsia"/>
          <w:color w:val="auto"/>
        </w:rPr>
        <w:t>范围内区域）。</w:t>
      </w:r>
    </w:p>
    <w:p>
      <w:pPr>
        <w:spacing w:line="360" w:lineRule="auto"/>
        <w:ind w:firstLine="480"/>
        <w:rPr>
          <w:color w:val="auto"/>
        </w:rPr>
      </w:pPr>
      <w:r>
        <w:rPr>
          <w:color w:val="auto"/>
        </w:rPr>
        <w:fldChar w:fldCharType="begin"/>
      </w:r>
      <w:r>
        <w:rPr>
          <w:color w:val="auto"/>
        </w:rPr>
        <w:instrText xml:space="preserve"> </w:instrText>
      </w:r>
      <w:r>
        <w:rPr>
          <w:rFonts w:hint="eastAsia"/>
          <w:color w:val="auto"/>
        </w:rPr>
        <w:instrText xml:space="preserve">= 2 \* GB3</w:instrText>
      </w:r>
      <w:r>
        <w:rPr>
          <w:color w:val="auto"/>
        </w:rPr>
        <w:instrText xml:space="preserve"> </w:instrText>
      </w:r>
      <w:r>
        <w:rPr>
          <w:color w:val="auto"/>
        </w:rPr>
        <w:fldChar w:fldCharType="separate"/>
      </w:r>
      <w:r>
        <w:rPr>
          <w:rFonts w:hint="eastAsia"/>
          <w:color w:val="auto"/>
        </w:rPr>
        <w:t>②</w:t>
      </w:r>
      <w:r>
        <w:rPr>
          <w:color w:val="auto"/>
        </w:rPr>
        <w:fldChar w:fldCharType="end"/>
      </w:r>
      <w:r>
        <w:rPr>
          <w:rFonts w:hint="eastAsia"/>
          <w:color w:val="auto"/>
        </w:rPr>
        <w:t>时间有效性：本项目评价时间为</w:t>
      </w:r>
      <w:r>
        <w:rPr>
          <w:rFonts w:hint="eastAsia"/>
          <w:color w:val="auto"/>
          <w:lang w:val="en-US" w:eastAsia="zh-CN"/>
        </w:rPr>
        <w:t>2020</w:t>
      </w:r>
      <w:r>
        <w:rPr>
          <w:rFonts w:hint="eastAsia"/>
          <w:color w:val="auto"/>
        </w:rPr>
        <w:t>年，引用监测数据时间为20</w:t>
      </w:r>
      <w:r>
        <w:rPr>
          <w:rFonts w:hint="eastAsia"/>
          <w:color w:val="auto"/>
          <w:lang w:val="en-US" w:eastAsia="zh-CN"/>
        </w:rPr>
        <w:t>19</w:t>
      </w:r>
      <w:r>
        <w:rPr>
          <w:rFonts w:hint="eastAsia"/>
          <w:color w:val="auto"/>
        </w:rPr>
        <w:t>年</w:t>
      </w:r>
      <w:r>
        <w:rPr>
          <w:rFonts w:hint="eastAsia"/>
          <w:color w:val="auto"/>
          <w:lang w:val="en-US" w:eastAsia="zh-CN"/>
        </w:rPr>
        <w:t>3</w:t>
      </w:r>
      <w:r>
        <w:rPr>
          <w:rFonts w:hint="eastAsia"/>
          <w:color w:val="auto"/>
        </w:rPr>
        <w:t>月，时间符合有效性的相关规定（监测数据为三年之内有效监测数据）</w:t>
      </w:r>
    </w:p>
    <w:p>
      <w:pPr>
        <w:widowControl/>
        <w:autoSpaceDE w:val="0"/>
        <w:autoSpaceDN w:val="0"/>
        <w:jc w:val="center"/>
        <w:rPr>
          <w:b/>
          <w:bCs/>
          <w:color w:val="auto"/>
        </w:rPr>
      </w:pPr>
      <w:r>
        <w:rPr>
          <w:b/>
          <w:bCs/>
          <w:color w:val="auto"/>
        </w:rPr>
        <w:t>表4.5-1  地下水现状监测点</w:t>
      </w:r>
    </w:p>
    <w:tbl>
      <w:tblPr>
        <w:tblStyle w:val="53"/>
        <w:tblW w:w="8522"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412"/>
        <w:gridCol w:w="2800"/>
        <w:gridCol w:w="331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blHeader/>
          <w:jc w:val="center"/>
        </w:trPr>
        <w:tc>
          <w:tcPr>
            <w:tcW w:w="2412" w:type="dxa"/>
            <w:vAlign w:val="center"/>
          </w:tcPr>
          <w:p>
            <w:pPr>
              <w:snapToGrid w:val="0"/>
              <w:jc w:val="center"/>
              <w:rPr>
                <w:b/>
                <w:snapToGrid w:val="0"/>
                <w:color w:val="auto"/>
                <w:sz w:val="21"/>
                <w:szCs w:val="21"/>
              </w:rPr>
            </w:pPr>
            <w:r>
              <w:rPr>
                <w:b/>
                <w:snapToGrid w:val="0"/>
                <w:color w:val="auto"/>
                <w:sz w:val="21"/>
                <w:szCs w:val="21"/>
              </w:rPr>
              <w:t>监测</w:t>
            </w:r>
            <w:r>
              <w:rPr>
                <w:b/>
                <w:color w:val="auto"/>
                <w:sz w:val="21"/>
                <w:szCs w:val="21"/>
              </w:rPr>
              <w:t>断面</w:t>
            </w:r>
            <w:r>
              <w:rPr>
                <w:b/>
                <w:snapToGrid w:val="0"/>
                <w:color w:val="auto"/>
                <w:sz w:val="21"/>
                <w:szCs w:val="21"/>
              </w:rPr>
              <w:t>编号</w:t>
            </w:r>
          </w:p>
        </w:tc>
        <w:tc>
          <w:tcPr>
            <w:tcW w:w="2800" w:type="dxa"/>
            <w:vAlign w:val="center"/>
          </w:tcPr>
          <w:p>
            <w:pPr>
              <w:snapToGrid w:val="0"/>
              <w:jc w:val="center"/>
              <w:rPr>
                <w:b/>
                <w:snapToGrid w:val="0"/>
                <w:color w:val="auto"/>
                <w:sz w:val="21"/>
                <w:szCs w:val="21"/>
              </w:rPr>
            </w:pPr>
            <w:r>
              <w:rPr>
                <w:rFonts w:hint="eastAsia"/>
                <w:b/>
                <w:snapToGrid w:val="0"/>
                <w:color w:val="auto"/>
                <w:sz w:val="21"/>
                <w:szCs w:val="21"/>
              </w:rPr>
              <w:t>监测点</w:t>
            </w:r>
          </w:p>
        </w:tc>
        <w:tc>
          <w:tcPr>
            <w:tcW w:w="3310" w:type="dxa"/>
            <w:vAlign w:val="center"/>
          </w:tcPr>
          <w:p>
            <w:pPr>
              <w:snapToGrid w:val="0"/>
              <w:jc w:val="center"/>
              <w:rPr>
                <w:b/>
                <w:snapToGrid w:val="0"/>
                <w:color w:val="auto"/>
                <w:sz w:val="21"/>
                <w:szCs w:val="21"/>
              </w:rPr>
            </w:pPr>
            <w:r>
              <w:rPr>
                <w:rFonts w:hint="eastAsia"/>
                <w:b/>
                <w:snapToGrid w:val="0"/>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2412" w:type="dxa"/>
            <w:vAlign w:val="center"/>
          </w:tcPr>
          <w:p>
            <w:pPr>
              <w:snapToGrid w:val="0"/>
              <w:jc w:val="center"/>
              <w:rPr>
                <w:color w:val="auto"/>
                <w:sz w:val="21"/>
                <w:szCs w:val="21"/>
              </w:rPr>
            </w:pPr>
            <w:r>
              <w:rPr>
                <w:rFonts w:hint="eastAsia"/>
                <w:color w:val="auto"/>
                <w:sz w:val="21"/>
                <w:szCs w:val="21"/>
              </w:rPr>
              <w:t>D1</w:t>
            </w:r>
          </w:p>
        </w:tc>
        <w:tc>
          <w:tcPr>
            <w:tcW w:w="2800" w:type="dxa"/>
            <w:vAlign w:val="center"/>
          </w:tcPr>
          <w:p>
            <w:pPr>
              <w:snapToGrid w:val="0"/>
              <w:jc w:val="center"/>
              <w:rPr>
                <w:color w:val="auto"/>
                <w:sz w:val="21"/>
                <w:szCs w:val="21"/>
              </w:rPr>
            </w:pPr>
            <w:r>
              <w:rPr>
                <w:rFonts w:hint="eastAsia"/>
                <w:color w:val="auto"/>
                <w:sz w:val="21"/>
                <w:szCs w:val="21"/>
              </w:rPr>
              <w:t>仓丰围</w:t>
            </w:r>
          </w:p>
        </w:tc>
        <w:tc>
          <w:tcPr>
            <w:tcW w:w="3310" w:type="dxa"/>
            <w:vMerge w:val="restart"/>
            <w:vAlign w:val="center"/>
          </w:tcPr>
          <w:p>
            <w:pPr>
              <w:snapToGrid w:val="0"/>
              <w:jc w:val="center"/>
              <w:rPr>
                <w:color w:val="auto"/>
                <w:sz w:val="21"/>
                <w:szCs w:val="21"/>
              </w:rPr>
            </w:pPr>
            <w:r>
              <w:rPr>
                <w:rFonts w:hint="eastAsia"/>
                <w:color w:val="auto"/>
                <w:sz w:val="21"/>
                <w:szCs w:val="21"/>
              </w:rPr>
              <w:t>水质、水位监测点，可利用现有井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2412" w:type="dxa"/>
            <w:vAlign w:val="center"/>
          </w:tcPr>
          <w:p>
            <w:pPr>
              <w:snapToGrid w:val="0"/>
              <w:jc w:val="center"/>
              <w:rPr>
                <w:color w:val="auto"/>
                <w:sz w:val="21"/>
                <w:szCs w:val="21"/>
              </w:rPr>
            </w:pPr>
            <w:r>
              <w:rPr>
                <w:color w:val="auto"/>
                <w:sz w:val="21"/>
                <w:szCs w:val="21"/>
              </w:rPr>
              <w:t>D</w:t>
            </w:r>
            <w:r>
              <w:rPr>
                <w:rFonts w:hint="eastAsia"/>
                <w:color w:val="auto"/>
                <w:sz w:val="21"/>
                <w:szCs w:val="21"/>
              </w:rPr>
              <w:t>2</w:t>
            </w:r>
          </w:p>
        </w:tc>
        <w:tc>
          <w:tcPr>
            <w:tcW w:w="2800" w:type="dxa"/>
            <w:vAlign w:val="center"/>
          </w:tcPr>
          <w:p>
            <w:pPr>
              <w:snapToGrid w:val="0"/>
              <w:jc w:val="center"/>
              <w:rPr>
                <w:color w:val="auto"/>
                <w:sz w:val="21"/>
                <w:szCs w:val="21"/>
              </w:rPr>
            </w:pPr>
            <w:r>
              <w:rPr>
                <w:rFonts w:hint="eastAsia"/>
                <w:color w:val="auto"/>
                <w:sz w:val="21"/>
                <w:szCs w:val="21"/>
              </w:rPr>
              <w:t>兴宁市静脉产业园</w:t>
            </w:r>
          </w:p>
        </w:tc>
        <w:tc>
          <w:tcPr>
            <w:tcW w:w="3310" w:type="dxa"/>
            <w:vMerge w:val="continue"/>
            <w:vAlign w:val="center"/>
          </w:tcPr>
          <w:p>
            <w:pPr>
              <w:snapToGrid w:val="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2412" w:type="dxa"/>
            <w:vAlign w:val="center"/>
          </w:tcPr>
          <w:p>
            <w:pPr>
              <w:snapToGrid w:val="0"/>
              <w:jc w:val="center"/>
              <w:rPr>
                <w:color w:val="auto"/>
                <w:sz w:val="21"/>
                <w:szCs w:val="21"/>
              </w:rPr>
            </w:pPr>
            <w:r>
              <w:rPr>
                <w:color w:val="auto"/>
                <w:sz w:val="21"/>
                <w:szCs w:val="21"/>
              </w:rPr>
              <w:t>D</w:t>
            </w:r>
            <w:r>
              <w:rPr>
                <w:rFonts w:hint="eastAsia"/>
                <w:color w:val="auto"/>
                <w:sz w:val="21"/>
                <w:szCs w:val="21"/>
              </w:rPr>
              <w:t>3</w:t>
            </w:r>
          </w:p>
        </w:tc>
        <w:tc>
          <w:tcPr>
            <w:tcW w:w="2800" w:type="dxa"/>
            <w:vAlign w:val="center"/>
          </w:tcPr>
          <w:p>
            <w:pPr>
              <w:snapToGrid w:val="0"/>
              <w:jc w:val="center"/>
              <w:rPr>
                <w:color w:val="auto"/>
                <w:sz w:val="21"/>
                <w:szCs w:val="21"/>
              </w:rPr>
            </w:pPr>
            <w:r>
              <w:rPr>
                <w:rFonts w:hint="eastAsia"/>
                <w:color w:val="auto"/>
                <w:sz w:val="21"/>
                <w:szCs w:val="21"/>
              </w:rPr>
              <w:t>火烧仓</w:t>
            </w:r>
          </w:p>
        </w:tc>
        <w:tc>
          <w:tcPr>
            <w:tcW w:w="3310" w:type="dxa"/>
            <w:vMerge w:val="continue"/>
            <w:vAlign w:val="center"/>
          </w:tcPr>
          <w:p>
            <w:pPr>
              <w:snapToGrid w:val="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2412" w:type="dxa"/>
            <w:vAlign w:val="center"/>
          </w:tcPr>
          <w:p>
            <w:pPr>
              <w:snapToGrid w:val="0"/>
              <w:jc w:val="center"/>
              <w:rPr>
                <w:color w:val="auto"/>
                <w:sz w:val="21"/>
                <w:szCs w:val="21"/>
              </w:rPr>
            </w:pPr>
            <w:r>
              <w:rPr>
                <w:rFonts w:hint="eastAsia"/>
                <w:color w:val="auto"/>
                <w:sz w:val="21"/>
                <w:szCs w:val="21"/>
              </w:rPr>
              <w:t>D</w:t>
            </w:r>
            <w:r>
              <w:rPr>
                <w:color w:val="auto"/>
                <w:sz w:val="21"/>
                <w:szCs w:val="21"/>
              </w:rPr>
              <w:t>4</w:t>
            </w:r>
          </w:p>
        </w:tc>
        <w:tc>
          <w:tcPr>
            <w:tcW w:w="2800" w:type="dxa"/>
            <w:vAlign w:val="center"/>
          </w:tcPr>
          <w:p>
            <w:pPr>
              <w:snapToGrid w:val="0"/>
              <w:jc w:val="center"/>
              <w:rPr>
                <w:color w:val="auto"/>
                <w:sz w:val="21"/>
                <w:szCs w:val="21"/>
              </w:rPr>
            </w:pPr>
            <w:r>
              <w:rPr>
                <w:rFonts w:hint="eastAsia"/>
                <w:color w:val="auto"/>
                <w:sz w:val="21"/>
                <w:szCs w:val="21"/>
              </w:rPr>
              <w:t>人民楼</w:t>
            </w:r>
          </w:p>
        </w:tc>
        <w:tc>
          <w:tcPr>
            <w:tcW w:w="3310" w:type="dxa"/>
            <w:vMerge w:val="continue"/>
            <w:vAlign w:val="center"/>
          </w:tcPr>
          <w:p>
            <w:pPr>
              <w:snapToGrid w:val="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2412" w:type="dxa"/>
            <w:vAlign w:val="center"/>
          </w:tcPr>
          <w:p>
            <w:pPr>
              <w:snapToGrid w:val="0"/>
              <w:jc w:val="center"/>
              <w:rPr>
                <w:color w:val="auto"/>
                <w:sz w:val="21"/>
                <w:szCs w:val="21"/>
              </w:rPr>
            </w:pPr>
            <w:r>
              <w:rPr>
                <w:rFonts w:hint="eastAsia"/>
                <w:color w:val="auto"/>
                <w:sz w:val="21"/>
                <w:szCs w:val="21"/>
              </w:rPr>
              <w:t>D</w:t>
            </w:r>
            <w:r>
              <w:rPr>
                <w:color w:val="auto"/>
                <w:sz w:val="21"/>
                <w:szCs w:val="21"/>
              </w:rPr>
              <w:t>5</w:t>
            </w:r>
          </w:p>
        </w:tc>
        <w:tc>
          <w:tcPr>
            <w:tcW w:w="2800" w:type="dxa"/>
            <w:vAlign w:val="center"/>
          </w:tcPr>
          <w:p>
            <w:pPr>
              <w:snapToGrid w:val="0"/>
              <w:jc w:val="center"/>
              <w:rPr>
                <w:color w:val="auto"/>
                <w:sz w:val="21"/>
                <w:szCs w:val="21"/>
              </w:rPr>
            </w:pPr>
            <w:r>
              <w:rPr>
                <w:rFonts w:hint="eastAsia"/>
                <w:color w:val="auto"/>
                <w:sz w:val="21"/>
                <w:szCs w:val="21"/>
              </w:rPr>
              <w:t>黄泥塘</w:t>
            </w:r>
          </w:p>
        </w:tc>
        <w:tc>
          <w:tcPr>
            <w:tcW w:w="3310" w:type="dxa"/>
            <w:vMerge w:val="continue"/>
            <w:vAlign w:val="center"/>
          </w:tcPr>
          <w:p>
            <w:pPr>
              <w:snapToGrid w:val="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2412" w:type="dxa"/>
            <w:vAlign w:val="center"/>
          </w:tcPr>
          <w:p>
            <w:pPr>
              <w:snapToGrid w:val="0"/>
              <w:jc w:val="center"/>
              <w:rPr>
                <w:color w:val="auto"/>
                <w:sz w:val="21"/>
                <w:szCs w:val="21"/>
              </w:rPr>
            </w:pPr>
            <w:r>
              <w:rPr>
                <w:rFonts w:hint="eastAsia"/>
                <w:color w:val="auto"/>
                <w:sz w:val="21"/>
                <w:szCs w:val="21"/>
              </w:rPr>
              <w:t>D</w:t>
            </w:r>
            <w:r>
              <w:rPr>
                <w:color w:val="auto"/>
                <w:sz w:val="21"/>
                <w:szCs w:val="21"/>
              </w:rPr>
              <w:t>6</w:t>
            </w:r>
          </w:p>
        </w:tc>
        <w:tc>
          <w:tcPr>
            <w:tcW w:w="2800" w:type="dxa"/>
            <w:vAlign w:val="center"/>
          </w:tcPr>
          <w:p>
            <w:pPr>
              <w:snapToGrid w:val="0"/>
              <w:jc w:val="center"/>
              <w:rPr>
                <w:color w:val="auto"/>
                <w:sz w:val="21"/>
                <w:szCs w:val="21"/>
              </w:rPr>
            </w:pPr>
            <w:r>
              <w:rPr>
                <w:rFonts w:hint="eastAsia"/>
                <w:color w:val="auto"/>
                <w:sz w:val="21"/>
                <w:szCs w:val="21"/>
              </w:rPr>
              <w:t>先声村</w:t>
            </w:r>
          </w:p>
        </w:tc>
        <w:tc>
          <w:tcPr>
            <w:tcW w:w="3310" w:type="dxa"/>
            <w:vMerge w:val="restart"/>
            <w:vAlign w:val="center"/>
          </w:tcPr>
          <w:p>
            <w:pPr>
              <w:snapToGrid w:val="0"/>
              <w:jc w:val="center"/>
              <w:rPr>
                <w:color w:val="auto"/>
                <w:sz w:val="21"/>
                <w:szCs w:val="21"/>
              </w:rPr>
            </w:pPr>
            <w:r>
              <w:rPr>
                <w:rFonts w:hint="eastAsia"/>
                <w:color w:val="auto"/>
                <w:sz w:val="21"/>
                <w:szCs w:val="21"/>
              </w:rPr>
              <w:t>水位监测点，可利用现有井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2412" w:type="dxa"/>
            <w:vAlign w:val="center"/>
          </w:tcPr>
          <w:p>
            <w:pPr>
              <w:snapToGrid w:val="0"/>
              <w:jc w:val="center"/>
              <w:rPr>
                <w:color w:val="auto"/>
                <w:sz w:val="21"/>
                <w:szCs w:val="21"/>
              </w:rPr>
            </w:pPr>
            <w:r>
              <w:rPr>
                <w:rFonts w:hint="eastAsia"/>
                <w:color w:val="auto"/>
                <w:sz w:val="21"/>
                <w:szCs w:val="21"/>
              </w:rPr>
              <w:t>D</w:t>
            </w:r>
            <w:r>
              <w:rPr>
                <w:color w:val="auto"/>
                <w:sz w:val="21"/>
                <w:szCs w:val="21"/>
              </w:rPr>
              <w:t>7</w:t>
            </w:r>
          </w:p>
        </w:tc>
        <w:tc>
          <w:tcPr>
            <w:tcW w:w="2800" w:type="dxa"/>
            <w:vAlign w:val="center"/>
          </w:tcPr>
          <w:p>
            <w:pPr>
              <w:snapToGrid w:val="0"/>
              <w:jc w:val="center"/>
              <w:rPr>
                <w:color w:val="auto"/>
                <w:sz w:val="21"/>
                <w:szCs w:val="21"/>
              </w:rPr>
            </w:pPr>
            <w:r>
              <w:rPr>
                <w:rFonts w:hint="eastAsia"/>
                <w:color w:val="auto"/>
                <w:sz w:val="21"/>
                <w:szCs w:val="21"/>
              </w:rPr>
              <w:t>塘尾朱屋</w:t>
            </w:r>
          </w:p>
        </w:tc>
        <w:tc>
          <w:tcPr>
            <w:tcW w:w="3310" w:type="dxa"/>
            <w:vMerge w:val="continue"/>
            <w:vAlign w:val="center"/>
          </w:tcPr>
          <w:p>
            <w:pPr>
              <w:snapToGrid w:val="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2412" w:type="dxa"/>
            <w:vAlign w:val="center"/>
          </w:tcPr>
          <w:p>
            <w:pPr>
              <w:snapToGrid w:val="0"/>
              <w:jc w:val="center"/>
              <w:rPr>
                <w:color w:val="auto"/>
                <w:sz w:val="21"/>
                <w:szCs w:val="21"/>
              </w:rPr>
            </w:pPr>
            <w:r>
              <w:rPr>
                <w:rFonts w:hint="eastAsia"/>
                <w:color w:val="auto"/>
                <w:sz w:val="21"/>
                <w:szCs w:val="21"/>
              </w:rPr>
              <w:t>D</w:t>
            </w:r>
            <w:r>
              <w:rPr>
                <w:color w:val="auto"/>
                <w:sz w:val="21"/>
                <w:szCs w:val="21"/>
              </w:rPr>
              <w:t>8</w:t>
            </w:r>
          </w:p>
        </w:tc>
        <w:tc>
          <w:tcPr>
            <w:tcW w:w="2800" w:type="dxa"/>
            <w:vAlign w:val="center"/>
          </w:tcPr>
          <w:p>
            <w:pPr>
              <w:snapToGrid w:val="0"/>
              <w:jc w:val="center"/>
              <w:rPr>
                <w:color w:val="auto"/>
                <w:sz w:val="21"/>
                <w:szCs w:val="21"/>
              </w:rPr>
            </w:pPr>
            <w:r>
              <w:rPr>
                <w:rFonts w:hint="eastAsia"/>
                <w:color w:val="auto"/>
                <w:sz w:val="21"/>
                <w:szCs w:val="21"/>
              </w:rPr>
              <w:t>罗屋</w:t>
            </w:r>
          </w:p>
        </w:tc>
        <w:tc>
          <w:tcPr>
            <w:tcW w:w="3310" w:type="dxa"/>
            <w:vMerge w:val="continue"/>
            <w:vAlign w:val="center"/>
          </w:tcPr>
          <w:p>
            <w:pPr>
              <w:snapToGrid w:val="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2412" w:type="dxa"/>
            <w:vAlign w:val="center"/>
          </w:tcPr>
          <w:p>
            <w:pPr>
              <w:snapToGrid w:val="0"/>
              <w:jc w:val="center"/>
              <w:rPr>
                <w:color w:val="auto"/>
                <w:sz w:val="21"/>
                <w:szCs w:val="21"/>
              </w:rPr>
            </w:pPr>
            <w:r>
              <w:rPr>
                <w:rFonts w:hint="eastAsia"/>
                <w:color w:val="auto"/>
                <w:sz w:val="21"/>
                <w:szCs w:val="21"/>
              </w:rPr>
              <w:t>D</w:t>
            </w:r>
            <w:r>
              <w:rPr>
                <w:color w:val="auto"/>
                <w:sz w:val="21"/>
                <w:szCs w:val="21"/>
              </w:rPr>
              <w:t>9</w:t>
            </w:r>
          </w:p>
        </w:tc>
        <w:tc>
          <w:tcPr>
            <w:tcW w:w="2800" w:type="dxa"/>
            <w:vAlign w:val="center"/>
          </w:tcPr>
          <w:p>
            <w:pPr>
              <w:snapToGrid w:val="0"/>
              <w:jc w:val="center"/>
              <w:rPr>
                <w:color w:val="auto"/>
                <w:sz w:val="21"/>
                <w:szCs w:val="21"/>
              </w:rPr>
            </w:pPr>
            <w:r>
              <w:rPr>
                <w:rFonts w:hint="eastAsia"/>
                <w:color w:val="auto"/>
                <w:sz w:val="21"/>
                <w:szCs w:val="21"/>
              </w:rPr>
              <w:t>老陈屋</w:t>
            </w:r>
          </w:p>
        </w:tc>
        <w:tc>
          <w:tcPr>
            <w:tcW w:w="3310" w:type="dxa"/>
            <w:vMerge w:val="continue"/>
            <w:vAlign w:val="center"/>
          </w:tcPr>
          <w:p>
            <w:pPr>
              <w:snapToGrid w:val="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2412" w:type="dxa"/>
            <w:vAlign w:val="center"/>
          </w:tcPr>
          <w:p>
            <w:pPr>
              <w:snapToGrid w:val="0"/>
              <w:jc w:val="center"/>
              <w:rPr>
                <w:color w:val="auto"/>
                <w:sz w:val="21"/>
                <w:szCs w:val="21"/>
              </w:rPr>
            </w:pPr>
            <w:r>
              <w:rPr>
                <w:rFonts w:hint="eastAsia"/>
                <w:color w:val="auto"/>
                <w:sz w:val="21"/>
                <w:szCs w:val="21"/>
              </w:rPr>
              <w:t>D</w:t>
            </w:r>
            <w:r>
              <w:rPr>
                <w:color w:val="auto"/>
                <w:sz w:val="21"/>
                <w:szCs w:val="21"/>
              </w:rPr>
              <w:t>10</w:t>
            </w:r>
          </w:p>
        </w:tc>
        <w:tc>
          <w:tcPr>
            <w:tcW w:w="2800" w:type="dxa"/>
            <w:vAlign w:val="center"/>
          </w:tcPr>
          <w:p>
            <w:pPr>
              <w:snapToGrid w:val="0"/>
              <w:jc w:val="center"/>
              <w:rPr>
                <w:color w:val="auto"/>
                <w:sz w:val="21"/>
                <w:szCs w:val="21"/>
              </w:rPr>
            </w:pPr>
            <w:r>
              <w:rPr>
                <w:rFonts w:hint="eastAsia"/>
                <w:color w:val="auto"/>
                <w:sz w:val="21"/>
                <w:szCs w:val="21"/>
              </w:rPr>
              <w:t>下往塘</w:t>
            </w:r>
          </w:p>
        </w:tc>
        <w:tc>
          <w:tcPr>
            <w:tcW w:w="3310" w:type="dxa"/>
            <w:vMerge w:val="continue"/>
            <w:vAlign w:val="center"/>
          </w:tcPr>
          <w:p>
            <w:pPr>
              <w:snapToGrid w:val="0"/>
              <w:jc w:val="center"/>
              <w:rPr>
                <w:color w:val="auto"/>
                <w:sz w:val="21"/>
                <w:szCs w:val="21"/>
              </w:rPr>
            </w:pPr>
          </w:p>
        </w:tc>
      </w:tr>
    </w:tbl>
    <w:p>
      <w:pPr>
        <w:pStyle w:val="298"/>
        <w:spacing w:before="156" w:after="156"/>
        <w:rPr>
          <w:color w:val="auto"/>
        </w:rPr>
      </w:pPr>
      <w:bookmarkStart w:id="480" w:name="_Toc24136791"/>
      <w:bookmarkStart w:id="481" w:name="_Toc15198"/>
      <w:bookmarkStart w:id="482" w:name="_Toc34234710"/>
      <w:r>
        <w:rPr>
          <w:color w:val="auto"/>
        </w:rPr>
        <w:t>4.5.2</w:t>
      </w:r>
      <w:r>
        <w:rPr>
          <w:rFonts w:hint="eastAsia"/>
          <w:color w:val="auto"/>
          <w:lang w:eastAsia="zh-CN"/>
        </w:rPr>
        <w:t>引用</w:t>
      </w:r>
      <w:r>
        <w:rPr>
          <w:color w:val="auto"/>
        </w:rPr>
        <w:t>监测项目</w:t>
      </w:r>
      <w:bookmarkEnd w:id="480"/>
      <w:bookmarkEnd w:id="481"/>
      <w:bookmarkEnd w:id="482"/>
    </w:p>
    <w:p>
      <w:pPr>
        <w:spacing w:line="336" w:lineRule="auto"/>
        <w:ind w:firstLine="482"/>
        <w:rPr>
          <w:color w:val="auto"/>
        </w:rPr>
      </w:pPr>
      <w:r>
        <w:rPr>
          <w:rFonts w:hint="eastAsia"/>
          <w:color w:val="auto"/>
        </w:rPr>
        <w:t>pH</w:t>
      </w:r>
      <w:r>
        <w:rPr>
          <w:color w:val="auto"/>
        </w:rPr>
        <w:t>、</w:t>
      </w:r>
      <w:r>
        <w:rPr>
          <w:rFonts w:hint="eastAsia"/>
          <w:color w:val="auto"/>
        </w:rPr>
        <w:t>浑浊度、</w:t>
      </w:r>
      <w:r>
        <w:rPr>
          <w:color w:val="auto"/>
        </w:rPr>
        <w:t>总硬度、溶解性总固体、</w:t>
      </w:r>
      <w:r>
        <w:rPr>
          <w:rFonts w:hint="eastAsia"/>
          <w:color w:val="auto"/>
        </w:rPr>
        <w:t>耗氧量（高锰酸盐指数）、</w:t>
      </w:r>
      <w:r>
        <w:rPr>
          <w:color w:val="auto"/>
        </w:rPr>
        <w:t>挥发酚类、</w:t>
      </w:r>
      <w:r>
        <w:rPr>
          <w:rFonts w:hint="eastAsia"/>
          <w:color w:val="auto"/>
        </w:rPr>
        <w:t>阴离子活性表面剂、</w:t>
      </w:r>
      <w:r>
        <w:rPr>
          <w:color w:val="auto"/>
        </w:rPr>
        <w:t>硫酸</w:t>
      </w:r>
      <w:r>
        <w:rPr>
          <w:rFonts w:hint="eastAsia"/>
          <w:color w:val="auto"/>
        </w:rPr>
        <w:t>盐</w:t>
      </w:r>
      <w:r>
        <w:rPr>
          <w:color w:val="auto"/>
        </w:rPr>
        <w:t>、氯化物、</w:t>
      </w:r>
      <w:r>
        <w:rPr>
          <w:rFonts w:hint="eastAsia"/>
          <w:color w:val="auto"/>
        </w:rPr>
        <w:t>氟化物、氰化物、总大肠菌群、细菌总数、</w:t>
      </w:r>
      <w:r>
        <w:rPr>
          <w:color w:val="auto"/>
        </w:rPr>
        <w:t>硝酸盐、亚硝酸盐、氨氮、砷、汞、六价铬、</w:t>
      </w:r>
      <w:r>
        <w:rPr>
          <w:rFonts w:hint="eastAsia"/>
          <w:color w:val="auto"/>
        </w:rPr>
        <w:t>铁、锰、</w:t>
      </w:r>
      <w:r>
        <w:rPr>
          <w:color w:val="auto"/>
        </w:rPr>
        <w:t>铅、铜、锌、镉</w:t>
      </w:r>
      <w:r>
        <w:rPr>
          <w:rFonts w:hint="eastAsia"/>
          <w:color w:val="auto"/>
        </w:rPr>
        <w:t>、K</w:t>
      </w:r>
      <w:r>
        <w:rPr>
          <w:rFonts w:hint="eastAsia"/>
          <w:color w:val="auto"/>
          <w:vertAlign w:val="superscript"/>
        </w:rPr>
        <w:t>+</w:t>
      </w:r>
      <w:r>
        <w:rPr>
          <w:rFonts w:hint="eastAsia"/>
          <w:color w:val="auto"/>
        </w:rPr>
        <w:t>、Na</w:t>
      </w:r>
      <w:r>
        <w:rPr>
          <w:rFonts w:hint="eastAsia"/>
          <w:color w:val="auto"/>
          <w:vertAlign w:val="superscript"/>
        </w:rPr>
        <w:t>+</w:t>
      </w:r>
      <w:r>
        <w:rPr>
          <w:rFonts w:hint="eastAsia"/>
          <w:color w:val="auto"/>
        </w:rPr>
        <w:t>，Ca</w:t>
      </w:r>
      <w:r>
        <w:rPr>
          <w:rFonts w:hint="eastAsia"/>
          <w:color w:val="auto"/>
          <w:vertAlign w:val="superscript"/>
        </w:rPr>
        <w:t>2+</w:t>
      </w:r>
      <w:r>
        <w:rPr>
          <w:rFonts w:hint="eastAsia"/>
          <w:color w:val="auto"/>
        </w:rPr>
        <w:t>，Mg</w:t>
      </w:r>
      <w:r>
        <w:rPr>
          <w:rFonts w:hint="eastAsia"/>
          <w:color w:val="auto"/>
          <w:vertAlign w:val="superscript"/>
        </w:rPr>
        <w:t>2+</w:t>
      </w:r>
      <w:r>
        <w:rPr>
          <w:rFonts w:hint="eastAsia"/>
          <w:color w:val="auto"/>
        </w:rPr>
        <w:t>，CO</w:t>
      </w:r>
      <w:r>
        <w:rPr>
          <w:rFonts w:hint="eastAsia"/>
          <w:color w:val="auto"/>
          <w:vertAlign w:val="subscript"/>
        </w:rPr>
        <w:t>3</w:t>
      </w:r>
      <w:r>
        <w:rPr>
          <w:rFonts w:hint="eastAsia"/>
          <w:color w:val="auto"/>
          <w:vertAlign w:val="superscript"/>
        </w:rPr>
        <w:t>2-</w:t>
      </w:r>
      <w:r>
        <w:rPr>
          <w:rFonts w:hint="eastAsia"/>
          <w:color w:val="auto"/>
        </w:rPr>
        <w:t>，HCO</w:t>
      </w:r>
      <w:r>
        <w:rPr>
          <w:rFonts w:hint="eastAsia"/>
          <w:color w:val="auto"/>
          <w:vertAlign w:val="subscript"/>
        </w:rPr>
        <w:t>3</w:t>
      </w:r>
      <w:r>
        <w:rPr>
          <w:color w:val="auto"/>
          <w:vertAlign w:val="superscript"/>
        </w:rPr>
        <w:t>-</w:t>
      </w:r>
      <w:r>
        <w:rPr>
          <w:rFonts w:hint="eastAsia"/>
          <w:color w:val="auto"/>
        </w:rPr>
        <w:t>，Cl</w:t>
      </w:r>
      <w:r>
        <w:rPr>
          <w:rFonts w:hint="eastAsia"/>
          <w:color w:val="auto"/>
          <w:vertAlign w:val="superscript"/>
        </w:rPr>
        <w:t>-</w:t>
      </w:r>
      <w:r>
        <w:rPr>
          <w:rFonts w:hint="eastAsia"/>
          <w:color w:val="auto"/>
        </w:rPr>
        <w:t>、S</w:t>
      </w:r>
      <w:r>
        <w:rPr>
          <w:color w:val="auto"/>
        </w:rPr>
        <w:t>O</w:t>
      </w:r>
      <w:r>
        <w:rPr>
          <w:color w:val="auto"/>
          <w:vertAlign w:val="subscript"/>
        </w:rPr>
        <w:t>4</w:t>
      </w:r>
      <w:r>
        <w:rPr>
          <w:color w:val="auto"/>
          <w:vertAlign w:val="superscript"/>
        </w:rPr>
        <w:t>2</w:t>
      </w:r>
      <w:r>
        <w:rPr>
          <w:rFonts w:hint="eastAsia"/>
          <w:color w:val="auto"/>
          <w:vertAlign w:val="superscript"/>
        </w:rPr>
        <w:t>-</w:t>
      </w:r>
      <w:r>
        <w:rPr>
          <w:rFonts w:hint="eastAsia"/>
          <w:color w:val="auto"/>
        </w:rPr>
        <w:t>等</w:t>
      </w:r>
      <w:r>
        <w:rPr>
          <w:color w:val="auto"/>
        </w:rPr>
        <w:t>。</w:t>
      </w:r>
    </w:p>
    <w:p>
      <w:pPr>
        <w:pStyle w:val="298"/>
        <w:spacing w:before="156" w:after="156"/>
        <w:rPr>
          <w:color w:val="auto"/>
        </w:rPr>
      </w:pPr>
      <w:bookmarkStart w:id="483" w:name="_Toc24136792"/>
      <w:bookmarkStart w:id="484" w:name="_Toc3076"/>
      <w:bookmarkStart w:id="485" w:name="_Toc34234711"/>
      <w:r>
        <w:rPr>
          <w:color w:val="auto"/>
        </w:rPr>
        <w:t>4.5.3</w:t>
      </w:r>
      <w:r>
        <w:rPr>
          <w:rFonts w:hint="eastAsia"/>
          <w:color w:val="auto"/>
          <w:lang w:eastAsia="zh-CN"/>
        </w:rPr>
        <w:t>引用</w:t>
      </w:r>
      <w:r>
        <w:rPr>
          <w:color w:val="auto"/>
        </w:rPr>
        <w:t>监测采样时间及频次</w:t>
      </w:r>
      <w:bookmarkEnd w:id="483"/>
      <w:bookmarkEnd w:id="484"/>
      <w:bookmarkEnd w:id="485"/>
    </w:p>
    <w:p>
      <w:pPr>
        <w:spacing w:line="336" w:lineRule="auto"/>
        <w:ind w:firstLine="482"/>
        <w:rPr>
          <w:color w:val="auto"/>
        </w:rPr>
      </w:pPr>
      <w:r>
        <w:rPr>
          <w:color w:val="auto"/>
        </w:rPr>
        <w:t>广州京诚检测技术有限公司于2019年03月27日在D1、D4水质监测点位采样一次，于2019年10月11日在D2、D3、D5水质监测点位采样一次。</w:t>
      </w:r>
    </w:p>
    <w:p>
      <w:pPr>
        <w:pStyle w:val="298"/>
        <w:spacing w:before="156" w:after="156"/>
        <w:rPr>
          <w:color w:val="auto"/>
        </w:rPr>
      </w:pPr>
      <w:bookmarkStart w:id="486" w:name="_Toc24136793"/>
      <w:bookmarkStart w:id="487" w:name="_Toc6372"/>
      <w:bookmarkStart w:id="488" w:name="_Toc34234712"/>
      <w:r>
        <w:rPr>
          <w:color w:val="auto"/>
        </w:rPr>
        <w:t>4.5.4</w:t>
      </w:r>
      <w:r>
        <w:rPr>
          <w:rFonts w:hint="eastAsia"/>
          <w:color w:val="auto"/>
          <w:lang w:eastAsia="zh-CN"/>
        </w:rPr>
        <w:t>引用监测</w:t>
      </w:r>
      <w:r>
        <w:rPr>
          <w:color w:val="auto"/>
        </w:rPr>
        <w:t>分析方法</w:t>
      </w:r>
      <w:bookmarkEnd w:id="486"/>
      <w:bookmarkEnd w:id="487"/>
      <w:bookmarkEnd w:id="488"/>
    </w:p>
    <w:p>
      <w:pPr>
        <w:spacing w:line="360" w:lineRule="auto"/>
        <w:ind w:firstLine="480"/>
        <w:rPr>
          <w:color w:val="auto"/>
        </w:rPr>
      </w:pPr>
      <w:r>
        <w:rPr>
          <w:color w:val="auto"/>
        </w:rPr>
        <w:t>按照《水和废水监测分析方法》、《环境监测技术规范》、《地下水环境监测技术规范》（HJ/T 164-2004）等规定的标准方法实施，检测方法、使用仪器及方法检出限见表4.5-2。</w:t>
      </w:r>
    </w:p>
    <w:p>
      <w:pPr>
        <w:pStyle w:val="5"/>
        <w:ind w:firstLine="482"/>
        <w:jc w:val="center"/>
        <w:rPr>
          <w:b/>
          <w:color w:val="auto"/>
        </w:rPr>
      </w:pPr>
      <w:r>
        <w:rPr>
          <w:b/>
          <w:color w:val="auto"/>
        </w:rPr>
        <w:t>表</w:t>
      </w:r>
      <w:r>
        <w:rPr>
          <w:rFonts w:hint="eastAsia"/>
          <w:b/>
          <w:color w:val="auto"/>
        </w:rPr>
        <w:t>4</w:t>
      </w:r>
      <w:r>
        <w:rPr>
          <w:b/>
          <w:color w:val="auto"/>
        </w:rPr>
        <w:t>.5-2 地下水水质监测分析方法</w:t>
      </w:r>
    </w:p>
    <w:tbl>
      <w:tblPr>
        <w:tblStyle w:val="53"/>
        <w:tblW w:w="852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2"/>
        <w:gridCol w:w="1155"/>
        <w:gridCol w:w="2749"/>
        <w:gridCol w:w="2268"/>
        <w:gridCol w:w="14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blHeader/>
          <w:jc w:val="center"/>
        </w:trPr>
        <w:tc>
          <w:tcPr>
            <w:tcW w:w="882" w:type="dxa"/>
            <w:vAlign w:val="center"/>
          </w:tcPr>
          <w:p>
            <w:pPr>
              <w:jc w:val="center"/>
              <w:rPr>
                <w:b/>
                <w:bCs/>
                <w:color w:val="auto"/>
                <w:sz w:val="21"/>
                <w:szCs w:val="21"/>
              </w:rPr>
            </w:pPr>
            <w:r>
              <w:rPr>
                <w:b/>
                <w:bCs/>
                <w:color w:val="auto"/>
                <w:sz w:val="21"/>
                <w:szCs w:val="21"/>
              </w:rPr>
              <w:t>类别</w:t>
            </w:r>
          </w:p>
        </w:tc>
        <w:tc>
          <w:tcPr>
            <w:tcW w:w="1155" w:type="dxa"/>
            <w:vAlign w:val="center"/>
          </w:tcPr>
          <w:p>
            <w:pPr>
              <w:jc w:val="center"/>
              <w:rPr>
                <w:b/>
                <w:bCs/>
                <w:color w:val="auto"/>
                <w:sz w:val="21"/>
                <w:szCs w:val="21"/>
              </w:rPr>
            </w:pPr>
            <w:r>
              <w:rPr>
                <w:b/>
                <w:bCs/>
                <w:color w:val="auto"/>
                <w:sz w:val="21"/>
                <w:szCs w:val="21"/>
              </w:rPr>
              <w:t>检测项目</w:t>
            </w:r>
          </w:p>
        </w:tc>
        <w:tc>
          <w:tcPr>
            <w:tcW w:w="2749" w:type="dxa"/>
            <w:vAlign w:val="center"/>
          </w:tcPr>
          <w:p>
            <w:pPr>
              <w:jc w:val="center"/>
              <w:rPr>
                <w:b/>
                <w:bCs/>
                <w:color w:val="auto"/>
                <w:sz w:val="21"/>
                <w:szCs w:val="21"/>
              </w:rPr>
            </w:pPr>
            <w:r>
              <w:rPr>
                <w:b/>
                <w:bCs/>
                <w:color w:val="auto"/>
                <w:sz w:val="21"/>
                <w:szCs w:val="21"/>
              </w:rPr>
              <w:t>方法依据</w:t>
            </w:r>
          </w:p>
        </w:tc>
        <w:tc>
          <w:tcPr>
            <w:tcW w:w="2268" w:type="dxa"/>
            <w:vAlign w:val="center"/>
          </w:tcPr>
          <w:p>
            <w:pPr>
              <w:jc w:val="center"/>
              <w:rPr>
                <w:b/>
                <w:bCs/>
                <w:color w:val="auto"/>
                <w:sz w:val="21"/>
                <w:szCs w:val="21"/>
              </w:rPr>
            </w:pPr>
            <w:r>
              <w:rPr>
                <w:b/>
                <w:bCs/>
                <w:color w:val="auto"/>
                <w:sz w:val="21"/>
                <w:szCs w:val="21"/>
              </w:rPr>
              <w:t>检测设备（型号）及编号</w:t>
            </w:r>
          </w:p>
        </w:tc>
        <w:tc>
          <w:tcPr>
            <w:tcW w:w="1468" w:type="dxa"/>
            <w:vAlign w:val="center"/>
          </w:tcPr>
          <w:p>
            <w:pPr>
              <w:jc w:val="center"/>
              <w:rPr>
                <w:b/>
                <w:bCs/>
                <w:color w:val="auto"/>
                <w:sz w:val="21"/>
                <w:szCs w:val="21"/>
              </w:rPr>
            </w:pPr>
            <w:r>
              <w:rPr>
                <w:b/>
                <w:bCs/>
                <w:color w:val="auto"/>
                <w:sz w:val="21"/>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2" w:type="dxa"/>
            <w:vMerge w:val="restart"/>
            <w:vAlign w:val="center"/>
          </w:tcPr>
          <w:p>
            <w:pPr>
              <w:jc w:val="center"/>
              <w:rPr>
                <w:color w:val="auto"/>
                <w:sz w:val="21"/>
                <w:szCs w:val="21"/>
              </w:rPr>
            </w:pPr>
            <w:r>
              <w:rPr>
                <w:color w:val="auto"/>
                <w:sz w:val="21"/>
                <w:szCs w:val="21"/>
              </w:rPr>
              <w:t>地下水</w:t>
            </w:r>
          </w:p>
        </w:tc>
        <w:tc>
          <w:tcPr>
            <w:tcW w:w="1155" w:type="dxa"/>
            <w:vAlign w:val="center"/>
          </w:tcPr>
          <w:p>
            <w:pPr>
              <w:jc w:val="center"/>
              <w:rPr>
                <w:color w:val="auto"/>
                <w:sz w:val="21"/>
                <w:szCs w:val="21"/>
              </w:rPr>
            </w:pPr>
            <w:r>
              <w:rPr>
                <w:color w:val="auto"/>
                <w:sz w:val="21"/>
                <w:szCs w:val="21"/>
              </w:rPr>
              <w:t>pH值</w:t>
            </w:r>
          </w:p>
        </w:tc>
        <w:tc>
          <w:tcPr>
            <w:tcW w:w="2749" w:type="dxa"/>
            <w:vAlign w:val="center"/>
          </w:tcPr>
          <w:p>
            <w:pPr>
              <w:jc w:val="center"/>
              <w:rPr>
                <w:color w:val="auto"/>
                <w:sz w:val="21"/>
                <w:szCs w:val="21"/>
              </w:rPr>
            </w:pPr>
            <w:r>
              <w:rPr>
                <w:color w:val="auto"/>
                <w:sz w:val="21"/>
                <w:szCs w:val="21"/>
              </w:rPr>
              <w:t>《生活饮用水标准检验方法 感官性状和物理指标》GB/T 5750.4-2006 玻璃电极法（5.1）</w:t>
            </w:r>
          </w:p>
        </w:tc>
        <w:tc>
          <w:tcPr>
            <w:tcW w:w="2268" w:type="dxa"/>
            <w:vAlign w:val="center"/>
          </w:tcPr>
          <w:p>
            <w:pPr>
              <w:jc w:val="center"/>
              <w:rPr>
                <w:color w:val="auto"/>
                <w:sz w:val="21"/>
                <w:szCs w:val="21"/>
              </w:rPr>
            </w:pPr>
            <w:r>
              <w:rPr>
                <w:color w:val="auto"/>
                <w:sz w:val="21"/>
                <w:szCs w:val="21"/>
              </w:rPr>
              <w:t>pH计(PHS-25CW)YQ-129-11</w:t>
            </w:r>
          </w:p>
        </w:tc>
        <w:tc>
          <w:tcPr>
            <w:tcW w:w="1468" w:type="dxa"/>
            <w:vAlign w:val="center"/>
          </w:tcPr>
          <w:p>
            <w:pPr>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氨氮</w:t>
            </w:r>
          </w:p>
        </w:tc>
        <w:tc>
          <w:tcPr>
            <w:tcW w:w="2749" w:type="dxa"/>
            <w:vAlign w:val="center"/>
          </w:tcPr>
          <w:p>
            <w:pPr>
              <w:jc w:val="center"/>
              <w:rPr>
                <w:color w:val="auto"/>
                <w:sz w:val="21"/>
                <w:szCs w:val="21"/>
              </w:rPr>
            </w:pPr>
            <w:r>
              <w:rPr>
                <w:color w:val="auto"/>
                <w:sz w:val="21"/>
                <w:szCs w:val="21"/>
              </w:rPr>
              <w:t>《生活饮用水标准检验方法 无机非金属指标》GB/T 5750.5-2006 纳氏试剂分光光度法（9.1）</w:t>
            </w:r>
          </w:p>
        </w:tc>
        <w:tc>
          <w:tcPr>
            <w:tcW w:w="2268" w:type="dxa"/>
            <w:vAlign w:val="center"/>
          </w:tcPr>
          <w:p>
            <w:pPr>
              <w:jc w:val="center"/>
              <w:rPr>
                <w:color w:val="auto"/>
                <w:sz w:val="21"/>
                <w:szCs w:val="21"/>
              </w:rPr>
            </w:pPr>
            <w:r>
              <w:rPr>
                <w:color w:val="auto"/>
                <w:sz w:val="21"/>
                <w:szCs w:val="21"/>
              </w:rPr>
              <w:t>紫外可见分光光度计(752N)</w:t>
            </w:r>
          </w:p>
          <w:p>
            <w:pPr>
              <w:jc w:val="center"/>
              <w:rPr>
                <w:color w:val="auto"/>
                <w:sz w:val="21"/>
                <w:szCs w:val="21"/>
              </w:rPr>
            </w:pPr>
            <w:r>
              <w:rPr>
                <w:color w:val="auto"/>
                <w:sz w:val="21"/>
                <w:szCs w:val="21"/>
              </w:rPr>
              <w:t>YQ-122</w:t>
            </w:r>
          </w:p>
        </w:tc>
        <w:tc>
          <w:tcPr>
            <w:tcW w:w="1468" w:type="dxa"/>
            <w:vAlign w:val="center"/>
          </w:tcPr>
          <w:p>
            <w:pPr>
              <w:jc w:val="center"/>
              <w:rPr>
                <w:color w:val="auto"/>
                <w:sz w:val="21"/>
                <w:szCs w:val="21"/>
              </w:rPr>
            </w:pPr>
            <w:r>
              <w:rPr>
                <w:color w:val="auto"/>
                <w:sz w:val="21"/>
                <w:szCs w:val="21"/>
              </w:rPr>
              <w:t>0.02mg/L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耗氧量</w:t>
            </w:r>
          </w:p>
        </w:tc>
        <w:tc>
          <w:tcPr>
            <w:tcW w:w="2749" w:type="dxa"/>
            <w:vAlign w:val="center"/>
          </w:tcPr>
          <w:p>
            <w:pPr>
              <w:jc w:val="center"/>
              <w:rPr>
                <w:color w:val="auto"/>
                <w:sz w:val="21"/>
                <w:szCs w:val="21"/>
              </w:rPr>
            </w:pPr>
            <w:r>
              <w:rPr>
                <w:color w:val="auto"/>
                <w:sz w:val="21"/>
                <w:szCs w:val="21"/>
              </w:rPr>
              <w:t>《生活饮用水标准检验方法 有机物综合指标》GB/T 5750.7-2006 酸性高锰酸钾滴定法（1.1）</w:t>
            </w:r>
          </w:p>
        </w:tc>
        <w:tc>
          <w:tcPr>
            <w:tcW w:w="2268" w:type="dxa"/>
            <w:vAlign w:val="center"/>
          </w:tcPr>
          <w:p>
            <w:pPr>
              <w:jc w:val="center"/>
              <w:rPr>
                <w:color w:val="auto"/>
                <w:sz w:val="21"/>
                <w:szCs w:val="21"/>
              </w:rPr>
            </w:pPr>
            <w:r>
              <w:rPr>
                <w:color w:val="auto"/>
                <w:sz w:val="21"/>
                <w:szCs w:val="21"/>
              </w:rPr>
              <w:t>——</w:t>
            </w:r>
          </w:p>
        </w:tc>
        <w:tc>
          <w:tcPr>
            <w:tcW w:w="1468" w:type="dxa"/>
            <w:vAlign w:val="center"/>
          </w:tcPr>
          <w:p>
            <w:pPr>
              <w:jc w:val="center"/>
              <w:rPr>
                <w:color w:val="auto"/>
                <w:sz w:val="21"/>
                <w:szCs w:val="21"/>
              </w:rPr>
            </w:pPr>
            <w:r>
              <w:rPr>
                <w:color w:val="auto"/>
                <w:sz w:val="21"/>
                <w:szCs w:val="21"/>
              </w:rPr>
              <w:t>0.05mg/L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挥发酚</w:t>
            </w:r>
          </w:p>
        </w:tc>
        <w:tc>
          <w:tcPr>
            <w:tcW w:w="2749" w:type="dxa"/>
            <w:vAlign w:val="center"/>
          </w:tcPr>
          <w:p>
            <w:pPr>
              <w:jc w:val="center"/>
              <w:rPr>
                <w:color w:val="auto"/>
                <w:sz w:val="21"/>
                <w:szCs w:val="21"/>
              </w:rPr>
            </w:pPr>
            <w:r>
              <w:rPr>
                <w:color w:val="auto"/>
                <w:sz w:val="21"/>
                <w:szCs w:val="21"/>
              </w:rPr>
              <w:t>《水质 挥发酚的测定 4-氨基安替比林分光光度法》HJ 503-2009 萃取分光光度法（方法1）</w:t>
            </w:r>
          </w:p>
        </w:tc>
        <w:tc>
          <w:tcPr>
            <w:tcW w:w="2268" w:type="dxa"/>
            <w:vAlign w:val="center"/>
          </w:tcPr>
          <w:p>
            <w:pPr>
              <w:jc w:val="center"/>
              <w:rPr>
                <w:color w:val="auto"/>
                <w:sz w:val="21"/>
                <w:szCs w:val="21"/>
              </w:rPr>
            </w:pPr>
            <w:r>
              <w:rPr>
                <w:color w:val="auto"/>
                <w:sz w:val="21"/>
                <w:szCs w:val="21"/>
              </w:rPr>
              <w:t>紫外可见分光光度计(752N)</w:t>
            </w:r>
          </w:p>
          <w:p>
            <w:pPr>
              <w:jc w:val="center"/>
              <w:rPr>
                <w:color w:val="auto"/>
                <w:sz w:val="21"/>
                <w:szCs w:val="21"/>
              </w:rPr>
            </w:pPr>
            <w:r>
              <w:rPr>
                <w:color w:val="auto"/>
                <w:sz w:val="21"/>
                <w:szCs w:val="21"/>
              </w:rPr>
              <w:t>YQ-122</w:t>
            </w:r>
          </w:p>
        </w:tc>
        <w:tc>
          <w:tcPr>
            <w:tcW w:w="1468" w:type="dxa"/>
            <w:vAlign w:val="center"/>
          </w:tcPr>
          <w:p>
            <w:pPr>
              <w:jc w:val="center"/>
              <w:rPr>
                <w:color w:val="auto"/>
                <w:sz w:val="21"/>
                <w:szCs w:val="21"/>
              </w:rPr>
            </w:pPr>
            <w:r>
              <w:rPr>
                <w:color w:val="auto"/>
                <w:sz w:val="21"/>
                <w:szCs w:val="21"/>
              </w:rPr>
              <w:t>0.0003mg/L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浑浊度</w:t>
            </w:r>
          </w:p>
        </w:tc>
        <w:tc>
          <w:tcPr>
            <w:tcW w:w="2749" w:type="dxa"/>
            <w:vAlign w:val="center"/>
          </w:tcPr>
          <w:p>
            <w:pPr>
              <w:jc w:val="center"/>
              <w:rPr>
                <w:color w:val="auto"/>
                <w:sz w:val="21"/>
                <w:szCs w:val="21"/>
              </w:rPr>
            </w:pPr>
            <w:r>
              <w:rPr>
                <w:color w:val="auto"/>
                <w:sz w:val="21"/>
                <w:szCs w:val="21"/>
              </w:rPr>
              <w:t>《生活饮用水标准检验方法 感官性状和物理指标》GB/T 5750.4-2006 散射法——福尔马肼标准（2.1）</w:t>
            </w:r>
          </w:p>
        </w:tc>
        <w:tc>
          <w:tcPr>
            <w:tcW w:w="2268" w:type="dxa"/>
            <w:vAlign w:val="center"/>
          </w:tcPr>
          <w:p>
            <w:pPr>
              <w:jc w:val="center"/>
              <w:rPr>
                <w:color w:val="auto"/>
                <w:sz w:val="21"/>
                <w:szCs w:val="21"/>
              </w:rPr>
            </w:pPr>
            <w:r>
              <w:rPr>
                <w:color w:val="auto"/>
                <w:sz w:val="21"/>
                <w:szCs w:val="21"/>
              </w:rPr>
              <w:t>——</w:t>
            </w:r>
          </w:p>
        </w:tc>
        <w:tc>
          <w:tcPr>
            <w:tcW w:w="1468" w:type="dxa"/>
            <w:vAlign w:val="center"/>
          </w:tcPr>
          <w:p>
            <w:pPr>
              <w:jc w:val="center"/>
              <w:rPr>
                <w:color w:val="auto"/>
                <w:sz w:val="21"/>
                <w:szCs w:val="21"/>
              </w:rPr>
            </w:pPr>
            <w:r>
              <w:rPr>
                <w:color w:val="auto"/>
                <w:sz w:val="21"/>
                <w:szCs w:val="21"/>
              </w:rPr>
              <w:t>0.1NTU</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CO</w:t>
            </w:r>
            <w:r>
              <w:rPr>
                <w:color w:val="auto"/>
                <w:sz w:val="21"/>
                <w:szCs w:val="21"/>
                <w:vertAlign w:val="subscript"/>
              </w:rPr>
              <w:t>3</w:t>
            </w:r>
            <w:r>
              <w:rPr>
                <w:color w:val="auto"/>
                <w:sz w:val="21"/>
                <w:szCs w:val="21"/>
                <w:vertAlign w:val="superscript"/>
              </w:rPr>
              <w:t>2</w:t>
            </w:r>
            <w:r>
              <w:rPr>
                <w:rFonts w:hint="eastAsia"/>
                <w:color w:val="auto"/>
                <w:sz w:val="21"/>
                <w:szCs w:val="21"/>
                <w:vertAlign w:val="superscript"/>
              </w:rPr>
              <w:t>—</w:t>
            </w:r>
          </w:p>
        </w:tc>
        <w:tc>
          <w:tcPr>
            <w:tcW w:w="2749" w:type="dxa"/>
            <w:vAlign w:val="center"/>
          </w:tcPr>
          <w:p>
            <w:pPr>
              <w:jc w:val="center"/>
              <w:rPr>
                <w:color w:val="auto"/>
                <w:sz w:val="21"/>
                <w:szCs w:val="21"/>
              </w:rPr>
            </w:pPr>
            <w:r>
              <w:rPr>
                <w:color w:val="auto"/>
                <w:sz w:val="21"/>
                <w:szCs w:val="21"/>
              </w:rPr>
              <w:t>《水和废水监测分析方法》（第四版增补版）国家环境保护总局2002年  酸碱指示剂滴定法3.1.12（1）</w:t>
            </w:r>
          </w:p>
        </w:tc>
        <w:tc>
          <w:tcPr>
            <w:tcW w:w="2268" w:type="dxa"/>
            <w:vAlign w:val="center"/>
          </w:tcPr>
          <w:p>
            <w:pPr>
              <w:jc w:val="center"/>
              <w:rPr>
                <w:color w:val="auto"/>
                <w:sz w:val="21"/>
                <w:szCs w:val="21"/>
              </w:rPr>
            </w:pPr>
            <w:r>
              <w:rPr>
                <w:color w:val="auto"/>
                <w:sz w:val="21"/>
                <w:szCs w:val="21"/>
              </w:rPr>
              <w:t>——</w:t>
            </w:r>
          </w:p>
        </w:tc>
        <w:tc>
          <w:tcPr>
            <w:tcW w:w="1468" w:type="dxa"/>
            <w:vAlign w:val="center"/>
          </w:tcPr>
          <w:p>
            <w:pPr>
              <w:jc w:val="center"/>
              <w:rPr>
                <w:color w:val="auto"/>
                <w:sz w:val="21"/>
                <w:szCs w:val="21"/>
              </w:rPr>
            </w:pPr>
            <w:r>
              <w:rPr>
                <w:color w:val="auto"/>
                <w:sz w:val="21"/>
                <w:szCs w:val="21"/>
              </w:rPr>
              <w:t>0.5mg/L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HCO</w:t>
            </w:r>
            <w:r>
              <w:rPr>
                <w:color w:val="auto"/>
                <w:sz w:val="21"/>
                <w:szCs w:val="21"/>
                <w:vertAlign w:val="subscript"/>
              </w:rPr>
              <w:t>3</w:t>
            </w:r>
            <w:r>
              <w:rPr>
                <w:rFonts w:hint="eastAsia"/>
                <w:color w:val="auto"/>
                <w:sz w:val="21"/>
                <w:szCs w:val="21"/>
                <w:vertAlign w:val="superscript"/>
              </w:rPr>
              <w:t>—</w:t>
            </w:r>
          </w:p>
        </w:tc>
        <w:tc>
          <w:tcPr>
            <w:tcW w:w="2749" w:type="dxa"/>
            <w:vAlign w:val="center"/>
          </w:tcPr>
          <w:p>
            <w:pPr>
              <w:jc w:val="center"/>
              <w:rPr>
                <w:color w:val="auto"/>
                <w:sz w:val="21"/>
                <w:szCs w:val="21"/>
              </w:rPr>
            </w:pPr>
            <w:r>
              <w:rPr>
                <w:color w:val="auto"/>
                <w:sz w:val="21"/>
                <w:szCs w:val="21"/>
              </w:rPr>
              <w:t>《水和废水监测分析方法》（第四版增补版）国家环境保护总局2002年  酸碱指示剂滴定法3.1.12（1）</w:t>
            </w:r>
          </w:p>
        </w:tc>
        <w:tc>
          <w:tcPr>
            <w:tcW w:w="2268" w:type="dxa"/>
            <w:vAlign w:val="center"/>
          </w:tcPr>
          <w:p>
            <w:pPr>
              <w:jc w:val="center"/>
              <w:rPr>
                <w:color w:val="auto"/>
                <w:sz w:val="21"/>
                <w:szCs w:val="21"/>
              </w:rPr>
            </w:pPr>
            <w:r>
              <w:rPr>
                <w:color w:val="auto"/>
                <w:sz w:val="21"/>
                <w:szCs w:val="21"/>
              </w:rPr>
              <w:t>——</w:t>
            </w:r>
          </w:p>
        </w:tc>
        <w:tc>
          <w:tcPr>
            <w:tcW w:w="1468" w:type="dxa"/>
            <w:vAlign w:val="center"/>
          </w:tcPr>
          <w:p>
            <w:pPr>
              <w:jc w:val="center"/>
              <w:rPr>
                <w:color w:val="auto"/>
                <w:sz w:val="21"/>
                <w:szCs w:val="21"/>
              </w:rPr>
            </w:pPr>
            <w:r>
              <w:rPr>
                <w:color w:val="auto"/>
                <w:sz w:val="21"/>
                <w:szCs w:val="21"/>
              </w:rPr>
              <w:t>0.5mg/L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六价铬</w:t>
            </w:r>
          </w:p>
        </w:tc>
        <w:tc>
          <w:tcPr>
            <w:tcW w:w="2749" w:type="dxa"/>
            <w:vAlign w:val="center"/>
          </w:tcPr>
          <w:p>
            <w:pPr>
              <w:jc w:val="center"/>
              <w:rPr>
                <w:color w:val="auto"/>
                <w:sz w:val="21"/>
                <w:szCs w:val="21"/>
              </w:rPr>
            </w:pPr>
            <w:r>
              <w:rPr>
                <w:color w:val="auto"/>
                <w:sz w:val="21"/>
                <w:szCs w:val="21"/>
              </w:rPr>
              <w:t>《生活饮用水标准检验方法 金属指标》</w:t>
            </w:r>
          </w:p>
          <w:p>
            <w:pPr>
              <w:jc w:val="center"/>
              <w:rPr>
                <w:color w:val="auto"/>
                <w:sz w:val="21"/>
                <w:szCs w:val="21"/>
              </w:rPr>
            </w:pPr>
            <w:r>
              <w:rPr>
                <w:color w:val="auto"/>
                <w:sz w:val="21"/>
                <w:szCs w:val="21"/>
              </w:rPr>
              <w:t>GB/T 5750.6-2006 二苯碳酰二肼分光光度法（10.1）</w:t>
            </w:r>
          </w:p>
        </w:tc>
        <w:tc>
          <w:tcPr>
            <w:tcW w:w="2268" w:type="dxa"/>
            <w:vAlign w:val="center"/>
          </w:tcPr>
          <w:p>
            <w:pPr>
              <w:jc w:val="center"/>
              <w:rPr>
                <w:color w:val="auto"/>
                <w:sz w:val="21"/>
                <w:szCs w:val="21"/>
              </w:rPr>
            </w:pPr>
            <w:r>
              <w:rPr>
                <w:color w:val="auto"/>
                <w:sz w:val="21"/>
                <w:szCs w:val="21"/>
              </w:rPr>
              <w:t>紫外可见分光光度计(752N)</w:t>
            </w:r>
          </w:p>
          <w:p>
            <w:pPr>
              <w:jc w:val="center"/>
              <w:rPr>
                <w:color w:val="auto"/>
                <w:sz w:val="21"/>
                <w:szCs w:val="21"/>
              </w:rPr>
            </w:pPr>
            <w:r>
              <w:rPr>
                <w:color w:val="auto"/>
                <w:sz w:val="21"/>
                <w:szCs w:val="21"/>
              </w:rPr>
              <w:t>YQ-122</w:t>
            </w:r>
          </w:p>
        </w:tc>
        <w:tc>
          <w:tcPr>
            <w:tcW w:w="1468" w:type="dxa"/>
            <w:vAlign w:val="center"/>
          </w:tcPr>
          <w:p>
            <w:pPr>
              <w:jc w:val="center"/>
              <w:rPr>
                <w:color w:val="auto"/>
                <w:sz w:val="21"/>
                <w:szCs w:val="21"/>
              </w:rPr>
            </w:pPr>
            <w:r>
              <w:rPr>
                <w:color w:val="auto"/>
                <w:sz w:val="21"/>
                <w:szCs w:val="21"/>
              </w:rPr>
              <w:t>0.004mg/L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氰化物</w:t>
            </w:r>
          </w:p>
        </w:tc>
        <w:tc>
          <w:tcPr>
            <w:tcW w:w="2749" w:type="dxa"/>
            <w:vAlign w:val="center"/>
          </w:tcPr>
          <w:p>
            <w:pPr>
              <w:jc w:val="center"/>
              <w:rPr>
                <w:color w:val="auto"/>
                <w:sz w:val="21"/>
                <w:szCs w:val="21"/>
              </w:rPr>
            </w:pPr>
            <w:r>
              <w:rPr>
                <w:color w:val="auto"/>
                <w:sz w:val="21"/>
                <w:szCs w:val="21"/>
              </w:rPr>
              <w:t>《生活饮用水标准检验方法 无机非金属指标》GB/T 5750.5-2006 异烟酸-吡唑酮分光光度法（4.1）</w:t>
            </w:r>
          </w:p>
        </w:tc>
        <w:tc>
          <w:tcPr>
            <w:tcW w:w="2268" w:type="dxa"/>
            <w:vAlign w:val="center"/>
          </w:tcPr>
          <w:p>
            <w:pPr>
              <w:jc w:val="center"/>
              <w:rPr>
                <w:color w:val="auto"/>
                <w:sz w:val="21"/>
                <w:szCs w:val="21"/>
              </w:rPr>
            </w:pPr>
            <w:r>
              <w:rPr>
                <w:color w:val="auto"/>
                <w:sz w:val="21"/>
                <w:szCs w:val="21"/>
              </w:rPr>
              <w:t>紫外可见分光光度计(752N)</w:t>
            </w:r>
          </w:p>
          <w:p>
            <w:pPr>
              <w:jc w:val="center"/>
              <w:rPr>
                <w:color w:val="auto"/>
                <w:sz w:val="21"/>
                <w:szCs w:val="21"/>
              </w:rPr>
            </w:pPr>
            <w:r>
              <w:rPr>
                <w:color w:val="auto"/>
                <w:sz w:val="21"/>
                <w:szCs w:val="21"/>
              </w:rPr>
              <w:t>YQ-122</w:t>
            </w:r>
          </w:p>
        </w:tc>
        <w:tc>
          <w:tcPr>
            <w:tcW w:w="1468" w:type="dxa"/>
            <w:vAlign w:val="center"/>
          </w:tcPr>
          <w:p>
            <w:pPr>
              <w:jc w:val="center"/>
              <w:rPr>
                <w:color w:val="auto"/>
                <w:sz w:val="21"/>
                <w:szCs w:val="21"/>
              </w:rPr>
            </w:pPr>
            <w:r>
              <w:rPr>
                <w:color w:val="auto"/>
                <w:sz w:val="21"/>
                <w:szCs w:val="21"/>
              </w:rPr>
              <w:t>0.002mg/L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溶解性总固体</w:t>
            </w:r>
          </w:p>
        </w:tc>
        <w:tc>
          <w:tcPr>
            <w:tcW w:w="2749" w:type="dxa"/>
            <w:vAlign w:val="center"/>
          </w:tcPr>
          <w:p>
            <w:pPr>
              <w:jc w:val="center"/>
              <w:rPr>
                <w:color w:val="auto"/>
                <w:sz w:val="21"/>
                <w:szCs w:val="21"/>
              </w:rPr>
            </w:pPr>
            <w:r>
              <w:rPr>
                <w:color w:val="auto"/>
                <w:sz w:val="21"/>
                <w:szCs w:val="21"/>
              </w:rPr>
              <w:t>《生活饮用水标准检验方法 感官性状和物理指标》GB/T 5750.4-2006 称量法（8.1）</w:t>
            </w:r>
          </w:p>
        </w:tc>
        <w:tc>
          <w:tcPr>
            <w:tcW w:w="2268" w:type="dxa"/>
            <w:vAlign w:val="center"/>
          </w:tcPr>
          <w:p>
            <w:pPr>
              <w:jc w:val="center"/>
              <w:rPr>
                <w:color w:val="auto"/>
                <w:sz w:val="21"/>
                <w:szCs w:val="21"/>
              </w:rPr>
            </w:pPr>
            <w:r>
              <w:rPr>
                <w:color w:val="auto"/>
                <w:sz w:val="21"/>
                <w:szCs w:val="21"/>
              </w:rPr>
              <w:t>电子天平(BSA224S)</w:t>
            </w:r>
          </w:p>
          <w:p>
            <w:pPr>
              <w:jc w:val="center"/>
              <w:rPr>
                <w:color w:val="auto"/>
                <w:sz w:val="21"/>
                <w:szCs w:val="21"/>
              </w:rPr>
            </w:pPr>
            <w:r>
              <w:rPr>
                <w:color w:val="auto"/>
                <w:sz w:val="21"/>
                <w:szCs w:val="21"/>
              </w:rPr>
              <w:t>YQ-020-05</w:t>
            </w:r>
          </w:p>
        </w:tc>
        <w:tc>
          <w:tcPr>
            <w:tcW w:w="1468" w:type="dxa"/>
            <w:vAlign w:val="center"/>
          </w:tcPr>
          <w:p>
            <w:pPr>
              <w:jc w:val="center"/>
              <w:rPr>
                <w:color w:val="auto"/>
                <w:sz w:val="21"/>
                <w:szCs w:val="21"/>
              </w:rPr>
            </w:pPr>
            <w:r>
              <w:rPr>
                <w:color w:val="auto"/>
                <w:sz w:val="21"/>
                <w:szCs w:val="21"/>
              </w:rPr>
              <w:t>5mg/L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硝酸盐氮</w:t>
            </w:r>
          </w:p>
        </w:tc>
        <w:tc>
          <w:tcPr>
            <w:tcW w:w="2749" w:type="dxa"/>
            <w:vAlign w:val="center"/>
          </w:tcPr>
          <w:p>
            <w:pPr>
              <w:jc w:val="center"/>
              <w:rPr>
                <w:color w:val="auto"/>
                <w:sz w:val="21"/>
                <w:szCs w:val="21"/>
              </w:rPr>
            </w:pPr>
            <w:r>
              <w:rPr>
                <w:color w:val="auto"/>
                <w:sz w:val="21"/>
                <w:szCs w:val="21"/>
              </w:rPr>
              <w:t>《生活饮用水标准检验方法 无机非金属指标》GB/T 5750.5-2006 紫外分光光度法（5.2）</w:t>
            </w:r>
          </w:p>
        </w:tc>
        <w:tc>
          <w:tcPr>
            <w:tcW w:w="2268" w:type="dxa"/>
            <w:vAlign w:val="center"/>
          </w:tcPr>
          <w:p>
            <w:pPr>
              <w:jc w:val="center"/>
              <w:rPr>
                <w:color w:val="auto"/>
                <w:sz w:val="21"/>
                <w:szCs w:val="21"/>
              </w:rPr>
            </w:pPr>
            <w:r>
              <w:rPr>
                <w:color w:val="auto"/>
                <w:sz w:val="21"/>
                <w:szCs w:val="21"/>
              </w:rPr>
              <w:t>紫外可见分光光度计(UV-1800)</w:t>
            </w:r>
          </w:p>
          <w:p>
            <w:pPr>
              <w:jc w:val="center"/>
              <w:rPr>
                <w:color w:val="auto"/>
                <w:sz w:val="21"/>
                <w:szCs w:val="21"/>
              </w:rPr>
            </w:pPr>
            <w:r>
              <w:rPr>
                <w:color w:val="auto"/>
                <w:sz w:val="21"/>
                <w:szCs w:val="21"/>
              </w:rPr>
              <w:t>YQ-008-02</w:t>
            </w:r>
          </w:p>
        </w:tc>
        <w:tc>
          <w:tcPr>
            <w:tcW w:w="1468" w:type="dxa"/>
            <w:vAlign w:val="center"/>
          </w:tcPr>
          <w:p>
            <w:pPr>
              <w:jc w:val="center"/>
              <w:rPr>
                <w:color w:val="auto"/>
                <w:sz w:val="21"/>
                <w:szCs w:val="21"/>
              </w:rPr>
            </w:pPr>
            <w:r>
              <w:rPr>
                <w:color w:val="auto"/>
                <w:sz w:val="21"/>
                <w:szCs w:val="21"/>
              </w:rPr>
              <w:t>0.2mg/L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亚硝酸盐氮</w:t>
            </w:r>
          </w:p>
        </w:tc>
        <w:tc>
          <w:tcPr>
            <w:tcW w:w="2749" w:type="dxa"/>
            <w:vAlign w:val="center"/>
          </w:tcPr>
          <w:p>
            <w:pPr>
              <w:jc w:val="center"/>
              <w:rPr>
                <w:color w:val="auto"/>
                <w:sz w:val="21"/>
                <w:szCs w:val="21"/>
              </w:rPr>
            </w:pPr>
            <w:r>
              <w:rPr>
                <w:color w:val="auto"/>
                <w:sz w:val="21"/>
                <w:szCs w:val="21"/>
              </w:rPr>
              <w:t>《生活饮用水标准检验方法 无机非金属指标》GB/T 5750.5-2006 重氮偶合分光光度法（10.1）</w:t>
            </w:r>
          </w:p>
        </w:tc>
        <w:tc>
          <w:tcPr>
            <w:tcW w:w="2268" w:type="dxa"/>
            <w:vAlign w:val="center"/>
          </w:tcPr>
          <w:p>
            <w:pPr>
              <w:jc w:val="center"/>
              <w:rPr>
                <w:color w:val="auto"/>
                <w:sz w:val="21"/>
                <w:szCs w:val="21"/>
              </w:rPr>
            </w:pPr>
            <w:r>
              <w:rPr>
                <w:color w:val="auto"/>
                <w:sz w:val="21"/>
                <w:szCs w:val="21"/>
              </w:rPr>
              <w:t>紫外可见分光光度计(UV-1800)</w:t>
            </w:r>
          </w:p>
          <w:p>
            <w:pPr>
              <w:jc w:val="center"/>
              <w:rPr>
                <w:color w:val="auto"/>
                <w:sz w:val="21"/>
                <w:szCs w:val="21"/>
              </w:rPr>
            </w:pPr>
            <w:r>
              <w:rPr>
                <w:color w:val="auto"/>
                <w:sz w:val="21"/>
                <w:szCs w:val="21"/>
              </w:rPr>
              <w:t>YQ-008-02</w:t>
            </w:r>
          </w:p>
        </w:tc>
        <w:tc>
          <w:tcPr>
            <w:tcW w:w="1468" w:type="dxa"/>
            <w:vAlign w:val="center"/>
          </w:tcPr>
          <w:p>
            <w:pPr>
              <w:jc w:val="center"/>
              <w:rPr>
                <w:color w:val="auto"/>
                <w:sz w:val="21"/>
                <w:szCs w:val="21"/>
              </w:rPr>
            </w:pPr>
            <w:r>
              <w:rPr>
                <w:color w:val="auto"/>
                <w:sz w:val="21"/>
                <w:szCs w:val="21"/>
              </w:rPr>
              <w:t>0.001mg/L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阴离子</w:t>
            </w:r>
            <w:r>
              <w:rPr>
                <w:rFonts w:hint="eastAsia"/>
                <w:color w:val="auto"/>
                <w:sz w:val="21"/>
                <w:szCs w:val="21"/>
              </w:rPr>
              <w:t>表面活性剂</w:t>
            </w:r>
          </w:p>
        </w:tc>
        <w:tc>
          <w:tcPr>
            <w:tcW w:w="2749" w:type="dxa"/>
            <w:vAlign w:val="center"/>
          </w:tcPr>
          <w:p>
            <w:pPr>
              <w:jc w:val="center"/>
              <w:rPr>
                <w:color w:val="auto"/>
                <w:sz w:val="21"/>
                <w:szCs w:val="21"/>
              </w:rPr>
            </w:pPr>
            <w:r>
              <w:rPr>
                <w:color w:val="auto"/>
                <w:sz w:val="21"/>
                <w:szCs w:val="21"/>
              </w:rPr>
              <w:t>《生活饮用水标准检验方法 感官性状和物理指标》GB/T 5750.4-2006 亚甲蓝分光光度法（10.1）</w:t>
            </w:r>
          </w:p>
        </w:tc>
        <w:tc>
          <w:tcPr>
            <w:tcW w:w="2268" w:type="dxa"/>
            <w:vAlign w:val="center"/>
          </w:tcPr>
          <w:p>
            <w:pPr>
              <w:jc w:val="center"/>
              <w:rPr>
                <w:color w:val="auto"/>
                <w:sz w:val="21"/>
                <w:szCs w:val="21"/>
              </w:rPr>
            </w:pPr>
            <w:r>
              <w:rPr>
                <w:color w:val="auto"/>
                <w:sz w:val="21"/>
                <w:szCs w:val="21"/>
              </w:rPr>
              <w:t>紫外可见分光光度计(752N)</w:t>
            </w:r>
          </w:p>
          <w:p>
            <w:pPr>
              <w:jc w:val="center"/>
              <w:rPr>
                <w:color w:val="auto"/>
                <w:sz w:val="21"/>
                <w:szCs w:val="21"/>
              </w:rPr>
            </w:pPr>
            <w:r>
              <w:rPr>
                <w:color w:val="auto"/>
                <w:sz w:val="21"/>
                <w:szCs w:val="21"/>
              </w:rPr>
              <w:t>YQ-122</w:t>
            </w:r>
          </w:p>
        </w:tc>
        <w:tc>
          <w:tcPr>
            <w:tcW w:w="1468" w:type="dxa"/>
            <w:vAlign w:val="center"/>
          </w:tcPr>
          <w:p>
            <w:pPr>
              <w:jc w:val="center"/>
              <w:rPr>
                <w:color w:val="auto"/>
                <w:sz w:val="21"/>
                <w:szCs w:val="21"/>
              </w:rPr>
            </w:pPr>
            <w:r>
              <w:rPr>
                <w:color w:val="auto"/>
                <w:sz w:val="21"/>
                <w:szCs w:val="21"/>
              </w:rPr>
              <w:t>0.05mg/L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总硬度</w:t>
            </w:r>
          </w:p>
        </w:tc>
        <w:tc>
          <w:tcPr>
            <w:tcW w:w="2749" w:type="dxa"/>
            <w:vAlign w:val="center"/>
          </w:tcPr>
          <w:p>
            <w:pPr>
              <w:jc w:val="center"/>
              <w:rPr>
                <w:color w:val="auto"/>
                <w:sz w:val="21"/>
                <w:szCs w:val="21"/>
              </w:rPr>
            </w:pPr>
            <w:r>
              <w:rPr>
                <w:color w:val="auto"/>
                <w:sz w:val="21"/>
                <w:szCs w:val="21"/>
              </w:rPr>
              <w:t>《生活饮用水标准检验方法 感官性状和物理指标》GB/T 5750.4-2006 乙二胺四乙酸二钠滴定法（7.1）</w:t>
            </w:r>
          </w:p>
        </w:tc>
        <w:tc>
          <w:tcPr>
            <w:tcW w:w="2268" w:type="dxa"/>
            <w:vAlign w:val="center"/>
          </w:tcPr>
          <w:p>
            <w:pPr>
              <w:jc w:val="center"/>
              <w:rPr>
                <w:color w:val="auto"/>
                <w:sz w:val="21"/>
                <w:szCs w:val="21"/>
              </w:rPr>
            </w:pPr>
            <w:r>
              <w:rPr>
                <w:color w:val="auto"/>
                <w:sz w:val="21"/>
                <w:szCs w:val="21"/>
              </w:rPr>
              <w:t>——</w:t>
            </w:r>
          </w:p>
        </w:tc>
        <w:tc>
          <w:tcPr>
            <w:tcW w:w="1468" w:type="dxa"/>
            <w:vAlign w:val="center"/>
          </w:tcPr>
          <w:p>
            <w:pPr>
              <w:jc w:val="center"/>
              <w:rPr>
                <w:color w:val="auto"/>
                <w:sz w:val="21"/>
                <w:szCs w:val="21"/>
              </w:rPr>
            </w:pPr>
            <w:r>
              <w:rPr>
                <w:color w:val="auto"/>
                <w:sz w:val="21"/>
                <w:szCs w:val="21"/>
              </w:rPr>
              <w:t>1.0mg/L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细菌总数</w:t>
            </w:r>
          </w:p>
        </w:tc>
        <w:tc>
          <w:tcPr>
            <w:tcW w:w="2749" w:type="dxa"/>
            <w:vAlign w:val="center"/>
          </w:tcPr>
          <w:p>
            <w:pPr>
              <w:jc w:val="center"/>
              <w:rPr>
                <w:color w:val="auto"/>
                <w:sz w:val="21"/>
                <w:szCs w:val="21"/>
              </w:rPr>
            </w:pPr>
            <w:r>
              <w:rPr>
                <w:color w:val="auto"/>
                <w:sz w:val="21"/>
                <w:szCs w:val="21"/>
              </w:rPr>
              <w:t>《生活饮用水标准检验方法 微生物指标》</w:t>
            </w:r>
          </w:p>
          <w:p>
            <w:pPr>
              <w:jc w:val="center"/>
              <w:rPr>
                <w:color w:val="auto"/>
                <w:sz w:val="21"/>
                <w:szCs w:val="21"/>
              </w:rPr>
            </w:pPr>
            <w:r>
              <w:rPr>
                <w:color w:val="auto"/>
                <w:sz w:val="21"/>
                <w:szCs w:val="21"/>
              </w:rPr>
              <w:t>GB/T 5750.12-2006 平皿计数法（1.1）</w:t>
            </w:r>
          </w:p>
        </w:tc>
        <w:tc>
          <w:tcPr>
            <w:tcW w:w="2268" w:type="dxa"/>
            <w:vAlign w:val="center"/>
          </w:tcPr>
          <w:p>
            <w:pPr>
              <w:jc w:val="center"/>
              <w:rPr>
                <w:color w:val="auto"/>
                <w:sz w:val="21"/>
                <w:szCs w:val="21"/>
              </w:rPr>
            </w:pPr>
            <w:r>
              <w:rPr>
                <w:color w:val="auto"/>
                <w:sz w:val="21"/>
                <w:szCs w:val="21"/>
              </w:rPr>
              <w:t>生化培养箱(LRH-150)</w:t>
            </w:r>
          </w:p>
          <w:p>
            <w:pPr>
              <w:jc w:val="center"/>
              <w:rPr>
                <w:color w:val="auto"/>
                <w:sz w:val="21"/>
                <w:szCs w:val="21"/>
              </w:rPr>
            </w:pPr>
            <w:r>
              <w:rPr>
                <w:color w:val="auto"/>
                <w:sz w:val="21"/>
                <w:szCs w:val="21"/>
              </w:rPr>
              <w:t>YQ-024-01</w:t>
            </w:r>
          </w:p>
        </w:tc>
        <w:tc>
          <w:tcPr>
            <w:tcW w:w="1468" w:type="dxa"/>
            <w:vAlign w:val="center"/>
          </w:tcPr>
          <w:p>
            <w:pPr>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总大肠菌群</w:t>
            </w:r>
          </w:p>
        </w:tc>
        <w:tc>
          <w:tcPr>
            <w:tcW w:w="2749" w:type="dxa"/>
            <w:vAlign w:val="center"/>
          </w:tcPr>
          <w:p>
            <w:pPr>
              <w:jc w:val="center"/>
              <w:rPr>
                <w:color w:val="auto"/>
                <w:sz w:val="21"/>
                <w:szCs w:val="21"/>
              </w:rPr>
            </w:pPr>
            <w:r>
              <w:rPr>
                <w:color w:val="auto"/>
                <w:sz w:val="21"/>
                <w:szCs w:val="21"/>
              </w:rPr>
              <w:t>《生活饮用水标准检验方法 微生物指标》</w:t>
            </w:r>
          </w:p>
          <w:p>
            <w:pPr>
              <w:jc w:val="center"/>
              <w:rPr>
                <w:color w:val="auto"/>
                <w:sz w:val="21"/>
                <w:szCs w:val="21"/>
              </w:rPr>
            </w:pPr>
            <w:r>
              <w:rPr>
                <w:color w:val="auto"/>
                <w:sz w:val="21"/>
                <w:szCs w:val="21"/>
              </w:rPr>
              <w:t>GB/T 5750.12-2006 多管发酵法（2.1）</w:t>
            </w:r>
          </w:p>
        </w:tc>
        <w:tc>
          <w:tcPr>
            <w:tcW w:w="2268" w:type="dxa"/>
            <w:vAlign w:val="center"/>
          </w:tcPr>
          <w:p>
            <w:pPr>
              <w:jc w:val="center"/>
              <w:rPr>
                <w:color w:val="auto"/>
                <w:sz w:val="21"/>
                <w:szCs w:val="21"/>
              </w:rPr>
            </w:pPr>
            <w:r>
              <w:rPr>
                <w:color w:val="auto"/>
                <w:sz w:val="21"/>
                <w:szCs w:val="21"/>
              </w:rPr>
              <w:t>生化培养箱(LRH-150)</w:t>
            </w:r>
          </w:p>
          <w:p>
            <w:pPr>
              <w:jc w:val="center"/>
              <w:rPr>
                <w:color w:val="auto"/>
                <w:sz w:val="21"/>
                <w:szCs w:val="21"/>
              </w:rPr>
            </w:pPr>
            <w:r>
              <w:rPr>
                <w:color w:val="auto"/>
                <w:sz w:val="21"/>
                <w:szCs w:val="21"/>
              </w:rPr>
              <w:t>YQ-024-01</w:t>
            </w:r>
          </w:p>
        </w:tc>
        <w:tc>
          <w:tcPr>
            <w:tcW w:w="1468" w:type="dxa"/>
            <w:vAlign w:val="center"/>
          </w:tcPr>
          <w:p>
            <w:pPr>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氟化物</w:t>
            </w:r>
          </w:p>
        </w:tc>
        <w:tc>
          <w:tcPr>
            <w:tcW w:w="2749" w:type="dxa"/>
            <w:vAlign w:val="center"/>
          </w:tcPr>
          <w:p>
            <w:pPr>
              <w:spacing w:line="280" w:lineRule="exact"/>
              <w:jc w:val="center"/>
              <w:rPr>
                <w:color w:val="auto"/>
                <w:sz w:val="21"/>
                <w:szCs w:val="21"/>
              </w:rPr>
            </w:pPr>
            <w:r>
              <w:rPr>
                <w:color w:val="auto"/>
                <w:sz w:val="21"/>
                <w:szCs w:val="21"/>
              </w:rPr>
              <w:t>《生活饮用水标准检验方法 无机非金属指标》GB/T 5750.5-2006 离子色谱法（3.2）</w:t>
            </w:r>
          </w:p>
        </w:tc>
        <w:tc>
          <w:tcPr>
            <w:tcW w:w="2268" w:type="dxa"/>
            <w:vAlign w:val="center"/>
          </w:tcPr>
          <w:p>
            <w:pPr>
              <w:jc w:val="center"/>
              <w:rPr>
                <w:color w:val="auto"/>
                <w:sz w:val="21"/>
                <w:szCs w:val="21"/>
              </w:rPr>
            </w:pPr>
            <w:r>
              <w:rPr>
                <w:color w:val="auto"/>
                <w:sz w:val="21"/>
                <w:szCs w:val="21"/>
              </w:rPr>
              <w:t>离子色谱仪(ICS-1000)</w:t>
            </w:r>
          </w:p>
          <w:p>
            <w:pPr>
              <w:jc w:val="center"/>
              <w:rPr>
                <w:color w:val="auto"/>
                <w:sz w:val="21"/>
                <w:szCs w:val="21"/>
              </w:rPr>
            </w:pPr>
            <w:r>
              <w:rPr>
                <w:color w:val="auto"/>
                <w:sz w:val="21"/>
                <w:szCs w:val="21"/>
              </w:rPr>
              <w:t>YQ-116</w:t>
            </w:r>
          </w:p>
        </w:tc>
        <w:tc>
          <w:tcPr>
            <w:tcW w:w="1468" w:type="dxa"/>
            <w:vAlign w:val="center"/>
          </w:tcPr>
          <w:p>
            <w:pPr>
              <w:jc w:val="center"/>
              <w:rPr>
                <w:color w:val="auto"/>
                <w:sz w:val="21"/>
                <w:szCs w:val="21"/>
              </w:rPr>
            </w:pPr>
            <w:r>
              <w:rPr>
                <w:color w:val="auto"/>
                <w:sz w:val="21"/>
                <w:szCs w:val="21"/>
              </w:rPr>
              <w:t>0.03mg/L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氯化物</w:t>
            </w:r>
          </w:p>
        </w:tc>
        <w:tc>
          <w:tcPr>
            <w:tcW w:w="2749" w:type="dxa"/>
            <w:vAlign w:val="center"/>
          </w:tcPr>
          <w:p>
            <w:pPr>
              <w:spacing w:line="280" w:lineRule="exact"/>
              <w:jc w:val="center"/>
              <w:rPr>
                <w:color w:val="auto"/>
                <w:sz w:val="21"/>
                <w:szCs w:val="21"/>
              </w:rPr>
            </w:pPr>
            <w:r>
              <w:rPr>
                <w:color w:val="auto"/>
                <w:sz w:val="21"/>
                <w:szCs w:val="21"/>
              </w:rPr>
              <w:t>《生活饮用水标准检验方法 无机非金属指标》GB/T 5750.5-2006 离子色谱法（2.2）</w:t>
            </w:r>
          </w:p>
        </w:tc>
        <w:tc>
          <w:tcPr>
            <w:tcW w:w="2268" w:type="dxa"/>
            <w:vAlign w:val="center"/>
          </w:tcPr>
          <w:p>
            <w:pPr>
              <w:jc w:val="center"/>
              <w:rPr>
                <w:color w:val="auto"/>
                <w:sz w:val="21"/>
                <w:szCs w:val="21"/>
              </w:rPr>
            </w:pPr>
            <w:r>
              <w:rPr>
                <w:color w:val="auto"/>
                <w:sz w:val="21"/>
                <w:szCs w:val="21"/>
              </w:rPr>
              <w:t>离子色谱仪(ICS-1000)</w:t>
            </w:r>
          </w:p>
          <w:p>
            <w:pPr>
              <w:jc w:val="center"/>
              <w:rPr>
                <w:color w:val="auto"/>
                <w:sz w:val="21"/>
                <w:szCs w:val="21"/>
              </w:rPr>
            </w:pPr>
            <w:r>
              <w:rPr>
                <w:color w:val="auto"/>
                <w:sz w:val="21"/>
                <w:szCs w:val="21"/>
              </w:rPr>
              <w:t>YQ-116</w:t>
            </w:r>
          </w:p>
        </w:tc>
        <w:tc>
          <w:tcPr>
            <w:tcW w:w="1468" w:type="dxa"/>
            <w:vAlign w:val="center"/>
          </w:tcPr>
          <w:p>
            <w:pPr>
              <w:jc w:val="center"/>
              <w:rPr>
                <w:color w:val="auto"/>
                <w:sz w:val="21"/>
                <w:szCs w:val="21"/>
              </w:rPr>
            </w:pPr>
            <w:r>
              <w:rPr>
                <w:color w:val="auto"/>
                <w:sz w:val="21"/>
                <w:szCs w:val="21"/>
              </w:rPr>
              <w:t>0.03mg/L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硫酸盐</w:t>
            </w:r>
          </w:p>
        </w:tc>
        <w:tc>
          <w:tcPr>
            <w:tcW w:w="2749" w:type="dxa"/>
            <w:vAlign w:val="center"/>
          </w:tcPr>
          <w:p>
            <w:pPr>
              <w:jc w:val="center"/>
              <w:rPr>
                <w:color w:val="auto"/>
                <w:sz w:val="21"/>
                <w:szCs w:val="21"/>
              </w:rPr>
            </w:pPr>
            <w:r>
              <w:rPr>
                <w:color w:val="auto"/>
                <w:sz w:val="21"/>
                <w:szCs w:val="21"/>
              </w:rPr>
              <w:t>《生活饮用水标准检验方法 无机非金属指标》GB/T 5750.5-2006 离子色谱法（1.2）</w:t>
            </w:r>
          </w:p>
        </w:tc>
        <w:tc>
          <w:tcPr>
            <w:tcW w:w="2268" w:type="dxa"/>
            <w:vAlign w:val="center"/>
          </w:tcPr>
          <w:p>
            <w:pPr>
              <w:jc w:val="center"/>
              <w:rPr>
                <w:color w:val="auto"/>
                <w:sz w:val="21"/>
                <w:szCs w:val="21"/>
              </w:rPr>
            </w:pPr>
            <w:r>
              <w:rPr>
                <w:color w:val="auto"/>
                <w:sz w:val="21"/>
                <w:szCs w:val="21"/>
              </w:rPr>
              <w:t>离子色谱仪(ICS-1000)</w:t>
            </w:r>
          </w:p>
          <w:p>
            <w:pPr>
              <w:jc w:val="center"/>
              <w:rPr>
                <w:color w:val="auto"/>
                <w:sz w:val="21"/>
                <w:szCs w:val="21"/>
              </w:rPr>
            </w:pPr>
            <w:r>
              <w:rPr>
                <w:color w:val="auto"/>
                <w:sz w:val="21"/>
                <w:szCs w:val="21"/>
              </w:rPr>
              <w:t>YQ-116</w:t>
            </w:r>
          </w:p>
        </w:tc>
        <w:tc>
          <w:tcPr>
            <w:tcW w:w="1468" w:type="dxa"/>
            <w:vAlign w:val="center"/>
          </w:tcPr>
          <w:p>
            <w:pPr>
              <w:jc w:val="center"/>
              <w:rPr>
                <w:color w:val="auto"/>
                <w:sz w:val="21"/>
                <w:szCs w:val="21"/>
              </w:rPr>
            </w:pPr>
            <w:r>
              <w:rPr>
                <w:color w:val="auto"/>
                <w:sz w:val="21"/>
                <w:szCs w:val="21"/>
              </w:rPr>
              <w:t>0.2mg/L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氯离子</w:t>
            </w:r>
          </w:p>
        </w:tc>
        <w:tc>
          <w:tcPr>
            <w:tcW w:w="2749" w:type="dxa"/>
            <w:vAlign w:val="center"/>
          </w:tcPr>
          <w:p>
            <w:pPr>
              <w:jc w:val="center"/>
              <w:rPr>
                <w:color w:val="auto"/>
                <w:sz w:val="21"/>
                <w:szCs w:val="21"/>
              </w:rPr>
            </w:pPr>
            <w:r>
              <w:rPr>
                <w:color w:val="auto"/>
                <w:sz w:val="21"/>
                <w:szCs w:val="21"/>
              </w:rPr>
              <w:t>《水质 无机阴离子（F</w:t>
            </w:r>
            <w:r>
              <w:rPr>
                <w:color w:val="auto"/>
                <w:sz w:val="21"/>
                <w:szCs w:val="21"/>
                <w:vertAlign w:val="superscript"/>
              </w:rPr>
              <w:t>-</w:t>
            </w:r>
            <w:r>
              <w:rPr>
                <w:color w:val="auto"/>
                <w:sz w:val="21"/>
                <w:szCs w:val="21"/>
              </w:rPr>
              <w:t>、Cl</w:t>
            </w:r>
            <w:r>
              <w:rPr>
                <w:color w:val="auto"/>
                <w:sz w:val="21"/>
                <w:szCs w:val="21"/>
                <w:vertAlign w:val="superscript"/>
              </w:rPr>
              <w:t>-</w:t>
            </w:r>
            <w:r>
              <w:rPr>
                <w:color w:val="auto"/>
                <w:sz w:val="21"/>
                <w:szCs w:val="21"/>
              </w:rPr>
              <w:t>、NO</w:t>
            </w:r>
            <w:r>
              <w:rPr>
                <w:color w:val="auto"/>
                <w:sz w:val="21"/>
                <w:szCs w:val="21"/>
                <w:vertAlign w:val="superscript"/>
              </w:rPr>
              <w:t>2-</w:t>
            </w:r>
            <w:r>
              <w:rPr>
                <w:color w:val="auto"/>
                <w:sz w:val="21"/>
                <w:szCs w:val="21"/>
              </w:rPr>
              <w:t>、Br</w:t>
            </w:r>
            <w:r>
              <w:rPr>
                <w:color w:val="auto"/>
                <w:sz w:val="21"/>
                <w:szCs w:val="21"/>
                <w:vertAlign w:val="superscript"/>
              </w:rPr>
              <w:t>-</w:t>
            </w:r>
            <w:r>
              <w:rPr>
                <w:color w:val="auto"/>
                <w:sz w:val="21"/>
                <w:szCs w:val="21"/>
              </w:rPr>
              <w:t>、NO</w:t>
            </w:r>
            <w:r>
              <w:rPr>
                <w:color w:val="auto"/>
                <w:sz w:val="21"/>
                <w:szCs w:val="21"/>
                <w:vertAlign w:val="superscript"/>
              </w:rPr>
              <w:t>3-</w:t>
            </w:r>
            <w:r>
              <w:rPr>
                <w:color w:val="auto"/>
                <w:sz w:val="21"/>
                <w:szCs w:val="21"/>
              </w:rPr>
              <w:t>、PO</w:t>
            </w:r>
            <w:r>
              <w:rPr>
                <w:color w:val="auto"/>
                <w:sz w:val="21"/>
                <w:szCs w:val="21"/>
                <w:vertAlign w:val="subscript"/>
              </w:rPr>
              <w:t>4</w:t>
            </w:r>
            <w:r>
              <w:rPr>
                <w:color w:val="auto"/>
                <w:sz w:val="21"/>
                <w:szCs w:val="21"/>
                <w:vertAlign w:val="superscript"/>
              </w:rPr>
              <w:t>3-</w:t>
            </w:r>
            <w:r>
              <w:rPr>
                <w:color w:val="auto"/>
                <w:sz w:val="21"/>
                <w:szCs w:val="21"/>
              </w:rPr>
              <w:t>、SO</w:t>
            </w:r>
            <w:r>
              <w:rPr>
                <w:color w:val="auto"/>
                <w:sz w:val="21"/>
                <w:szCs w:val="21"/>
                <w:vertAlign w:val="subscript"/>
              </w:rPr>
              <w:t>3</w:t>
            </w:r>
            <w:r>
              <w:rPr>
                <w:color w:val="auto"/>
                <w:sz w:val="21"/>
                <w:szCs w:val="21"/>
                <w:vertAlign w:val="superscript"/>
              </w:rPr>
              <w:t>2-</w:t>
            </w:r>
            <w:r>
              <w:rPr>
                <w:color w:val="auto"/>
                <w:sz w:val="21"/>
                <w:szCs w:val="21"/>
              </w:rPr>
              <w:t>、SO</w:t>
            </w:r>
            <w:r>
              <w:rPr>
                <w:color w:val="auto"/>
                <w:sz w:val="21"/>
                <w:szCs w:val="21"/>
                <w:vertAlign w:val="subscript"/>
              </w:rPr>
              <w:t>4</w:t>
            </w:r>
            <w:r>
              <w:rPr>
                <w:color w:val="auto"/>
                <w:sz w:val="21"/>
                <w:szCs w:val="21"/>
                <w:vertAlign w:val="superscript"/>
              </w:rPr>
              <w:t>2-</w:t>
            </w:r>
            <w:r>
              <w:rPr>
                <w:color w:val="auto"/>
                <w:sz w:val="21"/>
                <w:szCs w:val="21"/>
              </w:rPr>
              <w:t>）的测定 离子色谱法》</w:t>
            </w:r>
          </w:p>
          <w:p>
            <w:pPr>
              <w:jc w:val="center"/>
              <w:rPr>
                <w:color w:val="auto"/>
                <w:sz w:val="21"/>
                <w:szCs w:val="21"/>
              </w:rPr>
            </w:pPr>
            <w:r>
              <w:rPr>
                <w:color w:val="auto"/>
                <w:sz w:val="21"/>
                <w:szCs w:val="21"/>
              </w:rPr>
              <w:t>HJ 84-2016</w:t>
            </w:r>
          </w:p>
        </w:tc>
        <w:tc>
          <w:tcPr>
            <w:tcW w:w="2268" w:type="dxa"/>
            <w:vAlign w:val="center"/>
          </w:tcPr>
          <w:p>
            <w:pPr>
              <w:jc w:val="center"/>
              <w:rPr>
                <w:color w:val="auto"/>
                <w:sz w:val="21"/>
                <w:szCs w:val="21"/>
              </w:rPr>
            </w:pPr>
            <w:r>
              <w:rPr>
                <w:color w:val="auto"/>
                <w:sz w:val="21"/>
                <w:szCs w:val="21"/>
              </w:rPr>
              <w:t>离子色谱仪(ICS-1000)</w:t>
            </w:r>
          </w:p>
          <w:p>
            <w:pPr>
              <w:jc w:val="center"/>
              <w:rPr>
                <w:color w:val="auto"/>
                <w:sz w:val="21"/>
                <w:szCs w:val="21"/>
              </w:rPr>
            </w:pPr>
            <w:r>
              <w:rPr>
                <w:color w:val="auto"/>
                <w:sz w:val="21"/>
                <w:szCs w:val="21"/>
              </w:rPr>
              <w:t>YQ-116</w:t>
            </w:r>
          </w:p>
        </w:tc>
        <w:tc>
          <w:tcPr>
            <w:tcW w:w="1468" w:type="dxa"/>
            <w:vAlign w:val="center"/>
          </w:tcPr>
          <w:p>
            <w:pPr>
              <w:jc w:val="center"/>
              <w:rPr>
                <w:color w:val="auto"/>
                <w:sz w:val="21"/>
                <w:szCs w:val="21"/>
              </w:rPr>
            </w:pPr>
            <w:r>
              <w:rPr>
                <w:color w:val="auto"/>
                <w:sz w:val="21"/>
                <w:szCs w:val="21"/>
              </w:rPr>
              <w:t>0.007mg/L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硫酸根</w:t>
            </w:r>
          </w:p>
        </w:tc>
        <w:tc>
          <w:tcPr>
            <w:tcW w:w="2749" w:type="dxa"/>
            <w:vAlign w:val="center"/>
          </w:tcPr>
          <w:p>
            <w:pPr>
              <w:jc w:val="center"/>
              <w:rPr>
                <w:color w:val="auto"/>
                <w:sz w:val="21"/>
                <w:szCs w:val="21"/>
              </w:rPr>
            </w:pPr>
            <w:r>
              <w:rPr>
                <w:color w:val="auto"/>
                <w:sz w:val="21"/>
                <w:szCs w:val="21"/>
              </w:rPr>
              <w:t>《水质 无机阴离子（F</w:t>
            </w:r>
            <w:r>
              <w:rPr>
                <w:color w:val="auto"/>
                <w:sz w:val="21"/>
                <w:szCs w:val="21"/>
                <w:vertAlign w:val="superscript"/>
              </w:rPr>
              <w:t>-</w:t>
            </w:r>
            <w:r>
              <w:rPr>
                <w:color w:val="auto"/>
                <w:sz w:val="21"/>
                <w:szCs w:val="21"/>
              </w:rPr>
              <w:t>、Cl</w:t>
            </w:r>
            <w:r>
              <w:rPr>
                <w:color w:val="auto"/>
                <w:sz w:val="21"/>
                <w:szCs w:val="21"/>
                <w:vertAlign w:val="superscript"/>
              </w:rPr>
              <w:t>-</w:t>
            </w:r>
            <w:r>
              <w:rPr>
                <w:color w:val="auto"/>
                <w:sz w:val="21"/>
                <w:szCs w:val="21"/>
              </w:rPr>
              <w:t>、NO</w:t>
            </w:r>
            <w:r>
              <w:rPr>
                <w:color w:val="auto"/>
                <w:sz w:val="21"/>
                <w:szCs w:val="21"/>
                <w:vertAlign w:val="superscript"/>
              </w:rPr>
              <w:t>2-</w:t>
            </w:r>
            <w:r>
              <w:rPr>
                <w:color w:val="auto"/>
                <w:sz w:val="21"/>
                <w:szCs w:val="21"/>
              </w:rPr>
              <w:t>、Br</w:t>
            </w:r>
            <w:r>
              <w:rPr>
                <w:color w:val="auto"/>
                <w:sz w:val="21"/>
                <w:szCs w:val="21"/>
                <w:vertAlign w:val="superscript"/>
              </w:rPr>
              <w:t>-</w:t>
            </w:r>
            <w:r>
              <w:rPr>
                <w:color w:val="auto"/>
                <w:sz w:val="21"/>
                <w:szCs w:val="21"/>
              </w:rPr>
              <w:t>、NO</w:t>
            </w:r>
            <w:r>
              <w:rPr>
                <w:color w:val="auto"/>
                <w:sz w:val="21"/>
                <w:szCs w:val="21"/>
                <w:vertAlign w:val="superscript"/>
              </w:rPr>
              <w:t>3-</w:t>
            </w:r>
            <w:r>
              <w:rPr>
                <w:color w:val="auto"/>
                <w:sz w:val="21"/>
                <w:szCs w:val="21"/>
              </w:rPr>
              <w:t>、PO</w:t>
            </w:r>
            <w:r>
              <w:rPr>
                <w:color w:val="auto"/>
                <w:sz w:val="21"/>
                <w:szCs w:val="21"/>
                <w:vertAlign w:val="subscript"/>
              </w:rPr>
              <w:t>4</w:t>
            </w:r>
            <w:r>
              <w:rPr>
                <w:color w:val="auto"/>
                <w:sz w:val="21"/>
                <w:szCs w:val="21"/>
                <w:vertAlign w:val="superscript"/>
              </w:rPr>
              <w:t>3-</w:t>
            </w:r>
            <w:r>
              <w:rPr>
                <w:color w:val="auto"/>
                <w:sz w:val="21"/>
                <w:szCs w:val="21"/>
              </w:rPr>
              <w:t>、SO</w:t>
            </w:r>
            <w:r>
              <w:rPr>
                <w:color w:val="auto"/>
                <w:sz w:val="21"/>
                <w:szCs w:val="21"/>
                <w:vertAlign w:val="subscript"/>
              </w:rPr>
              <w:t>3</w:t>
            </w:r>
            <w:r>
              <w:rPr>
                <w:color w:val="auto"/>
                <w:sz w:val="21"/>
                <w:szCs w:val="21"/>
                <w:vertAlign w:val="superscript"/>
              </w:rPr>
              <w:t>2-</w:t>
            </w:r>
            <w:r>
              <w:rPr>
                <w:color w:val="auto"/>
                <w:sz w:val="21"/>
                <w:szCs w:val="21"/>
              </w:rPr>
              <w:t>、SO</w:t>
            </w:r>
            <w:r>
              <w:rPr>
                <w:color w:val="auto"/>
                <w:sz w:val="21"/>
                <w:szCs w:val="21"/>
                <w:vertAlign w:val="subscript"/>
              </w:rPr>
              <w:t>4</w:t>
            </w:r>
            <w:r>
              <w:rPr>
                <w:color w:val="auto"/>
                <w:sz w:val="21"/>
                <w:szCs w:val="21"/>
                <w:vertAlign w:val="superscript"/>
              </w:rPr>
              <w:t>2-</w:t>
            </w:r>
            <w:r>
              <w:rPr>
                <w:color w:val="auto"/>
                <w:sz w:val="21"/>
                <w:szCs w:val="21"/>
              </w:rPr>
              <w:t>）的测定 离子色谱法》</w:t>
            </w:r>
          </w:p>
          <w:p>
            <w:pPr>
              <w:jc w:val="center"/>
              <w:rPr>
                <w:color w:val="auto"/>
                <w:sz w:val="21"/>
                <w:szCs w:val="21"/>
              </w:rPr>
            </w:pPr>
            <w:r>
              <w:rPr>
                <w:color w:val="auto"/>
                <w:sz w:val="21"/>
                <w:szCs w:val="21"/>
              </w:rPr>
              <w:t>HJ 84-2016</w:t>
            </w:r>
          </w:p>
        </w:tc>
        <w:tc>
          <w:tcPr>
            <w:tcW w:w="2268" w:type="dxa"/>
            <w:vAlign w:val="center"/>
          </w:tcPr>
          <w:p>
            <w:pPr>
              <w:jc w:val="center"/>
              <w:rPr>
                <w:color w:val="auto"/>
                <w:sz w:val="21"/>
                <w:szCs w:val="21"/>
              </w:rPr>
            </w:pPr>
            <w:r>
              <w:rPr>
                <w:color w:val="auto"/>
                <w:sz w:val="21"/>
                <w:szCs w:val="21"/>
              </w:rPr>
              <w:t>离子色谱仪(ICS-1000)</w:t>
            </w:r>
          </w:p>
          <w:p>
            <w:pPr>
              <w:jc w:val="center"/>
              <w:rPr>
                <w:color w:val="auto"/>
                <w:sz w:val="21"/>
                <w:szCs w:val="21"/>
              </w:rPr>
            </w:pPr>
            <w:r>
              <w:rPr>
                <w:color w:val="auto"/>
                <w:sz w:val="21"/>
                <w:szCs w:val="21"/>
              </w:rPr>
              <w:t>YQ-116</w:t>
            </w:r>
          </w:p>
        </w:tc>
        <w:tc>
          <w:tcPr>
            <w:tcW w:w="1468" w:type="dxa"/>
            <w:vAlign w:val="center"/>
          </w:tcPr>
          <w:p>
            <w:pPr>
              <w:jc w:val="center"/>
              <w:rPr>
                <w:color w:val="auto"/>
                <w:sz w:val="21"/>
                <w:szCs w:val="21"/>
              </w:rPr>
            </w:pPr>
            <w:r>
              <w:rPr>
                <w:color w:val="auto"/>
                <w:sz w:val="21"/>
                <w:szCs w:val="21"/>
              </w:rPr>
              <w:t>0.018mg/L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0"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Ca</w:t>
            </w:r>
            <w:r>
              <w:rPr>
                <w:color w:val="auto"/>
                <w:sz w:val="21"/>
                <w:szCs w:val="21"/>
                <w:vertAlign w:val="superscript"/>
              </w:rPr>
              <w:t>2+</w:t>
            </w:r>
          </w:p>
        </w:tc>
        <w:tc>
          <w:tcPr>
            <w:tcW w:w="2749" w:type="dxa"/>
            <w:vAlign w:val="center"/>
          </w:tcPr>
          <w:p>
            <w:pPr>
              <w:jc w:val="center"/>
              <w:rPr>
                <w:color w:val="auto"/>
                <w:sz w:val="21"/>
                <w:szCs w:val="21"/>
              </w:rPr>
            </w:pPr>
            <w:r>
              <w:rPr>
                <w:rFonts w:hint="eastAsia"/>
                <w:color w:val="auto"/>
                <w:sz w:val="21"/>
                <w:szCs w:val="21"/>
              </w:rPr>
              <w:t>《水质可溶性阳离子（</w:t>
            </w:r>
            <w:r>
              <w:rPr>
                <w:color w:val="auto"/>
                <w:sz w:val="21"/>
                <w:szCs w:val="21"/>
              </w:rPr>
              <w:t>Li</w:t>
            </w:r>
            <w:r>
              <w:rPr>
                <w:color w:val="auto"/>
                <w:sz w:val="21"/>
                <w:szCs w:val="21"/>
                <w:vertAlign w:val="superscript"/>
              </w:rPr>
              <w:t>+</w:t>
            </w:r>
            <w:r>
              <w:rPr>
                <w:rFonts w:hint="eastAsia"/>
                <w:color w:val="auto"/>
                <w:sz w:val="21"/>
                <w:szCs w:val="21"/>
              </w:rPr>
              <w:t>、</w:t>
            </w:r>
            <w:r>
              <w:rPr>
                <w:color w:val="auto"/>
                <w:sz w:val="21"/>
                <w:szCs w:val="21"/>
              </w:rPr>
              <w:t>Na</w:t>
            </w:r>
            <w:r>
              <w:rPr>
                <w:color w:val="auto"/>
                <w:sz w:val="21"/>
                <w:szCs w:val="21"/>
                <w:vertAlign w:val="superscript"/>
              </w:rPr>
              <w:t>+</w:t>
            </w:r>
            <w:r>
              <w:rPr>
                <w:rFonts w:hint="eastAsia"/>
                <w:color w:val="auto"/>
                <w:sz w:val="21"/>
                <w:szCs w:val="21"/>
              </w:rPr>
              <w:t>、</w:t>
            </w:r>
            <w:r>
              <w:rPr>
                <w:color w:val="auto"/>
                <w:sz w:val="21"/>
                <w:szCs w:val="21"/>
              </w:rPr>
              <w:t>NH</w:t>
            </w:r>
            <w:r>
              <w:rPr>
                <w:color w:val="auto"/>
                <w:sz w:val="21"/>
                <w:szCs w:val="21"/>
                <w:vertAlign w:val="subscript"/>
              </w:rPr>
              <w:t>4</w:t>
            </w:r>
            <w:r>
              <w:rPr>
                <w:color w:val="auto"/>
                <w:sz w:val="21"/>
                <w:szCs w:val="21"/>
                <w:vertAlign w:val="superscript"/>
              </w:rPr>
              <w:t>+</w:t>
            </w:r>
            <w:r>
              <w:rPr>
                <w:rFonts w:hint="eastAsia"/>
                <w:color w:val="auto"/>
                <w:sz w:val="21"/>
                <w:szCs w:val="21"/>
              </w:rPr>
              <w:t>、</w:t>
            </w:r>
            <w:r>
              <w:rPr>
                <w:color w:val="auto"/>
                <w:sz w:val="21"/>
                <w:szCs w:val="21"/>
              </w:rPr>
              <w:t>K</w:t>
            </w:r>
            <w:r>
              <w:rPr>
                <w:color w:val="auto"/>
                <w:sz w:val="21"/>
                <w:szCs w:val="21"/>
                <w:vertAlign w:val="superscript"/>
              </w:rPr>
              <w:t>+</w:t>
            </w:r>
            <w:r>
              <w:rPr>
                <w:rFonts w:hint="eastAsia"/>
                <w:color w:val="auto"/>
                <w:sz w:val="21"/>
                <w:szCs w:val="21"/>
              </w:rPr>
              <w:t>、</w:t>
            </w:r>
            <w:r>
              <w:rPr>
                <w:color w:val="auto"/>
                <w:sz w:val="21"/>
                <w:szCs w:val="21"/>
              </w:rPr>
              <w:t>Ca</w:t>
            </w:r>
            <w:r>
              <w:rPr>
                <w:color w:val="auto"/>
                <w:sz w:val="21"/>
                <w:szCs w:val="21"/>
                <w:vertAlign w:val="superscript"/>
              </w:rPr>
              <w:t>2+</w:t>
            </w:r>
            <w:r>
              <w:rPr>
                <w:rFonts w:hint="eastAsia"/>
                <w:color w:val="auto"/>
                <w:sz w:val="21"/>
                <w:szCs w:val="21"/>
              </w:rPr>
              <w:t>、</w:t>
            </w:r>
            <w:r>
              <w:rPr>
                <w:color w:val="auto"/>
                <w:sz w:val="21"/>
                <w:szCs w:val="21"/>
              </w:rPr>
              <w:t>Mg</w:t>
            </w:r>
            <w:r>
              <w:rPr>
                <w:color w:val="auto"/>
                <w:sz w:val="21"/>
                <w:szCs w:val="21"/>
                <w:vertAlign w:val="superscript"/>
              </w:rPr>
              <w:t>2+</w:t>
            </w:r>
            <w:r>
              <w:rPr>
                <w:rFonts w:hint="eastAsia"/>
                <w:color w:val="auto"/>
                <w:sz w:val="21"/>
                <w:szCs w:val="21"/>
              </w:rPr>
              <w:t>）的测定离子色谱法》</w:t>
            </w:r>
            <w:r>
              <w:rPr>
                <w:color w:val="auto"/>
                <w:sz w:val="21"/>
                <w:szCs w:val="21"/>
              </w:rPr>
              <w:t>HJ 812-2016</w:t>
            </w:r>
          </w:p>
        </w:tc>
        <w:tc>
          <w:tcPr>
            <w:tcW w:w="2268" w:type="dxa"/>
            <w:vAlign w:val="center"/>
          </w:tcPr>
          <w:p>
            <w:pPr>
              <w:jc w:val="center"/>
              <w:rPr>
                <w:color w:val="auto"/>
                <w:sz w:val="21"/>
                <w:szCs w:val="21"/>
              </w:rPr>
            </w:pPr>
            <w:r>
              <w:rPr>
                <w:rFonts w:hint="eastAsia"/>
                <w:color w:val="auto"/>
                <w:sz w:val="21"/>
                <w:szCs w:val="21"/>
              </w:rPr>
              <w:t>离子色谱仪（</w:t>
            </w:r>
            <w:r>
              <w:rPr>
                <w:color w:val="auto"/>
                <w:sz w:val="21"/>
                <w:szCs w:val="21"/>
              </w:rPr>
              <w:t>CIC-D120</w:t>
            </w:r>
            <w:r>
              <w:rPr>
                <w:rFonts w:hint="eastAsia"/>
                <w:color w:val="auto"/>
                <w:sz w:val="21"/>
                <w:szCs w:val="21"/>
              </w:rPr>
              <w:t>）</w:t>
            </w:r>
            <w:r>
              <w:rPr>
                <w:color w:val="auto"/>
                <w:sz w:val="21"/>
                <w:szCs w:val="21"/>
              </w:rPr>
              <w:t>YQ-116-02</w:t>
            </w:r>
          </w:p>
        </w:tc>
        <w:tc>
          <w:tcPr>
            <w:tcW w:w="1468" w:type="dxa"/>
            <w:vAlign w:val="center"/>
          </w:tcPr>
          <w:p>
            <w:pPr>
              <w:jc w:val="center"/>
              <w:rPr>
                <w:color w:val="auto"/>
                <w:sz w:val="21"/>
                <w:szCs w:val="21"/>
              </w:rPr>
            </w:pPr>
            <w:r>
              <w:rPr>
                <w:color w:val="auto"/>
                <w:sz w:val="21"/>
                <w:szCs w:val="21"/>
              </w:rPr>
              <w:t>0.03mg/L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0"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汞</w:t>
            </w:r>
          </w:p>
        </w:tc>
        <w:tc>
          <w:tcPr>
            <w:tcW w:w="2749" w:type="dxa"/>
            <w:vAlign w:val="center"/>
          </w:tcPr>
          <w:p>
            <w:pPr>
              <w:jc w:val="center"/>
              <w:rPr>
                <w:color w:val="auto"/>
                <w:sz w:val="21"/>
                <w:szCs w:val="21"/>
              </w:rPr>
            </w:pPr>
            <w:r>
              <w:rPr>
                <w:color w:val="auto"/>
                <w:sz w:val="21"/>
                <w:szCs w:val="21"/>
              </w:rPr>
              <w:t>《生活饮用水标准检验方法 金属指标》</w:t>
            </w:r>
          </w:p>
          <w:p>
            <w:pPr>
              <w:jc w:val="center"/>
              <w:rPr>
                <w:color w:val="auto"/>
                <w:sz w:val="21"/>
                <w:szCs w:val="21"/>
              </w:rPr>
            </w:pPr>
            <w:r>
              <w:rPr>
                <w:color w:val="auto"/>
                <w:sz w:val="21"/>
                <w:szCs w:val="21"/>
              </w:rPr>
              <w:t>GB/T 5750.6-2006 原子荧光法（8.1）</w:t>
            </w:r>
          </w:p>
        </w:tc>
        <w:tc>
          <w:tcPr>
            <w:tcW w:w="2268" w:type="dxa"/>
            <w:vAlign w:val="center"/>
          </w:tcPr>
          <w:p>
            <w:pPr>
              <w:jc w:val="center"/>
              <w:rPr>
                <w:color w:val="auto"/>
                <w:sz w:val="21"/>
                <w:szCs w:val="21"/>
              </w:rPr>
            </w:pPr>
            <w:r>
              <w:rPr>
                <w:color w:val="auto"/>
                <w:sz w:val="21"/>
                <w:szCs w:val="21"/>
              </w:rPr>
              <w:t>原子荧光分光光度计(PF52)</w:t>
            </w:r>
          </w:p>
          <w:p>
            <w:pPr>
              <w:jc w:val="center"/>
              <w:rPr>
                <w:color w:val="auto"/>
                <w:sz w:val="21"/>
                <w:szCs w:val="21"/>
              </w:rPr>
            </w:pPr>
            <w:r>
              <w:rPr>
                <w:color w:val="auto"/>
                <w:sz w:val="21"/>
                <w:szCs w:val="21"/>
              </w:rPr>
              <w:t>YQ-002-01</w:t>
            </w:r>
          </w:p>
        </w:tc>
        <w:tc>
          <w:tcPr>
            <w:tcW w:w="1468" w:type="dxa"/>
            <w:vAlign w:val="center"/>
          </w:tcPr>
          <w:p>
            <w:pPr>
              <w:jc w:val="center"/>
              <w:rPr>
                <w:color w:val="auto"/>
                <w:sz w:val="21"/>
                <w:szCs w:val="21"/>
              </w:rPr>
            </w:pPr>
            <w:r>
              <w:rPr>
                <w:color w:val="auto"/>
                <w:sz w:val="21"/>
                <w:szCs w:val="21"/>
              </w:rPr>
              <w:t>0.00005mg/L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0"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18"/>
              </w:rPr>
            </w:pPr>
            <w:r>
              <w:rPr>
                <w:color w:val="auto"/>
                <w:sz w:val="21"/>
                <w:szCs w:val="18"/>
              </w:rPr>
              <w:t>Mg</w:t>
            </w:r>
            <w:r>
              <w:rPr>
                <w:color w:val="auto"/>
                <w:sz w:val="21"/>
                <w:szCs w:val="18"/>
                <w:vertAlign w:val="superscript"/>
              </w:rPr>
              <w:t>2+</w:t>
            </w:r>
          </w:p>
        </w:tc>
        <w:tc>
          <w:tcPr>
            <w:tcW w:w="2749" w:type="dxa"/>
            <w:vAlign w:val="center"/>
          </w:tcPr>
          <w:p>
            <w:pPr>
              <w:jc w:val="center"/>
              <w:rPr>
                <w:color w:val="auto"/>
                <w:sz w:val="21"/>
                <w:szCs w:val="18"/>
              </w:rPr>
            </w:pPr>
            <w:r>
              <w:rPr>
                <w:rFonts w:hint="eastAsia"/>
                <w:color w:val="auto"/>
                <w:sz w:val="21"/>
                <w:szCs w:val="18"/>
              </w:rPr>
              <w:t>《水质可溶性阳离子（</w:t>
            </w:r>
            <w:r>
              <w:rPr>
                <w:color w:val="auto"/>
                <w:sz w:val="21"/>
                <w:szCs w:val="18"/>
              </w:rPr>
              <w:t>Li</w:t>
            </w:r>
            <w:r>
              <w:rPr>
                <w:color w:val="auto"/>
                <w:sz w:val="21"/>
                <w:szCs w:val="18"/>
                <w:vertAlign w:val="superscript"/>
              </w:rPr>
              <w:t>+</w:t>
            </w:r>
            <w:r>
              <w:rPr>
                <w:rFonts w:hint="eastAsia"/>
                <w:color w:val="auto"/>
                <w:sz w:val="21"/>
                <w:szCs w:val="18"/>
              </w:rPr>
              <w:t>、</w:t>
            </w:r>
            <w:r>
              <w:rPr>
                <w:color w:val="auto"/>
                <w:sz w:val="21"/>
                <w:szCs w:val="18"/>
              </w:rPr>
              <w:t>Na</w:t>
            </w:r>
            <w:r>
              <w:rPr>
                <w:color w:val="auto"/>
                <w:sz w:val="21"/>
                <w:szCs w:val="18"/>
                <w:vertAlign w:val="superscript"/>
              </w:rPr>
              <w:t>+</w:t>
            </w:r>
            <w:r>
              <w:rPr>
                <w:rFonts w:hint="eastAsia"/>
                <w:color w:val="auto"/>
                <w:sz w:val="21"/>
                <w:szCs w:val="18"/>
              </w:rPr>
              <w:t>、</w:t>
            </w:r>
            <w:r>
              <w:rPr>
                <w:color w:val="auto"/>
                <w:sz w:val="21"/>
                <w:szCs w:val="18"/>
              </w:rPr>
              <w:t>NH</w:t>
            </w:r>
            <w:r>
              <w:rPr>
                <w:color w:val="auto"/>
                <w:sz w:val="21"/>
                <w:szCs w:val="18"/>
                <w:vertAlign w:val="subscript"/>
              </w:rPr>
              <w:t>4</w:t>
            </w:r>
            <w:r>
              <w:rPr>
                <w:color w:val="auto"/>
                <w:sz w:val="21"/>
                <w:szCs w:val="18"/>
                <w:vertAlign w:val="superscript"/>
              </w:rPr>
              <w:t>+</w:t>
            </w:r>
            <w:r>
              <w:rPr>
                <w:rFonts w:hint="eastAsia"/>
                <w:color w:val="auto"/>
                <w:sz w:val="21"/>
                <w:szCs w:val="18"/>
              </w:rPr>
              <w:t>、</w:t>
            </w:r>
            <w:r>
              <w:rPr>
                <w:color w:val="auto"/>
                <w:sz w:val="21"/>
                <w:szCs w:val="18"/>
              </w:rPr>
              <w:t>K</w:t>
            </w:r>
            <w:r>
              <w:rPr>
                <w:color w:val="auto"/>
                <w:sz w:val="21"/>
                <w:szCs w:val="18"/>
                <w:vertAlign w:val="superscript"/>
              </w:rPr>
              <w:t>+</w:t>
            </w:r>
            <w:r>
              <w:rPr>
                <w:rFonts w:hint="eastAsia"/>
                <w:color w:val="auto"/>
                <w:sz w:val="21"/>
                <w:szCs w:val="18"/>
              </w:rPr>
              <w:t>、</w:t>
            </w:r>
            <w:r>
              <w:rPr>
                <w:color w:val="auto"/>
                <w:sz w:val="21"/>
                <w:szCs w:val="18"/>
              </w:rPr>
              <w:t>Ca</w:t>
            </w:r>
            <w:r>
              <w:rPr>
                <w:color w:val="auto"/>
                <w:sz w:val="21"/>
                <w:szCs w:val="18"/>
                <w:vertAlign w:val="superscript"/>
              </w:rPr>
              <w:t>2+</w:t>
            </w:r>
            <w:r>
              <w:rPr>
                <w:rFonts w:hint="eastAsia"/>
                <w:color w:val="auto"/>
                <w:sz w:val="21"/>
                <w:szCs w:val="18"/>
              </w:rPr>
              <w:t>、</w:t>
            </w:r>
            <w:r>
              <w:rPr>
                <w:color w:val="auto"/>
                <w:sz w:val="21"/>
                <w:szCs w:val="18"/>
              </w:rPr>
              <w:t>Mg</w:t>
            </w:r>
            <w:r>
              <w:rPr>
                <w:color w:val="auto"/>
                <w:sz w:val="21"/>
                <w:szCs w:val="18"/>
                <w:vertAlign w:val="superscript"/>
              </w:rPr>
              <w:t>2+</w:t>
            </w:r>
            <w:r>
              <w:rPr>
                <w:rFonts w:hint="eastAsia"/>
                <w:color w:val="auto"/>
                <w:sz w:val="21"/>
                <w:szCs w:val="18"/>
              </w:rPr>
              <w:t>）的测定离子色谱法》</w:t>
            </w:r>
            <w:r>
              <w:rPr>
                <w:color w:val="auto"/>
                <w:sz w:val="21"/>
                <w:szCs w:val="18"/>
              </w:rPr>
              <w:t>HJ 812-2016</w:t>
            </w:r>
          </w:p>
        </w:tc>
        <w:tc>
          <w:tcPr>
            <w:tcW w:w="2268" w:type="dxa"/>
            <w:vAlign w:val="center"/>
          </w:tcPr>
          <w:p>
            <w:pPr>
              <w:jc w:val="center"/>
              <w:rPr>
                <w:color w:val="auto"/>
                <w:sz w:val="21"/>
                <w:szCs w:val="18"/>
              </w:rPr>
            </w:pPr>
            <w:r>
              <w:rPr>
                <w:rFonts w:hint="eastAsia"/>
                <w:color w:val="auto"/>
                <w:sz w:val="21"/>
                <w:szCs w:val="18"/>
              </w:rPr>
              <w:t>离子色谱仪（</w:t>
            </w:r>
            <w:r>
              <w:rPr>
                <w:color w:val="auto"/>
                <w:sz w:val="21"/>
                <w:szCs w:val="18"/>
              </w:rPr>
              <w:t>CIC-D120</w:t>
            </w:r>
            <w:r>
              <w:rPr>
                <w:rFonts w:hint="eastAsia"/>
                <w:color w:val="auto"/>
                <w:sz w:val="21"/>
                <w:szCs w:val="18"/>
              </w:rPr>
              <w:t>）</w:t>
            </w:r>
            <w:r>
              <w:rPr>
                <w:color w:val="auto"/>
                <w:sz w:val="21"/>
                <w:szCs w:val="18"/>
              </w:rPr>
              <w:t>YQ-116-02</w:t>
            </w:r>
          </w:p>
        </w:tc>
        <w:tc>
          <w:tcPr>
            <w:tcW w:w="1468" w:type="dxa"/>
            <w:vAlign w:val="center"/>
          </w:tcPr>
          <w:p>
            <w:pPr>
              <w:jc w:val="center"/>
              <w:rPr>
                <w:color w:val="auto"/>
                <w:sz w:val="21"/>
                <w:szCs w:val="18"/>
              </w:rPr>
            </w:pPr>
            <w:r>
              <w:rPr>
                <w:color w:val="auto"/>
                <w:sz w:val="21"/>
                <w:szCs w:val="18"/>
              </w:rPr>
              <w:t>0.02mg/L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0"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18"/>
              </w:rPr>
            </w:pPr>
            <w:r>
              <w:rPr>
                <w:color w:val="auto"/>
                <w:sz w:val="21"/>
                <w:szCs w:val="18"/>
              </w:rPr>
              <w:t>Na</w:t>
            </w:r>
            <w:r>
              <w:rPr>
                <w:color w:val="auto"/>
                <w:sz w:val="21"/>
                <w:szCs w:val="18"/>
                <w:vertAlign w:val="superscript"/>
              </w:rPr>
              <w:t>+</w:t>
            </w:r>
          </w:p>
        </w:tc>
        <w:tc>
          <w:tcPr>
            <w:tcW w:w="2749" w:type="dxa"/>
            <w:vAlign w:val="center"/>
          </w:tcPr>
          <w:p>
            <w:pPr>
              <w:jc w:val="center"/>
              <w:rPr>
                <w:color w:val="auto"/>
                <w:sz w:val="21"/>
                <w:szCs w:val="18"/>
              </w:rPr>
            </w:pPr>
            <w:r>
              <w:rPr>
                <w:rFonts w:hint="eastAsia"/>
                <w:color w:val="auto"/>
                <w:sz w:val="21"/>
                <w:szCs w:val="18"/>
              </w:rPr>
              <w:t>《水质可溶性阳离子（</w:t>
            </w:r>
            <w:r>
              <w:rPr>
                <w:color w:val="auto"/>
                <w:sz w:val="21"/>
                <w:szCs w:val="18"/>
              </w:rPr>
              <w:t>Li</w:t>
            </w:r>
            <w:r>
              <w:rPr>
                <w:color w:val="auto"/>
                <w:sz w:val="21"/>
                <w:szCs w:val="18"/>
                <w:vertAlign w:val="superscript"/>
              </w:rPr>
              <w:t>+</w:t>
            </w:r>
            <w:r>
              <w:rPr>
                <w:rFonts w:hint="eastAsia"/>
                <w:color w:val="auto"/>
                <w:sz w:val="21"/>
                <w:szCs w:val="18"/>
              </w:rPr>
              <w:t>、</w:t>
            </w:r>
            <w:r>
              <w:rPr>
                <w:color w:val="auto"/>
                <w:sz w:val="21"/>
                <w:szCs w:val="18"/>
              </w:rPr>
              <w:t>Na</w:t>
            </w:r>
            <w:r>
              <w:rPr>
                <w:color w:val="auto"/>
                <w:sz w:val="21"/>
                <w:szCs w:val="18"/>
                <w:vertAlign w:val="superscript"/>
              </w:rPr>
              <w:t>+</w:t>
            </w:r>
            <w:r>
              <w:rPr>
                <w:rFonts w:hint="eastAsia"/>
                <w:color w:val="auto"/>
                <w:sz w:val="21"/>
                <w:szCs w:val="18"/>
              </w:rPr>
              <w:t>、</w:t>
            </w:r>
            <w:r>
              <w:rPr>
                <w:color w:val="auto"/>
                <w:sz w:val="21"/>
                <w:szCs w:val="18"/>
              </w:rPr>
              <w:t>NH</w:t>
            </w:r>
            <w:r>
              <w:rPr>
                <w:color w:val="auto"/>
                <w:sz w:val="21"/>
                <w:szCs w:val="18"/>
                <w:vertAlign w:val="subscript"/>
              </w:rPr>
              <w:t>4</w:t>
            </w:r>
            <w:r>
              <w:rPr>
                <w:color w:val="auto"/>
                <w:sz w:val="21"/>
                <w:szCs w:val="18"/>
                <w:vertAlign w:val="superscript"/>
              </w:rPr>
              <w:t>+</w:t>
            </w:r>
            <w:r>
              <w:rPr>
                <w:rFonts w:hint="eastAsia"/>
                <w:color w:val="auto"/>
                <w:sz w:val="21"/>
                <w:szCs w:val="18"/>
              </w:rPr>
              <w:t>、</w:t>
            </w:r>
            <w:r>
              <w:rPr>
                <w:color w:val="auto"/>
                <w:sz w:val="21"/>
                <w:szCs w:val="18"/>
              </w:rPr>
              <w:t>K</w:t>
            </w:r>
            <w:r>
              <w:rPr>
                <w:color w:val="auto"/>
                <w:sz w:val="21"/>
                <w:szCs w:val="18"/>
                <w:vertAlign w:val="superscript"/>
              </w:rPr>
              <w:t>+</w:t>
            </w:r>
            <w:r>
              <w:rPr>
                <w:rFonts w:hint="eastAsia"/>
                <w:color w:val="auto"/>
                <w:sz w:val="21"/>
                <w:szCs w:val="18"/>
              </w:rPr>
              <w:t>、</w:t>
            </w:r>
            <w:r>
              <w:rPr>
                <w:color w:val="auto"/>
                <w:sz w:val="21"/>
                <w:szCs w:val="18"/>
              </w:rPr>
              <w:t>Ca</w:t>
            </w:r>
            <w:r>
              <w:rPr>
                <w:color w:val="auto"/>
                <w:sz w:val="21"/>
                <w:szCs w:val="18"/>
                <w:vertAlign w:val="superscript"/>
              </w:rPr>
              <w:t>2+</w:t>
            </w:r>
            <w:r>
              <w:rPr>
                <w:rFonts w:hint="eastAsia"/>
                <w:color w:val="auto"/>
                <w:sz w:val="21"/>
                <w:szCs w:val="18"/>
              </w:rPr>
              <w:t>、</w:t>
            </w:r>
            <w:r>
              <w:rPr>
                <w:color w:val="auto"/>
                <w:sz w:val="21"/>
                <w:szCs w:val="18"/>
              </w:rPr>
              <w:t>Mg</w:t>
            </w:r>
            <w:r>
              <w:rPr>
                <w:color w:val="auto"/>
                <w:sz w:val="21"/>
                <w:szCs w:val="18"/>
                <w:vertAlign w:val="superscript"/>
              </w:rPr>
              <w:t>2+</w:t>
            </w:r>
            <w:r>
              <w:rPr>
                <w:rFonts w:hint="eastAsia"/>
                <w:color w:val="auto"/>
                <w:sz w:val="21"/>
                <w:szCs w:val="18"/>
              </w:rPr>
              <w:t>）的测定离子色谱法》</w:t>
            </w:r>
            <w:r>
              <w:rPr>
                <w:color w:val="auto"/>
                <w:sz w:val="21"/>
                <w:szCs w:val="18"/>
              </w:rPr>
              <w:t>HJ 812-2016</w:t>
            </w:r>
          </w:p>
        </w:tc>
        <w:tc>
          <w:tcPr>
            <w:tcW w:w="2268" w:type="dxa"/>
            <w:vAlign w:val="center"/>
          </w:tcPr>
          <w:p>
            <w:pPr>
              <w:jc w:val="center"/>
              <w:rPr>
                <w:color w:val="auto"/>
                <w:sz w:val="21"/>
                <w:szCs w:val="18"/>
              </w:rPr>
            </w:pPr>
            <w:r>
              <w:rPr>
                <w:rFonts w:hint="eastAsia"/>
                <w:color w:val="auto"/>
                <w:sz w:val="21"/>
                <w:szCs w:val="18"/>
              </w:rPr>
              <w:t>离子色谱仪（</w:t>
            </w:r>
            <w:r>
              <w:rPr>
                <w:color w:val="auto"/>
                <w:sz w:val="21"/>
                <w:szCs w:val="18"/>
              </w:rPr>
              <w:t>CIC-D120</w:t>
            </w:r>
            <w:r>
              <w:rPr>
                <w:rFonts w:hint="eastAsia"/>
                <w:color w:val="auto"/>
                <w:sz w:val="21"/>
                <w:szCs w:val="18"/>
              </w:rPr>
              <w:t>）</w:t>
            </w:r>
            <w:r>
              <w:rPr>
                <w:color w:val="auto"/>
                <w:sz w:val="21"/>
                <w:szCs w:val="18"/>
              </w:rPr>
              <w:t>YQ-116-02</w:t>
            </w:r>
          </w:p>
        </w:tc>
        <w:tc>
          <w:tcPr>
            <w:tcW w:w="1468" w:type="dxa"/>
            <w:vAlign w:val="center"/>
          </w:tcPr>
          <w:p>
            <w:pPr>
              <w:jc w:val="center"/>
              <w:rPr>
                <w:color w:val="auto"/>
                <w:sz w:val="21"/>
                <w:szCs w:val="18"/>
              </w:rPr>
            </w:pPr>
            <w:r>
              <w:rPr>
                <w:color w:val="auto"/>
                <w:sz w:val="21"/>
                <w:szCs w:val="18"/>
              </w:rPr>
              <w:t>0.02mg/L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0"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18"/>
              </w:rPr>
            </w:pPr>
            <w:r>
              <w:rPr>
                <w:color w:val="auto"/>
                <w:sz w:val="21"/>
                <w:szCs w:val="18"/>
              </w:rPr>
              <w:t>K</w:t>
            </w:r>
            <w:r>
              <w:rPr>
                <w:color w:val="auto"/>
                <w:sz w:val="21"/>
                <w:szCs w:val="18"/>
                <w:vertAlign w:val="superscript"/>
              </w:rPr>
              <w:t>+</w:t>
            </w:r>
          </w:p>
        </w:tc>
        <w:tc>
          <w:tcPr>
            <w:tcW w:w="2749" w:type="dxa"/>
            <w:vAlign w:val="center"/>
          </w:tcPr>
          <w:p>
            <w:pPr>
              <w:jc w:val="center"/>
              <w:rPr>
                <w:color w:val="auto"/>
                <w:sz w:val="21"/>
                <w:szCs w:val="18"/>
              </w:rPr>
            </w:pPr>
            <w:r>
              <w:rPr>
                <w:rFonts w:hint="eastAsia"/>
                <w:color w:val="auto"/>
                <w:sz w:val="21"/>
                <w:szCs w:val="18"/>
              </w:rPr>
              <w:t>《水质可溶性阳离子（</w:t>
            </w:r>
            <w:r>
              <w:rPr>
                <w:color w:val="auto"/>
                <w:sz w:val="21"/>
                <w:szCs w:val="18"/>
              </w:rPr>
              <w:t>Li</w:t>
            </w:r>
            <w:r>
              <w:rPr>
                <w:color w:val="auto"/>
                <w:sz w:val="21"/>
                <w:szCs w:val="18"/>
                <w:vertAlign w:val="superscript"/>
              </w:rPr>
              <w:t>+</w:t>
            </w:r>
            <w:r>
              <w:rPr>
                <w:rFonts w:hint="eastAsia"/>
                <w:color w:val="auto"/>
                <w:sz w:val="21"/>
                <w:szCs w:val="18"/>
              </w:rPr>
              <w:t>、</w:t>
            </w:r>
            <w:r>
              <w:rPr>
                <w:color w:val="auto"/>
                <w:sz w:val="21"/>
                <w:szCs w:val="18"/>
              </w:rPr>
              <w:t>Na</w:t>
            </w:r>
            <w:r>
              <w:rPr>
                <w:color w:val="auto"/>
                <w:sz w:val="21"/>
                <w:szCs w:val="18"/>
                <w:vertAlign w:val="superscript"/>
              </w:rPr>
              <w:t>+</w:t>
            </w:r>
            <w:r>
              <w:rPr>
                <w:rFonts w:hint="eastAsia"/>
                <w:color w:val="auto"/>
                <w:sz w:val="21"/>
                <w:szCs w:val="18"/>
              </w:rPr>
              <w:t>、</w:t>
            </w:r>
            <w:r>
              <w:rPr>
                <w:color w:val="auto"/>
                <w:sz w:val="21"/>
                <w:szCs w:val="18"/>
              </w:rPr>
              <w:t>NH</w:t>
            </w:r>
            <w:r>
              <w:rPr>
                <w:color w:val="auto"/>
                <w:sz w:val="21"/>
                <w:szCs w:val="18"/>
                <w:vertAlign w:val="subscript"/>
              </w:rPr>
              <w:t>4</w:t>
            </w:r>
            <w:r>
              <w:rPr>
                <w:color w:val="auto"/>
                <w:sz w:val="21"/>
                <w:szCs w:val="18"/>
                <w:vertAlign w:val="superscript"/>
              </w:rPr>
              <w:t>+</w:t>
            </w:r>
            <w:r>
              <w:rPr>
                <w:rFonts w:hint="eastAsia"/>
                <w:color w:val="auto"/>
                <w:sz w:val="21"/>
                <w:szCs w:val="18"/>
              </w:rPr>
              <w:t>、</w:t>
            </w:r>
            <w:r>
              <w:rPr>
                <w:color w:val="auto"/>
                <w:sz w:val="21"/>
                <w:szCs w:val="18"/>
              </w:rPr>
              <w:t>K</w:t>
            </w:r>
            <w:r>
              <w:rPr>
                <w:color w:val="auto"/>
                <w:sz w:val="21"/>
                <w:szCs w:val="18"/>
                <w:vertAlign w:val="superscript"/>
              </w:rPr>
              <w:t>+</w:t>
            </w:r>
            <w:r>
              <w:rPr>
                <w:rFonts w:hint="eastAsia"/>
                <w:color w:val="auto"/>
                <w:sz w:val="21"/>
                <w:szCs w:val="18"/>
              </w:rPr>
              <w:t>、</w:t>
            </w:r>
            <w:r>
              <w:rPr>
                <w:color w:val="auto"/>
                <w:sz w:val="21"/>
                <w:szCs w:val="18"/>
              </w:rPr>
              <w:t>Ca</w:t>
            </w:r>
            <w:r>
              <w:rPr>
                <w:color w:val="auto"/>
                <w:sz w:val="21"/>
                <w:szCs w:val="18"/>
                <w:vertAlign w:val="superscript"/>
              </w:rPr>
              <w:t>2+</w:t>
            </w:r>
            <w:r>
              <w:rPr>
                <w:rFonts w:hint="eastAsia"/>
                <w:color w:val="auto"/>
                <w:sz w:val="21"/>
                <w:szCs w:val="18"/>
              </w:rPr>
              <w:t>、</w:t>
            </w:r>
            <w:r>
              <w:rPr>
                <w:color w:val="auto"/>
                <w:sz w:val="21"/>
                <w:szCs w:val="18"/>
              </w:rPr>
              <w:t>Mg</w:t>
            </w:r>
            <w:r>
              <w:rPr>
                <w:color w:val="auto"/>
                <w:sz w:val="21"/>
                <w:szCs w:val="18"/>
                <w:vertAlign w:val="superscript"/>
              </w:rPr>
              <w:t>2+</w:t>
            </w:r>
            <w:r>
              <w:rPr>
                <w:rFonts w:hint="eastAsia"/>
                <w:color w:val="auto"/>
                <w:sz w:val="21"/>
                <w:szCs w:val="18"/>
              </w:rPr>
              <w:t>）的测定离子色谱法》</w:t>
            </w:r>
            <w:r>
              <w:rPr>
                <w:color w:val="auto"/>
                <w:sz w:val="21"/>
                <w:szCs w:val="18"/>
              </w:rPr>
              <w:t>HJ 812-2016</w:t>
            </w:r>
          </w:p>
        </w:tc>
        <w:tc>
          <w:tcPr>
            <w:tcW w:w="2268" w:type="dxa"/>
            <w:vAlign w:val="center"/>
          </w:tcPr>
          <w:p>
            <w:pPr>
              <w:jc w:val="center"/>
              <w:rPr>
                <w:color w:val="auto"/>
                <w:sz w:val="21"/>
                <w:szCs w:val="18"/>
              </w:rPr>
            </w:pPr>
            <w:r>
              <w:rPr>
                <w:rFonts w:hint="eastAsia"/>
                <w:color w:val="auto"/>
                <w:sz w:val="21"/>
                <w:szCs w:val="18"/>
              </w:rPr>
              <w:t>离子色谱仪（</w:t>
            </w:r>
            <w:r>
              <w:rPr>
                <w:color w:val="auto"/>
                <w:sz w:val="21"/>
                <w:szCs w:val="18"/>
              </w:rPr>
              <w:t>CIC-D120</w:t>
            </w:r>
            <w:r>
              <w:rPr>
                <w:rFonts w:hint="eastAsia"/>
                <w:color w:val="auto"/>
                <w:sz w:val="21"/>
                <w:szCs w:val="18"/>
              </w:rPr>
              <w:t>）</w:t>
            </w:r>
            <w:r>
              <w:rPr>
                <w:color w:val="auto"/>
                <w:sz w:val="21"/>
                <w:szCs w:val="18"/>
              </w:rPr>
              <w:t>YQ-116-02</w:t>
            </w:r>
          </w:p>
        </w:tc>
        <w:tc>
          <w:tcPr>
            <w:tcW w:w="1468" w:type="dxa"/>
            <w:vAlign w:val="center"/>
          </w:tcPr>
          <w:p>
            <w:pPr>
              <w:jc w:val="center"/>
              <w:rPr>
                <w:color w:val="auto"/>
                <w:sz w:val="21"/>
                <w:szCs w:val="18"/>
              </w:rPr>
            </w:pPr>
            <w:r>
              <w:rPr>
                <w:color w:val="auto"/>
                <w:sz w:val="21"/>
                <w:szCs w:val="18"/>
              </w:rPr>
              <w:t>0.02mg/L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0"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砷</w:t>
            </w:r>
          </w:p>
        </w:tc>
        <w:tc>
          <w:tcPr>
            <w:tcW w:w="2749" w:type="dxa"/>
            <w:vAlign w:val="center"/>
          </w:tcPr>
          <w:p>
            <w:pPr>
              <w:jc w:val="center"/>
              <w:rPr>
                <w:color w:val="auto"/>
                <w:sz w:val="21"/>
                <w:szCs w:val="21"/>
              </w:rPr>
            </w:pPr>
            <w:r>
              <w:rPr>
                <w:color w:val="auto"/>
                <w:sz w:val="21"/>
                <w:szCs w:val="21"/>
              </w:rPr>
              <w:t>《生活饮用水标准检验方法 金属指标》</w:t>
            </w:r>
          </w:p>
          <w:p>
            <w:pPr>
              <w:jc w:val="center"/>
              <w:rPr>
                <w:color w:val="auto"/>
                <w:sz w:val="21"/>
                <w:szCs w:val="21"/>
              </w:rPr>
            </w:pPr>
            <w:r>
              <w:rPr>
                <w:color w:val="auto"/>
                <w:sz w:val="21"/>
                <w:szCs w:val="21"/>
              </w:rPr>
              <w:t>GB/T 5750.6-2006 氢化物原子荧光法（6.1）</w:t>
            </w:r>
          </w:p>
        </w:tc>
        <w:tc>
          <w:tcPr>
            <w:tcW w:w="2268" w:type="dxa"/>
            <w:vAlign w:val="center"/>
          </w:tcPr>
          <w:p>
            <w:pPr>
              <w:jc w:val="center"/>
              <w:rPr>
                <w:color w:val="auto"/>
                <w:sz w:val="21"/>
                <w:szCs w:val="21"/>
              </w:rPr>
            </w:pPr>
            <w:r>
              <w:rPr>
                <w:color w:val="auto"/>
                <w:sz w:val="21"/>
                <w:szCs w:val="21"/>
              </w:rPr>
              <w:t>原子荧光分光光度计(PF52)</w:t>
            </w:r>
          </w:p>
          <w:p>
            <w:pPr>
              <w:jc w:val="center"/>
              <w:rPr>
                <w:color w:val="auto"/>
                <w:sz w:val="21"/>
                <w:szCs w:val="21"/>
              </w:rPr>
            </w:pPr>
            <w:r>
              <w:rPr>
                <w:color w:val="auto"/>
                <w:sz w:val="21"/>
                <w:szCs w:val="21"/>
              </w:rPr>
              <w:t>YQ-002-01</w:t>
            </w:r>
          </w:p>
        </w:tc>
        <w:tc>
          <w:tcPr>
            <w:tcW w:w="1468" w:type="dxa"/>
            <w:vAlign w:val="center"/>
          </w:tcPr>
          <w:p>
            <w:pPr>
              <w:jc w:val="center"/>
              <w:rPr>
                <w:color w:val="auto"/>
                <w:sz w:val="21"/>
                <w:szCs w:val="21"/>
              </w:rPr>
            </w:pPr>
            <w:r>
              <w:rPr>
                <w:color w:val="auto"/>
                <w:sz w:val="21"/>
                <w:szCs w:val="21"/>
              </w:rPr>
              <w:t>0.0005mg/L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0"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锰</w:t>
            </w:r>
          </w:p>
        </w:tc>
        <w:tc>
          <w:tcPr>
            <w:tcW w:w="2749" w:type="dxa"/>
            <w:vAlign w:val="center"/>
          </w:tcPr>
          <w:p>
            <w:pPr>
              <w:jc w:val="center"/>
              <w:rPr>
                <w:color w:val="auto"/>
                <w:sz w:val="21"/>
                <w:szCs w:val="21"/>
              </w:rPr>
            </w:pPr>
            <w:r>
              <w:rPr>
                <w:color w:val="auto"/>
                <w:sz w:val="21"/>
                <w:szCs w:val="21"/>
              </w:rPr>
              <w:t>《水质 65种元素的测定 电感耦合等离子体质谱法》HJ 700-2014</w:t>
            </w:r>
          </w:p>
        </w:tc>
        <w:tc>
          <w:tcPr>
            <w:tcW w:w="2268" w:type="dxa"/>
            <w:vAlign w:val="center"/>
          </w:tcPr>
          <w:p>
            <w:pPr>
              <w:jc w:val="center"/>
              <w:rPr>
                <w:color w:val="auto"/>
                <w:sz w:val="21"/>
                <w:szCs w:val="21"/>
              </w:rPr>
            </w:pPr>
            <w:r>
              <w:rPr>
                <w:color w:val="auto"/>
                <w:sz w:val="21"/>
                <w:szCs w:val="21"/>
              </w:rPr>
              <w:t>电感耦合等离子体质谱仪(7800 ICP-MS)</w:t>
            </w:r>
          </w:p>
          <w:p>
            <w:pPr>
              <w:jc w:val="center"/>
              <w:rPr>
                <w:color w:val="auto"/>
                <w:sz w:val="21"/>
                <w:szCs w:val="21"/>
              </w:rPr>
            </w:pPr>
            <w:r>
              <w:rPr>
                <w:color w:val="auto"/>
                <w:sz w:val="21"/>
                <w:szCs w:val="21"/>
              </w:rPr>
              <w:t>YQ-250-02</w:t>
            </w:r>
          </w:p>
        </w:tc>
        <w:tc>
          <w:tcPr>
            <w:tcW w:w="1468" w:type="dxa"/>
            <w:vAlign w:val="center"/>
          </w:tcPr>
          <w:p>
            <w:pPr>
              <w:jc w:val="center"/>
              <w:rPr>
                <w:color w:val="auto"/>
                <w:sz w:val="21"/>
                <w:szCs w:val="21"/>
              </w:rPr>
            </w:pPr>
            <w:r>
              <w:rPr>
                <w:color w:val="auto"/>
                <w:sz w:val="21"/>
                <w:szCs w:val="21"/>
              </w:rPr>
              <w:t>0.12μg/L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0"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铁</w:t>
            </w:r>
          </w:p>
        </w:tc>
        <w:tc>
          <w:tcPr>
            <w:tcW w:w="2749" w:type="dxa"/>
            <w:vAlign w:val="center"/>
          </w:tcPr>
          <w:p>
            <w:pPr>
              <w:jc w:val="center"/>
              <w:rPr>
                <w:color w:val="auto"/>
                <w:sz w:val="21"/>
                <w:szCs w:val="21"/>
              </w:rPr>
            </w:pPr>
            <w:r>
              <w:rPr>
                <w:color w:val="auto"/>
                <w:sz w:val="21"/>
                <w:szCs w:val="21"/>
              </w:rPr>
              <w:t>《水质 65种元素的测定 电感耦合等离子体质谱法》HJ 700-2014</w:t>
            </w:r>
          </w:p>
        </w:tc>
        <w:tc>
          <w:tcPr>
            <w:tcW w:w="2268" w:type="dxa"/>
            <w:vAlign w:val="center"/>
          </w:tcPr>
          <w:p>
            <w:pPr>
              <w:jc w:val="center"/>
              <w:rPr>
                <w:color w:val="auto"/>
                <w:sz w:val="21"/>
                <w:szCs w:val="21"/>
              </w:rPr>
            </w:pPr>
            <w:r>
              <w:rPr>
                <w:color w:val="auto"/>
                <w:sz w:val="21"/>
                <w:szCs w:val="21"/>
              </w:rPr>
              <w:t>电感耦合等离子体质谱仪(7800 ICP-MS)</w:t>
            </w:r>
          </w:p>
          <w:p>
            <w:pPr>
              <w:jc w:val="center"/>
              <w:rPr>
                <w:color w:val="auto"/>
                <w:sz w:val="21"/>
                <w:szCs w:val="21"/>
              </w:rPr>
            </w:pPr>
            <w:r>
              <w:rPr>
                <w:color w:val="auto"/>
                <w:sz w:val="21"/>
                <w:szCs w:val="21"/>
              </w:rPr>
              <w:t>YQ-250-02</w:t>
            </w:r>
          </w:p>
        </w:tc>
        <w:tc>
          <w:tcPr>
            <w:tcW w:w="1468" w:type="dxa"/>
            <w:vAlign w:val="center"/>
          </w:tcPr>
          <w:p>
            <w:pPr>
              <w:jc w:val="center"/>
              <w:rPr>
                <w:color w:val="auto"/>
                <w:sz w:val="21"/>
                <w:szCs w:val="21"/>
              </w:rPr>
            </w:pPr>
            <w:r>
              <w:rPr>
                <w:color w:val="auto"/>
                <w:sz w:val="21"/>
                <w:szCs w:val="21"/>
              </w:rPr>
              <w:t>0.82μg/L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0"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铜</w:t>
            </w:r>
          </w:p>
        </w:tc>
        <w:tc>
          <w:tcPr>
            <w:tcW w:w="2749" w:type="dxa"/>
            <w:vAlign w:val="center"/>
          </w:tcPr>
          <w:p>
            <w:pPr>
              <w:jc w:val="center"/>
              <w:rPr>
                <w:color w:val="auto"/>
                <w:sz w:val="21"/>
                <w:szCs w:val="21"/>
              </w:rPr>
            </w:pPr>
            <w:r>
              <w:rPr>
                <w:color w:val="auto"/>
                <w:sz w:val="21"/>
                <w:szCs w:val="21"/>
              </w:rPr>
              <w:t>《水质 65种元素的测定 电感耦合等离子体质谱法》HJ 700-2014</w:t>
            </w:r>
          </w:p>
        </w:tc>
        <w:tc>
          <w:tcPr>
            <w:tcW w:w="2268" w:type="dxa"/>
            <w:vAlign w:val="center"/>
          </w:tcPr>
          <w:p>
            <w:pPr>
              <w:jc w:val="center"/>
              <w:rPr>
                <w:color w:val="auto"/>
                <w:sz w:val="21"/>
                <w:szCs w:val="21"/>
              </w:rPr>
            </w:pPr>
            <w:r>
              <w:rPr>
                <w:color w:val="auto"/>
                <w:sz w:val="21"/>
                <w:szCs w:val="21"/>
              </w:rPr>
              <w:t>电感耦合等离子体质谱仪(7800 ICP-MS)</w:t>
            </w:r>
          </w:p>
          <w:p>
            <w:pPr>
              <w:jc w:val="center"/>
              <w:rPr>
                <w:color w:val="auto"/>
                <w:sz w:val="21"/>
                <w:szCs w:val="21"/>
              </w:rPr>
            </w:pPr>
            <w:r>
              <w:rPr>
                <w:color w:val="auto"/>
                <w:sz w:val="21"/>
                <w:szCs w:val="21"/>
              </w:rPr>
              <w:t>YQ-250-02</w:t>
            </w:r>
          </w:p>
        </w:tc>
        <w:tc>
          <w:tcPr>
            <w:tcW w:w="1468" w:type="dxa"/>
            <w:vAlign w:val="center"/>
          </w:tcPr>
          <w:p>
            <w:pPr>
              <w:jc w:val="center"/>
              <w:rPr>
                <w:color w:val="auto"/>
                <w:sz w:val="21"/>
                <w:szCs w:val="21"/>
              </w:rPr>
            </w:pPr>
            <w:r>
              <w:rPr>
                <w:color w:val="auto"/>
                <w:sz w:val="21"/>
                <w:szCs w:val="21"/>
              </w:rPr>
              <w:t>0.08μg/L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0"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锌</w:t>
            </w:r>
          </w:p>
        </w:tc>
        <w:tc>
          <w:tcPr>
            <w:tcW w:w="2749" w:type="dxa"/>
            <w:vAlign w:val="center"/>
          </w:tcPr>
          <w:p>
            <w:pPr>
              <w:jc w:val="center"/>
              <w:rPr>
                <w:color w:val="auto"/>
                <w:sz w:val="21"/>
                <w:szCs w:val="21"/>
              </w:rPr>
            </w:pPr>
            <w:r>
              <w:rPr>
                <w:color w:val="auto"/>
                <w:sz w:val="21"/>
                <w:szCs w:val="21"/>
              </w:rPr>
              <w:t>《水质 65种元素的测定 电感耦合等离子体质谱法》HJ 700-2014</w:t>
            </w:r>
          </w:p>
        </w:tc>
        <w:tc>
          <w:tcPr>
            <w:tcW w:w="2268" w:type="dxa"/>
            <w:vAlign w:val="center"/>
          </w:tcPr>
          <w:p>
            <w:pPr>
              <w:jc w:val="center"/>
              <w:rPr>
                <w:color w:val="auto"/>
                <w:sz w:val="21"/>
                <w:szCs w:val="21"/>
              </w:rPr>
            </w:pPr>
            <w:r>
              <w:rPr>
                <w:color w:val="auto"/>
                <w:sz w:val="21"/>
                <w:szCs w:val="21"/>
              </w:rPr>
              <w:t>电感耦合等离子体质谱仪(7800 ICP-MS)</w:t>
            </w:r>
          </w:p>
          <w:p>
            <w:pPr>
              <w:jc w:val="center"/>
              <w:rPr>
                <w:color w:val="auto"/>
                <w:sz w:val="21"/>
                <w:szCs w:val="21"/>
              </w:rPr>
            </w:pPr>
            <w:r>
              <w:rPr>
                <w:color w:val="auto"/>
                <w:sz w:val="21"/>
                <w:szCs w:val="21"/>
              </w:rPr>
              <w:t>YQ-250-02</w:t>
            </w:r>
          </w:p>
        </w:tc>
        <w:tc>
          <w:tcPr>
            <w:tcW w:w="1468" w:type="dxa"/>
            <w:vAlign w:val="center"/>
          </w:tcPr>
          <w:p>
            <w:pPr>
              <w:jc w:val="center"/>
              <w:rPr>
                <w:color w:val="auto"/>
                <w:sz w:val="21"/>
                <w:szCs w:val="21"/>
              </w:rPr>
            </w:pPr>
            <w:r>
              <w:rPr>
                <w:color w:val="auto"/>
                <w:sz w:val="21"/>
                <w:szCs w:val="21"/>
              </w:rPr>
              <w:t>0.67μg/L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0"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镉</w:t>
            </w:r>
          </w:p>
        </w:tc>
        <w:tc>
          <w:tcPr>
            <w:tcW w:w="2749" w:type="dxa"/>
            <w:vAlign w:val="center"/>
          </w:tcPr>
          <w:p>
            <w:pPr>
              <w:jc w:val="center"/>
              <w:rPr>
                <w:color w:val="auto"/>
                <w:sz w:val="21"/>
                <w:szCs w:val="21"/>
              </w:rPr>
            </w:pPr>
            <w:r>
              <w:rPr>
                <w:color w:val="auto"/>
                <w:sz w:val="21"/>
                <w:szCs w:val="21"/>
              </w:rPr>
              <w:t>《水质 65种元素的测定 电感耦合等离子体质谱法》HJ 700-2014</w:t>
            </w:r>
          </w:p>
        </w:tc>
        <w:tc>
          <w:tcPr>
            <w:tcW w:w="2268" w:type="dxa"/>
            <w:vAlign w:val="center"/>
          </w:tcPr>
          <w:p>
            <w:pPr>
              <w:jc w:val="center"/>
              <w:rPr>
                <w:color w:val="auto"/>
                <w:sz w:val="21"/>
                <w:szCs w:val="21"/>
              </w:rPr>
            </w:pPr>
            <w:r>
              <w:rPr>
                <w:color w:val="auto"/>
                <w:sz w:val="21"/>
                <w:szCs w:val="21"/>
              </w:rPr>
              <w:t>电感耦合等离子体质谱仪(7800 ICP-MS)</w:t>
            </w:r>
          </w:p>
          <w:p>
            <w:pPr>
              <w:jc w:val="center"/>
              <w:rPr>
                <w:color w:val="auto"/>
                <w:sz w:val="21"/>
                <w:szCs w:val="21"/>
              </w:rPr>
            </w:pPr>
            <w:r>
              <w:rPr>
                <w:color w:val="auto"/>
                <w:sz w:val="21"/>
                <w:szCs w:val="21"/>
              </w:rPr>
              <w:t>YQ-250-02</w:t>
            </w:r>
          </w:p>
        </w:tc>
        <w:tc>
          <w:tcPr>
            <w:tcW w:w="1468" w:type="dxa"/>
            <w:vAlign w:val="center"/>
          </w:tcPr>
          <w:p>
            <w:pPr>
              <w:jc w:val="center"/>
              <w:rPr>
                <w:color w:val="auto"/>
                <w:sz w:val="21"/>
                <w:szCs w:val="21"/>
              </w:rPr>
            </w:pPr>
            <w:r>
              <w:rPr>
                <w:color w:val="auto"/>
                <w:sz w:val="21"/>
                <w:szCs w:val="21"/>
              </w:rPr>
              <w:t>0.05μg/L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0" w:hRule="atLeast"/>
          <w:jc w:val="center"/>
        </w:trPr>
        <w:tc>
          <w:tcPr>
            <w:tcW w:w="882" w:type="dxa"/>
            <w:vMerge w:val="continue"/>
            <w:vAlign w:val="center"/>
          </w:tcPr>
          <w:p>
            <w:pPr>
              <w:jc w:val="center"/>
              <w:rPr>
                <w:color w:val="auto"/>
                <w:sz w:val="21"/>
                <w:szCs w:val="21"/>
              </w:rPr>
            </w:pPr>
          </w:p>
        </w:tc>
        <w:tc>
          <w:tcPr>
            <w:tcW w:w="1155" w:type="dxa"/>
            <w:vAlign w:val="center"/>
          </w:tcPr>
          <w:p>
            <w:pPr>
              <w:jc w:val="center"/>
              <w:rPr>
                <w:color w:val="auto"/>
                <w:sz w:val="21"/>
                <w:szCs w:val="21"/>
              </w:rPr>
            </w:pPr>
            <w:r>
              <w:rPr>
                <w:color w:val="auto"/>
                <w:sz w:val="21"/>
                <w:szCs w:val="21"/>
              </w:rPr>
              <w:t>铅</w:t>
            </w:r>
          </w:p>
        </w:tc>
        <w:tc>
          <w:tcPr>
            <w:tcW w:w="2749" w:type="dxa"/>
            <w:vAlign w:val="center"/>
          </w:tcPr>
          <w:p>
            <w:pPr>
              <w:jc w:val="center"/>
              <w:rPr>
                <w:color w:val="auto"/>
                <w:sz w:val="21"/>
                <w:szCs w:val="21"/>
              </w:rPr>
            </w:pPr>
            <w:r>
              <w:rPr>
                <w:color w:val="auto"/>
                <w:sz w:val="21"/>
                <w:szCs w:val="21"/>
              </w:rPr>
              <w:t>《水质 65种元素的测定 电感耦合等离子体质谱法》HJ 700-2014</w:t>
            </w:r>
          </w:p>
        </w:tc>
        <w:tc>
          <w:tcPr>
            <w:tcW w:w="2268" w:type="dxa"/>
            <w:vAlign w:val="center"/>
          </w:tcPr>
          <w:p>
            <w:pPr>
              <w:jc w:val="center"/>
              <w:rPr>
                <w:color w:val="auto"/>
                <w:sz w:val="21"/>
                <w:szCs w:val="21"/>
              </w:rPr>
            </w:pPr>
            <w:r>
              <w:rPr>
                <w:color w:val="auto"/>
                <w:sz w:val="21"/>
                <w:szCs w:val="21"/>
              </w:rPr>
              <w:t>电感耦合等离子体质谱仪(7800 ICP-MS)</w:t>
            </w:r>
          </w:p>
          <w:p>
            <w:pPr>
              <w:jc w:val="center"/>
              <w:rPr>
                <w:color w:val="auto"/>
                <w:sz w:val="21"/>
                <w:szCs w:val="21"/>
              </w:rPr>
            </w:pPr>
            <w:r>
              <w:rPr>
                <w:color w:val="auto"/>
                <w:sz w:val="21"/>
                <w:szCs w:val="21"/>
              </w:rPr>
              <w:t>YQ-250-02</w:t>
            </w:r>
          </w:p>
        </w:tc>
        <w:tc>
          <w:tcPr>
            <w:tcW w:w="1468" w:type="dxa"/>
            <w:vAlign w:val="center"/>
          </w:tcPr>
          <w:p>
            <w:pPr>
              <w:jc w:val="center"/>
              <w:rPr>
                <w:color w:val="auto"/>
                <w:sz w:val="21"/>
                <w:szCs w:val="21"/>
              </w:rPr>
            </w:pPr>
            <w:r>
              <w:rPr>
                <w:color w:val="auto"/>
                <w:sz w:val="21"/>
                <w:szCs w:val="21"/>
              </w:rPr>
              <w:t>0.09μg/L</w:t>
            </w:r>
          </w:p>
        </w:tc>
      </w:tr>
    </w:tbl>
    <w:p>
      <w:pPr>
        <w:pStyle w:val="298"/>
        <w:spacing w:before="156" w:after="156"/>
        <w:rPr>
          <w:color w:val="auto"/>
        </w:rPr>
      </w:pPr>
      <w:bookmarkStart w:id="489" w:name="_Toc15912181"/>
      <w:bookmarkStart w:id="490" w:name="_Toc14946889"/>
      <w:bookmarkStart w:id="491" w:name="_Toc32514"/>
      <w:bookmarkStart w:id="492" w:name="_Toc24136794"/>
      <w:bookmarkStart w:id="493" w:name="_Toc34234713"/>
      <w:r>
        <w:rPr>
          <w:color w:val="auto"/>
        </w:rPr>
        <w:t>4.5.5评价标准</w:t>
      </w:r>
      <w:bookmarkEnd w:id="489"/>
      <w:bookmarkEnd w:id="490"/>
      <w:r>
        <w:rPr>
          <w:rFonts w:hint="eastAsia"/>
          <w:color w:val="auto"/>
          <w:lang w:eastAsia="zh-CN"/>
        </w:rPr>
        <w:t>及方法</w:t>
      </w:r>
      <w:bookmarkEnd w:id="491"/>
      <w:bookmarkEnd w:id="492"/>
      <w:bookmarkEnd w:id="493"/>
    </w:p>
    <w:p>
      <w:pPr>
        <w:pStyle w:val="298"/>
        <w:spacing w:before="156" w:after="156"/>
        <w:outlineLvl w:val="3"/>
        <w:rPr>
          <w:color w:val="auto"/>
        </w:rPr>
      </w:pPr>
      <w:bookmarkStart w:id="494" w:name="_Toc34234714"/>
      <w:bookmarkStart w:id="495" w:name="_Toc23344768"/>
      <w:bookmarkStart w:id="496" w:name="_Toc24136795"/>
      <w:bookmarkStart w:id="497" w:name="_Toc24190014"/>
      <w:bookmarkStart w:id="498" w:name="_Toc19164"/>
      <w:r>
        <w:rPr>
          <w:rFonts w:hint="eastAsia"/>
          <w:color w:val="auto"/>
        </w:rPr>
        <w:t>4</w:t>
      </w:r>
      <w:r>
        <w:rPr>
          <w:color w:val="auto"/>
        </w:rPr>
        <w:t>.5.5.1</w:t>
      </w:r>
      <w:r>
        <w:rPr>
          <w:rFonts w:hint="eastAsia"/>
          <w:color w:val="auto"/>
        </w:rPr>
        <w:t>评价标准</w:t>
      </w:r>
      <w:bookmarkEnd w:id="494"/>
      <w:bookmarkEnd w:id="495"/>
      <w:bookmarkEnd w:id="496"/>
      <w:bookmarkEnd w:id="497"/>
      <w:bookmarkEnd w:id="498"/>
    </w:p>
    <w:p>
      <w:pPr>
        <w:spacing w:line="360" w:lineRule="auto"/>
        <w:ind w:firstLine="480" w:firstLineChars="200"/>
        <w:jc w:val="both"/>
        <w:rPr>
          <w:color w:val="auto"/>
        </w:rPr>
      </w:pPr>
      <w:r>
        <w:rPr>
          <w:rFonts w:hint="eastAsia"/>
          <w:color w:val="auto"/>
        </w:rPr>
        <w:t>根据《广东省地下水功能区划》（广东省水利厅），本项目所在区域属于韩江及粤东诸河梅州兴宁地下水水源涵养区（</w:t>
      </w:r>
      <w:r>
        <w:rPr>
          <w:color w:val="auto"/>
        </w:rPr>
        <w:t>H084414002T06</w:t>
      </w:r>
      <w:r>
        <w:rPr>
          <w:rFonts w:hint="eastAsia"/>
          <w:color w:val="auto"/>
        </w:rPr>
        <w:t>），执行《地下水质量标准》（</w:t>
      </w:r>
      <w:r>
        <w:rPr>
          <w:color w:val="auto"/>
        </w:rPr>
        <w:t>GB/T 14848-2017</w:t>
      </w:r>
      <w:r>
        <w:rPr>
          <w:rFonts w:hint="eastAsia"/>
          <w:color w:val="auto"/>
        </w:rPr>
        <w:t>）中的</w:t>
      </w:r>
      <w:r>
        <w:rPr>
          <w:color w:val="auto"/>
        </w:rPr>
        <w:t>Ⅲ</w:t>
      </w:r>
      <w:r>
        <w:rPr>
          <w:rFonts w:hint="eastAsia"/>
          <w:color w:val="auto"/>
        </w:rPr>
        <w:t>类标准，标准限值详见表</w:t>
      </w:r>
      <w:r>
        <w:rPr>
          <w:color w:val="auto"/>
        </w:rPr>
        <w:t>2.8-4</w:t>
      </w:r>
      <w:r>
        <w:rPr>
          <w:rFonts w:hint="eastAsia"/>
          <w:color w:val="auto"/>
        </w:rPr>
        <w:t>。</w:t>
      </w:r>
    </w:p>
    <w:p>
      <w:pPr>
        <w:pStyle w:val="298"/>
        <w:spacing w:before="156" w:after="156"/>
        <w:outlineLvl w:val="3"/>
        <w:rPr>
          <w:color w:val="auto"/>
        </w:rPr>
      </w:pPr>
      <w:bookmarkStart w:id="499" w:name="_Toc16223"/>
      <w:bookmarkStart w:id="500" w:name="_Toc24190015"/>
      <w:bookmarkStart w:id="501" w:name="_Toc23344769"/>
      <w:bookmarkStart w:id="502" w:name="_Toc24136796"/>
      <w:bookmarkStart w:id="503" w:name="_Toc14946890"/>
      <w:bookmarkStart w:id="504" w:name="_Toc15912182"/>
      <w:bookmarkStart w:id="505" w:name="_Toc34234715"/>
      <w:r>
        <w:rPr>
          <w:color w:val="auto"/>
        </w:rPr>
        <w:t>4.5.5.2评价方法</w:t>
      </w:r>
      <w:bookmarkEnd w:id="499"/>
      <w:bookmarkEnd w:id="500"/>
      <w:bookmarkEnd w:id="501"/>
      <w:bookmarkEnd w:id="502"/>
      <w:bookmarkEnd w:id="503"/>
      <w:bookmarkEnd w:id="504"/>
      <w:bookmarkEnd w:id="505"/>
    </w:p>
    <w:p>
      <w:pPr>
        <w:spacing w:line="360" w:lineRule="auto"/>
        <w:ind w:firstLine="480"/>
        <w:jc w:val="both"/>
        <w:rPr>
          <w:color w:val="auto"/>
        </w:rPr>
      </w:pPr>
      <w:r>
        <w:rPr>
          <w:color w:val="auto"/>
        </w:rPr>
        <w:t>按照《环境影响评价技术导则 地下水环境》（HJ610-2016）地下水水质现状评价应采用标准指数法。水质参数的标准指数＞1，表明该水质因子已超标，标准指数越大，超标越严重。标准指数计算公式分为以下两种情况：</w:t>
      </w:r>
    </w:p>
    <w:p>
      <w:pPr>
        <w:spacing w:line="360" w:lineRule="auto"/>
        <w:ind w:firstLine="480"/>
        <w:jc w:val="both"/>
        <w:rPr>
          <w:color w:val="auto"/>
        </w:rPr>
      </w:pPr>
      <w:r>
        <w:rPr>
          <w:color w:val="auto"/>
        </w:rPr>
        <w:t>（1）对于评价标准为定值的水质因子，其标准指数计算方法如以下公式：</w:t>
      </w:r>
    </w:p>
    <w:p>
      <w:pPr>
        <w:spacing w:line="360" w:lineRule="auto"/>
        <w:jc w:val="center"/>
        <w:rPr>
          <w:color w:val="auto"/>
        </w:rPr>
      </w:pPr>
      <w:r>
        <w:rPr>
          <w:color w:val="auto"/>
        </w:rPr>
        <w:t>P</w:t>
      </w:r>
      <w:r>
        <w:rPr>
          <w:color w:val="auto"/>
          <w:vertAlign w:val="subscript"/>
        </w:rPr>
        <w:t>i</w:t>
      </w:r>
      <w:r>
        <w:rPr>
          <w:color w:val="auto"/>
        </w:rPr>
        <w:t>=C</w:t>
      </w:r>
      <w:r>
        <w:rPr>
          <w:color w:val="auto"/>
          <w:vertAlign w:val="subscript"/>
        </w:rPr>
        <w:t>i</w:t>
      </w:r>
      <w:r>
        <w:rPr>
          <w:color w:val="auto"/>
        </w:rPr>
        <w:t>/C</w:t>
      </w:r>
      <w:r>
        <w:rPr>
          <w:color w:val="auto"/>
          <w:vertAlign w:val="subscript"/>
        </w:rPr>
        <w:t>si</w:t>
      </w:r>
    </w:p>
    <w:p>
      <w:pPr>
        <w:spacing w:line="360" w:lineRule="auto"/>
        <w:ind w:firstLine="480"/>
        <w:jc w:val="both"/>
        <w:rPr>
          <w:color w:val="auto"/>
        </w:rPr>
      </w:pPr>
      <w:r>
        <w:rPr>
          <w:color w:val="auto"/>
        </w:rPr>
        <w:t>式中：P</w:t>
      </w:r>
      <w:r>
        <w:rPr>
          <w:color w:val="auto"/>
          <w:vertAlign w:val="subscript"/>
        </w:rPr>
        <w:t>i</w:t>
      </w:r>
      <w:r>
        <w:rPr>
          <w:color w:val="auto"/>
        </w:rPr>
        <w:t>――第i个水质因子的标准指数，无量纲；</w:t>
      </w:r>
    </w:p>
    <w:p>
      <w:pPr>
        <w:spacing w:line="360" w:lineRule="auto"/>
        <w:ind w:firstLine="480"/>
        <w:jc w:val="both"/>
        <w:rPr>
          <w:color w:val="auto"/>
        </w:rPr>
      </w:pPr>
      <w:r>
        <w:rPr>
          <w:color w:val="auto"/>
        </w:rPr>
        <w:t xml:space="preserve">      C</w:t>
      </w:r>
      <w:r>
        <w:rPr>
          <w:color w:val="auto"/>
          <w:vertAlign w:val="subscript"/>
        </w:rPr>
        <w:t>i</w:t>
      </w:r>
      <w:r>
        <w:rPr>
          <w:color w:val="auto"/>
        </w:rPr>
        <w:t>――第i个水质因子的监测浓度值，mg/L；</w:t>
      </w:r>
    </w:p>
    <w:p>
      <w:pPr>
        <w:spacing w:line="360" w:lineRule="auto"/>
        <w:ind w:left="750" w:firstLine="480"/>
        <w:jc w:val="both"/>
        <w:rPr>
          <w:color w:val="auto"/>
        </w:rPr>
      </w:pPr>
      <w:r>
        <w:rPr>
          <w:color w:val="auto"/>
        </w:rPr>
        <w:t>C</w:t>
      </w:r>
      <w:r>
        <w:rPr>
          <w:color w:val="auto"/>
          <w:vertAlign w:val="subscript"/>
        </w:rPr>
        <w:t>si</w:t>
      </w:r>
      <w:r>
        <w:rPr>
          <w:color w:val="auto"/>
        </w:rPr>
        <w:t>――第i个水质因子的标准浓度值，mg/L。</w:t>
      </w:r>
    </w:p>
    <w:p>
      <w:pPr>
        <w:spacing w:line="360" w:lineRule="auto"/>
        <w:ind w:firstLine="480"/>
        <w:jc w:val="both"/>
        <w:rPr>
          <w:color w:val="auto"/>
        </w:rPr>
      </w:pPr>
      <w:r>
        <w:rPr>
          <w:color w:val="auto"/>
        </w:rPr>
        <w:t>（2）对于评价标准为区间值的水质因子（如pH值），其标准指数计算方法如以下公式：</w:t>
      </w:r>
    </w:p>
    <w:p>
      <w:pPr>
        <w:spacing w:line="360" w:lineRule="auto"/>
        <w:jc w:val="center"/>
        <w:rPr>
          <w:color w:val="auto"/>
        </w:rPr>
      </w:pPr>
      <w:r>
        <w:rPr>
          <w:color w:val="auto"/>
        </w:rPr>
        <w:t>当pH≤7.0时，P</w:t>
      </w:r>
      <w:r>
        <w:rPr>
          <w:color w:val="auto"/>
          <w:vertAlign w:val="subscript"/>
        </w:rPr>
        <w:t>pH</w:t>
      </w:r>
      <w:r>
        <w:rPr>
          <w:color w:val="auto"/>
        </w:rPr>
        <w:t>=（7.0-pH）/（7.0-pH</w:t>
      </w:r>
      <w:r>
        <w:rPr>
          <w:color w:val="auto"/>
          <w:vertAlign w:val="subscript"/>
        </w:rPr>
        <w:t>sd</w:t>
      </w:r>
      <w:r>
        <w:rPr>
          <w:color w:val="auto"/>
        </w:rPr>
        <w:t>）；</w:t>
      </w:r>
    </w:p>
    <w:p>
      <w:pPr>
        <w:spacing w:line="360" w:lineRule="auto"/>
        <w:jc w:val="center"/>
        <w:rPr>
          <w:color w:val="auto"/>
        </w:rPr>
      </w:pPr>
      <w:r>
        <w:rPr>
          <w:color w:val="auto"/>
        </w:rPr>
        <w:t>当pH＞7.0时，P</w:t>
      </w:r>
      <w:r>
        <w:rPr>
          <w:color w:val="auto"/>
          <w:vertAlign w:val="subscript"/>
        </w:rPr>
        <w:t>pH</w:t>
      </w:r>
      <w:r>
        <w:rPr>
          <w:color w:val="auto"/>
        </w:rPr>
        <w:t>=（pH－7.0）/(pH</w:t>
      </w:r>
      <w:r>
        <w:rPr>
          <w:color w:val="auto"/>
          <w:vertAlign w:val="subscript"/>
        </w:rPr>
        <w:t>su</w:t>
      </w:r>
      <w:r>
        <w:rPr>
          <w:color w:val="auto"/>
        </w:rPr>
        <w:t>－7.0)；</w:t>
      </w:r>
    </w:p>
    <w:p>
      <w:pPr>
        <w:spacing w:line="360" w:lineRule="auto"/>
        <w:ind w:firstLine="480"/>
        <w:jc w:val="both"/>
        <w:rPr>
          <w:color w:val="auto"/>
        </w:rPr>
      </w:pPr>
      <w:r>
        <w:rPr>
          <w:color w:val="auto"/>
        </w:rPr>
        <w:t>式中：P</w:t>
      </w:r>
      <w:r>
        <w:rPr>
          <w:color w:val="auto"/>
          <w:vertAlign w:val="subscript"/>
        </w:rPr>
        <w:t>pH</w:t>
      </w:r>
      <w:r>
        <w:rPr>
          <w:color w:val="auto"/>
        </w:rPr>
        <w:t>――pH的标准指数，无量纲；</w:t>
      </w:r>
    </w:p>
    <w:p>
      <w:pPr>
        <w:spacing w:line="360" w:lineRule="auto"/>
        <w:ind w:left="750" w:firstLine="480"/>
        <w:jc w:val="both"/>
        <w:rPr>
          <w:color w:val="auto"/>
        </w:rPr>
      </w:pPr>
      <w:r>
        <w:rPr>
          <w:color w:val="auto"/>
        </w:rPr>
        <w:t>pH――pH的监测值；</w:t>
      </w:r>
    </w:p>
    <w:p>
      <w:pPr>
        <w:spacing w:line="360" w:lineRule="auto"/>
        <w:ind w:left="750" w:firstLine="480"/>
        <w:jc w:val="both"/>
        <w:rPr>
          <w:color w:val="auto"/>
        </w:rPr>
      </w:pPr>
      <w:r>
        <w:rPr>
          <w:color w:val="auto"/>
        </w:rPr>
        <w:t>pH</w:t>
      </w:r>
      <w:r>
        <w:rPr>
          <w:color w:val="auto"/>
          <w:vertAlign w:val="subscript"/>
        </w:rPr>
        <w:t>su</w:t>
      </w:r>
      <w:r>
        <w:rPr>
          <w:color w:val="auto"/>
        </w:rPr>
        <w:t>――标准中pH的上限值；</w:t>
      </w:r>
    </w:p>
    <w:p>
      <w:pPr>
        <w:spacing w:line="360" w:lineRule="auto"/>
        <w:ind w:firstLine="1200" w:firstLineChars="500"/>
        <w:jc w:val="both"/>
        <w:rPr>
          <w:color w:val="auto"/>
        </w:rPr>
      </w:pPr>
      <w:r>
        <w:rPr>
          <w:color w:val="auto"/>
        </w:rPr>
        <w:t>pH</w:t>
      </w:r>
      <w:r>
        <w:rPr>
          <w:color w:val="auto"/>
          <w:vertAlign w:val="subscript"/>
        </w:rPr>
        <w:t>sd</w:t>
      </w:r>
      <w:r>
        <w:rPr>
          <w:color w:val="auto"/>
        </w:rPr>
        <w:t>――标准中pH的下限值。</w:t>
      </w:r>
    </w:p>
    <w:p>
      <w:pPr>
        <w:spacing w:line="360" w:lineRule="auto"/>
        <w:rPr>
          <w:color w:val="auto"/>
        </w:rPr>
      </w:pPr>
      <w:r>
        <w:rPr>
          <w:color w:val="auto"/>
          <w:sz w:val="24"/>
        </w:rPr>
        <mc:AlternateContent>
          <mc:Choice Requires="wps">
            <w:drawing>
              <wp:anchor distT="0" distB="0" distL="114300" distR="114300" simplePos="0" relativeHeight="253209600" behindDoc="0" locked="0" layoutInCell="1" allowOverlap="1">
                <wp:simplePos x="0" y="0"/>
                <wp:positionH relativeFrom="column">
                  <wp:posOffset>3351530</wp:posOffset>
                </wp:positionH>
                <wp:positionV relativeFrom="paragraph">
                  <wp:posOffset>762635</wp:posOffset>
                </wp:positionV>
                <wp:extent cx="962660" cy="307975"/>
                <wp:effectExtent l="0" t="0" r="0" b="0"/>
                <wp:wrapNone/>
                <wp:docPr id="109" name="文本框 109"/>
                <wp:cNvGraphicFramePr/>
                <a:graphic xmlns:a="http://schemas.openxmlformats.org/drawingml/2006/main">
                  <a:graphicData uri="http://schemas.microsoft.com/office/word/2010/wordprocessingShape">
                    <wps:wsp>
                      <wps:cNvSpPr txBox="1"/>
                      <wps:spPr>
                        <a:xfrm rot="2580000">
                          <a:off x="5062220" y="6502400"/>
                          <a:ext cx="962660" cy="3079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FFFF" w:themeColor="background1"/>
                                <w:lang w:eastAsia="zh-CN"/>
                                <w14:textFill>
                                  <w14:solidFill>
                                    <w14:schemeClr w14:val="bg1"/>
                                  </w14:solidFill>
                                </w14:textFill>
                              </w:rPr>
                            </w:pPr>
                            <w:r>
                              <w:rPr>
                                <w:rFonts w:hint="eastAsia"/>
                                <w:b/>
                                <w:bCs/>
                                <w:color w:val="FFFFFF" w:themeColor="background1"/>
                                <w:sz w:val="22"/>
                                <w:szCs w:val="22"/>
                                <w:lang w:eastAsia="zh-CN"/>
                                <w14:textFill>
                                  <w14:solidFill>
                                    <w14:schemeClr w14:val="bg1"/>
                                  </w14:solidFill>
                                </w14:textFill>
                              </w:rPr>
                              <w:t>地下水流向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3.9pt;margin-top:60.05pt;height:24.25pt;width:75.8pt;rotation:2818048f;z-index:253209600;mso-width-relative:page;mso-height-relative:page;" filled="f" stroked="f" coordsize="21600,21600" o:gfxdata="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E/Mh2doAAAALAQAADwAAAAAAAAABACAAAAAiAAAAZHJzL2Rvd25yZXYu&#10;eG1sUEsBAhQAFAAAAAgAh07iQCr54D8yAgAANQQAAA4AAAAAAAAAAQAgAAAAKQEAAGRycy9lMm9E&#10;b2MueG1sUEsFBgAAAAAGAAYAWQEAAM0FAAAAAA==&#10;">
                <v:fill on="f" focussize="0,0"/>
                <v:stroke on="f" weight="0.5pt"/>
                <v:imagedata o:title=""/>
                <o:lock v:ext="edit" aspectratio="f"/>
                <v:textbox>
                  <w:txbxContent>
                    <w:p>
                      <w:pPr>
                        <w:rPr>
                          <w:rFonts w:hint="eastAsia" w:eastAsia="宋体"/>
                          <w:color w:val="FFFFFF" w:themeColor="background1"/>
                          <w:lang w:eastAsia="zh-CN"/>
                          <w14:textFill>
                            <w14:solidFill>
                              <w14:schemeClr w14:val="bg1"/>
                            </w14:solidFill>
                          </w14:textFill>
                        </w:rPr>
                      </w:pPr>
                      <w:r>
                        <w:rPr>
                          <w:rFonts w:hint="eastAsia"/>
                          <w:b/>
                          <w:bCs/>
                          <w:color w:val="FFFFFF" w:themeColor="background1"/>
                          <w:sz w:val="22"/>
                          <w:szCs w:val="22"/>
                          <w:lang w:eastAsia="zh-CN"/>
                          <w14:textFill>
                            <w14:solidFill>
                              <w14:schemeClr w14:val="bg1"/>
                            </w14:solidFill>
                          </w14:textFill>
                        </w:rPr>
                        <w:t>地下水流向</w:t>
                      </w:r>
                    </w:p>
                  </w:txbxContent>
                </v:textbox>
              </v:shape>
            </w:pict>
          </mc:Fallback>
        </mc:AlternateContent>
      </w:r>
      <w:r>
        <w:rPr>
          <w:color w:val="auto"/>
          <w:sz w:val="24"/>
        </w:rPr>
        <mc:AlternateContent>
          <mc:Choice Requires="wps">
            <w:drawing>
              <wp:anchor distT="0" distB="0" distL="114300" distR="114300" simplePos="0" relativeHeight="253208576" behindDoc="0" locked="0" layoutInCell="1" allowOverlap="1">
                <wp:simplePos x="0" y="0"/>
                <wp:positionH relativeFrom="column">
                  <wp:posOffset>3264535</wp:posOffset>
                </wp:positionH>
                <wp:positionV relativeFrom="paragraph">
                  <wp:posOffset>953135</wp:posOffset>
                </wp:positionV>
                <wp:extent cx="595630" cy="163830"/>
                <wp:effectExtent l="0" t="133985" r="0" b="121285"/>
                <wp:wrapNone/>
                <wp:docPr id="106" name="燕尾形箭头 106"/>
                <wp:cNvGraphicFramePr/>
                <a:graphic xmlns:a="http://schemas.openxmlformats.org/drawingml/2006/main">
                  <a:graphicData uri="http://schemas.microsoft.com/office/word/2010/wordprocessingShape">
                    <wps:wsp>
                      <wps:cNvSpPr/>
                      <wps:spPr>
                        <a:xfrm rot="2280000">
                          <a:off x="4411345" y="6050280"/>
                          <a:ext cx="595630" cy="163830"/>
                        </a:xfrm>
                        <a:prstGeom prst="notchedRightArrow">
                          <a:avLst/>
                        </a:prstGeom>
                        <a:solidFill>
                          <a:srgbClr val="A3F3FC">
                            <a:alpha val="87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94" type="#_x0000_t94" style="position:absolute;left:0pt;margin-left:257.05pt;margin-top:75.05pt;height:12.9pt;width:46.9pt;rotation:2490368f;z-index:253208576;v-text-anchor:middle;mso-width-relative:page;mso-height-relative:page;" fillcolor="#A3F3FC" filled="t" stroked="f" coordsize="21600,21600" o:gfxdata="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rAUy29sAAAALAQAADwAAAAAA&#10;AAABACAAAAAiAAAAZHJzL2Rvd25yZXYueG1sUEsBAhQAFAAAAAgAh07iQHWaq9aCAgAAugQAAA4A&#10;AAAAAAAAAQAgAAAAKgEAAGRycy9lMm9Eb2MueG1sUEsFBgAAAAAGAAYAWQEAAB4GAAAAAA==&#10;" adj="18630,5400">
                <v:fill on="t" opacity="57016f" focussize="0,0"/>
                <v:stroke on="f" weight="2pt"/>
                <v:imagedata o:title=""/>
                <o:lock v:ext="edit" aspectratio="f"/>
              </v:shape>
            </w:pict>
          </mc:Fallback>
        </mc:AlternateContent>
      </w:r>
      <w:r>
        <w:rPr>
          <w:color w:val="auto"/>
        </w:rPr>
        <w:drawing>
          <wp:anchor distT="0" distB="0" distL="114300" distR="114300" simplePos="0" relativeHeight="251689984" behindDoc="0" locked="0" layoutInCell="1" allowOverlap="1">
            <wp:simplePos x="0" y="0"/>
            <wp:positionH relativeFrom="column">
              <wp:posOffset>4205605</wp:posOffset>
            </wp:positionH>
            <wp:positionV relativeFrom="paragraph">
              <wp:posOffset>44450</wp:posOffset>
            </wp:positionV>
            <wp:extent cx="1072515" cy="871220"/>
            <wp:effectExtent l="0" t="0" r="0" b="5080"/>
            <wp:wrapNone/>
            <wp:docPr id="1284" name="图片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图片 1284"/>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072515" cy="871220"/>
                    </a:xfrm>
                    <a:prstGeom prst="rect">
                      <a:avLst/>
                    </a:prstGeom>
                  </pic:spPr>
                </pic:pic>
              </a:graphicData>
            </a:graphic>
          </wp:anchor>
        </w:drawing>
      </w:r>
      <w:r>
        <w:rPr>
          <w:color w:val="auto"/>
          <w:sz w:val="21"/>
        </w:rPr>
        <w:drawing>
          <wp:inline distT="0" distB="0" distL="0" distR="0">
            <wp:extent cx="5274310" cy="3500120"/>
            <wp:effectExtent l="0" t="0" r="2540" b="5080"/>
            <wp:docPr id="1283" name="图片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图片 1283"/>
                    <pic:cNvPicPr>
                      <a:picLocks noChangeAspect="1"/>
                    </pic:cNvPicPr>
                  </pic:nvPicPr>
                  <pic:blipFill>
                    <a:blip r:embed="rId99"/>
                    <a:stretch>
                      <a:fillRect/>
                    </a:stretch>
                  </pic:blipFill>
                  <pic:spPr>
                    <a:xfrm>
                      <a:off x="0" y="0"/>
                      <a:ext cx="5274310" cy="3500594"/>
                    </a:xfrm>
                    <a:prstGeom prst="rect">
                      <a:avLst/>
                    </a:prstGeom>
                  </pic:spPr>
                </pic:pic>
              </a:graphicData>
            </a:graphic>
          </wp:inline>
        </w:drawing>
      </w:r>
    </w:p>
    <w:p>
      <w:pPr>
        <w:jc w:val="center"/>
        <w:rPr>
          <w:color w:val="auto"/>
        </w:rPr>
      </w:pPr>
      <w:r>
        <w:rPr>
          <w:rFonts w:hint="eastAsia"/>
          <w:b/>
          <w:bCs/>
          <w:color w:val="auto"/>
        </w:rPr>
        <w:t>图4</w:t>
      </w:r>
      <w:r>
        <w:rPr>
          <w:b/>
          <w:bCs/>
          <w:color w:val="auto"/>
        </w:rPr>
        <w:t xml:space="preserve">.5-1 </w:t>
      </w:r>
      <w:r>
        <w:rPr>
          <w:rFonts w:hint="eastAsia"/>
          <w:b/>
          <w:bCs/>
          <w:color w:val="auto"/>
        </w:rPr>
        <w:t>项目所在区域地下水环境质量现状引用监测布点示意图</w:t>
      </w:r>
    </w:p>
    <w:p>
      <w:pPr>
        <w:pStyle w:val="298"/>
        <w:spacing w:before="156" w:after="156"/>
        <w:rPr>
          <w:color w:val="auto"/>
        </w:rPr>
      </w:pPr>
      <w:bookmarkStart w:id="506" w:name="_Toc14946891"/>
      <w:bookmarkStart w:id="507" w:name="_Toc15912183"/>
      <w:bookmarkStart w:id="508" w:name="_Toc8594"/>
      <w:bookmarkStart w:id="509" w:name="_Toc24136797"/>
      <w:bookmarkStart w:id="510" w:name="_Toc34234716"/>
      <w:r>
        <w:rPr>
          <w:color w:val="auto"/>
        </w:rPr>
        <w:t>4.5.6监测结果与</w:t>
      </w:r>
      <w:bookmarkEnd w:id="506"/>
      <w:bookmarkEnd w:id="507"/>
      <w:r>
        <w:rPr>
          <w:rFonts w:hint="eastAsia"/>
          <w:color w:val="auto"/>
          <w:lang w:eastAsia="zh-CN"/>
        </w:rPr>
        <w:t>评价</w:t>
      </w:r>
      <w:bookmarkEnd w:id="508"/>
      <w:bookmarkEnd w:id="509"/>
      <w:bookmarkEnd w:id="510"/>
    </w:p>
    <w:p>
      <w:pPr>
        <w:spacing w:line="360" w:lineRule="auto"/>
        <w:ind w:firstLine="480" w:firstLineChars="200"/>
        <w:rPr>
          <w:color w:val="auto"/>
        </w:rPr>
      </w:pPr>
      <w:r>
        <w:rPr>
          <w:color w:val="auto"/>
        </w:rPr>
        <w:t>项目</w:t>
      </w:r>
      <w:r>
        <w:rPr>
          <w:rFonts w:hint="eastAsia"/>
          <w:color w:val="auto"/>
        </w:rPr>
        <w:t>所在区域</w:t>
      </w:r>
      <w:r>
        <w:rPr>
          <w:color w:val="auto"/>
        </w:rPr>
        <w:t>地下水环境现状</w:t>
      </w:r>
      <w:r>
        <w:rPr>
          <w:rFonts w:hint="eastAsia"/>
          <w:color w:val="auto"/>
        </w:rPr>
        <w:t>引用</w:t>
      </w:r>
      <w:r>
        <w:rPr>
          <w:color w:val="auto"/>
        </w:rPr>
        <w:t>监测结果见表4.2-6a</w:t>
      </w:r>
      <w:r>
        <w:rPr>
          <w:rFonts w:hint="eastAsia"/>
          <w:color w:val="auto"/>
        </w:rPr>
        <w:t>、表4</w:t>
      </w:r>
      <w:r>
        <w:rPr>
          <w:color w:val="auto"/>
        </w:rPr>
        <w:t>.2-6b。</w:t>
      </w:r>
    </w:p>
    <w:p>
      <w:pPr>
        <w:jc w:val="center"/>
        <w:rPr>
          <w:b/>
          <w:color w:val="auto"/>
          <w:kern w:val="0"/>
        </w:rPr>
      </w:pPr>
      <w:r>
        <w:rPr>
          <w:b/>
          <w:color w:val="auto"/>
          <w:kern w:val="0"/>
        </w:rPr>
        <w:t>表4.2-6a  D1</w:t>
      </w:r>
      <w:r>
        <w:rPr>
          <w:rFonts w:hint="eastAsia"/>
          <w:b/>
          <w:color w:val="auto"/>
          <w:kern w:val="0"/>
        </w:rPr>
        <w:t>~</w:t>
      </w:r>
      <w:r>
        <w:rPr>
          <w:b/>
          <w:color w:val="auto"/>
          <w:kern w:val="0"/>
        </w:rPr>
        <w:t>D5</w:t>
      </w:r>
      <w:r>
        <w:rPr>
          <w:rFonts w:hint="eastAsia"/>
          <w:b/>
          <w:color w:val="auto"/>
          <w:kern w:val="0"/>
        </w:rPr>
        <w:t>的地下水八大离子监测结果</w:t>
      </w:r>
    </w:p>
    <w:tbl>
      <w:tblPr>
        <w:tblStyle w:val="53"/>
        <w:tblW w:w="852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48"/>
        <w:gridCol w:w="2131"/>
        <w:gridCol w:w="2258"/>
        <w:gridCol w:w="21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948" w:type="dxa"/>
          </w:tcPr>
          <w:p>
            <w:pPr>
              <w:adjustRightInd w:val="0"/>
              <w:snapToGrid w:val="0"/>
              <w:jc w:val="center"/>
              <w:rPr>
                <w:b/>
                <w:bCs/>
                <w:color w:val="auto"/>
                <w:sz w:val="21"/>
                <w:szCs w:val="18"/>
              </w:rPr>
            </w:pPr>
            <w:r>
              <w:rPr>
                <w:b/>
                <w:bCs/>
                <w:color w:val="auto"/>
                <w:sz w:val="21"/>
                <w:szCs w:val="18"/>
              </w:rPr>
              <w:t>分析项目</w:t>
            </w:r>
          </w:p>
        </w:tc>
        <w:tc>
          <w:tcPr>
            <w:tcW w:w="2131" w:type="dxa"/>
          </w:tcPr>
          <w:p>
            <w:pPr>
              <w:adjustRightInd w:val="0"/>
              <w:snapToGrid w:val="0"/>
              <w:jc w:val="center"/>
              <w:rPr>
                <w:b/>
                <w:bCs/>
                <w:color w:val="auto"/>
                <w:sz w:val="21"/>
                <w:szCs w:val="18"/>
              </w:rPr>
            </w:pPr>
            <w:r>
              <w:rPr>
                <w:b/>
                <w:bCs/>
                <w:color w:val="auto"/>
                <w:sz w:val="21"/>
                <w:szCs w:val="18"/>
              </w:rPr>
              <w:t>平均浓度（mg/L）</w:t>
            </w:r>
          </w:p>
        </w:tc>
        <w:tc>
          <w:tcPr>
            <w:tcW w:w="2258" w:type="dxa"/>
          </w:tcPr>
          <w:p>
            <w:pPr>
              <w:adjustRightInd w:val="0"/>
              <w:snapToGrid w:val="0"/>
              <w:jc w:val="center"/>
              <w:rPr>
                <w:b/>
                <w:bCs/>
                <w:color w:val="auto"/>
                <w:sz w:val="21"/>
                <w:szCs w:val="18"/>
              </w:rPr>
            </w:pPr>
            <w:r>
              <w:rPr>
                <w:b/>
                <w:bCs/>
                <w:color w:val="auto"/>
                <w:sz w:val="21"/>
                <w:szCs w:val="18"/>
              </w:rPr>
              <w:t>摩尔浓度（mmol/L）</w:t>
            </w:r>
          </w:p>
        </w:tc>
        <w:tc>
          <w:tcPr>
            <w:tcW w:w="2185" w:type="dxa"/>
          </w:tcPr>
          <w:p>
            <w:pPr>
              <w:adjustRightInd w:val="0"/>
              <w:snapToGrid w:val="0"/>
              <w:jc w:val="center"/>
              <w:rPr>
                <w:b/>
                <w:bCs/>
                <w:color w:val="auto"/>
                <w:sz w:val="21"/>
                <w:szCs w:val="18"/>
              </w:rPr>
            </w:pPr>
            <w:r>
              <w:rPr>
                <w:b/>
                <w:bCs/>
                <w:color w:val="auto"/>
                <w:sz w:val="21"/>
                <w:szCs w:val="18"/>
              </w:rPr>
              <w:t>电荷浓度（meq/L）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948" w:type="dxa"/>
          </w:tcPr>
          <w:p>
            <w:pPr>
              <w:adjustRightInd w:val="0"/>
              <w:snapToGrid w:val="0"/>
              <w:jc w:val="center"/>
              <w:rPr>
                <w:color w:val="auto"/>
                <w:sz w:val="21"/>
                <w:szCs w:val="18"/>
              </w:rPr>
            </w:pPr>
            <w:r>
              <w:rPr>
                <w:color w:val="auto"/>
                <w:sz w:val="21"/>
                <w:szCs w:val="18"/>
              </w:rPr>
              <w:t>K</w:t>
            </w:r>
            <w:r>
              <w:rPr>
                <w:color w:val="auto"/>
                <w:sz w:val="21"/>
                <w:szCs w:val="18"/>
                <w:vertAlign w:val="superscript"/>
              </w:rPr>
              <w:t>+</w:t>
            </w:r>
          </w:p>
        </w:tc>
        <w:tc>
          <w:tcPr>
            <w:tcW w:w="2131" w:type="dxa"/>
          </w:tcPr>
          <w:p>
            <w:pPr>
              <w:adjustRightInd w:val="0"/>
              <w:snapToGrid w:val="0"/>
              <w:jc w:val="center"/>
              <w:rPr>
                <w:color w:val="auto"/>
                <w:sz w:val="21"/>
                <w:szCs w:val="18"/>
              </w:rPr>
            </w:pPr>
            <w:r>
              <w:rPr>
                <w:rFonts w:hint="eastAsia"/>
                <w:color w:val="auto"/>
                <w:sz w:val="21"/>
                <w:szCs w:val="18"/>
              </w:rPr>
              <w:t>5</w:t>
            </w:r>
            <w:r>
              <w:rPr>
                <w:color w:val="auto"/>
                <w:sz w:val="21"/>
                <w:szCs w:val="18"/>
              </w:rPr>
              <w:t>.268</w:t>
            </w:r>
          </w:p>
        </w:tc>
        <w:tc>
          <w:tcPr>
            <w:tcW w:w="2258" w:type="dxa"/>
          </w:tcPr>
          <w:p>
            <w:pPr>
              <w:adjustRightInd w:val="0"/>
              <w:snapToGrid w:val="0"/>
              <w:jc w:val="center"/>
              <w:rPr>
                <w:color w:val="auto"/>
                <w:sz w:val="21"/>
                <w:szCs w:val="18"/>
              </w:rPr>
            </w:pPr>
            <w:r>
              <w:rPr>
                <w:rFonts w:hint="eastAsia"/>
                <w:color w:val="auto"/>
                <w:sz w:val="21"/>
                <w:szCs w:val="18"/>
              </w:rPr>
              <w:t>0</w:t>
            </w:r>
            <w:r>
              <w:rPr>
                <w:color w:val="auto"/>
                <w:sz w:val="21"/>
                <w:szCs w:val="18"/>
              </w:rPr>
              <w:t>.135</w:t>
            </w:r>
          </w:p>
        </w:tc>
        <w:tc>
          <w:tcPr>
            <w:tcW w:w="2185" w:type="dxa"/>
          </w:tcPr>
          <w:p>
            <w:pPr>
              <w:adjustRightInd w:val="0"/>
              <w:snapToGrid w:val="0"/>
              <w:jc w:val="center"/>
              <w:rPr>
                <w:color w:val="auto"/>
                <w:sz w:val="21"/>
                <w:szCs w:val="18"/>
              </w:rPr>
            </w:pPr>
            <w:r>
              <w:rPr>
                <w:rFonts w:hint="eastAsia"/>
                <w:color w:val="auto"/>
                <w:sz w:val="21"/>
                <w:szCs w:val="18"/>
              </w:rPr>
              <w:t>0</w:t>
            </w:r>
            <w:r>
              <w:rPr>
                <w:color w:val="auto"/>
                <w:sz w:val="21"/>
                <w:szCs w:val="18"/>
              </w:rPr>
              <w:t>.135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948" w:type="dxa"/>
          </w:tcPr>
          <w:p>
            <w:pPr>
              <w:adjustRightInd w:val="0"/>
              <w:snapToGrid w:val="0"/>
              <w:jc w:val="center"/>
              <w:rPr>
                <w:color w:val="auto"/>
                <w:sz w:val="21"/>
                <w:szCs w:val="18"/>
              </w:rPr>
            </w:pPr>
            <w:r>
              <w:rPr>
                <w:color w:val="auto"/>
                <w:sz w:val="21"/>
                <w:szCs w:val="18"/>
              </w:rPr>
              <w:t>Na</w:t>
            </w:r>
            <w:r>
              <w:rPr>
                <w:color w:val="auto"/>
                <w:sz w:val="21"/>
                <w:szCs w:val="18"/>
                <w:vertAlign w:val="superscript"/>
              </w:rPr>
              <w:t>+</w:t>
            </w:r>
          </w:p>
        </w:tc>
        <w:tc>
          <w:tcPr>
            <w:tcW w:w="2131" w:type="dxa"/>
          </w:tcPr>
          <w:p>
            <w:pPr>
              <w:adjustRightInd w:val="0"/>
              <w:snapToGrid w:val="0"/>
              <w:jc w:val="center"/>
              <w:rPr>
                <w:color w:val="auto"/>
                <w:sz w:val="21"/>
                <w:szCs w:val="18"/>
              </w:rPr>
            </w:pPr>
            <w:r>
              <w:rPr>
                <w:rFonts w:hint="eastAsia"/>
                <w:color w:val="auto"/>
                <w:sz w:val="21"/>
                <w:szCs w:val="18"/>
              </w:rPr>
              <w:t>7</w:t>
            </w:r>
            <w:r>
              <w:rPr>
                <w:color w:val="auto"/>
                <w:sz w:val="21"/>
                <w:szCs w:val="18"/>
              </w:rPr>
              <w:t>.25</w:t>
            </w:r>
          </w:p>
        </w:tc>
        <w:tc>
          <w:tcPr>
            <w:tcW w:w="2258" w:type="dxa"/>
          </w:tcPr>
          <w:p>
            <w:pPr>
              <w:adjustRightInd w:val="0"/>
              <w:snapToGrid w:val="0"/>
              <w:jc w:val="center"/>
              <w:rPr>
                <w:color w:val="auto"/>
                <w:sz w:val="21"/>
                <w:szCs w:val="18"/>
              </w:rPr>
            </w:pPr>
            <w:r>
              <w:rPr>
                <w:rFonts w:hint="eastAsia"/>
                <w:color w:val="auto"/>
                <w:sz w:val="21"/>
                <w:szCs w:val="18"/>
              </w:rPr>
              <w:t>0</w:t>
            </w:r>
            <w:r>
              <w:rPr>
                <w:color w:val="auto"/>
                <w:sz w:val="21"/>
                <w:szCs w:val="18"/>
              </w:rPr>
              <w:t>.315</w:t>
            </w:r>
          </w:p>
        </w:tc>
        <w:tc>
          <w:tcPr>
            <w:tcW w:w="2185" w:type="dxa"/>
          </w:tcPr>
          <w:p>
            <w:pPr>
              <w:adjustRightInd w:val="0"/>
              <w:snapToGrid w:val="0"/>
              <w:jc w:val="center"/>
              <w:rPr>
                <w:color w:val="auto"/>
                <w:sz w:val="21"/>
                <w:szCs w:val="18"/>
              </w:rPr>
            </w:pPr>
            <w:r>
              <w:rPr>
                <w:rFonts w:hint="eastAsia"/>
                <w:color w:val="auto"/>
                <w:sz w:val="21"/>
                <w:szCs w:val="18"/>
              </w:rPr>
              <w:t>0</w:t>
            </w:r>
            <w:r>
              <w:rPr>
                <w:color w:val="auto"/>
                <w:sz w:val="21"/>
                <w:szCs w:val="18"/>
              </w:rPr>
              <w:t>.315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948" w:type="dxa"/>
          </w:tcPr>
          <w:p>
            <w:pPr>
              <w:adjustRightInd w:val="0"/>
              <w:snapToGrid w:val="0"/>
              <w:jc w:val="center"/>
              <w:rPr>
                <w:color w:val="auto"/>
                <w:sz w:val="21"/>
                <w:szCs w:val="18"/>
              </w:rPr>
            </w:pPr>
            <w:r>
              <w:rPr>
                <w:color w:val="auto"/>
                <w:sz w:val="21"/>
                <w:szCs w:val="18"/>
              </w:rPr>
              <w:t>Ca</w:t>
            </w:r>
            <w:r>
              <w:rPr>
                <w:color w:val="auto"/>
                <w:sz w:val="21"/>
                <w:szCs w:val="18"/>
                <w:vertAlign w:val="superscript"/>
              </w:rPr>
              <w:t>2+</w:t>
            </w:r>
          </w:p>
        </w:tc>
        <w:tc>
          <w:tcPr>
            <w:tcW w:w="2131" w:type="dxa"/>
          </w:tcPr>
          <w:p>
            <w:pPr>
              <w:adjustRightInd w:val="0"/>
              <w:snapToGrid w:val="0"/>
              <w:jc w:val="center"/>
              <w:rPr>
                <w:color w:val="auto"/>
                <w:sz w:val="21"/>
                <w:szCs w:val="18"/>
              </w:rPr>
            </w:pPr>
            <w:r>
              <w:rPr>
                <w:rFonts w:hint="eastAsia"/>
                <w:color w:val="auto"/>
                <w:sz w:val="21"/>
                <w:szCs w:val="18"/>
              </w:rPr>
              <w:t>1</w:t>
            </w:r>
            <w:r>
              <w:rPr>
                <w:color w:val="auto"/>
                <w:sz w:val="21"/>
                <w:szCs w:val="18"/>
              </w:rPr>
              <w:t>9.214</w:t>
            </w:r>
          </w:p>
        </w:tc>
        <w:tc>
          <w:tcPr>
            <w:tcW w:w="2258" w:type="dxa"/>
          </w:tcPr>
          <w:p>
            <w:pPr>
              <w:adjustRightInd w:val="0"/>
              <w:snapToGrid w:val="0"/>
              <w:jc w:val="center"/>
              <w:rPr>
                <w:color w:val="auto"/>
                <w:sz w:val="21"/>
                <w:szCs w:val="18"/>
              </w:rPr>
            </w:pPr>
            <w:r>
              <w:rPr>
                <w:rFonts w:hint="eastAsia"/>
                <w:color w:val="auto"/>
                <w:sz w:val="21"/>
                <w:szCs w:val="18"/>
              </w:rPr>
              <w:t>0</w:t>
            </w:r>
            <w:r>
              <w:rPr>
                <w:color w:val="auto"/>
                <w:sz w:val="21"/>
                <w:szCs w:val="18"/>
              </w:rPr>
              <w:t>.48</w:t>
            </w:r>
          </w:p>
        </w:tc>
        <w:tc>
          <w:tcPr>
            <w:tcW w:w="2185" w:type="dxa"/>
          </w:tcPr>
          <w:p>
            <w:pPr>
              <w:adjustRightInd w:val="0"/>
              <w:snapToGrid w:val="0"/>
              <w:jc w:val="center"/>
              <w:rPr>
                <w:color w:val="auto"/>
                <w:sz w:val="21"/>
                <w:szCs w:val="18"/>
              </w:rPr>
            </w:pPr>
            <w:r>
              <w:rPr>
                <w:rFonts w:hint="eastAsia"/>
                <w:color w:val="auto"/>
                <w:sz w:val="21"/>
                <w:szCs w:val="18"/>
              </w:rPr>
              <w:t>0</w:t>
            </w:r>
            <w:r>
              <w:rPr>
                <w:color w:val="auto"/>
                <w:sz w:val="21"/>
                <w:szCs w:val="18"/>
              </w:rPr>
              <w:t>.961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948" w:type="dxa"/>
          </w:tcPr>
          <w:p>
            <w:pPr>
              <w:adjustRightInd w:val="0"/>
              <w:snapToGrid w:val="0"/>
              <w:jc w:val="center"/>
              <w:rPr>
                <w:color w:val="auto"/>
                <w:sz w:val="21"/>
                <w:szCs w:val="18"/>
              </w:rPr>
            </w:pPr>
            <w:r>
              <w:rPr>
                <w:color w:val="auto"/>
                <w:sz w:val="21"/>
                <w:szCs w:val="18"/>
              </w:rPr>
              <w:t>Mg</w:t>
            </w:r>
            <w:r>
              <w:rPr>
                <w:color w:val="auto"/>
                <w:sz w:val="21"/>
                <w:szCs w:val="18"/>
                <w:vertAlign w:val="superscript"/>
              </w:rPr>
              <w:t>2+</w:t>
            </w:r>
          </w:p>
        </w:tc>
        <w:tc>
          <w:tcPr>
            <w:tcW w:w="2131" w:type="dxa"/>
          </w:tcPr>
          <w:p>
            <w:pPr>
              <w:adjustRightInd w:val="0"/>
              <w:snapToGrid w:val="0"/>
              <w:jc w:val="center"/>
              <w:rPr>
                <w:color w:val="auto"/>
                <w:sz w:val="21"/>
                <w:szCs w:val="18"/>
              </w:rPr>
            </w:pPr>
            <w:r>
              <w:rPr>
                <w:rFonts w:hint="eastAsia"/>
                <w:color w:val="auto"/>
                <w:sz w:val="21"/>
                <w:szCs w:val="18"/>
              </w:rPr>
              <w:t>2</w:t>
            </w:r>
            <w:r>
              <w:rPr>
                <w:color w:val="auto"/>
                <w:sz w:val="21"/>
                <w:szCs w:val="18"/>
              </w:rPr>
              <w:t>.787</w:t>
            </w:r>
          </w:p>
        </w:tc>
        <w:tc>
          <w:tcPr>
            <w:tcW w:w="2258" w:type="dxa"/>
          </w:tcPr>
          <w:p>
            <w:pPr>
              <w:adjustRightInd w:val="0"/>
              <w:snapToGrid w:val="0"/>
              <w:jc w:val="center"/>
              <w:rPr>
                <w:color w:val="auto"/>
                <w:sz w:val="21"/>
                <w:szCs w:val="18"/>
              </w:rPr>
            </w:pPr>
            <w:r>
              <w:rPr>
                <w:rFonts w:hint="eastAsia"/>
                <w:color w:val="auto"/>
                <w:sz w:val="21"/>
                <w:szCs w:val="18"/>
              </w:rPr>
              <w:t>0</w:t>
            </w:r>
            <w:r>
              <w:rPr>
                <w:color w:val="auto"/>
                <w:sz w:val="21"/>
                <w:szCs w:val="18"/>
              </w:rPr>
              <w:t>.116</w:t>
            </w:r>
          </w:p>
        </w:tc>
        <w:tc>
          <w:tcPr>
            <w:tcW w:w="2185" w:type="dxa"/>
          </w:tcPr>
          <w:p>
            <w:pPr>
              <w:adjustRightInd w:val="0"/>
              <w:snapToGrid w:val="0"/>
              <w:jc w:val="center"/>
              <w:rPr>
                <w:color w:val="auto"/>
                <w:sz w:val="21"/>
                <w:szCs w:val="18"/>
              </w:rPr>
            </w:pPr>
            <w:r>
              <w:rPr>
                <w:rFonts w:hint="eastAsia"/>
                <w:color w:val="auto"/>
                <w:sz w:val="21"/>
                <w:szCs w:val="18"/>
              </w:rPr>
              <w:t>0</w:t>
            </w:r>
            <w:r>
              <w:rPr>
                <w:color w:val="auto"/>
                <w:sz w:val="21"/>
                <w:szCs w:val="18"/>
              </w:rPr>
              <w:t>.232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948" w:type="dxa"/>
          </w:tcPr>
          <w:p>
            <w:pPr>
              <w:adjustRightInd w:val="0"/>
              <w:snapToGrid w:val="0"/>
              <w:jc w:val="center"/>
              <w:rPr>
                <w:color w:val="auto"/>
                <w:sz w:val="21"/>
                <w:szCs w:val="18"/>
              </w:rPr>
            </w:pPr>
            <w:r>
              <w:rPr>
                <w:color w:val="auto"/>
                <w:sz w:val="21"/>
                <w:szCs w:val="18"/>
              </w:rPr>
              <w:t>Cl</w:t>
            </w:r>
            <w:r>
              <w:rPr>
                <w:color w:val="auto"/>
                <w:sz w:val="21"/>
                <w:szCs w:val="18"/>
                <w:vertAlign w:val="superscript"/>
              </w:rPr>
              <w:t>-</w:t>
            </w:r>
          </w:p>
        </w:tc>
        <w:tc>
          <w:tcPr>
            <w:tcW w:w="2131" w:type="dxa"/>
          </w:tcPr>
          <w:p>
            <w:pPr>
              <w:adjustRightInd w:val="0"/>
              <w:snapToGrid w:val="0"/>
              <w:jc w:val="center"/>
              <w:rPr>
                <w:color w:val="auto"/>
                <w:sz w:val="21"/>
                <w:szCs w:val="18"/>
              </w:rPr>
            </w:pPr>
            <w:r>
              <w:rPr>
                <w:color w:val="auto"/>
                <w:sz w:val="21"/>
                <w:szCs w:val="18"/>
              </w:rPr>
              <w:t>5.136</w:t>
            </w:r>
          </w:p>
        </w:tc>
        <w:tc>
          <w:tcPr>
            <w:tcW w:w="2258" w:type="dxa"/>
          </w:tcPr>
          <w:p>
            <w:pPr>
              <w:adjustRightInd w:val="0"/>
              <w:snapToGrid w:val="0"/>
              <w:jc w:val="center"/>
              <w:rPr>
                <w:color w:val="auto"/>
                <w:sz w:val="21"/>
                <w:szCs w:val="18"/>
              </w:rPr>
            </w:pPr>
            <w:r>
              <w:rPr>
                <w:rFonts w:hint="eastAsia"/>
                <w:color w:val="auto"/>
                <w:sz w:val="21"/>
                <w:szCs w:val="18"/>
              </w:rPr>
              <w:t>0</w:t>
            </w:r>
            <w:r>
              <w:rPr>
                <w:color w:val="auto"/>
                <w:sz w:val="21"/>
                <w:szCs w:val="18"/>
              </w:rPr>
              <w:t>.145</w:t>
            </w:r>
          </w:p>
        </w:tc>
        <w:tc>
          <w:tcPr>
            <w:tcW w:w="2185" w:type="dxa"/>
          </w:tcPr>
          <w:p>
            <w:pPr>
              <w:adjustRightInd w:val="0"/>
              <w:snapToGrid w:val="0"/>
              <w:jc w:val="center"/>
              <w:rPr>
                <w:color w:val="auto"/>
                <w:sz w:val="21"/>
                <w:szCs w:val="18"/>
              </w:rPr>
            </w:pPr>
            <w:r>
              <w:rPr>
                <w:rFonts w:hint="eastAsia"/>
                <w:color w:val="auto"/>
                <w:sz w:val="21"/>
                <w:szCs w:val="18"/>
              </w:rPr>
              <w:t>0</w:t>
            </w:r>
            <w:r>
              <w:rPr>
                <w:color w:val="auto"/>
                <w:sz w:val="21"/>
                <w:szCs w:val="18"/>
              </w:rPr>
              <w:t>.145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948" w:type="dxa"/>
          </w:tcPr>
          <w:p>
            <w:pPr>
              <w:adjustRightInd w:val="0"/>
              <w:snapToGrid w:val="0"/>
              <w:jc w:val="center"/>
              <w:rPr>
                <w:color w:val="auto"/>
                <w:sz w:val="21"/>
                <w:szCs w:val="18"/>
              </w:rPr>
            </w:pPr>
            <w:r>
              <w:rPr>
                <w:color w:val="auto"/>
                <w:sz w:val="21"/>
                <w:szCs w:val="18"/>
              </w:rPr>
              <w:t>SO</w:t>
            </w:r>
            <w:r>
              <w:rPr>
                <w:color w:val="auto"/>
                <w:sz w:val="21"/>
                <w:szCs w:val="18"/>
                <w:vertAlign w:val="subscript"/>
              </w:rPr>
              <w:t>4</w:t>
            </w:r>
            <w:r>
              <w:rPr>
                <w:color w:val="auto"/>
                <w:sz w:val="21"/>
                <w:szCs w:val="18"/>
                <w:vertAlign w:val="superscript"/>
              </w:rPr>
              <w:t>2-</w:t>
            </w:r>
          </w:p>
        </w:tc>
        <w:tc>
          <w:tcPr>
            <w:tcW w:w="2131" w:type="dxa"/>
          </w:tcPr>
          <w:p>
            <w:pPr>
              <w:adjustRightInd w:val="0"/>
              <w:snapToGrid w:val="0"/>
              <w:jc w:val="center"/>
              <w:rPr>
                <w:color w:val="auto"/>
                <w:sz w:val="21"/>
                <w:szCs w:val="18"/>
              </w:rPr>
            </w:pPr>
            <w:r>
              <w:rPr>
                <w:rFonts w:hint="eastAsia"/>
                <w:color w:val="auto"/>
                <w:sz w:val="21"/>
                <w:szCs w:val="18"/>
              </w:rPr>
              <w:t>6</w:t>
            </w:r>
            <w:r>
              <w:rPr>
                <w:color w:val="auto"/>
                <w:sz w:val="21"/>
                <w:szCs w:val="18"/>
              </w:rPr>
              <w:t>.094</w:t>
            </w:r>
          </w:p>
        </w:tc>
        <w:tc>
          <w:tcPr>
            <w:tcW w:w="2258" w:type="dxa"/>
          </w:tcPr>
          <w:p>
            <w:pPr>
              <w:adjustRightInd w:val="0"/>
              <w:snapToGrid w:val="0"/>
              <w:jc w:val="center"/>
              <w:rPr>
                <w:color w:val="auto"/>
                <w:sz w:val="21"/>
                <w:szCs w:val="18"/>
              </w:rPr>
            </w:pPr>
            <w:r>
              <w:rPr>
                <w:rFonts w:hint="eastAsia"/>
                <w:color w:val="auto"/>
                <w:sz w:val="21"/>
                <w:szCs w:val="18"/>
              </w:rPr>
              <w:t>0</w:t>
            </w:r>
            <w:r>
              <w:rPr>
                <w:color w:val="auto"/>
                <w:sz w:val="21"/>
                <w:szCs w:val="18"/>
              </w:rPr>
              <w:t>.063</w:t>
            </w:r>
          </w:p>
        </w:tc>
        <w:tc>
          <w:tcPr>
            <w:tcW w:w="2185" w:type="dxa"/>
          </w:tcPr>
          <w:p>
            <w:pPr>
              <w:adjustRightInd w:val="0"/>
              <w:snapToGrid w:val="0"/>
              <w:jc w:val="center"/>
              <w:rPr>
                <w:color w:val="auto"/>
                <w:sz w:val="21"/>
                <w:szCs w:val="18"/>
              </w:rPr>
            </w:pPr>
            <w:r>
              <w:rPr>
                <w:rFonts w:hint="eastAsia"/>
                <w:color w:val="auto"/>
                <w:sz w:val="21"/>
                <w:szCs w:val="18"/>
              </w:rPr>
              <w:t>0</w:t>
            </w:r>
            <w:r>
              <w:rPr>
                <w:color w:val="auto"/>
                <w:sz w:val="21"/>
                <w:szCs w:val="18"/>
              </w:rPr>
              <w:t>.127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948" w:type="dxa"/>
          </w:tcPr>
          <w:p>
            <w:pPr>
              <w:adjustRightInd w:val="0"/>
              <w:snapToGrid w:val="0"/>
              <w:jc w:val="center"/>
              <w:rPr>
                <w:color w:val="auto"/>
                <w:sz w:val="21"/>
                <w:szCs w:val="18"/>
              </w:rPr>
            </w:pPr>
            <w:r>
              <w:rPr>
                <w:color w:val="auto"/>
                <w:sz w:val="21"/>
                <w:szCs w:val="18"/>
              </w:rPr>
              <w:t>CO</w:t>
            </w:r>
            <w:r>
              <w:rPr>
                <w:color w:val="auto"/>
                <w:sz w:val="21"/>
                <w:szCs w:val="18"/>
                <w:vertAlign w:val="subscript"/>
              </w:rPr>
              <w:t>3</w:t>
            </w:r>
            <w:r>
              <w:rPr>
                <w:color w:val="auto"/>
                <w:sz w:val="21"/>
                <w:szCs w:val="18"/>
                <w:vertAlign w:val="superscript"/>
              </w:rPr>
              <w:t>2-</w:t>
            </w:r>
          </w:p>
        </w:tc>
        <w:tc>
          <w:tcPr>
            <w:tcW w:w="2131" w:type="dxa"/>
          </w:tcPr>
          <w:p>
            <w:pPr>
              <w:adjustRightInd w:val="0"/>
              <w:snapToGrid w:val="0"/>
              <w:jc w:val="center"/>
              <w:rPr>
                <w:color w:val="auto"/>
                <w:sz w:val="21"/>
                <w:szCs w:val="18"/>
              </w:rPr>
            </w:pPr>
            <w:r>
              <w:rPr>
                <w:rFonts w:hint="eastAsia"/>
                <w:color w:val="auto"/>
                <w:sz w:val="21"/>
                <w:szCs w:val="18"/>
              </w:rPr>
              <w:t>＜0</w:t>
            </w:r>
            <w:r>
              <w:rPr>
                <w:color w:val="auto"/>
                <w:sz w:val="21"/>
                <w:szCs w:val="18"/>
              </w:rPr>
              <w:t>.5</w:t>
            </w:r>
          </w:p>
        </w:tc>
        <w:tc>
          <w:tcPr>
            <w:tcW w:w="2258" w:type="dxa"/>
          </w:tcPr>
          <w:p>
            <w:pPr>
              <w:adjustRightInd w:val="0"/>
              <w:snapToGrid w:val="0"/>
              <w:jc w:val="center"/>
              <w:rPr>
                <w:color w:val="auto"/>
                <w:sz w:val="21"/>
                <w:szCs w:val="18"/>
              </w:rPr>
            </w:pPr>
            <w:r>
              <w:rPr>
                <w:rFonts w:hint="eastAsia"/>
                <w:color w:val="auto"/>
                <w:sz w:val="21"/>
                <w:szCs w:val="18"/>
              </w:rPr>
              <w:t>＜0</w:t>
            </w:r>
            <w:r>
              <w:rPr>
                <w:color w:val="auto"/>
                <w:sz w:val="21"/>
                <w:szCs w:val="18"/>
              </w:rPr>
              <w:t>.008</w:t>
            </w:r>
          </w:p>
        </w:tc>
        <w:tc>
          <w:tcPr>
            <w:tcW w:w="2185" w:type="dxa"/>
          </w:tcPr>
          <w:p>
            <w:pPr>
              <w:adjustRightInd w:val="0"/>
              <w:snapToGrid w:val="0"/>
              <w:jc w:val="center"/>
              <w:rPr>
                <w:color w:val="auto"/>
                <w:sz w:val="21"/>
                <w:szCs w:val="18"/>
              </w:rPr>
            </w:pPr>
            <w:r>
              <w:rPr>
                <w:rFonts w:hint="eastAsia"/>
                <w:color w:val="auto"/>
                <w:sz w:val="21"/>
                <w:szCs w:val="18"/>
              </w:rPr>
              <w:t>＜0</w:t>
            </w:r>
            <w:r>
              <w:rPr>
                <w:color w:val="auto"/>
                <w:sz w:val="21"/>
                <w:szCs w:val="18"/>
              </w:rPr>
              <w:t>.017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948" w:type="dxa"/>
          </w:tcPr>
          <w:p>
            <w:pPr>
              <w:adjustRightInd w:val="0"/>
              <w:snapToGrid w:val="0"/>
              <w:jc w:val="center"/>
              <w:rPr>
                <w:color w:val="auto"/>
                <w:sz w:val="21"/>
                <w:szCs w:val="18"/>
              </w:rPr>
            </w:pPr>
            <w:r>
              <w:rPr>
                <w:color w:val="auto"/>
                <w:sz w:val="21"/>
                <w:szCs w:val="18"/>
              </w:rPr>
              <w:t>HCO</w:t>
            </w:r>
            <w:r>
              <w:rPr>
                <w:color w:val="auto"/>
                <w:sz w:val="21"/>
                <w:szCs w:val="18"/>
                <w:vertAlign w:val="subscript"/>
              </w:rPr>
              <w:t>3</w:t>
            </w:r>
            <w:r>
              <w:rPr>
                <w:color w:val="auto"/>
                <w:sz w:val="21"/>
                <w:szCs w:val="18"/>
                <w:vertAlign w:val="superscript"/>
              </w:rPr>
              <w:t>-</w:t>
            </w:r>
          </w:p>
        </w:tc>
        <w:tc>
          <w:tcPr>
            <w:tcW w:w="2131" w:type="dxa"/>
          </w:tcPr>
          <w:p>
            <w:pPr>
              <w:adjustRightInd w:val="0"/>
              <w:snapToGrid w:val="0"/>
              <w:jc w:val="center"/>
              <w:rPr>
                <w:color w:val="auto"/>
                <w:sz w:val="21"/>
                <w:szCs w:val="18"/>
              </w:rPr>
            </w:pPr>
            <w:r>
              <w:rPr>
                <w:rFonts w:hint="eastAsia"/>
                <w:color w:val="auto"/>
                <w:sz w:val="21"/>
                <w:szCs w:val="18"/>
              </w:rPr>
              <w:t>6</w:t>
            </w:r>
            <w:r>
              <w:rPr>
                <w:color w:val="auto"/>
                <w:sz w:val="21"/>
                <w:szCs w:val="18"/>
              </w:rPr>
              <w:t>2.7</w:t>
            </w:r>
          </w:p>
        </w:tc>
        <w:tc>
          <w:tcPr>
            <w:tcW w:w="2258" w:type="dxa"/>
          </w:tcPr>
          <w:p>
            <w:pPr>
              <w:adjustRightInd w:val="0"/>
              <w:snapToGrid w:val="0"/>
              <w:jc w:val="center"/>
              <w:rPr>
                <w:color w:val="auto"/>
                <w:sz w:val="21"/>
                <w:szCs w:val="18"/>
              </w:rPr>
            </w:pPr>
            <w:r>
              <w:rPr>
                <w:rFonts w:hint="eastAsia"/>
                <w:color w:val="auto"/>
                <w:sz w:val="21"/>
                <w:szCs w:val="18"/>
              </w:rPr>
              <w:t>1</w:t>
            </w:r>
            <w:r>
              <w:rPr>
                <w:color w:val="auto"/>
                <w:sz w:val="21"/>
                <w:szCs w:val="18"/>
              </w:rPr>
              <w:t>.028</w:t>
            </w:r>
          </w:p>
        </w:tc>
        <w:tc>
          <w:tcPr>
            <w:tcW w:w="2185" w:type="dxa"/>
          </w:tcPr>
          <w:p>
            <w:pPr>
              <w:adjustRightInd w:val="0"/>
              <w:snapToGrid w:val="0"/>
              <w:jc w:val="center"/>
              <w:rPr>
                <w:color w:val="auto"/>
                <w:sz w:val="21"/>
                <w:szCs w:val="18"/>
              </w:rPr>
            </w:pPr>
            <w:r>
              <w:rPr>
                <w:rFonts w:hint="eastAsia"/>
                <w:color w:val="auto"/>
                <w:sz w:val="21"/>
                <w:szCs w:val="18"/>
              </w:rPr>
              <w:t>1</w:t>
            </w:r>
            <w:r>
              <w:rPr>
                <w:color w:val="auto"/>
                <w:sz w:val="21"/>
                <w:szCs w:val="18"/>
              </w:rPr>
              <w:t>.028</w:t>
            </w:r>
          </w:p>
        </w:tc>
      </w:tr>
    </w:tbl>
    <w:p>
      <w:pPr>
        <w:spacing w:line="360" w:lineRule="auto"/>
        <w:ind w:firstLine="480"/>
        <w:jc w:val="both"/>
        <w:rPr>
          <w:color w:val="auto"/>
        </w:rPr>
      </w:pPr>
      <w:r>
        <w:rPr>
          <w:rFonts w:hint="eastAsia"/>
          <w:color w:val="auto"/>
        </w:rPr>
        <w:t>根据</w:t>
      </w:r>
      <w:r>
        <w:rPr>
          <w:color w:val="auto"/>
        </w:rPr>
        <w:t>监测结果</w:t>
      </w:r>
      <w:r>
        <w:rPr>
          <w:rFonts w:hint="eastAsia"/>
          <w:color w:val="auto"/>
        </w:rPr>
        <w:t>，D</w:t>
      </w:r>
      <w:r>
        <w:rPr>
          <w:color w:val="auto"/>
        </w:rPr>
        <w:t>1</w:t>
      </w:r>
      <w:r>
        <w:rPr>
          <w:rFonts w:hint="eastAsia"/>
          <w:color w:val="auto"/>
        </w:rPr>
        <w:t>~</w:t>
      </w:r>
      <w:r>
        <w:rPr>
          <w:color w:val="auto"/>
        </w:rPr>
        <w:t>D5</w:t>
      </w:r>
      <w:r>
        <w:rPr>
          <w:rFonts w:hint="eastAsia"/>
          <w:color w:val="auto"/>
        </w:rPr>
        <w:t>监测点的</w:t>
      </w:r>
      <w:r>
        <w:rPr>
          <w:color w:val="auto"/>
        </w:rPr>
        <w:t>pH</w:t>
      </w:r>
      <w:r>
        <w:rPr>
          <w:rFonts w:hint="eastAsia"/>
          <w:color w:val="auto"/>
        </w:rPr>
        <w:t>、耗氧量、挥发酚、六价铬、氰化物、溶解性总固体、硝酸盐氮、亚硝酸盐氮、阴离子表面活性剂、</w:t>
      </w:r>
      <w:r>
        <w:rPr>
          <w:rFonts w:hint="eastAsia" w:hAnsi="宋体"/>
          <w:color w:val="auto"/>
        </w:rPr>
        <w:t>总硬度、</w:t>
      </w:r>
      <w:r>
        <w:rPr>
          <w:rFonts w:hint="eastAsia"/>
          <w:color w:val="auto"/>
        </w:rPr>
        <w:t>氟化物、氯化物</w:t>
      </w:r>
      <w:r>
        <w:rPr>
          <w:rFonts w:hint="eastAsia" w:hAnsi="宋体"/>
          <w:color w:val="auto"/>
        </w:rPr>
        <w:t>、</w:t>
      </w:r>
      <w:r>
        <w:rPr>
          <w:rFonts w:hint="eastAsia"/>
          <w:color w:val="auto"/>
        </w:rPr>
        <w:t>硫酸盐、汞、砷、铜、锌、</w:t>
      </w:r>
      <w:r>
        <w:rPr>
          <w:rFonts w:hint="eastAsia" w:hAnsi="宋体"/>
          <w:color w:val="auto"/>
        </w:rPr>
        <w:t>铅、镉</w:t>
      </w:r>
      <w:r>
        <w:rPr>
          <w:rFonts w:hint="eastAsia"/>
          <w:color w:val="auto"/>
        </w:rPr>
        <w:t>等监测因子均能达到</w:t>
      </w:r>
      <w:r>
        <w:rPr>
          <w:color w:val="auto"/>
        </w:rPr>
        <w:t>《地下水质量标准》（GB/T 14848-2017）Ⅲ类标准要求，其中D1~D5监测点的挥发酚、六价铬、氰化物、阴离子表面活性剂、汞等监测因子均未检出；D1、D4监测点的亚硝酸盐氮均未检出；D2、D4、D5监测点的氨氮、砷、镉等均未检出；D2、D5监测点的总大肠菌群、氟化物、硫酸盐等均未检出；D3监测点的氟化物、硫酸盐、</w:t>
      </w:r>
      <w:r>
        <w:rPr>
          <w:rFonts w:hint="eastAsia"/>
          <w:color w:val="auto"/>
        </w:rPr>
        <w:t>镉</w:t>
      </w:r>
      <w:r>
        <w:rPr>
          <w:color w:val="auto"/>
        </w:rPr>
        <w:t>等均未检出；D4监测点的浑浊度未检出；D5监测点的氯化物未检出。</w:t>
      </w:r>
    </w:p>
    <w:p>
      <w:pPr>
        <w:spacing w:line="360" w:lineRule="auto"/>
        <w:ind w:firstLine="480"/>
        <w:jc w:val="both"/>
        <w:rPr>
          <w:color w:val="auto"/>
        </w:rPr>
      </w:pPr>
      <w:r>
        <w:rPr>
          <w:rFonts w:hint="eastAsia"/>
          <w:color w:val="auto"/>
        </w:rPr>
        <w:t>D1~D5的细菌总数和D3的氨氮、浑浊度、总大肠菌群、铁、锰等监测指标均超过《地下水质量标准》（GB/T 14848-2017）I</w:t>
      </w:r>
      <w:r>
        <w:rPr>
          <w:color w:val="auto"/>
        </w:rPr>
        <w:t>II</w:t>
      </w:r>
      <w:r>
        <w:rPr>
          <w:rFonts w:hint="eastAsia"/>
          <w:color w:val="auto"/>
        </w:rPr>
        <w:t>类标准要求。细菌总数、氨氮、浑浊度、总大肠菌群等监测因子超标原因可能与项目周边农地和林地定期施肥、居民生活污水多年排放入渗、D</w:t>
      </w:r>
      <w:r>
        <w:rPr>
          <w:color w:val="auto"/>
        </w:rPr>
        <w:t>3</w:t>
      </w:r>
      <w:r>
        <w:rPr>
          <w:rFonts w:hint="eastAsia"/>
          <w:color w:val="auto"/>
        </w:rPr>
        <w:t>点位附近的养殖鱼塘等有关；铁、锰超标原因可能与项目所在区域地下水背景值偏高有关。</w:t>
      </w:r>
    </w:p>
    <w:p>
      <w:pPr>
        <w:spacing w:line="360" w:lineRule="auto"/>
        <w:ind w:firstLine="480" w:firstLineChars="200"/>
        <w:jc w:val="both"/>
        <w:rPr>
          <w:bCs/>
          <w:color w:val="auto"/>
        </w:rPr>
      </w:pPr>
      <w:r>
        <w:rPr>
          <w:rFonts w:hint="eastAsia"/>
          <w:bCs/>
          <w:color w:val="auto"/>
        </w:rPr>
        <w:t>本项目地下水评价范围主要涉及的新陂镇下辖茅塘村、福民村、先声村等，以及福兴街道下辖新联村、大塘村、梅子村等应无地下水集中式饮用水源和饮用水民井。根据《兴宁市市域乡村建设规划（2</w:t>
      </w:r>
      <w:r>
        <w:rPr>
          <w:bCs/>
          <w:color w:val="auto"/>
        </w:rPr>
        <w:t>017-2035</w:t>
      </w:r>
      <w:r>
        <w:rPr>
          <w:rFonts w:hint="eastAsia"/>
          <w:bCs/>
          <w:color w:val="auto"/>
        </w:rPr>
        <w:t>年）》，茅塘村和福民村、新联村已分别属于兴宁市2</w:t>
      </w:r>
      <w:r>
        <w:rPr>
          <w:bCs/>
          <w:color w:val="auto"/>
        </w:rPr>
        <w:t>017</w:t>
      </w:r>
      <w:r>
        <w:rPr>
          <w:rFonts w:hint="eastAsia"/>
          <w:bCs/>
          <w:color w:val="auto"/>
        </w:rPr>
        <w:t>年现状供水设施中新陂镇水厂、兴宁市第二水厂的供水范围；根据《兴宁市村村通自来水工程建设实施方案》，要求全市于2</w:t>
      </w:r>
      <w:r>
        <w:rPr>
          <w:bCs/>
          <w:color w:val="auto"/>
        </w:rPr>
        <w:t>018</w:t>
      </w:r>
      <w:r>
        <w:rPr>
          <w:rFonts w:hint="eastAsia"/>
          <w:bCs/>
          <w:color w:val="auto"/>
        </w:rPr>
        <w:t>年底全部建设完成村村通自来水工程，以及根据兴宁市水务局发布《关于兴宁市小型水利工程产权人及管理单位的公告》中的附件《兴宁市小型水利工程登记管理分类》一览表和《兴宁市千人以上集中供水工程责任公示》名单，兴宁市已建成新陂镇先声村饮水工程、福兴大塘村解困饮水工程、福兴梅子村饮水工程，上述饮水工程以山泉水作为取水水源；综上，本项目地下水评价范围内应无地下水集中式饮用水源。根据环境现状监测时调查，本项目周边居民区存在零星的手摇井，此类手摇井涌水主要用于村民自有菜园、农地的浇灌等用途，不作为饮用水。</w:t>
      </w:r>
    </w:p>
    <w:p>
      <w:pPr>
        <w:spacing w:line="360" w:lineRule="auto"/>
        <w:rPr>
          <w:color w:val="auto"/>
        </w:rPr>
      </w:pPr>
    </w:p>
    <w:p>
      <w:pPr>
        <w:spacing w:line="360" w:lineRule="auto"/>
        <w:rPr>
          <w:color w:val="auto"/>
        </w:rPr>
      </w:pPr>
    </w:p>
    <w:p>
      <w:pPr>
        <w:spacing w:line="360" w:lineRule="auto"/>
        <w:rPr>
          <w:color w:val="auto"/>
        </w:rPr>
        <w:sectPr>
          <w:pgSz w:w="11906" w:h="16838"/>
          <w:pgMar w:top="1440" w:right="1800" w:bottom="1440" w:left="1800" w:header="851" w:footer="992" w:gutter="0"/>
          <w:pgNumType w:fmt="decimal"/>
          <w:cols w:space="720" w:num="1"/>
          <w:docGrid w:type="lines" w:linePitch="312" w:charSpace="0"/>
        </w:sectPr>
      </w:pPr>
    </w:p>
    <w:p>
      <w:pPr>
        <w:widowControl/>
        <w:autoSpaceDE w:val="0"/>
        <w:autoSpaceDN w:val="0"/>
        <w:spacing w:line="360" w:lineRule="auto"/>
        <w:jc w:val="center"/>
        <w:rPr>
          <w:b/>
          <w:bCs/>
          <w:color w:val="auto"/>
        </w:rPr>
      </w:pPr>
      <w:r>
        <w:rPr>
          <w:rFonts w:hint="eastAsia"/>
          <w:b/>
          <w:color w:val="auto"/>
          <w:kern w:val="0"/>
        </w:rPr>
        <w:t>表</w:t>
      </w:r>
      <w:r>
        <w:rPr>
          <w:b/>
          <w:color w:val="auto"/>
          <w:kern w:val="0"/>
        </w:rPr>
        <w:t xml:space="preserve">4.2-6b </w:t>
      </w:r>
      <w:r>
        <w:rPr>
          <w:rFonts w:hint="eastAsia"/>
          <w:b/>
          <w:color w:val="auto"/>
          <w:kern w:val="0"/>
        </w:rPr>
        <w:t>地下水</w:t>
      </w:r>
      <w:r>
        <w:rPr>
          <w:rFonts w:hint="eastAsia"/>
          <w:b/>
          <w:bCs/>
          <w:color w:val="auto"/>
        </w:rPr>
        <w:t>环境现状引用监测结果统计</w:t>
      </w:r>
    </w:p>
    <w:tbl>
      <w:tblPr>
        <w:tblStyle w:val="53"/>
        <w:tblW w:w="14174" w:type="dxa"/>
        <w:jc w:val="center"/>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668"/>
        <w:gridCol w:w="1134"/>
        <w:gridCol w:w="708"/>
        <w:gridCol w:w="1134"/>
        <w:gridCol w:w="709"/>
        <w:gridCol w:w="1134"/>
        <w:gridCol w:w="709"/>
        <w:gridCol w:w="1134"/>
        <w:gridCol w:w="709"/>
        <w:gridCol w:w="1134"/>
        <w:gridCol w:w="708"/>
        <w:gridCol w:w="993"/>
        <w:gridCol w:w="850"/>
        <w:gridCol w:w="709"/>
        <w:gridCol w:w="741"/>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blHeader/>
          <w:jc w:val="center"/>
        </w:trPr>
        <w:tc>
          <w:tcPr>
            <w:tcW w:w="1668" w:type="dxa"/>
            <w:vMerge w:val="restart"/>
            <w:tcBorders>
              <w:top w:val="single" w:color="auto" w:sz="12" w:space="0"/>
              <w:left w:val="nil"/>
              <w:bottom w:val="single" w:color="auto" w:sz="6" w:space="0"/>
              <w:right w:val="single" w:color="auto" w:sz="6" w:space="0"/>
            </w:tcBorders>
            <w:vAlign w:val="center"/>
          </w:tcPr>
          <w:p>
            <w:pPr>
              <w:adjustRightInd w:val="0"/>
              <w:snapToGrid w:val="0"/>
              <w:jc w:val="center"/>
              <w:rPr>
                <w:b/>
                <w:bCs/>
                <w:color w:val="auto"/>
                <w:sz w:val="21"/>
                <w:szCs w:val="21"/>
              </w:rPr>
            </w:pPr>
            <w:r>
              <w:rPr>
                <w:rFonts w:hint="eastAsia"/>
                <w:b/>
                <w:bCs/>
                <w:color w:val="auto"/>
                <w:sz w:val="21"/>
                <w:szCs w:val="21"/>
              </w:rPr>
              <w:t>监测指标</w:t>
            </w:r>
          </w:p>
        </w:tc>
        <w:tc>
          <w:tcPr>
            <w:tcW w:w="1842"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b/>
                <w:bCs/>
                <w:color w:val="auto"/>
                <w:sz w:val="21"/>
                <w:szCs w:val="21"/>
              </w:rPr>
            </w:pPr>
            <w:r>
              <w:rPr>
                <w:b/>
                <w:bCs/>
                <w:color w:val="auto"/>
                <w:sz w:val="21"/>
                <w:szCs w:val="21"/>
              </w:rPr>
              <w:t>D1</w:t>
            </w:r>
          </w:p>
        </w:tc>
        <w:tc>
          <w:tcPr>
            <w:tcW w:w="1843"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b/>
                <w:bCs/>
                <w:color w:val="auto"/>
                <w:sz w:val="21"/>
                <w:szCs w:val="21"/>
              </w:rPr>
            </w:pPr>
            <w:r>
              <w:rPr>
                <w:b/>
                <w:bCs/>
                <w:color w:val="auto"/>
                <w:sz w:val="21"/>
                <w:szCs w:val="21"/>
              </w:rPr>
              <w:t>D2</w:t>
            </w:r>
          </w:p>
        </w:tc>
        <w:tc>
          <w:tcPr>
            <w:tcW w:w="1843"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b/>
                <w:bCs/>
                <w:color w:val="auto"/>
                <w:sz w:val="21"/>
                <w:szCs w:val="21"/>
              </w:rPr>
            </w:pPr>
            <w:r>
              <w:rPr>
                <w:b/>
                <w:bCs/>
                <w:color w:val="auto"/>
                <w:sz w:val="21"/>
                <w:szCs w:val="21"/>
              </w:rPr>
              <w:t>D3</w:t>
            </w:r>
          </w:p>
        </w:tc>
        <w:tc>
          <w:tcPr>
            <w:tcW w:w="1843"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b/>
                <w:bCs/>
                <w:color w:val="auto"/>
                <w:sz w:val="21"/>
                <w:szCs w:val="21"/>
              </w:rPr>
            </w:pPr>
            <w:r>
              <w:rPr>
                <w:b/>
                <w:bCs/>
                <w:color w:val="auto"/>
                <w:sz w:val="21"/>
                <w:szCs w:val="21"/>
              </w:rPr>
              <w:t>D4</w:t>
            </w:r>
          </w:p>
        </w:tc>
        <w:tc>
          <w:tcPr>
            <w:tcW w:w="1842"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b/>
                <w:bCs/>
                <w:color w:val="auto"/>
                <w:sz w:val="21"/>
                <w:szCs w:val="21"/>
              </w:rPr>
            </w:pPr>
            <w:r>
              <w:rPr>
                <w:b/>
                <w:bCs/>
                <w:color w:val="auto"/>
                <w:sz w:val="21"/>
                <w:szCs w:val="21"/>
              </w:rPr>
              <w:t>D5</w:t>
            </w:r>
          </w:p>
        </w:tc>
        <w:tc>
          <w:tcPr>
            <w:tcW w:w="993" w:type="dxa"/>
            <w:vMerge w:val="restart"/>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b/>
                <w:bCs/>
                <w:color w:val="auto"/>
                <w:sz w:val="21"/>
                <w:szCs w:val="21"/>
              </w:rPr>
            </w:pPr>
            <w:r>
              <w:rPr>
                <w:rFonts w:hint="eastAsia"/>
                <w:b/>
                <w:bCs/>
                <w:color w:val="auto"/>
                <w:sz w:val="21"/>
                <w:szCs w:val="21"/>
              </w:rPr>
              <w:t>标准值（</w:t>
            </w:r>
            <w:r>
              <w:rPr>
                <w:b/>
                <w:bCs/>
                <w:color w:val="auto"/>
                <w:sz w:val="21"/>
                <w:szCs w:val="21"/>
              </w:rPr>
              <w:t>mg/L</w:t>
            </w:r>
            <w:r>
              <w:rPr>
                <w:rFonts w:hint="eastAsia"/>
                <w:b/>
                <w:bCs/>
                <w:color w:val="auto"/>
                <w:sz w:val="21"/>
                <w:szCs w:val="21"/>
              </w:rPr>
              <w:t>）</w:t>
            </w:r>
          </w:p>
        </w:tc>
        <w:tc>
          <w:tcPr>
            <w:tcW w:w="850" w:type="dxa"/>
            <w:vMerge w:val="restart"/>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b/>
                <w:bCs/>
                <w:color w:val="auto"/>
                <w:sz w:val="21"/>
                <w:szCs w:val="21"/>
              </w:rPr>
            </w:pPr>
            <w:r>
              <w:rPr>
                <w:rFonts w:hint="eastAsia"/>
                <w:b/>
                <w:bCs/>
                <w:color w:val="auto"/>
                <w:sz w:val="21"/>
                <w:szCs w:val="21"/>
              </w:rPr>
              <w:t>最大超标倍数</w:t>
            </w:r>
          </w:p>
        </w:tc>
        <w:tc>
          <w:tcPr>
            <w:tcW w:w="709" w:type="dxa"/>
            <w:vMerge w:val="restart"/>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b/>
                <w:bCs/>
                <w:color w:val="auto"/>
                <w:sz w:val="21"/>
                <w:szCs w:val="21"/>
              </w:rPr>
            </w:pPr>
            <w:r>
              <w:rPr>
                <w:rFonts w:hint="eastAsia"/>
                <w:b/>
                <w:bCs/>
                <w:color w:val="auto"/>
                <w:sz w:val="21"/>
                <w:szCs w:val="21"/>
              </w:rPr>
              <w:t>超标率</w:t>
            </w:r>
          </w:p>
        </w:tc>
        <w:tc>
          <w:tcPr>
            <w:tcW w:w="741" w:type="dxa"/>
            <w:vMerge w:val="restart"/>
            <w:tcBorders>
              <w:top w:val="single" w:color="auto" w:sz="12" w:space="0"/>
              <w:left w:val="single" w:color="auto" w:sz="6" w:space="0"/>
              <w:bottom w:val="single" w:color="auto" w:sz="6" w:space="0"/>
              <w:right w:val="nil"/>
            </w:tcBorders>
            <w:vAlign w:val="center"/>
          </w:tcPr>
          <w:p>
            <w:pPr>
              <w:adjustRightInd w:val="0"/>
              <w:snapToGrid w:val="0"/>
              <w:jc w:val="center"/>
              <w:rPr>
                <w:b/>
                <w:bCs/>
                <w:color w:val="auto"/>
                <w:sz w:val="21"/>
                <w:szCs w:val="21"/>
              </w:rPr>
            </w:pPr>
            <w:r>
              <w:rPr>
                <w:rFonts w:hint="eastAsia"/>
                <w:b/>
                <w:bCs/>
                <w:color w:val="auto"/>
                <w:sz w:val="21"/>
                <w:szCs w:val="21"/>
              </w:rPr>
              <w:t>最大单因子指数</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blHeader/>
          <w:jc w:val="center"/>
        </w:trPr>
        <w:tc>
          <w:tcPr>
            <w:tcW w:w="1668" w:type="dxa"/>
            <w:vMerge w:val="continue"/>
            <w:tcBorders>
              <w:top w:val="single" w:color="auto" w:sz="4" w:space="0"/>
              <w:left w:val="nil"/>
              <w:bottom w:val="single" w:color="auto" w:sz="6" w:space="0"/>
              <w:right w:val="single" w:color="auto" w:sz="6" w:space="0"/>
            </w:tcBorders>
            <w:vAlign w:val="center"/>
          </w:tcPr>
          <w:p>
            <w:pPr>
              <w:widowControl/>
              <w:rPr>
                <w:color w:val="auto"/>
                <w:sz w:val="21"/>
                <w:szCs w:val="21"/>
              </w:rPr>
            </w:pP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b/>
                <w:bCs/>
                <w:color w:val="auto"/>
                <w:sz w:val="21"/>
                <w:szCs w:val="21"/>
              </w:rPr>
            </w:pPr>
            <w:r>
              <w:rPr>
                <w:rFonts w:hint="eastAsia"/>
                <w:b/>
                <w:bCs/>
                <w:color w:val="auto"/>
                <w:sz w:val="21"/>
                <w:szCs w:val="21"/>
              </w:rPr>
              <w:t>检测结果</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b/>
                <w:bCs/>
                <w:color w:val="auto"/>
                <w:sz w:val="21"/>
                <w:szCs w:val="21"/>
              </w:rPr>
            </w:pPr>
            <w:r>
              <w:rPr>
                <w:rFonts w:hint="eastAsia"/>
                <w:b/>
                <w:bCs/>
                <w:color w:val="auto"/>
                <w:sz w:val="21"/>
                <w:szCs w:val="21"/>
              </w:rPr>
              <w:t>标准指数</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b/>
                <w:bCs/>
                <w:color w:val="auto"/>
                <w:sz w:val="21"/>
                <w:szCs w:val="21"/>
              </w:rPr>
            </w:pPr>
            <w:r>
              <w:rPr>
                <w:rFonts w:hint="eastAsia"/>
                <w:b/>
                <w:bCs/>
                <w:color w:val="auto"/>
                <w:sz w:val="21"/>
                <w:szCs w:val="21"/>
              </w:rPr>
              <w:t>检测结果</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b/>
                <w:bCs/>
                <w:color w:val="auto"/>
                <w:sz w:val="21"/>
                <w:szCs w:val="21"/>
              </w:rPr>
            </w:pPr>
            <w:r>
              <w:rPr>
                <w:rFonts w:hint="eastAsia"/>
                <w:b/>
                <w:bCs/>
                <w:color w:val="auto"/>
                <w:sz w:val="21"/>
                <w:szCs w:val="21"/>
              </w:rPr>
              <w:t>标准指数</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b/>
                <w:bCs/>
                <w:color w:val="auto"/>
                <w:sz w:val="21"/>
                <w:szCs w:val="21"/>
              </w:rPr>
            </w:pPr>
            <w:r>
              <w:rPr>
                <w:rFonts w:hint="eastAsia"/>
                <w:b/>
                <w:bCs/>
                <w:color w:val="auto"/>
                <w:sz w:val="21"/>
                <w:szCs w:val="21"/>
              </w:rPr>
              <w:t>检测结果</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b/>
                <w:bCs/>
                <w:color w:val="auto"/>
                <w:sz w:val="21"/>
                <w:szCs w:val="21"/>
              </w:rPr>
            </w:pPr>
            <w:r>
              <w:rPr>
                <w:rFonts w:hint="eastAsia"/>
                <w:b/>
                <w:bCs/>
                <w:color w:val="auto"/>
                <w:sz w:val="21"/>
                <w:szCs w:val="21"/>
              </w:rPr>
              <w:t>标准指数</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b/>
                <w:bCs/>
                <w:color w:val="auto"/>
                <w:sz w:val="21"/>
                <w:szCs w:val="21"/>
              </w:rPr>
            </w:pPr>
            <w:r>
              <w:rPr>
                <w:rFonts w:hint="eastAsia"/>
                <w:b/>
                <w:bCs/>
                <w:color w:val="auto"/>
                <w:sz w:val="21"/>
                <w:szCs w:val="21"/>
              </w:rPr>
              <w:t>检测结果</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b/>
                <w:bCs/>
                <w:color w:val="auto"/>
                <w:sz w:val="21"/>
                <w:szCs w:val="21"/>
              </w:rPr>
            </w:pPr>
            <w:r>
              <w:rPr>
                <w:rFonts w:hint="eastAsia"/>
                <w:b/>
                <w:bCs/>
                <w:color w:val="auto"/>
                <w:sz w:val="21"/>
                <w:szCs w:val="21"/>
              </w:rPr>
              <w:t>标准指数</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b/>
                <w:bCs/>
                <w:color w:val="auto"/>
                <w:sz w:val="21"/>
                <w:szCs w:val="21"/>
              </w:rPr>
            </w:pPr>
            <w:r>
              <w:rPr>
                <w:rFonts w:hint="eastAsia"/>
                <w:b/>
                <w:bCs/>
                <w:color w:val="auto"/>
                <w:sz w:val="21"/>
                <w:szCs w:val="21"/>
              </w:rPr>
              <w:t>检测结果</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b/>
                <w:bCs/>
                <w:color w:val="auto"/>
                <w:sz w:val="21"/>
                <w:szCs w:val="21"/>
              </w:rPr>
            </w:pPr>
            <w:r>
              <w:rPr>
                <w:rFonts w:hint="eastAsia"/>
                <w:b/>
                <w:bCs/>
                <w:color w:val="auto"/>
                <w:sz w:val="21"/>
                <w:szCs w:val="21"/>
              </w:rPr>
              <w:t>标准指数</w:t>
            </w:r>
          </w:p>
        </w:tc>
        <w:tc>
          <w:tcPr>
            <w:tcW w:w="993" w:type="dxa"/>
            <w:vMerge w:val="continue"/>
            <w:tcBorders>
              <w:top w:val="single" w:color="auto" w:sz="4" w:space="0"/>
              <w:left w:val="single" w:color="auto" w:sz="6" w:space="0"/>
              <w:bottom w:val="single" w:color="auto" w:sz="6" w:space="0"/>
              <w:right w:val="single" w:color="auto" w:sz="6" w:space="0"/>
            </w:tcBorders>
            <w:vAlign w:val="center"/>
          </w:tcPr>
          <w:p>
            <w:pPr>
              <w:widowControl/>
              <w:rPr>
                <w:color w:val="auto"/>
                <w:sz w:val="21"/>
                <w:szCs w:val="21"/>
              </w:rPr>
            </w:pPr>
          </w:p>
        </w:tc>
        <w:tc>
          <w:tcPr>
            <w:tcW w:w="850" w:type="dxa"/>
            <w:vMerge w:val="continue"/>
            <w:tcBorders>
              <w:top w:val="single" w:color="auto" w:sz="4" w:space="0"/>
              <w:left w:val="single" w:color="auto" w:sz="6" w:space="0"/>
              <w:bottom w:val="single" w:color="auto" w:sz="6" w:space="0"/>
              <w:right w:val="single" w:color="auto" w:sz="6" w:space="0"/>
            </w:tcBorders>
            <w:vAlign w:val="center"/>
          </w:tcPr>
          <w:p>
            <w:pPr>
              <w:widowControl/>
              <w:rPr>
                <w:color w:val="auto"/>
                <w:sz w:val="21"/>
                <w:szCs w:val="21"/>
              </w:rPr>
            </w:pPr>
          </w:p>
        </w:tc>
        <w:tc>
          <w:tcPr>
            <w:tcW w:w="709" w:type="dxa"/>
            <w:vMerge w:val="continue"/>
            <w:tcBorders>
              <w:top w:val="single" w:color="auto" w:sz="4" w:space="0"/>
              <w:left w:val="single" w:color="auto" w:sz="6" w:space="0"/>
              <w:bottom w:val="single" w:color="auto" w:sz="6" w:space="0"/>
              <w:right w:val="single" w:color="auto" w:sz="6" w:space="0"/>
            </w:tcBorders>
            <w:vAlign w:val="center"/>
          </w:tcPr>
          <w:p>
            <w:pPr>
              <w:widowControl/>
              <w:rPr>
                <w:color w:val="auto"/>
                <w:sz w:val="21"/>
                <w:szCs w:val="21"/>
              </w:rPr>
            </w:pPr>
          </w:p>
        </w:tc>
        <w:tc>
          <w:tcPr>
            <w:tcW w:w="741" w:type="dxa"/>
            <w:vMerge w:val="continue"/>
            <w:tcBorders>
              <w:top w:val="single" w:color="auto" w:sz="4" w:space="0"/>
              <w:left w:val="single" w:color="auto" w:sz="6" w:space="0"/>
              <w:bottom w:val="single" w:color="auto" w:sz="6" w:space="0"/>
              <w:right w:val="nil"/>
            </w:tcBorders>
            <w:vAlign w:val="center"/>
          </w:tcPr>
          <w:p>
            <w:pPr>
              <w:widowControl/>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pH</w:t>
            </w:r>
            <w:r>
              <w:rPr>
                <w:rFonts w:hint="eastAsia"/>
                <w:color w:val="auto"/>
                <w:sz w:val="21"/>
                <w:szCs w:val="21"/>
              </w:rPr>
              <w:t>值</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rPr>
              <w:t>6.89</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0.22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6</w:t>
            </w:r>
            <w:r>
              <w:rPr>
                <w:color w:val="auto"/>
                <w:sz w:val="21"/>
                <w:szCs w:val="21"/>
              </w:rPr>
              <w:t>.74</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0.52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7</w:t>
            </w:r>
            <w:r>
              <w:rPr>
                <w:color w:val="auto"/>
                <w:sz w:val="21"/>
                <w:szCs w:val="21"/>
              </w:rPr>
              <w:t>.33</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0.22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7.05</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0.03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6</w:t>
            </w:r>
            <w:r>
              <w:rPr>
                <w:color w:val="auto"/>
                <w:sz w:val="21"/>
                <w:szCs w:val="21"/>
              </w:rPr>
              <w:t>.86</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0.28 </w:t>
            </w:r>
          </w:p>
        </w:tc>
        <w:tc>
          <w:tcPr>
            <w:tcW w:w="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6.5~8.5</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41"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.52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氨氮（</w:t>
            </w:r>
            <w:r>
              <w:rPr>
                <w:color w:val="auto"/>
                <w:sz w:val="21"/>
                <w:szCs w:val="21"/>
              </w:rPr>
              <w:t>mg/L</w:t>
            </w: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0.14</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0.28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.02</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eastAsia="等线"/>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1</w:t>
            </w:r>
            <w:r>
              <w:rPr>
                <w:color w:val="auto"/>
                <w:sz w:val="21"/>
                <w:szCs w:val="21"/>
              </w:rPr>
              <w:t>.60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3.20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0.02</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eastAsia="等线"/>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.02</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eastAsia="等线"/>
                <w:color w:val="auto"/>
                <w:sz w:val="21"/>
                <w:szCs w:val="21"/>
              </w:rPr>
              <w:t>/</w:t>
            </w:r>
          </w:p>
        </w:tc>
        <w:tc>
          <w:tcPr>
            <w:tcW w:w="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0.50</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2</w:t>
            </w:r>
            <w:r>
              <w:rPr>
                <w:color w:val="auto"/>
                <w:sz w:val="21"/>
                <w:szCs w:val="21"/>
              </w:rPr>
              <w:t>.20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0.20</w:t>
            </w:r>
          </w:p>
        </w:tc>
        <w:tc>
          <w:tcPr>
            <w:tcW w:w="741"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rFonts w:hint="eastAsia"/>
                <w:color w:val="auto"/>
                <w:sz w:val="21"/>
                <w:szCs w:val="21"/>
              </w:rPr>
              <w:t>3</w:t>
            </w:r>
            <w:r>
              <w:rPr>
                <w:color w:val="auto"/>
                <w:sz w:val="21"/>
                <w:szCs w:val="21"/>
              </w:rPr>
              <w:t>.20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耗氧量（</w:t>
            </w:r>
            <w:r>
              <w:rPr>
                <w:color w:val="auto"/>
                <w:sz w:val="21"/>
                <w:szCs w:val="21"/>
              </w:rPr>
              <w:t>mg/L</w:t>
            </w: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0.28</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0.09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.40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0.13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1</w:t>
            </w:r>
            <w:r>
              <w:rPr>
                <w:color w:val="auto"/>
                <w:sz w:val="21"/>
                <w:szCs w:val="21"/>
              </w:rPr>
              <w:t>.36</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0.45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0.42</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0.14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.20</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0.07 </w:t>
            </w:r>
          </w:p>
        </w:tc>
        <w:tc>
          <w:tcPr>
            <w:tcW w:w="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3.0</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41"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.45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挥发酚（</w:t>
            </w:r>
            <w:r>
              <w:rPr>
                <w:color w:val="auto"/>
                <w:sz w:val="21"/>
                <w:szCs w:val="21"/>
              </w:rPr>
              <w:t>mg/L</w:t>
            </w: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0.0003</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eastAsia="等线"/>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.0003</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eastAsia="等线"/>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.0003</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eastAsia="等线"/>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0.0003</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.0003</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eastAsia="等线"/>
                <w:color w:val="auto"/>
                <w:sz w:val="21"/>
                <w:szCs w:val="21"/>
              </w:rPr>
              <w:t>/</w:t>
            </w:r>
          </w:p>
        </w:tc>
        <w:tc>
          <w:tcPr>
            <w:tcW w:w="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0.002</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41"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rFonts w:hint="eastAsia"/>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浑浊度（</w:t>
            </w:r>
            <w:r>
              <w:rPr>
                <w:color w:val="auto"/>
                <w:sz w:val="21"/>
                <w:szCs w:val="21"/>
              </w:rPr>
              <w:t>NTU</w:t>
            </w: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0.2</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0.07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2</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0.67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1</w:t>
            </w:r>
            <w:r>
              <w:rPr>
                <w:color w:val="auto"/>
                <w:sz w:val="21"/>
                <w:szCs w:val="21"/>
              </w:rPr>
              <w:t>5</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5.00</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0.1</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2</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0.67 </w:t>
            </w:r>
          </w:p>
        </w:tc>
        <w:tc>
          <w:tcPr>
            <w:tcW w:w="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3</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4</w:t>
            </w:r>
            <w:r>
              <w:rPr>
                <w:color w:val="auto"/>
                <w:sz w:val="21"/>
                <w:szCs w:val="21"/>
              </w:rPr>
              <w:t>.00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0.20</w:t>
            </w:r>
          </w:p>
        </w:tc>
        <w:tc>
          <w:tcPr>
            <w:tcW w:w="741"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rFonts w:hint="eastAsia"/>
                <w:color w:val="auto"/>
                <w:sz w:val="21"/>
                <w:szCs w:val="21"/>
              </w:rPr>
              <w:t>5</w:t>
            </w:r>
            <w:r>
              <w:rPr>
                <w:color w:val="auto"/>
                <w:sz w:val="21"/>
                <w:szCs w:val="21"/>
              </w:rPr>
              <w:t>.00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六价铬（</w:t>
            </w:r>
            <w:r>
              <w:rPr>
                <w:color w:val="auto"/>
                <w:sz w:val="21"/>
                <w:szCs w:val="21"/>
              </w:rPr>
              <w:t>mg/L</w:t>
            </w: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&lt;0.004</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.004</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eastAsia="等线"/>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.004</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0.004</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.004</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0.05</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41"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rFonts w:hint="eastAsia"/>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氰化物（</w:t>
            </w:r>
            <w:r>
              <w:rPr>
                <w:color w:val="auto"/>
                <w:sz w:val="21"/>
                <w:szCs w:val="21"/>
              </w:rPr>
              <w:t>mg/L</w:t>
            </w: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&lt;0.002</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.002</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eastAsia="等线"/>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.002</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0.002</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.002</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0.05</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41"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rFonts w:hint="eastAsia"/>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溶解性总固体（</w:t>
            </w:r>
            <w:r>
              <w:rPr>
                <w:color w:val="auto"/>
                <w:sz w:val="21"/>
                <w:szCs w:val="21"/>
              </w:rPr>
              <w:t>mg/L</w:t>
            </w: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66</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0.07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4</w:t>
            </w:r>
            <w:r>
              <w:rPr>
                <w:color w:val="auto"/>
                <w:sz w:val="21"/>
                <w:szCs w:val="21"/>
              </w:rPr>
              <w:t>1</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0.04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2</w:t>
            </w:r>
            <w:r>
              <w:rPr>
                <w:color w:val="auto"/>
                <w:sz w:val="21"/>
                <w:szCs w:val="21"/>
              </w:rPr>
              <w:t>17</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0.22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52</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0.05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3</w:t>
            </w:r>
            <w:r>
              <w:rPr>
                <w:color w:val="auto"/>
                <w:sz w:val="21"/>
                <w:szCs w:val="21"/>
              </w:rPr>
              <w:t>9</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0.04 </w:t>
            </w:r>
          </w:p>
        </w:tc>
        <w:tc>
          <w:tcPr>
            <w:tcW w:w="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1000</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41"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.22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硝酸盐氮（</w:t>
            </w:r>
            <w:r>
              <w:rPr>
                <w:color w:val="auto"/>
                <w:sz w:val="21"/>
                <w:szCs w:val="21"/>
              </w:rPr>
              <w:t>mg/L</w:t>
            </w: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0.6</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0.03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.3</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0.02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.3</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0.02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1.7</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0.09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.3</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0.02 </w:t>
            </w:r>
          </w:p>
        </w:tc>
        <w:tc>
          <w:tcPr>
            <w:tcW w:w="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20.0</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41"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.09</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亚硝酸盐氮（</w:t>
            </w:r>
            <w:r>
              <w:rPr>
                <w:color w:val="auto"/>
                <w:sz w:val="21"/>
                <w:szCs w:val="21"/>
              </w:rPr>
              <w:t>mg/L</w:t>
            </w: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0.001</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.003</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0.00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.002</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0.00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0.001</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.002</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0.00 </w:t>
            </w:r>
          </w:p>
        </w:tc>
        <w:tc>
          <w:tcPr>
            <w:tcW w:w="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1.0</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41"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阴离子表面活性剂（</w:t>
            </w:r>
            <w:r>
              <w:rPr>
                <w:color w:val="auto"/>
                <w:sz w:val="21"/>
                <w:szCs w:val="21"/>
              </w:rPr>
              <w:t>mg/L</w:t>
            </w: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0.05</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.05</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eastAsia="等线"/>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.05</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eastAsia="等线"/>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0.05</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.05</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eastAsia="等线"/>
                <w:color w:val="auto"/>
                <w:sz w:val="21"/>
                <w:szCs w:val="21"/>
              </w:rPr>
              <w:t>/</w:t>
            </w:r>
          </w:p>
        </w:tc>
        <w:tc>
          <w:tcPr>
            <w:tcW w:w="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0.3</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41"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rFonts w:hint="eastAsia"/>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总硬度（</w:t>
            </w:r>
            <w:r>
              <w:rPr>
                <w:color w:val="auto"/>
                <w:sz w:val="21"/>
                <w:szCs w:val="21"/>
              </w:rPr>
              <w:t>mg/L</w:t>
            </w: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9.8</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0.02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3</w:t>
            </w:r>
            <w:r>
              <w:rPr>
                <w:color w:val="auto"/>
                <w:sz w:val="21"/>
                <w:szCs w:val="21"/>
              </w:rPr>
              <w:t>3.6</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0.07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1</w:t>
            </w:r>
            <w:r>
              <w:rPr>
                <w:color w:val="auto"/>
                <w:sz w:val="21"/>
                <w:szCs w:val="21"/>
              </w:rPr>
              <w:t>87</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0.42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11.8</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0.03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3</w:t>
            </w:r>
            <w:r>
              <w:rPr>
                <w:color w:val="auto"/>
                <w:sz w:val="21"/>
                <w:szCs w:val="21"/>
              </w:rPr>
              <w:t>1.5</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0.07 </w:t>
            </w:r>
          </w:p>
        </w:tc>
        <w:tc>
          <w:tcPr>
            <w:tcW w:w="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450</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41"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.42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细菌总数（</w:t>
            </w:r>
            <w:r>
              <w:rPr>
                <w:color w:val="auto"/>
                <w:sz w:val="21"/>
                <w:szCs w:val="21"/>
              </w:rPr>
              <w:t>CFU/mL</w:t>
            </w: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110</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1.10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2</w:t>
            </w:r>
            <w:r>
              <w:rPr>
                <w:color w:val="auto"/>
                <w:sz w:val="21"/>
                <w:szCs w:val="21"/>
              </w:rPr>
              <w:t>10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2.10</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1</w:t>
            </w:r>
            <w:r>
              <w:rPr>
                <w:color w:val="auto"/>
                <w:sz w:val="21"/>
                <w:szCs w:val="21"/>
              </w:rPr>
              <w:t>10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1.10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2.1*10</w:t>
            </w:r>
            <w:r>
              <w:rPr>
                <w:color w:val="auto"/>
                <w:sz w:val="21"/>
                <w:szCs w:val="21"/>
                <w:vertAlign w:val="superscript"/>
              </w:rPr>
              <w:t>3</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21.00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2</w:t>
            </w:r>
            <w:r>
              <w:rPr>
                <w:color w:val="auto"/>
                <w:sz w:val="21"/>
                <w:szCs w:val="21"/>
              </w:rPr>
              <w:t>60</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2.60 </w:t>
            </w:r>
          </w:p>
        </w:tc>
        <w:tc>
          <w:tcPr>
            <w:tcW w:w="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100</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2</w:t>
            </w:r>
            <w:r>
              <w:rPr>
                <w:color w:val="auto"/>
                <w:sz w:val="21"/>
                <w:szCs w:val="21"/>
              </w:rPr>
              <w:t>0.00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1</w:t>
            </w:r>
            <w:r>
              <w:rPr>
                <w:color w:val="auto"/>
                <w:sz w:val="21"/>
                <w:szCs w:val="21"/>
              </w:rPr>
              <w:t>.00</w:t>
            </w:r>
          </w:p>
        </w:tc>
        <w:tc>
          <w:tcPr>
            <w:tcW w:w="741"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rFonts w:hint="eastAsia"/>
                <w:color w:val="auto"/>
                <w:sz w:val="21"/>
                <w:szCs w:val="21"/>
              </w:rPr>
              <w:t>2</w:t>
            </w:r>
            <w:r>
              <w:rPr>
                <w:color w:val="auto"/>
                <w:sz w:val="21"/>
                <w:szCs w:val="21"/>
              </w:rPr>
              <w:t>1.00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总大肠菌群（</w:t>
            </w:r>
            <w:r>
              <w:rPr>
                <w:color w:val="auto"/>
                <w:sz w:val="21"/>
                <w:szCs w:val="21"/>
              </w:rPr>
              <w:t>MPN/100mL</w:t>
            </w: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8</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2.67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＜2</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4</w:t>
            </w:r>
            <w:r>
              <w:rPr>
                <w:color w:val="auto"/>
                <w:sz w:val="21"/>
                <w:szCs w:val="21"/>
              </w:rPr>
              <w:t>6</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15.33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2</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0.67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＜2</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3.0</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1</w:t>
            </w:r>
            <w:r>
              <w:rPr>
                <w:color w:val="auto"/>
                <w:sz w:val="21"/>
                <w:szCs w:val="21"/>
              </w:rPr>
              <w:t>4.33</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.40</w:t>
            </w:r>
          </w:p>
        </w:tc>
        <w:tc>
          <w:tcPr>
            <w:tcW w:w="741"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rFonts w:hint="eastAsia"/>
                <w:color w:val="auto"/>
                <w:sz w:val="21"/>
                <w:szCs w:val="21"/>
              </w:rPr>
              <w:t>1</w:t>
            </w:r>
            <w:r>
              <w:rPr>
                <w:color w:val="auto"/>
                <w:sz w:val="21"/>
                <w:szCs w:val="21"/>
              </w:rPr>
              <w:t>5.33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氟化物（</w:t>
            </w:r>
            <w:r>
              <w:rPr>
                <w:color w:val="auto"/>
                <w:sz w:val="21"/>
                <w:szCs w:val="21"/>
              </w:rPr>
              <w:t>mg/L</w:t>
            </w: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0.37</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0.37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.2</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.2</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eastAsia="等线"/>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0.48</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0.48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.2</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1.0</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41"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.48</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氯化物（</w:t>
            </w:r>
            <w:r>
              <w:rPr>
                <w:color w:val="auto"/>
                <w:sz w:val="21"/>
                <w:szCs w:val="21"/>
              </w:rPr>
              <w:t>mg/L</w:t>
            </w: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6.81</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0.03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2</w:t>
            </w:r>
            <w:r>
              <w:rPr>
                <w:color w:val="auto"/>
                <w:sz w:val="21"/>
                <w:szCs w:val="21"/>
              </w:rPr>
              <w:t>.0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0.01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1</w:t>
            </w:r>
            <w:r>
              <w:rPr>
                <w:color w:val="auto"/>
                <w:sz w:val="21"/>
                <w:szCs w:val="21"/>
              </w:rPr>
              <w:t>7.6</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0.07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0.77</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0.00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＜1</w:t>
            </w:r>
            <w:r>
              <w:rPr>
                <w:color w:val="auto"/>
                <w:sz w:val="21"/>
                <w:szCs w:val="21"/>
              </w:rPr>
              <w:t>.0</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250</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41"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.07</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硫酸盐（</w:t>
            </w:r>
            <w:r>
              <w:rPr>
                <w:color w:val="auto"/>
                <w:sz w:val="21"/>
                <w:szCs w:val="21"/>
              </w:rPr>
              <w:t>mg/L</w:t>
            </w: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3.42</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0.01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＜5</w:t>
            </w:r>
            <w:r>
              <w:rPr>
                <w:color w:val="auto"/>
                <w:sz w:val="21"/>
                <w:szCs w:val="21"/>
              </w:rPr>
              <w:t>.00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＜5</w:t>
            </w:r>
            <w:r>
              <w:rPr>
                <w:color w:val="auto"/>
                <w:sz w:val="21"/>
                <w:szCs w:val="21"/>
              </w:rPr>
              <w:t>.00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1.70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0.01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＜5</w:t>
            </w:r>
            <w:r>
              <w:rPr>
                <w:color w:val="auto"/>
                <w:sz w:val="21"/>
                <w:szCs w:val="21"/>
              </w:rPr>
              <w:t>.00</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250</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41"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汞（</w:t>
            </w:r>
            <w:r>
              <w:rPr>
                <w:color w:val="auto"/>
                <w:sz w:val="21"/>
                <w:szCs w:val="21"/>
              </w:rPr>
              <w:t>mg/L</w:t>
            </w: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0.00005</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0.00005</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0.00005</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0.00005</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0.00005</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0.001</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41"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rFonts w:hint="eastAsia"/>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砷（</w:t>
            </w:r>
            <w:r>
              <w:rPr>
                <w:color w:val="auto"/>
                <w:sz w:val="21"/>
                <w:szCs w:val="21"/>
              </w:rPr>
              <w:t>mg/L</w:t>
            </w: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0.0010</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0.10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.0005</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.0039</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0.39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0.0005</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.0005</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p>
        </w:tc>
        <w:tc>
          <w:tcPr>
            <w:tcW w:w="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0.01</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41"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color w:val="auto"/>
                <w:sz w:val="21"/>
                <w:szCs w:val="21"/>
              </w:rPr>
              <w:t>0.39</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锰（</w:t>
            </w:r>
            <w:r>
              <w:rPr>
                <w:color w:val="auto"/>
                <w:sz w:val="21"/>
                <w:szCs w:val="21"/>
              </w:rPr>
              <w:t>μg/L</w:t>
            </w: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1.82</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0.02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6</w:t>
            </w:r>
            <w:r>
              <w:rPr>
                <w:color w:val="auto"/>
                <w:sz w:val="21"/>
                <w:szCs w:val="21"/>
              </w:rPr>
              <w:t>.51</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0.07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1</w:t>
            </w:r>
            <w:r>
              <w:rPr>
                <w:color w:val="auto"/>
                <w:sz w:val="21"/>
                <w:szCs w:val="21"/>
              </w:rPr>
              <w:t>338</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13.38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2.23</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0.02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4</w:t>
            </w:r>
            <w:r>
              <w:rPr>
                <w:color w:val="auto"/>
                <w:sz w:val="21"/>
                <w:szCs w:val="21"/>
              </w:rPr>
              <w:t>.86</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0.05 </w:t>
            </w:r>
          </w:p>
        </w:tc>
        <w:tc>
          <w:tcPr>
            <w:tcW w:w="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0.10</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1</w:t>
            </w:r>
            <w:r>
              <w:rPr>
                <w:color w:val="auto"/>
                <w:sz w:val="21"/>
                <w:szCs w:val="21"/>
              </w:rPr>
              <w:t>2.38</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.20</w:t>
            </w:r>
          </w:p>
        </w:tc>
        <w:tc>
          <w:tcPr>
            <w:tcW w:w="741"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rFonts w:hint="eastAsia"/>
                <w:color w:val="auto"/>
                <w:sz w:val="21"/>
                <w:szCs w:val="21"/>
              </w:rPr>
              <w:t>1</w:t>
            </w:r>
            <w:r>
              <w:rPr>
                <w:color w:val="auto"/>
                <w:sz w:val="21"/>
                <w:szCs w:val="21"/>
              </w:rPr>
              <w:t>3.38</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铁（</w:t>
            </w:r>
            <w:r>
              <w:rPr>
                <w:color w:val="auto"/>
                <w:sz w:val="21"/>
                <w:szCs w:val="21"/>
              </w:rPr>
              <w:t>μg/L</w:t>
            </w: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21.2</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0.07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4</w:t>
            </w:r>
            <w:r>
              <w:rPr>
                <w:color w:val="auto"/>
                <w:sz w:val="21"/>
                <w:szCs w:val="21"/>
              </w:rPr>
              <w:t>2.6</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0.14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9</w:t>
            </w:r>
            <w:r>
              <w:rPr>
                <w:color w:val="auto"/>
                <w:sz w:val="21"/>
                <w:szCs w:val="21"/>
              </w:rPr>
              <w:t>56</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3.19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9.62</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0.03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3</w:t>
            </w:r>
            <w:r>
              <w:rPr>
                <w:color w:val="auto"/>
                <w:sz w:val="21"/>
                <w:szCs w:val="21"/>
              </w:rPr>
              <w:t>2.1</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0.11 </w:t>
            </w:r>
          </w:p>
        </w:tc>
        <w:tc>
          <w:tcPr>
            <w:tcW w:w="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0.3</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2</w:t>
            </w:r>
            <w:r>
              <w:rPr>
                <w:color w:val="auto"/>
                <w:sz w:val="21"/>
                <w:szCs w:val="21"/>
              </w:rPr>
              <w:t>.19</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.20</w:t>
            </w:r>
          </w:p>
        </w:tc>
        <w:tc>
          <w:tcPr>
            <w:tcW w:w="741"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rFonts w:hint="eastAsia"/>
                <w:color w:val="auto"/>
                <w:sz w:val="21"/>
                <w:szCs w:val="21"/>
              </w:rPr>
              <w:t>3</w:t>
            </w:r>
            <w:r>
              <w:rPr>
                <w:color w:val="auto"/>
                <w:sz w:val="21"/>
                <w:szCs w:val="21"/>
              </w:rPr>
              <w:t>.19</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铜（</w:t>
            </w:r>
            <w:r>
              <w:rPr>
                <w:color w:val="auto"/>
                <w:sz w:val="21"/>
                <w:szCs w:val="21"/>
              </w:rPr>
              <w:t>μg/L</w:t>
            </w: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1.54</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0.00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2</w:t>
            </w:r>
            <w:r>
              <w:rPr>
                <w:color w:val="auto"/>
                <w:sz w:val="21"/>
                <w:szCs w:val="21"/>
              </w:rPr>
              <w:t>.10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0.00</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1.49</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0.00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0.89</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0.00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2</w:t>
            </w:r>
            <w:r>
              <w:rPr>
                <w:color w:val="auto"/>
                <w:sz w:val="21"/>
                <w:szCs w:val="21"/>
              </w:rPr>
              <w:t>.25</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0.00 </w:t>
            </w:r>
          </w:p>
        </w:tc>
        <w:tc>
          <w:tcPr>
            <w:tcW w:w="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1.00</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41"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锌（</w:t>
            </w:r>
            <w:r>
              <w:rPr>
                <w:color w:val="auto"/>
                <w:sz w:val="21"/>
                <w:szCs w:val="21"/>
              </w:rPr>
              <w:t>μg/L</w:t>
            </w: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9.33</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0.01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1</w:t>
            </w:r>
            <w:r>
              <w:rPr>
                <w:color w:val="auto"/>
                <w:sz w:val="21"/>
                <w:szCs w:val="21"/>
              </w:rPr>
              <w:t>02</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0.10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2</w:t>
            </w:r>
            <w:r>
              <w:rPr>
                <w:color w:val="auto"/>
                <w:sz w:val="21"/>
                <w:szCs w:val="21"/>
              </w:rPr>
              <w:t>9.2</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0.03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14.7</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0.01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1</w:t>
            </w:r>
            <w:r>
              <w:rPr>
                <w:color w:val="auto"/>
                <w:sz w:val="21"/>
                <w:szCs w:val="21"/>
              </w:rPr>
              <w:t>9.8</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0.02 </w:t>
            </w:r>
          </w:p>
        </w:tc>
        <w:tc>
          <w:tcPr>
            <w:tcW w:w="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1.00</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41"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.10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镉（</w:t>
            </w:r>
            <w:r>
              <w:rPr>
                <w:color w:val="auto"/>
                <w:sz w:val="21"/>
                <w:szCs w:val="21"/>
              </w:rPr>
              <w:t>μg/L</w:t>
            </w:r>
            <w:r>
              <w:rPr>
                <w:rFonts w:hint="eastAsia"/>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0.06</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0.01 </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.05</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eastAsia="等线"/>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.05</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eastAsia="等线"/>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0.05</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eastAsia="等线"/>
                <w:color w:val="auto"/>
                <w:sz w:val="21"/>
                <w:szCs w:val="21"/>
              </w:rPr>
              <w:t>/</w:t>
            </w:r>
          </w:p>
        </w:tc>
        <w:tc>
          <w:tcPr>
            <w:tcW w:w="1134"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.05</w:t>
            </w:r>
          </w:p>
        </w:tc>
        <w:tc>
          <w:tcPr>
            <w:tcW w:w="708"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eastAsia="等线"/>
                <w:color w:val="auto"/>
                <w:sz w:val="21"/>
                <w:szCs w:val="21"/>
              </w:rPr>
              <w:t>/</w:t>
            </w:r>
          </w:p>
        </w:tc>
        <w:tc>
          <w:tcPr>
            <w:tcW w:w="993"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0.005</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0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41" w:type="dxa"/>
            <w:tcBorders>
              <w:top w:val="single" w:color="auto" w:sz="6" w:space="0"/>
              <w:left w:val="single" w:color="auto" w:sz="6" w:space="0"/>
              <w:bottom w:val="single" w:color="auto" w:sz="6" w:space="0"/>
              <w:right w:val="nil"/>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.01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8" w:type="dxa"/>
            <w:tcBorders>
              <w:top w:val="single" w:color="auto" w:sz="6" w:space="0"/>
              <w:left w:val="nil"/>
              <w:bottom w:val="single" w:color="auto" w:sz="12"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铅（</w:t>
            </w:r>
            <w:r>
              <w:rPr>
                <w:color w:val="auto"/>
                <w:sz w:val="21"/>
                <w:szCs w:val="21"/>
              </w:rPr>
              <w:t>μg/L</w:t>
            </w:r>
            <w:r>
              <w:rPr>
                <w:rFonts w:hint="eastAsia"/>
                <w:color w:val="auto"/>
                <w:sz w:val="21"/>
                <w:szCs w:val="21"/>
              </w:rPr>
              <w:t>）</w:t>
            </w:r>
          </w:p>
        </w:tc>
        <w:tc>
          <w:tcPr>
            <w:tcW w:w="1134" w:type="dxa"/>
            <w:tcBorders>
              <w:top w:val="single" w:color="auto" w:sz="6" w:space="0"/>
              <w:left w:val="single" w:color="auto" w:sz="6" w:space="0"/>
              <w:bottom w:val="single" w:color="auto" w:sz="12" w:space="0"/>
              <w:right w:val="single" w:color="auto" w:sz="6" w:space="0"/>
            </w:tcBorders>
            <w:vAlign w:val="center"/>
          </w:tcPr>
          <w:p>
            <w:pPr>
              <w:adjustRightInd w:val="0"/>
              <w:snapToGrid w:val="0"/>
              <w:jc w:val="center"/>
              <w:rPr>
                <w:color w:val="auto"/>
                <w:sz w:val="21"/>
                <w:szCs w:val="21"/>
              </w:rPr>
            </w:pPr>
            <w:r>
              <w:rPr>
                <w:color w:val="auto"/>
                <w:sz w:val="21"/>
                <w:szCs w:val="21"/>
              </w:rPr>
              <w:t>0.60</w:t>
            </w:r>
          </w:p>
        </w:tc>
        <w:tc>
          <w:tcPr>
            <w:tcW w:w="708" w:type="dxa"/>
            <w:tcBorders>
              <w:top w:val="single" w:color="auto" w:sz="6" w:space="0"/>
              <w:left w:val="single" w:color="auto" w:sz="6" w:space="0"/>
              <w:bottom w:val="single" w:color="auto" w:sz="12"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0.06 </w:t>
            </w:r>
          </w:p>
        </w:tc>
        <w:tc>
          <w:tcPr>
            <w:tcW w:w="1134" w:type="dxa"/>
            <w:tcBorders>
              <w:top w:val="single" w:color="auto" w:sz="6" w:space="0"/>
              <w:left w:val="single" w:color="auto" w:sz="6" w:space="0"/>
              <w:bottom w:val="single" w:color="auto" w:sz="12"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1</w:t>
            </w:r>
            <w:r>
              <w:rPr>
                <w:color w:val="auto"/>
                <w:sz w:val="21"/>
                <w:szCs w:val="21"/>
              </w:rPr>
              <w:t>.48</w:t>
            </w:r>
          </w:p>
        </w:tc>
        <w:tc>
          <w:tcPr>
            <w:tcW w:w="709" w:type="dxa"/>
            <w:tcBorders>
              <w:top w:val="single" w:color="auto" w:sz="6" w:space="0"/>
              <w:left w:val="single" w:color="auto" w:sz="6" w:space="0"/>
              <w:bottom w:val="single" w:color="auto" w:sz="12"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0.15 </w:t>
            </w:r>
          </w:p>
        </w:tc>
        <w:tc>
          <w:tcPr>
            <w:tcW w:w="1134" w:type="dxa"/>
            <w:tcBorders>
              <w:top w:val="single" w:color="auto" w:sz="6" w:space="0"/>
              <w:left w:val="single" w:color="auto" w:sz="6" w:space="0"/>
              <w:bottom w:val="single" w:color="auto" w:sz="12"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1</w:t>
            </w:r>
            <w:r>
              <w:rPr>
                <w:color w:val="auto"/>
                <w:sz w:val="21"/>
                <w:szCs w:val="21"/>
              </w:rPr>
              <w:t>.20</w:t>
            </w:r>
          </w:p>
        </w:tc>
        <w:tc>
          <w:tcPr>
            <w:tcW w:w="709" w:type="dxa"/>
            <w:tcBorders>
              <w:top w:val="single" w:color="auto" w:sz="6" w:space="0"/>
              <w:left w:val="single" w:color="auto" w:sz="6" w:space="0"/>
              <w:bottom w:val="single" w:color="auto" w:sz="12"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0.12 </w:t>
            </w:r>
          </w:p>
        </w:tc>
        <w:tc>
          <w:tcPr>
            <w:tcW w:w="1134" w:type="dxa"/>
            <w:tcBorders>
              <w:top w:val="single" w:color="auto" w:sz="6" w:space="0"/>
              <w:left w:val="single" w:color="auto" w:sz="6" w:space="0"/>
              <w:bottom w:val="single" w:color="auto" w:sz="12" w:space="0"/>
              <w:right w:val="single" w:color="auto" w:sz="6" w:space="0"/>
            </w:tcBorders>
            <w:vAlign w:val="center"/>
          </w:tcPr>
          <w:p>
            <w:pPr>
              <w:adjustRightInd w:val="0"/>
              <w:snapToGrid w:val="0"/>
              <w:jc w:val="center"/>
              <w:rPr>
                <w:color w:val="auto"/>
                <w:sz w:val="21"/>
                <w:szCs w:val="21"/>
              </w:rPr>
            </w:pPr>
            <w:r>
              <w:rPr>
                <w:color w:val="auto"/>
                <w:sz w:val="21"/>
                <w:szCs w:val="21"/>
              </w:rPr>
              <w:t>2.42</w:t>
            </w:r>
          </w:p>
        </w:tc>
        <w:tc>
          <w:tcPr>
            <w:tcW w:w="709" w:type="dxa"/>
            <w:tcBorders>
              <w:top w:val="single" w:color="auto" w:sz="6" w:space="0"/>
              <w:left w:val="single" w:color="auto" w:sz="6" w:space="0"/>
              <w:bottom w:val="single" w:color="auto" w:sz="12"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0.24 </w:t>
            </w:r>
          </w:p>
        </w:tc>
        <w:tc>
          <w:tcPr>
            <w:tcW w:w="1134" w:type="dxa"/>
            <w:tcBorders>
              <w:top w:val="single" w:color="auto" w:sz="6" w:space="0"/>
              <w:left w:val="single" w:color="auto" w:sz="6" w:space="0"/>
              <w:bottom w:val="single" w:color="auto" w:sz="12"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.84</w:t>
            </w:r>
          </w:p>
        </w:tc>
        <w:tc>
          <w:tcPr>
            <w:tcW w:w="708" w:type="dxa"/>
            <w:tcBorders>
              <w:top w:val="single" w:color="auto" w:sz="6" w:space="0"/>
              <w:left w:val="single" w:color="auto" w:sz="6" w:space="0"/>
              <w:bottom w:val="single" w:color="auto" w:sz="12" w:space="0"/>
              <w:right w:val="single" w:color="auto" w:sz="6" w:space="0"/>
            </w:tcBorders>
            <w:vAlign w:val="center"/>
          </w:tcPr>
          <w:p>
            <w:pPr>
              <w:adjustRightInd w:val="0"/>
              <w:snapToGrid w:val="0"/>
              <w:jc w:val="center"/>
              <w:rPr>
                <w:color w:val="auto"/>
                <w:sz w:val="21"/>
                <w:szCs w:val="21"/>
              </w:rPr>
            </w:pPr>
            <w:r>
              <w:rPr>
                <w:rFonts w:eastAsia="等线"/>
                <w:color w:val="auto"/>
                <w:sz w:val="21"/>
                <w:szCs w:val="21"/>
              </w:rPr>
              <w:t xml:space="preserve">0.08 </w:t>
            </w:r>
          </w:p>
        </w:tc>
        <w:tc>
          <w:tcPr>
            <w:tcW w:w="993" w:type="dxa"/>
            <w:tcBorders>
              <w:top w:val="single" w:color="auto" w:sz="6" w:space="0"/>
              <w:left w:val="single" w:color="auto" w:sz="6" w:space="0"/>
              <w:bottom w:val="single" w:color="auto" w:sz="12" w:space="0"/>
              <w:right w:val="single" w:color="auto" w:sz="6" w:space="0"/>
            </w:tcBorders>
            <w:vAlign w:val="center"/>
          </w:tcPr>
          <w:p>
            <w:pPr>
              <w:adjustRightInd w:val="0"/>
              <w:snapToGrid w:val="0"/>
              <w:jc w:val="center"/>
              <w:rPr>
                <w:color w:val="auto"/>
                <w:sz w:val="21"/>
                <w:szCs w:val="21"/>
              </w:rPr>
            </w:pPr>
            <w:r>
              <w:rPr>
                <w:rFonts w:hint="eastAsia"/>
                <w:color w:val="auto"/>
                <w:sz w:val="21"/>
                <w:szCs w:val="21"/>
              </w:rPr>
              <w:t>≤</w:t>
            </w:r>
            <w:r>
              <w:rPr>
                <w:color w:val="auto"/>
                <w:sz w:val="21"/>
                <w:szCs w:val="21"/>
              </w:rPr>
              <w:t>0.01</w:t>
            </w:r>
          </w:p>
        </w:tc>
        <w:tc>
          <w:tcPr>
            <w:tcW w:w="850" w:type="dxa"/>
            <w:tcBorders>
              <w:top w:val="single" w:color="auto" w:sz="6" w:space="0"/>
              <w:left w:val="single" w:color="auto" w:sz="6" w:space="0"/>
              <w:bottom w:val="single" w:color="auto" w:sz="12"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09" w:type="dxa"/>
            <w:tcBorders>
              <w:top w:val="single" w:color="auto" w:sz="6" w:space="0"/>
              <w:left w:val="single" w:color="auto" w:sz="6" w:space="0"/>
              <w:bottom w:val="single" w:color="auto" w:sz="12" w:space="0"/>
              <w:right w:val="single" w:color="auto" w:sz="6" w:space="0"/>
            </w:tcBorders>
            <w:vAlign w:val="center"/>
          </w:tcPr>
          <w:p>
            <w:pPr>
              <w:adjustRightInd w:val="0"/>
              <w:snapToGrid w:val="0"/>
              <w:jc w:val="center"/>
              <w:rPr>
                <w:color w:val="auto"/>
                <w:sz w:val="21"/>
                <w:szCs w:val="21"/>
              </w:rPr>
            </w:pPr>
            <w:r>
              <w:rPr>
                <w:color w:val="auto"/>
                <w:sz w:val="21"/>
                <w:szCs w:val="21"/>
              </w:rPr>
              <w:t>0</w:t>
            </w:r>
          </w:p>
        </w:tc>
        <w:tc>
          <w:tcPr>
            <w:tcW w:w="741" w:type="dxa"/>
            <w:tcBorders>
              <w:top w:val="single" w:color="auto" w:sz="6" w:space="0"/>
              <w:left w:val="single" w:color="auto" w:sz="6" w:space="0"/>
              <w:bottom w:val="single" w:color="auto" w:sz="12" w:space="0"/>
              <w:right w:val="nil"/>
            </w:tcBorders>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.24</w:t>
            </w:r>
          </w:p>
        </w:tc>
      </w:tr>
    </w:tbl>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sectPr>
          <w:pgSz w:w="16838" w:h="11906" w:orient="landscape"/>
          <w:pgMar w:top="1800" w:right="1440" w:bottom="1800" w:left="1440" w:header="851" w:footer="992" w:gutter="0"/>
          <w:pgNumType w:fmt="decimal"/>
          <w:cols w:space="720" w:num="1"/>
          <w:docGrid w:type="lines" w:linePitch="326" w:charSpace="0"/>
        </w:sectPr>
      </w:pPr>
    </w:p>
    <w:p>
      <w:pPr>
        <w:pStyle w:val="3"/>
        <w:numPr>
          <w:ilvl w:val="0"/>
          <w:numId w:val="0"/>
        </w:numPr>
        <w:tabs>
          <w:tab w:val="clear" w:pos="680"/>
        </w:tabs>
        <w:rPr>
          <w:rFonts w:ascii="Times New Roman"/>
          <w:bCs/>
          <w:color w:val="auto"/>
        </w:rPr>
      </w:pPr>
      <w:bookmarkStart w:id="511" w:name="_Toc14943326"/>
      <w:bookmarkStart w:id="512" w:name="_Toc24136798"/>
      <w:bookmarkStart w:id="513" w:name="_Toc9205"/>
      <w:bookmarkStart w:id="514" w:name="_Toc9517767"/>
      <w:bookmarkStart w:id="515" w:name="_Toc23263169"/>
      <w:r>
        <w:rPr>
          <w:rFonts w:hint="eastAsia" w:ascii="Times New Roman"/>
          <w:bCs/>
          <w:color w:val="auto"/>
          <w:lang w:eastAsia="zh-CN"/>
        </w:rPr>
        <w:t>4</w:t>
      </w:r>
      <w:r>
        <w:rPr>
          <w:rFonts w:ascii="Times New Roman"/>
          <w:bCs/>
          <w:color w:val="auto"/>
          <w:lang w:eastAsia="zh-CN"/>
        </w:rPr>
        <w:t>.6</w:t>
      </w:r>
      <w:r>
        <w:rPr>
          <w:rFonts w:ascii="Times New Roman"/>
          <w:bCs/>
          <w:color w:val="auto"/>
        </w:rPr>
        <w:t>土壤环境质量现状监测与评价</w:t>
      </w:r>
      <w:bookmarkEnd w:id="511"/>
      <w:bookmarkEnd w:id="512"/>
      <w:bookmarkEnd w:id="513"/>
      <w:bookmarkEnd w:id="514"/>
      <w:bookmarkEnd w:id="515"/>
    </w:p>
    <w:p>
      <w:pPr>
        <w:pStyle w:val="298"/>
        <w:spacing w:before="156" w:after="156"/>
        <w:rPr>
          <w:color w:val="auto"/>
        </w:rPr>
      </w:pPr>
      <w:bookmarkStart w:id="516" w:name="_Toc15912186"/>
      <w:bookmarkStart w:id="517" w:name="_Toc14946894"/>
      <w:bookmarkStart w:id="518" w:name="_Toc10569"/>
      <w:bookmarkStart w:id="519" w:name="_Toc24136799"/>
      <w:bookmarkStart w:id="520" w:name="_Toc34234718"/>
      <w:r>
        <w:rPr>
          <w:color w:val="auto"/>
        </w:rPr>
        <w:t>4.6.1</w:t>
      </w:r>
      <w:bookmarkEnd w:id="516"/>
      <w:bookmarkEnd w:id="517"/>
      <w:r>
        <w:rPr>
          <w:rFonts w:hint="eastAsia"/>
          <w:color w:val="auto"/>
          <w:lang w:eastAsia="zh-CN"/>
        </w:rPr>
        <w:t>引用监测点布设</w:t>
      </w:r>
      <w:bookmarkEnd w:id="518"/>
      <w:bookmarkEnd w:id="519"/>
      <w:bookmarkEnd w:id="520"/>
    </w:p>
    <w:p>
      <w:pPr>
        <w:spacing w:line="360" w:lineRule="auto"/>
        <w:ind w:firstLine="480"/>
        <w:jc w:val="both"/>
        <w:rPr>
          <w:color w:val="auto"/>
        </w:rPr>
      </w:pPr>
      <w:r>
        <w:rPr>
          <w:rFonts w:hint="eastAsia"/>
          <w:color w:val="auto"/>
        </w:rPr>
        <w:t>二噁英引用国化低碳技术工程中心出具的《兴宁市静脉产业园及进场道路环境影响评价环境质量现状监测检测报告》（报告编号：GH-19040003-R</w:t>
      </w:r>
      <w:r>
        <w:rPr>
          <w:rFonts w:hint="eastAsia"/>
          <w:color w:val="auto"/>
          <w:vertAlign w:val="subscript"/>
        </w:rPr>
        <w:t>1</w:t>
      </w:r>
      <w:r>
        <w:rPr>
          <w:rFonts w:hint="eastAsia"/>
          <w:color w:val="auto"/>
        </w:rPr>
        <w:t>），于2019年4月19日对兴宁市静脉产业园范围内及边界外的土壤环境进行采样检测，其余监测项目引用广州京诚检测技术有限公司出具的《兴宁市静脉产业园及进场道路环境影响评价环境质量现状监测检测报告》（报告编号：GZH191059051040302a01R</w:t>
      </w:r>
      <w:r>
        <w:rPr>
          <w:rFonts w:hint="eastAsia"/>
          <w:color w:val="auto"/>
          <w:vertAlign w:val="subscript"/>
        </w:rPr>
        <w:t>1</w:t>
      </w:r>
      <w:r>
        <w:rPr>
          <w:rFonts w:hint="eastAsia"/>
          <w:color w:val="auto"/>
        </w:rPr>
        <w:t>），于2019年4月18日、2019年10月12日进行现场采样监测，</w:t>
      </w:r>
      <w:r>
        <w:rPr>
          <w:color w:val="auto"/>
        </w:rPr>
        <w:t>监测布点说明见表4.6-1和图4.6-1。</w:t>
      </w:r>
    </w:p>
    <w:p>
      <w:pPr>
        <w:spacing w:line="360" w:lineRule="auto"/>
        <w:ind w:firstLine="480"/>
        <w:rPr>
          <w:color w:val="auto"/>
        </w:rPr>
      </w:pPr>
      <w:r>
        <w:rPr>
          <w:rFonts w:hint="eastAsia"/>
          <w:color w:val="auto"/>
        </w:rPr>
        <w:t>引用监测数据有效性分析：</w:t>
      </w:r>
    </w:p>
    <w:p>
      <w:pPr>
        <w:spacing w:line="360" w:lineRule="auto"/>
        <w:ind w:firstLine="480"/>
        <w:rPr>
          <w:color w:val="auto"/>
        </w:rPr>
      </w:pPr>
      <w:r>
        <w:rPr>
          <w:color w:val="auto"/>
        </w:rPr>
        <w:fldChar w:fldCharType="begin"/>
      </w:r>
      <w:r>
        <w:rPr>
          <w:color w:val="auto"/>
        </w:rPr>
        <w:instrText xml:space="preserve"> </w:instrText>
      </w:r>
      <w:r>
        <w:rPr>
          <w:rFonts w:hint="eastAsia"/>
          <w:color w:val="auto"/>
        </w:rPr>
        <w:instrText xml:space="preserve">= 1 \* GB3</w:instrText>
      </w:r>
      <w:r>
        <w:rPr>
          <w:color w:val="auto"/>
        </w:rPr>
        <w:instrText xml:space="preserve"> </w:instrText>
      </w:r>
      <w:r>
        <w:rPr>
          <w:color w:val="auto"/>
        </w:rPr>
        <w:fldChar w:fldCharType="separate"/>
      </w:r>
      <w:r>
        <w:rPr>
          <w:rFonts w:hint="eastAsia"/>
          <w:color w:val="auto"/>
        </w:rPr>
        <w:t>①</w:t>
      </w:r>
      <w:r>
        <w:rPr>
          <w:color w:val="auto"/>
        </w:rPr>
        <w:fldChar w:fldCharType="end"/>
      </w:r>
      <w:r>
        <w:rPr>
          <w:rFonts w:hint="eastAsia"/>
          <w:color w:val="auto"/>
          <w:lang w:eastAsia="zh-CN"/>
        </w:rPr>
        <w:t>本项目建设地为兴宁市静脉产业园的预留用地，根据引用的监测报告可知，监测点位已布设了</w:t>
      </w:r>
      <w:r>
        <w:rPr>
          <w:rFonts w:hint="eastAsia"/>
          <w:color w:val="auto"/>
          <w:lang w:val="en-US" w:eastAsia="zh-CN"/>
        </w:rPr>
        <w:t>6个点位，其中3个为柱状点，3个为表层样点，由于整个兴宁市静脉产业园红线范围内土地利用现状、土地规划以及土壤类型分布一致，同时土地开发利用程度一致，因此，本次引用的土壤监测数据能说明项目所在区域土壤的污染情况</w:t>
      </w:r>
      <w:r>
        <w:rPr>
          <w:rFonts w:hint="eastAsia"/>
          <w:color w:val="auto"/>
        </w:rPr>
        <w:t>。</w:t>
      </w:r>
    </w:p>
    <w:p>
      <w:pPr>
        <w:spacing w:line="360" w:lineRule="auto"/>
        <w:ind w:firstLine="480"/>
        <w:rPr>
          <w:rFonts w:hint="eastAsia"/>
          <w:color w:val="auto"/>
        </w:rPr>
      </w:pPr>
      <w:r>
        <w:rPr>
          <w:color w:val="auto"/>
        </w:rPr>
        <w:fldChar w:fldCharType="begin"/>
      </w:r>
      <w:r>
        <w:rPr>
          <w:color w:val="auto"/>
        </w:rPr>
        <w:instrText xml:space="preserve"> </w:instrText>
      </w:r>
      <w:r>
        <w:rPr>
          <w:rFonts w:hint="eastAsia"/>
          <w:color w:val="auto"/>
        </w:rPr>
        <w:instrText xml:space="preserve">= 2 \* GB3</w:instrText>
      </w:r>
      <w:r>
        <w:rPr>
          <w:color w:val="auto"/>
        </w:rPr>
        <w:instrText xml:space="preserve"> </w:instrText>
      </w:r>
      <w:r>
        <w:rPr>
          <w:color w:val="auto"/>
        </w:rPr>
        <w:fldChar w:fldCharType="separate"/>
      </w:r>
      <w:r>
        <w:rPr>
          <w:rFonts w:hint="eastAsia"/>
          <w:color w:val="auto"/>
        </w:rPr>
        <w:t>②</w:t>
      </w:r>
      <w:r>
        <w:rPr>
          <w:color w:val="auto"/>
        </w:rPr>
        <w:fldChar w:fldCharType="end"/>
      </w:r>
      <w:r>
        <w:rPr>
          <w:rFonts w:hint="eastAsia"/>
          <w:color w:val="auto"/>
        </w:rPr>
        <w:t>本评价时间为20</w:t>
      </w:r>
      <w:r>
        <w:rPr>
          <w:rFonts w:hint="eastAsia"/>
          <w:color w:val="auto"/>
          <w:lang w:val="en-US" w:eastAsia="zh-CN"/>
        </w:rPr>
        <w:t>20</w:t>
      </w:r>
      <w:r>
        <w:rPr>
          <w:rFonts w:hint="eastAsia"/>
          <w:color w:val="auto"/>
        </w:rPr>
        <w:t>年，引用的</w:t>
      </w:r>
      <w:r>
        <w:rPr>
          <w:rFonts w:hint="eastAsia"/>
          <w:color w:val="auto"/>
          <w:lang w:eastAsia="zh-CN"/>
        </w:rPr>
        <w:t>土壤</w:t>
      </w:r>
      <w:r>
        <w:rPr>
          <w:rFonts w:hint="eastAsia"/>
          <w:color w:val="auto"/>
        </w:rPr>
        <w:t>现状监测数据时间为20</w:t>
      </w:r>
      <w:r>
        <w:rPr>
          <w:rFonts w:hint="eastAsia"/>
          <w:color w:val="auto"/>
          <w:lang w:val="en-US" w:eastAsia="zh-CN"/>
        </w:rPr>
        <w:t>19</w:t>
      </w:r>
      <w:r>
        <w:rPr>
          <w:rFonts w:hint="eastAsia"/>
          <w:color w:val="auto"/>
        </w:rPr>
        <w:t>年</w:t>
      </w:r>
      <w:r>
        <w:rPr>
          <w:rFonts w:hint="eastAsia"/>
          <w:color w:val="auto"/>
          <w:lang w:val="en-US" w:eastAsia="zh-CN"/>
        </w:rPr>
        <w:t>4</w:t>
      </w:r>
      <w:r>
        <w:rPr>
          <w:rFonts w:hint="eastAsia"/>
          <w:color w:val="auto"/>
        </w:rPr>
        <w:t>月，时间符合有效性的相关规定（监测数据为三年之内有效监测数据）。</w:t>
      </w:r>
    </w:p>
    <w:p>
      <w:pPr>
        <w:pStyle w:val="5"/>
        <w:ind w:firstLine="482"/>
        <w:jc w:val="center"/>
        <w:rPr>
          <w:b/>
          <w:color w:val="auto"/>
        </w:rPr>
      </w:pPr>
      <w:r>
        <w:rPr>
          <w:b/>
          <w:color w:val="auto"/>
        </w:rPr>
        <w:t>表</w:t>
      </w:r>
      <w:r>
        <w:rPr>
          <w:rFonts w:hint="eastAsia"/>
          <w:b/>
          <w:color w:val="auto"/>
        </w:rPr>
        <w:t>4.6</w:t>
      </w:r>
      <w:r>
        <w:rPr>
          <w:b/>
          <w:color w:val="auto"/>
        </w:rPr>
        <w:noBreakHyphen/>
      </w:r>
      <w:r>
        <w:rPr>
          <w:b/>
          <w:color w:val="auto"/>
        </w:rPr>
        <w:fldChar w:fldCharType="begin"/>
      </w:r>
      <w:r>
        <w:rPr>
          <w:b/>
          <w:color w:val="auto"/>
        </w:rPr>
        <w:instrText xml:space="preserve"> SEQ 表 \* ARABIC \s 2 </w:instrText>
      </w:r>
      <w:r>
        <w:rPr>
          <w:b/>
          <w:color w:val="auto"/>
        </w:rPr>
        <w:fldChar w:fldCharType="separate"/>
      </w:r>
      <w:r>
        <w:rPr>
          <w:b/>
          <w:color w:val="auto"/>
        </w:rPr>
        <w:t>1</w:t>
      </w:r>
      <w:r>
        <w:rPr>
          <w:b/>
          <w:color w:val="auto"/>
        </w:rPr>
        <w:fldChar w:fldCharType="end"/>
      </w:r>
      <w:r>
        <w:rPr>
          <w:b/>
          <w:color w:val="auto"/>
        </w:rPr>
        <w:t xml:space="preserve">  土壤现状监测布点</w:t>
      </w:r>
    </w:p>
    <w:tbl>
      <w:tblPr>
        <w:tblStyle w:val="53"/>
        <w:tblW w:w="852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67"/>
        <w:gridCol w:w="1430"/>
        <w:gridCol w:w="47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2367" w:type="dxa"/>
            <w:tcBorders>
              <w:top w:val="single" w:color="auto" w:sz="18" w:space="0"/>
            </w:tcBorders>
            <w:vAlign w:val="center"/>
          </w:tcPr>
          <w:p>
            <w:pPr>
              <w:jc w:val="center"/>
              <w:rPr>
                <w:b/>
                <w:color w:val="auto"/>
                <w:sz w:val="21"/>
                <w:szCs w:val="21"/>
              </w:rPr>
            </w:pPr>
            <w:r>
              <w:rPr>
                <w:b/>
                <w:color w:val="auto"/>
                <w:sz w:val="21"/>
                <w:szCs w:val="21"/>
              </w:rPr>
              <w:t>类型</w:t>
            </w:r>
          </w:p>
        </w:tc>
        <w:tc>
          <w:tcPr>
            <w:tcW w:w="1430" w:type="dxa"/>
            <w:tcBorders>
              <w:top w:val="single" w:color="auto" w:sz="18" w:space="0"/>
            </w:tcBorders>
            <w:vAlign w:val="center"/>
          </w:tcPr>
          <w:p>
            <w:pPr>
              <w:jc w:val="center"/>
              <w:rPr>
                <w:b/>
                <w:color w:val="auto"/>
                <w:sz w:val="21"/>
                <w:szCs w:val="21"/>
              </w:rPr>
            </w:pPr>
            <w:r>
              <w:rPr>
                <w:b/>
                <w:color w:val="auto"/>
                <w:sz w:val="21"/>
                <w:szCs w:val="21"/>
              </w:rPr>
              <w:t>编号</w:t>
            </w:r>
          </w:p>
        </w:tc>
        <w:tc>
          <w:tcPr>
            <w:tcW w:w="4725" w:type="dxa"/>
            <w:tcBorders>
              <w:top w:val="single" w:color="auto" w:sz="18" w:space="0"/>
            </w:tcBorders>
            <w:vAlign w:val="center"/>
          </w:tcPr>
          <w:p>
            <w:pPr>
              <w:jc w:val="center"/>
              <w:rPr>
                <w:b/>
                <w:color w:val="auto"/>
                <w:sz w:val="21"/>
                <w:szCs w:val="21"/>
              </w:rPr>
            </w:pPr>
            <w:r>
              <w:rPr>
                <w:b/>
                <w:color w:val="auto"/>
                <w:sz w:val="21"/>
                <w:szCs w:val="21"/>
              </w:rPr>
              <w:t>土壤监测点位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367" w:type="dxa"/>
            <w:vMerge w:val="restart"/>
            <w:vAlign w:val="center"/>
          </w:tcPr>
          <w:p>
            <w:pPr>
              <w:snapToGrid w:val="0"/>
              <w:jc w:val="center"/>
              <w:rPr>
                <w:color w:val="auto"/>
                <w:sz w:val="21"/>
                <w:szCs w:val="21"/>
              </w:rPr>
            </w:pPr>
            <w:r>
              <w:rPr>
                <w:color w:val="auto"/>
                <w:sz w:val="21"/>
                <w:szCs w:val="21"/>
              </w:rPr>
              <w:t>柱状样点</w:t>
            </w:r>
          </w:p>
        </w:tc>
        <w:tc>
          <w:tcPr>
            <w:tcW w:w="1430" w:type="dxa"/>
            <w:vAlign w:val="center"/>
          </w:tcPr>
          <w:p>
            <w:pPr>
              <w:jc w:val="center"/>
              <w:rPr>
                <w:color w:val="auto"/>
                <w:sz w:val="21"/>
                <w:szCs w:val="21"/>
              </w:rPr>
            </w:pPr>
            <w:r>
              <w:rPr>
                <w:color w:val="auto"/>
                <w:sz w:val="21"/>
                <w:szCs w:val="21"/>
              </w:rPr>
              <w:t>T1</w:t>
            </w:r>
          </w:p>
        </w:tc>
        <w:tc>
          <w:tcPr>
            <w:tcW w:w="4725" w:type="dxa"/>
          </w:tcPr>
          <w:p>
            <w:pPr>
              <w:jc w:val="center"/>
              <w:rPr>
                <w:color w:val="auto"/>
                <w:sz w:val="21"/>
                <w:szCs w:val="21"/>
              </w:rPr>
            </w:pPr>
            <w:r>
              <w:rPr>
                <w:rFonts w:hint="eastAsia"/>
                <w:color w:val="auto"/>
                <w:sz w:val="21"/>
                <w:szCs w:val="21"/>
              </w:rPr>
              <w:t>卫生填埋场用地处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367" w:type="dxa"/>
            <w:vMerge w:val="continue"/>
            <w:vAlign w:val="center"/>
          </w:tcPr>
          <w:p>
            <w:pPr>
              <w:jc w:val="center"/>
              <w:rPr>
                <w:color w:val="auto"/>
                <w:sz w:val="21"/>
                <w:szCs w:val="21"/>
              </w:rPr>
            </w:pPr>
          </w:p>
        </w:tc>
        <w:tc>
          <w:tcPr>
            <w:tcW w:w="1430" w:type="dxa"/>
            <w:vAlign w:val="center"/>
          </w:tcPr>
          <w:p>
            <w:pPr>
              <w:jc w:val="center"/>
              <w:rPr>
                <w:color w:val="auto"/>
                <w:sz w:val="21"/>
                <w:szCs w:val="21"/>
              </w:rPr>
            </w:pPr>
            <w:r>
              <w:rPr>
                <w:color w:val="auto"/>
                <w:sz w:val="21"/>
                <w:szCs w:val="21"/>
              </w:rPr>
              <w:t>T2</w:t>
            </w:r>
          </w:p>
        </w:tc>
        <w:tc>
          <w:tcPr>
            <w:tcW w:w="4725" w:type="dxa"/>
          </w:tcPr>
          <w:p>
            <w:pPr>
              <w:jc w:val="center"/>
              <w:rPr>
                <w:color w:val="auto"/>
                <w:sz w:val="21"/>
                <w:szCs w:val="21"/>
              </w:rPr>
            </w:pPr>
            <w:r>
              <w:rPr>
                <w:rFonts w:hint="eastAsia"/>
                <w:color w:val="auto"/>
                <w:sz w:val="21"/>
                <w:szCs w:val="21"/>
              </w:rPr>
              <w:t>建筑垃圾处理预留用地处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367" w:type="dxa"/>
            <w:vMerge w:val="continue"/>
            <w:vAlign w:val="center"/>
          </w:tcPr>
          <w:p>
            <w:pPr>
              <w:jc w:val="center"/>
              <w:rPr>
                <w:color w:val="auto"/>
                <w:sz w:val="21"/>
                <w:szCs w:val="21"/>
              </w:rPr>
            </w:pPr>
          </w:p>
        </w:tc>
        <w:tc>
          <w:tcPr>
            <w:tcW w:w="1430" w:type="dxa"/>
            <w:vAlign w:val="center"/>
          </w:tcPr>
          <w:p>
            <w:pPr>
              <w:jc w:val="center"/>
              <w:rPr>
                <w:color w:val="auto"/>
                <w:sz w:val="21"/>
                <w:szCs w:val="21"/>
              </w:rPr>
            </w:pPr>
            <w:r>
              <w:rPr>
                <w:color w:val="auto"/>
                <w:sz w:val="21"/>
                <w:szCs w:val="21"/>
              </w:rPr>
              <w:t>T3</w:t>
            </w:r>
          </w:p>
        </w:tc>
        <w:tc>
          <w:tcPr>
            <w:tcW w:w="4725" w:type="dxa"/>
          </w:tcPr>
          <w:p>
            <w:pPr>
              <w:jc w:val="center"/>
              <w:rPr>
                <w:color w:val="auto"/>
                <w:sz w:val="21"/>
                <w:szCs w:val="21"/>
              </w:rPr>
            </w:pPr>
            <w:r>
              <w:rPr>
                <w:rFonts w:hint="eastAsia"/>
                <w:color w:val="auto"/>
                <w:sz w:val="21"/>
                <w:szCs w:val="21"/>
              </w:rPr>
              <w:t>生活垃圾焚烧发电用地处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367" w:type="dxa"/>
            <w:vMerge w:val="restart"/>
            <w:vAlign w:val="center"/>
          </w:tcPr>
          <w:p>
            <w:pPr>
              <w:snapToGrid w:val="0"/>
              <w:jc w:val="center"/>
              <w:rPr>
                <w:color w:val="auto"/>
                <w:sz w:val="21"/>
                <w:szCs w:val="21"/>
              </w:rPr>
            </w:pPr>
            <w:r>
              <w:rPr>
                <w:color w:val="auto"/>
                <w:sz w:val="21"/>
                <w:szCs w:val="21"/>
              </w:rPr>
              <w:t>表层样点</w:t>
            </w:r>
          </w:p>
        </w:tc>
        <w:tc>
          <w:tcPr>
            <w:tcW w:w="1430" w:type="dxa"/>
            <w:vAlign w:val="center"/>
          </w:tcPr>
          <w:p>
            <w:pPr>
              <w:jc w:val="center"/>
              <w:rPr>
                <w:color w:val="auto"/>
                <w:sz w:val="21"/>
                <w:szCs w:val="21"/>
              </w:rPr>
            </w:pPr>
            <w:r>
              <w:rPr>
                <w:color w:val="auto"/>
                <w:sz w:val="21"/>
                <w:szCs w:val="21"/>
              </w:rPr>
              <w:t>T4</w:t>
            </w:r>
          </w:p>
        </w:tc>
        <w:tc>
          <w:tcPr>
            <w:tcW w:w="4725" w:type="dxa"/>
          </w:tcPr>
          <w:p>
            <w:pPr>
              <w:jc w:val="center"/>
              <w:rPr>
                <w:color w:val="auto"/>
                <w:sz w:val="21"/>
                <w:szCs w:val="21"/>
              </w:rPr>
            </w:pPr>
            <w:r>
              <w:rPr>
                <w:rFonts w:hint="eastAsia"/>
                <w:color w:val="auto"/>
                <w:sz w:val="21"/>
                <w:szCs w:val="21"/>
              </w:rPr>
              <w:t>废水处理设施用地处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367" w:type="dxa"/>
            <w:vMerge w:val="continue"/>
            <w:vAlign w:val="center"/>
          </w:tcPr>
          <w:p>
            <w:pPr>
              <w:jc w:val="center"/>
              <w:rPr>
                <w:color w:val="auto"/>
                <w:sz w:val="21"/>
                <w:szCs w:val="21"/>
              </w:rPr>
            </w:pPr>
          </w:p>
        </w:tc>
        <w:tc>
          <w:tcPr>
            <w:tcW w:w="1430" w:type="dxa"/>
            <w:vAlign w:val="center"/>
          </w:tcPr>
          <w:p>
            <w:pPr>
              <w:jc w:val="center"/>
              <w:rPr>
                <w:color w:val="auto"/>
                <w:sz w:val="21"/>
                <w:szCs w:val="21"/>
              </w:rPr>
            </w:pPr>
            <w:r>
              <w:rPr>
                <w:color w:val="auto"/>
                <w:sz w:val="21"/>
                <w:szCs w:val="21"/>
              </w:rPr>
              <w:t>T5</w:t>
            </w:r>
          </w:p>
        </w:tc>
        <w:tc>
          <w:tcPr>
            <w:tcW w:w="4725" w:type="dxa"/>
          </w:tcPr>
          <w:p>
            <w:pPr>
              <w:jc w:val="center"/>
              <w:rPr>
                <w:color w:val="auto"/>
                <w:sz w:val="21"/>
                <w:szCs w:val="21"/>
              </w:rPr>
            </w:pPr>
            <w:r>
              <w:rPr>
                <w:rFonts w:hint="eastAsia"/>
                <w:color w:val="auto"/>
                <w:sz w:val="21"/>
                <w:szCs w:val="21"/>
              </w:rPr>
              <w:t>项目场址外西北侧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367" w:type="dxa"/>
            <w:vMerge w:val="continue"/>
            <w:tcBorders>
              <w:bottom w:val="single" w:color="auto" w:sz="18" w:space="0"/>
            </w:tcBorders>
            <w:vAlign w:val="center"/>
          </w:tcPr>
          <w:p>
            <w:pPr>
              <w:jc w:val="center"/>
              <w:rPr>
                <w:color w:val="auto"/>
                <w:sz w:val="21"/>
                <w:szCs w:val="21"/>
              </w:rPr>
            </w:pPr>
          </w:p>
        </w:tc>
        <w:tc>
          <w:tcPr>
            <w:tcW w:w="1430" w:type="dxa"/>
            <w:tcBorders>
              <w:bottom w:val="single" w:color="auto" w:sz="18" w:space="0"/>
            </w:tcBorders>
            <w:vAlign w:val="center"/>
          </w:tcPr>
          <w:p>
            <w:pPr>
              <w:jc w:val="center"/>
              <w:rPr>
                <w:color w:val="auto"/>
                <w:sz w:val="21"/>
                <w:szCs w:val="21"/>
              </w:rPr>
            </w:pPr>
            <w:r>
              <w:rPr>
                <w:color w:val="auto"/>
                <w:sz w:val="21"/>
                <w:szCs w:val="21"/>
              </w:rPr>
              <w:t>T6</w:t>
            </w:r>
          </w:p>
        </w:tc>
        <w:tc>
          <w:tcPr>
            <w:tcW w:w="4725" w:type="dxa"/>
            <w:tcBorders>
              <w:bottom w:val="single" w:color="auto" w:sz="18" w:space="0"/>
            </w:tcBorders>
          </w:tcPr>
          <w:p>
            <w:pPr>
              <w:jc w:val="center"/>
              <w:rPr>
                <w:color w:val="auto"/>
                <w:sz w:val="21"/>
                <w:szCs w:val="21"/>
              </w:rPr>
            </w:pPr>
            <w:r>
              <w:rPr>
                <w:rFonts w:hint="eastAsia"/>
                <w:color w:val="auto"/>
                <w:sz w:val="21"/>
                <w:szCs w:val="21"/>
              </w:rPr>
              <w:t>项目场址外东南侧</w:t>
            </w:r>
          </w:p>
        </w:tc>
      </w:tr>
    </w:tbl>
    <w:p>
      <w:pPr>
        <w:pStyle w:val="298"/>
        <w:spacing w:before="156" w:after="156"/>
        <w:rPr>
          <w:color w:val="auto"/>
        </w:rPr>
      </w:pPr>
      <w:bookmarkStart w:id="521" w:name="_Toc7555"/>
      <w:bookmarkStart w:id="522" w:name="_Toc34234719"/>
      <w:bookmarkStart w:id="523" w:name="_Toc24136800"/>
      <w:r>
        <w:rPr>
          <w:color w:val="auto"/>
        </w:rPr>
        <w:t>4.6.2</w:t>
      </w:r>
      <w:r>
        <w:rPr>
          <w:rFonts w:hint="eastAsia"/>
          <w:color w:val="auto"/>
          <w:lang w:eastAsia="zh-CN"/>
        </w:rPr>
        <w:t>引用监测项目</w:t>
      </w:r>
      <w:bookmarkEnd w:id="521"/>
      <w:bookmarkEnd w:id="522"/>
      <w:bookmarkEnd w:id="523"/>
    </w:p>
    <w:p>
      <w:pPr>
        <w:spacing w:line="480" w:lineRule="exact"/>
        <w:ind w:firstLine="480" w:firstLineChars="200"/>
        <w:jc w:val="both"/>
        <w:rPr>
          <w:bCs/>
          <w:color w:val="auto"/>
        </w:rPr>
      </w:pPr>
      <w:r>
        <w:rPr>
          <w:bCs/>
          <w:color w:val="auto"/>
        </w:rPr>
        <w:t>T1~T4</w:t>
      </w:r>
      <w:r>
        <w:rPr>
          <w:rFonts w:hint="eastAsia"/>
          <w:bCs/>
          <w:color w:val="auto"/>
        </w:rPr>
        <w:t>：</w:t>
      </w:r>
      <w:bookmarkStart w:id="524" w:name="_Hlk24554263"/>
      <w:r>
        <w:rPr>
          <w:rFonts w:hint="eastAsia"/>
          <w:bCs/>
          <w:color w:val="auto"/>
        </w:rPr>
        <w:t>《土壤环境质量</w:t>
      </w:r>
      <w:r>
        <w:rPr>
          <w:bCs/>
          <w:color w:val="auto"/>
        </w:rPr>
        <w:t xml:space="preserve"> </w:t>
      </w:r>
      <w:r>
        <w:rPr>
          <w:rFonts w:hint="eastAsia"/>
          <w:bCs/>
          <w:color w:val="auto"/>
        </w:rPr>
        <w:t>建设用地土壤污染风险管控标准（试行）》</w:t>
      </w:r>
      <w:r>
        <w:rPr>
          <w:bCs/>
          <w:color w:val="auto"/>
        </w:rPr>
        <w:t>(GB36600-2018)</w:t>
      </w:r>
      <w:r>
        <w:rPr>
          <w:rFonts w:hint="eastAsia"/>
          <w:bCs/>
          <w:color w:val="auto"/>
        </w:rPr>
        <w:t>中表</w:t>
      </w:r>
      <w:r>
        <w:rPr>
          <w:bCs/>
          <w:color w:val="auto"/>
        </w:rPr>
        <w:t>1</w:t>
      </w:r>
      <w:r>
        <w:rPr>
          <w:rFonts w:hint="eastAsia"/>
          <w:bCs/>
          <w:color w:val="auto"/>
        </w:rPr>
        <w:t>中的</w:t>
      </w:r>
      <w:r>
        <w:rPr>
          <w:bCs/>
          <w:color w:val="auto"/>
        </w:rPr>
        <w:t>45</w:t>
      </w:r>
      <w:r>
        <w:rPr>
          <w:rFonts w:hint="eastAsia"/>
          <w:bCs/>
          <w:color w:val="auto"/>
        </w:rPr>
        <w:t>项基本项目、</w:t>
      </w:r>
      <w:r>
        <w:rPr>
          <w:bCs/>
          <w:color w:val="auto"/>
        </w:rPr>
        <w:t>pH</w:t>
      </w:r>
      <w:r>
        <w:rPr>
          <w:rFonts w:hint="eastAsia"/>
          <w:bCs/>
          <w:color w:val="auto"/>
        </w:rPr>
        <w:t>、二噁英类</w:t>
      </w:r>
      <w:bookmarkEnd w:id="524"/>
      <w:r>
        <w:rPr>
          <w:rFonts w:hint="eastAsia"/>
          <w:bCs/>
          <w:color w:val="auto"/>
        </w:rPr>
        <w:t>；</w:t>
      </w:r>
    </w:p>
    <w:p>
      <w:pPr>
        <w:spacing w:line="480" w:lineRule="exact"/>
        <w:ind w:firstLine="480" w:firstLineChars="200"/>
        <w:jc w:val="both"/>
        <w:rPr>
          <w:bCs/>
          <w:color w:val="auto"/>
        </w:rPr>
      </w:pPr>
      <w:r>
        <w:rPr>
          <w:bCs/>
          <w:color w:val="auto"/>
        </w:rPr>
        <w:t>T5~T6</w:t>
      </w:r>
      <w:r>
        <w:rPr>
          <w:rFonts w:hint="eastAsia"/>
          <w:bCs/>
          <w:color w:val="auto"/>
        </w:rPr>
        <w:t>：</w:t>
      </w:r>
      <w:r>
        <w:rPr>
          <w:bCs/>
          <w:color w:val="auto"/>
        </w:rPr>
        <w:t>pH</w:t>
      </w:r>
      <w:r>
        <w:rPr>
          <w:rFonts w:hint="eastAsia"/>
          <w:bCs/>
          <w:color w:val="auto"/>
        </w:rPr>
        <w:t>、</w:t>
      </w:r>
      <w:bookmarkStart w:id="525" w:name="_Hlk24554275"/>
      <w:r>
        <w:rPr>
          <w:rFonts w:hint="eastAsia"/>
          <w:bCs/>
          <w:color w:val="auto"/>
        </w:rPr>
        <w:t>镉、汞、砷、铅、铬、铜、镍、</w:t>
      </w:r>
      <w:bookmarkEnd w:id="525"/>
      <w:r>
        <w:rPr>
          <w:rFonts w:hint="eastAsia"/>
          <w:bCs/>
          <w:color w:val="auto"/>
        </w:rPr>
        <w:t>二噁英类。</w:t>
      </w:r>
    </w:p>
    <w:p>
      <w:pPr>
        <w:pStyle w:val="298"/>
        <w:spacing w:before="156" w:after="156"/>
        <w:rPr>
          <w:color w:val="auto"/>
        </w:rPr>
      </w:pPr>
      <w:bookmarkStart w:id="526" w:name="_Toc30504"/>
      <w:bookmarkStart w:id="527" w:name="_Toc34234720"/>
      <w:bookmarkStart w:id="528" w:name="_Toc24136801"/>
      <w:r>
        <w:rPr>
          <w:color w:val="auto"/>
        </w:rPr>
        <w:t>4.6.3</w:t>
      </w:r>
      <w:r>
        <w:rPr>
          <w:rFonts w:hint="eastAsia"/>
          <w:color w:val="auto"/>
          <w:lang w:eastAsia="zh-CN"/>
        </w:rPr>
        <w:t>引用</w:t>
      </w:r>
      <w:r>
        <w:rPr>
          <w:color w:val="auto"/>
        </w:rPr>
        <w:t>采样及频次</w:t>
      </w:r>
      <w:bookmarkEnd w:id="526"/>
      <w:bookmarkEnd w:id="527"/>
      <w:bookmarkEnd w:id="528"/>
    </w:p>
    <w:p>
      <w:pPr>
        <w:spacing w:line="360" w:lineRule="auto"/>
        <w:ind w:firstLine="480"/>
        <w:jc w:val="both"/>
        <w:rPr>
          <w:color w:val="auto"/>
        </w:rPr>
      </w:pPr>
      <w:r>
        <w:rPr>
          <w:color w:val="auto"/>
        </w:rPr>
        <w:t>表层样：0~0.2m取样。多点取样混合，每份样品不少于1 kg。</w:t>
      </w:r>
    </w:p>
    <w:p>
      <w:pPr>
        <w:spacing w:line="360" w:lineRule="auto"/>
        <w:ind w:firstLine="480"/>
        <w:jc w:val="both"/>
        <w:rPr>
          <w:color w:val="auto"/>
        </w:rPr>
      </w:pPr>
      <w:r>
        <w:rPr>
          <w:color w:val="auto"/>
        </w:rPr>
        <w:t>柱状样：项目区内柱状采样点采样深度定为8 m（可根据基础埋深、土体构型适当调整），采用分层采样，在0~0.5 m、0.5~1.5 m、1.5~3 m、3~6 m、6~8 m分别取样分别监测。</w:t>
      </w:r>
    </w:p>
    <w:p>
      <w:pPr>
        <w:pStyle w:val="298"/>
        <w:spacing w:before="156" w:after="156"/>
        <w:rPr>
          <w:color w:val="auto"/>
        </w:rPr>
      </w:pPr>
      <w:bookmarkStart w:id="529" w:name="_Toc24136802"/>
      <w:bookmarkStart w:id="530" w:name="_Toc15982"/>
      <w:bookmarkStart w:id="531" w:name="_Toc34234721"/>
      <w:r>
        <w:rPr>
          <w:color w:val="auto"/>
        </w:rPr>
        <w:t>4.6.4</w:t>
      </w:r>
      <w:r>
        <w:rPr>
          <w:rFonts w:hint="eastAsia"/>
          <w:color w:val="auto"/>
          <w:lang w:eastAsia="zh-CN"/>
        </w:rPr>
        <w:t>引用</w:t>
      </w:r>
      <w:r>
        <w:rPr>
          <w:color w:val="auto"/>
        </w:rPr>
        <w:t>监测</w:t>
      </w:r>
      <w:r>
        <w:rPr>
          <w:rFonts w:hint="eastAsia"/>
          <w:color w:val="auto"/>
          <w:lang w:eastAsia="zh-CN"/>
        </w:rPr>
        <w:t>分析</w:t>
      </w:r>
      <w:r>
        <w:rPr>
          <w:color w:val="auto"/>
        </w:rPr>
        <w:t>方法</w:t>
      </w:r>
      <w:bookmarkEnd w:id="529"/>
      <w:bookmarkEnd w:id="530"/>
      <w:bookmarkEnd w:id="531"/>
    </w:p>
    <w:p>
      <w:pPr>
        <w:spacing w:line="360" w:lineRule="auto"/>
        <w:ind w:firstLine="480"/>
        <w:jc w:val="both"/>
        <w:rPr>
          <w:color w:val="auto"/>
        </w:rPr>
      </w:pPr>
      <w:r>
        <w:rPr>
          <w:color w:val="auto"/>
        </w:rPr>
        <w:t>参照《土壤环境监测技术规范》、土壤监测方法（GB/T17134~17141-1997）、《环境二噁英类监测技术规范》、《土壤和沉积物 二噁英类的测定 同位素稀释高分辨气相色谱-高分辨质谱法》（HJ 77.4-2008）等要求</w:t>
      </w:r>
      <w:r>
        <w:rPr>
          <w:rFonts w:hint="eastAsia"/>
          <w:color w:val="auto"/>
        </w:rPr>
        <w:t>实施，检测方法、使用仪器及检出限见表4</w:t>
      </w:r>
      <w:r>
        <w:rPr>
          <w:color w:val="auto"/>
        </w:rPr>
        <w:t>.6-2。</w:t>
      </w:r>
    </w:p>
    <w:p>
      <w:pPr>
        <w:jc w:val="center"/>
        <w:rPr>
          <w:b/>
          <w:color w:val="auto"/>
        </w:rPr>
      </w:pPr>
      <w:r>
        <w:rPr>
          <w:rFonts w:hint="eastAsia"/>
          <w:b/>
          <w:color w:val="auto"/>
        </w:rPr>
        <w:t>表4</w:t>
      </w:r>
      <w:r>
        <w:rPr>
          <w:b/>
          <w:color w:val="auto"/>
        </w:rPr>
        <w:t xml:space="preserve">.6-2 </w:t>
      </w:r>
      <w:r>
        <w:rPr>
          <w:rFonts w:hint="eastAsia"/>
          <w:b/>
          <w:color w:val="auto"/>
        </w:rPr>
        <w:t>土壤环境监测分析方法</w:t>
      </w:r>
    </w:p>
    <w:tbl>
      <w:tblPr>
        <w:tblStyle w:val="53"/>
        <w:tblW w:w="852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1"/>
        <w:gridCol w:w="1156"/>
        <w:gridCol w:w="2454"/>
        <w:gridCol w:w="2430"/>
        <w:gridCol w:w="16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blHeader/>
          <w:jc w:val="center"/>
        </w:trPr>
        <w:tc>
          <w:tcPr>
            <w:tcW w:w="881" w:type="dxa"/>
            <w:vAlign w:val="center"/>
          </w:tcPr>
          <w:p>
            <w:pPr>
              <w:jc w:val="center"/>
              <w:rPr>
                <w:color w:val="auto"/>
                <w:sz w:val="21"/>
                <w:szCs w:val="21"/>
              </w:rPr>
            </w:pPr>
            <w:r>
              <w:rPr>
                <w:color w:val="auto"/>
                <w:sz w:val="21"/>
                <w:szCs w:val="21"/>
              </w:rPr>
              <w:t>类别</w:t>
            </w:r>
          </w:p>
        </w:tc>
        <w:tc>
          <w:tcPr>
            <w:tcW w:w="1156" w:type="dxa"/>
            <w:vAlign w:val="center"/>
          </w:tcPr>
          <w:p>
            <w:pPr>
              <w:jc w:val="center"/>
              <w:rPr>
                <w:color w:val="auto"/>
                <w:sz w:val="21"/>
                <w:szCs w:val="21"/>
              </w:rPr>
            </w:pPr>
            <w:r>
              <w:rPr>
                <w:color w:val="auto"/>
                <w:sz w:val="21"/>
                <w:szCs w:val="21"/>
              </w:rPr>
              <w:t>检测项目</w:t>
            </w:r>
          </w:p>
        </w:tc>
        <w:tc>
          <w:tcPr>
            <w:tcW w:w="2454" w:type="dxa"/>
            <w:vAlign w:val="center"/>
          </w:tcPr>
          <w:p>
            <w:pPr>
              <w:jc w:val="center"/>
              <w:rPr>
                <w:color w:val="auto"/>
                <w:sz w:val="21"/>
                <w:szCs w:val="21"/>
              </w:rPr>
            </w:pPr>
            <w:r>
              <w:rPr>
                <w:color w:val="auto"/>
                <w:sz w:val="21"/>
                <w:szCs w:val="21"/>
              </w:rPr>
              <w:t>方法依据</w:t>
            </w:r>
          </w:p>
        </w:tc>
        <w:tc>
          <w:tcPr>
            <w:tcW w:w="2430" w:type="dxa"/>
            <w:vAlign w:val="center"/>
          </w:tcPr>
          <w:p>
            <w:pPr>
              <w:jc w:val="center"/>
              <w:rPr>
                <w:color w:val="auto"/>
                <w:sz w:val="21"/>
                <w:szCs w:val="21"/>
              </w:rPr>
            </w:pPr>
            <w:r>
              <w:rPr>
                <w:color w:val="auto"/>
                <w:sz w:val="21"/>
                <w:szCs w:val="21"/>
              </w:rPr>
              <w:t>检测设备（型号）及编号</w:t>
            </w:r>
          </w:p>
        </w:tc>
        <w:tc>
          <w:tcPr>
            <w:tcW w:w="1601" w:type="dxa"/>
            <w:vAlign w:val="center"/>
          </w:tcPr>
          <w:p>
            <w:pPr>
              <w:jc w:val="center"/>
              <w:rPr>
                <w:color w:val="auto"/>
                <w:sz w:val="21"/>
                <w:szCs w:val="21"/>
              </w:rPr>
            </w:pPr>
            <w:r>
              <w:rPr>
                <w:color w:val="auto"/>
                <w:sz w:val="21"/>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1" w:type="dxa"/>
            <w:vMerge w:val="restart"/>
            <w:vAlign w:val="center"/>
          </w:tcPr>
          <w:p>
            <w:pPr>
              <w:jc w:val="center"/>
              <w:rPr>
                <w:color w:val="auto"/>
                <w:sz w:val="21"/>
                <w:szCs w:val="21"/>
              </w:rPr>
            </w:pPr>
            <w:r>
              <w:rPr>
                <w:color w:val="auto"/>
                <w:sz w:val="21"/>
                <w:szCs w:val="21"/>
              </w:rPr>
              <w:t>土壤</w:t>
            </w:r>
          </w:p>
        </w:tc>
        <w:tc>
          <w:tcPr>
            <w:tcW w:w="1156" w:type="dxa"/>
            <w:vAlign w:val="center"/>
          </w:tcPr>
          <w:p>
            <w:pPr>
              <w:jc w:val="center"/>
              <w:rPr>
                <w:color w:val="auto"/>
                <w:sz w:val="21"/>
                <w:szCs w:val="21"/>
              </w:rPr>
            </w:pPr>
            <w:r>
              <w:rPr>
                <w:color w:val="auto"/>
                <w:sz w:val="21"/>
                <w:szCs w:val="21"/>
              </w:rPr>
              <w:t>pH值</w:t>
            </w:r>
          </w:p>
        </w:tc>
        <w:tc>
          <w:tcPr>
            <w:tcW w:w="2454" w:type="dxa"/>
            <w:vAlign w:val="center"/>
          </w:tcPr>
          <w:p>
            <w:pPr>
              <w:jc w:val="center"/>
              <w:rPr>
                <w:color w:val="auto"/>
                <w:sz w:val="21"/>
                <w:szCs w:val="21"/>
              </w:rPr>
            </w:pPr>
            <w:r>
              <w:rPr>
                <w:color w:val="auto"/>
                <w:sz w:val="21"/>
                <w:szCs w:val="21"/>
              </w:rPr>
              <w:t>《土壤检测 第2部分：土壤pH的测定》</w:t>
            </w:r>
          </w:p>
          <w:p>
            <w:pPr>
              <w:jc w:val="center"/>
              <w:rPr>
                <w:color w:val="auto"/>
                <w:sz w:val="21"/>
                <w:szCs w:val="21"/>
              </w:rPr>
            </w:pPr>
            <w:r>
              <w:rPr>
                <w:color w:val="auto"/>
                <w:sz w:val="21"/>
                <w:szCs w:val="21"/>
              </w:rPr>
              <w:t>NY/T 1121.2-2006</w:t>
            </w:r>
          </w:p>
        </w:tc>
        <w:tc>
          <w:tcPr>
            <w:tcW w:w="2430" w:type="dxa"/>
            <w:vAlign w:val="center"/>
          </w:tcPr>
          <w:p>
            <w:pPr>
              <w:jc w:val="center"/>
              <w:rPr>
                <w:color w:val="auto"/>
                <w:sz w:val="21"/>
                <w:szCs w:val="21"/>
              </w:rPr>
            </w:pPr>
            <w:r>
              <w:rPr>
                <w:color w:val="auto"/>
                <w:sz w:val="21"/>
                <w:szCs w:val="21"/>
              </w:rPr>
              <w:t>pH计(PHS-25CW)</w:t>
            </w:r>
          </w:p>
          <w:p>
            <w:pPr>
              <w:jc w:val="center"/>
              <w:rPr>
                <w:color w:val="auto"/>
                <w:sz w:val="21"/>
                <w:szCs w:val="21"/>
              </w:rPr>
            </w:pPr>
            <w:r>
              <w:rPr>
                <w:color w:val="auto"/>
                <w:sz w:val="21"/>
                <w:szCs w:val="21"/>
              </w:rPr>
              <w:t>YQ-129-12</w:t>
            </w:r>
          </w:p>
        </w:tc>
        <w:tc>
          <w:tcPr>
            <w:tcW w:w="1601" w:type="dxa"/>
            <w:vAlign w:val="center"/>
          </w:tcPr>
          <w:p>
            <w:pPr>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1" w:type="dxa"/>
            <w:vMerge w:val="continue"/>
            <w:vAlign w:val="center"/>
          </w:tcPr>
          <w:p>
            <w:pPr>
              <w:jc w:val="center"/>
              <w:rPr>
                <w:color w:val="auto"/>
                <w:sz w:val="21"/>
                <w:szCs w:val="21"/>
              </w:rPr>
            </w:pPr>
          </w:p>
        </w:tc>
        <w:tc>
          <w:tcPr>
            <w:tcW w:w="1156" w:type="dxa"/>
            <w:vAlign w:val="center"/>
          </w:tcPr>
          <w:p>
            <w:pPr>
              <w:jc w:val="center"/>
              <w:rPr>
                <w:color w:val="auto"/>
                <w:sz w:val="21"/>
                <w:szCs w:val="21"/>
              </w:rPr>
            </w:pPr>
            <w:r>
              <w:rPr>
                <w:color w:val="auto"/>
                <w:sz w:val="21"/>
                <w:szCs w:val="21"/>
              </w:rPr>
              <w:t>镉</w:t>
            </w:r>
          </w:p>
        </w:tc>
        <w:tc>
          <w:tcPr>
            <w:tcW w:w="2454" w:type="dxa"/>
            <w:vAlign w:val="center"/>
          </w:tcPr>
          <w:p>
            <w:pPr>
              <w:jc w:val="center"/>
              <w:rPr>
                <w:color w:val="auto"/>
                <w:sz w:val="21"/>
                <w:szCs w:val="21"/>
              </w:rPr>
            </w:pPr>
            <w:r>
              <w:rPr>
                <w:color w:val="auto"/>
                <w:sz w:val="21"/>
                <w:szCs w:val="21"/>
              </w:rPr>
              <w:t>《土壤质量 铅、镉的测定 石墨炉原子吸收分光光度法》</w:t>
            </w:r>
          </w:p>
          <w:p>
            <w:pPr>
              <w:jc w:val="center"/>
              <w:rPr>
                <w:color w:val="auto"/>
                <w:sz w:val="21"/>
                <w:szCs w:val="21"/>
              </w:rPr>
            </w:pPr>
            <w:r>
              <w:rPr>
                <w:color w:val="auto"/>
                <w:sz w:val="21"/>
                <w:szCs w:val="21"/>
              </w:rPr>
              <w:t>GB/T 17141-1997</w:t>
            </w:r>
          </w:p>
        </w:tc>
        <w:tc>
          <w:tcPr>
            <w:tcW w:w="2430" w:type="dxa"/>
            <w:vAlign w:val="center"/>
          </w:tcPr>
          <w:p>
            <w:pPr>
              <w:jc w:val="center"/>
              <w:rPr>
                <w:color w:val="auto"/>
                <w:sz w:val="21"/>
                <w:szCs w:val="21"/>
              </w:rPr>
            </w:pPr>
            <w:r>
              <w:rPr>
                <w:color w:val="auto"/>
                <w:sz w:val="21"/>
                <w:szCs w:val="21"/>
              </w:rPr>
              <w:t>偏振塞曼原子吸收分光光度计(Z-2010)YQ-185</w:t>
            </w:r>
          </w:p>
        </w:tc>
        <w:tc>
          <w:tcPr>
            <w:tcW w:w="1601" w:type="dxa"/>
            <w:vAlign w:val="center"/>
          </w:tcPr>
          <w:p>
            <w:pPr>
              <w:jc w:val="center"/>
              <w:rPr>
                <w:color w:val="auto"/>
                <w:sz w:val="21"/>
                <w:szCs w:val="21"/>
              </w:rPr>
            </w:pPr>
            <w:r>
              <w:rPr>
                <w:color w:val="auto"/>
                <w:sz w:val="21"/>
                <w:szCs w:val="21"/>
              </w:rPr>
              <w:t>0.01mg/kg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1" w:type="dxa"/>
            <w:vMerge w:val="continue"/>
            <w:vAlign w:val="center"/>
          </w:tcPr>
          <w:p>
            <w:pPr>
              <w:jc w:val="center"/>
              <w:rPr>
                <w:color w:val="auto"/>
                <w:sz w:val="21"/>
                <w:szCs w:val="21"/>
              </w:rPr>
            </w:pPr>
          </w:p>
        </w:tc>
        <w:tc>
          <w:tcPr>
            <w:tcW w:w="1156" w:type="dxa"/>
            <w:vAlign w:val="center"/>
          </w:tcPr>
          <w:p>
            <w:pPr>
              <w:jc w:val="center"/>
              <w:rPr>
                <w:color w:val="auto"/>
                <w:sz w:val="21"/>
                <w:szCs w:val="21"/>
              </w:rPr>
            </w:pPr>
            <w:r>
              <w:rPr>
                <w:color w:val="auto"/>
                <w:sz w:val="21"/>
                <w:szCs w:val="21"/>
              </w:rPr>
              <w:t>汞</w:t>
            </w:r>
          </w:p>
        </w:tc>
        <w:tc>
          <w:tcPr>
            <w:tcW w:w="2454" w:type="dxa"/>
            <w:vAlign w:val="center"/>
          </w:tcPr>
          <w:p>
            <w:pPr>
              <w:jc w:val="center"/>
              <w:rPr>
                <w:color w:val="auto"/>
                <w:sz w:val="21"/>
                <w:szCs w:val="21"/>
              </w:rPr>
            </w:pPr>
            <w:r>
              <w:rPr>
                <w:color w:val="auto"/>
                <w:sz w:val="21"/>
                <w:szCs w:val="21"/>
              </w:rPr>
              <w:t>《土壤质量 总汞、总砷、总铅的测定 原子荧光法 第1部分：土壤中总汞的测定》</w:t>
            </w:r>
          </w:p>
          <w:p>
            <w:pPr>
              <w:jc w:val="center"/>
              <w:rPr>
                <w:color w:val="auto"/>
                <w:sz w:val="21"/>
                <w:szCs w:val="21"/>
              </w:rPr>
            </w:pPr>
            <w:r>
              <w:rPr>
                <w:color w:val="auto"/>
                <w:sz w:val="21"/>
                <w:szCs w:val="21"/>
              </w:rPr>
              <w:t>GB/T 22105.1-2008</w:t>
            </w:r>
          </w:p>
        </w:tc>
        <w:tc>
          <w:tcPr>
            <w:tcW w:w="2430" w:type="dxa"/>
            <w:vAlign w:val="center"/>
          </w:tcPr>
          <w:p>
            <w:pPr>
              <w:jc w:val="center"/>
              <w:rPr>
                <w:color w:val="auto"/>
                <w:sz w:val="21"/>
                <w:szCs w:val="21"/>
              </w:rPr>
            </w:pPr>
            <w:r>
              <w:rPr>
                <w:color w:val="auto"/>
                <w:sz w:val="21"/>
                <w:szCs w:val="21"/>
              </w:rPr>
              <w:t>原子荧光分光光度计(PF52)</w:t>
            </w:r>
          </w:p>
          <w:p>
            <w:pPr>
              <w:jc w:val="center"/>
              <w:rPr>
                <w:color w:val="auto"/>
                <w:sz w:val="21"/>
                <w:szCs w:val="21"/>
              </w:rPr>
            </w:pPr>
            <w:r>
              <w:rPr>
                <w:color w:val="auto"/>
                <w:sz w:val="21"/>
                <w:szCs w:val="21"/>
              </w:rPr>
              <w:t>YQ-002-01</w:t>
            </w:r>
          </w:p>
        </w:tc>
        <w:tc>
          <w:tcPr>
            <w:tcW w:w="1601" w:type="dxa"/>
            <w:vAlign w:val="center"/>
          </w:tcPr>
          <w:p>
            <w:pPr>
              <w:jc w:val="center"/>
              <w:rPr>
                <w:color w:val="auto"/>
                <w:sz w:val="21"/>
                <w:szCs w:val="21"/>
              </w:rPr>
            </w:pPr>
            <w:r>
              <w:rPr>
                <w:color w:val="auto"/>
                <w:sz w:val="21"/>
                <w:szCs w:val="21"/>
              </w:rPr>
              <w:t>0.002mg/kg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1" w:type="dxa"/>
            <w:vMerge w:val="continue"/>
            <w:vAlign w:val="center"/>
          </w:tcPr>
          <w:p>
            <w:pPr>
              <w:jc w:val="center"/>
              <w:rPr>
                <w:color w:val="auto"/>
                <w:sz w:val="21"/>
                <w:szCs w:val="21"/>
              </w:rPr>
            </w:pPr>
          </w:p>
        </w:tc>
        <w:tc>
          <w:tcPr>
            <w:tcW w:w="1156" w:type="dxa"/>
            <w:vAlign w:val="center"/>
          </w:tcPr>
          <w:p>
            <w:pPr>
              <w:jc w:val="center"/>
              <w:rPr>
                <w:color w:val="auto"/>
                <w:sz w:val="21"/>
                <w:szCs w:val="21"/>
              </w:rPr>
            </w:pPr>
            <w:r>
              <w:rPr>
                <w:color w:val="auto"/>
                <w:sz w:val="21"/>
                <w:szCs w:val="21"/>
              </w:rPr>
              <w:t>六价铬</w:t>
            </w:r>
          </w:p>
        </w:tc>
        <w:tc>
          <w:tcPr>
            <w:tcW w:w="2454" w:type="dxa"/>
            <w:vAlign w:val="center"/>
          </w:tcPr>
          <w:p>
            <w:pPr>
              <w:jc w:val="center"/>
              <w:rPr>
                <w:color w:val="auto"/>
                <w:sz w:val="21"/>
                <w:szCs w:val="21"/>
              </w:rPr>
            </w:pPr>
            <w:r>
              <w:rPr>
                <w:color w:val="auto"/>
                <w:sz w:val="21"/>
                <w:szCs w:val="21"/>
              </w:rPr>
              <w:t>《固体废物 六价铬的测定 碱消解/火焰原子吸收分光光度法》</w:t>
            </w:r>
          </w:p>
          <w:p>
            <w:pPr>
              <w:jc w:val="center"/>
              <w:rPr>
                <w:color w:val="auto"/>
                <w:sz w:val="21"/>
                <w:szCs w:val="21"/>
              </w:rPr>
            </w:pPr>
            <w:r>
              <w:rPr>
                <w:color w:val="auto"/>
                <w:sz w:val="21"/>
                <w:szCs w:val="21"/>
              </w:rPr>
              <w:t>HJ 687-2014</w:t>
            </w:r>
          </w:p>
        </w:tc>
        <w:tc>
          <w:tcPr>
            <w:tcW w:w="2430" w:type="dxa"/>
            <w:vAlign w:val="center"/>
          </w:tcPr>
          <w:p>
            <w:pPr>
              <w:jc w:val="center"/>
              <w:rPr>
                <w:color w:val="auto"/>
                <w:sz w:val="21"/>
                <w:szCs w:val="21"/>
              </w:rPr>
            </w:pPr>
            <w:r>
              <w:rPr>
                <w:color w:val="auto"/>
                <w:sz w:val="21"/>
                <w:szCs w:val="21"/>
              </w:rPr>
              <w:t>原子吸收分光光度计(Z-2000)</w:t>
            </w:r>
          </w:p>
          <w:p>
            <w:pPr>
              <w:jc w:val="center"/>
              <w:rPr>
                <w:color w:val="auto"/>
                <w:sz w:val="21"/>
                <w:szCs w:val="21"/>
              </w:rPr>
            </w:pPr>
            <w:r>
              <w:rPr>
                <w:color w:val="auto"/>
                <w:sz w:val="21"/>
                <w:szCs w:val="21"/>
              </w:rPr>
              <w:t>YQ-001</w:t>
            </w:r>
          </w:p>
        </w:tc>
        <w:tc>
          <w:tcPr>
            <w:tcW w:w="1601" w:type="dxa"/>
            <w:vAlign w:val="center"/>
          </w:tcPr>
          <w:p>
            <w:pPr>
              <w:jc w:val="center"/>
              <w:rPr>
                <w:color w:val="auto"/>
                <w:sz w:val="21"/>
                <w:szCs w:val="21"/>
              </w:rPr>
            </w:pPr>
            <w:r>
              <w:rPr>
                <w:color w:val="auto"/>
                <w:sz w:val="21"/>
                <w:szCs w:val="21"/>
              </w:rPr>
              <w:t>2mg/kg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1" w:type="dxa"/>
            <w:vMerge w:val="continue"/>
            <w:vAlign w:val="center"/>
          </w:tcPr>
          <w:p>
            <w:pPr>
              <w:jc w:val="center"/>
              <w:rPr>
                <w:color w:val="auto"/>
                <w:sz w:val="21"/>
                <w:szCs w:val="21"/>
              </w:rPr>
            </w:pPr>
          </w:p>
        </w:tc>
        <w:tc>
          <w:tcPr>
            <w:tcW w:w="1156" w:type="dxa"/>
            <w:vAlign w:val="center"/>
          </w:tcPr>
          <w:p>
            <w:pPr>
              <w:jc w:val="center"/>
              <w:rPr>
                <w:color w:val="auto"/>
                <w:sz w:val="21"/>
                <w:szCs w:val="21"/>
              </w:rPr>
            </w:pPr>
            <w:r>
              <w:rPr>
                <w:color w:val="auto"/>
                <w:sz w:val="21"/>
                <w:szCs w:val="21"/>
              </w:rPr>
              <w:t>镍</w:t>
            </w:r>
          </w:p>
        </w:tc>
        <w:tc>
          <w:tcPr>
            <w:tcW w:w="2454" w:type="dxa"/>
            <w:vAlign w:val="center"/>
          </w:tcPr>
          <w:p>
            <w:pPr>
              <w:jc w:val="center"/>
              <w:rPr>
                <w:color w:val="auto"/>
                <w:sz w:val="21"/>
                <w:szCs w:val="21"/>
              </w:rPr>
            </w:pPr>
            <w:r>
              <w:rPr>
                <w:color w:val="auto"/>
                <w:sz w:val="21"/>
                <w:szCs w:val="21"/>
              </w:rPr>
              <w:t>《土壤质量 镍的测定 火焰原子吸收分光光度法》GB/T 17139-1997</w:t>
            </w:r>
          </w:p>
        </w:tc>
        <w:tc>
          <w:tcPr>
            <w:tcW w:w="2430" w:type="dxa"/>
            <w:vAlign w:val="center"/>
          </w:tcPr>
          <w:p>
            <w:pPr>
              <w:jc w:val="center"/>
              <w:rPr>
                <w:color w:val="auto"/>
                <w:sz w:val="21"/>
                <w:szCs w:val="21"/>
              </w:rPr>
            </w:pPr>
            <w:r>
              <w:rPr>
                <w:color w:val="auto"/>
                <w:sz w:val="21"/>
                <w:szCs w:val="21"/>
              </w:rPr>
              <w:t>原子吸收分光光度计(Z-2000)</w:t>
            </w:r>
          </w:p>
          <w:p>
            <w:pPr>
              <w:jc w:val="center"/>
              <w:rPr>
                <w:color w:val="auto"/>
                <w:sz w:val="21"/>
                <w:szCs w:val="21"/>
              </w:rPr>
            </w:pPr>
            <w:r>
              <w:rPr>
                <w:color w:val="auto"/>
                <w:sz w:val="21"/>
                <w:szCs w:val="21"/>
              </w:rPr>
              <w:t>YQ-001</w:t>
            </w:r>
          </w:p>
        </w:tc>
        <w:tc>
          <w:tcPr>
            <w:tcW w:w="1601" w:type="dxa"/>
            <w:vAlign w:val="center"/>
          </w:tcPr>
          <w:p>
            <w:pPr>
              <w:jc w:val="center"/>
              <w:rPr>
                <w:color w:val="auto"/>
                <w:sz w:val="21"/>
                <w:szCs w:val="21"/>
              </w:rPr>
            </w:pPr>
            <w:r>
              <w:rPr>
                <w:color w:val="auto"/>
                <w:sz w:val="21"/>
                <w:szCs w:val="21"/>
              </w:rPr>
              <w:t>5mg/kg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1" w:type="dxa"/>
            <w:vMerge w:val="continue"/>
            <w:vAlign w:val="center"/>
          </w:tcPr>
          <w:p>
            <w:pPr>
              <w:jc w:val="center"/>
              <w:rPr>
                <w:color w:val="auto"/>
                <w:sz w:val="21"/>
                <w:szCs w:val="21"/>
              </w:rPr>
            </w:pPr>
          </w:p>
        </w:tc>
        <w:tc>
          <w:tcPr>
            <w:tcW w:w="1156" w:type="dxa"/>
            <w:vAlign w:val="center"/>
          </w:tcPr>
          <w:p>
            <w:pPr>
              <w:jc w:val="center"/>
              <w:rPr>
                <w:color w:val="auto"/>
                <w:sz w:val="21"/>
                <w:szCs w:val="21"/>
              </w:rPr>
            </w:pPr>
            <w:r>
              <w:rPr>
                <w:color w:val="auto"/>
                <w:sz w:val="21"/>
                <w:szCs w:val="21"/>
              </w:rPr>
              <w:t>铅</w:t>
            </w:r>
          </w:p>
        </w:tc>
        <w:tc>
          <w:tcPr>
            <w:tcW w:w="2454" w:type="dxa"/>
            <w:vAlign w:val="center"/>
          </w:tcPr>
          <w:p>
            <w:pPr>
              <w:jc w:val="center"/>
              <w:rPr>
                <w:color w:val="auto"/>
                <w:sz w:val="21"/>
                <w:szCs w:val="21"/>
              </w:rPr>
            </w:pPr>
            <w:r>
              <w:rPr>
                <w:color w:val="auto"/>
                <w:sz w:val="21"/>
                <w:szCs w:val="21"/>
              </w:rPr>
              <w:t>《土壤质量 铅、镉的测定 石墨炉原子吸收分光光度法》</w:t>
            </w:r>
          </w:p>
          <w:p>
            <w:pPr>
              <w:jc w:val="center"/>
              <w:rPr>
                <w:color w:val="auto"/>
                <w:sz w:val="21"/>
                <w:szCs w:val="21"/>
              </w:rPr>
            </w:pPr>
            <w:r>
              <w:rPr>
                <w:color w:val="auto"/>
                <w:sz w:val="21"/>
                <w:szCs w:val="21"/>
              </w:rPr>
              <w:t>GB/T 17141-1997</w:t>
            </w:r>
          </w:p>
        </w:tc>
        <w:tc>
          <w:tcPr>
            <w:tcW w:w="2430" w:type="dxa"/>
            <w:vAlign w:val="center"/>
          </w:tcPr>
          <w:p>
            <w:pPr>
              <w:jc w:val="center"/>
              <w:rPr>
                <w:color w:val="auto"/>
                <w:sz w:val="21"/>
                <w:szCs w:val="21"/>
              </w:rPr>
            </w:pPr>
            <w:r>
              <w:rPr>
                <w:color w:val="auto"/>
                <w:sz w:val="21"/>
                <w:szCs w:val="21"/>
              </w:rPr>
              <w:t>原子吸收分光光度计(Z-2010)</w:t>
            </w:r>
          </w:p>
          <w:p>
            <w:pPr>
              <w:jc w:val="center"/>
              <w:rPr>
                <w:color w:val="auto"/>
                <w:sz w:val="21"/>
                <w:szCs w:val="21"/>
              </w:rPr>
            </w:pPr>
            <w:r>
              <w:rPr>
                <w:color w:val="auto"/>
                <w:sz w:val="21"/>
                <w:szCs w:val="21"/>
              </w:rPr>
              <w:t>YQ-185</w:t>
            </w:r>
          </w:p>
        </w:tc>
        <w:tc>
          <w:tcPr>
            <w:tcW w:w="1601" w:type="dxa"/>
            <w:vAlign w:val="center"/>
          </w:tcPr>
          <w:p>
            <w:pPr>
              <w:jc w:val="center"/>
              <w:rPr>
                <w:color w:val="auto"/>
                <w:sz w:val="21"/>
                <w:szCs w:val="21"/>
              </w:rPr>
            </w:pPr>
            <w:r>
              <w:rPr>
                <w:color w:val="auto"/>
                <w:sz w:val="21"/>
                <w:szCs w:val="21"/>
              </w:rPr>
              <w:t>0.1mg/kg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1" w:type="dxa"/>
            <w:vMerge w:val="continue"/>
            <w:vAlign w:val="center"/>
          </w:tcPr>
          <w:p>
            <w:pPr>
              <w:jc w:val="center"/>
              <w:rPr>
                <w:color w:val="auto"/>
                <w:sz w:val="21"/>
                <w:szCs w:val="21"/>
              </w:rPr>
            </w:pPr>
          </w:p>
        </w:tc>
        <w:tc>
          <w:tcPr>
            <w:tcW w:w="1156" w:type="dxa"/>
            <w:vAlign w:val="center"/>
          </w:tcPr>
          <w:p>
            <w:pPr>
              <w:jc w:val="center"/>
              <w:rPr>
                <w:color w:val="auto"/>
                <w:sz w:val="21"/>
                <w:szCs w:val="21"/>
              </w:rPr>
            </w:pPr>
            <w:r>
              <w:rPr>
                <w:color w:val="auto"/>
                <w:sz w:val="21"/>
                <w:szCs w:val="21"/>
              </w:rPr>
              <w:t>砷</w:t>
            </w:r>
          </w:p>
        </w:tc>
        <w:tc>
          <w:tcPr>
            <w:tcW w:w="2454" w:type="dxa"/>
            <w:vAlign w:val="center"/>
          </w:tcPr>
          <w:p>
            <w:pPr>
              <w:jc w:val="center"/>
              <w:rPr>
                <w:color w:val="auto"/>
                <w:sz w:val="21"/>
                <w:szCs w:val="21"/>
              </w:rPr>
            </w:pPr>
            <w:r>
              <w:rPr>
                <w:color w:val="auto"/>
                <w:sz w:val="21"/>
                <w:szCs w:val="21"/>
              </w:rPr>
              <w:t>《土壤质量 总汞、总砷、总铅的测定 原子荧光法 第2部分：土壤中总砷的测定》GB/T 22105.2-2008</w:t>
            </w:r>
          </w:p>
        </w:tc>
        <w:tc>
          <w:tcPr>
            <w:tcW w:w="2430" w:type="dxa"/>
            <w:vAlign w:val="center"/>
          </w:tcPr>
          <w:p>
            <w:pPr>
              <w:jc w:val="center"/>
              <w:rPr>
                <w:color w:val="auto"/>
                <w:sz w:val="21"/>
                <w:szCs w:val="21"/>
              </w:rPr>
            </w:pPr>
            <w:r>
              <w:rPr>
                <w:color w:val="auto"/>
                <w:sz w:val="21"/>
                <w:szCs w:val="21"/>
              </w:rPr>
              <w:t>原子荧光分光光度计(PF52)</w:t>
            </w:r>
          </w:p>
          <w:p>
            <w:pPr>
              <w:jc w:val="center"/>
              <w:rPr>
                <w:color w:val="auto"/>
                <w:sz w:val="21"/>
                <w:szCs w:val="21"/>
              </w:rPr>
            </w:pPr>
            <w:r>
              <w:rPr>
                <w:color w:val="auto"/>
                <w:sz w:val="21"/>
                <w:szCs w:val="21"/>
              </w:rPr>
              <w:t>YQ-002-01</w:t>
            </w:r>
          </w:p>
        </w:tc>
        <w:tc>
          <w:tcPr>
            <w:tcW w:w="1601" w:type="dxa"/>
            <w:vAlign w:val="center"/>
          </w:tcPr>
          <w:p>
            <w:pPr>
              <w:jc w:val="center"/>
              <w:rPr>
                <w:color w:val="auto"/>
                <w:sz w:val="21"/>
                <w:szCs w:val="21"/>
              </w:rPr>
            </w:pPr>
            <w:r>
              <w:rPr>
                <w:color w:val="auto"/>
                <w:sz w:val="21"/>
                <w:szCs w:val="21"/>
              </w:rPr>
              <w:t>0.01mg/kg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1" w:type="dxa"/>
            <w:vMerge w:val="continue"/>
            <w:vAlign w:val="center"/>
          </w:tcPr>
          <w:p>
            <w:pPr>
              <w:jc w:val="center"/>
              <w:rPr>
                <w:color w:val="auto"/>
                <w:sz w:val="21"/>
                <w:szCs w:val="21"/>
              </w:rPr>
            </w:pPr>
          </w:p>
        </w:tc>
        <w:tc>
          <w:tcPr>
            <w:tcW w:w="1156" w:type="dxa"/>
            <w:vAlign w:val="center"/>
          </w:tcPr>
          <w:p>
            <w:pPr>
              <w:jc w:val="center"/>
              <w:rPr>
                <w:color w:val="auto"/>
                <w:sz w:val="21"/>
                <w:szCs w:val="21"/>
              </w:rPr>
            </w:pPr>
            <w:r>
              <w:rPr>
                <w:color w:val="auto"/>
                <w:sz w:val="21"/>
                <w:szCs w:val="21"/>
              </w:rPr>
              <w:t>铜</w:t>
            </w:r>
          </w:p>
        </w:tc>
        <w:tc>
          <w:tcPr>
            <w:tcW w:w="2454" w:type="dxa"/>
            <w:vAlign w:val="center"/>
          </w:tcPr>
          <w:p>
            <w:pPr>
              <w:jc w:val="center"/>
              <w:rPr>
                <w:color w:val="auto"/>
                <w:sz w:val="21"/>
                <w:szCs w:val="21"/>
              </w:rPr>
            </w:pPr>
            <w:r>
              <w:rPr>
                <w:color w:val="auto"/>
                <w:sz w:val="21"/>
                <w:szCs w:val="21"/>
              </w:rPr>
              <w:t>《土壤质量 铜、锌的测定 火焰原子吸收分光光度法》GB/T 17138-1997</w:t>
            </w:r>
          </w:p>
        </w:tc>
        <w:tc>
          <w:tcPr>
            <w:tcW w:w="2430" w:type="dxa"/>
            <w:vAlign w:val="center"/>
          </w:tcPr>
          <w:p>
            <w:pPr>
              <w:jc w:val="center"/>
              <w:rPr>
                <w:color w:val="auto"/>
                <w:sz w:val="21"/>
                <w:szCs w:val="21"/>
              </w:rPr>
            </w:pPr>
            <w:r>
              <w:rPr>
                <w:color w:val="auto"/>
                <w:sz w:val="21"/>
                <w:szCs w:val="21"/>
              </w:rPr>
              <w:t>原子吸收分光光度计(Z-2000)</w:t>
            </w:r>
          </w:p>
          <w:p>
            <w:pPr>
              <w:jc w:val="center"/>
              <w:rPr>
                <w:color w:val="auto"/>
                <w:sz w:val="21"/>
                <w:szCs w:val="21"/>
              </w:rPr>
            </w:pPr>
            <w:r>
              <w:rPr>
                <w:color w:val="auto"/>
                <w:sz w:val="21"/>
                <w:szCs w:val="21"/>
              </w:rPr>
              <w:t>YQ-001</w:t>
            </w:r>
          </w:p>
        </w:tc>
        <w:tc>
          <w:tcPr>
            <w:tcW w:w="1601" w:type="dxa"/>
            <w:vAlign w:val="center"/>
          </w:tcPr>
          <w:p>
            <w:pPr>
              <w:jc w:val="center"/>
              <w:rPr>
                <w:color w:val="auto"/>
                <w:sz w:val="21"/>
                <w:szCs w:val="21"/>
              </w:rPr>
            </w:pPr>
            <w:r>
              <w:rPr>
                <w:color w:val="auto"/>
                <w:sz w:val="21"/>
                <w:szCs w:val="21"/>
              </w:rPr>
              <w:t>1mg/kg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1" w:type="dxa"/>
            <w:vMerge w:val="continue"/>
            <w:vAlign w:val="center"/>
          </w:tcPr>
          <w:p>
            <w:pPr>
              <w:jc w:val="center"/>
              <w:rPr>
                <w:color w:val="auto"/>
                <w:sz w:val="21"/>
                <w:szCs w:val="21"/>
              </w:rPr>
            </w:pPr>
          </w:p>
        </w:tc>
        <w:tc>
          <w:tcPr>
            <w:tcW w:w="1156" w:type="dxa"/>
            <w:vAlign w:val="center"/>
          </w:tcPr>
          <w:p>
            <w:pPr>
              <w:jc w:val="center"/>
              <w:rPr>
                <w:color w:val="auto"/>
                <w:sz w:val="21"/>
                <w:szCs w:val="21"/>
              </w:rPr>
            </w:pPr>
            <w:r>
              <w:rPr>
                <w:color w:val="auto"/>
                <w:sz w:val="21"/>
                <w:szCs w:val="21"/>
              </w:rPr>
              <w:t>总铬</w:t>
            </w:r>
          </w:p>
        </w:tc>
        <w:tc>
          <w:tcPr>
            <w:tcW w:w="2454" w:type="dxa"/>
            <w:vAlign w:val="center"/>
          </w:tcPr>
          <w:p>
            <w:pPr>
              <w:jc w:val="center"/>
              <w:rPr>
                <w:color w:val="auto"/>
                <w:sz w:val="21"/>
                <w:szCs w:val="21"/>
              </w:rPr>
            </w:pPr>
            <w:r>
              <w:rPr>
                <w:color w:val="auto"/>
                <w:sz w:val="21"/>
                <w:szCs w:val="21"/>
              </w:rPr>
              <w:t>《土壤质量 总铬的测定 火焰原子吸收分光光度法》HJ 491-2009</w:t>
            </w:r>
          </w:p>
        </w:tc>
        <w:tc>
          <w:tcPr>
            <w:tcW w:w="2430" w:type="dxa"/>
            <w:vAlign w:val="center"/>
          </w:tcPr>
          <w:p>
            <w:pPr>
              <w:jc w:val="center"/>
              <w:rPr>
                <w:color w:val="auto"/>
                <w:sz w:val="21"/>
                <w:szCs w:val="21"/>
              </w:rPr>
            </w:pPr>
            <w:r>
              <w:rPr>
                <w:color w:val="auto"/>
                <w:sz w:val="21"/>
                <w:szCs w:val="21"/>
              </w:rPr>
              <w:t>原子吸收分光光度计(Z-2000)</w:t>
            </w:r>
          </w:p>
          <w:p>
            <w:pPr>
              <w:jc w:val="center"/>
              <w:rPr>
                <w:color w:val="auto"/>
                <w:sz w:val="21"/>
                <w:szCs w:val="21"/>
              </w:rPr>
            </w:pPr>
            <w:r>
              <w:rPr>
                <w:color w:val="auto"/>
                <w:sz w:val="21"/>
                <w:szCs w:val="21"/>
              </w:rPr>
              <w:t>YQ-001</w:t>
            </w:r>
          </w:p>
        </w:tc>
        <w:tc>
          <w:tcPr>
            <w:tcW w:w="1601" w:type="dxa"/>
            <w:vAlign w:val="center"/>
          </w:tcPr>
          <w:p>
            <w:pPr>
              <w:jc w:val="center"/>
              <w:rPr>
                <w:color w:val="auto"/>
                <w:sz w:val="21"/>
                <w:szCs w:val="21"/>
              </w:rPr>
            </w:pPr>
            <w:r>
              <w:rPr>
                <w:color w:val="auto"/>
                <w:sz w:val="21"/>
                <w:szCs w:val="21"/>
              </w:rPr>
              <w:t>5mg/kg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81" w:type="dxa"/>
            <w:vMerge w:val="continue"/>
            <w:vAlign w:val="center"/>
          </w:tcPr>
          <w:p>
            <w:pPr>
              <w:jc w:val="center"/>
              <w:rPr>
                <w:color w:val="auto"/>
                <w:sz w:val="21"/>
                <w:szCs w:val="21"/>
              </w:rPr>
            </w:pPr>
          </w:p>
        </w:tc>
        <w:tc>
          <w:tcPr>
            <w:tcW w:w="1156" w:type="dxa"/>
            <w:vAlign w:val="center"/>
          </w:tcPr>
          <w:p>
            <w:pPr>
              <w:jc w:val="center"/>
              <w:rPr>
                <w:color w:val="auto"/>
                <w:sz w:val="21"/>
                <w:szCs w:val="21"/>
              </w:rPr>
            </w:pPr>
            <w:r>
              <w:rPr>
                <w:color w:val="auto"/>
                <w:sz w:val="21"/>
                <w:szCs w:val="21"/>
              </w:rPr>
              <w:t>2-氯酚</w:t>
            </w:r>
          </w:p>
        </w:tc>
        <w:tc>
          <w:tcPr>
            <w:tcW w:w="2454" w:type="dxa"/>
            <w:vAlign w:val="center"/>
          </w:tcPr>
          <w:p>
            <w:pPr>
              <w:jc w:val="center"/>
              <w:rPr>
                <w:color w:val="auto"/>
                <w:sz w:val="21"/>
                <w:szCs w:val="21"/>
              </w:rPr>
            </w:pPr>
            <w:r>
              <w:rPr>
                <w:color w:val="auto"/>
                <w:sz w:val="21"/>
                <w:szCs w:val="21"/>
              </w:rPr>
              <w:t>《土壤和沉积物 酚类化合物的测定 气相色谱法》HJ 703-2014</w:t>
            </w:r>
          </w:p>
        </w:tc>
        <w:tc>
          <w:tcPr>
            <w:tcW w:w="2430" w:type="dxa"/>
            <w:vAlign w:val="center"/>
          </w:tcPr>
          <w:p>
            <w:pPr>
              <w:jc w:val="center"/>
              <w:rPr>
                <w:color w:val="auto"/>
                <w:sz w:val="21"/>
                <w:szCs w:val="21"/>
              </w:rPr>
            </w:pPr>
            <w:r>
              <w:rPr>
                <w:color w:val="auto"/>
                <w:sz w:val="21"/>
                <w:szCs w:val="21"/>
              </w:rPr>
              <w:t>气相色谱仪（FID）(TRACE 1300)</w:t>
            </w:r>
          </w:p>
          <w:p>
            <w:pPr>
              <w:jc w:val="center"/>
              <w:rPr>
                <w:color w:val="auto"/>
                <w:sz w:val="21"/>
                <w:szCs w:val="21"/>
              </w:rPr>
            </w:pPr>
            <w:r>
              <w:rPr>
                <w:color w:val="auto"/>
                <w:sz w:val="21"/>
                <w:szCs w:val="21"/>
              </w:rPr>
              <w:t>YQ-293-04</w:t>
            </w:r>
          </w:p>
        </w:tc>
        <w:tc>
          <w:tcPr>
            <w:tcW w:w="1601" w:type="dxa"/>
            <w:vAlign w:val="center"/>
          </w:tcPr>
          <w:p>
            <w:pPr>
              <w:jc w:val="center"/>
              <w:rPr>
                <w:color w:val="auto"/>
                <w:sz w:val="21"/>
                <w:szCs w:val="21"/>
              </w:rPr>
            </w:pPr>
            <w:r>
              <w:rPr>
                <w:color w:val="auto"/>
                <w:sz w:val="21"/>
                <w:szCs w:val="21"/>
              </w:rPr>
              <w:t>0.04</w:t>
            </w:r>
            <w:r>
              <w:rPr>
                <w:color w:val="auto"/>
                <w:kern w:val="0"/>
                <w:sz w:val="21"/>
                <w:szCs w:val="21"/>
                <w:lang w:bidi="ar"/>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苯胺</w:t>
            </w:r>
          </w:p>
        </w:tc>
        <w:tc>
          <w:tcPr>
            <w:tcW w:w="2454" w:type="dxa"/>
            <w:vAlign w:val="center"/>
          </w:tcPr>
          <w:p>
            <w:pPr>
              <w:widowControl/>
              <w:jc w:val="center"/>
              <w:textAlignment w:val="center"/>
              <w:rPr>
                <w:color w:val="auto"/>
                <w:sz w:val="21"/>
                <w:szCs w:val="21"/>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半挥发性有机物的测定</w:t>
            </w:r>
            <w:r>
              <w:rPr>
                <w:color w:val="auto"/>
                <w:sz w:val="21"/>
                <w:szCs w:val="21"/>
                <w:lang w:bidi="ar"/>
              </w:rPr>
              <w:t xml:space="preserve"> </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r>
              <w:rPr>
                <w:color w:val="auto"/>
                <w:sz w:val="21"/>
                <w:szCs w:val="21"/>
                <w:lang w:bidi="ar"/>
              </w:rPr>
              <w:t>HJ 834-2017</w:t>
            </w:r>
          </w:p>
        </w:tc>
        <w:tc>
          <w:tcPr>
            <w:tcW w:w="2430" w:type="dxa"/>
            <w:vAlign w:val="center"/>
          </w:tcPr>
          <w:p>
            <w:pPr>
              <w:widowControl/>
              <w:jc w:val="center"/>
              <w:textAlignment w:val="center"/>
              <w:rPr>
                <w:color w:val="auto"/>
                <w:sz w:val="21"/>
                <w:szCs w:val="21"/>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(Agilent 7890B GC system / 5977B MSD)YQ-105-02</w:t>
            </w:r>
          </w:p>
        </w:tc>
        <w:tc>
          <w:tcPr>
            <w:tcW w:w="1601" w:type="dxa"/>
            <w:vAlign w:val="center"/>
          </w:tcPr>
          <w:p>
            <w:pPr>
              <w:widowControl/>
              <w:jc w:val="center"/>
              <w:textAlignment w:val="center"/>
              <w:rPr>
                <w:color w:val="auto"/>
                <w:sz w:val="21"/>
                <w:szCs w:val="21"/>
              </w:rPr>
            </w:pPr>
            <w:r>
              <w:rPr>
                <w:color w:val="auto"/>
                <w:kern w:val="0"/>
                <w:sz w:val="21"/>
                <w:szCs w:val="21"/>
                <w:lang w:bidi="ar"/>
              </w:rPr>
              <w:t>0.10mg/kg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硝基苯</w:t>
            </w:r>
          </w:p>
        </w:tc>
        <w:tc>
          <w:tcPr>
            <w:tcW w:w="2454" w:type="dxa"/>
            <w:vAlign w:val="center"/>
          </w:tcPr>
          <w:p>
            <w:pPr>
              <w:widowControl/>
              <w:jc w:val="center"/>
              <w:textAlignment w:val="center"/>
              <w:rPr>
                <w:color w:val="auto"/>
                <w:sz w:val="21"/>
                <w:szCs w:val="21"/>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半挥发性有机物的测定</w:t>
            </w:r>
            <w:r>
              <w:rPr>
                <w:color w:val="auto"/>
                <w:sz w:val="21"/>
                <w:szCs w:val="21"/>
                <w:lang w:bidi="ar"/>
              </w:rPr>
              <w:t xml:space="preserve"> </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r>
              <w:rPr>
                <w:color w:val="auto"/>
                <w:sz w:val="21"/>
                <w:szCs w:val="21"/>
                <w:lang w:bidi="ar"/>
              </w:rPr>
              <w:t>HJ 834-2017</w:t>
            </w:r>
          </w:p>
        </w:tc>
        <w:tc>
          <w:tcPr>
            <w:tcW w:w="2430" w:type="dxa"/>
            <w:vAlign w:val="center"/>
          </w:tcPr>
          <w:p>
            <w:pPr>
              <w:widowControl/>
              <w:jc w:val="center"/>
              <w:textAlignment w:val="center"/>
              <w:rPr>
                <w:color w:val="auto"/>
                <w:sz w:val="21"/>
                <w:szCs w:val="21"/>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(Agilent 7890B GC system / 5977B MSD)YQ-105-02</w:t>
            </w:r>
          </w:p>
        </w:tc>
        <w:tc>
          <w:tcPr>
            <w:tcW w:w="1601" w:type="dxa"/>
            <w:vAlign w:val="center"/>
          </w:tcPr>
          <w:p>
            <w:pPr>
              <w:widowControl/>
              <w:jc w:val="center"/>
              <w:textAlignment w:val="center"/>
              <w:rPr>
                <w:color w:val="auto"/>
                <w:sz w:val="21"/>
                <w:szCs w:val="21"/>
              </w:rPr>
            </w:pPr>
            <w:r>
              <w:rPr>
                <w:color w:val="auto"/>
                <w:kern w:val="0"/>
                <w:sz w:val="21"/>
                <w:szCs w:val="21"/>
                <w:lang w:bidi="ar"/>
              </w:rPr>
              <w:t>0.09mg/kg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萘</w:t>
            </w:r>
          </w:p>
        </w:tc>
        <w:tc>
          <w:tcPr>
            <w:tcW w:w="2454" w:type="dxa"/>
            <w:vAlign w:val="center"/>
          </w:tcPr>
          <w:p>
            <w:pPr>
              <w:widowControl/>
              <w:jc w:val="center"/>
              <w:textAlignment w:val="center"/>
              <w:rPr>
                <w:color w:val="auto"/>
                <w:sz w:val="21"/>
                <w:szCs w:val="21"/>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半挥发性有机物的测定</w:t>
            </w:r>
            <w:r>
              <w:rPr>
                <w:color w:val="auto"/>
                <w:sz w:val="21"/>
                <w:szCs w:val="21"/>
                <w:lang w:bidi="ar"/>
              </w:rPr>
              <w:t xml:space="preserve"> </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r>
              <w:rPr>
                <w:color w:val="auto"/>
                <w:sz w:val="21"/>
                <w:szCs w:val="21"/>
                <w:lang w:bidi="ar"/>
              </w:rPr>
              <w:t>HJ 834-2017</w:t>
            </w:r>
          </w:p>
        </w:tc>
        <w:tc>
          <w:tcPr>
            <w:tcW w:w="2430" w:type="dxa"/>
            <w:vAlign w:val="center"/>
          </w:tcPr>
          <w:p>
            <w:pPr>
              <w:widowControl/>
              <w:jc w:val="center"/>
              <w:textAlignment w:val="center"/>
              <w:rPr>
                <w:color w:val="auto"/>
                <w:sz w:val="21"/>
                <w:szCs w:val="21"/>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(Agilent 7890B GC system / 5977B MSD)YQ-105-02</w:t>
            </w:r>
          </w:p>
        </w:tc>
        <w:tc>
          <w:tcPr>
            <w:tcW w:w="1601" w:type="dxa"/>
            <w:vAlign w:val="center"/>
          </w:tcPr>
          <w:p>
            <w:pPr>
              <w:widowControl/>
              <w:jc w:val="center"/>
              <w:textAlignment w:val="center"/>
              <w:rPr>
                <w:color w:val="auto"/>
                <w:sz w:val="21"/>
                <w:szCs w:val="21"/>
              </w:rPr>
            </w:pPr>
            <w:r>
              <w:rPr>
                <w:color w:val="auto"/>
                <w:kern w:val="0"/>
                <w:sz w:val="21"/>
                <w:szCs w:val="21"/>
                <w:lang w:bidi="ar"/>
              </w:rPr>
              <w:t>0.09mg/kg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苯并（</w:t>
            </w:r>
            <w:r>
              <w:rPr>
                <w:color w:val="auto"/>
                <w:sz w:val="21"/>
                <w:szCs w:val="21"/>
                <w:lang w:bidi="ar"/>
              </w:rPr>
              <w:t>a</w:t>
            </w:r>
            <w:r>
              <w:rPr>
                <w:rFonts w:ascii="宋体" w:hAnsi="宋体" w:cs="宋体"/>
                <w:color w:val="auto"/>
                <w:sz w:val="21"/>
                <w:szCs w:val="21"/>
                <w:lang w:bidi="ar"/>
              </w:rPr>
              <w:t>）蒽</w:t>
            </w:r>
          </w:p>
        </w:tc>
        <w:tc>
          <w:tcPr>
            <w:tcW w:w="2454" w:type="dxa"/>
            <w:vAlign w:val="center"/>
          </w:tcPr>
          <w:p>
            <w:pPr>
              <w:widowControl/>
              <w:jc w:val="center"/>
              <w:textAlignment w:val="center"/>
              <w:rPr>
                <w:color w:val="auto"/>
                <w:sz w:val="21"/>
                <w:szCs w:val="21"/>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半挥发性有机物的测定</w:t>
            </w:r>
            <w:r>
              <w:rPr>
                <w:color w:val="auto"/>
                <w:sz w:val="21"/>
                <w:szCs w:val="21"/>
                <w:lang w:bidi="ar"/>
              </w:rPr>
              <w:t xml:space="preserve"> </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r>
              <w:rPr>
                <w:color w:val="auto"/>
                <w:sz w:val="21"/>
                <w:szCs w:val="21"/>
                <w:lang w:bidi="ar"/>
              </w:rPr>
              <w:t>HJ 834-2017</w:t>
            </w:r>
          </w:p>
        </w:tc>
        <w:tc>
          <w:tcPr>
            <w:tcW w:w="2430" w:type="dxa"/>
            <w:vAlign w:val="center"/>
          </w:tcPr>
          <w:p>
            <w:pPr>
              <w:widowControl/>
              <w:jc w:val="center"/>
              <w:textAlignment w:val="center"/>
              <w:rPr>
                <w:color w:val="auto"/>
                <w:sz w:val="21"/>
                <w:szCs w:val="21"/>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(Agilent 7890B GC system / 5977B MSD)YQ-105-02</w:t>
            </w:r>
          </w:p>
        </w:tc>
        <w:tc>
          <w:tcPr>
            <w:tcW w:w="1601" w:type="dxa"/>
            <w:vAlign w:val="center"/>
          </w:tcPr>
          <w:p>
            <w:pPr>
              <w:widowControl/>
              <w:jc w:val="center"/>
              <w:textAlignment w:val="center"/>
              <w:rPr>
                <w:color w:val="auto"/>
                <w:sz w:val="21"/>
                <w:szCs w:val="21"/>
              </w:rPr>
            </w:pPr>
            <w:r>
              <w:rPr>
                <w:color w:val="auto"/>
                <w:kern w:val="0"/>
                <w:sz w:val="21"/>
                <w:szCs w:val="21"/>
                <w:lang w:bidi="ar"/>
              </w:rPr>
              <w:t>0.1mg/kg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䓛</w:t>
            </w:r>
          </w:p>
        </w:tc>
        <w:tc>
          <w:tcPr>
            <w:tcW w:w="2454" w:type="dxa"/>
            <w:vAlign w:val="center"/>
          </w:tcPr>
          <w:p>
            <w:pPr>
              <w:widowControl/>
              <w:jc w:val="center"/>
              <w:textAlignment w:val="center"/>
              <w:rPr>
                <w:color w:val="auto"/>
                <w:sz w:val="21"/>
                <w:szCs w:val="21"/>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半挥发性有机物的测定</w:t>
            </w:r>
            <w:r>
              <w:rPr>
                <w:color w:val="auto"/>
                <w:sz w:val="21"/>
                <w:szCs w:val="21"/>
                <w:lang w:bidi="ar"/>
              </w:rPr>
              <w:t xml:space="preserve"> </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r>
              <w:rPr>
                <w:color w:val="auto"/>
                <w:sz w:val="21"/>
                <w:szCs w:val="21"/>
                <w:lang w:bidi="ar"/>
              </w:rPr>
              <w:t>HJ 834-2017</w:t>
            </w:r>
          </w:p>
        </w:tc>
        <w:tc>
          <w:tcPr>
            <w:tcW w:w="2430" w:type="dxa"/>
            <w:vAlign w:val="center"/>
          </w:tcPr>
          <w:p>
            <w:pPr>
              <w:widowControl/>
              <w:jc w:val="center"/>
              <w:textAlignment w:val="center"/>
              <w:rPr>
                <w:color w:val="auto"/>
                <w:sz w:val="21"/>
                <w:szCs w:val="21"/>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(Agilent 7890B GC system / 5977B MSD)YQ-105-02</w:t>
            </w:r>
          </w:p>
        </w:tc>
        <w:tc>
          <w:tcPr>
            <w:tcW w:w="1601" w:type="dxa"/>
            <w:vAlign w:val="center"/>
          </w:tcPr>
          <w:p>
            <w:pPr>
              <w:widowControl/>
              <w:jc w:val="center"/>
              <w:textAlignment w:val="center"/>
              <w:rPr>
                <w:color w:val="auto"/>
                <w:sz w:val="21"/>
                <w:szCs w:val="21"/>
              </w:rPr>
            </w:pPr>
            <w:r>
              <w:rPr>
                <w:color w:val="auto"/>
                <w:kern w:val="0"/>
                <w:sz w:val="21"/>
                <w:szCs w:val="21"/>
                <w:lang w:bidi="ar"/>
              </w:rPr>
              <w:t>0.1mg/kg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苯并（</w:t>
            </w:r>
            <w:r>
              <w:rPr>
                <w:color w:val="auto"/>
                <w:sz w:val="21"/>
                <w:szCs w:val="21"/>
                <w:lang w:bidi="ar"/>
              </w:rPr>
              <w:t>b</w:t>
            </w:r>
            <w:r>
              <w:rPr>
                <w:rFonts w:ascii="宋体" w:hAnsi="宋体" w:cs="宋体"/>
                <w:color w:val="auto"/>
                <w:sz w:val="21"/>
                <w:szCs w:val="21"/>
                <w:lang w:bidi="ar"/>
              </w:rPr>
              <w:t>）荧蒽</w:t>
            </w:r>
          </w:p>
        </w:tc>
        <w:tc>
          <w:tcPr>
            <w:tcW w:w="2454" w:type="dxa"/>
            <w:vAlign w:val="center"/>
          </w:tcPr>
          <w:p>
            <w:pPr>
              <w:widowControl/>
              <w:jc w:val="center"/>
              <w:textAlignment w:val="center"/>
              <w:rPr>
                <w:color w:val="auto"/>
                <w:sz w:val="21"/>
                <w:szCs w:val="21"/>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半挥发性有机物的测定</w:t>
            </w:r>
            <w:r>
              <w:rPr>
                <w:color w:val="auto"/>
                <w:sz w:val="21"/>
                <w:szCs w:val="21"/>
                <w:lang w:bidi="ar"/>
              </w:rPr>
              <w:t xml:space="preserve"> </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r>
              <w:rPr>
                <w:color w:val="auto"/>
                <w:sz w:val="21"/>
                <w:szCs w:val="21"/>
                <w:lang w:bidi="ar"/>
              </w:rPr>
              <w:t>HJ 834-2017</w:t>
            </w:r>
          </w:p>
        </w:tc>
        <w:tc>
          <w:tcPr>
            <w:tcW w:w="2430" w:type="dxa"/>
            <w:vAlign w:val="center"/>
          </w:tcPr>
          <w:p>
            <w:pPr>
              <w:widowControl/>
              <w:jc w:val="center"/>
              <w:textAlignment w:val="center"/>
              <w:rPr>
                <w:color w:val="auto"/>
                <w:sz w:val="21"/>
                <w:szCs w:val="21"/>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(Agilent 7890B GC system / 5977B MSD)YQ-105-02</w:t>
            </w:r>
          </w:p>
        </w:tc>
        <w:tc>
          <w:tcPr>
            <w:tcW w:w="1601" w:type="dxa"/>
            <w:vAlign w:val="center"/>
          </w:tcPr>
          <w:p>
            <w:pPr>
              <w:widowControl/>
              <w:jc w:val="center"/>
              <w:textAlignment w:val="center"/>
              <w:rPr>
                <w:color w:val="auto"/>
                <w:sz w:val="21"/>
                <w:szCs w:val="21"/>
              </w:rPr>
            </w:pPr>
            <w:r>
              <w:rPr>
                <w:color w:val="auto"/>
                <w:kern w:val="0"/>
                <w:sz w:val="21"/>
                <w:szCs w:val="21"/>
                <w:lang w:bidi="ar"/>
              </w:rPr>
              <w:t>0.2mg/kg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苯并（</w:t>
            </w:r>
            <w:r>
              <w:rPr>
                <w:color w:val="auto"/>
                <w:sz w:val="21"/>
                <w:szCs w:val="21"/>
                <w:lang w:bidi="ar"/>
              </w:rPr>
              <w:t>k</w:t>
            </w:r>
            <w:r>
              <w:rPr>
                <w:rFonts w:ascii="宋体" w:hAnsi="宋体" w:cs="宋体"/>
                <w:color w:val="auto"/>
                <w:sz w:val="21"/>
                <w:szCs w:val="21"/>
                <w:lang w:bidi="ar"/>
              </w:rPr>
              <w:t>）荧蒽</w:t>
            </w:r>
          </w:p>
        </w:tc>
        <w:tc>
          <w:tcPr>
            <w:tcW w:w="2454" w:type="dxa"/>
            <w:vAlign w:val="center"/>
          </w:tcPr>
          <w:p>
            <w:pPr>
              <w:widowControl/>
              <w:jc w:val="center"/>
              <w:textAlignment w:val="center"/>
              <w:rPr>
                <w:color w:val="auto"/>
                <w:sz w:val="21"/>
                <w:szCs w:val="21"/>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半挥发性有机物的测定</w:t>
            </w:r>
            <w:r>
              <w:rPr>
                <w:color w:val="auto"/>
                <w:sz w:val="21"/>
                <w:szCs w:val="21"/>
                <w:lang w:bidi="ar"/>
              </w:rPr>
              <w:t xml:space="preserve"> </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r>
              <w:rPr>
                <w:color w:val="auto"/>
                <w:sz w:val="21"/>
                <w:szCs w:val="21"/>
                <w:lang w:bidi="ar"/>
              </w:rPr>
              <w:t>HJ 834-2017</w:t>
            </w:r>
          </w:p>
        </w:tc>
        <w:tc>
          <w:tcPr>
            <w:tcW w:w="2430" w:type="dxa"/>
            <w:vAlign w:val="center"/>
          </w:tcPr>
          <w:p>
            <w:pPr>
              <w:widowControl/>
              <w:jc w:val="center"/>
              <w:textAlignment w:val="center"/>
              <w:rPr>
                <w:color w:val="auto"/>
                <w:sz w:val="21"/>
                <w:szCs w:val="21"/>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(Agilent 7890B GC system / 5977B MSD)YQ-105-02</w:t>
            </w:r>
          </w:p>
        </w:tc>
        <w:tc>
          <w:tcPr>
            <w:tcW w:w="1601" w:type="dxa"/>
            <w:vAlign w:val="center"/>
          </w:tcPr>
          <w:p>
            <w:pPr>
              <w:widowControl/>
              <w:jc w:val="center"/>
              <w:textAlignment w:val="center"/>
              <w:rPr>
                <w:color w:val="auto"/>
                <w:sz w:val="21"/>
                <w:szCs w:val="21"/>
              </w:rPr>
            </w:pPr>
            <w:r>
              <w:rPr>
                <w:color w:val="auto"/>
                <w:kern w:val="0"/>
                <w:sz w:val="21"/>
                <w:szCs w:val="21"/>
                <w:lang w:bidi="ar"/>
              </w:rPr>
              <w:t>0.1mg/kg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苯并（</w:t>
            </w:r>
            <w:r>
              <w:rPr>
                <w:color w:val="auto"/>
                <w:sz w:val="21"/>
                <w:szCs w:val="21"/>
                <w:lang w:bidi="ar"/>
              </w:rPr>
              <w:t>a</w:t>
            </w:r>
            <w:r>
              <w:rPr>
                <w:rFonts w:ascii="宋体" w:hAnsi="宋体" w:cs="宋体"/>
                <w:color w:val="auto"/>
                <w:sz w:val="21"/>
                <w:szCs w:val="21"/>
                <w:lang w:bidi="ar"/>
              </w:rPr>
              <w:t>）芘</w:t>
            </w:r>
          </w:p>
        </w:tc>
        <w:tc>
          <w:tcPr>
            <w:tcW w:w="2454" w:type="dxa"/>
            <w:vAlign w:val="center"/>
          </w:tcPr>
          <w:p>
            <w:pPr>
              <w:widowControl/>
              <w:jc w:val="center"/>
              <w:textAlignment w:val="center"/>
              <w:rPr>
                <w:color w:val="auto"/>
                <w:sz w:val="21"/>
                <w:szCs w:val="21"/>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半挥发性有机物的测定</w:t>
            </w:r>
            <w:r>
              <w:rPr>
                <w:color w:val="auto"/>
                <w:sz w:val="21"/>
                <w:szCs w:val="21"/>
                <w:lang w:bidi="ar"/>
              </w:rPr>
              <w:t xml:space="preserve"> </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r>
              <w:rPr>
                <w:color w:val="auto"/>
                <w:sz w:val="21"/>
                <w:szCs w:val="21"/>
                <w:lang w:bidi="ar"/>
              </w:rPr>
              <w:t>HJ 834-2017</w:t>
            </w:r>
          </w:p>
        </w:tc>
        <w:tc>
          <w:tcPr>
            <w:tcW w:w="2430" w:type="dxa"/>
            <w:vAlign w:val="center"/>
          </w:tcPr>
          <w:p>
            <w:pPr>
              <w:widowControl/>
              <w:jc w:val="center"/>
              <w:textAlignment w:val="center"/>
              <w:rPr>
                <w:color w:val="auto"/>
                <w:sz w:val="21"/>
                <w:szCs w:val="21"/>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(Agilent 7890B GC system / 5977B MSD)YQ-105-02</w:t>
            </w:r>
          </w:p>
        </w:tc>
        <w:tc>
          <w:tcPr>
            <w:tcW w:w="1601" w:type="dxa"/>
            <w:vAlign w:val="center"/>
          </w:tcPr>
          <w:p>
            <w:pPr>
              <w:widowControl/>
              <w:jc w:val="center"/>
              <w:textAlignment w:val="center"/>
              <w:rPr>
                <w:color w:val="auto"/>
                <w:sz w:val="21"/>
                <w:szCs w:val="21"/>
              </w:rPr>
            </w:pPr>
            <w:r>
              <w:rPr>
                <w:color w:val="auto"/>
                <w:kern w:val="0"/>
                <w:sz w:val="21"/>
                <w:szCs w:val="21"/>
                <w:lang w:bidi="ar"/>
              </w:rPr>
              <w:t>0.1mg/kg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茚并</w:t>
            </w:r>
            <w:r>
              <w:rPr>
                <w:color w:val="auto"/>
                <w:sz w:val="21"/>
                <w:szCs w:val="21"/>
                <w:lang w:bidi="ar"/>
              </w:rPr>
              <w:t>[1,2,3-cd]</w:t>
            </w:r>
            <w:r>
              <w:rPr>
                <w:rFonts w:ascii="宋体" w:hAnsi="宋体" w:cs="宋体"/>
                <w:color w:val="auto"/>
                <w:sz w:val="21"/>
                <w:szCs w:val="21"/>
                <w:lang w:bidi="ar"/>
              </w:rPr>
              <w:t>芘</w:t>
            </w:r>
          </w:p>
        </w:tc>
        <w:tc>
          <w:tcPr>
            <w:tcW w:w="2454" w:type="dxa"/>
            <w:vAlign w:val="center"/>
          </w:tcPr>
          <w:p>
            <w:pPr>
              <w:widowControl/>
              <w:jc w:val="center"/>
              <w:textAlignment w:val="center"/>
              <w:rPr>
                <w:color w:val="auto"/>
                <w:sz w:val="21"/>
                <w:szCs w:val="21"/>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半挥发性有机物的测定</w:t>
            </w:r>
            <w:r>
              <w:rPr>
                <w:color w:val="auto"/>
                <w:sz w:val="21"/>
                <w:szCs w:val="21"/>
                <w:lang w:bidi="ar"/>
              </w:rPr>
              <w:t xml:space="preserve"> </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r>
              <w:rPr>
                <w:color w:val="auto"/>
                <w:sz w:val="21"/>
                <w:szCs w:val="21"/>
                <w:lang w:bidi="ar"/>
              </w:rPr>
              <w:t>HJ 834-2017</w:t>
            </w:r>
          </w:p>
        </w:tc>
        <w:tc>
          <w:tcPr>
            <w:tcW w:w="2430" w:type="dxa"/>
            <w:vAlign w:val="center"/>
          </w:tcPr>
          <w:p>
            <w:pPr>
              <w:widowControl/>
              <w:jc w:val="center"/>
              <w:textAlignment w:val="center"/>
              <w:rPr>
                <w:color w:val="auto"/>
                <w:sz w:val="21"/>
                <w:szCs w:val="21"/>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(Agilent 7890B GC system / 5977B MSD)YQ-105-02</w:t>
            </w:r>
          </w:p>
        </w:tc>
        <w:tc>
          <w:tcPr>
            <w:tcW w:w="1601" w:type="dxa"/>
            <w:vAlign w:val="center"/>
          </w:tcPr>
          <w:p>
            <w:pPr>
              <w:widowControl/>
              <w:jc w:val="center"/>
              <w:textAlignment w:val="center"/>
              <w:rPr>
                <w:color w:val="auto"/>
                <w:sz w:val="21"/>
                <w:szCs w:val="21"/>
              </w:rPr>
            </w:pPr>
            <w:r>
              <w:rPr>
                <w:color w:val="auto"/>
                <w:kern w:val="0"/>
                <w:sz w:val="21"/>
                <w:szCs w:val="21"/>
                <w:lang w:bidi="ar"/>
              </w:rPr>
              <w:t>0.1mg/kg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二苯并</w:t>
            </w:r>
            <w:r>
              <w:rPr>
                <w:color w:val="auto"/>
                <w:sz w:val="21"/>
                <w:szCs w:val="21"/>
                <w:lang w:bidi="ar"/>
              </w:rPr>
              <w:t>[a,h]</w:t>
            </w:r>
            <w:r>
              <w:rPr>
                <w:rFonts w:ascii="宋体" w:hAnsi="宋体" w:cs="宋体"/>
                <w:color w:val="auto"/>
                <w:sz w:val="21"/>
                <w:szCs w:val="21"/>
                <w:lang w:bidi="ar"/>
              </w:rPr>
              <w:t>蒽</w:t>
            </w:r>
          </w:p>
        </w:tc>
        <w:tc>
          <w:tcPr>
            <w:tcW w:w="2454" w:type="dxa"/>
            <w:vAlign w:val="center"/>
          </w:tcPr>
          <w:p>
            <w:pPr>
              <w:widowControl/>
              <w:jc w:val="center"/>
              <w:textAlignment w:val="center"/>
              <w:rPr>
                <w:color w:val="auto"/>
                <w:sz w:val="21"/>
                <w:szCs w:val="21"/>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半挥发性有机物的测定</w:t>
            </w:r>
            <w:r>
              <w:rPr>
                <w:color w:val="auto"/>
                <w:sz w:val="21"/>
                <w:szCs w:val="21"/>
                <w:lang w:bidi="ar"/>
              </w:rPr>
              <w:t xml:space="preserve"> </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r>
              <w:rPr>
                <w:color w:val="auto"/>
                <w:sz w:val="21"/>
                <w:szCs w:val="21"/>
                <w:lang w:bidi="ar"/>
              </w:rPr>
              <w:t>HJ 834-2017</w:t>
            </w:r>
          </w:p>
        </w:tc>
        <w:tc>
          <w:tcPr>
            <w:tcW w:w="2430" w:type="dxa"/>
            <w:vAlign w:val="center"/>
          </w:tcPr>
          <w:p>
            <w:pPr>
              <w:widowControl/>
              <w:jc w:val="center"/>
              <w:textAlignment w:val="center"/>
              <w:rPr>
                <w:color w:val="auto"/>
                <w:sz w:val="21"/>
                <w:szCs w:val="21"/>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(Agilent 7890B GC system / 5977B MSD)YQ-105-02</w:t>
            </w:r>
          </w:p>
        </w:tc>
        <w:tc>
          <w:tcPr>
            <w:tcW w:w="1601" w:type="dxa"/>
            <w:vAlign w:val="center"/>
          </w:tcPr>
          <w:p>
            <w:pPr>
              <w:widowControl/>
              <w:jc w:val="center"/>
              <w:textAlignment w:val="center"/>
              <w:rPr>
                <w:color w:val="auto"/>
                <w:sz w:val="21"/>
                <w:szCs w:val="21"/>
              </w:rPr>
            </w:pPr>
            <w:r>
              <w:rPr>
                <w:color w:val="auto"/>
                <w:kern w:val="0"/>
                <w:sz w:val="21"/>
                <w:szCs w:val="21"/>
                <w:lang w:bidi="ar"/>
              </w:rPr>
              <w:t>0.1mg/kg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氯甲烷</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0.0010mg/kg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氯乙烯</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0.0010mg/kg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color w:val="auto"/>
                <w:kern w:val="0"/>
                <w:sz w:val="21"/>
                <w:szCs w:val="21"/>
                <w:lang w:bidi="ar"/>
              </w:rPr>
              <w:t>1,1-</w:t>
            </w:r>
            <w:r>
              <w:rPr>
                <w:rFonts w:ascii="宋体" w:hAnsi="宋体" w:cs="宋体"/>
                <w:color w:val="auto"/>
                <w:sz w:val="21"/>
                <w:szCs w:val="21"/>
                <w:lang w:bidi="ar"/>
              </w:rPr>
              <w:t>二氯乙烯</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0.0010mg/kg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二氯甲烷</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0.0015mg/kg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反式</w:t>
            </w:r>
            <w:r>
              <w:rPr>
                <w:color w:val="auto"/>
                <w:sz w:val="21"/>
                <w:szCs w:val="21"/>
                <w:lang w:bidi="ar"/>
              </w:rPr>
              <w:t>-1,2-</w:t>
            </w:r>
            <w:r>
              <w:rPr>
                <w:rFonts w:ascii="宋体" w:hAnsi="宋体" w:cs="宋体"/>
                <w:color w:val="auto"/>
                <w:sz w:val="21"/>
                <w:szCs w:val="21"/>
                <w:lang w:bidi="ar"/>
              </w:rPr>
              <w:t>二氯乙烯</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0.0014mg/kg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color w:val="auto"/>
                <w:kern w:val="0"/>
                <w:sz w:val="21"/>
                <w:szCs w:val="21"/>
                <w:lang w:bidi="ar"/>
              </w:rPr>
              <w:t>1,1-</w:t>
            </w:r>
            <w:r>
              <w:rPr>
                <w:rFonts w:ascii="宋体" w:hAnsi="宋体" w:cs="宋体"/>
                <w:color w:val="auto"/>
                <w:sz w:val="21"/>
                <w:szCs w:val="21"/>
                <w:lang w:bidi="ar"/>
              </w:rPr>
              <w:t>二氯乙烷</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0.0012mg/kg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顺式</w:t>
            </w:r>
            <w:r>
              <w:rPr>
                <w:color w:val="auto"/>
                <w:sz w:val="21"/>
                <w:szCs w:val="21"/>
                <w:lang w:bidi="ar"/>
              </w:rPr>
              <w:t>-1,2-</w:t>
            </w:r>
            <w:r>
              <w:rPr>
                <w:rFonts w:ascii="宋体" w:hAnsi="宋体" w:cs="宋体"/>
                <w:color w:val="auto"/>
                <w:sz w:val="21"/>
                <w:szCs w:val="21"/>
                <w:lang w:bidi="ar"/>
              </w:rPr>
              <w:t>二氯乙烯</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0.0013mg/kg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三氯甲烷（氯仿）</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0.0011mg/kg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color w:val="auto"/>
                <w:kern w:val="0"/>
                <w:sz w:val="21"/>
                <w:szCs w:val="21"/>
                <w:lang w:bidi="ar"/>
              </w:rPr>
              <w:t>1,1,1-</w:t>
            </w:r>
            <w:r>
              <w:rPr>
                <w:rFonts w:ascii="宋体" w:hAnsi="宋体" w:cs="宋体"/>
                <w:color w:val="auto"/>
                <w:sz w:val="21"/>
                <w:szCs w:val="21"/>
                <w:lang w:bidi="ar"/>
              </w:rPr>
              <w:t>三氯乙烷</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0.0013mg/kg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四氯甲烷(四氯化碳)</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0.0013mg/kg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color w:val="auto"/>
                <w:kern w:val="0"/>
                <w:sz w:val="21"/>
                <w:szCs w:val="21"/>
                <w:lang w:bidi="ar"/>
              </w:rPr>
              <w:t>1,2-</w:t>
            </w:r>
            <w:r>
              <w:rPr>
                <w:rFonts w:ascii="宋体" w:hAnsi="宋体" w:cs="宋体"/>
                <w:color w:val="auto"/>
                <w:sz w:val="21"/>
                <w:szCs w:val="21"/>
                <w:lang w:bidi="ar"/>
              </w:rPr>
              <w:t>二氯乙烷</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0.0013mg/kg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苯</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0.0019mg/kg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三氯乙烯</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0.0012mg/kg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color w:val="auto"/>
                <w:kern w:val="0"/>
                <w:sz w:val="21"/>
                <w:szCs w:val="21"/>
                <w:lang w:bidi="ar"/>
              </w:rPr>
              <w:t>1,2-</w:t>
            </w:r>
            <w:r>
              <w:rPr>
                <w:rFonts w:ascii="宋体" w:hAnsi="宋体" w:cs="宋体"/>
                <w:color w:val="auto"/>
                <w:sz w:val="21"/>
                <w:szCs w:val="21"/>
                <w:lang w:bidi="ar"/>
              </w:rPr>
              <w:t>二氯丙烷</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0.0011mg/kg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甲苯</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0.0013mg/kg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color w:val="auto"/>
                <w:kern w:val="0"/>
                <w:sz w:val="21"/>
                <w:szCs w:val="21"/>
                <w:lang w:bidi="ar"/>
              </w:rPr>
              <w:t>1,1,2-</w:t>
            </w:r>
            <w:r>
              <w:rPr>
                <w:rFonts w:ascii="宋体" w:hAnsi="宋体" w:cs="宋体"/>
                <w:color w:val="auto"/>
                <w:sz w:val="21"/>
                <w:szCs w:val="21"/>
                <w:lang w:bidi="ar"/>
              </w:rPr>
              <w:t>三氯乙烷</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0.0012mg/kg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四氯乙烯</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0.0014mg/kg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氯苯</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0.0012mg/kg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color w:val="auto"/>
                <w:kern w:val="0"/>
                <w:sz w:val="21"/>
                <w:szCs w:val="21"/>
                <w:lang w:bidi="ar"/>
              </w:rPr>
              <w:t>1,1,1,2-</w:t>
            </w:r>
            <w:r>
              <w:rPr>
                <w:rFonts w:ascii="宋体" w:hAnsi="宋体" w:cs="宋体"/>
                <w:color w:val="auto"/>
                <w:sz w:val="21"/>
                <w:szCs w:val="21"/>
                <w:lang w:bidi="ar"/>
              </w:rPr>
              <w:t>四氯乙烷</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0.0012mg/kg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乙苯</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0.0012mg/kg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间，对</w:t>
            </w:r>
            <w:r>
              <w:rPr>
                <w:color w:val="auto"/>
                <w:sz w:val="21"/>
                <w:szCs w:val="21"/>
                <w:lang w:bidi="ar"/>
              </w:rPr>
              <w:t>-</w:t>
            </w:r>
            <w:r>
              <w:rPr>
                <w:rFonts w:ascii="宋体" w:hAnsi="宋体" w:cs="宋体"/>
                <w:color w:val="auto"/>
                <w:sz w:val="21"/>
                <w:szCs w:val="21"/>
                <w:lang w:bidi="ar"/>
              </w:rPr>
              <w:t>二甲苯</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0.0012mg/kg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邻</w:t>
            </w:r>
            <w:r>
              <w:rPr>
                <w:color w:val="auto"/>
                <w:sz w:val="21"/>
                <w:szCs w:val="21"/>
                <w:lang w:bidi="ar"/>
              </w:rPr>
              <w:t>-</w:t>
            </w:r>
            <w:r>
              <w:rPr>
                <w:rFonts w:ascii="宋体" w:hAnsi="宋体" w:cs="宋体"/>
                <w:color w:val="auto"/>
                <w:sz w:val="21"/>
                <w:szCs w:val="21"/>
                <w:lang w:bidi="ar"/>
              </w:rPr>
              <w:t>二甲苯</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0.0012mg/kg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ascii="宋体" w:hAnsi="宋体" w:cs="宋体"/>
                <w:color w:val="auto"/>
                <w:sz w:val="21"/>
                <w:szCs w:val="21"/>
                <w:lang w:bidi="ar"/>
              </w:rPr>
              <w:t>苯乙烯</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0.0011mg/kg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color w:val="auto"/>
                <w:kern w:val="0"/>
                <w:sz w:val="21"/>
                <w:szCs w:val="21"/>
                <w:lang w:bidi="ar"/>
              </w:rPr>
              <w:t>1,1,2,2-</w:t>
            </w:r>
            <w:r>
              <w:rPr>
                <w:rFonts w:ascii="宋体" w:hAnsi="宋体" w:cs="宋体"/>
                <w:color w:val="auto"/>
                <w:sz w:val="21"/>
                <w:szCs w:val="21"/>
                <w:lang w:bidi="ar"/>
              </w:rPr>
              <w:t>四氯乙烷</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0.0012mg/kg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color w:val="auto"/>
                <w:kern w:val="0"/>
                <w:sz w:val="21"/>
                <w:szCs w:val="21"/>
                <w:lang w:bidi="ar"/>
              </w:rPr>
              <w:t>1,2,3-</w:t>
            </w:r>
            <w:r>
              <w:rPr>
                <w:rFonts w:ascii="宋体" w:hAnsi="宋体" w:cs="宋体"/>
                <w:color w:val="auto"/>
                <w:sz w:val="21"/>
                <w:szCs w:val="21"/>
                <w:lang w:bidi="ar"/>
              </w:rPr>
              <w:t>三氯丙烷</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0.0012mg/kg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color w:val="auto"/>
                <w:kern w:val="0"/>
                <w:sz w:val="21"/>
                <w:szCs w:val="21"/>
                <w:lang w:bidi="ar"/>
              </w:rPr>
              <w:t>1,4-</w:t>
            </w:r>
            <w:r>
              <w:rPr>
                <w:rFonts w:ascii="宋体" w:hAnsi="宋体" w:cs="宋体"/>
                <w:color w:val="auto"/>
                <w:sz w:val="21"/>
                <w:szCs w:val="21"/>
                <w:lang w:bidi="ar"/>
              </w:rPr>
              <w:t>二氯苯</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color w:val="auto"/>
                <w:sz w:val="21"/>
                <w:szCs w:val="21"/>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color w:val="auto"/>
                <w:sz w:val="21"/>
                <w:szCs w:val="21"/>
              </w:rPr>
            </w:pPr>
            <w:r>
              <w:rPr>
                <w:color w:val="auto"/>
                <w:sz w:val="21"/>
                <w:szCs w:val="21"/>
                <w:lang w:bidi="ar"/>
              </w:rPr>
              <w:t>YQ-105-03</w:t>
            </w:r>
          </w:p>
        </w:tc>
        <w:tc>
          <w:tcPr>
            <w:tcW w:w="1601" w:type="dxa"/>
            <w:vAlign w:val="center"/>
          </w:tcPr>
          <w:p>
            <w:pPr>
              <w:widowControl/>
              <w:jc w:val="center"/>
              <w:textAlignment w:val="center"/>
              <w:rPr>
                <w:color w:val="auto"/>
                <w:sz w:val="21"/>
                <w:szCs w:val="21"/>
              </w:rPr>
            </w:pPr>
            <w:r>
              <w:rPr>
                <w:color w:val="auto"/>
                <w:kern w:val="0"/>
                <w:sz w:val="21"/>
                <w:szCs w:val="21"/>
                <w:lang w:bidi="ar"/>
              </w:rPr>
              <w:t>0.0015mg/kg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kern w:val="0"/>
                <w:sz w:val="21"/>
                <w:szCs w:val="21"/>
                <w:lang w:bidi="ar"/>
              </w:rPr>
            </w:pPr>
            <w:r>
              <w:rPr>
                <w:color w:val="auto"/>
                <w:kern w:val="0"/>
                <w:sz w:val="21"/>
                <w:szCs w:val="21"/>
                <w:lang w:bidi="ar"/>
              </w:rPr>
              <w:t>1,2-</w:t>
            </w:r>
            <w:r>
              <w:rPr>
                <w:rFonts w:ascii="宋体" w:hAnsi="宋体" w:cs="宋体"/>
                <w:color w:val="auto"/>
                <w:sz w:val="21"/>
                <w:szCs w:val="21"/>
                <w:lang w:bidi="ar"/>
              </w:rPr>
              <w:t>二氯苯</w:t>
            </w:r>
          </w:p>
        </w:tc>
        <w:tc>
          <w:tcPr>
            <w:tcW w:w="2454" w:type="dxa"/>
            <w:vAlign w:val="center"/>
          </w:tcPr>
          <w:p>
            <w:pPr>
              <w:widowControl/>
              <w:jc w:val="center"/>
              <w:textAlignment w:val="center"/>
              <w:rPr>
                <w:rFonts w:ascii="宋体" w:hAnsi="宋体" w:cs="宋体"/>
                <w:color w:val="auto"/>
                <w:sz w:val="21"/>
                <w:szCs w:val="21"/>
                <w:lang w:bidi="ar"/>
              </w:rPr>
            </w:pPr>
            <w:r>
              <w:rPr>
                <w:rFonts w:ascii="宋体" w:hAnsi="宋体" w:cs="宋体"/>
                <w:color w:val="auto"/>
                <w:sz w:val="21"/>
                <w:szCs w:val="21"/>
                <w:lang w:bidi="ar"/>
              </w:rPr>
              <w:t>《土壤和沉积物</w:t>
            </w:r>
            <w:r>
              <w:rPr>
                <w:color w:val="auto"/>
                <w:sz w:val="21"/>
                <w:szCs w:val="21"/>
                <w:lang w:bidi="ar"/>
              </w:rPr>
              <w:t xml:space="preserve"> </w:t>
            </w:r>
            <w:r>
              <w:rPr>
                <w:rFonts w:ascii="宋体" w:hAnsi="宋体" w:cs="宋体"/>
                <w:color w:val="auto"/>
                <w:sz w:val="21"/>
                <w:szCs w:val="21"/>
                <w:lang w:bidi="ar"/>
              </w:rPr>
              <w:t>挥发性有机物的测定</w:t>
            </w:r>
            <w:r>
              <w:rPr>
                <w:color w:val="auto"/>
                <w:sz w:val="21"/>
                <w:szCs w:val="21"/>
                <w:lang w:bidi="ar"/>
              </w:rPr>
              <w:t xml:space="preserve"> </w:t>
            </w:r>
            <w:r>
              <w:rPr>
                <w:rFonts w:ascii="宋体" w:hAnsi="宋体" w:cs="宋体"/>
                <w:color w:val="auto"/>
                <w:sz w:val="21"/>
                <w:szCs w:val="21"/>
                <w:lang w:bidi="ar"/>
              </w:rPr>
              <w:t>吹扫捕集</w:t>
            </w:r>
            <w:r>
              <w:rPr>
                <w:color w:val="auto"/>
                <w:sz w:val="21"/>
                <w:szCs w:val="21"/>
                <w:lang w:bidi="ar"/>
              </w:rPr>
              <w:t>/</w:t>
            </w: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质谱法》</w:t>
            </w:r>
          </w:p>
          <w:p>
            <w:pPr>
              <w:widowControl/>
              <w:jc w:val="center"/>
              <w:textAlignment w:val="center"/>
              <w:rPr>
                <w:rFonts w:ascii="宋体" w:hAnsi="宋体" w:cs="宋体"/>
                <w:color w:val="auto"/>
                <w:sz w:val="21"/>
                <w:szCs w:val="21"/>
                <w:lang w:bidi="ar"/>
              </w:rPr>
            </w:pPr>
            <w:r>
              <w:rPr>
                <w:color w:val="auto"/>
                <w:sz w:val="21"/>
                <w:szCs w:val="21"/>
                <w:lang w:bidi="ar"/>
              </w:rPr>
              <w:t>HJ 605-2011</w:t>
            </w:r>
          </w:p>
        </w:tc>
        <w:tc>
          <w:tcPr>
            <w:tcW w:w="2430" w:type="dxa"/>
            <w:vAlign w:val="center"/>
          </w:tcPr>
          <w:p>
            <w:pPr>
              <w:widowControl/>
              <w:jc w:val="center"/>
              <w:textAlignment w:val="center"/>
              <w:rPr>
                <w:color w:val="auto"/>
                <w:sz w:val="21"/>
                <w:szCs w:val="21"/>
                <w:lang w:bidi="ar"/>
              </w:rPr>
            </w:pPr>
            <w:r>
              <w:rPr>
                <w:rFonts w:ascii="宋体" w:hAnsi="宋体" w:cs="宋体"/>
                <w:color w:val="auto"/>
                <w:sz w:val="21"/>
                <w:szCs w:val="21"/>
                <w:lang w:bidi="ar"/>
              </w:rPr>
              <w:t>气相色谱</w:t>
            </w:r>
            <w:r>
              <w:rPr>
                <w:color w:val="auto"/>
                <w:sz w:val="21"/>
                <w:szCs w:val="21"/>
                <w:lang w:bidi="ar"/>
              </w:rPr>
              <w:t>-</w:t>
            </w:r>
            <w:r>
              <w:rPr>
                <w:rFonts w:ascii="宋体" w:hAnsi="宋体" w:cs="宋体"/>
                <w:color w:val="auto"/>
                <w:sz w:val="21"/>
                <w:szCs w:val="21"/>
                <w:lang w:bidi="ar"/>
              </w:rPr>
              <w:t>质谱联用仪（</w:t>
            </w:r>
            <w:r>
              <w:rPr>
                <w:color w:val="auto"/>
                <w:sz w:val="21"/>
                <w:szCs w:val="21"/>
                <w:lang w:bidi="ar"/>
              </w:rPr>
              <w:t>GC-MS</w:t>
            </w:r>
            <w:r>
              <w:rPr>
                <w:rFonts w:ascii="宋体" w:hAnsi="宋体" w:cs="宋体"/>
                <w:color w:val="auto"/>
                <w:sz w:val="21"/>
                <w:szCs w:val="21"/>
                <w:lang w:bidi="ar"/>
              </w:rPr>
              <w:t>）</w:t>
            </w:r>
            <w:r>
              <w:rPr>
                <w:color w:val="auto"/>
                <w:sz w:val="21"/>
                <w:szCs w:val="21"/>
                <w:lang w:bidi="ar"/>
              </w:rPr>
              <w:t>(TRACE 1300/ISQ 7000)</w:t>
            </w:r>
          </w:p>
          <w:p>
            <w:pPr>
              <w:widowControl/>
              <w:jc w:val="center"/>
              <w:textAlignment w:val="center"/>
              <w:rPr>
                <w:rFonts w:ascii="宋体" w:hAnsi="宋体" w:cs="宋体"/>
                <w:color w:val="auto"/>
                <w:sz w:val="21"/>
                <w:szCs w:val="21"/>
                <w:lang w:bidi="ar"/>
              </w:rPr>
            </w:pPr>
            <w:r>
              <w:rPr>
                <w:color w:val="auto"/>
                <w:sz w:val="21"/>
                <w:szCs w:val="21"/>
                <w:lang w:bidi="ar"/>
              </w:rPr>
              <w:t>YQ-105-03</w:t>
            </w:r>
          </w:p>
        </w:tc>
        <w:tc>
          <w:tcPr>
            <w:tcW w:w="1601" w:type="dxa"/>
            <w:vAlign w:val="center"/>
          </w:tcPr>
          <w:p>
            <w:pPr>
              <w:widowControl/>
              <w:jc w:val="center"/>
              <w:textAlignment w:val="center"/>
              <w:rPr>
                <w:color w:val="auto"/>
                <w:kern w:val="0"/>
                <w:sz w:val="21"/>
                <w:szCs w:val="21"/>
                <w:lang w:bidi="ar"/>
              </w:rPr>
            </w:pPr>
            <w:r>
              <w:rPr>
                <w:color w:val="auto"/>
                <w:kern w:val="0"/>
                <w:sz w:val="21"/>
                <w:szCs w:val="21"/>
                <w:lang w:bidi="ar"/>
              </w:rPr>
              <w:t>0.0015mg/kg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04" w:hRule="atLeast"/>
          <w:jc w:val="center"/>
        </w:trPr>
        <w:tc>
          <w:tcPr>
            <w:tcW w:w="881" w:type="dxa"/>
            <w:vMerge w:val="continue"/>
            <w:vAlign w:val="center"/>
          </w:tcPr>
          <w:p>
            <w:pPr>
              <w:jc w:val="center"/>
              <w:rPr>
                <w:color w:val="auto"/>
                <w:sz w:val="21"/>
                <w:szCs w:val="21"/>
              </w:rPr>
            </w:pPr>
          </w:p>
        </w:tc>
        <w:tc>
          <w:tcPr>
            <w:tcW w:w="1156" w:type="dxa"/>
            <w:vAlign w:val="center"/>
          </w:tcPr>
          <w:p>
            <w:pPr>
              <w:widowControl/>
              <w:jc w:val="center"/>
              <w:textAlignment w:val="center"/>
              <w:rPr>
                <w:color w:val="auto"/>
                <w:sz w:val="21"/>
                <w:szCs w:val="21"/>
              </w:rPr>
            </w:pPr>
            <w:r>
              <w:rPr>
                <w:rFonts w:hint="eastAsia"/>
                <w:color w:val="auto"/>
                <w:sz w:val="21"/>
                <w:szCs w:val="21"/>
              </w:rPr>
              <w:t>二噁英类</w:t>
            </w:r>
          </w:p>
        </w:tc>
        <w:tc>
          <w:tcPr>
            <w:tcW w:w="2454" w:type="dxa"/>
            <w:vAlign w:val="center"/>
          </w:tcPr>
          <w:p>
            <w:pPr>
              <w:widowControl/>
              <w:jc w:val="center"/>
              <w:textAlignment w:val="center"/>
              <w:rPr>
                <w:color w:val="auto"/>
                <w:sz w:val="21"/>
                <w:szCs w:val="21"/>
              </w:rPr>
            </w:pPr>
            <w:r>
              <w:rPr>
                <w:rFonts w:hint="eastAsia"/>
                <w:color w:val="auto"/>
                <w:sz w:val="21"/>
                <w:szCs w:val="21"/>
              </w:rPr>
              <w:t>《土壤和沉积物 二噁英类的测定 同位素稀释高分辨气相色谱-高分辨质谱法》（HJ 77.4-2008）</w:t>
            </w:r>
          </w:p>
        </w:tc>
        <w:tc>
          <w:tcPr>
            <w:tcW w:w="2430" w:type="dxa"/>
            <w:vAlign w:val="center"/>
          </w:tcPr>
          <w:p>
            <w:pPr>
              <w:widowControl/>
              <w:jc w:val="center"/>
              <w:textAlignment w:val="center"/>
              <w:rPr>
                <w:color w:val="auto"/>
                <w:sz w:val="21"/>
                <w:szCs w:val="21"/>
              </w:rPr>
            </w:pPr>
          </w:p>
        </w:tc>
        <w:tc>
          <w:tcPr>
            <w:tcW w:w="1601" w:type="dxa"/>
            <w:vAlign w:val="center"/>
          </w:tcPr>
          <w:p>
            <w:pPr>
              <w:widowControl/>
              <w:jc w:val="center"/>
              <w:textAlignment w:val="center"/>
              <w:rPr>
                <w:color w:val="auto"/>
                <w:sz w:val="21"/>
                <w:szCs w:val="21"/>
              </w:rPr>
            </w:pPr>
          </w:p>
        </w:tc>
      </w:tr>
    </w:tbl>
    <w:p>
      <w:pPr>
        <w:pStyle w:val="298"/>
        <w:spacing w:before="156" w:after="156"/>
        <w:rPr>
          <w:color w:val="auto"/>
        </w:rPr>
      </w:pPr>
      <w:bookmarkStart w:id="532" w:name="_Toc18031"/>
      <w:bookmarkStart w:id="533" w:name="_Toc14946895"/>
      <w:bookmarkStart w:id="534" w:name="_Toc24136803"/>
      <w:bookmarkStart w:id="535" w:name="_Toc15912187"/>
      <w:bookmarkStart w:id="536" w:name="_Toc34234722"/>
      <w:r>
        <w:rPr>
          <w:color w:val="auto"/>
        </w:rPr>
        <w:t>4.6.5评价标准</w:t>
      </w:r>
      <w:bookmarkEnd w:id="532"/>
      <w:bookmarkEnd w:id="533"/>
      <w:bookmarkEnd w:id="534"/>
      <w:bookmarkEnd w:id="535"/>
      <w:bookmarkEnd w:id="536"/>
    </w:p>
    <w:p>
      <w:pPr>
        <w:spacing w:line="360" w:lineRule="auto"/>
        <w:ind w:firstLine="480"/>
        <w:jc w:val="both"/>
        <w:rPr>
          <w:color w:val="auto"/>
        </w:rPr>
      </w:pPr>
      <w:r>
        <w:rPr>
          <w:color w:val="auto"/>
        </w:rPr>
        <w:t>T1~T4</w:t>
      </w:r>
      <w:r>
        <w:rPr>
          <w:rFonts w:hint="eastAsia"/>
          <w:color w:val="auto"/>
        </w:rPr>
        <w:t>监测点土壤环境质量执行《土壤环境质量</w:t>
      </w:r>
      <w:r>
        <w:rPr>
          <w:color w:val="auto"/>
        </w:rPr>
        <w:t xml:space="preserve"> </w:t>
      </w:r>
      <w:r>
        <w:rPr>
          <w:rFonts w:hint="eastAsia"/>
          <w:color w:val="auto"/>
        </w:rPr>
        <w:t>建设用地土壤污染风险管控标准（试行）》</w:t>
      </w:r>
      <w:r>
        <w:rPr>
          <w:color w:val="auto"/>
        </w:rPr>
        <w:t>(GB36600-2018)</w:t>
      </w:r>
      <w:r>
        <w:rPr>
          <w:rFonts w:hint="eastAsia"/>
          <w:color w:val="auto"/>
        </w:rPr>
        <w:t>中第二类用地的筛选值要求；</w:t>
      </w:r>
      <w:r>
        <w:rPr>
          <w:color w:val="auto"/>
        </w:rPr>
        <w:t>T5~T6</w:t>
      </w:r>
      <w:r>
        <w:rPr>
          <w:rFonts w:hint="eastAsia"/>
          <w:color w:val="auto"/>
        </w:rPr>
        <w:t>监测点土壤环境质量执行《土壤环境质量</w:t>
      </w:r>
      <w:r>
        <w:rPr>
          <w:color w:val="auto"/>
        </w:rPr>
        <w:t xml:space="preserve"> </w:t>
      </w:r>
      <w:r>
        <w:rPr>
          <w:rFonts w:hint="eastAsia"/>
          <w:color w:val="auto"/>
        </w:rPr>
        <w:t>农用地土壤污染风险管控标准（试行）》（</w:t>
      </w:r>
      <w:r>
        <w:rPr>
          <w:color w:val="auto"/>
        </w:rPr>
        <w:t>GB15618—2018</w:t>
      </w:r>
      <w:r>
        <w:rPr>
          <w:rFonts w:hint="eastAsia"/>
          <w:color w:val="auto"/>
        </w:rPr>
        <w:t>）风险筛选值要求，评价标准限值详见表</w:t>
      </w:r>
      <w:r>
        <w:rPr>
          <w:color w:val="auto"/>
        </w:rPr>
        <w:t>2.8-5</w:t>
      </w:r>
      <w:r>
        <w:rPr>
          <w:rFonts w:hint="eastAsia"/>
          <w:color w:val="auto"/>
        </w:rPr>
        <w:t>和表2</w:t>
      </w:r>
      <w:r>
        <w:rPr>
          <w:color w:val="auto"/>
        </w:rPr>
        <w:t>.8-6</w:t>
      </w:r>
      <w:r>
        <w:rPr>
          <w:rFonts w:hint="eastAsia"/>
          <w:color w:val="auto"/>
        </w:rPr>
        <w:t>。</w:t>
      </w:r>
    </w:p>
    <w:p>
      <w:pPr>
        <w:spacing w:line="360" w:lineRule="auto"/>
        <w:jc w:val="both"/>
        <w:rPr>
          <w:color w:val="auto"/>
        </w:rPr>
      </w:pPr>
      <w:r>
        <w:rPr>
          <w:color w:val="auto"/>
        </w:rPr>
        <w:drawing>
          <wp:anchor distT="0" distB="0" distL="114300" distR="114300" simplePos="0" relativeHeight="251696128" behindDoc="0" locked="0" layoutInCell="1" allowOverlap="1">
            <wp:simplePos x="0" y="0"/>
            <wp:positionH relativeFrom="column">
              <wp:posOffset>4524375</wp:posOffset>
            </wp:positionH>
            <wp:positionV relativeFrom="paragraph">
              <wp:posOffset>124460</wp:posOffset>
            </wp:positionV>
            <wp:extent cx="714375" cy="580390"/>
            <wp:effectExtent l="0" t="0" r="9525" b="0"/>
            <wp:wrapNone/>
            <wp:docPr id="1285" name="图片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 name="图片 1285"/>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714618" cy="580495"/>
                    </a:xfrm>
                    <a:prstGeom prst="rect">
                      <a:avLst/>
                    </a:prstGeom>
                  </pic:spPr>
                </pic:pic>
              </a:graphicData>
            </a:graphic>
          </wp:anchor>
        </w:drawing>
      </w:r>
      <w:r>
        <w:rPr>
          <w:color w:val="auto"/>
        </w:rPr>
        <w:drawing>
          <wp:inline distT="0" distB="0" distL="0" distR="0">
            <wp:extent cx="5274310" cy="2974340"/>
            <wp:effectExtent l="0" t="0" r="2540" b="0"/>
            <wp:docPr id="42" name="图片 42" descr="C:\Users\Owner\AppData\Local\Temp\WeChat Files\9af6ccea02488255cff45c4b422be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Owner\AppData\Local\Temp\WeChat Files\9af6ccea02488255cff45c4b422be47.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5274310" cy="2974831"/>
                    </a:xfrm>
                    <a:prstGeom prst="rect">
                      <a:avLst/>
                    </a:prstGeom>
                    <a:noFill/>
                    <a:ln>
                      <a:noFill/>
                    </a:ln>
                  </pic:spPr>
                </pic:pic>
              </a:graphicData>
            </a:graphic>
          </wp:inline>
        </w:drawing>
      </w:r>
    </w:p>
    <w:p>
      <w:pPr>
        <w:jc w:val="center"/>
        <w:rPr>
          <w:b/>
          <w:bCs/>
          <w:color w:val="auto"/>
        </w:rPr>
      </w:pPr>
      <w:r>
        <w:rPr>
          <w:rFonts w:hint="eastAsia"/>
          <w:b/>
          <w:bCs/>
          <w:color w:val="auto"/>
        </w:rPr>
        <w:t>图4</w:t>
      </w:r>
      <w:r>
        <w:rPr>
          <w:b/>
          <w:bCs/>
          <w:color w:val="auto"/>
        </w:rPr>
        <w:t xml:space="preserve">.6-1 </w:t>
      </w:r>
      <w:r>
        <w:rPr>
          <w:rFonts w:hint="eastAsia"/>
          <w:b/>
          <w:bCs/>
          <w:color w:val="auto"/>
        </w:rPr>
        <w:t>项目所在区域土壤环境引用监测布点示意图</w:t>
      </w:r>
    </w:p>
    <w:p>
      <w:pPr>
        <w:pStyle w:val="298"/>
        <w:spacing w:before="156" w:after="156"/>
        <w:rPr>
          <w:color w:val="auto"/>
          <w:lang w:eastAsia="zh-CN"/>
        </w:rPr>
      </w:pPr>
      <w:bookmarkStart w:id="537" w:name="_Toc15912188"/>
      <w:bookmarkStart w:id="538" w:name="_Toc14946896"/>
      <w:bookmarkStart w:id="539" w:name="_Toc17824"/>
      <w:bookmarkStart w:id="540" w:name="_Toc24136804"/>
      <w:bookmarkStart w:id="541" w:name="_Toc34234723"/>
      <w:r>
        <w:rPr>
          <w:color w:val="auto"/>
        </w:rPr>
        <w:t>4.6.6监测结果</w:t>
      </w:r>
      <w:bookmarkEnd w:id="537"/>
      <w:bookmarkEnd w:id="538"/>
      <w:r>
        <w:rPr>
          <w:rFonts w:hint="eastAsia"/>
          <w:color w:val="auto"/>
          <w:lang w:eastAsia="zh-CN"/>
        </w:rPr>
        <w:t>与评价</w:t>
      </w:r>
      <w:bookmarkEnd w:id="539"/>
      <w:bookmarkEnd w:id="540"/>
      <w:bookmarkEnd w:id="541"/>
    </w:p>
    <w:p>
      <w:pPr>
        <w:spacing w:line="360" w:lineRule="auto"/>
        <w:ind w:firstLine="480"/>
        <w:rPr>
          <w:color w:val="auto"/>
        </w:rPr>
      </w:pPr>
      <w:r>
        <w:rPr>
          <w:rFonts w:hint="eastAsia"/>
          <w:color w:val="auto"/>
        </w:rPr>
        <w:t>项目所在区域</w:t>
      </w:r>
      <w:r>
        <w:rPr>
          <w:color w:val="auto"/>
        </w:rPr>
        <w:t>土壤环境质量现状</w:t>
      </w:r>
      <w:r>
        <w:rPr>
          <w:rFonts w:hint="eastAsia"/>
          <w:color w:val="auto"/>
        </w:rPr>
        <w:t>引用</w:t>
      </w:r>
      <w:r>
        <w:rPr>
          <w:color w:val="auto"/>
        </w:rPr>
        <w:t>监测情况见表</w:t>
      </w:r>
      <w:r>
        <w:rPr>
          <w:rFonts w:hint="eastAsia"/>
          <w:color w:val="auto"/>
        </w:rPr>
        <w:t>4</w:t>
      </w:r>
      <w:r>
        <w:rPr>
          <w:color w:val="auto"/>
        </w:rPr>
        <w:t>.6-3。</w:t>
      </w:r>
    </w:p>
    <w:p>
      <w:pPr>
        <w:spacing w:line="360" w:lineRule="auto"/>
        <w:ind w:firstLine="480" w:firstLineChars="200"/>
        <w:jc w:val="both"/>
        <w:rPr>
          <w:color w:val="auto"/>
        </w:rPr>
      </w:pPr>
      <w:bookmarkStart w:id="542" w:name="_Hlk24554338"/>
      <w:r>
        <w:rPr>
          <w:rFonts w:hint="eastAsia"/>
          <w:color w:val="auto"/>
        </w:rPr>
        <w:t>监测结果表明：项目所在区域布设的</w:t>
      </w:r>
      <w:r>
        <w:rPr>
          <w:color w:val="auto"/>
        </w:rPr>
        <w:t>T1</w:t>
      </w:r>
      <w:r>
        <w:rPr>
          <w:rFonts w:hint="eastAsia"/>
          <w:color w:val="auto"/>
        </w:rPr>
        <w:t>~</w:t>
      </w:r>
      <w:r>
        <w:rPr>
          <w:color w:val="auto"/>
        </w:rPr>
        <w:t>T4</w:t>
      </w:r>
      <w:r>
        <w:rPr>
          <w:rFonts w:hint="eastAsia"/>
          <w:color w:val="auto"/>
        </w:rPr>
        <w:t>监测点，其</w:t>
      </w:r>
      <w:r>
        <w:rPr>
          <w:color w:val="auto"/>
        </w:rPr>
        <w:t>45</w:t>
      </w:r>
      <w:r>
        <w:rPr>
          <w:rFonts w:hint="eastAsia"/>
          <w:color w:val="auto"/>
        </w:rPr>
        <w:t>项基本监测指标和二噁英类监测指标均能满足《土壤环境质量</w:t>
      </w:r>
      <w:r>
        <w:rPr>
          <w:color w:val="auto"/>
        </w:rPr>
        <w:t xml:space="preserve"> </w:t>
      </w:r>
      <w:r>
        <w:rPr>
          <w:rFonts w:hint="eastAsia"/>
          <w:color w:val="auto"/>
        </w:rPr>
        <w:t>建设用地土壤污染风险管控标准（试行）》（</w:t>
      </w:r>
      <w:r>
        <w:rPr>
          <w:color w:val="auto"/>
        </w:rPr>
        <w:t>GB36600—2018</w:t>
      </w:r>
      <w:r>
        <w:rPr>
          <w:rFonts w:hint="eastAsia"/>
          <w:color w:val="auto"/>
        </w:rPr>
        <w:t>）中第二类用地的筛选值要求；</w:t>
      </w:r>
      <w:r>
        <w:rPr>
          <w:color w:val="auto"/>
        </w:rPr>
        <w:t>T5</w:t>
      </w:r>
      <w:r>
        <w:rPr>
          <w:rFonts w:hint="eastAsia"/>
          <w:color w:val="auto"/>
        </w:rPr>
        <w:t>、</w:t>
      </w:r>
      <w:r>
        <w:rPr>
          <w:color w:val="auto"/>
        </w:rPr>
        <w:t>T6</w:t>
      </w:r>
      <w:r>
        <w:rPr>
          <w:rFonts w:hint="eastAsia"/>
          <w:color w:val="auto"/>
        </w:rPr>
        <w:t>监测点的重金属监测指标均能满足《土壤环境质量</w:t>
      </w:r>
      <w:r>
        <w:rPr>
          <w:color w:val="auto"/>
        </w:rPr>
        <w:t xml:space="preserve"> </w:t>
      </w:r>
      <w:r>
        <w:rPr>
          <w:rFonts w:hint="eastAsia"/>
          <w:color w:val="auto"/>
        </w:rPr>
        <w:t>农用地土壤污染风险管控标准（试行）》（</w:t>
      </w:r>
      <w:r>
        <w:rPr>
          <w:color w:val="auto"/>
        </w:rPr>
        <w:t>GB15618—2018</w:t>
      </w:r>
      <w:r>
        <w:rPr>
          <w:rFonts w:hint="eastAsia"/>
          <w:color w:val="auto"/>
        </w:rPr>
        <w:t>）中的筛选值要求，其二噁英类监测指标暂无评价标准，故不进行评价，所测数据作为项目二噁英类本底值数据留存。</w:t>
      </w:r>
      <w:bookmarkEnd w:id="542"/>
    </w:p>
    <w:p>
      <w:pPr>
        <w:spacing w:line="360" w:lineRule="auto"/>
        <w:rPr>
          <w:color w:val="auto"/>
        </w:rPr>
        <w:sectPr>
          <w:pgSz w:w="11906" w:h="16838"/>
          <w:pgMar w:top="1440" w:right="1800" w:bottom="1440" w:left="1800" w:header="851" w:footer="992" w:gutter="0"/>
          <w:pgNumType w:fmt="decimal"/>
          <w:cols w:space="720" w:num="1"/>
          <w:docGrid w:type="lines" w:linePitch="312" w:charSpace="0"/>
        </w:sectPr>
      </w:pPr>
      <w:bookmarkStart w:id="1047" w:name="_GoBack"/>
      <w:bookmarkEnd w:id="1047"/>
    </w:p>
    <w:p>
      <w:pPr>
        <w:jc w:val="center"/>
        <w:rPr>
          <w:b/>
          <w:bCs/>
          <w:color w:val="auto"/>
        </w:rPr>
      </w:pPr>
      <w:r>
        <w:rPr>
          <w:rFonts w:hint="eastAsia"/>
          <w:b/>
          <w:bCs/>
          <w:color w:val="auto"/>
        </w:rPr>
        <w:t>表4</w:t>
      </w:r>
      <w:r>
        <w:rPr>
          <w:b/>
          <w:bCs/>
          <w:color w:val="auto"/>
        </w:rPr>
        <w:t xml:space="preserve">.6-3 </w:t>
      </w:r>
      <w:r>
        <w:rPr>
          <w:rFonts w:hint="eastAsia"/>
          <w:b/>
          <w:bCs/>
          <w:color w:val="auto"/>
        </w:rPr>
        <w:t>项目所在区域土壤环境质量现状引用监测结果</w:t>
      </w:r>
    </w:p>
    <w:tbl>
      <w:tblPr>
        <w:tblStyle w:val="53"/>
        <w:tblW w:w="21355"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8"/>
        <w:gridCol w:w="850"/>
        <w:gridCol w:w="992"/>
        <w:gridCol w:w="992"/>
        <w:gridCol w:w="958"/>
        <w:gridCol w:w="957"/>
        <w:gridCol w:w="957"/>
        <w:gridCol w:w="904"/>
        <w:gridCol w:w="1072"/>
        <w:gridCol w:w="957"/>
        <w:gridCol w:w="957"/>
        <w:gridCol w:w="958"/>
        <w:gridCol w:w="927"/>
        <w:gridCol w:w="957"/>
        <w:gridCol w:w="958"/>
        <w:gridCol w:w="957"/>
        <w:gridCol w:w="957"/>
        <w:gridCol w:w="991"/>
        <w:gridCol w:w="700"/>
        <w:gridCol w:w="709"/>
        <w:gridCol w:w="1134"/>
        <w:gridCol w:w="1316"/>
        <w:gridCol w:w="6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508" w:type="dxa"/>
            <w:vMerge w:val="restart"/>
            <w:vAlign w:val="center"/>
          </w:tcPr>
          <w:p>
            <w:pPr>
              <w:jc w:val="center"/>
              <w:rPr>
                <w:rFonts w:eastAsiaTheme="minorEastAsia"/>
                <w:b/>
                <w:bCs/>
                <w:color w:val="auto"/>
                <w:sz w:val="18"/>
                <w:szCs w:val="18"/>
              </w:rPr>
            </w:pPr>
            <w:r>
              <w:rPr>
                <w:rFonts w:eastAsiaTheme="minorEastAsia"/>
                <w:b/>
                <w:bCs/>
                <w:color w:val="auto"/>
                <w:sz w:val="18"/>
                <w:szCs w:val="18"/>
              </w:rPr>
              <w:t>序号</w:t>
            </w:r>
          </w:p>
        </w:tc>
        <w:tc>
          <w:tcPr>
            <w:tcW w:w="850" w:type="dxa"/>
            <w:vMerge w:val="restart"/>
            <w:vAlign w:val="center"/>
          </w:tcPr>
          <w:p>
            <w:pPr>
              <w:jc w:val="center"/>
              <w:rPr>
                <w:rFonts w:eastAsiaTheme="minorEastAsia"/>
                <w:b/>
                <w:bCs/>
                <w:color w:val="auto"/>
                <w:sz w:val="18"/>
                <w:szCs w:val="18"/>
              </w:rPr>
            </w:pPr>
            <w:r>
              <w:rPr>
                <w:rFonts w:eastAsiaTheme="minorEastAsia"/>
                <w:b/>
                <w:bCs/>
                <w:color w:val="auto"/>
                <w:sz w:val="18"/>
                <w:szCs w:val="18"/>
              </w:rPr>
              <w:t>监测项目</w:t>
            </w:r>
          </w:p>
        </w:tc>
        <w:tc>
          <w:tcPr>
            <w:tcW w:w="16860" w:type="dxa"/>
            <w:gridSpan w:val="18"/>
            <w:vAlign w:val="center"/>
          </w:tcPr>
          <w:p>
            <w:pPr>
              <w:jc w:val="center"/>
              <w:rPr>
                <w:rFonts w:eastAsiaTheme="minorEastAsia"/>
                <w:b/>
                <w:bCs/>
                <w:color w:val="auto"/>
                <w:sz w:val="18"/>
                <w:szCs w:val="18"/>
              </w:rPr>
            </w:pPr>
            <w:r>
              <w:rPr>
                <w:rFonts w:eastAsiaTheme="minorEastAsia"/>
                <w:b/>
                <w:bCs/>
                <w:color w:val="auto"/>
                <w:sz w:val="18"/>
                <w:szCs w:val="18"/>
              </w:rPr>
              <w:t>采样时间2019年4月18日、2019年10月12日</w:t>
            </w:r>
          </w:p>
        </w:tc>
        <w:tc>
          <w:tcPr>
            <w:tcW w:w="3137" w:type="dxa"/>
            <w:gridSpan w:val="3"/>
            <w:vMerge w:val="restart"/>
            <w:vAlign w:val="center"/>
          </w:tcPr>
          <w:p>
            <w:pPr>
              <w:jc w:val="center"/>
              <w:rPr>
                <w:rFonts w:eastAsiaTheme="minorEastAsia"/>
                <w:b/>
                <w:bCs/>
                <w:color w:val="auto"/>
                <w:sz w:val="18"/>
                <w:szCs w:val="18"/>
              </w:rPr>
            </w:pPr>
            <w:r>
              <w:rPr>
                <w:rFonts w:eastAsiaTheme="minorEastAsia"/>
                <w:b/>
                <w:bCs/>
                <w:color w:val="auto"/>
                <w:sz w:val="18"/>
                <w:szCs w:val="18"/>
              </w:rPr>
              <w:t>评价标准（单位：mg/kg，pH值除外）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508" w:type="dxa"/>
            <w:vMerge w:val="continue"/>
            <w:vAlign w:val="center"/>
          </w:tcPr>
          <w:p>
            <w:pPr>
              <w:jc w:val="center"/>
              <w:rPr>
                <w:rFonts w:eastAsiaTheme="minorEastAsia"/>
                <w:b/>
                <w:bCs/>
                <w:color w:val="auto"/>
                <w:sz w:val="18"/>
                <w:szCs w:val="18"/>
              </w:rPr>
            </w:pPr>
          </w:p>
        </w:tc>
        <w:tc>
          <w:tcPr>
            <w:tcW w:w="850" w:type="dxa"/>
            <w:vMerge w:val="continue"/>
            <w:vAlign w:val="center"/>
          </w:tcPr>
          <w:p>
            <w:pPr>
              <w:jc w:val="center"/>
              <w:rPr>
                <w:rFonts w:eastAsiaTheme="minorEastAsia"/>
                <w:b/>
                <w:bCs/>
                <w:color w:val="auto"/>
                <w:sz w:val="18"/>
                <w:szCs w:val="18"/>
              </w:rPr>
            </w:pPr>
          </w:p>
        </w:tc>
        <w:tc>
          <w:tcPr>
            <w:tcW w:w="16860" w:type="dxa"/>
            <w:gridSpan w:val="18"/>
            <w:vAlign w:val="center"/>
          </w:tcPr>
          <w:p>
            <w:pPr>
              <w:jc w:val="center"/>
              <w:rPr>
                <w:rFonts w:eastAsiaTheme="minorEastAsia"/>
                <w:b/>
                <w:bCs/>
                <w:color w:val="auto"/>
                <w:sz w:val="18"/>
                <w:szCs w:val="18"/>
              </w:rPr>
            </w:pPr>
            <w:r>
              <w:rPr>
                <w:rFonts w:eastAsiaTheme="minorEastAsia"/>
                <w:b/>
                <w:bCs/>
                <w:color w:val="auto"/>
                <w:sz w:val="18"/>
                <w:szCs w:val="18"/>
              </w:rPr>
              <w:t>监测点位及结果（单位：mg/kg，pH值和二噁英类除外）</w:t>
            </w:r>
          </w:p>
        </w:tc>
        <w:tc>
          <w:tcPr>
            <w:tcW w:w="3137" w:type="dxa"/>
            <w:gridSpan w:val="3"/>
            <w:vMerge w:val="continue"/>
            <w:vAlign w:val="center"/>
          </w:tcPr>
          <w:p>
            <w:pPr>
              <w:jc w:val="center"/>
              <w:rPr>
                <w:rFonts w:eastAsiaTheme="minorEastAsia"/>
                <w:b/>
                <w:bCs/>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2" w:hRule="atLeast"/>
          <w:tblHeader/>
          <w:jc w:val="center"/>
        </w:trPr>
        <w:tc>
          <w:tcPr>
            <w:tcW w:w="508" w:type="dxa"/>
            <w:vMerge w:val="continue"/>
            <w:vAlign w:val="center"/>
          </w:tcPr>
          <w:p>
            <w:pPr>
              <w:jc w:val="center"/>
              <w:rPr>
                <w:rFonts w:eastAsiaTheme="minorEastAsia"/>
                <w:b/>
                <w:bCs/>
                <w:color w:val="auto"/>
                <w:sz w:val="18"/>
                <w:szCs w:val="18"/>
              </w:rPr>
            </w:pPr>
          </w:p>
        </w:tc>
        <w:tc>
          <w:tcPr>
            <w:tcW w:w="850" w:type="dxa"/>
            <w:vMerge w:val="continue"/>
            <w:vAlign w:val="center"/>
          </w:tcPr>
          <w:p>
            <w:pPr>
              <w:jc w:val="center"/>
              <w:rPr>
                <w:rFonts w:eastAsiaTheme="minorEastAsia"/>
                <w:b/>
                <w:bCs/>
                <w:color w:val="auto"/>
                <w:sz w:val="18"/>
                <w:szCs w:val="18"/>
              </w:rPr>
            </w:pPr>
          </w:p>
        </w:tc>
        <w:tc>
          <w:tcPr>
            <w:tcW w:w="4856" w:type="dxa"/>
            <w:gridSpan w:val="5"/>
            <w:vAlign w:val="center"/>
          </w:tcPr>
          <w:p>
            <w:pPr>
              <w:jc w:val="center"/>
              <w:rPr>
                <w:rFonts w:eastAsiaTheme="minorEastAsia"/>
                <w:b/>
                <w:bCs/>
                <w:color w:val="auto"/>
                <w:sz w:val="18"/>
                <w:szCs w:val="18"/>
              </w:rPr>
            </w:pPr>
            <w:r>
              <w:rPr>
                <w:rFonts w:eastAsiaTheme="minorEastAsia"/>
                <w:b/>
                <w:bCs/>
                <w:color w:val="auto"/>
                <w:sz w:val="18"/>
                <w:szCs w:val="18"/>
              </w:rPr>
              <w:t>T1（柱状样深度单位：cm）</w:t>
            </w:r>
          </w:p>
        </w:tc>
        <w:tc>
          <w:tcPr>
            <w:tcW w:w="4848" w:type="dxa"/>
            <w:gridSpan w:val="5"/>
            <w:vAlign w:val="center"/>
          </w:tcPr>
          <w:p>
            <w:pPr>
              <w:jc w:val="center"/>
              <w:rPr>
                <w:rFonts w:eastAsiaTheme="minorEastAsia"/>
                <w:b/>
                <w:bCs/>
                <w:color w:val="auto"/>
                <w:sz w:val="18"/>
                <w:szCs w:val="18"/>
              </w:rPr>
            </w:pPr>
            <w:r>
              <w:rPr>
                <w:rFonts w:eastAsiaTheme="minorEastAsia"/>
                <w:b/>
                <w:bCs/>
                <w:color w:val="auto"/>
                <w:sz w:val="18"/>
                <w:szCs w:val="18"/>
              </w:rPr>
              <w:t>T2（柱状样深度单位：cm）</w:t>
            </w:r>
          </w:p>
        </w:tc>
        <w:tc>
          <w:tcPr>
            <w:tcW w:w="4756" w:type="dxa"/>
            <w:gridSpan w:val="5"/>
            <w:vAlign w:val="center"/>
          </w:tcPr>
          <w:p>
            <w:pPr>
              <w:jc w:val="center"/>
              <w:rPr>
                <w:rFonts w:eastAsiaTheme="minorEastAsia"/>
                <w:b/>
                <w:bCs/>
                <w:color w:val="auto"/>
                <w:sz w:val="18"/>
                <w:szCs w:val="18"/>
              </w:rPr>
            </w:pPr>
            <w:r>
              <w:rPr>
                <w:rFonts w:eastAsiaTheme="minorEastAsia"/>
                <w:b/>
                <w:bCs/>
                <w:color w:val="auto"/>
                <w:sz w:val="18"/>
                <w:szCs w:val="18"/>
              </w:rPr>
              <w:t>T3</w:t>
            </w:r>
          </w:p>
        </w:tc>
        <w:tc>
          <w:tcPr>
            <w:tcW w:w="991" w:type="dxa"/>
            <w:vMerge w:val="restart"/>
            <w:vAlign w:val="center"/>
          </w:tcPr>
          <w:p>
            <w:pPr>
              <w:jc w:val="center"/>
              <w:rPr>
                <w:rFonts w:eastAsiaTheme="minorEastAsia"/>
                <w:b/>
                <w:bCs/>
                <w:color w:val="auto"/>
                <w:sz w:val="18"/>
                <w:szCs w:val="18"/>
              </w:rPr>
            </w:pPr>
            <w:r>
              <w:rPr>
                <w:rFonts w:eastAsiaTheme="minorEastAsia"/>
                <w:b/>
                <w:bCs/>
                <w:color w:val="auto"/>
                <w:sz w:val="18"/>
                <w:szCs w:val="18"/>
              </w:rPr>
              <w:t>T4</w:t>
            </w:r>
          </w:p>
        </w:tc>
        <w:tc>
          <w:tcPr>
            <w:tcW w:w="700" w:type="dxa"/>
            <w:vMerge w:val="restart"/>
            <w:vAlign w:val="center"/>
          </w:tcPr>
          <w:p>
            <w:pPr>
              <w:jc w:val="center"/>
              <w:rPr>
                <w:rFonts w:eastAsiaTheme="minorEastAsia"/>
                <w:b/>
                <w:bCs/>
                <w:color w:val="auto"/>
                <w:sz w:val="18"/>
                <w:szCs w:val="18"/>
              </w:rPr>
            </w:pPr>
            <w:r>
              <w:rPr>
                <w:rFonts w:eastAsiaTheme="minorEastAsia"/>
                <w:b/>
                <w:bCs/>
                <w:color w:val="auto"/>
                <w:sz w:val="18"/>
                <w:szCs w:val="18"/>
              </w:rPr>
              <w:t>T5</w:t>
            </w:r>
          </w:p>
        </w:tc>
        <w:tc>
          <w:tcPr>
            <w:tcW w:w="709" w:type="dxa"/>
            <w:vMerge w:val="restart"/>
            <w:vAlign w:val="center"/>
          </w:tcPr>
          <w:p>
            <w:pPr>
              <w:jc w:val="center"/>
              <w:rPr>
                <w:rFonts w:eastAsiaTheme="minorEastAsia"/>
                <w:b/>
                <w:bCs/>
                <w:color w:val="auto"/>
                <w:sz w:val="18"/>
                <w:szCs w:val="18"/>
              </w:rPr>
            </w:pPr>
            <w:r>
              <w:rPr>
                <w:rFonts w:eastAsiaTheme="minorEastAsia"/>
                <w:b/>
                <w:bCs/>
                <w:color w:val="auto"/>
                <w:sz w:val="18"/>
                <w:szCs w:val="18"/>
              </w:rPr>
              <w:t>T6</w:t>
            </w:r>
          </w:p>
        </w:tc>
        <w:tc>
          <w:tcPr>
            <w:tcW w:w="1134" w:type="dxa"/>
            <w:vMerge w:val="restart"/>
            <w:vAlign w:val="center"/>
          </w:tcPr>
          <w:p>
            <w:pPr>
              <w:jc w:val="center"/>
              <w:rPr>
                <w:rFonts w:eastAsiaTheme="minorEastAsia"/>
                <w:b/>
                <w:bCs/>
                <w:color w:val="auto"/>
                <w:sz w:val="18"/>
                <w:szCs w:val="18"/>
              </w:rPr>
            </w:pPr>
            <w:r>
              <w:rPr>
                <w:rFonts w:eastAsiaTheme="minorEastAsia"/>
                <w:b/>
                <w:bCs/>
                <w:color w:val="auto"/>
                <w:sz w:val="18"/>
                <w:szCs w:val="18"/>
              </w:rPr>
              <w:t>第二类建设用地筛选值（T1~T4）</w:t>
            </w:r>
          </w:p>
        </w:tc>
        <w:tc>
          <w:tcPr>
            <w:tcW w:w="1316" w:type="dxa"/>
            <w:vMerge w:val="restart"/>
            <w:vAlign w:val="center"/>
          </w:tcPr>
          <w:p>
            <w:pPr>
              <w:jc w:val="center"/>
              <w:rPr>
                <w:rFonts w:eastAsiaTheme="minorEastAsia"/>
                <w:b/>
                <w:bCs/>
                <w:color w:val="auto"/>
                <w:sz w:val="18"/>
                <w:szCs w:val="18"/>
              </w:rPr>
            </w:pPr>
            <w:r>
              <w:rPr>
                <w:rFonts w:eastAsiaTheme="minorEastAsia"/>
                <w:b/>
                <w:bCs/>
                <w:color w:val="auto"/>
                <w:sz w:val="18"/>
                <w:szCs w:val="18"/>
              </w:rPr>
              <w:t>农用地筛选值（T5、T6）</w:t>
            </w:r>
          </w:p>
        </w:tc>
        <w:tc>
          <w:tcPr>
            <w:tcW w:w="687" w:type="dxa"/>
            <w:vMerge w:val="restart"/>
            <w:vAlign w:val="center"/>
          </w:tcPr>
          <w:p>
            <w:pPr>
              <w:jc w:val="center"/>
              <w:rPr>
                <w:rFonts w:eastAsiaTheme="minorEastAsia"/>
                <w:b/>
                <w:bCs/>
                <w:color w:val="auto"/>
                <w:sz w:val="18"/>
                <w:szCs w:val="18"/>
              </w:rPr>
            </w:pPr>
            <w:r>
              <w:rPr>
                <w:rFonts w:eastAsiaTheme="minorEastAsia"/>
                <w:b/>
                <w:bCs/>
                <w:color w:val="auto"/>
                <w:sz w:val="18"/>
                <w:szCs w:val="18"/>
              </w:rPr>
              <w:t>是否达标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6" w:hRule="atLeast"/>
          <w:tblHeader/>
          <w:jc w:val="center"/>
        </w:trPr>
        <w:tc>
          <w:tcPr>
            <w:tcW w:w="508" w:type="dxa"/>
            <w:vMerge w:val="continue"/>
            <w:vAlign w:val="center"/>
          </w:tcPr>
          <w:p>
            <w:pPr>
              <w:jc w:val="center"/>
              <w:rPr>
                <w:rFonts w:eastAsiaTheme="minorEastAsia"/>
                <w:color w:val="auto"/>
                <w:sz w:val="18"/>
                <w:szCs w:val="18"/>
              </w:rPr>
            </w:pPr>
          </w:p>
        </w:tc>
        <w:tc>
          <w:tcPr>
            <w:tcW w:w="850" w:type="dxa"/>
            <w:vMerge w:val="continue"/>
            <w:vAlign w:val="center"/>
          </w:tcPr>
          <w:p>
            <w:pPr>
              <w:jc w:val="center"/>
              <w:rPr>
                <w:rFonts w:eastAsiaTheme="minorEastAsia"/>
                <w:color w:val="auto"/>
                <w:sz w:val="18"/>
                <w:szCs w:val="18"/>
              </w:rPr>
            </w:pPr>
          </w:p>
        </w:tc>
        <w:tc>
          <w:tcPr>
            <w:tcW w:w="992" w:type="dxa"/>
            <w:vAlign w:val="center"/>
          </w:tcPr>
          <w:p>
            <w:pPr>
              <w:jc w:val="center"/>
              <w:rPr>
                <w:rFonts w:eastAsiaTheme="minorEastAsia"/>
                <w:b/>
                <w:bCs/>
                <w:color w:val="auto"/>
                <w:sz w:val="18"/>
                <w:szCs w:val="18"/>
              </w:rPr>
            </w:pPr>
            <w:r>
              <w:rPr>
                <w:rFonts w:eastAsiaTheme="minorEastAsia"/>
                <w:b/>
                <w:bCs/>
                <w:color w:val="auto"/>
                <w:sz w:val="18"/>
                <w:szCs w:val="18"/>
              </w:rPr>
              <w:t>0-45</w:t>
            </w:r>
          </w:p>
        </w:tc>
        <w:tc>
          <w:tcPr>
            <w:tcW w:w="992" w:type="dxa"/>
            <w:vAlign w:val="center"/>
          </w:tcPr>
          <w:p>
            <w:pPr>
              <w:jc w:val="center"/>
              <w:rPr>
                <w:rFonts w:eastAsiaTheme="minorEastAsia"/>
                <w:b/>
                <w:bCs/>
                <w:color w:val="auto"/>
                <w:sz w:val="18"/>
                <w:szCs w:val="18"/>
              </w:rPr>
            </w:pPr>
            <w:r>
              <w:rPr>
                <w:rFonts w:eastAsiaTheme="minorEastAsia"/>
                <w:b/>
                <w:bCs/>
                <w:color w:val="auto"/>
                <w:sz w:val="18"/>
                <w:szCs w:val="18"/>
              </w:rPr>
              <w:t>50-100</w:t>
            </w:r>
          </w:p>
        </w:tc>
        <w:tc>
          <w:tcPr>
            <w:tcW w:w="958" w:type="dxa"/>
            <w:vAlign w:val="center"/>
          </w:tcPr>
          <w:p>
            <w:pPr>
              <w:jc w:val="center"/>
              <w:rPr>
                <w:rFonts w:eastAsiaTheme="minorEastAsia"/>
                <w:b/>
                <w:bCs/>
                <w:color w:val="auto"/>
                <w:sz w:val="18"/>
                <w:szCs w:val="18"/>
              </w:rPr>
            </w:pPr>
            <w:r>
              <w:rPr>
                <w:rFonts w:eastAsiaTheme="minorEastAsia"/>
                <w:b/>
                <w:bCs/>
                <w:color w:val="auto"/>
                <w:sz w:val="18"/>
                <w:szCs w:val="18"/>
              </w:rPr>
              <w:t>200-230</w:t>
            </w:r>
          </w:p>
        </w:tc>
        <w:tc>
          <w:tcPr>
            <w:tcW w:w="957" w:type="dxa"/>
            <w:vAlign w:val="center"/>
          </w:tcPr>
          <w:p>
            <w:pPr>
              <w:jc w:val="center"/>
              <w:rPr>
                <w:rFonts w:eastAsiaTheme="minorEastAsia"/>
                <w:b/>
                <w:bCs/>
                <w:color w:val="auto"/>
                <w:sz w:val="18"/>
                <w:szCs w:val="18"/>
              </w:rPr>
            </w:pPr>
            <w:r>
              <w:rPr>
                <w:rFonts w:eastAsiaTheme="minorEastAsia"/>
                <w:b/>
                <w:bCs/>
                <w:color w:val="auto"/>
                <w:sz w:val="18"/>
                <w:szCs w:val="18"/>
              </w:rPr>
              <w:t>450-480</w:t>
            </w:r>
          </w:p>
        </w:tc>
        <w:tc>
          <w:tcPr>
            <w:tcW w:w="957" w:type="dxa"/>
            <w:vAlign w:val="center"/>
          </w:tcPr>
          <w:p>
            <w:pPr>
              <w:jc w:val="center"/>
              <w:rPr>
                <w:rFonts w:eastAsiaTheme="minorEastAsia"/>
                <w:b/>
                <w:bCs/>
                <w:color w:val="auto"/>
                <w:sz w:val="18"/>
                <w:szCs w:val="18"/>
              </w:rPr>
            </w:pPr>
            <w:r>
              <w:rPr>
                <w:rFonts w:eastAsiaTheme="minorEastAsia"/>
                <w:b/>
                <w:bCs/>
                <w:color w:val="auto"/>
                <w:sz w:val="18"/>
                <w:szCs w:val="18"/>
              </w:rPr>
              <w:t>610-660</w:t>
            </w:r>
          </w:p>
        </w:tc>
        <w:tc>
          <w:tcPr>
            <w:tcW w:w="904" w:type="dxa"/>
            <w:vAlign w:val="center"/>
          </w:tcPr>
          <w:p>
            <w:pPr>
              <w:jc w:val="center"/>
              <w:rPr>
                <w:rFonts w:eastAsiaTheme="minorEastAsia"/>
                <w:b/>
                <w:bCs/>
                <w:color w:val="auto"/>
                <w:sz w:val="18"/>
                <w:szCs w:val="18"/>
              </w:rPr>
            </w:pPr>
            <w:r>
              <w:rPr>
                <w:rFonts w:eastAsiaTheme="minorEastAsia"/>
                <w:b/>
                <w:bCs/>
                <w:color w:val="auto"/>
                <w:sz w:val="18"/>
                <w:szCs w:val="18"/>
              </w:rPr>
              <w:t>0-30</w:t>
            </w:r>
          </w:p>
        </w:tc>
        <w:tc>
          <w:tcPr>
            <w:tcW w:w="1072" w:type="dxa"/>
            <w:vAlign w:val="center"/>
          </w:tcPr>
          <w:p>
            <w:pPr>
              <w:jc w:val="center"/>
              <w:rPr>
                <w:rFonts w:eastAsiaTheme="minorEastAsia"/>
                <w:b/>
                <w:bCs/>
                <w:color w:val="auto"/>
                <w:sz w:val="18"/>
                <w:szCs w:val="18"/>
              </w:rPr>
            </w:pPr>
            <w:r>
              <w:rPr>
                <w:rFonts w:eastAsiaTheme="minorEastAsia"/>
                <w:b/>
                <w:bCs/>
                <w:color w:val="auto"/>
                <w:sz w:val="18"/>
                <w:szCs w:val="18"/>
              </w:rPr>
              <w:t>70-100</w:t>
            </w:r>
          </w:p>
        </w:tc>
        <w:tc>
          <w:tcPr>
            <w:tcW w:w="957" w:type="dxa"/>
            <w:vAlign w:val="center"/>
          </w:tcPr>
          <w:p>
            <w:pPr>
              <w:jc w:val="center"/>
              <w:rPr>
                <w:rFonts w:eastAsiaTheme="minorEastAsia"/>
                <w:b/>
                <w:bCs/>
                <w:color w:val="auto"/>
                <w:sz w:val="18"/>
                <w:szCs w:val="18"/>
              </w:rPr>
            </w:pPr>
            <w:r>
              <w:rPr>
                <w:rFonts w:eastAsiaTheme="minorEastAsia"/>
                <w:b/>
                <w:bCs/>
                <w:color w:val="auto"/>
                <w:sz w:val="18"/>
                <w:szCs w:val="18"/>
              </w:rPr>
              <w:t>280-300</w:t>
            </w:r>
          </w:p>
        </w:tc>
        <w:tc>
          <w:tcPr>
            <w:tcW w:w="957" w:type="dxa"/>
            <w:vAlign w:val="center"/>
          </w:tcPr>
          <w:p>
            <w:pPr>
              <w:jc w:val="center"/>
              <w:rPr>
                <w:rFonts w:eastAsiaTheme="minorEastAsia"/>
                <w:b/>
                <w:bCs/>
                <w:color w:val="auto"/>
                <w:sz w:val="18"/>
                <w:szCs w:val="18"/>
              </w:rPr>
            </w:pPr>
            <w:r>
              <w:rPr>
                <w:rFonts w:eastAsiaTheme="minorEastAsia"/>
                <w:b/>
                <w:bCs/>
                <w:color w:val="auto"/>
                <w:sz w:val="18"/>
                <w:szCs w:val="18"/>
              </w:rPr>
              <w:t>400-430</w:t>
            </w:r>
          </w:p>
        </w:tc>
        <w:tc>
          <w:tcPr>
            <w:tcW w:w="958" w:type="dxa"/>
            <w:vAlign w:val="center"/>
          </w:tcPr>
          <w:p>
            <w:pPr>
              <w:jc w:val="center"/>
              <w:rPr>
                <w:rFonts w:eastAsiaTheme="minorEastAsia"/>
                <w:b/>
                <w:bCs/>
                <w:color w:val="auto"/>
                <w:sz w:val="18"/>
                <w:szCs w:val="18"/>
              </w:rPr>
            </w:pPr>
            <w:r>
              <w:rPr>
                <w:rFonts w:eastAsiaTheme="minorEastAsia"/>
                <w:b/>
                <w:bCs/>
                <w:color w:val="auto"/>
                <w:sz w:val="18"/>
                <w:szCs w:val="18"/>
              </w:rPr>
              <w:t>620-700</w:t>
            </w:r>
          </w:p>
        </w:tc>
        <w:tc>
          <w:tcPr>
            <w:tcW w:w="927" w:type="dxa"/>
            <w:vAlign w:val="center"/>
          </w:tcPr>
          <w:p>
            <w:pPr>
              <w:jc w:val="center"/>
              <w:rPr>
                <w:rFonts w:eastAsiaTheme="minorEastAsia"/>
                <w:b/>
                <w:bCs/>
                <w:color w:val="auto"/>
                <w:sz w:val="18"/>
                <w:szCs w:val="18"/>
              </w:rPr>
            </w:pPr>
            <w:r>
              <w:rPr>
                <w:rFonts w:eastAsiaTheme="minorEastAsia"/>
                <w:b/>
                <w:bCs/>
                <w:color w:val="auto"/>
                <w:sz w:val="18"/>
                <w:szCs w:val="18"/>
              </w:rPr>
              <w:t>0-50</w:t>
            </w:r>
          </w:p>
        </w:tc>
        <w:tc>
          <w:tcPr>
            <w:tcW w:w="957" w:type="dxa"/>
            <w:vAlign w:val="center"/>
          </w:tcPr>
          <w:p>
            <w:pPr>
              <w:jc w:val="center"/>
              <w:rPr>
                <w:rFonts w:eastAsiaTheme="minorEastAsia"/>
                <w:b/>
                <w:bCs/>
                <w:color w:val="auto"/>
                <w:sz w:val="18"/>
                <w:szCs w:val="18"/>
              </w:rPr>
            </w:pPr>
            <w:r>
              <w:rPr>
                <w:rFonts w:eastAsiaTheme="minorEastAsia"/>
                <w:b/>
                <w:bCs/>
                <w:color w:val="auto"/>
                <w:sz w:val="18"/>
                <w:szCs w:val="18"/>
              </w:rPr>
              <w:t>100-130</w:t>
            </w:r>
          </w:p>
        </w:tc>
        <w:tc>
          <w:tcPr>
            <w:tcW w:w="958" w:type="dxa"/>
            <w:vAlign w:val="center"/>
          </w:tcPr>
          <w:p>
            <w:pPr>
              <w:jc w:val="center"/>
              <w:rPr>
                <w:rFonts w:eastAsiaTheme="minorEastAsia"/>
                <w:b/>
                <w:bCs/>
                <w:color w:val="auto"/>
                <w:sz w:val="18"/>
                <w:szCs w:val="18"/>
              </w:rPr>
            </w:pPr>
            <w:r>
              <w:rPr>
                <w:rFonts w:eastAsiaTheme="minorEastAsia"/>
                <w:b/>
                <w:bCs/>
                <w:color w:val="auto"/>
                <w:sz w:val="18"/>
                <w:szCs w:val="18"/>
              </w:rPr>
              <w:t>160-200</w:t>
            </w:r>
          </w:p>
        </w:tc>
        <w:tc>
          <w:tcPr>
            <w:tcW w:w="957" w:type="dxa"/>
            <w:vAlign w:val="center"/>
          </w:tcPr>
          <w:p>
            <w:pPr>
              <w:jc w:val="center"/>
              <w:rPr>
                <w:rFonts w:eastAsiaTheme="minorEastAsia"/>
                <w:b/>
                <w:bCs/>
                <w:color w:val="auto"/>
                <w:sz w:val="18"/>
                <w:szCs w:val="18"/>
              </w:rPr>
            </w:pPr>
            <w:r>
              <w:rPr>
                <w:rFonts w:eastAsiaTheme="minorEastAsia"/>
                <w:b/>
                <w:bCs/>
                <w:color w:val="auto"/>
                <w:sz w:val="18"/>
                <w:szCs w:val="18"/>
              </w:rPr>
              <w:t>540-600</w:t>
            </w:r>
          </w:p>
        </w:tc>
        <w:tc>
          <w:tcPr>
            <w:tcW w:w="957" w:type="dxa"/>
            <w:vAlign w:val="center"/>
          </w:tcPr>
          <w:p>
            <w:pPr>
              <w:jc w:val="center"/>
              <w:rPr>
                <w:rFonts w:eastAsiaTheme="minorEastAsia"/>
                <w:b/>
                <w:bCs/>
                <w:color w:val="auto"/>
                <w:sz w:val="18"/>
                <w:szCs w:val="18"/>
              </w:rPr>
            </w:pPr>
            <w:r>
              <w:rPr>
                <w:rFonts w:eastAsiaTheme="minorEastAsia"/>
                <w:b/>
                <w:bCs/>
                <w:color w:val="auto"/>
                <w:sz w:val="18"/>
                <w:szCs w:val="18"/>
              </w:rPr>
              <w:t>700-740</w:t>
            </w:r>
          </w:p>
        </w:tc>
        <w:tc>
          <w:tcPr>
            <w:tcW w:w="991" w:type="dxa"/>
            <w:vMerge w:val="continue"/>
            <w:vAlign w:val="center"/>
          </w:tcPr>
          <w:p>
            <w:pPr>
              <w:jc w:val="center"/>
              <w:rPr>
                <w:rFonts w:eastAsiaTheme="minorEastAsia"/>
                <w:color w:val="auto"/>
                <w:sz w:val="18"/>
                <w:szCs w:val="18"/>
              </w:rPr>
            </w:pPr>
          </w:p>
        </w:tc>
        <w:tc>
          <w:tcPr>
            <w:tcW w:w="700" w:type="dxa"/>
            <w:vMerge w:val="continue"/>
            <w:vAlign w:val="center"/>
          </w:tcPr>
          <w:p>
            <w:pPr>
              <w:jc w:val="center"/>
              <w:rPr>
                <w:rFonts w:eastAsiaTheme="minorEastAsia"/>
                <w:color w:val="auto"/>
                <w:sz w:val="18"/>
                <w:szCs w:val="18"/>
              </w:rPr>
            </w:pPr>
          </w:p>
        </w:tc>
        <w:tc>
          <w:tcPr>
            <w:tcW w:w="709" w:type="dxa"/>
            <w:vMerge w:val="continue"/>
            <w:vAlign w:val="center"/>
          </w:tcPr>
          <w:p>
            <w:pPr>
              <w:jc w:val="center"/>
              <w:rPr>
                <w:rFonts w:eastAsiaTheme="minorEastAsia"/>
                <w:color w:val="auto"/>
                <w:sz w:val="18"/>
                <w:szCs w:val="18"/>
              </w:rPr>
            </w:pPr>
          </w:p>
        </w:tc>
        <w:tc>
          <w:tcPr>
            <w:tcW w:w="1134" w:type="dxa"/>
            <w:vMerge w:val="continue"/>
            <w:vAlign w:val="center"/>
          </w:tcPr>
          <w:p>
            <w:pPr>
              <w:jc w:val="center"/>
              <w:rPr>
                <w:rFonts w:eastAsiaTheme="minorEastAsia"/>
                <w:color w:val="auto"/>
                <w:sz w:val="18"/>
                <w:szCs w:val="18"/>
              </w:rPr>
            </w:pPr>
          </w:p>
        </w:tc>
        <w:tc>
          <w:tcPr>
            <w:tcW w:w="1316" w:type="dxa"/>
            <w:vMerge w:val="continue"/>
            <w:vAlign w:val="center"/>
          </w:tcPr>
          <w:p>
            <w:pPr>
              <w:jc w:val="center"/>
              <w:rPr>
                <w:rFonts w:eastAsiaTheme="minorEastAsia"/>
                <w:color w:val="auto"/>
                <w:sz w:val="18"/>
                <w:szCs w:val="18"/>
              </w:rPr>
            </w:pPr>
          </w:p>
        </w:tc>
        <w:tc>
          <w:tcPr>
            <w:tcW w:w="687" w:type="dxa"/>
            <w:vMerge w:val="continue"/>
            <w:vAlign w:val="center"/>
          </w:tcPr>
          <w:p>
            <w:pPr>
              <w:jc w:val="center"/>
              <w:rPr>
                <w:rFonts w:eastAsiaTheme="minorEastAsia"/>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8" w:hRule="atLeast"/>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1</w:t>
            </w:r>
          </w:p>
        </w:tc>
        <w:tc>
          <w:tcPr>
            <w:tcW w:w="850" w:type="dxa"/>
            <w:vAlign w:val="center"/>
          </w:tcPr>
          <w:p>
            <w:pPr>
              <w:jc w:val="center"/>
              <w:rPr>
                <w:rFonts w:eastAsiaTheme="minorEastAsia"/>
                <w:color w:val="auto"/>
                <w:sz w:val="18"/>
                <w:szCs w:val="18"/>
              </w:rPr>
            </w:pPr>
            <w:r>
              <w:rPr>
                <w:rFonts w:eastAsiaTheme="minorEastAsia"/>
                <w:color w:val="auto"/>
                <w:sz w:val="18"/>
                <w:szCs w:val="18"/>
              </w:rPr>
              <w:t>pH值</w:t>
            </w:r>
          </w:p>
        </w:tc>
        <w:tc>
          <w:tcPr>
            <w:tcW w:w="992" w:type="dxa"/>
            <w:vAlign w:val="center"/>
          </w:tcPr>
          <w:p>
            <w:pPr>
              <w:jc w:val="center"/>
              <w:rPr>
                <w:rFonts w:eastAsiaTheme="minorEastAsia"/>
                <w:color w:val="auto"/>
                <w:sz w:val="18"/>
                <w:szCs w:val="18"/>
              </w:rPr>
            </w:pPr>
            <w:r>
              <w:rPr>
                <w:rFonts w:eastAsiaTheme="minorEastAsia"/>
                <w:color w:val="auto"/>
                <w:sz w:val="18"/>
                <w:szCs w:val="18"/>
              </w:rPr>
              <w:t>7.10</w:t>
            </w:r>
          </w:p>
        </w:tc>
        <w:tc>
          <w:tcPr>
            <w:tcW w:w="992" w:type="dxa"/>
            <w:vAlign w:val="center"/>
          </w:tcPr>
          <w:p>
            <w:pPr>
              <w:jc w:val="center"/>
              <w:rPr>
                <w:rFonts w:eastAsiaTheme="minorEastAsia"/>
                <w:color w:val="auto"/>
                <w:sz w:val="18"/>
                <w:szCs w:val="18"/>
              </w:rPr>
            </w:pPr>
            <w:r>
              <w:rPr>
                <w:rFonts w:eastAsiaTheme="minorEastAsia"/>
                <w:color w:val="auto"/>
                <w:sz w:val="18"/>
                <w:szCs w:val="18"/>
              </w:rPr>
              <w:t>5.39</w:t>
            </w:r>
          </w:p>
        </w:tc>
        <w:tc>
          <w:tcPr>
            <w:tcW w:w="958" w:type="dxa"/>
            <w:vAlign w:val="center"/>
          </w:tcPr>
          <w:p>
            <w:pPr>
              <w:jc w:val="center"/>
              <w:rPr>
                <w:rFonts w:eastAsiaTheme="minorEastAsia"/>
                <w:color w:val="auto"/>
                <w:sz w:val="18"/>
                <w:szCs w:val="18"/>
              </w:rPr>
            </w:pPr>
            <w:r>
              <w:rPr>
                <w:rFonts w:eastAsiaTheme="minorEastAsia"/>
                <w:color w:val="auto"/>
                <w:sz w:val="18"/>
                <w:szCs w:val="18"/>
              </w:rPr>
              <w:t>6.94</w:t>
            </w:r>
          </w:p>
        </w:tc>
        <w:tc>
          <w:tcPr>
            <w:tcW w:w="957" w:type="dxa"/>
            <w:vAlign w:val="center"/>
          </w:tcPr>
          <w:p>
            <w:pPr>
              <w:jc w:val="center"/>
              <w:rPr>
                <w:rFonts w:eastAsiaTheme="minorEastAsia"/>
                <w:color w:val="auto"/>
                <w:sz w:val="18"/>
                <w:szCs w:val="18"/>
              </w:rPr>
            </w:pPr>
            <w:r>
              <w:rPr>
                <w:rFonts w:eastAsiaTheme="minorEastAsia"/>
                <w:color w:val="auto"/>
                <w:sz w:val="18"/>
                <w:szCs w:val="18"/>
              </w:rPr>
              <w:t>7.40</w:t>
            </w:r>
          </w:p>
        </w:tc>
        <w:tc>
          <w:tcPr>
            <w:tcW w:w="957" w:type="dxa"/>
            <w:vAlign w:val="center"/>
          </w:tcPr>
          <w:p>
            <w:pPr>
              <w:jc w:val="center"/>
              <w:rPr>
                <w:rFonts w:eastAsiaTheme="minorEastAsia"/>
                <w:color w:val="auto"/>
                <w:sz w:val="18"/>
                <w:szCs w:val="18"/>
              </w:rPr>
            </w:pPr>
            <w:r>
              <w:rPr>
                <w:rFonts w:eastAsiaTheme="minorEastAsia"/>
                <w:color w:val="auto"/>
                <w:sz w:val="18"/>
                <w:szCs w:val="18"/>
              </w:rPr>
              <w:t>6.63</w:t>
            </w:r>
          </w:p>
        </w:tc>
        <w:tc>
          <w:tcPr>
            <w:tcW w:w="904" w:type="dxa"/>
            <w:vAlign w:val="center"/>
          </w:tcPr>
          <w:p>
            <w:pPr>
              <w:jc w:val="center"/>
              <w:rPr>
                <w:rFonts w:eastAsiaTheme="minorEastAsia"/>
                <w:color w:val="auto"/>
                <w:sz w:val="18"/>
                <w:szCs w:val="18"/>
              </w:rPr>
            </w:pPr>
            <w:r>
              <w:rPr>
                <w:rFonts w:eastAsiaTheme="minorEastAsia"/>
                <w:color w:val="auto"/>
                <w:sz w:val="18"/>
                <w:szCs w:val="18"/>
              </w:rPr>
              <w:t>6.78</w:t>
            </w:r>
          </w:p>
        </w:tc>
        <w:tc>
          <w:tcPr>
            <w:tcW w:w="1072" w:type="dxa"/>
            <w:vAlign w:val="center"/>
          </w:tcPr>
          <w:p>
            <w:pPr>
              <w:jc w:val="center"/>
              <w:rPr>
                <w:rFonts w:eastAsiaTheme="minorEastAsia"/>
                <w:color w:val="auto"/>
                <w:sz w:val="18"/>
                <w:szCs w:val="18"/>
              </w:rPr>
            </w:pPr>
            <w:r>
              <w:rPr>
                <w:rFonts w:eastAsiaTheme="minorEastAsia"/>
                <w:color w:val="auto"/>
                <w:sz w:val="18"/>
                <w:szCs w:val="18"/>
              </w:rPr>
              <w:t>5.90</w:t>
            </w:r>
          </w:p>
        </w:tc>
        <w:tc>
          <w:tcPr>
            <w:tcW w:w="957" w:type="dxa"/>
            <w:vAlign w:val="center"/>
          </w:tcPr>
          <w:p>
            <w:pPr>
              <w:jc w:val="center"/>
              <w:rPr>
                <w:rFonts w:eastAsiaTheme="minorEastAsia"/>
                <w:color w:val="auto"/>
                <w:sz w:val="18"/>
                <w:szCs w:val="18"/>
              </w:rPr>
            </w:pPr>
            <w:r>
              <w:rPr>
                <w:rFonts w:eastAsiaTheme="minorEastAsia"/>
                <w:color w:val="auto"/>
                <w:sz w:val="18"/>
                <w:szCs w:val="18"/>
              </w:rPr>
              <w:t>6.37</w:t>
            </w:r>
          </w:p>
        </w:tc>
        <w:tc>
          <w:tcPr>
            <w:tcW w:w="957" w:type="dxa"/>
            <w:vAlign w:val="center"/>
          </w:tcPr>
          <w:p>
            <w:pPr>
              <w:jc w:val="center"/>
              <w:rPr>
                <w:rFonts w:eastAsiaTheme="minorEastAsia"/>
                <w:color w:val="auto"/>
                <w:sz w:val="18"/>
                <w:szCs w:val="18"/>
              </w:rPr>
            </w:pPr>
            <w:r>
              <w:rPr>
                <w:rFonts w:eastAsiaTheme="minorEastAsia"/>
                <w:color w:val="auto"/>
                <w:sz w:val="18"/>
                <w:szCs w:val="18"/>
              </w:rPr>
              <w:t>6.05</w:t>
            </w:r>
          </w:p>
        </w:tc>
        <w:tc>
          <w:tcPr>
            <w:tcW w:w="958" w:type="dxa"/>
            <w:vAlign w:val="center"/>
          </w:tcPr>
          <w:p>
            <w:pPr>
              <w:jc w:val="center"/>
              <w:rPr>
                <w:rFonts w:eastAsiaTheme="minorEastAsia"/>
                <w:color w:val="auto"/>
                <w:sz w:val="18"/>
                <w:szCs w:val="18"/>
              </w:rPr>
            </w:pPr>
            <w:r>
              <w:rPr>
                <w:rFonts w:eastAsiaTheme="minorEastAsia"/>
                <w:color w:val="auto"/>
                <w:sz w:val="18"/>
                <w:szCs w:val="18"/>
              </w:rPr>
              <w:t>7.27</w:t>
            </w:r>
          </w:p>
        </w:tc>
        <w:tc>
          <w:tcPr>
            <w:tcW w:w="927" w:type="dxa"/>
            <w:vAlign w:val="center"/>
          </w:tcPr>
          <w:p>
            <w:pPr>
              <w:jc w:val="center"/>
              <w:rPr>
                <w:rFonts w:eastAsiaTheme="minorEastAsia"/>
                <w:color w:val="auto"/>
                <w:sz w:val="18"/>
                <w:szCs w:val="18"/>
              </w:rPr>
            </w:pPr>
            <w:r>
              <w:rPr>
                <w:rFonts w:eastAsiaTheme="minorEastAsia"/>
                <w:color w:val="auto"/>
                <w:sz w:val="18"/>
                <w:szCs w:val="18"/>
              </w:rPr>
              <w:t>5.87</w:t>
            </w:r>
          </w:p>
        </w:tc>
        <w:tc>
          <w:tcPr>
            <w:tcW w:w="957" w:type="dxa"/>
            <w:vAlign w:val="center"/>
          </w:tcPr>
          <w:p>
            <w:pPr>
              <w:jc w:val="center"/>
              <w:rPr>
                <w:rFonts w:eastAsiaTheme="minorEastAsia"/>
                <w:color w:val="auto"/>
                <w:sz w:val="18"/>
                <w:szCs w:val="18"/>
              </w:rPr>
            </w:pPr>
            <w:r>
              <w:rPr>
                <w:rFonts w:eastAsiaTheme="minorEastAsia"/>
                <w:color w:val="auto"/>
                <w:sz w:val="18"/>
                <w:szCs w:val="18"/>
              </w:rPr>
              <w:t>5.90</w:t>
            </w:r>
          </w:p>
        </w:tc>
        <w:tc>
          <w:tcPr>
            <w:tcW w:w="958" w:type="dxa"/>
            <w:vAlign w:val="center"/>
          </w:tcPr>
          <w:p>
            <w:pPr>
              <w:jc w:val="center"/>
              <w:rPr>
                <w:rFonts w:eastAsiaTheme="minorEastAsia"/>
                <w:color w:val="auto"/>
                <w:sz w:val="18"/>
                <w:szCs w:val="18"/>
              </w:rPr>
            </w:pPr>
            <w:r>
              <w:rPr>
                <w:rFonts w:eastAsiaTheme="minorEastAsia"/>
                <w:color w:val="auto"/>
                <w:sz w:val="18"/>
                <w:szCs w:val="18"/>
              </w:rPr>
              <w:t>6.00</w:t>
            </w:r>
          </w:p>
        </w:tc>
        <w:tc>
          <w:tcPr>
            <w:tcW w:w="957" w:type="dxa"/>
            <w:vAlign w:val="center"/>
          </w:tcPr>
          <w:p>
            <w:pPr>
              <w:jc w:val="center"/>
              <w:rPr>
                <w:rFonts w:eastAsiaTheme="minorEastAsia"/>
                <w:color w:val="auto"/>
                <w:sz w:val="18"/>
                <w:szCs w:val="18"/>
              </w:rPr>
            </w:pPr>
            <w:r>
              <w:rPr>
                <w:rFonts w:eastAsiaTheme="minorEastAsia"/>
                <w:color w:val="auto"/>
                <w:sz w:val="18"/>
                <w:szCs w:val="18"/>
              </w:rPr>
              <w:t>6.47</w:t>
            </w:r>
          </w:p>
        </w:tc>
        <w:tc>
          <w:tcPr>
            <w:tcW w:w="957" w:type="dxa"/>
            <w:vAlign w:val="center"/>
          </w:tcPr>
          <w:p>
            <w:pPr>
              <w:jc w:val="center"/>
              <w:rPr>
                <w:rFonts w:eastAsiaTheme="minorEastAsia"/>
                <w:color w:val="auto"/>
                <w:sz w:val="18"/>
                <w:szCs w:val="18"/>
              </w:rPr>
            </w:pPr>
            <w:r>
              <w:rPr>
                <w:rFonts w:eastAsiaTheme="minorEastAsia"/>
                <w:color w:val="auto"/>
                <w:sz w:val="18"/>
                <w:szCs w:val="18"/>
              </w:rPr>
              <w:t>6.78</w:t>
            </w:r>
          </w:p>
        </w:tc>
        <w:tc>
          <w:tcPr>
            <w:tcW w:w="991" w:type="dxa"/>
            <w:vAlign w:val="center"/>
          </w:tcPr>
          <w:p>
            <w:pPr>
              <w:jc w:val="center"/>
              <w:rPr>
                <w:rFonts w:eastAsiaTheme="minorEastAsia"/>
                <w:color w:val="auto"/>
                <w:sz w:val="18"/>
                <w:szCs w:val="18"/>
              </w:rPr>
            </w:pPr>
            <w:r>
              <w:rPr>
                <w:rFonts w:eastAsiaTheme="minorEastAsia"/>
                <w:color w:val="auto"/>
                <w:sz w:val="18"/>
                <w:szCs w:val="18"/>
              </w:rPr>
              <w:t>5.02</w:t>
            </w:r>
          </w:p>
        </w:tc>
        <w:tc>
          <w:tcPr>
            <w:tcW w:w="700" w:type="dxa"/>
            <w:vAlign w:val="center"/>
          </w:tcPr>
          <w:p>
            <w:pPr>
              <w:jc w:val="center"/>
              <w:rPr>
                <w:rFonts w:eastAsiaTheme="minorEastAsia"/>
                <w:color w:val="auto"/>
                <w:sz w:val="18"/>
                <w:szCs w:val="18"/>
              </w:rPr>
            </w:pPr>
            <w:r>
              <w:rPr>
                <w:rFonts w:eastAsiaTheme="minorEastAsia"/>
                <w:color w:val="auto"/>
                <w:sz w:val="18"/>
                <w:szCs w:val="18"/>
              </w:rPr>
              <w:t>6.68</w:t>
            </w:r>
          </w:p>
        </w:tc>
        <w:tc>
          <w:tcPr>
            <w:tcW w:w="709" w:type="dxa"/>
            <w:vAlign w:val="center"/>
          </w:tcPr>
          <w:p>
            <w:pPr>
              <w:jc w:val="center"/>
              <w:rPr>
                <w:rFonts w:eastAsiaTheme="minorEastAsia"/>
                <w:color w:val="auto"/>
                <w:sz w:val="18"/>
                <w:szCs w:val="18"/>
              </w:rPr>
            </w:pPr>
            <w:r>
              <w:rPr>
                <w:rFonts w:eastAsiaTheme="minorEastAsia"/>
                <w:color w:val="auto"/>
                <w:sz w:val="18"/>
                <w:szCs w:val="18"/>
              </w:rPr>
              <w:t>5.26</w:t>
            </w:r>
          </w:p>
        </w:tc>
        <w:tc>
          <w:tcPr>
            <w:tcW w:w="1134" w:type="dxa"/>
            <w:vAlign w:val="center"/>
          </w:tcPr>
          <w:p>
            <w:pPr>
              <w:jc w:val="center"/>
              <w:rPr>
                <w:rFonts w:eastAsiaTheme="minorEastAsia"/>
                <w:color w:val="auto"/>
                <w:sz w:val="18"/>
                <w:szCs w:val="18"/>
              </w:rPr>
            </w:pPr>
            <w:r>
              <w:rPr>
                <w:rFonts w:eastAsiaTheme="minorEastAsia"/>
                <w:color w:val="auto"/>
                <w:sz w:val="18"/>
                <w:szCs w:val="18"/>
              </w:rPr>
              <w:t>---</w:t>
            </w:r>
          </w:p>
        </w:tc>
        <w:tc>
          <w:tcPr>
            <w:tcW w:w="1316" w:type="dxa"/>
            <w:vAlign w:val="center"/>
          </w:tcPr>
          <w:p>
            <w:pPr>
              <w:jc w:val="center"/>
              <w:rPr>
                <w:rFonts w:eastAsiaTheme="minorEastAsia"/>
                <w:color w:val="auto"/>
                <w:sz w:val="18"/>
                <w:szCs w:val="18"/>
              </w:rPr>
            </w:pPr>
            <w:r>
              <w:rPr>
                <w:rFonts w:eastAsiaTheme="minorEastAsia"/>
                <w:color w:val="auto"/>
                <w:sz w:val="18"/>
                <w:szCs w:val="18"/>
              </w:rPr>
              <w:t>6.5＜pH≤7.5、pH≤5.5</w:t>
            </w:r>
          </w:p>
        </w:tc>
        <w:tc>
          <w:tcPr>
            <w:tcW w:w="687" w:type="dxa"/>
            <w:vAlign w:val="center"/>
          </w:tcPr>
          <w:p>
            <w:pPr>
              <w:jc w:val="center"/>
              <w:rPr>
                <w:rFonts w:eastAsiaTheme="minorEastAsia"/>
                <w:color w:val="auto"/>
                <w:sz w:val="18"/>
                <w:szCs w:val="18"/>
              </w:rPr>
            </w:pPr>
            <w:r>
              <w:rPr>
                <w:rFonts w:eastAsiaTheme="minorEastAsia"/>
                <w:color w:val="auto"/>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8" w:hRule="atLeast"/>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2</w:t>
            </w:r>
          </w:p>
        </w:tc>
        <w:tc>
          <w:tcPr>
            <w:tcW w:w="850" w:type="dxa"/>
            <w:vAlign w:val="center"/>
          </w:tcPr>
          <w:p>
            <w:pPr>
              <w:jc w:val="center"/>
              <w:rPr>
                <w:rFonts w:eastAsiaTheme="minorEastAsia"/>
                <w:color w:val="auto"/>
                <w:sz w:val="18"/>
                <w:szCs w:val="18"/>
              </w:rPr>
            </w:pPr>
            <w:r>
              <w:rPr>
                <w:rFonts w:eastAsiaTheme="minorEastAsia"/>
                <w:color w:val="auto"/>
                <w:sz w:val="18"/>
                <w:szCs w:val="18"/>
              </w:rPr>
              <w:t>砷</w:t>
            </w:r>
          </w:p>
        </w:tc>
        <w:tc>
          <w:tcPr>
            <w:tcW w:w="992" w:type="dxa"/>
            <w:vAlign w:val="center"/>
          </w:tcPr>
          <w:p>
            <w:pPr>
              <w:jc w:val="center"/>
              <w:rPr>
                <w:rFonts w:eastAsiaTheme="minorEastAsia"/>
                <w:color w:val="auto"/>
                <w:sz w:val="18"/>
                <w:szCs w:val="18"/>
              </w:rPr>
            </w:pPr>
            <w:r>
              <w:rPr>
                <w:rFonts w:eastAsiaTheme="minorEastAsia"/>
                <w:color w:val="auto"/>
                <w:sz w:val="18"/>
                <w:szCs w:val="18"/>
              </w:rPr>
              <w:t>0.33</w:t>
            </w:r>
          </w:p>
        </w:tc>
        <w:tc>
          <w:tcPr>
            <w:tcW w:w="992" w:type="dxa"/>
            <w:vAlign w:val="center"/>
          </w:tcPr>
          <w:p>
            <w:pPr>
              <w:jc w:val="center"/>
              <w:rPr>
                <w:rFonts w:eastAsiaTheme="minorEastAsia"/>
                <w:color w:val="auto"/>
                <w:sz w:val="18"/>
                <w:szCs w:val="18"/>
              </w:rPr>
            </w:pPr>
            <w:r>
              <w:rPr>
                <w:rFonts w:eastAsiaTheme="minorEastAsia"/>
                <w:color w:val="auto"/>
                <w:sz w:val="18"/>
                <w:szCs w:val="18"/>
              </w:rPr>
              <w:t>0.36</w:t>
            </w:r>
          </w:p>
        </w:tc>
        <w:tc>
          <w:tcPr>
            <w:tcW w:w="958" w:type="dxa"/>
            <w:vAlign w:val="center"/>
          </w:tcPr>
          <w:p>
            <w:pPr>
              <w:jc w:val="center"/>
              <w:rPr>
                <w:rFonts w:eastAsiaTheme="minorEastAsia"/>
                <w:color w:val="auto"/>
                <w:sz w:val="18"/>
                <w:szCs w:val="18"/>
              </w:rPr>
            </w:pPr>
            <w:r>
              <w:rPr>
                <w:rFonts w:eastAsiaTheme="minorEastAsia"/>
                <w:color w:val="auto"/>
                <w:sz w:val="18"/>
                <w:szCs w:val="18"/>
              </w:rPr>
              <w:t>0.44</w:t>
            </w:r>
          </w:p>
        </w:tc>
        <w:tc>
          <w:tcPr>
            <w:tcW w:w="957" w:type="dxa"/>
            <w:vAlign w:val="center"/>
          </w:tcPr>
          <w:p>
            <w:pPr>
              <w:jc w:val="center"/>
              <w:rPr>
                <w:rFonts w:eastAsiaTheme="minorEastAsia"/>
                <w:color w:val="auto"/>
                <w:sz w:val="18"/>
                <w:szCs w:val="18"/>
              </w:rPr>
            </w:pPr>
            <w:r>
              <w:rPr>
                <w:rFonts w:eastAsiaTheme="minorEastAsia"/>
                <w:color w:val="auto"/>
                <w:sz w:val="18"/>
                <w:szCs w:val="18"/>
              </w:rPr>
              <w:t>0.69</w:t>
            </w:r>
          </w:p>
        </w:tc>
        <w:tc>
          <w:tcPr>
            <w:tcW w:w="957" w:type="dxa"/>
            <w:vAlign w:val="center"/>
          </w:tcPr>
          <w:p>
            <w:pPr>
              <w:jc w:val="center"/>
              <w:rPr>
                <w:rFonts w:eastAsiaTheme="minorEastAsia"/>
                <w:color w:val="auto"/>
                <w:sz w:val="18"/>
                <w:szCs w:val="18"/>
              </w:rPr>
            </w:pPr>
            <w:r>
              <w:rPr>
                <w:rFonts w:eastAsiaTheme="minorEastAsia"/>
                <w:color w:val="auto"/>
                <w:sz w:val="18"/>
                <w:szCs w:val="18"/>
              </w:rPr>
              <w:t>1.14</w:t>
            </w:r>
          </w:p>
        </w:tc>
        <w:tc>
          <w:tcPr>
            <w:tcW w:w="904" w:type="dxa"/>
            <w:vAlign w:val="center"/>
          </w:tcPr>
          <w:p>
            <w:pPr>
              <w:jc w:val="center"/>
              <w:rPr>
                <w:rFonts w:eastAsiaTheme="minorEastAsia"/>
                <w:color w:val="auto"/>
                <w:sz w:val="18"/>
                <w:szCs w:val="18"/>
              </w:rPr>
            </w:pPr>
            <w:r>
              <w:rPr>
                <w:rFonts w:eastAsiaTheme="minorEastAsia"/>
                <w:color w:val="auto"/>
                <w:sz w:val="18"/>
                <w:szCs w:val="18"/>
              </w:rPr>
              <w:t>0.44</w:t>
            </w:r>
          </w:p>
        </w:tc>
        <w:tc>
          <w:tcPr>
            <w:tcW w:w="1072" w:type="dxa"/>
            <w:vAlign w:val="center"/>
          </w:tcPr>
          <w:p>
            <w:pPr>
              <w:jc w:val="center"/>
              <w:rPr>
                <w:rFonts w:eastAsiaTheme="minorEastAsia"/>
                <w:color w:val="auto"/>
                <w:sz w:val="18"/>
                <w:szCs w:val="18"/>
              </w:rPr>
            </w:pPr>
            <w:r>
              <w:rPr>
                <w:rFonts w:eastAsiaTheme="minorEastAsia"/>
                <w:color w:val="auto"/>
                <w:sz w:val="18"/>
                <w:szCs w:val="18"/>
              </w:rPr>
              <w:t>0.67</w:t>
            </w:r>
          </w:p>
        </w:tc>
        <w:tc>
          <w:tcPr>
            <w:tcW w:w="957" w:type="dxa"/>
            <w:vAlign w:val="center"/>
          </w:tcPr>
          <w:p>
            <w:pPr>
              <w:jc w:val="center"/>
              <w:rPr>
                <w:rFonts w:eastAsiaTheme="minorEastAsia"/>
                <w:color w:val="auto"/>
                <w:sz w:val="18"/>
                <w:szCs w:val="18"/>
              </w:rPr>
            </w:pPr>
            <w:r>
              <w:rPr>
                <w:rFonts w:eastAsiaTheme="minorEastAsia"/>
                <w:color w:val="auto"/>
                <w:sz w:val="18"/>
                <w:szCs w:val="18"/>
              </w:rPr>
              <w:t>0.99</w:t>
            </w:r>
          </w:p>
        </w:tc>
        <w:tc>
          <w:tcPr>
            <w:tcW w:w="957" w:type="dxa"/>
            <w:vAlign w:val="center"/>
          </w:tcPr>
          <w:p>
            <w:pPr>
              <w:jc w:val="center"/>
              <w:rPr>
                <w:rFonts w:eastAsiaTheme="minorEastAsia"/>
                <w:color w:val="auto"/>
                <w:sz w:val="18"/>
                <w:szCs w:val="18"/>
              </w:rPr>
            </w:pPr>
            <w:r>
              <w:rPr>
                <w:rFonts w:eastAsiaTheme="minorEastAsia"/>
                <w:color w:val="auto"/>
                <w:sz w:val="18"/>
                <w:szCs w:val="18"/>
              </w:rPr>
              <w:t>0.92</w:t>
            </w:r>
          </w:p>
        </w:tc>
        <w:tc>
          <w:tcPr>
            <w:tcW w:w="958" w:type="dxa"/>
            <w:vAlign w:val="center"/>
          </w:tcPr>
          <w:p>
            <w:pPr>
              <w:jc w:val="center"/>
              <w:rPr>
                <w:rFonts w:eastAsiaTheme="minorEastAsia"/>
                <w:color w:val="auto"/>
                <w:sz w:val="18"/>
                <w:szCs w:val="18"/>
              </w:rPr>
            </w:pPr>
            <w:r>
              <w:rPr>
                <w:rFonts w:eastAsiaTheme="minorEastAsia"/>
                <w:color w:val="auto"/>
                <w:sz w:val="18"/>
                <w:szCs w:val="18"/>
              </w:rPr>
              <w:t>0.59</w:t>
            </w:r>
          </w:p>
        </w:tc>
        <w:tc>
          <w:tcPr>
            <w:tcW w:w="927" w:type="dxa"/>
            <w:vAlign w:val="center"/>
          </w:tcPr>
          <w:p>
            <w:pPr>
              <w:jc w:val="center"/>
              <w:rPr>
                <w:rFonts w:eastAsiaTheme="minorEastAsia"/>
                <w:color w:val="auto"/>
                <w:sz w:val="18"/>
                <w:szCs w:val="18"/>
              </w:rPr>
            </w:pPr>
            <w:r>
              <w:rPr>
                <w:rFonts w:eastAsiaTheme="minorEastAsia"/>
                <w:color w:val="auto"/>
                <w:sz w:val="18"/>
                <w:szCs w:val="18"/>
              </w:rPr>
              <w:t>0.36</w:t>
            </w:r>
          </w:p>
        </w:tc>
        <w:tc>
          <w:tcPr>
            <w:tcW w:w="957" w:type="dxa"/>
            <w:vAlign w:val="center"/>
          </w:tcPr>
          <w:p>
            <w:pPr>
              <w:jc w:val="center"/>
              <w:rPr>
                <w:rFonts w:eastAsiaTheme="minorEastAsia"/>
                <w:color w:val="auto"/>
                <w:sz w:val="18"/>
                <w:szCs w:val="18"/>
              </w:rPr>
            </w:pPr>
            <w:r>
              <w:rPr>
                <w:rFonts w:eastAsiaTheme="minorEastAsia"/>
                <w:color w:val="auto"/>
                <w:sz w:val="18"/>
                <w:szCs w:val="18"/>
              </w:rPr>
              <w:t>0.53</w:t>
            </w:r>
          </w:p>
        </w:tc>
        <w:tc>
          <w:tcPr>
            <w:tcW w:w="958" w:type="dxa"/>
            <w:vAlign w:val="center"/>
          </w:tcPr>
          <w:p>
            <w:pPr>
              <w:jc w:val="center"/>
              <w:rPr>
                <w:rFonts w:eastAsiaTheme="minorEastAsia"/>
                <w:color w:val="auto"/>
                <w:sz w:val="18"/>
                <w:szCs w:val="18"/>
              </w:rPr>
            </w:pPr>
            <w:r>
              <w:rPr>
                <w:rFonts w:eastAsiaTheme="minorEastAsia"/>
                <w:color w:val="auto"/>
                <w:sz w:val="18"/>
                <w:szCs w:val="18"/>
              </w:rPr>
              <w:t>1.20</w:t>
            </w:r>
          </w:p>
        </w:tc>
        <w:tc>
          <w:tcPr>
            <w:tcW w:w="957" w:type="dxa"/>
            <w:vAlign w:val="center"/>
          </w:tcPr>
          <w:p>
            <w:pPr>
              <w:jc w:val="center"/>
              <w:rPr>
                <w:rFonts w:eastAsiaTheme="minorEastAsia"/>
                <w:color w:val="auto"/>
                <w:sz w:val="18"/>
                <w:szCs w:val="18"/>
              </w:rPr>
            </w:pPr>
            <w:r>
              <w:rPr>
                <w:rFonts w:eastAsiaTheme="minorEastAsia"/>
                <w:color w:val="auto"/>
                <w:sz w:val="18"/>
                <w:szCs w:val="18"/>
              </w:rPr>
              <w:t>0.75</w:t>
            </w:r>
          </w:p>
        </w:tc>
        <w:tc>
          <w:tcPr>
            <w:tcW w:w="957" w:type="dxa"/>
            <w:vAlign w:val="center"/>
          </w:tcPr>
          <w:p>
            <w:pPr>
              <w:jc w:val="center"/>
              <w:rPr>
                <w:rFonts w:eastAsiaTheme="minorEastAsia"/>
                <w:color w:val="auto"/>
                <w:sz w:val="18"/>
                <w:szCs w:val="18"/>
              </w:rPr>
            </w:pPr>
            <w:r>
              <w:rPr>
                <w:rFonts w:eastAsiaTheme="minorEastAsia"/>
                <w:color w:val="auto"/>
                <w:sz w:val="18"/>
                <w:szCs w:val="18"/>
              </w:rPr>
              <w:t>1.13</w:t>
            </w:r>
          </w:p>
        </w:tc>
        <w:tc>
          <w:tcPr>
            <w:tcW w:w="991" w:type="dxa"/>
            <w:vAlign w:val="center"/>
          </w:tcPr>
          <w:p>
            <w:pPr>
              <w:jc w:val="center"/>
              <w:rPr>
                <w:rFonts w:eastAsiaTheme="minorEastAsia"/>
                <w:color w:val="auto"/>
                <w:sz w:val="18"/>
                <w:szCs w:val="18"/>
              </w:rPr>
            </w:pPr>
            <w:r>
              <w:rPr>
                <w:rFonts w:eastAsiaTheme="minorEastAsia"/>
                <w:color w:val="auto"/>
                <w:sz w:val="18"/>
                <w:szCs w:val="18"/>
              </w:rPr>
              <w:t>3.02</w:t>
            </w:r>
          </w:p>
        </w:tc>
        <w:tc>
          <w:tcPr>
            <w:tcW w:w="700" w:type="dxa"/>
            <w:vAlign w:val="center"/>
          </w:tcPr>
          <w:p>
            <w:pPr>
              <w:jc w:val="center"/>
              <w:rPr>
                <w:rFonts w:eastAsiaTheme="minorEastAsia"/>
                <w:color w:val="auto"/>
                <w:sz w:val="18"/>
                <w:szCs w:val="18"/>
              </w:rPr>
            </w:pPr>
            <w:r>
              <w:rPr>
                <w:rFonts w:eastAsiaTheme="minorEastAsia"/>
                <w:color w:val="auto"/>
                <w:sz w:val="18"/>
                <w:szCs w:val="18"/>
              </w:rPr>
              <w:t>2.80</w:t>
            </w:r>
          </w:p>
        </w:tc>
        <w:tc>
          <w:tcPr>
            <w:tcW w:w="709" w:type="dxa"/>
            <w:vAlign w:val="center"/>
          </w:tcPr>
          <w:p>
            <w:pPr>
              <w:jc w:val="center"/>
              <w:rPr>
                <w:rFonts w:eastAsiaTheme="minorEastAsia"/>
                <w:color w:val="auto"/>
                <w:sz w:val="18"/>
                <w:szCs w:val="18"/>
              </w:rPr>
            </w:pPr>
            <w:r>
              <w:rPr>
                <w:rFonts w:eastAsiaTheme="minorEastAsia"/>
                <w:color w:val="auto"/>
                <w:sz w:val="18"/>
                <w:szCs w:val="18"/>
              </w:rPr>
              <w:t>2.48</w:t>
            </w:r>
          </w:p>
        </w:tc>
        <w:tc>
          <w:tcPr>
            <w:tcW w:w="1134" w:type="dxa"/>
            <w:vAlign w:val="center"/>
          </w:tcPr>
          <w:p>
            <w:pPr>
              <w:jc w:val="center"/>
              <w:rPr>
                <w:rFonts w:eastAsiaTheme="minorEastAsia"/>
                <w:color w:val="auto"/>
                <w:sz w:val="18"/>
                <w:szCs w:val="18"/>
              </w:rPr>
            </w:pPr>
            <w:r>
              <w:rPr>
                <w:rFonts w:eastAsiaTheme="minorEastAsia"/>
                <w:color w:val="auto"/>
                <w:sz w:val="18"/>
                <w:szCs w:val="18"/>
              </w:rPr>
              <w:t>60</w:t>
            </w:r>
          </w:p>
        </w:tc>
        <w:tc>
          <w:tcPr>
            <w:tcW w:w="1316" w:type="dxa"/>
            <w:vAlign w:val="center"/>
          </w:tcPr>
          <w:p>
            <w:pPr>
              <w:jc w:val="center"/>
              <w:rPr>
                <w:rFonts w:eastAsiaTheme="minorEastAsia"/>
                <w:color w:val="auto"/>
                <w:sz w:val="18"/>
                <w:szCs w:val="18"/>
              </w:rPr>
            </w:pPr>
            <w:r>
              <w:rPr>
                <w:rFonts w:eastAsiaTheme="minorEastAsia"/>
                <w:color w:val="auto"/>
                <w:sz w:val="18"/>
                <w:szCs w:val="18"/>
              </w:rPr>
              <w:t>30、40</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3</w:t>
            </w:r>
          </w:p>
        </w:tc>
        <w:tc>
          <w:tcPr>
            <w:tcW w:w="850" w:type="dxa"/>
            <w:vAlign w:val="center"/>
          </w:tcPr>
          <w:p>
            <w:pPr>
              <w:jc w:val="center"/>
              <w:rPr>
                <w:rFonts w:eastAsiaTheme="minorEastAsia"/>
                <w:color w:val="auto"/>
                <w:sz w:val="18"/>
                <w:szCs w:val="18"/>
              </w:rPr>
            </w:pPr>
            <w:r>
              <w:rPr>
                <w:rFonts w:eastAsiaTheme="minorEastAsia"/>
                <w:color w:val="auto"/>
                <w:sz w:val="18"/>
                <w:szCs w:val="18"/>
              </w:rPr>
              <w:t>镉</w:t>
            </w:r>
          </w:p>
        </w:tc>
        <w:tc>
          <w:tcPr>
            <w:tcW w:w="992" w:type="dxa"/>
            <w:vAlign w:val="center"/>
          </w:tcPr>
          <w:p>
            <w:pPr>
              <w:jc w:val="center"/>
              <w:rPr>
                <w:rFonts w:eastAsiaTheme="minorEastAsia"/>
                <w:color w:val="auto"/>
                <w:sz w:val="18"/>
                <w:szCs w:val="18"/>
              </w:rPr>
            </w:pPr>
            <w:r>
              <w:rPr>
                <w:rFonts w:eastAsiaTheme="minorEastAsia"/>
                <w:color w:val="auto"/>
                <w:sz w:val="18"/>
                <w:szCs w:val="18"/>
              </w:rPr>
              <w:t>0.04</w:t>
            </w:r>
          </w:p>
        </w:tc>
        <w:tc>
          <w:tcPr>
            <w:tcW w:w="992" w:type="dxa"/>
            <w:vAlign w:val="center"/>
          </w:tcPr>
          <w:p>
            <w:pPr>
              <w:jc w:val="center"/>
              <w:rPr>
                <w:rFonts w:eastAsiaTheme="minorEastAsia"/>
                <w:color w:val="auto"/>
                <w:sz w:val="18"/>
                <w:szCs w:val="18"/>
              </w:rPr>
            </w:pPr>
            <w:r>
              <w:rPr>
                <w:rFonts w:eastAsiaTheme="minorEastAsia"/>
                <w:color w:val="auto"/>
                <w:sz w:val="18"/>
                <w:szCs w:val="18"/>
              </w:rPr>
              <w:t>0.06</w:t>
            </w:r>
          </w:p>
        </w:tc>
        <w:tc>
          <w:tcPr>
            <w:tcW w:w="958" w:type="dxa"/>
            <w:vAlign w:val="center"/>
          </w:tcPr>
          <w:p>
            <w:pPr>
              <w:jc w:val="center"/>
              <w:rPr>
                <w:rFonts w:eastAsiaTheme="minorEastAsia"/>
                <w:color w:val="auto"/>
                <w:sz w:val="18"/>
                <w:szCs w:val="18"/>
              </w:rPr>
            </w:pPr>
            <w:r>
              <w:rPr>
                <w:rFonts w:eastAsiaTheme="minorEastAsia"/>
                <w:color w:val="auto"/>
                <w:sz w:val="18"/>
                <w:szCs w:val="18"/>
              </w:rPr>
              <w:t>0.05</w:t>
            </w:r>
          </w:p>
        </w:tc>
        <w:tc>
          <w:tcPr>
            <w:tcW w:w="957" w:type="dxa"/>
            <w:vAlign w:val="center"/>
          </w:tcPr>
          <w:p>
            <w:pPr>
              <w:jc w:val="center"/>
              <w:rPr>
                <w:rFonts w:eastAsiaTheme="minorEastAsia"/>
                <w:color w:val="auto"/>
                <w:sz w:val="18"/>
                <w:szCs w:val="18"/>
              </w:rPr>
            </w:pPr>
            <w:r>
              <w:rPr>
                <w:rFonts w:eastAsiaTheme="minorEastAsia"/>
                <w:color w:val="auto"/>
                <w:sz w:val="18"/>
                <w:szCs w:val="18"/>
              </w:rPr>
              <w:t>0.02</w:t>
            </w:r>
          </w:p>
        </w:tc>
        <w:tc>
          <w:tcPr>
            <w:tcW w:w="957" w:type="dxa"/>
            <w:vAlign w:val="center"/>
          </w:tcPr>
          <w:p>
            <w:pPr>
              <w:jc w:val="center"/>
              <w:rPr>
                <w:rFonts w:eastAsiaTheme="minorEastAsia"/>
                <w:color w:val="auto"/>
                <w:sz w:val="18"/>
                <w:szCs w:val="18"/>
              </w:rPr>
            </w:pPr>
            <w:r>
              <w:rPr>
                <w:rFonts w:eastAsiaTheme="minorEastAsia"/>
                <w:color w:val="auto"/>
                <w:sz w:val="18"/>
                <w:szCs w:val="18"/>
              </w:rPr>
              <w:t>0.01</w:t>
            </w:r>
          </w:p>
        </w:tc>
        <w:tc>
          <w:tcPr>
            <w:tcW w:w="904" w:type="dxa"/>
            <w:vAlign w:val="center"/>
          </w:tcPr>
          <w:p>
            <w:pPr>
              <w:jc w:val="center"/>
              <w:rPr>
                <w:rFonts w:eastAsiaTheme="minorEastAsia"/>
                <w:color w:val="auto"/>
                <w:sz w:val="18"/>
                <w:szCs w:val="18"/>
              </w:rPr>
            </w:pPr>
            <w:r>
              <w:rPr>
                <w:rFonts w:eastAsiaTheme="minorEastAsia"/>
                <w:color w:val="auto"/>
                <w:sz w:val="18"/>
                <w:szCs w:val="18"/>
              </w:rPr>
              <w:t>0.07</w:t>
            </w:r>
          </w:p>
        </w:tc>
        <w:tc>
          <w:tcPr>
            <w:tcW w:w="1072" w:type="dxa"/>
            <w:vAlign w:val="center"/>
          </w:tcPr>
          <w:p>
            <w:pPr>
              <w:jc w:val="center"/>
              <w:rPr>
                <w:rFonts w:eastAsiaTheme="minorEastAsia"/>
                <w:color w:val="auto"/>
                <w:sz w:val="18"/>
                <w:szCs w:val="18"/>
              </w:rPr>
            </w:pPr>
            <w:r>
              <w:rPr>
                <w:rFonts w:eastAsiaTheme="minorEastAsia"/>
                <w:color w:val="auto"/>
                <w:sz w:val="18"/>
                <w:szCs w:val="18"/>
              </w:rPr>
              <w:t>0.06</w:t>
            </w:r>
          </w:p>
        </w:tc>
        <w:tc>
          <w:tcPr>
            <w:tcW w:w="957" w:type="dxa"/>
            <w:vAlign w:val="center"/>
          </w:tcPr>
          <w:p>
            <w:pPr>
              <w:jc w:val="center"/>
              <w:rPr>
                <w:rFonts w:eastAsiaTheme="minorEastAsia"/>
                <w:color w:val="auto"/>
                <w:sz w:val="18"/>
                <w:szCs w:val="18"/>
              </w:rPr>
            </w:pPr>
            <w:r>
              <w:rPr>
                <w:rFonts w:eastAsiaTheme="minorEastAsia"/>
                <w:color w:val="auto"/>
                <w:sz w:val="18"/>
                <w:szCs w:val="18"/>
              </w:rPr>
              <w:t>0.01</w:t>
            </w:r>
          </w:p>
        </w:tc>
        <w:tc>
          <w:tcPr>
            <w:tcW w:w="957" w:type="dxa"/>
            <w:vAlign w:val="center"/>
          </w:tcPr>
          <w:p>
            <w:pPr>
              <w:jc w:val="center"/>
              <w:rPr>
                <w:rFonts w:eastAsiaTheme="minorEastAsia"/>
                <w:color w:val="auto"/>
                <w:sz w:val="18"/>
                <w:szCs w:val="18"/>
              </w:rPr>
            </w:pPr>
            <w:r>
              <w:rPr>
                <w:rFonts w:eastAsiaTheme="minorEastAsia"/>
                <w:color w:val="auto"/>
                <w:sz w:val="18"/>
                <w:szCs w:val="18"/>
              </w:rPr>
              <w:t>0.06</w:t>
            </w:r>
          </w:p>
        </w:tc>
        <w:tc>
          <w:tcPr>
            <w:tcW w:w="958" w:type="dxa"/>
            <w:vAlign w:val="center"/>
          </w:tcPr>
          <w:p>
            <w:pPr>
              <w:jc w:val="center"/>
              <w:rPr>
                <w:rFonts w:eastAsiaTheme="minorEastAsia"/>
                <w:color w:val="auto"/>
                <w:sz w:val="18"/>
                <w:szCs w:val="18"/>
              </w:rPr>
            </w:pPr>
            <w:r>
              <w:rPr>
                <w:rFonts w:eastAsiaTheme="minorEastAsia"/>
                <w:color w:val="auto"/>
                <w:sz w:val="18"/>
                <w:szCs w:val="18"/>
              </w:rPr>
              <w:t>0.02</w:t>
            </w:r>
          </w:p>
        </w:tc>
        <w:tc>
          <w:tcPr>
            <w:tcW w:w="927" w:type="dxa"/>
            <w:vAlign w:val="center"/>
          </w:tcPr>
          <w:p>
            <w:pPr>
              <w:jc w:val="center"/>
              <w:rPr>
                <w:rFonts w:eastAsiaTheme="minorEastAsia"/>
                <w:color w:val="auto"/>
                <w:sz w:val="18"/>
                <w:szCs w:val="18"/>
              </w:rPr>
            </w:pPr>
            <w:r>
              <w:rPr>
                <w:rFonts w:eastAsiaTheme="minorEastAsia"/>
                <w:color w:val="auto"/>
                <w:sz w:val="18"/>
                <w:szCs w:val="18"/>
              </w:rPr>
              <w:t>0.04</w:t>
            </w:r>
          </w:p>
        </w:tc>
        <w:tc>
          <w:tcPr>
            <w:tcW w:w="957" w:type="dxa"/>
            <w:vAlign w:val="center"/>
          </w:tcPr>
          <w:p>
            <w:pPr>
              <w:jc w:val="center"/>
              <w:rPr>
                <w:rFonts w:eastAsiaTheme="minorEastAsia"/>
                <w:color w:val="auto"/>
                <w:sz w:val="18"/>
                <w:szCs w:val="18"/>
              </w:rPr>
            </w:pPr>
            <w:r>
              <w:rPr>
                <w:rFonts w:eastAsiaTheme="minorEastAsia"/>
                <w:color w:val="auto"/>
                <w:sz w:val="18"/>
                <w:szCs w:val="18"/>
              </w:rPr>
              <w:t>0.08</w:t>
            </w:r>
          </w:p>
        </w:tc>
        <w:tc>
          <w:tcPr>
            <w:tcW w:w="958" w:type="dxa"/>
            <w:vAlign w:val="center"/>
          </w:tcPr>
          <w:p>
            <w:pPr>
              <w:jc w:val="center"/>
              <w:rPr>
                <w:rFonts w:eastAsiaTheme="minorEastAsia"/>
                <w:color w:val="auto"/>
                <w:sz w:val="18"/>
                <w:szCs w:val="18"/>
              </w:rPr>
            </w:pPr>
            <w:r>
              <w:rPr>
                <w:rFonts w:eastAsiaTheme="minorEastAsia"/>
                <w:color w:val="auto"/>
                <w:sz w:val="18"/>
                <w:szCs w:val="18"/>
              </w:rPr>
              <w:t>0.01</w:t>
            </w:r>
          </w:p>
        </w:tc>
        <w:tc>
          <w:tcPr>
            <w:tcW w:w="957" w:type="dxa"/>
            <w:vAlign w:val="center"/>
          </w:tcPr>
          <w:p>
            <w:pPr>
              <w:jc w:val="center"/>
              <w:rPr>
                <w:rFonts w:eastAsiaTheme="minorEastAsia"/>
                <w:color w:val="auto"/>
                <w:sz w:val="18"/>
                <w:szCs w:val="18"/>
              </w:rPr>
            </w:pPr>
            <w:r>
              <w:rPr>
                <w:rFonts w:eastAsiaTheme="minorEastAsia"/>
                <w:color w:val="auto"/>
                <w:sz w:val="18"/>
                <w:szCs w:val="18"/>
              </w:rPr>
              <w:t>0.04</w:t>
            </w:r>
          </w:p>
        </w:tc>
        <w:tc>
          <w:tcPr>
            <w:tcW w:w="957" w:type="dxa"/>
            <w:vAlign w:val="center"/>
          </w:tcPr>
          <w:p>
            <w:pPr>
              <w:jc w:val="center"/>
              <w:rPr>
                <w:rFonts w:eastAsiaTheme="minorEastAsia"/>
                <w:color w:val="auto"/>
                <w:sz w:val="18"/>
                <w:szCs w:val="18"/>
              </w:rPr>
            </w:pPr>
            <w:r>
              <w:rPr>
                <w:rFonts w:eastAsiaTheme="minorEastAsia"/>
                <w:color w:val="auto"/>
                <w:sz w:val="18"/>
                <w:szCs w:val="18"/>
              </w:rPr>
              <w:t>0.03</w:t>
            </w:r>
          </w:p>
        </w:tc>
        <w:tc>
          <w:tcPr>
            <w:tcW w:w="991" w:type="dxa"/>
            <w:vAlign w:val="center"/>
          </w:tcPr>
          <w:p>
            <w:pPr>
              <w:jc w:val="center"/>
              <w:rPr>
                <w:rFonts w:eastAsiaTheme="minorEastAsia"/>
                <w:color w:val="auto"/>
                <w:sz w:val="18"/>
                <w:szCs w:val="18"/>
              </w:rPr>
            </w:pPr>
            <w:r>
              <w:rPr>
                <w:rFonts w:eastAsiaTheme="minorEastAsia"/>
                <w:color w:val="auto"/>
                <w:sz w:val="18"/>
                <w:szCs w:val="18"/>
              </w:rPr>
              <w:t>0.11</w:t>
            </w:r>
          </w:p>
        </w:tc>
        <w:tc>
          <w:tcPr>
            <w:tcW w:w="700" w:type="dxa"/>
            <w:vAlign w:val="center"/>
          </w:tcPr>
          <w:p>
            <w:pPr>
              <w:jc w:val="center"/>
              <w:rPr>
                <w:rFonts w:eastAsiaTheme="minorEastAsia"/>
                <w:color w:val="auto"/>
                <w:sz w:val="18"/>
                <w:szCs w:val="18"/>
              </w:rPr>
            </w:pPr>
            <w:r>
              <w:rPr>
                <w:rFonts w:eastAsiaTheme="minorEastAsia"/>
                <w:color w:val="auto"/>
                <w:sz w:val="18"/>
                <w:szCs w:val="18"/>
              </w:rPr>
              <w:t>0.09</w:t>
            </w:r>
          </w:p>
        </w:tc>
        <w:tc>
          <w:tcPr>
            <w:tcW w:w="709" w:type="dxa"/>
            <w:vAlign w:val="center"/>
          </w:tcPr>
          <w:p>
            <w:pPr>
              <w:jc w:val="center"/>
              <w:rPr>
                <w:rFonts w:eastAsiaTheme="minorEastAsia"/>
                <w:color w:val="auto"/>
                <w:sz w:val="18"/>
                <w:szCs w:val="18"/>
              </w:rPr>
            </w:pPr>
            <w:r>
              <w:rPr>
                <w:rFonts w:eastAsiaTheme="minorEastAsia"/>
                <w:color w:val="auto"/>
                <w:sz w:val="18"/>
                <w:szCs w:val="18"/>
              </w:rPr>
              <w:t>0.06</w:t>
            </w:r>
          </w:p>
        </w:tc>
        <w:tc>
          <w:tcPr>
            <w:tcW w:w="1134" w:type="dxa"/>
            <w:vAlign w:val="center"/>
          </w:tcPr>
          <w:p>
            <w:pPr>
              <w:jc w:val="center"/>
              <w:rPr>
                <w:rFonts w:eastAsiaTheme="minorEastAsia"/>
                <w:color w:val="auto"/>
                <w:sz w:val="18"/>
                <w:szCs w:val="18"/>
              </w:rPr>
            </w:pPr>
            <w:r>
              <w:rPr>
                <w:rFonts w:eastAsiaTheme="minorEastAsia"/>
                <w:color w:val="auto"/>
                <w:sz w:val="18"/>
                <w:szCs w:val="18"/>
              </w:rPr>
              <w:t>65</w:t>
            </w:r>
          </w:p>
        </w:tc>
        <w:tc>
          <w:tcPr>
            <w:tcW w:w="1316" w:type="dxa"/>
            <w:vAlign w:val="center"/>
          </w:tcPr>
          <w:p>
            <w:pPr>
              <w:jc w:val="center"/>
              <w:rPr>
                <w:rFonts w:eastAsiaTheme="minorEastAsia"/>
                <w:color w:val="auto"/>
                <w:sz w:val="18"/>
                <w:szCs w:val="18"/>
              </w:rPr>
            </w:pPr>
            <w:r>
              <w:rPr>
                <w:rFonts w:eastAsiaTheme="minorEastAsia"/>
                <w:color w:val="auto"/>
                <w:sz w:val="18"/>
                <w:szCs w:val="18"/>
              </w:rPr>
              <w:t>0.3、0.3</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Merge w:val="restart"/>
            <w:vAlign w:val="center"/>
          </w:tcPr>
          <w:p>
            <w:pPr>
              <w:jc w:val="center"/>
              <w:rPr>
                <w:rFonts w:eastAsiaTheme="minorEastAsia"/>
                <w:color w:val="auto"/>
                <w:sz w:val="18"/>
                <w:szCs w:val="18"/>
              </w:rPr>
            </w:pPr>
            <w:r>
              <w:rPr>
                <w:rFonts w:eastAsiaTheme="minorEastAsia"/>
                <w:color w:val="auto"/>
                <w:sz w:val="18"/>
                <w:szCs w:val="18"/>
              </w:rPr>
              <w:t>4</w:t>
            </w:r>
          </w:p>
        </w:tc>
        <w:tc>
          <w:tcPr>
            <w:tcW w:w="850" w:type="dxa"/>
            <w:vAlign w:val="center"/>
          </w:tcPr>
          <w:p>
            <w:pPr>
              <w:jc w:val="center"/>
              <w:rPr>
                <w:rFonts w:eastAsiaTheme="minorEastAsia"/>
                <w:color w:val="auto"/>
                <w:sz w:val="18"/>
                <w:szCs w:val="18"/>
              </w:rPr>
            </w:pPr>
            <w:r>
              <w:rPr>
                <w:rFonts w:eastAsiaTheme="minorEastAsia"/>
                <w:color w:val="auto"/>
                <w:sz w:val="18"/>
                <w:szCs w:val="18"/>
              </w:rPr>
              <w:t>六价铬</w:t>
            </w:r>
          </w:p>
        </w:tc>
        <w:tc>
          <w:tcPr>
            <w:tcW w:w="992" w:type="dxa"/>
            <w:vAlign w:val="center"/>
          </w:tcPr>
          <w:p>
            <w:pPr>
              <w:jc w:val="center"/>
              <w:rPr>
                <w:rFonts w:eastAsiaTheme="minorEastAsia"/>
                <w:color w:val="auto"/>
                <w:sz w:val="18"/>
                <w:szCs w:val="18"/>
              </w:rPr>
            </w:pPr>
            <w:r>
              <w:rPr>
                <w:rFonts w:eastAsiaTheme="minorEastAsia"/>
                <w:color w:val="auto"/>
                <w:sz w:val="18"/>
                <w:szCs w:val="18"/>
              </w:rPr>
              <w:t>＜2</w:t>
            </w:r>
          </w:p>
        </w:tc>
        <w:tc>
          <w:tcPr>
            <w:tcW w:w="992" w:type="dxa"/>
            <w:vAlign w:val="center"/>
          </w:tcPr>
          <w:p>
            <w:pPr>
              <w:jc w:val="center"/>
              <w:rPr>
                <w:rFonts w:eastAsiaTheme="minorEastAsia"/>
                <w:color w:val="auto"/>
                <w:sz w:val="18"/>
                <w:szCs w:val="18"/>
              </w:rPr>
            </w:pPr>
            <w:r>
              <w:rPr>
                <w:rFonts w:eastAsiaTheme="minorEastAsia"/>
                <w:color w:val="auto"/>
                <w:sz w:val="18"/>
                <w:szCs w:val="18"/>
              </w:rPr>
              <w:t>＜2</w:t>
            </w:r>
          </w:p>
        </w:tc>
        <w:tc>
          <w:tcPr>
            <w:tcW w:w="958" w:type="dxa"/>
            <w:vAlign w:val="center"/>
          </w:tcPr>
          <w:p>
            <w:pPr>
              <w:jc w:val="center"/>
              <w:rPr>
                <w:rFonts w:eastAsiaTheme="minorEastAsia"/>
                <w:color w:val="auto"/>
                <w:sz w:val="18"/>
                <w:szCs w:val="18"/>
              </w:rPr>
            </w:pPr>
            <w:r>
              <w:rPr>
                <w:rFonts w:eastAsiaTheme="minorEastAsia"/>
                <w:color w:val="auto"/>
                <w:sz w:val="18"/>
                <w:szCs w:val="18"/>
              </w:rPr>
              <w:t>＜2</w:t>
            </w:r>
          </w:p>
        </w:tc>
        <w:tc>
          <w:tcPr>
            <w:tcW w:w="957" w:type="dxa"/>
            <w:vAlign w:val="center"/>
          </w:tcPr>
          <w:p>
            <w:pPr>
              <w:jc w:val="center"/>
              <w:rPr>
                <w:rFonts w:eastAsiaTheme="minorEastAsia"/>
                <w:color w:val="auto"/>
                <w:sz w:val="18"/>
                <w:szCs w:val="18"/>
              </w:rPr>
            </w:pPr>
            <w:r>
              <w:rPr>
                <w:rFonts w:eastAsiaTheme="minorEastAsia"/>
                <w:color w:val="auto"/>
                <w:sz w:val="18"/>
                <w:szCs w:val="18"/>
              </w:rPr>
              <w:t>＜2</w:t>
            </w:r>
          </w:p>
        </w:tc>
        <w:tc>
          <w:tcPr>
            <w:tcW w:w="957" w:type="dxa"/>
            <w:vAlign w:val="center"/>
          </w:tcPr>
          <w:p>
            <w:pPr>
              <w:jc w:val="center"/>
              <w:rPr>
                <w:rFonts w:eastAsiaTheme="minorEastAsia"/>
                <w:color w:val="auto"/>
                <w:sz w:val="18"/>
                <w:szCs w:val="18"/>
              </w:rPr>
            </w:pPr>
            <w:r>
              <w:rPr>
                <w:rFonts w:eastAsiaTheme="minorEastAsia"/>
                <w:color w:val="auto"/>
                <w:sz w:val="18"/>
                <w:szCs w:val="18"/>
              </w:rPr>
              <w:t>＜2</w:t>
            </w:r>
          </w:p>
        </w:tc>
        <w:tc>
          <w:tcPr>
            <w:tcW w:w="904" w:type="dxa"/>
            <w:vAlign w:val="center"/>
          </w:tcPr>
          <w:p>
            <w:pPr>
              <w:jc w:val="center"/>
              <w:rPr>
                <w:rFonts w:eastAsiaTheme="minorEastAsia"/>
                <w:color w:val="auto"/>
                <w:sz w:val="18"/>
                <w:szCs w:val="18"/>
              </w:rPr>
            </w:pPr>
            <w:r>
              <w:rPr>
                <w:rFonts w:eastAsiaTheme="minorEastAsia"/>
                <w:color w:val="auto"/>
                <w:sz w:val="18"/>
                <w:szCs w:val="18"/>
              </w:rPr>
              <w:t>＜2</w:t>
            </w:r>
          </w:p>
        </w:tc>
        <w:tc>
          <w:tcPr>
            <w:tcW w:w="1072" w:type="dxa"/>
            <w:vAlign w:val="center"/>
          </w:tcPr>
          <w:p>
            <w:pPr>
              <w:jc w:val="center"/>
              <w:rPr>
                <w:rFonts w:eastAsiaTheme="minorEastAsia"/>
                <w:color w:val="auto"/>
                <w:sz w:val="18"/>
                <w:szCs w:val="18"/>
              </w:rPr>
            </w:pPr>
            <w:r>
              <w:rPr>
                <w:rFonts w:eastAsiaTheme="minorEastAsia"/>
                <w:color w:val="auto"/>
                <w:sz w:val="18"/>
                <w:szCs w:val="18"/>
              </w:rPr>
              <w:t>＜2</w:t>
            </w:r>
          </w:p>
        </w:tc>
        <w:tc>
          <w:tcPr>
            <w:tcW w:w="957" w:type="dxa"/>
            <w:vAlign w:val="center"/>
          </w:tcPr>
          <w:p>
            <w:pPr>
              <w:jc w:val="center"/>
              <w:rPr>
                <w:rFonts w:eastAsiaTheme="minorEastAsia"/>
                <w:color w:val="auto"/>
                <w:sz w:val="18"/>
                <w:szCs w:val="18"/>
              </w:rPr>
            </w:pPr>
            <w:r>
              <w:rPr>
                <w:rFonts w:eastAsiaTheme="minorEastAsia"/>
                <w:color w:val="auto"/>
                <w:sz w:val="18"/>
                <w:szCs w:val="18"/>
              </w:rPr>
              <w:t>＜2</w:t>
            </w:r>
          </w:p>
        </w:tc>
        <w:tc>
          <w:tcPr>
            <w:tcW w:w="957" w:type="dxa"/>
            <w:vAlign w:val="center"/>
          </w:tcPr>
          <w:p>
            <w:pPr>
              <w:jc w:val="center"/>
              <w:rPr>
                <w:rFonts w:eastAsiaTheme="minorEastAsia"/>
                <w:color w:val="auto"/>
                <w:sz w:val="18"/>
                <w:szCs w:val="18"/>
              </w:rPr>
            </w:pPr>
            <w:r>
              <w:rPr>
                <w:rFonts w:eastAsiaTheme="minorEastAsia"/>
                <w:color w:val="auto"/>
                <w:sz w:val="18"/>
                <w:szCs w:val="18"/>
              </w:rPr>
              <w:t>＜2</w:t>
            </w:r>
          </w:p>
        </w:tc>
        <w:tc>
          <w:tcPr>
            <w:tcW w:w="958" w:type="dxa"/>
            <w:vAlign w:val="center"/>
          </w:tcPr>
          <w:p>
            <w:pPr>
              <w:jc w:val="center"/>
              <w:rPr>
                <w:rFonts w:eastAsiaTheme="minorEastAsia"/>
                <w:color w:val="auto"/>
                <w:sz w:val="18"/>
                <w:szCs w:val="18"/>
              </w:rPr>
            </w:pPr>
            <w:r>
              <w:rPr>
                <w:rFonts w:eastAsiaTheme="minorEastAsia"/>
                <w:color w:val="auto"/>
                <w:sz w:val="18"/>
                <w:szCs w:val="18"/>
              </w:rPr>
              <w:t>＜2</w:t>
            </w:r>
          </w:p>
        </w:tc>
        <w:tc>
          <w:tcPr>
            <w:tcW w:w="927" w:type="dxa"/>
            <w:vAlign w:val="center"/>
          </w:tcPr>
          <w:p>
            <w:pPr>
              <w:jc w:val="center"/>
              <w:rPr>
                <w:rFonts w:eastAsiaTheme="minorEastAsia"/>
                <w:color w:val="auto"/>
                <w:sz w:val="18"/>
                <w:szCs w:val="18"/>
              </w:rPr>
            </w:pPr>
            <w:r>
              <w:rPr>
                <w:rFonts w:eastAsiaTheme="minorEastAsia"/>
                <w:color w:val="auto"/>
                <w:sz w:val="18"/>
                <w:szCs w:val="18"/>
              </w:rPr>
              <w:t>＜2</w:t>
            </w:r>
          </w:p>
        </w:tc>
        <w:tc>
          <w:tcPr>
            <w:tcW w:w="957" w:type="dxa"/>
            <w:vAlign w:val="center"/>
          </w:tcPr>
          <w:p>
            <w:pPr>
              <w:jc w:val="center"/>
              <w:rPr>
                <w:rFonts w:eastAsiaTheme="minorEastAsia"/>
                <w:color w:val="auto"/>
                <w:sz w:val="18"/>
                <w:szCs w:val="18"/>
              </w:rPr>
            </w:pPr>
            <w:r>
              <w:rPr>
                <w:rFonts w:eastAsiaTheme="minorEastAsia"/>
                <w:color w:val="auto"/>
                <w:sz w:val="18"/>
                <w:szCs w:val="18"/>
              </w:rPr>
              <w:t>＜2</w:t>
            </w:r>
          </w:p>
        </w:tc>
        <w:tc>
          <w:tcPr>
            <w:tcW w:w="958" w:type="dxa"/>
            <w:vAlign w:val="center"/>
          </w:tcPr>
          <w:p>
            <w:pPr>
              <w:jc w:val="center"/>
              <w:rPr>
                <w:rFonts w:eastAsiaTheme="minorEastAsia"/>
                <w:color w:val="auto"/>
                <w:sz w:val="18"/>
                <w:szCs w:val="18"/>
              </w:rPr>
            </w:pPr>
            <w:r>
              <w:rPr>
                <w:rFonts w:eastAsiaTheme="minorEastAsia"/>
                <w:color w:val="auto"/>
                <w:sz w:val="18"/>
                <w:szCs w:val="18"/>
              </w:rPr>
              <w:t>＜2</w:t>
            </w:r>
          </w:p>
        </w:tc>
        <w:tc>
          <w:tcPr>
            <w:tcW w:w="957" w:type="dxa"/>
            <w:vAlign w:val="center"/>
          </w:tcPr>
          <w:p>
            <w:pPr>
              <w:jc w:val="center"/>
              <w:rPr>
                <w:rFonts w:eastAsiaTheme="minorEastAsia"/>
                <w:color w:val="auto"/>
                <w:sz w:val="18"/>
                <w:szCs w:val="18"/>
              </w:rPr>
            </w:pPr>
            <w:r>
              <w:rPr>
                <w:rFonts w:eastAsiaTheme="minorEastAsia"/>
                <w:color w:val="auto"/>
                <w:sz w:val="18"/>
                <w:szCs w:val="18"/>
              </w:rPr>
              <w:t>＜2</w:t>
            </w:r>
          </w:p>
        </w:tc>
        <w:tc>
          <w:tcPr>
            <w:tcW w:w="957" w:type="dxa"/>
            <w:vAlign w:val="center"/>
          </w:tcPr>
          <w:p>
            <w:pPr>
              <w:jc w:val="center"/>
              <w:rPr>
                <w:rFonts w:eastAsiaTheme="minorEastAsia"/>
                <w:color w:val="auto"/>
                <w:sz w:val="18"/>
                <w:szCs w:val="18"/>
              </w:rPr>
            </w:pPr>
            <w:r>
              <w:rPr>
                <w:rFonts w:eastAsiaTheme="minorEastAsia"/>
                <w:color w:val="auto"/>
                <w:sz w:val="18"/>
                <w:szCs w:val="18"/>
              </w:rPr>
              <w:t>＜2</w:t>
            </w:r>
          </w:p>
        </w:tc>
        <w:tc>
          <w:tcPr>
            <w:tcW w:w="991" w:type="dxa"/>
            <w:vAlign w:val="center"/>
          </w:tcPr>
          <w:p>
            <w:pPr>
              <w:jc w:val="center"/>
              <w:rPr>
                <w:rFonts w:eastAsiaTheme="minorEastAsia"/>
                <w:color w:val="auto"/>
                <w:sz w:val="18"/>
                <w:szCs w:val="18"/>
              </w:rPr>
            </w:pPr>
            <w:r>
              <w:rPr>
                <w:rFonts w:eastAsiaTheme="minorEastAsia"/>
                <w:color w:val="auto"/>
                <w:sz w:val="18"/>
                <w:szCs w:val="18"/>
              </w:rPr>
              <w:t>＜2</w:t>
            </w:r>
          </w:p>
        </w:tc>
        <w:tc>
          <w:tcPr>
            <w:tcW w:w="700" w:type="dxa"/>
            <w:vAlign w:val="center"/>
          </w:tcPr>
          <w:p>
            <w:pPr>
              <w:jc w:val="center"/>
              <w:rPr>
                <w:rFonts w:eastAsiaTheme="minorEastAsia"/>
                <w:color w:val="auto"/>
                <w:sz w:val="18"/>
                <w:szCs w:val="18"/>
              </w:rPr>
            </w:pPr>
            <w:r>
              <w:rPr>
                <w:rFonts w:eastAsiaTheme="minorEastAsia"/>
                <w:color w:val="auto"/>
                <w:sz w:val="18"/>
                <w:szCs w:val="18"/>
              </w:rPr>
              <w:t>＜2</w:t>
            </w:r>
          </w:p>
        </w:tc>
        <w:tc>
          <w:tcPr>
            <w:tcW w:w="709" w:type="dxa"/>
            <w:vAlign w:val="center"/>
          </w:tcPr>
          <w:p>
            <w:pPr>
              <w:jc w:val="center"/>
              <w:rPr>
                <w:rFonts w:eastAsiaTheme="minorEastAsia"/>
                <w:color w:val="auto"/>
                <w:sz w:val="18"/>
                <w:szCs w:val="18"/>
              </w:rPr>
            </w:pPr>
            <w:r>
              <w:rPr>
                <w:rFonts w:eastAsiaTheme="minorEastAsia"/>
                <w:color w:val="auto"/>
                <w:sz w:val="18"/>
                <w:szCs w:val="18"/>
              </w:rPr>
              <w:t>＜2</w:t>
            </w:r>
          </w:p>
        </w:tc>
        <w:tc>
          <w:tcPr>
            <w:tcW w:w="1134" w:type="dxa"/>
            <w:vAlign w:val="center"/>
          </w:tcPr>
          <w:p>
            <w:pPr>
              <w:jc w:val="center"/>
              <w:rPr>
                <w:rFonts w:eastAsiaTheme="minorEastAsia"/>
                <w:color w:val="auto"/>
                <w:sz w:val="18"/>
                <w:szCs w:val="18"/>
              </w:rPr>
            </w:pPr>
            <w:r>
              <w:rPr>
                <w:rFonts w:eastAsiaTheme="minorEastAsia"/>
                <w:color w:val="auto"/>
                <w:sz w:val="18"/>
                <w:szCs w:val="18"/>
              </w:rPr>
              <w:t>5.7</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Merge w:val="continue"/>
            <w:vAlign w:val="center"/>
          </w:tcPr>
          <w:p>
            <w:pPr>
              <w:jc w:val="center"/>
              <w:rPr>
                <w:rFonts w:eastAsiaTheme="minorEastAsia"/>
                <w:color w:val="auto"/>
                <w:sz w:val="18"/>
                <w:szCs w:val="18"/>
              </w:rPr>
            </w:pPr>
          </w:p>
        </w:tc>
        <w:tc>
          <w:tcPr>
            <w:tcW w:w="850" w:type="dxa"/>
            <w:vAlign w:val="center"/>
          </w:tcPr>
          <w:p>
            <w:pPr>
              <w:jc w:val="center"/>
              <w:rPr>
                <w:rFonts w:eastAsiaTheme="minorEastAsia"/>
                <w:color w:val="auto"/>
                <w:sz w:val="18"/>
                <w:szCs w:val="18"/>
              </w:rPr>
            </w:pPr>
            <w:r>
              <w:rPr>
                <w:rFonts w:eastAsiaTheme="minorEastAsia"/>
                <w:color w:val="auto"/>
                <w:sz w:val="18"/>
                <w:szCs w:val="18"/>
              </w:rPr>
              <w:t>总铬</w:t>
            </w:r>
          </w:p>
        </w:tc>
        <w:tc>
          <w:tcPr>
            <w:tcW w:w="992" w:type="dxa"/>
            <w:vAlign w:val="center"/>
          </w:tcPr>
          <w:p>
            <w:pPr>
              <w:jc w:val="center"/>
              <w:rPr>
                <w:rFonts w:eastAsiaTheme="minorEastAsia"/>
                <w:color w:val="auto"/>
                <w:sz w:val="18"/>
                <w:szCs w:val="18"/>
              </w:rPr>
            </w:pPr>
            <w:r>
              <w:rPr>
                <w:rFonts w:eastAsiaTheme="minorEastAsia"/>
                <w:color w:val="auto"/>
                <w:sz w:val="18"/>
                <w:szCs w:val="18"/>
              </w:rPr>
              <w:t>/</w:t>
            </w:r>
          </w:p>
        </w:tc>
        <w:tc>
          <w:tcPr>
            <w:tcW w:w="992" w:type="dxa"/>
            <w:vAlign w:val="center"/>
          </w:tcPr>
          <w:p>
            <w:pPr>
              <w:jc w:val="center"/>
              <w:rPr>
                <w:rFonts w:eastAsiaTheme="minorEastAsia"/>
                <w:color w:val="auto"/>
                <w:sz w:val="18"/>
                <w:szCs w:val="18"/>
              </w:rPr>
            </w:pPr>
            <w:r>
              <w:rPr>
                <w:rFonts w:eastAsiaTheme="minorEastAsia"/>
                <w:color w:val="auto"/>
                <w:sz w:val="18"/>
                <w:szCs w:val="18"/>
              </w:rPr>
              <w:t>/</w:t>
            </w:r>
          </w:p>
        </w:tc>
        <w:tc>
          <w:tcPr>
            <w:tcW w:w="958" w:type="dxa"/>
            <w:vAlign w:val="center"/>
          </w:tcPr>
          <w:p>
            <w:pPr>
              <w:jc w:val="center"/>
              <w:rPr>
                <w:rFonts w:eastAsiaTheme="minorEastAsia"/>
                <w:color w:val="auto"/>
                <w:sz w:val="18"/>
                <w:szCs w:val="18"/>
              </w:rPr>
            </w:pPr>
            <w:r>
              <w:rPr>
                <w:rFonts w:eastAsiaTheme="minorEastAsia"/>
                <w:color w:val="auto"/>
                <w:sz w:val="18"/>
                <w:szCs w:val="18"/>
              </w:rPr>
              <w:t>/</w:t>
            </w:r>
          </w:p>
        </w:tc>
        <w:tc>
          <w:tcPr>
            <w:tcW w:w="957" w:type="dxa"/>
            <w:vAlign w:val="center"/>
          </w:tcPr>
          <w:p>
            <w:pPr>
              <w:jc w:val="center"/>
              <w:rPr>
                <w:rFonts w:eastAsiaTheme="minorEastAsia"/>
                <w:color w:val="auto"/>
                <w:sz w:val="18"/>
                <w:szCs w:val="18"/>
              </w:rPr>
            </w:pPr>
            <w:r>
              <w:rPr>
                <w:rFonts w:eastAsiaTheme="minorEastAsia"/>
                <w:color w:val="auto"/>
                <w:sz w:val="18"/>
                <w:szCs w:val="18"/>
              </w:rPr>
              <w:t>/</w:t>
            </w:r>
          </w:p>
        </w:tc>
        <w:tc>
          <w:tcPr>
            <w:tcW w:w="957" w:type="dxa"/>
            <w:vAlign w:val="center"/>
          </w:tcPr>
          <w:p>
            <w:pPr>
              <w:jc w:val="center"/>
              <w:rPr>
                <w:rFonts w:eastAsiaTheme="minorEastAsia"/>
                <w:color w:val="auto"/>
                <w:sz w:val="18"/>
                <w:szCs w:val="18"/>
              </w:rPr>
            </w:pPr>
            <w:r>
              <w:rPr>
                <w:rFonts w:eastAsiaTheme="minorEastAsia"/>
                <w:color w:val="auto"/>
                <w:sz w:val="18"/>
                <w:szCs w:val="18"/>
              </w:rPr>
              <w:t>/</w:t>
            </w:r>
          </w:p>
        </w:tc>
        <w:tc>
          <w:tcPr>
            <w:tcW w:w="904" w:type="dxa"/>
            <w:vAlign w:val="center"/>
          </w:tcPr>
          <w:p>
            <w:pPr>
              <w:jc w:val="center"/>
              <w:rPr>
                <w:rFonts w:eastAsiaTheme="minorEastAsia"/>
                <w:color w:val="auto"/>
                <w:sz w:val="18"/>
                <w:szCs w:val="18"/>
              </w:rPr>
            </w:pPr>
            <w:r>
              <w:rPr>
                <w:rFonts w:eastAsiaTheme="minorEastAsia"/>
                <w:color w:val="auto"/>
                <w:sz w:val="18"/>
                <w:szCs w:val="18"/>
              </w:rPr>
              <w:t>/</w:t>
            </w:r>
          </w:p>
        </w:tc>
        <w:tc>
          <w:tcPr>
            <w:tcW w:w="1072" w:type="dxa"/>
            <w:vAlign w:val="center"/>
          </w:tcPr>
          <w:p>
            <w:pPr>
              <w:jc w:val="center"/>
              <w:rPr>
                <w:rFonts w:eastAsiaTheme="minorEastAsia"/>
                <w:color w:val="auto"/>
                <w:sz w:val="18"/>
                <w:szCs w:val="18"/>
              </w:rPr>
            </w:pPr>
            <w:r>
              <w:rPr>
                <w:rFonts w:eastAsiaTheme="minorEastAsia"/>
                <w:color w:val="auto"/>
                <w:sz w:val="18"/>
                <w:szCs w:val="18"/>
              </w:rPr>
              <w:t>/</w:t>
            </w:r>
          </w:p>
        </w:tc>
        <w:tc>
          <w:tcPr>
            <w:tcW w:w="957" w:type="dxa"/>
            <w:vAlign w:val="center"/>
          </w:tcPr>
          <w:p>
            <w:pPr>
              <w:jc w:val="center"/>
              <w:rPr>
                <w:rFonts w:eastAsiaTheme="minorEastAsia"/>
                <w:color w:val="auto"/>
                <w:sz w:val="18"/>
                <w:szCs w:val="18"/>
              </w:rPr>
            </w:pPr>
            <w:r>
              <w:rPr>
                <w:rFonts w:eastAsiaTheme="minorEastAsia"/>
                <w:color w:val="auto"/>
                <w:sz w:val="18"/>
                <w:szCs w:val="18"/>
              </w:rPr>
              <w:t>/</w:t>
            </w:r>
          </w:p>
        </w:tc>
        <w:tc>
          <w:tcPr>
            <w:tcW w:w="957" w:type="dxa"/>
            <w:vAlign w:val="center"/>
          </w:tcPr>
          <w:p>
            <w:pPr>
              <w:jc w:val="center"/>
              <w:rPr>
                <w:rFonts w:eastAsiaTheme="minorEastAsia"/>
                <w:color w:val="auto"/>
                <w:sz w:val="18"/>
                <w:szCs w:val="18"/>
              </w:rPr>
            </w:pPr>
            <w:r>
              <w:rPr>
                <w:rFonts w:eastAsiaTheme="minorEastAsia"/>
                <w:color w:val="auto"/>
                <w:sz w:val="18"/>
                <w:szCs w:val="18"/>
              </w:rPr>
              <w:t>/</w:t>
            </w:r>
          </w:p>
        </w:tc>
        <w:tc>
          <w:tcPr>
            <w:tcW w:w="958" w:type="dxa"/>
            <w:vAlign w:val="center"/>
          </w:tcPr>
          <w:p>
            <w:pPr>
              <w:jc w:val="center"/>
              <w:rPr>
                <w:rFonts w:eastAsiaTheme="minorEastAsia"/>
                <w:color w:val="auto"/>
                <w:sz w:val="18"/>
                <w:szCs w:val="18"/>
              </w:rPr>
            </w:pPr>
            <w:r>
              <w:rPr>
                <w:rFonts w:eastAsiaTheme="minorEastAsia"/>
                <w:color w:val="auto"/>
                <w:sz w:val="18"/>
                <w:szCs w:val="18"/>
              </w:rPr>
              <w:t>/</w:t>
            </w:r>
          </w:p>
        </w:tc>
        <w:tc>
          <w:tcPr>
            <w:tcW w:w="927" w:type="dxa"/>
            <w:vAlign w:val="center"/>
          </w:tcPr>
          <w:p>
            <w:pPr>
              <w:jc w:val="center"/>
              <w:rPr>
                <w:rFonts w:eastAsiaTheme="minorEastAsia"/>
                <w:color w:val="auto"/>
                <w:sz w:val="18"/>
                <w:szCs w:val="18"/>
              </w:rPr>
            </w:pPr>
            <w:r>
              <w:rPr>
                <w:rFonts w:eastAsiaTheme="minorEastAsia"/>
                <w:color w:val="auto"/>
                <w:sz w:val="18"/>
                <w:szCs w:val="18"/>
              </w:rPr>
              <w:t>/</w:t>
            </w:r>
          </w:p>
        </w:tc>
        <w:tc>
          <w:tcPr>
            <w:tcW w:w="957" w:type="dxa"/>
            <w:vAlign w:val="center"/>
          </w:tcPr>
          <w:p>
            <w:pPr>
              <w:jc w:val="center"/>
              <w:rPr>
                <w:rFonts w:eastAsiaTheme="minorEastAsia"/>
                <w:color w:val="auto"/>
                <w:sz w:val="18"/>
                <w:szCs w:val="18"/>
              </w:rPr>
            </w:pPr>
            <w:r>
              <w:rPr>
                <w:rFonts w:eastAsiaTheme="minorEastAsia"/>
                <w:color w:val="auto"/>
                <w:sz w:val="18"/>
                <w:szCs w:val="18"/>
              </w:rPr>
              <w:t>/</w:t>
            </w:r>
          </w:p>
        </w:tc>
        <w:tc>
          <w:tcPr>
            <w:tcW w:w="958" w:type="dxa"/>
            <w:vAlign w:val="center"/>
          </w:tcPr>
          <w:p>
            <w:pPr>
              <w:jc w:val="center"/>
              <w:rPr>
                <w:rFonts w:eastAsiaTheme="minorEastAsia"/>
                <w:color w:val="auto"/>
                <w:sz w:val="18"/>
                <w:szCs w:val="18"/>
              </w:rPr>
            </w:pPr>
            <w:r>
              <w:rPr>
                <w:rFonts w:eastAsiaTheme="minorEastAsia"/>
                <w:color w:val="auto"/>
                <w:sz w:val="18"/>
                <w:szCs w:val="18"/>
              </w:rPr>
              <w:t>/</w:t>
            </w:r>
          </w:p>
        </w:tc>
        <w:tc>
          <w:tcPr>
            <w:tcW w:w="957" w:type="dxa"/>
            <w:vAlign w:val="center"/>
          </w:tcPr>
          <w:p>
            <w:pPr>
              <w:jc w:val="center"/>
              <w:rPr>
                <w:rFonts w:eastAsiaTheme="minorEastAsia"/>
                <w:color w:val="auto"/>
                <w:sz w:val="18"/>
                <w:szCs w:val="18"/>
              </w:rPr>
            </w:pPr>
            <w:r>
              <w:rPr>
                <w:rFonts w:eastAsiaTheme="minorEastAsia"/>
                <w:color w:val="auto"/>
                <w:sz w:val="18"/>
                <w:szCs w:val="18"/>
              </w:rPr>
              <w:t>/</w:t>
            </w:r>
          </w:p>
        </w:tc>
        <w:tc>
          <w:tcPr>
            <w:tcW w:w="957" w:type="dxa"/>
            <w:vAlign w:val="center"/>
          </w:tcPr>
          <w:p>
            <w:pPr>
              <w:jc w:val="center"/>
              <w:rPr>
                <w:rFonts w:eastAsiaTheme="minorEastAsia"/>
                <w:color w:val="auto"/>
                <w:sz w:val="18"/>
                <w:szCs w:val="18"/>
              </w:rPr>
            </w:pPr>
            <w:r>
              <w:rPr>
                <w:rFonts w:eastAsiaTheme="minorEastAsia"/>
                <w:color w:val="auto"/>
                <w:sz w:val="18"/>
                <w:szCs w:val="18"/>
              </w:rPr>
              <w:t>/</w:t>
            </w:r>
          </w:p>
        </w:tc>
        <w:tc>
          <w:tcPr>
            <w:tcW w:w="991" w:type="dxa"/>
            <w:vAlign w:val="center"/>
          </w:tcPr>
          <w:p>
            <w:pPr>
              <w:jc w:val="center"/>
              <w:rPr>
                <w:rFonts w:eastAsiaTheme="minorEastAsia"/>
                <w:color w:val="auto"/>
                <w:sz w:val="18"/>
                <w:szCs w:val="18"/>
              </w:rPr>
            </w:pPr>
            <w:r>
              <w:rPr>
                <w:rFonts w:eastAsiaTheme="minorEastAsia"/>
                <w:color w:val="auto"/>
                <w:sz w:val="18"/>
                <w:szCs w:val="18"/>
              </w:rPr>
              <w:t>/</w:t>
            </w:r>
          </w:p>
        </w:tc>
        <w:tc>
          <w:tcPr>
            <w:tcW w:w="700" w:type="dxa"/>
            <w:vAlign w:val="center"/>
          </w:tcPr>
          <w:p>
            <w:pPr>
              <w:jc w:val="center"/>
              <w:rPr>
                <w:rFonts w:eastAsiaTheme="minorEastAsia"/>
                <w:color w:val="auto"/>
                <w:sz w:val="18"/>
                <w:szCs w:val="18"/>
              </w:rPr>
            </w:pPr>
            <w:r>
              <w:rPr>
                <w:rFonts w:eastAsiaTheme="minorEastAsia"/>
                <w:color w:val="auto"/>
                <w:sz w:val="18"/>
                <w:szCs w:val="18"/>
              </w:rPr>
              <w:t>82.9</w:t>
            </w:r>
          </w:p>
        </w:tc>
        <w:tc>
          <w:tcPr>
            <w:tcW w:w="709" w:type="dxa"/>
            <w:vAlign w:val="center"/>
          </w:tcPr>
          <w:p>
            <w:pPr>
              <w:jc w:val="center"/>
              <w:rPr>
                <w:rFonts w:eastAsiaTheme="minorEastAsia"/>
                <w:color w:val="auto"/>
                <w:sz w:val="18"/>
                <w:szCs w:val="18"/>
              </w:rPr>
            </w:pPr>
            <w:r>
              <w:rPr>
                <w:rFonts w:eastAsiaTheme="minorEastAsia"/>
                <w:color w:val="auto"/>
                <w:sz w:val="18"/>
                <w:szCs w:val="18"/>
              </w:rPr>
              <w:t>30.2</w:t>
            </w:r>
          </w:p>
        </w:tc>
        <w:tc>
          <w:tcPr>
            <w:tcW w:w="1134" w:type="dxa"/>
            <w:vAlign w:val="center"/>
          </w:tcPr>
          <w:p>
            <w:pPr>
              <w:jc w:val="center"/>
              <w:rPr>
                <w:rFonts w:eastAsiaTheme="minorEastAsia"/>
                <w:color w:val="auto"/>
                <w:sz w:val="18"/>
                <w:szCs w:val="18"/>
              </w:rPr>
            </w:pPr>
            <w:r>
              <w:rPr>
                <w:rFonts w:eastAsiaTheme="minorEastAsia"/>
                <w:color w:val="auto"/>
                <w:sz w:val="18"/>
                <w:szCs w:val="18"/>
              </w:rPr>
              <w:t>---</w:t>
            </w:r>
          </w:p>
        </w:tc>
        <w:tc>
          <w:tcPr>
            <w:tcW w:w="1316" w:type="dxa"/>
            <w:vAlign w:val="center"/>
          </w:tcPr>
          <w:p>
            <w:pPr>
              <w:jc w:val="center"/>
              <w:rPr>
                <w:rFonts w:eastAsiaTheme="minorEastAsia"/>
                <w:color w:val="auto"/>
                <w:sz w:val="18"/>
                <w:szCs w:val="18"/>
              </w:rPr>
            </w:pPr>
            <w:r>
              <w:rPr>
                <w:rFonts w:eastAsiaTheme="minorEastAsia"/>
                <w:color w:val="auto"/>
                <w:sz w:val="18"/>
                <w:szCs w:val="18"/>
              </w:rPr>
              <w:t>200、150</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5</w:t>
            </w:r>
          </w:p>
        </w:tc>
        <w:tc>
          <w:tcPr>
            <w:tcW w:w="850" w:type="dxa"/>
            <w:vAlign w:val="center"/>
          </w:tcPr>
          <w:p>
            <w:pPr>
              <w:jc w:val="center"/>
              <w:rPr>
                <w:rFonts w:eastAsiaTheme="minorEastAsia"/>
                <w:color w:val="auto"/>
                <w:sz w:val="18"/>
                <w:szCs w:val="18"/>
              </w:rPr>
            </w:pPr>
            <w:r>
              <w:rPr>
                <w:rFonts w:eastAsiaTheme="minorEastAsia"/>
                <w:color w:val="auto"/>
                <w:sz w:val="18"/>
                <w:szCs w:val="18"/>
              </w:rPr>
              <w:t>铜</w:t>
            </w:r>
          </w:p>
        </w:tc>
        <w:tc>
          <w:tcPr>
            <w:tcW w:w="992" w:type="dxa"/>
            <w:vAlign w:val="center"/>
          </w:tcPr>
          <w:p>
            <w:pPr>
              <w:jc w:val="center"/>
              <w:rPr>
                <w:rFonts w:eastAsiaTheme="minorEastAsia"/>
                <w:color w:val="auto"/>
                <w:sz w:val="18"/>
                <w:szCs w:val="18"/>
              </w:rPr>
            </w:pPr>
            <w:r>
              <w:rPr>
                <w:rFonts w:eastAsiaTheme="minorEastAsia"/>
                <w:color w:val="auto"/>
                <w:sz w:val="18"/>
                <w:szCs w:val="18"/>
              </w:rPr>
              <w:t>35</w:t>
            </w:r>
          </w:p>
        </w:tc>
        <w:tc>
          <w:tcPr>
            <w:tcW w:w="992" w:type="dxa"/>
            <w:vAlign w:val="center"/>
          </w:tcPr>
          <w:p>
            <w:pPr>
              <w:jc w:val="center"/>
              <w:rPr>
                <w:rFonts w:eastAsiaTheme="minorEastAsia"/>
                <w:color w:val="auto"/>
                <w:sz w:val="18"/>
                <w:szCs w:val="18"/>
              </w:rPr>
            </w:pPr>
            <w:r>
              <w:rPr>
                <w:rFonts w:eastAsiaTheme="minorEastAsia"/>
                <w:color w:val="auto"/>
                <w:sz w:val="18"/>
                <w:szCs w:val="18"/>
              </w:rPr>
              <w:t>35</w:t>
            </w:r>
          </w:p>
        </w:tc>
        <w:tc>
          <w:tcPr>
            <w:tcW w:w="958" w:type="dxa"/>
            <w:vAlign w:val="center"/>
          </w:tcPr>
          <w:p>
            <w:pPr>
              <w:jc w:val="center"/>
              <w:rPr>
                <w:rFonts w:eastAsiaTheme="minorEastAsia"/>
                <w:color w:val="auto"/>
                <w:sz w:val="18"/>
                <w:szCs w:val="18"/>
              </w:rPr>
            </w:pPr>
            <w:r>
              <w:rPr>
                <w:rFonts w:eastAsiaTheme="minorEastAsia"/>
                <w:color w:val="auto"/>
                <w:sz w:val="18"/>
                <w:szCs w:val="18"/>
              </w:rPr>
              <w:t>36</w:t>
            </w:r>
          </w:p>
        </w:tc>
        <w:tc>
          <w:tcPr>
            <w:tcW w:w="957" w:type="dxa"/>
            <w:vAlign w:val="center"/>
          </w:tcPr>
          <w:p>
            <w:pPr>
              <w:jc w:val="center"/>
              <w:rPr>
                <w:rFonts w:eastAsiaTheme="minorEastAsia"/>
                <w:color w:val="auto"/>
                <w:sz w:val="18"/>
                <w:szCs w:val="18"/>
              </w:rPr>
            </w:pPr>
            <w:r>
              <w:rPr>
                <w:rFonts w:eastAsiaTheme="minorEastAsia"/>
                <w:color w:val="auto"/>
                <w:sz w:val="18"/>
                <w:szCs w:val="18"/>
              </w:rPr>
              <w:t>51</w:t>
            </w:r>
          </w:p>
        </w:tc>
        <w:tc>
          <w:tcPr>
            <w:tcW w:w="957" w:type="dxa"/>
            <w:vAlign w:val="center"/>
          </w:tcPr>
          <w:p>
            <w:pPr>
              <w:jc w:val="center"/>
              <w:rPr>
                <w:rFonts w:eastAsiaTheme="minorEastAsia"/>
                <w:color w:val="auto"/>
                <w:sz w:val="18"/>
                <w:szCs w:val="18"/>
              </w:rPr>
            </w:pPr>
            <w:r>
              <w:rPr>
                <w:rFonts w:eastAsiaTheme="minorEastAsia"/>
                <w:color w:val="auto"/>
                <w:sz w:val="18"/>
                <w:szCs w:val="18"/>
              </w:rPr>
              <w:t>41</w:t>
            </w:r>
          </w:p>
        </w:tc>
        <w:tc>
          <w:tcPr>
            <w:tcW w:w="904" w:type="dxa"/>
            <w:vAlign w:val="center"/>
          </w:tcPr>
          <w:p>
            <w:pPr>
              <w:jc w:val="center"/>
              <w:rPr>
                <w:rFonts w:eastAsiaTheme="minorEastAsia"/>
                <w:color w:val="auto"/>
                <w:sz w:val="18"/>
                <w:szCs w:val="18"/>
              </w:rPr>
            </w:pPr>
            <w:r>
              <w:rPr>
                <w:rFonts w:eastAsiaTheme="minorEastAsia"/>
                <w:color w:val="auto"/>
                <w:sz w:val="18"/>
                <w:szCs w:val="18"/>
              </w:rPr>
              <w:t>39</w:t>
            </w:r>
          </w:p>
        </w:tc>
        <w:tc>
          <w:tcPr>
            <w:tcW w:w="1072" w:type="dxa"/>
            <w:vAlign w:val="center"/>
          </w:tcPr>
          <w:p>
            <w:pPr>
              <w:jc w:val="center"/>
              <w:rPr>
                <w:rFonts w:eastAsiaTheme="minorEastAsia"/>
                <w:color w:val="auto"/>
                <w:sz w:val="18"/>
                <w:szCs w:val="18"/>
              </w:rPr>
            </w:pPr>
            <w:r>
              <w:rPr>
                <w:rFonts w:eastAsiaTheme="minorEastAsia"/>
                <w:color w:val="auto"/>
                <w:sz w:val="18"/>
                <w:szCs w:val="18"/>
              </w:rPr>
              <w:t>39</w:t>
            </w:r>
          </w:p>
        </w:tc>
        <w:tc>
          <w:tcPr>
            <w:tcW w:w="957" w:type="dxa"/>
            <w:vAlign w:val="center"/>
          </w:tcPr>
          <w:p>
            <w:pPr>
              <w:jc w:val="center"/>
              <w:rPr>
                <w:rFonts w:eastAsiaTheme="minorEastAsia"/>
                <w:color w:val="auto"/>
                <w:sz w:val="18"/>
                <w:szCs w:val="18"/>
              </w:rPr>
            </w:pPr>
            <w:r>
              <w:rPr>
                <w:rFonts w:eastAsiaTheme="minorEastAsia"/>
                <w:color w:val="auto"/>
                <w:sz w:val="18"/>
                <w:szCs w:val="18"/>
              </w:rPr>
              <w:t>54</w:t>
            </w:r>
          </w:p>
        </w:tc>
        <w:tc>
          <w:tcPr>
            <w:tcW w:w="957" w:type="dxa"/>
            <w:vAlign w:val="center"/>
          </w:tcPr>
          <w:p>
            <w:pPr>
              <w:jc w:val="center"/>
              <w:rPr>
                <w:rFonts w:eastAsiaTheme="minorEastAsia"/>
                <w:color w:val="auto"/>
                <w:sz w:val="18"/>
                <w:szCs w:val="18"/>
              </w:rPr>
            </w:pPr>
            <w:r>
              <w:rPr>
                <w:rFonts w:eastAsiaTheme="minorEastAsia"/>
                <w:color w:val="auto"/>
                <w:sz w:val="18"/>
                <w:szCs w:val="18"/>
              </w:rPr>
              <w:t>41</w:t>
            </w:r>
          </w:p>
        </w:tc>
        <w:tc>
          <w:tcPr>
            <w:tcW w:w="958" w:type="dxa"/>
            <w:vAlign w:val="center"/>
          </w:tcPr>
          <w:p>
            <w:pPr>
              <w:jc w:val="center"/>
              <w:rPr>
                <w:rFonts w:eastAsiaTheme="minorEastAsia"/>
                <w:color w:val="auto"/>
                <w:sz w:val="18"/>
                <w:szCs w:val="18"/>
              </w:rPr>
            </w:pPr>
            <w:r>
              <w:rPr>
                <w:rFonts w:eastAsiaTheme="minorEastAsia"/>
                <w:color w:val="auto"/>
                <w:sz w:val="18"/>
                <w:szCs w:val="18"/>
              </w:rPr>
              <w:t>22</w:t>
            </w:r>
          </w:p>
        </w:tc>
        <w:tc>
          <w:tcPr>
            <w:tcW w:w="927" w:type="dxa"/>
            <w:vAlign w:val="center"/>
          </w:tcPr>
          <w:p>
            <w:pPr>
              <w:jc w:val="center"/>
              <w:rPr>
                <w:rFonts w:eastAsiaTheme="minorEastAsia"/>
                <w:color w:val="auto"/>
                <w:sz w:val="18"/>
                <w:szCs w:val="18"/>
              </w:rPr>
            </w:pPr>
            <w:r>
              <w:rPr>
                <w:rFonts w:eastAsiaTheme="minorEastAsia"/>
                <w:color w:val="auto"/>
                <w:sz w:val="18"/>
                <w:szCs w:val="18"/>
              </w:rPr>
              <w:t>40</w:t>
            </w:r>
          </w:p>
        </w:tc>
        <w:tc>
          <w:tcPr>
            <w:tcW w:w="957" w:type="dxa"/>
            <w:vAlign w:val="center"/>
          </w:tcPr>
          <w:p>
            <w:pPr>
              <w:jc w:val="center"/>
              <w:rPr>
                <w:rFonts w:eastAsiaTheme="minorEastAsia"/>
                <w:color w:val="auto"/>
                <w:sz w:val="18"/>
                <w:szCs w:val="18"/>
              </w:rPr>
            </w:pPr>
            <w:r>
              <w:rPr>
                <w:rFonts w:eastAsiaTheme="minorEastAsia"/>
                <w:color w:val="auto"/>
                <w:sz w:val="18"/>
                <w:szCs w:val="18"/>
              </w:rPr>
              <w:t>38</w:t>
            </w:r>
          </w:p>
        </w:tc>
        <w:tc>
          <w:tcPr>
            <w:tcW w:w="958" w:type="dxa"/>
            <w:vAlign w:val="center"/>
          </w:tcPr>
          <w:p>
            <w:pPr>
              <w:jc w:val="center"/>
              <w:rPr>
                <w:rFonts w:eastAsiaTheme="minorEastAsia"/>
                <w:color w:val="auto"/>
                <w:sz w:val="18"/>
                <w:szCs w:val="18"/>
              </w:rPr>
            </w:pPr>
            <w:r>
              <w:rPr>
                <w:rFonts w:eastAsiaTheme="minorEastAsia"/>
                <w:color w:val="auto"/>
                <w:sz w:val="18"/>
                <w:szCs w:val="18"/>
              </w:rPr>
              <w:t>47</w:t>
            </w:r>
          </w:p>
        </w:tc>
        <w:tc>
          <w:tcPr>
            <w:tcW w:w="957" w:type="dxa"/>
            <w:vAlign w:val="center"/>
          </w:tcPr>
          <w:p>
            <w:pPr>
              <w:jc w:val="center"/>
              <w:rPr>
                <w:rFonts w:eastAsiaTheme="minorEastAsia"/>
                <w:color w:val="auto"/>
                <w:sz w:val="18"/>
                <w:szCs w:val="18"/>
              </w:rPr>
            </w:pPr>
            <w:r>
              <w:rPr>
                <w:rFonts w:eastAsiaTheme="minorEastAsia"/>
                <w:color w:val="auto"/>
                <w:sz w:val="18"/>
                <w:szCs w:val="18"/>
              </w:rPr>
              <w:t>48</w:t>
            </w:r>
          </w:p>
        </w:tc>
        <w:tc>
          <w:tcPr>
            <w:tcW w:w="957" w:type="dxa"/>
            <w:vAlign w:val="center"/>
          </w:tcPr>
          <w:p>
            <w:pPr>
              <w:jc w:val="center"/>
              <w:rPr>
                <w:rFonts w:eastAsiaTheme="minorEastAsia"/>
                <w:color w:val="auto"/>
                <w:sz w:val="18"/>
                <w:szCs w:val="18"/>
              </w:rPr>
            </w:pPr>
            <w:r>
              <w:rPr>
                <w:rFonts w:eastAsiaTheme="minorEastAsia"/>
                <w:color w:val="auto"/>
                <w:sz w:val="18"/>
                <w:szCs w:val="18"/>
              </w:rPr>
              <w:t>36</w:t>
            </w:r>
          </w:p>
        </w:tc>
        <w:tc>
          <w:tcPr>
            <w:tcW w:w="991" w:type="dxa"/>
            <w:vAlign w:val="center"/>
          </w:tcPr>
          <w:p>
            <w:pPr>
              <w:jc w:val="center"/>
              <w:rPr>
                <w:rFonts w:eastAsiaTheme="minorEastAsia"/>
                <w:color w:val="auto"/>
                <w:sz w:val="18"/>
                <w:szCs w:val="18"/>
              </w:rPr>
            </w:pPr>
            <w:r>
              <w:rPr>
                <w:rFonts w:eastAsiaTheme="minorEastAsia"/>
                <w:color w:val="auto"/>
                <w:sz w:val="18"/>
                <w:szCs w:val="18"/>
              </w:rPr>
              <w:t>50.3</w:t>
            </w:r>
          </w:p>
        </w:tc>
        <w:tc>
          <w:tcPr>
            <w:tcW w:w="700" w:type="dxa"/>
            <w:vAlign w:val="center"/>
          </w:tcPr>
          <w:p>
            <w:pPr>
              <w:jc w:val="center"/>
              <w:rPr>
                <w:rFonts w:eastAsiaTheme="minorEastAsia"/>
                <w:color w:val="auto"/>
                <w:sz w:val="18"/>
                <w:szCs w:val="18"/>
              </w:rPr>
            </w:pPr>
            <w:r>
              <w:rPr>
                <w:rFonts w:eastAsiaTheme="minorEastAsia"/>
                <w:color w:val="auto"/>
                <w:sz w:val="18"/>
                <w:szCs w:val="18"/>
              </w:rPr>
              <w:t>38.0</w:t>
            </w:r>
          </w:p>
        </w:tc>
        <w:tc>
          <w:tcPr>
            <w:tcW w:w="709" w:type="dxa"/>
            <w:vAlign w:val="center"/>
          </w:tcPr>
          <w:p>
            <w:pPr>
              <w:jc w:val="center"/>
              <w:rPr>
                <w:rFonts w:eastAsiaTheme="minorEastAsia"/>
                <w:color w:val="auto"/>
                <w:sz w:val="18"/>
                <w:szCs w:val="18"/>
              </w:rPr>
            </w:pPr>
            <w:r>
              <w:rPr>
                <w:rFonts w:eastAsiaTheme="minorEastAsia"/>
                <w:color w:val="auto"/>
                <w:sz w:val="18"/>
                <w:szCs w:val="18"/>
              </w:rPr>
              <w:t>37.7</w:t>
            </w:r>
          </w:p>
        </w:tc>
        <w:tc>
          <w:tcPr>
            <w:tcW w:w="1134" w:type="dxa"/>
            <w:vAlign w:val="center"/>
          </w:tcPr>
          <w:p>
            <w:pPr>
              <w:jc w:val="center"/>
              <w:rPr>
                <w:rFonts w:eastAsiaTheme="minorEastAsia"/>
                <w:color w:val="auto"/>
                <w:sz w:val="18"/>
                <w:szCs w:val="18"/>
              </w:rPr>
            </w:pPr>
            <w:r>
              <w:rPr>
                <w:rFonts w:eastAsiaTheme="minorEastAsia"/>
                <w:color w:val="auto"/>
                <w:sz w:val="18"/>
                <w:szCs w:val="18"/>
              </w:rPr>
              <w:t>18000</w:t>
            </w:r>
          </w:p>
        </w:tc>
        <w:tc>
          <w:tcPr>
            <w:tcW w:w="1316" w:type="dxa"/>
            <w:vAlign w:val="center"/>
          </w:tcPr>
          <w:p>
            <w:pPr>
              <w:jc w:val="center"/>
              <w:rPr>
                <w:rFonts w:eastAsiaTheme="minorEastAsia"/>
                <w:color w:val="auto"/>
                <w:sz w:val="18"/>
                <w:szCs w:val="18"/>
              </w:rPr>
            </w:pPr>
            <w:r>
              <w:rPr>
                <w:rFonts w:eastAsiaTheme="minorEastAsia"/>
                <w:color w:val="auto"/>
                <w:sz w:val="18"/>
                <w:szCs w:val="18"/>
              </w:rPr>
              <w:t>100、50</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6</w:t>
            </w:r>
          </w:p>
        </w:tc>
        <w:tc>
          <w:tcPr>
            <w:tcW w:w="850" w:type="dxa"/>
            <w:vAlign w:val="center"/>
          </w:tcPr>
          <w:p>
            <w:pPr>
              <w:jc w:val="center"/>
              <w:rPr>
                <w:rFonts w:eastAsiaTheme="minorEastAsia"/>
                <w:color w:val="auto"/>
                <w:sz w:val="18"/>
                <w:szCs w:val="18"/>
              </w:rPr>
            </w:pPr>
            <w:r>
              <w:rPr>
                <w:rFonts w:eastAsiaTheme="minorEastAsia"/>
                <w:color w:val="auto"/>
                <w:sz w:val="18"/>
                <w:szCs w:val="18"/>
              </w:rPr>
              <w:t>铅</w:t>
            </w:r>
          </w:p>
        </w:tc>
        <w:tc>
          <w:tcPr>
            <w:tcW w:w="992" w:type="dxa"/>
            <w:vAlign w:val="center"/>
          </w:tcPr>
          <w:p>
            <w:pPr>
              <w:jc w:val="center"/>
              <w:rPr>
                <w:rFonts w:eastAsiaTheme="minorEastAsia"/>
                <w:color w:val="auto"/>
                <w:sz w:val="18"/>
                <w:szCs w:val="18"/>
              </w:rPr>
            </w:pPr>
            <w:r>
              <w:rPr>
                <w:rFonts w:eastAsiaTheme="minorEastAsia"/>
                <w:color w:val="auto"/>
                <w:sz w:val="18"/>
                <w:szCs w:val="18"/>
              </w:rPr>
              <w:t>18.1</w:t>
            </w:r>
          </w:p>
        </w:tc>
        <w:tc>
          <w:tcPr>
            <w:tcW w:w="992" w:type="dxa"/>
            <w:vAlign w:val="center"/>
          </w:tcPr>
          <w:p>
            <w:pPr>
              <w:jc w:val="center"/>
              <w:rPr>
                <w:rFonts w:eastAsiaTheme="minorEastAsia"/>
                <w:color w:val="auto"/>
                <w:sz w:val="18"/>
                <w:szCs w:val="18"/>
              </w:rPr>
            </w:pPr>
            <w:r>
              <w:rPr>
                <w:rFonts w:eastAsiaTheme="minorEastAsia"/>
                <w:color w:val="auto"/>
                <w:sz w:val="18"/>
                <w:szCs w:val="18"/>
              </w:rPr>
              <w:t>21.8</w:t>
            </w:r>
          </w:p>
        </w:tc>
        <w:tc>
          <w:tcPr>
            <w:tcW w:w="958" w:type="dxa"/>
            <w:vAlign w:val="center"/>
          </w:tcPr>
          <w:p>
            <w:pPr>
              <w:jc w:val="center"/>
              <w:rPr>
                <w:rFonts w:eastAsiaTheme="minorEastAsia"/>
                <w:color w:val="auto"/>
                <w:sz w:val="18"/>
                <w:szCs w:val="18"/>
              </w:rPr>
            </w:pPr>
            <w:r>
              <w:rPr>
                <w:rFonts w:eastAsiaTheme="minorEastAsia"/>
                <w:color w:val="auto"/>
                <w:sz w:val="18"/>
                <w:szCs w:val="18"/>
              </w:rPr>
              <w:t>73.2</w:t>
            </w:r>
          </w:p>
        </w:tc>
        <w:tc>
          <w:tcPr>
            <w:tcW w:w="957" w:type="dxa"/>
            <w:vAlign w:val="center"/>
          </w:tcPr>
          <w:p>
            <w:pPr>
              <w:jc w:val="center"/>
              <w:rPr>
                <w:rFonts w:eastAsiaTheme="minorEastAsia"/>
                <w:color w:val="auto"/>
                <w:sz w:val="18"/>
                <w:szCs w:val="18"/>
              </w:rPr>
            </w:pPr>
            <w:r>
              <w:rPr>
                <w:rFonts w:eastAsiaTheme="minorEastAsia"/>
                <w:color w:val="auto"/>
                <w:sz w:val="18"/>
                <w:szCs w:val="18"/>
              </w:rPr>
              <w:t>90.7</w:t>
            </w:r>
          </w:p>
        </w:tc>
        <w:tc>
          <w:tcPr>
            <w:tcW w:w="957" w:type="dxa"/>
            <w:vAlign w:val="center"/>
          </w:tcPr>
          <w:p>
            <w:pPr>
              <w:jc w:val="center"/>
              <w:rPr>
                <w:rFonts w:eastAsiaTheme="minorEastAsia"/>
                <w:color w:val="auto"/>
                <w:sz w:val="18"/>
                <w:szCs w:val="18"/>
              </w:rPr>
            </w:pPr>
            <w:r>
              <w:rPr>
                <w:rFonts w:eastAsiaTheme="minorEastAsia"/>
                <w:color w:val="auto"/>
                <w:sz w:val="18"/>
                <w:szCs w:val="18"/>
              </w:rPr>
              <w:t>30.3</w:t>
            </w:r>
          </w:p>
        </w:tc>
        <w:tc>
          <w:tcPr>
            <w:tcW w:w="904" w:type="dxa"/>
            <w:vAlign w:val="center"/>
          </w:tcPr>
          <w:p>
            <w:pPr>
              <w:jc w:val="center"/>
              <w:rPr>
                <w:rFonts w:eastAsiaTheme="minorEastAsia"/>
                <w:color w:val="auto"/>
                <w:sz w:val="18"/>
                <w:szCs w:val="18"/>
              </w:rPr>
            </w:pPr>
            <w:r>
              <w:rPr>
                <w:rFonts w:eastAsiaTheme="minorEastAsia"/>
                <w:color w:val="auto"/>
                <w:sz w:val="18"/>
                <w:szCs w:val="18"/>
              </w:rPr>
              <w:t>32.0</w:t>
            </w:r>
          </w:p>
        </w:tc>
        <w:tc>
          <w:tcPr>
            <w:tcW w:w="1072" w:type="dxa"/>
            <w:vAlign w:val="center"/>
          </w:tcPr>
          <w:p>
            <w:pPr>
              <w:jc w:val="center"/>
              <w:rPr>
                <w:rFonts w:eastAsiaTheme="minorEastAsia"/>
                <w:color w:val="auto"/>
                <w:sz w:val="18"/>
                <w:szCs w:val="18"/>
              </w:rPr>
            </w:pPr>
            <w:r>
              <w:rPr>
                <w:rFonts w:eastAsiaTheme="minorEastAsia"/>
                <w:color w:val="auto"/>
                <w:sz w:val="18"/>
                <w:szCs w:val="18"/>
              </w:rPr>
              <w:t>17.5</w:t>
            </w:r>
          </w:p>
        </w:tc>
        <w:tc>
          <w:tcPr>
            <w:tcW w:w="957" w:type="dxa"/>
            <w:vAlign w:val="center"/>
          </w:tcPr>
          <w:p>
            <w:pPr>
              <w:jc w:val="center"/>
              <w:rPr>
                <w:rFonts w:eastAsiaTheme="minorEastAsia"/>
                <w:color w:val="auto"/>
                <w:sz w:val="18"/>
                <w:szCs w:val="18"/>
              </w:rPr>
            </w:pPr>
            <w:r>
              <w:rPr>
                <w:rFonts w:eastAsiaTheme="minorEastAsia"/>
                <w:color w:val="auto"/>
                <w:sz w:val="18"/>
                <w:szCs w:val="18"/>
              </w:rPr>
              <w:t>17.7</w:t>
            </w:r>
          </w:p>
        </w:tc>
        <w:tc>
          <w:tcPr>
            <w:tcW w:w="957" w:type="dxa"/>
            <w:vAlign w:val="center"/>
          </w:tcPr>
          <w:p>
            <w:pPr>
              <w:jc w:val="center"/>
              <w:rPr>
                <w:rFonts w:eastAsiaTheme="minorEastAsia"/>
                <w:color w:val="auto"/>
                <w:sz w:val="18"/>
                <w:szCs w:val="18"/>
              </w:rPr>
            </w:pPr>
            <w:r>
              <w:rPr>
                <w:rFonts w:eastAsiaTheme="minorEastAsia"/>
                <w:color w:val="auto"/>
                <w:sz w:val="18"/>
                <w:szCs w:val="18"/>
              </w:rPr>
              <w:t>22.0</w:t>
            </w:r>
          </w:p>
        </w:tc>
        <w:tc>
          <w:tcPr>
            <w:tcW w:w="958" w:type="dxa"/>
            <w:vAlign w:val="center"/>
          </w:tcPr>
          <w:p>
            <w:pPr>
              <w:jc w:val="center"/>
              <w:rPr>
                <w:rFonts w:eastAsiaTheme="minorEastAsia"/>
                <w:color w:val="auto"/>
                <w:sz w:val="18"/>
                <w:szCs w:val="18"/>
              </w:rPr>
            </w:pPr>
            <w:r>
              <w:rPr>
                <w:rFonts w:eastAsiaTheme="minorEastAsia"/>
                <w:color w:val="auto"/>
                <w:sz w:val="18"/>
                <w:szCs w:val="18"/>
              </w:rPr>
              <w:t>18.0</w:t>
            </w:r>
          </w:p>
        </w:tc>
        <w:tc>
          <w:tcPr>
            <w:tcW w:w="927" w:type="dxa"/>
            <w:vAlign w:val="center"/>
          </w:tcPr>
          <w:p>
            <w:pPr>
              <w:jc w:val="center"/>
              <w:rPr>
                <w:rFonts w:eastAsiaTheme="minorEastAsia"/>
                <w:color w:val="auto"/>
                <w:sz w:val="18"/>
                <w:szCs w:val="18"/>
              </w:rPr>
            </w:pPr>
            <w:r>
              <w:rPr>
                <w:rFonts w:eastAsiaTheme="minorEastAsia"/>
                <w:color w:val="auto"/>
                <w:sz w:val="18"/>
                <w:szCs w:val="18"/>
              </w:rPr>
              <w:t>21.1</w:t>
            </w:r>
          </w:p>
        </w:tc>
        <w:tc>
          <w:tcPr>
            <w:tcW w:w="957" w:type="dxa"/>
            <w:vAlign w:val="center"/>
          </w:tcPr>
          <w:p>
            <w:pPr>
              <w:jc w:val="center"/>
              <w:rPr>
                <w:rFonts w:eastAsiaTheme="minorEastAsia"/>
                <w:color w:val="auto"/>
                <w:sz w:val="18"/>
                <w:szCs w:val="18"/>
              </w:rPr>
            </w:pPr>
            <w:r>
              <w:rPr>
                <w:rFonts w:eastAsiaTheme="minorEastAsia"/>
                <w:color w:val="auto"/>
                <w:sz w:val="18"/>
                <w:szCs w:val="18"/>
              </w:rPr>
              <w:t>70.8</w:t>
            </w:r>
          </w:p>
        </w:tc>
        <w:tc>
          <w:tcPr>
            <w:tcW w:w="958" w:type="dxa"/>
            <w:vAlign w:val="center"/>
          </w:tcPr>
          <w:p>
            <w:pPr>
              <w:jc w:val="center"/>
              <w:rPr>
                <w:rFonts w:eastAsiaTheme="minorEastAsia"/>
                <w:color w:val="auto"/>
                <w:sz w:val="18"/>
                <w:szCs w:val="18"/>
              </w:rPr>
            </w:pPr>
            <w:r>
              <w:rPr>
                <w:rFonts w:eastAsiaTheme="minorEastAsia"/>
                <w:color w:val="auto"/>
                <w:sz w:val="18"/>
                <w:szCs w:val="18"/>
              </w:rPr>
              <w:t>65.8</w:t>
            </w:r>
          </w:p>
        </w:tc>
        <w:tc>
          <w:tcPr>
            <w:tcW w:w="957" w:type="dxa"/>
            <w:vAlign w:val="center"/>
          </w:tcPr>
          <w:p>
            <w:pPr>
              <w:jc w:val="center"/>
              <w:rPr>
                <w:rFonts w:eastAsiaTheme="minorEastAsia"/>
                <w:color w:val="auto"/>
                <w:sz w:val="18"/>
                <w:szCs w:val="18"/>
              </w:rPr>
            </w:pPr>
            <w:r>
              <w:rPr>
                <w:rFonts w:eastAsiaTheme="minorEastAsia"/>
                <w:color w:val="auto"/>
                <w:sz w:val="18"/>
                <w:szCs w:val="18"/>
              </w:rPr>
              <w:t>75.2</w:t>
            </w:r>
          </w:p>
        </w:tc>
        <w:tc>
          <w:tcPr>
            <w:tcW w:w="957" w:type="dxa"/>
            <w:vAlign w:val="center"/>
          </w:tcPr>
          <w:p>
            <w:pPr>
              <w:jc w:val="center"/>
              <w:rPr>
                <w:rFonts w:eastAsiaTheme="minorEastAsia"/>
                <w:color w:val="auto"/>
                <w:sz w:val="18"/>
                <w:szCs w:val="18"/>
              </w:rPr>
            </w:pPr>
            <w:r>
              <w:rPr>
                <w:rFonts w:eastAsiaTheme="minorEastAsia"/>
                <w:color w:val="auto"/>
                <w:sz w:val="18"/>
                <w:szCs w:val="18"/>
              </w:rPr>
              <w:t>91.6</w:t>
            </w:r>
          </w:p>
        </w:tc>
        <w:tc>
          <w:tcPr>
            <w:tcW w:w="991" w:type="dxa"/>
            <w:vAlign w:val="center"/>
          </w:tcPr>
          <w:p>
            <w:pPr>
              <w:jc w:val="center"/>
              <w:rPr>
                <w:rFonts w:eastAsiaTheme="minorEastAsia"/>
                <w:color w:val="auto"/>
                <w:sz w:val="18"/>
                <w:szCs w:val="18"/>
              </w:rPr>
            </w:pPr>
            <w:r>
              <w:rPr>
                <w:rFonts w:eastAsiaTheme="minorEastAsia"/>
                <w:color w:val="auto"/>
                <w:sz w:val="18"/>
                <w:szCs w:val="18"/>
              </w:rPr>
              <w:t>28.4</w:t>
            </w:r>
          </w:p>
        </w:tc>
        <w:tc>
          <w:tcPr>
            <w:tcW w:w="700" w:type="dxa"/>
            <w:vAlign w:val="center"/>
          </w:tcPr>
          <w:p>
            <w:pPr>
              <w:jc w:val="center"/>
              <w:rPr>
                <w:rFonts w:eastAsiaTheme="minorEastAsia"/>
                <w:color w:val="auto"/>
                <w:sz w:val="18"/>
                <w:szCs w:val="18"/>
              </w:rPr>
            </w:pPr>
            <w:r>
              <w:rPr>
                <w:rFonts w:eastAsiaTheme="minorEastAsia"/>
                <w:color w:val="auto"/>
                <w:sz w:val="18"/>
                <w:szCs w:val="18"/>
              </w:rPr>
              <w:t>30.5</w:t>
            </w:r>
          </w:p>
        </w:tc>
        <w:tc>
          <w:tcPr>
            <w:tcW w:w="709" w:type="dxa"/>
            <w:vAlign w:val="center"/>
          </w:tcPr>
          <w:p>
            <w:pPr>
              <w:jc w:val="center"/>
              <w:rPr>
                <w:rFonts w:eastAsiaTheme="minorEastAsia"/>
                <w:color w:val="auto"/>
                <w:sz w:val="18"/>
                <w:szCs w:val="18"/>
              </w:rPr>
            </w:pPr>
            <w:r>
              <w:rPr>
                <w:rFonts w:eastAsiaTheme="minorEastAsia"/>
                <w:color w:val="auto"/>
                <w:sz w:val="18"/>
                <w:szCs w:val="18"/>
              </w:rPr>
              <w:t>46.3</w:t>
            </w:r>
          </w:p>
        </w:tc>
        <w:tc>
          <w:tcPr>
            <w:tcW w:w="1134" w:type="dxa"/>
            <w:vAlign w:val="center"/>
          </w:tcPr>
          <w:p>
            <w:pPr>
              <w:jc w:val="center"/>
              <w:rPr>
                <w:rFonts w:eastAsiaTheme="minorEastAsia"/>
                <w:color w:val="auto"/>
                <w:sz w:val="18"/>
                <w:szCs w:val="18"/>
              </w:rPr>
            </w:pPr>
            <w:r>
              <w:rPr>
                <w:rFonts w:eastAsiaTheme="minorEastAsia"/>
                <w:color w:val="auto"/>
                <w:sz w:val="18"/>
                <w:szCs w:val="18"/>
              </w:rPr>
              <w:t>800</w:t>
            </w:r>
          </w:p>
        </w:tc>
        <w:tc>
          <w:tcPr>
            <w:tcW w:w="1316" w:type="dxa"/>
            <w:vAlign w:val="center"/>
          </w:tcPr>
          <w:p>
            <w:pPr>
              <w:jc w:val="center"/>
              <w:rPr>
                <w:rFonts w:eastAsiaTheme="minorEastAsia"/>
                <w:color w:val="auto"/>
                <w:sz w:val="18"/>
                <w:szCs w:val="18"/>
              </w:rPr>
            </w:pPr>
            <w:r>
              <w:rPr>
                <w:rFonts w:eastAsiaTheme="minorEastAsia"/>
                <w:color w:val="auto"/>
                <w:sz w:val="18"/>
                <w:szCs w:val="18"/>
              </w:rPr>
              <w:t>120、70</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7</w:t>
            </w:r>
          </w:p>
        </w:tc>
        <w:tc>
          <w:tcPr>
            <w:tcW w:w="850" w:type="dxa"/>
            <w:vAlign w:val="center"/>
          </w:tcPr>
          <w:p>
            <w:pPr>
              <w:jc w:val="center"/>
              <w:rPr>
                <w:rFonts w:eastAsiaTheme="minorEastAsia"/>
                <w:color w:val="auto"/>
                <w:sz w:val="18"/>
                <w:szCs w:val="18"/>
              </w:rPr>
            </w:pPr>
            <w:r>
              <w:rPr>
                <w:rFonts w:eastAsiaTheme="minorEastAsia"/>
                <w:color w:val="auto"/>
                <w:sz w:val="18"/>
                <w:szCs w:val="18"/>
              </w:rPr>
              <w:t>汞</w:t>
            </w:r>
          </w:p>
        </w:tc>
        <w:tc>
          <w:tcPr>
            <w:tcW w:w="992" w:type="dxa"/>
            <w:vAlign w:val="center"/>
          </w:tcPr>
          <w:p>
            <w:pPr>
              <w:jc w:val="center"/>
              <w:rPr>
                <w:rFonts w:eastAsiaTheme="minorEastAsia"/>
                <w:color w:val="auto"/>
                <w:sz w:val="18"/>
                <w:szCs w:val="18"/>
              </w:rPr>
            </w:pPr>
            <w:r>
              <w:rPr>
                <w:rFonts w:eastAsiaTheme="minorEastAsia"/>
                <w:color w:val="auto"/>
                <w:sz w:val="18"/>
                <w:szCs w:val="18"/>
              </w:rPr>
              <w:t>0.008</w:t>
            </w:r>
          </w:p>
        </w:tc>
        <w:tc>
          <w:tcPr>
            <w:tcW w:w="992" w:type="dxa"/>
            <w:vAlign w:val="center"/>
          </w:tcPr>
          <w:p>
            <w:pPr>
              <w:jc w:val="center"/>
              <w:rPr>
                <w:rFonts w:eastAsiaTheme="minorEastAsia"/>
                <w:color w:val="auto"/>
                <w:sz w:val="18"/>
                <w:szCs w:val="18"/>
              </w:rPr>
            </w:pPr>
            <w:r>
              <w:rPr>
                <w:rFonts w:eastAsiaTheme="minorEastAsia"/>
                <w:color w:val="auto"/>
                <w:sz w:val="18"/>
                <w:szCs w:val="18"/>
              </w:rPr>
              <w:t>0.011</w:t>
            </w:r>
          </w:p>
        </w:tc>
        <w:tc>
          <w:tcPr>
            <w:tcW w:w="958" w:type="dxa"/>
            <w:vAlign w:val="center"/>
          </w:tcPr>
          <w:p>
            <w:pPr>
              <w:jc w:val="center"/>
              <w:rPr>
                <w:rFonts w:eastAsiaTheme="minorEastAsia"/>
                <w:color w:val="auto"/>
                <w:sz w:val="18"/>
                <w:szCs w:val="18"/>
              </w:rPr>
            </w:pPr>
            <w:r>
              <w:rPr>
                <w:rFonts w:eastAsiaTheme="minorEastAsia"/>
                <w:color w:val="auto"/>
                <w:sz w:val="18"/>
                <w:szCs w:val="18"/>
              </w:rPr>
              <w:t>0.008</w:t>
            </w:r>
          </w:p>
        </w:tc>
        <w:tc>
          <w:tcPr>
            <w:tcW w:w="957" w:type="dxa"/>
            <w:vAlign w:val="center"/>
          </w:tcPr>
          <w:p>
            <w:pPr>
              <w:jc w:val="center"/>
              <w:rPr>
                <w:rFonts w:eastAsiaTheme="minorEastAsia"/>
                <w:color w:val="auto"/>
                <w:sz w:val="18"/>
                <w:szCs w:val="18"/>
              </w:rPr>
            </w:pPr>
            <w:r>
              <w:rPr>
                <w:rFonts w:eastAsiaTheme="minorEastAsia"/>
                <w:color w:val="auto"/>
                <w:sz w:val="18"/>
                <w:szCs w:val="18"/>
              </w:rPr>
              <w:t>0.011</w:t>
            </w:r>
          </w:p>
        </w:tc>
        <w:tc>
          <w:tcPr>
            <w:tcW w:w="957" w:type="dxa"/>
            <w:vAlign w:val="center"/>
          </w:tcPr>
          <w:p>
            <w:pPr>
              <w:jc w:val="center"/>
              <w:rPr>
                <w:rFonts w:eastAsiaTheme="minorEastAsia"/>
                <w:color w:val="auto"/>
                <w:sz w:val="18"/>
                <w:szCs w:val="18"/>
              </w:rPr>
            </w:pPr>
            <w:r>
              <w:rPr>
                <w:rFonts w:eastAsiaTheme="minorEastAsia"/>
                <w:color w:val="auto"/>
                <w:sz w:val="18"/>
                <w:szCs w:val="18"/>
              </w:rPr>
              <w:t>0.013</w:t>
            </w:r>
          </w:p>
        </w:tc>
        <w:tc>
          <w:tcPr>
            <w:tcW w:w="904" w:type="dxa"/>
            <w:vAlign w:val="center"/>
          </w:tcPr>
          <w:p>
            <w:pPr>
              <w:jc w:val="center"/>
              <w:rPr>
                <w:rFonts w:eastAsiaTheme="minorEastAsia"/>
                <w:color w:val="auto"/>
                <w:sz w:val="18"/>
                <w:szCs w:val="18"/>
              </w:rPr>
            </w:pPr>
            <w:r>
              <w:rPr>
                <w:rFonts w:eastAsiaTheme="minorEastAsia"/>
                <w:color w:val="auto"/>
                <w:sz w:val="18"/>
                <w:szCs w:val="18"/>
              </w:rPr>
              <w:t>0.008</w:t>
            </w:r>
          </w:p>
        </w:tc>
        <w:tc>
          <w:tcPr>
            <w:tcW w:w="1072" w:type="dxa"/>
            <w:vAlign w:val="center"/>
          </w:tcPr>
          <w:p>
            <w:pPr>
              <w:jc w:val="center"/>
              <w:rPr>
                <w:rFonts w:eastAsiaTheme="minorEastAsia"/>
                <w:color w:val="auto"/>
                <w:sz w:val="18"/>
                <w:szCs w:val="18"/>
              </w:rPr>
            </w:pPr>
            <w:r>
              <w:rPr>
                <w:rFonts w:eastAsiaTheme="minorEastAsia"/>
                <w:color w:val="auto"/>
                <w:sz w:val="18"/>
                <w:szCs w:val="18"/>
              </w:rPr>
              <w:t>0.007</w:t>
            </w:r>
          </w:p>
        </w:tc>
        <w:tc>
          <w:tcPr>
            <w:tcW w:w="957" w:type="dxa"/>
            <w:vAlign w:val="center"/>
          </w:tcPr>
          <w:p>
            <w:pPr>
              <w:jc w:val="center"/>
              <w:rPr>
                <w:rFonts w:eastAsiaTheme="minorEastAsia"/>
                <w:color w:val="auto"/>
                <w:sz w:val="18"/>
                <w:szCs w:val="18"/>
              </w:rPr>
            </w:pPr>
            <w:r>
              <w:rPr>
                <w:rFonts w:eastAsiaTheme="minorEastAsia"/>
                <w:color w:val="auto"/>
                <w:sz w:val="18"/>
                <w:szCs w:val="18"/>
              </w:rPr>
              <w:t>0.004</w:t>
            </w:r>
          </w:p>
        </w:tc>
        <w:tc>
          <w:tcPr>
            <w:tcW w:w="957" w:type="dxa"/>
            <w:vAlign w:val="center"/>
          </w:tcPr>
          <w:p>
            <w:pPr>
              <w:jc w:val="center"/>
              <w:rPr>
                <w:rFonts w:eastAsiaTheme="minorEastAsia"/>
                <w:color w:val="auto"/>
                <w:sz w:val="18"/>
                <w:szCs w:val="18"/>
              </w:rPr>
            </w:pPr>
            <w:r>
              <w:rPr>
                <w:rFonts w:eastAsiaTheme="minorEastAsia"/>
                <w:color w:val="auto"/>
                <w:sz w:val="18"/>
                <w:szCs w:val="18"/>
              </w:rPr>
              <w:t>0.007</w:t>
            </w:r>
          </w:p>
        </w:tc>
        <w:tc>
          <w:tcPr>
            <w:tcW w:w="958" w:type="dxa"/>
            <w:vAlign w:val="center"/>
          </w:tcPr>
          <w:p>
            <w:pPr>
              <w:jc w:val="center"/>
              <w:rPr>
                <w:rFonts w:eastAsiaTheme="minorEastAsia"/>
                <w:color w:val="auto"/>
                <w:sz w:val="18"/>
                <w:szCs w:val="18"/>
              </w:rPr>
            </w:pPr>
            <w:r>
              <w:rPr>
                <w:rFonts w:eastAsiaTheme="minorEastAsia"/>
                <w:color w:val="auto"/>
                <w:sz w:val="18"/>
                <w:szCs w:val="18"/>
              </w:rPr>
              <w:t>0.006</w:t>
            </w:r>
          </w:p>
        </w:tc>
        <w:tc>
          <w:tcPr>
            <w:tcW w:w="927" w:type="dxa"/>
            <w:vAlign w:val="center"/>
          </w:tcPr>
          <w:p>
            <w:pPr>
              <w:jc w:val="center"/>
              <w:rPr>
                <w:rFonts w:eastAsiaTheme="minorEastAsia"/>
                <w:color w:val="auto"/>
                <w:sz w:val="18"/>
                <w:szCs w:val="18"/>
              </w:rPr>
            </w:pPr>
            <w:r>
              <w:rPr>
                <w:rFonts w:eastAsiaTheme="minorEastAsia"/>
                <w:color w:val="auto"/>
                <w:sz w:val="18"/>
                <w:szCs w:val="18"/>
              </w:rPr>
              <w:t>0.010</w:t>
            </w:r>
          </w:p>
        </w:tc>
        <w:tc>
          <w:tcPr>
            <w:tcW w:w="957" w:type="dxa"/>
            <w:vAlign w:val="center"/>
          </w:tcPr>
          <w:p>
            <w:pPr>
              <w:jc w:val="center"/>
              <w:rPr>
                <w:rFonts w:eastAsiaTheme="minorEastAsia"/>
                <w:color w:val="auto"/>
                <w:sz w:val="18"/>
                <w:szCs w:val="18"/>
              </w:rPr>
            </w:pPr>
            <w:r>
              <w:rPr>
                <w:rFonts w:eastAsiaTheme="minorEastAsia"/>
                <w:color w:val="auto"/>
                <w:sz w:val="18"/>
                <w:szCs w:val="18"/>
              </w:rPr>
              <w:t>0.004</w:t>
            </w:r>
          </w:p>
        </w:tc>
        <w:tc>
          <w:tcPr>
            <w:tcW w:w="958" w:type="dxa"/>
            <w:vAlign w:val="center"/>
          </w:tcPr>
          <w:p>
            <w:pPr>
              <w:jc w:val="center"/>
              <w:rPr>
                <w:rFonts w:eastAsiaTheme="minorEastAsia"/>
                <w:color w:val="auto"/>
                <w:sz w:val="18"/>
                <w:szCs w:val="18"/>
              </w:rPr>
            </w:pPr>
            <w:r>
              <w:rPr>
                <w:rFonts w:eastAsiaTheme="minorEastAsia"/>
                <w:color w:val="auto"/>
                <w:sz w:val="18"/>
                <w:szCs w:val="18"/>
              </w:rPr>
              <w:t>0.005</w:t>
            </w:r>
          </w:p>
        </w:tc>
        <w:tc>
          <w:tcPr>
            <w:tcW w:w="957" w:type="dxa"/>
            <w:vAlign w:val="center"/>
          </w:tcPr>
          <w:p>
            <w:pPr>
              <w:jc w:val="center"/>
              <w:rPr>
                <w:rFonts w:eastAsiaTheme="minorEastAsia"/>
                <w:color w:val="auto"/>
                <w:sz w:val="18"/>
                <w:szCs w:val="18"/>
              </w:rPr>
            </w:pPr>
            <w:r>
              <w:rPr>
                <w:rFonts w:eastAsiaTheme="minorEastAsia"/>
                <w:color w:val="auto"/>
                <w:sz w:val="18"/>
                <w:szCs w:val="18"/>
              </w:rPr>
              <w:t>0.005</w:t>
            </w:r>
          </w:p>
        </w:tc>
        <w:tc>
          <w:tcPr>
            <w:tcW w:w="957" w:type="dxa"/>
            <w:vAlign w:val="center"/>
          </w:tcPr>
          <w:p>
            <w:pPr>
              <w:jc w:val="center"/>
              <w:rPr>
                <w:rFonts w:eastAsiaTheme="minorEastAsia"/>
                <w:color w:val="auto"/>
                <w:sz w:val="18"/>
                <w:szCs w:val="18"/>
              </w:rPr>
            </w:pPr>
            <w:r>
              <w:rPr>
                <w:rFonts w:eastAsiaTheme="minorEastAsia"/>
                <w:color w:val="auto"/>
                <w:sz w:val="18"/>
                <w:szCs w:val="18"/>
              </w:rPr>
              <w:t>0.004</w:t>
            </w:r>
          </w:p>
        </w:tc>
        <w:tc>
          <w:tcPr>
            <w:tcW w:w="991" w:type="dxa"/>
            <w:vAlign w:val="center"/>
          </w:tcPr>
          <w:p>
            <w:pPr>
              <w:jc w:val="center"/>
              <w:rPr>
                <w:rFonts w:eastAsiaTheme="minorEastAsia"/>
                <w:color w:val="auto"/>
                <w:sz w:val="18"/>
                <w:szCs w:val="18"/>
              </w:rPr>
            </w:pPr>
            <w:r>
              <w:rPr>
                <w:rFonts w:eastAsiaTheme="minorEastAsia"/>
                <w:color w:val="auto"/>
                <w:sz w:val="18"/>
                <w:szCs w:val="18"/>
              </w:rPr>
              <w:t>0.058</w:t>
            </w:r>
          </w:p>
        </w:tc>
        <w:tc>
          <w:tcPr>
            <w:tcW w:w="700" w:type="dxa"/>
            <w:vAlign w:val="center"/>
          </w:tcPr>
          <w:p>
            <w:pPr>
              <w:jc w:val="center"/>
              <w:rPr>
                <w:rFonts w:eastAsiaTheme="minorEastAsia"/>
                <w:color w:val="auto"/>
                <w:sz w:val="18"/>
                <w:szCs w:val="18"/>
              </w:rPr>
            </w:pPr>
            <w:r>
              <w:rPr>
                <w:rFonts w:eastAsiaTheme="minorEastAsia"/>
                <w:color w:val="auto"/>
                <w:sz w:val="18"/>
                <w:szCs w:val="18"/>
              </w:rPr>
              <w:t>0.028</w:t>
            </w:r>
          </w:p>
        </w:tc>
        <w:tc>
          <w:tcPr>
            <w:tcW w:w="709" w:type="dxa"/>
            <w:vAlign w:val="center"/>
          </w:tcPr>
          <w:p>
            <w:pPr>
              <w:jc w:val="center"/>
              <w:rPr>
                <w:rFonts w:eastAsiaTheme="minorEastAsia"/>
                <w:color w:val="auto"/>
                <w:sz w:val="18"/>
                <w:szCs w:val="18"/>
              </w:rPr>
            </w:pPr>
            <w:r>
              <w:rPr>
                <w:rFonts w:eastAsiaTheme="minorEastAsia"/>
                <w:color w:val="auto"/>
                <w:sz w:val="18"/>
                <w:szCs w:val="18"/>
              </w:rPr>
              <w:t>0.058</w:t>
            </w:r>
          </w:p>
        </w:tc>
        <w:tc>
          <w:tcPr>
            <w:tcW w:w="1134" w:type="dxa"/>
            <w:vAlign w:val="center"/>
          </w:tcPr>
          <w:p>
            <w:pPr>
              <w:jc w:val="center"/>
              <w:rPr>
                <w:rFonts w:eastAsiaTheme="minorEastAsia"/>
                <w:color w:val="auto"/>
                <w:sz w:val="18"/>
                <w:szCs w:val="18"/>
              </w:rPr>
            </w:pPr>
            <w:r>
              <w:rPr>
                <w:rFonts w:eastAsiaTheme="minorEastAsia"/>
                <w:color w:val="auto"/>
                <w:sz w:val="18"/>
                <w:szCs w:val="18"/>
              </w:rPr>
              <w:t>38</w:t>
            </w:r>
          </w:p>
        </w:tc>
        <w:tc>
          <w:tcPr>
            <w:tcW w:w="1316" w:type="dxa"/>
            <w:vAlign w:val="center"/>
          </w:tcPr>
          <w:p>
            <w:pPr>
              <w:jc w:val="center"/>
              <w:rPr>
                <w:rFonts w:eastAsiaTheme="minorEastAsia"/>
                <w:color w:val="auto"/>
                <w:sz w:val="18"/>
                <w:szCs w:val="18"/>
              </w:rPr>
            </w:pPr>
            <w:r>
              <w:rPr>
                <w:rFonts w:eastAsiaTheme="minorEastAsia"/>
                <w:color w:val="auto"/>
                <w:sz w:val="18"/>
                <w:szCs w:val="18"/>
              </w:rPr>
              <w:t>2.4、1.3</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8</w:t>
            </w:r>
          </w:p>
        </w:tc>
        <w:tc>
          <w:tcPr>
            <w:tcW w:w="850" w:type="dxa"/>
            <w:vAlign w:val="center"/>
          </w:tcPr>
          <w:p>
            <w:pPr>
              <w:jc w:val="center"/>
              <w:rPr>
                <w:rFonts w:eastAsiaTheme="minorEastAsia"/>
                <w:color w:val="auto"/>
                <w:sz w:val="18"/>
                <w:szCs w:val="18"/>
              </w:rPr>
            </w:pPr>
            <w:r>
              <w:rPr>
                <w:rFonts w:eastAsiaTheme="minorEastAsia"/>
                <w:color w:val="auto"/>
                <w:sz w:val="18"/>
                <w:szCs w:val="18"/>
              </w:rPr>
              <w:t>镍</w:t>
            </w:r>
          </w:p>
        </w:tc>
        <w:tc>
          <w:tcPr>
            <w:tcW w:w="992" w:type="dxa"/>
            <w:vAlign w:val="center"/>
          </w:tcPr>
          <w:p>
            <w:pPr>
              <w:jc w:val="center"/>
              <w:rPr>
                <w:rFonts w:eastAsiaTheme="minorEastAsia"/>
                <w:color w:val="auto"/>
                <w:sz w:val="18"/>
                <w:szCs w:val="18"/>
              </w:rPr>
            </w:pPr>
            <w:r>
              <w:rPr>
                <w:rFonts w:eastAsiaTheme="minorEastAsia"/>
                <w:color w:val="auto"/>
                <w:sz w:val="18"/>
                <w:szCs w:val="18"/>
              </w:rPr>
              <w:t>32</w:t>
            </w:r>
          </w:p>
        </w:tc>
        <w:tc>
          <w:tcPr>
            <w:tcW w:w="992" w:type="dxa"/>
            <w:vAlign w:val="center"/>
          </w:tcPr>
          <w:p>
            <w:pPr>
              <w:jc w:val="center"/>
              <w:rPr>
                <w:rFonts w:eastAsiaTheme="minorEastAsia"/>
                <w:color w:val="auto"/>
                <w:sz w:val="18"/>
                <w:szCs w:val="18"/>
              </w:rPr>
            </w:pPr>
            <w:r>
              <w:rPr>
                <w:rFonts w:eastAsiaTheme="minorEastAsia"/>
                <w:color w:val="auto"/>
                <w:sz w:val="18"/>
                <w:szCs w:val="18"/>
              </w:rPr>
              <w:t>34</w:t>
            </w:r>
          </w:p>
        </w:tc>
        <w:tc>
          <w:tcPr>
            <w:tcW w:w="958" w:type="dxa"/>
            <w:vAlign w:val="center"/>
          </w:tcPr>
          <w:p>
            <w:pPr>
              <w:jc w:val="center"/>
              <w:rPr>
                <w:rFonts w:eastAsiaTheme="minorEastAsia"/>
                <w:color w:val="auto"/>
                <w:sz w:val="18"/>
                <w:szCs w:val="18"/>
              </w:rPr>
            </w:pPr>
            <w:r>
              <w:rPr>
                <w:rFonts w:eastAsiaTheme="minorEastAsia"/>
                <w:color w:val="auto"/>
                <w:sz w:val="18"/>
                <w:szCs w:val="18"/>
              </w:rPr>
              <w:t>34</w:t>
            </w:r>
          </w:p>
        </w:tc>
        <w:tc>
          <w:tcPr>
            <w:tcW w:w="957" w:type="dxa"/>
            <w:vAlign w:val="center"/>
          </w:tcPr>
          <w:p>
            <w:pPr>
              <w:jc w:val="center"/>
              <w:rPr>
                <w:rFonts w:eastAsiaTheme="minorEastAsia"/>
                <w:color w:val="auto"/>
                <w:sz w:val="18"/>
                <w:szCs w:val="18"/>
              </w:rPr>
            </w:pPr>
            <w:r>
              <w:rPr>
                <w:rFonts w:eastAsiaTheme="minorEastAsia"/>
                <w:color w:val="auto"/>
                <w:sz w:val="18"/>
                <w:szCs w:val="18"/>
              </w:rPr>
              <w:t>30</w:t>
            </w:r>
          </w:p>
        </w:tc>
        <w:tc>
          <w:tcPr>
            <w:tcW w:w="957" w:type="dxa"/>
            <w:vAlign w:val="center"/>
          </w:tcPr>
          <w:p>
            <w:pPr>
              <w:jc w:val="center"/>
              <w:rPr>
                <w:rFonts w:eastAsiaTheme="minorEastAsia"/>
                <w:color w:val="auto"/>
                <w:sz w:val="18"/>
                <w:szCs w:val="18"/>
              </w:rPr>
            </w:pPr>
            <w:r>
              <w:rPr>
                <w:rFonts w:eastAsiaTheme="minorEastAsia"/>
                <w:color w:val="auto"/>
                <w:sz w:val="18"/>
                <w:szCs w:val="18"/>
              </w:rPr>
              <w:t>28</w:t>
            </w:r>
          </w:p>
        </w:tc>
        <w:tc>
          <w:tcPr>
            <w:tcW w:w="904" w:type="dxa"/>
            <w:vAlign w:val="center"/>
          </w:tcPr>
          <w:p>
            <w:pPr>
              <w:jc w:val="center"/>
              <w:rPr>
                <w:rFonts w:eastAsiaTheme="minorEastAsia"/>
                <w:color w:val="auto"/>
                <w:sz w:val="18"/>
                <w:szCs w:val="18"/>
              </w:rPr>
            </w:pPr>
            <w:r>
              <w:rPr>
                <w:rFonts w:eastAsiaTheme="minorEastAsia"/>
                <w:color w:val="auto"/>
                <w:sz w:val="18"/>
                <w:szCs w:val="18"/>
              </w:rPr>
              <w:t>37</w:t>
            </w:r>
          </w:p>
        </w:tc>
        <w:tc>
          <w:tcPr>
            <w:tcW w:w="1072" w:type="dxa"/>
            <w:vAlign w:val="center"/>
          </w:tcPr>
          <w:p>
            <w:pPr>
              <w:jc w:val="center"/>
              <w:rPr>
                <w:rFonts w:eastAsiaTheme="minorEastAsia"/>
                <w:color w:val="auto"/>
                <w:sz w:val="18"/>
                <w:szCs w:val="18"/>
              </w:rPr>
            </w:pPr>
            <w:r>
              <w:rPr>
                <w:rFonts w:eastAsiaTheme="minorEastAsia"/>
                <w:color w:val="auto"/>
                <w:sz w:val="18"/>
                <w:szCs w:val="18"/>
              </w:rPr>
              <w:t>35</w:t>
            </w:r>
          </w:p>
        </w:tc>
        <w:tc>
          <w:tcPr>
            <w:tcW w:w="957" w:type="dxa"/>
            <w:vAlign w:val="center"/>
          </w:tcPr>
          <w:p>
            <w:pPr>
              <w:jc w:val="center"/>
              <w:rPr>
                <w:rFonts w:eastAsiaTheme="minorEastAsia"/>
                <w:color w:val="auto"/>
                <w:sz w:val="18"/>
                <w:szCs w:val="18"/>
              </w:rPr>
            </w:pPr>
            <w:r>
              <w:rPr>
                <w:rFonts w:eastAsiaTheme="minorEastAsia"/>
                <w:color w:val="auto"/>
                <w:sz w:val="18"/>
                <w:szCs w:val="18"/>
              </w:rPr>
              <w:t>30</w:t>
            </w:r>
          </w:p>
        </w:tc>
        <w:tc>
          <w:tcPr>
            <w:tcW w:w="957" w:type="dxa"/>
            <w:vAlign w:val="center"/>
          </w:tcPr>
          <w:p>
            <w:pPr>
              <w:jc w:val="center"/>
              <w:rPr>
                <w:rFonts w:eastAsiaTheme="minorEastAsia"/>
                <w:color w:val="auto"/>
                <w:sz w:val="18"/>
                <w:szCs w:val="18"/>
              </w:rPr>
            </w:pPr>
            <w:r>
              <w:rPr>
                <w:rFonts w:eastAsiaTheme="minorEastAsia"/>
                <w:color w:val="auto"/>
                <w:sz w:val="18"/>
                <w:szCs w:val="18"/>
              </w:rPr>
              <w:t>37</w:t>
            </w:r>
          </w:p>
        </w:tc>
        <w:tc>
          <w:tcPr>
            <w:tcW w:w="958" w:type="dxa"/>
            <w:vAlign w:val="center"/>
          </w:tcPr>
          <w:p>
            <w:pPr>
              <w:jc w:val="center"/>
              <w:rPr>
                <w:rFonts w:eastAsiaTheme="minorEastAsia"/>
                <w:color w:val="auto"/>
                <w:sz w:val="18"/>
                <w:szCs w:val="18"/>
              </w:rPr>
            </w:pPr>
            <w:r>
              <w:rPr>
                <w:rFonts w:eastAsiaTheme="minorEastAsia"/>
                <w:color w:val="auto"/>
                <w:sz w:val="18"/>
                <w:szCs w:val="18"/>
              </w:rPr>
              <w:t>18</w:t>
            </w:r>
          </w:p>
        </w:tc>
        <w:tc>
          <w:tcPr>
            <w:tcW w:w="927" w:type="dxa"/>
            <w:vAlign w:val="center"/>
          </w:tcPr>
          <w:p>
            <w:pPr>
              <w:jc w:val="center"/>
              <w:rPr>
                <w:rFonts w:eastAsiaTheme="minorEastAsia"/>
                <w:color w:val="auto"/>
                <w:sz w:val="18"/>
                <w:szCs w:val="18"/>
              </w:rPr>
            </w:pPr>
            <w:r>
              <w:rPr>
                <w:rFonts w:eastAsiaTheme="minorEastAsia"/>
                <w:color w:val="auto"/>
                <w:sz w:val="18"/>
                <w:szCs w:val="18"/>
              </w:rPr>
              <w:t>34</w:t>
            </w:r>
          </w:p>
        </w:tc>
        <w:tc>
          <w:tcPr>
            <w:tcW w:w="957" w:type="dxa"/>
            <w:vAlign w:val="center"/>
          </w:tcPr>
          <w:p>
            <w:pPr>
              <w:jc w:val="center"/>
              <w:rPr>
                <w:rFonts w:eastAsiaTheme="minorEastAsia"/>
                <w:color w:val="auto"/>
                <w:sz w:val="18"/>
                <w:szCs w:val="18"/>
              </w:rPr>
            </w:pPr>
            <w:r>
              <w:rPr>
                <w:rFonts w:eastAsiaTheme="minorEastAsia"/>
                <w:color w:val="auto"/>
                <w:sz w:val="18"/>
                <w:szCs w:val="18"/>
              </w:rPr>
              <w:t>40</w:t>
            </w:r>
          </w:p>
        </w:tc>
        <w:tc>
          <w:tcPr>
            <w:tcW w:w="958" w:type="dxa"/>
            <w:vAlign w:val="center"/>
          </w:tcPr>
          <w:p>
            <w:pPr>
              <w:jc w:val="center"/>
              <w:rPr>
                <w:rFonts w:eastAsiaTheme="minorEastAsia"/>
                <w:color w:val="auto"/>
                <w:sz w:val="18"/>
                <w:szCs w:val="18"/>
              </w:rPr>
            </w:pPr>
            <w:r>
              <w:rPr>
                <w:rFonts w:eastAsiaTheme="minorEastAsia"/>
                <w:color w:val="auto"/>
                <w:sz w:val="18"/>
                <w:szCs w:val="18"/>
              </w:rPr>
              <w:t>25</w:t>
            </w:r>
          </w:p>
        </w:tc>
        <w:tc>
          <w:tcPr>
            <w:tcW w:w="957" w:type="dxa"/>
            <w:vAlign w:val="center"/>
          </w:tcPr>
          <w:p>
            <w:pPr>
              <w:jc w:val="center"/>
              <w:rPr>
                <w:rFonts w:eastAsiaTheme="minorEastAsia"/>
                <w:color w:val="auto"/>
                <w:sz w:val="18"/>
                <w:szCs w:val="18"/>
              </w:rPr>
            </w:pPr>
            <w:r>
              <w:rPr>
                <w:rFonts w:eastAsiaTheme="minorEastAsia"/>
                <w:color w:val="auto"/>
                <w:sz w:val="18"/>
                <w:szCs w:val="18"/>
              </w:rPr>
              <w:t>27</w:t>
            </w:r>
          </w:p>
        </w:tc>
        <w:tc>
          <w:tcPr>
            <w:tcW w:w="957" w:type="dxa"/>
            <w:vAlign w:val="center"/>
          </w:tcPr>
          <w:p>
            <w:pPr>
              <w:jc w:val="center"/>
              <w:rPr>
                <w:rFonts w:eastAsiaTheme="minorEastAsia"/>
                <w:color w:val="auto"/>
                <w:sz w:val="18"/>
                <w:szCs w:val="18"/>
              </w:rPr>
            </w:pPr>
            <w:r>
              <w:rPr>
                <w:rFonts w:eastAsiaTheme="minorEastAsia"/>
                <w:color w:val="auto"/>
                <w:sz w:val="18"/>
                <w:szCs w:val="18"/>
              </w:rPr>
              <w:t>24</w:t>
            </w:r>
          </w:p>
        </w:tc>
        <w:tc>
          <w:tcPr>
            <w:tcW w:w="991" w:type="dxa"/>
            <w:vAlign w:val="center"/>
          </w:tcPr>
          <w:p>
            <w:pPr>
              <w:jc w:val="center"/>
              <w:rPr>
                <w:rFonts w:eastAsiaTheme="minorEastAsia"/>
                <w:color w:val="auto"/>
                <w:sz w:val="18"/>
                <w:szCs w:val="18"/>
              </w:rPr>
            </w:pPr>
            <w:r>
              <w:rPr>
                <w:rFonts w:eastAsiaTheme="minorEastAsia"/>
                <w:color w:val="auto"/>
                <w:sz w:val="18"/>
                <w:szCs w:val="18"/>
              </w:rPr>
              <w:t>39.7</w:t>
            </w:r>
          </w:p>
        </w:tc>
        <w:tc>
          <w:tcPr>
            <w:tcW w:w="700" w:type="dxa"/>
            <w:vAlign w:val="center"/>
          </w:tcPr>
          <w:p>
            <w:pPr>
              <w:jc w:val="center"/>
              <w:rPr>
                <w:rFonts w:eastAsiaTheme="minorEastAsia"/>
                <w:color w:val="auto"/>
                <w:sz w:val="18"/>
                <w:szCs w:val="18"/>
              </w:rPr>
            </w:pPr>
            <w:r>
              <w:rPr>
                <w:rFonts w:eastAsiaTheme="minorEastAsia"/>
                <w:color w:val="auto"/>
                <w:sz w:val="18"/>
                <w:szCs w:val="18"/>
              </w:rPr>
              <w:t>36.1</w:t>
            </w:r>
          </w:p>
        </w:tc>
        <w:tc>
          <w:tcPr>
            <w:tcW w:w="709" w:type="dxa"/>
            <w:vAlign w:val="center"/>
          </w:tcPr>
          <w:p>
            <w:pPr>
              <w:jc w:val="center"/>
              <w:rPr>
                <w:rFonts w:eastAsiaTheme="minorEastAsia"/>
                <w:color w:val="auto"/>
                <w:sz w:val="18"/>
                <w:szCs w:val="18"/>
              </w:rPr>
            </w:pPr>
            <w:r>
              <w:rPr>
                <w:rFonts w:eastAsiaTheme="minorEastAsia"/>
                <w:color w:val="auto"/>
                <w:sz w:val="18"/>
                <w:szCs w:val="18"/>
              </w:rPr>
              <w:t>14.8</w:t>
            </w:r>
          </w:p>
        </w:tc>
        <w:tc>
          <w:tcPr>
            <w:tcW w:w="1134" w:type="dxa"/>
            <w:vAlign w:val="center"/>
          </w:tcPr>
          <w:p>
            <w:pPr>
              <w:jc w:val="center"/>
              <w:rPr>
                <w:rFonts w:eastAsiaTheme="minorEastAsia"/>
                <w:color w:val="auto"/>
                <w:sz w:val="18"/>
                <w:szCs w:val="18"/>
              </w:rPr>
            </w:pPr>
            <w:r>
              <w:rPr>
                <w:rFonts w:eastAsiaTheme="minorEastAsia"/>
                <w:color w:val="auto"/>
                <w:sz w:val="18"/>
                <w:szCs w:val="18"/>
              </w:rPr>
              <w:t>900</w:t>
            </w:r>
          </w:p>
        </w:tc>
        <w:tc>
          <w:tcPr>
            <w:tcW w:w="1316" w:type="dxa"/>
            <w:vAlign w:val="center"/>
          </w:tcPr>
          <w:p>
            <w:pPr>
              <w:jc w:val="center"/>
              <w:rPr>
                <w:rFonts w:eastAsiaTheme="minorEastAsia"/>
                <w:color w:val="auto"/>
                <w:sz w:val="18"/>
                <w:szCs w:val="18"/>
              </w:rPr>
            </w:pPr>
            <w:r>
              <w:rPr>
                <w:rFonts w:eastAsiaTheme="minorEastAsia"/>
                <w:color w:val="auto"/>
                <w:sz w:val="18"/>
                <w:szCs w:val="18"/>
              </w:rPr>
              <w:t>100、100</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9</w:t>
            </w:r>
          </w:p>
        </w:tc>
        <w:tc>
          <w:tcPr>
            <w:tcW w:w="850" w:type="dxa"/>
            <w:vAlign w:val="center"/>
          </w:tcPr>
          <w:p>
            <w:pPr>
              <w:jc w:val="center"/>
              <w:rPr>
                <w:rFonts w:eastAsiaTheme="minorEastAsia"/>
                <w:color w:val="auto"/>
                <w:sz w:val="18"/>
                <w:szCs w:val="18"/>
              </w:rPr>
            </w:pPr>
            <w:r>
              <w:rPr>
                <w:rFonts w:eastAsiaTheme="minorEastAsia"/>
                <w:color w:val="auto"/>
                <w:sz w:val="18"/>
                <w:szCs w:val="18"/>
              </w:rPr>
              <w:t>四氯化碳</w:t>
            </w:r>
          </w:p>
        </w:tc>
        <w:tc>
          <w:tcPr>
            <w:tcW w:w="992" w:type="dxa"/>
            <w:vAlign w:val="center"/>
          </w:tcPr>
          <w:p>
            <w:pPr>
              <w:jc w:val="center"/>
              <w:rPr>
                <w:rFonts w:eastAsiaTheme="minorEastAsia"/>
                <w:color w:val="auto"/>
                <w:sz w:val="18"/>
                <w:szCs w:val="18"/>
              </w:rPr>
            </w:pPr>
            <w:r>
              <w:rPr>
                <w:rFonts w:eastAsiaTheme="minorEastAsia"/>
                <w:color w:val="auto"/>
                <w:sz w:val="18"/>
                <w:szCs w:val="18"/>
              </w:rPr>
              <w:t>＜0.0013</w:t>
            </w:r>
          </w:p>
        </w:tc>
        <w:tc>
          <w:tcPr>
            <w:tcW w:w="992" w:type="dxa"/>
            <w:vAlign w:val="center"/>
          </w:tcPr>
          <w:p>
            <w:pPr>
              <w:jc w:val="center"/>
              <w:rPr>
                <w:rFonts w:eastAsiaTheme="minorEastAsia"/>
                <w:color w:val="auto"/>
                <w:sz w:val="18"/>
                <w:szCs w:val="18"/>
              </w:rPr>
            </w:pPr>
            <w:r>
              <w:rPr>
                <w:rFonts w:eastAsiaTheme="minorEastAsia"/>
                <w:color w:val="auto"/>
                <w:sz w:val="18"/>
                <w:szCs w:val="18"/>
              </w:rPr>
              <w:t>＜0.0013</w:t>
            </w:r>
          </w:p>
        </w:tc>
        <w:tc>
          <w:tcPr>
            <w:tcW w:w="958"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04" w:type="dxa"/>
            <w:vAlign w:val="center"/>
          </w:tcPr>
          <w:p>
            <w:pPr>
              <w:jc w:val="center"/>
              <w:rPr>
                <w:rFonts w:eastAsiaTheme="minorEastAsia"/>
                <w:color w:val="auto"/>
                <w:sz w:val="18"/>
                <w:szCs w:val="18"/>
              </w:rPr>
            </w:pPr>
            <w:r>
              <w:rPr>
                <w:rFonts w:eastAsiaTheme="minorEastAsia"/>
                <w:color w:val="auto"/>
                <w:sz w:val="18"/>
                <w:szCs w:val="18"/>
              </w:rPr>
              <w:t>＜0.0013</w:t>
            </w:r>
          </w:p>
        </w:tc>
        <w:tc>
          <w:tcPr>
            <w:tcW w:w="1072"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58" w:type="dxa"/>
            <w:vAlign w:val="center"/>
          </w:tcPr>
          <w:p>
            <w:pPr>
              <w:jc w:val="center"/>
              <w:rPr>
                <w:rFonts w:eastAsiaTheme="minorEastAsia"/>
                <w:color w:val="auto"/>
                <w:sz w:val="18"/>
                <w:szCs w:val="18"/>
              </w:rPr>
            </w:pPr>
            <w:r>
              <w:rPr>
                <w:rFonts w:eastAsiaTheme="minorEastAsia"/>
                <w:color w:val="auto"/>
                <w:sz w:val="18"/>
                <w:szCs w:val="18"/>
              </w:rPr>
              <w:t>＜0.0013</w:t>
            </w:r>
          </w:p>
        </w:tc>
        <w:tc>
          <w:tcPr>
            <w:tcW w:w="927"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58"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91" w:type="dxa"/>
            <w:vAlign w:val="center"/>
          </w:tcPr>
          <w:p>
            <w:pPr>
              <w:jc w:val="center"/>
              <w:rPr>
                <w:rFonts w:eastAsiaTheme="minorEastAsia"/>
                <w:color w:val="auto"/>
                <w:sz w:val="18"/>
                <w:szCs w:val="18"/>
              </w:rPr>
            </w:pPr>
            <w:r>
              <w:rPr>
                <w:rFonts w:eastAsiaTheme="minorEastAsia"/>
                <w:color w:val="auto"/>
                <w:sz w:val="18"/>
                <w:szCs w:val="18"/>
              </w:rPr>
              <w:t>＜0.0013</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2.8</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10</w:t>
            </w:r>
          </w:p>
        </w:tc>
        <w:tc>
          <w:tcPr>
            <w:tcW w:w="850" w:type="dxa"/>
            <w:vAlign w:val="center"/>
          </w:tcPr>
          <w:p>
            <w:pPr>
              <w:jc w:val="center"/>
              <w:rPr>
                <w:rFonts w:eastAsiaTheme="minorEastAsia"/>
                <w:color w:val="auto"/>
                <w:sz w:val="18"/>
                <w:szCs w:val="18"/>
              </w:rPr>
            </w:pPr>
            <w:r>
              <w:rPr>
                <w:rFonts w:eastAsiaTheme="minorEastAsia"/>
                <w:color w:val="auto"/>
                <w:sz w:val="18"/>
                <w:szCs w:val="18"/>
              </w:rPr>
              <w:t>氯仿</w:t>
            </w:r>
          </w:p>
        </w:tc>
        <w:tc>
          <w:tcPr>
            <w:tcW w:w="992" w:type="dxa"/>
            <w:vAlign w:val="center"/>
          </w:tcPr>
          <w:p>
            <w:pPr>
              <w:jc w:val="center"/>
              <w:rPr>
                <w:rFonts w:eastAsiaTheme="minorEastAsia"/>
                <w:color w:val="auto"/>
                <w:sz w:val="18"/>
                <w:szCs w:val="18"/>
              </w:rPr>
            </w:pPr>
            <w:r>
              <w:rPr>
                <w:rFonts w:eastAsiaTheme="minorEastAsia"/>
                <w:color w:val="auto"/>
                <w:sz w:val="18"/>
                <w:szCs w:val="18"/>
              </w:rPr>
              <w:t>＜0.0011</w:t>
            </w:r>
          </w:p>
        </w:tc>
        <w:tc>
          <w:tcPr>
            <w:tcW w:w="992" w:type="dxa"/>
            <w:vAlign w:val="center"/>
          </w:tcPr>
          <w:p>
            <w:pPr>
              <w:jc w:val="center"/>
              <w:rPr>
                <w:rFonts w:eastAsiaTheme="minorEastAsia"/>
                <w:color w:val="auto"/>
                <w:sz w:val="18"/>
                <w:szCs w:val="18"/>
              </w:rPr>
            </w:pPr>
            <w:r>
              <w:rPr>
                <w:rFonts w:eastAsiaTheme="minorEastAsia"/>
                <w:color w:val="auto"/>
                <w:sz w:val="18"/>
                <w:szCs w:val="18"/>
              </w:rPr>
              <w:t>＜0.0011</w:t>
            </w:r>
          </w:p>
        </w:tc>
        <w:tc>
          <w:tcPr>
            <w:tcW w:w="958" w:type="dxa"/>
            <w:vAlign w:val="center"/>
          </w:tcPr>
          <w:p>
            <w:pPr>
              <w:jc w:val="center"/>
              <w:rPr>
                <w:rFonts w:eastAsiaTheme="minorEastAsia"/>
                <w:color w:val="auto"/>
                <w:sz w:val="18"/>
                <w:szCs w:val="18"/>
              </w:rPr>
            </w:pPr>
            <w:r>
              <w:rPr>
                <w:rFonts w:eastAsiaTheme="minorEastAsia"/>
                <w:color w:val="auto"/>
                <w:sz w:val="18"/>
                <w:szCs w:val="18"/>
              </w:rPr>
              <w:t>＜0.0011</w:t>
            </w:r>
          </w:p>
        </w:tc>
        <w:tc>
          <w:tcPr>
            <w:tcW w:w="957" w:type="dxa"/>
            <w:vAlign w:val="center"/>
          </w:tcPr>
          <w:p>
            <w:pPr>
              <w:jc w:val="center"/>
              <w:rPr>
                <w:rFonts w:eastAsiaTheme="minorEastAsia"/>
                <w:color w:val="auto"/>
                <w:sz w:val="18"/>
                <w:szCs w:val="18"/>
              </w:rPr>
            </w:pPr>
            <w:r>
              <w:rPr>
                <w:rFonts w:eastAsiaTheme="minorEastAsia"/>
                <w:color w:val="auto"/>
                <w:sz w:val="18"/>
                <w:szCs w:val="18"/>
              </w:rPr>
              <w:t>＜0.0011</w:t>
            </w:r>
          </w:p>
        </w:tc>
        <w:tc>
          <w:tcPr>
            <w:tcW w:w="957" w:type="dxa"/>
            <w:vAlign w:val="center"/>
          </w:tcPr>
          <w:p>
            <w:pPr>
              <w:jc w:val="center"/>
              <w:rPr>
                <w:rFonts w:eastAsiaTheme="minorEastAsia"/>
                <w:color w:val="auto"/>
                <w:sz w:val="18"/>
                <w:szCs w:val="18"/>
              </w:rPr>
            </w:pPr>
            <w:r>
              <w:rPr>
                <w:rFonts w:eastAsiaTheme="minorEastAsia"/>
                <w:color w:val="auto"/>
                <w:sz w:val="18"/>
                <w:szCs w:val="18"/>
              </w:rPr>
              <w:t>＜0.0011</w:t>
            </w:r>
          </w:p>
        </w:tc>
        <w:tc>
          <w:tcPr>
            <w:tcW w:w="904" w:type="dxa"/>
            <w:vAlign w:val="center"/>
          </w:tcPr>
          <w:p>
            <w:pPr>
              <w:jc w:val="center"/>
              <w:rPr>
                <w:rFonts w:eastAsiaTheme="minorEastAsia"/>
                <w:color w:val="auto"/>
                <w:sz w:val="18"/>
                <w:szCs w:val="18"/>
              </w:rPr>
            </w:pPr>
            <w:r>
              <w:rPr>
                <w:rFonts w:eastAsiaTheme="minorEastAsia"/>
                <w:color w:val="auto"/>
                <w:sz w:val="18"/>
                <w:szCs w:val="18"/>
              </w:rPr>
              <w:t>＜0.0011</w:t>
            </w:r>
          </w:p>
        </w:tc>
        <w:tc>
          <w:tcPr>
            <w:tcW w:w="1072" w:type="dxa"/>
            <w:vAlign w:val="center"/>
          </w:tcPr>
          <w:p>
            <w:pPr>
              <w:jc w:val="center"/>
              <w:rPr>
                <w:rFonts w:eastAsiaTheme="minorEastAsia"/>
                <w:color w:val="auto"/>
                <w:sz w:val="18"/>
                <w:szCs w:val="18"/>
              </w:rPr>
            </w:pPr>
            <w:r>
              <w:rPr>
                <w:rFonts w:eastAsiaTheme="minorEastAsia"/>
                <w:color w:val="auto"/>
                <w:sz w:val="18"/>
                <w:szCs w:val="18"/>
              </w:rPr>
              <w:t>＜0.0011</w:t>
            </w:r>
          </w:p>
        </w:tc>
        <w:tc>
          <w:tcPr>
            <w:tcW w:w="957" w:type="dxa"/>
            <w:vAlign w:val="center"/>
          </w:tcPr>
          <w:p>
            <w:pPr>
              <w:jc w:val="center"/>
              <w:rPr>
                <w:rFonts w:eastAsiaTheme="minorEastAsia"/>
                <w:color w:val="auto"/>
                <w:sz w:val="18"/>
                <w:szCs w:val="18"/>
              </w:rPr>
            </w:pPr>
            <w:r>
              <w:rPr>
                <w:rFonts w:eastAsiaTheme="minorEastAsia"/>
                <w:color w:val="auto"/>
                <w:sz w:val="18"/>
                <w:szCs w:val="18"/>
              </w:rPr>
              <w:t>＜0.0011</w:t>
            </w:r>
          </w:p>
        </w:tc>
        <w:tc>
          <w:tcPr>
            <w:tcW w:w="957" w:type="dxa"/>
            <w:vAlign w:val="center"/>
          </w:tcPr>
          <w:p>
            <w:pPr>
              <w:jc w:val="center"/>
              <w:rPr>
                <w:rFonts w:eastAsiaTheme="minorEastAsia"/>
                <w:color w:val="auto"/>
                <w:sz w:val="18"/>
                <w:szCs w:val="18"/>
              </w:rPr>
            </w:pPr>
            <w:r>
              <w:rPr>
                <w:rFonts w:eastAsiaTheme="minorEastAsia"/>
                <w:color w:val="auto"/>
                <w:sz w:val="18"/>
                <w:szCs w:val="18"/>
              </w:rPr>
              <w:t>＜0.0011</w:t>
            </w:r>
          </w:p>
        </w:tc>
        <w:tc>
          <w:tcPr>
            <w:tcW w:w="958" w:type="dxa"/>
            <w:vAlign w:val="center"/>
          </w:tcPr>
          <w:p>
            <w:pPr>
              <w:jc w:val="center"/>
              <w:rPr>
                <w:rFonts w:eastAsiaTheme="minorEastAsia"/>
                <w:color w:val="auto"/>
                <w:sz w:val="18"/>
                <w:szCs w:val="18"/>
              </w:rPr>
            </w:pPr>
            <w:r>
              <w:rPr>
                <w:rFonts w:eastAsiaTheme="minorEastAsia"/>
                <w:color w:val="auto"/>
                <w:sz w:val="18"/>
                <w:szCs w:val="18"/>
              </w:rPr>
              <w:t>＜0.0011</w:t>
            </w:r>
          </w:p>
        </w:tc>
        <w:tc>
          <w:tcPr>
            <w:tcW w:w="927" w:type="dxa"/>
            <w:vAlign w:val="center"/>
          </w:tcPr>
          <w:p>
            <w:pPr>
              <w:jc w:val="center"/>
              <w:rPr>
                <w:rFonts w:eastAsiaTheme="minorEastAsia"/>
                <w:color w:val="auto"/>
                <w:sz w:val="18"/>
                <w:szCs w:val="18"/>
              </w:rPr>
            </w:pPr>
            <w:r>
              <w:rPr>
                <w:rFonts w:eastAsiaTheme="minorEastAsia"/>
                <w:color w:val="auto"/>
                <w:sz w:val="18"/>
                <w:szCs w:val="18"/>
              </w:rPr>
              <w:t>＜0.0011</w:t>
            </w:r>
          </w:p>
        </w:tc>
        <w:tc>
          <w:tcPr>
            <w:tcW w:w="957" w:type="dxa"/>
            <w:vAlign w:val="center"/>
          </w:tcPr>
          <w:p>
            <w:pPr>
              <w:jc w:val="center"/>
              <w:rPr>
                <w:rFonts w:eastAsiaTheme="minorEastAsia"/>
                <w:color w:val="auto"/>
                <w:sz w:val="18"/>
                <w:szCs w:val="18"/>
              </w:rPr>
            </w:pPr>
            <w:r>
              <w:rPr>
                <w:rFonts w:eastAsiaTheme="minorEastAsia"/>
                <w:color w:val="auto"/>
                <w:sz w:val="18"/>
                <w:szCs w:val="18"/>
              </w:rPr>
              <w:t>＜0.0011</w:t>
            </w:r>
          </w:p>
        </w:tc>
        <w:tc>
          <w:tcPr>
            <w:tcW w:w="958" w:type="dxa"/>
            <w:vAlign w:val="center"/>
          </w:tcPr>
          <w:p>
            <w:pPr>
              <w:jc w:val="center"/>
              <w:rPr>
                <w:rFonts w:eastAsiaTheme="minorEastAsia"/>
                <w:color w:val="auto"/>
                <w:sz w:val="18"/>
                <w:szCs w:val="18"/>
              </w:rPr>
            </w:pPr>
            <w:r>
              <w:rPr>
                <w:rFonts w:eastAsiaTheme="minorEastAsia"/>
                <w:color w:val="auto"/>
                <w:sz w:val="18"/>
                <w:szCs w:val="18"/>
              </w:rPr>
              <w:t>＜0.0011</w:t>
            </w:r>
          </w:p>
        </w:tc>
        <w:tc>
          <w:tcPr>
            <w:tcW w:w="957" w:type="dxa"/>
            <w:vAlign w:val="center"/>
          </w:tcPr>
          <w:p>
            <w:pPr>
              <w:jc w:val="center"/>
              <w:rPr>
                <w:rFonts w:eastAsiaTheme="minorEastAsia"/>
                <w:color w:val="auto"/>
                <w:sz w:val="18"/>
                <w:szCs w:val="18"/>
              </w:rPr>
            </w:pPr>
            <w:r>
              <w:rPr>
                <w:rFonts w:eastAsiaTheme="minorEastAsia"/>
                <w:color w:val="auto"/>
                <w:sz w:val="18"/>
                <w:szCs w:val="18"/>
              </w:rPr>
              <w:t>＜0.0011</w:t>
            </w:r>
          </w:p>
        </w:tc>
        <w:tc>
          <w:tcPr>
            <w:tcW w:w="957" w:type="dxa"/>
            <w:vAlign w:val="center"/>
          </w:tcPr>
          <w:p>
            <w:pPr>
              <w:jc w:val="center"/>
              <w:rPr>
                <w:rFonts w:eastAsiaTheme="minorEastAsia"/>
                <w:color w:val="auto"/>
                <w:sz w:val="18"/>
                <w:szCs w:val="18"/>
              </w:rPr>
            </w:pPr>
            <w:r>
              <w:rPr>
                <w:rFonts w:eastAsiaTheme="minorEastAsia"/>
                <w:color w:val="auto"/>
                <w:sz w:val="18"/>
                <w:szCs w:val="18"/>
              </w:rPr>
              <w:t>＜0.0011</w:t>
            </w:r>
          </w:p>
        </w:tc>
        <w:tc>
          <w:tcPr>
            <w:tcW w:w="991" w:type="dxa"/>
            <w:vAlign w:val="center"/>
          </w:tcPr>
          <w:p>
            <w:pPr>
              <w:jc w:val="center"/>
              <w:rPr>
                <w:rFonts w:eastAsiaTheme="minorEastAsia"/>
                <w:color w:val="auto"/>
                <w:sz w:val="18"/>
                <w:szCs w:val="18"/>
              </w:rPr>
            </w:pPr>
            <w:r>
              <w:rPr>
                <w:rFonts w:eastAsiaTheme="minorEastAsia"/>
                <w:color w:val="auto"/>
                <w:sz w:val="18"/>
                <w:szCs w:val="18"/>
              </w:rPr>
              <w:t>＜0.0011</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0.9</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11</w:t>
            </w:r>
          </w:p>
        </w:tc>
        <w:tc>
          <w:tcPr>
            <w:tcW w:w="850" w:type="dxa"/>
            <w:vAlign w:val="center"/>
          </w:tcPr>
          <w:p>
            <w:pPr>
              <w:jc w:val="center"/>
              <w:rPr>
                <w:rFonts w:eastAsiaTheme="minorEastAsia"/>
                <w:color w:val="auto"/>
                <w:sz w:val="18"/>
                <w:szCs w:val="18"/>
              </w:rPr>
            </w:pPr>
            <w:r>
              <w:rPr>
                <w:rFonts w:eastAsiaTheme="minorEastAsia"/>
                <w:color w:val="auto"/>
                <w:sz w:val="18"/>
                <w:szCs w:val="18"/>
              </w:rPr>
              <w:t>氯甲烷</w:t>
            </w:r>
          </w:p>
        </w:tc>
        <w:tc>
          <w:tcPr>
            <w:tcW w:w="992" w:type="dxa"/>
            <w:vAlign w:val="center"/>
          </w:tcPr>
          <w:p>
            <w:pPr>
              <w:jc w:val="center"/>
              <w:rPr>
                <w:rFonts w:eastAsiaTheme="minorEastAsia"/>
                <w:color w:val="auto"/>
                <w:sz w:val="18"/>
                <w:szCs w:val="18"/>
              </w:rPr>
            </w:pPr>
            <w:r>
              <w:rPr>
                <w:rFonts w:eastAsiaTheme="minorEastAsia"/>
                <w:color w:val="auto"/>
                <w:sz w:val="18"/>
                <w:szCs w:val="18"/>
              </w:rPr>
              <w:t>＜0.001</w:t>
            </w:r>
          </w:p>
        </w:tc>
        <w:tc>
          <w:tcPr>
            <w:tcW w:w="992" w:type="dxa"/>
            <w:vAlign w:val="center"/>
          </w:tcPr>
          <w:p>
            <w:pPr>
              <w:jc w:val="center"/>
              <w:rPr>
                <w:rFonts w:eastAsiaTheme="minorEastAsia"/>
                <w:color w:val="auto"/>
                <w:sz w:val="18"/>
                <w:szCs w:val="18"/>
              </w:rPr>
            </w:pPr>
            <w:r>
              <w:rPr>
                <w:rFonts w:eastAsiaTheme="minorEastAsia"/>
                <w:color w:val="auto"/>
                <w:sz w:val="18"/>
                <w:szCs w:val="18"/>
              </w:rPr>
              <w:t>＜0.001</w:t>
            </w:r>
          </w:p>
        </w:tc>
        <w:tc>
          <w:tcPr>
            <w:tcW w:w="958" w:type="dxa"/>
            <w:vAlign w:val="center"/>
          </w:tcPr>
          <w:p>
            <w:pPr>
              <w:jc w:val="center"/>
              <w:rPr>
                <w:rFonts w:eastAsiaTheme="minorEastAsia"/>
                <w:color w:val="auto"/>
                <w:sz w:val="18"/>
                <w:szCs w:val="18"/>
              </w:rPr>
            </w:pPr>
            <w:r>
              <w:rPr>
                <w:rFonts w:eastAsiaTheme="minorEastAsia"/>
                <w:color w:val="auto"/>
                <w:sz w:val="18"/>
                <w:szCs w:val="18"/>
              </w:rPr>
              <w:t>＜0.001</w:t>
            </w:r>
          </w:p>
        </w:tc>
        <w:tc>
          <w:tcPr>
            <w:tcW w:w="957" w:type="dxa"/>
            <w:vAlign w:val="center"/>
          </w:tcPr>
          <w:p>
            <w:pPr>
              <w:jc w:val="center"/>
              <w:rPr>
                <w:rFonts w:eastAsiaTheme="minorEastAsia"/>
                <w:color w:val="auto"/>
                <w:sz w:val="18"/>
                <w:szCs w:val="18"/>
              </w:rPr>
            </w:pPr>
            <w:r>
              <w:rPr>
                <w:rFonts w:eastAsiaTheme="minorEastAsia"/>
                <w:color w:val="auto"/>
                <w:sz w:val="18"/>
                <w:szCs w:val="18"/>
              </w:rPr>
              <w:t>＜0.001</w:t>
            </w:r>
          </w:p>
        </w:tc>
        <w:tc>
          <w:tcPr>
            <w:tcW w:w="957" w:type="dxa"/>
            <w:vAlign w:val="center"/>
          </w:tcPr>
          <w:p>
            <w:pPr>
              <w:jc w:val="center"/>
              <w:rPr>
                <w:rFonts w:eastAsiaTheme="minorEastAsia"/>
                <w:color w:val="auto"/>
                <w:sz w:val="18"/>
                <w:szCs w:val="18"/>
              </w:rPr>
            </w:pPr>
            <w:r>
              <w:rPr>
                <w:rFonts w:eastAsiaTheme="minorEastAsia"/>
                <w:color w:val="auto"/>
                <w:sz w:val="18"/>
                <w:szCs w:val="18"/>
              </w:rPr>
              <w:t>＜0.001</w:t>
            </w:r>
          </w:p>
        </w:tc>
        <w:tc>
          <w:tcPr>
            <w:tcW w:w="904" w:type="dxa"/>
            <w:vAlign w:val="center"/>
          </w:tcPr>
          <w:p>
            <w:pPr>
              <w:jc w:val="center"/>
              <w:rPr>
                <w:rFonts w:eastAsiaTheme="minorEastAsia"/>
                <w:color w:val="auto"/>
                <w:sz w:val="18"/>
                <w:szCs w:val="18"/>
              </w:rPr>
            </w:pPr>
            <w:r>
              <w:rPr>
                <w:rFonts w:eastAsiaTheme="minorEastAsia"/>
                <w:color w:val="auto"/>
                <w:sz w:val="18"/>
                <w:szCs w:val="18"/>
              </w:rPr>
              <w:t>＜0.001</w:t>
            </w:r>
          </w:p>
        </w:tc>
        <w:tc>
          <w:tcPr>
            <w:tcW w:w="1072" w:type="dxa"/>
            <w:vAlign w:val="center"/>
          </w:tcPr>
          <w:p>
            <w:pPr>
              <w:jc w:val="center"/>
              <w:rPr>
                <w:rFonts w:eastAsiaTheme="minorEastAsia"/>
                <w:color w:val="auto"/>
                <w:sz w:val="18"/>
                <w:szCs w:val="18"/>
              </w:rPr>
            </w:pPr>
            <w:r>
              <w:rPr>
                <w:rFonts w:eastAsiaTheme="minorEastAsia"/>
                <w:color w:val="auto"/>
                <w:sz w:val="18"/>
                <w:szCs w:val="18"/>
              </w:rPr>
              <w:t>＜0.001</w:t>
            </w:r>
          </w:p>
        </w:tc>
        <w:tc>
          <w:tcPr>
            <w:tcW w:w="957" w:type="dxa"/>
            <w:vAlign w:val="center"/>
          </w:tcPr>
          <w:p>
            <w:pPr>
              <w:jc w:val="center"/>
              <w:rPr>
                <w:rFonts w:eastAsiaTheme="minorEastAsia"/>
                <w:color w:val="auto"/>
                <w:sz w:val="18"/>
                <w:szCs w:val="18"/>
              </w:rPr>
            </w:pPr>
            <w:r>
              <w:rPr>
                <w:rFonts w:eastAsiaTheme="minorEastAsia"/>
                <w:color w:val="auto"/>
                <w:sz w:val="18"/>
                <w:szCs w:val="18"/>
              </w:rPr>
              <w:t>＜0.001</w:t>
            </w:r>
          </w:p>
        </w:tc>
        <w:tc>
          <w:tcPr>
            <w:tcW w:w="957" w:type="dxa"/>
            <w:vAlign w:val="center"/>
          </w:tcPr>
          <w:p>
            <w:pPr>
              <w:jc w:val="center"/>
              <w:rPr>
                <w:rFonts w:eastAsiaTheme="minorEastAsia"/>
                <w:color w:val="auto"/>
                <w:sz w:val="18"/>
                <w:szCs w:val="18"/>
              </w:rPr>
            </w:pPr>
            <w:r>
              <w:rPr>
                <w:rFonts w:eastAsiaTheme="minorEastAsia"/>
                <w:color w:val="auto"/>
                <w:sz w:val="18"/>
                <w:szCs w:val="18"/>
              </w:rPr>
              <w:t>＜0.001</w:t>
            </w:r>
          </w:p>
        </w:tc>
        <w:tc>
          <w:tcPr>
            <w:tcW w:w="958" w:type="dxa"/>
            <w:vAlign w:val="center"/>
          </w:tcPr>
          <w:p>
            <w:pPr>
              <w:jc w:val="center"/>
              <w:rPr>
                <w:rFonts w:eastAsiaTheme="minorEastAsia"/>
                <w:color w:val="auto"/>
                <w:sz w:val="18"/>
                <w:szCs w:val="18"/>
              </w:rPr>
            </w:pPr>
            <w:r>
              <w:rPr>
                <w:rFonts w:eastAsiaTheme="minorEastAsia"/>
                <w:color w:val="auto"/>
                <w:sz w:val="18"/>
                <w:szCs w:val="18"/>
              </w:rPr>
              <w:t>＜0.001</w:t>
            </w:r>
          </w:p>
        </w:tc>
        <w:tc>
          <w:tcPr>
            <w:tcW w:w="927" w:type="dxa"/>
            <w:vAlign w:val="center"/>
          </w:tcPr>
          <w:p>
            <w:pPr>
              <w:jc w:val="center"/>
              <w:rPr>
                <w:rFonts w:eastAsiaTheme="minorEastAsia"/>
                <w:color w:val="auto"/>
                <w:sz w:val="18"/>
                <w:szCs w:val="18"/>
              </w:rPr>
            </w:pPr>
            <w:r>
              <w:rPr>
                <w:rFonts w:eastAsiaTheme="minorEastAsia"/>
                <w:color w:val="auto"/>
                <w:sz w:val="18"/>
                <w:szCs w:val="18"/>
              </w:rPr>
              <w:t>＜0.001</w:t>
            </w:r>
          </w:p>
        </w:tc>
        <w:tc>
          <w:tcPr>
            <w:tcW w:w="957" w:type="dxa"/>
            <w:vAlign w:val="center"/>
          </w:tcPr>
          <w:p>
            <w:pPr>
              <w:jc w:val="center"/>
              <w:rPr>
                <w:rFonts w:eastAsiaTheme="minorEastAsia"/>
                <w:color w:val="auto"/>
                <w:sz w:val="18"/>
                <w:szCs w:val="18"/>
              </w:rPr>
            </w:pPr>
            <w:r>
              <w:rPr>
                <w:rFonts w:eastAsiaTheme="minorEastAsia"/>
                <w:color w:val="auto"/>
                <w:sz w:val="18"/>
                <w:szCs w:val="18"/>
              </w:rPr>
              <w:t>＜0.001</w:t>
            </w:r>
          </w:p>
        </w:tc>
        <w:tc>
          <w:tcPr>
            <w:tcW w:w="958" w:type="dxa"/>
            <w:vAlign w:val="center"/>
          </w:tcPr>
          <w:p>
            <w:pPr>
              <w:jc w:val="center"/>
              <w:rPr>
                <w:rFonts w:eastAsiaTheme="minorEastAsia"/>
                <w:color w:val="auto"/>
                <w:sz w:val="18"/>
                <w:szCs w:val="18"/>
              </w:rPr>
            </w:pPr>
            <w:r>
              <w:rPr>
                <w:rFonts w:eastAsiaTheme="minorEastAsia"/>
                <w:color w:val="auto"/>
                <w:sz w:val="18"/>
                <w:szCs w:val="18"/>
              </w:rPr>
              <w:t>＜0.001</w:t>
            </w:r>
          </w:p>
        </w:tc>
        <w:tc>
          <w:tcPr>
            <w:tcW w:w="957" w:type="dxa"/>
            <w:vAlign w:val="center"/>
          </w:tcPr>
          <w:p>
            <w:pPr>
              <w:jc w:val="center"/>
              <w:rPr>
                <w:rFonts w:eastAsiaTheme="minorEastAsia"/>
                <w:color w:val="auto"/>
                <w:sz w:val="18"/>
                <w:szCs w:val="18"/>
              </w:rPr>
            </w:pPr>
            <w:r>
              <w:rPr>
                <w:rFonts w:eastAsiaTheme="minorEastAsia"/>
                <w:color w:val="auto"/>
                <w:sz w:val="18"/>
                <w:szCs w:val="18"/>
              </w:rPr>
              <w:t>＜0.001</w:t>
            </w:r>
          </w:p>
        </w:tc>
        <w:tc>
          <w:tcPr>
            <w:tcW w:w="957" w:type="dxa"/>
            <w:vAlign w:val="center"/>
          </w:tcPr>
          <w:p>
            <w:pPr>
              <w:jc w:val="center"/>
              <w:rPr>
                <w:rFonts w:eastAsiaTheme="minorEastAsia"/>
                <w:color w:val="auto"/>
                <w:sz w:val="18"/>
                <w:szCs w:val="18"/>
              </w:rPr>
            </w:pPr>
            <w:r>
              <w:rPr>
                <w:rFonts w:eastAsiaTheme="minorEastAsia"/>
                <w:color w:val="auto"/>
                <w:sz w:val="18"/>
                <w:szCs w:val="18"/>
              </w:rPr>
              <w:t>＜0.001</w:t>
            </w:r>
          </w:p>
        </w:tc>
        <w:tc>
          <w:tcPr>
            <w:tcW w:w="991" w:type="dxa"/>
            <w:vAlign w:val="center"/>
          </w:tcPr>
          <w:p>
            <w:pPr>
              <w:jc w:val="center"/>
              <w:rPr>
                <w:rFonts w:eastAsiaTheme="minorEastAsia"/>
                <w:color w:val="auto"/>
                <w:sz w:val="18"/>
                <w:szCs w:val="18"/>
              </w:rPr>
            </w:pPr>
            <w:r>
              <w:rPr>
                <w:rFonts w:eastAsiaTheme="minorEastAsia"/>
                <w:color w:val="auto"/>
                <w:sz w:val="18"/>
                <w:szCs w:val="18"/>
              </w:rPr>
              <w:t>0.0073</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37</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12</w:t>
            </w:r>
          </w:p>
        </w:tc>
        <w:tc>
          <w:tcPr>
            <w:tcW w:w="850" w:type="dxa"/>
            <w:vAlign w:val="center"/>
          </w:tcPr>
          <w:p>
            <w:pPr>
              <w:jc w:val="center"/>
              <w:rPr>
                <w:rFonts w:eastAsiaTheme="minorEastAsia"/>
                <w:color w:val="auto"/>
                <w:sz w:val="18"/>
                <w:szCs w:val="18"/>
              </w:rPr>
            </w:pPr>
            <w:r>
              <w:rPr>
                <w:rFonts w:eastAsiaTheme="minorEastAsia"/>
                <w:color w:val="auto"/>
                <w:sz w:val="18"/>
                <w:szCs w:val="18"/>
              </w:rPr>
              <w:t>1,1-二氯乙烷</w:t>
            </w:r>
          </w:p>
        </w:tc>
        <w:tc>
          <w:tcPr>
            <w:tcW w:w="992" w:type="dxa"/>
            <w:vAlign w:val="center"/>
          </w:tcPr>
          <w:p>
            <w:pPr>
              <w:jc w:val="center"/>
              <w:rPr>
                <w:rFonts w:eastAsiaTheme="minorEastAsia"/>
                <w:color w:val="auto"/>
                <w:sz w:val="18"/>
                <w:szCs w:val="18"/>
              </w:rPr>
            </w:pPr>
            <w:r>
              <w:rPr>
                <w:rFonts w:eastAsiaTheme="minorEastAsia"/>
                <w:color w:val="auto"/>
                <w:sz w:val="18"/>
                <w:szCs w:val="18"/>
              </w:rPr>
              <w:t>＜0.0012</w:t>
            </w:r>
          </w:p>
        </w:tc>
        <w:tc>
          <w:tcPr>
            <w:tcW w:w="992"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04" w:type="dxa"/>
            <w:vAlign w:val="center"/>
          </w:tcPr>
          <w:p>
            <w:pPr>
              <w:jc w:val="center"/>
              <w:rPr>
                <w:rFonts w:eastAsiaTheme="minorEastAsia"/>
                <w:color w:val="auto"/>
                <w:sz w:val="18"/>
                <w:szCs w:val="18"/>
              </w:rPr>
            </w:pPr>
            <w:r>
              <w:rPr>
                <w:rFonts w:eastAsiaTheme="minorEastAsia"/>
                <w:color w:val="auto"/>
                <w:sz w:val="18"/>
                <w:szCs w:val="18"/>
              </w:rPr>
              <w:t>＜0.0012</w:t>
            </w:r>
          </w:p>
        </w:tc>
        <w:tc>
          <w:tcPr>
            <w:tcW w:w="1072"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2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91" w:type="dxa"/>
            <w:vAlign w:val="center"/>
          </w:tcPr>
          <w:p>
            <w:pPr>
              <w:jc w:val="center"/>
              <w:rPr>
                <w:rFonts w:eastAsiaTheme="minorEastAsia"/>
                <w:color w:val="auto"/>
                <w:sz w:val="18"/>
                <w:szCs w:val="18"/>
              </w:rPr>
            </w:pPr>
            <w:r>
              <w:rPr>
                <w:rFonts w:eastAsiaTheme="minorEastAsia"/>
                <w:color w:val="auto"/>
                <w:sz w:val="18"/>
                <w:szCs w:val="18"/>
              </w:rPr>
              <w:t>＜0.0012</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9</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13</w:t>
            </w:r>
          </w:p>
        </w:tc>
        <w:tc>
          <w:tcPr>
            <w:tcW w:w="850" w:type="dxa"/>
            <w:vAlign w:val="center"/>
          </w:tcPr>
          <w:p>
            <w:pPr>
              <w:jc w:val="center"/>
              <w:rPr>
                <w:rFonts w:eastAsiaTheme="minorEastAsia"/>
                <w:color w:val="auto"/>
                <w:sz w:val="18"/>
                <w:szCs w:val="18"/>
              </w:rPr>
            </w:pPr>
            <w:r>
              <w:rPr>
                <w:rFonts w:eastAsiaTheme="minorEastAsia"/>
                <w:color w:val="auto"/>
                <w:sz w:val="18"/>
                <w:szCs w:val="18"/>
              </w:rPr>
              <w:t>1,2-二氯乙烷</w:t>
            </w:r>
          </w:p>
        </w:tc>
        <w:tc>
          <w:tcPr>
            <w:tcW w:w="992" w:type="dxa"/>
            <w:vAlign w:val="center"/>
          </w:tcPr>
          <w:p>
            <w:pPr>
              <w:jc w:val="center"/>
              <w:rPr>
                <w:rFonts w:eastAsiaTheme="minorEastAsia"/>
                <w:color w:val="auto"/>
                <w:sz w:val="18"/>
                <w:szCs w:val="18"/>
              </w:rPr>
            </w:pPr>
            <w:r>
              <w:rPr>
                <w:rFonts w:eastAsiaTheme="minorEastAsia"/>
                <w:color w:val="auto"/>
                <w:sz w:val="18"/>
                <w:szCs w:val="18"/>
              </w:rPr>
              <w:t>＜0.0013</w:t>
            </w:r>
          </w:p>
        </w:tc>
        <w:tc>
          <w:tcPr>
            <w:tcW w:w="992" w:type="dxa"/>
            <w:vAlign w:val="center"/>
          </w:tcPr>
          <w:p>
            <w:pPr>
              <w:jc w:val="center"/>
              <w:rPr>
                <w:rFonts w:eastAsiaTheme="minorEastAsia"/>
                <w:color w:val="auto"/>
                <w:sz w:val="18"/>
                <w:szCs w:val="18"/>
              </w:rPr>
            </w:pPr>
            <w:r>
              <w:rPr>
                <w:rFonts w:eastAsiaTheme="minorEastAsia"/>
                <w:color w:val="auto"/>
                <w:sz w:val="18"/>
                <w:szCs w:val="18"/>
              </w:rPr>
              <w:t>＜0.0013</w:t>
            </w:r>
          </w:p>
        </w:tc>
        <w:tc>
          <w:tcPr>
            <w:tcW w:w="958"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04" w:type="dxa"/>
            <w:vAlign w:val="center"/>
          </w:tcPr>
          <w:p>
            <w:pPr>
              <w:jc w:val="center"/>
              <w:rPr>
                <w:rFonts w:eastAsiaTheme="minorEastAsia"/>
                <w:color w:val="auto"/>
                <w:sz w:val="18"/>
                <w:szCs w:val="18"/>
              </w:rPr>
            </w:pPr>
            <w:r>
              <w:rPr>
                <w:rFonts w:eastAsiaTheme="minorEastAsia"/>
                <w:color w:val="auto"/>
                <w:sz w:val="18"/>
                <w:szCs w:val="18"/>
              </w:rPr>
              <w:t>＜0.0013</w:t>
            </w:r>
          </w:p>
        </w:tc>
        <w:tc>
          <w:tcPr>
            <w:tcW w:w="1072"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58" w:type="dxa"/>
            <w:vAlign w:val="center"/>
          </w:tcPr>
          <w:p>
            <w:pPr>
              <w:jc w:val="center"/>
              <w:rPr>
                <w:rFonts w:eastAsiaTheme="minorEastAsia"/>
                <w:color w:val="auto"/>
                <w:sz w:val="18"/>
                <w:szCs w:val="18"/>
              </w:rPr>
            </w:pPr>
            <w:r>
              <w:rPr>
                <w:rFonts w:eastAsiaTheme="minorEastAsia"/>
                <w:color w:val="auto"/>
                <w:sz w:val="18"/>
                <w:szCs w:val="18"/>
              </w:rPr>
              <w:t>＜0.0013</w:t>
            </w:r>
          </w:p>
        </w:tc>
        <w:tc>
          <w:tcPr>
            <w:tcW w:w="927"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58"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91" w:type="dxa"/>
            <w:vAlign w:val="center"/>
          </w:tcPr>
          <w:p>
            <w:pPr>
              <w:jc w:val="center"/>
              <w:rPr>
                <w:rFonts w:eastAsiaTheme="minorEastAsia"/>
                <w:color w:val="auto"/>
                <w:sz w:val="18"/>
                <w:szCs w:val="18"/>
              </w:rPr>
            </w:pPr>
            <w:r>
              <w:rPr>
                <w:rFonts w:eastAsiaTheme="minorEastAsia"/>
                <w:color w:val="auto"/>
                <w:sz w:val="18"/>
                <w:szCs w:val="18"/>
              </w:rPr>
              <w:t>＜0.0013</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5</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14</w:t>
            </w:r>
          </w:p>
        </w:tc>
        <w:tc>
          <w:tcPr>
            <w:tcW w:w="850" w:type="dxa"/>
            <w:vAlign w:val="center"/>
          </w:tcPr>
          <w:p>
            <w:pPr>
              <w:jc w:val="center"/>
              <w:rPr>
                <w:rFonts w:eastAsiaTheme="minorEastAsia"/>
                <w:color w:val="auto"/>
                <w:sz w:val="18"/>
                <w:szCs w:val="18"/>
              </w:rPr>
            </w:pPr>
            <w:r>
              <w:rPr>
                <w:rFonts w:eastAsiaTheme="minorEastAsia"/>
                <w:color w:val="auto"/>
                <w:sz w:val="18"/>
                <w:szCs w:val="18"/>
              </w:rPr>
              <w:t>1,1-二氯乙烯</w:t>
            </w:r>
          </w:p>
        </w:tc>
        <w:tc>
          <w:tcPr>
            <w:tcW w:w="992" w:type="dxa"/>
            <w:vAlign w:val="center"/>
          </w:tcPr>
          <w:p>
            <w:pPr>
              <w:jc w:val="center"/>
              <w:rPr>
                <w:rFonts w:eastAsiaTheme="minorEastAsia"/>
                <w:color w:val="auto"/>
                <w:sz w:val="18"/>
                <w:szCs w:val="18"/>
              </w:rPr>
            </w:pPr>
            <w:r>
              <w:rPr>
                <w:rFonts w:eastAsiaTheme="minorEastAsia"/>
                <w:color w:val="auto"/>
                <w:sz w:val="18"/>
                <w:szCs w:val="18"/>
              </w:rPr>
              <w:t>＜0.001</w:t>
            </w:r>
          </w:p>
        </w:tc>
        <w:tc>
          <w:tcPr>
            <w:tcW w:w="992" w:type="dxa"/>
            <w:vAlign w:val="center"/>
          </w:tcPr>
          <w:p>
            <w:pPr>
              <w:jc w:val="center"/>
              <w:rPr>
                <w:rFonts w:eastAsiaTheme="minorEastAsia"/>
                <w:color w:val="auto"/>
                <w:sz w:val="18"/>
                <w:szCs w:val="18"/>
              </w:rPr>
            </w:pPr>
            <w:r>
              <w:rPr>
                <w:rFonts w:eastAsiaTheme="minorEastAsia"/>
                <w:color w:val="auto"/>
                <w:sz w:val="18"/>
                <w:szCs w:val="18"/>
              </w:rPr>
              <w:t>＜0.001</w:t>
            </w:r>
          </w:p>
        </w:tc>
        <w:tc>
          <w:tcPr>
            <w:tcW w:w="958" w:type="dxa"/>
            <w:vAlign w:val="center"/>
          </w:tcPr>
          <w:p>
            <w:pPr>
              <w:jc w:val="center"/>
              <w:rPr>
                <w:rFonts w:eastAsiaTheme="minorEastAsia"/>
                <w:color w:val="auto"/>
                <w:sz w:val="18"/>
                <w:szCs w:val="18"/>
              </w:rPr>
            </w:pPr>
            <w:r>
              <w:rPr>
                <w:rFonts w:eastAsiaTheme="minorEastAsia"/>
                <w:color w:val="auto"/>
                <w:sz w:val="18"/>
                <w:szCs w:val="18"/>
              </w:rPr>
              <w:t>＜0.001</w:t>
            </w:r>
          </w:p>
        </w:tc>
        <w:tc>
          <w:tcPr>
            <w:tcW w:w="957" w:type="dxa"/>
            <w:vAlign w:val="center"/>
          </w:tcPr>
          <w:p>
            <w:pPr>
              <w:jc w:val="center"/>
              <w:rPr>
                <w:rFonts w:eastAsiaTheme="minorEastAsia"/>
                <w:color w:val="auto"/>
                <w:sz w:val="18"/>
                <w:szCs w:val="18"/>
              </w:rPr>
            </w:pPr>
            <w:r>
              <w:rPr>
                <w:rFonts w:eastAsiaTheme="minorEastAsia"/>
                <w:color w:val="auto"/>
                <w:sz w:val="18"/>
                <w:szCs w:val="18"/>
              </w:rPr>
              <w:t>＜0.001</w:t>
            </w:r>
          </w:p>
        </w:tc>
        <w:tc>
          <w:tcPr>
            <w:tcW w:w="957" w:type="dxa"/>
            <w:vAlign w:val="center"/>
          </w:tcPr>
          <w:p>
            <w:pPr>
              <w:jc w:val="center"/>
              <w:rPr>
                <w:rFonts w:eastAsiaTheme="minorEastAsia"/>
                <w:color w:val="auto"/>
                <w:sz w:val="18"/>
                <w:szCs w:val="18"/>
              </w:rPr>
            </w:pPr>
            <w:r>
              <w:rPr>
                <w:rFonts w:eastAsiaTheme="minorEastAsia"/>
                <w:color w:val="auto"/>
                <w:sz w:val="18"/>
                <w:szCs w:val="18"/>
              </w:rPr>
              <w:t>＜0.001</w:t>
            </w:r>
          </w:p>
        </w:tc>
        <w:tc>
          <w:tcPr>
            <w:tcW w:w="904" w:type="dxa"/>
            <w:vAlign w:val="center"/>
          </w:tcPr>
          <w:p>
            <w:pPr>
              <w:jc w:val="center"/>
              <w:rPr>
                <w:rFonts w:eastAsiaTheme="minorEastAsia"/>
                <w:color w:val="auto"/>
                <w:sz w:val="18"/>
                <w:szCs w:val="18"/>
              </w:rPr>
            </w:pPr>
            <w:r>
              <w:rPr>
                <w:rFonts w:eastAsiaTheme="minorEastAsia"/>
                <w:color w:val="auto"/>
                <w:sz w:val="18"/>
                <w:szCs w:val="18"/>
              </w:rPr>
              <w:t>＜0.001</w:t>
            </w:r>
          </w:p>
        </w:tc>
        <w:tc>
          <w:tcPr>
            <w:tcW w:w="1072" w:type="dxa"/>
            <w:vAlign w:val="center"/>
          </w:tcPr>
          <w:p>
            <w:pPr>
              <w:jc w:val="center"/>
              <w:rPr>
                <w:rFonts w:eastAsiaTheme="minorEastAsia"/>
                <w:color w:val="auto"/>
                <w:sz w:val="18"/>
                <w:szCs w:val="18"/>
              </w:rPr>
            </w:pPr>
            <w:r>
              <w:rPr>
                <w:rFonts w:eastAsiaTheme="minorEastAsia"/>
                <w:color w:val="auto"/>
                <w:sz w:val="18"/>
                <w:szCs w:val="18"/>
              </w:rPr>
              <w:t>＜0.001</w:t>
            </w:r>
          </w:p>
        </w:tc>
        <w:tc>
          <w:tcPr>
            <w:tcW w:w="957" w:type="dxa"/>
            <w:vAlign w:val="center"/>
          </w:tcPr>
          <w:p>
            <w:pPr>
              <w:jc w:val="center"/>
              <w:rPr>
                <w:rFonts w:eastAsiaTheme="minorEastAsia"/>
                <w:color w:val="auto"/>
                <w:sz w:val="18"/>
                <w:szCs w:val="18"/>
              </w:rPr>
            </w:pPr>
            <w:r>
              <w:rPr>
                <w:rFonts w:eastAsiaTheme="minorEastAsia"/>
                <w:color w:val="auto"/>
                <w:sz w:val="18"/>
                <w:szCs w:val="18"/>
              </w:rPr>
              <w:t>＜0.001</w:t>
            </w:r>
          </w:p>
        </w:tc>
        <w:tc>
          <w:tcPr>
            <w:tcW w:w="957" w:type="dxa"/>
            <w:vAlign w:val="center"/>
          </w:tcPr>
          <w:p>
            <w:pPr>
              <w:jc w:val="center"/>
              <w:rPr>
                <w:rFonts w:eastAsiaTheme="minorEastAsia"/>
                <w:color w:val="auto"/>
                <w:sz w:val="18"/>
                <w:szCs w:val="18"/>
              </w:rPr>
            </w:pPr>
            <w:r>
              <w:rPr>
                <w:rFonts w:eastAsiaTheme="minorEastAsia"/>
                <w:color w:val="auto"/>
                <w:sz w:val="18"/>
                <w:szCs w:val="18"/>
              </w:rPr>
              <w:t>＜0.001</w:t>
            </w:r>
          </w:p>
        </w:tc>
        <w:tc>
          <w:tcPr>
            <w:tcW w:w="958" w:type="dxa"/>
            <w:vAlign w:val="center"/>
          </w:tcPr>
          <w:p>
            <w:pPr>
              <w:jc w:val="center"/>
              <w:rPr>
                <w:rFonts w:eastAsiaTheme="minorEastAsia"/>
                <w:color w:val="auto"/>
                <w:sz w:val="18"/>
                <w:szCs w:val="18"/>
              </w:rPr>
            </w:pPr>
            <w:r>
              <w:rPr>
                <w:rFonts w:eastAsiaTheme="minorEastAsia"/>
                <w:color w:val="auto"/>
                <w:sz w:val="18"/>
                <w:szCs w:val="18"/>
              </w:rPr>
              <w:t>＜0.001</w:t>
            </w:r>
          </w:p>
        </w:tc>
        <w:tc>
          <w:tcPr>
            <w:tcW w:w="927" w:type="dxa"/>
            <w:vAlign w:val="center"/>
          </w:tcPr>
          <w:p>
            <w:pPr>
              <w:jc w:val="center"/>
              <w:rPr>
                <w:rFonts w:eastAsiaTheme="minorEastAsia"/>
                <w:color w:val="auto"/>
                <w:sz w:val="18"/>
                <w:szCs w:val="18"/>
              </w:rPr>
            </w:pPr>
            <w:r>
              <w:rPr>
                <w:rFonts w:eastAsiaTheme="minorEastAsia"/>
                <w:color w:val="auto"/>
                <w:sz w:val="18"/>
                <w:szCs w:val="18"/>
              </w:rPr>
              <w:t>＜0.001</w:t>
            </w:r>
          </w:p>
        </w:tc>
        <w:tc>
          <w:tcPr>
            <w:tcW w:w="957" w:type="dxa"/>
            <w:vAlign w:val="center"/>
          </w:tcPr>
          <w:p>
            <w:pPr>
              <w:jc w:val="center"/>
              <w:rPr>
                <w:rFonts w:eastAsiaTheme="minorEastAsia"/>
                <w:color w:val="auto"/>
                <w:sz w:val="18"/>
                <w:szCs w:val="18"/>
              </w:rPr>
            </w:pPr>
            <w:r>
              <w:rPr>
                <w:rFonts w:eastAsiaTheme="minorEastAsia"/>
                <w:color w:val="auto"/>
                <w:sz w:val="18"/>
                <w:szCs w:val="18"/>
              </w:rPr>
              <w:t>＜0.001</w:t>
            </w:r>
          </w:p>
        </w:tc>
        <w:tc>
          <w:tcPr>
            <w:tcW w:w="958" w:type="dxa"/>
            <w:vAlign w:val="center"/>
          </w:tcPr>
          <w:p>
            <w:pPr>
              <w:jc w:val="center"/>
              <w:rPr>
                <w:rFonts w:eastAsiaTheme="minorEastAsia"/>
                <w:color w:val="auto"/>
                <w:sz w:val="18"/>
                <w:szCs w:val="18"/>
              </w:rPr>
            </w:pPr>
            <w:r>
              <w:rPr>
                <w:rFonts w:eastAsiaTheme="minorEastAsia"/>
                <w:color w:val="auto"/>
                <w:sz w:val="18"/>
                <w:szCs w:val="18"/>
              </w:rPr>
              <w:t>＜0.001</w:t>
            </w:r>
          </w:p>
        </w:tc>
        <w:tc>
          <w:tcPr>
            <w:tcW w:w="957" w:type="dxa"/>
            <w:vAlign w:val="center"/>
          </w:tcPr>
          <w:p>
            <w:pPr>
              <w:jc w:val="center"/>
              <w:rPr>
                <w:rFonts w:eastAsiaTheme="minorEastAsia"/>
                <w:color w:val="auto"/>
                <w:sz w:val="18"/>
                <w:szCs w:val="18"/>
              </w:rPr>
            </w:pPr>
            <w:r>
              <w:rPr>
                <w:rFonts w:eastAsiaTheme="minorEastAsia"/>
                <w:color w:val="auto"/>
                <w:sz w:val="18"/>
                <w:szCs w:val="18"/>
              </w:rPr>
              <w:t>＜0.001</w:t>
            </w:r>
          </w:p>
        </w:tc>
        <w:tc>
          <w:tcPr>
            <w:tcW w:w="957" w:type="dxa"/>
            <w:vAlign w:val="center"/>
          </w:tcPr>
          <w:p>
            <w:pPr>
              <w:jc w:val="center"/>
              <w:rPr>
                <w:rFonts w:eastAsiaTheme="minorEastAsia"/>
                <w:color w:val="auto"/>
                <w:sz w:val="18"/>
                <w:szCs w:val="18"/>
              </w:rPr>
            </w:pPr>
            <w:r>
              <w:rPr>
                <w:rFonts w:eastAsiaTheme="minorEastAsia"/>
                <w:color w:val="auto"/>
                <w:sz w:val="18"/>
                <w:szCs w:val="18"/>
              </w:rPr>
              <w:t>＜0.001</w:t>
            </w:r>
          </w:p>
        </w:tc>
        <w:tc>
          <w:tcPr>
            <w:tcW w:w="991" w:type="dxa"/>
            <w:vAlign w:val="center"/>
          </w:tcPr>
          <w:p>
            <w:pPr>
              <w:jc w:val="center"/>
              <w:rPr>
                <w:rFonts w:eastAsiaTheme="minorEastAsia"/>
                <w:color w:val="auto"/>
                <w:sz w:val="18"/>
                <w:szCs w:val="18"/>
              </w:rPr>
            </w:pPr>
            <w:r>
              <w:rPr>
                <w:rFonts w:eastAsiaTheme="minorEastAsia"/>
                <w:color w:val="auto"/>
                <w:sz w:val="18"/>
                <w:szCs w:val="18"/>
              </w:rPr>
              <w:t>＜0.001</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66</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15</w:t>
            </w:r>
          </w:p>
        </w:tc>
        <w:tc>
          <w:tcPr>
            <w:tcW w:w="850" w:type="dxa"/>
            <w:vAlign w:val="center"/>
          </w:tcPr>
          <w:p>
            <w:pPr>
              <w:jc w:val="center"/>
              <w:rPr>
                <w:rFonts w:eastAsiaTheme="minorEastAsia"/>
                <w:color w:val="auto"/>
                <w:sz w:val="18"/>
                <w:szCs w:val="18"/>
              </w:rPr>
            </w:pPr>
            <w:r>
              <w:rPr>
                <w:rFonts w:eastAsiaTheme="minorEastAsia"/>
                <w:color w:val="auto"/>
                <w:sz w:val="18"/>
                <w:szCs w:val="18"/>
              </w:rPr>
              <w:t>顺-1,2-二氯乙烯</w:t>
            </w:r>
          </w:p>
        </w:tc>
        <w:tc>
          <w:tcPr>
            <w:tcW w:w="992" w:type="dxa"/>
            <w:vAlign w:val="center"/>
          </w:tcPr>
          <w:p>
            <w:pPr>
              <w:jc w:val="center"/>
              <w:rPr>
                <w:rFonts w:eastAsiaTheme="minorEastAsia"/>
                <w:color w:val="auto"/>
                <w:sz w:val="18"/>
                <w:szCs w:val="18"/>
              </w:rPr>
            </w:pPr>
            <w:r>
              <w:rPr>
                <w:rFonts w:eastAsiaTheme="minorEastAsia"/>
                <w:color w:val="auto"/>
                <w:sz w:val="18"/>
                <w:szCs w:val="18"/>
              </w:rPr>
              <w:t>＜0.0013</w:t>
            </w:r>
          </w:p>
        </w:tc>
        <w:tc>
          <w:tcPr>
            <w:tcW w:w="992" w:type="dxa"/>
            <w:vAlign w:val="center"/>
          </w:tcPr>
          <w:p>
            <w:pPr>
              <w:jc w:val="center"/>
              <w:rPr>
                <w:rFonts w:eastAsiaTheme="minorEastAsia"/>
                <w:color w:val="auto"/>
                <w:sz w:val="18"/>
                <w:szCs w:val="18"/>
              </w:rPr>
            </w:pPr>
            <w:r>
              <w:rPr>
                <w:rFonts w:eastAsiaTheme="minorEastAsia"/>
                <w:color w:val="auto"/>
                <w:sz w:val="18"/>
                <w:szCs w:val="18"/>
              </w:rPr>
              <w:t>＜0.0013</w:t>
            </w:r>
          </w:p>
        </w:tc>
        <w:tc>
          <w:tcPr>
            <w:tcW w:w="958"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04" w:type="dxa"/>
            <w:vAlign w:val="center"/>
          </w:tcPr>
          <w:p>
            <w:pPr>
              <w:jc w:val="center"/>
              <w:rPr>
                <w:rFonts w:eastAsiaTheme="minorEastAsia"/>
                <w:color w:val="auto"/>
                <w:sz w:val="18"/>
                <w:szCs w:val="18"/>
              </w:rPr>
            </w:pPr>
            <w:r>
              <w:rPr>
                <w:rFonts w:eastAsiaTheme="minorEastAsia"/>
                <w:color w:val="auto"/>
                <w:sz w:val="18"/>
                <w:szCs w:val="18"/>
              </w:rPr>
              <w:t>＜0.0013</w:t>
            </w:r>
          </w:p>
        </w:tc>
        <w:tc>
          <w:tcPr>
            <w:tcW w:w="1072"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58" w:type="dxa"/>
            <w:vAlign w:val="center"/>
          </w:tcPr>
          <w:p>
            <w:pPr>
              <w:jc w:val="center"/>
              <w:rPr>
                <w:rFonts w:eastAsiaTheme="minorEastAsia"/>
                <w:color w:val="auto"/>
                <w:sz w:val="18"/>
                <w:szCs w:val="18"/>
              </w:rPr>
            </w:pPr>
            <w:r>
              <w:rPr>
                <w:rFonts w:eastAsiaTheme="minorEastAsia"/>
                <w:color w:val="auto"/>
                <w:sz w:val="18"/>
                <w:szCs w:val="18"/>
              </w:rPr>
              <w:t>＜0.0013</w:t>
            </w:r>
          </w:p>
        </w:tc>
        <w:tc>
          <w:tcPr>
            <w:tcW w:w="927"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58"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91" w:type="dxa"/>
            <w:vAlign w:val="center"/>
          </w:tcPr>
          <w:p>
            <w:pPr>
              <w:jc w:val="center"/>
              <w:rPr>
                <w:rFonts w:eastAsiaTheme="minorEastAsia"/>
                <w:color w:val="auto"/>
                <w:sz w:val="18"/>
                <w:szCs w:val="18"/>
              </w:rPr>
            </w:pPr>
            <w:r>
              <w:rPr>
                <w:rFonts w:eastAsiaTheme="minorEastAsia"/>
                <w:color w:val="auto"/>
                <w:sz w:val="18"/>
                <w:szCs w:val="18"/>
              </w:rPr>
              <w:t>＜0.0013</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596</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16</w:t>
            </w:r>
          </w:p>
        </w:tc>
        <w:tc>
          <w:tcPr>
            <w:tcW w:w="850" w:type="dxa"/>
            <w:vAlign w:val="center"/>
          </w:tcPr>
          <w:p>
            <w:pPr>
              <w:jc w:val="center"/>
              <w:rPr>
                <w:rFonts w:eastAsiaTheme="minorEastAsia"/>
                <w:color w:val="auto"/>
                <w:sz w:val="18"/>
                <w:szCs w:val="18"/>
              </w:rPr>
            </w:pPr>
            <w:r>
              <w:rPr>
                <w:rFonts w:eastAsiaTheme="minorEastAsia"/>
                <w:color w:val="auto"/>
                <w:sz w:val="18"/>
                <w:szCs w:val="18"/>
              </w:rPr>
              <w:t>反-1,2-二氯乙烯</w:t>
            </w:r>
          </w:p>
        </w:tc>
        <w:tc>
          <w:tcPr>
            <w:tcW w:w="992" w:type="dxa"/>
            <w:vAlign w:val="center"/>
          </w:tcPr>
          <w:p>
            <w:pPr>
              <w:jc w:val="center"/>
              <w:rPr>
                <w:rFonts w:eastAsiaTheme="minorEastAsia"/>
                <w:color w:val="auto"/>
                <w:sz w:val="18"/>
                <w:szCs w:val="18"/>
              </w:rPr>
            </w:pPr>
            <w:r>
              <w:rPr>
                <w:rFonts w:eastAsiaTheme="minorEastAsia"/>
                <w:color w:val="auto"/>
                <w:sz w:val="18"/>
                <w:szCs w:val="18"/>
              </w:rPr>
              <w:t>＜0.0014</w:t>
            </w:r>
          </w:p>
        </w:tc>
        <w:tc>
          <w:tcPr>
            <w:tcW w:w="992" w:type="dxa"/>
            <w:vAlign w:val="center"/>
          </w:tcPr>
          <w:p>
            <w:pPr>
              <w:jc w:val="center"/>
              <w:rPr>
                <w:rFonts w:eastAsiaTheme="minorEastAsia"/>
                <w:color w:val="auto"/>
                <w:sz w:val="18"/>
                <w:szCs w:val="18"/>
              </w:rPr>
            </w:pPr>
            <w:r>
              <w:rPr>
                <w:rFonts w:eastAsiaTheme="minorEastAsia"/>
                <w:color w:val="auto"/>
                <w:sz w:val="18"/>
                <w:szCs w:val="18"/>
              </w:rPr>
              <w:t>＜0.0014</w:t>
            </w:r>
          </w:p>
        </w:tc>
        <w:tc>
          <w:tcPr>
            <w:tcW w:w="958" w:type="dxa"/>
            <w:vAlign w:val="center"/>
          </w:tcPr>
          <w:p>
            <w:pPr>
              <w:jc w:val="center"/>
              <w:rPr>
                <w:rFonts w:eastAsiaTheme="minorEastAsia"/>
                <w:color w:val="auto"/>
                <w:sz w:val="18"/>
                <w:szCs w:val="18"/>
              </w:rPr>
            </w:pPr>
            <w:r>
              <w:rPr>
                <w:rFonts w:eastAsiaTheme="minorEastAsia"/>
                <w:color w:val="auto"/>
                <w:sz w:val="18"/>
                <w:szCs w:val="18"/>
              </w:rPr>
              <w:t>＜0.0014</w:t>
            </w:r>
          </w:p>
        </w:tc>
        <w:tc>
          <w:tcPr>
            <w:tcW w:w="957" w:type="dxa"/>
            <w:vAlign w:val="center"/>
          </w:tcPr>
          <w:p>
            <w:pPr>
              <w:jc w:val="center"/>
              <w:rPr>
                <w:rFonts w:eastAsiaTheme="minorEastAsia"/>
                <w:color w:val="auto"/>
                <w:sz w:val="18"/>
                <w:szCs w:val="18"/>
              </w:rPr>
            </w:pPr>
            <w:r>
              <w:rPr>
                <w:rFonts w:eastAsiaTheme="minorEastAsia"/>
                <w:color w:val="auto"/>
                <w:sz w:val="18"/>
                <w:szCs w:val="18"/>
              </w:rPr>
              <w:t>＜0.0014</w:t>
            </w:r>
          </w:p>
        </w:tc>
        <w:tc>
          <w:tcPr>
            <w:tcW w:w="957" w:type="dxa"/>
            <w:vAlign w:val="center"/>
          </w:tcPr>
          <w:p>
            <w:pPr>
              <w:jc w:val="center"/>
              <w:rPr>
                <w:rFonts w:eastAsiaTheme="minorEastAsia"/>
                <w:color w:val="auto"/>
                <w:sz w:val="18"/>
                <w:szCs w:val="18"/>
              </w:rPr>
            </w:pPr>
            <w:r>
              <w:rPr>
                <w:rFonts w:eastAsiaTheme="minorEastAsia"/>
                <w:color w:val="auto"/>
                <w:sz w:val="18"/>
                <w:szCs w:val="18"/>
              </w:rPr>
              <w:t>＜0.0014</w:t>
            </w:r>
          </w:p>
        </w:tc>
        <w:tc>
          <w:tcPr>
            <w:tcW w:w="904" w:type="dxa"/>
            <w:vAlign w:val="center"/>
          </w:tcPr>
          <w:p>
            <w:pPr>
              <w:jc w:val="center"/>
              <w:rPr>
                <w:rFonts w:eastAsiaTheme="minorEastAsia"/>
                <w:color w:val="auto"/>
                <w:sz w:val="18"/>
                <w:szCs w:val="18"/>
              </w:rPr>
            </w:pPr>
            <w:r>
              <w:rPr>
                <w:rFonts w:eastAsiaTheme="minorEastAsia"/>
                <w:color w:val="auto"/>
                <w:sz w:val="18"/>
                <w:szCs w:val="18"/>
              </w:rPr>
              <w:t>＜0.0014</w:t>
            </w:r>
          </w:p>
        </w:tc>
        <w:tc>
          <w:tcPr>
            <w:tcW w:w="1072" w:type="dxa"/>
            <w:vAlign w:val="center"/>
          </w:tcPr>
          <w:p>
            <w:pPr>
              <w:jc w:val="center"/>
              <w:rPr>
                <w:rFonts w:eastAsiaTheme="minorEastAsia"/>
                <w:color w:val="auto"/>
                <w:sz w:val="18"/>
                <w:szCs w:val="18"/>
              </w:rPr>
            </w:pPr>
            <w:r>
              <w:rPr>
                <w:rFonts w:eastAsiaTheme="minorEastAsia"/>
                <w:color w:val="auto"/>
                <w:sz w:val="18"/>
                <w:szCs w:val="18"/>
              </w:rPr>
              <w:t>＜0.0014</w:t>
            </w:r>
          </w:p>
        </w:tc>
        <w:tc>
          <w:tcPr>
            <w:tcW w:w="957" w:type="dxa"/>
            <w:vAlign w:val="center"/>
          </w:tcPr>
          <w:p>
            <w:pPr>
              <w:jc w:val="center"/>
              <w:rPr>
                <w:rFonts w:eastAsiaTheme="minorEastAsia"/>
                <w:color w:val="auto"/>
                <w:sz w:val="18"/>
                <w:szCs w:val="18"/>
              </w:rPr>
            </w:pPr>
            <w:r>
              <w:rPr>
                <w:rFonts w:eastAsiaTheme="minorEastAsia"/>
                <w:color w:val="auto"/>
                <w:sz w:val="18"/>
                <w:szCs w:val="18"/>
              </w:rPr>
              <w:t>＜0.0014</w:t>
            </w:r>
          </w:p>
        </w:tc>
        <w:tc>
          <w:tcPr>
            <w:tcW w:w="957" w:type="dxa"/>
            <w:vAlign w:val="center"/>
          </w:tcPr>
          <w:p>
            <w:pPr>
              <w:jc w:val="center"/>
              <w:rPr>
                <w:rFonts w:eastAsiaTheme="minorEastAsia"/>
                <w:color w:val="auto"/>
                <w:sz w:val="18"/>
                <w:szCs w:val="18"/>
              </w:rPr>
            </w:pPr>
            <w:r>
              <w:rPr>
                <w:rFonts w:eastAsiaTheme="minorEastAsia"/>
                <w:color w:val="auto"/>
                <w:sz w:val="18"/>
                <w:szCs w:val="18"/>
              </w:rPr>
              <w:t>＜0.0014</w:t>
            </w:r>
          </w:p>
        </w:tc>
        <w:tc>
          <w:tcPr>
            <w:tcW w:w="958" w:type="dxa"/>
            <w:vAlign w:val="center"/>
          </w:tcPr>
          <w:p>
            <w:pPr>
              <w:jc w:val="center"/>
              <w:rPr>
                <w:rFonts w:eastAsiaTheme="minorEastAsia"/>
                <w:color w:val="auto"/>
                <w:sz w:val="18"/>
                <w:szCs w:val="18"/>
              </w:rPr>
            </w:pPr>
            <w:r>
              <w:rPr>
                <w:rFonts w:eastAsiaTheme="minorEastAsia"/>
                <w:color w:val="auto"/>
                <w:sz w:val="18"/>
                <w:szCs w:val="18"/>
              </w:rPr>
              <w:t>＜0.0014</w:t>
            </w:r>
          </w:p>
        </w:tc>
        <w:tc>
          <w:tcPr>
            <w:tcW w:w="927" w:type="dxa"/>
            <w:vAlign w:val="center"/>
          </w:tcPr>
          <w:p>
            <w:pPr>
              <w:jc w:val="center"/>
              <w:rPr>
                <w:rFonts w:eastAsiaTheme="minorEastAsia"/>
                <w:color w:val="auto"/>
                <w:sz w:val="18"/>
                <w:szCs w:val="18"/>
              </w:rPr>
            </w:pPr>
            <w:r>
              <w:rPr>
                <w:rFonts w:eastAsiaTheme="minorEastAsia"/>
                <w:color w:val="auto"/>
                <w:sz w:val="18"/>
                <w:szCs w:val="18"/>
              </w:rPr>
              <w:t>＜0.0014</w:t>
            </w:r>
          </w:p>
        </w:tc>
        <w:tc>
          <w:tcPr>
            <w:tcW w:w="957" w:type="dxa"/>
            <w:vAlign w:val="center"/>
          </w:tcPr>
          <w:p>
            <w:pPr>
              <w:jc w:val="center"/>
              <w:rPr>
                <w:rFonts w:eastAsiaTheme="minorEastAsia"/>
                <w:color w:val="auto"/>
                <w:sz w:val="18"/>
                <w:szCs w:val="18"/>
              </w:rPr>
            </w:pPr>
            <w:r>
              <w:rPr>
                <w:rFonts w:eastAsiaTheme="minorEastAsia"/>
                <w:color w:val="auto"/>
                <w:sz w:val="18"/>
                <w:szCs w:val="18"/>
              </w:rPr>
              <w:t>＜0.0014</w:t>
            </w:r>
          </w:p>
        </w:tc>
        <w:tc>
          <w:tcPr>
            <w:tcW w:w="958" w:type="dxa"/>
            <w:vAlign w:val="center"/>
          </w:tcPr>
          <w:p>
            <w:pPr>
              <w:jc w:val="center"/>
              <w:rPr>
                <w:rFonts w:eastAsiaTheme="minorEastAsia"/>
                <w:color w:val="auto"/>
                <w:sz w:val="18"/>
                <w:szCs w:val="18"/>
              </w:rPr>
            </w:pPr>
            <w:r>
              <w:rPr>
                <w:rFonts w:eastAsiaTheme="minorEastAsia"/>
                <w:color w:val="auto"/>
                <w:sz w:val="18"/>
                <w:szCs w:val="18"/>
              </w:rPr>
              <w:t>＜0.0014</w:t>
            </w:r>
          </w:p>
        </w:tc>
        <w:tc>
          <w:tcPr>
            <w:tcW w:w="957" w:type="dxa"/>
            <w:vAlign w:val="center"/>
          </w:tcPr>
          <w:p>
            <w:pPr>
              <w:jc w:val="center"/>
              <w:rPr>
                <w:rFonts w:eastAsiaTheme="minorEastAsia"/>
                <w:color w:val="auto"/>
                <w:sz w:val="18"/>
                <w:szCs w:val="18"/>
              </w:rPr>
            </w:pPr>
            <w:r>
              <w:rPr>
                <w:rFonts w:eastAsiaTheme="minorEastAsia"/>
                <w:color w:val="auto"/>
                <w:sz w:val="18"/>
                <w:szCs w:val="18"/>
              </w:rPr>
              <w:t>＜0.0014</w:t>
            </w:r>
          </w:p>
        </w:tc>
        <w:tc>
          <w:tcPr>
            <w:tcW w:w="957" w:type="dxa"/>
            <w:vAlign w:val="center"/>
          </w:tcPr>
          <w:p>
            <w:pPr>
              <w:jc w:val="center"/>
              <w:rPr>
                <w:rFonts w:eastAsiaTheme="minorEastAsia"/>
                <w:color w:val="auto"/>
                <w:sz w:val="18"/>
                <w:szCs w:val="18"/>
              </w:rPr>
            </w:pPr>
            <w:r>
              <w:rPr>
                <w:rFonts w:eastAsiaTheme="minorEastAsia"/>
                <w:color w:val="auto"/>
                <w:sz w:val="18"/>
                <w:szCs w:val="18"/>
              </w:rPr>
              <w:t>＜0.0014</w:t>
            </w:r>
          </w:p>
        </w:tc>
        <w:tc>
          <w:tcPr>
            <w:tcW w:w="991" w:type="dxa"/>
            <w:vAlign w:val="center"/>
          </w:tcPr>
          <w:p>
            <w:pPr>
              <w:jc w:val="center"/>
              <w:rPr>
                <w:rFonts w:eastAsiaTheme="minorEastAsia"/>
                <w:color w:val="auto"/>
                <w:sz w:val="18"/>
                <w:szCs w:val="18"/>
              </w:rPr>
            </w:pPr>
            <w:r>
              <w:rPr>
                <w:rFonts w:eastAsiaTheme="minorEastAsia"/>
                <w:color w:val="auto"/>
                <w:sz w:val="18"/>
                <w:szCs w:val="18"/>
              </w:rPr>
              <w:t>＜0.0014</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54</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17</w:t>
            </w:r>
          </w:p>
        </w:tc>
        <w:tc>
          <w:tcPr>
            <w:tcW w:w="850" w:type="dxa"/>
            <w:vAlign w:val="center"/>
          </w:tcPr>
          <w:p>
            <w:pPr>
              <w:jc w:val="center"/>
              <w:rPr>
                <w:rFonts w:eastAsiaTheme="minorEastAsia"/>
                <w:color w:val="auto"/>
                <w:sz w:val="18"/>
                <w:szCs w:val="18"/>
              </w:rPr>
            </w:pPr>
            <w:r>
              <w:rPr>
                <w:rFonts w:eastAsiaTheme="minorEastAsia"/>
                <w:color w:val="auto"/>
                <w:sz w:val="18"/>
                <w:szCs w:val="18"/>
              </w:rPr>
              <w:t>二氯甲烷</w:t>
            </w:r>
          </w:p>
        </w:tc>
        <w:tc>
          <w:tcPr>
            <w:tcW w:w="992" w:type="dxa"/>
            <w:vAlign w:val="center"/>
          </w:tcPr>
          <w:p>
            <w:pPr>
              <w:jc w:val="center"/>
              <w:rPr>
                <w:rFonts w:eastAsiaTheme="minorEastAsia"/>
                <w:color w:val="auto"/>
                <w:sz w:val="18"/>
                <w:szCs w:val="18"/>
              </w:rPr>
            </w:pPr>
            <w:r>
              <w:rPr>
                <w:rFonts w:eastAsiaTheme="minorEastAsia"/>
                <w:color w:val="auto"/>
                <w:sz w:val="18"/>
                <w:szCs w:val="18"/>
              </w:rPr>
              <w:t>＜0.0015</w:t>
            </w:r>
          </w:p>
        </w:tc>
        <w:tc>
          <w:tcPr>
            <w:tcW w:w="992" w:type="dxa"/>
            <w:vAlign w:val="center"/>
          </w:tcPr>
          <w:p>
            <w:pPr>
              <w:jc w:val="center"/>
              <w:rPr>
                <w:rFonts w:eastAsiaTheme="minorEastAsia"/>
                <w:color w:val="auto"/>
                <w:sz w:val="18"/>
                <w:szCs w:val="18"/>
              </w:rPr>
            </w:pPr>
            <w:r>
              <w:rPr>
                <w:rFonts w:eastAsiaTheme="minorEastAsia"/>
                <w:color w:val="auto"/>
                <w:sz w:val="18"/>
                <w:szCs w:val="18"/>
              </w:rPr>
              <w:t>＜0.0015</w:t>
            </w:r>
          </w:p>
        </w:tc>
        <w:tc>
          <w:tcPr>
            <w:tcW w:w="958" w:type="dxa"/>
            <w:vAlign w:val="center"/>
          </w:tcPr>
          <w:p>
            <w:pPr>
              <w:jc w:val="center"/>
              <w:rPr>
                <w:rFonts w:eastAsiaTheme="minorEastAsia"/>
                <w:color w:val="auto"/>
                <w:sz w:val="18"/>
                <w:szCs w:val="18"/>
              </w:rPr>
            </w:pPr>
            <w:r>
              <w:rPr>
                <w:rFonts w:eastAsiaTheme="minorEastAsia"/>
                <w:color w:val="auto"/>
                <w:sz w:val="18"/>
                <w:szCs w:val="18"/>
              </w:rPr>
              <w:t>＜0.0015</w:t>
            </w:r>
          </w:p>
        </w:tc>
        <w:tc>
          <w:tcPr>
            <w:tcW w:w="957" w:type="dxa"/>
            <w:vAlign w:val="center"/>
          </w:tcPr>
          <w:p>
            <w:pPr>
              <w:jc w:val="center"/>
              <w:rPr>
                <w:rFonts w:eastAsiaTheme="minorEastAsia"/>
                <w:color w:val="auto"/>
                <w:sz w:val="18"/>
                <w:szCs w:val="18"/>
              </w:rPr>
            </w:pPr>
            <w:r>
              <w:rPr>
                <w:rFonts w:eastAsiaTheme="minorEastAsia"/>
                <w:color w:val="auto"/>
                <w:sz w:val="18"/>
                <w:szCs w:val="18"/>
              </w:rPr>
              <w:t>＜0.0015</w:t>
            </w:r>
          </w:p>
        </w:tc>
        <w:tc>
          <w:tcPr>
            <w:tcW w:w="957" w:type="dxa"/>
            <w:vAlign w:val="center"/>
          </w:tcPr>
          <w:p>
            <w:pPr>
              <w:jc w:val="center"/>
              <w:rPr>
                <w:rFonts w:eastAsiaTheme="minorEastAsia"/>
                <w:color w:val="auto"/>
                <w:sz w:val="18"/>
                <w:szCs w:val="18"/>
              </w:rPr>
            </w:pPr>
            <w:r>
              <w:rPr>
                <w:rFonts w:eastAsiaTheme="minorEastAsia"/>
                <w:color w:val="auto"/>
                <w:sz w:val="18"/>
                <w:szCs w:val="18"/>
              </w:rPr>
              <w:t>＜0.0015</w:t>
            </w:r>
          </w:p>
        </w:tc>
        <w:tc>
          <w:tcPr>
            <w:tcW w:w="904" w:type="dxa"/>
            <w:vAlign w:val="center"/>
          </w:tcPr>
          <w:p>
            <w:pPr>
              <w:jc w:val="center"/>
              <w:rPr>
                <w:rFonts w:eastAsiaTheme="minorEastAsia"/>
                <w:color w:val="auto"/>
                <w:sz w:val="18"/>
                <w:szCs w:val="18"/>
              </w:rPr>
            </w:pPr>
            <w:r>
              <w:rPr>
                <w:rFonts w:eastAsiaTheme="minorEastAsia"/>
                <w:color w:val="auto"/>
                <w:sz w:val="18"/>
                <w:szCs w:val="18"/>
              </w:rPr>
              <w:t>＜0.0015</w:t>
            </w:r>
          </w:p>
        </w:tc>
        <w:tc>
          <w:tcPr>
            <w:tcW w:w="1072" w:type="dxa"/>
            <w:vAlign w:val="center"/>
          </w:tcPr>
          <w:p>
            <w:pPr>
              <w:jc w:val="center"/>
              <w:rPr>
                <w:rFonts w:eastAsiaTheme="minorEastAsia"/>
                <w:color w:val="auto"/>
                <w:sz w:val="18"/>
                <w:szCs w:val="18"/>
              </w:rPr>
            </w:pPr>
            <w:r>
              <w:rPr>
                <w:rFonts w:eastAsiaTheme="minorEastAsia"/>
                <w:color w:val="auto"/>
                <w:sz w:val="18"/>
                <w:szCs w:val="18"/>
              </w:rPr>
              <w:t>＜0.0015</w:t>
            </w:r>
          </w:p>
        </w:tc>
        <w:tc>
          <w:tcPr>
            <w:tcW w:w="957" w:type="dxa"/>
            <w:vAlign w:val="center"/>
          </w:tcPr>
          <w:p>
            <w:pPr>
              <w:jc w:val="center"/>
              <w:rPr>
                <w:rFonts w:eastAsiaTheme="minorEastAsia"/>
                <w:color w:val="auto"/>
                <w:sz w:val="18"/>
                <w:szCs w:val="18"/>
              </w:rPr>
            </w:pPr>
            <w:r>
              <w:rPr>
                <w:rFonts w:eastAsiaTheme="minorEastAsia"/>
                <w:color w:val="auto"/>
                <w:sz w:val="18"/>
                <w:szCs w:val="18"/>
              </w:rPr>
              <w:t>＜0.0015</w:t>
            </w:r>
          </w:p>
        </w:tc>
        <w:tc>
          <w:tcPr>
            <w:tcW w:w="957" w:type="dxa"/>
            <w:vAlign w:val="center"/>
          </w:tcPr>
          <w:p>
            <w:pPr>
              <w:jc w:val="center"/>
              <w:rPr>
                <w:rFonts w:eastAsiaTheme="minorEastAsia"/>
                <w:color w:val="auto"/>
                <w:sz w:val="18"/>
                <w:szCs w:val="18"/>
              </w:rPr>
            </w:pPr>
            <w:r>
              <w:rPr>
                <w:rFonts w:eastAsiaTheme="minorEastAsia"/>
                <w:color w:val="auto"/>
                <w:sz w:val="18"/>
                <w:szCs w:val="18"/>
              </w:rPr>
              <w:t>＜0.0015</w:t>
            </w:r>
          </w:p>
        </w:tc>
        <w:tc>
          <w:tcPr>
            <w:tcW w:w="958" w:type="dxa"/>
            <w:vAlign w:val="center"/>
          </w:tcPr>
          <w:p>
            <w:pPr>
              <w:jc w:val="center"/>
              <w:rPr>
                <w:rFonts w:eastAsiaTheme="minorEastAsia"/>
                <w:color w:val="auto"/>
                <w:sz w:val="18"/>
                <w:szCs w:val="18"/>
              </w:rPr>
            </w:pPr>
            <w:r>
              <w:rPr>
                <w:rFonts w:eastAsiaTheme="minorEastAsia"/>
                <w:color w:val="auto"/>
                <w:sz w:val="18"/>
                <w:szCs w:val="18"/>
              </w:rPr>
              <w:t>＜0.0015</w:t>
            </w:r>
          </w:p>
        </w:tc>
        <w:tc>
          <w:tcPr>
            <w:tcW w:w="927" w:type="dxa"/>
            <w:vAlign w:val="center"/>
          </w:tcPr>
          <w:p>
            <w:pPr>
              <w:jc w:val="center"/>
              <w:rPr>
                <w:rFonts w:eastAsiaTheme="minorEastAsia"/>
                <w:color w:val="auto"/>
                <w:sz w:val="18"/>
                <w:szCs w:val="18"/>
              </w:rPr>
            </w:pPr>
            <w:r>
              <w:rPr>
                <w:rFonts w:eastAsiaTheme="minorEastAsia"/>
                <w:color w:val="auto"/>
                <w:sz w:val="18"/>
                <w:szCs w:val="18"/>
              </w:rPr>
              <w:t>＜0.0015</w:t>
            </w:r>
          </w:p>
        </w:tc>
        <w:tc>
          <w:tcPr>
            <w:tcW w:w="957" w:type="dxa"/>
            <w:vAlign w:val="center"/>
          </w:tcPr>
          <w:p>
            <w:pPr>
              <w:jc w:val="center"/>
              <w:rPr>
                <w:rFonts w:eastAsiaTheme="minorEastAsia"/>
                <w:color w:val="auto"/>
                <w:sz w:val="18"/>
                <w:szCs w:val="18"/>
              </w:rPr>
            </w:pPr>
            <w:r>
              <w:rPr>
                <w:rFonts w:eastAsiaTheme="minorEastAsia"/>
                <w:color w:val="auto"/>
                <w:sz w:val="18"/>
                <w:szCs w:val="18"/>
              </w:rPr>
              <w:t>＜0.0015</w:t>
            </w:r>
          </w:p>
        </w:tc>
        <w:tc>
          <w:tcPr>
            <w:tcW w:w="958" w:type="dxa"/>
            <w:vAlign w:val="center"/>
          </w:tcPr>
          <w:p>
            <w:pPr>
              <w:jc w:val="center"/>
              <w:rPr>
                <w:rFonts w:eastAsiaTheme="minorEastAsia"/>
                <w:color w:val="auto"/>
                <w:sz w:val="18"/>
                <w:szCs w:val="18"/>
              </w:rPr>
            </w:pPr>
            <w:r>
              <w:rPr>
                <w:rFonts w:eastAsiaTheme="minorEastAsia"/>
                <w:color w:val="auto"/>
                <w:sz w:val="18"/>
                <w:szCs w:val="18"/>
              </w:rPr>
              <w:t>＜0.0015</w:t>
            </w:r>
          </w:p>
        </w:tc>
        <w:tc>
          <w:tcPr>
            <w:tcW w:w="957" w:type="dxa"/>
            <w:vAlign w:val="center"/>
          </w:tcPr>
          <w:p>
            <w:pPr>
              <w:jc w:val="center"/>
              <w:rPr>
                <w:rFonts w:eastAsiaTheme="minorEastAsia"/>
                <w:color w:val="auto"/>
                <w:sz w:val="18"/>
                <w:szCs w:val="18"/>
              </w:rPr>
            </w:pPr>
            <w:r>
              <w:rPr>
                <w:rFonts w:eastAsiaTheme="minorEastAsia"/>
                <w:color w:val="auto"/>
                <w:sz w:val="18"/>
                <w:szCs w:val="18"/>
              </w:rPr>
              <w:t>＜0.0015</w:t>
            </w:r>
          </w:p>
        </w:tc>
        <w:tc>
          <w:tcPr>
            <w:tcW w:w="957" w:type="dxa"/>
            <w:vAlign w:val="center"/>
          </w:tcPr>
          <w:p>
            <w:pPr>
              <w:jc w:val="center"/>
              <w:rPr>
                <w:rFonts w:eastAsiaTheme="minorEastAsia"/>
                <w:color w:val="auto"/>
                <w:sz w:val="18"/>
                <w:szCs w:val="18"/>
              </w:rPr>
            </w:pPr>
            <w:r>
              <w:rPr>
                <w:rFonts w:eastAsiaTheme="minorEastAsia"/>
                <w:color w:val="auto"/>
                <w:sz w:val="18"/>
                <w:szCs w:val="18"/>
              </w:rPr>
              <w:t>＜0.0015</w:t>
            </w:r>
          </w:p>
        </w:tc>
        <w:tc>
          <w:tcPr>
            <w:tcW w:w="991" w:type="dxa"/>
            <w:vAlign w:val="center"/>
          </w:tcPr>
          <w:p>
            <w:pPr>
              <w:jc w:val="center"/>
              <w:rPr>
                <w:rFonts w:eastAsiaTheme="minorEastAsia"/>
                <w:color w:val="auto"/>
                <w:sz w:val="18"/>
                <w:szCs w:val="18"/>
              </w:rPr>
            </w:pPr>
            <w:r>
              <w:rPr>
                <w:rFonts w:eastAsiaTheme="minorEastAsia"/>
                <w:color w:val="auto"/>
                <w:sz w:val="18"/>
                <w:szCs w:val="18"/>
              </w:rPr>
              <w:t>＜0.0015</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616</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18</w:t>
            </w:r>
          </w:p>
        </w:tc>
        <w:tc>
          <w:tcPr>
            <w:tcW w:w="850" w:type="dxa"/>
            <w:vAlign w:val="center"/>
          </w:tcPr>
          <w:p>
            <w:pPr>
              <w:jc w:val="center"/>
              <w:rPr>
                <w:rFonts w:eastAsiaTheme="minorEastAsia"/>
                <w:color w:val="auto"/>
                <w:sz w:val="18"/>
                <w:szCs w:val="18"/>
              </w:rPr>
            </w:pPr>
            <w:r>
              <w:rPr>
                <w:rFonts w:eastAsiaTheme="minorEastAsia"/>
                <w:color w:val="auto"/>
                <w:sz w:val="18"/>
                <w:szCs w:val="18"/>
              </w:rPr>
              <w:t>1,2-二氯丙烷</w:t>
            </w:r>
          </w:p>
        </w:tc>
        <w:tc>
          <w:tcPr>
            <w:tcW w:w="992" w:type="dxa"/>
            <w:vAlign w:val="center"/>
          </w:tcPr>
          <w:p>
            <w:pPr>
              <w:jc w:val="center"/>
              <w:rPr>
                <w:rFonts w:eastAsiaTheme="minorEastAsia"/>
                <w:color w:val="auto"/>
                <w:sz w:val="18"/>
                <w:szCs w:val="18"/>
              </w:rPr>
            </w:pPr>
            <w:r>
              <w:rPr>
                <w:rFonts w:eastAsiaTheme="minorEastAsia"/>
                <w:color w:val="auto"/>
                <w:sz w:val="18"/>
                <w:szCs w:val="18"/>
              </w:rPr>
              <w:t>＜0.0011</w:t>
            </w:r>
          </w:p>
        </w:tc>
        <w:tc>
          <w:tcPr>
            <w:tcW w:w="992" w:type="dxa"/>
            <w:vAlign w:val="center"/>
          </w:tcPr>
          <w:p>
            <w:pPr>
              <w:jc w:val="center"/>
              <w:rPr>
                <w:rFonts w:eastAsiaTheme="minorEastAsia"/>
                <w:color w:val="auto"/>
                <w:sz w:val="18"/>
                <w:szCs w:val="18"/>
              </w:rPr>
            </w:pPr>
            <w:r>
              <w:rPr>
                <w:rFonts w:eastAsiaTheme="minorEastAsia"/>
                <w:color w:val="auto"/>
                <w:sz w:val="18"/>
                <w:szCs w:val="18"/>
              </w:rPr>
              <w:t>＜0.0011</w:t>
            </w:r>
          </w:p>
        </w:tc>
        <w:tc>
          <w:tcPr>
            <w:tcW w:w="958" w:type="dxa"/>
            <w:vAlign w:val="center"/>
          </w:tcPr>
          <w:p>
            <w:pPr>
              <w:jc w:val="center"/>
              <w:rPr>
                <w:rFonts w:eastAsiaTheme="minorEastAsia"/>
                <w:color w:val="auto"/>
                <w:sz w:val="18"/>
                <w:szCs w:val="18"/>
              </w:rPr>
            </w:pPr>
            <w:r>
              <w:rPr>
                <w:rFonts w:eastAsiaTheme="minorEastAsia"/>
                <w:color w:val="auto"/>
                <w:sz w:val="18"/>
                <w:szCs w:val="18"/>
              </w:rPr>
              <w:t>＜0.0011</w:t>
            </w:r>
          </w:p>
        </w:tc>
        <w:tc>
          <w:tcPr>
            <w:tcW w:w="957" w:type="dxa"/>
            <w:vAlign w:val="center"/>
          </w:tcPr>
          <w:p>
            <w:pPr>
              <w:jc w:val="center"/>
              <w:rPr>
                <w:rFonts w:eastAsiaTheme="minorEastAsia"/>
                <w:color w:val="auto"/>
                <w:sz w:val="18"/>
                <w:szCs w:val="18"/>
              </w:rPr>
            </w:pPr>
            <w:r>
              <w:rPr>
                <w:rFonts w:eastAsiaTheme="minorEastAsia"/>
                <w:color w:val="auto"/>
                <w:sz w:val="18"/>
                <w:szCs w:val="18"/>
              </w:rPr>
              <w:t>＜0.0011</w:t>
            </w:r>
          </w:p>
        </w:tc>
        <w:tc>
          <w:tcPr>
            <w:tcW w:w="957" w:type="dxa"/>
            <w:vAlign w:val="center"/>
          </w:tcPr>
          <w:p>
            <w:pPr>
              <w:jc w:val="center"/>
              <w:rPr>
                <w:rFonts w:eastAsiaTheme="minorEastAsia"/>
                <w:color w:val="auto"/>
                <w:sz w:val="18"/>
                <w:szCs w:val="18"/>
              </w:rPr>
            </w:pPr>
            <w:r>
              <w:rPr>
                <w:rFonts w:eastAsiaTheme="minorEastAsia"/>
                <w:color w:val="auto"/>
                <w:sz w:val="18"/>
                <w:szCs w:val="18"/>
              </w:rPr>
              <w:t>＜0.0011</w:t>
            </w:r>
          </w:p>
        </w:tc>
        <w:tc>
          <w:tcPr>
            <w:tcW w:w="904" w:type="dxa"/>
            <w:vAlign w:val="center"/>
          </w:tcPr>
          <w:p>
            <w:pPr>
              <w:jc w:val="center"/>
              <w:rPr>
                <w:rFonts w:eastAsiaTheme="minorEastAsia"/>
                <w:color w:val="auto"/>
                <w:sz w:val="18"/>
                <w:szCs w:val="18"/>
              </w:rPr>
            </w:pPr>
            <w:r>
              <w:rPr>
                <w:rFonts w:eastAsiaTheme="minorEastAsia"/>
                <w:color w:val="auto"/>
                <w:sz w:val="18"/>
                <w:szCs w:val="18"/>
              </w:rPr>
              <w:t>＜0.0011</w:t>
            </w:r>
          </w:p>
        </w:tc>
        <w:tc>
          <w:tcPr>
            <w:tcW w:w="1072" w:type="dxa"/>
            <w:vAlign w:val="center"/>
          </w:tcPr>
          <w:p>
            <w:pPr>
              <w:jc w:val="center"/>
              <w:rPr>
                <w:rFonts w:eastAsiaTheme="minorEastAsia"/>
                <w:color w:val="auto"/>
                <w:sz w:val="18"/>
                <w:szCs w:val="18"/>
              </w:rPr>
            </w:pPr>
            <w:r>
              <w:rPr>
                <w:rFonts w:eastAsiaTheme="minorEastAsia"/>
                <w:color w:val="auto"/>
                <w:sz w:val="18"/>
                <w:szCs w:val="18"/>
              </w:rPr>
              <w:t>＜0.0011</w:t>
            </w:r>
          </w:p>
        </w:tc>
        <w:tc>
          <w:tcPr>
            <w:tcW w:w="957" w:type="dxa"/>
            <w:vAlign w:val="center"/>
          </w:tcPr>
          <w:p>
            <w:pPr>
              <w:jc w:val="center"/>
              <w:rPr>
                <w:rFonts w:eastAsiaTheme="minorEastAsia"/>
                <w:color w:val="auto"/>
                <w:sz w:val="18"/>
                <w:szCs w:val="18"/>
              </w:rPr>
            </w:pPr>
            <w:r>
              <w:rPr>
                <w:rFonts w:eastAsiaTheme="minorEastAsia"/>
                <w:color w:val="auto"/>
                <w:sz w:val="18"/>
                <w:szCs w:val="18"/>
              </w:rPr>
              <w:t>＜0.0011</w:t>
            </w:r>
          </w:p>
        </w:tc>
        <w:tc>
          <w:tcPr>
            <w:tcW w:w="957" w:type="dxa"/>
            <w:vAlign w:val="center"/>
          </w:tcPr>
          <w:p>
            <w:pPr>
              <w:jc w:val="center"/>
              <w:rPr>
                <w:rFonts w:eastAsiaTheme="minorEastAsia"/>
                <w:color w:val="auto"/>
                <w:sz w:val="18"/>
                <w:szCs w:val="18"/>
              </w:rPr>
            </w:pPr>
            <w:r>
              <w:rPr>
                <w:rFonts w:eastAsiaTheme="minorEastAsia"/>
                <w:color w:val="auto"/>
                <w:sz w:val="18"/>
                <w:szCs w:val="18"/>
              </w:rPr>
              <w:t>＜0.0011</w:t>
            </w:r>
          </w:p>
        </w:tc>
        <w:tc>
          <w:tcPr>
            <w:tcW w:w="958" w:type="dxa"/>
            <w:vAlign w:val="center"/>
          </w:tcPr>
          <w:p>
            <w:pPr>
              <w:jc w:val="center"/>
              <w:rPr>
                <w:rFonts w:eastAsiaTheme="minorEastAsia"/>
                <w:color w:val="auto"/>
                <w:sz w:val="18"/>
                <w:szCs w:val="18"/>
              </w:rPr>
            </w:pPr>
            <w:r>
              <w:rPr>
                <w:rFonts w:eastAsiaTheme="minorEastAsia"/>
                <w:color w:val="auto"/>
                <w:sz w:val="18"/>
                <w:szCs w:val="18"/>
              </w:rPr>
              <w:t>＜0.0011</w:t>
            </w:r>
          </w:p>
        </w:tc>
        <w:tc>
          <w:tcPr>
            <w:tcW w:w="927" w:type="dxa"/>
            <w:vAlign w:val="center"/>
          </w:tcPr>
          <w:p>
            <w:pPr>
              <w:jc w:val="center"/>
              <w:rPr>
                <w:rFonts w:eastAsiaTheme="minorEastAsia"/>
                <w:color w:val="auto"/>
                <w:sz w:val="18"/>
                <w:szCs w:val="18"/>
              </w:rPr>
            </w:pPr>
            <w:r>
              <w:rPr>
                <w:rFonts w:eastAsiaTheme="minorEastAsia"/>
                <w:color w:val="auto"/>
                <w:sz w:val="18"/>
                <w:szCs w:val="18"/>
              </w:rPr>
              <w:t>＜0.0011</w:t>
            </w:r>
          </w:p>
        </w:tc>
        <w:tc>
          <w:tcPr>
            <w:tcW w:w="957" w:type="dxa"/>
            <w:vAlign w:val="center"/>
          </w:tcPr>
          <w:p>
            <w:pPr>
              <w:jc w:val="center"/>
              <w:rPr>
                <w:rFonts w:eastAsiaTheme="minorEastAsia"/>
                <w:color w:val="auto"/>
                <w:sz w:val="18"/>
                <w:szCs w:val="18"/>
              </w:rPr>
            </w:pPr>
            <w:r>
              <w:rPr>
                <w:rFonts w:eastAsiaTheme="minorEastAsia"/>
                <w:color w:val="auto"/>
                <w:sz w:val="18"/>
                <w:szCs w:val="18"/>
              </w:rPr>
              <w:t>＜0.0011</w:t>
            </w:r>
          </w:p>
        </w:tc>
        <w:tc>
          <w:tcPr>
            <w:tcW w:w="958" w:type="dxa"/>
            <w:vAlign w:val="center"/>
          </w:tcPr>
          <w:p>
            <w:pPr>
              <w:jc w:val="center"/>
              <w:rPr>
                <w:rFonts w:eastAsiaTheme="minorEastAsia"/>
                <w:color w:val="auto"/>
                <w:sz w:val="18"/>
                <w:szCs w:val="18"/>
              </w:rPr>
            </w:pPr>
            <w:r>
              <w:rPr>
                <w:rFonts w:eastAsiaTheme="minorEastAsia"/>
                <w:color w:val="auto"/>
                <w:sz w:val="18"/>
                <w:szCs w:val="18"/>
              </w:rPr>
              <w:t>＜0.0011</w:t>
            </w:r>
          </w:p>
        </w:tc>
        <w:tc>
          <w:tcPr>
            <w:tcW w:w="957" w:type="dxa"/>
            <w:vAlign w:val="center"/>
          </w:tcPr>
          <w:p>
            <w:pPr>
              <w:jc w:val="center"/>
              <w:rPr>
                <w:rFonts w:eastAsiaTheme="minorEastAsia"/>
                <w:color w:val="auto"/>
                <w:sz w:val="18"/>
                <w:szCs w:val="18"/>
              </w:rPr>
            </w:pPr>
            <w:r>
              <w:rPr>
                <w:rFonts w:eastAsiaTheme="minorEastAsia"/>
                <w:color w:val="auto"/>
                <w:sz w:val="18"/>
                <w:szCs w:val="18"/>
              </w:rPr>
              <w:t>＜0.0011</w:t>
            </w:r>
          </w:p>
        </w:tc>
        <w:tc>
          <w:tcPr>
            <w:tcW w:w="957" w:type="dxa"/>
            <w:vAlign w:val="center"/>
          </w:tcPr>
          <w:p>
            <w:pPr>
              <w:jc w:val="center"/>
              <w:rPr>
                <w:rFonts w:eastAsiaTheme="minorEastAsia"/>
                <w:color w:val="auto"/>
                <w:sz w:val="18"/>
                <w:szCs w:val="18"/>
              </w:rPr>
            </w:pPr>
            <w:r>
              <w:rPr>
                <w:rFonts w:eastAsiaTheme="minorEastAsia"/>
                <w:color w:val="auto"/>
                <w:sz w:val="18"/>
                <w:szCs w:val="18"/>
              </w:rPr>
              <w:t>＜0.0011</w:t>
            </w:r>
          </w:p>
        </w:tc>
        <w:tc>
          <w:tcPr>
            <w:tcW w:w="991" w:type="dxa"/>
            <w:vAlign w:val="center"/>
          </w:tcPr>
          <w:p>
            <w:pPr>
              <w:jc w:val="center"/>
              <w:rPr>
                <w:rFonts w:eastAsiaTheme="minorEastAsia"/>
                <w:color w:val="auto"/>
                <w:sz w:val="18"/>
                <w:szCs w:val="18"/>
              </w:rPr>
            </w:pPr>
            <w:r>
              <w:rPr>
                <w:rFonts w:eastAsiaTheme="minorEastAsia"/>
                <w:color w:val="auto"/>
                <w:sz w:val="18"/>
                <w:szCs w:val="18"/>
              </w:rPr>
              <w:t>＜0.0011</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5</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19</w:t>
            </w:r>
          </w:p>
        </w:tc>
        <w:tc>
          <w:tcPr>
            <w:tcW w:w="850" w:type="dxa"/>
            <w:vAlign w:val="center"/>
          </w:tcPr>
          <w:p>
            <w:pPr>
              <w:jc w:val="center"/>
              <w:rPr>
                <w:rFonts w:eastAsiaTheme="minorEastAsia"/>
                <w:color w:val="auto"/>
                <w:sz w:val="18"/>
                <w:szCs w:val="18"/>
              </w:rPr>
            </w:pPr>
            <w:r>
              <w:rPr>
                <w:rFonts w:eastAsiaTheme="minorEastAsia"/>
                <w:color w:val="auto"/>
                <w:sz w:val="18"/>
                <w:szCs w:val="18"/>
              </w:rPr>
              <w:t>1,1,1,2-四氯乙烷</w:t>
            </w:r>
          </w:p>
        </w:tc>
        <w:tc>
          <w:tcPr>
            <w:tcW w:w="992" w:type="dxa"/>
            <w:vAlign w:val="center"/>
          </w:tcPr>
          <w:p>
            <w:pPr>
              <w:jc w:val="center"/>
              <w:rPr>
                <w:rFonts w:eastAsiaTheme="minorEastAsia"/>
                <w:color w:val="auto"/>
                <w:sz w:val="18"/>
                <w:szCs w:val="18"/>
              </w:rPr>
            </w:pPr>
            <w:r>
              <w:rPr>
                <w:rFonts w:eastAsiaTheme="minorEastAsia"/>
                <w:color w:val="auto"/>
                <w:sz w:val="18"/>
                <w:szCs w:val="18"/>
              </w:rPr>
              <w:t>＜0.0012</w:t>
            </w:r>
          </w:p>
        </w:tc>
        <w:tc>
          <w:tcPr>
            <w:tcW w:w="992"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04" w:type="dxa"/>
            <w:vAlign w:val="center"/>
          </w:tcPr>
          <w:p>
            <w:pPr>
              <w:jc w:val="center"/>
              <w:rPr>
                <w:rFonts w:eastAsiaTheme="minorEastAsia"/>
                <w:color w:val="auto"/>
                <w:sz w:val="18"/>
                <w:szCs w:val="18"/>
              </w:rPr>
            </w:pPr>
            <w:r>
              <w:rPr>
                <w:rFonts w:eastAsiaTheme="minorEastAsia"/>
                <w:color w:val="auto"/>
                <w:sz w:val="18"/>
                <w:szCs w:val="18"/>
              </w:rPr>
              <w:t>＜0.0012</w:t>
            </w:r>
          </w:p>
        </w:tc>
        <w:tc>
          <w:tcPr>
            <w:tcW w:w="1072"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2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91" w:type="dxa"/>
            <w:vAlign w:val="center"/>
          </w:tcPr>
          <w:p>
            <w:pPr>
              <w:jc w:val="center"/>
              <w:rPr>
                <w:rFonts w:eastAsiaTheme="minorEastAsia"/>
                <w:color w:val="auto"/>
                <w:sz w:val="18"/>
                <w:szCs w:val="18"/>
              </w:rPr>
            </w:pPr>
            <w:r>
              <w:rPr>
                <w:rFonts w:eastAsiaTheme="minorEastAsia"/>
                <w:color w:val="auto"/>
                <w:sz w:val="18"/>
                <w:szCs w:val="18"/>
              </w:rPr>
              <w:t>＜0.0012</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10</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20</w:t>
            </w:r>
          </w:p>
        </w:tc>
        <w:tc>
          <w:tcPr>
            <w:tcW w:w="850" w:type="dxa"/>
            <w:vAlign w:val="center"/>
          </w:tcPr>
          <w:p>
            <w:pPr>
              <w:jc w:val="center"/>
              <w:rPr>
                <w:rFonts w:eastAsiaTheme="minorEastAsia"/>
                <w:color w:val="auto"/>
                <w:sz w:val="18"/>
                <w:szCs w:val="18"/>
              </w:rPr>
            </w:pPr>
            <w:r>
              <w:rPr>
                <w:rFonts w:eastAsiaTheme="minorEastAsia"/>
                <w:color w:val="auto"/>
                <w:sz w:val="18"/>
                <w:szCs w:val="18"/>
              </w:rPr>
              <w:t>1,1,2,2-四氯乙烷</w:t>
            </w:r>
          </w:p>
        </w:tc>
        <w:tc>
          <w:tcPr>
            <w:tcW w:w="992" w:type="dxa"/>
            <w:vAlign w:val="center"/>
          </w:tcPr>
          <w:p>
            <w:pPr>
              <w:jc w:val="center"/>
              <w:rPr>
                <w:rFonts w:eastAsiaTheme="minorEastAsia"/>
                <w:color w:val="auto"/>
                <w:sz w:val="18"/>
                <w:szCs w:val="18"/>
              </w:rPr>
            </w:pPr>
            <w:r>
              <w:rPr>
                <w:rFonts w:eastAsiaTheme="minorEastAsia"/>
                <w:color w:val="auto"/>
                <w:sz w:val="18"/>
                <w:szCs w:val="18"/>
              </w:rPr>
              <w:t>＜0.0012</w:t>
            </w:r>
          </w:p>
        </w:tc>
        <w:tc>
          <w:tcPr>
            <w:tcW w:w="992"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04" w:type="dxa"/>
            <w:vAlign w:val="center"/>
          </w:tcPr>
          <w:p>
            <w:pPr>
              <w:jc w:val="center"/>
              <w:rPr>
                <w:rFonts w:eastAsiaTheme="minorEastAsia"/>
                <w:color w:val="auto"/>
                <w:sz w:val="18"/>
                <w:szCs w:val="18"/>
              </w:rPr>
            </w:pPr>
            <w:r>
              <w:rPr>
                <w:rFonts w:eastAsiaTheme="minorEastAsia"/>
                <w:color w:val="auto"/>
                <w:sz w:val="18"/>
                <w:szCs w:val="18"/>
              </w:rPr>
              <w:t>＜0.0012</w:t>
            </w:r>
          </w:p>
        </w:tc>
        <w:tc>
          <w:tcPr>
            <w:tcW w:w="1072"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2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91" w:type="dxa"/>
            <w:vAlign w:val="center"/>
          </w:tcPr>
          <w:p>
            <w:pPr>
              <w:jc w:val="center"/>
              <w:rPr>
                <w:rFonts w:eastAsiaTheme="minorEastAsia"/>
                <w:color w:val="auto"/>
                <w:sz w:val="18"/>
                <w:szCs w:val="18"/>
              </w:rPr>
            </w:pPr>
            <w:r>
              <w:rPr>
                <w:rFonts w:eastAsiaTheme="minorEastAsia"/>
                <w:color w:val="auto"/>
                <w:sz w:val="18"/>
                <w:szCs w:val="18"/>
              </w:rPr>
              <w:t>＜0.0012</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6.8</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21</w:t>
            </w:r>
          </w:p>
        </w:tc>
        <w:tc>
          <w:tcPr>
            <w:tcW w:w="850" w:type="dxa"/>
            <w:vAlign w:val="center"/>
          </w:tcPr>
          <w:p>
            <w:pPr>
              <w:jc w:val="center"/>
              <w:rPr>
                <w:rFonts w:eastAsiaTheme="minorEastAsia"/>
                <w:color w:val="auto"/>
                <w:sz w:val="18"/>
                <w:szCs w:val="18"/>
              </w:rPr>
            </w:pPr>
            <w:r>
              <w:rPr>
                <w:rFonts w:eastAsiaTheme="minorEastAsia"/>
                <w:color w:val="auto"/>
                <w:sz w:val="18"/>
                <w:szCs w:val="18"/>
              </w:rPr>
              <w:t>四氯乙烯</w:t>
            </w:r>
          </w:p>
        </w:tc>
        <w:tc>
          <w:tcPr>
            <w:tcW w:w="992" w:type="dxa"/>
            <w:vAlign w:val="center"/>
          </w:tcPr>
          <w:p>
            <w:pPr>
              <w:jc w:val="center"/>
              <w:rPr>
                <w:rFonts w:eastAsiaTheme="minorEastAsia"/>
                <w:color w:val="auto"/>
                <w:sz w:val="18"/>
                <w:szCs w:val="18"/>
              </w:rPr>
            </w:pPr>
            <w:r>
              <w:rPr>
                <w:rFonts w:eastAsiaTheme="minorEastAsia"/>
                <w:color w:val="auto"/>
                <w:sz w:val="18"/>
                <w:szCs w:val="18"/>
              </w:rPr>
              <w:t>＜0.0014</w:t>
            </w:r>
          </w:p>
        </w:tc>
        <w:tc>
          <w:tcPr>
            <w:tcW w:w="992" w:type="dxa"/>
            <w:vAlign w:val="center"/>
          </w:tcPr>
          <w:p>
            <w:pPr>
              <w:jc w:val="center"/>
              <w:rPr>
                <w:rFonts w:eastAsiaTheme="minorEastAsia"/>
                <w:color w:val="auto"/>
                <w:sz w:val="18"/>
                <w:szCs w:val="18"/>
              </w:rPr>
            </w:pPr>
            <w:r>
              <w:rPr>
                <w:rFonts w:eastAsiaTheme="minorEastAsia"/>
                <w:color w:val="auto"/>
                <w:sz w:val="18"/>
                <w:szCs w:val="18"/>
              </w:rPr>
              <w:t>＜0.0014</w:t>
            </w:r>
          </w:p>
        </w:tc>
        <w:tc>
          <w:tcPr>
            <w:tcW w:w="958" w:type="dxa"/>
            <w:vAlign w:val="center"/>
          </w:tcPr>
          <w:p>
            <w:pPr>
              <w:jc w:val="center"/>
              <w:rPr>
                <w:rFonts w:eastAsiaTheme="minorEastAsia"/>
                <w:color w:val="auto"/>
                <w:sz w:val="18"/>
                <w:szCs w:val="18"/>
              </w:rPr>
            </w:pPr>
            <w:r>
              <w:rPr>
                <w:rFonts w:eastAsiaTheme="minorEastAsia"/>
                <w:color w:val="auto"/>
                <w:sz w:val="18"/>
                <w:szCs w:val="18"/>
              </w:rPr>
              <w:t>0.0063</w:t>
            </w:r>
          </w:p>
        </w:tc>
        <w:tc>
          <w:tcPr>
            <w:tcW w:w="957" w:type="dxa"/>
            <w:vAlign w:val="center"/>
          </w:tcPr>
          <w:p>
            <w:pPr>
              <w:jc w:val="center"/>
              <w:rPr>
                <w:rFonts w:eastAsiaTheme="minorEastAsia"/>
                <w:color w:val="auto"/>
                <w:sz w:val="18"/>
                <w:szCs w:val="18"/>
              </w:rPr>
            </w:pPr>
            <w:r>
              <w:rPr>
                <w:rFonts w:eastAsiaTheme="minorEastAsia"/>
                <w:color w:val="auto"/>
                <w:sz w:val="18"/>
                <w:szCs w:val="18"/>
              </w:rPr>
              <w:t>＜0.0014</w:t>
            </w:r>
          </w:p>
        </w:tc>
        <w:tc>
          <w:tcPr>
            <w:tcW w:w="957" w:type="dxa"/>
            <w:vAlign w:val="center"/>
          </w:tcPr>
          <w:p>
            <w:pPr>
              <w:jc w:val="center"/>
              <w:rPr>
                <w:rFonts w:eastAsiaTheme="minorEastAsia"/>
                <w:color w:val="auto"/>
                <w:sz w:val="18"/>
                <w:szCs w:val="18"/>
              </w:rPr>
            </w:pPr>
            <w:r>
              <w:rPr>
                <w:rFonts w:eastAsiaTheme="minorEastAsia"/>
                <w:color w:val="auto"/>
                <w:sz w:val="18"/>
                <w:szCs w:val="18"/>
              </w:rPr>
              <w:t>0.0056</w:t>
            </w:r>
          </w:p>
        </w:tc>
        <w:tc>
          <w:tcPr>
            <w:tcW w:w="904" w:type="dxa"/>
            <w:vAlign w:val="center"/>
          </w:tcPr>
          <w:p>
            <w:pPr>
              <w:jc w:val="center"/>
              <w:rPr>
                <w:rFonts w:eastAsiaTheme="minorEastAsia"/>
                <w:color w:val="auto"/>
                <w:sz w:val="18"/>
                <w:szCs w:val="18"/>
              </w:rPr>
            </w:pPr>
            <w:r>
              <w:rPr>
                <w:rFonts w:eastAsiaTheme="minorEastAsia"/>
                <w:color w:val="auto"/>
                <w:sz w:val="18"/>
                <w:szCs w:val="18"/>
              </w:rPr>
              <w:t>＜0.0014</w:t>
            </w:r>
          </w:p>
        </w:tc>
        <w:tc>
          <w:tcPr>
            <w:tcW w:w="1072" w:type="dxa"/>
            <w:vAlign w:val="center"/>
          </w:tcPr>
          <w:p>
            <w:pPr>
              <w:jc w:val="center"/>
              <w:rPr>
                <w:rFonts w:eastAsiaTheme="minorEastAsia"/>
                <w:color w:val="auto"/>
                <w:sz w:val="18"/>
                <w:szCs w:val="18"/>
              </w:rPr>
            </w:pPr>
            <w:r>
              <w:rPr>
                <w:rFonts w:eastAsiaTheme="minorEastAsia"/>
                <w:color w:val="auto"/>
                <w:sz w:val="18"/>
                <w:szCs w:val="18"/>
              </w:rPr>
              <w:t>＜0.0014</w:t>
            </w:r>
          </w:p>
        </w:tc>
        <w:tc>
          <w:tcPr>
            <w:tcW w:w="957" w:type="dxa"/>
            <w:vAlign w:val="center"/>
          </w:tcPr>
          <w:p>
            <w:pPr>
              <w:jc w:val="center"/>
              <w:rPr>
                <w:rFonts w:eastAsiaTheme="minorEastAsia"/>
                <w:color w:val="auto"/>
                <w:sz w:val="18"/>
                <w:szCs w:val="18"/>
              </w:rPr>
            </w:pPr>
            <w:r>
              <w:rPr>
                <w:rFonts w:eastAsiaTheme="minorEastAsia"/>
                <w:color w:val="auto"/>
                <w:sz w:val="18"/>
                <w:szCs w:val="18"/>
              </w:rPr>
              <w:t>0.0063</w:t>
            </w:r>
          </w:p>
        </w:tc>
        <w:tc>
          <w:tcPr>
            <w:tcW w:w="957" w:type="dxa"/>
            <w:vAlign w:val="center"/>
          </w:tcPr>
          <w:p>
            <w:pPr>
              <w:jc w:val="center"/>
              <w:rPr>
                <w:rFonts w:eastAsiaTheme="minorEastAsia"/>
                <w:color w:val="auto"/>
                <w:sz w:val="18"/>
                <w:szCs w:val="18"/>
              </w:rPr>
            </w:pPr>
            <w:r>
              <w:rPr>
                <w:rFonts w:eastAsiaTheme="minorEastAsia"/>
                <w:color w:val="auto"/>
                <w:sz w:val="18"/>
                <w:szCs w:val="18"/>
              </w:rPr>
              <w:t>＜0.0014</w:t>
            </w:r>
          </w:p>
        </w:tc>
        <w:tc>
          <w:tcPr>
            <w:tcW w:w="958" w:type="dxa"/>
            <w:vAlign w:val="center"/>
          </w:tcPr>
          <w:p>
            <w:pPr>
              <w:jc w:val="center"/>
              <w:rPr>
                <w:rFonts w:eastAsiaTheme="minorEastAsia"/>
                <w:color w:val="auto"/>
                <w:sz w:val="18"/>
                <w:szCs w:val="18"/>
              </w:rPr>
            </w:pPr>
            <w:r>
              <w:rPr>
                <w:rFonts w:eastAsiaTheme="minorEastAsia"/>
                <w:color w:val="auto"/>
                <w:sz w:val="18"/>
                <w:szCs w:val="18"/>
              </w:rPr>
              <w:t>＜0.0014</w:t>
            </w:r>
          </w:p>
        </w:tc>
        <w:tc>
          <w:tcPr>
            <w:tcW w:w="927" w:type="dxa"/>
            <w:vAlign w:val="center"/>
          </w:tcPr>
          <w:p>
            <w:pPr>
              <w:jc w:val="center"/>
              <w:rPr>
                <w:rFonts w:eastAsiaTheme="minorEastAsia"/>
                <w:color w:val="auto"/>
                <w:sz w:val="18"/>
                <w:szCs w:val="18"/>
              </w:rPr>
            </w:pPr>
            <w:r>
              <w:rPr>
                <w:rFonts w:eastAsiaTheme="minorEastAsia"/>
                <w:color w:val="auto"/>
                <w:sz w:val="18"/>
                <w:szCs w:val="18"/>
              </w:rPr>
              <w:t>＜0.0014</w:t>
            </w:r>
          </w:p>
        </w:tc>
        <w:tc>
          <w:tcPr>
            <w:tcW w:w="957" w:type="dxa"/>
            <w:vAlign w:val="center"/>
          </w:tcPr>
          <w:p>
            <w:pPr>
              <w:jc w:val="center"/>
              <w:rPr>
                <w:rFonts w:eastAsiaTheme="minorEastAsia"/>
                <w:color w:val="auto"/>
                <w:sz w:val="18"/>
                <w:szCs w:val="18"/>
              </w:rPr>
            </w:pPr>
            <w:r>
              <w:rPr>
                <w:rFonts w:eastAsiaTheme="minorEastAsia"/>
                <w:color w:val="auto"/>
                <w:sz w:val="18"/>
                <w:szCs w:val="18"/>
              </w:rPr>
              <w:t>＜0.0014</w:t>
            </w:r>
          </w:p>
        </w:tc>
        <w:tc>
          <w:tcPr>
            <w:tcW w:w="958" w:type="dxa"/>
            <w:vAlign w:val="center"/>
          </w:tcPr>
          <w:p>
            <w:pPr>
              <w:jc w:val="center"/>
              <w:rPr>
                <w:rFonts w:eastAsiaTheme="minorEastAsia"/>
                <w:color w:val="auto"/>
                <w:sz w:val="18"/>
                <w:szCs w:val="18"/>
              </w:rPr>
            </w:pPr>
            <w:r>
              <w:rPr>
                <w:rFonts w:eastAsiaTheme="minorEastAsia"/>
                <w:color w:val="auto"/>
                <w:sz w:val="18"/>
                <w:szCs w:val="18"/>
              </w:rPr>
              <w:t>0.0064</w:t>
            </w:r>
          </w:p>
        </w:tc>
        <w:tc>
          <w:tcPr>
            <w:tcW w:w="957" w:type="dxa"/>
            <w:vAlign w:val="center"/>
          </w:tcPr>
          <w:p>
            <w:pPr>
              <w:jc w:val="center"/>
              <w:rPr>
                <w:rFonts w:eastAsiaTheme="minorEastAsia"/>
                <w:color w:val="auto"/>
                <w:sz w:val="18"/>
                <w:szCs w:val="18"/>
              </w:rPr>
            </w:pPr>
            <w:r>
              <w:rPr>
                <w:rFonts w:eastAsiaTheme="minorEastAsia"/>
                <w:color w:val="auto"/>
                <w:sz w:val="18"/>
                <w:szCs w:val="18"/>
              </w:rPr>
              <w:t>＜0.0014</w:t>
            </w:r>
          </w:p>
        </w:tc>
        <w:tc>
          <w:tcPr>
            <w:tcW w:w="957" w:type="dxa"/>
            <w:vAlign w:val="center"/>
          </w:tcPr>
          <w:p>
            <w:pPr>
              <w:jc w:val="center"/>
              <w:rPr>
                <w:rFonts w:eastAsiaTheme="minorEastAsia"/>
                <w:color w:val="auto"/>
                <w:sz w:val="18"/>
                <w:szCs w:val="18"/>
              </w:rPr>
            </w:pPr>
            <w:r>
              <w:rPr>
                <w:rFonts w:eastAsiaTheme="minorEastAsia"/>
                <w:color w:val="auto"/>
                <w:sz w:val="18"/>
                <w:szCs w:val="18"/>
              </w:rPr>
              <w:t>＜0.0014</w:t>
            </w:r>
          </w:p>
        </w:tc>
        <w:tc>
          <w:tcPr>
            <w:tcW w:w="991" w:type="dxa"/>
            <w:vAlign w:val="center"/>
          </w:tcPr>
          <w:p>
            <w:pPr>
              <w:jc w:val="center"/>
              <w:rPr>
                <w:rFonts w:eastAsiaTheme="minorEastAsia"/>
                <w:color w:val="auto"/>
                <w:sz w:val="18"/>
                <w:szCs w:val="18"/>
              </w:rPr>
            </w:pPr>
            <w:r>
              <w:rPr>
                <w:rFonts w:eastAsiaTheme="minorEastAsia"/>
                <w:color w:val="auto"/>
                <w:sz w:val="18"/>
                <w:szCs w:val="18"/>
              </w:rPr>
              <w:t>＜0.0014</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53</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22</w:t>
            </w:r>
          </w:p>
        </w:tc>
        <w:tc>
          <w:tcPr>
            <w:tcW w:w="850" w:type="dxa"/>
            <w:vAlign w:val="center"/>
          </w:tcPr>
          <w:p>
            <w:pPr>
              <w:jc w:val="center"/>
              <w:rPr>
                <w:rFonts w:eastAsiaTheme="minorEastAsia"/>
                <w:color w:val="auto"/>
                <w:sz w:val="18"/>
                <w:szCs w:val="18"/>
              </w:rPr>
            </w:pPr>
            <w:r>
              <w:rPr>
                <w:rFonts w:eastAsiaTheme="minorEastAsia"/>
                <w:color w:val="auto"/>
                <w:sz w:val="18"/>
                <w:szCs w:val="18"/>
              </w:rPr>
              <w:t>1,1,1-三氯乙烷</w:t>
            </w:r>
          </w:p>
        </w:tc>
        <w:tc>
          <w:tcPr>
            <w:tcW w:w="992" w:type="dxa"/>
            <w:vAlign w:val="center"/>
          </w:tcPr>
          <w:p>
            <w:pPr>
              <w:jc w:val="center"/>
              <w:rPr>
                <w:rFonts w:eastAsiaTheme="minorEastAsia"/>
                <w:color w:val="auto"/>
                <w:sz w:val="18"/>
                <w:szCs w:val="18"/>
              </w:rPr>
            </w:pPr>
            <w:r>
              <w:rPr>
                <w:rFonts w:eastAsiaTheme="minorEastAsia"/>
                <w:color w:val="auto"/>
                <w:sz w:val="18"/>
                <w:szCs w:val="18"/>
              </w:rPr>
              <w:t>＜0.0013</w:t>
            </w:r>
          </w:p>
        </w:tc>
        <w:tc>
          <w:tcPr>
            <w:tcW w:w="992" w:type="dxa"/>
            <w:vAlign w:val="center"/>
          </w:tcPr>
          <w:p>
            <w:pPr>
              <w:jc w:val="center"/>
              <w:rPr>
                <w:rFonts w:eastAsiaTheme="minorEastAsia"/>
                <w:color w:val="auto"/>
                <w:sz w:val="18"/>
                <w:szCs w:val="18"/>
              </w:rPr>
            </w:pPr>
            <w:r>
              <w:rPr>
                <w:rFonts w:eastAsiaTheme="minorEastAsia"/>
                <w:color w:val="auto"/>
                <w:sz w:val="18"/>
                <w:szCs w:val="18"/>
              </w:rPr>
              <w:t>＜0.0013</w:t>
            </w:r>
          </w:p>
        </w:tc>
        <w:tc>
          <w:tcPr>
            <w:tcW w:w="958"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04" w:type="dxa"/>
            <w:vAlign w:val="center"/>
          </w:tcPr>
          <w:p>
            <w:pPr>
              <w:jc w:val="center"/>
              <w:rPr>
                <w:rFonts w:eastAsiaTheme="minorEastAsia"/>
                <w:color w:val="auto"/>
                <w:sz w:val="18"/>
                <w:szCs w:val="18"/>
              </w:rPr>
            </w:pPr>
            <w:r>
              <w:rPr>
                <w:rFonts w:eastAsiaTheme="minorEastAsia"/>
                <w:color w:val="auto"/>
                <w:sz w:val="18"/>
                <w:szCs w:val="18"/>
              </w:rPr>
              <w:t>＜0.0013</w:t>
            </w:r>
          </w:p>
        </w:tc>
        <w:tc>
          <w:tcPr>
            <w:tcW w:w="1072"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58" w:type="dxa"/>
            <w:vAlign w:val="center"/>
          </w:tcPr>
          <w:p>
            <w:pPr>
              <w:jc w:val="center"/>
              <w:rPr>
                <w:rFonts w:eastAsiaTheme="minorEastAsia"/>
                <w:color w:val="auto"/>
                <w:sz w:val="18"/>
                <w:szCs w:val="18"/>
              </w:rPr>
            </w:pPr>
            <w:r>
              <w:rPr>
                <w:rFonts w:eastAsiaTheme="minorEastAsia"/>
                <w:color w:val="auto"/>
                <w:sz w:val="18"/>
                <w:szCs w:val="18"/>
              </w:rPr>
              <w:t>＜0.0013</w:t>
            </w:r>
          </w:p>
        </w:tc>
        <w:tc>
          <w:tcPr>
            <w:tcW w:w="927"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58"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91" w:type="dxa"/>
            <w:vAlign w:val="center"/>
          </w:tcPr>
          <w:p>
            <w:pPr>
              <w:jc w:val="center"/>
              <w:rPr>
                <w:rFonts w:eastAsiaTheme="minorEastAsia"/>
                <w:color w:val="auto"/>
                <w:sz w:val="18"/>
                <w:szCs w:val="18"/>
              </w:rPr>
            </w:pPr>
            <w:r>
              <w:rPr>
                <w:rFonts w:eastAsiaTheme="minorEastAsia"/>
                <w:color w:val="auto"/>
                <w:sz w:val="18"/>
                <w:szCs w:val="18"/>
              </w:rPr>
              <w:t>＜0.0013</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840</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23</w:t>
            </w:r>
          </w:p>
        </w:tc>
        <w:tc>
          <w:tcPr>
            <w:tcW w:w="850" w:type="dxa"/>
            <w:vAlign w:val="center"/>
          </w:tcPr>
          <w:p>
            <w:pPr>
              <w:jc w:val="center"/>
              <w:rPr>
                <w:rFonts w:eastAsiaTheme="minorEastAsia"/>
                <w:color w:val="auto"/>
                <w:sz w:val="18"/>
                <w:szCs w:val="18"/>
              </w:rPr>
            </w:pPr>
            <w:r>
              <w:rPr>
                <w:rFonts w:eastAsiaTheme="minorEastAsia"/>
                <w:color w:val="auto"/>
                <w:sz w:val="18"/>
                <w:szCs w:val="18"/>
              </w:rPr>
              <w:t>1,1,2-三氯乙烷</w:t>
            </w:r>
          </w:p>
        </w:tc>
        <w:tc>
          <w:tcPr>
            <w:tcW w:w="992" w:type="dxa"/>
            <w:vAlign w:val="center"/>
          </w:tcPr>
          <w:p>
            <w:pPr>
              <w:jc w:val="center"/>
              <w:rPr>
                <w:rFonts w:eastAsiaTheme="minorEastAsia"/>
                <w:color w:val="auto"/>
                <w:sz w:val="18"/>
                <w:szCs w:val="18"/>
              </w:rPr>
            </w:pPr>
            <w:r>
              <w:rPr>
                <w:rFonts w:eastAsiaTheme="minorEastAsia"/>
                <w:color w:val="auto"/>
                <w:sz w:val="18"/>
                <w:szCs w:val="18"/>
              </w:rPr>
              <w:t>＜0.0012</w:t>
            </w:r>
          </w:p>
        </w:tc>
        <w:tc>
          <w:tcPr>
            <w:tcW w:w="992"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04" w:type="dxa"/>
            <w:vAlign w:val="center"/>
          </w:tcPr>
          <w:p>
            <w:pPr>
              <w:jc w:val="center"/>
              <w:rPr>
                <w:rFonts w:eastAsiaTheme="minorEastAsia"/>
                <w:color w:val="auto"/>
                <w:sz w:val="18"/>
                <w:szCs w:val="18"/>
              </w:rPr>
            </w:pPr>
            <w:r>
              <w:rPr>
                <w:rFonts w:eastAsiaTheme="minorEastAsia"/>
                <w:color w:val="auto"/>
                <w:sz w:val="18"/>
                <w:szCs w:val="18"/>
              </w:rPr>
              <w:t>＜0.0012</w:t>
            </w:r>
          </w:p>
        </w:tc>
        <w:tc>
          <w:tcPr>
            <w:tcW w:w="1072"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2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91" w:type="dxa"/>
            <w:vAlign w:val="center"/>
          </w:tcPr>
          <w:p>
            <w:pPr>
              <w:jc w:val="center"/>
              <w:rPr>
                <w:rFonts w:eastAsiaTheme="minorEastAsia"/>
                <w:color w:val="auto"/>
                <w:sz w:val="18"/>
                <w:szCs w:val="18"/>
              </w:rPr>
            </w:pPr>
            <w:r>
              <w:rPr>
                <w:rFonts w:eastAsiaTheme="minorEastAsia"/>
                <w:color w:val="auto"/>
                <w:sz w:val="18"/>
                <w:szCs w:val="18"/>
              </w:rPr>
              <w:t>＜0.0012</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2.8</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24</w:t>
            </w:r>
          </w:p>
        </w:tc>
        <w:tc>
          <w:tcPr>
            <w:tcW w:w="850" w:type="dxa"/>
            <w:vAlign w:val="center"/>
          </w:tcPr>
          <w:p>
            <w:pPr>
              <w:jc w:val="center"/>
              <w:rPr>
                <w:rFonts w:eastAsiaTheme="minorEastAsia"/>
                <w:color w:val="auto"/>
                <w:sz w:val="18"/>
                <w:szCs w:val="18"/>
              </w:rPr>
            </w:pPr>
            <w:r>
              <w:rPr>
                <w:rFonts w:eastAsiaTheme="minorEastAsia"/>
                <w:color w:val="auto"/>
                <w:sz w:val="18"/>
                <w:szCs w:val="18"/>
              </w:rPr>
              <w:t>三氯乙烯</w:t>
            </w:r>
          </w:p>
        </w:tc>
        <w:tc>
          <w:tcPr>
            <w:tcW w:w="992" w:type="dxa"/>
            <w:vAlign w:val="center"/>
          </w:tcPr>
          <w:p>
            <w:pPr>
              <w:jc w:val="center"/>
              <w:rPr>
                <w:rFonts w:eastAsiaTheme="minorEastAsia"/>
                <w:color w:val="auto"/>
                <w:sz w:val="18"/>
                <w:szCs w:val="18"/>
              </w:rPr>
            </w:pPr>
            <w:r>
              <w:rPr>
                <w:rFonts w:eastAsiaTheme="minorEastAsia"/>
                <w:color w:val="auto"/>
                <w:sz w:val="18"/>
                <w:szCs w:val="18"/>
              </w:rPr>
              <w:t>＜0.0012</w:t>
            </w:r>
          </w:p>
        </w:tc>
        <w:tc>
          <w:tcPr>
            <w:tcW w:w="992"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04" w:type="dxa"/>
            <w:vAlign w:val="center"/>
          </w:tcPr>
          <w:p>
            <w:pPr>
              <w:jc w:val="center"/>
              <w:rPr>
                <w:rFonts w:eastAsiaTheme="minorEastAsia"/>
                <w:color w:val="auto"/>
                <w:sz w:val="18"/>
                <w:szCs w:val="18"/>
              </w:rPr>
            </w:pPr>
            <w:r>
              <w:rPr>
                <w:rFonts w:eastAsiaTheme="minorEastAsia"/>
                <w:color w:val="auto"/>
                <w:sz w:val="18"/>
                <w:szCs w:val="18"/>
              </w:rPr>
              <w:t>＜0.0012</w:t>
            </w:r>
          </w:p>
        </w:tc>
        <w:tc>
          <w:tcPr>
            <w:tcW w:w="1072"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2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91" w:type="dxa"/>
            <w:vAlign w:val="center"/>
          </w:tcPr>
          <w:p>
            <w:pPr>
              <w:jc w:val="center"/>
              <w:rPr>
                <w:rFonts w:eastAsiaTheme="minorEastAsia"/>
                <w:color w:val="auto"/>
                <w:sz w:val="18"/>
                <w:szCs w:val="18"/>
              </w:rPr>
            </w:pPr>
            <w:r>
              <w:rPr>
                <w:rFonts w:eastAsiaTheme="minorEastAsia"/>
                <w:color w:val="auto"/>
                <w:sz w:val="18"/>
                <w:szCs w:val="18"/>
              </w:rPr>
              <w:t>＜0.0012</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2.8</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25</w:t>
            </w:r>
          </w:p>
        </w:tc>
        <w:tc>
          <w:tcPr>
            <w:tcW w:w="850" w:type="dxa"/>
            <w:vAlign w:val="center"/>
          </w:tcPr>
          <w:p>
            <w:pPr>
              <w:jc w:val="center"/>
              <w:rPr>
                <w:rFonts w:eastAsiaTheme="minorEastAsia"/>
                <w:color w:val="auto"/>
                <w:sz w:val="18"/>
                <w:szCs w:val="18"/>
              </w:rPr>
            </w:pPr>
            <w:r>
              <w:rPr>
                <w:rFonts w:eastAsiaTheme="minorEastAsia"/>
                <w:color w:val="auto"/>
                <w:sz w:val="18"/>
                <w:szCs w:val="18"/>
              </w:rPr>
              <w:t>1,2,3-三氯丙烷</w:t>
            </w:r>
          </w:p>
        </w:tc>
        <w:tc>
          <w:tcPr>
            <w:tcW w:w="992" w:type="dxa"/>
            <w:vAlign w:val="center"/>
          </w:tcPr>
          <w:p>
            <w:pPr>
              <w:jc w:val="center"/>
              <w:rPr>
                <w:rFonts w:eastAsiaTheme="minorEastAsia"/>
                <w:color w:val="auto"/>
                <w:sz w:val="18"/>
                <w:szCs w:val="18"/>
              </w:rPr>
            </w:pPr>
            <w:r>
              <w:rPr>
                <w:rFonts w:eastAsiaTheme="minorEastAsia"/>
                <w:color w:val="auto"/>
                <w:sz w:val="18"/>
                <w:szCs w:val="18"/>
              </w:rPr>
              <w:t>＜0.0012</w:t>
            </w:r>
          </w:p>
        </w:tc>
        <w:tc>
          <w:tcPr>
            <w:tcW w:w="992"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04" w:type="dxa"/>
            <w:vAlign w:val="center"/>
          </w:tcPr>
          <w:p>
            <w:pPr>
              <w:jc w:val="center"/>
              <w:rPr>
                <w:rFonts w:eastAsiaTheme="minorEastAsia"/>
                <w:color w:val="auto"/>
                <w:sz w:val="18"/>
                <w:szCs w:val="18"/>
              </w:rPr>
            </w:pPr>
            <w:r>
              <w:rPr>
                <w:rFonts w:eastAsiaTheme="minorEastAsia"/>
                <w:color w:val="auto"/>
                <w:sz w:val="18"/>
                <w:szCs w:val="18"/>
              </w:rPr>
              <w:t>＜0.0012</w:t>
            </w:r>
          </w:p>
        </w:tc>
        <w:tc>
          <w:tcPr>
            <w:tcW w:w="1072"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2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91" w:type="dxa"/>
            <w:vAlign w:val="center"/>
          </w:tcPr>
          <w:p>
            <w:pPr>
              <w:jc w:val="center"/>
              <w:rPr>
                <w:rFonts w:eastAsiaTheme="minorEastAsia"/>
                <w:color w:val="auto"/>
                <w:sz w:val="18"/>
                <w:szCs w:val="18"/>
              </w:rPr>
            </w:pPr>
            <w:r>
              <w:rPr>
                <w:rFonts w:eastAsiaTheme="minorEastAsia"/>
                <w:color w:val="auto"/>
                <w:sz w:val="18"/>
                <w:szCs w:val="18"/>
              </w:rPr>
              <w:t>＜0.0012</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0.5</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26</w:t>
            </w:r>
          </w:p>
        </w:tc>
        <w:tc>
          <w:tcPr>
            <w:tcW w:w="850" w:type="dxa"/>
            <w:vAlign w:val="center"/>
          </w:tcPr>
          <w:p>
            <w:pPr>
              <w:jc w:val="center"/>
              <w:rPr>
                <w:rFonts w:eastAsiaTheme="minorEastAsia"/>
                <w:color w:val="auto"/>
                <w:sz w:val="18"/>
                <w:szCs w:val="18"/>
              </w:rPr>
            </w:pPr>
            <w:r>
              <w:rPr>
                <w:rFonts w:eastAsiaTheme="minorEastAsia"/>
                <w:color w:val="auto"/>
                <w:sz w:val="18"/>
                <w:szCs w:val="18"/>
              </w:rPr>
              <w:t>氯乙烯</w:t>
            </w:r>
          </w:p>
        </w:tc>
        <w:tc>
          <w:tcPr>
            <w:tcW w:w="992" w:type="dxa"/>
            <w:vAlign w:val="center"/>
          </w:tcPr>
          <w:p>
            <w:pPr>
              <w:jc w:val="center"/>
              <w:rPr>
                <w:rFonts w:eastAsiaTheme="minorEastAsia"/>
                <w:color w:val="auto"/>
                <w:sz w:val="18"/>
                <w:szCs w:val="18"/>
              </w:rPr>
            </w:pPr>
            <w:r>
              <w:rPr>
                <w:rFonts w:eastAsiaTheme="minorEastAsia"/>
                <w:color w:val="auto"/>
                <w:sz w:val="18"/>
                <w:szCs w:val="18"/>
              </w:rPr>
              <w:t>＜0.001</w:t>
            </w:r>
          </w:p>
        </w:tc>
        <w:tc>
          <w:tcPr>
            <w:tcW w:w="992" w:type="dxa"/>
            <w:vAlign w:val="center"/>
          </w:tcPr>
          <w:p>
            <w:pPr>
              <w:jc w:val="center"/>
              <w:rPr>
                <w:rFonts w:eastAsiaTheme="minorEastAsia"/>
                <w:color w:val="auto"/>
                <w:sz w:val="18"/>
                <w:szCs w:val="18"/>
              </w:rPr>
            </w:pPr>
            <w:r>
              <w:rPr>
                <w:rFonts w:eastAsiaTheme="minorEastAsia"/>
                <w:color w:val="auto"/>
                <w:sz w:val="18"/>
                <w:szCs w:val="18"/>
              </w:rPr>
              <w:t>＜0.001</w:t>
            </w:r>
          </w:p>
        </w:tc>
        <w:tc>
          <w:tcPr>
            <w:tcW w:w="958" w:type="dxa"/>
            <w:vAlign w:val="center"/>
          </w:tcPr>
          <w:p>
            <w:pPr>
              <w:jc w:val="center"/>
              <w:rPr>
                <w:rFonts w:eastAsiaTheme="minorEastAsia"/>
                <w:color w:val="auto"/>
                <w:sz w:val="18"/>
                <w:szCs w:val="18"/>
              </w:rPr>
            </w:pPr>
            <w:r>
              <w:rPr>
                <w:rFonts w:eastAsiaTheme="minorEastAsia"/>
                <w:color w:val="auto"/>
                <w:sz w:val="18"/>
                <w:szCs w:val="18"/>
              </w:rPr>
              <w:t>＜0.001</w:t>
            </w:r>
          </w:p>
        </w:tc>
        <w:tc>
          <w:tcPr>
            <w:tcW w:w="957" w:type="dxa"/>
            <w:vAlign w:val="center"/>
          </w:tcPr>
          <w:p>
            <w:pPr>
              <w:jc w:val="center"/>
              <w:rPr>
                <w:rFonts w:eastAsiaTheme="minorEastAsia"/>
                <w:color w:val="auto"/>
                <w:sz w:val="18"/>
                <w:szCs w:val="18"/>
              </w:rPr>
            </w:pPr>
            <w:r>
              <w:rPr>
                <w:rFonts w:eastAsiaTheme="minorEastAsia"/>
                <w:color w:val="auto"/>
                <w:sz w:val="18"/>
                <w:szCs w:val="18"/>
              </w:rPr>
              <w:t>＜0.001</w:t>
            </w:r>
          </w:p>
        </w:tc>
        <w:tc>
          <w:tcPr>
            <w:tcW w:w="957" w:type="dxa"/>
            <w:vAlign w:val="center"/>
          </w:tcPr>
          <w:p>
            <w:pPr>
              <w:jc w:val="center"/>
              <w:rPr>
                <w:rFonts w:eastAsiaTheme="minorEastAsia"/>
                <w:color w:val="auto"/>
                <w:sz w:val="18"/>
                <w:szCs w:val="18"/>
              </w:rPr>
            </w:pPr>
            <w:r>
              <w:rPr>
                <w:rFonts w:eastAsiaTheme="minorEastAsia"/>
                <w:color w:val="auto"/>
                <w:sz w:val="18"/>
                <w:szCs w:val="18"/>
              </w:rPr>
              <w:t>＜0.001</w:t>
            </w:r>
          </w:p>
        </w:tc>
        <w:tc>
          <w:tcPr>
            <w:tcW w:w="904" w:type="dxa"/>
            <w:vAlign w:val="center"/>
          </w:tcPr>
          <w:p>
            <w:pPr>
              <w:jc w:val="center"/>
              <w:rPr>
                <w:rFonts w:eastAsiaTheme="minorEastAsia"/>
                <w:color w:val="auto"/>
                <w:sz w:val="18"/>
                <w:szCs w:val="18"/>
              </w:rPr>
            </w:pPr>
            <w:r>
              <w:rPr>
                <w:rFonts w:eastAsiaTheme="minorEastAsia"/>
                <w:color w:val="auto"/>
                <w:sz w:val="18"/>
                <w:szCs w:val="18"/>
              </w:rPr>
              <w:t>＜0.001</w:t>
            </w:r>
          </w:p>
        </w:tc>
        <w:tc>
          <w:tcPr>
            <w:tcW w:w="1072" w:type="dxa"/>
            <w:vAlign w:val="center"/>
          </w:tcPr>
          <w:p>
            <w:pPr>
              <w:jc w:val="center"/>
              <w:rPr>
                <w:rFonts w:eastAsiaTheme="minorEastAsia"/>
                <w:color w:val="auto"/>
                <w:sz w:val="18"/>
                <w:szCs w:val="18"/>
              </w:rPr>
            </w:pPr>
            <w:r>
              <w:rPr>
                <w:rFonts w:eastAsiaTheme="minorEastAsia"/>
                <w:color w:val="auto"/>
                <w:sz w:val="18"/>
                <w:szCs w:val="18"/>
              </w:rPr>
              <w:t>＜0.001</w:t>
            </w:r>
          </w:p>
        </w:tc>
        <w:tc>
          <w:tcPr>
            <w:tcW w:w="957" w:type="dxa"/>
            <w:vAlign w:val="center"/>
          </w:tcPr>
          <w:p>
            <w:pPr>
              <w:jc w:val="center"/>
              <w:rPr>
                <w:rFonts w:eastAsiaTheme="minorEastAsia"/>
                <w:color w:val="auto"/>
                <w:sz w:val="18"/>
                <w:szCs w:val="18"/>
              </w:rPr>
            </w:pPr>
            <w:r>
              <w:rPr>
                <w:rFonts w:eastAsiaTheme="minorEastAsia"/>
                <w:color w:val="auto"/>
                <w:sz w:val="18"/>
                <w:szCs w:val="18"/>
              </w:rPr>
              <w:t>＜0.001</w:t>
            </w:r>
          </w:p>
        </w:tc>
        <w:tc>
          <w:tcPr>
            <w:tcW w:w="957" w:type="dxa"/>
            <w:vAlign w:val="center"/>
          </w:tcPr>
          <w:p>
            <w:pPr>
              <w:jc w:val="center"/>
              <w:rPr>
                <w:rFonts w:eastAsiaTheme="minorEastAsia"/>
                <w:color w:val="auto"/>
                <w:sz w:val="18"/>
                <w:szCs w:val="18"/>
              </w:rPr>
            </w:pPr>
            <w:r>
              <w:rPr>
                <w:rFonts w:eastAsiaTheme="minorEastAsia"/>
                <w:color w:val="auto"/>
                <w:sz w:val="18"/>
                <w:szCs w:val="18"/>
              </w:rPr>
              <w:t>＜0.001</w:t>
            </w:r>
          </w:p>
        </w:tc>
        <w:tc>
          <w:tcPr>
            <w:tcW w:w="958" w:type="dxa"/>
            <w:vAlign w:val="center"/>
          </w:tcPr>
          <w:p>
            <w:pPr>
              <w:jc w:val="center"/>
              <w:rPr>
                <w:rFonts w:eastAsiaTheme="minorEastAsia"/>
                <w:color w:val="auto"/>
                <w:sz w:val="18"/>
                <w:szCs w:val="18"/>
              </w:rPr>
            </w:pPr>
            <w:r>
              <w:rPr>
                <w:rFonts w:eastAsiaTheme="minorEastAsia"/>
                <w:color w:val="auto"/>
                <w:sz w:val="18"/>
                <w:szCs w:val="18"/>
              </w:rPr>
              <w:t>＜0.001</w:t>
            </w:r>
          </w:p>
        </w:tc>
        <w:tc>
          <w:tcPr>
            <w:tcW w:w="927" w:type="dxa"/>
            <w:vAlign w:val="center"/>
          </w:tcPr>
          <w:p>
            <w:pPr>
              <w:jc w:val="center"/>
              <w:rPr>
                <w:rFonts w:eastAsiaTheme="minorEastAsia"/>
                <w:color w:val="auto"/>
                <w:sz w:val="18"/>
                <w:szCs w:val="18"/>
              </w:rPr>
            </w:pPr>
            <w:r>
              <w:rPr>
                <w:rFonts w:eastAsiaTheme="minorEastAsia"/>
                <w:color w:val="auto"/>
                <w:sz w:val="18"/>
                <w:szCs w:val="18"/>
              </w:rPr>
              <w:t>＜0.001</w:t>
            </w:r>
          </w:p>
        </w:tc>
        <w:tc>
          <w:tcPr>
            <w:tcW w:w="957" w:type="dxa"/>
            <w:vAlign w:val="center"/>
          </w:tcPr>
          <w:p>
            <w:pPr>
              <w:jc w:val="center"/>
              <w:rPr>
                <w:rFonts w:eastAsiaTheme="minorEastAsia"/>
                <w:color w:val="auto"/>
                <w:sz w:val="18"/>
                <w:szCs w:val="18"/>
              </w:rPr>
            </w:pPr>
            <w:r>
              <w:rPr>
                <w:rFonts w:eastAsiaTheme="minorEastAsia"/>
                <w:color w:val="auto"/>
                <w:sz w:val="18"/>
                <w:szCs w:val="18"/>
              </w:rPr>
              <w:t>＜0.001</w:t>
            </w:r>
          </w:p>
        </w:tc>
        <w:tc>
          <w:tcPr>
            <w:tcW w:w="958" w:type="dxa"/>
            <w:vAlign w:val="center"/>
          </w:tcPr>
          <w:p>
            <w:pPr>
              <w:jc w:val="center"/>
              <w:rPr>
                <w:rFonts w:eastAsiaTheme="minorEastAsia"/>
                <w:color w:val="auto"/>
                <w:sz w:val="18"/>
                <w:szCs w:val="18"/>
              </w:rPr>
            </w:pPr>
            <w:r>
              <w:rPr>
                <w:rFonts w:eastAsiaTheme="minorEastAsia"/>
                <w:color w:val="auto"/>
                <w:sz w:val="18"/>
                <w:szCs w:val="18"/>
              </w:rPr>
              <w:t>＜0.001</w:t>
            </w:r>
          </w:p>
        </w:tc>
        <w:tc>
          <w:tcPr>
            <w:tcW w:w="957" w:type="dxa"/>
            <w:vAlign w:val="center"/>
          </w:tcPr>
          <w:p>
            <w:pPr>
              <w:jc w:val="center"/>
              <w:rPr>
                <w:rFonts w:eastAsiaTheme="minorEastAsia"/>
                <w:color w:val="auto"/>
                <w:sz w:val="18"/>
                <w:szCs w:val="18"/>
              </w:rPr>
            </w:pPr>
            <w:r>
              <w:rPr>
                <w:rFonts w:eastAsiaTheme="minorEastAsia"/>
                <w:color w:val="auto"/>
                <w:sz w:val="18"/>
                <w:szCs w:val="18"/>
              </w:rPr>
              <w:t>＜0.001</w:t>
            </w:r>
          </w:p>
        </w:tc>
        <w:tc>
          <w:tcPr>
            <w:tcW w:w="957" w:type="dxa"/>
            <w:vAlign w:val="center"/>
          </w:tcPr>
          <w:p>
            <w:pPr>
              <w:jc w:val="center"/>
              <w:rPr>
                <w:rFonts w:eastAsiaTheme="minorEastAsia"/>
                <w:color w:val="auto"/>
                <w:sz w:val="18"/>
                <w:szCs w:val="18"/>
              </w:rPr>
            </w:pPr>
            <w:r>
              <w:rPr>
                <w:rFonts w:eastAsiaTheme="minorEastAsia"/>
                <w:color w:val="auto"/>
                <w:sz w:val="18"/>
                <w:szCs w:val="18"/>
              </w:rPr>
              <w:t>＜0.001</w:t>
            </w:r>
          </w:p>
        </w:tc>
        <w:tc>
          <w:tcPr>
            <w:tcW w:w="991" w:type="dxa"/>
            <w:vAlign w:val="center"/>
          </w:tcPr>
          <w:p>
            <w:pPr>
              <w:jc w:val="center"/>
              <w:rPr>
                <w:rFonts w:eastAsiaTheme="minorEastAsia"/>
                <w:color w:val="auto"/>
                <w:sz w:val="18"/>
                <w:szCs w:val="18"/>
              </w:rPr>
            </w:pPr>
            <w:r>
              <w:rPr>
                <w:rFonts w:eastAsiaTheme="minorEastAsia"/>
                <w:color w:val="auto"/>
                <w:sz w:val="18"/>
                <w:szCs w:val="18"/>
              </w:rPr>
              <w:t>＜0.001</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0.43</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27</w:t>
            </w:r>
          </w:p>
        </w:tc>
        <w:tc>
          <w:tcPr>
            <w:tcW w:w="850" w:type="dxa"/>
            <w:vAlign w:val="center"/>
          </w:tcPr>
          <w:p>
            <w:pPr>
              <w:jc w:val="center"/>
              <w:rPr>
                <w:rFonts w:eastAsiaTheme="minorEastAsia"/>
                <w:color w:val="auto"/>
                <w:sz w:val="18"/>
                <w:szCs w:val="18"/>
              </w:rPr>
            </w:pPr>
            <w:r>
              <w:rPr>
                <w:rFonts w:eastAsiaTheme="minorEastAsia"/>
                <w:color w:val="auto"/>
                <w:sz w:val="18"/>
                <w:szCs w:val="18"/>
              </w:rPr>
              <w:t>苯</w:t>
            </w:r>
          </w:p>
        </w:tc>
        <w:tc>
          <w:tcPr>
            <w:tcW w:w="992" w:type="dxa"/>
            <w:vAlign w:val="center"/>
          </w:tcPr>
          <w:p>
            <w:pPr>
              <w:jc w:val="center"/>
              <w:rPr>
                <w:rFonts w:eastAsiaTheme="minorEastAsia"/>
                <w:color w:val="auto"/>
                <w:sz w:val="18"/>
                <w:szCs w:val="18"/>
              </w:rPr>
            </w:pPr>
            <w:r>
              <w:rPr>
                <w:rFonts w:eastAsiaTheme="minorEastAsia"/>
                <w:color w:val="auto"/>
                <w:sz w:val="18"/>
                <w:szCs w:val="18"/>
              </w:rPr>
              <w:t>＜0.0019</w:t>
            </w:r>
          </w:p>
        </w:tc>
        <w:tc>
          <w:tcPr>
            <w:tcW w:w="992" w:type="dxa"/>
            <w:vAlign w:val="center"/>
          </w:tcPr>
          <w:p>
            <w:pPr>
              <w:jc w:val="center"/>
              <w:rPr>
                <w:rFonts w:eastAsiaTheme="minorEastAsia"/>
                <w:color w:val="auto"/>
                <w:sz w:val="18"/>
                <w:szCs w:val="18"/>
              </w:rPr>
            </w:pPr>
            <w:r>
              <w:rPr>
                <w:rFonts w:eastAsiaTheme="minorEastAsia"/>
                <w:color w:val="auto"/>
                <w:sz w:val="18"/>
                <w:szCs w:val="18"/>
              </w:rPr>
              <w:t>＜0.0019</w:t>
            </w:r>
          </w:p>
        </w:tc>
        <w:tc>
          <w:tcPr>
            <w:tcW w:w="958" w:type="dxa"/>
            <w:vAlign w:val="center"/>
          </w:tcPr>
          <w:p>
            <w:pPr>
              <w:jc w:val="center"/>
              <w:rPr>
                <w:rFonts w:eastAsiaTheme="minorEastAsia"/>
                <w:color w:val="auto"/>
                <w:sz w:val="18"/>
                <w:szCs w:val="18"/>
              </w:rPr>
            </w:pPr>
            <w:r>
              <w:rPr>
                <w:rFonts w:eastAsiaTheme="minorEastAsia"/>
                <w:color w:val="auto"/>
                <w:sz w:val="18"/>
                <w:szCs w:val="18"/>
              </w:rPr>
              <w:t>＜0.0019</w:t>
            </w:r>
          </w:p>
        </w:tc>
        <w:tc>
          <w:tcPr>
            <w:tcW w:w="957" w:type="dxa"/>
            <w:vAlign w:val="center"/>
          </w:tcPr>
          <w:p>
            <w:pPr>
              <w:jc w:val="center"/>
              <w:rPr>
                <w:rFonts w:eastAsiaTheme="minorEastAsia"/>
                <w:color w:val="auto"/>
                <w:sz w:val="18"/>
                <w:szCs w:val="18"/>
              </w:rPr>
            </w:pPr>
            <w:r>
              <w:rPr>
                <w:rFonts w:eastAsiaTheme="minorEastAsia"/>
                <w:color w:val="auto"/>
                <w:sz w:val="18"/>
                <w:szCs w:val="18"/>
              </w:rPr>
              <w:t>0.0022</w:t>
            </w:r>
          </w:p>
        </w:tc>
        <w:tc>
          <w:tcPr>
            <w:tcW w:w="957" w:type="dxa"/>
            <w:vAlign w:val="center"/>
          </w:tcPr>
          <w:p>
            <w:pPr>
              <w:jc w:val="center"/>
              <w:rPr>
                <w:rFonts w:eastAsiaTheme="minorEastAsia"/>
                <w:color w:val="auto"/>
                <w:sz w:val="18"/>
                <w:szCs w:val="18"/>
              </w:rPr>
            </w:pPr>
            <w:r>
              <w:rPr>
                <w:rFonts w:eastAsiaTheme="minorEastAsia"/>
                <w:color w:val="auto"/>
                <w:sz w:val="18"/>
                <w:szCs w:val="18"/>
              </w:rPr>
              <w:t>0.0021</w:t>
            </w:r>
          </w:p>
        </w:tc>
        <w:tc>
          <w:tcPr>
            <w:tcW w:w="904" w:type="dxa"/>
            <w:vAlign w:val="center"/>
          </w:tcPr>
          <w:p>
            <w:pPr>
              <w:jc w:val="center"/>
              <w:rPr>
                <w:rFonts w:eastAsiaTheme="minorEastAsia"/>
                <w:color w:val="auto"/>
                <w:sz w:val="18"/>
                <w:szCs w:val="18"/>
              </w:rPr>
            </w:pPr>
            <w:r>
              <w:rPr>
                <w:rFonts w:eastAsiaTheme="minorEastAsia"/>
                <w:color w:val="auto"/>
                <w:sz w:val="18"/>
                <w:szCs w:val="18"/>
              </w:rPr>
              <w:t>0.0022</w:t>
            </w:r>
          </w:p>
        </w:tc>
        <w:tc>
          <w:tcPr>
            <w:tcW w:w="1072" w:type="dxa"/>
            <w:vAlign w:val="center"/>
          </w:tcPr>
          <w:p>
            <w:pPr>
              <w:jc w:val="center"/>
              <w:rPr>
                <w:rFonts w:eastAsiaTheme="minorEastAsia"/>
                <w:color w:val="auto"/>
                <w:sz w:val="18"/>
                <w:szCs w:val="18"/>
              </w:rPr>
            </w:pPr>
            <w:r>
              <w:rPr>
                <w:rFonts w:eastAsiaTheme="minorEastAsia"/>
                <w:color w:val="auto"/>
                <w:sz w:val="18"/>
                <w:szCs w:val="18"/>
              </w:rPr>
              <w:t>0.0025</w:t>
            </w:r>
          </w:p>
        </w:tc>
        <w:tc>
          <w:tcPr>
            <w:tcW w:w="957" w:type="dxa"/>
            <w:vAlign w:val="center"/>
          </w:tcPr>
          <w:p>
            <w:pPr>
              <w:jc w:val="center"/>
              <w:rPr>
                <w:rFonts w:eastAsiaTheme="minorEastAsia"/>
                <w:color w:val="auto"/>
                <w:sz w:val="18"/>
                <w:szCs w:val="18"/>
              </w:rPr>
            </w:pPr>
            <w:r>
              <w:rPr>
                <w:rFonts w:eastAsiaTheme="minorEastAsia"/>
                <w:color w:val="auto"/>
                <w:sz w:val="18"/>
                <w:szCs w:val="18"/>
              </w:rPr>
              <w:t>0.0022</w:t>
            </w:r>
          </w:p>
        </w:tc>
        <w:tc>
          <w:tcPr>
            <w:tcW w:w="957" w:type="dxa"/>
            <w:vAlign w:val="center"/>
          </w:tcPr>
          <w:p>
            <w:pPr>
              <w:jc w:val="center"/>
              <w:rPr>
                <w:rFonts w:eastAsiaTheme="minorEastAsia"/>
                <w:color w:val="auto"/>
                <w:sz w:val="18"/>
                <w:szCs w:val="18"/>
              </w:rPr>
            </w:pPr>
            <w:r>
              <w:rPr>
                <w:rFonts w:eastAsiaTheme="minorEastAsia"/>
                <w:color w:val="auto"/>
                <w:sz w:val="18"/>
                <w:szCs w:val="18"/>
              </w:rPr>
              <w:t>0.0026</w:t>
            </w:r>
          </w:p>
        </w:tc>
        <w:tc>
          <w:tcPr>
            <w:tcW w:w="958" w:type="dxa"/>
            <w:vAlign w:val="center"/>
          </w:tcPr>
          <w:p>
            <w:pPr>
              <w:jc w:val="center"/>
              <w:rPr>
                <w:rFonts w:eastAsiaTheme="minorEastAsia"/>
                <w:color w:val="auto"/>
                <w:sz w:val="18"/>
                <w:szCs w:val="18"/>
              </w:rPr>
            </w:pPr>
            <w:r>
              <w:rPr>
                <w:rFonts w:eastAsiaTheme="minorEastAsia"/>
                <w:color w:val="auto"/>
                <w:sz w:val="18"/>
                <w:szCs w:val="18"/>
              </w:rPr>
              <w:t>＜0.0019</w:t>
            </w:r>
          </w:p>
        </w:tc>
        <w:tc>
          <w:tcPr>
            <w:tcW w:w="927" w:type="dxa"/>
            <w:vAlign w:val="center"/>
          </w:tcPr>
          <w:p>
            <w:pPr>
              <w:jc w:val="center"/>
              <w:rPr>
                <w:rFonts w:eastAsiaTheme="minorEastAsia"/>
                <w:color w:val="auto"/>
                <w:sz w:val="18"/>
                <w:szCs w:val="18"/>
              </w:rPr>
            </w:pPr>
            <w:r>
              <w:rPr>
                <w:rFonts w:eastAsiaTheme="minorEastAsia"/>
                <w:color w:val="auto"/>
                <w:sz w:val="18"/>
                <w:szCs w:val="18"/>
              </w:rPr>
              <w:t>＜0.0019</w:t>
            </w:r>
          </w:p>
        </w:tc>
        <w:tc>
          <w:tcPr>
            <w:tcW w:w="957" w:type="dxa"/>
            <w:vAlign w:val="center"/>
          </w:tcPr>
          <w:p>
            <w:pPr>
              <w:jc w:val="center"/>
              <w:rPr>
                <w:rFonts w:eastAsiaTheme="minorEastAsia"/>
                <w:color w:val="auto"/>
                <w:sz w:val="18"/>
                <w:szCs w:val="18"/>
              </w:rPr>
            </w:pPr>
            <w:r>
              <w:rPr>
                <w:rFonts w:eastAsiaTheme="minorEastAsia"/>
                <w:color w:val="auto"/>
                <w:sz w:val="18"/>
                <w:szCs w:val="18"/>
              </w:rPr>
              <w:t>0.0026</w:t>
            </w:r>
          </w:p>
        </w:tc>
        <w:tc>
          <w:tcPr>
            <w:tcW w:w="958" w:type="dxa"/>
            <w:vAlign w:val="center"/>
          </w:tcPr>
          <w:p>
            <w:pPr>
              <w:jc w:val="center"/>
              <w:rPr>
                <w:rFonts w:eastAsiaTheme="minorEastAsia"/>
                <w:color w:val="auto"/>
                <w:sz w:val="18"/>
                <w:szCs w:val="18"/>
              </w:rPr>
            </w:pPr>
            <w:r>
              <w:rPr>
                <w:rFonts w:eastAsiaTheme="minorEastAsia"/>
                <w:color w:val="auto"/>
                <w:sz w:val="18"/>
                <w:szCs w:val="18"/>
              </w:rPr>
              <w:t>0.0023</w:t>
            </w:r>
          </w:p>
        </w:tc>
        <w:tc>
          <w:tcPr>
            <w:tcW w:w="957" w:type="dxa"/>
            <w:vAlign w:val="center"/>
          </w:tcPr>
          <w:p>
            <w:pPr>
              <w:jc w:val="center"/>
              <w:rPr>
                <w:rFonts w:eastAsiaTheme="minorEastAsia"/>
                <w:color w:val="auto"/>
                <w:sz w:val="18"/>
                <w:szCs w:val="18"/>
              </w:rPr>
            </w:pPr>
            <w:r>
              <w:rPr>
                <w:rFonts w:eastAsiaTheme="minorEastAsia"/>
                <w:color w:val="auto"/>
                <w:sz w:val="18"/>
                <w:szCs w:val="18"/>
              </w:rPr>
              <w:t>＜0.0019</w:t>
            </w:r>
          </w:p>
        </w:tc>
        <w:tc>
          <w:tcPr>
            <w:tcW w:w="957" w:type="dxa"/>
            <w:vAlign w:val="center"/>
          </w:tcPr>
          <w:p>
            <w:pPr>
              <w:jc w:val="center"/>
              <w:rPr>
                <w:rFonts w:eastAsiaTheme="minorEastAsia"/>
                <w:color w:val="auto"/>
                <w:sz w:val="18"/>
                <w:szCs w:val="18"/>
              </w:rPr>
            </w:pPr>
            <w:r>
              <w:rPr>
                <w:rFonts w:eastAsiaTheme="minorEastAsia"/>
                <w:color w:val="auto"/>
                <w:sz w:val="18"/>
                <w:szCs w:val="18"/>
              </w:rPr>
              <w:t>＜0.0019</w:t>
            </w:r>
          </w:p>
        </w:tc>
        <w:tc>
          <w:tcPr>
            <w:tcW w:w="991" w:type="dxa"/>
            <w:vAlign w:val="center"/>
          </w:tcPr>
          <w:p>
            <w:pPr>
              <w:jc w:val="center"/>
              <w:rPr>
                <w:rFonts w:eastAsiaTheme="minorEastAsia"/>
                <w:color w:val="auto"/>
                <w:sz w:val="18"/>
                <w:szCs w:val="18"/>
              </w:rPr>
            </w:pPr>
            <w:r>
              <w:rPr>
                <w:rFonts w:eastAsiaTheme="minorEastAsia"/>
                <w:color w:val="auto"/>
                <w:sz w:val="18"/>
                <w:szCs w:val="18"/>
              </w:rPr>
              <w:t>0.0030</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4</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28</w:t>
            </w:r>
          </w:p>
        </w:tc>
        <w:tc>
          <w:tcPr>
            <w:tcW w:w="850" w:type="dxa"/>
            <w:vAlign w:val="center"/>
          </w:tcPr>
          <w:p>
            <w:pPr>
              <w:jc w:val="center"/>
              <w:rPr>
                <w:rFonts w:eastAsiaTheme="minorEastAsia"/>
                <w:color w:val="auto"/>
                <w:sz w:val="18"/>
                <w:szCs w:val="18"/>
              </w:rPr>
            </w:pPr>
            <w:r>
              <w:rPr>
                <w:rFonts w:eastAsiaTheme="minorEastAsia"/>
                <w:color w:val="auto"/>
                <w:sz w:val="18"/>
                <w:szCs w:val="18"/>
              </w:rPr>
              <w:t>氯苯</w:t>
            </w:r>
          </w:p>
        </w:tc>
        <w:tc>
          <w:tcPr>
            <w:tcW w:w="992" w:type="dxa"/>
            <w:vAlign w:val="center"/>
          </w:tcPr>
          <w:p>
            <w:pPr>
              <w:jc w:val="center"/>
              <w:rPr>
                <w:rFonts w:eastAsiaTheme="minorEastAsia"/>
                <w:color w:val="auto"/>
                <w:sz w:val="18"/>
                <w:szCs w:val="18"/>
              </w:rPr>
            </w:pPr>
            <w:r>
              <w:rPr>
                <w:rFonts w:eastAsiaTheme="minorEastAsia"/>
                <w:color w:val="auto"/>
                <w:sz w:val="18"/>
                <w:szCs w:val="18"/>
              </w:rPr>
              <w:t>＜0.0012</w:t>
            </w:r>
          </w:p>
        </w:tc>
        <w:tc>
          <w:tcPr>
            <w:tcW w:w="992"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04" w:type="dxa"/>
            <w:vAlign w:val="center"/>
          </w:tcPr>
          <w:p>
            <w:pPr>
              <w:jc w:val="center"/>
              <w:rPr>
                <w:rFonts w:eastAsiaTheme="minorEastAsia"/>
                <w:color w:val="auto"/>
                <w:sz w:val="18"/>
                <w:szCs w:val="18"/>
              </w:rPr>
            </w:pPr>
            <w:r>
              <w:rPr>
                <w:rFonts w:eastAsiaTheme="minorEastAsia"/>
                <w:color w:val="auto"/>
                <w:sz w:val="18"/>
                <w:szCs w:val="18"/>
              </w:rPr>
              <w:t>＜0.0012</w:t>
            </w:r>
          </w:p>
        </w:tc>
        <w:tc>
          <w:tcPr>
            <w:tcW w:w="1072"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2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91" w:type="dxa"/>
            <w:vAlign w:val="center"/>
          </w:tcPr>
          <w:p>
            <w:pPr>
              <w:jc w:val="center"/>
              <w:rPr>
                <w:rFonts w:eastAsiaTheme="minorEastAsia"/>
                <w:color w:val="auto"/>
                <w:sz w:val="18"/>
                <w:szCs w:val="18"/>
              </w:rPr>
            </w:pPr>
            <w:r>
              <w:rPr>
                <w:rFonts w:eastAsiaTheme="minorEastAsia"/>
                <w:color w:val="auto"/>
                <w:sz w:val="18"/>
                <w:szCs w:val="18"/>
              </w:rPr>
              <w:t>＜0.0012</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270</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29</w:t>
            </w:r>
          </w:p>
        </w:tc>
        <w:tc>
          <w:tcPr>
            <w:tcW w:w="850" w:type="dxa"/>
            <w:vAlign w:val="center"/>
          </w:tcPr>
          <w:p>
            <w:pPr>
              <w:jc w:val="center"/>
              <w:rPr>
                <w:rFonts w:eastAsiaTheme="minorEastAsia"/>
                <w:color w:val="auto"/>
                <w:sz w:val="18"/>
                <w:szCs w:val="18"/>
              </w:rPr>
            </w:pPr>
            <w:r>
              <w:rPr>
                <w:rFonts w:eastAsiaTheme="minorEastAsia"/>
                <w:color w:val="auto"/>
                <w:sz w:val="18"/>
                <w:szCs w:val="18"/>
              </w:rPr>
              <w:t>1,2-二氯苯</w:t>
            </w:r>
          </w:p>
        </w:tc>
        <w:tc>
          <w:tcPr>
            <w:tcW w:w="992" w:type="dxa"/>
            <w:vAlign w:val="center"/>
          </w:tcPr>
          <w:p>
            <w:pPr>
              <w:jc w:val="center"/>
              <w:rPr>
                <w:rFonts w:eastAsiaTheme="minorEastAsia"/>
                <w:color w:val="auto"/>
                <w:sz w:val="18"/>
                <w:szCs w:val="18"/>
              </w:rPr>
            </w:pPr>
            <w:r>
              <w:rPr>
                <w:rFonts w:eastAsiaTheme="minorEastAsia"/>
                <w:color w:val="auto"/>
                <w:sz w:val="18"/>
                <w:szCs w:val="18"/>
              </w:rPr>
              <w:t>＜0.0015</w:t>
            </w:r>
          </w:p>
        </w:tc>
        <w:tc>
          <w:tcPr>
            <w:tcW w:w="992" w:type="dxa"/>
            <w:vAlign w:val="center"/>
          </w:tcPr>
          <w:p>
            <w:pPr>
              <w:jc w:val="center"/>
              <w:rPr>
                <w:rFonts w:eastAsiaTheme="minorEastAsia"/>
                <w:color w:val="auto"/>
                <w:sz w:val="18"/>
                <w:szCs w:val="18"/>
              </w:rPr>
            </w:pPr>
            <w:r>
              <w:rPr>
                <w:rFonts w:eastAsiaTheme="minorEastAsia"/>
                <w:color w:val="auto"/>
                <w:sz w:val="18"/>
                <w:szCs w:val="18"/>
              </w:rPr>
              <w:t>＜0.0015</w:t>
            </w:r>
          </w:p>
        </w:tc>
        <w:tc>
          <w:tcPr>
            <w:tcW w:w="958" w:type="dxa"/>
            <w:vAlign w:val="center"/>
          </w:tcPr>
          <w:p>
            <w:pPr>
              <w:jc w:val="center"/>
              <w:rPr>
                <w:rFonts w:eastAsiaTheme="minorEastAsia"/>
                <w:color w:val="auto"/>
                <w:sz w:val="18"/>
                <w:szCs w:val="18"/>
              </w:rPr>
            </w:pPr>
            <w:r>
              <w:rPr>
                <w:rFonts w:eastAsiaTheme="minorEastAsia"/>
                <w:color w:val="auto"/>
                <w:sz w:val="18"/>
                <w:szCs w:val="18"/>
              </w:rPr>
              <w:t>＜0.0015</w:t>
            </w:r>
          </w:p>
        </w:tc>
        <w:tc>
          <w:tcPr>
            <w:tcW w:w="957" w:type="dxa"/>
            <w:vAlign w:val="center"/>
          </w:tcPr>
          <w:p>
            <w:pPr>
              <w:jc w:val="center"/>
              <w:rPr>
                <w:rFonts w:eastAsiaTheme="minorEastAsia"/>
                <w:color w:val="auto"/>
                <w:sz w:val="18"/>
                <w:szCs w:val="18"/>
              </w:rPr>
            </w:pPr>
            <w:r>
              <w:rPr>
                <w:rFonts w:eastAsiaTheme="minorEastAsia"/>
                <w:color w:val="auto"/>
                <w:sz w:val="18"/>
                <w:szCs w:val="18"/>
              </w:rPr>
              <w:t>＜0.0015</w:t>
            </w:r>
          </w:p>
        </w:tc>
        <w:tc>
          <w:tcPr>
            <w:tcW w:w="957" w:type="dxa"/>
            <w:vAlign w:val="center"/>
          </w:tcPr>
          <w:p>
            <w:pPr>
              <w:jc w:val="center"/>
              <w:rPr>
                <w:rFonts w:eastAsiaTheme="minorEastAsia"/>
                <w:color w:val="auto"/>
                <w:sz w:val="18"/>
                <w:szCs w:val="18"/>
              </w:rPr>
            </w:pPr>
            <w:r>
              <w:rPr>
                <w:rFonts w:eastAsiaTheme="minorEastAsia"/>
                <w:color w:val="auto"/>
                <w:sz w:val="18"/>
                <w:szCs w:val="18"/>
              </w:rPr>
              <w:t>＜0.0015</w:t>
            </w:r>
          </w:p>
        </w:tc>
        <w:tc>
          <w:tcPr>
            <w:tcW w:w="904" w:type="dxa"/>
            <w:vAlign w:val="center"/>
          </w:tcPr>
          <w:p>
            <w:pPr>
              <w:jc w:val="center"/>
              <w:rPr>
                <w:rFonts w:eastAsiaTheme="minorEastAsia"/>
                <w:color w:val="auto"/>
                <w:sz w:val="18"/>
                <w:szCs w:val="18"/>
              </w:rPr>
            </w:pPr>
            <w:r>
              <w:rPr>
                <w:rFonts w:eastAsiaTheme="minorEastAsia"/>
                <w:color w:val="auto"/>
                <w:sz w:val="18"/>
                <w:szCs w:val="18"/>
              </w:rPr>
              <w:t>＜0.0015</w:t>
            </w:r>
          </w:p>
        </w:tc>
        <w:tc>
          <w:tcPr>
            <w:tcW w:w="1072" w:type="dxa"/>
            <w:vAlign w:val="center"/>
          </w:tcPr>
          <w:p>
            <w:pPr>
              <w:jc w:val="center"/>
              <w:rPr>
                <w:rFonts w:eastAsiaTheme="minorEastAsia"/>
                <w:color w:val="auto"/>
                <w:sz w:val="18"/>
                <w:szCs w:val="18"/>
              </w:rPr>
            </w:pPr>
            <w:r>
              <w:rPr>
                <w:rFonts w:eastAsiaTheme="minorEastAsia"/>
                <w:color w:val="auto"/>
                <w:sz w:val="18"/>
                <w:szCs w:val="18"/>
              </w:rPr>
              <w:t>＜0.0015</w:t>
            </w:r>
          </w:p>
        </w:tc>
        <w:tc>
          <w:tcPr>
            <w:tcW w:w="957" w:type="dxa"/>
            <w:vAlign w:val="center"/>
          </w:tcPr>
          <w:p>
            <w:pPr>
              <w:jc w:val="center"/>
              <w:rPr>
                <w:rFonts w:eastAsiaTheme="minorEastAsia"/>
                <w:color w:val="auto"/>
                <w:sz w:val="18"/>
                <w:szCs w:val="18"/>
              </w:rPr>
            </w:pPr>
            <w:r>
              <w:rPr>
                <w:rFonts w:eastAsiaTheme="minorEastAsia"/>
                <w:color w:val="auto"/>
                <w:sz w:val="18"/>
                <w:szCs w:val="18"/>
              </w:rPr>
              <w:t>＜0.0015</w:t>
            </w:r>
          </w:p>
        </w:tc>
        <w:tc>
          <w:tcPr>
            <w:tcW w:w="957" w:type="dxa"/>
            <w:vAlign w:val="center"/>
          </w:tcPr>
          <w:p>
            <w:pPr>
              <w:jc w:val="center"/>
              <w:rPr>
                <w:rFonts w:eastAsiaTheme="minorEastAsia"/>
                <w:color w:val="auto"/>
                <w:sz w:val="18"/>
                <w:szCs w:val="18"/>
              </w:rPr>
            </w:pPr>
            <w:r>
              <w:rPr>
                <w:rFonts w:eastAsiaTheme="minorEastAsia"/>
                <w:color w:val="auto"/>
                <w:sz w:val="18"/>
                <w:szCs w:val="18"/>
              </w:rPr>
              <w:t>＜0.0015</w:t>
            </w:r>
          </w:p>
        </w:tc>
        <w:tc>
          <w:tcPr>
            <w:tcW w:w="958" w:type="dxa"/>
            <w:vAlign w:val="center"/>
          </w:tcPr>
          <w:p>
            <w:pPr>
              <w:jc w:val="center"/>
              <w:rPr>
                <w:rFonts w:eastAsiaTheme="minorEastAsia"/>
                <w:color w:val="auto"/>
                <w:sz w:val="18"/>
                <w:szCs w:val="18"/>
              </w:rPr>
            </w:pPr>
            <w:r>
              <w:rPr>
                <w:rFonts w:eastAsiaTheme="minorEastAsia"/>
                <w:color w:val="auto"/>
                <w:sz w:val="18"/>
                <w:szCs w:val="18"/>
              </w:rPr>
              <w:t>＜0.0015</w:t>
            </w:r>
          </w:p>
        </w:tc>
        <w:tc>
          <w:tcPr>
            <w:tcW w:w="927" w:type="dxa"/>
            <w:vAlign w:val="center"/>
          </w:tcPr>
          <w:p>
            <w:pPr>
              <w:jc w:val="center"/>
              <w:rPr>
                <w:rFonts w:eastAsiaTheme="minorEastAsia"/>
                <w:color w:val="auto"/>
                <w:sz w:val="18"/>
                <w:szCs w:val="18"/>
              </w:rPr>
            </w:pPr>
            <w:r>
              <w:rPr>
                <w:rFonts w:eastAsiaTheme="minorEastAsia"/>
                <w:color w:val="auto"/>
                <w:sz w:val="18"/>
                <w:szCs w:val="18"/>
              </w:rPr>
              <w:t>＜0.0015</w:t>
            </w:r>
          </w:p>
        </w:tc>
        <w:tc>
          <w:tcPr>
            <w:tcW w:w="957" w:type="dxa"/>
            <w:vAlign w:val="center"/>
          </w:tcPr>
          <w:p>
            <w:pPr>
              <w:jc w:val="center"/>
              <w:rPr>
                <w:rFonts w:eastAsiaTheme="minorEastAsia"/>
                <w:color w:val="auto"/>
                <w:sz w:val="18"/>
                <w:szCs w:val="18"/>
              </w:rPr>
            </w:pPr>
            <w:r>
              <w:rPr>
                <w:rFonts w:eastAsiaTheme="minorEastAsia"/>
                <w:color w:val="auto"/>
                <w:sz w:val="18"/>
                <w:szCs w:val="18"/>
              </w:rPr>
              <w:t>＜0.0015</w:t>
            </w:r>
          </w:p>
        </w:tc>
        <w:tc>
          <w:tcPr>
            <w:tcW w:w="958" w:type="dxa"/>
            <w:vAlign w:val="center"/>
          </w:tcPr>
          <w:p>
            <w:pPr>
              <w:jc w:val="center"/>
              <w:rPr>
                <w:rFonts w:eastAsiaTheme="minorEastAsia"/>
                <w:color w:val="auto"/>
                <w:sz w:val="18"/>
                <w:szCs w:val="18"/>
              </w:rPr>
            </w:pPr>
            <w:r>
              <w:rPr>
                <w:rFonts w:eastAsiaTheme="minorEastAsia"/>
                <w:color w:val="auto"/>
                <w:sz w:val="18"/>
                <w:szCs w:val="18"/>
              </w:rPr>
              <w:t>＜0.0015</w:t>
            </w:r>
          </w:p>
        </w:tc>
        <w:tc>
          <w:tcPr>
            <w:tcW w:w="957" w:type="dxa"/>
            <w:vAlign w:val="center"/>
          </w:tcPr>
          <w:p>
            <w:pPr>
              <w:jc w:val="center"/>
              <w:rPr>
                <w:rFonts w:eastAsiaTheme="minorEastAsia"/>
                <w:color w:val="auto"/>
                <w:sz w:val="18"/>
                <w:szCs w:val="18"/>
              </w:rPr>
            </w:pPr>
            <w:r>
              <w:rPr>
                <w:rFonts w:eastAsiaTheme="minorEastAsia"/>
                <w:color w:val="auto"/>
                <w:sz w:val="18"/>
                <w:szCs w:val="18"/>
              </w:rPr>
              <w:t>＜0.0015</w:t>
            </w:r>
          </w:p>
        </w:tc>
        <w:tc>
          <w:tcPr>
            <w:tcW w:w="957" w:type="dxa"/>
            <w:vAlign w:val="center"/>
          </w:tcPr>
          <w:p>
            <w:pPr>
              <w:jc w:val="center"/>
              <w:rPr>
                <w:rFonts w:eastAsiaTheme="minorEastAsia"/>
                <w:color w:val="auto"/>
                <w:sz w:val="18"/>
                <w:szCs w:val="18"/>
              </w:rPr>
            </w:pPr>
            <w:r>
              <w:rPr>
                <w:rFonts w:eastAsiaTheme="minorEastAsia"/>
                <w:color w:val="auto"/>
                <w:sz w:val="18"/>
                <w:szCs w:val="18"/>
              </w:rPr>
              <w:t>＜0.0015</w:t>
            </w:r>
          </w:p>
        </w:tc>
        <w:tc>
          <w:tcPr>
            <w:tcW w:w="991" w:type="dxa"/>
            <w:vAlign w:val="center"/>
          </w:tcPr>
          <w:p>
            <w:pPr>
              <w:jc w:val="center"/>
              <w:rPr>
                <w:rFonts w:eastAsiaTheme="minorEastAsia"/>
                <w:color w:val="auto"/>
                <w:sz w:val="18"/>
                <w:szCs w:val="18"/>
              </w:rPr>
            </w:pPr>
            <w:r>
              <w:rPr>
                <w:rFonts w:eastAsiaTheme="minorEastAsia"/>
                <w:color w:val="auto"/>
                <w:sz w:val="18"/>
                <w:szCs w:val="18"/>
              </w:rPr>
              <w:t>＜0.0015</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560</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30</w:t>
            </w:r>
          </w:p>
        </w:tc>
        <w:tc>
          <w:tcPr>
            <w:tcW w:w="850" w:type="dxa"/>
            <w:vAlign w:val="center"/>
          </w:tcPr>
          <w:p>
            <w:pPr>
              <w:jc w:val="center"/>
              <w:rPr>
                <w:rFonts w:eastAsiaTheme="minorEastAsia"/>
                <w:color w:val="auto"/>
                <w:sz w:val="18"/>
                <w:szCs w:val="18"/>
              </w:rPr>
            </w:pPr>
            <w:r>
              <w:rPr>
                <w:rFonts w:eastAsiaTheme="minorEastAsia"/>
                <w:color w:val="auto"/>
                <w:sz w:val="18"/>
                <w:szCs w:val="18"/>
              </w:rPr>
              <w:t>1,4-二氯苯</w:t>
            </w:r>
          </w:p>
        </w:tc>
        <w:tc>
          <w:tcPr>
            <w:tcW w:w="992" w:type="dxa"/>
            <w:vAlign w:val="center"/>
          </w:tcPr>
          <w:p>
            <w:pPr>
              <w:jc w:val="center"/>
              <w:rPr>
                <w:rFonts w:eastAsiaTheme="minorEastAsia"/>
                <w:color w:val="auto"/>
                <w:sz w:val="18"/>
                <w:szCs w:val="18"/>
              </w:rPr>
            </w:pPr>
            <w:r>
              <w:rPr>
                <w:rFonts w:eastAsiaTheme="minorEastAsia"/>
                <w:color w:val="auto"/>
                <w:sz w:val="18"/>
                <w:szCs w:val="18"/>
              </w:rPr>
              <w:t>＜0.0015</w:t>
            </w:r>
          </w:p>
        </w:tc>
        <w:tc>
          <w:tcPr>
            <w:tcW w:w="992" w:type="dxa"/>
            <w:vAlign w:val="center"/>
          </w:tcPr>
          <w:p>
            <w:pPr>
              <w:jc w:val="center"/>
              <w:rPr>
                <w:rFonts w:eastAsiaTheme="minorEastAsia"/>
                <w:color w:val="auto"/>
                <w:sz w:val="18"/>
                <w:szCs w:val="18"/>
              </w:rPr>
            </w:pPr>
            <w:r>
              <w:rPr>
                <w:rFonts w:eastAsiaTheme="minorEastAsia"/>
                <w:color w:val="auto"/>
                <w:sz w:val="18"/>
                <w:szCs w:val="18"/>
              </w:rPr>
              <w:t>＜0.0015</w:t>
            </w:r>
          </w:p>
        </w:tc>
        <w:tc>
          <w:tcPr>
            <w:tcW w:w="958" w:type="dxa"/>
            <w:vAlign w:val="center"/>
          </w:tcPr>
          <w:p>
            <w:pPr>
              <w:jc w:val="center"/>
              <w:rPr>
                <w:rFonts w:eastAsiaTheme="minorEastAsia"/>
                <w:color w:val="auto"/>
                <w:sz w:val="18"/>
                <w:szCs w:val="18"/>
              </w:rPr>
            </w:pPr>
            <w:r>
              <w:rPr>
                <w:rFonts w:eastAsiaTheme="minorEastAsia"/>
                <w:color w:val="auto"/>
                <w:sz w:val="18"/>
                <w:szCs w:val="18"/>
              </w:rPr>
              <w:t>＜0.0015</w:t>
            </w:r>
          </w:p>
        </w:tc>
        <w:tc>
          <w:tcPr>
            <w:tcW w:w="957" w:type="dxa"/>
            <w:vAlign w:val="center"/>
          </w:tcPr>
          <w:p>
            <w:pPr>
              <w:jc w:val="center"/>
              <w:rPr>
                <w:rFonts w:eastAsiaTheme="minorEastAsia"/>
                <w:color w:val="auto"/>
                <w:sz w:val="18"/>
                <w:szCs w:val="18"/>
              </w:rPr>
            </w:pPr>
            <w:r>
              <w:rPr>
                <w:rFonts w:eastAsiaTheme="minorEastAsia"/>
                <w:color w:val="auto"/>
                <w:sz w:val="18"/>
                <w:szCs w:val="18"/>
              </w:rPr>
              <w:t>＜0.0015</w:t>
            </w:r>
          </w:p>
        </w:tc>
        <w:tc>
          <w:tcPr>
            <w:tcW w:w="957" w:type="dxa"/>
            <w:vAlign w:val="center"/>
          </w:tcPr>
          <w:p>
            <w:pPr>
              <w:jc w:val="center"/>
              <w:rPr>
                <w:rFonts w:eastAsiaTheme="minorEastAsia"/>
                <w:color w:val="auto"/>
                <w:sz w:val="18"/>
                <w:szCs w:val="18"/>
              </w:rPr>
            </w:pPr>
            <w:r>
              <w:rPr>
                <w:rFonts w:eastAsiaTheme="minorEastAsia"/>
                <w:color w:val="auto"/>
                <w:sz w:val="18"/>
                <w:szCs w:val="18"/>
              </w:rPr>
              <w:t>＜0.0015</w:t>
            </w:r>
          </w:p>
        </w:tc>
        <w:tc>
          <w:tcPr>
            <w:tcW w:w="904" w:type="dxa"/>
            <w:vAlign w:val="center"/>
          </w:tcPr>
          <w:p>
            <w:pPr>
              <w:jc w:val="center"/>
              <w:rPr>
                <w:rFonts w:eastAsiaTheme="minorEastAsia"/>
                <w:color w:val="auto"/>
                <w:sz w:val="18"/>
                <w:szCs w:val="18"/>
              </w:rPr>
            </w:pPr>
            <w:r>
              <w:rPr>
                <w:rFonts w:eastAsiaTheme="minorEastAsia"/>
                <w:color w:val="auto"/>
                <w:sz w:val="18"/>
                <w:szCs w:val="18"/>
              </w:rPr>
              <w:t>＜0.0015</w:t>
            </w:r>
          </w:p>
        </w:tc>
        <w:tc>
          <w:tcPr>
            <w:tcW w:w="1072" w:type="dxa"/>
            <w:vAlign w:val="center"/>
          </w:tcPr>
          <w:p>
            <w:pPr>
              <w:jc w:val="center"/>
              <w:rPr>
                <w:rFonts w:eastAsiaTheme="minorEastAsia"/>
                <w:color w:val="auto"/>
                <w:sz w:val="18"/>
                <w:szCs w:val="18"/>
              </w:rPr>
            </w:pPr>
            <w:r>
              <w:rPr>
                <w:rFonts w:eastAsiaTheme="minorEastAsia"/>
                <w:color w:val="auto"/>
                <w:sz w:val="18"/>
                <w:szCs w:val="18"/>
              </w:rPr>
              <w:t>＜0.0015</w:t>
            </w:r>
          </w:p>
        </w:tc>
        <w:tc>
          <w:tcPr>
            <w:tcW w:w="957" w:type="dxa"/>
            <w:vAlign w:val="center"/>
          </w:tcPr>
          <w:p>
            <w:pPr>
              <w:jc w:val="center"/>
              <w:rPr>
                <w:rFonts w:eastAsiaTheme="minorEastAsia"/>
                <w:color w:val="auto"/>
                <w:sz w:val="18"/>
                <w:szCs w:val="18"/>
              </w:rPr>
            </w:pPr>
            <w:r>
              <w:rPr>
                <w:rFonts w:eastAsiaTheme="minorEastAsia"/>
                <w:color w:val="auto"/>
                <w:sz w:val="18"/>
                <w:szCs w:val="18"/>
              </w:rPr>
              <w:t>＜0.0015</w:t>
            </w:r>
          </w:p>
        </w:tc>
        <w:tc>
          <w:tcPr>
            <w:tcW w:w="957" w:type="dxa"/>
            <w:vAlign w:val="center"/>
          </w:tcPr>
          <w:p>
            <w:pPr>
              <w:jc w:val="center"/>
              <w:rPr>
                <w:rFonts w:eastAsiaTheme="minorEastAsia"/>
                <w:color w:val="auto"/>
                <w:sz w:val="18"/>
                <w:szCs w:val="18"/>
              </w:rPr>
            </w:pPr>
            <w:r>
              <w:rPr>
                <w:rFonts w:eastAsiaTheme="minorEastAsia"/>
                <w:color w:val="auto"/>
                <w:sz w:val="18"/>
                <w:szCs w:val="18"/>
              </w:rPr>
              <w:t>＜0.0015</w:t>
            </w:r>
          </w:p>
        </w:tc>
        <w:tc>
          <w:tcPr>
            <w:tcW w:w="958" w:type="dxa"/>
            <w:vAlign w:val="center"/>
          </w:tcPr>
          <w:p>
            <w:pPr>
              <w:jc w:val="center"/>
              <w:rPr>
                <w:rFonts w:eastAsiaTheme="minorEastAsia"/>
                <w:color w:val="auto"/>
                <w:sz w:val="18"/>
                <w:szCs w:val="18"/>
              </w:rPr>
            </w:pPr>
            <w:r>
              <w:rPr>
                <w:rFonts w:eastAsiaTheme="minorEastAsia"/>
                <w:color w:val="auto"/>
                <w:sz w:val="18"/>
                <w:szCs w:val="18"/>
              </w:rPr>
              <w:t>＜0.0015</w:t>
            </w:r>
          </w:p>
        </w:tc>
        <w:tc>
          <w:tcPr>
            <w:tcW w:w="927" w:type="dxa"/>
            <w:vAlign w:val="center"/>
          </w:tcPr>
          <w:p>
            <w:pPr>
              <w:jc w:val="center"/>
              <w:rPr>
                <w:rFonts w:eastAsiaTheme="minorEastAsia"/>
                <w:color w:val="auto"/>
                <w:sz w:val="18"/>
                <w:szCs w:val="18"/>
              </w:rPr>
            </w:pPr>
            <w:r>
              <w:rPr>
                <w:rFonts w:eastAsiaTheme="minorEastAsia"/>
                <w:color w:val="auto"/>
                <w:sz w:val="18"/>
                <w:szCs w:val="18"/>
              </w:rPr>
              <w:t>＜0.0015</w:t>
            </w:r>
          </w:p>
        </w:tc>
        <w:tc>
          <w:tcPr>
            <w:tcW w:w="957" w:type="dxa"/>
            <w:vAlign w:val="center"/>
          </w:tcPr>
          <w:p>
            <w:pPr>
              <w:jc w:val="center"/>
              <w:rPr>
                <w:rFonts w:eastAsiaTheme="minorEastAsia"/>
                <w:color w:val="auto"/>
                <w:sz w:val="18"/>
                <w:szCs w:val="18"/>
              </w:rPr>
            </w:pPr>
            <w:r>
              <w:rPr>
                <w:rFonts w:eastAsiaTheme="minorEastAsia"/>
                <w:color w:val="auto"/>
                <w:sz w:val="18"/>
                <w:szCs w:val="18"/>
              </w:rPr>
              <w:t>＜0.0015</w:t>
            </w:r>
          </w:p>
        </w:tc>
        <w:tc>
          <w:tcPr>
            <w:tcW w:w="958" w:type="dxa"/>
            <w:vAlign w:val="center"/>
          </w:tcPr>
          <w:p>
            <w:pPr>
              <w:jc w:val="center"/>
              <w:rPr>
                <w:rFonts w:eastAsiaTheme="minorEastAsia"/>
                <w:color w:val="auto"/>
                <w:sz w:val="18"/>
                <w:szCs w:val="18"/>
              </w:rPr>
            </w:pPr>
            <w:r>
              <w:rPr>
                <w:rFonts w:eastAsiaTheme="minorEastAsia"/>
                <w:color w:val="auto"/>
                <w:sz w:val="18"/>
                <w:szCs w:val="18"/>
              </w:rPr>
              <w:t>＜0.0015</w:t>
            </w:r>
          </w:p>
        </w:tc>
        <w:tc>
          <w:tcPr>
            <w:tcW w:w="957" w:type="dxa"/>
            <w:vAlign w:val="center"/>
          </w:tcPr>
          <w:p>
            <w:pPr>
              <w:jc w:val="center"/>
              <w:rPr>
                <w:rFonts w:eastAsiaTheme="minorEastAsia"/>
                <w:color w:val="auto"/>
                <w:sz w:val="18"/>
                <w:szCs w:val="18"/>
              </w:rPr>
            </w:pPr>
            <w:r>
              <w:rPr>
                <w:rFonts w:eastAsiaTheme="minorEastAsia"/>
                <w:color w:val="auto"/>
                <w:sz w:val="18"/>
                <w:szCs w:val="18"/>
              </w:rPr>
              <w:t>＜0.0015</w:t>
            </w:r>
          </w:p>
        </w:tc>
        <w:tc>
          <w:tcPr>
            <w:tcW w:w="957" w:type="dxa"/>
            <w:vAlign w:val="center"/>
          </w:tcPr>
          <w:p>
            <w:pPr>
              <w:jc w:val="center"/>
              <w:rPr>
                <w:rFonts w:eastAsiaTheme="minorEastAsia"/>
                <w:color w:val="auto"/>
                <w:sz w:val="18"/>
                <w:szCs w:val="18"/>
              </w:rPr>
            </w:pPr>
            <w:r>
              <w:rPr>
                <w:rFonts w:eastAsiaTheme="minorEastAsia"/>
                <w:color w:val="auto"/>
                <w:sz w:val="18"/>
                <w:szCs w:val="18"/>
              </w:rPr>
              <w:t>＜0.0015</w:t>
            </w:r>
          </w:p>
        </w:tc>
        <w:tc>
          <w:tcPr>
            <w:tcW w:w="991" w:type="dxa"/>
            <w:vAlign w:val="center"/>
          </w:tcPr>
          <w:p>
            <w:pPr>
              <w:jc w:val="center"/>
              <w:rPr>
                <w:rFonts w:eastAsiaTheme="minorEastAsia"/>
                <w:color w:val="auto"/>
                <w:sz w:val="18"/>
                <w:szCs w:val="18"/>
              </w:rPr>
            </w:pPr>
            <w:r>
              <w:rPr>
                <w:rFonts w:eastAsiaTheme="minorEastAsia"/>
                <w:color w:val="auto"/>
                <w:sz w:val="18"/>
                <w:szCs w:val="18"/>
              </w:rPr>
              <w:t>＜0.0015</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20</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31</w:t>
            </w:r>
          </w:p>
        </w:tc>
        <w:tc>
          <w:tcPr>
            <w:tcW w:w="850" w:type="dxa"/>
            <w:vAlign w:val="center"/>
          </w:tcPr>
          <w:p>
            <w:pPr>
              <w:jc w:val="center"/>
              <w:rPr>
                <w:rFonts w:eastAsiaTheme="minorEastAsia"/>
                <w:color w:val="auto"/>
                <w:sz w:val="18"/>
                <w:szCs w:val="18"/>
              </w:rPr>
            </w:pPr>
            <w:r>
              <w:rPr>
                <w:rFonts w:eastAsiaTheme="minorEastAsia"/>
                <w:color w:val="auto"/>
                <w:sz w:val="18"/>
                <w:szCs w:val="18"/>
              </w:rPr>
              <w:t>乙苯</w:t>
            </w:r>
          </w:p>
        </w:tc>
        <w:tc>
          <w:tcPr>
            <w:tcW w:w="992" w:type="dxa"/>
            <w:vAlign w:val="center"/>
          </w:tcPr>
          <w:p>
            <w:pPr>
              <w:jc w:val="center"/>
              <w:rPr>
                <w:rFonts w:eastAsiaTheme="minorEastAsia"/>
                <w:color w:val="auto"/>
                <w:sz w:val="18"/>
                <w:szCs w:val="18"/>
              </w:rPr>
            </w:pPr>
            <w:r>
              <w:rPr>
                <w:rFonts w:eastAsiaTheme="minorEastAsia"/>
                <w:color w:val="auto"/>
                <w:sz w:val="18"/>
                <w:szCs w:val="18"/>
              </w:rPr>
              <w:t>＜0.0012</w:t>
            </w:r>
          </w:p>
        </w:tc>
        <w:tc>
          <w:tcPr>
            <w:tcW w:w="992"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04" w:type="dxa"/>
            <w:vAlign w:val="center"/>
          </w:tcPr>
          <w:p>
            <w:pPr>
              <w:jc w:val="center"/>
              <w:rPr>
                <w:rFonts w:eastAsiaTheme="minorEastAsia"/>
                <w:color w:val="auto"/>
                <w:sz w:val="18"/>
                <w:szCs w:val="18"/>
              </w:rPr>
            </w:pPr>
            <w:r>
              <w:rPr>
                <w:rFonts w:eastAsiaTheme="minorEastAsia"/>
                <w:color w:val="auto"/>
                <w:sz w:val="18"/>
                <w:szCs w:val="18"/>
              </w:rPr>
              <w:t>＜0.0012</w:t>
            </w:r>
          </w:p>
        </w:tc>
        <w:tc>
          <w:tcPr>
            <w:tcW w:w="1072"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2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91" w:type="dxa"/>
            <w:vAlign w:val="center"/>
          </w:tcPr>
          <w:p>
            <w:pPr>
              <w:jc w:val="center"/>
              <w:rPr>
                <w:rFonts w:eastAsiaTheme="minorEastAsia"/>
                <w:color w:val="auto"/>
                <w:sz w:val="18"/>
                <w:szCs w:val="18"/>
              </w:rPr>
            </w:pPr>
            <w:r>
              <w:rPr>
                <w:rFonts w:eastAsiaTheme="minorEastAsia"/>
                <w:color w:val="auto"/>
                <w:sz w:val="18"/>
                <w:szCs w:val="18"/>
              </w:rPr>
              <w:t>＜0.0012</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28</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32</w:t>
            </w:r>
          </w:p>
        </w:tc>
        <w:tc>
          <w:tcPr>
            <w:tcW w:w="850" w:type="dxa"/>
            <w:vAlign w:val="center"/>
          </w:tcPr>
          <w:p>
            <w:pPr>
              <w:jc w:val="center"/>
              <w:rPr>
                <w:rFonts w:eastAsiaTheme="minorEastAsia"/>
                <w:color w:val="auto"/>
                <w:sz w:val="18"/>
                <w:szCs w:val="18"/>
              </w:rPr>
            </w:pPr>
            <w:r>
              <w:rPr>
                <w:rFonts w:eastAsiaTheme="minorEastAsia"/>
                <w:color w:val="auto"/>
                <w:sz w:val="18"/>
                <w:szCs w:val="18"/>
              </w:rPr>
              <w:t>苯乙烯</w:t>
            </w:r>
          </w:p>
        </w:tc>
        <w:tc>
          <w:tcPr>
            <w:tcW w:w="992" w:type="dxa"/>
            <w:vAlign w:val="center"/>
          </w:tcPr>
          <w:p>
            <w:pPr>
              <w:jc w:val="center"/>
              <w:rPr>
                <w:rFonts w:eastAsiaTheme="minorEastAsia"/>
                <w:color w:val="auto"/>
                <w:sz w:val="18"/>
                <w:szCs w:val="18"/>
              </w:rPr>
            </w:pPr>
            <w:r>
              <w:rPr>
                <w:rFonts w:eastAsiaTheme="minorEastAsia"/>
                <w:color w:val="auto"/>
                <w:sz w:val="18"/>
                <w:szCs w:val="18"/>
              </w:rPr>
              <w:t>＜0.0011</w:t>
            </w:r>
          </w:p>
        </w:tc>
        <w:tc>
          <w:tcPr>
            <w:tcW w:w="992" w:type="dxa"/>
            <w:vAlign w:val="center"/>
          </w:tcPr>
          <w:p>
            <w:pPr>
              <w:jc w:val="center"/>
              <w:rPr>
                <w:rFonts w:eastAsiaTheme="minorEastAsia"/>
                <w:color w:val="auto"/>
                <w:sz w:val="18"/>
                <w:szCs w:val="18"/>
              </w:rPr>
            </w:pPr>
            <w:r>
              <w:rPr>
                <w:rFonts w:eastAsiaTheme="minorEastAsia"/>
                <w:color w:val="auto"/>
                <w:sz w:val="18"/>
                <w:szCs w:val="18"/>
              </w:rPr>
              <w:t>＜0.0011</w:t>
            </w:r>
          </w:p>
        </w:tc>
        <w:tc>
          <w:tcPr>
            <w:tcW w:w="958" w:type="dxa"/>
            <w:vAlign w:val="center"/>
          </w:tcPr>
          <w:p>
            <w:pPr>
              <w:jc w:val="center"/>
              <w:rPr>
                <w:rFonts w:eastAsiaTheme="minorEastAsia"/>
                <w:color w:val="auto"/>
                <w:sz w:val="18"/>
                <w:szCs w:val="18"/>
              </w:rPr>
            </w:pPr>
            <w:r>
              <w:rPr>
                <w:rFonts w:eastAsiaTheme="minorEastAsia"/>
                <w:color w:val="auto"/>
                <w:sz w:val="18"/>
                <w:szCs w:val="18"/>
              </w:rPr>
              <w:t>＜0.0011</w:t>
            </w:r>
          </w:p>
        </w:tc>
        <w:tc>
          <w:tcPr>
            <w:tcW w:w="957" w:type="dxa"/>
            <w:vAlign w:val="center"/>
          </w:tcPr>
          <w:p>
            <w:pPr>
              <w:jc w:val="center"/>
              <w:rPr>
                <w:rFonts w:eastAsiaTheme="minorEastAsia"/>
                <w:color w:val="auto"/>
                <w:sz w:val="18"/>
                <w:szCs w:val="18"/>
              </w:rPr>
            </w:pPr>
            <w:r>
              <w:rPr>
                <w:rFonts w:eastAsiaTheme="minorEastAsia"/>
                <w:color w:val="auto"/>
                <w:sz w:val="18"/>
                <w:szCs w:val="18"/>
              </w:rPr>
              <w:t>＜0.0011</w:t>
            </w:r>
          </w:p>
        </w:tc>
        <w:tc>
          <w:tcPr>
            <w:tcW w:w="957" w:type="dxa"/>
            <w:vAlign w:val="center"/>
          </w:tcPr>
          <w:p>
            <w:pPr>
              <w:jc w:val="center"/>
              <w:rPr>
                <w:rFonts w:eastAsiaTheme="minorEastAsia"/>
                <w:color w:val="auto"/>
                <w:sz w:val="18"/>
                <w:szCs w:val="18"/>
              </w:rPr>
            </w:pPr>
            <w:r>
              <w:rPr>
                <w:rFonts w:eastAsiaTheme="minorEastAsia"/>
                <w:color w:val="auto"/>
                <w:sz w:val="18"/>
                <w:szCs w:val="18"/>
              </w:rPr>
              <w:t>＜0.0011</w:t>
            </w:r>
          </w:p>
        </w:tc>
        <w:tc>
          <w:tcPr>
            <w:tcW w:w="904" w:type="dxa"/>
            <w:vAlign w:val="center"/>
          </w:tcPr>
          <w:p>
            <w:pPr>
              <w:jc w:val="center"/>
              <w:rPr>
                <w:rFonts w:eastAsiaTheme="minorEastAsia"/>
                <w:color w:val="auto"/>
                <w:sz w:val="18"/>
                <w:szCs w:val="18"/>
              </w:rPr>
            </w:pPr>
            <w:r>
              <w:rPr>
                <w:rFonts w:eastAsiaTheme="minorEastAsia"/>
                <w:color w:val="auto"/>
                <w:sz w:val="18"/>
                <w:szCs w:val="18"/>
              </w:rPr>
              <w:t>＜0.0011</w:t>
            </w:r>
          </w:p>
        </w:tc>
        <w:tc>
          <w:tcPr>
            <w:tcW w:w="1072" w:type="dxa"/>
            <w:vAlign w:val="center"/>
          </w:tcPr>
          <w:p>
            <w:pPr>
              <w:jc w:val="center"/>
              <w:rPr>
                <w:rFonts w:eastAsiaTheme="minorEastAsia"/>
                <w:color w:val="auto"/>
                <w:sz w:val="18"/>
                <w:szCs w:val="18"/>
              </w:rPr>
            </w:pPr>
            <w:r>
              <w:rPr>
                <w:rFonts w:eastAsiaTheme="minorEastAsia"/>
                <w:color w:val="auto"/>
                <w:sz w:val="18"/>
                <w:szCs w:val="18"/>
              </w:rPr>
              <w:t>＜0.0011</w:t>
            </w:r>
          </w:p>
        </w:tc>
        <w:tc>
          <w:tcPr>
            <w:tcW w:w="957" w:type="dxa"/>
            <w:vAlign w:val="center"/>
          </w:tcPr>
          <w:p>
            <w:pPr>
              <w:jc w:val="center"/>
              <w:rPr>
                <w:rFonts w:eastAsiaTheme="minorEastAsia"/>
                <w:color w:val="auto"/>
                <w:sz w:val="18"/>
                <w:szCs w:val="18"/>
              </w:rPr>
            </w:pPr>
            <w:r>
              <w:rPr>
                <w:rFonts w:eastAsiaTheme="minorEastAsia"/>
                <w:color w:val="auto"/>
                <w:sz w:val="18"/>
                <w:szCs w:val="18"/>
              </w:rPr>
              <w:t>＜0.0011</w:t>
            </w:r>
          </w:p>
        </w:tc>
        <w:tc>
          <w:tcPr>
            <w:tcW w:w="957" w:type="dxa"/>
            <w:vAlign w:val="center"/>
          </w:tcPr>
          <w:p>
            <w:pPr>
              <w:jc w:val="center"/>
              <w:rPr>
                <w:rFonts w:eastAsiaTheme="minorEastAsia"/>
                <w:color w:val="auto"/>
                <w:sz w:val="18"/>
                <w:szCs w:val="18"/>
              </w:rPr>
            </w:pPr>
            <w:r>
              <w:rPr>
                <w:rFonts w:eastAsiaTheme="minorEastAsia"/>
                <w:color w:val="auto"/>
                <w:sz w:val="18"/>
                <w:szCs w:val="18"/>
              </w:rPr>
              <w:t>＜0.0011</w:t>
            </w:r>
          </w:p>
        </w:tc>
        <w:tc>
          <w:tcPr>
            <w:tcW w:w="958" w:type="dxa"/>
            <w:vAlign w:val="center"/>
          </w:tcPr>
          <w:p>
            <w:pPr>
              <w:jc w:val="center"/>
              <w:rPr>
                <w:rFonts w:eastAsiaTheme="minorEastAsia"/>
                <w:color w:val="auto"/>
                <w:sz w:val="18"/>
                <w:szCs w:val="18"/>
              </w:rPr>
            </w:pPr>
            <w:r>
              <w:rPr>
                <w:rFonts w:eastAsiaTheme="minorEastAsia"/>
                <w:color w:val="auto"/>
                <w:sz w:val="18"/>
                <w:szCs w:val="18"/>
              </w:rPr>
              <w:t>＜0.0011</w:t>
            </w:r>
          </w:p>
        </w:tc>
        <w:tc>
          <w:tcPr>
            <w:tcW w:w="927" w:type="dxa"/>
            <w:vAlign w:val="center"/>
          </w:tcPr>
          <w:p>
            <w:pPr>
              <w:jc w:val="center"/>
              <w:rPr>
                <w:rFonts w:eastAsiaTheme="minorEastAsia"/>
                <w:color w:val="auto"/>
                <w:sz w:val="18"/>
                <w:szCs w:val="18"/>
              </w:rPr>
            </w:pPr>
            <w:r>
              <w:rPr>
                <w:rFonts w:eastAsiaTheme="minorEastAsia"/>
                <w:color w:val="auto"/>
                <w:sz w:val="18"/>
                <w:szCs w:val="18"/>
              </w:rPr>
              <w:t>＜0.0011</w:t>
            </w:r>
          </w:p>
        </w:tc>
        <w:tc>
          <w:tcPr>
            <w:tcW w:w="957" w:type="dxa"/>
            <w:vAlign w:val="center"/>
          </w:tcPr>
          <w:p>
            <w:pPr>
              <w:jc w:val="center"/>
              <w:rPr>
                <w:rFonts w:eastAsiaTheme="minorEastAsia"/>
                <w:color w:val="auto"/>
                <w:sz w:val="18"/>
                <w:szCs w:val="18"/>
              </w:rPr>
            </w:pPr>
            <w:r>
              <w:rPr>
                <w:rFonts w:eastAsiaTheme="minorEastAsia"/>
                <w:color w:val="auto"/>
                <w:sz w:val="18"/>
                <w:szCs w:val="18"/>
              </w:rPr>
              <w:t>＜0.0011</w:t>
            </w:r>
          </w:p>
        </w:tc>
        <w:tc>
          <w:tcPr>
            <w:tcW w:w="958" w:type="dxa"/>
            <w:vAlign w:val="center"/>
          </w:tcPr>
          <w:p>
            <w:pPr>
              <w:jc w:val="center"/>
              <w:rPr>
                <w:rFonts w:eastAsiaTheme="minorEastAsia"/>
                <w:color w:val="auto"/>
                <w:sz w:val="18"/>
                <w:szCs w:val="18"/>
              </w:rPr>
            </w:pPr>
            <w:r>
              <w:rPr>
                <w:rFonts w:eastAsiaTheme="minorEastAsia"/>
                <w:color w:val="auto"/>
                <w:sz w:val="18"/>
                <w:szCs w:val="18"/>
              </w:rPr>
              <w:t>＜0.0011</w:t>
            </w:r>
          </w:p>
        </w:tc>
        <w:tc>
          <w:tcPr>
            <w:tcW w:w="957" w:type="dxa"/>
            <w:vAlign w:val="center"/>
          </w:tcPr>
          <w:p>
            <w:pPr>
              <w:jc w:val="center"/>
              <w:rPr>
                <w:rFonts w:eastAsiaTheme="minorEastAsia"/>
                <w:color w:val="auto"/>
                <w:sz w:val="18"/>
                <w:szCs w:val="18"/>
              </w:rPr>
            </w:pPr>
            <w:r>
              <w:rPr>
                <w:rFonts w:eastAsiaTheme="minorEastAsia"/>
                <w:color w:val="auto"/>
                <w:sz w:val="18"/>
                <w:szCs w:val="18"/>
              </w:rPr>
              <w:t>＜0.0011</w:t>
            </w:r>
          </w:p>
        </w:tc>
        <w:tc>
          <w:tcPr>
            <w:tcW w:w="957" w:type="dxa"/>
            <w:vAlign w:val="center"/>
          </w:tcPr>
          <w:p>
            <w:pPr>
              <w:jc w:val="center"/>
              <w:rPr>
                <w:rFonts w:eastAsiaTheme="minorEastAsia"/>
                <w:color w:val="auto"/>
                <w:sz w:val="18"/>
                <w:szCs w:val="18"/>
              </w:rPr>
            </w:pPr>
            <w:r>
              <w:rPr>
                <w:rFonts w:eastAsiaTheme="minorEastAsia"/>
                <w:color w:val="auto"/>
                <w:sz w:val="18"/>
                <w:szCs w:val="18"/>
              </w:rPr>
              <w:t>＜0.0011</w:t>
            </w:r>
          </w:p>
        </w:tc>
        <w:tc>
          <w:tcPr>
            <w:tcW w:w="991" w:type="dxa"/>
            <w:vAlign w:val="center"/>
          </w:tcPr>
          <w:p>
            <w:pPr>
              <w:jc w:val="center"/>
              <w:rPr>
                <w:rFonts w:eastAsiaTheme="minorEastAsia"/>
                <w:color w:val="auto"/>
                <w:sz w:val="18"/>
                <w:szCs w:val="18"/>
              </w:rPr>
            </w:pPr>
            <w:r>
              <w:rPr>
                <w:rFonts w:eastAsiaTheme="minorEastAsia"/>
                <w:color w:val="auto"/>
                <w:sz w:val="18"/>
                <w:szCs w:val="18"/>
              </w:rPr>
              <w:t>＜0.0011</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1290</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33</w:t>
            </w:r>
          </w:p>
        </w:tc>
        <w:tc>
          <w:tcPr>
            <w:tcW w:w="850" w:type="dxa"/>
            <w:vAlign w:val="center"/>
          </w:tcPr>
          <w:p>
            <w:pPr>
              <w:jc w:val="center"/>
              <w:rPr>
                <w:rFonts w:eastAsiaTheme="minorEastAsia"/>
                <w:color w:val="auto"/>
                <w:sz w:val="18"/>
                <w:szCs w:val="18"/>
              </w:rPr>
            </w:pPr>
            <w:r>
              <w:rPr>
                <w:rFonts w:eastAsiaTheme="minorEastAsia"/>
                <w:color w:val="auto"/>
                <w:sz w:val="18"/>
                <w:szCs w:val="18"/>
              </w:rPr>
              <w:t>甲苯</w:t>
            </w:r>
          </w:p>
        </w:tc>
        <w:tc>
          <w:tcPr>
            <w:tcW w:w="992" w:type="dxa"/>
            <w:vAlign w:val="center"/>
          </w:tcPr>
          <w:p>
            <w:pPr>
              <w:jc w:val="center"/>
              <w:rPr>
                <w:rFonts w:eastAsiaTheme="minorEastAsia"/>
                <w:color w:val="auto"/>
                <w:sz w:val="18"/>
                <w:szCs w:val="18"/>
              </w:rPr>
            </w:pPr>
            <w:r>
              <w:rPr>
                <w:rFonts w:eastAsiaTheme="minorEastAsia"/>
                <w:color w:val="auto"/>
                <w:sz w:val="18"/>
                <w:szCs w:val="18"/>
              </w:rPr>
              <w:t>0.0064</w:t>
            </w:r>
          </w:p>
        </w:tc>
        <w:tc>
          <w:tcPr>
            <w:tcW w:w="992" w:type="dxa"/>
            <w:vAlign w:val="center"/>
          </w:tcPr>
          <w:p>
            <w:pPr>
              <w:jc w:val="center"/>
              <w:rPr>
                <w:rFonts w:eastAsiaTheme="minorEastAsia"/>
                <w:color w:val="auto"/>
                <w:sz w:val="18"/>
                <w:szCs w:val="18"/>
              </w:rPr>
            </w:pPr>
            <w:r>
              <w:rPr>
                <w:rFonts w:eastAsiaTheme="minorEastAsia"/>
                <w:color w:val="auto"/>
                <w:sz w:val="18"/>
                <w:szCs w:val="18"/>
              </w:rPr>
              <w:t>0.0069</w:t>
            </w:r>
          </w:p>
        </w:tc>
        <w:tc>
          <w:tcPr>
            <w:tcW w:w="958" w:type="dxa"/>
            <w:vAlign w:val="center"/>
          </w:tcPr>
          <w:p>
            <w:pPr>
              <w:jc w:val="center"/>
              <w:rPr>
                <w:rFonts w:eastAsiaTheme="minorEastAsia"/>
                <w:color w:val="auto"/>
                <w:sz w:val="18"/>
                <w:szCs w:val="18"/>
              </w:rPr>
            </w:pPr>
            <w:r>
              <w:rPr>
                <w:rFonts w:eastAsiaTheme="minorEastAsia"/>
                <w:color w:val="auto"/>
                <w:sz w:val="18"/>
                <w:szCs w:val="18"/>
              </w:rPr>
              <w:t>0.0075</w:t>
            </w:r>
          </w:p>
        </w:tc>
        <w:tc>
          <w:tcPr>
            <w:tcW w:w="957" w:type="dxa"/>
            <w:vAlign w:val="center"/>
          </w:tcPr>
          <w:p>
            <w:pPr>
              <w:jc w:val="center"/>
              <w:rPr>
                <w:rFonts w:eastAsiaTheme="minorEastAsia"/>
                <w:color w:val="auto"/>
                <w:sz w:val="18"/>
                <w:szCs w:val="18"/>
              </w:rPr>
            </w:pPr>
            <w:r>
              <w:rPr>
                <w:rFonts w:eastAsiaTheme="minorEastAsia"/>
                <w:color w:val="auto"/>
                <w:sz w:val="18"/>
                <w:szCs w:val="18"/>
              </w:rPr>
              <w:t>0.0072</w:t>
            </w:r>
          </w:p>
        </w:tc>
        <w:tc>
          <w:tcPr>
            <w:tcW w:w="957" w:type="dxa"/>
            <w:vAlign w:val="center"/>
          </w:tcPr>
          <w:p>
            <w:pPr>
              <w:jc w:val="center"/>
              <w:rPr>
                <w:rFonts w:eastAsiaTheme="minorEastAsia"/>
                <w:color w:val="auto"/>
                <w:sz w:val="18"/>
                <w:szCs w:val="18"/>
              </w:rPr>
            </w:pPr>
            <w:r>
              <w:rPr>
                <w:rFonts w:eastAsiaTheme="minorEastAsia"/>
                <w:color w:val="auto"/>
                <w:sz w:val="18"/>
                <w:szCs w:val="18"/>
              </w:rPr>
              <w:t>0.0066</w:t>
            </w:r>
          </w:p>
        </w:tc>
        <w:tc>
          <w:tcPr>
            <w:tcW w:w="904" w:type="dxa"/>
            <w:vAlign w:val="center"/>
          </w:tcPr>
          <w:p>
            <w:pPr>
              <w:jc w:val="center"/>
              <w:rPr>
                <w:rFonts w:eastAsiaTheme="minorEastAsia"/>
                <w:color w:val="auto"/>
                <w:sz w:val="18"/>
                <w:szCs w:val="18"/>
              </w:rPr>
            </w:pPr>
            <w:r>
              <w:rPr>
                <w:rFonts w:eastAsiaTheme="minorEastAsia"/>
                <w:color w:val="auto"/>
                <w:sz w:val="18"/>
                <w:szCs w:val="18"/>
              </w:rPr>
              <w:t>0.0071</w:t>
            </w:r>
          </w:p>
        </w:tc>
        <w:tc>
          <w:tcPr>
            <w:tcW w:w="1072" w:type="dxa"/>
            <w:vAlign w:val="center"/>
          </w:tcPr>
          <w:p>
            <w:pPr>
              <w:jc w:val="center"/>
              <w:rPr>
                <w:rFonts w:eastAsiaTheme="minorEastAsia"/>
                <w:color w:val="auto"/>
                <w:sz w:val="18"/>
                <w:szCs w:val="18"/>
              </w:rPr>
            </w:pPr>
            <w:r>
              <w:rPr>
                <w:rFonts w:eastAsiaTheme="minorEastAsia"/>
                <w:color w:val="auto"/>
                <w:sz w:val="18"/>
                <w:szCs w:val="18"/>
              </w:rPr>
              <w:t>0.0080</w:t>
            </w:r>
          </w:p>
        </w:tc>
        <w:tc>
          <w:tcPr>
            <w:tcW w:w="957" w:type="dxa"/>
            <w:vAlign w:val="center"/>
          </w:tcPr>
          <w:p>
            <w:pPr>
              <w:jc w:val="center"/>
              <w:rPr>
                <w:rFonts w:eastAsiaTheme="minorEastAsia"/>
                <w:color w:val="auto"/>
                <w:sz w:val="18"/>
                <w:szCs w:val="18"/>
              </w:rPr>
            </w:pPr>
            <w:r>
              <w:rPr>
                <w:rFonts w:eastAsiaTheme="minorEastAsia"/>
                <w:color w:val="auto"/>
                <w:sz w:val="18"/>
                <w:szCs w:val="18"/>
              </w:rPr>
              <w:t>0.0073</w:t>
            </w:r>
          </w:p>
        </w:tc>
        <w:tc>
          <w:tcPr>
            <w:tcW w:w="957" w:type="dxa"/>
            <w:vAlign w:val="center"/>
          </w:tcPr>
          <w:p>
            <w:pPr>
              <w:jc w:val="center"/>
              <w:rPr>
                <w:rFonts w:eastAsiaTheme="minorEastAsia"/>
                <w:color w:val="auto"/>
                <w:sz w:val="18"/>
                <w:szCs w:val="18"/>
              </w:rPr>
            </w:pPr>
            <w:r>
              <w:rPr>
                <w:rFonts w:eastAsiaTheme="minorEastAsia"/>
                <w:color w:val="auto"/>
                <w:sz w:val="18"/>
                <w:szCs w:val="18"/>
              </w:rPr>
              <w:t>0.0082</w:t>
            </w:r>
          </w:p>
        </w:tc>
        <w:tc>
          <w:tcPr>
            <w:tcW w:w="958" w:type="dxa"/>
            <w:vAlign w:val="center"/>
          </w:tcPr>
          <w:p>
            <w:pPr>
              <w:jc w:val="center"/>
              <w:rPr>
                <w:rFonts w:eastAsiaTheme="minorEastAsia"/>
                <w:color w:val="auto"/>
                <w:sz w:val="18"/>
                <w:szCs w:val="18"/>
              </w:rPr>
            </w:pPr>
            <w:r>
              <w:rPr>
                <w:rFonts w:eastAsiaTheme="minorEastAsia"/>
                <w:color w:val="auto"/>
                <w:sz w:val="18"/>
                <w:szCs w:val="18"/>
              </w:rPr>
              <w:t>＜0.0013</w:t>
            </w:r>
          </w:p>
        </w:tc>
        <w:tc>
          <w:tcPr>
            <w:tcW w:w="927"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0.0085</w:t>
            </w:r>
          </w:p>
        </w:tc>
        <w:tc>
          <w:tcPr>
            <w:tcW w:w="958" w:type="dxa"/>
            <w:vAlign w:val="center"/>
          </w:tcPr>
          <w:p>
            <w:pPr>
              <w:jc w:val="center"/>
              <w:rPr>
                <w:rFonts w:eastAsiaTheme="minorEastAsia"/>
                <w:color w:val="auto"/>
                <w:sz w:val="18"/>
                <w:szCs w:val="18"/>
              </w:rPr>
            </w:pPr>
            <w:r>
              <w:rPr>
                <w:rFonts w:eastAsiaTheme="minorEastAsia"/>
                <w:color w:val="auto"/>
                <w:sz w:val="18"/>
                <w:szCs w:val="18"/>
              </w:rPr>
              <w:t>0.0076</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57" w:type="dxa"/>
            <w:vAlign w:val="center"/>
          </w:tcPr>
          <w:p>
            <w:pPr>
              <w:jc w:val="center"/>
              <w:rPr>
                <w:rFonts w:eastAsiaTheme="minorEastAsia"/>
                <w:color w:val="auto"/>
                <w:sz w:val="18"/>
                <w:szCs w:val="18"/>
              </w:rPr>
            </w:pPr>
            <w:r>
              <w:rPr>
                <w:rFonts w:eastAsiaTheme="minorEastAsia"/>
                <w:color w:val="auto"/>
                <w:sz w:val="18"/>
                <w:szCs w:val="18"/>
              </w:rPr>
              <w:t>＜0.0013</w:t>
            </w:r>
          </w:p>
        </w:tc>
        <w:tc>
          <w:tcPr>
            <w:tcW w:w="991" w:type="dxa"/>
            <w:vAlign w:val="center"/>
          </w:tcPr>
          <w:p>
            <w:pPr>
              <w:jc w:val="center"/>
              <w:rPr>
                <w:rFonts w:eastAsiaTheme="minorEastAsia"/>
                <w:color w:val="auto"/>
                <w:sz w:val="18"/>
                <w:szCs w:val="18"/>
              </w:rPr>
            </w:pPr>
            <w:r>
              <w:rPr>
                <w:rFonts w:eastAsiaTheme="minorEastAsia"/>
                <w:color w:val="auto"/>
                <w:sz w:val="18"/>
                <w:szCs w:val="18"/>
              </w:rPr>
              <w:t>0.0063</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1200</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34</w:t>
            </w:r>
          </w:p>
        </w:tc>
        <w:tc>
          <w:tcPr>
            <w:tcW w:w="850" w:type="dxa"/>
            <w:vAlign w:val="center"/>
          </w:tcPr>
          <w:p>
            <w:pPr>
              <w:jc w:val="center"/>
              <w:rPr>
                <w:rFonts w:eastAsiaTheme="minorEastAsia"/>
                <w:color w:val="auto"/>
                <w:sz w:val="18"/>
                <w:szCs w:val="18"/>
              </w:rPr>
            </w:pPr>
            <w:r>
              <w:rPr>
                <w:rFonts w:eastAsiaTheme="minorEastAsia"/>
                <w:color w:val="auto"/>
                <w:sz w:val="18"/>
                <w:szCs w:val="18"/>
              </w:rPr>
              <w:t>间二甲苯+对二甲苯</w:t>
            </w:r>
          </w:p>
        </w:tc>
        <w:tc>
          <w:tcPr>
            <w:tcW w:w="992" w:type="dxa"/>
            <w:vAlign w:val="center"/>
          </w:tcPr>
          <w:p>
            <w:pPr>
              <w:jc w:val="center"/>
              <w:rPr>
                <w:rFonts w:eastAsiaTheme="minorEastAsia"/>
                <w:color w:val="auto"/>
                <w:sz w:val="18"/>
                <w:szCs w:val="18"/>
              </w:rPr>
            </w:pPr>
            <w:r>
              <w:rPr>
                <w:rFonts w:eastAsiaTheme="minorEastAsia"/>
                <w:color w:val="auto"/>
                <w:sz w:val="18"/>
                <w:szCs w:val="18"/>
              </w:rPr>
              <w:t>＜0.0012</w:t>
            </w:r>
          </w:p>
        </w:tc>
        <w:tc>
          <w:tcPr>
            <w:tcW w:w="992"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04" w:type="dxa"/>
            <w:vAlign w:val="center"/>
          </w:tcPr>
          <w:p>
            <w:pPr>
              <w:jc w:val="center"/>
              <w:rPr>
                <w:rFonts w:eastAsiaTheme="minorEastAsia"/>
                <w:color w:val="auto"/>
                <w:sz w:val="18"/>
                <w:szCs w:val="18"/>
              </w:rPr>
            </w:pPr>
            <w:r>
              <w:rPr>
                <w:rFonts w:eastAsiaTheme="minorEastAsia"/>
                <w:color w:val="auto"/>
                <w:sz w:val="18"/>
                <w:szCs w:val="18"/>
              </w:rPr>
              <w:t>＜0.0012</w:t>
            </w:r>
          </w:p>
        </w:tc>
        <w:tc>
          <w:tcPr>
            <w:tcW w:w="1072"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2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91" w:type="dxa"/>
            <w:vAlign w:val="center"/>
          </w:tcPr>
          <w:p>
            <w:pPr>
              <w:jc w:val="center"/>
              <w:rPr>
                <w:rFonts w:eastAsiaTheme="minorEastAsia"/>
                <w:color w:val="auto"/>
                <w:sz w:val="18"/>
                <w:szCs w:val="18"/>
              </w:rPr>
            </w:pPr>
            <w:r>
              <w:rPr>
                <w:rFonts w:eastAsiaTheme="minorEastAsia"/>
                <w:color w:val="auto"/>
                <w:sz w:val="18"/>
                <w:szCs w:val="18"/>
              </w:rPr>
              <w:t>＜0.0012</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570</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35</w:t>
            </w:r>
          </w:p>
        </w:tc>
        <w:tc>
          <w:tcPr>
            <w:tcW w:w="850" w:type="dxa"/>
            <w:vAlign w:val="center"/>
          </w:tcPr>
          <w:p>
            <w:pPr>
              <w:jc w:val="center"/>
              <w:rPr>
                <w:rFonts w:eastAsiaTheme="minorEastAsia"/>
                <w:color w:val="auto"/>
                <w:sz w:val="18"/>
                <w:szCs w:val="18"/>
              </w:rPr>
            </w:pPr>
            <w:r>
              <w:rPr>
                <w:rFonts w:eastAsiaTheme="minorEastAsia"/>
                <w:color w:val="auto"/>
                <w:sz w:val="18"/>
                <w:szCs w:val="18"/>
              </w:rPr>
              <w:t>邻二甲苯</w:t>
            </w:r>
          </w:p>
        </w:tc>
        <w:tc>
          <w:tcPr>
            <w:tcW w:w="992" w:type="dxa"/>
            <w:vAlign w:val="center"/>
          </w:tcPr>
          <w:p>
            <w:pPr>
              <w:jc w:val="center"/>
              <w:rPr>
                <w:rFonts w:eastAsiaTheme="minorEastAsia"/>
                <w:color w:val="auto"/>
                <w:sz w:val="18"/>
                <w:szCs w:val="18"/>
              </w:rPr>
            </w:pPr>
            <w:r>
              <w:rPr>
                <w:rFonts w:eastAsiaTheme="minorEastAsia"/>
                <w:color w:val="auto"/>
                <w:sz w:val="18"/>
                <w:szCs w:val="18"/>
              </w:rPr>
              <w:t>＜0.0012</w:t>
            </w:r>
          </w:p>
        </w:tc>
        <w:tc>
          <w:tcPr>
            <w:tcW w:w="992"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04" w:type="dxa"/>
            <w:vAlign w:val="center"/>
          </w:tcPr>
          <w:p>
            <w:pPr>
              <w:jc w:val="center"/>
              <w:rPr>
                <w:rFonts w:eastAsiaTheme="minorEastAsia"/>
                <w:color w:val="auto"/>
                <w:sz w:val="18"/>
                <w:szCs w:val="18"/>
              </w:rPr>
            </w:pPr>
            <w:r>
              <w:rPr>
                <w:rFonts w:eastAsiaTheme="minorEastAsia"/>
                <w:color w:val="auto"/>
                <w:sz w:val="18"/>
                <w:szCs w:val="18"/>
              </w:rPr>
              <w:t>＜0.0012</w:t>
            </w:r>
          </w:p>
        </w:tc>
        <w:tc>
          <w:tcPr>
            <w:tcW w:w="1072"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2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8"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57" w:type="dxa"/>
            <w:vAlign w:val="center"/>
          </w:tcPr>
          <w:p>
            <w:pPr>
              <w:jc w:val="center"/>
              <w:rPr>
                <w:rFonts w:eastAsiaTheme="minorEastAsia"/>
                <w:color w:val="auto"/>
                <w:sz w:val="18"/>
                <w:szCs w:val="18"/>
              </w:rPr>
            </w:pPr>
            <w:r>
              <w:rPr>
                <w:rFonts w:eastAsiaTheme="minorEastAsia"/>
                <w:color w:val="auto"/>
                <w:sz w:val="18"/>
                <w:szCs w:val="18"/>
              </w:rPr>
              <w:t>＜0.0012</w:t>
            </w:r>
          </w:p>
        </w:tc>
        <w:tc>
          <w:tcPr>
            <w:tcW w:w="991" w:type="dxa"/>
            <w:vAlign w:val="center"/>
          </w:tcPr>
          <w:p>
            <w:pPr>
              <w:jc w:val="center"/>
              <w:rPr>
                <w:rFonts w:eastAsiaTheme="minorEastAsia"/>
                <w:color w:val="auto"/>
                <w:sz w:val="18"/>
                <w:szCs w:val="18"/>
              </w:rPr>
            </w:pPr>
            <w:r>
              <w:rPr>
                <w:rFonts w:eastAsiaTheme="minorEastAsia"/>
                <w:color w:val="auto"/>
                <w:sz w:val="18"/>
                <w:szCs w:val="18"/>
              </w:rPr>
              <w:t>＜0.0012</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640</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36</w:t>
            </w:r>
          </w:p>
        </w:tc>
        <w:tc>
          <w:tcPr>
            <w:tcW w:w="850" w:type="dxa"/>
            <w:vAlign w:val="center"/>
          </w:tcPr>
          <w:p>
            <w:pPr>
              <w:jc w:val="center"/>
              <w:rPr>
                <w:rFonts w:eastAsiaTheme="minorEastAsia"/>
                <w:color w:val="auto"/>
                <w:sz w:val="18"/>
                <w:szCs w:val="18"/>
              </w:rPr>
            </w:pPr>
            <w:r>
              <w:rPr>
                <w:rFonts w:eastAsiaTheme="minorEastAsia"/>
                <w:color w:val="auto"/>
                <w:sz w:val="18"/>
                <w:szCs w:val="18"/>
              </w:rPr>
              <w:t>硝基苯</w:t>
            </w:r>
          </w:p>
        </w:tc>
        <w:tc>
          <w:tcPr>
            <w:tcW w:w="992" w:type="dxa"/>
            <w:vAlign w:val="center"/>
          </w:tcPr>
          <w:p>
            <w:pPr>
              <w:jc w:val="center"/>
              <w:rPr>
                <w:rFonts w:eastAsiaTheme="minorEastAsia"/>
                <w:color w:val="auto"/>
                <w:sz w:val="18"/>
                <w:szCs w:val="18"/>
              </w:rPr>
            </w:pPr>
            <w:r>
              <w:rPr>
                <w:rFonts w:eastAsiaTheme="minorEastAsia"/>
                <w:color w:val="auto"/>
                <w:sz w:val="18"/>
                <w:szCs w:val="18"/>
              </w:rPr>
              <w:t>＜0.09</w:t>
            </w:r>
          </w:p>
        </w:tc>
        <w:tc>
          <w:tcPr>
            <w:tcW w:w="992" w:type="dxa"/>
            <w:vAlign w:val="center"/>
          </w:tcPr>
          <w:p>
            <w:pPr>
              <w:jc w:val="center"/>
              <w:rPr>
                <w:rFonts w:eastAsiaTheme="minorEastAsia"/>
                <w:color w:val="auto"/>
                <w:sz w:val="18"/>
                <w:szCs w:val="18"/>
              </w:rPr>
            </w:pPr>
            <w:r>
              <w:rPr>
                <w:rFonts w:eastAsiaTheme="minorEastAsia"/>
                <w:color w:val="auto"/>
                <w:sz w:val="18"/>
                <w:szCs w:val="18"/>
              </w:rPr>
              <w:t>＜0.09</w:t>
            </w:r>
          </w:p>
        </w:tc>
        <w:tc>
          <w:tcPr>
            <w:tcW w:w="958" w:type="dxa"/>
            <w:vAlign w:val="center"/>
          </w:tcPr>
          <w:p>
            <w:pPr>
              <w:jc w:val="center"/>
              <w:rPr>
                <w:rFonts w:eastAsiaTheme="minorEastAsia"/>
                <w:color w:val="auto"/>
                <w:sz w:val="18"/>
                <w:szCs w:val="18"/>
              </w:rPr>
            </w:pPr>
            <w:r>
              <w:rPr>
                <w:rFonts w:eastAsiaTheme="minorEastAsia"/>
                <w:color w:val="auto"/>
                <w:sz w:val="18"/>
                <w:szCs w:val="18"/>
              </w:rPr>
              <w:t>＜0.09</w:t>
            </w:r>
          </w:p>
        </w:tc>
        <w:tc>
          <w:tcPr>
            <w:tcW w:w="957" w:type="dxa"/>
            <w:vAlign w:val="center"/>
          </w:tcPr>
          <w:p>
            <w:pPr>
              <w:jc w:val="center"/>
              <w:rPr>
                <w:rFonts w:eastAsiaTheme="minorEastAsia"/>
                <w:color w:val="auto"/>
                <w:sz w:val="18"/>
                <w:szCs w:val="18"/>
              </w:rPr>
            </w:pPr>
            <w:r>
              <w:rPr>
                <w:rFonts w:eastAsiaTheme="minorEastAsia"/>
                <w:color w:val="auto"/>
                <w:sz w:val="18"/>
                <w:szCs w:val="18"/>
              </w:rPr>
              <w:t>＜0.09</w:t>
            </w:r>
          </w:p>
        </w:tc>
        <w:tc>
          <w:tcPr>
            <w:tcW w:w="957" w:type="dxa"/>
            <w:vAlign w:val="center"/>
          </w:tcPr>
          <w:p>
            <w:pPr>
              <w:jc w:val="center"/>
              <w:rPr>
                <w:rFonts w:eastAsiaTheme="minorEastAsia"/>
                <w:color w:val="auto"/>
                <w:sz w:val="18"/>
                <w:szCs w:val="18"/>
              </w:rPr>
            </w:pPr>
            <w:r>
              <w:rPr>
                <w:rFonts w:eastAsiaTheme="minorEastAsia"/>
                <w:color w:val="auto"/>
                <w:sz w:val="18"/>
                <w:szCs w:val="18"/>
              </w:rPr>
              <w:t>＜0.09</w:t>
            </w:r>
          </w:p>
        </w:tc>
        <w:tc>
          <w:tcPr>
            <w:tcW w:w="904" w:type="dxa"/>
            <w:vAlign w:val="center"/>
          </w:tcPr>
          <w:p>
            <w:pPr>
              <w:jc w:val="center"/>
              <w:rPr>
                <w:rFonts w:eastAsiaTheme="minorEastAsia"/>
                <w:color w:val="auto"/>
                <w:sz w:val="18"/>
                <w:szCs w:val="18"/>
              </w:rPr>
            </w:pPr>
            <w:r>
              <w:rPr>
                <w:rFonts w:eastAsiaTheme="minorEastAsia"/>
                <w:color w:val="auto"/>
                <w:sz w:val="18"/>
                <w:szCs w:val="18"/>
              </w:rPr>
              <w:t>＜0.09</w:t>
            </w:r>
          </w:p>
        </w:tc>
        <w:tc>
          <w:tcPr>
            <w:tcW w:w="1072" w:type="dxa"/>
            <w:vAlign w:val="center"/>
          </w:tcPr>
          <w:p>
            <w:pPr>
              <w:jc w:val="center"/>
              <w:rPr>
                <w:rFonts w:eastAsiaTheme="minorEastAsia"/>
                <w:color w:val="auto"/>
                <w:sz w:val="18"/>
                <w:szCs w:val="18"/>
              </w:rPr>
            </w:pPr>
            <w:r>
              <w:rPr>
                <w:rFonts w:eastAsiaTheme="minorEastAsia"/>
                <w:color w:val="auto"/>
                <w:sz w:val="18"/>
                <w:szCs w:val="18"/>
              </w:rPr>
              <w:t>＜0.09</w:t>
            </w:r>
          </w:p>
        </w:tc>
        <w:tc>
          <w:tcPr>
            <w:tcW w:w="957" w:type="dxa"/>
            <w:vAlign w:val="center"/>
          </w:tcPr>
          <w:p>
            <w:pPr>
              <w:jc w:val="center"/>
              <w:rPr>
                <w:rFonts w:eastAsiaTheme="minorEastAsia"/>
                <w:color w:val="auto"/>
                <w:sz w:val="18"/>
                <w:szCs w:val="18"/>
              </w:rPr>
            </w:pPr>
            <w:r>
              <w:rPr>
                <w:rFonts w:eastAsiaTheme="minorEastAsia"/>
                <w:color w:val="auto"/>
                <w:sz w:val="18"/>
                <w:szCs w:val="18"/>
              </w:rPr>
              <w:t>＜0.09</w:t>
            </w:r>
          </w:p>
        </w:tc>
        <w:tc>
          <w:tcPr>
            <w:tcW w:w="957" w:type="dxa"/>
            <w:vAlign w:val="center"/>
          </w:tcPr>
          <w:p>
            <w:pPr>
              <w:jc w:val="center"/>
              <w:rPr>
                <w:rFonts w:eastAsiaTheme="minorEastAsia"/>
                <w:color w:val="auto"/>
                <w:sz w:val="18"/>
                <w:szCs w:val="18"/>
              </w:rPr>
            </w:pPr>
            <w:r>
              <w:rPr>
                <w:rFonts w:eastAsiaTheme="minorEastAsia"/>
                <w:color w:val="auto"/>
                <w:sz w:val="18"/>
                <w:szCs w:val="18"/>
              </w:rPr>
              <w:t>＜0.09</w:t>
            </w:r>
          </w:p>
        </w:tc>
        <w:tc>
          <w:tcPr>
            <w:tcW w:w="958" w:type="dxa"/>
            <w:vAlign w:val="center"/>
          </w:tcPr>
          <w:p>
            <w:pPr>
              <w:jc w:val="center"/>
              <w:rPr>
                <w:rFonts w:eastAsiaTheme="minorEastAsia"/>
                <w:color w:val="auto"/>
                <w:sz w:val="18"/>
                <w:szCs w:val="18"/>
              </w:rPr>
            </w:pPr>
            <w:r>
              <w:rPr>
                <w:rFonts w:eastAsiaTheme="minorEastAsia"/>
                <w:color w:val="auto"/>
                <w:sz w:val="18"/>
                <w:szCs w:val="18"/>
              </w:rPr>
              <w:t>＜0.09</w:t>
            </w:r>
          </w:p>
        </w:tc>
        <w:tc>
          <w:tcPr>
            <w:tcW w:w="927" w:type="dxa"/>
            <w:vAlign w:val="center"/>
          </w:tcPr>
          <w:p>
            <w:pPr>
              <w:jc w:val="center"/>
              <w:rPr>
                <w:rFonts w:eastAsiaTheme="minorEastAsia"/>
                <w:color w:val="auto"/>
                <w:sz w:val="18"/>
                <w:szCs w:val="18"/>
              </w:rPr>
            </w:pPr>
            <w:r>
              <w:rPr>
                <w:rFonts w:eastAsiaTheme="minorEastAsia"/>
                <w:color w:val="auto"/>
                <w:sz w:val="18"/>
                <w:szCs w:val="18"/>
              </w:rPr>
              <w:t>＜0.09</w:t>
            </w:r>
          </w:p>
        </w:tc>
        <w:tc>
          <w:tcPr>
            <w:tcW w:w="957" w:type="dxa"/>
            <w:vAlign w:val="center"/>
          </w:tcPr>
          <w:p>
            <w:pPr>
              <w:jc w:val="center"/>
              <w:rPr>
                <w:rFonts w:eastAsiaTheme="minorEastAsia"/>
                <w:color w:val="auto"/>
                <w:sz w:val="18"/>
                <w:szCs w:val="18"/>
              </w:rPr>
            </w:pPr>
            <w:r>
              <w:rPr>
                <w:rFonts w:eastAsiaTheme="minorEastAsia"/>
                <w:color w:val="auto"/>
                <w:sz w:val="18"/>
                <w:szCs w:val="18"/>
              </w:rPr>
              <w:t>＜0.09</w:t>
            </w:r>
          </w:p>
        </w:tc>
        <w:tc>
          <w:tcPr>
            <w:tcW w:w="958" w:type="dxa"/>
            <w:vAlign w:val="center"/>
          </w:tcPr>
          <w:p>
            <w:pPr>
              <w:jc w:val="center"/>
              <w:rPr>
                <w:rFonts w:eastAsiaTheme="minorEastAsia"/>
                <w:color w:val="auto"/>
                <w:sz w:val="18"/>
                <w:szCs w:val="18"/>
              </w:rPr>
            </w:pPr>
            <w:r>
              <w:rPr>
                <w:rFonts w:eastAsiaTheme="minorEastAsia"/>
                <w:color w:val="auto"/>
                <w:sz w:val="18"/>
                <w:szCs w:val="18"/>
              </w:rPr>
              <w:t>＜0.09</w:t>
            </w:r>
          </w:p>
        </w:tc>
        <w:tc>
          <w:tcPr>
            <w:tcW w:w="957" w:type="dxa"/>
            <w:vAlign w:val="center"/>
          </w:tcPr>
          <w:p>
            <w:pPr>
              <w:jc w:val="center"/>
              <w:rPr>
                <w:rFonts w:eastAsiaTheme="minorEastAsia"/>
                <w:color w:val="auto"/>
                <w:sz w:val="18"/>
                <w:szCs w:val="18"/>
              </w:rPr>
            </w:pPr>
            <w:r>
              <w:rPr>
                <w:rFonts w:eastAsiaTheme="minorEastAsia"/>
                <w:color w:val="auto"/>
                <w:sz w:val="18"/>
                <w:szCs w:val="18"/>
              </w:rPr>
              <w:t>＜0.09</w:t>
            </w:r>
          </w:p>
        </w:tc>
        <w:tc>
          <w:tcPr>
            <w:tcW w:w="957" w:type="dxa"/>
            <w:vAlign w:val="center"/>
          </w:tcPr>
          <w:p>
            <w:pPr>
              <w:jc w:val="center"/>
              <w:rPr>
                <w:rFonts w:eastAsiaTheme="minorEastAsia"/>
                <w:color w:val="auto"/>
                <w:sz w:val="18"/>
                <w:szCs w:val="18"/>
              </w:rPr>
            </w:pPr>
            <w:r>
              <w:rPr>
                <w:rFonts w:eastAsiaTheme="minorEastAsia"/>
                <w:color w:val="auto"/>
                <w:sz w:val="18"/>
                <w:szCs w:val="18"/>
              </w:rPr>
              <w:t>＜0.09</w:t>
            </w:r>
          </w:p>
        </w:tc>
        <w:tc>
          <w:tcPr>
            <w:tcW w:w="991" w:type="dxa"/>
            <w:vAlign w:val="center"/>
          </w:tcPr>
          <w:p>
            <w:pPr>
              <w:jc w:val="center"/>
              <w:rPr>
                <w:rFonts w:eastAsiaTheme="minorEastAsia"/>
                <w:color w:val="auto"/>
                <w:sz w:val="18"/>
                <w:szCs w:val="18"/>
              </w:rPr>
            </w:pPr>
            <w:r>
              <w:rPr>
                <w:rFonts w:eastAsiaTheme="minorEastAsia"/>
                <w:color w:val="auto"/>
                <w:sz w:val="18"/>
                <w:szCs w:val="18"/>
              </w:rPr>
              <w:t>＜0.09</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76</w:t>
            </w:r>
          </w:p>
        </w:tc>
        <w:tc>
          <w:tcPr>
            <w:tcW w:w="1316" w:type="dxa"/>
            <w:vAlign w:val="center"/>
          </w:tcPr>
          <w:p>
            <w:pPr>
              <w:jc w:val="center"/>
              <w:rPr>
                <w:rFonts w:eastAsiaTheme="minorEastAsia"/>
                <w:color w:val="auto"/>
                <w:sz w:val="18"/>
                <w:szCs w:val="18"/>
              </w:rPr>
            </w:pP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37</w:t>
            </w:r>
          </w:p>
        </w:tc>
        <w:tc>
          <w:tcPr>
            <w:tcW w:w="850" w:type="dxa"/>
            <w:vAlign w:val="center"/>
          </w:tcPr>
          <w:p>
            <w:pPr>
              <w:jc w:val="center"/>
              <w:rPr>
                <w:rFonts w:eastAsiaTheme="minorEastAsia"/>
                <w:color w:val="auto"/>
                <w:sz w:val="18"/>
                <w:szCs w:val="18"/>
              </w:rPr>
            </w:pPr>
            <w:r>
              <w:rPr>
                <w:rFonts w:eastAsiaTheme="minorEastAsia"/>
                <w:color w:val="auto"/>
                <w:sz w:val="18"/>
                <w:szCs w:val="18"/>
              </w:rPr>
              <w:t>2-氯酚</w:t>
            </w:r>
          </w:p>
        </w:tc>
        <w:tc>
          <w:tcPr>
            <w:tcW w:w="992" w:type="dxa"/>
            <w:vAlign w:val="center"/>
          </w:tcPr>
          <w:p>
            <w:pPr>
              <w:jc w:val="center"/>
              <w:rPr>
                <w:rFonts w:eastAsiaTheme="minorEastAsia"/>
                <w:color w:val="auto"/>
                <w:sz w:val="18"/>
                <w:szCs w:val="18"/>
              </w:rPr>
            </w:pPr>
            <w:r>
              <w:rPr>
                <w:rFonts w:eastAsiaTheme="minorEastAsia"/>
                <w:color w:val="auto"/>
                <w:sz w:val="18"/>
                <w:szCs w:val="18"/>
              </w:rPr>
              <w:t>＜0.04</w:t>
            </w:r>
          </w:p>
        </w:tc>
        <w:tc>
          <w:tcPr>
            <w:tcW w:w="992" w:type="dxa"/>
            <w:vAlign w:val="center"/>
          </w:tcPr>
          <w:p>
            <w:pPr>
              <w:jc w:val="center"/>
              <w:rPr>
                <w:rFonts w:eastAsiaTheme="minorEastAsia"/>
                <w:color w:val="auto"/>
                <w:sz w:val="18"/>
                <w:szCs w:val="18"/>
              </w:rPr>
            </w:pPr>
            <w:r>
              <w:rPr>
                <w:rFonts w:eastAsiaTheme="minorEastAsia"/>
                <w:color w:val="auto"/>
                <w:sz w:val="18"/>
                <w:szCs w:val="18"/>
              </w:rPr>
              <w:t>＜0.04</w:t>
            </w:r>
          </w:p>
        </w:tc>
        <w:tc>
          <w:tcPr>
            <w:tcW w:w="958" w:type="dxa"/>
            <w:vAlign w:val="center"/>
          </w:tcPr>
          <w:p>
            <w:pPr>
              <w:jc w:val="center"/>
              <w:rPr>
                <w:rFonts w:eastAsiaTheme="minorEastAsia"/>
                <w:color w:val="auto"/>
                <w:sz w:val="18"/>
                <w:szCs w:val="18"/>
              </w:rPr>
            </w:pPr>
            <w:r>
              <w:rPr>
                <w:rFonts w:eastAsiaTheme="minorEastAsia"/>
                <w:color w:val="auto"/>
                <w:sz w:val="18"/>
                <w:szCs w:val="18"/>
              </w:rPr>
              <w:t>＜0.04</w:t>
            </w:r>
          </w:p>
        </w:tc>
        <w:tc>
          <w:tcPr>
            <w:tcW w:w="957" w:type="dxa"/>
            <w:vAlign w:val="center"/>
          </w:tcPr>
          <w:p>
            <w:pPr>
              <w:jc w:val="center"/>
              <w:rPr>
                <w:rFonts w:eastAsiaTheme="minorEastAsia"/>
                <w:color w:val="auto"/>
                <w:sz w:val="18"/>
                <w:szCs w:val="18"/>
              </w:rPr>
            </w:pPr>
            <w:r>
              <w:rPr>
                <w:rFonts w:eastAsiaTheme="minorEastAsia"/>
                <w:color w:val="auto"/>
                <w:sz w:val="18"/>
                <w:szCs w:val="18"/>
              </w:rPr>
              <w:t>＜0.04</w:t>
            </w:r>
          </w:p>
        </w:tc>
        <w:tc>
          <w:tcPr>
            <w:tcW w:w="957" w:type="dxa"/>
            <w:vAlign w:val="center"/>
          </w:tcPr>
          <w:p>
            <w:pPr>
              <w:jc w:val="center"/>
              <w:rPr>
                <w:rFonts w:eastAsiaTheme="minorEastAsia"/>
                <w:color w:val="auto"/>
                <w:sz w:val="18"/>
                <w:szCs w:val="18"/>
              </w:rPr>
            </w:pPr>
            <w:r>
              <w:rPr>
                <w:rFonts w:eastAsiaTheme="minorEastAsia"/>
                <w:color w:val="auto"/>
                <w:sz w:val="18"/>
                <w:szCs w:val="18"/>
              </w:rPr>
              <w:t>＜0.04</w:t>
            </w:r>
          </w:p>
        </w:tc>
        <w:tc>
          <w:tcPr>
            <w:tcW w:w="904" w:type="dxa"/>
            <w:vAlign w:val="center"/>
          </w:tcPr>
          <w:p>
            <w:pPr>
              <w:jc w:val="center"/>
              <w:rPr>
                <w:rFonts w:eastAsiaTheme="minorEastAsia"/>
                <w:color w:val="auto"/>
                <w:sz w:val="18"/>
                <w:szCs w:val="18"/>
              </w:rPr>
            </w:pPr>
            <w:r>
              <w:rPr>
                <w:rFonts w:eastAsiaTheme="minorEastAsia"/>
                <w:color w:val="auto"/>
                <w:sz w:val="18"/>
                <w:szCs w:val="18"/>
              </w:rPr>
              <w:t>＜0.04</w:t>
            </w:r>
          </w:p>
        </w:tc>
        <w:tc>
          <w:tcPr>
            <w:tcW w:w="1072" w:type="dxa"/>
            <w:vAlign w:val="center"/>
          </w:tcPr>
          <w:p>
            <w:pPr>
              <w:jc w:val="center"/>
              <w:rPr>
                <w:rFonts w:eastAsiaTheme="minorEastAsia"/>
                <w:color w:val="auto"/>
                <w:sz w:val="18"/>
                <w:szCs w:val="18"/>
              </w:rPr>
            </w:pPr>
            <w:r>
              <w:rPr>
                <w:rFonts w:eastAsiaTheme="minorEastAsia"/>
                <w:color w:val="auto"/>
                <w:sz w:val="18"/>
                <w:szCs w:val="18"/>
              </w:rPr>
              <w:t>＜0.04</w:t>
            </w:r>
          </w:p>
        </w:tc>
        <w:tc>
          <w:tcPr>
            <w:tcW w:w="957" w:type="dxa"/>
            <w:vAlign w:val="center"/>
          </w:tcPr>
          <w:p>
            <w:pPr>
              <w:jc w:val="center"/>
              <w:rPr>
                <w:rFonts w:eastAsiaTheme="minorEastAsia"/>
                <w:color w:val="auto"/>
                <w:sz w:val="18"/>
                <w:szCs w:val="18"/>
              </w:rPr>
            </w:pPr>
            <w:r>
              <w:rPr>
                <w:rFonts w:eastAsiaTheme="minorEastAsia"/>
                <w:color w:val="auto"/>
                <w:sz w:val="18"/>
                <w:szCs w:val="18"/>
              </w:rPr>
              <w:t>＜0.04</w:t>
            </w:r>
          </w:p>
        </w:tc>
        <w:tc>
          <w:tcPr>
            <w:tcW w:w="957" w:type="dxa"/>
            <w:vAlign w:val="center"/>
          </w:tcPr>
          <w:p>
            <w:pPr>
              <w:jc w:val="center"/>
              <w:rPr>
                <w:rFonts w:eastAsiaTheme="minorEastAsia"/>
                <w:color w:val="auto"/>
                <w:sz w:val="18"/>
                <w:szCs w:val="18"/>
              </w:rPr>
            </w:pPr>
            <w:r>
              <w:rPr>
                <w:rFonts w:eastAsiaTheme="minorEastAsia"/>
                <w:color w:val="auto"/>
                <w:sz w:val="18"/>
                <w:szCs w:val="18"/>
              </w:rPr>
              <w:t>＜0.04</w:t>
            </w:r>
          </w:p>
        </w:tc>
        <w:tc>
          <w:tcPr>
            <w:tcW w:w="958" w:type="dxa"/>
            <w:vAlign w:val="center"/>
          </w:tcPr>
          <w:p>
            <w:pPr>
              <w:jc w:val="center"/>
              <w:rPr>
                <w:rFonts w:eastAsiaTheme="minorEastAsia"/>
                <w:color w:val="auto"/>
                <w:sz w:val="18"/>
                <w:szCs w:val="18"/>
              </w:rPr>
            </w:pPr>
            <w:r>
              <w:rPr>
                <w:rFonts w:eastAsiaTheme="minorEastAsia"/>
                <w:color w:val="auto"/>
                <w:sz w:val="18"/>
                <w:szCs w:val="18"/>
              </w:rPr>
              <w:t>＜0.04</w:t>
            </w:r>
          </w:p>
        </w:tc>
        <w:tc>
          <w:tcPr>
            <w:tcW w:w="927" w:type="dxa"/>
            <w:vAlign w:val="center"/>
          </w:tcPr>
          <w:p>
            <w:pPr>
              <w:jc w:val="center"/>
              <w:rPr>
                <w:rFonts w:eastAsiaTheme="minorEastAsia"/>
                <w:color w:val="auto"/>
                <w:sz w:val="18"/>
                <w:szCs w:val="18"/>
              </w:rPr>
            </w:pPr>
            <w:r>
              <w:rPr>
                <w:rFonts w:eastAsiaTheme="minorEastAsia"/>
                <w:color w:val="auto"/>
                <w:sz w:val="18"/>
                <w:szCs w:val="18"/>
              </w:rPr>
              <w:t>＜0.04</w:t>
            </w:r>
          </w:p>
        </w:tc>
        <w:tc>
          <w:tcPr>
            <w:tcW w:w="957" w:type="dxa"/>
            <w:vAlign w:val="center"/>
          </w:tcPr>
          <w:p>
            <w:pPr>
              <w:jc w:val="center"/>
              <w:rPr>
                <w:rFonts w:eastAsiaTheme="minorEastAsia"/>
                <w:color w:val="auto"/>
                <w:sz w:val="18"/>
                <w:szCs w:val="18"/>
              </w:rPr>
            </w:pPr>
            <w:r>
              <w:rPr>
                <w:rFonts w:eastAsiaTheme="minorEastAsia"/>
                <w:color w:val="auto"/>
                <w:sz w:val="18"/>
                <w:szCs w:val="18"/>
              </w:rPr>
              <w:t>＜0.04</w:t>
            </w:r>
          </w:p>
        </w:tc>
        <w:tc>
          <w:tcPr>
            <w:tcW w:w="958" w:type="dxa"/>
            <w:vAlign w:val="center"/>
          </w:tcPr>
          <w:p>
            <w:pPr>
              <w:jc w:val="center"/>
              <w:rPr>
                <w:rFonts w:eastAsiaTheme="minorEastAsia"/>
                <w:color w:val="auto"/>
                <w:sz w:val="18"/>
                <w:szCs w:val="18"/>
              </w:rPr>
            </w:pPr>
            <w:r>
              <w:rPr>
                <w:rFonts w:eastAsiaTheme="minorEastAsia"/>
                <w:color w:val="auto"/>
                <w:sz w:val="18"/>
                <w:szCs w:val="18"/>
              </w:rPr>
              <w:t>＜0.04</w:t>
            </w:r>
          </w:p>
        </w:tc>
        <w:tc>
          <w:tcPr>
            <w:tcW w:w="957" w:type="dxa"/>
            <w:vAlign w:val="center"/>
          </w:tcPr>
          <w:p>
            <w:pPr>
              <w:jc w:val="center"/>
              <w:rPr>
                <w:rFonts w:eastAsiaTheme="minorEastAsia"/>
                <w:color w:val="auto"/>
                <w:sz w:val="18"/>
                <w:szCs w:val="18"/>
              </w:rPr>
            </w:pPr>
            <w:r>
              <w:rPr>
                <w:rFonts w:eastAsiaTheme="minorEastAsia"/>
                <w:color w:val="auto"/>
                <w:sz w:val="18"/>
                <w:szCs w:val="18"/>
              </w:rPr>
              <w:t>＜0.04</w:t>
            </w:r>
          </w:p>
        </w:tc>
        <w:tc>
          <w:tcPr>
            <w:tcW w:w="957" w:type="dxa"/>
            <w:vAlign w:val="center"/>
          </w:tcPr>
          <w:p>
            <w:pPr>
              <w:jc w:val="center"/>
              <w:rPr>
                <w:rFonts w:eastAsiaTheme="minorEastAsia"/>
                <w:color w:val="auto"/>
                <w:sz w:val="18"/>
                <w:szCs w:val="18"/>
              </w:rPr>
            </w:pPr>
            <w:r>
              <w:rPr>
                <w:rFonts w:eastAsiaTheme="minorEastAsia"/>
                <w:color w:val="auto"/>
                <w:sz w:val="18"/>
                <w:szCs w:val="18"/>
              </w:rPr>
              <w:t>＜0.04</w:t>
            </w:r>
          </w:p>
        </w:tc>
        <w:tc>
          <w:tcPr>
            <w:tcW w:w="991" w:type="dxa"/>
            <w:vAlign w:val="center"/>
          </w:tcPr>
          <w:p>
            <w:pPr>
              <w:jc w:val="center"/>
              <w:rPr>
                <w:rFonts w:eastAsiaTheme="minorEastAsia"/>
                <w:color w:val="auto"/>
                <w:sz w:val="18"/>
                <w:szCs w:val="18"/>
              </w:rPr>
            </w:pPr>
            <w:r>
              <w:rPr>
                <w:rFonts w:eastAsiaTheme="minorEastAsia"/>
                <w:color w:val="auto"/>
                <w:sz w:val="18"/>
                <w:szCs w:val="18"/>
              </w:rPr>
              <w:t>＜0.04</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2256</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38</w:t>
            </w:r>
          </w:p>
        </w:tc>
        <w:tc>
          <w:tcPr>
            <w:tcW w:w="850" w:type="dxa"/>
            <w:vAlign w:val="center"/>
          </w:tcPr>
          <w:p>
            <w:pPr>
              <w:jc w:val="center"/>
              <w:rPr>
                <w:rFonts w:eastAsiaTheme="minorEastAsia"/>
                <w:color w:val="auto"/>
                <w:sz w:val="18"/>
                <w:szCs w:val="18"/>
              </w:rPr>
            </w:pPr>
            <w:r>
              <w:rPr>
                <w:rFonts w:eastAsiaTheme="minorEastAsia"/>
                <w:color w:val="auto"/>
                <w:sz w:val="18"/>
                <w:szCs w:val="18"/>
              </w:rPr>
              <w:t>苯并(a)蒽</w:t>
            </w:r>
          </w:p>
        </w:tc>
        <w:tc>
          <w:tcPr>
            <w:tcW w:w="992" w:type="dxa"/>
            <w:vAlign w:val="center"/>
          </w:tcPr>
          <w:p>
            <w:pPr>
              <w:jc w:val="center"/>
              <w:rPr>
                <w:rFonts w:eastAsiaTheme="minorEastAsia"/>
                <w:color w:val="auto"/>
                <w:sz w:val="18"/>
                <w:szCs w:val="18"/>
              </w:rPr>
            </w:pPr>
            <w:r>
              <w:rPr>
                <w:rFonts w:eastAsiaTheme="minorEastAsia"/>
                <w:color w:val="auto"/>
                <w:sz w:val="18"/>
                <w:szCs w:val="18"/>
              </w:rPr>
              <w:t>＜0.1</w:t>
            </w:r>
          </w:p>
        </w:tc>
        <w:tc>
          <w:tcPr>
            <w:tcW w:w="992" w:type="dxa"/>
            <w:vAlign w:val="center"/>
          </w:tcPr>
          <w:p>
            <w:pPr>
              <w:jc w:val="center"/>
              <w:rPr>
                <w:rFonts w:eastAsiaTheme="minorEastAsia"/>
                <w:color w:val="auto"/>
                <w:sz w:val="18"/>
                <w:szCs w:val="18"/>
              </w:rPr>
            </w:pPr>
            <w:r>
              <w:rPr>
                <w:rFonts w:eastAsiaTheme="minorEastAsia"/>
                <w:color w:val="auto"/>
                <w:sz w:val="18"/>
                <w:szCs w:val="18"/>
              </w:rPr>
              <w:t>＜0.1</w:t>
            </w:r>
          </w:p>
        </w:tc>
        <w:tc>
          <w:tcPr>
            <w:tcW w:w="958"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04" w:type="dxa"/>
            <w:vAlign w:val="center"/>
          </w:tcPr>
          <w:p>
            <w:pPr>
              <w:jc w:val="center"/>
              <w:rPr>
                <w:rFonts w:eastAsiaTheme="minorEastAsia"/>
                <w:color w:val="auto"/>
                <w:sz w:val="18"/>
                <w:szCs w:val="18"/>
              </w:rPr>
            </w:pPr>
            <w:r>
              <w:rPr>
                <w:rFonts w:eastAsiaTheme="minorEastAsia"/>
                <w:color w:val="auto"/>
                <w:sz w:val="18"/>
                <w:szCs w:val="18"/>
              </w:rPr>
              <w:t>＜0.1</w:t>
            </w:r>
          </w:p>
        </w:tc>
        <w:tc>
          <w:tcPr>
            <w:tcW w:w="1072"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8" w:type="dxa"/>
            <w:vAlign w:val="center"/>
          </w:tcPr>
          <w:p>
            <w:pPr>
              <w:jc w:val="center"/>
              <w:rPr>
                <w:rFonts w:eastAsiaTheme="minorEastAsia"/>
                <w:color w:val="auto"/>
                <w:sz w:val="18"/>
                <w:szCs w:val="18"/>
              </w:rPr>
            </w:pPr>
            <w:r>
              <w:rPr>
                <w:rFonts w:eastAsiaTheme="minorEastAsia"/>
                <w:color w:val="auto"/>
                <w:sz w:val="18"/>
                <w:szCs w:val="18"/>
              </w:rPr>
              <w:t>＜0.1</w:t>
            </w:r>
          </w:p>
        </w:tc>
        <w:tc>
          <w:tcPr>
            <w:tcW w:w="927"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8"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91" w:type="dxa"/>
            <w:vAlign w:val="center"/>
          </w:tcPr>
          <w:p>
            <w:pPr>
              <w:jc w:val="center"/>
              <w:rPr>
                <w:rFonts w:eastAsiaTheme="minorEastAsia"/>
                <w:color w:val="auto"/>
                <w:sz w:val="18"/>
                <w:szCs w:val="18"/>
              </w:rPr>
            </w:pPr>
            <w:r>
              <w:rPr>
                <w:rFonts w:eastAsiaTheme="minorEastAsia"/>
                <w:color w:val="auto"/>
                <w:sz w:val="18"/>
                <w:szCs w:val="18"/>
              </w:rPr>
              <w:t>＜0.1</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15</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39</w:t>
            </w:r>
          </w:p>
        </w:tc>
        <w:tc>
          <w:tcPr>
            <w:tcW w:w="850" w:type="dxa"/>
            <w:vAlign w:val="center"/>
          </w:tcPr>
          <w:p>
            <w:pPr>
              <w:jc w:val="center"/>
              <w:rPr>
                <w:rFonts w:eastAsiaTheme="minorEastAsia"/>
                <w:color w:val="auto"/>
                <w:sz w:val="18"/>
                <w:szCs w:val="18"/>
              </w:rPr>
            </w:pPr>
            <w:r>
              <w:rPr>
                <w:rFonts w:eastAsiaTheme="minorEastAsia"/>
                <w:color w:val="auto"/>
                <w:sz w:val="18"/>
                <w:szCs w:val="18"/>
              </w:rPr>
              <w:t>苯并(a)芘</w:t>
            </w:r>
          </w:p>
        </w:tc>
        <w:tc>
          <w:tcPr>
            <w:tcW w:w="992" w:type="dxa"/>
            <w:vAlign w:val="center"/>
          </w:tcPr>
          <w:p>
            <w:pPr>
              <w:jc w:val="center"/>
              <w:rPr>
                <w:rFonts w:eastAsiaTheme="minorEastAsia"/>
                <w:color w:val="auto"/>
                <w:sz w:val="18"/>
                <w:szCs w:val="18"/>
              </w:rPr>
            </w:pPr>
            <w:r>
              <w:rPr>
                <w:rFonts w:eastAsiaTheme="minorEastAsia"/>
                <w:color w:val="auto"/>
                <w:sz w:val="18"/>
                <w:szCs w:val="18"/>
              </w:rPr>
              <w:t>＜0.1</w:t>
            </w:r>
          </w:p>
        </w:tc>
        <w:tc>
          <w:tcPr>
            <w:tcW w:w="992" w:type="dxa"/>
            <w:vAlign w:val="center"/>
          </w:tcPr>
          <w:p>
            <w:pPr>
              <w:jc w:val="center"/>
              <w:rPr>
                <w:rFonts w:eastAsiaTheme="minorEastAsia"/>
                <w:color w:val="auto"/>
                <w:sz w:val="18"/>
                <w:szCs w:val="18"/>
              </w:rPr>
            </w:pPr>
            <w:r>
              <w:rPr>
                <w:rFonts w:eastAsiaTheme="minorEastAsia"/>
                <w:color w:val="auto"/>
                <w:sz w:val="18"/>
                <w:szCs w:val="18"/>
              </w:rPr>
              <w:t>＜0.1</w:t>
            </w:r>
          </w:p>
        </w:tc>
        <w:tc>
          <w:tcPr>
            <w:tcW w:w="958"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04" w:type="dxa"/>
            <w:vAlign w:val="center"/>
          </w:tcPr>
          <w:p>
            <w:pPr>
              <w:jc w:val="center"/>
              <w:rPr>
                <w:rFonts w:eastAsiaTheme="minorEastAsia"/>
                <w:color w:val="auto"/>
                <w:sz w:val="18"/>
                <w:szCs w:val="18"/>
              </w:rPr>
            </w:pPr>
            <w:r>
              <w:rPr>
                <w:rFonts w:eastAsiaTheme="minorEastAsia"/>
                <w:color w:val="auto"/>
                <w:sz w:val="18"/>
                <w:szCs w:val="18"/>
              </w:rPr>
              <w:t>＜0.1</w:t>
            </w:r>
          </w:p>
        </w:tc>
        <w:tc>
          <w:tcPr>
            <w:tcW w:w="1072"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8" w:type="dxa"/>
            <w:vAlign w:val="center"/>
          </w:tcPr>
          <w:p>
            <w:pPr>
              <w:jc w:val="center"/>
              <w:rPr>
                <w:rFonts w:eastAsiaTheme="minorEastAsia"/>
                <w:color w:val="auto"/>
                <w:sz w:val="18"/>
                <w:szCs w:val="18"/>
              </w:rPr>
            </w:pPr>
            <w:r>
              <w:rPr>
                <w:rFonts w:eastAsiaTheme="minorEastAsia"/>
                <w:color w:val="auto"/>
                <w:sz w:val="18"/>
                <w:szCs w:val="18"/>
              </w:rPr>
              <w:t>＜0.1</w:t>
            </w:r>
          </w:p>
        </w:tc>
        <w:tc>
          <w:tcPr>
            <w:tcW w:w="927"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8"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91" w:type="dxa"/>
            <w:vAlign w:val="center"/>
          </w:tcPr>
          <w:p>
            <w:pPr>
              <w:jc w:val="center"/>
              <w:rPr>
                <w:rFonts w:eastAsiaTheme="minorEastAsia"/>
                <w:color w:val="auto"/>
                <w:sz w:val="18"/>
                <w:szCs w:val="18"/>
              </w:rPr>
            </w:pPr>
            <w:r>
              <w:rPr>
                <w:rFonts w:eastAsiaTheme="minorEastAsia"/>
                <w:color w:val="auto"/>
                <w:sz w:val="18"/>
                <w:szCs w:val="18"/>
              </w:rPr>
              <w:t>＜0.1</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1.5</w:t>
            </w:r>
          </w:p>
        </w:tc>
        <w:tc>
          <w:tcPr>
            <w:tcW w:w="1316" w:type="dxa"/>
            <w:vAlign w:val="center"/>
          </w:tcPr>
          <w:p>
            <w:pPr>
              <w:jc w:val="center"/>
              <w:rPr>
                <w:rFonts w:eastAsiaTheme="minorEastAsia"/>
                <w:color w:val="auto"/>
                <w:sz w:val="18"/>
                <w:szCs w:val="18"/>
              </w:rPr>
            </w:pPr>
            <w:r>
              <w:rPr>
                <w:rFonts w:eastAsiaTheme="minorEastAsia"/>
                <w:color w:val="auto"/>
                <w:sz w:val="18"/>
                <w:szCs w:val="18"/>
              </w:rPr>
              <w:t>0.55</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40</w:t>
            </w:r>
          </w:p>
        </w:tc>
        <w:tc>
          <w:tcPr>
            <w:tcW w:w="850" w:type="dxa"/>
            <w:vAlign w:val="center"/>
          </w:tcPr>
          <w:p>
            <w:pPr>
              <w:jc w:val="center"/>
              <w:rPr>
                <w:rFonts w:eastAsiaTheme="minorEastAsia"/>
                <w:color w:val="auto"/>
                <w:sz w:val="18"/>
                <w:szCs w:val="18"/>
              </w:rPr>
            </w:pPr>
            <w:r>
              <w:rPr>
                <w:rFonts w:eastAsiaTheme="minorEastAsia"/>
                <w:color w:val="auto"/>
                <w:sz w:val="18"/>
                <w:szCs w:val="18"/>
              </w:rPr>
              <w:t>苯并(b)荧蒽</w:t>
            </w:r>
          </w:p>
        </w:tc>
        <w:tc>
          <w:tcPr>
            <w:tcW w:w="992" w:type="dxa"/>
            <w:vAlign w:val="center"/>
          </w:tcPr>
          <w:p>
            <w:pPr>
              <w:jc w:val="center"/>
              <w:rPr>
                <w:rFonts w:eastAsiaTheme="minorEastAsia"/>
                <w:color w:val="auto"/>
                <w:sz w:val="18"/>
                <w:szCs w:val="18"/>
              </w:rPr>
            </w:pPr>
            <w:r>
              <w:rPr>
                <w:rFonts w:eastAsiaTheme="minorEastAsia"/>
                <w:color w:val="auto"/>
                <w:sz w:val="18"/>
                <w:szCs w:val="18"/>
              </w:rPr>
              <w:t>＜0.2</w:t>
            </w:r>
          </w:p>
        </w:tc>
        <w:tc>
          <w:tcPr>
            <w:tcW w:w="992" w:type="dxa"/>
            <w:vAlign w:val="center"/>
          </w:tcPr>
          <w:p>
            <w:pPr>
              <w:jc w:val="center"/>
              <w:rPr>
                <w:rFonts w:eastAsiaTheme="minorEastAsia"/>
                <w:color w:val="auto"/>
                <w:sz w:val="18"/>
                <w:szCs w:val="18"/>
              </w:rPr>
            </w:pPr>
            <w:r>
              <w:rPr>
                <w:rFonts w:eastAsiaTheme="minorEastAsia"/>
                <w:color w:val="auto"/>
                <w:sz w:val="18"/>
                <w:szCs w:val="18"/>
              </w:rPr>
              <w:t>＜0.2</w:t>
            </w:r>
          </w:p>
        </w:tc>
        <w:tc>
          <w:tcPr>
            <w:tcW w:w="958" w:type="dxa"/>
            <w:vAlign w:val="center"/>
          </w:tcPr>
          <w:p>
            <w:pPr>
              <w:jc w:val="center"/>
              <w:rPr>
                <w:rFonts w:eastAsiaTheme="minorEastAsia"/>
                <w:color w:val="auto"/>
                <w:sz w:val="18"/>
                <w:szCs w:val="18"/>
              </w:rPr>
            </w:pPr>
            <w:r>
              <w:rPr>
                <w:rFonts w:eastAsiaTheme="minorEastAsia"/>
                <w:color w:val="auto"/>
                <w:sz w:val="18"/>
                <w:szCs w:val="18"/>
              </w:rPr>
              <w:t>＜0.2</w:t>
            </w:r>
          </w:p>
        </w:tc>
        <w:tc>
          <w:tcPr>
            <w:tcW w:w="957" w:type="dxa"/>
            <w:vAlign w:val="center"/>
          </w:tcPr>
          <w:p>
            <w:pPr>
              <w:jc w:val="center"/>
              <w:rPr>
                <w:rFonts w:eastAsiaTheme="minorEastAsia"/>
                <w:color w:val="auto"/>
                <w:sz w:val="18"/>
                <w:szCs w:val="18"/>
              </w:rPr>
            </w:pPr>
            <w:r>
              <w:rPr>
                <w:rFonts w:eastAsiaTheme="minorEastAsia"/>
                <w:color w:val="auto"/>
                <w:sz w:val="18"/>
                <w:szCs w:val="18"/>
              </w:rPr>
              <w:t>＜0.2</w:t>
            </w:r>
          </w:p>
        </w:tc>
        <w:tc>
          <w:tcPr>
            <w:tcW w:w="957" w:type="dxa"/>
            <w:vAlign w:val="center"/>
          </w:tcPr>
          <w:p>
            <w:pPr>
              <w:jc w:val="center"/>
              <w:rPr>
                <w:rFonts w:eastAsiaTheme="minorEastAsia"/>
                <w:color w:val="auto"/>
                <w:sz w:val="18"/>
                <w:szCs w:val="18"/>
              </w:rPr>
            </w:pPr>
            <w:r>
              <w:rPr>
                <w:rFonts w:eastAsiaTheme="minorEastAsia"/>
                <w:color w:val="auto"/>
                <w:sz w:val="18"/>
                <w:szCs w:val="18"/>
              </w:rPr>
              <w:t>＜0.2</w:t>
            </w:r>
          </w:p>
        </w:tc>
        <w:tc>
          <w:tcPr>
            <w:tcW w:w="904" w:type="dxa"/>
            <w:vAlign w:val="center"/>
          </w:tcPr>
          <w:p>
            <w:pPr>
              <w:jc w:val="center"/>
              <w:rPr>
                <w:rFonts w:eastAsiaTheme="minorEastAsia"/>
                <w:color w:val="auto"/>
                <w:sz w:val="18"/>
                <w:szCs w:val="18"/>
              </w:rPr>
            </w:pPr>
            <w:r>
              <w:rPr>
                <w:rFonts w:eastAsiaTheme="minorEastAsia"/>
                <w:color w:val="auto"/>
                <w:sz w:val="18"/>
                <w:szCs w:val="18"/>
              </w:rPr>
              <w:t>＜0.2</w:t>
            </w:r>
          </w:p>
        </w:tc>
        <w:tc>
          <w:tcPr>
            <w:tcW w:w="1072" w:type="dxa"/>
            <w:vAlign w:val="center"/>
          </w:tcPr>
          <w:p>
            <w:pPr>
              <w:jc w:val="center"/>
              <w:rPr>
                <w:rFonts w:eastAsiaTheme="minorEastAsia"/>
                <w:color w:val="auto"/>
                <w:sz w:val="18"/>
                <w:szCs w:val="18"/>
              </w:rPr>
            </w:pPr>
            <w:r>
              <w:rPr>
                <w:rFonts w:eastAsiaTheme="minorEastAsia"/>
                <w:color w:val="auto"/>
                <w:sz w:val="18"/>
                <w:szCs w:val="18"/>
              </w:rPr>
              <w:t>＜0.2</w:t>
            </w:r>
          </w:p>
        </w:tc>
        <w:tc>
          <w:tcPr>
            <w:tcW w:w="957" w:type="dxa"/>
            <w:vAlign w:val="center"/>
          </w:tcPr>
          <w:p>
            <w:pPr>
              <w:jc w:val="center"/>
              <w:rPr>
                <w:rFonts w:eastAsiaTheme="minorEastAsia"/>
                <w:color w:val="auto"/>
                <w:sz w:val="18"/>
                <w:szCs w:val="18"/>
              </w:rPr>
            </w:pPr>
            <w:r>
              <w:rPr>
                <w:rFonts w:eastAsiaTheme="minorEastAsia"/>
                <w:color w:val="auto"/>
                <w:sz w:val="18"/>
                <w:szCs w:val="18"/>
              </w:rPr>
              <w:t>＜0.2</w:t>
            </w:r>
          </w:p>
        </w:tc>
        <w:tc>
          <w:tcPr>
            <w:tcW w:w="957" w:type="dxa"/>
            <w:vAlign w:val="center"/>
          </w:tcPr>
          <w:p>
            <w:pPr>
              <w:jc w:val="center"/>
              <w:rPr>
                <w:rFonts w:eastAsiaTheme="minorEastAsia"/>
                <w:color w:val="auto"/>
                <w:sz w:val="18"/>
                <w:szCs w:val="18"/>
              </w:rPr>
            </w:pPr>
            <w:r>
              <w:rPr>
                <w:rFonts w:eastAsiaTheme="minorEastAsia"/>
                <w:color w:val="auto"/>
                <w:sz w:val="18"/>
                <w:szCs w:val="18"/>
              </w:rPr>
              <w:t>＜0.2</w:t>
            </w:r>
          </w:p>
        </w:tc>
        <w:tc>
          <w:tcPr>
            <w:tcW w:w="958" w:type="dxa"/>
            <w:vAlign w:val="center"/>
          </w:tcPr>
          <w:p>
            <w:pPr>
              <w:jc w:val="center"/>
              <w:rPr>
                <w:rFonts w:eastAsiaTheme="minorEastAsia"/>
                <w:color w:val="auto"/>
                <w:sz w:val="18"/>
                <w:szCs w:val="18"/>
              </w:rPr>
            </w:pPr>
            <w:r>
              <w:rPr>
                <w:rFonts w:eastAsiaTheme="minorEastAsia"/>
                <w:color w:val="auto"/>
                <w:sz w:val="18"/>
                <w:szCs w:val="18"/>
              </w:rPr>
              <w:t>＜0.2</w:t>
            </w:r>
          </w:p>
        </w:tc>
        <w:tc>
          <w:tcPr>
            <w:tcW w:w="927" w:type="dxa"/>
            <w:vAlign w:val="center"/>
          </w:tcPr>
          <w:p>
            <w:pPr>
              <w:jc w:val="center"/>
              <w:rPr>
                <w:rFonts w:eastAsiaTheme="minorEastAsia"/>
                <w:color w:val="auto"/>
                <w:sz w:val="18"/>
                <w:szCs w:val="18"/>
              </w:rPr>
            </w:pPr>
            <w:r>
              <w:rPr>
                <w:rFonts w:eastAsiaTheme="minorEastAsia"/>
                <w:color w:val="auto"/>
                <w:sz w:val="18"/>
                <w:szCs w:val="18"/>
              </w:rPr>
              <w:t>＜0.2</w:t>
            </w:r>
          </w:p>
        </w:tc>
        <w:tc>
          <w:tcPr>
            <w:tcW w:w="957" w:type="dxa"/>
            <w:vAlign w:val="center"/>
          </w:tcPr>
          <w:p>
            <w:pPr>
              <w:jc w:val="center"/>
              <w:rPr>
                <w:rFonts w:eastAsiaTheme="minorEastAsia"/>
                <w:color w:val="auto"/>
                <w:sz w:val="18"/>
                <w:szCs w:val="18"/>
              </w:rPr>
            </w:pPr>
            <w:r>
              <w:rPr>
                <w:rFonts w:eastAsiaTheme="minorEastAsia"/>
                <w:color w:val="auto"/>
                <w:sz w:val="18"/>
                <w:szCs w:val="18"/>
              </w:rPr>
              <w:t>＜0.2</w:t>
            </w:r>
          </w:p>
        </w:tc>
        <w:tc>
          <w:tcPr>
            <w:tcW w:w="958" w:type="dxa"/>
            <w:vAlign w:val="center"/>
          </w:tcPr>
          <w:p>
            <w:pPr>
              <w:jc w:val="center"/>
              <w:rPr>
                <w:rFonts w:eastAsiaTheme="minorEastAsia"/>
                <w:color w:val="auto"/>
                <w:sz w:val="18"/>
                <w:szCs w:val="18"/>
              </w:rPr>
            </w:pPr>
            <w:r>
              <w:rPr>
                <w:rFonts w:eastAsiaTheme="minorEastAsia"/>
                <w:color w:val="auto"/>
                <w:sz w:val="18"/>
                <w:szCs w:val="18"/>
              </w:rPr>
              <w:t>＜0.2</w:t>
            </w:r>
          </w:p>
        </w:tc>
        <w:tc>
          <w:tcPr>
            <w:tcW w:w="957" w:type="dxa"/>
            <w:vAlign w:val="center"/>
          </w:tcPr>
          <w:p>
            <w:pPr>
              <w:jc w:val="center"/>
              <w:rPr>
                <w:rFonts w:eastAsiaTheme="minorEastAsia"/>
                <w:color w:val="auto"/>
                <w:sz w:val="18"/>
                <w:szCs w:val="18"/>
              </w:rPr>
            </w:pPr>
            <w:r>
              <w:rPr>
                <w:rFonts w:eastAsiaTheme="minorEastAsia"/>
                <w:color w:val="auto"/>
                <w:sz w:val="18"/>
                <w:szCs w:val="18"/>
              </w:rPr>
              <w:t>＜0.2</w:t>
            </w:r>
          </w:p>
        </w:tc>
        <w:tc>
          <w:tcPr>
            <w:tcW w:w="957" w:type="dxa"/>
            <w:vAlign w:val="center"/>
          </w:tcPr>
          <w:p>
            <w:pPr>
              <w:jc w:val="center"/>
              <w:rPr>
                <w:rFonts w:eastAsiaTheme="minorEastAsia"/>
                <w:color w:val="auto"/>
                <w:sz w:val="18"/>
                <w:szCs w:val="18"/>
              </w:rPr>
            </w:pPr>
            <w:r>
              <w:rPr>
                <w:rFonts w:eastAsiaTheme="minorEastAsia"/>
                <w:color w:val="auto"/>
                <w:sz w:val="18"/>
                <w:szCs w:val="18"/>
              </w:rPr>
              <w:t>＜0.2</w:t>
            </w:r>
          </w:p>
        </w:tc>
        <w:tc>
          <w:tcPr>
            <w:tcW w:w="991" w:type="dxa"/>
            <w:vAlign w:val="center"/>
          </w:tcPr>
          <w:p>
            <w:pPr>
              <w:jc w:val="center"/>
              <w:rPr>
                <w:rFonts w:eastAsiaTheme="minorEastAsia"/>
                <w:color w:val="auto"/>
                <w:sz w:val="18"/>
                <w:szCs w:val="18"/>
              </w:rPr>
            </w:pPr>
            <w:r>
              <w:rPr>
                <w:rFonts w:eastAsiaTheme="minorEastAsia"/>
                <w:color w:val="auto"/>
                <w:sz w:val="18"/>
                <w:szCs w:val="18"/>
              </w:rPr>
              <w:t>＜0.2</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15</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41</w:t>
            </w:r>
          </w:p>
        </w:tc>
        <w:tc>
          <w:tcPr>
            <w:tcW w:w="850" w:type="dxa"/>
            <w:vAlign w:val="center"/>
          </w:tcPr>
          <w:p>
            <w:pPr>
              <w:jc w:val="center"/>
              <w:rPr>
                <w:rFonts w:eastAsiaTheme="minorEastAsia"/>
                <w:color w:val="auto"/>
                <w:sz w:val="18"/>
                <w:szCs w:val="18"/>
              </w:rPr>
            </w:pPr>
            <w:r>
              <w:rPr>
                <w:rFonts w:eastAsiaTheme="minorEastAsia"/>
                <w:color w:val="auto"/>
                <w:sz w:val="18"/>
                <w:szCs w:val="18"/>
              </w:rPr>
              <w:t>苯并(k)荧蒽</w:t>
            </w:r>
          </w:p>
        </w:tc>
        <w:tc>
          <w:tcPr>
            <w:tcW w:w="992" w:type="dxa"/>
            <w:vAlign w:val="center"/>
          </w:tcPr>
          <w:p>
            <w:pPr>
              <w:jc w:val="center"/>
              <w:rPr>
                <w:rFonts w:eastAsiaTheme="minorEastAsia"/>
                <w:color w:val="auto"/>
                <w:sz w:val="18"/>
                <w:szCs w:val="18"/>
              </w:rPr>
            </w:pPr>
            <w:r>
              <w:rPr>
                <w:rFonts w:eastAsiaTheme="minorEastAsia"/>
                <w:color w:val="auto"/>
                <w:sz w:val="18"/>
                <w:szCs w:val="18"/>
              </w:rPr>
              <w:t>＜0.1</w:t>
            </w:r>
          </w:p>
        </w:tc>
        <w:tc>
          <w:tcPr>
            <w:tcW w:w="992" w:type="dxa"/>
            <w:vAlign w:val="center"/>
          </w:tcPr>
          <w:p>
            <w:pPr>
              <w:jc w:val="center"/>
              <w:rPr>
                <w:rFonts w:eastAsiaTheme="minorEastAsia"/>
                <w:color w:val="auto"/>
                <w:sz w:val="18"/>
                <w:szCs w:val="18"/>
              </w:rPr>
            </w:pPr>
            <w:r>
              <w:rPr>
                <w:rFonts w:eastAsiaTheme="minorEastAsia"/>
                <w:color w:val="auto"/>
                <w:sz w:val="18"/>
                <w:szCs w:val="18"/>
              </w:rPr>
              <w:t>＜0.1</w:t>
            </w:r>
          </w:p>
        </w:tc>
        <w:tc>
          <w:tcPr>
            <w:tcW w:w="958"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04" w:type="dxa"/>
            <w:vAlign w:val="center"/>
          </w:tcPr>
          <w:p>
            <w:pPr>
              <w:jc w:val="center"/>
              <w:rPr>
                <w:rFonts w:eastAsiaTheme="minorEastAsia"/>
                <w:color w:val="auto"/>
                <w:sz w:val="18"/>
                <w:szCs w:val="18"/>
              </w:rPr>
            </w:pPr>
            <w:r>
              <w:rPr>
                <w:rFonts w:eastAsiaTheme="minorEastAsia"/>
                <w:color w:val="auto"/>
                <w:sz w:val="18"/>
                <w:szCs w:val="18"/>
              </w:rPr>
              <w:t>＜0.1</w:t>
            </w:r>
          </w:p>
        </w:tc>
        <w:tc>
          <w:tcPr>
            <w:tcW w:w="1072"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8" w:type="dxa"/>
            <w:vAlign w:val="center"/>
          </w:tcPr>
          <w:p>
            <w:pPr>
              <w:jc w:val="center"/>
              <w:rPr>
                <w:rFonts w:eastAsiaTheme="minorEastAsia"/>
                <w:color w:val="auto"/>
                <w:sz w:val="18"/>
                <w:szCs w:val="18"/>
              </w:rPr>
            </w:pPr>
            <w:r>
              <w:rPr>
                <w:rFonts w:eastAsiaTheme="minorEastAsia"/>
                <w:color w:val="auto"/>
                <w:sz w:val="18"/>
                <w:szCs w:val="18"/>
              </w:rPr>
              <w:t>＜0.1</w:t>
            </w:r>
          </w:p>
        </w:tc>
        <w:tc>
          <w:tcPr>
            <w:tcW w:w="927"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8"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91" w:type="dxa"/>
            <w:vAlign w:val="center"/>
          </w:tcPr>
          <w:p>
            <w:pPr>
              <w:jc w:val="center"/>
              <w:rPr>
                <w:rFonts w:eastAsiaTheme="minorEastAsia"/>
                <w:color w:val="auto"/>
                <w:sz w:val="18"/>
                <w:szCs w:val="18"/>
              </w:rPr>
            </w:pPr>
            <w:r>
              <w:rPr>
                <w:rFonts w:eastAsiaTheme="minorEastAsia"/>
                <w:color w:val="auto"/>
                <w:sz w:val="18"/>
                <w:szCs w:val="18"/>
              </w:rPr>
              <w:t>＜0.1</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151</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42</w:t>
            </w:r>
          </w:p>
        </w:tc>
        <w:tc>
          <w:tcPr>
            <w:tcW w:w="850" w:type="dxa"/>
            <w:vAlign w:val="center"/>
          </w:tcPr>
          <w:p>
            <w:pPr>
              <w:jc w:val="center"/>
              <w:rPr>
                <w:rFonts w:eastAsiaTheme="minorEastAsia"/>
                <w:color w:val="auto"/>
                <w:sz w:val="18"/>
                <w:szCs w:val="18"/>
              </w:rPr>
            </w:pPr>
            <w:r>
              <w:rPr>
                <w:rFonts w:eastAsiaTheme="minorEastAsia"/>
                <w:color w:val="auto"/>
                <w:sz w:val="18"/>
                <w:szCs w:val="18"/>
              </w:rPr>
              <w:t>䓛</w:t>
            </w:r>
          </w:p>
        </w:tc>
        <w:tc>
          <w:tcPr>
            <w:tcW w:w="992" w:type="dxa"/>
            <w:vAlign w:val="center"/>
          </w:tcPr>
          <w:p>
            <w:pPr>
              <w:jc w:val="center"/>
              <w:rPr>
                <w:rFonts w:eastAsiaTheme="minorEastAsia"/>
                <w:color w:val="auto"/>
                <w:sz w:val="18"/>
                <w:szCs w:val="18"/>
              </w:rPr>
            </w:pPr>
            <w:r>
              <w:rPr>
                <w:rFonts w:eastAsiaTheme="minorEastAsia"/>
                <w:color w:val="auto"/>
                <w:sz w:val="18"/>
                <w:szCs w:val="18"/>
              </w:rPr>
              <w:t>＜0.1</w:t>
            </w:r>
          </w:p>
        </w:tc>
        <w:tc>
          <w:tcPr>
            <w:tcW w:w="992" w:type="dxa"/>
            <w:vAlign w:val="center"/>
          </w:tcPr>
          <w:p>
            <w:pPr>
              <w:jc w:val="center"/>
              <w:rPr>
                <w:rFonts w:eastAsiaTheme="minorEastAsia"/>
                <w:color w:val="auto"/>
                <w:sz w:val="18"/>
                <w:szCs w:val="18"/>
              </w:rPr>
            </w:pPr>
            <w:r>
              <w:rPr>
                <w:rFonts w:eastAsiaTheme="minorEastAsia"/>
                <w:color w:val="auto"/>
                <w:sz w:val="18"/>
                <w:szCs w:val="18"/>
              </w:rPr>
              <w:t>＜0.1</w:t>
            </w:r>
          </w:p>
        </w:tc>
        <w:tc>
          <w:tcPr>
            <w:tcW w:w="958"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04" w:type="dxa"/>
            <w:vAlign w:val="center"/>
          </w:tcPr>
          <w:p>
            <w:pPr>
              <w:jc w:val="center"/>
              <w:rPr>
                <w:rFonts w:eastAsiaTheme="minorEastAsia"/>
                <w:color w:val="auto"/>
                <w:sz w:val="18"/>
                <w:szCs w:val="18"/>
              </w:rPr>
            </w:pPr>
            <w:r>
              <w:rPr>
                <w:rFonts w:eastAsiaTheme="minorEastAsia"/>
                <w:color w:val="auto"/>
                <w:sz w:val="18"/>
                <w:szCs w:val="18"/>
              </w:rPr>
              <w:t>＜0.1</w:t>
            </w:r>
          </w:p>
        </w:tc>
        <w:tc>
          <w:tcPr>
            <w:tcW w:w="1072"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8" w:type="dxa"/>
            <w:vAlign w:val="center"/>
          </w:tcPr>
          <w:p>
            <w:pPr>
              <w:jc w:val="center"/>
              <w:rPr>
                <w:rFonts w:eastAsiaTheme="minorEastAsia"/>
                <w:color w:val="auto"/>
                <w:sz w:val="18"/>
                <w:szCs w:val="18"/>
              </w:rPr>
            </w:pPr>
            <w:r>
              <w:rPr>
                <w:rFonts w:eastAsiaTheme="minorEastAsia"/>
                <w:color w:val="auto"/>
                <w:sz w:val="18"/>
                <w:szCs w:val="18"/>
              </w:rPr>
              <w:t>＜0.1</w:t>
            </w:r>
          </w:p>
        </w:tc>
        <w:tc>
          <w:tcPr>
            <w:tcW w:w="927"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8"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91" w:type="dxa"/>
            <w:vAlign w:val="center"/>
          </w:tcPr>
          <w:p>
            <w:pPr>
              <w:jc w:val="center"/>
              <w:rPr>
                <w:rFonts w:eastAsiaTheme="minorEastAsia"/>
                <w:color w:val="auto"/>
                <w:sz w:val="18"/>
                <w:szCs w:val="18"/>
              </w:rPr>
            </w:pPr>
            <w:r>
              <w:rPr>
                <w:rFonts w:eastAsiaTheme="minorEastAsia"/>
                <w:color w:val="auto"/>
                <w:sz w:val="18"/>
                <w:szCs w:val="18"/>
              </w:rPr>
              <w:t>＜0.1</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1293</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43</w:t>
            </w:r>
          </w:p>
        </w:tc>
        <w:tc>
          <w:tcPr>
            <w:tcW w:w="850" w:type="dxa"/>
            <w:vAlign w:val="center"/>
          </w:tcPr>
          <w:p>
            <w:pPr>
              <w:jc w:val="center"/>
              <w:rPr>
                <w:rFonts w:eastAsiaTheme="minorEastAsia"/>
                <w:color w:val="auto"/>
                <w:sz w:val="18"/>
                <w:szCs w:val="18"/>
              </w:rPr>
            </w:pPr>
            <w:r>
              <w:rPr>
                <w:rFonts w:eastAsiaTheme="minorEastAsia"/>
                <w:color w:val="auto"/>
                <w:sz w:val="18"/>
                <w:szCs w:val="18"/>
              </w:rPr>
              <w:t>二苯并(a,h)蒽</w:t>
            </w:r>
          </w:p>
        </w:tc>
        <w:tc>
          <w:tcPr>
            <w:tcW w:w="992" w:type="dxa"/>
            <w:vAlign w:val="center"/>
          </w:tcPr>
          <w:p>
            <w:pPr>
              <w:jc w:val="center"/>
              <w:rPr>
                <w:rFonts w:eastAsiaTheme="minorEastAsia"/>
                <w:color w:val="auto"/>
                <w:sz w:val="18"/>
                <w:szCs w:val="18"/>
              </w:rPr>
            </w:pPr>
            <w:r>
              <w:rPr>
                <w:rFonts w:eastAsiaTheme="minorEastAsia"/>
                <w:color w:val="auto"/>
                <w:sz w:val="18"/>
                <w:szCs w:val="18"/>
              </w:rPr>
              <w:t>＜0.1</w:t>
            </w:r>
          </w:p>
        </w:tc>
        <w:tc>
          <w:tcPr>
            <w:tcW w:w="992" w:type="dxa"/>
            <w:vAlign w:val="center"/>
          </w:tcPr>
          <w:p>
            <w:pPr>
              <w:jc w:val="center"/>
              <w:rPr>
                <w:rFonts w:eastAsiaTheme="minorEastAsia"/>
                <w:color w:val="auto"/>
                <w:sz w:val="18"/>
                <w:szCs w:val="18"/>
              </w:rPr>
            </w:pPr>
            <w:r>
              <w:rPr>
                <w:rFonts w:eastAsiaTheme="minorEastAsia"/>
                <w:color w:val="auto"/>
                <w:sz w:val="18"/>
                <w:szCs w:val="18"/>
              </w:rPr>
              <w:t>＜0.1</w:t>
            </w:r>
          </w:p>
        </w:tc>
        <w:tc>
          <w:tcPr>
            <w:tcW w:w="958"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04" w:type="dxa"/>
            <w:vAlign w:val="center"/>
          </w:tcPr>
          <w:p>
            <w:pPr>
              <w:jc w:val="center"/>
              <w:rPr>
                <w:rFonts w:eastAsiaTheme="minorEastAsia"/>
                <w:color w:val="auto"/>
                <w:sz w:val="18"/>
                <w:szCs w:val="18"/>
              </w:rPr>
            </w:pPr>
            <w:r>
              <w:rPr>
                <w:rFonts w:eastAsiaTheme="minorEastAsia"/>
                <w:color w:val="auto"/>
                <w:sz w:val="18"/>
                <w:szCs w:val="18"/>
              </w:rPr>
              <w:t>＜0.1</w:t>
            </w:r>
          </w:p>
        </w:tc>
        <w:tc>
          <w:tcPr>
            <w:tcW w:w="1072"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8" w:type="dxa"/>
            <w:vAlign w:val="center"/>
          </w:tcPr>
          <w:p>
            <w:pPr>
              <w:jc w:val="center"/>
              <w:rPr>
                <w:rFonts w:eastAsiaTheme="minorEastAsia"/>
                <w:color w:val="auto"/>
                <w:sz w:val="18"/>
                <w:szCs w:val="18"/>
              </w:rPr>
            </w:pPr>
            <w:r>
              <w:rPr>
                <w:rFonts w:eastAsiaTheme="minorEastAsia"/>
                <w:color w:val="auto"/>
                <w:sz w:val="18"/>
                <w:szCs w:val="18"/>
              </w:rPr>
              <w:t>＜0.1</w:t>
            </w:r>
          </w:p>
        </w:tc>
        <w:tc>
          <w:tcPr>
            <w:tcW w:w="927"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8"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91" w:type="dxa"/>
            <w:vAlign w:val="center"/>
          </w:tcPr>
          <w:p>
            <w:pPr>
              <w:jc w:val="center"/>
              <w:rPr>
                <w:rFonts w:eastAsiaTheme="minorEastAsia"/>
                <w:color w:val="auto"/>
                <w:sz w:val="18"/>
                <w:szCs w:val="18"/>
              </w:rPr>
            </w:pPr>
            <w:r>
              <w:rPr>
                <w:rFonts w:eastAsiaTheme="minorEastAsia"/>
                <w:color w:val="auto"/>
                <w:sz w:val="18"/>
                <w:szCs w:val="18"/>
              </w:rPr>
              <w:t>＜0.1</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1.5</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44</w:t>
            </w:r>
          </w:p>
        </w:tc>
        <w:tc>
          <w:tcPr>
            <w:tcW w:w="850" w:type="dxa"/>
            <w:vAlign w:val="center"/>
          </w:tcPr>
          <w:p>
            <w:pPr>
              <w:jc w:val="center"/>
              <w:rPr>
                <w:rFonts w:eastAsiaTheme="minorEastAsia"/>
                <w:color w:val="auto"/>
                <w:sz w:val="18"/>
                <w:szCs w:val="18"/>
              </w:rPr>
            </w:pPr>
            <w:r>
              <w:rPr>
                <w:rFonts w:eastAsiaTheme="minorEastAsia"/>
                <w:color w:val="auto"/>
                <w:sz w:val="18"/>
                <w:szCs w:val="18"/>
              </w:rPr>
              <w:t>茚并(1,2,3-cd)芘</w:t>
            </w:r>
          </w:p>
        </w:tc>
        <w:tc>
          <w:tcPr>
            <w:tcW w:w="992" w:type="dxa"/>
            <w:vAlign w:val="center"/>
          </w:tcPr>
          <w:p>
            <w:pPr>
              <w:jc w:val="center"/>
              <w:rPr>
                <w:rFonts w:eastAsiaTheme="minorEastAsia"/>
                <w:color w:val="auto"/>
                <w:sz w:val="18"/>
                <w:szCs w:val="18"/>
              </w:rPr>
            </w:pPr>
            <w:r>
              <w:rPr>
                <w:rFonts w:eastAsiaTheme="minorEastAsia"/>
                <w:color w:val="auto"/>
                <w:sz w:val="18"/>
                <w:szCs w:val="18"/>
              </w:rPr>
              <w:t>＜0.1</w:t>
            </w:r>
          </w:p>
        </w:tc>
        <w:tc>
          <w:tcPr>
            <w:tcW w:w="992" w:type="dxa"/>
            <w:vAlign w:val="center"/>
          </w:tcPr>
          <w:p>
            <w:pPr>
              <w:jc w:val="center"/>
              <w:rPr>
                <w:rFonts w:eastAsiaTheme="minorEastAsia"/>
                <w:color w:val="auto"/>
                <w:sz w:val="18"/>
                <w:szCs w:val="18"/>
              </w:rPr>
            </w:pPr>
            <w:r>
              <w:rPr>
                <w:rFonts w:eastAsiaTheme="minorEastAsia"/>
                <w:color w:val="auto"/>
                <w:sz w:val="18"/>
                <w:szCs w:val="18"/>
              </w:rPr>
              <w:t>＜0.1</w:t>
            </w:r>
          </w:p>
        </w:tc>
        <w:tc>
          <w:tcPr>
            <w:tcW w:w="958"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04" w:type="dxa"/>
            <w:vAlign w:val="center"/>
          </w:tcPr>
          <w:p>
            <w:pPr>
              <w:jc w:val="center"/>
              <w:rPr>
                <w:rFonts w:eastAsiaTheme="minorEastAsia"/>
                <w:color w:val="auto"/>
                <w:sz w:val="18"/>
                <w:szCs w:val="18"/>
              </w:rPr>
            </w:pPr>
            <w:r>
              <w:rPr>
                <w:rFonts w:eastAsiaTheme="minorEastAsia"/>
                <w:color w:val="auto"/>
                <w:sz w:val="18"/>
                <w:szCs w:val="18"/>
              </w:rPr>
              <w:t>＜0.1</w:t>
            </w:r>
          </w:p>
        </w:tc>
        <w:tc>
          <w:tcPr>
            <w:tcW w:w="1072"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8" w:type="dxa"/>
            <w:vAlign w:val="center"/>
          </w:tcPr>
          <w:p>
            <w:pPr>
              <w:jc w:val="center"/>
              <w:rPr>
                <w:rFonts w:eastAsiaTheme="minorEastAsia"/>
                <w:color w:val="auto"/>
                <w:sz w:val="18"/>
                <w:szCs w:val="18"/>
              </w:rPr>
            </w:pPr>
            <w:r>
              <w:rPr>
                <w:rFonts w:eastAsiaTheme="minorEastAsia"/>
                <w:color w:val="auto"/>
                <w:sz w:val="18"/>
                <w:szCs w:val="18"/>
              </w:rPr>
              <w:t>＜0.1</w:t>
            </w:r>
          </w:p>
        </w:tc>
        <w:tc>
          <w:tcPr>
            <w:tcW w:w="927"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8"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57" w:type="dxa"/>
            <w:vAlign w:val="center"/>
          </w:tcPr>
          <w:p>
            <w:pPr>
              <w:jc w:val="center"/>
              <w:rPr>
                <w:rFonts w:eastAsiaTheme="minorEastAsia"/>
                <w:color w:val="auto"/>
                <w:sz w:val="18"/>
                <w:szCs w:val="18"/>
              </w:rPr>
            </w:pPr>
            <w:r>
              <w:rPr>
                <w:rFonts w:eastAsiaTheme="minorEastAsia"/>
                <w:color w:val="auto"/>
                <w:sz w:val="18"/>
                <w:szCs w:val="18"/>
              </w:rPr>
              <w:t>＜0.1</w:t>
            </w:r>
          </w:p>
        </w:tc>
        <w:tc>
          <w:tcPr>
            <w:tcW w:w="991" w:type="dxa"/>
            <w:vAlign w:val="center"/>
          </w:tcPr>
          <w:p>
            <w:pPr>
              <w:jc w:val="center"/>
              <w:rPr>
                <w:rFonts w:eastAsiaTheme="minorEastAsia"/>
                <w:color w:val="auto"/>
                <w:sz w:val="18"/>
                <w:szCs w:val="18"/>
              </w:rPr>
            </w:pPr>
            <w:r>
              <w:rPr>
                <w:rFonts w:eastAsiaTheme="minorEastAsia"/>
                <w:color w:val="auto"/>
                <w:sz w:val="18"/>
                <w:szCs w:val="18"/>
              </w:rPr>
              <w:t>＜0.1</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15</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45</w:t>
            </w:r>
          </w:p>
        </w:tc>
        <w:tc>
          <w:tcPr>
            <w:tcW w:w="850" w:type="dxa"/>
            <w:vAlign w:val="center"/>
          </w:tcPr>
          <w:p>
            <w:pPr>
              <w:jc w:val="center"/>
              <w:rPr>
                <w:rFonts w:eastAsiaTheme="minorEastAsia"/>
                <w:color w:val="auto"/>
                <w:sz w:val="18"/>
                <w:szCs w:val="18"/>
              </w:rPr>
            </w:pPr>
            <w:r>
              <w:rPr>
                <w:rFonts w:eastAsiaTheme="minorEastAsia"/>
                <w:color w:val="auto"/>
                <w:sz w:val="18"/>
                <w:szCs w:val="18"/>
              </w:rPr>
              <w:t>萘</w:t>
            </w:r>
          </w:p>
        </w:tc>
        <w:tc>
          <w:tcPr>
            <w:tcW w:w="992" w:type="dxa"/>
            <w:vAlign w:val="center"/>
          </w:tcPr>
          <w:p>
            <w:pPr>
              <w:jc w:val="center"/>
              <w:rPr>
                <w:rFonts w:eastAsiaTheme="minorEastAsia"/>
                <w:color w:val="auto"/>
                <w:sz w:val="18"/>
                <w:szCs w:val="18"/>
              </w:rPr>
            </w:pPr>
            <w:r>
              <w:rPr>
                <w:rFonts w:eastAsiaTheme="minorEastAsia"/>
                <w:color w:val="auto"/>
                <w:sz w:val="18"/>
                <w:szCs w:val="18"/>
              </w:rPr>
              <w:t>＜0.09</w:t>
            </w:r>
          </w:p>
        </w:tc>
        <w:tc>
          <w:tcPr>
            <w:tcW w:w="992" w:type="dxa"/>
            <w:vAlign w:val="center"/>
          </w:tcPr>
          <w:p>
            <w:pPr>
              <w:jc w:val="center"/>
              <w:rPr>
                <w:rFonts w:eastAsiaTheme="minorEastAsia"/>
                <w:color w:val="auto"/>
                <w:sz w:val="18"/>
                <w:szCs w:val="18"/>
              </w:rPr>
            </w:pPr>
            <w:r>
              <w:rPr>
                <w:rFonts w:eastAsiaTheme="minorEastAsia"/>
                <w:color w:val="auto"/>
                <w:sz w:val="18"/>
                <w:szCs w:val="18"/>
              </w:rPr>
              <w:t>＜0.09</w:t>
            </w:r>
          </w:p>
        </w:tc>
        <w:tc>
          <w:tcPr>
            <w:tcW w:w="958" w:type="dxa"/>
            <w:vAlign w:val="center"/>
          </w:tcPr>
          <w:p>
            <w:pPr>
              <w:jc w:val="center"/>
              <w:rPr>
                <w:rFonts w:eastAsiaTheme="minorEastAsia"/>
                <w:color w:val="auto"/>
                <w:sz w:val="18"/>
                <w:szCs w:val="18"/>
              </w:rPr>
            </w:pPr>
            <w:r>
              <w:rPr>
                <w:rFonts w:eastAsiaTheme="minorEastAsia"/>
                <w:color w:val="auto"/>
                <w:sz w:val="18"/>
                <w:szCs w:val="18"/>
              </w:rPr>
              <w:t>＜0.09</w:t>
            </w:r>
          </w:p>
        </w:tc>
        <w:tc>
          <w:tcPr>
            <w:tcW w:w="957" w:type="dxa"/>
            <w:vAlign w:val="center"/>
          </w:tcPr>
          <w:p>
            <w:pPr>
              <w:jc w:val="center"/>
              <w:rPr>
                <w:rFonts w:eastAsiaTheme="minorEastAsia"/>
                <w:color w:val="auto"/>
                <w:sz w:val="18"/>
                <w:szCs w:val="18"/>
              </w:rPr>
            </w:pPr>
            <w:r>
              <w:rPr>
                <w:rFonts w:eastAsiaTheme="minorEastAsia"/>
                <w:color w:val="auto"/>
                <w:sz w:val="18"/>
                <w:szCs w:val="18"/>
              </w:rPr>
              <w:t>＜0.09</w:t>
            </w:r>
          </w:p>
        </w:tc>
        <w:tc>
          <w:tcPr>
            <w:tcW w:w="957" w:type="dxa"/>
            <w:vAlign w:val="center"/>
          </w:tcPr>
          <w:p>
            <w:pPr>
              <w:jc w:val="center"/>
              <w:rPr>
                <w:rFonts w:eastAsiaTheme="minorEastAsia"/>
                <w:color w:val="auto"/>
                <w:sz w:val="18"/>
                <w:szCs w:val="18"/>
              </w:rPr>
            </w:pPr>
            <w:r>
              <w:rPr>
                <w:rFonts w:eastAsiaTheme="minorEastAsia"/>
                <w:color w:val="auto"/>
                <w:sz w:val="18"/>
                <w:szCs w:val="18"/>
              </w:rPr>
              <w:t>＜0.09</w:t>
            </w:r>
          </w:p>
        </w:tc>
        <w:tc>
          <w:tcPr>
            <w:tcW w:w="904" w:type="dxa"/>
            <w:vAlign w:val="center"/>
          </w:tcPr>
          <w:p>
            <w:pPr>
              <w:jc w:val="center"/>
              <w:rPr>
                <w:rFonts w:eastAsiaTheme="minorEastAsia"/>
                <w:color w:val="auto"/>
                <w:sz w:val="18"/>
                <w:szCs w:val="18"/>
              </w:rPr>
            </w:pPr>
            <w:r>
              <w:rPr>
                <w:rFonts w:eastAsiaTheme="minorEastAsia"/>
                <w:color w:val="auto"/>
                <w:sz w:val="18"/>
                <w:szCs w:val="18"/>
              </w:rPr>
              <w:t>＜0.09</w:t>
            </w:r>
          </w:p>
        </w:tc>
        <w:tc>
          <w:tcPr>
            <w:tcW w:w="1072" w:type="dxa"/>
            <w:vAlign w:val="center"/>
          </w:tcPr>
          <w:p>
            <w:pPr>
              <w:jc w:val="center"/>
              <w:rPr>
                <w:rFonts w:eastAsiaTheme="minorEastAsia"/>
                <w:color w:val="auto"/>
                <w:sz w:val="18"/>
                <w:szCs w:val="18"/>
              </w:rPr>
            </w:pPr>
            <w:r>
              <w:rPr>
                <w:rFonts w:eastAsiaTheme="minorEastAsia"/>
                <w:color w:val="auto"/>
                <w:sz w:val="18"/>
                <w:szCs w:val="18"/>
              </w:rPr>
              <w:t>＜0.09</w:t>
            </w:r>
          </w:p>
        </w:tc>
        <w:tc>
          <w:tcPr>
            <w:tcW w:w="957" w:type="dxa"/>
            <w:vAlign w:val="center"/>
          </w:tcPr>
          <w:p>
            <w:pPr>
              <w:jc w:val="center"/>
              <w:rPr>
                <w:rFonts w:eastAsiaTheme="minorEastAsia"/>
                <w:color w:val="auto"/>
                <w:sz w:val="18"/>
                <w:szCs w:val="18"/>
              </w:rPr>
            </w:pPr>
            <w:r>
              <w:rPr>
                <w:rFonts w:eastAsiaTheme="minorEastAsia"/>
                <w:color w:val="auto"/>
                <w:sz w:val="18"/>
                <w:szCs w:val="18"/>
              </w:rPr>
              <w:t>＜0.09</w:t>
            </w:r>
          </w:p>
        </w:tc>
        <w:tc>
          <w:tcPr>
            <w:tcW w:w="957" w:type="dxa"/>
            <w:vAlign w:val="center"/>
          </w:tcPr>
          <w:p>
            <w:pPr>
              <w:jc w:val="center"/>
              <w:rPr>
                <w:rFonts w:eastAsiaTheme="minorEastAsia"/>
                <w:color w:val="auto"/>
                <w:sz w:val="18"/>
                <w:szCs w:val="18"/>
              </w:rPr>
            </w:pPr>
            <w:r>
              <w:rPr>
                <w:rFonts w:eastAsiaTheme="minorEastAsia"/>
                <w:color w:val="auto"/>
                <w:sz w:val="18"/>
                <w:szCs w:val="18"/>
              </w:rPr>
              <w:t>＜0.09</w:t>
            </w:r>
          </w:p>
        </w:tc>
        <w:tc>
          <w:tcPr>
            <w:tcW w:w="958" w:type="dxa"/>
            <w:vAlign w:val="center"/>
          </w:tcPr>
          <w:p>
            <w:pPr>
              <w:jc w:val="center"/>
              <w:rPr>
                <w:rFonts w:eastAsiaTheme="minorEastAsia"/>
                <w:color w:val="auto"/>
                <w:sz w:val="18"/>
                <w:szCs w:val="18"/>
              </w:rPr>
            </w:pPr>
            <w:r>
              <w:rPr>
                <w:rFonts w:eastAsiaTheme="minorEastAsia"/>
                <w:color w:val="auto"/>
                <w:sz w:val="18"/>
                <w:szCs w:val="18"/>
              </w:rPr>
              <w:t>＜0.09</w:t>
            </w:r>
          </w:p>
        </w:tc>
        <w:tc>
          <w:tcPr>
            <w:tcW w:w="927" w:type="dxa"/>
            <w:vAlign w:val="center"/>
          </w:tcPr>
          <w:p>
            <w:pPr>
              <w:jc w:val="center"/>
              <w:rPr>
                <w:rFonts w:eastAsiaTheme="minorEastAsia"/>
                <w:color w:val="auto"/>
                <w:sz w:val="18"/>
                <w:szCs w:val="18"/>
              </w:rPr>
            </w:pPr>
            <w:r>
              <w:rPr>
                <w:rFonts w:eastAsiaTheme="minorEastAsia"/>
                <w:color w:val="auto"/>
                <w:sz w:val="18"/>
                <w:szCs w:val="18"/>
              </w:rPr>
              <w:t>＜0.09</w:t>
            </w:r>
          </w:p>
        </w:tc>
        <w:tc>
          <w:tcPr>
            <w:tcW w:w="957" w:type="dxa"/>
            <w:vAlign w:val="center"/>
          </w:tcPr>
          <w:p>
            <w:pPr>
              <w:jc w:val="center"/>
              <w:rPr>
                <w:rFonts w:eastAsiaTheme="minorEastAsia"/>
                <w:color w:val="auto"/>
                <w:sz w:val="18"/>
                <w:szCs w:val="18"/>
              </w:rPr>
            </w:pPr>
            <w:r>
              <w:rPr>
                <w:rFonts w:eastAsiaTheme="minorEastAsia"/>
                <w:color w:val="auto"/>
                <w:sz w:val="18"/>
                <w:szCs w:val="18"/>
              </w:rPr>
              <w:t>＜0.09</w:t>
            </w:r>
          </w:p>
        </w:tc>
        <w:tc>
          <w:tcPr>
            <w:tcW w:w="958" w:type="dxa"/>
            <w:vAlign w:val="center"/>
          </w:tcPr>
          <w:p>
            <w:pPr>
              <w:jc w:val="center"/>
              <w:rPr>
                <w:rFonts w:eastAsiaTheme="minorEastAsia"/>
                <w:color w:val="auto"/>
                <w:sz w:val="18"/>
                <w:szCs w:val="18"/>
              </w:rPr>
            </w:pPr>
            <w:r>
              <w:rPr>
                <w:rFonts w:eastAsiaTheme="minorEastAsia"/>
                <w:color w:val="auto"/>
                <w:sz w:val="18"/>
                <w:szCs w:val="18"/>
              </w:rPr>
              <w:t>＜0.09</w:t>
            </w:r>
          </w:p>
        </w:tc>
        <w:tc>
          <w:tcPr>
            <w:tcW w:w="957" w:type="dxa"/>
            <w:vAlign w:val="center"/>
          </w:tcPr>
          <w:p>
            <w:pPr>
              <w:jc w:val="center"/>
              <w:rPr>
                <w:rFonts w:eastAsiaTheme="minorEastAsia"/>
                <w:color w:val="auto"/>
                <w:sz w:val="18"/>
                <w:szCs w:val="18"/>
              </w:rPr>
            </w:pPr>
            <w:r>
              <w:rPr>
                <w:rFonts w:eastAsiaTheme="minorEastAsia"/>
                <w:color w:val="auto"/>
                <w:sz w:val="18"/>
                <w:szCs w:val="18"/>
              </w:rPr>
              <w:t>＜0.09</w:t>
            </w:r>
          </w:p>
        </w:tc>
        <w:tc>
          <w:tcPr>
            <w:tcW w:w="957" w:type="dxa"/>
            <w:vAlign w:val="center"/>
          </w:tcPr>
          <w:p>
            <w:pPr>
              <w:jc w:val="center"/>
              <w:rPr>
                <w:rFonts w:eastAsiaTheme="minorEastAsia"/>
                <w:color w:val="auto"/>
                <w:sz w:val="18"/>
                <w:szCs w:val="18"/>
              </w:rPr>
            </w:pPr>
            <w:r>
              <w:rPr>
                <w:rFonts w:eastAsiaTheme="minorEastAsia"/>
                <w:color w:val="auto"/>
                <w:sz w:val="18"/>
                <w:szCs w:val="18"/>
              </w:rPr>
              <w:t>＜0.09</w:t>
            </w:r>
          </w:p>
        </w:tc>
        <w:tc>
          <w:tcPr>
            <w:tcW w:w="991" w:type="dxa"/>
            <w:vAlign w:val="center"/>
          </w:tcPr>
          <w:p>
            <w:pPr>
              <w:jc w:val="center"/>
              <w:rPr>
                <w:rFonts w:eastAsiaTheme="minorEastAsia"/>
                <w:color w:val="auto"/>
                <w:sz w:val="18"/>
                <w:szCs w:val="18"/>
              </w:rPr>
            </w:pPr>
            <w:r>
              <w:rPr>
                <w:rFonts w:eastAsiaTheme="minorEastAsia"/>
                <w:color w:val="auto"/>
                <w:sz w:val="18"/>
                <w:szCs w:val="18"/>
              </w:rPr>
              <w:t>＜0.09</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70</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46</w:t>
            </w:r>
          </w:p>
        </w:tc>
        <w:tc>
          <w:tcPr>
            <w:tcW w:w="850" w:type="dxa"/>
            <w:vAlign w:val="center"/>
          </w:tcPr>
          <w:p>
            <w:pPr>
              <w:jc w:val="center"/>
              <w:rPr>
                <w:rFonts w:eastAsiaTheme="minorEastAsia"/>
                <w:color w:val="auto"/>
                <w:sz w:val="18"/>
                <w:szCs w:val="18"/>
              </w:rPr>
            </w:pPr>
            <w:r>
              <w:rPr>
                <w:rFonts w:eastAsiaTheme="minorEastAsia"/>
                <w:color w:val="auto"/>
                <w:sz w:val="18"/>
                <w:szCs w:val="18"/>
              </w:rPr>
              <w:t>苯胺</w:t>
            </w:r>
          </w:p>
        </w:tc>
        <w:tc>
          <w:tcPr>
            <w:tcW w:w="992" w:type="dxa"/>
            <w:vAlign w:val="center"/>
          </w:tcPr>
          <w:p>
            <w:pPr>
              <w:jc w:val="center"/>
              <w:rPr>
                <w:rFonts w:eastAsiaTheme="minorEastAsia"/>
                <w:color w:val="auto"/>
                <w:sz w:val="18"/>
                <w:szCs w:val="18"/>
              </w:rPr>
            </w:pPr>
            <w:r>
              <w:rPr>
                <w:rFonts w:eastAsiaTheme="minorEastAsia"/>
                <w:color w:val="auto"/>
                <w:sz w:val="18"/>
                <w:szCs w:val="18"/>
              </w:rPr>
              <w:t>＜0.10</w:t>
            </w:r>
          </w:p>
        </w:tc>
        <w:tc>
          <w:tcPr>
            <w:tcW w:w="992" w:type="dxa"/>
            <w:vAlign w:val="center"/>
          </w:tcPr>
          <w:p>
            <w:pPr>
              <w:jc w:val="center"/>
              <w:rPr>
                <w:rFonts w:eastAsiaTheme="minorEastAsia"/>
                <w:color w:val="auto"/>
                <w:sz w:val="18"/>
                <w:szCs w:val="18"/>
              </w:rPr>
            </w:pPr>
            <w:r>
              <w:rPr>
                <w:rFonts w:eastAsiaTheme="minorEastAsia"/>
                <w:color w:val="auto"/>
                <w:sz w:val="18"/>
                <w:szCs w:val="18"/>
              </w:rPr>
              <w:t>＜0.10</w:t>
            </w:r>
          </w:p>
        </w:tc>
        <w:tc>
          <w:tcPr>
            <w:tcW w:w="958" w:type="dxa"/>
            <w:vAlign w:val="center"/>
          </w:tcPr>
          <w:p>
            <w:pPr>
              <w:jc w:val="center"/>
              <w:rPr>
                <w:rFonts w:eastAsiaTheme="minorEastAsia"/>
                <w:color w:val="auto"/>
                <w:sz w:val="18"/>
                <w:szCs w:val="18"/>
              </w:rPr>
            </w:pPr>
            <w:r>
              <w:rPr>
                <w:rFonts w:eastAsiaTheme="minorEastAsia"/>
                <w:color w:val="auto"/>
                <w:sz w:val="18"/>
                <w:szCs w:val="18"/>
              </w:rPr>
              <w:t>＜0.10</w:t>
            </w:r>
          </w:p>
        </w:tc>
        <w:tc>
          <w:tcPr>
            <w:tcW w:w="957" w:type="dxa"/>
            <w:vAlign w:val="center"/>
          </w:tcPr>
          <w:p>
            <w:pPr>
              <w:jc w:val="center"/>
              <w:rPr>
                <w:rFonts w:eastAsiaTheme="minorEastAsia"/>
                <w:color w:val="auto"/>
                <w:sz w:val="18"/>
                <w:szCs w:val="18"/>
              </w:rPr>
            </w:pPr>
            <w:r>
              <w:rPr>
                <w:rFonts w:eastAsiaTheme="minorEastAsia"/>
                <w:color w:val="auto"/>
                <w:sz w:val="18"/>
                <w:szCs w:val="18"/>
              </w:rPr>
              <w:t>＜0.10</w:t>
            </w:r>
          </w:p>
        </w:tc>
        <w:tc>
          <w:tcPr>
            <w:tcW w:w="957" w:type="dxa"/>
            <w:vAlign w:val="center"/>
          </w:tcPr>
          <w:p>
            <w:pPr>
              <w:jc w:val="center"/>
              <w:rPr>
                <w:rFonts w:eastAsiaTheme="minorEastAsia"/>
                <w:color w:val="auto"/>
                <w:sz w:val="18"/>
                <w:szCs w:val="18"/>
              </w:rPr>
            </w:pPr>
            <w:r>
              <w:rPr>
                <w:rFonts w:eastAsiaTheme="minorEastAsia"/>
                <w:color w:val="auto"/>
                <w:sz w:val="18"/>
                <w:szCs w:val="18"/>
              </w:rPr>
              <w:t>＜0.10</w:t>
            </w:r>
          </w:p>
        </w:tc>
        <w:tc>
          <w:tcPr>
            <w:tcW w:w="904" w:type="dxa"/>
            <w:vAlign w:val="center"/>
          </w:tcPr>
          <w:p>
            <w:pPr>
              <w:jc w:val="center"/>
              <w:rPr>
                <w:rFonts w:eastAsiaTheme="minorEastAsia"/>
                <w:color w:val="auto"/>
                <w:sz w:val="18"/>
                <w:szCs w:val="18"/>
              </w:rPr>
            </w:pPr>
            <w:r>
              <w:rPr>
                <w:rFonts w:eastAsiaTheme="minorEastAsia"/>
                <w:color w:val="auto"/>
                <w:sz w:val="18"/>
                <w:szCs w:val="18"/>
              </w:rPr>
              <w:t>＜0.10</w:t>
            </w:r>
          </w:p>
        </w:tc>
        <w:tc>
          <w:tcPr>
            <w:tcW w:w="1072" w:type="dxa"/>
            <w:vAlign w:val="center"/>
          </w:tcPr>
          <w:p>
            <w:pPr>
              <w:jc w:val="center"/>
              <w:rPr>
                <w:rFonts w:eastAsiaTheme="minorEastAsia"/>
                <w:color w:val="auto"/>
                <w:sz w:val="18"/>
                <w:szCs w:val="18"/>
              </w:rPr>
            </w:pPr>
            <w:r>
              <w:rPr>
                <w:rFonts w:eastAsiaTheme="minorEastAsia"/>
                <w:color w:val="auto"/>
                <w:sz w:val="18"/>
                <w:szCs w:val="18"/>
              </w:rPr>
              <w:t>＜0.10</w:t>
            </w:r>
          </w:p>
        </w:tc>
        <w:tc>
          <w:tcPr>
            <w:tcW w:w="957" w:type="dxa"/>
            <w:vAlign w:val="center"/>
          </w:tcPr>
          <w:p>
            <w:pPr>
              <w:jc w:val="center"/>
              <w:rPr>
                <w:rFonts w:eastAsiaTheme="minorEastAsia"/>
                <w:color w:val="auto"/>
                <w:sz w:val="18"/>
                <w:szCs w:val="18"/>
              </w:rPr>
            </w:pPr>
            <w:r>
              <w:rPr>
                <w:rFonts w:eastAsiaTheme="minorEastAsia"/>
                <w:color w:val="auto"/>
                <w:sz w:val="18"/>
                <w:szCs w:val="18"/>
              </w:rPr>
              <w:t>＜0.10</w:t>
            </w:r>
          </w:p>
        </w:tc>
        <w:tc>
          <w:tcPr>
            <w:tcW w:w="957" w:type="dxa"/>
            <w:vAlign w:val="center"/>
          </w:tcPr>
          <w:p>
            <w:pPr>
              <w:jc w:val="center"/>
              <w:rPr>
                <w:rFonts w:eastAsiaTheme="minorEastAsia"/>
                <w:color w:val="auto"/>
                <w:sz w:val="18"/>
                <w:szCs w:val="18"/>
              </w:rPr>
            </w:pPr>
            <w:r>
              <w:rPr>
                <w:rFonts w:eastAsiaTheme="minorEastAsia"/>
                <w:color w:val="auto"/>
                <w:sz w:val="18"/>
                <w:szCs w:val="18"/>
              </w:rPr>
              <w:t>＜0.10</w:t>
            </w:r>
          </w:p>
        </w:tc>
        <w:tc>
          <w:tcPr>
            <w:tcW w:w="958" w:type="dxa"/>
            <w:vAlign w:val="center"/>
          </w:tcPr>
          <w:p>
            <w:pPr>
              <w:jc w:val="center"/>
              <w:rPr>
                <w:rFonts w:eastAsiaTheme="minorEastAsia"/>
                <w:color w:val="auto"/>
                <w:sz w:val="18"/>
                <w:szCs w:val="18"/>
              </w:rPr>
            </w:pPr>
            <w:r>
              <w:rPr>
                <w:rFonts w:eastAsiaTheme="minorEastAsia"/>
                <w:color w:val="auto"/>
                <w:sz w:val="18"/>
                <w:szCs w:val="18"/>
              </w:rPr>
              <w:t>＜0.10</w:t>
            </w:r>
          </w:p>
        </w:tc>
        <w:tc>
          <w:tcPr>
            <w:tcW w:w="927" w:type="dxa"/>
            <w:vAlign w:val="center"/>
          </w:tcPr>
          <w:p>
            <w:pPr>
              <w:jc w:val="center"/>
              <w:rPr>
                <w:rFonts w:eastAsiaTheme="minorEastAsia"/>
                <w:color w:val="auto"/>
                <w:sz w:val="18"/>
                <w:szCs w:val="18"/>
              </w:rPr>
            </w:pPr>
            <w:r>
              <w:rPr>
                <w:rFonts w:eastAsiaTheme="minorEastAsia"/>
                <w:color w:val="auto"/>
                <w:sz w:val="18"/>
                <w:szCs w:val="18"/>
              </w:rPr>
              <w:t>＜0.10</w:t>
            </w:r>
          </w:p>
        </w:tc>
        <w:tc>
          <w:tcPr>
            <w:tcW w:w="957" w:type="dxa"/>
            <w:vAlign w:val="center"/>
          </w:tcPr>
          <w:p>
            <w:pPr>
              <w:jc w:val="center"/>
              <w:rPr>
                <w:rFonts w:eastAsiaTheme="minorEastAsia"/>
                <w:color w:val="auto"/>
                <w:sz w:val="18"/>
                <w:szCs w:val="18"/>
              </w:rPr>
            </w:pPr>
            <w:r>
              <w:rPr>
                <w:rFonts w:eastAsiaTheme="minorEastAsia"/>
                <w:color w:val="auto"/>
                <w:sz w:val="18"/>
                <w:szCs w:val="18"/>
              </w:rPr>
              <w:t>＜0.10</w:t>
            </w:r>
          </w:p>
        </w:tc>
        <w:tc>
          <w:tcPr>
            <w:tcW w:w="958" w:type="dxa"/>
            <w:vAlign w:val="center"/>
          </w:tcPr>
          <w:p>
            <w:pPr>
              <w:jc w:val="center"/>
              <w:rPr>
                <w:rFonts w:eastAsiaTheme="minorEastAsia"/>
                <w:color w:val="auto"/>
                <w:sz w:val="18"/>
                <w:szCs w:val="18"/>
              </w:rPr>
            </w:pPr>
            <w:r>
              <w:rPr>
                <w:rFonts w:eastAsiaTheme="minorEastAsia"/>
                <w:color w:val="auto"/>
                <w:sz w:val="18"/>
                <w:szCs w:val="18"/>
              </w:rPr>
              <w:t>＜0.10</w:t>
            </w:r>
          </w:p>
        </w:tc>
        <w:tc>
          <w:tcPr>
            <w:tcW w:w="957" w:type="dxa"/>
            <w:vAlign w:val="center"/>
          </w:tcPr>
          <w:p>
            <w:pPr>
              <w:jc w:val="center"/>
              <w:rPr>
                <w:rFonts w:eastAsiaTheme="minorEastAsia"/>
                <w:color w:val="auto"/>
                <w:sz w:val="18"/>
                <w:szCs w:val="18"/>
              </w:rPr>
            </w:pPr>
            <w:r>
              <w:rPr>
                <w:rFonts w:eastAsiaTheme="minorEastAsia"/>
                <w:color w:val="auto"/>
                <w:sz w:val="18"/>
                <w:szCs w:val="18"/>
              </w:rPr>
              <w:t>＜0.10</w:t>
            </w:r>
          </w:p>
        </w:tc>
        <w:tc>
          <w:tcPr>
            <w:tcW w:w="957" w:type="dxa"/>
            <w:vAlign w:val="center"/>
          </w:tcPr>
          <w:p>
            <w:pPr>
              <w:jc w:val="center"/>
              <w:rPr>
                <w:rFonts w:eastAsiaTheme="minorEastAsia"/>
                <w:color w:val="auto"/>
                <w:sz w:val="18"/>
                <w:szCs w:val="18"/>
              </w:rPr>
            </w:pPr>
            <w:r>
              <w:rPr>
                <w:rFonts w:eastAsiaTheme="minorEastAsia"/>
                <w:color w:val="auto"/>
                <w:sz w:val="18"/>
                <w:szCs w:val="18"/>
              </w:rPr>
              <w:t>＜0.10</w:t>
            </w:r>
          </w:p>
        </w:tc>
        <w:tc>
          <w:tcPr>
            <w:tcW w:w="991" w:type="dxa"/>
            <w:vAlign w:val="center"/>
          </w:tcPr>
          <w:p>
            <w:pPr>
              <w:jc w:val="center"/>
              <w:rPr>
                <w:rFonts w:eastAsiaTheme="minorEastAsia"/>
                <w:color w:val="auto"/>
                <w:sz w:val="18"/>
                <w:szCs w:val="18"/>
              </w:rPr>
            </w:pPr>
            <w:r>
              <w:rPr>
                <w:rFonts w:eastAsiaTheme="minorEastAsia"/>
                <w:color w:val="auto"/>
                <w:sz w:val="18"/>
                <w:szCs w:val="18"/>
              </w:rPr>
              <w:t>＜0.10</w:t>
            </w:r>
          </w:p>
        </w:tc>
        <w:tc>
          <w:tcPr>
            <w:tcW w:w="700" w:type="dxa"/>
            <w:vAlign w:val="center"/>
          </w:tcPr>
          <w:p>
            <w:pPr>
              <w:jc w:val="center"/>
              <w:rPr>
                <w:rFonts w:eastAsiaTheme="minorEastAsia"/>
                <w:color w:val="auto"/>
                <w:sz w:val="18"/>
                <w:szCs w:val="18"/>
              </w:rPr>
            </w:pPr>
            <w:r>
              <w:rPr>
                <w:rFonts w:eastAsiaTheme="minorEastAsia"/>
                <w:color w:val="auto"/>
                <w:sz w:val="18"/>
                <w:szCs w:val="18"/>
              </w:rPr>
              <w:t>---</w:t>
            </w:r>
          </w:p>
        </w:tc>
        <w:tc>
          <w:tcPr>
            <w:tcW w:w="709" w:type="dxa"/>
            <w:vAlign w:val="center"/>
          </w:tcPr>
          <w:p>
            <w:pPr>
              <w:jc w:val="center"/>
              <w:rPr>
                <w:rFonts w:eastAsiaTheme="minorEastAsia"/>
                <w:color w:val="auto"/>
                <w:sz w:val="18"/>
                <w:szCs w:val="18"/>
              </w:rPr>
            </w:pPr>
            <w:r>
              <w:rPr>
                <w:rFonts w:eastAsiaTheme="minorEastAsia"/>
                <w:color w:val="auto"/>
                <w:sz w:val="18"/>
                <w:szCs w:val="18"/>
              </w:rPr>
              <w:t>----</w:t>
            </w:r>
          </w:p>
        </w:tc>
        <w:tc>
          <w:tcPr>
            <w:tcW w:w="1134" w:type="dxa"/>
            <w:vAlign w:val="center"/>
          </w:tcPr>
          <w:p>
            <w:pPr>
              <w:jc w:val="center"/>
              <w:rPr>
                <w:rFonts w:eastAsiaTheme="minorEastAsia"/>
                <w:color w:val="auto"/>
                <w:sz w:val="18"/>
                <w:szCs w:val="18"/>
              </w:rPr>
            </w:pPr>
            <w:r>
              <w:rPr>
                <w:rFonts w:eastAsiaTheme="minorEastAsia"/>
                <w:color w:val="auto"/>
                <w:sz w:val="18"/>
                <w:szCs w:val="18"/>
              </w:rPr>
              <w:t>260</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08" w:type="dxa"/>
            <w:vAlign w:val="center"/>
          </w:tcPr>
          <w:p>
            <w:pPr>
              <w:jc w:val="center"/>
              <w:rPr>
                <w:rFonts w:eastAsiaTheme="minorEastAsia"/>
                <w:color w:val="auto"/>
                <w:sz w:val="18"/>
                <w:szCs w:val="18"/>
              </w:rPr>
            </w:pPr>
            <w:r>
              <w:rPr>
                <w:rFonts w:eastAsiaTheme="minorEastAsia"/>
                <w:color w:val="auto"/>
                <w:sz w:val="18"/>
                <w:szCs w:val="18"/>
              </w:rPr>
              <w:t>47</w:t>
            </w:r>
          </w:p>
        </w:tc>
        <w:tc>
          <w:tcPr>
            <w:tcW w:w="850" w:type="dxa"/>
            <w:vAlign w:val="center"/>
          </w:tcPr>
          <w:p>
            <w:pPr>
              <w:jc w:val="center"/>
              <w:rPr>
                <w:rFonts w:eastAsiaTheme="minorEastAsia"/>
                <w:color w:val="auto"/>
                <w:sz w:val="18"/>
                <w:szCs w:val="18"/>
              </w:rPr>
            </w:pPr>
            <w:r>
              <w:rPr>
                <w:rFonts w:eastAsiaTheme="minorEastAsia"/>
                <w:color w:val="auto"/>
                <w:sz w:val="18"/>
                <w:szCs w:val="18"/>
              </w:rPr>
              <w:t>二噁英类（ngTEQ/kg）</w:t>
            </w:r>
          </w:p>
        </w:tc>
        <w:tc>
          <w:tcPr>
            <w:tcW w:w="992" w:type="dxa"/>
            <w:vAlign w:val="center"/>
          </w:tcPr>
          <w:p>
            <w:pPr>
              <w:jc w:val="center"/>
              <w:rPr>
                <w:rFonts w:eastAsiaTheme="minorEastAsia"/>
                <w:color w:val="auto"/>
                <w:sz w:val="18"/>
                <w:szCs w:val="18"/>
              </w:rPr>
            </w:pPr>
            <w:r>
              <w:rPr>
                <w:rFonts w:eastAsiaTheme="minorEastAsia"/>
                <w:color w:val="auto"/>
                <w:sz w:val="18"/>
                <w:szCs w:val="18"/>
              </w:rPr>
              <w:t>6.03</w:t>
            </w:r>
          </w:p>
        </w:tc>
        <w:tc>
          <w:tcPr>
            <w:tcW w:w="992" w:type="dxa"/>
            <w:vAlign w:val="center"/>
          </w:tcPr>
          <w:p>
            <w:pPr>
              <w:jc w:val="center"/>
              <w:rPr>
                <w:rFonts w:eastAsiaTheme="minorEastAsia"/>
                <w:color w:val="auto"/>
                <w:sz w:val="18"/>
                <w:szCs w:val="18"/>
              </w:rPr>
            </w:pPr>
            <w:r>
              <w:rPr>
                <w:rFonts w:eastAsiaTheme="minorEastAsia"/>
                <w:color w:val="auto"/>
                <w:sz w:val="18"/>
                <w:szCs w:val="18"/>
              </w:rPr>
              <w:t>/</w:t>
            </w:r>
          </w:p>
        </w:tc>
        <w:tc>
          <w:tcPr>
            <w:tcW w:w="958" w:type="dxa"/>
            <w:vAlign w:val="center"/>
          </w:tcPr>
          <w:p>
            <w:pPr>
              <w:jc w:val="center"/>
              <w:rPr>
                <w:rFonts w:eastAsiaTheme="minorEastAsia"/>
                <w:color w:val="auto"/>
                <w:sz w:val="18"/>
                <w:szCs w:val="18"/>
              </w:rPr>
            </w:pPr>
            <w:r>
              <w:rPr>
                <w:rFonts w:eastAsiaTheme="minorEastAsia"/>
                <w:color w:val="auto"/>
                <w:sz w:val="18"/>
                <w:szCs w:val="18"/>
              </w:rPr>
              <w:t>/</w:t>
            </w:r>
          </w:p>
        </w:tc>
        <w:tc>
          <w:tcPr>
            <w:tcW w:w="957" w:type="dxa"/>
            <w:vAlign w:val="center"/>
          </w:tcPr>
          <w:p>
            <w:pPr>
              <w:jc w:val="center"/>
              <w:rPr>
                <w:rFonts w:eastAsiaTheme="minorEastAsia"/>
                <w:color w:val="auto"/>
                <w:sz w:val="18"/>
                <w:szCs w:val="18"/>
              </w:rPr>
            </w:pPr>
            <w:r>
              <w:rPr>
                <w:rFonts w:eastAsiaTheme="minorEastAsia"/>
                <w:color w:val="auto"/>
                <w:sz w:val="18"/>
                <w:szCs w:val="18"/>
              </w:rPr>
              <w:t>/</w:t>
            </w:r>
          </w:p>
        </w:tc>
        <w:tc>
          <w:tcPr>
            <w:tcW w:w="957" w:type="dxa"/>
            <w:vAlign w:val="center"/>
          </w:tcPr>
          <w:p>
            <w:pPr>
              <w:jc w:val="center"/>
              <w:rPr>
                <w:rFonts w:eastAsiaTheme="minorEastAsia"/>
                <w:color w:val="auto"/>
                <w:sz w:val="18"/>
                <w:szCs w:val="18"/>
              </w:rPr>
            </w:pPr>
            <w:r>
              <w:rPr>
                <w:rFonts w:eastAsiaTheme="minorEastAsia"/>
                <w:color w:val="auto"/>
                <w:sz w:val="18"/>
                <w:szCs w:val="18"/>
              </w:rPr>
              <w:t>/</w:t>
            </w:r>
          </w:p>
        </w:tc>
        <w:tc>
          <w:tcPr>
            <w:tcW w:w="904" w:type="dxa"/>
            <w:vAlign w:val="center"/>
          </w:tcPr>
          <w:p>
            <w:pPr>
              <w:jc w:val="center"/>
              <w:rPr>
                <w:rFonts w:eastAsiaTheme="minorEastAsia"/>
                <w:color w:val="auto"/>
                <w:sz w:val="18"/>
                <w:szCs w:val="18"/>
              </w:rPr>
            </w:pPr>
            <w:r>
              <w:rPr>
                <w:rFonts w:eastAsiaTheme="minorEastAsia"/>
                <w:color w:val="auto"/>
                <w:sz w:val="18"/>
                <w:szCs w:val="18"/>
              </w:rPr>
              <w:t>1.37</w:t>
            </w:r>
          </w:p>
        </w:tc>
        <w:tc>
          <w:tcPr>
            <w:tcW w:w="1072" w:type="dxa"/>
            <w:vAlign w:val="center"/>
          </w:tcPr>
          <w:p>
            <w:pPr>
              <w:jc w:val="center"/>
              <w:rPr>
                <w:rFonts w:eastAsiaTheme="minorEastAsia"/>
                <w:color w:val="auto"/>
                <w:sz w:val="18"/>
                <w:szCs w:val="18"/>
              </w:rPr>
            </w:pPr>
            <w:r>
              <w:rPr>
                <w:rFonts w:eastAsiaTheme="minorEastAsia"/>
                <w:color w:val="auto"/>
                <w:sz w:val="18"/>
                <w:szCs w:val="18"/>
              </w:rPr>
              <w:t>/</w:t>
            </w:r>
          </w:p>
        </w:tc>
        <w:tc>
          <w:tcPr>
            <w:tcW w:w="957" w:type="dxa"/>
            <w:vAlign w:val="center"/>
          </w:tcPr>
          <w:p>
            <w:pPr>
              <w:jc w:val="center"/>
              <w:rPr>
                <w:rFonts w:eastAsiaTheme="minorEastAsia"/>
                <w:color w:val="auto"/>
                <w:sz w:val="18"/>
                <w:szCs w:val="18"/>
              </w:rPr>
            </w:pPr>
            <w:r>
              <w:rPr>
                <w:rFonts w:eastAsiaTheme="minorEastAsia"/>
                <w:color w:val="auto"/>
                <w:sz w:val="18"/>
                <w:szCs w:val="18"/>
              </w:rPr>
              <w:t>/</w:t>
            </w:r>
          </w:p>
        </w:tc>
        <w:tc>
          <w:tcPr>
            <w:tcW w:w="957" w:type="dxa"/>
            <w:vAlign w:val="center"/>
          </w:tcPr>
          <w:p>
            <w:pPr>
              <w:jc w:val="center"/>
              <w:rPr>
                <w:rFonts w:eastAsiaTheme="minorEastAsia"/>
                <w:color w:val="auto"/>
                <w:sz w:val="18"/>
                <w:szCs w:val="18"/>
              </w:rPr>
            </w:pPr>
            <w:r>
              <w:rPr>
                <w:rFonts w:eastAsiaTheme="minorEastAsia"/>
                <w:color w:val="auto"/>
                <w:sz w:val="18"/>
                <w:szCs w:val="18"/>
              </w:rPr>
              <w:t>/</w:t>
            </w:r>
          </w:p>
        </w:tc>
        <w:tc>
          <w:tcPr>
            <w:tcW w:w="958" w:type="dxa"/>
            <w:vAlign w:val="center"/>
          </w:tcPr>
          <w:p>
            <w:pPr>
              <w:jc w:val="center"/>
              <w:rPr>
                <w:rFonts w:eastAsiaTheme="minorEastAsia"/>
                <w:color w:val="auto"/>
                <w:sz w:val="18"/>
                <w:szCs w:val="18"/>
              </w:rPr>
            </w:pPr>
            <w:r>
              <w:rPr>
                <w:rFonts w:eastAsiaTheme="minorEastAsia"/>
                <w:color w:val="auto"/>
                <w:sz w:val="18"/>
                <w:szCs w:val="18"/>
              </w:rPr>
              <w:t>/</w:t>
            </w:r>
          </w:p>
        </w:tc>
        <w:tc>
          <w:tcPr>
            <w:tcW w:w="927" w:type="dxa"/>
            <w:vAlign w:val="center"/>
          </w:tcPr>
          <w:p>
            <w:pPr>
              <w:jc w:val="center"/>
              <w:rPr>
                <w:rFonts w:eastAsiaTheme="minorEastAsia"/>
                <w:color w:val="auto"/>
                <w:sz w:val="18"/>
                <w:szCs w:val="18"/>
              </w:rPr>
            </w:pPr>
            <w:r>
              <w:rPr>
                <w:rFonts w:eastAsiaTheme="minorEastAsia"/>
                <w:color w:val="auto"/>
                <w:sz w:val="18"/>
                <w:szCs w:val="18"/>
              </w:rPr>
              <w:t>2.14</w:t>
            </w:r>
          </w:p>
        </w:tc>
        <w:tc>
          <w:tcPr>
            <w:tcW w:w="957" w:type="dxa"/>
            <w:vAlign w:val="center"/>
          </w:tcPr>
          <w:p>
            <w:pPr>
              <w:jc w:val="center"/>
              <w:rPr>
                <w:rFonts w:eastAsiaTheme="minorEastAsia"/>
                <w:color w:val="auto"/>
                <w:sz w:val="18"/>
                <w:szCs w:val="18"/>
              </w:rPr>
            </w:pPr>
            <w:r>
              <w:rPr>
                <w:rFonts w:eastAsiaTheme="minorEastAsia"/>
                <w:color w:val="auto"/>
                <w:sz w:val="18"/>
                <w:szCs w:val="18"/>
              </w:rPr>
              <w:t>/</w:t>
            </w:r>
          </w:p>
        </w:tc>
        <w:tc>
          <w:tcPr>
            <w:tcW w:w="958" w:type="dxa"/>
            <w:vAlign w:val="center"/>
          </w:tcPr>
          <w:p>
            <w:pPr>
              <w:jc w:val="center"/>
              <w:rPr>
                <w:rFonts w:eastAsiaTheme="minorEastAsia"/>
                <w:color w:val="auto"/>
                <w:sz w:val="18"/>
                <w:szCs w:val="18"/>
              </w:rPr>
            </w:pPr>
            <w:r>
              <w:rPr>
                <w:rFonts w:eastAsiaTheme="minorEastAsia"/>
                <w:color w:val="auto"/>
                <w:sz w:val="18"/>
                <w:szCs w:val="18"/>
              </w:rPr>
              <w:t>/</w:t>
            </w:r>
          </w:p>
        </w:tc>
        <w:tc>
          <w:tcPr>
            <w:tcW w:w="957" w:type="dxa"/>
            <w:vAlign w:val="center"/>
          </w:tcPr>
          <w:p>
            <w:pPr>
              <w:jc w:val="center"/>
              <w:rPr>
                <w:rFonts w:eastAsiaTheme="minorEastAsia"/>
                <w:color w:val="auto"/>
                <w:sz w:val="18"/>
                <w:szCs w:val="18"/>
              </w:rPr>
            </w:pPr>
            <w:r>
              <w:rPr>
                <w:rFonts w:eastAsiaTheme="minorEastAsia"/>
                <w:color w:val="auto"/>
                <w:sz w:val="18"/>
                <w:szCs w:val="18"/>
              </w:rPr>
              <w:t>/</w:t>
            </w:r>
          </w:p>
        </w:tc>
        <w:tc>
          <w:tcPr>
            <w:tcW w:w="957" w:type="dxa"/>
            <w:vAlign w:val="center"/>
          </w:tcPr>
          <w:p>
            <w:pPr>
              <w:jc w:val="center"/>
              <w:rPr>
                <w:rFonts w:eastAsiaTheme="minorEastAsia"/>
                <w:color w:val="auto"/>
                <w:sz w:val="18"/>
                <w:szCs w:val="18"/>
              </w:rPr>
            </w:pPr>
            <w:r>
              <w:rPr>
                <w:rFonts w:eastAsiaTheme="minorEastAsia"/>
                <w:color w:val="auto"/>
                <w:sz w:val="18"/>
                <w:szCs w:val="18"/>
              </w:rPr>
              <w:t>/</w:t>
            </w:r>
          </w:p>
        </w:tc>
        <w:tc>
          <w:tcPr>
            <w:tcW w:w="991" w:type="dxa"/>
            <w:vAlign w:val="center"/>
          </w:tcPr>
          <w:p>
            <w:pPr>
              <w:jc w:val="center"/>
              <w:rPr>
                <w:rFonts w:eastAsiaTheme="minorEastAsia"/>
                <w:color w:val="auto"/>
                <w:sz w:val="18"/>
                <w:szCs w:val="18"/>
              </w:rPr>
            </w:pPr>
            <w:r>
              <w:rPr>
                <w:rFonts w:eastAsiaTheme="minorEastAsia"/>
                <w:color w:val="auto"/>
                <w:sz w:val="18"/>
                <w:szCs w:val="18"/>
              </w:rPr>
              <w:t>1.75</w:t>
            </w:r>
          </w:p>
        </w:tc>
        <w:tc>
          <w:tcPr>
            <w:tcW w:w="700" w:type="dxa"/>
            <w:vAlign w:val="center"/>
          </w:tcPr>
          <w:p>
            <w:pPr>
              <w:jc w:val="center"/>
              <w:rPr>
                <w:rFonts w:eastAsiaTheme="minorEastAsia"/>
                <w:color w:val="auto"/>
                <w:sz w:val="18"/>
                <w:szCs w:val="18"/>
              </w:rPr>
            </w:pPr>
            <w:r>
              <w:rPr>
                <w:rFonts w:eastAsiaTheme="minorEastAsia"/>
                <w:color w:val="auto"/>
                <w:sz w:val="18"/>
                <w:szCs w:val="18"/>
              </w:rPr>
              <w:t>0.87</w:t>
            </w:r>
          </w:p>
        </w:tc>
        <w:tc>
          <w:tcPr>
            <w:tcW w:w="709" w:type="dxa"/>
            <w:vAlign w:val="center"/>
          </w:tcPr>
          <w:p>
            <w:pPr>
              <w:jc w:val="center"/>
              <w:rPr>
                <w:rFonts w:eastAsiaTheme="minorEastAsia"/>
                <w:color w:val="auto"/>
                <w:sz w:val="18"/>
                <w:szCs w:val="18"/>
              </w:rPr>
            </w:pPr>
            <w:r>
              <w:rPr>
                <w:rFonts w:eastAsiaTheme="minorEastAsia"/>
                <w:color w:val="auto"/>
                <w:sz w:val="18"/>
                <w:szCs w:val="18"/>
              </w:rPr>
              <w:t>0.76</w:t>
            </w:r>
          </w:p>
        </w:tc>
        <w:tc>
          <w:tcPr>
            <w:tcW w:w="1134" w:type="dxa"/>
            <w:vAlign w:val="center"/>
          </w:tcPr>
          <w:p>
            <w:pPr>
              <w:jc w:val="center"/>
              <w:rPr>
                <w:rFonts w:eastAsiaTheme="minorEastAsia"/>
                <w:color w:val="auto"/>
                <w:sz w:val="18"/>
                <w:szCs w:val="18"/>
              </w:rPr>
            </w:pPr>
            <w:r>
              <w:rPr>
                <w:rFonts w:eastAsiaTheme="minorEastAsia"/>
                <w:color w:val="auto"/>
                <w:sz w:val="18"/>
                <w:szCs w:val="18"/>
              </w:rPr>
              <w:t>＜4*10-5</w:t>
            </w:r>
          </w:p>
        </w:tc>
        <w:tc>
          <w:tcPr>
            <w:tcW w:w="1316" w:type="dxa"/>
            <w:vAlign w:val="center"/>
          </w:tcPr>
          <w:p>
            <w:pPr>
              <w:jc w:val="center"/>
              <w:rPr>
                <w:rFonts w:eastAsiaTheme="minorEastAsia"/>
                <w:color w:val="auto"/>
                <w:sz w:val="18"/>
                <w:szCs w:val="18"/>
              </w:rPr>
            </w:pPr>
            <w:r>
              <w:rPr>
                <w:rFonts w:eastAsiaTheme="minorEastAsia"/>
                <w:color w:val="auto"/>
                <w:sz w:val="18"/>
                <w:szCs w:val="18"/>
              </w:rPr>
              <w:t>----</w:t>
            </w:r>
          </w:p>
        </w:tc>
        <w:tc>
          <w:tcPr>
            <w:tcW w:w="687" w:type="dxa"/>
            <w:vAlign w:val="center"/>
          </w:tcPr>
          <w:p>
            <w:pPr>
              <w:jc w:val="center"/>
              <w:rPr>
                <w:rFonts w:eastAsiaTheme="minorEastAsia"/>
                <w:color w:val="auto"/>
                <w:sz w:val="18"/>
                <w:szCs w:val="18"/>
              </w:rPr>
            </w:pPr>
            <w:r>
              <w:rPr>
                <w:rFonts w:eastAsiaTheme="minorEastAsia"/>
                <w:color w:val="auto"/>
                <w:sz w:val="18"/>
                <w:szCs w:val="18"/>
              </w:rPr>
              <w:t>达标</w:t>
            </w:r>
          </w:p>
        </w:tc>
      </w:tr>
    </w:tbl>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pPr>
    </w:p>
    <w:p>
      <w:pPr>
        <w:spacing w:line="360" w:lineRule="auto"/>
        <w:rPr>
          <w:color w:val="auto"/>
        </w:rPr>
        <w:sectPr>
          <w:pgSz w:w="23808" w:h="16840" w:orient="landscape"/>
          <w:pgMar w:top="1440" w:right="1800" w:bottom="1440" w:left="1800" w:header="851" w:footer="992" w:gutter="0"/>
          <w:pgNumType w:fmt="decimal"/>
          <w:cols w:space="720" w:num="1"/>
          <w:docGrid w:type="lines" w:linePitch="326" w:charSpace="0"/>
        </w:sectPr>
      </w:pPr>
    </w:p>
    <w:p>
      <w:pPr>
        <w:pStyle w:val="3"/>
        <w:numPr>
          <w:ilvl w:val="0"/>
          <w:numId w:val="0"/>
        </w:numPr>
        <w:tabs>
          <w:tab w:val="clear" w:pos="680"/>
        </w:tabs>
        <w:rPr>
          <w:rFonts w:ascii="Times New Roman"/>
          <w:bCs/>
          <w:color w:val="auto"/>
          <w:lang w:eastAsia="zh-CN"/>
        </w:rPr>
      </w:pPr>
      <w:bookmarkStart w:id="543" w:name="_Toc2328139"/>
      <w:bookmarkStart w:id="544" w:name="_Toc23263170"/>
      <w:bookmarkStart w:id="545" w:name="_Toc14943327"/>
      <w:bookmarkStart w:id="546" w:name="_Toc12387"/>
      <w:bookmarkStart w:id="547" w:name="_Toc466130390"/>
      <w:bookmarkStart w:id="548" w:name="_Toc24136805"/>
      <w:bookmarkStart w:id="549" w:name="_Toc9517768"/>
      <w:r>
        <w:rPr>
          <w:rFonts w:ascii="Times New Roman"/>
          <w:bCs/>
          <w:color w:val="auto"/>
          <w:lang w:eastAsia="zh-CN"/>
        </w:rPr>
        <w:t>4.7生态环境质量现状调查与评价</w:t>
      </w:r>
      <w:bookmarkEnd w:id="543"/>
      <w:bookmarkEnd w:id="544"/>
      <w:bookmarkEnd w:id="545"/>
      <w:bookmarkEnd w:id="546"/>
      <w:bookmarkEnd w:id="547"/>
      <w:bookmarkEnd w:id="548"/>
    </w:p>
    <w:p>
      <w:pPr>
        <w:spacing w:line="360" w:lineRule="auto"/>
        <w:ind w:firstLine="480"/>
        <w:jc w:val="both"/>
        <w:rPr>
          <w:color w:val="auto"/>
          <w:kern w:val="0"/>
          <w:lang w:val="zh-CN"/>
        </w:rPr>
      </w:pPr>
      <w:bookmarkStart w:id="550" w:name="_Hlk23243270"/>
      <w:r>
        <w:rPr>
          <w:rFonts w:hint="eastAsia"/>
          <w:color w:val="auto"/>
        </w:rPr>
        <w:t>本项目选址所在于2</w:t>
      </w:r>
      <w:r>
        <w:rPr>
          <w:color w:val="auto"/>
        </w:rPr>
        <w:t>014</w:t>
      </w:r>
      <w:r>
        <w:rPr>
          <w:rFonts w:hint="eastAsia"/>
          <w:color w:val="auto"/>
        </w:rPr>
        <w:t>年曾规划为兴宁市生活垃圾综合处理场建设项目，但实际未进行建设，后改为规划建设兴宁市静脉产业园项目，故本次生态环境质量现状评价引用《兴宁市生活垃圾综合处理场建设项目环境影响报告书》中的生态环境现状调查结论，该</w:t>
      </w:r>
      <w:r>
        <w:rPr>
          <w:color w:val="auto"/>
          <w:kern w:val="0"/>
          <w:lang w:val="zh-CN"/>
        </w:rPr>
        <w:t>调查主要是针对评价区域的陆地生态环境进行现状调查，同时根据周围环境、历史资料和周围人群，调查项目区域建设前陆地生态环境特征</w:t>
      </w:r>
      <w:r>
        <w:rPr>
          <w:rFonts w:hint="eastAsia"/>
          <w:color w:val="auto"/>
          <w:kern w:val="0"/>
          <w:lang w:val="zh-CN"/>
        </w:rPr>
        <w:t>，</w:t>
      </w:r>
      <w:r>
        <w:rPr>
          <w:color w:val="auto"/>
          <w:kern w:val="0"/>
          <w:lang w:val="zh-CN"/>
        </w:rPr>
        <w:t>调查区域为</w:t>
      </w:r>
      <w:r>
        <w:rPr>
          <w:rFonts w:hint="eastAsia"/>
          <w:color w:val="auto"/>
          <w:kern w:val="0"/>
          <w:lang w:val="zh-CN"/>
        </w:rPr>
        <w:t>项目评价范围</w:t>
      </w:r>
      <w:r>
        <w:rPr>
          <w:color w:val="auto"/>
          <w:kern w:val="0"/>
          <w:lang w:val="zh-CN"/>
        </w:rPr>
        <w:t>内。</w:t>
      </w:r>
      <w:bookmarkEnd w:id="550"/>
    </w:p>
    <w:p>
      <w:pPr>
        <w:pStyle w:val="298"/>
        <w:spacing w:before="156" w:after="156"/>
        <w:rPr>
          <w:color w:val="auto"/>
          <w:kern w:val="0"/>
          <w:lang w:val="zh-CN"/>
        </w:rPr>
      </w:pPr>
      <w:bookmarkStart w:id="551" w:name="_Toc34234725"/>
      <w:bookmarkStart w:id="552" w:name="_Toc24136806"/>
      <w:bookmarkStart w:id="553" w:name="_Toc27972"/>
      <w:r>
        <w:rPr>
          <w:rFonts w:hint="eastAsia"/>
          <w:color w:val="auto"/>
          <w:kern w:val="0"/>
          <w:lang w:val="zh-CN"/>
        </w:rPr>
        <w:t>4</w:t>
      </w:r>
      <w:r>
        <w:rPr>
          <w:color w:val="auto"/>
          <w:kern w:val="0"/>
          <w:lang w:val="zh-CN"/>
        </w:rPr>
        <w:t>.7.1</w:t>
      </w:r>
      <w:r>
        <w:rPr>
          <w:rFonts w:hint="eastAsia"/>
          <w:color w:val="auto"/>
          <w:kern w:val="0"/>
          <w:lang w:val="zh-CN"/>
        </w:rPr>
        <w:t>生态环境现状调查</w:t>
      </w:r>
      <w:bookmarkEnd w:id="551"/>
      <w:bookmarkEnd w:id="552"/>
      <w:bookmarkEnd w:id="553"/>
    </w:p>
    <w:p>
      <w:pPr>
        <w:spacing w:line="360" w:lineRule="auto"/>
        <w:ind w:firstLine="482"/>
        <w:rPr>
          <w:color w:val="auto"/>
          <w:kern w:val="0"/>
          <w:lang w:val="zh-CN"/>
        </w:rPr>
      </w:pPr>
      <w:bookmarkStart w:id="554" w:name="_Hlk24554031"/>
      <w:r>
        <w:rPr>
          <w:rFonts w:hint="eastAsia"/>
          <w:color w:val="auto"/>
          <w:kern w:val="0"/>
          <w:lang w:val="zh-CN"/>
        </w:rPr>
        <w:t>调查结果表明：项目评价区域内的植被类型以半天然林为主，包括马尾松林、桉树林、麻竹林、亚热带阔叶林等，人工群落主要是农田（水稻及旱地作物）。植被分布同评价区域地形、地势基本一致：低山矮丘中上部多为半天然林，洼地和沟谷植被类型主要是水、旱田植物。</w:t>
      </w:r>
      <w:bookmarkEnd w:id="554"/>
    </w:p>
    <w:tbl>
      <w:tblPr>
        <w:tblStyle w:val="53"/>
        <w:tblW w:w="92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42"/>
        <w:gridCol w:w="46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22" w:hRule="atLeast"/>
        </w:trPr>
        <w:tc>
          <w:tcPr>
            <w:tcW w:w="4642" w:type="dxa"/>
            <w:vAlign w:val="center"/>
          </w:tcPr>
          <w:p>
            <w:pPr>
              <w:adjustRightInd w:val="0"/>
              <w:snapToGrid w:val="0"/>
              <w:ind w:left="-115" w:leftChars="-48" w:right="-170" w:rightChars="-71"/>
              <w:jc w:val="center"/>
              <w:rPr>
                <w:b/>
                <w:color w:val="auto"/>
                <w:szCs w:val="21"/>
              </w:rPr>
            </w:pPr>
            <w:r>
              <w:rPr>
                <w:b/>
                <w:color w:val="auto"/>
                <w:szCs w:val="21"/>
              </w:rPr>
              <w:drawing>
                <wp:inline distT="0" distB="0" distL="0" distR="0">
                  <wp:extent cx="2810510" cy="2108200"/>
                  <wp:effectExtent l="0" t="0" r="8890" b="635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2810510" cy="2108200"/>
                          </a:xfrm>
                          <a:prstGeom prst="rect">
                            <a:avLst/>
                          </a:prstGeom>
                          <a:noFill/>
                          <a:ln>
                            <a:noFill/>
                          </a:ln>
                        </pic:spPr>
                      </pic:pic>
                    </a:graphicData>
                  </a:graphic>
                </wp:inline>
              </w:drawing>
            </w:r>
          </w:p>
        </w:tc>
        <w:tc>
          <w:tcPr>
            <w:tcW w:w="4643" w:type="dxa"/>
            <w:vAlign w:val="center"/>
          </w:tcPr>
          <w:p>
            <w:pPr>
              <w:adjustRightInd w:val="0"/>
              <w:snapToGrid w:val="0"/>
              <w:ind w:left="-118" w:leftChars="-49" w:right="-106" w:rightChars="-44"/>
              <w:jc w:val="center"/>
              <w:rPr>
                <w:rFonts w:hAnsi="宋体"/>
                <w:color w:val="auto"/>
                <w:szCs w:val="21"/>
              </w:rPr>
            </w:pPr>
            <w:r>
              <w:rPr>
                <w:rFonts w:hAnsi="宋体"/>
                <w:color w:val="auto"/>
                <w:szCs w:val="21"/>
              </w:rPr>
              <w:drawing>
                <wp:inline distT="0" distB="0" distL="0" distR="0">
                  <wp:extent cx="2811145" cy="2108200"/>
                  <wp:effectExtent l="0" t="0" r="8255" b="635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2811145" cy="21082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0" w:hRule="atLeast"/>
        </w:trPr>
        <w:tc>
          <w:tcPr>
            <w:tcW w:w="4642" w:type="dxa"/>
            <w:vAlign w:val="center"/>
          </w:tcPr>
          <w:p>
            <w:pPr>
              <w:adjustRightInd w:val="0"/>
              <w:snapToGrid w:val="0"/>
              <w:ind w:left="-115" w:leftChars="-48" w:right="-170" w:rightChars="-71"/>
              <w:jc w:val="center"/>
              <w:rPr>
                <w:b/>
                <w:color w:val="auto"/>
                <w:szCs w:val="21"/>
              </w:rPr>
            </w:pPr>
            <w:r>
              <w:rPr>
                <w:b/>
                <w:color w:val="auto"/>
                <w:szCs w:val="21"/>
              </w:rPr>
              <w:drawing>
                <wp:inline distT="0" distB="0" distL="0" distR="0">
                  <wp:extent cx="2810510" cy="2108200"/>
                  <wp:effectExtent l="0" t="0" r="8890" b="635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2810510" cy="2108200"/>
                          </a:xfrm>
                          <a:prstGeom prst="rect">
                            <a:avLst/>
                          </a:prstGeom>
                          <a:noFill/>
                          <a:ln>
                            <a:noFill/>
                          </a:ln>
                        </pic:spPr>
                      </pic:pic>
                    </a:graphicData>
                  </a:graphic>
                </wp:inline>
              </w:drawing>
            </w:r>
          </w:p>
        </w:tc>
        <w:tc>
          <w:tcPr>
            <w:tcW w:w="4643" w:type="dxa"/>
            <w:vAlign w:val="center"/>
          </w:tcPr>
          <w:p>
            <w:pPr>
              <w:adjustRightInd w:val="0"/>
              <w:snapToGrid w:val="0"/>
              <w:ind w:left="-118" w:leftChars="-49" w:right="-106" w:rightChars="-44"/>
              <w:jc w:val="center"/>
              <w:rPr>
                <w:color w:val="auto"/>
                <w:szCs w:val="21"/>
              </w:rPr>
            </w:pPr>
            <w:r>
              <w:rPr>
                <w:color w:val="auto"/>
                <w:szCs w:val="21"/>
              </w:rPr>
              <w:drawing>
                <wp:inline distT="0" distB="0" distL="0" distR="0">
                  <wp:extent cx="2818765" cy="2124075"/>
                  <wp:effectExtent l="0" t="0" r="635" b="9525"/>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2838748" cy="2139133"/>
                          </a:xfrm>
                          <a:prstGeom prst="rect">
                            <a:avLst/>
                          </a:prstGeom>
                          <a:noFill/>
                          <a:ln>
                            <a:noFill/>
                          </a:ln>
                        </pic:spPr>
                      </pic:pic>
                    </a:graphicData>
                  </a:graphic>
                </wp:inline>
              </w:drawing>
            </w:r>
          </w:p>
        </w:tc>
      </w:tr>
    </w:tbl>
    <w:p>
      <w:pPr>
        <w:spacing w:line="360" w:lineRule="auto"/>
        <w:jc w:val="center"/>
        <w:rPr>
          <w:color w:val="auto"/>
          <w:kern w:val="0"/>
          <w:lang w:val="zh-CN"/>
        </w:rPr>
      </w:pPr>
      <w:r>
        <w:rPr>
          <w:rFonts w:hint="eastAsia"/>
          <w:b/>
          <w:bCs/>
          <w:color w:val="auto"/>
          <w:kern w:val="0"/>
          <w:lang w:val="zh-CN"/>
        </w:rPr>
        <w:t>图4</w:t>
      </w:r>
      <w:r>
        <w:rPr>
          <w:b/>
          <w:bCs/>
          <w:color w:val="auto"/>
          <w:kern w:val="0"/>
          <w:lang w:val="zh-CN"/>
        </w:rPr>
        <w:t>.7</w:t>
      </w:r>
      <w:r>
        <w:rPr>
          <w:rFonts w:hint="eastAsia"/>
          <w:b/>
          <w:bCs/>
          <w:color w:val="auto"/>
          <w:kern w:val="0"/>
          <w:lang w:val="zh-CN"/>
        </w:rPr>
        <w:t>-</w:t>
      </w:r>
      <w:r>
        <w:rPr>
          <w:b/>
          <w:bCs/>
          <w:color w:val="auto"/>
          <w:kern w:val="0"/>
          <w:lang w:val="zh-CN"/>
        </w:rPr>
        <w:t>1</w:t>
      </w:r>
      <w:r>
        <w:rPr>
          <w:color w:val="auto"/>
          <w:kern w:val="0"/>
          <w:lang w:val="zh-CN"/>
        </w:rPr>
        <w:t xml:space="preserve">  </w:t>
      </w:r>
      <w:r>
        <w:rPr>
          <w:rFonts w:hint="eastAsia"/>
          <w:b/>
          <w:color w:val="auto"/>
        </w:rPr>
        <w:t>本项目所在地植被现状照片</w:t>
      </w:r>
    </w:p>
    <w:p>
      <w:pPr>
        <w:pStyle w:val="298"/>
        <w:spacing w:before="156" w:after="156"/>
        <w:outlineLvl w:val="3"/>
        <w:rPr>
          <w:color w:val="auto"/>
        </w:rPr>
      </w:pPr>
      <w:bookmarkStart w:id="555" w:name="_Toc24190026"/>
      <w:bookmarkStart w:id="556" w:name="_Toc34234726"/>
      <w:bookmarkStart w:id="557" w:name="_Toc24136807"/>
      <w:bookmarkStart w:id="558" w:name="_Toc23703"/>
      <w:bookmarkStart w:id="559" w:name="_Toc23344780"/>
      <w:r>
        <w:rPr>
          <w:rFonts w:hint="eastAsia"/>
          <w:color w:val="auto"/>
        </w:rPr>
        <w:t>4</w:t>
      </w:r>
      <w:r>
        <w:rPr>
          <w:color w:val="auto"/>
        </w:rPr>
        <w:t>.7.1.1</w:t>
      </w:r>
      <w:r>
        <w:rPr>
          <w:rFonts w:hint="eastAsia"/>
          <w:color w:val="auto"/>
        </w:rPr>
        <w:t>植物资源</w:t>
      </w:r>
      <w:bookmarkEnd w:id="555"/>
      <w:bookmarkEnd w:id="556"/>
      <w:bookmarkEnd w:id="557"/>
      <w:bookmarkEnd w:id="558"/>
      <w:bookmarkEnd w:id="559"/>
    </w:p>
    <w:p>
      <w:pPr>
        <w:spacing w:line="360" w:lineRule="auto"/>
        <w:ind w:firstLine="480"/>
        <w:rPr>
          <w:color w:val="auto"/>
        </w:rPr>
      </w:pPr>
      <w:r>
        <w:rPr>
          <w:rFonts w:hint="eastAsia"/>
          <w:color w:val="auto"/>
        </w:rPr>
        <w:t>项目所在地原生地带性植被为南亚热带常绿阔叶林，由于人类活动的破坏，原生植被基本上己不复存在，目前存在的植被以人工植被为主，项目建设前以半人工林、果林、农田植被为主。调查区陆生植物种类较多，实地调查并结合有关资料统计，评价区域的有植物种类有85科，计237种，主要以松科、野牡丹科、桑科、豆科、桃金娘科、无患子科、禾本科、菊科、山茶科等为主。</w:t>
      </w:r>
    </w:p>
    <w:p>
      <w:pPr>
        <w:pStyle w:val="298"/>
        <w:spacing w:before="156" w:after="156"/>
        <w:outlineLvl w:val="3"/>
        <w:rPr>
          <w:color w:val="auto"/>
        </w:rPr>
      </w:pPr>
      <w:bookmarkStart w:id="560" w:name="_Toc1130"/>
      <w:bookmarkStart w:id="561" w:name="_Toc24136808"/>
      <w:bookmarkStart w:id="562" w:name="_Toc24190027"/>
      <w:bookmarkStart w:id="563" w:name="_Toc34234727"/>
      <w:bookmarkStart w:id="564" w:name="_Toc23344781"/>
      <w:r>
        <w:rPr>
          <w:rFonts w:hint="eastAsia"/>
          <w:color w:val="auto"/>
        </w:rPr>
        <w:t>4</w:t>
      </w:r>
      <w:r>
        <w:rPr>
          <w:color w:val="auto"/>
        </w:rPr>
        <w:t>.7.1.2</w:t>
      </w:r>
      <w:r>
        <w:rPr>
          <w:rFonts w:hint="eastAsia"/>
          <w:color w:val="auto"/>
        </w:rPr>
        <w:t>主要群落类型及结构</w:t>
      </w:r>
      <w:bookmarkEnd w:id="560"/>
      <w:bookmarkEnd w:id="561"/>
      <w:bookmarkEnd w:id="562"/>
      <w:bookmarkEnd w:id="563"/>
      <w:bookmarkEnd w:id="564"/>
    </w:p>
    <w:p>
      <w:pPr>
        <w:spacing w:line="360" w:lineRule="auto"/>
        <w:ind w:firstLine="480"/>
        <w:jc w:val="both"/>
        <w:rPr>
          <w:color w:val="auto"/>
        </w:rPr>
      </w:pPr>
      <w:r>
        <w:rPr>
          <w:rFonts w:hint="eastAsia"/>
          <w:color w:val="auto"/>
        </w:rPr>
        <w:t>（1）马尾松一桃金娘一白茅群落</w:t>
      </w:r>
    </w:p>
    <w:p>
      <w:pPr>
        <w:spacing w:line="360" w:lineRule="auto"/>
        <w:ind w:firstLine="480"/>
        <w:jc w:val="both"/>
        <w:rPr>
          <w:color w:val="auto"/>
        </w:rPr>
      </w:pPr>
      <w:r>
        <w:rPr>
          <w:rFonts w:hint="eastAsia"/>
          <w:color w:val="auto"/>
        </w:rPr>
        <w:t>本群落主要分布在本项目周围丘陵的上部较干旱处，尤其分布于项目北部丘陵，乔木层植物主要有马尾松、大叶相思、杉木、米楮、格氏栲等，灌木层植物主要有紫茉莉、刺篱木、潺稿树幼苗、桃金娘、鬼灯笼、马缨丹、杜龄、构树、白背叶、鼠刺等，草本层主要为白茅。草本层高度约0.87</w:t>
      </w:r>
      <w:r>
        <w:rPr>
          <w:color w:val="auto"/>
        </w:rPr>
        <w:t xml:space="preserve"> </w:t>
      </w:r>
      <w:r>
        <w:rPr>
          <w:rFonts w:hint="eastAsia"/>
          <w:color w:val="auto"/>
        </w:rPr>
        <w:t>m，盖度约89%。整个群落高度约13.8</w:t>
      </w:r>
      <w:r>
        <w:rPr>
          <w:color w:val="auto"/>
        </w:rPr>
        <w:t xml:space="preserve"> </w:t>
      </w:r>
      <w:r>
        <w:rPr>
          <w:rFonts w:hint="eastAsia"/>
          <w:color w:val="auto"/>
        </w:rPr>
        <w:t>m，盖度95%，群落的生物量和净生产量分别为127.55</w:t>
      </w:r>
      <w:r>
        <w:rPr>
          <w:color w:val="auto"/>
        </w:rPr>
        <w:t xml:space="preserve"> </w:t>
      </w:r>
      <w:r>
        <w:rPr>
          <w:rFonts w:hint="eastAsia"/>
          <w:color w:val="auto"/>
        </w:rPr>
        <w:t>t/hm</w:t>
      </w:r>
      <w:r>
        <w:rPr>
          <w:rFonts w:hint="eastAsia"/>
          <w:color w:val="auto"/>
          <w:vertAlign w:val="superscript"/>
        </w:rPr>
        <w:t>2</w:t>
      </w:r>
      <w:r>
        <w:rPr>
          <w:rFonts w:hint="eastAsia"/>
          <w:color w:val="auto"/>
        </w:rPr>
        <w:t>和13.62</w:t>
      </w:r>
      <w:r>
        <w:rPr>
          <w:color w:val="auto"/>
        </w:rPr>
        <w:t xml:space="preserve"> </w:t>
      </w:r>
      <w:r>
        <w:rPr>
          <w:rFonts w:hint="eastAsia"/>
          <w:color w:val="auto"/>
        </w:rPr>
        <w:t>t/hm</w:t>
      </w:r>
      <w:r>
        <w:rPr>
          <w:rFonts w:hint="eastAsia"/>
          <w:color w:val="auto"/>
          <w:vertAlign w:val="superscript"/>
        </w:rPr>
        <w:t>2</w:t>
      </w:r>
      <w:r>
        <w:rPr>
          <w:rFonts w:hint="eastAsia"/>
          <w:color w:val="auto"/>
        </w:rPr>
        <w:t>a，材积量为142.89</w:t>
      </w:r>
      <w:r>
        <w:rPr>
          <w:color w:val="auto"/>
        </w:rPr>
        <w:t xml:space="preserve"> </w:t>
      </w:r>
      <w:r>
        <w:rPr>
          <w:rFonts w:hint="eastAsia"/>
          <w:color w:val="auto"/>
        </w:rPr>
        <w:t>m</w:t>
      </w:r>
      <w:r>
        <w:rPr>
          <w:rFonts w:hint="eastAsia"/>
          <w:color w:val="auto"/>
          <w:vertAlign w:val="superscript"/>
        </w:rPr>
        <w:t>2</w:t>
      </w:r>
      <w:r>
        <w:rPr>
          <w:rFonts w:hint="eastAsia"/>
          <w:color w:val="auto"/>
        </w:rPr>
        <w:t>/hm</w:t>
      </w:r>
      <w:r>
        <w:rPr>
          <w:rFonts w:hint="eastAsia"/>
          <w:color w:val="auto"/>
          <w:vertAlign w:val="superscript"/>
        </w:rPr>
        <w:t>2</w:t>
      </w:r>
      <w:r>
        <w:rPr>
          <w:rFonts w:hint="eastAsia"/>
          <w:color w:val="auto"/>
        </w:rPr>
        <w:t>，物种量为47种/1000m</w:t>
      </w:r>
      <w:r>
        <w:rPr>
          <w:rFonts w:hint="eastAsia"/>
          <w:color w:val="auto"/>
          <w:vertAlign w:val="superscript"/>
        </w:rPr>
        <w:t>2</w:t>
      </w:r>
      <w:r>
        <w:rPr>
          <w:rFonts w:hint="eastAsia"/>
          <w:color w:val="auto"/>
        </w:rPr>
        <w:t>。其生物多样性指数为：乔木层0.442，灌木层1.544，草本层0.566。该群落乔、灌、草、藤结构完整，植物种类较为丰富。</w:t>
      </w:r>
    </w:p>
    <w:p>
      <w:pPr>
        <w:spacing w:line="360" w:lineRule="auto"/>
        <w:ind w:firstLine="480"/>
        <w:jc w:val="both"/>
        <w:rPr>
          <w:color w:val="auto"/>
        </w:rPr>
      </w:pPr>
      <w:r>
        <w:rPr>
          <w:rFonts w:hint="eastAsia"/>
          <w:color w:val="auto"/>
        </w:rPr>
        <w:t>（2）核树一盐夫木一五节芒群落</w:t>
      </w:r>
    </w:p>
    <w:p>
      <w:pPr>
        <w:spacing w:line="360" w:lineRule="auto"/>
        <w:ind w:firstLine="480"/>
        <w:jc w:val="both"/>
        <w:rPr>
          <w:color w:val="auto"/>
        </w:rPr>
      </w:pPr>
      <w:r>
        <w:rPr>
          <w:rFonts w:hint="eastAsia"/>
          <w:color w:val="auto"/>
        </w:rPr>
        <w:t>该群落分布于项目南、西部，其乔木层以尾叶桉、赤桉为主，其他植物种类有芒果树、灌木植物较少，以盐夫木、金合欢、白玉兰小树为主，植物种类有：垂叶榕、变叶木、金栗兰、虎刺梅、胡椒木、鹅掌柴等。草本以天堂草、狗牙根为主，其次有蟛蜞菊、美人蒸、万年青、莎草、观音竹、风梨等。草本层高度约0.46</w:t>
      </w:r>
      <w:r>
        <w:rPr>
          <w:color w:val="auto"/>
        </w:rPr>
        <w:t xml:space="preserve"> </w:t>
      </w:r>
      <w:r>
        <w:rPr>
          <w:rFonts w:hint="eastAsia"/>
          <w:color w:val="auto"/>
        </w:rPr>
        <w:t>m，盖度约92%，整个群落高度约14</w:t>
      </w:r>
      <w:r>
        <w:rPr>
          <w:color w:val="auto"/>
        </w:rPr>
        <w:t xml:space="preserve"> </w:t>
      </w:r>
      <w:r>
        <w:rPr>
          <w:rFonts w:hint="eastAsia"/>
          <w:color w:val="auto"/>
        </w:rPr>
        <w:t>m，盖度90%，群落的生物量和净生产量分别为128.54/hm</w:t>
      </w:r>
      <w:r>
        <w:rPr>
          <w:rFonts w:hint="eastAsia"/>
          <w:color w:val="auto"/>
          <w:vertAlign w:val="superscript"/>
        </w:rPr>
        <w:t>2</w:t>
      </w:r>
      <w:r>
        <w:rPr>
          <w:rFonts w:hint="eastAsia"/>
          <w:color w:val="auto"/>
        </w:rPr>
        <w:t>和11.48</w:t>
      </w:r>
      <w:r>
        <w:rPr>
          <w:color w:val="auto"/>
        </w:rPr>
        <w:t xml:space="preserve"> </w:t>
      </w:r>
      <w:r>
        <w:rPr>
          <w:rFonts w:hint="eastAsia"/>
          <w:color w:val="auto"/>
        </w:rPr>
        <w:t>t/hm</w:t>
      </w:r>
      <w:r>
        <w:rPr>
          <w:rFonts w:hint="eastAsia"/>
          <w:color w:val="auto"/>
          <w:vertAlign w:val="superscript"/>
        </w:rPr>
        <w:t>2</w:t>
      </w:r>
      <w:r>
        <w:rPr>
          <w:rFonts w:hint="eastAsia"/>
          <w:color w:val="auto"/>
        </w:rPr>
        <w:t>a，材积104.55</w:t>
      </w:r>
      <w:r>
        <w:rPr>
          <w:color w:val="auto"/>
        </w:rPr>
        <w:t xml:space="preserve"> </w:t>
      </w:r>
      <w:r>
        <w:rPr>
          <w:rFonts w:hint="eastAsia"/>
          <w:color w:val="auto"/>
        </w:rPr>
        <w:t>m</w:t>
      </w:r>
      <w:r>
        <w:rPr>
          <w:rFonts w:hint="eastAsia"/>
          <w:color w:val="auto"/>
          <w:vertAlign w:val="superscript"/>
        </w:rPr>
        <w:t>2</w:t>
      </w:r>
      <w:r>
        <w:rPr>
          <w:rFonts w:hint="eastAsia"/>
          <w:color w:val="auto"/>
        </w:rPr>
        <w:t>/mm</w:t>
      </w:r>
      <w:r>
        <w:rPr>
          <w:rFonts w:hint="eastAsia"/>
          <w:color w:val="auto"/>
          <w:vertAlign w:val="superscript"/>
        </w:rPr>
        <w:t>2</w:t>
      </w:r>
      <w:r>
        <w:rPr>
          <w:rFonts w:hint="eastAsia"/>
          <w:color w:val="auto"/>
        </w:rPr>
        <w:t>，物种量为64种/1000m</w:t>
      </w:r>
      <w:r>
        <w:rPr>
          <w:rFonts w:hint="eastAsia"/>
          <w:color w:val="auto"/>
          <w:vertAlign w:val="superscript"/>
        </w:rPr>
        <w:t>2</w:t>
      </w:r>
      <w:r>
        <w:rPr>
          <w:rFonts w:hint="eastAsia"/>
          <w:color w:val="auto"/>
        </w:rPr>
        <w:t>。其生物多样性指数为：乔木层0.662，灌木层0.681，草本层1.162。该群落结构完整，植物种类较丰富，但乔木层植物种类较少。</w:t>
      </w:r>
    </w:p>
    <w:p>
      <w:pPr>
        <w:spacing w:line="360" w:lineRule="auto"/>
        <w:ind w:firstLine="480"/>
        <w:rPr>
          <w:color w:val="auto"/>
        </w:rPr>
      </w:pPr>
      <w:r>
        <w:rPr>
          <w:rFonts w:hint="eastAsia"/>
          <w:color w:val="auto"/>
        </w:rPr>
        <w:t>（3）麻竹群落</w:t>
      </w:r>
    </w:p>
    <w:p>
      <w:pPr>
        <w:spacing w:line="360" w:lineRule="auto"/>
        <w:ind w:firstLine="480"/>
        <w:rPr>
          <w:color w:val="auto"/>
        </w:rPr>
      </w:pPr>
      <w:r>
        <w:rPr>
          <w:rFonts w:hint="eastAsia"/>
          <w:color w:val="auto"/>
        </w:rPr>
        <w:t>主要分布在项目盆地两侧，由于水源丰富，形成了以麻竹为优势种的群落。乔本层植物以麻竹为主，草本以天堂草、狗牙根为主，其次有蟛蜞菊、美人蕉、万年青、莎草、观音竹、风梨等。乔本层高8.9</w:t>
      </w:r>
      <w:r>
        <w:rPr>
          <w:color w:val="auto"/>
        </w:rPr>
        <w:t xml:space="preserve"> </w:t>
      </w:r>
      <w:r>
        <w:rPr>
          <w:rFonts w:hint="eastAsia"/>
          <w:color w:val="auto"/>
        </w:rPr>
        <w:t>m，草本层高度约0.46</w:t>
      </w:r>
      <w:r>
        <w:rPr>
          <w:color w:val="auto"/>
        </w:rPr>
        <w:t xml:space="preserve"> </w:t>
      </w:r>
      <w:r>
        <w:rPr>
          <w:rFonts w:hint="eastAsia"/>
          <w:color w:val="auto"/>
        </w:rPr>
        <w:t>m，盖度90%，群落的生物量和净生产量分别为156.5</w:t>
      </w:r>
      <w:r>
        <w:rPr>
          <w:color w:val="auto"/>
        </w:rPr>
        <w:t xml:space="preserve"> </w:t>
      </w:r>
      <w:r>
        <w:rPr>
          <w:rFonts w:hint="eastAsia"/>
          <w:color w:val="auto"/>
        </w:rPr>
        <w:t>t</w:t>
      </w:r>
      <w:r>
        <w:rPr>
          <w:color w:val="auto"/>
        </w:rPr>
        <w:t>/</w:t>
      </w:r>
      <w:r>
        <w:rPr>
          <w:rFonts w:hint="eastAsia"/>
          <w:color w:val="auto"/>
        </w:rPr>
        <w:t>hm</w:t>
      </w:r>
      <w:r>
        <w:rPr>
          <w:rFonts w:hint="eastAsia"/>
          <w:color w:val="auto"/>
          <w:vertAlign w:val="superscript"/>
        </w:rPr>
        <w:t>2</w:t>
      </w:r>
      <w:r>
        <w:rPr>
          <w:rFonts w:hint="eastAsia"/>
          <w:color w:val="auto"/>
        </w:rPr>
        <w:t>和13.55</w:t>
      </w:r>
      <w:r>
        <w:rPr>
          <w:color w:val="auto"/>
        </w:rPr>
        <w:t xml:space="preserve"> </w:t>
      </w:r>
      <w:r>
        <w:rPr>
          <w:rFonts w:hint="eastAsia"/>
          <w:color w:val="auto"/>
        </w:rPr>
        <w:t>t/hm</w:t>
      </w:r>
      <w:r>
        <w:rPr>
          <w:rFonts w:hint="eastAsia"/>
          <w:color w:val="auto"/>
          <w:vertAlign w:val="superscript"/>
        </w:rPr>
        <w:t>2</w:t>
      </w:r>
      <w:r>
        <w:rPr>
          <w:rFonts w:hint="eastAsia"/>
          <w:color w:val="auto"/>
        </w:rPr>
        <w:t>a，材积89.5</w:t>
      </w:r>
      <w:r>
        <w:rPr>
          <w:color w:val="auto"/>
        </w:rPr>
        <w:t xml:space="preserve"> </w:t>
      </w:r>
      <w:r>
        <w:rPr>
          <w:rFonts w:hint="eastAsia"/>
          <w:color w:val="auto"/>
        </w:rPr>
        <w:t>m2/hm</w:t>
      </w:r>
      <w:r>
        <w:rPr>
          <w:rFonts w:hint="eastAsia"/>
          <w:color w:val="auto"/>
          <w:vertAlign w:val="superscript"/>
        </w:rPr>
        <w:t>2</w:t>
      </w:r>
      <w:r>
        <w:rPr>
          <w:rFonts w:hint="eastAsia"/>
          <w:color w:val="auto"/>
        </w:rPr>
        <w:t>，物种量为25种/1000m</w:t>
      </w:r>
      <w:r>
        <w:rPr>
          <w:rFonts w:hint="eastAsia"/>
          <w:color w:val="auto"/>
          <w:vertAlign w:val="superscript"/>
        </w:rPr>
        <w:t>2</w:t>
      </w:r>
      <w:r>
        <w:rPr>
          <w:rFonts w:hint="eastAsia"/>
          <w:color w:val="auto"/>
        </w:rPr>
        <w:t>。其生物多样性指数为：乔木层0.15，灌木层0.45，草本层1.233。该群落结构完整，植物种类较为丰富，但乔木层植物种类较少。</w:t>
      </w:r>
    </w:p>
    <w:p>
      <w:pPr>
        <w:spacing w:line="360" w:lineRule="auto"/>
        <w:ind w:firstLine="480"/>
        <w:rPr>
          <w:color w:val="auto"/>
        </w:rPr>
      </w:pPr>
      <w:r>
        <w:rPr>
          <w:rFonts w:hint="eastAsia"/>
          <w:color w:val="auto"/>
        </w:rPr>
        <w:t>（4）水稻群落</w:t>
      </w:r>
    </w:p>
    <w:p>
      <w:pPr>
        <w:spacing w:line="360" w:lineRule="auto"/>
        <w:ind w:firstLine="480"/>
        <w:rPr>
          <w:color w:val="auto"/>
        </w:rPr>
      </w:pPr>
      <w:r>
        <w:rPr>
          <w:rFonts w:hint="eastAsia"/>
          <w:color w:val="auto"/>
        </w:rPr>
        <w:t>主要分布在项目盆地内，由于人工干扰强烈，抑制了其它植物的发展，形成了以水稻为优势种的群落。群落外貌随着季节变化而变化，群落高度1.2</w:t>
      </w:r>
      <w:r>
        <w:rPr>
          <w:color w:val="auto"/>
        </w:rPr>
        <w:t xml:space="preserve"> </w:t>
      </w:r>
      <w:r>
        <w:rPr>
          <w:rFonts w:hint="eastAsia"/>
          <w:color w:val="auto"/>
        </w:rPr>
        <w:t>m，郁闭度94%，生物量和净生物量分别为25.5</w:t>
      </w:r>
      <w:r>
        <w:rPr>
          <w:color w:val="auto"/>
        </w:rPr>
        <w:t xml:space="preserve"> </w:t>
      </w:r>
      <w:r>
        <w:rPr>
          <w:rFonts w:hint="eastAsia"/>
          <w:color w:val="auto"/>
        </w:rPr>
        <w:t>t/hm</w:t>
      </w:r>
      <w:r>
        <w:rPr>
          <w:rFonts w:hint="eastAsia"/>
          <w:color w:val="auto"/>
          <w:vertAlign w:val="superscript"/>
        </w:rPr>
        <w:t>2</w:t>
      </w:r>
      <w:r>
        <w:rPr>
          <w:rFonts w:hint="eastAsia"/>
          <w:color w:val="auto"/>
        </w:rPr>
        <w:t>和12.6</w:t>
      </w:r>
      <w:r>
        <w:rPr>
          <w:color w:val="auto"/>
        </w:rPr>
        <w:t xml:space="preserve"> </w:t>
      </w:r>
      <w:r>
        <w:rPr>
          <w:rFonts w:hint="eastAsia"/>
          <w:color w:val="auto"/>
        </w:rPr>
        <w:t>t/hm</w:t>
      </w:r>
      <w:r>
        <w:rPr>
          <w:rFonts w:hint="eastAsia"/>
          <w:color w:val="auto"/>
          <w:vertAlign w:val="superscript"/>
        </w:rPr>
        <w:t>2</w:t>
      </w:r>
      <w:r>
        <w:rPr>
          <w:rFonts w:hint="eastAsia"/>
          <w:color w:val="auto"/>
        </w:rPr>
        <w:t>a，物种量11种/100m</w:t>
      </w:r>
      <w:r>
        <w:rPr>
          <w:rFonts w:hint="eastAsia"/>
          <w:color w:val="auto"/>
          <w:vertAlign w:val="superscript"/>
        </w:rPr>
        <w:t>2</w:t>
      </w:r>
      <w:r>
        <w:rPr>
          <w:rFonts w:hint="eastAsia"/>
          <w:color w:val="auto"/>
        </w:rPr>
        <w:t>。植物种类主要有水稻、水绵、轮藻、水葱、菖蒲等。</w:t>
      </w:r>
    </w:p>
    <w:p>
      <w:pPr>
        <w:pStyle w:val="298"/>
        <w:spacing w:before="156" w:after="156"/>
        <w:rPr>
          <w:color w:val="auto"/>
          <w:kern w:val="0"/>
          <w:lang w:val="zh-CN"/>
        </w:rPr>
      </w:pPr>
      <w:bookmarkStart w:id="565" w:name="_Toc34234728"/>
      <w:bookmarkStart w:id="566" w:name="_Toc13434"/>
      <w:bookmarkStart w:id="567" w:name="_Toc24136809"/>
      <w:r>
        <w:rPr>
          <w:rFonts w:hint="eastAsia"/>
          <w:color w:val="auto"/>
          <w:kern w:val="0"/>
          <w:lang w:val="zh-CN"/>
        </w:rPr>
        <w:t>4</w:t>
      </w:r>
      <w:r>
        <w:rPr>
          <w:color w:val="auto"/>
          <w:kern w:val="0"/>
          <w:lang w:val="zh-CN"/>
        </w:rPr>
        <w:t>.7.2</w:t>
      </w:r>
      <w:r>
        <w:rPr>
          <w:rFonts w:hint="eastAsia"/>
          <w:color w:val="auto"/>
          <w:kern w:val="0"/>
          <w:lang w:val="zh-CN"/>
        </w:rPr>
        <w:t>景观生态现状调查</w:t>
      </w:r>
      <w:bookmarkEnd w:id="565"/>
      <w:bookmarkEnd w:id="566"/>
      <w:bookmarkEnd w:id="567"/>
    </w:p>
    <w:p>
      <w:pPr>
        <w:spacing w:line="360" w:lineRule="auto"/>
        <w:ind w:firstLine="480"/>
        <w:rPr>
          <w:color w:val="auto"/>
        </w:rPr>
      </w:pPr>
      <w:r>
        <w:rPr>
          <w:rFonts w:hint="eastAsia"/>
          <w:color w:val="auto"/>
        </w:rPr>
        <w:t>项目区域内景观生态体系由下列组分组成，这些组分可以是不同的生态系统，也可以是生境，其间以水系或道路交通网络相隔离。</w:t>
      </w:r>
    </w:p>
    <w:p>
      <w:pPr>
        <w:spacing w:line="360" w:lineRule="auto"/>
        <w:ind w:firstLine="480"/>
        <w:rPr>
          <w:color w:val="auto"/>
        </w:rPr>
      </w:pPr>
      <w:r>
        <w:rPr>
          <w:rFonts w:hint="eastAsia"/>
          <w:color w:val="auto"/>
        </w:rPr>
        <w:t>（1）半人工半自然的尾叶桉、马松林生态系统，分布于项目北部山坡、山脊带，属于人工干扰+自然恢复的环境资源拼块类型，是维护区内生态环境质量的重要拼块类型，属于引进拼块。另外有麻竹群落，分布于路边与田边。</w:t>
      </w:r>
    </w:p>
    <w:p>
      <w:pPr>
        <w:spacing w:line="360" w:lineRule="auto"/>
        <w:ind w:firstLine="480"/>
        <w:rPr>
          <w:color w:val="auto"/>
        </w:rPr>
      </w:pPr>
      <w:r>
        <w:rPr>
          <w:rFonts w:hint="eastAsia"/>
          <w:color w:val="auto"/>
        </w:rPr>
        <w:t>（2）人工植被为主的水稻群落，位于盆地区，属于引进斑块中的种植斑快，是人类干扰比较严重的拼块类型。</w:t>
      </w:r>
    </w:p>
    <w:p>
      <w:pPr>
        <w:spacing w:line="360" w:lineRule="auto"/>
        <w:ind w:firstLine="480"/>
        <w:rPr>
          <w:color w:val="auto"/>
        </w:rPr>
      </w:pPr>
      <w:r>
        <w:rPr>
          <w:rFonts w:hint="eastAsia"/>
          <w:color w:val="auto"/>
        </w:rPr>
        <w:t>（3）村庄等人工生态系统，是引进拼块的聚居地，是受人干扰的景观中最显著的成分之一，是人造的拼块类型。</w:t>
      </w:r>
    </w:p>
    <w:p>
      <w:pPr>
        <w:pStyle w:val="298"/>
        <w:spacing w:before="156" w:after="156"/>
        <w:rPr>
          <w:color w:val="auto"/>
          <w:kern w:val="0"/>
          <w:lang w:val="zh-CN"/>
        </w:rPr>
      </w:pPr>
      <w:bookmarkStart w:id="568" w:name="_Toc24136810"/>
      <w:bookmarkStart w:id="569" w:name="_Toc34234729"/>
      <w:bookmarkStart w:id="570" w:name="_Toc21218"/>
      <w:r>
        <w:rPr>
          <w:rFonts w:hint="eastAsia"/>
          <w:color w:val="auto"/>
          <w:kern w:val="0"/>
          <w:lang w:val="zh-CN"/>
        </w:rPr>
        <w:t>4</w:t>
      </w:r>
      <w:r>
        <w:rPr>
          <w:color w:val="auto"/>
          <w:kern w:val="0"/>
          <w:lang w:val="zh-CN"/>
        </w:rPr>
        <w:t>.7.3</w:t>
      </w:r>
      <w:r>
        <w:rPr>
          <w:rFonts w:hint="eastAsia"/>
          <w:color w:val="auto"/>
          <w:kern w:val="0"/>
          <w:lang w:val="zh-CN"/>
        </w:rPr>
        <w:t>动物种群数量及分布</w:t>
      </w:r>
      <w:bookmarkEnd w:id="568"/>
      <w:bookmarkEnd w:id="569"/>
      <w:bookmarkEnd w:id="570"/>
    </w:p>
    <w:p>
      <w:pPr>
        <w:spacing w:line="360" w:lineRule="auto"/>
        <w:ind w:firstLine="480"/>
        <w:rPr>
          <w:color w:val="auto"/>
        </w:rPr>
      </w:pPr>
      <w:r>
        <w:rPr>
          <w:rFonts w:hint="eastAsia"/>
          <w:color w:val="auto"/>
        </w:rPr>
        <w:t>根据项目所在区域的现场调查与访问，结合资料分析，评价区域及附近区域出现的动物主要有以下的种类：</w:t>
      </w:r>
    </w:p>
    <w:p>
      <w:pPr>
        <w:spacing w:line="360" w:lineRule="auto"/>
        <w:ind w:firstLine="480"/>
        <w:jc w:val="both"/>
        <w:rPr>
          <w:color w:val="auto"/>
        </w:rPr>
      </w:pPr>
      <w:r>
        <w:rPr>
          <w:rFonts w:hint="eastAsia"/>
          <w:color w:val="auto"/>
        </w:rPr>
        <w:t>（1）哺乳动物</w:t>
      </w:r>
    </w:p>
    <w:p>
      <w:pPr>
        <w:spacing w:line="360" w:lineRule="auto"/>
        <w:ind w:firstLine="480"/>
        <w:jc w:val="both"/>
        <w:rPr>
          <w:color w:val="auto"/>
        </w:rPr>
      </w:pPr>
      <w:r>
        <w:rPr>
          <w:rFonts w:hint="eastAsia"/>
          <w:color w:val="auto"/>
        </w:rPr>
        <w:t>常见有：大板齿鼠（Bandicota Indica）、褐家鼠（Sreptopelia L.）、小家鼠（Mus musculus L.）、普通伏翼蝠（Pipisrellhus abramus）及人工养殖的鸡、牛、养、猪、兔和猫、狗等哺乳动物。</w:t>
      </w:r>
    </w:p>
    <w:p>
      <w:pPr>
        <w:spacing w:line="360" w:lineRule="auto"/>
        <w:ind w:firstLine="480"/>
        <w:jc w:val="both"/>
        <w:rPr>
          <w:color w:val="auto"/>
        </w:rPr>
      </w:pPr>
      <w:r>
        <w:rPr>
          <w:rFonts w:hint="eastAsia"/>
          <w:color w:val="auto"/>
        </w:rPr>
        <w:t>（2）鸟类</w:t>
      </w:r>
    </w:p>
    <w:p>
      <w:pPr>
        <w:spacing w:line="360" w:lineRule="auto"/>
        <w:ind w:firstLine="480"/>
        <w:jc w:val="both"/>
        <w:rPr>
          <w:color w:val="auto"/>
        </w:rPr>
      </w:pPr>
      <w:r>
        <w:rPr>
          <w:rFonts w:hint="eastAsia"/>
          <w:color w:val="auto"/>
        </w:rPr>
        <w:t>主要种类有：中华鹧鸪（Francolinus pintademus）、朱颈斑鸠（Sreptopelia L.）、斑鸠（Sreptopelia orientalis）、普通翠鸟（Aliedo athis）、麻雀（Passer montamus）、小白要羽燕（Apus affins）、文鸟（Lonchura ap.）、鸬鹚（Phalacrocorax xarbo）、牛背鹭（Bubulcus ibis）、白凶苦厄鸟（Amaurornis phoenicuwus）以及鹭科（Ardeidae）、鸦科（Corcidae）和鸠鸽科（Columbidae）的一些种类。</w:t>
      </w:r>
    </w:p>
    <w:p>
      <w:pPr>
        <w:spacing w:line="360" w:lineRule="auto"/>
        <w:ind w:firstLine="480"/>
        <w:jc w:val="both"/>
        <w:rPr>
          <w:color w:val="auto"/>
        </w:rPr>
      </w:pPr>
      <w:r>
        <w:rPr>
          <w:rFonts w:hint="eastAsia"/>
          <w:color w:val="auto"/>
        </w:rPr>
        <w:t>（3）两栖类</w:t>
      </w:r>
    </w:p>
    <w:p>
      <w:pPr>
        <w:spacing w:line="360" w:lineRule="auto"/>
        <w:ind w:firstLine="480"/>
        <w:jc w:val="both"/>
        <w:rPr>
          <w:color w:val="auto"/>
        </w:rPr>
      </w:pPr>
      <w:r>
        <w:rPr>
          <w:rFonts w:hint="eastAsia"/>
          <w:color w:val="auto"/>
        </w:rPr>
        <w:t>常见的有：黑框蟾蛛（Bufo melanosticus）、花狭口蛙（Kaloula pulchra）、花姬蛙（Microhbylapulchra）。</w:t>
      </w:r>
    </w:p>
    <w:p>
      <w:pPr>
        <w:spacing w:line="360" w:lineRule="auto"/>
        <w:ind w:firstLine="480"/>
        <w:jc w:val="both"/>
        <w:rPr>
          <w:color w:val="auto"/>
        </w:rPr>
      </w:pPr>
      <w:r>
        <w:rPr>
          <w:rFonts w:hint="eastAsia"/>
          <w:color w:val="auto"/>
        </w:rPr>
        <w:t>（4）爬行类</w:t>
      </w:r>
    </w:p>
    <w:p>
      <w:pPr>
        <w:spacing w:line="360" w:lineRule="auto"/>
        <w:ind w:firstLine="480"/>
        <w:jc w:val="both"/>
        <w:rPr>
          <w:color w:val="auto"/>
        </w:rPr>
      </w:pPr>
      <w:r>
        <w:rPr>
          <w:rFonts w:hint="eastAsia"/>
          <w:color w:val="auto"/>
        </w:rPr>
        <w:t>主要有：壁虎（Gekko chinensis）、石龙子（Eumeces chnensis）、草晰（Talbydromus ocellalus）、南方滑皮晰（Lriolopisma reesi）、纵纹晰虎（Hemidaclbyus bowringi）和铁线蛇（Common Blind Snack）、鱼游蛇（Xenochrophis piscator）、中国水蛇（Enhoydnis chimensis）等蛇类。</w:t>
      </w:r>
    </w:p>
    <w:p>
      <w:pPr>
        <w:spacing w:line="360" w:lineRule="auto"/>
        <w:ind w:firstLine="480"/>
        <w:jc w:val="both"/>
        <w:rPr>
          <w:color w:val="auto"/>
        </w:rPr>
      </w:pPr>
      <w:r>
        <w:rPr>
          <w:rFonts w:hint="eastAsia"/>
          <w:color w:val="auto"/>
        </w:rPr>
        <w:t>（5）昆虫类</w:t>
      </w:r>
    </w:p>
    <w:p>
      <w:pPr>
        <w:spacing w:line="360" w:lineRule="auto"/>
        <w:ind w:firstLine="480"/>
        <w:jc w:val="both"/>
        <w:rPr>
          <w:color w:val="auto"/>
        </w:rPr>
      </w:pPr>
      <w:r>
        <w:rPr>
          <w:rFonts w:hint="eastAsia"/>
          <w:color w:val="auto"/>
        </w:rPr>
        <w:t>评价区常见的种类有：车蝗（Gashrimaegus marmoratus）、蟋蟀（Grylulussp.）、非洲蝼蛄（Gnyllotalpidae aficana）、球螋（Forficula sp.）、美洲大蜚蠊（Periplaneta amricana）、大螳螂（Hierodula sp.）、大白蚁（Macrotermes galiath）、拟黑蝉（Cnptotpympana mimica）、螳蝽（Ranara chnensis.）、荔枝蝽（Tessaratoma papillosa）、稻绿蝽（Nezara viridula）、广椎猎蝽（Triatoma rubrofasciaus）、斜蚊夜娥（Spodoptera liura）、棉铃虫（Heliothis pelrigera）、鹿子蛾（Syntomis imaon）、蓝点斑蝶（Euploea midamus）、红粉蝶（Hebomoia glaucippe）、家倦库蚊（Culex fatigans）、摇蚊（Chiromomus species）、麻蝇（Sarcophaga species）、家蝇（Musca domestica）、黄点虎甲（Cicindela separata）、龙虱（Cbister ripunctatus）、金龟子（Anomala cupripes）、大刀螳（Tenodera aridijfolia）和红晴（Crocothemis servilia）等。</w:t>
      </w:r>
    </w:p>
    <w:p>
      <w:pPr>
        <w:spacing w:line="360" w:lineRule="auto"/>
        <w:jc w:val="both"/>
        <w:rPr>
          <w:color w:val="auto"/>
        </w:rPr>
      </w:pPr>
    </w:p>
    <w:p>
      <w:pPr>
        <w:spacing w:line="360" w:lineRule="auto"/>
        <w:jc w:val="both"/>
        <w:rPr>
          <w:color w:val="auto"/>
        </w:rPr>
      </w:pPr>
    </w:p>
    <w:p>
      <w:pPr>
        <w:spacing w:line="360" w:lineRule="auto"/>
        <w:jc w:val="both"/>
        <w:rPr>
          <w:color w:val="auto"/>
        </w:rPr>
      </w:pPr>
    </w:p>
    <w:p>
      <w:pPr>
        <w:spacing w:line="360" w:lineRule="auto"/>
        <w:jc w:val="both"/>
        <w:rPr>
          <w:color w:val="auto"/>
        </w:rPr>
      </w:pPr>
    </w:p>
    <w:p>
      <w:pPr>
        <w:spacing w:line="360" w:lineRule="auto"/>
        <w:jc w:val="both"/>
        <w:rPr>
          <w:color w:val="auto"/>
        </w:rPr>
      </w:pPr>
    </w:p>
    <w:p>
      <w:pPr>
        <w:spacing w:line="360" w:lineRule="auto"/>
        <w:jc w:val="both"/>
        <w:rPr>
          <w:color w:val="auto"/>
        </w:rPr>
      </w:pPr>
    </w:p>
    <w:p>
      <w:pPr>
        <w:spacing w:line="360" w:lineRule="auto"/>
        <w:jc w:val="both"/>
        <w:rPr>
          <w:color w:val="auto"/>
        </w:rPr>
      </w:pPr>
    </w:p>
    <w:p>
      <w:pPr>
        <w:spacing w:line="360" w:lineRule="auto"/>
        <w:jc w:val="both"/>
        <w:rPr>
          <w:color w:val="auto"/>
        </w:rPr>
      </w:pPr>
    </w:p>
    <w:p>
      <w:pPr>
        <w:spacing w:line="360" w:lineRule="auto"/>
        <w:jc w:val="both"/>
        <w:rPr>
          <w:color w:val="auto"/>
        </w:rPr>
      </w:pPr>
    </w:p>
    <w:p>
      <w:pPr>
        <w:spacing w:line="360" w:lineRule="auto"/>
        <w:jc w:val="both"/>
        <w:rPr>
          <w:color w:val="auto"/>
        </w:rPr>
      </w:pPr>
    </w:p>
    <w:p>
      <w:pPr>
        <w:spacing w:line="360" w:lineRule="auto"/>
        <w:jc w:val="both"/>
        <w:rPr>
          <w:color w:val="auto"/>
        </w:rPr>
      </w:pPr>
    </w:p>
    <w:p>
      <w:pPr>
        <w:spacing w:line="360" w:lineRule="auto"/>
        <w:jc w:val="both"/>
        <w:rPr>
          <w:color w:val="auto"/>
        </w:rPr>
      </w:pPr>
    </w:p>
    <w:p>
      <w:pPr>
        <w:spacing w:line="360" w:lineRule="auto"/>
        <w:jc w:val="both"/>
        <w:rPr>
          <w:color w:val="auto"/>
        </w:rPr>
      </w:pPr>
    </w:p>
    <w:p>
      <w:pPr>
        <w:spacing w:line="360" w:lineRule="auto"/>
        <w:jc w:val="both"/>
        <w:rPr>
          <w:color w:val="auto"/>
        </w:rPr>
        <w:sectPr>
          <w:footerReference r:id="rId20" w:type="first"/>
          <w:footerReference r:id="rId18" w:type="default"/>
          <w:footerReference r:id="rId19" w:type="even"/>
          <w:pgSz w:w="11906" w:h="16838"/>
          <w:pgMar w:top="1134" w:right="1134" w:bottom="1134" w:left="1701" w:header="709" w:footer="964" w:gutter="0"/>
          <w:pgNumType w:fmt="decimal"/>
          <w:cols w:space="720" w:num="1"/>
          <w:docGrid w:linePitch="312" w:charSpace="0"/>
        </w:sectPr>
      </w:pPr>
    </w:p>
    <w:bookmarkEnd w:id="549"/>
    <w:p>
      <w:pPr>
        <w:pStyle w:val="2"/>
        <w:numPr>
          <w:ilvl w:val="0"/>
          <w:numId w:val="0"/>
        </w:numPr>
        <w:tabs>
          <w:tab w:val="clear" w:pos="680"/>
        </w:tabs>
        <w:spacing w:line="360" w:lineRule="auto"/>
        <w:rPr>
          <w:color w:val="auto"/>
          <w:sz w:val="36"/>
          <w:szCs w:val="36"/>
        </w:rPr>
      </w:pPr>
      <w:bookmarkStart w:id="571" w:name="_Toc14943328"/>
      <w:bookmarkStart w:id="572" w:name="_Toc15440"/>
      <w:bookmarkStart w:id="573" w:name="_Toc24136811"/>
      <w:bookmarkStart w:id="574" w:name="_Toc23263171"/>
      <w:r>
        <w:rPr>
          <w:rFonts w:hint="eastAsia"/>
          <w:color w:val="auto"/>
          <w:sz w:val="36"/>
          <w:szCs w:val="36"/>
        </w:rPr>
        <w:t>5</w:t>
      </w:r>
      <w:r>
        <w:rPr>
          <w:color w:val="auto"/>
          <w:sz w:val="36"/>
          <w:szCs w:val="36"/>
        </w:rPr>
        <w:t>环境影响评价</w:t>
      </w:r>
      <w:bookmarkEnd w:id="346"/>
      <w:bookmarkEnd w:id="347"/>
      <w:bookmarkEnd w:id="348"/>
      <w:bookmarkEnd w:id="571"/>
      <w:bookmarkEnd w:id="572"/>
      <w:bookmarkEnd w:id="573"/>
      <w:bookmarkEnd w:id="574"/>
    </w:p>
    <w:p>
      <w:pPr>
        <w:pStyle w:val="3"/>
        <w:numPr>
          <w:ilvl w:val="0"/>
          <w:numId w:val="0"/>
        </w:numPr>
        <w:tabs>
          <w:tab w:val="clear" w:pos="680"/>
        </w:tabs>
        <w:rPr>
          <w:rFonts w:ascii="Times New Roman"/>
          <w:bCs/>
          <w:color w:val="auto"/>
        </w:rPr>
      </w:pPr>
      <w:bookmarkStart w:id="575" w:name="_Toc353885888"/>
      <w:bookmarkStart w:id="576" w:name="_Toc380053285"/>
      <w:bookmarkStart w:id="577" w:name="_Toc450814966"/>
      <w:bookmarkStart w:id="578" w:name="_Toc23263172"/>
      <w:bookmarkStart w:id="579" w:name="_Toc24136812"/>
      <w:bookmarkStart w:id="580" w:name="_Toc201"/>
      <w:bookmarkStart w:id="581" w:name="_Toc483263319"/>
      <w:bookmarkStart w:id="582" w:name="_Toc14943329"/>
      <w:bookmarkStart w:id="583" w:name="_Toc406091945"/>
      <w:r>
        <w:rPr>
          <w:rFonts w:hint="eastAsia" w:ascii="Times New Roman"/>
          <w:bCs/>
          <w:color w:val="auto"/>
          <w:lang w:eastAsia="zh-CN"/>
        </w:rPr>
        <w:t>5</w:t>
      </w:r>
      <w:r>
        <w:rPr>
          <w:rFonts w:ascii="Times New Roman"/>
          <w:bCs/>
          <w:color w:val="auto"/>
          <w:lang w:eastAsia="zh-CN"/>
        </w:rPr>
        <w:t>.1</w:t>
      </w:r>
      <w:r>
        <w:rPr>
          <w:rFonts w:ascii="Times New Roman"/>
          <w:bCs/>
          <w:color w:val="auto"/>
        </w:rPr>
        <w:t>施工期环境影响分析</w:t>
      </w:r>
      <w:bookmarkEnd w:id="575"/>
      <w:bookmarkEnd w:id="576"/>
      <w:bookmarkEnd w:id="577"/>
      <w:bookmarkEnd w:id="578"/>
      <w:bookmarkEnd w:id="579"/>
      <w:bookmarkEnd w:id="580"/>
      <w:bookmarkEnd w:id="581"/>
      <w:bookmarkEnd w:id="582"/>
      <w:bookmarkEnd w:id="583"/>
    </w:p>
    <w:p>
      <w:pPr>
        <w:pStyle w:val="4"/>
        <w:numPr>
          <w:ilvl w:val="0"/>
          <w:numId w:val="0"/>
        </w:numPr>
        <w:tabs>
          <w:tab w:val="clear" w:pos="680"/>
        </w:tabs>
        <w:ind w:left="720" w:right="240" w:hanging="720"/>
        <w:rPr>
          <w:b/>
          <w:color w:val="auto"/>
          <w:szCs w:val="24"/>
        </w:rPr>
      </w:pPr>
      <w:bookmarkStart w:id="584" w:name="_Toc24136813"/>
      <w:bookmarkStart w:id="585" w:name="_Toc34234732"/>
      <w:bookmarkStart w:id="586" w:name="_Toc14946901"/>
      <w:bookmarkStart w:id="587" w:name="_Toc380053286"/>
      <w:bookmarkStart w:id="588" w:name="_Toc15912193"/>
      <w:bookmarkStart w:id="589" w:name="_Toc1282"/>
      <w:r>
        <w:rPr>
          <w:rFonts w:hint="eastAsia"/>
          <w:b/>
          <w:color w:val="auto"/>
          <w:szCs w:val="24"/>
        </w:rPr>
        <w:t>5</w:t>
      </w:r>
      <w:r>
        <w:rPr>
          <w:b/>
          <w:color w:val="auto"/>
          <w:szCs w:val="24"/>
        </w:rPr>
        <w:t>.1.1工程施工概况</w:t>
      </w:r>
      <w:bookmarkEnd w:id="584"/>
      <w:bookmarkEnd w:id="585"/>
      <w:bookmarkEnd w:id="586"/>
      <w:bookmarkEnd w:id="587"/>
      <w:bookmarkEnd w:id="588"/>
      <w:bookmarkEnd w:id="589"/>
    </w:p>
    <w:p>
      <w:pPr>
        <w:pStyle w:val="108"/>
        <w:spacing w:after="0"/>
        <w:rPr>
          <w:rFonts w:eastAsia="宋体"/>
          <w:color w:val="auto"/>
          <w:szCs w:val="24"/>
        </w:rPr>
      </w:pPr>
      <w:r>
        <w:rPr>
          <w:rFonts w:eastAsia="宋体"/>
          <w:color w:val="auto"/>
          <w:szCs w:val="24"/>
        </w:rPr>
        <w:t>施工期主要包括工程用地范围内的地面挖掘、进厂道路、输水管线、场地平整、修筑道路、土建施工、设备安装、建筑材料运输等活动。主要施工机械包括挖土机、碾压机、起重机、空气压缩机、吊车及各种装修机具等；工程施工所需土方可就地取材，石料、钢材、水泥、木材及工程设备等由汽车运输进入施工现场。拟建工程厂区施工的基本特点是：施工时间较长，场地相对集中，施工总量大，机械化程度高，施工交通条件好，在施工过程中存在污染环境的因素。</w:t>
      </w:r>
    </w:p>
    <w:p>
      <w:pPr>
        <w:pStyle w:val="4"/>
        <w:numPr>
          <w:ilvl w:val="0"/>
          <w:numId w:val="0"/>
        </w:numPr>
        <w:tabs>
          <w:tab w:val="clear" w:pos="680"/>
        </w:tabs>
        <w:ind w:left="720" w:right="240" w:hanging="720"/>
        <w:rPr>
          <w:b/>
          <w:color w:val="auto"/>
          <w:szCs w:val="24"/>
        </w:rPr>
      </w:pPr>
      <w:bookmarkStart w:id="590" w:name="_Toc380053287"/>
      <w:bookmarkStart w:id="591" w:name="_Toc34234733"/>
      <w:bookmarkStart w:id="592" w:name="_Toc14946902"/>
      <w:bookmarkStart w:id="593" w:name="_Toc15912194"/>
      <w:bookmarkStart w:id="594" w:name="_Toc24136814"/>
      <w:bookmarkStart w:id="595" w:name="_Toc18332"/>
      <w:r>
        <w:rPr>
          <w:rFonts w:hint="eastAsia"/>
          <w:b/>
          <w:color w:val="auto"/>
          <w:szCs w:val="24"/>
        </w:rPr>
        <w:t>5</w:t>
      </w:r>
      <w:r>
        <w:rPr>
          <w:b/>
          <w:color w:val="auto"/>
          <w:szCs w:val="24"/>
        </w:rPr>
        <w:t>.1.2施工期环境污染特征</w:t>
      </w:r>
      <w:bookmarkEnd w:id="590"/>
      <w:bookmarkEnd w:id="591"/>
      <w:bookmarkEnd w:id="592"/>
      <w:bookmarkEnd w:id="593"/>
      <w:bookmarkEnd w:id="594"/>
      <w:bookmarkEnd w:id="595"/>
    </w:p>
    <w:p>
      <w:pPr>
        <w:pStyle w:val="108"/>
        <w:spacing w:after="0"/>
        <w:rPr>
          <w:rFonts w:eastAsia="宋体"/>
          <w:color w:val="auto"/>
          <w:szCs w:val="24"/>
        </w:rPr>
      </w:pPr>
      <w:r>
        <w:rPr>
          <w:rFonts w:eastAsia="宋体"/>
          <w:color w:val="auto"/>
          <w:szCs w:val="24"/>
        </w:rPr>
        <w:t>施工期环境污染行为方式较为复杂，但从污染程度和范围分析，工程施工废气和噪声对环境污染相对较突出，但施工期环境污染只是短期影响，随着工程竣工影响基本消除。施工期间由施工人员及施工设备可能造成的环境影响有：机械设备运行产生的噪声、废气以及设备清洗废水；物料运输车辆产生的噪声、扬尘和尾气；施工人员产生的生活污水以及生活垃圾；施工产生的废砖、废石料及废弃的装修边角材料等。工程施工环境污染影响特征见表5.1-1。</w:t>
      </w:r>
    </w:p>
    <w:p>
      <w:pPr>
        <w:pStyle w:val="67"/>
        <w:rPr>
          <w:rFonts w:ascii="Times New Roman" w:hAnsi="Times New Roman" w:cs="Times New Roman"/>
          <w:color w:val="auto"/>
        </w:rPr>
      </w:pPr>
      <w:r>
        <w:rPr>
          <w:rFonts w:ascii="Times New Roman" w:hAnsi="Times New Roman" w:cs="Times New Roman"/>
          <w:color w:val="auto"/>
        </w:rPr>
        <w:t>表</w:t>
      </w:r>
      <w:r>
        <w:rPr>
          <w:rFonts w:hint="eastAsia" w:ascii="Times New Roman" w:hAnsi="Times New Roman" w:cs="Times New Roman"/>
          <w:color w:val="auto"/>
        </w:rPr>
        <w:t>5.1</w:t>
      </w:r>
      <w:r>
        <w:rPr>
          <w:rFonts w:ascii="Times New Roman" w:hAnsi="Times New Roman" w:cs="Times New Roman"/>
          <w:color w:val="auto"/>
        </w:rPr>
        <w:noBreakHyphen/>
      </w:r>
      <w:r>
        <w:rPr>
          <w:rFonts w:ascii="Times New Roman" w:hAnsi="Times New Roman" w:cs="Times New Roman"/>
          <w:color w:val="auto"/>
        </w:rPr>
        <w:fldChar w:fldCharType="begin"/>
      </w:r>
      <w:r>
        <w:rPr>
          <w:rFonts w:ascii="Times New Roman" w:hAnsi="Times New Roman" w:cs="Times New Roman"/>
          <w:color w:val="auto"/>
        </w:rPr>
        <w:instrText xml:space="preserve"> SEQ 表 \* ARABIC \s 2 </w:instrText>
      </w:r>
      <w:r>
        <w:rPr>
          <w:rFonts w:ascii="Times New Roman" w:hAnsi="Times New Roman" w:cs="Times New Roman"/>
          <w:color w:val="auto"/>
        </w:rPr>
        <w:fldChar w:fldCharType="separate"/>
      </w:r>
      <w:r>
        <w:rPr>
          <w:rFonts w:ascii="Times New Roman" w:hAnsi="Times New Roman" w:cs="Times New Roman"/>
          <w:color w:val="auto"/>
        </w:rPr>
        <w:t>1</w:t>
      </w:r>
      <w:r>
        <w:rPr>
          <w:rFonts w:ascii="Times New Roman" w:hAnsi="Times New Roman" w:cs="Times New Roman"/>
          <w:color w:val="auto"/>
        </w:rPr>
        <w:fldChar w:fldCharType="end"/>
      </w:r>
      <w:r>
        <w:rPr>
          <w:rFonts w:ascii="Times New Roman" w:hAnsi="Times New Roman" w:cs="Times New Roman"/>
          <w:color w:val="auto"/>
        </w:rPr>
        <w:t xml:space="preserve">  施工环境影响特征</w:t>
      </w:r>
    </w:p>
    <w:tbl>
      <w:tblPr>
        <w:tblStyle w:val="53"/>
        <w:tblW w:w="9287"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97"/>
        <w:gridCol w:w="78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1397" w:type="dxa"/>
            <w:vAlign w:val="center"/>
          </w:tcPr>
          <w:p>
            <w:pPr>
              <w:pStyle w:val="106"/>
              <w:widowControl w:val="0"/>
              <w:snapToGrid w:val="0"/>
              <w:spacing w:line="240" w:lineRule="exact"/>
              <w:rPr>
                <w:b/>
                <w:bCs/>
                <w:color w:val="auto"/>
                <w:sz w:val="21"/>
                <w:szCs w:val="21"/>
                <w:lang w:val="en-US" w:eastAsia="zh-CN"/>
              </w:rPr>
            </w:pPr>
            <w:r>
              <w:rPr>
                <w:b/>
                <w:bCs/>
                <w:color w:val="auto"/>
                <w:sz w:val="21"/>
                <w:szCs w:val="21"/>
                <w:lang w:val="en-US" w:eastAsia="zh-CN"/>
              </w:rPr>
              <w:t>施工活动</w:t>
            </w:r>
          </w:p>
        </w:tc>
        <w:tc>
          <w:tcPr>
            <w:tcW w:w="7890" w:type="dxa"/>
            <w:vAlign w:val="center"/>
          </w:tcPr>
          <w:p>
            <w:pPr>
              <w:pStyle w:val="106"/>
              <w:widowControl w:val="0"/>
              <w:snapToGrid w:val="0"/>
              <w:spacing w:line="240" w:lineRule="exact"/>
              <w:rPr>
                <w:b/>
                <w:bCs/>
                <w:color w:val="auto"/>
                <w:sz w:val="21"/>
                <w:szCs w:val="21"/>
                <w:lang w:val="en-US" w:eastAsia="zh-CN"/>
              </w:rPr>
            </w:pPr>
            <w:r>
              <w:rPr>
                <w:b/>
                <w:bCs/>
                <w:color w:val="auto"/>
                <w:sz w:val="21"/>
                <w:szCs w:val="21"/>
                <w:lang w:val="en-US" w:eastAsia="zh-CN"/>
              </w:rPr>
              <w:t>施工环境影响特征说明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97" w:type="dxa"/>
            <w:vMerge w:val="restart"/>
            <w:vAlign w:val="center"/>
          </w:tcPr>
          <w:p>
            <w:pPr>
              <w:pStyle w:val="106"/>
              <w:widowControl w:val="0"/>
              <w:snapToGrid w:val="0"/>
              <w:spacing w:line="240" w:lineRule="exact"/>
              <w:rPr>
                <w:color w:val="auto"/>
                <w:sz w:val="21"/>
                <w:szCs w:val="21"/>
                <w:lang w:val="en-US" w:eastAsia="zh-CN"/>
              </w:rPr>
            </w:pPr>
            <w:r>
              <w:rPr>
                <w:color w:val="auto"/>
                <w:sz w:val="21"/>
                <w:szCs w:val="21"/>
                <w:lang w:val="en-US" w:eastAsia="zh-CN"/>
              </w:rPr>
              <w:t>土石开挖</w:t>
            </w:r>
          </w:p>
          <w:p>
            <w:pPr>
              <w:pStyle w:val="106"/>
              <w:widowControl w:val="0"/>
              <w:snapToGrid w:val="0"/>
              <w:spacing w:line="240" w:lineRule="exact"/>
              <w:rPr>
                <w:color w:val="auto"/>
                <w:sz w:val="21"/>
                <w:szCs w:val="21"/>
                <w:lang w:val="en-US" w:eastAsia="zh-CN"/>
              </w:rPr>
            </w:pPr>
            <w:r>
              <w:rPr>
                <w:color w:val="auto"/>
                <w:sz w:val="21"/>
                <w:szCs w:val="21"/>
                <w:lang w:val="en-US" w:eastAsia="zh-CN"/>
              </w:rPr>
              <w:t>（厂区地基、进场道路、输水管线挖掘）</w:t>
            </w:r>
          </w:p>
        </w:tc>
        <w:tc>
          <w:tcPr>
            <w:tcW w:w="7890" w:type="dxa"/>
            <w:vAlign w:val="center"/>
          </w:tcPr>
          <w:p>
            <w:pPr>
              <w:pStyle w:val="106"/>
              <w:widowControl w:val="0"/>
              <w:snapToGrid w:val="0"/>
              <w:spacing w:line="240" w:lineRule="exact"/>
              <w:rPr>
                <w:color w:val="auto"/>
                <w:sz w:val="21"/>
                <w:szCs w:val="21"/>
                <w:lang w:val="en-US" w:eastAsia="zh-CN"/>
              </w:rPr>
            </w:pPr>
            <w:r>
              <w:rPr>
                <w:color w:val="auto"/>
                <w:sz w:val="21"/>
                <w:szCs w:val="21"/>
                <w:lang w:val="en-US" w:eastAsia="zh-CN"/>
              </w:rPr>
              <w:t>废气：挖掘机械排放废气主要是NO</w:t>
            </w:r>
            <w:r>
              <w:rPr>
                <w:color w:val="auto"/>
                <w:sz w:val="21"/>
                <w:szCs w:val="21"/>
                <w:vertAlign w:val="subscript"/>
                <w:lang w:val="en-US" w:eastAsia="zh-CN"/>
              </w:rPr>
              <w:t>2</w:t>
            </w:r>
            <w:r>
              <w:rPr>
                <w:color w:val="auto"/>
                <w:sz w:val="21"/>
                <w:szCs w:val="21"/>
                <w:lang w:val="en-US" w:eastAsia="zh-CN"/>
              </w:rPr>
              <w:t>、SO</w:t>
            </w:r>
            <w:r>
              <w:rPr>
                <w:color w:val="auto"/>
                <w:sz w:val="21"/>
                <w:szCs w:val="21"/>
                <w:vertAlign w:val="subscript"/>
                <w:lang w:val="en-US" w:eastAsia="zh-CN"/>
              </w:rPr>
              <w:t>2</w:t>
            </w:r>
            <w:r>
              <w:rPr>
                <w:color w:val="auto"/>
                <w:sz w:val="21"/>
                <w:szCs w:val="21"/>
                <w:lang w:val="en-US" w:eastAsia="zh-CN"/>
              </w:rPr>
              <w:t>、CO等；运输产生汽车尾气和地面扬尘，主要污染物有粉尘、NO</w:t>
            </w:r>
            <w:r>
              <w:rPr>
                <w:color w:val="auto"/>
                <w:sz w:val="21"/>
                <w:szCs w:val="21"/>
                <w:vertAlign w:val="subscript"/>
                <w:lang w:val="en-US" w:eastAsia="zh-CN"/>
              </w:rPr>
              <w:t>2</w:t>
            </w:r>
            <w:r>
              <w:rPr>
                <w:color w:val="auto"/>
                <w:sz w:val="21"/>
                <w:szCs w:val="21"/>
                <w:lang w:val="en-US" w:eastAsia="zh-CN"/>
              </w:rPr>
              <w:t>、SO</w:t>
            </w:r>
            <w:r>
              <w:rPr>
                <w:color w:val="auto"/>
                <w:sz w:val="21"/>
                <w:szCs w:val="21"/>
                <w:vertAlign w:val="subscript"/>
                <w:lang w:val="en-US" w:eastAsia="zh-CN"/>
              </w:rPr>
              <w:t>2</w:t>
            </w:r>
            <w:r>
              <w:rPr>
                <w:color w:val="auto"/>
                <w:sz w:val="21"/>
                <w:szCs w:val="21"/>
                <w:lang w:val="en-US" w:eastAsia="zh-CN"/>
              </w:rPr>
              <w:t>、CO、CH等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97" w:type="dxa"/>
            <w:vMerge w:val="continue"/>
            <w:vAlign w:val="center"/>
          </w:tcPr>
          <w:p>
            <w:pPr>
              <w:pStyle w:val="106"/>
              <w:widowControl w:val="0"/>
              <w:snapToGrid w:val="0"/>
              <w:spacing w:line="240" w:lineRule="exact"/>
              <w:rPr>
                <w:color w:val="auto"/>
                <w:sz w:val="21"/>
                <w:szCs w:val="21"/>
                <w:lang w:val="en-US" w:eastAsia="zh-CN"/>
              </w:rPr>
            </w:pPr>
          </w:p>
        </w:tc>
        <w:tc>
          <w:tcPr>
            <w:tcW w:w="7890" w:type="dxa"/>
            <w:vAlign w:val="center"/>
          </w:tcPr>
          <w:p>
            <w:pPr>
              <w:pStyle w:val="106"/>
              <w:widowControl w:val="0"/>
              <w:snapToGrid w:val="0"/>
              <w:spacing w:line="240" w:lineRule="exact"/>
              <w:rPr>
                <w:color w:val="auto"/>
                <w:sz w:val="21"/>
                <w:szCs w:val="21"/>
                <w:lang w:val="en-US" w:eastAsia="zh-CN"/>
              </w:rPr>
            </w:pPr>
            <w:r>
              <w:rPr>
                <w:color w:val="auto"/>
                <w:sz w:val="21"/>
                <w:szCs w:val="21"/>
                <w:lang w:val="en-US" w:eastAsia="zh-CN"/>
              </w:rPr>
              <w:t>噪声：施工机械噪声、石料加工噪声、材料设备运输噪声等；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97" w:type="dxa"/>
            <w:vMerge w:val="continue"/>
            <w:vAlign w:val="center"/>
          </w:tcPr>
          <w:p>
            <w:pPr>
              <w:pStyle w:val="106"/>
              <w:widowControl w:val="0"/>
              <w:snapToGrid w:val="0"/>
              <w:spacing w:line="240" w:lineRule="exact"/>
              <w:rPr>
                <w:color w:val="auto"/>
                <w:sz w:val="21"/>
                <w:szCs w:val="21"/>
                <w:lang w:val="en-US" w:eastAsia="zh-CN"/>
              </w:rPr>
            </w:pPr>
          </w:p>
        </w:tc>
        <w:tc>
          <w:tcPr>
            <w:tcW w:w="7890" w:type="dxa"/>
            <w:vAlign w:val="center"/>
          </w:tcPr>
          <w:p>
            <w:pPr>
              <w:pStyle w:val="106"/>
              <w:widowControl w:val="0"/>
              <w:snapToGrid w:val="0"/>
              <w:spacing w:line="240" w:lineRule="exact"/>
              <w:rPr>
                <w:color w:val="auto"/>
                <w:sz w:val="21"/>
                <w:szCs w:val="21"/>
                <w:lang w:val="en-US" w:eastAsia="zh-CN"/>
              </w:rPr>
            </w:pPr>
            <w:r>
              <w:rPr>
                <w:color w:val="auto"/>
                <w:sz w:val="21"/>
                <w:szCs w:val="21"/>
                <w:lang w:val="en-US" w:eastAsia="zh-CN"/>
              </w:rPr>
              <w:t>弃渣：施工废渣，易产生水土流失；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97" w:type="dxa"/>
            <w:vMerge w:val="continue"/>
            <w:vAlign w:val="center"/>
          </w:tcPr>
          <w:p>
            <w:pPr>
              <w:pStyle w:val="106"/>
              <w:widowControl w:val="0"/>
              <w:snapToGrid w:val="0"/>
              <w:spacing w:line="240" w:lineRule="exact"/>
              <w:rPr>
                <w:color w:val="auto"/>
                <w:sz w:val="21"/>
                <w:szCs w:val="21"/>
                <w:lang w:val="en-US" w:eastAsia="zh-CN"/>
              </w:rPr>
            </w:pPr>
          </w:p>
        </w:tc>
        <w:tc>
          <w:tcPr>
            <w:tcW w:w="7890" w:type="dxa"/>
            <w:vAlign w:val="center"/>
          </w:tcPr>
          <w:p>
            <w:pPr>
              <w:pStyle w:val="106"/>
              <w:widowControl w:val="0"/>
              <w:snapToGrid w:val="0"/>
              <w:spacing w:line="240" w:lineRule="exact"/>
              <w:rPr>
                <w:color w:val="auto"/>
                <w:sz w:val="21"/>
                <w:szCs w:val="21"/>
                <w:lang w:val="en-US" w:eastAsia="zh-CN"/>
              </w:rPr>
            </w:pPr>
            <w:r>
              <w:rPr>
                <w:color w:val="auto"/>
                <w:sz w:val="21"/>
                <w:szCs w:val="21"/>
                <w:lang w:val="en-US" w:eastAsia="zh-CN"/>
              </w:rPr>
              <w:t>废水：主要为施工人员生活污水和雨水冲刷石料产生废水，pH较高、SS量大；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97" w:type="dxa"/>
            <w:vMerge w:val="restart"/>
            <w:vAlign w:val="center"/>
          </w:tcPr>
          <w:p>
            <w:pPr>
              <w:pStyle w:val="106"/>
              <w:widowControl w:val="0"/>
              <w:snapToGrid w:val="0"/>
              <w:spacing w:line="240" w:lineRule="exact"/>
              <w:rPr>
                <w:color w:val="auto"/>
                <w:sz w:val="21"/>
                <w:szCs w:val="21"/>
                <w:lang w:val="en-US" w:eastAsia="zh-CN"/>
              </w:rPr>
            </w:pPr>
            <w:r>
              <w:rPr>
                <w:color w:val="auto"/>
                <w:sz w:val="21"/>
                <w:szCs w:val="21"/>
                <w:lang w:val="en-US" w:eastAsia="zh-CN"/>
              </w:rPr>
              <w:t>工程</w:t>
            </w:r>
          </w:p>
          <w:p>
            <w:pPr>
              <w:pStyle w:val="106"/>
              <w:widowControl w:val="0"/>
              <w:snapToGrid w:val="0"/>
              <w:spacing w:line="240" w:lineRule="exact"/>
              <w:rPr>
                <w:color w:val="auto"/>
                <w:sz w:val="21"/>
                <w:szCs w:val="21"/>
                <w:lang w:val="en-US" w:eastAsia="zh-CN"/>
              </w:rPr>
            </w:pPr>
            <w:r>
              <w:rPr>
                <w:color w:val="auto"/>
                <w:sz w:val="21"/>
                <w:szCs w:val="21"/>
                <w:lang w:val="en-US" w:eastAsia="zh-CN"/>
              </w:rPr>
              <w:t>安装施工</w:t>
            </w:r>
          </w:p>
        </w:tc>
        <w:tc>
          <w:tcPr>
            <w:tcW w:w="7890" w:type="dxa"/>
            <w:vAlign w:val="center"/>
          </w:tcPr>
          <w:p>
            <w:pPr>
              <w:pStyle w:val="106"/>
              <w:widowControl w:val="0"/>
              <w:snapToGrid w:val="0"/>
              <w:spacing w:line="240" w:lineRule="exact"/>
              <w:rPr>
                <w:color w:val="auto"/>
                <w:sz w:val="21"/>
                <w:szCs w:val="21"/>
                <w:lang w:val="en-US" w:eastAsia="zh-CN"/>
              </w:rPr>
            </w:pPr>
            <w:r>
              <w:rPr>
                <w:color w:val="auto"/>
                <w:sz w:val="21"/>
                <w:szCs w:val="21"/>
                <w:lang w:val="en-US" w:eastAsia="zh-CN"/>
              </w:rPr>
              <w:t>废气：汽车运输尾气排放主要污染物有CH、NO</w:t>
            </w:r>
            <w:r>
              <w:rPr>
                <w:color w:val="auto"/>
                <w:sz w:val="21"/>
                <w:szCs w:val="21"/>
                <w:vertAlign w:val="subscript"/>
                <w:lang w:val="en-US" w:eastAsia="zh-CN"/>
              </w:rPr>
              <w:t>2</w:t>
            </w:r>
            <w:r>
              <w:rPr>
                <w:color w:val="auto"/>
                <w:sz w:val="21"/>
                <w:szCs w:val="21"/>
                <w:lang w:val="en-US" w:eastAsia="zh-CN"/>
              </w:rPr>
              <w:t>等；地面扬尘主要污染物有粉尘；电弧焊烟气；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97" w:type="dxa"/>
            <w:vMerge w:val="continue"/>
            <w:vAlign w:val="center"/>
          </w:tcPr>
          <w:p>
            <w:pPr>
              <w:pStyle w:val="106"/>
              <w:widowControl w:val="0"/>
              <w:snapToGrid w:val="0"/>
              <w:spacing w:line="240" w:lineRule="exact"/>
              <w:rPr>
                <w:color w:val="auto"/>
                <w:sz w:val="21"/>
                <w:szCs w:val="21"/>
                <w:lang w:val="en-US" w:eastAsia="zh-CN"/>
              </w:rPr>
            </w:pPr>
          </w:p>
        </w:tc>
        <w:tc>
          <w:tcPr>
            <w:tcW w:w="7890" w:type="dxa"/>
            <w:vAlign w:val="center"/>
          </w:tcPr>
          <w:p>
            <w:pPr>
              <w:pStyle w:val="106"/>
              <w:widowControl w:val="0"/>
              <w:snapToGrid w:val="0"/>
              <w:spacing w:line="240" w:lineRule="exact"/>
              <w:rPr>
                <w:color w:val="auto"/>
                <w:sz w:val="21"/>
                <w:szCs w:val="21"/>
                <w:lang w:val="en-US" w:eastAsia="zh-CN"/>
              </w:rPr>
            </w:pPr>
            <w:r>
              <w:rPr>
                <w:color w:val="auto"/>
                <w:sz w:val="21"/>
                <w:szCs w:val="21"/>
                <w:lang w:val="en-US" w:eastAsia="zh-CN"/>
              </w:rPr>
              <w:t>噪声：汽车、吊、推等机械噪声、空压机噪声；混炼机械噪声；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97" w:type="dxa"/>
            <w:vMerge w:val="continue"/>
            <w:vAlign w:val="center"/>
          </w:tcPr>
          <w:p>
            <w:pPr>
              <w:pStyle w:val="106"/>
              <w:widowControl w:val="0"/>
              <w:snapToGrid w:val="0"/>
              <w:spacing w:line="240" w:lineRule="exact"/>
              <w:rPr>
                <w:color w:val="auto"/>
                <w:sz w:val="21"/>
                <w:szCs w:val="21"/>
                <w:lang w:val="en-US" w:eastAsia="zh-CN"/>
              </w:rPr>
            </w:pPr>
          </w:p>
        </w:tc>
        <w:tc>
          <w:tcPr>
            <w:tcW w:w="7890" w:type="dxa"/>
            <w:vAlign w:val="center"/>
          </w:tcPr>
          <w:p>
            <w:pPr>
              <w:pStyle w:val="106"/>
              <w:widowControl w:val="0"/>
              <w:snapToGrid w:val="0"/>
              <w:spacing w:line="240" w:lineRule="exact"/>
              <w:rPr>
                <w:color w:val="auto"/>
                <w:sz w:val="21"/>
                <w:szCs w:val="21"/>
                <w:lang w:val="en-US" w:eastAsia="zh-CN"/>
              </w:rPr>
            </w:pPr>
            <w:r>
              <w:rPr>
                <w:color w:val="auto"/>
                <w:sz w:val="21"/>
                <w:szCs w:val="21"/>
                <w:lang w:val="en-US" w:eastAsia="zh-CN"/>
              </w:rPr>
              <w:t>废水：砂石料加工冲洗废水、施工人员生活污水；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97" w:type="dxa"/>
            <w:vMerge w:val="continue"/>
            <w:vAlign w:val="center"/>
          </w:tcPr>
          <w:p>
            <w:pPr>
              <w:pStyle w:val="106"/>
              <w:widowControl w:val="0"/>
              <w:snapToGrid w:val="0"/>
              <w:spacing w:line="240" w:lineRule="exact"/>
              <w:rPr>
                <w:color w:val="auto"/>
                <w:sz w:val="21"/>
                <w:szCs w:val="21"/>
                <w:lang w:val="en-US" w:eastAsia="zh-CN"/>
              </w:rPr>
            </w:pPr>
          </w:p>
        </w:tc>
        <w:tc>
          <w:tcPr>
            <w:tcW w:w="7890" w:type="dxa"/>
            <w:vAlign w:val="center"/>
          </w:tcPr>
          <w:p>
            <w:pPr>
              <w:pStyle w:val="106"/>
              <w:widowControl w:val="0"/>
              <w:snapToGrid w:val="0"/>
              <w:spacing w:line="240" w:lineRule="exact"/>
              <w:rPr>
                <w:color w:val="auto"/>
                <w:sz w:val="21"/>
                <w:szCs w:val="21"/>
                <w:lang w:val="en-US" w:eastAsia="zh-CN"/>
              </w:rPr>
            </w:pPr>
            <w:r>
              <w:rPr>
                <w:color w:val="auto"/>
                <w:sz w:val="21"/>
                <w:szCs w:val="21"/>
                <w:lang w:val="en-US" w:eastAsia="zh-CN"/>
              </w:rPr>
              <w:t>废渣：各种施工废砖、石料等弃渣。</w:t>
            </w:r>
          </w:p>
        </w:tc>
      </w:tr>
    </w:tbl>
    <w:p>
      <w:pPr>
        <w:pStyle w:val="4"/>
        <w:numPr>
          <w:ilvl w:val="0"/>
          <w:numId w:val="0"/>
        </w:numPr>
        <w:tabs>
          <w:tab w:val="clear" w:pos="680"/>
        </w:tabs>
        <w:ind w:left="720" w:right="240" w:hanging="720"/>
        <w:rPr>
          <w:b/>
          <w:color w:val="auto"/>
          <w:szCs w:val="24"/>
        </w:rPr>
      </w:pPr>
      <w:bookmarkStart w:id="596" w:name="_Toc14946903"/>
      <w:bookmarkStart w:id="597" w:name="_Toc1389"/>
      <w:bookmarkStart w:id="598" w:name="_Toc24136815"/>
      <w:bookmarkStart w:id="599" w:name="_Toc15912195"/>
      <w:bookmarkStart w:id="600" w:name="_Toc380053288"/>
      <w:bookmarkStart w:id="601" w:name="_Toc34234734"/>
      <w:r>
        <w:rPr>
          <w:rFonts w:hint="eastAsia"/>
          <w:b/>
          <w:color w:val="auto"/>
          <w:szCs w:val="24"/>
        </w:rPr>
        <w:t>5</w:t>
      </w:r>
      <w:r>
        <w:rPr>
          <w:b/>
          <w:color w:val="auto"/>
          <w:szCs w:val="24"/>
        </w:rPr>
        <w:t>.1.3施工期环境影响分析</w:t>
      </w:r>
      <w:bookmarkEnd w:id="596"/>
      <w:bookmarkEnd w:id="597"/>
      <w:bookmarkEnd w:id="598"/>
      <w:bookmarkEnd w:id="599"/>
      <w:bookmarkEnd w:id="600"/>
      <w:bookmarkEnd w:id="601"/>
    </w:p>
    <w:p>
      <w:pPr>
        <w:pStyle w:val="7"/>
        <w:keepLines w:val="0"/>
        <w:numPr>
          <w:ilvl w:val="4"/>
          <w:numId w:val="0"/>
        </w:numPr>
        <w:tabs>
          <w:tab w:val="left" w:pos="720"/>
          <w:tab w:val="clear" w:pos="2100"/>
        </w:tabs>
        <w:spacing w:before="0" w:after="0" w:line="360" w:lineRule="auto"/>
        <w:ind w:left="306" w:hanging="306"/>
        <w:rPr>
          <w:b w:val="0"/>
          <w:color w:val="auto"/>
          <w:sz w:val="24"/>
          <w:szCs w:val="24"/>
        </w:rPr>
      </w:pPr>
      <w:r>
        <w:rPr>
          <w:b w:val="0"/>
          <w:color w:val="auto"/>
          <w:sz w:val="24"/>
          <w:szCs w:val="24"/>
        </w:rPr>
        <w:t>5.1.3.1</w:t>
      </w:r>
      <w:r>
        <w:rPr>
          <w:rFonts w:hint="eastAsia"/>
          <w:b w:val="0"/>
          <w:color w:val="auto"/>
          <w:sz w:val="24"/>
          <w:szCs w:val="24"/>
        </w:rPr>
        <w:t>施工期</w:t>
      </w:r>
      <w:r>
        <w:rPr>
          <w:b w:val="0"/>
          <w:color w:val="auto"/>
          <w:sz w:val="24"/>
          <w:szCs w:val="24"/>
        </w:rPr>
        <w:t>大气环境影响分析</w:t>
      </w:r>
    </w:p>
    <w:p>
      <w:pPr>
        <w:pStyle w:val="108"/>
        <w:spacing w:after="0"/>
        <w:rPr>
          <w:rFonts w:eastAsia="宋体"/>
          <w:color w:val="auto"/>
          <w:szCs w:val="24"/>
        </w:rPr>
      </w:pPr>
      <w:r>
        <w:rPr>
          <w:rFonts w:eastAsia="宋体"/>
          <w:color w:val="auto"/>
          <w:szCs w:val="24"/>
        </w:rPr>
        <w:t>在本项目施工过程中，影响大气环境的废气排放源主要为基础开挖、场地平整、材料装卸以及材料设备运输产生扬尘、汽车尾气和挖掘机、推土机外排废气等。以上污染源中主要污染因子为粉尘。</w:t>
      </w:r>
    </w:p>
    <w:p>
      <w:pPr>
        <w:pStyle w:val="108"/>
        <w:spacing w:after="0"/>
        <w:rPr>
          <w:rFonts w:eastAsia="宋体"/>
          <w:color w:val="auto"/>
          <w:szCs w:val="24"/>
        </w:rPr>
      </w:pPr>
      <w:r>
        <w:rPr>
          <w:rFonts w:eastAsia="宋体"/>
          <w:color w:val="auto"/>
          <w:szCs w:val="24"/>
        </w:rPr>
        <w:t>本项目建设过程中，粉尘污染主要来源于：</w:t>
      </w:r>
    </w:p>
    <w:p>
      <w:pPr>
        <w:tabs>
          <w:tab w:val="left" w:pos="405"/>
        </w:tabs>
        <w:spacing w:line="360" w:lineRule="auto"/>
        <w:rPr>
          <w:color w:val="auto"/>
        </w:rPr>
      </w:pPr>
      <w:r>
        <w:rPr>
          <w:color w:val="auto"/>
        </w:rPr>
        <w:tab/>
      </w:r>
      <w:r>
        <w:rPr>
          <w:color w:val="auto"/>
        </w:rPr>
        <w:t>（1）厂区地基、进场道路、输水管线挖掘土方的运输、装卸和堆放、填土和场地平整等过程产生的粉尘；</w:t>
      </w:r>
    </w:p>
    <w:p>
      <w:pPr>
        <w:pStyle w:val="108"/>
        <w:spacing w:after="0"/>
        <w:rPr>
          <w:rFonts w:eastAsia="宋体"/>
          <w:color w:val="auto"/>
          <w:szCs w:val="24"/>
        </w:rPr>
      </w:pPr>
      <w:r>
        <w:rPr>
          <w:rFonts w:eastAsia="宋体"/>
          <w:color w:val="auto"/>
          <w:szCs w:val="24"/>
        </w:rPr>
        <w:t>（2）建筑材料如水泥、白灰、砂子等在其装卸、运输、堆放等过程中，因风力作用而产生的扬尘污染；</w:t>
      </w:r>
    </w:p>
    <w:p>
      <w:pPr>
        <w:pStyle w:val="108"/>
        <w:spacing w:after="0"/>
        <w:rPr>
          <w:rFonts w:eastAsia="宋体"/>
          <w:color w:val="auto"/>
          <w:szCs w:val="24"/>
        </w:rPr>
      </w:pPr>
      <w:r>
        <w:rPr>
          <w:rFonts w:eastAsia="宋体"/>
          <w:color w:val="auto"/>
          <w:szCs w:val="24"/>
        </w:rPr>
        <w:t>（3）运输车辆往来将造成地面扬尘；</w:t>
      </w:r>
    </w:p>
    <w:p>
      <w:pPr>
        <w:pStyle w:val="108"/>
        <w:spacing w:after="0"/>
        <w:rPr>
          <w:rFonts w:eastAsia="宋体"/>
          <w:color w:val="auto"/>
          <w:szCs w:val="24"/>
        </w:rPr>
      </w:pPr>
      <w:r>
        <w:rPr>
          <w:rFonts w:eastAsia="宋体"/>
          <w:color w:val="auto"/>
          <w:szCs w:val="24"/>
        </w:rPr>
        <w:t>（4）施工垃圾在其堆放和清运过程中将产生扬尘。</w:t>
      </w:r>
    </w:p>
    <w:p>
      <w:pPr>
        <w:pStyle w:val="108"/>
        <w:spacing w:after="0"/>
        <w:rPr>
          <w:rFonts w:eastAsia="宋体"/>
          <w:color w:val="auto"/>
          <w:szCs w:val="24"/>
        </w:rPr>
      </w:pPr>
      <w:r>
        <w:rPr>
          <w:rFonts w:eastAsia="宋体"/>
          <w:color w:val="auto"/>
          <w:szCs w:val="24"/>
        </w:rPr>
        <w:t>施工期间产生的粉尘（扬尘）污染主要取决于施工作业方式、材料的堆放及风力等因素，其中受风力因素的影响最大。根据相关资料，在一般气象条件下，平均风速为2.5m/s时，建筑工地内TSP浓度为其上风向对照点的2～2.5倍，建筑施工扬尘的影响范围在其下风向可达150m，影响范围内TSP浓度平均值可达0.49mg/m</w:t>
      </w:r>
      <w:r>
        <w:rPr>
          <w:rFonts w:eastAsia="宋体"/>
          <w:color w:val="auto"/>
          <w:szCs w:val="24"/>
          <w:vertAlign w:val="superscript"/>
        </w:rPr>
        <w:t>3</w:t>
      </w:r>
      <w:r>
        <w:rPr>
          <w:rFonts w:eastAsia="宋体"/>
          <w:color w:val="auto"/>
          <w:szCs w:val="24"/>
        </w:rPr>
        <w:t>。当有围栏时，在同等条件下，其影响距离可缩短40%</w:t>
      </w:r>
      <w:r>
        <w:rPr>
          <w:rFonts w:hint="eastAsia" w:eastAsia="宋体"/>
          <w:color w:val="auto"/>
          <w:szCs w:val="24"/>
        </w:rPr>
        <w:t>（</w:t>
      </w:r>
      <w:r>
        <w:rPr>
          <w:rFonts w:eastAsia="宋体"/>
          <w:color w:val="auto"/>
          <w:szCs w:val="24"/>
        </w:rPr>
        <w:t>即缩短60m</w:t>
      </w:r>
      <w:r>
        <w:rPr>
          <w:rFonts w:hint="eastAsia" w:eastAsia="宋体"/>
          <w:color w:val="auto"/>
          <w:szCs w:val="24"/>
        </w:rPr>
        <w:t>）</w:t>
      </w:r>
      <w:r>
        <w:rPr>
          <w:rFonts w:eastAsia="宋体"/>
          <w:color w:val="auto"/>
          <w:szCs w:val="24"/>
        </w:rPr>
        <w:t>。当风速大于5m/s时，施工现场及其下风向部分区域TSP浓度将超过空气质量标准中的二级标准，而且随着风速的增大，施工扬尘产生的污染程度和超标范围也将随之加重和扩大。</w:t>
      </w:r>
      <w:r>
        <w:rPr>
          <w:rFonts w:hint="eastAsia" w:eastAsia="宋体"/>
          <w:color w:val="auto"/>
          <w:szCs w:val="24"/>
        </w:rPr>
        <w:t>在采取适当防护措施后，施工扬尘的影响一般在场界外</w:t>
      </w:r>
      <w:r>
        <w:rPr>
          <w:rFonts w:eastAsia="宋体"/>
          <w:color w:val="auto"/>
          <w:szCs w:val="24"/>
        </w:rPr>
        <w:t>50</w:t>
      </w:r>
      <w:r>
        <w:rPr>
          <w:rFonts w:hint="eastAsia" w:eastAsia="宋体"/>
          <w:color w:val="auto"/>
          <w:szCs w:val="24"/>
        </w:rPr>
        <w:t>～</w:t>
      </w:r>
      <w:r>
        <w:rPr>
          <w:rFonts w:eastAsia="宋体"/>
          <w:color w:val="auto"/>
          <w:szCs w:val="24"/>
        </w:rPr>
        <w:t>200m</w:t>
      </w:r>
      <w:r>
        <w:rPr>
          <w:rFonts w:hint="eastAsia" w:eastAsia="宋体"/>
          <w:color w:val="auto"/>
          <w:szCs w:val="24"/>
        </w:rPr>
        <w:t>范围内，但是一般并不会改变大气环境质量的级别。在洒水和避免大风日情况下施工，下风向</w:t>
      </w:r>
      <w:r>
        <w:rPr>
          <w:rFonts w:eastAsia="宋体"/>
          <w:color w:val="auto"/>
          <w:szCs w:val="24"/>
        </w:rPr>
        <w:t>50m</w:t>
      </w:r>
      <w:r>
        <w:rPr>
          <w:rFonts w:hint="eastAsia" w:eastAsia="宋体"/>
          <w:color w:val="auto"/>
          <w:szCs w:val="24"/>
        </w:rPr>
        <w:t>处的</w:t>
      </w:r>
      <w:r>
        <w:rPr>
          <w:rFonts w:eastAsia="宋体"/>
          <w:color w:val="auto"/>
          <w:szCs w:val="24"/>
        </w:rPr>
        <w:t>TSP</w:t>
      </w:r>
      <w:r>
        <w:rPr>
          <w:rFonts w:hint="eastAsia" w:eastAsia="宋体"/>
          <w:color w:val="auto"/>
          <w:szCs w:val="24"/>
        </w:rPr>
        <w:t>浓度一般会小于</w:t>
      </w:r>
      <w:r>
        <w:rPr>
          <w:rFonts w:eastAsia="宋体"/>
          <w:color w:val="auto"/>
          <w:szCs w:val="24"/>
        </w:rPr>
        <w:t>0.3mg/m</w:t>
      </w:r>
      <w:r>
        <w:rPr>
          <w:rFonts w:eastAsia="宋体"/>
          <w:color w:val="auto"/>
          <w:szCs w:val="24"/>
          <w:vertAlign w:val="superscript"/>
        </w:rPr>
        <w:t>3</w:t>
      </w:r>
      <w:r>
        <w:rPr>
          <w:rFonts w:hint="eastAsia" w:eastAsia="宋体"/>
          <w:color w:val="auto"/>
          <w:szCs w:val="24"/>
        </w:rPr>
        <w:t>。本工程施工期间内，应根据气象状况，调整施工计划与安排，特别是在冬春干旱大风天气要停止开挖、装卸等对土壤扰动严重的施工活动。一般情况下，施工场地撒落的渣土较多，如不及时清扫或洒水，重型车辆以较快的行驶速度（比如超过</w:t>
      </w:r>
      <w:r>
        <w:rPr>
          <w:rFonts w:eastAsia="宋体"/>
          <w:color w:val="auto"/>
          <w:szCs w:val="24"/>
        </w:rPr>
        <w:t>40km/h</w:t>
      </w:r>
      <w:r>
        <w:rPr>
          <w:rFonts w:hint="eastAsia" w:eastAsia="宋体"/>
          <w:color w:val="auto"/>
          <w:szCs w:val="24"/>
        </w:rPr>
        <w:t>）通过时会引起较严重的扬尘，一般影响范围在</w:t>
      </w:r>
      <w:r>
        <w:rPr>
          <w:rFonts w:eastAsia="宋体"/>
          <w:color w:val="auto"/>
          <w:szCs w:val="24"/>
        </w:rPr>
        <w:t>50m</w:t>
      </w:r>
      <w:r>
        <w:rPr>
          <w:rFonts w:hint="eastAsia" w:eastAsia="宋体"/>
          <w:color w:val="auto"/>
          <w:szCs w:val="24"/>
        </w:rPr>
        <w:t>内，有风时，影响距离可达数百米。运输车辆扬尘的产生量及扬尘污染程度与车辆的行驶速度、路面积尘多少、天气干燥度等因素关系密切。因拟建项目施工期历时将近</w:t>
      </w:r>
      <w:r>
        <w:rPr>
          <w:rFonts w:eastAsia="宋体"/>
          <w:color w:val="auto"/>
          <w:szCs w:val="24"/>
        </w:rPr>
        <w:t>2</w:t>
      </w:r>
      <w:r>
        <w:rPr>
          <w:rFonts w:hint="eastAsia" w:eastAsia="宋体"/>
          <w:color w:val="auto"/>
          <w:szCs w:val="24"/>
        </w:rPr>
        <w:t>年，伴随着土方的挖掘、装卸和运输等施工活动，其扬尘将对附近的大气环境带来不利影响，因此</w:t>
      </w:r>
      <w:r>
        <w:rPr>
          <w:rFonts w:eastAsia="宋体"/>
          <w:color w:val="auto"/>
          <w:szCs w:val="24"/>
        </w:rPr>
        <w:t>必须采取合理可行的控制措施，尽量减轻施工扬尘污染程度，缩小其影响范围。其主要对策有：</w:t>
      </w:r>
    </w:p>
    <w:p>
      <w:pPr>
        <w:pStyle w:val="108"/>
        <w:spacing w:after="0"/>
        <w:rPr>
          <w:rFonts w:eastAsia="宋体"/>
          <w:color w:val="auto"/>
          <w:szCs w:val="24"/>
        </w:rPr>
      </w:pPr>
      <w:r>
        <w:rPr>
          <w:rFonts w:eastAsia="宋体"/>
          <w:color w:val="auto"/>
          <w:szCs w:val="24"/>
        </w:rPr>
        <w:t>（1）土方开挖时，对作业面和土堆适当喷水，使其保持一定湿度，以减少扬尘量。开挖的泥土和建筑垃圾要及时清运处置，以免长期堆放表面干燥而起尘；</w:t>
      </w:r>
    </w:p>
    <w:p>
      <w:pPr>
        <w:pStyle w:val="108"/>
        <w:spacing w:after="0"/>
        <w:rPr>
          <w:rFonts w:eastAsia="宋体"/>
          <w:color w:val="auto"/>
          <w:szCs w:val="24"/>
        </w:rPr>
      </w:pPr>
      <w:r>
        <w:rPr>
          <w:rFonts w:eastAsia="宋体"/>
          <w:color w:val="auto"/>
          <w:szCs w:val="24"/>
        </w:rPr>
        <w:t>（2）谨防运输车辆装载过满，并采取遮盖、密闭措施，减少沿途抛洒，并及时清扫散落在路面上的泥土和建筑材料，冲洗轮胎，定时洒水压尘，以减少运输过程中的扬尘；</w:t>
      </w:r>
    </w:p>
    <w:p>
      <w:pPr>
        <w:pStyle w:val="108"/>
        <w:spacing w:after="0"/>
        <w:rPr>
          <w:rFonts w:eastAsia="宋体"/>
          <w:color w:val="auto"/>
          <w:szCs w:val="24"/>
        </w:rPr>
      </w:pPr>
      <w:r>
        <w:rPr>
          <w:rFonts w:eastAsia="宋体"/>
          <w:color w:val="auto"/>
          <w:szCs w:val="24"/>
        </w:rPr>
        <w:t>（3）施工现场要进行围栏或部分围栏，控制施工扬尘扩散范围；</w:t>
      </w:r>
    </w:p>
    <w:p>
      <w:pPr>
        <w:pStyle w:val="108"/>
        <w:spacing w:after="0"/>
        <w:rPr>
          <w:rFonts w:eastAsia="宋体"/>
          <w:color w:val="auto"/>
          <w:szCs w:val="24"/>
        </w:rPr>
      </w:pPr>
      <w:r>
        <w:rPr>
          <w:rFonts w:eastAsia="宋体"/>
          <w:color w:val="auto"/>
          <w:szCs w:val="24"/>
        </w:rPr>
        <w:t>（4）当风速过大时，应停止施工作业，并对堆存的砂粉等建筑材料采取遮盖措施。</w:t>
      </w:r>
    </w:p>
    <w:p>
      <w:pPr>
        <w:pStyle w:val="7"/>
        <w:keepLines w:val="0"/>
        <w:numPr>
          <w:ilvl w:val="4"/>
          <w:numId w:val="0"/>
        </w:numPr>
        <w:tabs>
          <w:tab w:val="left" w:pos="720"/>
          <w:tab w:val="clear" w:pos="2100"/>
        </w:tabs>
        <w:spacing w:before="0" w:after="0" w:line="360" w:lineRule="auto"/>
        <w:ind w:left="306" w:hanging="306"/>
        <w:rPr>
          <w:b w:val="0"/>
          <w:color w:val="auto"/>
          <w:sz w:val="24"/>
          <w:szCs w:val="24"/>
        </w:rPr>
      </w:pPr>
      <w:r>
        <w:rPr>
          <w:b w:val="0"/>
          <w:color w:val="auto"/>
          <w:sz w:val="24"/>
          <w:szCs w:val="24"/>
        </w:rPr>
        <w:t>5.1.3.2施工期水环境影响分析</w:t>
      </w:r>
    </w:p>
    <w:p>
      <w:pPr>
        <w:pStyle w:val="108"/>
        <w:spacing w:after="0"/>
        <w:rPr>
          <w:rFonts w:eastAsia="宋体"/>
          <w:color w:val="auto"/>
          <w:szCs w:val="24"/>
        </w:rPr>
      </w:pPr>
      <w:r>
        <w:rPr>
          <w:rFonts w:eastAsia="宋体"/>
          <w:color w:val="auto"/>
          <w:szCs w:val="24"/>
        </w:rPr>
        <w:t>施工期废水主要有施工废水和生活污水。</w:t>
      </w:r>
    </w:p>
    <w:p>
      <w:pPr>
        <w:pStyle w:val="108"/>
        <w:spacing w:after="0"/>
        <w:rPr>
          <w:rFonts w:eastAsia="宋体"/>
          <w:color w:val="auto"/>
          <w:szCs w:val="24"/>
        </w:rPr>
      </w:pPr>
      <w:r>
        <w:rPr>
          <w:rFonts w:eastAsia="宋体"/>
          <w:color w:val="auto"/>
          <w:szCs w:val="24"/>
        </w:rPr>
        <w:t>（1）施工废水</w:t>
      </w:r>
    </w:p>
    <w:p>
      <w:pPr>
        <w:pStyle w:val="108"/>
        <w:spacing w:after="0"/>
        <w:rPr>
          <w:rFonts w:eastAsia="宋体"/>
          <w:color w:val="auto"/>
          <w:szCs w:val="24"/>
        </w:rPr>
      </w:pPr>
      <w:r>
        <w:rPr>
          <w:rFonts w:eastAsia="宋体"/>
          <w:color w:val="auto"/>
          <w:szCs w:val="24"/>
        </w:rPr>
        <w:t>施工废水主要为泥浆废水，这部分废水主要含有泥沙。由于本项目属于工厂建设项目，包括一部分进厂道路、输水管线施工，废水量相对较少。废水中SS浓度含量较高，采用修筑沉淀池的处理方法，施工废水经沉淀后全部用于场地绿化和降尘。</w:t>
      </w:r>
    </w:p>
    <w:p>
      <w:pPr>
        <w:pStyle w:val="108"/>
        <w:spacing w:after="0"/>
        <w:rPr>
          <w:rFonts w:eastAsia="宋体"/>
          <w:color w:val="auto"/>
          <w:szCs w:val="24"/>
        </w:rPr>
      </w:pPr>
      <w:r>
        <w:rPr>
          <w:rFonts w:eastAsia="宋体"/>
          <w:color w:val="auto"/>
          <w:szCs w:val="24"/>
        </w:rPr>
        <w:t>（2）生活污水</w:t>
      </w:r>
    </w:p>
    <w:p>
      <w:pPr>
        <w:pStyle w:val="108"/>
        <w:spacing w:after="0"/>
        <w:rPr>
          <w:rFonts w:eastAsia="宋体"/>
          <w:color w:val="auto"/>
          <w:szCs w:val="24"/>
        </w:rPr>
      </w:pPr>
      <w:r>
        <w:rPr>
          <w:rFonts w:eastAsia="宋体"/>
          <w:color w:val="auto"/>
          <w:szCs w:val="24"/>
        </w:rPr>
        <w:t>施工的生活污水，包括食堂排水、洗涤排水和冲厕排水。生活污水含有大量细菌和病原体。</w:t>
      </w:r>
      <w:r>
        <w:rPr>
          <w:rFonts w:hint="eastAsia" w:ascii="宋体" w:cs="宋体"/>
          <w:color w:val="auto"/>
        </w:rPr>
        <w:t>施工期的生活污水经化粪池处理后委托</w:t>
      </w:r>
      <w:r>
        <w:rPr>
          <w:rFonts w:hint="eastAsia" w:ascii="宋体" w:cs="宋体" w:eastAsiaTheme="minorEastAsia"/>
          <w:color w:val="auto"/>
        </w:rPr>
        <w:t>环卫部门进行清掏</w:t>
      </w:r>
      <w:r>
        <w:rPr>
          <w:rFonts w:eastAsia="宋体"/>
          <w:color w:val="auto"/>
          <w:szCs w:val="24"/>
        </w:rPr>
        <w:t>。</w:t>
      </w:r>
    </w:p>
    <w:p>
      <w:pPr>
        <w:pStyle w:val="108"/>
        <w:spacing w:after="0"/>
        <w:rPr>
          <w:rFonts w:eastAsia="宋体"/>
          <w:color w:val="auto"/>
          <w:szCs w:val="24"/>
        </w:rPr>
      </w:pPr>
      <w:r>
        <w:rPr>
          <w:rFonts w:eastAsia="宋体"/>
          <w:color w:val="auto"/>
          <w:szCs w:val="24"/>
        </w:rPr>
        <w:t>上述废水水量不大，但如果不经处理或处理不当，同样会污染环境。所以，对施工场地所产生的污水应加强管理、控制，不能随意直排。施工期间，在排污工程不健全的情况下。为了对施工期污水进行处理，施工现场必须建造集水池、沉砂池等水处理构筑物，对施工期污水进行分类收集，按其不同性质作相应处理后排放。合理安排施工计划、施工程序，减少在雨季进行场地的开挖。</w:t>
      </w:r>
    </w:p>
    <w:p>
      <w:pPr>
        <w:pStyle w:val="7"/>
        <w:keepLines w:val="0"/>
        <w:numPr>
          <w:ilvl w:val="4"/>
          <w:numId w:val="0"/>
        </w:numPr>
        <w:tabs>
          <w:tab w:val="left" w:pos="720"/>
          <w:tab w:val="clear" w:pos="2100"/>
        </w:tabs>
        <w:spacing w:before="0" w:after="0" w:line="360" w:lineRule="auto"/>
        <w:ind w:left="306" w:hanging="306"/>
        <w:rPr>
          <w:b w:val="0"/>
          <w:color w:val="auto"/>
          <w:sz w:val="24"/>
          <w:szCs w:val="24"/>
        </w:rPr>
      </w:pPr>
      <w:r>
        <w:rPr>
          <w:b w:val="0"/>
          <w:color w:val="auto"/>
          <w:sz w:val="24"/>
          <w:szCs w:val="24"/>
        </w:rPr>
        <w:t>5.1.3.3施工期声环境影响分析</w:t>
      </w:r>
    </w:p>
    <w:p>
      <w:pPr>
        <w:pStyle w:val="108"/>
        <w:spacing w:after="0"/>
        <w:rPr>
          <w:rFonts w:eastAsia="宋体"/>
          <w:color w:val="auto"/>
          <w:szCs w:val="24"/>
        </w:rPr>
      </w:pPr>
      <w:r>
        <w:rPr>
          <w:rFonts w:eastAsia="宋体"/>
          <w:color w:val="auto"/>
          <w:szCs w:val="24"/>
        </w:rPr>
        <w:t>施工期间对周围声环境的影响主要来自于各种施工机械作业及运输工具所产生的噪声。建筑施工通常分为4个阶段，即土方阶段、基础阶段、结构阶段和装修阶段等。每一阶段所采用的施工机械不同，对外界环境造成的噪声污染水平也不同。</w:t>
      </w:r>
    </w:p>
    <w:p>
      <w:pPr>
        <w:pStyle w:val="108"/>
        <w:spacing w:after="0"/>
        <w:rPr>
          <w:rFonts w:eastAsia="宋体"/>
          <w:color w:val="auto"/>
          <w:szCs w:val="24"/>
        </w:rPr>
      </w:pPr>
      <w:r>
        <w:rPr>
          <w:rFonts w:eastAsia="宋体"/>
          <w:color w:val="auto"/>
          <w:szCs w:val="24"/>
        </w:rPr>
        <w:t>（1）噪声特性及水平</w:t>
      </w:r>
    </w:p>
    <w:p>
      <w:pPr>
        <w:pStyle w:val="108"/>
        <w:spacing w:after="0"/>
        <w:rPr>
          <w:rFonts w:eastAsia="宋体"/>
          <w:color w:val="auto"/>
          <w:szCs w:val="24"/>
        </w:rPr>
      </w:pPr>
      <w:r>
        <w:rPr>
          <w:rFonts w:hint="eastAsia" w:ascii="宋体" w:hAnsi="宋体" w:eastAsia="宋体" w:cs="宋体"/>
          <w:color w:val="auto"/>
          <w:szCs w:val="24"/>
        </w:rPr>
        <w:t>①</w:t>
      </w:r>
      <w:r>
        <w:rPr>
          <w:rFonts w:eastAsia="宋体"/>
          <w:color w:val="auto"/>
          <w:szCs w:val="24"/>
        </w:rPr>
        <w:t>土方阶段</w:t>
      </w:r>
    </w:p>
    <w:p>
      <w:pPr>
        <w:pStyle w:val="108"/>
        <w:spacing w:after="0"/>
        <w:rPr>
          <w:rFonts w:eastAsia="宋体"/>
          <w:color w:val="auto"/>
          <w:szCs w:val="24"/>
        </w:rPr>
      </w:pPr>
      <w:r>
        <w:rPr>
          <w:rFonts w:eastAsia="宋体"/>
          <w:color w:val="auto"/>
          <w:szCs w:val="24"/>
        </w:rPr>
        <w:t>本项目土方阶段的主要噪声源是挖掘机、推土机、装载机和各种运输车辆，这类施工机械绝大部分是移动性声源。有些声源如各种运输车辆移动范围较大，有些声源如推土机、挖掘机等，虽是移动性声源，但位移范围较小。表5.1-2中给出了一些典型的土方施工阶段的噪声特性。</w:t>
      </w:r>
    </w:p>
    <w:p>
      <w:pPr>
        <w:pStyle w:val="67"/>
        <w:rPr>
          <w:rFonts w:ascii="Times New Roman" w:hAnsi="Times New Roman" w:cs="Times New Roman"/>
          <w:color w:val="auto"/>
        </w:rPr>
      </w:pPr>
      <w:r>
        <w:rPr>
          <w:rFonts w:ascii="Times New Roman" w:hAnsi="Times New Roman" w:cs="Times New Roman"/>
          <w:color w:val="auto"/>
        </w:rPr>
        <w:t>表</w:t>
      </w:r>
      <w:r>
        <w:rPr>
          <w:rFonts w:hint="eastAsia" w:ascii="Times New Roman" w:hAnsi="Times New Roman" w:cs="Times New Roman"/>
          <w:color w:val="auto"/>
        </w:rPr>
        <w:t>5.1</w:t>
      </w:r>
      <w:r>
        <w:rPr>
          <w:rFonts w:ascii="Times New Roman" w:hAnsi="Times New Roman" w:cs="Times New Roman"/>
          <w:color w:val="auto"/>
        </w:rPr>
        <w:noBreakHyphen/>
      </w:r>
      <w:r>
        <w:rPr>
          <w:rFonts w:ascii="Times New Roman" w:hAnsi="Times New Roman" w:cs="Times New Roman"/>
          <w:color w:val="auto"/>
        </w:rPr>
        <w:fldChar w:fldCharType="begin"/>
      </w:r>
      <w:r>
        <w:rPr>
          <w:rFonts w:ascii="Times New Roman" w:hAnsi="Times New Roman" w:cs="Times New Roman"/>
          <w:color w:val="auto"/>
        </w:rPr>
        <w:instrText xml:space="preserve"> SEQ 表 \* ARABIC \s 2 </w:instrText>
      </w:r>
      <w:r>
        <w:rPr>
          <w:rFonts w:ascii="Times New Roman" w:hAnsi="Times New Roman" w:cs="Times New Roman"/>
          <w:color w:val="auto"/>
        </w:rPr>
        <w:fldChar w:fldCharType="separate"/>
      </w:r>
      <w:r>
        <w:rPr>
          <w:rFonts w:ascii="Times New Roman" w:hAnsi="Times New Roman" w:cs="Times New Roman"/>
          <w:color w:val="auto"/>
        </w:rPr>
        <w:t>2</w:t>
      </w:r>
      <w:r>
        <w:rPr>
          <w:rFonts w:ascii="Times New Roman" w:hAnsi="Times New Roman" w:cs="Times New Roman"/>
          <w:color w:val="auto"/>
        </w:rPr>
        <w:fldChar w:fldCharType="end"/>
      </w:r>
      <w:r>
        <w:rPr>
          <w:rFonts w:ascii="Times New Roman" w:hAnsi="Times New Roman" w:cs="Times New Roman"/>
          <w:color w:val="auto"/>
        </w:rPr>
        <w:t xml:space="preserve">   土方阶段的主要噪声源特性</w:t>
      </w:r>
    </w:p>
    <w:tbl>
      <w:tblPr>
        <w:tblStyle w:val="53"/>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43"/>
        <w:gridCol w:w="46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4643" w:type="dxa"/>
            <w:vAlign w:val="center"/>
          </w:tcPr>
          <w:p>
            <w:pPr>
              <w:pStyle w:val="106"/>
              <w:widowControl w:val="0"/>
              <w:rPr>
                <w:b/>
                <w:color w:val="auto"/>
                <w:sz w:val="21"/>
                <w:szCs w:val="21"/>
                <w:lang w:val="en-US" w:eastAsia="zh-CN"/>
              </w:rPr>
            </w:pPr>
            <w:r>
              <w:rPr>
                <w:b/>
                <w:color w:val="auto"/>
                <w:sz w:val="21"/>
                <w:szCs w:val="21"/>
                <w:lang w:val="en-US" w:eastAsia="zh-CN"/>
              </w:rPr>
              <w:t>设备名称</w:t>
            </w:r>
          </w:p>
        </w:tc>
        <w:tc>
          <w:tcPr>
            <w:tcW w:w="4644" w:type="dxa"/>
            <w:vAlign w:val="center"/>
          </w:tcPr>
          <w:p>
            <w:pPr>
              <w:pStyle w:val="106"/>
              <w:widowControl w:val="0"/>
              <w:rPr>
                <w:b/>
                <w:color w:val="auto"/>
                <w:sz w:val="21"/>
                <w:szCs w:val="21"/>
                <w:lang w:val="en-US" w:eastAsia="zh-CN"/>
              </w:rPr>
            </w:pPr>
            <w:r>
              <w:rPr>
                <w:b/>
                <w:color w:val="auto"/>
                <w:sz w:val="21"/>
                <w:szCs w:val="21"/>
                <w:lang w:val="en-US" w:eastAsia="zh-CN"/>
              </w:rPr>
              <w:t>A声级/距离（dB(A)/m）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4643" w:type="dxa"/>
            <w:vAlign w:val="center"/>
          </w:tcPr>
          <w:p>
            <w:pPr>
              <w:pStyle w:val="106"/>
              <w:widowControl w:val="0"/>
              <w:rPr>
                <w:color w:val="auto"/>
                <w:sz w:val="21"/>
                <w:szCs w:val="21"/>
                <w:lang w:val="en-US" w:eastAsia="zh-CN"/>
              </w:rPr>
            </w:pPr>
            <w:r>
              <w:rPr>
                <w:color w:val="auto"/>
                <w:sz w:val="21"/>
                <w:szCs w:val="21"/>
                <w:lang w:val="en-US" w:eastAsia="zh-CN"/>
              </w:rPr>
              <w:t>运输车辆</w:t>
            </w:r>
          </w:p>
        </w:tc>
        <w:tc>
          <w:tcPr>
            <w:tcW w:w="4644" w:type="dxa"/>
            <w:vAlign w:val="center"/>
          </w:tcPr>
          <w:p>
            <w:pPr>
              <w:pStyle w:val="106"/>
              <w:widowControl w:val="0"/>
              <w:rPr>
                <w:color w:val="auto"/>
                <w:sz w:val="21"/>
                <w:szCs w:val="21"/>
                <w:lang w:val="en-US" w:eastAsia="zh-CN"/>
              </w:rPr>
            </w:pPr>
            <w:r>
              <w:rPr>
                <w:color w:val="auto"/>
                <w:sz w:val="21"/>
                <w:szCs w:val="21"/>
                <w:lang w:val="en-US" w:eastAsia="zh-CN"/>
              </w:rPr>
              <w:t>83/3~89/3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4643" w:type="dxa"/>
            <w:vAlign w:val="center"/>
          </w:tcPr>
          <w:p>
            <w:pPr>
              <w:pStyle w:val="106"/>
              <w:widowControl w:val="0"/>
              <w:rPr>
                <w:color w:val="auto"/>
                <w:sz w:val="21"/>
                <w:szCs w:val="21"/>
                <w:lang w:val="en-US" w:eastAsia="zh-CN"/>
              </w:rPr>
            </w:pPr>
            <w:r>
              <w:rPr>
                <w:color w:val="auto"/>
                <w:sz w:val="21"/>
                <w:szCs w:val="21"/>
                <w:lang w:val="en-US" w:eastAsia="zh-CN"/>
              </w:rPr>
              <w:t>装载机</w:t>
            </w:r>
          </w:p>
        </w:tc>
        <w:tc>
          <w:tcPr>
            <w:tcW w:w="4644" w:type="dxa"/>
            <w:vAlign w:val="center"/>
          </w:tcPr>
          <w:p>
            <w:pPr>
              <w:pStyle w:val="106"/>
              <w:widowControl w:val="0"/>
              <w:rPr>
                <w:color w:val="auto"/>
                <w:sz w:val="21"/>
                <w:szCs w:val="21"/>
                <w:lang w:val="en-US" w:eastAsia="zh-CN"/>
              </w:rPr>
            </w:pPr>
            <w:r>
              <w:rPr>
                <w:color w:val="auto"/>
                <w:sz w:val="21"/>
                <w:szCs w:val="21"/>
                <w:lang w:val="en-US" w:eastAsia="zh-CN"/>
              </w:rPr>
              <w:t>83/5~87/5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4643" w:type="dxa"/>
            <w:vAlign w:val="center"/>
          </w:tcPr>
          <w:p>
            <w:pPr>
              <w:pStyle w:val="106"/>
              <w:widowControl w:val="0"/>
              <w:rPr>
                <w:color w:val="auto"/>
                <w:sz w:val="21"/>
                <w:szCs w:val="21"/>
                <w:lang w:val="en-US" w:eastAsia="zh-CN"/>
              </w:rPr>
            </w:pPr>
            <w:r>
              <w:rPr>
                <w:color w:val="auto"/>
                <w:sz w:val="21"/>
                <w:szCs w:val="21"/>
                <w:lang w:val="en-US" w:eastAsia="zh-CN"/>
              </w:rPr>
              <w:t>推土机</w:t>
            </w:r>
          </w:p>
        </w:tc>
        <w:tc>
          <w:tcPr>
            <w:tcW w:w="4644" w:type="dxa"/>
            <w:vAlign w:val="center"/>
          </w:tcPr>
          <w:p>
            <w:pPr>
              <w:pStyle w:val="106"/>
              <w:widowControl w:val="0"/>
              <w:rPr>
                <w:color w:val="auto"/>
                <w:sz w:val="21"/>
                <w:szCs w:val="21"/>
                <w:lang w:val="en-US" w:eastAsia="zh-CN"/>
              </w:rPr>
            </w:pPr>
            <w:r>
              <w:rPr>
                <w:color w:val="auto"/>
                <w:sz w:val="21"/>
                <w:szCs w:val="21"/>
                <w:lang w:val="en-US" w:eastAsia="zh-CN"/>
              </w:rPr>
              <w:t>85/5~94/5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4643" w:type="dxa"/>
            <w:vAlign w:val="center"/>
          </w:tcPr>
          <w:p>
            <w:pPr>
              <w:pStyle w:val="106"/>
              <w:widowControl w:val="0"/>
              <w:rPr>
                <w:color w:val="auto"/>
                <w:sz w:val="21"/>
                <w:szCs w:val="21"/>
                <w:lang w:val="en-US" w:eastAsia="zh-CN"/>
              </w:rPr>
            </w:pPr>
            <w:r>
              <w:rPr>
                <w:color w:val="auto"/>
                <w:sz w:val="21"/>
                <w:szCs w:val="21"/>
                <w:lang w:val="en-US" w:eastAsia="zh-CN"/>
              </w:rPr>
              <w:t>挖掘机</w:t>
            </w:r>
          </w:p>
        </w:tc>
        <w:tc>
          <w:tcPr>
            <w:tcW w:w="4644" w:type="dxa"/>
            <w:vAlign w:val="center"/>
          </w:tcPr>
          <w:p>
            <w:pPr>
              <w:pStyle w:val="106"/>
              <w:widowControl w:val="0"/>
              <w:rPr>
                <w:color w:val="auto"/>
                <w:sz w:val="21"/>
                <w:szCs w:val="21"/>
                <w:lang w:val="en-US" w:eastAsia="zh-CN"/>
              </w:rPr>
            </w:pPr>
            <w:r>
              <w:rPr>
                <w:color w:val="auto"/>
                <w:sz w:val="21"/>
                <w:szCs w:val="21"/>
                <w:lang w:val="en-US" w:eastAsia="zh-CN"/>
              </w:rPr>
              <w:t>75/5~86/5</w:t>
            </w:r>
          </w:p>
        </w:tc>
      </w:tr>
    </w:tbl>
    <w:p>
      <w:pPr>
        <w:pStyle w:val="108"/>
        <w:rPr>
          <w:rFonts w:eastAsia="宋体"/>
          <w:color w:val="auto"/>
        </w:rPr>
      </w:pPr>
      <w:r>
        <w:rPr>
          <w:rFonts w:eastAsia="宋体"/>
          <w:color w:val="auto"/>
        </w:rPr>
        <w:t>从表5.1-2可知：建筑施工的土方阶段，其主要声源是由推土机、挖掘机、装载机、运输车辆等构成，噪声源强范围75-94dB(A)</w:t>
      </w:r>
      <w:r>
        <w:rPr>
          <w:rFonts w:hint="eastAsia" w:eastAsia="宋体"/>
          <w:color w:val="auto"/>
        </w:rPr>
        <w:t>，</w:t>
      </w:r>
      <w:r>
        <w:rPr>
          <w:rFonts w:eastAsia="宋体"/>
          <w:color w:val="auto"/>
        </w:rPr>
        <w:t>声源无明显的指向性。</w:t>
      </w:r>
    </w:p>
    <w:p>
      <w:pPr>
        <w:pStyle w:val="108"/>
        <w:rPr>
          <w:rFonts w:eastAsia="宋体"/>
          <w:color w:val="auto"/>
        </w:rPr>
      </w:pPr>
      <w:r>
        <w:rPr>
          <w:rFonts w:hint="eastAsia" w:ascii="宋体" w:hAnsi="宋体" w:eastAsia="宋体" w:cs="宋体"/>
          <w:color w:val="auto"/>
        </w:rPr>
        <w:t>②</w:t>
      </w:r>
      <w:r>
        <w:rPr>
          <w:rFonts w:eastAsia="宋体"/>
          <w:color w:val="auto"/>
        </w:rPr>
        <w:t>基础阶段</w:t>
      </w:r>
    </w:p>
    <w:p>
      <w:pPr>
        <w:pStyle w:val="108"/>
        <w:rPr>
          <w:rFonts w:eastAsia="宋体"/>
          <w:color w:val="auto"/>
        </w:rPr>
      </w:pPr>
      <w:r>
        <w:rPr>
          <w:rFonts w:eastAsia="宋体"/>
          <w:color w:val="auto"/>
        </w:rPr>
        <w:t>基础阶段的主要噪声源有各种设备等。其噪声源强见表5.1-3。</w:t>
      </w:r>
    </w:p>
    <w:p>
      <w:pPr>
        <w:pStyle w:val="67"/>
        <w:rPr>
          <w:rFonts w:ascii="Times New Roman" w:hAnsi="Times New Roman" w:cs="Times New Roman"/>
          <w:color w:val="auto"/>
        </w:rPr>
      </w:pPr>
      <w:r>
        <w:rPr>
          <w:rFonts w:ascii="Times New Roman" w:hAnsi="Times New Roman" w:cs="Times New Roman"/>
          <w:color w:val="auto"/>
        </w:rPr>
        <w:t>表</w:t>
      </w:r>
      <w:r>
        <w:rPr>
          <w:rFonts w:hint="eastAsia" w:ascii="Times New Roman" w:hAnsi="Times New Roman" w:cs="Times New Roman"/>
          <w:color w:val="auto"/>
        </w:rPr>
        <w:t>5.1</w:t>
      </w:r>
      <w:r>
        <w:rPr>
          <w:rFonts w:ascii="Times New Roman" w:hAnsi="Times New Roman" w:cs="Times New Roman"/>
          <w:color w:val="auto"/>
        </w:rPr>
        <w:noBreakHyphen/>
      </w:r>
      <w:r>
        <w:rPr>
          <w:rFonts w:ascii="Times New Roman" w:hAnsi="Times New Roman" w:cs="Times New Roman"/>
          <w:color w:val="auto"/>
        </w:rPr>
        <w:fldChar w:fldCharType="begin"/>
      </w:r>
      <w:r>
        <w:rPr>
          <w:rFonts w:ascii="Times New Roman" w:hAnsi="Times New Roman" w:cs="Times New Roman"/>
          <w:color w:val="auto"/>
        </w:rPr>
        <w:instrText xml:space="preserve"> SEQ 表 \* ARABIC \s 2 </w:instrText>
      </w:r>
      <w:r>
        <w:rPr>
          <w:rFonts w:ascii="Times New Roman" w:hAnsi="Times New Roman" w:cs="Times New Roman"/>
          <w:color w:val="auto"/>
        </w:rPr>
        <w:fldChar w:fldCharType="separate"/>
      </w:r>
      <w:r>
        <w:rPr>
          <w:rFonts w:ascii="Times New Roman" w:hAnsi="Times New Roman" w:cs="Times New Roman"/>
          <w:color w:val="auto"/>
        </w:rPr>
        <w:t>3</w:t>
      </w:r>
      <w:r>
        <w:rPr>
          <w:rFonts w:ascii="Times New Roman" w:hAnsi="Times New Roman" w:cs="Times New Roman"/>
          <w:color w:val="auto"/>
        </w:rPr>
        <w:fldChar w:fldCharType="end"/>
      </w:r>
      <w:r>
        <w:rPr>
          <w:rFonts w:ascii="Times New Roman" w:hAnsi="Times New Roman" w:cs="Times New Roman"/>
          <w:color w:val="auto"/>
        </w:rPr>
        <w:t xml:space="preserve">  基础阶段主要噪声源及其特性</w:t>
      </w:r>
    </w:p>
    <w:tbl>
      <w:tblPr>
        <w:tblStyle w:val="53"/>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43"/>
        <w:gridCol w:w="46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4643" w:type="dxa"/>
            <w:vAlign w:val="center"/>
          </w:tcPr>
          <w:p>
            <w:pPr>
              <w:pStyle w:val="106"/>
              <w:widowControl w:val="0"/>
              <w:rPr>
                <w:b/>
                <w:color w:val="auto"/>
                <w:sz w:val="21"/>
                <w:szCs w:val="21"/>
                <w:lang w:val="en-US" w:eastAsia="zh-CN"/>
              </w:rPr>
            </w:pPr>
            <w:r>
              <w:rPr>
                <w:b/>
                <w:color w:val="auto"/>
                <w:sz w:val="21"/>
                <w:szCs w:val="21"/>
                <w:lang w:val="en-US" w:eastAsia="zh-CN"/>
              </w:rPr>
              <w:t>设备名称</w:t>
            </w:r>
          </w:p>
        </w:tc>
        <w:tc>
          <w:tcPr>
            <w:tcW w:w="4644" w:type="dxa"/>
            <w:vAlign w:val="center"/>
          </w:tcPr>
          <w:p>
            <w:pPr>
              <w:pStyle w:val="106"/>
              <w:widowControl w:val="0"/>
              <w:rPr>
                <w:b/>
                <w:color w:val="auto"/>
                <w:sz w:val="21"/>
                <w:szCs w:val="21"/>
                <w:lang w:val="en-US" w:eastAsia="zh-CN"/>
              </w:rPr>
            </w:pPr>
            <w:r>
              <w:rPr>
                <w:b/>
                <w:color w:val="auto"/>
                <w:sz w:val="21"/>
                <w:szCs w:val="21"/>
                <w:lang w:val="en-US" w:eastAsia="zh-CN"/>
              </w:rPr>
              <w:t>A声级/距离（dB(A)/m）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4643" w:type="dxa"/>
            <w:vAlign w:val="center"/>
          </w:tcPr>
          <w:p>
            <w:pPr>
              <w:pStyle w:val="106"/>
              <w:widowControl w:val="0"/>
              <w:rPr>
                <w:color w:val="auto"/>
                <w:sz w:val="21"/>
                <w:szCs w:val="21"/>
                <w:lang w:val="en-US" w:eastAsia="zh-CN"/>
              </w:rPr>
            </w:pPr>
            <w:r>
              <w:rPr>
                <w:color w:val="auto"/>
                <w:sz w:val="21"/>
                <w:szCs w:val="21"/>
                <w:lang w:val="en-US" w:eastAsia="zh-CN"/>
              </w:rPr>
              <w:t>液压吊</w:t>
            </w:r>
          </w:p>
        </w:tc>
        <w:tc>
          <w:tcPr>
            <w:tcW w:w="4644" w:type="dxa"/>
            <w:vAlign w:val="center"/>
          </w:tcPr>
          <w:p>
            <w:pPr>
              <w:pStyle w:val="106"/>
              <w:widowControl w:val="0"/>
              <w:rPr>
                <w:color w:val="auto"/>
                <w:sz w:val="21"/>
                <w:szCs w:val="21"/>
                <w:lang w:val="en-US" w:eastAsia="zh-CN"/>
              </w:rPr>
            </w:pPr>
            <w:r>
              <w:rPr>
                <w:color w:val="auto"/>
                <w:sz w:val="21"/>
                <w:szCs w:val="21"/>
                <w:lang w:val="en-US" w:eastAsia="zh-CN"/>
              </w:rPr>
              <w:t>76/8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4643" w:type="dxa"/>
            <w:vAlign w:val="center"/>
          </w:tcPr>
          <w:p>
            <w:pPr>
              <w:pStyle w:val="106"/>
              <w:widowControl w:val="0"/>
              <w:rPr>
                <w:color w:val="auto"/>
                <w:sz w:val="21"/>
                <w:szCs w:val="21"/>
                <w:lang w:val="en-US" w:eastAsia="zh-CN"/>
              </w:rPr>
            </w:pPr>
            <w:r>
              <w:rPr>
                <w:color w:val="auto"/>
                <w:sz w:val="21"/>
                <w:szCs w:val="21"/>
                <w:lang w:val="en-US" w:eastAsia="zh-CN"/>
              </w:rPr>
              <w:t>吊车</w:t>
            </w:r>
          </w:p>
        </w:tc>
        <w:tc>
          <w:tcPr>
            <w:tcW w:w="4644" w:type="dxa"/>
            <w:vAlign w:val="center"/>
          </w:tcPr>
          <w:p>
            <w:pPr>
              <w:pStyle w:val="106"/>
              <w:widowControl w:val="0"/>
              <w:rPr>
                <w:color w:val="auto"/>
                <w:sz w:val="21"/>
                <w:szCs w:val="21"/>
                <w:lang w:val="en-US" w:eastAsia="zh-CN"/>
              </w:rPr>
            </w:pPr>
            <w:r>
              <w:rPr>
                <w:color w:val="auto"/>
                <w:sz w:val="21"/>
                <w:szCs w:val="21"/>
                <w:lang w:val="en-US" w:eastAsia="zh-CN"/>
              </w:rPr>
              <w:t>71/15~73/15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4643" w:type="dxa"/>
            <w:vAlign w:val="center"/>
          </w:tcPr>
          <w:p>
            <w:pPr>
              <w:pStyle w:val="106"/>
              <w:widowControl w:val="0"/>
              <w:rPr>
                <w:color w:val="auto"/>
                <w:sz w:val="21"/>
                <w:szCs w:val="21"/>
                <w:lang w:val="en-US" w:eastAsia="zh-CN"/>
              </w:rPr>
            </w:pPr>
            <w:r>
              <w:rPr>
                <w:color w:val="auto"/>
                <w:sz w:val="21"/>
                <w:szCs w:val="21"/>
                <w:lang w:val="en-US" w:eastAsia="zh-CN"/>
              </w:rPr>
              <w:t>移动式空压机</w:t>
            </w:r>
          </w:p>
        </w:tc>
        <w:tc>
          <w:tcPr>
            <w:tcW w:w="4644" w:type="dxa"/>
            <w:vAlign w:val="center"/>
          </w:tcPr>
          <w:p>
            <w:pPr>
              <w:pStyle w:val="106"/>
              <w:widowControl w:val="0"/>
              <w:rPr>
                <w:color w:val="auto"/>
                <w:sz w:val="21"/>
                <w:szCs w:val="21"/>
                <w:lang w:val="en-US" w:eastAsia="zh-CN"/>
              </w:rPr>
            </w:pPr>
            <w:r>
              <w:rPr>
                <w:color w:val="auto"/>
                <w:sz w:val="21"/>
                <w:szCs w:val="21"/>
                <w:lang w:val="en-US" w:eastAsia="zh-CN"/>
              </w:rPr>
              <w:t>92/3</w:t>
            </w:r>
          </w:p>
        </w:tc>
      </w:tr>
    </w:tbl>
    <w:p>
      <w:pPr>
        <w:pStyle w:val="108"/>
        <w:rPr>
          <w:rFonts w:eastAsia="宋体"/>
          <w:color w:val="auto"/>
        </w:rPr>
      </w:pPr>
      <w:r>
        <w:rPr>
          <w:rFonts w:eastAsia="宋体"/>
          <w:color w:val="auto"/>
        </w:rPr>
        <w:t>由表5.1-3可知：基础阶段噪声源强为71~92dB(A)。</w:t>
      </w:r>
    </w:p>
    <w:p>
      <w:pPr>
        <w:pStyle w:val="108"/>
        <w:rPr>
          <w:rFonts w:eastAsia="宋体"/>
          <w:color w:val="auto"/>
        </w:rPr>
      </w:pPr>
      <w:r>
        <w:rPr>
          <w:rFonts w:hint="eastAsia" w:ascii="宋体" w:hAnsi="宋体" w:eastAsia="宋体" w:cs="宋体"/>
          <w:color w:val="auto"/>
        </w:rPr>
        <w:t>③</w:t>
      </w:r>
      <w:r>
        <w:rPr>
          <w:rFonts w:eastAsia="宋体"/>
          <w:color w:val="auto"/>
        </w:rPr>
        <w:t>结构阶段</w:t>
      </w:r>
    </w:p>
    <w:p>
      <w:pPr>
        <w:pStyle w:val="108"/>
        <w:rPr>
          <w:rFonts w:eastAsia="宋体"/>
          <w:color w:val="auto"/>
        </w:rPr>
      </w:pPr>
      <w:r>
        <w:rPr>
          <w:rFonts w:eastAsia="宋体"/>
          <w:color w:val="auto"/>
        </w:rPr>
        <w:t>结构阶段是建筑施工中周期最长的阶段，使用的设备品种较多，此阶段应是重点控制噪声的阶段之一。结构阶段的主要声源有各种运输车辆、各式吊车、振捣棒、电锯等。见5.1-4。</w:t>
      </w:r>
    </w:p>
    <w:p>
      <w:pPr>
        <w:pStyle w:val="67"/>
        <w:rPr>
          <w:rFonts w:ascii="Times New Roman" w:hAnsi="Times New Roman" w:cs="Times New Roman"/>
          <w:color w:val="auto"/>
        </w:rPr>
      </w:pPr>
      <w:r>
        <w:rPr>
          <w:rFonts w:ascii="Times New Roman" w:hAnsi="Times New Roman" w:cs="Times New Roman"/>
          <w:color w:val="auto"/>
        </w:rPr>
        <w:t>表</w:t>
      </w:r>
      <w:r>
        <w:rPr>
          <w:rFonts w:hint="eastAsia" w:ascii="Times New Roman" w:hAnsi="Times New Roman" w:cs="Times New Roman"/>
          <w:color w:val="auto"/>
        </w:rPr>
        <w:t>5.1</w:t>
      </w:r>
      <w:r>
        <w:rPr>
          <w:rFonts w:ascii="Times New Roman" w:hAnsi="Times New Roman" w:cs="Times New Roman"/>
          <w:color w:val="auto"/>
        </w:rPr>
        <w:noBreakHyphen/>
      </w:r>
      <w:r>
        <w:rPr>
          <w:rFonts w:ascii="Times New Roman" w:hAnsi="Times New Roman" w:cs="Times New Roman"/>
          <w:color w:val="auto"/>
        </w:rPr>
        <w:fldChar w:fldCharType="begin"/>
      </w:r>
      <w:r>
        <w:rPr>
          <w:rFonts w:ascii="Times New Roman" w:hAnsi="Times New Roman" w:cs="Times New Roman"/>
          <w:color w:val="auto"/>
        </w:rPr>
        <w:instrText xml:space="preserve"> SEQ 表 \* ARABIC \s 2 </w:instrText>
      </w:r>
      <w:r>
        <w:rPr>
          <w:rFonts w:ascii="Times New Roman" w:hAnsi="Times New Roman" w:cs="Times New Roman"/>
          <w:color w:val="auto"/>
        </w:rPr>
        <w:fldChar w:fldCharType="separate"/>
      </w:r>
      <w:r>
        <w:rPr>
          <w:rFonts w:ascii="Times New Roman" w:hAnsi="Times New Roman" w:cs="Times New Roman"/>
          <w:color w:val="auto"/>
        </w:rPr>
        <w:t>4</w:t>
      </w:r>
      <w:r>
        <w:rPr>
          <w:rFonts w:ascii="Times New Roman" w:hAnsi="Times New Roman" w:cs="Times New Roman"/>
          <w:color w:val="auto"/>
        </w:rPr>
        <w:fldChar w:fldCharType="end"/>
      </w:r>
      <w:r>
        <w:rPr>
          <w:rFonts w:ascii="Times New Roman" w:hAnsi="Times New Roman" w:cs="Times New Roman"/>
          <w:color w:val="auto"/>
        </w:rPr>
        <w:t xml:space="preserve">  结构阶段主要噪声源及其特性</w:t>
      </w:r>
    </w:p>
    <w:tbl>
      <w:tblPr>
        <w:tblStyle w:val="53"/>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43"/>
        <w:gridCol w:w="46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4643" w:type="dxa"/>
            <w:vAlign w:val="center"/>
          </w:tcPr>
          <w:p>
            <w:pPr>
              <w:pStyle w:val="106"/>
              <w:widowControl w:val="0"/>
              <w:rPr>
                <w:b/>
                <w:color w:val="auto"/>
                <w:sz w:val="21"/>
                <w:szCs w:val="21"/>
                <w:lang w:val="en-US" w:eastAsia="zh-CN"/>
              </w:rPr>
            </w:pPr>
            <w:r>
              <w:rPr>
                <w:b/>
                <w:color w:val="auto"/>
                <w:sz w:val="21"/>
                <w:szCs w:val="21"/>
                <w:lang w:val="en-US" w:eastAsia="zh-CN"/>
              </w:rPr>
              <w:t>设备名称</w:t>
            </w:r>
          </w:p>
        </w:tc>
        <w:tc>
          <w:tcPr>
            <w:tcW w:w="4644" w:type="dxa"/>
            <w:vAlign w:val="center"/>
          </w:tcPr>
          <w:p>
            <w:pPr>
              <w:pStyle w:val="106"/>
              <w:widowControl w:val="0"/>
              <w:rPr>
                <w:b/>
                <w:color w:val="auto"/>
                <w:sz w:val="21"/>
                <w:szCs w:val="21"/>
                <w:lang w:val="en-US" w:eastAsia="zh-CN"/>
              </w:rPr>
            </w:pPr>
            <w:r>
              <w:rPr>
                <w:b/>
                <w:color w:val="auto"/>
                <w:sz w:val="21"/>
                <w:szCs w:val="21"/>
                <w:lang w:val="en-US" w:eastAsia="zh-CN"/>
              </w:rPr>
              <w:t>A声级/距离（dB(A)/m）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4643" w:type="dxa"/>
            <w:vAlign w:val="center"/>
          </w:tcPr>
          <w:p>
            <w:pPr>
              <w:pStyle w:val="106"/>
              <w:widowControl w:val="0"/>
              <w:rPr>
                <w:color w:val="auto"/>
                <w:sz w:val="21"/>
                <w:szCs w:val="21"/>
                <w:lang w:val="en-US" w:eastAsia="zh-CN"/>
              </w:rPr>
            </w:pPr>
            <w:r>
              <w:rPr>
                <w:color w:val="auto"/>
                <w:sz w:val="21"/>
                <w:szCs w:val="21"/>
                <w:lang w:val="en-US" w:eastAsia="zh-CN"/>
              </w:rPr>
              <w:t>汽车吊车</w:t>
            </w:r>
          </w:p>
        </w:tc>
        <w:tc>
          <w:tcPr>
            <w:tcW w:w="4644" w:type="dxa"/>
            <w:vAlign w:val="center"/>
          </w:tcPr>
          <w:p>
            <w:pPr>
              <w:pStyle w:val="106"/>
              <w:widowControl w:val="0"/>
              <w:rPr>
                <w:color w:val="auto"/>
                <w:sz w:val="21"/>
                <w:szCs w:val="21"/>
                <w:lang w:val="en-US" w:eastAsia="zh-CN"/>
              </w:rPr>
            </w:pPr>
            <w:r>
              <w:rPr>
                <w:color w:val="auto"/>
                <w:sz w:val="21"/>
                <w:szCs w:val="21"/>
                <w:lang w:val="en-US" w:eastAsia="zh-CN"/>
              </w:rPr>
              <w:t>71/15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4643" w:type="dxa"/>
            <w:vAlign w:val="center"/>
          </w:tcPr>
          <w:p>
            <w:pPr>
              <w:pStyle w:val="106"/>
              <w:widowControl w:val="0"/>
              <w:rPr>
                <w:color w:val="auto"/>
                <w:sz w:val="21"/>
                <w:szCs w:val="21"/>
                <w:lang w:val="en-US" w:eastAsia="zh-CN"/>
              </w:rPr>
            </w:pPr>
            <w:r>
              <w:rPr>
                <w:color w:val="auto"/>
                <w:sz w:val="21"/>
                <w:szCs w:val="21"/>
                <w:lang w:val="en-US" w:eastAsia="zh-CN"/>
              </w:rPr>
              <w:t>塔式吊车</w:t>
            </w:r>
          </w:p>
        </w:tc>
        <w:tc>
          <w:tcPr>
            <w:tcW w:w="4644" w:type="dxa"/>
            <w:vAlign w:val="center"/>
          </w:tcPr>
          <w:p>
            <w:pPr>
              <w:pStyle w:val="106"/>
              <w:widowControl w:val="0"/>
              <w:rPr>
                <w:color w:val="auto"/>
                <w:sz w:val="21"/>
                <w:szCs w:val="21"/>
                <w:lang w:val="en-US" w:eastAsia="zh-CN"/>
              </w:rPr>
            </w:pPr>
            <w:r>
              <w:rPr>
                <w:color w:val="auto"/>
                <w:sz w:val="21"/>
                <w:szCs w:val="21"/>
                <w:lang w:val="en-US" w:eastAsia="zh-CN"/>
              </w:rPr>
              <w:t>83/8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4643" w:type="dxa"/>
            <w:vAlign w:val="center"/>
          </w:tcPr>
          <w:p>
            <w:pPr>
              <w:pStyle w:val="106"/>
              <w:widowControl w:val="0"/>
              <w:rPr>
                <w:color w:val="auto"/>
                <w:sz w:val="21"/>
                <w:szCs w:val="21"/>
                <w:lang w:val="en-US" w:eastAsia="zh-CN"/>
              </w:rPr>
            </w:pPr>
            <w:r>
              <w:rPr>
                <w:color w:val="auto"/>
                <w:sz w:val="21"/>
                <w:szCs w:val="21"/>
                <w:lang w:val="en-US" w:eastAsia="zh-CN"/>
              </w:rPr>
              <w:t>振捣棒</w:t>
            </w:r>
          </w:p>
        </w:tc>
        <w:tc>
          <w:tcPr>
            <w:tcW w:w="4644" w:type="dxa"/>
            <w:vAlign w:val="center"/>
          </w:tcPr>
          <w:p>
            <w:pPr>
              <w:pStyle w:val="106"/>
              <w:widowControl w:val="0"/>
              <w:rPr>
                <w:color w:val="auto"/>
                <w:sz w:val="21"/>
                <w:szCs w:val="21"/>
                <w:lang w:val="en-US" w:eastAsia="zh-CN"/>
              </w:rPr>
            </w:pPr>
            <w:r>
              <w:rPr>
                <w:color w:val="auto"/>
                <w:sz w:val="21"/>
                <w:szCs w:val="21"/>
                <w:lang w:val="en-US" w:eastAsia="zh-CN"/>
              </w:rPr>
              <w:t>87/2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4643" w:type="dxa"/>
            <w:vAlign w:val="center"/>
          </w:tcPr>
          <w:p>
            <w:pPr>
              <w:pStyle w:val="106"/>
              <w:widowControl w:val="0"/>
              <w:rPr>
                <w:color w:val="auto"/>
                <w:sz w:val="21"/>
                <w:szCs w:val="21"/>
                <w:lang w:val="en-US" w:eastAsia="zh-CN"/>
              </w:rPr>
            </w:pPr>
            <w:r>
              <w:rPr>
                <w:color w:val="auto"/>
                <w:sz w:val="21"/>
                <w:szCs w:val="21"/>
                <w:lang w:val="en-US" w:eastAsia="zh-CN"/>
              </w:rPr>
              <w:t>电锯</w:t>
            </w:r>
          </w:p>
        </w:tc>
        <w:tc>
          <w:tcPr>
            <w:tcW w:w="4644" w:type="dxa"/>
            <w:vAlign w:val="center"/>
          </w:tcPr>
          <w:p>
            <w:pPr>
              <w:pStyle w:val="106"/>
              <w:widowControl w:val="0"/>
              <w:rPr>
                <w:color w:val="auto"/>
                <w:sz w:val="21"/>
                <w:szCs w:val="21"/>
                <w:lang w:val="en-US" w:eastAsia="zh-CN"/>
              </w:rPr>
            </w:pPr>
            <w:r>
              <w:rPr>
                <w:color w:val="auto"/>
                <w:sz w:val="21"/>
                <w:szCs w:val="21"/>
                <w:lang w:val="en-US" w:eastAsia="zh-CN"/>
              </w:rPr>
              <w:t>103/1</w:t>
            </w:r>
          </w:p>
        </w:tc>
      </w:tr>
    </w:tbl>
    <w:p>
      <w:pPr>
        <w:pStyle w:val="108"/>
        <w:spacing w:after="0"/>
        <w:rPr>
          <w:rFonts w:eastAsia="宋体"/>
          <w:color w:val="auto"/>
        </w:rPr>
      </w:pPr>
      <w:r>
        <w:rPr>
          <w:rFonts w:eastAsia="宋体"/>
          <w:color w:val="auto"/>
        </w:rPr>
        <w:t>由表5.1-4可知：对于大多数工地的结构阶段，其主要声源是振捣棒等，噪声源强为71~103dB(A)。</w:t>
      </w:r>
    </w:p>
    <w:p>
      <w:pPr>
        <w:pStyle w:val="108"/>
        <w:spacing w:after="0"/>
        <w:rPr>
          <w:rFonts w:eastAsia="宋体"/>
          <w:color w:val="auto"/>
        </w:rPr>
      </w:pPr>
      <w:r>
        <w:rPr>
          <w:rFonts w:hint="eastAsia" w:ascii="宋体" w:hAnsi="宋体" w:eastAsia="宋体" w:cs="宋体"/>
          <w:color w:val="auto"/>
        </w:rPr>
        <w:t>④</w:t>
      </w:r>
      <w:r>
        <w:rPr>
          <w:rFonts w:eastAsia="宋体"/>
          <w:color w:val="auto"/>
        </w:rPr>
        <w:t>装修阶段</w:t>
      </w:r>
    </w:p>
    <w:p>
      <w:pPr>
        <w:pStyle w:val="108"/>
        <w:spacing w:after="0"/>
        <w:rPr>
          <w:rFonts w:eastAsia="宋体"/>
          <w:color w:val="auto"/>
        </w:rPr>
      </w:pPr>
      <w:r>
        <w:rPr>
          <w:rFonts w:eastAsia="宋体"/>
          <w:color w:val="auto"/>
        </w:rPr>
        <w:t>装修阶段一般占总施工时间比例较长，但声源数量较少，强噪声源更少。主要噪声源包括砂轮机、磨石机、切割机等，见表5.1-5。</w:t>
      </w:r>
    </w:p>
    <w:p>
      <w:pPr>
        <w:pStyle w:val="67"/>
        <w:rPr>
          <w:rFonts w:ascii="Times New Roman" w:hAnsi="Times New Roman" w:cs="Times New Roman"/>
          <w:color w:val="auto"/>
        </w:rPr>
      </w:pPr>
      <w:r>
        <w:rPr>
          <w:rFonts w:ascii="Times New Roman" w:hAnsi="Times New Roman" w:cs="Times New Roman"/>
          <w:color w:val="auto"/>
        </w:rPr>
        <w:t>表</w:t>
      </w:r>
      <w:r>
        <w:rPr>
          <w:rFonts w:hint="eastAsia" w:ascii="Times New Roman" w:hAnsi="Times New Roman" w:cs="Times New Roman"/>
          <w:color w:val="auto"/>
        </w:rPr>
        <w:t>5.1</w:t>
      </w:r>
      <w:r>
        <w:rPr>
          <w:rFonts w:ascii="Times New Roman" w:hAnsi="Times New Roman" w:cs="Times New Roman"/>
          <w:color w:val="auto"/>
        </w:rPr>
        <w:noBreakHyphen/>
      </w:r>
      <w:r>
        <w:rPr>
          <w:rFonts w:ascii="Times New Roman" w:hAnsi="Times New Roman" w:cs="Times New Roman"/>
          <w:color w:val="auto"/>
        </w:rPr>
        <w:fldChar w:fldCharType="begin"/>
      </w:r>
      <w:r>
        <w:rPr>
          <w:rFonts w:ascii="Times New Roman" w:hAnsi="Times New Roman" w:cs="Times New Roman"/>
          <w:color w:val="auto"/>
        </w:rPr>
        <w:instrText xml:space="preserve"> SEQ 表 \* ARABIC \s 2 </w:instrText>
      </w:r>
      <w:r>
        <w:rPr>
          <w:rFonts w:ascii="Times New Roman" w:hAnsi="Times New Roman" w:cs="Times New Roman"/>
          <w:color w:val="auto"/>
        </w:rPr>
        <w:fldChar w:fldCharType="separate"/>
      </w:r>
      <w:r>
        <w:rPr>
          <w:rFonts w:ascii="Times New Roman" w:hAnsi="Times New Roman" w:cs="Times New Roman"/>
          <w:color w:val="auto"/>
        </w:rPr>
        <w:t>5</w:t>
      </w:r>
      <w:r>
        <w:rPr>
          <w:rFonts w:ascii="Times New Roman" w:hAnsi="Times New Roman" w:cs="Times New Roman"/>
          <w:color w:val="auto"/>
        </w:rPr>
        <w:fldChar w:fldCharType="end"/>
      </w:r>
      <w:r>
        <w:rPr>
          <w:rFonts w:ascii="Times New Roman" w:hAnsi="Times New Roman" w:cs="Times New Roman"/>
          <w:color w:val="auto"/>
        </w:rPr>
        <w:t xml:space="preserve">  装修阶段主要噪声源强</w:t>
      </w:r>
    </w:p>
    <w:tbl>
      <w:tblPr>
        <w:tblStyle w:val="53"/>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43"/>
        <w:gridCol w:w="46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4643" w:type="dxa"/>
            <w:vAlign w:val="center"/>
          </w:tcPr>
          <w:p>
            <w:pPr>
              <w:pStyle w:val="106"/>
              <w:widowControl w:val="0"/>
              <w:rPr>
                <w:b/>
                <w:color w:val="auto"/>
                <w:sz w:val="21"/>
                <w:szCs w:val="21"/>
                <w:lang w:val="en-US" w:eastAsia="zh-CN"/>
              </w:rPr>
            </w:pPr>
            <w:r>
              <w:rPr>
                <w:b/>
                <w:color w:val="auto"/>
                <w:sz w:val="21"/>
                <w:szCs w:val="21"/>
                <w:lang w:val="en-US" w:eastAsia="zh-CN"/>
              </w:rPr>
              <w:t>设备名称</w:t>
            </w:r>
          </w:p>
        </w:tc>
        <w:tc>
          <w:tcPr>
            <w:tcW w:w="4644" w:type="dxa"/>
            <w:vAlign w:val="center"/>
          </w:tcPr>
          <w:p>
            <w:pPr>
              <w:pStyle w:val="106"/>
              <w:widowControl w:val="0"/>
              <w:rPr>
                <w:b/>
                <w:color w:val="auto"/>
                <w:sz w:val="21"/>
                <w:szCs w:val="21"/>
                <w:lang w:val="en-US" w:eastAsia="zh-CN"/>
              </w:rPr>
            </w:pPr>
            <w:r>
              <w:rPr>
                <w:b/>
                <w:color w:val="auto"/>
                <w:sz w:val="21"/>
                <w:szCs w:val="21"/>
                <w:lang w:val="en-US" w:eastAsia="zh-CN"/>
              </w:rPr>
              <w:t>A声级/距离（dB(A)/m）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4643" w:type="dxa"/>
            <w:vAlign w:val="center"/>
          </w:tcPr>
          <w:p>
            <w:pPr>
              <w:pStyle w:val="106"/>
              <w:widowControl w:val="0"/>
              <w:rPr>
                <w:color w:val="auto"/>
                <w:sz w:val="21"/>
                <w:szCs w:val="21"/>
                <w:lang w:val="en-US" w:eastAsia="zh-CN"/>
              </w:rPr>
            </w:pPr>
            <w:r>
              <w:rPr>
                <w:color w:val="auto"/>
                <w:sz w:val="21"/>
                <w:szCs w:val="21"/>
                <w:lang w:val="en-US" w:eastAsia="zh-CN"/>
              </w:rPr>
              <w:t>砂轮机</w:t>
            </w:r>
          </w:p>
        </w:tc>
        <w:tc>
          <w:tcPr>
            <w:tcW w:w="4644" w:type="dxa"/>
            <w:vAlign w:val="center"/>
          </w:tcPr>
          <w:p>
            <w:pPr>
              <w:pStyle w:val="106"/>
              <w:widowControl w:val="0"/>
              <w:rPr>
                <w:color w:val="auto"/>
                <w:sz w:val="21"/>
                <w:szCs w:val="21"/>
                <w:lang w:val="en-US" w:eastAsia="zh-CN"/>
              </w:rPr>
            </w:pPr>
            <w:r>
              <w:rPr>
                <w:color w:val="auto"/>
                <w:sz w:val="21"/>
                <w:szCs w:val="21"/>
                <w:lang w:val="en-US" w:eastAsia="zh-CN"/>
              </w:rPr>
              <w:t>86/3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4643" w:type="dxa"/>
            <w:vAlign w:val="center"/>
          </w:tcPr>
          <w:p>
            <w:pPr>
              <w:pStyle w:val="106"/>
              <w:widowControl w:val="0"/>
              <w:rPr>
                <w:color w:val="auto"/>
                <w:sz w:val="21"/>
                <w:szCs w:val="21"/>
                <w:lang w:val="en-US" w:eastAsia="zh-CN"/>
              </w:rPr>
            </w:pPr>
            <w:r>
              <w:rPr>
                <w:color w:val="auto"/>
                <w:sz w:val="21"/>
                <w:szCs w:val="21"/>
                <w:lang w:val="en-US" w:eastAsia="zh-CN"/>
              </w:rPr>
              <w:t>切割机</w:t>
            </w:r>
          </w:p>
        </w:tc>
        <w:tc>
          <w:tcPr>
            <w:tcW w:w="4644" w:type="dxa"/>
            <w:vAlign w:val="center"/>
          </w:tcPr>
          <w:p>
            <w:pPr>
              <w:pStyle w:val="106"/>
              <w:widowControl w:val="0"/>
              <w:rPr>
                <w:color w:val="auto"/>
                <w:sz w:val="21"/>
                <w:szCs w:val="21"/>
                <w:lang w:val="en-US" w:eastAsia="zh-CN"/>
              </w:rPr>
            </w:pPr>
            <w:r>
              <w:rPr>
                <w:color w:val="auto"/>
                <w:sz w:val="21"/>
                <w:szCs w:val="21"/>
                <w:lang w:val="en-US" w:eastAsia="zh-CN"/>
              </w:rPr>
              <w:t>83/1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4643" w:type="dxa"/>
            <w:vAlign w:val="center"/>
          </w:tcPr>
          <w:p>
            <w:pPr>
              <w:pStyle w:val="106"/>
              <w:widowControl w:val="0"/>
              <w:rPr>
                <w:color w:val="auto"/>
                <w:sz w:val="21"/>
                <w:szCs w:val="21"/>
                <w:lang w:val="en-US" w:eastAsia="zh-CN"/>
              </w:rPr>
            </w:pPr>
            <w:r>
              <w:rPr>
                <w:color w:val="auto"/>
                <w:sz w:val="21"/>
                <w:szCs w:val="21"/>
                <w:lang w:val="en-US" w:eastAsia="zh-CN"/>
              </w:rPr>
              <w:t>磨石机</w:t>
            </w:r>
          </w:p>
        </w:tc>
        <w:tc>
          <w:tcPr>
            <w:tcW w:w="4644" w:type="dxa"/>
            <w:vAlign w:val="center"/>
          </w:tcPr>
          <w:p>
            <w:pPr>
              <w:pStyle w:val="106"/>
              <w:widowControl w:val="0"/>
              <w:rPr>
                <w:color w:val="auto"/>
                <w:sz w:val="21"/>
                <w:szCs w:val="21"/>
                <w:lang w:val="en-US" w:eastAsia="zh-CN"/>
              </w:rPr>
            </w:pPr>
            <w:r>
              <w:rPr>
                <w:color w:val="auto"/>
                <w:sz w:val="21"/>
                <w:szCs w:val="21"/>
                <w:lang w:val="en-US" w:eastAsia="zh-CN"/>
              </w:rPr>
              <w:t>82.5/1</w:t>
            </w:r>
          </w:p>
        </w:tc>
      </w:tr>
    </w:tbl>
    <w:p>
      <w:pPr>
        <w:pStyle w:val="108"/>
        <w:spacing w:after="0"/>
        <w:rPr>
          <w:rFonts w:eastAsia="宋体"/>
          <w:color w:val="auto"/>
          <w:szCs w:val="24"/>
        </w:rPr>
      </w:pPr>
      <w:r>
        <w:rPr>
          <w:rFonts w:eastAsia="宋体"/>
          <w:color w:val="auto"/>
          <w:szCs w:val="24"/>
        </w:rPr>
        <w:t>由表5.1-5可知，装修阶段大多数声源的声功率级较低，噪声源强为82.5~86dB(A)。</w:t>
      </w:r>
    </w:p>
    <w:p>
      <w:pPr>
        <w:pStyle w:val="108"/>
        <w:spacing w:after="0"/>
        <w:rPr>
          <w:rFonts w:eastAsia="宋体"/>
          <w:color w:val="auto"/>
          <w:szCs w:val="24"/>
        </w:rPr>
      </w:pPr>
      <w:r>
        <w:rPr>
          <w:rFonts w:eastAsia="宋体"/>
          <w:color w:val="auto"/>
          <w:szCs w:val="24"/>
        </w:rPr>
        <w:t>（2）施工噪声影响分析</w:t>
      </w:r>
    </w:p>
    <w:p>
      <w:pPr>
        <w:pStyle w:val="108"/>
        <w:spacing w:after="0"/>
        <w:rPr>
          <w:rFonts w:eastAsia="宋体"/>
          <w:color w:val="auto"/>
          <w:szCs w:val="24"/>
        </w:rPr>
      </w:pPr>
      <w:r>
        <w:rPr>
          <w:rFonts w:eastAsia="宋体"/>
          <w:color w:val="auto"/>
          <w:szCs w:val="24"/>
        </w:rPr>
        <w:t>建筑施工机械的噪声源基本是在半自由场中的点声源传播。我国颁发的《工程机械辐射噪声测量的通用方法》(GB/T13802-1992)规定了工程机械的噪声测量和评价方法。该方法规定了采用半自由场等效声压级L</w:t>
      </w:r>
      <w:r>
        <w:rPr>
          <w:rFonts w:eastAsia="宋体"/>
          <w:color w:val="auto"/>
          <w:szCs w:val="24"/>
          <w:vertAlign w:val="subscript"/>
        </w:rPr>
        <w:t>pAeq</w:t>
      </w:r>
      <w:r>
        <w:rPr>
          <w:rFonts w:eastAsia="宋体"/>
          <w:color w:val="auto"/>
          <w:szCs w:val="24"/>
        </w:rPr>
        <w:t>来计算声源等效声功率级L</w:t>
      </w:r>
      <w:r>
        <w:rPr>
          <w:rFonts w:eastAsia="宋体"/>
          <w:color w:val="auto"/>
          <w:szCs w:val="24"/>
          <w:vertAlign w:val="subscript"/>
        </w:rPr>
        <w:t>wAeq</w:t>
      </w:r>
      <w:r>
        <w:rPr>
          <w:rFonts w:eastAsia="宋体"/>
          <w:color w:val="auto"/>
          <w:szCs w:val="24"/>
        </w:rPr>
        <w:t>，即：</w:t>
      </w:r>
    </w:p>
    <w:p>
      <w:pPr>
        <w:pStyle w:val="108"/>
        <w:spacing w:after="0"/>
        <w:ind w:firstLine="0" w:firstLineChars="0"/>
        <w:jc w:val="center"/>
        <w:rPr>
          <w:rFonts w:eastAsia="宋体"/>
          <w:color w:val="auto"/>
          <w:szCs w:val="24"/>
        </w:rPr>
      </w:pPr>
      <w:r>
        <w:rPr>
          <w:rFonts w:eastAsia="宋体"/>
          <w:color w:val="auto"/>
          <w:position w:val="-24"/>
          <w:szCs w:val="24"/>
        </w:rPr>
        <w:object>
          <v:shape id="_x0000_i1036" o:spt="75" type="#_x0000_t75" style="height:38.25pt;width:126pt;" o:ole="t" filled="f" o:preferrelative="t" stroked="f" coordsize="21600,21600">
            <v:path/>
            <v:fill on="f" focussize="0,0"/>
            <v:stroke on="f" joinstyle="miter"/>
            <v:imagedata r:id="rId107" o:title=""/>
            <o:lock v:ext="edit" aspectratio="t"/>
            <w10:wrap type="none"/>
            <w10:anchorlock/>
          </v:shape>
          <o:OLEObject Type="Embed" ProgID="Equation.DSMT4" ShapeID="_x0000_i1036" DrawAspect="Content" ObjectID="_1468075736" r:id="rId106">
            <o:LockedField>false</o:LockedField>
          </o:OLEObject>
        </w:object>
      </w:r>
      <w:r>
        <w:rPr>
          <w:rFonts w:eastAsia="宋体"/>
          <w:color w:val="auto"/>
          <w:szCs w:val="24"/>
        </w:rPr>
        <w:t xml:space="preserve"> （dB(A)）</w:t>
      </w:r>
    </w:p>
    <w:p>
      <w:pPr>
        <w:pStyle w:val="108"/>
        <w:spacing w:after="0"/>
        <w:rPr>
          <w:rFonts w:eastAsia="宋体"/>
          <w:color w:val="auto"/>
          <w:szCs w:val="24"/>
        </w:rPr>
      </w:pPr>
      <w:r>
        <w:rPr>
          <w:rFonts w:eastAsia="宋体"/>
          <w:color w:val="auto"/>
          <w:szCs w:val="24"/>
        </w:rPr>
        <w:t>式中：S=2πr</w:t>
      </w:r>
      <w:r>
        <w:rPr>
          <w:rFonts w:eastAsia="宋体"/>
          <w:color w:val="auto"/>
          <w:szCs w:val="24"/>
          <w:vertAlign w:val="superscript"/>
        </w:rPr>
        <w:t>2</w:t>
      </w:r>
      <w:r>
        <w:rPr>
          <w:rFonts w:eastAsia="宋体"/>
          <w:color w:val="auto"/>
          <w:szCs w:val="24"/>
        </w:rPr>
        <w:t>，测量表面积(m</w:t>
      </w:r>
      <w:r>
        <w:rPr>
          <w:rFonts w:eastAsia="宋体"/>
          <w:color w:val="auto"/>
          <w:szCs w:val="24"/>
          <w:vertAlign w:val="superscript"/>
        </w:rPr>
        <w:t>2</w:t>
      </w:r>
      <w:r>
        <w:rPr>
          <w:rFonts w:eastAsia="宋体"/>
          <w:color w:val="auto"/>
          <w:szCs w:val="24"/>
        </w:rPr>
        <w:t>)；</w:t>
      </w:r>
    </w:p>
    <w:p>
      <w:pPr>
        <w:pStyle w:val="108"/>
        <w:spacing w:after="0"/>
        <w:rPr>
          <w:rFonts w:eastAsia="宋体"/>
          <w:color w:val="auto"/>
          <w:szCs w:val="24"/>
        </w:rPr>
      </w:pPr>
      <w:r>
        <w:rPr>
          <w:rFonts w:eastAsia="宋体"/>
          <w:color w:val="auto"/>
          <w:szCs w:val="24"/>
        </w:rPr>
        <w:t xml:space="preserve">      S</w:t>
      </w:r>
      <w:r>
        <w:rPr>
          <w:rFonts w:eastAsia="宋体"/>
          <w:color w:val="auto"/>
          <w:szCs w:val="24"/>
          <w:vertAlign w:val="subscript"/>
        </w:rPr>
        <w:t>0</w:t>
      </w:r>
      <w:r>
        <w:rPr>
          <w:rFonts w:eastAsia="宋体"/>
          <w:color w:val="auto"/>
          <w:szCs w:val="24"/>
        </w:rPr>
        <w:t>=1m</w:t>
      </w:r>
      <w:r>
        <w:rPr>
          <w:rFonts w:eastAsia="宋体"/>
          <w:color w:val="auto"/>
          <w:szCs w:val="24"/>
          <w:vertAlign w:val="superscript"/>
        </w:rPr>
        <w:t>2</w:t>
      </w:r>
      <w:r>
        <w:rPr>
          <w:rFonts w:eastAsia="宋体"/>
          <w:color w:val="auto"/>
          <w:szCs w:val="24"/>
        </w:rPr>
        <w:t>，基准表面积。</w:t>
      </w:r>
    </w:p>
    <w:p>
      <w:pPr>
        <w:pStyle w:val="108"/>
        <w:spacing w:after="0"/>
        <w:rPr>
          <w:rFonts w:eastAsia="宋体"/>
          <w:color w:val="auto"/>
          <w:szCs w:val="24"/>
        </w:rPr>
      </w:pPr>
      <w:r>
        <w:rPr>
          <w:rFonts w:eastAsia="宋体"/>
          <w:color w:val="auto"/>
          <w:szCs w:val="24"/>
        </w:rPr>
        <w:t>利用上式即可计算出主要施工机械在30m距离以外的平均等效声压级，计算结果见表5.1-6。</w:t>
      </w:r>
    </w:p>
    <w:p>
      <w:pPr>
        <w:pStyle w:val="67"/>
        <w:rPr>
          <w:rFonts w:ascii="Times New Roman" w:hAnsi="Times New Roman" w:cs="Times New Roman"/>
          <w:color w:val="auto"/>
        </w:rPr>
      </w:pPr>
      <w:r>
        <w:rPr>
          <w:rFonts w:ascii="Times New Roman" w:hAnsi="Times New Roman" w:cs="Times New Roman"/>
          <w:color w:val="auto"/>
        </w:rPr>
        <w:t>表</w:t>
      </w:r>
      <w:r>
        <w:rPr>
          <w:rFonts w:hint="eastAsia" w:ascii="Times New Roman" w:hAnsi="Times New Roman" w:cs="Times New Roman"/>
          <w:color w:val="auto"/>
        </w:rPr>
        <w:t>5.1-6</w:t>
      </w:r>
      <w:r>
        <w:rPr>
          <w:rFonts w:ascii="Times New Roman" w:hAnsi="Times New Roman" w:cs="Times New Roman"/>
          <w:color w:val="auto"/>
        </w:rPr>
        <w:t xml:space="preserve">   主要施工机械在不同距离等效声级表</w:t>
      </w:r>
    </w:p>
    <w:tbl>
      <w:tblPr>
        <w:tblStyle w:val="53"/>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9"/>
        <w:gridCol w:w="982"/>
        <w:gridCol w:w="1305"/>
        <w:gridCol w:w="786"/>
        <w:gridCol w:w="786"/>
        <w:gridCol w:w="786"/>
        <w:gridCol w:w="786"/>
        <w:gridCol w:w="786"/>
        <w:gridCol w:w="786"/>
        <w:gridCol w:w="840"/>
        <w:gridCol w:w="9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499" w:type="dxa"/>
            <w:vMerge w:val="restart"/>
            <w:vAlign w:val="center"/>
          </w:tcPr>
          <w:p>
            <w:pPr>
              <w:pStyle w:val="106"/>
              <w:widowControl w:val="0"/>
              <w:rPr>
                <w:b/>
                <w:color w:val="auto"/>
                <w:sz w:val="21"/>
                <w:szCs w:val="21"/>
                <w:lang w:val="en-US" w:eastAsia="zh-CN"/>
              </w:rPr>
            </w:pPr>
            <w:r>
              <w:rPr>
                <w:b/>
                <w:color w:val="auto"/>
                <w:sz w:val="21"/>
                <w:szCs w:val="21"/>
                <w:lang w:val="en-US" w:eastAsia="zh-CN"/>
              </w:rPr>
              <w:t>施工</w:t>
            </w:r>
          </w:p>
          <w:p>
            <w:pPr>
              <w:pStyle w:val="106"/>
              <w:widowControl w:val="0"/>
              <w:rPr>
                <w:b/>
                <w:color w:val="auto"/>
                <w:sz w:val="21"/>
                <w:szCs w:val="21"/>
                <w:lang w:val="en-US" w:eastAsia="zh-CN"/>
              </w:rPr>
            </w:pPr>
            <w:r>
              <w:rPr>
                <w:b/>
                <w:color w:val="auto"/>
                <w:sz w:val="21"/>
                <w:szCs w:val="21"/>
                <w:lang w:val="en-US" w:eastAsia="zh-CN"/>
              </w:rPr>
              <w:t>阶段</w:t>
            </w:r>
          </w:p>
        </w:tc>
        <w:tc>
          <w:tcPr>
            <w:tcW w:w="982" w:type="dxa"/>
            <w:vMerge w:val="restart"/>
            <w:vAlign w:val="center"/>
          </w:tcPr>
          <w:p>
            <w:pPr>
              <w:pStyle w:val="106"/>
              <w:widowControl w:val="0"/>
              <w:rPr>
                <w:b/>
                <w:color w:val="auto"/>
                <w:sz w:val="21"/>
                <w:szCs w:val="21"/>
                <w:lang w:val="en-US" w:eastAsia="zh-CN"/>
              </w:rPr>
            </w:pPr>
            <w:r>
              <w:rPr>
                <w:b/>
                <w:color w:val="auto"/>
                <w:sz w:val="21"/>
                <w:szCs w:val="21"/>
                <w:lang w:val="en-US" w:eastAsia="zh-CN"/>
              </w:rPr>
              <w:t>主要噪</w:t>
            </w:r>
          </w:p>
          <w:p>
            <w:pPr>
              <w:pStyle w:val="106"/>
              <w:widowControl w:val="0"/>
              <w:rPr>
                <w:b/>
                <w:color w:val="auto"/>
                <w:sz w:val="21"/>
                <w:szCs w:val="21"/>
                <w:lang w:val="en-US" w:eastAsia="zh-CN"/>
              </w:rPr>
            </w:pPr>
            <w:r>
              <w:rPr>
                <w:b/>
                <w:color w:val="auto"/>
                <w:sz w:val="21"/>
                <w:szCs w:val="21"/>
                <w:lang w:val="en-US" w:eastAsia="zh-CN"/>
              </w:rPr>
              <w:t>声源</w:t>
            </w:r>
          </w:p>
        </w:tc>
        <w:tc>
          <w:tcPr>
            <w:tcW w:w="1305" w:type="dxa"/>
            <w:vMerge w:val="restart"/>
            <w:vAlign w:val="center"/>
          </w:tcPr>
          <w:p>
            <w:pPr>
              <w:pStyle w:val="106"/>
              <w:widowControl w:val="0"/>
              <w:rPr>
                <w:b/>
                <w:color w:val="auto"/>
                <w:sz w:val="21"/>
                <w:szCs w:val="21"/>
                <w:lang w:val="en-US" w:eastAsia="zh-CN"/>
              </w:rPr>
            </w:pPr>
            <w:r>
              <w:rPr>
                <w:b/>
                <w:color w:val="auto"/>
                <w:sz w:val="21"/>
                <w:szCs w:val="21"/>
                <w:lang w:val="en-US" w:eastAsia="zh-CN"/>
              </w:rPr>
              <w:t>A声功率级</w:t>
            </w:r>
          </w:p>
          <w:p>
            <w:pPr>
              <w:pStyle w:val="106"/>
              <w:widowControl w:val="0"/>
              <w:rPr>
                <w:b/>
                <w:color w:val="auto"/>
                <w:sz w:val="21"/>
                <w:szCs w:val="21"/>
                <w:lang w:val="en-US" w:eastAsia="zh-CN"/>
              </w:rPr>
            </w:pPr>
            <w:r>
              <w:rPr>
                <w:b/>
                <w:color w:val="auto"/>
                <w:sz w:val="21"/>
                <w:szCs w:val="21"/>
                <w:lang w:val="en-US" w:eastAsia="zh-CN"/>
              </w:rPr>
              <w:t>L</w:t>
            </w:r>
            <w:r>
              <w:rPr>
                <w:b/>
                <w:color w:val="auto"/>
                <w:sz w:val="21"/>
                <w:szCs w:val="21"/>
                <w:vertAlign w:val="subscript"/>
                <w:lang w:val="en-US" w:eastAsia="zh-CN"/>
              </w:rPr>
              <w:t>WA</w:t>
            </w:r>
            <w:r>
              <w:rPr>
                <w:b/>
                <w:color w:val="auto"/>
                <w:sz w:val="21"/>
                <w:szCs w:val="21"/>
                <w:lang w:val="en-US" w:eastAsia="zh-CN"/>
              </w:rPr>
              <w:t>[dB(A)]</w:t>
            </w:r>
          </w:p>
        </w:tc>
        <w:tc>
          <w:tcPr>
            <w:tcW w:w="5556" w:type="dxa"/>
            <w:gridSpan w:val="7"/>
            <w:vAlign w:val="center"/>
          </w:tcPr>
          <w:p>
            <w:pPr>
              <w:pStyle w:val="106"/>
              <w:widowControl w:val="0"/>
              <w:rPr>
                <w:b/>
                <w:color w:val="auto"/>
                <w:sz w:val="21"/>
                <w:szCs w:val="21"/>
                <w:lang w:val="en-US" w:eastAsia="zh-CN"/>
              </w:rPr>
            </w:pPr>
            <w:r>
              <w:rPr>
                <w:b/>
                <w:color w:val="auto"/>
                <w:sz w:val="21"/>
                <w:szCs w:val="21"/>
                <w:lang w:val="en-US" w:eastAsia="zh-CN"/>
              </w:rPr>
              <w:t>等效平均声压级，dB(A)</w:t>
            </w:r>
          </w:p>
        </w:tc>
        <w:tc>
          <w:tcPr>
            <w:tcW w:w="945" w:type="dxa"/>
            <w:vMerge w:val="restart"/>
            <w:vAlign w:val="center"/>
          </w:tcPr>
          <w:p>
            <w:pPr>
              <w:pStyle w:val="106"/>
              <w:widowControl w:val="0"/>
              <w:rPr>
                <w:b/>
                <w:color w:val="auto"/>
                <w:sz w:val="21"/>
                <w:szCs w:val="21"/>
                <w:lang w:val="en-US" w:eastAsia="zh-CN"/>
              </w:rPr>
            </w:pPr>
            <w:r>
              <w:rPr>
                <w:b/>
                <w:color w:val="auto"/>
                <w:sz w:val="21"/>
                <w:szCs w:val="21"/>
                <w:lang w:val="en-US" w:eastAsia="zh-CN"/>
              </w:rPr>
              <w:t>标准</w:t>
            </w:r>
          </w:p>
          <w:p>
            <w:pPr>
              <w:pStyle w:val="106"/>
              <w:widowControl w:val="0"/>
              <w:rPr>
                <w:b/>
                <w:color w:val="auto"/>
                <w:sz w:val="21"/>
                <w:szCs w:val="21"/>
                <w:lang w:val="en-US" w:eastAsia="zh-CN"/>
              </w:rPr>
            </w:pPr>
            <w:r>
              <w:rPr>
                <w:b/>
                <w:color w:val="auto"/>
                <w:sz w:val="21"/>
                <w:szCs w:val="21"/>
                <w:lang w:val="en-US" w:eastAsia="zh-CN"/>
              </w:rPr>
              <w:t>[dB(A)]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499" w:type="dxa"/>
            <w:vMerge w:val="continue"/>
            <w:vAlign w:val="center"/>
          </w:tcPr>
          <w:p>
            <w:pPr>
              <w:pStyle w:val="106"/>
              <w:widowControl w:val="0"/>
              <w:rPr>
                <w:color w:val="auto"/>
                <w:sz w:val="21"/>
                <w:szCs w:val="21"/>
                <w:lang w:val="en-US" w:eastAsia="zh-CN"/>
              </w:rPr>
            </w:pPr>
          </w:p>
        </w:tc>
        <w:tc>
          <w:tcPr>
            <w:tcW w:w="982" w:type="dxa"/>
            <w:vMerge w:val="continue"/>
            <w:vAlign w:val="center"/>
          </w:tcPr>
          <w:p>
            <w:pPr>
              <w:pStyle w:val="106"/>
              <w:widowControl w:val="0"/>
              <w:rPr>
                <w:color w:val="auto"/>
                <w:sz w:val="21"/>
                <w:szCs w:val="21"/>
                <w:lang w:val="en-US" w:eastAsia="zh-CN"/>
              </w:rPr>
            </w:pPr>
          </w:p>
        </w:tc>
        <w:tc>
          <w:tcPr>
            <w:tcW w:w="1305" w:type="dxa"/>
            <w:vMerge w:val="continue"/>
            <w:vAlign w:val="center"/>
          </w:tcPr>
          <w:p>
            <w:pPr>
              <w:pStyle w:val="106"/>
              <w:widowControl w:val="0"/>
              <w:rPr>
                <w:color w:val="auto"/>
                <w:sz w:val="21"/>
                <w:szCs w:val="21"/>
                <w:lang w:val="en-US" w:eastAsia="zh-CN"/>
              </w:rPr>
            </w:pPr>
          </w:p>
        </w:tc>
        <w:tc>
          <w:tcPr>
            <w:tcW w:w="786" w:type="dxa"/>
            <w:vAlign w:val="center"/>
          </w:tcPr>
          <w:p>
            <w:pPr>
              <w:pStyle w:val="106"/>
              <w:widowControl w:val="0"/>
              <w:rPr>
                <w:color w:val="auto"/>
                <w:sz w:val="21"/>
                <w:szCs w:val="21"/>
                <w:lang w:val="en-US" w:eastAsia="zh-CN"/>
              </w:rPr>
            </w:pPr>
            <w:r>
              <w:rPr>
                <w:color w:val="auto"/>
                <w:sz w:val="21"/>
                <w:szCs w:val="21"/>
                <w:lang w:val="en-US" w:eastAsia="zh-CN"/>
              </w:rPr>
              <w:t>30m</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50m</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100m</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200m</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230m</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400m</w:t>
            </w:r>
          </w:p>
        </w:tc>
        <w:tc>
          <w:tcPr>
            <w:tcW w:w="840" w:type="dxa"/>
            <w:vAlign w:val="center"/>
          </w:tcPr>
          <w:p>
            <w:pPr>
              <w:pStyle w:val="106"/>
              <w:widowControl w:val="0"/>
              <w:rPr>
                <w:color w:val="auto"/>
                <w:sz w:val="21"/>
                <w:szCs w:val="21"/>
                <w:lang w:val="en-US" w:eastAsia="zh-CN"/>
              </w:rPr>
            </w:pPr>
            <w:r>
              <w:rPr>
                <w:color w:val="auto"/>
                <w:sz w:val="21"/>
                <w:szCs w:val="21"/>
                <w:lang w:val="en-US" w:eastAsia="zh-CN"/>
              </w:rPr>
              <w:t>2000m</w:t>
            </w:r>
          </w:p>
        </w:tc>
        <w:tc>
          <w:tcPr>
            <w:tcW w:w="945" w:type="dxa"/>
            <w:vMerge w:val="continue"/>
            <w:vAlign w:val="center"/>
          </w:tcPr>
          <w:p>
            <w:pPr>
              <w:pStyle w:val="106"/>
              <w:widowControl w:val="0"/>
              <w:rPr>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499" w:type="dxa"/>
            <w:vAlign w:val="center"/>
          </w:tcPr>
          <w:p>
            <w:pPr>
              <w:pStyle w:val="106"/>
              <w:widowControl w:val="0"/>
              <w:rPr>
                <w:color w:val="auto"/>
                <w:sz w:val="21"/>
                <w:szCs w:val="21"/>
                <w:lang w:val="en-US" w:eastAsia="zh-CN"/>
              </w:rPr>
            </w:pPr>
            <w:r>
              <w:rPr>
                <w:color w:val="auto"/>
                <w:sz w:val="21"/>
                <w:szCs w:val="21"/>
                <w:lang w:val="en-US" w:eastAsia="zh-CN"/>
              </w:rPr>
              <w:t>土方</w:t>
            </w:r>
          </w:p>
        </w:tc>
        <w:tc>
          <w:tcPr>
            <w:tcW w:w="982" w:type="dxa"/>
            <w:vAlign w:val="center"/>
          </w:tcPr>
          <w:p>
            <w:pPr>
              <w:pStyle w:val="106"/>
              <w:widowControl w:val="0"/>
              <w:rPr>
                <w:color w:val="auto"/>
                <w:sz w:val="21"/>
                <w:szCs w:val="21"/>
                <w:lang w:val="en-US" w:eastAsia="zh-CN"/>
              </w:rPr>
            </w:pPr>
            <w:r>
              <w:rPr>
                <w:color w:val="auto"/>
                <w:sz w:val="21"/>
                <w:szCs w:val="21"/>
                <w:lang w:val="en-US" w:eastAsia="zh-CN"/>
              </w:rPr>
              <w:t>推土机、挖掘机等</w:t>
            </w:r>
          </w:p>
        </w:tc>
        <w:tc>
          <w:tcPr>
            <w:tcW w:w="1305" w:type="dxa"/>
            <w:vAlign w:val="center"/>
          </w:tcPr>
          <w:p>
            <w:pPr>
              <w:pStyle w:val="106"/>
              <w:widowControl w:val="0"/>
              <w:rPr>
                <w:color w:val="auto"/>
                <w:sz w:val="21"/>
                <w:szCs w:val="21"/>
                <w:lang w:val="en-US" w:eastAsia="zh-CN"/>
              </w:rPr>
            </w:pPr>
            <w:r>
              <w:rPr>
                <w:color w:val="auto"/>
                <w:sz w:val="21"/>
                <w:szCs w:val="21"/>
                <w:lang w:val="en-US" w:eastAsia="zh-CN"/>
              </w:rPr>
              <w:t>100~110</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62~72</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58~68</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52~62</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46~56</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44~54</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40~50</w:t>
            </w:r>
          </w:p>
        </w:tc>
        <w:tc>
          <w:tcPr>
            <w:tcW w:w="840" w:type="dxa"/>
            <w:vAlign w:val="center"/>
          </w:tcPr>
          <w:p>
            <w:pPr>
              <w:pStyle w:val="106"/>
              <w:widowControl w:val="0"/>
              <w:rPr>
                <w:color w:val="auto"/>
                <w:sz w:val="21"/>
                <w:szCs w:val="21"/>
                <w:lang w:val="en-US" w:eastAsia="zh-CN"/>
              </w:rPr>
            </w:pPr>
            <w:r>
              <w:rPr>
                <w:color w:val="auto"/>
                <w:sz w:val="21"/>
                <w:szCs w:val="21"/>
                <w:lang w:val="en-US" w:eastAsia="zh-CN"/>
              </w:rPr>
              <w:t>26~36</w:t>
            </w:r>
          </w:p>
        </w:tc>
        <w:tc>
          <w:tcPr>
            <w:tcW w:w="945" w:type="dxa"/>
            <w:vMerge w:val="restart"/>
            <w:vAlign w:val="center"/>
          </w:tcPr>
          <w:p>
            <w:pPr>
              <w:pStyle w:val="106"/>
              <w:widowControl w:val="0"/>
              <w:rPr>
                <w:color w:val="auto"/>
                <w:sz w:val="21"/>
                <w:szCs w:val="21"/>
                <w:lang w:val="en-US" w:eastAsia="zh-CN"/>
              </w:rPr>
            </w:pPr>
            <w:r>
              <w:rPr>
                <w:color w:val="auto"/>
                <w:sz w:val="21"/>
                <w:szCs w:val="21"/>
                <w:lang w:val="en-US" w:eastAsia="zh-CN"/>
              </w:rPr>
              <w:t>昼间</w:t>
            </w:r>
          </w:p>
          <w:p>
            <w:pPr>
              <w:pStyle w:val="106"/>
              <w:widowControl w:val="0"/>
              <w:rPr>
                <w:color w:val="auto"/>
                <w:sz w:val="21"/>
                <w:szCs w:val="21"/>
                <w:lang w:val="en-US" w:eastAsia="zh-CN"/>
              </w:rPr>
            </w:pPr>
            <w:r>
              <w:rPr>
                <w:color w:val="auto"/>
                <w:sz w:val="21"/>
                <w:szCs w:val="21"/>
                <w:lang w:val="en-US" w:eastAsia="zh-CN"/>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499" w:type="dxa"/>
            <w:vAlign w:val="center"/>
          </w:tcPr>
          <w:p>
            <w:pPr>
              <w:pStyle w:val="106"/>
              <w:widowControl w:val="0"/>
              <w:rPr>
                <w:color w:val="auto"/>
                <w:sz w:val="21"/>
                <w:szCs w:val="21"/>
                <w:lang w:val="en-US" w:eastAsia="zh-CN"/>
              </w:rPr>
            </w:pPr>
            <w:r>
              <w:rPr>
                <w:color w:val="auto"/>
                <w:sz w:val="21"/>
                <w:szCs w:val="21"/>
                <w:lang w:val="en-US" w:eastAsia="zh-CN"/>
              </w:rPr>
              <w:t>基础</w:t>
            </w:r>
          </w:p>
        </w:tc>
        <w:tc>
          <w:tcPr>
            <w:tcW w:w="982" w:type="dxa"/>
            <w:vAlign w:val="center"/>
          </w:tcPr>
          <w:p>
            <w:pPr>
              <w:pStyle w:val="106"/>
              <w:widowControl w:val="0"/>
              <w:rPr>
                <w:color w:val="auto"/>
                <w:sz w:val="21"/>
                <w:szCs w:val="21"/>
                <w:lang w:val="en-US" w:eastAsia="zh-CN"/>
              </w:rPr>
            </w:pPr>
            <w:r>
              <w:rPr>
                <w:color w:val="auto"/>
                <w:sz w:val="21"/>
                <w:szCs w:val="21"/>
                <w:lang w:val="en-US" w:eastAsia="zh-CN"/>
              </w:rPr>
              <w:t>移动式空压机等</w:t>
            </w:r>
          </w:p>
        </w:tc>
        <w:tc>
          <w:tcPr>
            <w:tcW w:w="1305" w:type="dxa"/>
            <w:vAlign w:val="center"/>
          </w:tcPr>
          <w:p>
            <w:pPr>
              <w:pStyle w:val="106"/>
              <w:widowControl w:val="0"/>
              <w:rPr>
                <w:color w:val="auto"/>
                <w:sz w:val="21"/>
                <w:szCs w:val="21"/>
                <w:lang w:val="en-US" w:eastAsia="zh-CN"/>
              </w:rPr>
            </w:pPr>
            <w:r>
              <w:rPr>
                <w:color w:val="auto"/>
                <w:sz w:val="21"/>
                <w:szCs w:val="21"/>
                <w:lang w:val="en-US" w:eastAsia="zh-CN"/>
              </w:rPr>
              <w:t>120~130</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82~92</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78~88</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72~82</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66~76</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64~74</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60~70</w:t>
            </w:r>
          </w:p>
        </w:tc>
        <w:tc>
          <w:tcPr>
            <w:tcW w:w="840" w:type="dxa"/>
            <w:vAlign w:val="center"/>
          </w:tcPr>
          <w:p>
            <w:pPr>
              <w:pStyle w:val="106"/>
              <w:widowControl w:val="0"/>
              <w:rPr>
                <w:color w:val="auto"/>
                <w:sz w:val="21"/>
                <w:szCs w:val="21"/>
                <w:lang w:val="en-US" w:eastAsia="zh-CN"/>
              </w:rPr>
            </w:pPr>
            <w:r>
              <w:rPr>
                <w:color w:val="auto"/>
                <w:sz w:val="21"/>
                <w:szCs w:val="21"/>
                <w:lang w:val="en-US" w:eastAsia="zh-CN"/>
              </w:rPr>
              <w:t>46~56</w:t>
            </w:r>
          </w:p>
        </w:tc>
        <w:tc>
          <w:tcPr>
            <w:tcW w:w="945" w:type="dxa"/>
            <w:vMerge w:val="continue"/>
            <w:vAlign w:val="center"/>
          </w:tcPr>
          <w:p>
            <w:pPr>
              <w:pStyle w:val="106"/>
              <w:widowControl w:val="0"/>
              <w:rPr>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499" w:type="dxa"/>
            <w:vAlign w:val="center"/>
          </w:tcPr>
          <w:p>
            <w:pPr>
              <w:pStyle w:val="106"/>
              <w:widowControl w:val="0"/>
              <w:rPr>
                <w:color w:val="auto"/>
                <w:sz w:val="21"/>
                <w:szCs w:val="21"/>
                <w:lang w:val="en-US" w:eastAsia="zh-CN"/>
              </w:rPr>
            </w:pPr>
            <w:r>
              <w:rPr>
                <w:color w:val="auto"/>
                <w:sz w:val="21"/>
                <w:szCs w:val="21"/>
                <w:lang w:val="en-US" w:eastAsia="zh-CN"/>
              </w:rPr>
              <w:t>结构</w:t>
            </w:r>
          </w:p>
        </w:tc>
        <w:tc>
          <w:tcPr>
            <w:tcW w:w="982" w:type="dxa"/>
            <w:vAlign w:val="center"/>
          </w:tcPr>
          <w:p>
            <w:pPr>
              <w:pStyle w:val="106"/>
              <w:widowControl w:val="0"/>
              <w:rPr>
                <w:color w:val="auto"/>
                <w:sz w:val="21"/>
                <w:szCs w:val="21"/>
                <w:lang w:val="en-US" w:eastAsia="zh-CN"/>
              </w:rPr>
            </w:pPr>
            <w:r>
              <w:rPr>
                <w:color w:val="auto"/>
                <w:sz w:val="21"/>
                <w:szCs w:val="21"/>
                <w:lang w:val="en-US" w:eastAsia="zh-CN"/>
              </w:rPr>
              <w:t>混凝土搅拌车</w:t>
            </w:r>
          </w:p>
        </w:tc>
        <w:tc>
          <w:tcPr>
            <w:tcW w:w="1305" w:type="dxa"/>
            <w:vAlign w:val="center"/>
          </w:tcPr>
          <w:p>
            <w:pPr>
              <w:pStyle w:val="106"/>
              <w:widowControl w:val="0"/>
              <w:rPr>
                <w:color w:val="auto"/>
                <w:sz w:val="21"/>
                <w:szCs w:val="21"/>
                <w:lang w:val="en-US" w:eastAsia="zh-CN"/>
              </w:rPr>
            </w:pPr>
            <w:r>
              <w:rPr>
                <w:color w:val="auto"/>
                <w:sz w:val="21"/>
                <w:szCs w:val="21"/>
                <w:lang w:val="en-US" w:eastAsia="zh-CN"/>
              </w:rPr>
              <w:t>100~110</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62~73</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58~68</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52~62</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46~56</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44~54</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40~50</w:t>
            </w:r>
          </w:p>
        </w:tc>
        <w:tc>
          <w:tcPr>
            <w:tcW w:w="840" w:type="dxa"/>
            <w:vAlign w:val="center"/>
          </w:tcPr>
          <w:p>
            <w:pPr>
              <w:pStyle w:val="106"/>
              <w:widowControl w:val="0"/>
              <w:rPr>
                <w:color w:val="auto"/>
                <w:sz w:val="21"/>
                <w:szCs w:val="21"/>
                <w:lang w:val="en-US" w:eastAsia="zh-CN"/>
              </w:rPr>
            </w:pPr>
            <w:r>
              <w:rPr>
                <w:color w:val="auto"/>
                <w:sz w:val="21"/>
                <w:szCs w:val="21"/>
                <w:lang w:val="en-US" w:eastAsia="zh-CN"/>
              </w:rPr>
              <w:t>26~36</w:t>
            </w:r>
          </w:p>
        </w:tc>
        <w:tc>
          <w:tcPr>
            <w:tcW w:w="945" w:type="dxa"/>
            <w:vMerge w:val="restart"/>
            <w:vAlign w:val="center"/>
          </w:tcPr>
          <w:p>
            <w:pPr>
              <w:pStyle w:val="106"/>
              <w:widowControl w:val="0"/>
              <w:rPr>
                <w:color w:val="auto"/>
                <w:sz w:val="21"/>
                <w:szCs w:val="21"/>
                <w:lang w:val="en-US" w:eastAsia="zh-CN"/>
              </w:rPr>
            </w:pPr>
            <w:r>
              <w:rPr>
                <w:color w:val="auto"/>
                <w:sz w:val="21"/>
                <w:szCs w:val="21"/>
                <w:lang w:val="en-US" w:eastAsia="zh-CN"/>
              </w:rPr>
              <w:t>夜间</w:t>
            </w:r>
          </w:p>
          <w:p>
            <w:pPr>
              <w:pStyle w:val="106"/>
              <w:widowControl w:val="0"/>
              <w:rPr>
                <w:color w:val="auto"/>
                <w:sz w:val="21"/>
                <w:szCs w:val="21"/>
                <w:lang w:val="en-US" w:eastAsia="zh-CN"/>
              </w:rPr>
            </w:pPr>
            <w:r>
              <w:rPr>
                <w:color w:val="auto"/>
                <w:sz w:val="21"/>
                <w:szCs w:val="21"/>
                <w:lang w:val="en-US" w:eastAsia="zh-CN"/>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499" w:type="dxa"/>
            <w:vAlign w:val="center"/>
          </w:tcPr>
          <w:p>
            <w:pPr>
              <w:pStyle w:val="106"/>
              <w:widowControl w:val="0"/>
              <w:rPr>
                <w:color w:val="auto"/>
                <w:sz w:val="21"/>
                <w:szCs w:val="21"/>
                <w:lang w:val="en-US" w:eastAsia="zh-CN"/>
              </w:rPr>
            </w:pPr>
            <w:r>
              <w:rPr>
                <w:color w:val="auto"/>
                <w:sz w:val="21"/>
                <w:szCs w:val="21"/>
                <w:lang w:val="en-US" w:eastAsia="zh-CN"/>
              </w:rPr>
              <w:t>装修</w:t>
            </w:r>
          </w:p>
        </w:tc>
        <w:tc>
          <w:tcPr>
            <w:tcW w:w="982" w:type="dxa"/>
            <w:vAlign w:val="center"/>
          </w:tcPr>
          <w:p>
            <w:pPr>
              <w:pStyle w:val="106"/>
              <w:widowControl w:val="0"/>
              <w:rPr>
                <w:color w:val="auto"/>
                <w:sz w:val="21"/>
                <w:szCs w:val="21"/>
                <w:lang w:val="en-US" w:eastAsia="zh-CN"/>
              </w:rPr>
            </w:pPr>
            <w:r>
              <w:rPr>
                <w:color w:val="auto"/>
                <w:sz w:val="21"/>
                <w:szCs w:val="21"/>
                <w:lang w:val="en-US" w:eastAsia="zh-CN"/>
              </w:rPr>
              <w:t>电梯、升降机</w:t>
            </w:r>
          </w:p>
        </w:tc>
        <w:tc>
          <w:tcPr>
            <w:tcW w:w="1305" w:type="dxa"/>
            <w:vAlign w:val="center"/>
          </w:tcPr>
          <w:p>
            <w:pPr>
              <w:pStyle w:val="106"/>
              <w:widowControl w:val="0"/>
              <w:rPr>
                <w:color w:val="auto"/>
                <w:sz w:val="21"/>
                <w:szCs w:val="21"/>
                <w:lang w:val="en-US" w:eastAsia="zh-CN"/>
              </w:rPr>
            </w:pPr>
            <w:r>
              <w:rPr>
                <w:color w:val="auto"/>
                <w:sz w:val="21"/>
                <w:szCs w:val="21"/>
                <w:lang w:val="en-US" w:eastAsia="zh-CN"/>
              </w:rPr>
              <w:t>96~100</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59~63</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54~58</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48~52</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42~46</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40~44</w:t>
            </w:r>
          </w:p>
        </w:tc>
        <w:tc>
          <w:tcPr>
            <w:tcW w:w="786" w:type="dxa"/>
            <w:vAlign w:val="center"/>
          </w:tcPr>
          <w:p>
            <w:pPr>
              <w:pStyle w:val="106"/>
              <w:widowControl w:val="0"/>
              <w:rPr>
                <w:color w:val="auto"/>
                <w:sz w:val="21"/>
                <w:szCs w:val="21"/>
                <w:lang w:val="en-US" w:eastAsia="zh-CN"/>
              </w:rPr>
            </w:pPr>
            <w:r>
              <w:rPr>
                <w:color w:val="auto"/>
                <w:sz w:val="21"/>
                <w:szCs w:val="21"/>
                <w:lang w:val="en-US" w:eastAsia="zh-CN"/>
              </w:rPr>
              <w:t>36~40</w:t>
            </w:r>
          </w:p>
        </w:tc>
        <w:tc>
          <w:tcPr>
            <w:tcW w:w="840" w:type="dxa"/>
            <w:vAlign w:val="center"/>
          </w:tcPr>
          <w:p>
            <w:pPr>
              <w:pStyle w:val="106"/>
              <w:widowControl w:val="0"/>
              <w:rPr>
                <w:color w:val="auto"/>
                <w:sz w:val="21"/>
                <w:szCs w:val="21"/>
                <w:lang w:val="en-US" w:eastAsia="zh-CN"/>
              </w:rPr>
            </w:pPr>
            <w:r>
              <w:rPr>
                <w:color w:val="auto"/>
                <w:sz w:val="21"/>
                <w:szCs w:val="21"/>
                <w:lang w:val="en-US" w:eastAsia="zh-CN"/>
              </w:rPr>
              <w:t>22~26</w:t>
            </w:r>
          </w:p>
        </w:tc>
        <w:tc>
          <w:tcPr>
            <w:tcW w:w="945" w:type="dxa"/>
            <w:vMerge w:val="continue"/>
            <w:vAlign w:val="center"/>
          </w:tcPr>
          <w:p>
            <w:pPr>
              <w:pStyle w:val="106"/>
              <w:widowControl w:val="0"/>
              <w:rPr>
                <w:color w:val="auto"/>
                <w:sz w:val="21"/>
                <w:szCs w:val="21"/>
                <w:lang w:val="en-US" w:eastAsia="zh-CN"/>
              </w:rPr>
            </w:pPr>
          </w:p>
        </w:tc>
      </w:tr>
    </w:tbl>
    <w:p>
      <w:pPr>
        <w:pStyle w:val="108"/>
        <w:spacing w:after="0"/>
        <w:rPr>
          <w:rFonts w:eastAsia="宋体"/>
          <w:color w:val="auto"/>
        </w:rPr>
      </w:pPr>
      <w:r>
        <w:rPr>
          <w:rFonts w:eastAsia="宋体"/>
          <w:color w:val="auto"/>
        </w:rPr>
        <w:t>由表5.1-6可知：施工过程中的噪声污染源主要为产生高强度噪声的施工机械，在230m范围外产生的噪声影响可满足《建筑施工场界环境噪声排放标准》夜间的标准限值。</w:t>
      </w:r>
    </w:p>
    <w:p>
      <w:pPr>
        <w:pStyle w:val="108"/>
        <w:spacing w:after="0"/>
        <w:rPr>
          <w:rFonts w:eastAsia="宋体"/>
          <w:color w:val="auto"/>
        </w:rPr>
      </w:pPr>
      <w:r>
        <w:rPr>
          <w:rFonts w:eastAsia="宋体"/>
          <w:color w:val="auto"/>
        </w:rPr>
        <w:t>（3）施工期噪声环境影响控制措施</w:t>
      </w:r>
    </w:p>
    <w:p>
      <w:pPr>
        <w:pStyle w:val="108"/>
        <w:spacing w:after="0"/>
        <w:rPr>
          <w:rFonts w:eastAsia="宋体"/>
          <w:color w:val="auto"/>
        </w:rPr>
      </w:pPr>
      <w:r>
        <w:rPr>
          <w:rFonts w:eastAsia="宋体"/>
          <w:color w:val="auto"/>
        </w:rPr>
        <w:t>施工机械噪声对施工作业人员及施工作业区附近的声环境将产生一定程度的影响。为了减轻施工期噪声的环境影响，</w:t>
      </w:r>
      <w:r>
        <w:rPr>
          <w:rFonts w:hint="eastAsia" w:eastAsia="宋体"/>
          <w:color w:val="auto"/>
        </w:rPr>
        <w:t>建议</w:t>
      </w:r>
      <w:r>
        <w:rPr>
          <w:rFonts w:eastAsia="宋体"/>
          <w:color w:val="auto"/>
        </w:rPr>
        <w:t>本项目采取以下控制措施：</w:t>
      </w:r>
    </w:p>
    <w:p>
      <w:pPr>
        <w:pStyle w:val="108"/>
        <w:spacing w:after="0"/>
        <w:rPr>
          <w:rFonts w:eastAsia="宋体"/>
          <w:color w:val="auto"/>
        </w:rPr>
      </w:pPr>
      <w:r>
        <w:rPr>
          <w:rFonts w:hint="eastAsia" w:ascii="宋体" w:hAnsi="宋体" w:eastAsia="宋体" w:cs="宋体"/>
          <w:color w:val="auto"/>
        </w:rPr>
        <w:t>①</w:t>
      </w:r>
      <w:r>
        <w:rPr>
          <w:rFonts w:eastAsia="宋体"/>
          <w:color w:val="auto"/>
        </w:rPr>
        <w:t>合理选择施工机械、施工方法，在施工中要尽量采用低噪声，振动小的施工机械，如以液压工具代替气压工具，如以焊接代替铆焊，减少噪声污染。对高噪声高振动设备要采取有效的降噪减振措施，如加弹性垫、包覆和隔声罩等办法，有效的减少施工现场的噪声和振动污染。</w:t>
      </w:r>
    </w:p>
    <w:p>
      <w:pPr>
        <w:pStyle w:val="108"/>
        <w:spacing w:after="0"/>
        <w:rPr>
          <w:rFonts w:eastAsia="宋体"/>
          <w:color w:val="auto"/>
        </w:rPr>
      </w:pPr>
      <w:r>
        <w:rPr>
          <w:rFonts w:hint="eastAsia" w:ascii="宋体" w:hAnsi="宋体" w:eastAsia="宋体" w:cs="宋体"/>
          <w:color w:val="auto"/>
        </w:rPr>
        <w:t>②</w:t>
      </w:r>
      <w:r>
        <w:rPr>
          <w:rFonts w:eastAsia="宋体"/>
          <w:color w:val="auto"/>
        </w:rPr>
        <w:t>尽量压缩施工区汽车数量与行车密度，机动车辆进出施工场地应禁鸣喇叭，可移动高噪声设备应设置在远离居民区的地方。使设备噪声通过治理、距离衰减后对其周围敏感点不产生影响。</w:t>
      </w:r>
    </w:p>
    <w:p>
      <w:pPr>
        <w:pStyle w:val="108"/>
        <w:spacing w:after="0"/>
        <w:rPr>
          <w:rFonts w:eastAsia="宋体"/>
          <w:color w:val="auto"/>
        </w:rPr>
      </w:pPr>
      <w:r>
        <w:rPr>
          <w:rFonts w:hint="eastAsia" w:ascii="宋体" w:hAnsi="宋体" w:eastAsia="宋体" w:cs="宋体"/>
          <w:color w:val="auto"/>
        </w:rPr>
        <w:t>③</w:t>
      </w:r>
      <w:r>
        <w:rPr>
          <w:rFonts w:eastAsia="宋体"/>
          <w:color w:val="auto"/>
        </w:rPr>
        <w:t>避免在同一时间集中使用大量的动力机械设备，尽量减轻由于施工给周围环境带来的影响。</w:t>
      </w:r>
    </w:p>
    <w:p>
      <w:pPr>
        <w:pStyle w:val="108"/>
        <w:spacing w:after="0"/>
        <w:rPr>
          <w:rFonts w:eastAsia="宋体"/>
          <w:color w:val="auto"/>
        </w:rPr>
      </w:pPr>
      <w:r>
        <w:rPr>
          <w:rFonts w:hint="eastAsia" w:ascii="宋体" w:hAnsi="宋体" w:eastAsia="宋体" w:cs="宋体"/>
          <w:color w:val="auto"/>
        </w:rPr>
        <w:t>④</w:t>
      </w:r>
      <w:r>
        <w:rPr>
          <w:rFonts w:eastAsia="宋体"/>
          <w:color w:val="auto"/>
        </w:rPr>
        <w:t>在施工过程中，应经常对施工设备进行维修保养，避免由于设备带病运行使噪声增强的现象发生。</w:t>
      </w:r>
    </w:p>
    <w:p>
      <w:pPr>
        <w:pStyle w:val="108"/>
        <w:spacing w:after="0"/>
        <w:rPr>
          <w:rFonts w:eastAsia="宋体"/>
          <w:color w:val="auto"/>
        </w:rPr>
      </w:pPr>
      <w:r>
        <w:rPr>
          <w:rFonts w:eastAsia="宋体"/>
          <w:color w:val="auto"/>
        </w:rPr>
        <w:t>综上所述</w:t>
      </w:r>
      <w:r>
        <w:rPr>
          <w:rFonts w:hint="eastAsia" w:eastAsia="宋体"/>
          <w:color w:val="auto"/>
        </w:rPr>
        <w:t>，</w:t>
      </w:r>
      <w:r>
        <w:rPr>
          <w:rFonts w:eastAsia="宋体"/>
          <w:color w:val="auto"/>
        </w:rPr>
        <w:t>施工期间采取一定的措施可避免或减轻其噪声污染。</w:t>
      </w:r>
      <w:r>
        <w:rPr>
          <w:rFonts w:hint="eastAsia" w:eastAsia="宋体"/>
          <w:color w:val="auto"/>
        </w:rPr>
        <w:t>周边主要为山体和林地，可以和敏感点形成自然阻隔，施工期噪声影响经过绿化隔声降噪影响可接受。</w:t>
      </w:r>
      <w:r>
        <w:rPr>
          <w:rFonts w:eastAsia="宋体"/>
          <w:color w:val="auto"/>
        </w:rPr>
        <w:t>总之，施工期噪声对环境的影响是短期的，也是局部小范围内的，随着施工结束其影响也随之消失。</w:t>
      </w:r>
    </w:p>
    <w:p>
      <w:pPr>
        <w:pStyle w:val="104"/>
        <w:ind w:firstLine="0" w:firstLineChars="0"/>
        <w:rPr>
          <w:bCs/>
          <w:color w:val="auto"/>
        </w:rPr>
      </w:pPr>
      <w:bookmarkStart w:id="602" w:name="_Toc403649941"/>
      <w:bookmarkStart w:id="603" w:name="_Toc392489070"/>
      <w:bookmarkStart w:id="604" w:name="_Toc393115262"/>
      <w:bookmarkStart w:id="605" w:name="_Toc413250909"/>
      <w:bookmarkStart w:id="606" w:name="_Toc404087087"/>
      <w:bookmarkStart w:id="607" w:name="_Toc373924237"/>
      <w:bookmarkStart w:id="608" w:name="_Toc392489175"/>
      <w:bookmarkStart w:id="609" w:name="_Toc389557302"/>
      <w:bookmarkStart w:id="610" w:name="_Toc408820559"/>
      <w:bookmarkStart w:id="611" w:name="_Toc413251446"/>
      <w:bookmarkStart w:id="612" w:name="_Toc404090899"/>
      <w:bookmarkStart w:id="613" w:name="_Toc406091946"/>
      <w:bookmarkStart w:id="614" w:name="_Toc380053289"/>
      <w:bookmarkStart w:id="615" w:name="_Toc372546073"/>
      <w:r>
        <w:rPr>
          <w:bCs/>
          <w:color w:val="auto"/>
          <w:lang w:eastAsia="zh-CN"/>
        </w:rPr>
        <w:t>5</w:t>
      </w:r>
      <w:r>
        <w:rPr>
          <w:bCs/>
          <w:color w:val="auto"/>
        </w:rPr>
        <w:t>.1.3.4施工期固体废物</w:t>
      </w:r>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p>
    <w:p>
      <w:pPr>
        <w:pStyle w:val="108"/>
        <w:spacing w:after="0"/>
        <w:rPr>
          <w:rFonts w:eastAsia="宋体"/>
          <w:color w:val="auto"/>
        </w:rPr>
      </w:pPr>
      <w:bookmarkStart w:id="616" w:name="_Toc169616447"/>
      <w:r>
        <w:rPr>
          <w:rFonts w:eastAsia="宋体"/>
          <w:color w:val="auto"/>
        </w:rPr>
        <w:t>施工期的固体废物主要来自弃土、废建筑材料和施工人员生活产生的生活垃圾。</w:t>
      </w:r>
    </w:p>
    <w:p>
      <w:pPr>
        <w:pStyle w:val="108"/>
        <w:spacing w:after="0"/>
        <w:rPr>
          <w:rFonts w:eastAsia="宋体"/>
          <w:color w:val="auto"/>
        </w:rPr>
      </w:pPr>
      <w:r>
        <w:rPr>
          <w:rFonts w:eastAsia="宋体"/>
          <w:color w:val="auto"/>
        </w:rPr>
        <w:t>施工期间将涉及到土地开挖、道路修筑、管道敷设、材料运输、基础工程、房屋建筑等工程，在此期间将有一定数量的废弃建筑材料如砂石、石灰、混凝土、废砖、土石方等。</w:t>
      </w:r>
    </w:p>
    <w:p>
      <w:pPr>
        <w:pStyle w:val="108"/>
        <w:spacing w:after="0"/>
        <w:rPr>
          <w:rFonts w:eastAsia="宋体"/>
          <w:color w:val="auto"/>
        </w:rPr>
      </w:pPr>
      <w:r>
        <w:rPr>
          <w:rFonts w:eastAsia="宋体"/>
          <w:color w:val="auto"/>
        </w:rPr>
        <w:t>本项目建设期间施工人员工作和生活都在施工现场，其日常生活将产生一定数量的生活垃圾。</w:t>
      </w:r>
    </w:p>
    <w:p>
      <w:pPr>
        <w:pStyle w:val="108"/>
        <w:spacing w:after="0"/>
        <w:rPr>
          <w:rFonts w:eastAsia="宋体"/>
          <w:color w:val="auto"/>
        </w:rPr>
      </w:pPr>
      <w:r>
        <w:rPr>
          <w:rFonts w:eastAsia="宋体"/>
          <w:color w:val="auto"/>
        </w:rPr>
        <w:t>对施工现场要及时进行清理，建筑垃圾要及时清运、加以利用，防止其因长期堆放而产生扬尘。施工过程中产生的生活垃圾如不及时进行清运处理，则会腐烂变质，滋生蚊虫苍蝇，产生恶臭，传染疾病，从而对周围环境和作业人员健康带来不利影响。所以本项目建设期间对生活垃圾要进行专门收集，并定期交给环卫部门集中送垃圾场进行无害化处置，严禁乱堆乱扔，防止产生二次污染。</w:t>
      </w:r>
    </w:p>
    <w:p>
      <w:pPr>
        <w:pStyle w:val="104"/>
        <w:ind w:firstLine="0" w:firstLineChars="0"/>
        <w:rPr>
          <w:bCs/>
          <w:color w:val="auto"/>
        </w:rPr>
      </w:pPr>
      <w:r>
        <w:rPr>
          <w:bCs/>
          <w:color w:val="auto"/>
          <w:lang w:eastAsia="zh-CN"/>
        </w:rPr>
        <w:t>5</w:t>
      </w:r>
      <w:r>
        <w:rPr>
          <w:bCs/>
          <w:color w:val="auto"/>
        </w:rPr>
        <w:t>.1.3.5生态环境影响</w:t>
      </w:r>
    </w:p>
    <w:p>
      <w:pPr>
        <w:pStyle w:val="16"/>
        <w:spacing w:before="0" w:beforeAutospacing="0" w:after="0" w:line="360" w:lineRule="auto"/>
        <w:ind w:firstLine="530"/>
        <w:jc w:val="both"/>
        <w:rPr>
          <w:color w:val="auto"/>
          <w:szCs w:val="24"/>
        </w:rPr>
      </w:pPr>
      <w:r>
        <w:rPr>
          <w:color w:val="auto"/>
          <w:spacing w:val="2"/>
          <w:szCs w:val="24"/>
        </w:rPr>
        <w:t>施工期的</w:t>
      </w:r>
      <w:r>
        <w:rPr>
          <w:color w:val="auto"/>
          <w:szCs w:val="24"/>
        </w:rPr>
        <w:t>开</w:t>
      </w:r>
      <w:r>
        <w:rPr>
          <w:color w:val="auto"/>
          <w:spacing w:val="2"/>
          <w:szCs w:val="24"/>
        </w:rPr>
        <w:t>挖等将</w:t>
      </w:r>
      <w:r>
        <w:rPr>
          <w:color w:val="auto"/>
          <w:szCs w:val="24"/>
        </w:rPr>
        <w:t>破坏</w:t>
      </w:r>
      <w:r>
        <w:rPr>
          <w:color w:val="auto"/>
          <w:spacing w:val="2"/>
          <w:szCs w:val="24"/>
        </w:rPr>
        <w:t>项目区域</w:t>
      </w:r>
      <w:r>
        <w:rPr>
          <w:color w:val="auto"/>
          <w:szCs w:val="24"/>
        </w:rPr>
        <w:t>原</w:t>
      </w:r>
      <w:r>
        <w:rPr>
          <w:color w:val="auto"/>
          <w:spacing w:val="2"/>
          <w:szCs w:val="24"/>
        </w:rPr>
        <w:t>有的生</w:t>
      </w:r>
      <w:r>
        <w:rPr>
          <w:color w:val="auto"/>
          <w:szCs w:val="24"/>
        </w:rPr>
        <w:t>态环</w:t>
      </w:r>
      <w:r>
        <w:rPr>
          <w:color w:val="auto"/>
          <w:spacing w:val="2"/>
          <w:szCs w:val="24"/>
        </w:rPr>
        <w:t>境，使得</w:t>
      </w:r>
      <w:r>
        <w:rPr>
          <w:color w:val="auto"/>
          <w:szCs w:val="24"/>
        </w:rPr>
        <w:t>工</w:t>
      </w:r>
      <w:r>
        <w:rPr>
          <w:color w:val="auto"/>
          <w:spacing w:val="2"/>
          <w:szCs w:val="24"/>
        </w:rPr>
        <w:t>程项目</w:t>
      </w:r>
      <w:r>
        <w:rPr>
          <w:color w:val="auto"/>
          <w:szCs w:val="24"/>
        </w:rPr>
        <w:t>内原</w:t>
      </w:r>
      <w:r>
        <w:rPr>
          <w:color w:val="auto"/>
          <w:spacing w:val="2"/>
          <w:szCs w:val="24"/>
        </w:rPr>
        <w:t>有的植被完全破</w:t>
      </w:r>
      <w:r>
        <w:rPr>
          <w:color w:val="auto"/>
          <w:spacing w:val="4"/>
          <w:szCs w:val="24"/>
        </w:rPr>
        <w:t>坏</w:t>
      </w:r>
      <w:r>
        <w:rPr>
          <w:color w:val="auto"/>
          <w:spacing w:val="2"/>
          <w:szCs w:val="24"/>
        </w:rPr>
        <w:t>，土</w:t>
      </w:r>
      <w:r>
        <w:rPr>
          <w:color w:val="auto"/>
          <w:spacing w:val="4"/>
          <w:szCs w:val="24"/>
        </w:rPr>
        <w:t>地</w:t>
      </w:r>
      <w:r>
        <w:rPr>
          <w:color w:val="auto"/>
          <w:spacing w:val="2"/>
          <w:szCs w:val="24"/>
        </w:rPr>
        <w:t>使</w:t>
      </w:r>
      <w:r>
        <w:rPr>
          <w:color w:val="auto"/>
          <w:spacing w:val="4"/>
          <w:szCs w:val="24"/>
        </w:rPr>
        <w:t>用</w:t>
      </w:r>
      <w:r>
        <w:rPr>
          <w:color w:val="auto"/>
          <w:spacing w:val="2"/>
          <w:szCs w:val="24"/>
        </w:rPr>
        <w:t>功能也发</w:t>
      </w:r>
      <w:r>
        <w:rPr>
          <w:color w:val="auto"/>
          <w:spacing w:val="4"/>
          <w:szCs w:val="24"/>
        </w:rPr>
        <w:t>生</w:t>
      </w:r>
      <w:r>
        <w:rPr>
          <w:color w:val="auto"/>
          <w:spacing w:val="2"/>
          <w:szCs w:val="24"/>
        </w:rPr>
        <w:t>了变</w:t>
      </w:r>
      <w:r>
        <w:rPr>
          <w:color w:val="auto"/>
          <w:spacing w:val="4"/>
          <w:szCs w:val="24"/>
        </w:rPr>
        <w:t>化</w:t>
      </w:r>
      <w:r>
        <w:rPr>
          <w:color w:val="auto"/>
          <w:spacing w:val="2"/>
          <w:szCs w:val="24"/>
        </w:rPr>
        <w:t>，</w:t>
      </w:r>
      <w:r>
        <w:rPr>
          <w:color w:val="auto"/>
          <w:spacing w:val="4"/>
          <w:szCs w:val="24"/>
        </w:rPr>
        <w:t>由</w:t>
      </w:r>
      <w:r>
        <w:rPr>
          <w:color w:val="auto"/>
          <w:spacing w:val="2"/>
          <w:szCs w:val="24"/>
        </w:rPr>
        <w:t>原来的林地生境</w:t>
      </w:r>
      <w:r>
        <w:rPr>
          <w:color w:val="auto"/>
          <w:spacing w:val="4"/>
          <w:szCs w:val="24"/>
        </w:rPr>
        <w:t>转</w:t>
      </w:r>
      <w:r>
        <w:rPr>
          <w:color w:val="auto"/>
          <w:spacing w:val="2"/>
          <w:szCs w:val="24"/>
        </w:rPr>
        <w:t>变</w:t>
      </w:r>
      <w:r>
        <w:rPr>
          <w:color w:val="auto"/>
          <w:spacing w:val="4"/>
          <w:szCs w:val="24"/>
        </w:rPr>
        <w:t>为</w:t>
      </w:r>
      <w:r>
        <w:rPr>
          <w:color w:val="auto"/>
          <w:spacing w:val="2"/>
          <w:szCs w:val="24"/>
        </w:rPr>
        <w:t>工业用地生境，首先</w:t>
      </w:r>
      <w:r>
        <w:rPr>
          <w:color w:val="auto"/>
          <w:spacing w:val="4"/>
          <w:szCs w:val="24"/>
        </w:rPr>
        <w:t>产</w:t>
      </w:r>
      <w:r>
        <w:rPr>
          <w:color w:val="auto"/>
          <w:spacing w:val="2"/>
          <w:szCs w:val="24"/>
        </w:rPr>
        <w:t>生的</w:t>
      </w:r>
      <w:r>
        <w:rPr>
          <w:color w:val="auto"/>
          <w:spacing w:val="4"/>
          <w:szCs w:val="24"/>
        </w:rPr>
        <w:t>变</w:t>
      </w:r>
      <w:r>
        <w:rPr>
          <w:color w:val="auto"/>
          <w:spacing w:val="2"/>
          <w:szCs w:val="24"/>
        </w:rPr>
        <w:t>化</w:t>
      </w:r>
      <w:r>
        <w:rPr>
          <w:color w:val="auto"/>
          <w:spacing w:val="4"/>
          <w:szCs w:val="24"/>
        </w:rPr>
        <w:t>为</w:t>
      </w:r>
      <w:r>
        <w:rPr>
          <w:color w:val="auto"/>
          <w:spacing w:val="2"/>
          <w:szCs w:val="24"/>
        </w:rPr>
        <w:t>区域内植</w:t>
      </w:r>
      <w:r>
        <w:rPr>
          <w:color w:val="auto"/>
          <w:spacing w:val="4"/>
          <w:szCs w:val="24"/>
        </w:rPr>
        <w:t>被</w:t>
      </w:r>
      <w:r>
        <w:rPr>
          <w:color w:val="auto"/>
          <w:spacing w:val="2"/>
          <w:szCs w:val="24"/>
        </w:rPr>
        <w:t>破坏</w:t>
      </w:r>
      <w:r>
        <w:rPr>
          <w:color w:val="auto"/>
          <w:spacing w:val="4"/>
          <w:szCs w:val="24"/>
        </w:rPr>
        <w:t>，</w:t>
      </w:r>
      <w:r>
        <w:rPr>
          <w:color w:val="auto"/>
          <w:spacing w:val="2"/>
          <w:szCs w:val="24"/>
        </w:rPr>
        <w:t>当</w:t>
      </w:r>
      <w:r>
        <w:rPr>
          <w:color w:val="auto"/>
          <w:spacing w:val="4"/>
          <w:szCs w:val="24"/>
        </w:rPr>
        <w:t>土</w:t>
      </w:r>
      <w:r>
        <w:rPr>
          <w:color w:val="auto"/>
          <w:spacing w:val="2"/>
          <w:szCs w:val="24"/>
        </w:rPr>
        <w:t>地使用功</w:t>
      </w:r>
      <w:r>
        <w:rPr>
          <w:color w:val="auto"/>
          <w:spacing w:val="4"/>
          <w:szCs w:val="24"/>
        </w:rPr>
        <w:t>能</w:t>
      </w:r>
      <w:r>
        <w:rPr>
          <w:color w:val="auto"/>
          <w:spacing w:val="2"/>
          <w:szCs w:val="24"/>
        </w:rPr>
        <w:t>发生</w:t>
      </w:r>
      <w:r>
        <w:rPr>
          <w:color w:val="auto"/>
          <w:spacing w:val="4"/>
          <w:szCs w:val="24"/>
        </w:rPr>
        <w:t>转</w:t>
      </w:r>
      <w:r>
        <w:rPr>
          <w:color w:val="auto"/>
          <w:spacing w:val="2"/>
          <w:szCs w:val="24"/>
        </w:rPr>
        <w:t>变</w:t>
      </w:r>
      <w:r>
        <w:rPr>
          <w:color w:val="auto"/>
          <w:spacing w:val="4"/>
          <w:szCs w:val="24"/>
        </w:rPr>
        <w:t>后</w:t>
      </w:r>
      <w:r>
        <w:rPr>
          <w:color w:val="auto"/>
          <w:spacing w:val="2"/>
          <w:szCs w:val="24"/>
        </w:rPr>
        <w:t>，原来的地面大部分</w:t>
      </w:r>
      <w:r>
        <w:rPr>
          <w:color w:val="auto"/>
          <w:spacing w:val="4"/>
          <w:szCs w:val="24"/>
        </w:rPr>
        <w:t>被</w:t>
      </w:r>
      <w:r>
        <w:rPr>
          <w:color w:val="auto"/>
          <w:spacing w:val="2"/>
          <w:szCs w:val="24"/>
        </w:rPr>
        <w:t>人为</w:t>
      </w:r>
      <w:r>
        <w:rPr>
          <w:color w:val="auto"/>
          <w:spacing w:val="4"/>
          <w:szCs w:val="24"/>
        </w:rPr>
        <w:t>的</w:t>
      </w:r>
      <w:r>
        <w:rPr>
          <w:color w:val="auto"/>
          <w:spacing w:val="2"/>
          <w:szCs w:val="24"/>
        </w:rPr>
        <w:t>硬</w:t>
      </w:r>
      <w:r>
        <w:rPr>
          <w:color w:val="auto"/>
          <w:spacing w:val="4"/>
          <w:szCs w:val="24"/>
        </w:rPr>
        <w:t>化</w:t>
      </w:r>
      <w:r>
        <w:rPr>
          <w:color w:val="auto"/>
          <w:spacing w:val="2"/>
          <w:szCs w:val="24"/>
        </w:rPr>
        <w:t>、只有小</w:t>
      </w:r>
      <w:r>
        <w:rPr>
          <w:color w:val="auto"/>
          <w:spacing w:val="4"/>
          <w:szCs w:val="24"/>
        </w:rPr>
        <w:t>部</w:t>
      </w:r>
      <w:r>
        <w:rPr>
          <w:color w:val="auto"/>
          <w:spacing w:val="2"/>
          <w:szCs w:val="24"/>
        </w:rPr>
        <w:t>分用</w:t>
      </w:r>
      <w:r>
        <w:rPr>
          <w:color w:val="auto"/>
          <w:spacing w:val="4"/>
          <w:szCs w:val="24"/>
        </w:rPr>
        <w:t>于</w:t>
      </w:r>
      <w:r>
        <w:rPr>
          <w:color w:val="auto"/>
          <w:spacing w:val="2"/>
          <w:szCs w:val="24"/>
        </w:rPr>
        <w:t>绿</w:t>
      </w:r>
      <w:r>
        <w:rPr>
          <w:color w:val="auto"/>
          <w:spacing w:val="4"/>
          <w:szCs w:val="24"/>
        </w:rPr>
        <w:t>化</w:t>
      </w:r>
      <w:r>
        <w:rPr>
          <w:color w:val="auto"/>
          <w:spacing w:val="2"/>
          <w:szCs w:val="24"/>
        </w:rPr>
        <w:t>，就区域</w:t>
      </w:r>
      <w:r>
        <w:rPr>
          <w:color w:val="auto"/>
          <w:spacing w:val="4"/>
          <w:szCs w:val="24"/>
        </w:rPr>
        <w:t>而</w:t>
      </w:r>
      <w:r>
        <w:rPr>
          <w:color w:val="auto"/>
          <w:spacing w:val="2"/>
          <w:szCs w:val="24"/>
        </w:rPr>
        <w:t>言，</w:t>
      </w:r>
      <w:r>
        <w:rPr>
          <w:color w:val="auto"/>
          <w:spacing w:val="4"/>
          <w:szCs w:val="24"/>
        </w:rPr>
        <w:t>硬</w:t>
      </w:r>
      <w:r>
        <w:rPr>
          <w:color w:val="auto"/>
          <w:spacing w:val="2"/>
          <w:szCs w:val="24"/>
        </w:rPr>
        <w:t>化</w:t>
      </w:r>
      <w:r>
        <w:rPr>
          <w:color w:val="auto"/>
          <w:spacing w:val="4"/>
          <w:szCs w:val="24"/>
        </w:rPr>
        <w:t>部</w:t>
      </w:r>
      <w:r>
        <w:rPr>
          <w:color w:val="auto"/>
          <w:spacing w:val="2"/>
          <w:szCs w:val="24"/>
        </w:rPr>
        <w:t>分上下的通透性能几</w:t>
      </w:r>
      <w:r>
        <w:rPr>
          <w:color w:val="auto"/>
          <w:spacing w:val="4"/>
          <w:szCs w:val="24"/>
        </w:rPr>
        <w:t>乎</w:t>
      </w:r>
      <w:r>
        <w:rPr>
          <w:color w:val="auto"/>
          <w:spacing w:val="2"/>
          <w:szCs w:val="24"/>
        </w:rPr>
        <w:t>为零</w:t>
      </w:r>
      <w:r>
        <w:rPr>
          <w:color w:val="auto"/>
          <w:spacing w:val="4"/>
          <w:szCs w:val="24"/>
        </w:rPr>
        <w:t>，</w:t>
      </w:r>
      <w:r>
        <w:rPr>
          <w:color w:val="auto"/>
          <w:spacing w:val="2"/>
          <w:szCs w:val="24"/>
        </w:rPr>
        <w:t>生</w:t>
      </w:r>
      <w:r>
        <w:rPr>
          <w:color w:val="auto"/>
          <w:spacing w:val="4"/>
          <w:szCs w:val="24"/>
        </w:rPr>
        <w:t>物</w:t>
      </w:r>
      <w:r>
        <w:rPr>
          <w:color w:val="auto"/>
          <w:spacing w:val="2"/>
          <w:szCs w:val="24"/>
        </w:rPr>
        <w:t>多样性也</w:t>
      </w:r>
      <w:r>
        <w:rPr>
          <w:color w:val="auto"/>
          <w:spacing w:val="4"/>
          <w:szCs w:val="24"/>
        </w:rPr>
        <w:t>将</w:t>
      </w:r>
      <w:r>
        <w:rPr>
          <w:color w:val="auto"/>
          <w:spacing w:val="2"/>
          <w:szCs w:val="24"/>
        </w:rPr>
        <w:t>受到</w:t>
      </w:r>
      <w:r>
        <w:rPr>
          <w:color w:val="auto"/>
          <w:spacing w:val="4"/>
          <w:szCs w:val="24"/>
        </w:rPr>
        <w:t>影</w:t>
      </w:r>
      <w:r>
        <w:rPr>
          <w:color w:val="auto"/>
          <w:spacing w:val="2"/>
          <w:szCs w:val="24"/>
        </w:rPr>
        <w:t>响</w:t>
      </w:r>
      <w:r>
        <w:rPr>
          <w:color w:val="auto"/>
          <w:spacing w:val="4"/>
          <w:szCs w:val="24"/>
        </w:rPr>
        <w:t>，</w:t>
      </w:r>
      <w:r>
        <w:rPr>
          <w:color w:val="auto"/>
          <w:spacing w:val="2"/>
          <w:szCs w:val="24"/>
        </w:rPr>
        <w:t>即生物多</w:t>
      </w:r>
      <w:r>
        <w:rPr>
          <w:color w:val="auto"/>
          <w:spacing w:val="4"/>
          <w:szCs w:val="24"/>
        </w:rPr>
        <w:t>样</w:t>
      </w:r>
      <w:r>
        <w:rPr>
          <w:color w:val="auto"/>
          <w:spacing w:val="2"/>
          <w:szCs w:val="24"/>
        </w:rPr>
        <w:t>性有</w:t>
      </w:r>
      <w:r>
        <w:rPr>
          <w:color w:val="auto"/>
          <w:spacing w:val="4"/>
          <w:szCs w:val="24"/>
        </w:rPr>
        <w:t>一</w:t>
      </w:r>
      <w:r>
        <w:rPr>
          <w:color w:val="auto"/>
          <w:spacing w:val="2"/>
          <w:szCs w:val="24"/>
        </w:rPr>
        <w:t>定</w:t>
      </w:r>
      <w:r>
        <w:rPr>
          <w:color w:val="auto"/>
          <w:spacing w:val="4"/>
          <w:szCs w:val="24"/>
        </w:rPr>
        <w:t>程</w:t>
      </w:r>
      <w:r>
        <w:rPr>
          <w:color w:val="auto"/>
          <w:spacing w:val="2"/>
          <w:szCs w:val="24"/>
        </w:rPr>
        <w:t>度的减小，另外施工</w:t>
      </w:r>
      <w:r>
        <w:rPr>
          <w:color w:val="auto"/>
          <w:spacing w:val="4"/>
          <w:szCs w:val="24"/>
        </w:rPr>
        <w:t>期</w:t>
      </w:r>
      <w:r>
        <w:rPr>
          <w:color w:val="auto"/>
          <w:spacing w:val="2"/>
          <w:szCs w:val="24"/>
        </w:rPr>
        <w:t>内土</w:t>
      </w:r>
      <w:r>
        <w:rPr>
          <w:color w:val="auto"/>
          <w:spacing w:val="4"/>
          <w:szCs w:val="24"/>
        </w:rPr>
        <w:t>石</w:t>
      </w:r>
      <w:r>
        <w:rPr>
          <w:color w:val="auto"/>
          <w:spacing w:val="2"/>
          <w:szCs w:val="24"/>
        </w:rPr>
        <w:t>方</w:t>
      </w:r>
      <w:r>
        <w:rPr>
          <w:color w:val="auto"/>
          <w:spacing w:val="4"/>
          <w:szCs w:val="24"/>
        </w:rPr>
        <w:t>施</w:t>
      </w:r>
      <w:r>
        <w:rPr>
          <w:color w:val="auto"/>
          <w:spacing w:val="2"/>
          <w:szCs w:val="24"/>
        </w:rPr>
        <w:t>工可能造</w:t>
      </w:r>
      <w:r>
        <w:rPr>
          <w:color w:val="auto"/>
          <w:spacing w:val="4"/>
          <w:szCs w:val="24"/>
        </w:rPr>
        <w:t>成</w:t>
      </w:r>
      <w:r>
        <w:rPr>
          <w:color w:val="auto"/>
          <w:spacing w:val="2"/>
          <w:szCs w:val="24"/>
        </w:rPr>
        <w:t>一定</w:t>
      </w:r>
      <w:r>
        <w:rPr>
          <w:color w:val="auto"/>
          <w:spacing w:val="4"/>
          <w:szCs w:val="24"/>
        </w:rPr>
        <w:t>程</w:t>
      </w:r>
      <w:r>
        <w:rPr>
          <w:color w:val="auto"/>
          <w:spacing w:val="2"/>
          <w:szCs w:val="24"/>
        </w:rPr>
        <w:t>度</w:t>
      </w:r>
      <w:r>
        <w:rPr>
          <w:color w:val="auto"/>
          <w:spacing w:val="4"/>
          <w:szCs w:val="24"/>
        </w:rPr>
        <w:t>的</w:t>
      </w:r>
      <w:r>
        <w:rPr>
          <w:color w:val="auto"/>
          <w:spacing w:val="2"/>
          <w:szCs w:val="24"/>
        </w:rPr>
        <w:t>水土流失</w:t>
      </w:r>
      <w:r>
        <w:rPr>
          <w:color w:val="auto"/>
          <w:spacing w:val="4"/>
          <w:szCs w:val="24"/>
        </w:rPr>
        <w:t>，</w:t>
      </w:r>
      <w:r>
        <w:rPr>
          <w:color w:val="auto"/>
          <w:spacing w:val="2"/>
          <w:szCs w:val="24"/>
        </w:rPr>
        <w:t>以上</w:t>
      </w:r>
      <w:r>
        <w:rPr>
          <w:color w:val="auto"/>
          <w:spacing w:val="4"/>
          <w:szCs w:val="24"/>
        </w:rPr>
        <w:t>诸</w:t>
      </w:r>
      <w:r>
        <w:rPr>
          <w:color w:val="auto"/>
          <w:spacing w:val="2"/>
          <w:szCs w:val="24"/>
        </w:rPr>
        <w:t>多</w:t>
      </w:r>
      <w:r>
        <w:rPr>
          <w:color w:val="auto"/>
          <w:spacing w:val="4"/>
          <w:szCs w:val="24"/>
        </w:rPr>
        <w:t>因</w:t>
      </w:r>
      <w:r>
        <w:rPr>
          <w:color w:val="auto"/>
          <w:spacing w:val="2"/>
          <w:szCs w:val="24"/>
        </w:rPr>
        <w:t xml:space="preserve">素均可能对 </w:t>
      </w:r>
      <w:r>
        <w:rPr>
          <w:color w:val="auto"/>
          <w:szCs w:val="24"/>
        </w:rPr>
        <w:t>生态环境产生一定的影响。</w:t>
      </w:r>
    </w:p>
    <w:p>
      <w:pPr>
        <w:pStyle w:val="16"/>
        <w:spacing w:before="0" w:beforeAutospacing="0" w:after="0" w:line="360" w:lineRule="auto"/>
        <w:ind w:firstLine="480" w:firstLineChars="200"/>
        <w:jc w:val="both"/>
        <w:rPr>
          <w:color w:val="auto"/>
          <w:szCs w:val="24"/>
        </w:rPr>
      </w:pPr>
      <w:r>
        <w:rPr>
          <w:color w:val="auto"/>
          <w:szCs w:val="24"/>
        </w:rPr>
        <w:t>（1）对植被的影响</w:t>
      </w:r>
    </w:p>
    <w:p>
      <w:pPr>
        <w:pStyle w:val="16"/>
        <w:spacing w:before="0" w:beforeAutospacing="0" w:after="0" w:line="360" w:lineRule="auto"/>
        <w:ind w:firstLine="480" w:firstLineChars="200"/>
        <w:jc w:val="both"/>
        <w:rPr>
          <w:color w:val="auto"/>
          <w:spacing w:val="-5"/>
          <w:szCs w:val="24"/>
        </w:rPr>
      </w:pPr>
      <w:r>
        <w:rPr>
          <w:color w:val="auto"/>
          <w:szCs w:val="24"/>
        </w:rPr>
        <w:t>现场调查表明，区域范围现在为林地生境，</w:t>
      </w:r>
      <w:r>
        <w:rPr>
          <w:rFonts w:hint="eastAsia"/>
          <w:color w:val="auto"/>
          <w:szCs w:val="24"/>
        </w:rPr>
        <w:t>项目</w:t>
      </w:r>
      <w:r>
        <w:rPr>
          <w:color w:val="auto"/>
          <w:szCs w:val="24"/>
        </w:rPr>
        <w:t>总占地</w:t>
      </w:r>
      <w:r>
        <w:rPr>
          <w:rFonts w:hint="eastAsia"/>
          <w:color w:val="auto"/>
        </w:rPr>
        <w:t>126820</w:t>
      </w:r>
      <w:r>
        <w:rPr>
          <w:rFonts w:hint="eastAsia"/>
          <w:color w:val="auto"/>
          <w:szCs w:val="24"/>
        </w:rPr>
        <w:t>m</w:t>
      </w:r>
      <w:r>
        <w:rPr>
          <w:color w:val="auto"/>
          <w:szCs w:val="24"/>
          <w:vertAlign w:val="superscript"/>
        </w:rPr>
        <w:t>2</w:t>
      </w:r>
      <w:r>
        <w:rPr>
          <w:rFonts w:hint="eastAsia"/>
          <w:color w:val="auto"/>
          <w:szCs w:val="24"/>
        </w:rPr>
        <w:t>，</w:t>
      </w:r>
      <w:r>
        <w:rPr>
          <w:color w:val="auto"/>
          <w:szCs w:val="24"/>
        </w:rPr>
        <w:t>占地范围内的地表植被主要是一些灌木林地及草地</w:t>
      </w:r>
      <w:r>
        <w:rPr>
          <w:color w:val="auto"/>
          <w:spacing w:val="-5"/>
          <w:szCs w:val="24"/>
        </w:rPr>
        <w:t>。</w:t>
      </w:r>
      <w:r>
        <w:rPr>
          <w:color w:val="auto"/>
          <w:szCs w:val="24"/>
        </w:rPr>
        <w:t>相对</w:t>
      </w:r>
      <w:r>
        <w:rPr>
          <w:color w:val="auto"/>
          <w:spacing w:val="2"/>
          <w:szCs w:val="24"/>
        </w:rPr>
        <w:t>于现在的</w:t>
      </w:r>
      <w:r>
        <w:rPr>
          <w:color w:val="auto"/>
          <w:spacing w:val="4"/>
          <w:szCs w:val="24"/>
        </w:rPr>
        <w:t>状</w:t>
      </w:r>
      <w:r>
        <w:rPr>
          <w:color w:val="auto"/>
          <w:spacing w:val="2"/>
          <w:szCs w:val="24"/>
        </w:rPr>
        <w:t>况，</w:t>
      </w:r>
      <w:r>
        <w:rPr>
          <w:color w:val="auto"/>
          <w:spacing w:val="4"/>
          <w:szCs w:val="24"/>
        </w:rPr>
        <w:t>工</w:t>
      </w:r>
      <w:r>
        <w:rPr>
          <w:color w:val="auto"/>
          <w:spacing w:val="2"/>
          <w:szCs w:val="24"/>
        </w:rPr>
        <w:t>程</w:t>
      </w:r>
      <w:r>
        <w:rPr>
          <w:color w:val="auto"/>
          <w:spacing w:val="4"/>
          <w:szCs w:val="24"/>
        </w:rPr>
        <w:t>施</w:t>
      </w:r>
      <w:r>
        <w:rPr>
          <w:color w:val="auto"/>
          <w:spacing w:val="2"/>
          <w:szCs w:val="24"/>
        </w:rPr>
        <w:t>工后，生</w:t>
      </w:r>
      <w:r>
        <w:rPr>
          <w:color w:val="auto"/>
          <w:spacing w:val="4"/>
          <w:szCs w:val="24"/>
        </w:rPr>
        <w:t>物</w:t>
      </w:r>
      <w:r>
        <w:rPr>
          <w:color w:val="auto"/>
          <w:spacing w:val="2"/>
          <w:szCs w:val="24"/>
        </w:rPr>
        <w:t>多样</w:t>
      </w:r>
      <w:r>
        <w:rPr>
          <w:color w:val="auto"/>
          <w:spacing w:val="4"/>
          <w:szCs w:val="24"/>
        </w:rPr>
        <w:t>性</w:t>
      </w:r>
      <w:r>
        <w:rPr>
          <w:color w:val="auto"/>
          <w:spacing w:val="2"/>
          <w:szCs w:val="24"/>
        </w:rPr>
        <w:t>变</w:t>
      </w:r>
      <w:r>
        <w:rPr>
          <w:color w:val="auto"/>
          <w:spacing w:val="4"/>
          <w:szCs w:val="24"/>
        </w:rPr>
        <w:t>化</w:t>
      </w:r>
      <w:r>
        <w:rPr>
          <w:color w:val="auto"/>
          <w:spacing w:val="2"/>
          <w:szCs w:val="24"/>
        </w:rPr>
        <w:t>不明显。</w:t>
      </w:r>
      <w:r>
        <w:rPr>
          <w:color w:val="auto"/>
          <w:spacing w:val="4"/>
          <w:szCs w:val="24"/>
        </w:rPr>
        <w:t>根</w:t>
      </w:r>
      <w:r>
        <w:rPr>
          <w:color w:val="auto"/>
          <w:spacing w:val="2"/>
          <w:szCs w:val="24"/>
        </w:rPr>
        <w:t>据项</w:t>
      </w:r>
      <w:r>
        <w:rPr>
          <w:color w:val="auto"/>
          <w:spacing w:val="4"/>
          <w:szCs w:val="24"/>
        </w:rPr>
        <w:t>目</w:t>
      </w:r>
      <w:r>
        <w:rPr>
          <w:color w:val="auto"/>
          <w:spacing w:val="2"/>
          <w:szCs w:val="24"/>
        </w:rPr>
        <w:t>实</w:t>
      </w:r>
      <w:r>
        <w:rPr>
          <w:color w:val="auto"/>
          <w:spacing w:val="4"/>
          <w:szCs w:val="24"/>
        </w:rPr>
        <w:t>际</w:t>
      </w:r>
      <w:r>
        <w:rPr>
          <w:color w:val="auto"/>
          <w:spacing w:val="2"/>
          <w:szCs w:val="24"/>
        </w:rPr>
        <w:t>情况，</w:t>
      </w:r>
      <w:r>
        <w:rPr>
          <w:rFonts w:hint="eastAsia"/>
          <w:color w:val="auto"/>
          <w:spacing w:val="2"/>
          <w:szCs w:val="24"/>
        </w:rPr>
        <w:t>本</w:t>
      </w:r>
      <w:r>
        <w:rPr>
          <w:color w:val="auto"/>
          <w:spacing w:val="2"/>
          <w:szCs w:val="24"/>
        </w:rPr>
        <w:t>评价</w:t>
      </w:r>
      <w:r>
        <w:rPr>
          <w:color w:val="auto"/>
          <w:szCs w:val="24"/>
        </w:rPr>
        <w:t>提出以下要求，以减少项目建设对项目区生物量减少的影响</w:t>
      </w:r>
      <w:r>
        <w:rPr>
          <w:rFonts w:hint="eastAsia"/>
          <w:color w:val="auto"/>
          <w:szCs w:val="24"/>
        </w:rPr>
        <w:t>：</w:t>
      </w:r>
    </w:p>
    <w:p>
      <w:pPr>
        <w:pStyle w:val="16"/>
        <w:spacing w:before="0" w:beforeAutospacing="0" w:after="0" w:line="360" w:lineRule="auto"/>
        <w:ind w:firstLine="480" w:firstLineChars="200"/>
        <w:jc w:val="both"/>
        <w:rPr>
          <w:color w:val="auto"/>
          <w:szCs w:val="24"/>
        </w:rPr>
      </w:pPr>
      <w:r>
        <w:rPr>
          <w:rFonts w:eastAsia="Times New Roman"/>
          <w:color w:val="auto"/>
          <w:szCs w:val="24"/>
        </w:rPr>
        <w:t>1</w:t>
      </w:r>
      <w:r>
        <w:rPr>
          <w:color w:val="auto"/>
          <w:spacing w:val="-5"/>
          <w:szCs w:val="24"/>
        </w:rPr>
        <w:t>）</w:t>
      </w:r>
      <w:r>
        <w:rPr>
          <w:color w:val="auto"/>
          <w:szCs w:val="24"/>
        </w:rPr>
        <w:t>合理规划厂区内土地使用</w:t>
      </w:r>
      <w:r>
        <w:rPr>
          <w:color w:val="auto"/>
          <w:spacing w:val="-5"/>
          <w:szCs w:val="24"/>
        </w:rPr>
        <w:t>，</w:t>
      </w:r>
      <w:r>
        <w:rPr>
          <w:color w:val="auto"/>
          <w:szCs w:val="24"/>
        </w:rPr>
        <w:t>尽可能增加厂区绿化面积</w:t>
      </w:r>
      <w:r>
        <w:rPr>
          <w:color w:val="auto"/>
          <w:spacing w:val="-5"/>
          <w:szCs w:val="24"/>
        </w:rPr>
        <w:t>，</w:t>
      </w:r>
      <w:r>
        <w:rPr>
          <w:color w:val="auto"/>
          <w:szCs w:val="24"/>
        </w:rPr>
        <w:t>使厂区绿化率达到</w:t>
      </w:r>
      <w:r>
        <w:rPr>
          <w:color w:val="auto"/>
          <w:spacing w:val="-60"/>
          <w:szCs w:val="24"/>
        </w:rPr>
        <w:t xml:space="preserve"> </w:t>
      </w:r>
      <w:r>
        <w:rPr>
          <w:rFonts w:hint="eastAsia" w:eastAsiaTheme="minorEastAsia"/>
          <w:color w:val="auto"/>
          <w:szCs w:val="24"/>
        </w:rPr>
        <w:t>2</w:t>
      </w:r>
      <w:r>
        <w:rPr>
          <w:rFonts w:eastAsia="Times New Roman"/>
          <w:color w:val="auto"/>
          <w:szCs w:val="24"/>
        </w:rPr>
        <w:t>0</w:t>
      </w:r>
      <w:r>
        <w:rPr>
          <w:rFonts w:eastAsia="Times New Roman"/>
          <w:color w:val="auto"/>
          <w:spacing w:val="-1"/>
          <w:szCs w:val="24"/>
        </w:rPr>
        <w:t>%</w:t>
      </w:r>
      <w:r>
        <w:rPr>
          <w:rFonts w:hint="eastAsia"/>
          <w:color w:val="auto"/>
          <w:szCs w:val="24"/>
        </w:rPr>
        <w:t>；</w:t>
      </w:r>
    </w:p>
    <w:p>
      <w:pPr>
        <w:pStyle w:val="16"/>
        <w:spacing w:before="0" w:beforeAutospacing="0" w:after="0" w:line="360" w:lineRule="auto"/>
        <w:ind w:firstLine="480" w:firstLineChars="200"/>
        <w:jc w:val="both"/>
        <w:rPr>
          <w:color w:val="auto"/>
          <w:szCs w:val="24"/>
        </w:rPr>
      </w:pPr>
      <w:r>
        <w:rPr>
          <w:rFonts w:eastAsia="Times New Roman"/>
          <w:color w:val="auto"/>
          <w:szCs w:val="24"/>
        </w:rPr>
        <w:t>2</w:t>
      </w:r>
      <w:r>
        <w:rPr>
          <w:color w:val="auto"/>
          <w:szCs w:val="24"/>
        </w:rPr>
        <w:t>）厂区周围种植高大乔木，以形成绿色屏障</w:t>
      </w:r>
      <w:r>
        <w:rPr>
          <w:rFonts w:hint="eastAsia"/>
          <w:color w:val="auto"/>
          <w:szCs w:val="24"/>
        </w:rPr>
        <w:t>；</w:t>
      </w:r>
    </w:p>
    <w:p>
      <w:pPr>
        <w:pStyle w:val="16"/>
        <w:spacing w:before="0" w:beforeAutospacing="0" w:after="0" w:line="360" w:lineRule="auto"/>
        <w:ind w:firstLine="480" w:firstLineChars="200"/>
        <w:jc w:val="both"/>
        <w:rPr>
          <w:color w:val="auto"/>
          <w:szCs w:val="24"/>
        </w:rPr>
      </w:pPr>
      <w:r>
        <w:rPr>
          <w:rFonts w:eastAsia="Times New Roman"/>
          <w:color w:val="auto"/>
          <w:szCs w:val="24"/>
        </w:rPr>
        <w:t>3</w:t>
      </w:r>
      <w:r>
        <w:rPr>
          <w:color w:val="auto"/>
          <w:szCs w:val="24"/>
        </w:rPr>
        <w:t>）施工期结束后加强施工迹地的植被恢复</w:t>
      </w:r>
      <w:r>
        <w:rPr>
          <w:rFonts w:hint="eastAsia"/>
          <w:color w:val="auto"/>
          <w:szCs w:val="24"/>
        </w:rPr>
        <w:t>；</w:t>
      </w:r>
    </w:p>
    <w:p>
      <w:pPr>
        <w:pStyle w:val="16"/>
        <w:spacing w:before="0" w:beforeAutospacing="0" w:after="0" w:line="360" w:lineRule="auto"/>
        <w:ind w:firstLine="480" w:firstLineChars="200"/>
        <w:jc w:val="both"/>
        <w:rPr>
          <w:color w:val="auto"/>
          <w:szCs w:val="24"/>
        </w:rPr>
      </w:pPr>
      <w:r>
        <w:rPr>
          <w:color w:val="auto"/>
          <w:szCs w:val="24"/>
        </w:rPr>
        <w:t>4）</w:t>
      </w:r>
      <w:r>
        <w:rPr>
          <w:rFonts w:hint="eastAsia"/>
          <w:color w:val="auto"/>
          <w:szCs w:val="24"/>
        </w:rPr>
        <w:t xml:space="preserve"> </w:t>
      </w:r>
      <w:r>
        <w:rPr>
          <w:color w:val="auto"/>
          <w:szCs w:val="24"/>
        </w:rPr>
        <w:t>为减轻生态环境影响程度，建议工程以后厂区绿化时尽量使草种及树种多样化、本地化。</w:t>
      </w:r>
    </w:p>
    <w:p>
      <w:pPr>
        <w:pStyle w:val="16"/>
        <w:tabs>
          <w:tab w:val="left" w:pos="961"/>
        </w:tabs>
        <w:spacing w:before="0" w:beforeAutospacing="0" w:after="0" w:line="360" w:lineRule="auto"/>
        <w:ind w:firstLine="480" w:firstLineChars="200"/>
        <w:jc w:val="both"/>
        <w:rPr>
          <w:color w:val="auto"/>
          <w:szCs w:val="24"/>
        </w:rPr>
      </w:pPr>
      <w:r>
        <w:rPr>
          <w:color w:val="auto"/>
          <w:szCs w:val="24"/>
        </w:rPr>
        <w:t>（2）对动物资源的影响</w:t>
      </w:r>
    </w:p>
    <w:p>
      <w:pPr>
        <w:pStyle w:val="16"/>
        <w:spacing w:before="0" w:beforeAutospacing="0" w:after="0" w:line="360" w:lineRule="auto"/>
        <w:ind w:firstLine="488" w:firstLineChars="200"/>
        <w:jc w:val="both"/>
        <w:rPr>
          <w:color w:val="auto"/>
          <w:szCs w:val="24"/>
        </w:rPr>
      </w:pPr>
      <w:r>
        <w:rPr>
          <w:rFonts w:hint="eastAsia"/>
          <w:color w:val="auto"/>
          <w:spacing w:val="2"/>
          <w:szCs w:val="24"/>
        </w:rPr>
        <w:t>项目</w:t>
      </w:r>
      <w:r>
        <w:rPr>
          <w:color w:val="auto"/>
          <w:spacing w:val="4"/>
          <w:szCs w:val="24"/>
        </w:rPr>
        <w:t>区</w:t>
      </w:r>
      <w:r>
        <w:rPr>
          <w:color w:val="auto"/>
          <w:spacing w:val="2"/>
          <w:szCs w:val="24"/>
        </w:rPr>
        <w:t>域动</w:t>
      </w:r>
      <w:r>
        <w:rPr>
          <w:color w:val="auto"/>
          <w:spacing w:val="4"/>
          <w:szCs w:val="24"/>
        </w:rPr>
        <w:t>物</w:t>
      </w:r>
      <w:r>
        <w:rPr>
          <w:color w:val="auto"/>
          <w:spacing w:val="2"/>
          <w:szCs w:val="24"/>
        </w:rPr>
        <w:t>种类</w:t>
      </w:r>
      <w:r>
        <w:rPr>
          <w:rFonts w:hint="eastAsia"/>
          <w:color w:val="auto"/>
          <w:spacing w:val="4"/>
          <w:szCs w:val="24"/>
        </w:rPr>
        <w:t>均为</w:t>
      </w:r>
      <w:r>
        <w:rPr>
          <w:color w:val="auto"/>
          <w:spacing w:val="4"/>
          <w:szCs w:val="24"/>
        </w:rPr>
        <w:t>常</w:t>
      </w:r>
      <w:r>
        <w:rPr>
          <w:color w:val="auto"/>
          <w:spacing w:val="2"/>
          <w:szCs w:val="24"/>
        </w:rPr>
        <w:t>见动</w:t>
      </w:r>
      <w:r>
        <w:rPr>
          <w:color w:val="auto"/>
          <w:spacing w:val="4"/>
          <w:szCs w:val="24"/>
        </w:rPr>
        <w:t>物，</w:t>
      </w:r>
      <w:r>
        <w:rPr>
          <w:color w:val="auto"/>
          <w:spacing w:val="2"/>
          <w:szCs w:val="24"/>
        </w:rPr>
        <w:t>无珍</w:t>
      </w:r>
      <w:r>
        <w:rPr>
          <w:color w:val="auto"/>
          <w:spacing w:val="4"/>
          <w:szCs w:val="24"/>
        </w:rPr>
        <w:t>稀</w:t>
      </w:r>
      <w:r>
        <w:rPr>
          <w:color w:val="auto"/>
          <w:spacing w:val="2"/>
          <w:szCs w:val="24"/>
        </w:rPr>
        <w:t>野生</w:t>
      </w:r>
      <w:r>
        <w:rPr>
          <w:color w:val="auto"/>
          <w:spacing w:val="4"/>
          <w:szCs w:val="24"/>
        </w:rPr>
        <w:t>保</w:t>
      </w:r>
      <w:r>
        <w:rPr>
          <w:color w:val="auto"/>
          <w:spacing w:val="2"/>
          <w:szCs w:val="24"/>
        </w:rPr>
        <w:t>护动</w:t>
      </w:r>
      <w:r>
        <w:rPr>
          <w:color w:val="auto"/>
          <w:spacing w:val="4"/>
          <w:szCs w:val="24"/>
        </w:rPr>
        <w:t>物分</w:t>
      </w:r>
      <w:r>
        <w:rPr>
          <w:color w:val="auto"/>
          <w:spacing w:val="2"/>
          <w:szCs w:val="24"/>
        </w:rPr>
        <w:t>布</w:t>
      </w:r>
      <w:r>
        <w:rPr>
          <w:rFonts w:hint="eastAsia"/>
          <w:color w:val="auto"/>
          <w:spacing w:val="2"/>
          <w:szCs w:val="24"/>
        </w:rPr>
        <w:t>，</w:t>
      </w:r>
      <w:r>
        <w:rPr>
          <w:color w:val="auto"/>
          <w:szCs w:val="24"/>
        </w:rPr>
        <w:t>项目建设对当地动物资源的影响不明显。</w:t>
      </w:r>
    </w:p>
    <w:p>
      <w:pPr>
        <w:pStyle w:val="16"/>
        <w:spacing w:before="0" w:beforeAutospacing="0" w:after="0" w:line="360" w:lineRule="auto"/>
        <w:ind w:firstLine="480" w:firstLineChars="200"/>
        <w:rPr>
          <w:color w:val="auto"/>
          <w:szCs w:val="24"/>
        </w:rPr>
      </w:pPr>
      <w:r>
        <w:rPr>
          <w:color w:val="auto"/>
          <w:szCs w:val="24"/>
        </w:rPr>
        <w:t>（3）对水土流失的影响</w:t>
      </w:r>
    </w:p>
    <w:p>
      <w:pPr>
        <w:pStyle w:val="16"/>
        <w:spacing w:before="0" w:beforeAutospacing="0" w:after="0" w:line="360" w:lineRule="auto"/>
        <w:ind w:firstLine="488" w:firstLineChars="200"/>
        <w:rPr>
          <w:color w:val="auto"/>
          <w:szCs w:val="24"/>
        </w:rPr>
      </w:pPr>
      <w:r>
        <w:rPr>
          <w:color w:val="auto"/>
          <w:spacing w:val="2"/>
          <w:szCs w:val="24"/>
        </w:rPr>
        <w:t>鉴于</w:t>
      </w:r>
      <w:r>
        <w:rPr>
          <w:color w:val="auto"/>
          <w:spacing w:val="4"/>
          <w:szCs w:val="24"/>
        </w:rPr>
        <w:t>工</w:t>
      </w:r>
      <w:r>
        <w:rPr>
          <w:color w:val="auto"/>
          <w:spacing w:val="2"/>
          <w:szCs w:val="24"/>
        </w:rPr>
        <w:t>程</w:t>
      </w:r>
      <w:r>
        <w:rPr>
          <w:rFonts w:hint="eastAsia"/>
          <w:color w:val="auto"/>
          <w:spacing w:val="2"/>
          <w:szCs w:val="24"/>
        </w:rPr>
        <w:t>选址</w:t>
      </w:r>
      <w:r>
        <w:rPr>
          <w:color w:val="auto"/>
          <w:spacing w:val="2"/>
          <w:szCs w:val="24"/>
        </w:rPr>
        <w:t>为</w:t>
      </w:r>
      <w:r>
        <w:rPr>
          <w:color w:val="auto"/>
          <w:spacing w:val="4"/>
          <w:szCs w:val="24"/>
        </w:rPr>
        <w:t>山地</w:t>
      </w:r>
      <w:r>
        <w:rPr>
          <w:color w:val="auto"/>
          <w:spacing w:val="2"/>
          <w:szCs w:val="24"/>
        </w:rPr>
        <w:t>，随</w:t>
      </w:r>
      <w:r>
        <w:rPr>
          <w:color w:val="auto"/>
          <w:spacing w:val="4"/>
          <w:szCs w:val="24"/>
        </w:rPr>
        <w:t>着</w:t>
      </w:r>
      <w:r>
        <w:rPr>
          <w:color w:val="auto"/>
          <w:spacing w:val="2"/>
          <w:szCs w:val="24"/>
        </w:rPr>
        <w:t>施工</w:t>
      </w:r>
      <w:r>
        <w:rPr>
          <w:color w:val="auto"/>
          <w:spacing w:val="4"/>
          <w:szCs w:val="24"/>
        </w:rPr>
        <w:t>土</w:t>
      </w:r>
      <w:r>
        <w:rPr>
          <w:color w:val="auto"/>
          <w:spacing w:val="2"/>
          <w:szCs w:val="24"/>
        </w:rPr>
        <w:t>石方</w:t>
      </w:r>
      <w:r>
        <w:rPr>
          <w:color w:val="auto"/>
          <w:spacing w:val="4"/>
          <w:szCs w:val="24"/>
        </w:rPr>
        <w:t>开挖</w:t>
      </w:r>
      <w:r>
        <w:rPr>
          <w:color w:val="auto"/>
          <w:spacing w:val="2"/>
          <w:szCs w:val="24"/>
        </w:rPr>
        <w:t>的进</w:t>
      </w:r>
      <w:r>
        <w:rPr>
          <w:color w:val="auto"/>
          <w:spacing w:val="4"/>
          <w:szCs w:val="24"/>
        </w:rPr>
        <w:t>行</w:t>
      </w:r>
      <w:r>
        <w:rPr>
          <w:color w:val="auto"/>
          <w:spacing w:val="2"/>
          <w:szCs w:val="24"/>
        </w:rPr>
        <w:t>，发</w:t>
      </w:r>
      <w:r>
        <w:rPr>
          <w:color w:val="auto"/>
          <w:spacing w:val="4"/>
          <w:szCs w:val="24"/>
        </w:rPr>
        <w:t>生</w:t>
      </w:r>
      <w:r>
        <w:rPr>
          <w:color w:val="auto"/>
          <w:spacing w:val="2"/>
          <w:szCs w:val="24"/>
        </w:rPr>
        <w:t>水土</w:t>
      </w:r>
      <w:r>
        <w:rPr>
          <w:color w:val="auto"/>
          <w:spacing w:val="4"/>
          <w:szCs w:val="24"/>
        </w:rPr>
        <w:t>流失</w:t>
      </w:r>
      <w:r>
        <w:rPr>
          <w:color w:val="auto"/>
          <w:spacing w:val="2"/>
          <w:szCs w:val="24"/>
        </w:rPr>
        <w:t>的可能性增大，</w:t>
      </w:r>
      <w:r>
        <w:rPr>
          <w:color w:val="auto"/>
          <w:spacing w:val="4"/>
          <w:szCs w:val="24"/>
        </w:rPr>
        <w:t>因</w:t>
      </w:r>
      <w:r>
        <w:rPr>
          <w:color w:val="auto"/>
          <w:spacing w:val="2"/>
          <w:szCs w:val="24"/>
        </w:rPr>
        <w:t>此，</w:t>
      </w:r>
      <w:r>
        <w:rPr>
          <w:color w:val="auto"/>
          <w:spacing w:val="4"/>
          <w:szCs w:val="24"/>
        </w:rPr>
        <w:t>评</w:t>
      </w:r>
      <w:r>
        <w:rPr>
          <w:color w:val="auto"/>
          <w:spacing w:val="2"/>
          <w:szCs w:val="24"/>
        </w:rPr>
        <w:t>价</w:t>
      </w:r>
      <w:r>
        <w:rPr>
          <w:color w:val="auto"/>
          <w:spacing w:val="4"/>
          <w:szCs w:val="24"/>
        </w:rPr>
        <w:t>要</w:t>
      </w:r>
      <w:r>
        <w:rPr>
          <w:color w:val="auto"/>
          <w:spacing w:val="2"/>
          <w:szCs w:val="24"/>
        </w:rPr>
        <w:t>求，本工</w:t>
      </w:r>
      <w:r>
        <w:rPr>
          <w:color w:val="auto"/>
          <w:spacing w:val="4"/>
          <w:szCs w:val="24"/>
        </w:rPr>
        <w:t>程</w:t>
      </w:r>
      <w:r>
        <w:rPr>
          <w:color w:val="auto"/>
          <w:spacing w:val="2"/>
          <w:szCs w:val="24"/>
        </w:rPr>
        <w:t>手续</w:t>
      </w:r>
      <w:r>
        <w:rPr>
          <w:color w:val="auto"/>
          <w:spacing w:val="4"/>
          <w:szCs w:val="24"/>
        </w:rPr>
        <w:t>齐</w:t>
      </w:r>
      <w:r>
        <w:rPr>
          <w:color w:val="auto"/>
          <w:spacing w:val="2"/>
          <w:szCs w:val="24"/>
        </w:rPr>
        <w:t>备</w:t>
      </w:r>
      <w:r>
        <w:rPr>
          <w:color w:val="auto"/>
          <w:spacing w:val="4"/>
          <w:szCs w:val="24"/>
        </w:rPr>
        <w:t>后</w:t>
      </w:r>
      <w:r>
        <w:rPr>
          <w:color w:val="auto"/>
          <w:spacing w:val="2"/>
          <w:szCs w:val="24"/>
        </w:rPr>
        <w:t>尽快施工</w:t>
      </w:r>
      <w:r>
        <w:rPr>
          <w:color w:val="auto"/>
          <w:spacing w:val="4"/>
          <w:szCs w:val="24"/>
        </w:rPr>
        <w:t>，</w:t>
      </w:r>
      <w:r>
        <w:rPr>
          <w:color w:val="auto"/>
          <w:spacing w:val="2"/>
          <w:szCs w:val="24"/>
        </w:rPr>
        <w:t>以减</w:t>
      </w:r>
      <w:r>
        <w:rPr>
          <w:color w:val="auto"/>
          <w:spacing w:val="4"/>
          <w:szCs w:val="24"/>
        </w:rPr>
        <w:t>轻</w:t>
      </w:r>
      <w:r>
        <w:rPr>
          <w:color w:val="auto"/>
          <w:spacing w:val="2"/>
          <w:szCs w:val="24"/>
        </w:rPr>
        <w:t>水</w:t>
      </w:r>
      <w:r>
        <w:rPr>
          <w:color w:val="auto"/>
          <w:spacing w:val="4"/>
          <w:szCs w:val="24"/>
        </w:rPr>
        <w:t>土</w:t>
      </w:r>
      <w:r>
        <w:rPr>
          <w:color w:val="auto"/>
          <w:spacing w:val="2"/>
          <w:szCs w:val="24"/>
        </w:rPr>
        <w:t>流失。项目施工需避</w:t>
      </w:r>
      <w:r>
        <w:rPr>
          <w:color w:val="auto"/>
          <w:spacing w:val="4"/>
          <w:szCs w:val="24"/>
        </w:rPr>
        <w:t>开</w:t>
      </w:r>
      <w:r>
        <w:rPr>
          <w:color w:val="auto"/>
          <w:spacing w:val="2"/>
          <w:szCs w:val="24"/>
        </w:rPr>
        <w:t>雨季</w:t>
      </w:r>
      <w:r>
        <w:rPr>
          <w:color w:val="auto"/>
          <w:spacing w:val="4"/>
          <w:szCs w:val="24"/>
        </w:rPr>
        <w:t>。</w:t>
      </w:r>
      <w:r>
        <w:rPr>
          <w:color w:val="auto"/>
          <w:spacing w:val="2"/>
          <w:szCs w:val="24"/>
        </w:rPr>
        <w:t>加</w:t>
      </w:r>
      <w:r>
        <w:rPr>
          <w:color w:val="auto"/>
          <w:spacing w:val="4"/>
          <w:szCs w:val="24"/>
        </w:rPr>
        <w:t>强</w:t>
      </w:r>
      <w:r>
        <w:rPr>
          <w:color w:val="auto"/>
          <w:spacing w:val="2"/>
          <w:szCs w:val="24"/>
        </w:rPr>
        <w:t>施工期弃</w:t>
      </w:r>
      <w:r>
        <w:rPr>
          <w:color w:val="auto"/>
          <w:spacing w:val="4"/>
          <w:szCs w:val="24"/>
        </w:rPr>
        <w:t>渣</w:t>
      </w:r>
      <w:r>
        <w:rPr>
          <w:color w:val="auto"/>
          <w:spacing w:val="2"/>
          <w:szCs w:val="24"/>
        </w:rPr>
        <w:t>管</w:t>
      </w:r>
      <w:r>
        <w:rPr>
          <w:color w:val="auto"/>
          <w:spacing w:val="4"/>
          <w:szCs w:val="24"/>
        </w:rPr>
        <w:t>理</w:t>
      </w:r>
      <w:r>
        <w:rPr>
          <w:color w:val="auto"/>
          <w:spacing w:val="2"/>
          <w:szCs w:val="24"/>
        </w:rPr>
        <w:t>，禁止将</w:t>
      </w:r>
      <w:r>
        <w:rPr>
          <w:color w:val="auto"/>
          <w:spacing w:val="4"/>
          <w:szCs w:val="24"/>
        </w:rPr>
        <w:t>弃</w:t>
      </w:r>
      <w:r>
        <w:rPr>
          <w:color w:val="auto"/>
          <w:spacing w:val="2"/>
          <w:szCs w:val="24"/>
        </w:rPr>
        <w:t>土（</w:t>
      </w:r>
      <w:r>
        <w:rPr>
          <w:color w:val="auto"/>
          <w:spacing w:val="4"/>
          <w:szCs w:val="24"/>
        </w:rPr>
        <w:t>渣</w:t>
      </w:r>
      <w:r>
        <w:rPr>
          <w:color w:val="auto"/>
          <w:spacing w:val="2"/>
          <w:szCs w:val="24"/>
        </w:rPr>
        <w:t>）</w:t>
      </w:r>
      <w:r>
        <w:rPr>
          <w:color w:val="auto"/>
          <w:spacing w:val="4"/>
          <w:szCs w:val="24"/>
        </w:rPr>
        <w:t>堆</w:t>
      </w:r>
      <w:r>
        <w:rPr>
          <w:color w:val="auto"/>
          <w:spacing w:val="2"/>
          <w:szCs w:val="24"/>
        </w:rPr>
        <w:t>放在陡坡、水塘旁边</w:t>
      </w:r>
      <w:r>
        <w:rPr>
          <w:color w:val="auto"/>
          <w:spacing w:val="4"/>
          <w:szCs w:val="24"/>
        </w:rPr>
        <w:t>，</w:t>
      </w:r>
      <w:r>
        <w:rPr>
          <w:color w:val="auto"/>
          <w:spacing w:val="2"/>
          <w:szCs w:val="24"/>
        </w:rPr>
        <w:t>以及</w:t>
      </w:r>
      <w:r>
        <w:rPr>
          <w:color w:val="auto"/>
          <w:spacing w:val="4"/>
          <w:szCs w:val="24"/>
        </w:rPr>
        <w:t>交</w:t>
      </w:r>
      <w:r>
        <w:rPr>
          <w:color w:val="auto"/>
          <w:spacing w:val="2"/>
          <w:szCs w:val="24"/>
        </w:rPr>
        <w:t>通</w:t>
      </w:r>
      <w:r>
        <w:rPr>
          <w:color w:val="auto"/>
          <w:spacing w:val="4"/>
          <w:szCs w:val="24"/>
        </w:rPr>
        <w:t>要</w:t>
      </w:r>
      <w:r>
        <w:rPr>
          <w:color w:val="auto"/>
          <w:spacing w:val="2"/>
          <w:szCs w:val="24"/>
        </w:rPr>
        <w:t>道附近，</w:t>
      </w:r>
      <w:r>
        <w:rPr>
          <w:color w:val="auto"/>
          <w:spacing w:val="4"/>
          <w:szCs w:val="24"/>
        </w:rPr>
        <w:t>同</w:t>
      </w:r>
      <w:r>
        <w:rPr>
          <w:color w:val="auto"/>
          <w:spacing w:val="2"/>
          <w:szCs w:val="24"/>
        </w:rPr>
        <w:t>时作</w:t>
      </w:r>
      <w:r>
        <w:rPr>
          <w:color w:val="auto"/>
          <w:spacing w:val="4"/>
          <w:szCs w:val="24"/>
        </w:rPr>
        <w:t>好</w:t>
      </w:r>
      <w:r>
        <w:rPr>
          <w:color w:val="auto"/>
          <w:spacing w:val="2"/>
          <w:szCs w:val="24"/>
        </w:rPr>
        <w:t>拦</w:t>
      </w:r>
      <w:r>
        <w:rPr>
          <w:color w:val="auto"/>
          <w:spacing w:val="4"/>
          <w:szCs w:val="24"/>
        </w:rPr>
        <w:t>挡</w:t>
      </w:r>
      <w:r>
        <w:rPr>
          <w:color w:val="auto"/>
          <w:spacing w:val="2"/>
          <w:szCs w:val="24"/>
        </w:rPr>
        <w:t>和防护工</w:t>
      </w:r>
      <w:r>
        <w:rPr>
          <w:color w:val="auto"/>
          <w:spacing w:val="4"/>
          <w:szCs w:val="24"/>
        </w:rPr>
        <w:t>作</w:t>
      </w:r>
      <w:r>
        <w:rPr>
          <w:color w:val="auto"/>
          <w:spacing w:val="2"/>
          <w:szCs w:val="24"/>
        </w:rPr>
        <w:t>；施</w:t>
      </w:r>
      <w:r>
        <w:rPr>
          <w:color w:val="auto"/>
          <w:spacing w:val="4"/>
          <w:szCs w:val="24"/>
        </w:rPr>
        <w:t>工</w:t>
      </w:r>
      <w:r>
        <w:rPr>
          <w:color w:val="auto"/>
          <w:spacing w:val="2"/>
          <w:szCs w:val="24"/>
        </w:rPr>
        <w:t>结</w:t>
      </w:r>
      <w:r>
        <w:rPr>
          <w:color w:val="auto"/>
          <w:spacing w:val="4"/>
          <w:szCs w:val="24"/>
        </w:rPr>
        <w:t>束</w:t>
      </w:r>
      <w:r>
        <w:rPr>
          <w:color w:val="auto"/>
          <w:spacing w:val="2"/>
          <w:szCs w:val="24"/>
        </w:rPr>
        <w:t>后，及时进行回填，</w:t>
      </w:r>
      <w:r>
        <w:rPr>
          <w:color w:val="auto"/>
          <w:spacing w:val="4"/>
          <w:szCs w:val="24"/>
        </w:rPr>
        <w:t>并</w:t>
      </w:r>
      <w:r>
        <w:rPr>
          <w:color w:val="auto"/>
          <w:spacing w:val="2"/>
          <w:szCs w:val="24"/>
        </w:rPr>
        <w:t>清理</w:t>
      </w:r>
      <w:r>
        <w:rPr>
          <w:color w:val="auto"/>
          <w:spacing w:val="4"/>
          <w:szCs w:val="24"/>
        </w:rPr>
        <w:t>和</w:t>
      </w:r>
      <w:r>
        <w:rPr>
          <w:color w:val="auto"/>
          <w:spacing w:val="2"/>
          <w:szCs w:val="24"/>
        </w:rPr>
        <w:t>恢</w:t>
      </w:r>
      <w:r>
        <w:rPr>
          <w:color w:val="auto"/>
          <w:spacing w:val="4"/>
          <w:szCs w:val="24"/>
        </w:rPr>
        <w:t>复</w:t>
      </w:r>
      <w:r>
        <w:rPr>
          <w:color w:val="auto"/>
          <w:spacing w:val="2"/>
          <w:szCs w:val="24"/>
        </w:rPr>
        <w:t>迹地，多</w:t>
      </w:r>
      <w:r>
        <w:rPr>
          <w:color w:val="auto"/>
          <w:spacing w:val="4"/>
          <w:szCs w:val="24"/>
        </w:rPr>
        <w:t>余</w:t>
      </w:r>
      <w:r>
        <w:rPr>
          <w:color w:val="auto"/>
          <w:spacing w:val="2"/>
          <w:szCs w:val="24"/>
        </w:rPr>
        <w:t>弃土</w:t>
      </w:r>
      <w:r>
        <w:rPr>
          <w:color w:val="auto"/>
          <w:spacing w:val="4"/>
          <w:szCs w:val="24"/>
        </w:rPr>
        <w:t>送</w:t>
      </w:r>
      <w:r>
        <w:rPr>
          <w:color w:val="auto"/>
          <w:spacing w:val="2"/>
          <w:szCs w:val="24"/>
        </w:rPr>
        <w:t>指</w:t>
      </w:r>
      <w:r>
        <w:rPr>
          <w:color w:val="auto"/>
          <w:spacing w:val="4"/>
          <w:szCs w:val="24"/>
        </w:rPr>
        <w:t>定</w:t>
      </w:r>
      <w:r>
        <w:rPr>
          <w:color w:val="auto"/>
          <w:spacing w:val="2"/>
          <w:szCs w:val="24"/>
        </w:rPr>
        <w:t>渣场堆放</w:t>
      </w:r>
      <w:r>
        <w:rPr>
          <w:color w:val="auto"/>
          <w:spacing w:val="4"/>
          <w:szCs w:val="24"/>
        </w:rPr>
        <w:t>。</w:t>
      </w:r>
      <w:r>
        <w:rPr>
          <w:color w:val="auto"/>
          <w:spacing w:val="2"/>
          <w:szCs w:val="24"/>
        </w:rPr>
        <w:t>在采</w:t>
      </w:r>
      <w:r>
        <w:rPr>
          <w:color w:val="auto"/>
          <w:spacing w:val="4"/>
          <w:szCs w:val="24"/>
        </w:rPr>
        <w:t>取</w:t>
      </w:r>
      <w:r>
        <w:rPr>
          <w:color w:val="auto"/>
          <w:spacing w:val="2"/>
          <w:szCs w:val="24"/>
        </w:rPr>
        <w:t>这</w:t>
      </w:r>
      <w:r>
        <w:rPr>
          <w:color w:val="auto"/>
          <w:spacing w:val="4"/>
          <w:szCs w:val="24"/>
        </w:rPr>
        <w:t>些</w:t>
      </w:r>
      <w:r>
        <w:rPr>
          <w:color w:val="auto"/>
          <w:spacing w:val="2"/>
          <w:szCs w:val="24"/>
        </w:rPr>
        <w:t>措施后，可</w:t>
      </w:r>
      <w:r>
        <w:rPr>
          <w:color w:val="auto"/>
          <w:szCs w:val="24"/>
        </w:rPr>
        <w:t>将水土流失影响降至最低。</w:t>
      </w:r>
    </w:p>
    <w:p>
      <w:pPr>
        <w:pStyle w:val="16"/>
        <w:tabs>
          <w:tab w:val="left" w:pos="961"/>
        </w:tabs>
        <w:spacing w:before="0" w:beforeAutospacing="0" w:after="0" w:line="360" w:lineRule="auto"/>
        <w:ind w:firstLine="480" w:firstLineChars="200"/>
        <w:rPr>
          <w:color w:val="auto"/>
          <w:szCs w:val="24"/>
        </w:rPr>
      </w:pPr>
      <w:r>
        <w:rPr>
          <w:color w:val="auto"/>
          <w:szCs w:val="24"/>
        </w:rPr>
        <w:t>（4）土地占用的影响</w:t>
      </w:r>
    </w:p>
    <w:p>
      <w:pPr>
        <w:pStyle w:val="16"/>
        <w:spacing w:before="0" w:beforeAutospacing="0" w:after="0" w:line="360" w:lineRule="auto"/>
        <w:ind w:firstLine="480" w:firstLineChars="200"/>
        <w:contextualSpacing/>
        <w:rPr>
          <w:color w:val="auto"/>
        </w:rPr>
      </w:pPr>
      <w:r>
        <w:rPr>
          <w:color w:val="auto"/>
          <w:szCs w:val="24"/>
        </w:rPr>
        <w:t>本项目剥离表土可临时堆放于项目建设区内的预留发展用地上，不需再新增临时占地</w:t>
      </w:r>
      <w:r>
        <w:rPr>
          <w:color w:val="auto"/>
        </w:rPr>
        <w:t>。</w:t>
      </w:r>
      <w:r>
        <w:rPr>
          <w:color w:val="auto"/>
          <w:szCs w:val="24"/>
        </w:rPr>
        <w:t>本项目占地已全部规划为建设用地，工程占地符合用地规划，因此工程选址是合理的。</w:t>
      </w:r>
    </w:p>
    <w:p>
      <w:pPr>
        <w:pStyle w:val="16"/>
        <w:spacing w:before="0" w:beforeAutospacing="0" w:after="0" w:line="360" w:lineRule="auto"/>
        <w:ind w:firstLine="480" w:firstLineChars="200"/>
        <w:rPr>
          <w:color w:val="auto"/>
          <w:szCs w:val="24"/>
        </w:rPr>
      </w:pPr>
      <w:r>
        <w:rPr>
          <w:color w:val="auto"/>
          <w:szCs w:val="24"/>
        </w:rPr>
        <w:t>（5）物种量和生物量的变化</w:t>
      </w:r>
    </w:p>
    <w:p>
      <w:pPr>
        <w:pStyle w:val="16"/>
        <w:spacing w:before="0" w:beforeAutospacing="0" w:after="0" w:line="360" w:lineRule="auto"/>
        <w:ind w:firstLine="480" w:firstLineChars="200"/>
        <w:rPr>
          <w:color w:val="auto"/>
          <w:szCs w:val="24"/>
        </w:rPr>
      </w:pPr>
      <w:r>
        <w:rPr>
          <w:color w:val="auto"/>
          <w:szCs w:val="24"/>
        </w:rPr>
        <w:t>施工期，评价区范围内的杂草群落将被彻底破坏，植物物种量和生物量短期内将大幅降低。施工期后，由于逐步采取绿化措施，物种量和生物量会稍有增加。</w:t>
      </w:r>
    </w:p>
    <w:p>
      <w:pPr>
        <w:pStyle w:val="16"/>
        <w:spacing w:before="0" w:beforeAutospacing="0" w:after="0" w:line="360" w:lineRule="auto"/>
        <w:ind w:firstLine="480" w:firstLineChars="200"/>
        <w:rPr>
          <w:color w:val="auto"/>
          <w:szCs w:val="24"/>
        </w:rPr>
      </w:pPr>
      <w:r>
        <w:rPr>
          <w:color w:val="auto"/>
          <w:szCs w:val="24"/>
        </w:rPr>
        <w:t>（6）对土壤的影响</w:t>
      </w:r>
    </w:p>
    <w:p>
      <w:pPr>
        <w:pStyle w:val="16"/>
        <w:spacing w:before="0" w:beforeAutospacing="0" w:after="0" w:line="360" w:lineRule="auto"/>
        <w:ind w:firstLine="480" w:firstLineChars="200"/>
        <w:rPr>
          <w:color w:val="auto"/>
          <w:szCs w:val="24"/>
        </w:rPr>
      </w:pPr>
      <w:r>
        <w:rPr>
          <w:color w:val="auto"/>
          <w:szCs w:val="24"/>
        </w:rPr>
        <w:t>工程施工过程中，项目建设区内的原地貌被扰动，地表植被和土层遭到破坏，导致土壤有机质流失、土壤中氮、磷和有机物及无机盐含量迅速下降，同时土壤中生物、微生物及它们的衍生物数量也大大降低，从而使</w:t>
      </w:r>
      <w:r>
        <w:rPr>
          <w:rFonts w:hint="eastAsia"/>
          <w:color w:val="auto"/>
          <w:szCs w:val="24"/>
        </w:rPr>
        <w:t>土地</w:t>
      </w:r>
      <w:r>
        <w:rPr>
          <w:color w:val="auto"/>
          <w:szCs w:val="24"/>
        </w:rPr>
        <w:t>条件恶化，给以后的植被恢复和土地复垦工作造成困难。</w:t>
      </w:r>
    </w:p>
    <w:p>
      <w:pPr>
        <w:pStyle w:val="16"/>
        <w:spacing w:before="0" w:beforeAutospacing="0" w:after="0" w:line="360" w:lineRule="auto"/>
        <w:ind w:firstLine="480" w:firstLineChars="200"/>
        <w:rPr>
          <w:color w:val="auto"/>
          <w:szCs w:val="24"/>
        </w:rPr>
      </w:pPr>
      <w:r>
        <w:rPr>
          <w:color w:val="auto"/>
          <w:szCs w:val="24"/>
        </w:rPr>
        <w:t>工程施工扰动地表面积和土石方工程量均较大，将严重扰动原地貌、损坏大面积的植被，大大降低了地表土壤的抗侵蚀能力，极易引发水土流失；伴随水土流失现象的发生，地表径流挟带进入水体的悬浮物及其它有机物、无机物污染物质的数量增加，从而使水环境服务功能下降，造成项目区生态环境进一步恶化。</w:t>
      </w:r>
    </w:p>
    <w:p>
      <w:pPr>
        <w:pStyle w:val="16"/>
        <w:spacing w:before="0" w:beforeAutospacing="0" w:after="0" w:line="360" w:lineRule="auto"/>
        <w:ind w:firstLine="480" w:firstLineChars="200"/>
        <w:rPr>
          <w:color w:val="auto"/>
          <w:szCs w:val="24"/>
        </w:rPr>
      </w:pPr>
      <w:r>
        <w:rPr>
          <w:color w:val="auto"/>
          <w:szCs w:val="24"/>
        </w:rPr>
        <w:t>工程施工过程中弃方临时堆场，若不能及时有效地采取施工管理和拦挡防护等措施，在降雨径流作用下，大量泥沙被挟带进入下游地区的沟渠及河道，造成淤积，不利于排涝行洪。</w:t>
      </w:r>
    </w:p>
    <w:p>
      <w:pPr>
        <w:pStyle w:val="16"/>
        <w:spacing w:before="0" w:beforeAutospacing="0" w:after="0" w:line="360" w:lineRule="auto"/>
        <w:ind w:firstLine="480" w:firstLineChars="200"/>
        <w:rPr>
          <w:color w:val="auto"/>
          <w:szCs w:val="24"/>
        </w:rPr>
      </w:pPr>
      <w:r>
        <w:rPr>
          <w:color w:val="auto"/>
          <w:szCs w:val="24"/>
        </w:rPr>
        <w:t>（7）对景观的影响</w:t>
      </w:r>
    </w:p>
    <w:p>
      <w:pPr>
        <w:pStyle w:val="16"/>
        <w:spacing w:before="0" w:beforeAutospacing="0" w:after="0" w:line="360" w:lineRule="auto"/>
        <w:ind w:firstLine="480" w:firstLineChars="200"/>
        <w:rPr>
          <w:color w:val="auto"/>
          <w:szCs w:val="24"/>
        </w:rPr>
      </w:pPr>
      <w:r>
        <w:rPr>
          <w:color w:val="auto"/>
          <w:szCs w:val="24"/>
        </w:rPr>
        <w:t>施工期，项目区内的田地由各种基础设施逐步取而代之，景观性质发生改变，景观异质性明显增强。同时，评价区内各种硬化道路的修建，增加了评价区内的廊道景观。</w:t>
      </w:r>
    </w:p>
    <w:bookmarkEnd w:id="616"/>
    <w:p>
      <w:pPr>
        <w:pStyle w:val="3"/>
        <w:numPr>
          <w:ilvl w:val="0"/>
          <w:numId w:val="0"/>
        </w:numPr>
        <w:tabs>
          <w:tab w:val="clear" w:pos="680"/>
        </w:tabs>
        <w:rPr>
          <w:rFonts w:ascii="Times New Roman"/>
          <w:bCs/>
          <w:color w:val="auto"/>
        </w:rPr>
      </w:pPr>
      <w:bookmarkStart w:id="617" w:name="_Toc23263173"/>
      <w:bookmarkStart w:id="618" w:name="_Toc483263320"/>
      <w:bookmarkStart w:id="619" w:name="_Toc24136816"/>
      <w:bookmarkStart w:id="620" w:name="_Toc8401"/>
      <w:bookmarkStart w:id="621" w:name="_Toc14943330"/>
      <w:r>
        <w:rPr>
          <w:rFonts w:hint="eastAsia" w:ascii="Times New Roman"/>
          <w:bCs/>
          <w:color w:val="auto"/>
          <w:lang w:eastAsia="zh-CN"/>
        </w:rPr>
        <w:t>5</w:t>
      </w:r>
      <w:r>
        <w:rPr>
          <w:rFonts w:ascii="Times New Roman"/>
          <w:bCs/>
          <w:color w:val="auto"/>
          <w:lang w:eastAsia="zh-CN"/>
        </w:rPr>
        <w:t>.2</w:t>
      </w:r>
      <w:r>
        <w:rPr>
          <w:rFonts w:ascii="Times New Roman"/>
          <w:bCs/>
          <w:color w:val="auto"/>
        </w:rPr>
        <w:t>营运期环境影响预测与评价</w:t>
      </w:r>
      <w:bookmarkEnd w:id="617"/>
      <w:bookmarkEnd w:id="618"/>
      <w:bookmarkEnd w:id="619"/>
      <w:bookmarkEnd w:id="620"/>
      <w:bookmarkEnd w:id="621"/>
    </w:p>
    <w:p>
      <w:pPr>
        <w:pStyle w:val="4"/>
        <w:numPr>
          <w:ilvl w:val="0"/>
          <w:numId w:val="0"/>
        </w:numPr>
        <w:tabs>
          <w:tab w:val="clear" w:pos="680"/>
        </w:tabs>
        <w:ind w:left="720" w:right="240" w:hanging="720"/>
        <w:rPr>
          <w:b/>
          <w:color w:val="auto"/>
          <w:szCs w:val="24"/>
        </w:rPr>
      </w:pPr>
      <w:bookmarkStart w:id="622" w:name="_Toc89499148"/>
      <w:bookmarkStart w:id="623" w:name="_Toc79568863"/>
      <w:bookmarkStart w:id="624" w:name="_Toc370113157"/>
      <w:bookmarkStart w:id="625" w:name="_Toc14946906"/>
      <w:bookmarkStart w:id="626" w:name="_Toc15912198"/>
      <w:bookmarkStart w:id="627" w:name="_Toc34234736"/>
      <w:bookmarkStart w:id="628" w:name="_Toc24136817"/>
      <w:bookmarkStart w:id="629" w:name="_Toc24335"/>
      <w:r>
        <w:rPr>
          <w:rFonts w:hint="eastAsia"/>
          <w:b/>
          <w:color w:val="auto"/>
          <w:szCs w:val="24"/>
          <w:lang w:val="en-GB"/>
        </w:rPr>
        <w:t>5</w:t>
      </w:r>
      <w:r>
        <w:rPr>
          <w:b/>
          <w:color w:val="auto"/>
          <w:szCs w:val="24"/>
          <w:lang w:val="en-GB"/>
        </w:rPr>
        <w:t>.2.1大气</w:t>
      </w:r>
      <w:bookmarkEnd w:id="622"/>
      <w:bookmarkEnd w:id="623"/>
      <w:bookmarkEnd w:id="624"/>
      <w:r>
        <w:rPr>
          <w:b/>
          <w:color w:val="auto"/>
          <w:szCs w:val="24"/>
        </w:rPr>
        <w:t>环境影响</w:t>
      </w:r>
      <w:bookmarkEnd w:id="625"/>
      <w:bookmarkEnd w:id="626"/>
      <w:r>
        <w:rPr>
          <w:rFonts w:hint="eastAsia"/>
          <w:b/>
          <w:color w:val="auto"/>
          <w:szCs w:val="24"/>
        </w:rPr>
        <w:t>分析</w:t>
      </w:r>
      <w:bookmarkEnd w:id="627"/>
      <w:bookmarkEnd w:id="628"/>
      <w:bookmarkEnd w:id="629"/>
    </w:p>
    <w:p>
      <w:pPr>
        <w:spacing w:line="360" w:lineRule="auto"/>
        <w:rPr>
          <w:b/>
          <w:color w:val="auto"/>
        </w:rPr>
      </w:pPr>
      <w:bookmarkStart w:id="630" w:name="_Toc389557305"/>
      <w:bookmarkStart w:id="631" w:name="_Toc392488666"/>
      <w:r>
        <w:rPr>
          <w:b/>
          <w:color w:val="auto"/>
          <w:lang w:val="en-GB"/>
        </w:rPr>
        <w:t>5.2.1.1地面</w:t>
      </w:r>
      <w:r>
        <w:rPr>
          <w:b/>
          <w:color w:val="auto"/>
        </w:rPr>
        <w:t>污染气象分析</w:t>
      </w:r>
      <w:bookmarkEnd w:id="630"/>
      <w:bookmarkEnd w:id="631"/>
    </w:p>
    <w:p>
      <w:pPr>
        <w:spacing w:line="360" w:lineRule="auto"/>
        <w:ind w:firstLine="480"/>
        <w:rPr>
          <w:color w:val="auto"/>
        </w:rPr>
      </w:pPr>
      <w:r>
        <w:rPr>
          <w:color w:val="auto"/>
        </w:rPr>
        <w:t>本次评价对项目有组织、无组织排放的大气污染物进行大气影响分析。</w:t>
      </w:r>
    </w:p>
    <w:p>
      <w:pPr>
        <w:spacing w:line="360" w:lineRule="auto"/>
        <w:ind w:firstLine="480"/>
        <w:rPr>
          <w:color w:val="auto"/>
        </w:rPr>
      </w:pPr>
      <w:r>
        <w:rPr>
          <w:color w:val="auto"/>
        </w:rPr>
        <w:t>（1）气象站的代表性分析</w:t>
      </w:r>
    </w:p>
    <w:p>
      <w:pPr>
        <w:spacing w:line="360" w:lineRule="auto"/>
        <w:ind w:firstLine="480"/>
        <w:jc w:val="both"/>
        <w:rPr>
          <w:color w:val="auto"/>
        </w:rPr>
      </w:pPr>
      <w:r>
        <w:rPr>
          <w:rFonts w:hint="eastAsia"/>
          <w:color w:val="auto"/>
        </w:rPr>
        <w:t>本次评价</w:t>
      </w:r>
      <w:r>
        <w:rPr>
          <w:color w:val="auto"/>
        </w:rPr>
        <w:t>采用的是</w:t>
      </w:r>
      <w:r>
        <w:rPr>
          <w:rFonts w:hint="eastAsia"/>
          <w:color w:val="auto"/>
        </w:rPr>
        <w:t>兴宁</w:t>
      </w:r>
      <w:r>
        <w:rPr>
          <w:color w:val="auto"/>
        </w:rPr>
        <w:t>气象站（59109）资料，气象站位于广东省</w:t>
      </w:r>
      <w:r>
        <w:rPr>
          <w:rFonts w:hint="eastAsia"/>
          <w:color w:val="auto"/>
        </w:rPr>
        <w:t>梅州市</w:t>
      </w:r>
      <w:r>
        <w:rPr>
          <w:color w:val="auto"/>
        </w:rPr>
        <w:t>，地理坐标为东经115.7156度，北纬24.1677度，海拔高度123.6米。气象站始建于1959年，1959年正式进行气象观测。</w:t>
      </w:r>
    </w:p>
    <w:p>
      <w:pPr>
        <w:spacing w:line="360" w:lineRule="auto"/>
        <w:ind w:firstLine="480"/>
        <w:jc w:val="both"/>
        <w:rPr>
          <w:color w:val="auto"/>
        </w:rPr>
      </w:pPr>
      <w:r>
        <w:rPr>
          <w:rFonts w:hint="eastAsia"/>
          <w:color w:val="auto"/>
        </w:rPr>
        <w:t>兴宁</w:t>
      </w:r>
      <w:r>
        <w:rPr>
          <w:color w:val="auto"/>
        </w:rPr>
        <w:t>气象站距项目7.35km，是距项目最近的</w:t>
      </w:r>
      <w:r>
        <w:rPr>
          <w:rFonts w:hint="eastAsia"/>
          <w:color w:val="auto"/>
        </w:rPr>
        <w:t>一般</w:t>
      </w:r>
      <w:r>
        <w:rPr>
          <w:color w:val="auto"/>
        </w:rPr>
        <w:t>气象站，拥有长期的气象观测资料，本评价根据《环境影响评价技术导则 大气环境》（HJ2.2-2018）要求，选用</w:t>
      </w:r>
      <w:r>
        <w:rPr>
          <w:rFonts w:hint="eastAsia"/>
          <w:color w:val="auto"/>
        </w:rPr>
        <w:t>兴宁</w:t>
      </w:r>
      <w:r>
        <w:rPr>
          <w:color w:val="auto"/>
        </w:rPr>
        <w:t>气象站1999-2018年气象数据进行统计分析。</w:t>
      </w:r>
    </w:p>
    <w:p>
      <w:pPr>
        <w:spacing w:line="360" w:lineRule="auto"/>
        <w:ind w:firstLine="480"/>
        <w:rPr>
          <w:color w:val="auto"/>
        </w:rPr>
      </w:pPr>
      <w:r>
        <w:rPr>
          <w:color w:val="auto"/>
        </w:rPr>
        <w:t>（2）长期地面污染气象分析</w:t>
      </w:r>
    </w:p>
    <w:p>
      <w:pPr>
        <w:spacing w:line="360" w:lineRule="auto"/>
        <w:ind w:firstLine="480"/>
        <w:rPr>
          <w:b/>
          <w:color w:val="auto"/>
        </w:rPr>
      </w:pPr>
      <w:r>
        <w:rPr>
          <w:rFonts w:hint="eastAsia" w:ascii="宋体" w:hAnsi="宋体" w:cs="宋体"/>
          <w:color w:val="auto"/>
        </w:rPr>
        <w:t>①</w:t>
      </w:r>
      <w:r>
        <w:rPr>
          <w:rFonts w:hint="eastAsia"/>
          <w:color w:val="auto"/>
        </w:rPr>
        <w:t>兴宁市</w:t>
      </w:r>
      <w:r>
        <w:rPr>
          <w:color w:val="auto"/>
        </w:rPr>
        <w:t>近20年主要气候统计资料</w:t>
      </w:r>
    </w:p>
    <w:p>
      <w:pPr>
        <w:pStyle w:val="290"/>
        <w:rPr>
          <w:color w:val="auto"/>
        </w:rPr>
      </w:pPr>
      <w:r>
        <w:rPr>
          <w:color w:val="auto"/>
        </w:rPr>
        <w:t>表</w:t>
      </w:r>
      <w:r>
        <w:rPr>
          <w:rFonts w:hint="eastAsia"/>
          <w:color w:val="auto"/>
        </w:rPr>
        <w:t>5.2</w:t>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1</w:t>
      </w:r>
      <w:r>
        <w:rPr>
          <w:color w:val="auto"/>
        </w:rPr>
        <w:fldChar w:fldCharType="end"/>
      </w:r>
      <w:r>
        <w:rPr>
          <w:color w:val="auto"/>
        </w:rPr>
        <w:t xml:space="preserve">  </w:t>
      </w:r>
      <w:r>
        <w:rPr>
          <w:rFonts w:hint="eastAsia"/>
          <w:color w:val="auto"/>
        </w:rPr>
        <w:t>兴宁市</w:t>
      </w:r>
      <w:r>
        <w:rPr>
          <w:color w:val="auto"/>
        </w:rPr>
        <w:t>气象站常规气象项目统计表（1999-2018年）</w:t>
      </w:r>
    </w:p>
    <w:tbl>
      <w:tblPr>
        <w:tblStyle w:val="53"/>
        <w:tblW w:w="9070" w:type="dxa"/>
        <w:jc w:val="center"/>
        <w:tblInd w:w="0" w:type="dxa"/>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1907"/>
        <w:gridCol w:w="2630"/>
        <w:gridCol w:w="1422"/>
        <w:gridCol w:w="1779"/>
        <w:gridCol w:w="1332"/>
      </w:tblGrid>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tblHeader/>
          <w:jc w:val="center"/>
        </w:trPr>
        <w:tc>
          <w:tcPr>
            <w:tcW w:w="4537" w:type="dxa"/>
            <w:gridSpan w:val="2"/>
            <w:tcBorders>
              <w:top w:val="single" w:color="auto" w:sz="12" w:space="0"/>
            </w:tcBorders>
            <w:shd w:val="clear" w:color="auto" w:fill="FFFFFF"/>
            <w:vAlign w:val="center"/>
          </w:tcPr>
          <w:p>
            <w:pPr>
              <w:pStyle w:val="292"/>
              <w:widowControl w:val="0"/>
              <w:adjustRightInd w:val="0"/>
              <w:snapToGrid w:val="0"/>
              <w:spacing w:before="48"/>
              <w:rPr>
                <w:b/>
                <w:color w:val="auto"/>
                <w:lang w:eastAsia="en-US"/>
              </w:rPr>
            </w:pPr>
            <w:r>
              <w:rPr>
                <w:b/>
                <w:color w:val="auto"/>
                <w:lang w:eastAsia="en-US"/>
              </w:rPr>
              <w:t>统计项目</w:t>
            </w:r>
          </w:p>
        </w:tc>
        <w:tc>
          <w:tcPr>
            <w:tcW w:w="1422" w:type="dxa"/>
            <w:tcBorders>
              <w:top w:val="single" w:color="auto" w:sz="12" w:space="0"/>
            </w:tcBorders>
            <w:shd w:val="clear" w:color="auto" w:fill="FFFFFF"/>
            <w:vAlign w:val="center"/>
          </w:tcPr>
          <w:p>
            <w:pPr>
              <w:pStyle w:val="292"/>
              <w:widowControl w:val="0"/>
              <w:adjustRightInd w:val="0"/>
              <w:snapToGrid w:val="0"/>
              <w:spacing w:before="48"/>
              <w:rPr>
                <w:b/>
                <w:color w:val="auto"/>
                <w:lang w:eastAsia="en-US"/>
              </w:rPr>
            </w:pPr>
            <w:r>
              <w:rPr>
                <w:b/>
                <w:color w:val="auto"/>
                <w:lang w:eastAsia="en-US"/>
              </w:rPr>
              <w:t>统计值</w:t>
            </w:r>
          </w:p>
        </w:tc>
        <w:tc>
          <w:tcPr>
            <w:tcW w:w="1779" w:type="dxa"/>
            <w:tcBorders>
              <w:top w:val="single" w:color="auto" w:sz="12" w:space="0"/>
            </w:tcBorders>
            <w:shd w:val="clear" w:color="auto" w:fill="FFFFFF"/>
            <w:vAlign w:val="center"/>
          </w:tcPr>
          <w:p>
            <w:pPr>
              <w:pStyle w:val="292"/>
              <w:widowControl w:val="0"/>
              <w:adjustRightInd w:val="0"/>
              <w:snapToGrid w:val="0"/>
              <w:spacing w:before="48"/>
              <w:rPr>
                <w:b/>
                <w:color w:val="auto"/>
                <w:lang w:eastAsia="en-US"/>
              </w:rPr>
            </w:pPr>
            <w:r>
              <w:rPr>
                <w:b/>
                <w:color w:val="auto"/>
                <w:lang w:eastAsia="en-US"/>
              </w:rPr>
              <w:t>极值出现时间</w:t>
            </w:r>
          </w:p>
        </w:tc>
        <w:tc>
          <w:tcPr>
            <w:tcW w:w="1332" w:type="dxa"/>
            <w:tcBorders>
              <w:top w:val="single" w:color="auto" w:sz="12" w:space="0"/>
            </w:tcBorders>
            <w:shd w:val="clear" w:color="auto" w:fill="FFFFFF"/>
            <w:vAlign w:val="center"/>
          </w:tcPr>
          <w:p>
            <w:pPr>
              <w:pStyle w:val="292"/>
              <w:widowControl w:val="0"/>
              <w:adjustRightInd w:val="0"/>
              <w:snapToGrid w:val="0"/>
              <w:spacing w:before="48"/>
              <w:rPr>
                <w:b/>
                <w:color w:val="auto"/>
                <w:lang w:eastAsia="en-US"/>
              </w:rPr>
            </w:pPr>
            <w:r>
              <w:rPr>
                <w:b/>
                <w:color w:val="auto"/>
                <w:lang w:eastAsia="en-US"/>
              </w:rPr>
              <w:t>极值</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4537" w:type="dxa"/>
            <w:gridSpan w:val="2"/>
            <w:shd w:val="clear" w:color="auto" w:fill="FFFFFF"/>
            <w:vAlign w:val="center"/>
          </w:tcPr>
          <w:p>
            <w:pPr>
              <w:pStyle w:val="292"/>
              <w:widowControl w:val="0"/>
              <w:adjustRightInd w:val="0"/>
              <w:snapToGrid w:val="0"/>
              <w:spacing w:before="48"/>
              <w:rPr>
                <w:color w:val="auto"/>
                <w:lang w:eastAsia="en-US"/>
              </w:rPr>
            </w:pPr>
            <w:r>
              <w:rPr>
                <w:color w:val="auto"/>
                <w:lang w:eastAsia="en-US"/>
              </w:rPr>
              <w:t>多年平均气温（</w:t>
            </w:r>
            <w:r>
              <w:rPr>
                <w:rFonts w:hint="eastAsia" w:ascii="宋体" w:hAnsi="宋体" w:cs="宋体"/>
                <w:color w:val="auto"/>
                <w:lang w:eastAsia="en-US"/>
              </w:rPr>
              <w:t>℃</w:t>
            </w:r>
            <w:r>
              <w:rPr>
                <w:color w:val="auto"/>
                <w:lang w:eastAsia="en-US"/>
              </w:rPr>
              <w:t>）</w:t>
            </w:r>
          </w:p>
        </w:tc>
        <w:tc>
          <w:tcPr>
            <w:tcW w:w="1422" w:type="dxa"/>
            <w:shd w:val="clear" w:color="auto" w:fill="FFFFFF"/>
            <w:vAlign w:val="center"/>
          </w:tcPr>
          <w:p>
            <w:pPr>
              <w:pStyle w:val="292"/>
              <w:widowControl w:val="0"/>
              <w:adjustRightInd w:val="0"/>
              <w:snapToGrid w:val="0"/>
              <w:spacing w:before="48"/>
              <w:rPr>
                <w:color w:val="auto"/>
                <w:lang w:eastAsia="en-US"/>
              </w:rPr>
            </w:pPr>
            <w:r>
              <w:rPr>
                <w:color w:val="auto"/>
                <w:lang w:eastAsia="en-US"/>
              </w:rPr>
              <w:t>21.5</w:t>
            </w:r>
          </w:p>
        </w:tc>
        <w:tc>
          <w:tcPr>
            <w:tcW w:w="1779" w:type="dxa"/>
            <w:shd w:val="clear" w:color="auto" w:fill="FFFFFF"/>
            <w:vAlign w:val="center"/>
          </w:tcPr>
          <w:p>
            <w:pPr>
              <w:pStyle w:val="292"/>
              <w:widowControl w:val="0"/>
              <w:adjustRightInd w:val="0"/>
              <w:snapToGrid w:val="0"/>
              <w:spacing w:before="48"/>
              <w:rPr>
                <w:color w:val="auto"/>
                <w:lang w:eastAsia="en-US"/>
              </w:rPr>
            </w:pPr>
          </w:p>
        </w:tc>
        <w:tc>
          <w:tcPr>
            <w:tcW w:w="1332" w:type="dxa"/>
            <w:shd w:val="clear" w:color="auto" w:fill="FFFFFF"/>
            <w:vAlign w:val="center"/>
          </w:tcPr>
          <w:p>
            <w:pPr>
              <w:pStyle w:val="292"/>
              <w:widowControl w:val="0"/>
              <w:adjustRightInd w:val="0"/>
              <w:snapToGrid w:val="0"/>
              <w:spacing w:before="48"/>
              <w:rPr>
                <w:color w:val="auto"/>
                <w:lang w:eastAsia="en-US"/>
              </w:rPr>
            </w:pP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4537" w:type="dxa"/>
            <w:gridSpan w:val="2"/>
            <w:shd w:val="clear" w:color="auto" w:fill="FFFFFF"/>
            <w:vAlign w:val="center"/>
          </w:tcPr>
          <w:p>
            <w:pPr>
              <w:pStyle w:val="292"/>
              <w:widowControl w:val="0"/>
              <w:adjustRightInd w:val="0"/>
              <w:snapToGrid w:val="0"/>
              <w:spacing w:before="48"/>
              <w:rPr>
                <w:color w:val="auto"/>
              </w:rPr>
            </w:pPr>
            <w:r>
              <w:rPr>
                <w:color w:val="auto"/>
              </w:rPr>
              <w:t>累年极端最高气温（</w:t>
            </w:r>
            <w:r>
              <w:rPr>
                <w:rFonts w:hint="eastAsia" w:ascii="宋体" w:hAnsi="宋体" w:cs="宋体"/>
                <w:color w:val="auto"/>
              </w:rPr>
              <w:t>℃</w:t>
            </w:r>
            <w:r>
              <w:rPr>
                <w:color w:val="auto"/>
              </w:rPr>
              <w:t>）</w:t>
            </w:r>
          </w:p>
        </w:tc>
        <w:tc>
          <w:tcPr>
            <w:tcW w:w="1422" w:type="dxa"/>
            <w:shd w:val="clear" w:color="auto" w:fill="FFFFFF"/>
            <w:vAlign w:val="center"/>
          </w:tcPr>
          <w:p>
            <w:pPr>
              <w:pStyle w:val="292"/>
              <w:widowControl w:val="0"/>
              <w:adjustRightInd w:val="0"/>
              <w:snapToGrid w:val="0"/>
              <w:spacing w:before="48"/>
              <w:rPr>
                <w:color w:val="auto"/>
              </w:rPr>
            </w:pPr>
            <w:r>
              <w:rPr>
                <w:color w:val="auto"/>
                <w:lang w:eastAsia="en-US"/>
              </w:rPr>
              <w:t>37.</w:t>
            </w:r>
            <w:r>
              <w:rPr>
                <w:color w:val="auto"/>
              </w:rPr>
              <w:t>7</w:t>
            </w:r>
          </w:p>
        </w:tc>
        <w:tc>
          <w:tcPr>
            <w:tcW w:w="1779" w:type="dxa"/>
            <w:shd w:val="clear" w:color="auto" w:fill="FFFFFF"/>
            <w:vAlign w:val="center"/>
          </w:tcPr>
          <w:p>
            <w:pPr>
              <w:pStyle w:val="292"/>
              <w:widowControl w:val="0"/>
              <w:adjustRightInd w:val="0"/>
              <w:snapToGrid w:val="0"/>
              <w:spacing w:before="48"/>
              <w:rPr>
                <w:color w:val="auto"/>
                <w:lang w:eastAsia="en-US"/>
              </w:rPr>
            </w:pPr>
            <w:r>
              <w:rPr>
                <w:color w:val="auto"/>
                <w:lang w:eastAsia="en-US"/>
              </w:rPr>
              <w:t>2009-08-02</w:t>
            </w:r>
          </w:p>
        </w:tc>
        <w:tc>
          <w:tcPr>
            <w:tcW w:w="1332" w:type="dxa"/>
            <w:shd w:val="clear" w:color="auto" w:fill="FFFFFF"/>
            <w:vAlign w:val="center"/>
          </w:tcPr>
          <w:p>
            <w:pPr>
              <w:pStyle w:val="292"/>
              <w:widowControl w:val="0"/>
              <w:adjustRightInd w:val="0"/>
              <w:snapToGrid w:val="0"/>
              <w:spacing w:before="48"/>
              <w:rPr>
                <w:color w:val="auto"/>
                <w:lang w:eastAsia="en-US"/>
              </w:rPr>
            </w:pPr>
            <w:r>
              <w:rPr>
                <w:color w:val="auto"/>
                <w:lang w:eastAsia="en-US"/>
              </w:rPr>
              <w:t>39.0</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PrEx>
        <w:trPr>
          <w:trHeight w:val="340" w:hRule="atLeast"/>
          <w:jc w:val="center"/>
        </w:trPr>
        <w:tc>
          <w:tcPr>
            <w:tcW w:w="4537" w:type="dxa"/>
            <w:gridSpan w:val="2"/>
            <w:shd w:val="clear" w:color="auto" w:fill="FFFFFF"/>
            <w:vAlign w:val="center"/>
          </w:tcPr>
          <w:p>
            <w:pPr>
              <w:pStyle w:val="292"/>
              <w:widowControl w:val="0"/>
              <w:adjustRightInd w:val="0"/>
              <w:snapToGrid w:val="0"/>
              <w:spacing w:before="48"/>
              <w:rPr>
                <w:color w:val="auto"/>
              </w:rPr>
            </w:pPr>
            <w:r>
              <w:rPr>
                <w:color w:val="auto"/>
              </w:rPr>
              <w:t>累年极端最低气温（</w:t>
            </w:r>
            <w:r>
              <w:rPr>
                <w:rFonts w:hint="eastAsia" w:ascii="宋体" w:hAnsi="宋体" w:cs="宋体"/>
                <w:color w:val="auto"/>
              </w:rPr>
              <w:t>℃</w:t>
            </w:r>
            <w:r>
              <w:rPr>
                <w:color w:val="auto"/>
              </w:rPr>
              <w:t>）</w:t>
            </w:r>
          </w:p>
        </w:tc>
        <w:tc>
          <w:tcPr>
            <w:tcW w:w="1422" w:type="dxa"/>
            <w:shd w:val="clear" w:color="auto" w:fill="FFFFFF"/>
            <w:vAlign w:val="center"/>
          </w:tcPr>
          <w:p>
            <w:pPr>
              <w:pStyle w:val="292"/>
              <w:widowControl w:val="0"/>
              <w:adjustRightInd w:val="0"/>
              <w:snapToGrid w:val="0"/>
              <w:spacing w:before="48"/>
              <w:rPr>
                <w:color w:val="auto"/>
              </w:rPr>
            </w:pPr>
            <w:r>
              <w:rPr>
                <w:color w:val="auto"/>
                <w:lang w:eastAsia="en-US"/>
              </w:rPr>
              <w:t>-0.0</w:t>
            </w:r>
          </w:p>
        </w:tc>
        <w:tc>
          <w:tcPr>
            <w:tcW w:w="1779" w:type="dxa"/>
            <w:shd w:val="clear" w:color="auto" w:fill="FFFFFF"/>
            <w:vAlign w:val="center"/>
          </w:tcPr>
          <w:p>
            <w:pPr>
              <w:pStyle w:val="292"/>
              <w:widowControl w:val="0"/>
              <w:adjustRightInd w:val="0"/>
              <w:snapToGrid w:val="0"/>
              <w:spacing w:before="48"/>
              <w:rPr>
                <w:color w:val="auto"/>
                <w:lang w:eastAsia="en-US"/>
              </w:rPr>
            </w:pPr>
            <w:r>
              <w:rPr>
                <w:color w:val="auto"/>
                <w:lang w:eastAsia="en-US"/>
              </w:rPr>
              <w:t>1999-12-23</w:t>
            </w:r>
          </w:p>
        </w:tc>
        <w:tc>
          <w:tcPr>
            <w:tcW w:w="1332" w:type="dxa"/>
            <w:shd w:val="clear" w:color="auto" w:fill="FFFFFF"/>
            <w:vAlign w:val="center"/>
          </w:tcPr>
          <w:p>
            <w:pPr>
              <w:pStyle w:val="292"/>
              <w:widowControl w:val="0"/>
              <w:adjustRightInd w:val="0"/>
              <w:snapToGrid w:val="0"/>
              <w:spacing w:before="48"/>
              <w:rPr>
                <w:color w:val="auto"/>
                <w:lang w:eastAsia="en-US"/>
              </w:rPr>
            </w:pPr>
            <w:r>
              <w:rPr>
                <w:color w:val="auto"/>
                <w:lang w:eastAsia="en-US"/>
              </w:rPr>
              <w:t>-3.5</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4537" w:type="dxa"/>
            <w:gridSpan w:val="2"/>
            <w:shd w:val="clear" w:color="auto" w:fill="FFFFFF"/>
            <w:vAlign w:val="center"/>
          </w:tcPr>
          <w:p>
            <w:pPr>
              <w:pStyle w:val="292"/>
              <w:widowControl w:val="0"/>
              <w:adjustRightInd w:val="0"/>
              <w:snapToGrid w:val="0"/>
              <w:spacing w:before="48"/>
              <w:rPr>
                <w:color w:val="auto"/>
              </w:rPr>
            </w:pPr>
            <w:r>
              <w:rPr>
                <w:color w:val="auto"/>
              </w:rPr>
              <w:t>多年平均气压（hPa）</w:t>
            </w:r>
          </w:p>
        </w:tc>
        <w:tc>
          <w:tcPr>
            <w:tcW w:w="1422" w:type="dxa"/>
            <w:shd w:val="clear" w:color="auto" w:fill="FFFFFF"/>
            <w:vAlign w:val="center"/>
          </w:tcPr>
          <w:p>
            <w:pPr>
              <w:pStyle w:val="292"/>
              <w:widowControl w:val="0"/>
              <w:adjustRightInd w:val="0"/>
              <w:snapToGrid w:val="0"/>
              <w:spacing w:before="48"/>
              <w:rPr>
                <w:color w:val="auto"/>
              </w:rPr>
            </w:pPr>
            <w:r>
              <w:rPr>
                <w:color w:val="auto"/>
                <w:lang w:eastAsia="en-US"/>
              </w:rPr>
              <w:t>999.0</w:t>
            </w:r>
          </w:p>
        </w:tc>
        <w:tc>
          <w:tcPr>
            <w:tcW w:w="1779" w:type="dxa"/>
            <w:shd w:val="clear" w:color="auto" w:fill="FFFFFF"/>
            <w:vAlign w:val="center"/>
          </w:tcPr>
          <w:p>
            <w:pPr>
              <w:pStyle w:val="292"/>
              <w:widowControl w:val="0"/>
              <w:adjustRightInd w:val="0"/>
              <w:snapToGrid w:val="0"/>
              <w:spacing w:before="48"/>
              <w:rPr>
                <w:color w:val="auto"/>
                <w:lang w:eastAsia="en-US"/>
              </w:rPr>
            </w:pPr>
          </w:p>
        </w:tc>
        <w:tc>
          <w:tcPr>
            <w:tcW w:w="1332" w:type="dxa"/>
            <w:shd w:val="clear" w:color="auto" w:fill="FFFFFF"/>
            <w:vAlign w:val="center"/>
          </w:tcPr>
          <w:p>
            <w:pPr>
              <w:pStyle w:val="292"/>
              <w:widowControl w:val="0"/>
              <w:adjustRightInd w:val="0"/>
              <w:snapToGrid w:val="0"/>
              <w:spacing w:before="48"/>
              <w:rPr>
                <w:color w:val="auto"/>
                <w:lang w:eastAsia="en-US"/>
              </w:rPr>
            </w:pP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4537" w:type="dxa"/>
            <w:gridSpan w:val="2"/>
            <w:shd w:val="clear" w:color="auto" w:fill="FFFFFF"/>
            <w:vAlign w:val="center"/>
          </w:tcPr>
          <w:p>
            <w:pPr>
              <w:pStyle w:val="292"/>
              <w:widowControl w:val="0"/>
              <w:adjustRightInd w:val="0"/>
              <w:snapToGrid w:val="0"/>
              <w:spacing w:before="48"/>
              <w:rPr>
                <w:color w:val="auto"/>
              </w:rPr>
            </w:pPr>
            <w:r>
              <w:rPr>
                <w:color w:val="auto"/>
              </w:rPr>
              <w:t>多年平均水汽压（hPa）</w:t>
            </w:r>
          </w:p>
        </w:tc>
        <w:tc>
          <w:tcPr>
            <w:tcW w:w="1422" w:type="dxa"/>
            <w:shd w:val="clear" w:color="auto" w:fill="FFFFFF"/>
            <w:vAlign w:val="center"/>
          </w:tcPr>
          <w:p>
            <w:pPr>
              <w:pStyle w:val="292"/>
              <w:widowControl w:val="0"/>
              <w:adjustRightInd w:val="0"/>
              <w:snapToGrid w:val="0"/>
              <w:spacing w:before="48"/>
              <w:rPr>
                <w:color w:val="auto"/>
              </w:rPr>
            </w:pPr>
            <w:r>
              <w:rPr>
                <w:color w:val="auto"/>
                <w:lang w:eastAsia="en-US"/>
              </w:rPr>
              <w:t>20.</w:t>
            </w:r>
            <w:r>
              <w:rPr>
                <w:color w:val="auto"/>
              </w:rPr>
              <w:t>5</w:t>
            </w:r>
          </w:p>
        </w:tc>
        <w:tc>
          <w:tcPr>
            <w:tcW w:w="1779" w:type="dxa"/>
            <w:shd w:val="clear" w:color="auto" w:fill="FFFFFF"/>
            <w:vAlign w:val="center"/>
          </w:tcPr>
          <w:p>
            <w:pPr>
              <w:pStyle w:val="292"/>
              <w:widowControl w:val="0"/>
              <w:adjustRightInd w:val="0"/>
              <w:snapToGrid w:val="0"/>
              <w:spacing w:before="48"/>
              <w:rPr>
                <w:color w:val="auto"/>
                <w:lang w:eastAsia="en-US"/>
              </w:rPr>
            </w:pPr>
          </w:p>
        </w:tc>
        <w:tc>
          <w:tcPr>
            <w:tcW w:w="1332" w:type="dxa"/>
            <w:shd w:val="clear" w:color="auto" w:fill="FFFFFF"/>
            <w:vAlign w:val="center"/>
          </w:tcPr>
          <w:p>
            <w:pPr>
              <w:pStyle w:val="292"/>
              <w:widowControl w:val="0"/>
              <w:adjustRightInd w:val="0"/>
              <w:snapToGrid w:val="0"/>
              <w:spacing w:before="48"/>
              <w:rPr>
                <w:color w:val="auto"/>
                <w:lang w:eastAsia="en-US"/>
              </w:rPr>
            </w:pP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4537" w:type="dxa"/>
            <w:gridSpan w:val="2"/>
            <w:shd w:val="clear" w:color="auto" w:fill="FFFFFF"/>
            <w:vAlign w:val="center"/>
          </w:tcPr>
          <w:p>
            <w:pPr>
              <w:pStyle w:val="292"/>
              <w:widowControl w:val="0"/>
              <w:adjustRightInd w:val="0"/>
              <w:snapToGrid w:val="0"/>
              <w:spacing w:before="48"/>
              <w:rPr>
                <w:color w:val="auto"/>
                <w:lang w:eastAsia="en-US"/>
              </w:rPr>
            </w:pPr>
            <w:r>
              <w:rPr>
                <w:color w:val="auto"/>
                <w:lang w:eastAsia="en-US"/>
              </w:rPr>
              <w:t>多年平均相对湿度(%)</w:t>
            </w:r>
          </w:p>
        </w:tc>
        <w:tc>
          <w:tcPr>
            <w:tcW w:w="1422" w:type="dxa"/>
            <w:shd w:val="clear" w:color="auto" w:fill="FFFFFF"/>
            <w:vAlign w:val="center"/>
          </w:tcPr>
          <w:p>
            <w:pPr>
              <w:pStyle w:val="292"/>
              <w:widowControl w:val="0"/>
              <w:adjustRightInd w:val="0"/>
              <w:snapToGrid w:val="0"/>
              <w:spacing w:before="48"/>
              <w:rPr>
                <w:color w:val="auto"/>
              </w:rPr>
            </w:pPr>
            <w:r>
              <w:rPr>
                <w:color w:val="auto"/>
                <w:lang w:eastAsia="en-US"/>
              </w:rPr>
              <w:t>75.</w:t>
            </w:r>
            <w:r>
              <w:rPr>
                <w:color w:val="auto"/>
              </w:rPr>
              <w:t>8</w:t>
            </w:r>
          </w:p>
        </w:tc>
        <w:tc>
          <w:tcPr>
            <w:tcW w:w="1779" w:type="dxa"/>
            <w:shd w:val="clear" w:color="auto" w:fill="FFFFFF"/>
            <w:vAlign w:val="center"/>
          </w:tcPr>
          <w:p>
            <w:pPr>
              <w:pStyle w:val="292"/>
              <w:widowControl w:val="0"/>
              <w:adjustRightInd w:val="0"/>
              <w:snapToGrid w:val="0"/>
              <w:spacing w:before="48"/>
              <w:rPr>
                <w:color w:val="auto"/>
                <w:lang w:eastAsia="en-US"/>
              </w:rPr>
            </w:pPr>
          </w:p>
        </w:tc>
        <w:tc>
          <w:tcPr>
            <w:tcW w:w="1332" w:type="dxa"/>
            <w:shd w:val="clear" w:color="auto" w:fill="FFFFFF"/>
            <w:vAlign w:val="center"/>
          </w:tcPr>
          <w:p>
            <w:pPr>
              <w:pStyle w:val="292"/>
              <w:widowControl w:val="0"/>
              <w:adjustRightInd w:val="0"/>
              <w:snapToGrid w:val="0"/>
              <w:spacing w:before="48"/>
              <w:rPr>
                <w:color w:val="auto"/>
                <w:lang w:eastAsia="en-US"/>
              </w:rPr>
            </w:pP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4537" w:type="dxa"/>
            <w:gridSpan w:val="2"/>
            <w:shd w:val="clear" w:color="auto" w:fill="FFFFFF"/>
            <w:vAlign w:val="center"/>
          </w:tcPr>
          <w:p>
            <w:pPr>
              <w:pStyle w:val="292"/>
              <w:widowControl w:val="0"/>
              <w:adjustRightInd w:val="0"/>
              <w:snapToGrid w:val="0"/>
              <w:spacing w:before="48"/>
              <w:rPr>
                <w:color w:val="auto"/>
                <w:lang w:eastAsia="en-US"/>
              </w:rPr>
            </w:pPr>
            <w:r>
              <w:rPr>
                <w:color w:val="auto"/>
                <w:lang w:eastAsia="en-US"/>
              </w:rPr>
              <w:t>多年平均降雨量(mm)</w:t>
            </w:r>
          </w:p>
        </w:tc>
        <w:tc>
          <w:tcPr>
            <w:tcW w:w="1422" w:type="dxa"/>
            <w:shd w:val="clear" w:color="auto" w:fill="FFFFFF"/>
            <w:vAlign w:val="center"/>
          </w:tcPr>
          <w:p>
            <w:pPr>
              <w:pStyle w:val="292"/>
              <w:widowControl w:val="0"/>
              <w:adjustRightInd w:val="0"/>
              <w:snapToGrid w:val="0"/>
              <w:spacing w:before="48"/>
              <w:rPr>
                <w:color w:val="auto"/>
              </w:rPr>
            </w:pPr>
            <w:r>
              <w:rPr>
                <w:color w:val="auto"/>
              </w:rPr>
              <w:t>1486.1</w:t>
            </w:r>
          </w:p>
        </w:tc>
        <w:tc>
          <w:tcPr>
            <w:tcW w:w="1779" w:type="dxa"/>
            <w:shd w:val="clear" w:color="auto" w:fill="FFFFFF"/>
            <w:vAlign w:val="center"/>
          </w:tcPr>
          <w:p>
            <w:pPr>
              <w:pStyle w:val="292"/>
              <w:widowControl w:val="0"/>
              <w:adjustRightInd w:val="0"/>
              <w:snapToGrid w:val="0"/>
              <w:spacing w:before="48"/>
              <w:rPr>
                <w:color w:val="auto"/>
                <w:lang w:eastAsia="en-US"/>
              </w:rPr>
            </w:pPr>
            <w:r>
              <w:rPr>
                <w:color w:val="auto"/>
                <w:lang w:eastAsia="en-US"/>
              </w:rPr>
              <w:t>2006-07-15</w:t>
            </w:r>
          </w:p>
        </w:tc>
        <w:tc>
          <w:tcPr>
            <w:tcW w:w="1332" w:type="dxa"/>
            <w:shd w:val="clear" w:color="auto" w:fill="FFFFFF"/>
            <w:vAlign w:val="center"/>
          </w:tcPr>
          <w:p>
            <w:pPr>
              <w:pStyle w:val="292"/>
              <w:widowControl w:val="0"/>
              <w:adjustRightInd w:val="0"/>
              <w:snapToGrid w:val="0"/>
              <w:spacing w:before="48"/>
              <w:rPr>
                <w:color w:val="auto"/>
                <w:lang w:eastAsia="en-US"/>
              </w:rPr>
            </w:pPr>
            <w:r>
              <w:rPr>
                <w:color w:val="auto"/>
                <w:lang w:eastAsia="en-US"/>
              </w:rPr>
              <w:t>206.3</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1907" w:type="dxa"/>
            <w:vMerge w:val="restart"/>
            <w:shd w:val="clear" w:color="auto" w:fill="FFFFFF"/>
            <w:vAlign w:val="center"/>
          </w:tcPr>
          <w:p>
            <w:pPr>
              <w:pStyle w:val="292"/>
              <w:widowControl w:val="0"/>
              <w:adjustRightInd w:val="0"/>
              <w:snapToGrid w:val="0"/>
              <w:spacing w:before="48"/>
              <w:rPr>
                <w:color w:val="auto"/>
                <w:lang w:eastAsia="en-US"/>
              </w:rPr>
            </w:pPr>
            <w:r>
              <w:rPr>
                <w:color w:val="auto"/>
                <w:lang w:eastAsia="en-US"/>
              </w:rPr>
              <w:t>灾害天气统计</w:t>
            </w:r>
          </w:p>
        </w:tc>
        <w:tc>
          <w:tcPr>
            <w:tcW w:w="2630" w:type="dxa"/>
            <w:shd w:val="clear" w:color="auto" w:fill="FFFFFF"/>
            <w:vAlign w:val="center"/>
          </w:tcPr>
          <w:p>
            <w:pPr>
              <w:pStyle w:val="292"/>
              <w:widowControl w:val="0"/>
              <w:adjustRightInd w:val="0"/>
              <w:snapToGrid w:val="0"/>
              <w:spacing w:before="48"/>
              <w:rPr>
                <w:color w:val="auto"/>
                <w:lang w:eastAsia="en-US"/>
              </w:rPr>
            </w:pPr>
            <w:r>
              <w:rPr>
                <w:color w:val="auto"/>
                <w:lang w:eastAsia="en-US"/>
              </w:rPr>
              <w:t>多年平均沙暴日数(d)</w:t>
            </w:r>
          </w:p>
        </w:tc>
        <w:tc>
          <w:tcPr>
            <w:tcW w:w="1422" w:type="dxa"/>
            <w:shd w:val="clear" w:color="auto" w:fill="FFFFFF"/>
            <w:vAlign w:val="center"/>
          </w:tcPr>
          <w:p>
            <w:pPr>
              <w:pStyle w:val="292"/>
              <w:widowControl w:val="0"/>
              <w:adjustRightInd w:val="0"/>
              <w:snapToGrid w:val="0"/>
              <w:spacing w:before="48"/>
              <w:rPr>
                <w:color w:val="auto"/>
                <w:lang w:eastAsia="en-US"/>
              </w:rPr>
            </w:pPr>
            <w:r>
              <w:rPr>
                <w:color w:val="auto"/>
                <w:lang w:eastAsia="en-US"/>
              </w:rPr>
              <w:t>0.0</w:t>
            </w:r>
          </w:p>
        </w:tc>
        <w:tc>
          <w:tcPr>
            <w:tcW w:w="1779" w:type="dxa"/>
            <w:shd w:val="clear" w:color="auto" w:fill="FFFFFF"/>
            <w:vAlign w:val="center"/>
          </w:tcPr>
          <w:p>
            <w:pPr>
              <w:pStyle w:val="292"/>
              <w:widowControl w:val="0"/>
              <w:adjustRightInd w:val="0"/>
              <w:snapToGrid w:val="0"/>
              <w:spacing w:before="48"/>
              <w:rPr>
                <w:color w:val="auto"/>
                <w:lang w:eastAsia="en-US"/>
              </w:rPr>
            </w:pPr>
          </w:p>
        </w:tc>
        <w:tc>
          <w:tcPr>
            <w:tcW w:w="1332" w:type="dxa"/>
            <w:shd w:val="clear" w:color="auto" w:fill="FFFFFF"/>
            <w:vAlign w:val="center"/>
          </w:tcPr>
          <w:p>
            <w:pPr>
              <w:pStyle w:val="292"/>
              <w:widowControl w:val="0"/>
              <w:adjustRightInd w:val="0"/>
              <w:snapToGrid w:val="0"/>
              <w:spacing w:before="48"/>
              <w:rPr>
                <w:color w:val="auto"/>
                <w:lang w:eastAsia="en-US"/>
              </w:rPr>
            </w:pP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1907" w:type="dxa"/>
            <w:vMerge w:val="continue"/>
            <w:shd w:val="clear" w:color="auto" w:fill="FFFFFF"/>
            <w:vAlign w:val="center"/>
          </w:tcPr>
          <w:p>
            <w:pPr>
              <w:pStyle w:val="292"/>
              <w:widowControl w:val="0"/>
              <w:adjustRightInd w:val="0"/>
              <w:snapToGrid w:val="0"/>
              <w:spacing w:before="48"/>
              <w:rPr>
                <w:color w:val="auto"/>
                <w:lang w:eastAsia="en-US"/>
              </w:rPr>
            </w:pPr>
          </w:p>
        </w:tc>
        <w:tc>
          <w:tcPr>
            <w:tcW w:w="2630" w:type="dxa"/>
            <w:shd w:val="clear" w:color="auto" w:fill="FFFFFF"/>
            <w:vAlign w:val="center"/>
          </w:tcPr>
          <w:p>
            <w:pPr>
              <w:pStyle w:val="292"/>
              <w:widowControl w:val="0"/>
              <w:adjustRightInd w:val="0"/>
              <w:snapToGrid w:val="0"/>
              <w:spacing w:before="48"/>
              <w:rPr>
                <w:color w:val="auto"/>
                <w:lang w:eastAsia="en-US"/>
              </w:rPr>
            </w:pPr>
            <w:r>
              <w:rPr>
                <w:color w:val="auto"/>
                <w:lang w:eastAsia="en-US"/>
              </w:rPr>
              <w:t>多年平均雷暴日数(d)</w:t>
            </w:r>
          </w:p>
        </w:tc>
        <w:tc>
          <w:tcPr>
            <w:tcW w:w="1422" w:type="dxa"/>
            <w:shd w:val="clear" w:color="auto" w:fill="FFFFFF"/>
            <w:vAlign w:val="center"/>
          </w:tcPr>
          <w:p>
            <w:pPr>
              <w:pStyle w:val="292"/>
              <w:widowControl w:val="0"/>
              <w:adjustRightInd w:val="0"/>
              <w:snapToGrid w:val="0"/>
              <w:spacing w:before="48"/>
              <w:rPr>
                <w:color w:val="auto"/>
              </w:rPr>
            </w:pPr>
            <w:r>
              <w:rPr>
                <w:color w:val="auto"/>
                <w:lang w:eastAsia="en-US"/>
              </w:rPr>
              <w:t>6</w:t>
            </w:r>
            <w:r>
              <w:rPr>
                <w:color w:val="auto"/>
              </w:rPr>
              <w:t>1.9</w:t>
            </w:r>
          </w:p>
        </w:tc>
        <w:tc>
          <w:tcPr>
            <w:tcW w:w="1779" w:type="dxa"/>
            <w:shd w:val="clear" w:color="auto" w:fill="FFFFFF"/>
            <w:vAlign w:val="center"/>
          </w:tcPr>
          <w:p>
            <w:pPr>
              <w:pStyle w:val="292"/>
              <w:widowControl w:val="0"/>
              <w:adjustRightInd w:val="0"/>
              <w:snapToGrid w:val="0"/>
              <w:spacing w:before="48"/>
              <w:rPr>
                <w:color w:val="auto"/>
                <w:lang w:eastAsia="en-US"/>
              </w:rPr>
            </w:pPr>
          </w:p>
        </w:tc>
        <w:tc>
          <w:tcPr>
            <w:tcW w:w="1332" w:type="dxa"/>
            <w:shd w:val="clear" w:color="auto" w:fill="FFFFFF"/>
            <w:vAlign w:val="center"/>
          </w:tcPr>
          <w:p>
            <w:pPr>
              <w:pStyle w:val="292"/>
              <w:widowControl w:val="0"/>
              <w:adjustRightInd w:val="0"/>
              <w:snapToGrid w:val="0"/>
              <w:spacing w:before="48"/>
              <w:rPr>
                <w:color w:val="auto"/>
                <w:lang w:eastAsia="en-US"/>
              </w:rPr>
            </w:pP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1907" w:type="dxa"/>
            <w:vMerge w:val="continue"/>
            <w:shd w:val="clear" w:color="auto" w:fill="FFFFFF"/>
            <w:vAlign w:val="center"/>
          </w:tcPr>
          <w:p>
            <w:pPr>
              <w:pStyle w:val="292"/>
              <w:widowControl w:val="0"/>
              <w:adjustRightInd w:val="0"/>
              <w:snapToGrid w:val="0"/>
              <w:spacing w:before="48"/>
              <w:rPr>
                <w:color w:val="auto"/>
                <w:lang w:eastAsia="en-US"/>
              </w:rPr>
            </w:pPr>
          </w:p>
        </w:tc>
        <w:tc>
          <w:tcPr>
            <w:tcW w:w="2630" w:type="dxa"/>
            <w:shd w:val="clear" w:color="auto" w:fill="FFFFFF"/>
            <w:vAlign w:val="center"/>
          </w:tcPr>
          <w:p>
            <w:pPr>
              <w:pStyle w:val="292"/>
              <w:widowControl w:val="0"/>
              <w:adjustRightInd w:val="0"/>
              <w:snapToGrid w:val="0"/>
              <w:spacing w:before="48"/>
              <w:rPr>
                <w:color w:val="auto"/>
                <w:lang w:eastAsia="en-US"/>
              </w:rPr>
            </w:pPr>
            <w:r>
              <w:rPr>
                <w:color w:val="auto"/>
                <w:lang w:eastAsia="en-US"/>
              </w:rPr>
              <w:t>多年平均冰雹日数(d)</w:t>
            </w:r>
          </w:p>
        </w:tc>
        <w:tc>
          <w:tcPr>
            <w:tcW w:w="1422" w:type="dxa"/>
            <w:shd w:val="clear" w:color="auto" w:fill="FFFFFF"/>
            <w:vAlign w:val="center"/>
          </w:tcPr>
          <w:p>
            <w:pPr>
              <w:pStyle w:val="292"/>
              <w:widowControl w:val="0"/>
              <w:adjustRightInd w:val="0"/>
              <w:snapToGrid w:val="0"/>
              <w:spacing w:before="48"/>
              <w:rPr>
                <w:color w:val="auto"/>
                <w:lang w:eastAsia="en-US"/>
              </w:rPr>
            </w:pPr>
            <w:r>
              <w:rPr>
                <w:color w:val="auto"/>
                <w:lang w:eastAsia="en-US"/>
              </w:rPr>
              <w:t>0.0</w:t>
            </w:r>
          </w:p>
        </w:tc>
        <w:tc>
          <w:tcPr>
            <w:tcW w:w="1779" w:type="dxa"/>
            <w:shd w:val="clear" w:color="auto" w:fill="FFFFFF"/>
            <w:vAlign w:val="center"/>
          </w:tcPr>
          <w:p>
            <w:pPr>
              <w:pStyle w:val="292"/>
              <w:widowControl w:val="0"/>
              <w:adjustRightInd w:val="0"/>
              <w:snapToGrid w:val="0"/>
              <w:spacing w:before="48"/>
              <w:rPr>
                <w:color w:val="auto"/>
                <w:lang w:eastAsia="en-US"/>
              </w:rPr>
            </w:pPr>
          </w:p>
        </w:tc>
        <w:tc>
          <w:tcPr>
            <w:tcW w:w="1332" w:type="dxa"/>
            <w:shd w:val="clear" w:color="auto" w:fill="FFFFFF"/>
            <w:vAlign w:val="center"/>
          </w:tcPr>
          <w:p>
            <w:pPr>
              <w:pStyle w:val="292"/>
              <w:widowControl w:val="0"/>
              <w:adjustRightInd w:val="0"/>
              <w:snapToGrid w:val="0"/>
              <w:spacing w:before="48"/>
              <w:rPr>
                <w:color w:val="auto"/>
                <w:lang w:eastAsia="en-US"/>
              </w:rPr>
            </w:pP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1907" w:type="dxa"/>
            <w:vMerge w:val="continue"/>
            <w:shd w:val="clear" w:color="auto" w:fill="FFFFFF"/>
            <w:vAlign w:val="center"/>
          </w:tcPr>
          <w:p>
            <w:pPr>
              <w:pStyle w:val="292"/>
              <w:widowControl w:val="0"/>
              <w:adjustRightInd w:val="0"/>
              <w:snapToGrid w:val="0"/>
              <w:spacing w:before="48"/>
              <w:rPr>
                <w:color w:val="auto"/>
                <w:lang w:eastAsia="en-US"/>
              </w:rPr>
            </w:pPr>
          </w:p>
        </w:tc>
        <w:tc>
          <w:tcPr>
            <w:tcW w:w="2630" w:type="dxa"/>
            <w:shd w:val="clear" w:color="auto" w:fill="FFFFFF"/>
            <w:vAlign w:val="center"/>
          </w:tcPr>
          <w:p>
            <w:pPr>
              <w:pStyle w:val="292"/>
              <w:widowControl w:val="0"/>
              <w:adjustRightInd w:val="0"/>
              <w:snapToGrid w:val="0"/>
              <w:spacing w:before="48"/>
              <w:rPr>
                <w:color w:val="auto"/>
                <w:lang w:eastAsia="en-US"/>
              </w:rPr>
            </w:pPr>
            <w:r>
              <w:rPr>
                <w:color w:val="auto"/>
                <w:lang w:eastAsia="en-US"/>
              </w:rPr>
              <w:t>多年平均大风日数(d)</w:t>
            </w:r>
          </w:p>
        </w:tc>
        <w:tc>
          <w:tcPr>
            <w:tcW w:w="1422" w:type="dxa"/>
            <w:shd w:val="clear" w:color="auto" w:fill="FFFFFF"/>
            <w:vAlign w:val="center"/>
          </w:tcPr>
          <w:p>
            <w:pPr>
              <w:pStyle w:val="292"/>
              <w:widowControl w:val="0"/>
              <w:adjustRightInd w:val="0"/>
              <w:snapToGrid w:val="0"/>
              <w:spacing w:before="48"/>
              <w:rPr>
                <w:color w:val="auto"/>
              </w:rPr>
            </w:pPr>
            <w:r>
              <w:rPr>
                <w:color w:val="auto"/>
                <w:lang w:eastAsia="en-US"/>
              </w:rPr>
              <w:t>0.9</w:t>
            </w:r>
          </w:p>
        </w:tc>
        <w:tc>
          <w:tcPr>
            <w:tcW w:w="1779" w:type="dxa"/>
            <w:shd w:val="clear" w:color="auto" w:fill="FFFFFF"/>
            <w:vAlign w:val="center"/>
          </w:tcPr>
          <w:p>
            <w:pPr>
              <w:pStyle w:val="292"/>
              <w:widowControl w:val="0"/>
              <w:adjustRightInd w:val="0"/>
              <w:snapToGrid w:val="0"/>
              <w:spacing w:before="48"/>
              <w:rPr>
                <w:color w:val="auto"/>
                <w:lang w:eastAsia="en-US"/>
              </w:rPr>
            </w:pPr>
          </w:p>
        </w:tc>
        <w:tc>
          <w:tcPr>
            <w:tcW w:w="1332" w:type="dxa"/>
            <w:shd w:val="clear" w:color="auto" w:fill="FFFFFF"/>
            <w:vAlign w:val="center"/>
          </w:tcPr>
          <w:p>
            <w:pPr>
              <w:pStyle w:val="292"/>
              <w:widowControl w:val="0"/>
              <w:adjustRightInd w:val="0"/>
              <w:snapToGrid w:val="0"/>
              <w:spacing w:before="48"/>
              <w:rPr>
                <w:color w:val="auto"/>
                <w:lang w:eastAsia="en-US"/>
              </w:rPr>
            </w:pP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PrEx>
        <w:trPr>
          <w:trHeight w:val="340" w:hRule="atLeast"/>
          <w:jc w:val="center"/>
        </w:trPr>
        <w:tc>
          <w:tcPr>
            <w:tcW w:w="4537" w:type="dxa"/>
            <w:gridSpan w:val="2"/>
            <w:shd w:val="clear" w:color="auto" w:fill="FFFFFF"/>
            <w:vAlign w:val="center"/>
          </w:tcPr>
          <w:p>
            <w:pPr>
              <w:pStyle w:val="292"/>
              <w:widowControl w:val="0"/>
              <w:adjustRightInd w:val="0"/>
              <w:snapToGrid w:val="0"/>
              <w:spacing w:before="48"/>
              <w:rPr>
                <w:color w:val="auto"/>
              </w:rPr>
            </w:pPr>
            <w:r>
              <w:rPr>
                <w:color w:val="auto"/>
              </w:rPr>
              <w:t>多年实测极大风速（m/s）、相应风向</w:t>
            </w:r>
          </w:p>
        </w:tc>
        <w:tc>
          <w:tcPr>
            <w:tcW w:w="1422" w:type="dxa"/>
            <w:shd w:val="clear" w:color="auto" w:fill="FFFFFF"/>
            <w:vAlign w:val="center"/>
          </w:tcPr>
          <w:p>
            <w:pPr>
              <w:pStyle w:val="292"/>
              <w:widowControl w:val="0"/>
              <w:adjustRightInd w:val="0"/>
              <w:snapToGrid w:val="0"/>
              <w:spacing w:before="48"/>
              <w:rPr>
                <w:color w:val="auto"/>
              </w:rPr>
            </w:pPr>
            <w:r>
              <w:rPr>
                <w:color w:val="auto"/>
              </w:rPr>
              <w:t>18.9</w:t>
            </w:r>
          </w:p>
        </w:tc>
        <w:tc>
          <w:tcPr>
            <w:tcW w:w="1779" w:type="dxa"/>
            <w:shd w:val="clear" w:color="auto" w:fill="FFFFFF"/>
            <w:vAlign w:val="center"/>
          </w:tcPr>
          <w:p>
            <w:pPr>
              <w:pStyle w:val="292"/>
              <w:widowControl w:val="0"/>
              <w:adjustRightInd w:val="0"/>
              <w:snapToGrid w:val="0"/>
              <w:spacing w:before="48"/>
              <w:rPr>
                <w:color w:val="auto"/>
                <w:lang w:eastAsia="en-US"/>
              </w:rPr>
            </w:pPr>
            <w:r>
              <w:rPr>
                <w:color w:val="auto"/>
                <w:lang w:eastAsia="en-US"/>
              </w:rPr>
              <w:t>2005-03-22</w:t>
            </w:r>
          </w:p>
        </w:tc>
        <w:tc>
          <w:tcPr>
            <w:tcW w:w="1332" w:type="dxa"/>
            <w:shd w:val="clear" w:color="auto" w:fill="FFFFFF"/>
            <w:vAlign w:val="center"/>
          </w:tcPr>
          <w:p>
            <w:pPr>
              <w:pStyle w:val="292"/>
              <w:widowControl w:val="0"/>
              <w:adjustRightInd w:val="0"/>
              <w:snapToGrid w:val="0"/>
              <w:spacing w:before="48"/>
              <w:rPr>
                <w:color w:val="auto"/>
                <w:lang w:eastAsia="en-US"/>
              </w:rPr>
            </w:pPr>
            <w:r>
              <w:rPr>
                <w:color w:val="auto"/>
                <w:lang w:eastAsia="en-US"/>
              </w:rPr>
              <w:t>27.5</w:t>
            </w:r>
            <w:r>
              <w:rPr>
                <w:color w:val="auto"/>
              </w:rPr>
              <w:t xml:space="preserve">  </w:t>
            </w:r>
            <w:r>
              <w:rPr>
                <w:color w:val="auto"/>
                <w:lang w:eastAsia="en-US"/>
              </w:rPr>
              <w:t>WSW</w:t>
            </w: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4537" w:type="dxa"/>
            <w:gridSpan w:val="2"/>
            <w:shd w:val="clear" w:color="auto" w:fill="FFFFFF"/>
            <w:vAlign w:val="center"/>
          </w:tcPr>
          <w:p>
            <w:pPr>
              <w:pStyle w:val="292"/>
              <w:widowControl w:val="0"/>
              <w:adjustRightInd w:val="0"/>
              <w:snapToGrid w:val="0"/>
              <w:spacing w:before="48"/>
              <w:rPr>
                <w:color w:val="auto"/>
              </w:rPr>
            </w:pPr>
            <w:r>
              <w:rPr>
                <w:color w:val="auto"/>
              </w:rPr>
              <w:t>多年平均风速（m/s）</w:t>
            </w:r>
          </w:p>
        </w:tc>
        <w:tc>
          <w:tcPr>
            <w:tcW w:w="1422" w:type="dxa"/>
            <w:shd w:val="clear" w:color="auto" w:fill="FFFFFF"/>
            <w:vAlign w:val="center"/>
          </w:tcPr>
          <w:p>
            <w:pPr>
              <w:pStyle w:val="292"/>
              <w:widowControl w:val="0"/>
              <w:adjustRightInd w:val="0"/>
              <w:snapToGrid w:val="0"/>
              <w:spacing w:before="48"/>
              <w:rPr>
                <w:color w:val="auto"/>
              </w:rPr>
            </w:pPr>
            <w:r>
              <w:rPr>
                <w:color w:val="auto"/>
                <w:lang w:eastAsia="en-US"/>
              </w:rPr>
              <w:t>1.</w:t>
            </w:r>
            <w:r>
              <w:rPr>
                <w:color w:val="auto"/>
              </w:rPr>
              <w:t>5</w:t>
            </w:r>
          </w:p>
        </w:tc>
        <w:tc>
          <w:tcPr>
            <w:tcW w:w="1779" w:type="dxa"/>
            <w:shd w:val="clear" w:color="auto" w:fill="FFFFFF"/>
            <w:vAlign w:val="center"/>
          </w:tcPr>
          <w:p>
            <w:pPr>
              <w:pStyle w:val="292"/>
              <w:widowControl w:val="0"/>
              <w:adjustRightInd w:val="0"/>
              <w:snapToGrid w:val="0"/>
              <w:spacing w:before="48"/>
              <w:rPr>
                <w:color w:val="auto"/>
                <w:lang w:eastAsia="en-US"/>
              </w:rPr>
            </w:pPr>
          </w:p>
        </w:tc>
        <w:tc>
          <w:tcPr>
            <w:tcW w:w="1332" w:type="dxa"/>
            <w:shd w:val="clear" w:color="auto" w:fill="FFFFFF"/>
            <w:vAlign w:val="center"/>
          </w:tcPr>
          <w:p>
            <w:pPr>
              <w:pStyle w:val="292"/>
              <w:widowControl w:val="0"/>
              <w:adjustRightInd w:val="0"/>
              <w:snapToGrid w:val="0"/>
              <w:spacing w:before="48"/>
              <w:rPr>
                <w:color w:val="auto"/>
                <w:lang w:eastAsia="en-US"/>
              </w:rPr>
            </w:pPr>
          </w:p>
        </w:tc>
      </w:tr>
      <w:tr>
        <w:tblPrEx>
          <w:tblBorders>
            <w:top w:val="single" w:color="auto" w:sz="18" w:space="0"/>
            <w:left w:val="none" w:color="auto" w:sz="0" w:space="0"/>
            <w:bottom w:val="single" w:color="auto" w:sz="18" w:space="0"/>
            <w:right w:val="none" w:color="auto" w:sz="0" w:space="0"/>
            <w:insideH w:val="single" w:color="auto" w:sz="6" w:space="0"/>
            <w:insideV w:val="single" w:color="auto" w:sz="6" w:space="0"/>
          </w:tblBorders>
          <w:tblLayout w:type="fixed"/>
          <w:tblCellMar>
            <w:top w:w="0" w:type="dxa"/>
            <w:left w:w="0" w:type="dxa"/>
            <w:bottom w:w="0" w:type="dxa"/>
            <w:right w:w="0" w:type="dxa"/>
          </w:tblCellMar>
        </w:tblPrEx>
        <w:trPr>
          <w:trHeight w:val="340" w:hRule="atLeast"/>
          <w:jc w:val="center"/>
        </w:trPr>
        <w:tc>
          <w:tcPr>
            <w:tcW w:w="4537" w:type="dxa"/>
            <w:gridSpan w:val="2"/>
            <w:tcBorders>
              <w:bottom w:val="single" w:color="auto" w:sz="12" w:space="0"/>
            </w:tcBorders>
            <w:shd w:val="clear" w:color="auto" w:fill="FFFFFF"/>
            <w:vAlign w:val="center"/>
          </w:tcPr>
          <w:p>
            <w:pPr>
              <w:pStyle w:val="292"/>
              <w:widowControl w:val="0"/>
              <w:adjustRightInd w:val="0"/>
              <w:snapToGrid w:val="0"/>
              <w:spacing w:before="48"/>
              <w:rPr>
                <w:color w:val="auto"/>
              </w:rPr>
            </w:pPr>
            <w:r>
              <w:rPr>
                <w:color w:val="auto"/>
              </w:rPr>
              <w:t>多年主导风向、风向频率(%)</w:t>
            </w:r>
          </w:p>
        </w:tc>
        <w:tc>
          <w:tcPr>
            <w:tcW w:w="1422" w:type="dxa"/>
            <w:tcBorders>
              <w:bottom w:val="single" w:color="auto" w:sz="12" w:space="0"/>
            </w:tcBorders>
            <w:shd w:val="clear" w:color="auto" w:fill="FFFFFF"/>
            <w:vAlign w:val="center"/>
          </w:tcPr>
          <w:p>
            <w:pPr>
              <w:pStyle w:val="292"/>
              <w:widowControl w:val="0"/>
              <w:adjustRightInd w:val="0"/>
              <w:snapToGrid w:val="0"/>
              <w:spacing w:before="48"/>
              <w:rPr>
                <w:color w:val="auto"/>
              </w:rPr>
            </w:pPr>
            <w:r>
              <w:rPr>
                <w:color w:val="auto"/>
              </w:rPr>
              <w:t xml:space="preserve">C  </w:t>
            </w:r>
            <w:r>
              <w:rPr>
                <w:color w:val="auto"/>
                <w:spacing w:val="-1"/>
              </w:rPr>
              <w:t>18.0%</w:t>
            </w:r>
          </w:p>
        </w:tc>
        <w:tc>
          <w:tcPr>
            <w:tcW w:w="1779" w:type="dxa"/>
            <w:tcBorders>
              <w:bottom w:val="single" w:color="auto" w:sz="12" w:space="0"/>
            </w:tcBorders>
            <w:shd w:val="clear" w:color="auto" w:fill="FFFFFF"/>
            <w:vAlign w:val="center"/>
          </w:tcPr>
          <w:p>
            <w:pPr>
              <w:pStyle w:val="292"/>
              <w:widowControl w:val="0"/>
              <w:adjustRightInd w:val="0"/>
              <w:snapToGrid w:val="0"/>
              <w:spacing w:before="48"/>
              <w:rPr>
                <w:color w:val="auto"/>
                <w:lang w:eastAsia="en-US"/>
              </w:rPr>
            </w:pPr>
          </w:p>
        </w:tc>
        <w:tc>
          <w:tcPr>
            <w:tcW w:w="1332" w:type="dxa"/>
            <w:tcBorders>
              <w:bottom w:val="single" w:color="auto" w:sz="12" w:space="0"/>
            </w:tcBorders>
            <w:shd w:val="clear" w:color="auto" w:fill="FFFFFF"/>
            <w:vAlign w:val="center"/>
          </w:tcPr>
          <w:p>
            <w:pPr>
              <w:pStyle w:val="292"/>
              <w:widowControl w:val="0"/>
              <w:adjustRightInd w:val="0"/>
              <w:snapToGrid w:val="0"/>
              <w:spacing w:before="48"/>
              <w:rPr>
                <w:color w:val="auto"/>
                <w:lang w:eastAsia="en-US"/>
              </w:rPr>
            </w:pPr>
          </w:p>
        </w:tc>
      </w:tr>
    </w:tbl>
    <w:p>
      <w:pPr>
        <w:spacing w:line="360" w:lineRule="auto"/>
        <w:rPr>
          <w:b/>
          <w:color w:val="auto"/>
        </w:rPr>
      </w:pPr>
      <w:bookmarkStart w:id="632" w:name="_Toc389557308"/>
      <w:bookmarkStart w:id="633" w:name="_Toc392488669"/>
      <w:bookmarkStart w:id="634" w:name="_Toc331843031"/>
      <w:bookmarkStart w:id="635" w:name="_Toc335568709"/>
      <w:r>
        <w:rPr>
          <w:b/>
          <w:color w:val="auto"/>
        </w:rPr>
        <w:t>5.2.1.2</w:t>
      </w:r>
      <w:bookmarkEnd w:id="632"/>
      <w:bookmarkEnd w:id="633"/>
      <w:bookmarkEnd w:id="634"/>
      <w:bookmarkEnd w:id="635"/>
      <w:r>
        <w:rPr>
          <w:b/>
          <w:color w:val="auto"/>
        </w:rPr>
        <w:t>大气污染物环境影响评价</w:t>
      </w:r>
    </w:p>
    <w:p>
      <w:pPr>
        <w:spacing w:line="360" w:lineRule="auto"/>
        <w:ind w:firstLine="480"/>
        <w:rPr>
          <w:color w:val="auto"/>
        </w:rPr>
      </w:pPr>
      <w:r>
        <w:rPr>
          <w:color w:val="auto"/>
        </w:rPr>
        <w:t>由本报告2</w:t>
      </w:r>
      <w:r>
        <w:rPr>
          <w:rFonts w:hint="eastAsia"/>
          <w:color w:val="auto"/>
        </w:rPr>
        <w:t>.6</w:t>
      </w:r>
      <w:r>
        <w:rPr>
          <w:color w:val="auto"/>
        </w:rPr>
        <w:t>节可知，经采用《环境影响评价技术导则大气环境》（HJ2.2-2018）附录A推荐模型中的AERSCREEN模式预测，本项目大气环境影响评价等级为二级。根据《环境影响评价技术导则大气环境》（HJ2.2-2018），二级评价项目不进行进一步预测与评价，只对污染物排放量进行核算。</w:t>
      </w:r>
    </w:p>
    <w:p>
      <w:pPr>
        <w:spacing w:line="360" w:lineRule="auto"/>
        <w:rPr>
          <w:color w:val="auto"/>
        </w:rPr>
      </w:pPr>
      <w:r>
        <w:rPr>
          <w:rFonts w:hint="eastAsia"/>
          <w:color w:val="auto"/>
        </w:rPr>
        <w:t>一、</w:t>
      </w:r>
      <w:r>
        <w:rPr>
          <w:color w:val="auto"/>
        </w:rPr>
        <w:t>大气污染物排放量核算</w:t>
      </w:r>
    </w:p>
    <w:p>
      <w:pPr>
        <w:spacing w:line="360" w:lineRule="auto"/>
        <w:rPr>
          <w:color w:val="auto"/>
        </w:rPr>
      </w:pPr>
      <w:r>
        <w:rPr>
          <w:rFonts w:hint="eastAsia"/>
          <w:color w:val="auto"/>
        </w:rPr>
        <w:t>（1）有组织大气污染物排放量核算</w:t>
      </w:r>
    </w:p>
    <w:p>
      <w:pPr>
        <w:spacing w:line="360" w:lineRule="auto"/>
        <w:ind w:firstLine="482"/>
        <w:jc w:val="center"/>
        <w:rPr>
          <w:rFonts w:eastAsiaTheme="minorEastAsia"/>
          <w:b/>
          <w:color w:val="auto"/>
        </w:rPr>
      </w:pPr>
      <w:r>
        <w:rPr>
          <w:rFonts w:eastAsiaTheme="minorEastAsia"/>
          <w:b/>
          <w:color w:val="auto"/>
        </w:rPr>
        <w:t>表</w:t>
      </w:r>
      <w:r>
        <w:rPr>
          <w:rFonts w:hint="eastAsia" w:eastAsiaTheme="minorEastAsia"/>
          <w:b/>
          <w:color w:val="auto"/>
        </w:rPr>
        <w:t>5.2-2</w:t>
      </w:r>
      <w:r>
        <w:rPr>
          <w:rFonts w:eastAsiaTheme="minorEastAsia"/>
          <w:b/>
          <w:color w:val="auto"/>
        </w:rPr>
        <w:t xml:space="preserve"> </w:t>
      </w:r>
      <w:r>
        <w:rPr>
          <w:rFonts w:hint="eastAsia" w:eastAsiaTheme="minorEastAsia"/>
          <w:b/>
          <w:color w:val="auto"/>
        </w:rPr>
        <w:t>本项目</w:t>
      </w:r>
      <w:r>
        <w:rPr>
          <w:rFonts w:eastAsiaTheme="minorEastAsia"/>
          <w:b/>
          <w:color w:val="auto"/>
        </w:rPr>
        <w:t>废气污染物排放源强核定一览表</w:t>
      </w:r>
    </w:p>
    <w:tbl>
      <w:tblPr>
        <w:tblStyle w:val="53"/>
        <w:tblW w:w="8791"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178"/>
        <w:gridCol w:w="1162"/>
        <w:gridCol w:w="1298"/>
        <w:gridCol w:w="1560"/>
        <w:gridCol w:w="1190"/>
        <w:gridCol w:w="140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31" w:hRule="atLeast"/>
          <w:tblHeader/>
          <w:jc w:val="center"/>
        </w:trPr>
        <w:tc>
          <w:tcPr>
            <w:tcW w:w="3340" w:type="dxa"/>
            <w:gridSpan w:val="2"/>
            <w:shd w:val="clear" w:color="auto" w:fill="auto"/>
            <w:vAlign w:val="center"/>
          </w:tcPr>
          <w:p>
            <w:pPr>
              <w:pStyle w:val="292"/>
              <w:rPr>
                <w:b/>
                <w:color w:val="auto"/>
                <w:szCs w:val="18"/>
              </w:rPr>
            </w:pPr>
            <w:r>
              <w:rPr>
                <w:b/>
                <w:color w:val="auto"/>
                <w:szCs w:val="18"/>
              </w:rPr>
              <w:t>污染源编号</w:t>
            </w:r>
          </w:p>
        </w:tc>
        <w:tc>
          <w:tcPr>
            <w:tcW w:w="1298" w:type="dxa"/>
            <w:shd w:val="clear" w:color="auto" w:fill="auto"/>
            <w:vAlign w:val="center"/>
          </w:tcPr>
          <w:p>
            <w:pPr>
              <w:pStyle w:val="292"/>
              <w:rPr>
                <w:b/>
                <w:color w:val="auto"/>
                <w:szCs w:val="18"/>
              </w:rPr>
            </w:pPr>
            <w:r>
              <w:rPr>
                <w:b/>
                <w:color w:val="auto"/>
                <w:szCs w:val="18"/>
              </w:rPr>
              <w:t>污染物</w:t>
            </w:r>
          </w:p>
        </w:tc>
        <w:tc>
          <w:tcPr>
            <w:tcW w:w="1560" w:type="dxa"/>
            <w:shd w:val="clear" w:color="auto" w:fill="auto"/>
            <w:vAlign w:val="center"/>
          </w:tcPr>
          <w:p>
            <w:pPr>
              <w:autoSpaceDE w:val="0"/>
              <w:autoSpaceDN w:val="0"/>
              <w:jc w:val="center"/>
              <w:textAlignment w:val="baseline"/>
              <w:rPr>
                <w:b/>
                <w:color w:val="auto"/>
                <w:sz w:val="18"/>
                <w:szCs w:val="18"/>
              </w:rPr>
            </w:pPr>
            <w:r>
              <w:rPr>
                <w:b/>
                <w:color w:val="auto"/>
                <w:sz w:val="18"/>
                <w:szCs w:val="18"/>
              </w:rPr>
              <w:t>核算排放浓度（mg/m</w:t>
            </w:r>
            <w:r>
              <w:rPr>
                <w:b/>
                <w:color w:val="auto"/>
                <w:sz w:val="18"/>
                <w:szCs w:val="18"/>
                <w:vertAlign w:val="superscript"/>
              </w:rPr>
              <w:t>3</w:t>
            </w:r>
            <w:r>
              <w:rPr>
                <w:b/>
                <w:color w:val="auto"/>
                <w:sz w:val="18"/>
                <w:szCs w:val="18"/>
              </w:rPr>
              <w:t>）</w:t>
            </w:r>
          </w:p>
        </w:tc>
        <w:tc>
          <w:tcPr>
            <w:tcW w:w="1190" w:type="dxa"/>
            <w:shd w:val="clear" w:color="auto" w:fill="auto"/>
            <w:vAlign w:val="center"/>
          </w:tcPr>
          <w:p>
            <w:pPr>
              <w:autoSpaceDE w:val="0"/>
              <w:autoSpaceDN w:val="0"/>
              <w:jc w:val="center"/>
              <w:textAlignment w:val="baseline"/>
              <w:rPr>
                <w:b/>
                <w:color w:val="auto"/>
                <w:sz w:val="18"/>
                <w:szCs w:val="18"/>
              </w:rPr>
            </w:pPr>
            <w:r>
              <w:rPr>
                <w:b/>
                <w:color w:val="auto"/>
                <w:sz w:val="18"/>
                <w:szCs w:val="18"/>
              </w:rPr>
              <w:t>核算排放速率（kg/h）</w:t>
            </w:r>
          </w:p>
        </w:tc>
        <w:tc>
          <w:tcPr>
            <w:tcW w:w="1403" w:type="dxa"/>
            <w:shd w:val="clear" w:color="auto" w:fill="auto"/>
          </w:tcPr>
          <w:p>
            <w:pPr>
              <w:autoSpaceDE w:val="0"/>
              <w:autoSpaceDN w:val="0"/>
              <w:jc w:val="center"/>
              <w:textAlignment w:val="baseline"/>
              <w:rPr>
                <w:b/>
                <w:color w:val="auto"/>
                <w:sz w:val="18"/>
                <w:szCs w:val="18"/>
              </w:rPr>
            </w:pPr>
            <w:r>
              <w:rPr>
                <w:b/>
                <w:color w:val="auto"/>
                <w:sz w:val="18"/>
                <w:szCs w:val="18"/>
              </w:rPr>
              <w:t>核算年排放量（t/a）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593" w:hRule="atLeast"/>
          <w:jc w:val="center"/>
        </w:trPr>
        <w:tc>
          <w:tcPr>
            <w:tcW w:w="2178" w:type="dxa"/>
            <w:vMerge w:val="restart"/>
            <w:shd w:val="clear" w:color="auto" w:fill="auto"/>
            <w:vAlign w:val="center"/>
          </w:tcPr>
          <w:p>
            <w:pPr>
              <w:pStyle w:val="292"/>
              <w:rPr>
                <w:color w:val="auto"/>
                <w:szCs w:val="18"/>
              </w:rPr>
            </w:pPr>
            <w:r>
              <w:rPr>
                <w:rFonts w:hint="eastAsia"/>
                <w:color w:val="auto"/>
                <w:szCs w:val="21"/>
              </w:rPr>
              <w:t>餐厨垃圾卸料间、接料斗、破碎机、油水分离机等设备、整体车间</w:t>
            </w:r>
          </w:p>
        </w:tc>
        <w:tc>
          <w:tcPr>
            <w:tcW w:w="1162" w:type="dxa"/>
            <w:vMerge w:val="restart"/>
            <w:shd w:val="clear" w:color="auto" w:fill="auto"/>
            <w:vAlign w:val="center"/>
          </w:tcPr>
          <w:p>
            <w:pPr>
              <w:pStyle w:val="292"/>
              <w:rPr>
                <w:color w:val="auto"/>
                <w:szCs w:val="18"/>
              </w:rPr>
            </w:pPr>
            <w:r>
              <w:rPr>
                <w:rFonts w:hint="eastAsia" w:eastAsiaTheme="minorEastAsia"/>
                <w:color w:val="auto"/>
                <w:szCs w:val="21"/>
              </w:rPr>
              <w:t>FQ-05</w:t>
            </w:r>
          </w:p>
        </w:tc>
        <w:tc>
          <w:tcPr>
            <w:tcW w:w="1298" w:type="dxa"/>
            <w:shd w:val="clear" w:color="auto" w:fill="auto"/>
            <w:vAlign w:val="center"/>
          </w:tcPr>
          <w:p>
            <w:pPr>
              <w:pStyle w:val="292"/>
              <w:rPr>
                <w:color w:val="auto"/>
                <w:szCs w:val="18"/>
              </w:rPr>
            </w:pPr>
            <w:r>
              <w:rPr>
                <w:rFonts w:eastAsiaTheme="minorEastAsia"/>
                <w:color w:val="auto"/>
                <w:szCs w:val="21"/>
              </w:rPr>
              <w:t>H</w:t>
            </w:r>
            <w:r>
              <w:rPr>
                <w:rFonts w:eastAsiaTheme="minorEastAsia"/>
                <w:color w:val="auto"/>
                <w:szCs w:val="21"/>
                <w:vertAlign w:val="subscript"/>
              </w:rPr>
              <w:t>2</w:t>
            </w:r>
            <w:r>
              <w:rPr>
                <w:rFonts w:eastAsiaTheme="minorEastAsia"/>
                <w:color w:val="auto"/>
                <w:szCs w:val="21"/>
              </w:rPr>
              <w:t>S</w:t>
            </w:r>
          </w:p>
        </w:tc>
        <w:tc>
          <w:tcPr>
            <w:tcW w:w="1560" w:type="dxa"/>
            <w:shd w:val="clear" w:color="auto" w:fill="auto"/>
            <w:textDirection w:val="lrTb"/>
            <w:vAlign w:val="center"/>
          </w:tcPr>
          <w:p>
            <w:pPr>
              <w:keepNext w:val="0"/>
              <w:keepLines w:val="0"/>
              <w:widowControl/>
              <w:suppressLineNumbers w:val="0"/>
              <w:jc w:val="center"/>
              <w:textAlignment w:val="bottom"/>
              <w:rPr>
                <w:color w:val="auto"/>
                <w:szCs w:val="21"/>
              </w:rPr>
            </w:pPr>
            <w:r>
              <w:rPr>
                <w:rFonts w:hint="default" w:ascii="Times New Roman" w:hAnsi="Times New Roman" w:eastAsia="宋体" w:cs="Times New Roman"/>
                <w:i w:val="0"/>
                <w:color w:val="auto"/>
                <w:kern w:val="0"/>
                <w:sz w:val="21"/>
                <w:szCs w:val="21"/>
                <w:u w:val="none"/>
                <w:lang w:val="en-US" w:eastAsia="zh-CN" w:bidi="ar"/>
              </w:rPr>
              <w:t>0.</w:t>
            </w:r>
            <w:r>
              <w:rPr>
                <w:rFonts w:hint="default" w:ascii="Times New Roman" w:hAnsi="Times New Roman" w:cs="Times New Roman"/>
                <w:color w:val="auto"/>
                <w:sz w:val="21"/>
                <w:szCs w:val="21"/>
                <w:lang w:val="en-US" w:eastAsia="zh-CN"/>
              </w:rPr>
              <w:t>075</w:t>
            </w:r>
          </w:p>
        </w:tc>
        <w:tc>
          <w:tcPr>
            <w:tcW w:w="1190" w:type="dxa"/>
            <w:shd w:val="clear" w:color="auto" w:fill="auto"/>
            <w:textDirection w:val="lrTb"/>
            <w:vAlign w:val="center"/>
          </w:tcPr>
          <w:p>
            <w:pPr>
              <w:keepNext w:val="0"/>
              <w:keepLines w:val="0"/>
              <w:widowControl/>
              <w:suppressLineNumbers w:val="0"/>
              <w:jc w:val="center"/>
              <w:textAlignment w:val="bottom"/>
              <w:rPr>
                <w:color w:val="auto"/>
                <w:szCs w:val="21"/>
              </w:rPr>
            </w:pPr>
            <w:r>
              <w:rPr>
                <w:rFonts w:hint="default" w:ascii="Times New Roman" w:hAnsi="Times New Roman" w:eastAsia="宋体" w:cs="Times New Roman"/>
                <w:i w:val="0"/>
                <w:color w:val="auto"/>
                <w:kern w:val="0"/>
                <w:sz w:val="21"/>
                <w:szCs w:val="21"/>
                <w:u w:val="none"/>
                <w:lang w:val="en-US" w:eastAsia="zh-CN" w:bidi="ar"/>
              </w:rPr>
              <w:t>0.005</w:t>
            </w:r>
          </w:p>
        </w:tc>
        <w:tc>
          <w:tcPr>
            <w:tcW w:w="1403" w:type="dxa"/>
            <w:shd w:val="clear" w:color="auto" w:fill="auto"/>
            <w:textDirection w:val="lrTb"/>
            <w:vAlign w:val="center"/>
          </w:tcPr>
          <w:p>
            <w:pPr>
              <w:keepNext w:val="0"/>
              <w:keepLines w:val="0"/>
              <w:widowControl/>
              <w:suppressLineNumbers w:val="0"/>
              <w:jc w:val="center"/>
              <w:textAlignment w:val="bottom"/>
              <w:rPr>
                <w:color w:val="auto"/>
                <w:szCs w:val="21"/>
              </w:rPr>
            </w:pPr>
            <w:r>
              <w:rPr>
                <w:rFonts w:hint="default" w:ascii="Times New Roman" w:hAnsi="Times New Roman" w:eastAsia="宋体" w:cs="Times New Roman"/>
                <w:i w:val="0"/>
                <w:color w:val="auto"/>
                <w:kern w:val="0"/>
                <w:sz w:val="21"/>
                <w:szCs w:val="21"/>
                <w:u w:val="none"/>
                <w:lang w:val="en-US" w:eastAsia="zh-CN" w:bidi="ar"/>
              </w:rPr>
              <w:t>0.014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31" w:hRule="atLeast"/>
          <w:jc w:val="center"/>
        </w:trPr>
        <w:tc>
          <w:tcPr>
            <w:tcW w:w="2178" w:type="dxa"/>
            <w:vMerge w:val="continue"/>
            <w:shd w:val="clear" w:color="auto" w:fill="auto"/>
            <w:vAlign w:val="center"/>
          </w:tcPr>
          <w:p>
            <w:pPr>
              <w:pStyle w:val="292"/>
              <w:rPr>
                <w:color w:val="auto"/>
                <w:szCs w:val="21"/>
              </w:rPr>
            </w:pPr>
          </w:p>
        </w:tc>
        <w:tc>
          <w:tcPr>
            <w:tcW w:w="1162" w:type="dxa"/>
            <w:vMerge w:val="continue"/>
            <w:shd w:val="clear" w:color="auto" w:fill="auto"/>
            <w:vAlign w:val="center"/>
          </w:tcPr>
          <w:p>
            <w:pPr>
              <w:pStyle w:val="292"/>
              <w:rPr>
                <w:rFonts w:eastAsiaTheme="minorEastAsia"/>
                <w:color w:val="auto"/>
                <w:szCs w:val="21"/>
              </w:rPr>
            </w:pPr>
          </w:p>
        </w:tc>
        <w:tc>
          <w:tcPr>
            <w:tcW w:w="1298" w:type="dxa"/>
            <w:shd w:val="clear" w:color="auto" w:fill="auto"/>
            <w:vAlign w:val="center"/>
          </w:tcPr>
          <w:p>
            <w:pPr>
              <w:pStyle w:val="292"/>
              <w:rPr>
                <w:rFonts w:eastAsiaTheme="minorEastAsia"/>
                <w:color w:val="auto"/>
                <w:szCs w:val="21"/>
              </w:rPr>
            </w:pPr>
            <w:r>
              <w:rPr>
                <w:rFonts w:eastAsiaTheme="minorEastAsia"/>
                <w:color w:val="auto"/>
                <w:szCs w:val="21"/>
              </w:rPr>
              <w:t>NH</w:t>
            </w:r>
            <w:r>
              <w:rPr>
                <w:rFonts w:eastAsiaTheme="minorEastAsia"/>
                <w:color w:val="auto"/>
                <w:szCs w:val="21"/>
                <w:vertAlign w:val="subscript"/>
              </w:rPr>
              <w:t>3</w:t>
            </w:r>
          </w:p>
        </w:tc>
        <w:tc>
          <w:tcPr>
            <w:tcW w:w="1560" w:type="dxa"/>
            <w:shd w:val="clear" w:color="auto" w:fill="auto"/>
            <w:textDirection w:val="lrTb"/>
            <w:vAlign w:val="center"/>
          </w:tcPr>
          <w:p>
            <w:pPr>
              <w:keepNext w:val="0"/>
              <w:keepLines w:val="0"/>
              <w:widowControl/>
              <w:suppressLineNumbers w:val="0"/>
              <w:jc w:val="center"/>
              <w:textAlignment w:val="bottom"/>
              <w:rPr>
                <w:color w:val="auto"/>
                <w:szCs w:val="21"/>
              </w:rPr>
            </w:pPr>
            <w:r>
              <w:rPr>
                <w:rFonts w:hint="default" w:ascii="Times New Roman" w:hAnsi="Times New Roman" w:eastAsia="宋体" w:cs="Times New Roman"/>
                <w:i w:val="0"/>
                <w:color w:val="auto"/>
                <w:kern w:val="0"/>
                <w:sz w:val="21"/>
                <w:szCs w:val="21"/>
                <w:u w:val="none"/>
                <w:lang w:val="en-US" w:eastAsia="zh-CN" w:bidi="ar"/>
              </w:rPr>
              <w:t>0.132</w:t>
            </w:r>
          </w:p>
        </w:tc>
        <w:tc>
          <w:tcPr>
            <w:tcW w:w="1190" w:type="dxa"/>
            <w:shd w:val="clear" w:color="auto" w:fill="auto"/>
            <w:textDirection w:val="lrTb"/>
            <w:vAlign w:val="center"/>
          </w:tcPr>
          <w:p>
            <w:pPr>
              <w:keepNext w:val="0"/>
              <w:keepLines w:val="0"/>
              <w:widowControl/>
              <w:suppressLineNumbers w:val="0"/>
              <w:jc w:val="center"/>
              <w:textAlignment w:val="bottom"/>
              <w:rPr>
                <w:color w:val="auto"/>
                <w:szCs w:val="21"/>
              </w:rPr>
            </w:pPr>
            <w:r>
              <w:rPr>
                <w:rFonts w:hint="default" w:ascii="Times New Roman" w:hAnsi="Times New Roman" w:eastAsia="宋体" w:cs="Times New Roman"/>
                <w:i w:val="0"/>
                <w:color w:val="auto"/>
                <w:kern w:val="0"/>
                <w:sz w:val="21"/>
                <w:szCs w:val="21"/>
                <w:u w:val="none"/>
                <w:lang w:val="en-US" w:eastAsia="zh-CN" w:bidi="ar"/>
              </w:rPr>
              <w:t>0.009</w:t>
            </w:r>
          </w:p>
        </w:tc>
        <w:tc>
          <w:tcPr>
            <w:tcW w:w="1403" w:type="dxa"/>
            <w:shd w:val="clear" w:color="auto" w:fill="auto"/>
            <w:textDirection w:val="lrTb"/>
            <w:vAlign w:val="center"/>
          </w:tcPr>
          <w:p>
            <w:pPr>
              <w:keepNext w:val="0"/>
              <w:keepLines w:val="0"/>
              <w:widowControl/>
              <w:suppressLineNumbers w:val="0"/>
              <w:jc w:val="center"/>
              <w:textAlignment w:val="bottom"/>
              <w:rPr>
                <w:color w:val="auto"/>
                <w:szCs w:val="21"/>
              </w:rPr>
            </w:pPr>
            <w:r>
              <w:rPr>
                <w:rFonts w:hint="default" w:ascii="Times New Roman" w:hAnsi="Times New Roman" w:eastAsia="宋体" w:cs="Times New Roman"/>
                <w:i w:val="0"/>
                <w:color w:val="auto"/>
                <w:kern w:val="0"/>
                <w:sz w:val="21"/>
                <w:szCs w:val="21"/>
                <w:u w:val="none"/>
                <w:lang w:val="en-US" w:eastAsia="zh-CN" w:bidi="ar"/>
              </w:rPr>
              <w:t>0.025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31" w:hRule="atLeast"/>
          <w:jc w:val="center"/>
        </w:trPr>
        <w:tc>
          <w:tcPr>
            <w:tcW w:w="2178" w:type="dxa"/>
            <w:vMerge w:val="continue"/>
            <w:shd w:val="clear" w:color="auto" w:fill="auto"/>
            <w:vAlign w:val="center"/>
          </w:tcPr>
          <w:p>
            <w:pPr>
              <w:pStyle w:val="292"/>
              <w:rPr>
                <w:color w:val="auto"/>
                <w:szCs w:val="21"/>
              </w:rPr>
            </w:pPr>
          </w:p>
        </w:tc>
        <w:tc>
          <w:tcPr>
            <w:tcW w:w="1162" w:type="dxa"/>
            <w:vMerge w:val="continue"/>
            <w:shd w:val="clear" w:color="auto" w:fill="auto"/>
            <w:vAlign w:val="center"/>
          </w:tcPr>
          <w:p>
            <w:pPr>
              <w:pStyle w:val="292"/>
              <w:rPr>
                <w:rFonts w:eastAsiaTheme="minorEastAsia"/>
                <w:color w:val="auto"/>
                <w:szCs w:val="21"/>
              </w:rPr>
            </w:pPr>
          </w:p>
        </w:tc>
        <w:tc>
          <w:tcPr>
            <w:tcW w:w="1298" w:type="dxa"/>
            <w:shd w:val="clear" w:color="auto" w:fill="auto"/>
            <w:vAlign w:val="center"/>
          </w:tcPr>
          <w:p>
            <w:pPr>
              <w:pStyle w:val="292"/>
              <w:rPr>
                <w:rFonts w:hint="eastAsia" w:eastAsiaTheme="minorEastAsia"/>
                <w:color w:val="auto"/>
                <w:szCs w:val="21"/>
                <w:lang w:val="en-US" w:eastAsia="zh-CN"/>
              </w:rPr>
            </w:pPr>
            <w:r>
              <w:rPr>
                <w:rFonts w:hint="eastAsia" w:eastAsiaTheme="minorEastAsia"/>
                <w:color w:val="auto"/>
                <w:szCs w:val="21"/>
                <w:lang w:val="en-US" w:eastAsia="zh-CN"/>
              </w:rPr>
              <w:t>臭气</w:t>
            </w:r>
          </w:p>
        </w:tc>
        <w:tc>
          <w:tcPr>
            <w:tcW w:w="1560" w:type="dxa"/>
            <w:shd w:val="clear" w:color="auto" w:fill="auto"/>
            <w:textDirection w:val="lrTb"/>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kern w:val="0"/>
                <w:sz w:val="21"/>
                <w:szCs w:val="21"/>
                <w:u w:val="none"/>
                <w:lang w:val="en-US" w:eastAsia="zh-CN" w:bidi="ar"/>
              </w:rPr>
            </w:pPr>
            <w:r>
              <w:rPr>
                <w:rFonts w:hint="eastAsia" w:eastAsia="宋体" w:cs="Times New Roman"/>
                <w:i w:val="0"/>
                <w:color w:val="auto"/>
                <w:kern w:val="0"/>
                <w:sz w:val="21"/>
                <w:szCs w:val="21"/>
                <w:u w:val="none"/>
                <w:lang w:val="en-US" w:eastAsia="zh-CN" w:bidi="ar"/>
              </w:rPr>
              <w:t>610.75</w:t>
            </w:r>
          </w:p>
        </w:tc>
        <w:tc>
          <w:tcPr>
            <w:tcW w:w="1190" w:type="dxa"/>
            <w:shd w:val="clear" w:color="auto" w:fill="auto"/>
            <w:textDirection w:val="lrTb"/>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kern w:val="0"/>
                <w:sz w:val="21"/>
                <w:szCs w:val="21"/>
                <w:u w:val="none"/>
                <w:lang w:val="en-US" w:eastAsia="zh-CN" w:bidi="ar"/>
              </w:rPr>
            </w:pPr>
            <w:r>
              <w:rPr>
                <w:rFonts w:hint="eastAsia" w:eastAsia="宋体" w:cs="Times New Roman"/>
                <w:i w:val="0"/>
                <w:color w:val="auto"/>
                <w:kern w:val="0"/>
                <w:sz w:val="21"/>
                <w:szCs w:val="21"/>
                <w:u w:val="none"/>
                <w:lang w:val="en-US" w:eastAsia="zh-CN" w:bidi="ar"/>
              </w:rPr>
              <w:t>/</w:t>
            </w:r>
          </w:p>
        </w:tc>
        <w:tc>
          <w:tcPr>
            <w:tcW w:w="1403" w:type="dxa"/>
            <w:shd w:val="clear" w:color="auto" w:fill="auto"/>
            <w:textDirection w:val="lrTb"/>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kern w:val="0"/>
                <w:sz w:val="21"/>
                <w:szCs w:val="21"/>
                <w:u w:val="none"/>
                <w:lang w:val="en-US" w:eastAsia="zh-CN" w:bidi="ar"/>
              </w:rPr>
            </w:pPr>
            <w:r>
              <w:rPr>
                <w:rFonts w:hint="eastAsia" w:eastAsia="宋体" w:cs="Times New Roman"/>
                <w:i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31" w:hRule="atLeast"/>
          <w:jc w:val="center"/>
        </w:trPr>
        <w:tc>
          <w:tcPr>
            <w:tcW w:w="3340" w:type="dxa"/>
            <w:gridSpan w:val="2"/>
            <w:vMerge w:val="restart"/>
            <w:shd w:val="clear" w:color="auto" w:fill="auto"/>
            <w:vAlign w:val="center"/>
          </w:tcPr>
          <w:p>
            <w:pPr>
              <w:pStyle w:val="292"/>
              <w:rPr>
                <w:rFonts w:eastAsiaTheme="minorEastAsia"/>
                <w:color w:val="auto"/>
                <w:szCs w:val="21"/>
              </w:rPr>
            </w:pPr>
            <w:r>
              <w:rPr>
                <w:rFonts w:eastAsiaTheme="minorEastAsia"/>
                <w:color w:val="auto"/>
                <w:szCs w:val="21"/>
              </w:rPr>
              <w:t>有组织排放合计</w:t>
            </w:r>
          </w:p>
        </w:tc>
        <w:tc>
          <w:tcPr>
            <w:tcW w:w="4048" w:type="dxa"/>
            <w:gridSpan w:val="3"/>
            <w:shd w:val="clear" w:color="auto" w:fill="auto"/>
            <w:vAlign w:val="center"/>
          </w:tcPr>
          <w:p>
            <w:pPr>
              <w:pStyle w:val="292"/>
              <w:rPr>
                <w:color w:val="auto"/>
                <w:szCs w:val="21"/>
              </w:rPr>
            </w:pPr>
            <w:r>
              <w:rPr>
                <w:rFonts w:eastAsiaTheme="minorEastAsia"/>
                <w:color w:val="auto"/>
                <w:szCs w:val="21"/>
              </w:rPr>
              <w:t>H</w:t>
            </w:r>
            <w:r>
              <w:rPr>
                <w:rFonts w:eastAsiaTheme="minorEastAsia"/>
                <w:color w:val="auto"/>
                <w:szCs w:val="21"/>
                <w:vertAlign w:val="subscript"/>
              </w:rPr>
              <w:t>2</w:t>
            </w:r>
            <w:r>
              <w:rPr>
                <w:rFonts w:eastAsiaTheme="minorEastAsia"/>
                <w:color w:val="auto"/>
                <w:szCs w:val="21"/>
              </w:rPr>
              <w:t>S</w:t>
            </w:r>
          </w:p>
        </w:tc>
        <w:tc>
          <w:tcPr>
            <w:tcW w:w="1403" w:type="dxa"/>
            <w:shd w:val="clear" w:color="auto" w:fill="auto"/>
            <w:textDirection w:val="lrTb"/>
            <w:vAlign w:val="center"/>
          </w:tcPr>
          <w:p>
            <w:pPr>
              <w:keepNext w:val="0"/>
              <w:keepLines w:val="0"/>
              <w:widowControl/>
              <w:suppressLineNumbers w:val="0"/>
              <w:jc w:val="center"/>
              <w:textAlignment w:val="bottom"/>
              <w:rPr>
                <w:color w:val="auto"/>
                <w:sz w:val="21"/>
                <w:szCs w:val="21"/>
              </w:rPr>
            </w:pPr>
            <w:r>
              <w:rPr>
                <w:rFonts w:hint="default" w:ascii="Times New Roman" w:hAnsi="Times New Roman" w:eastAsia="宋体" w:cs="Times New Roman"/>
                <w:i w:val="0"/>
                <w:color w:val="auto"/>
                <w:kern w:val="0"/>
                <w:sz w:val="21"/>
                <w:szCs w:val="21"/>
                <w:u w:val="none"/>
                <w:lang w:val="en-US" w:eastAsia="zh-CN" w:bidi="ar"/>
              </w:rPr>
              <w:t>0.014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31" w:hRule="atLeast"/>
          <w:jc w:val="center"/>
        </w:trPr>
        <w:tc>
          <w:tcPr>
            <w:tcW w:w="3340" w:type="dxa"/>
            <w:gridSpan w:val="2"/>
            <w:vMerge w:val="continue"/>
            <w:shd w:val="clear" w:color="auto" w:fill="auto"/>
            <w:vAlign w:val="center"/>
          </w:tcPr>
          <w:p>
            <w:pPr>
              <w:pStyle w:val="292"/>
              <w:rPr>
                <w:rFonts w:eastAsiaTheme="minorEastAsia"/>
                <w:color w:val="auto"/>
                <w:szCs w:val="21"/>
              </w:rPr>
            </w:pPr>
          </w:p>
        </w:tc>
        <w:tc>
          <w:tcPr>
            <w:tcW w:w="4048" w:type="dxa"/>
            <w:gridSpan w:val="3"/>
            <w:shd w:val="clear" w:color="auto" w:fill="auto"/>
            <w:vAlign w:val="center"/>
          </w:tcPr>
          <w:p>
            <w:pPr>
              <w:autoSpaceDE w:val="0"/>
              <w:autoSpaceDN w:val="0"/>
              <w:jc w:val="center"/>
              <w:textAlignment w:val="baseline"/>
              <w:rPr>
                <w:color w:val="auto"/>
                <w:sz w:val="21"/>
                <w:szCs w:val="21"/>
              </w:rPr>
            </w:pPr>
            <w:r>
              <w:rPr>
                <w:rFonts w:eastAsiaTheme="minorEastAsia"/>
                <w:color w:val="auto"/>
                <w:sz w:val="21"/>
                <w:szCs w:val="21"/>
              </w:rPr>
              <w:t>NH</w:t>
            </w:r>
            <w:r>
              <w:rPr>
                <w:rFonts w:eastAsiaTheme="minorEastAsia"/>
                <w:color w:val="auto"/>
                <w:sz w:val="21"/>
                <w:szCs w:val="21"/>
                <w:vertAlign w:val="subscript"/>
              </w:rPr>
              <w:t>3</w:t>
            </w:r>
          </w:p>
        </w:tc>
        <w:tc>
          <w:tcPr>
            <w:tcW w:w="1403" w:type="dxa"/>
            <w:shd w:val="clear" w:color="auto" w:fill="auto"/>
            <w:textDirection w:val="lrTb"/>
            <w:vAlign w:val="center"/>
          </w:tcPr>
          <w:p>
            <w:pPr>
              <w:keepNext w:val="0"/>
              <w:keepLines w:val="0"/>
              <w:widowControl/>
              <w:suppressLineNumbers w:val="0"/>
              <w:jc w:val="center"/>
              <w:textAlignment w:val="bottom"/>
              <w:rPr>
                <w:color w:val="auto"/>
                <w:sz w:val="21"/>
                <w:szCs w:val="21"/>
              </w:rPr>
            </w:pPr>
            <w:r>
              <w:rPr>
                <w:rFonts w:hint="default" w:ascii="Times New Roman" w:hAnsi="Times New Roman" w:eastAsia="宋体" w:cs="Times New Roman"/>
                <w:i w:val="0"/>
                <w:color w:val="auto"/>
                <w:kern w:val="0"/>
                <w:sz w:val="21"/>
                <w:szCs w:val="21"/>
                <w:u w:val="none"/>
                <w:lang w:val="en-US" w:eastAsia="zh-CN" w:bidi="ar"/>
              </w:rPr>
              <w:t>0.025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31" w:hRule="atLeast"/>
          <w:jc w:val="center"/>
        </w:trPr>
        <w:tc>
          <w:tcPr>
            <w:tcW w:w="3340" w:type="dxa"/>
            <w:gridSpan w:val="2"/>
            <w:vMerge w:val="continue"/>
            <w:shd w:val="clear" w:color="auto" w:fill="auto"/>
            <w:vAlign w:val="center"/>
          </w:tcPr>
          <w:p>
            <w:pPr>
              <w:pStyle w:val="292"/>
              <w:rPr>
                <w:rFonts w:eastAsiaTheme="minorEastAsia"/>
                <w:color w:val="auto"/>
                <w:szCs w:val="21"/>
              </w:rPr>
            </w:pPr>
          </w:p>
        </w:tc>
        <w:tc>
          <w:tcPr>
            <w:tcW w:w="4048" w:type="dxa"/>
            <w:gridSpan w:val="3"/>
            <w:shd w:val="clear" w:color="auto" w:fill="auto"/>
            <w:vAlign w:val="center"/>
          </w:tcPr>
          <w:p>
            <w:pPr>
              <w:autoSpaceDE w:val="0"/>
              <w:autoSpaceDN w:val="0"/>
              <w:jc w:val="center"/>
              <w:textAlignment w:val="baseline"/>
              <w:rPr>
                <w:rFonts w:hint="eastAsia" w:eastAsiaTheme="minorEastAsia"/>
                <w:color w:val="auto"/>
                <w:sz w:val="21"/>
                <w:szCs w:val="21"/>
                <w:lang w:val="en-US" w:eastAsia="zh-CN"/>
              </w:rPr>
            </w:pPr>
            <w:r>
              <w:rPr>
                <w:rFonts w:hint="eastAsia" w:eastAsiaTheme="minorEastAsia"/>
                <w:color w:val="auto"/>
                <w:sz w:val="21"/>
                <w:szCs w:val="21"/>
                <w:lang w:val="en-US" w:eastAsia="zh-CN"/>
              </w:rPr>
              <w:t>臭气</w:t>
            </w:r>
          </w:p>
        </w:tc>
        <w:tc>
          <w:tcPr>
            <w:tcW w:w="1403" w:type="dxa"/>
            <w:shd w:val="clear" w:color="auto" w:fill="auto"/>
            <w:vAlign w:val="center"/>
          </w:tcPr>
          <w:p>
            <w:pPr>
              <w:jc w:val="center"/>
              <w:rPr>
                <w:rFonts w:hint="eastAsia" w:eastAsia="宋体"/>
                <w:color w:val="auto"/>
                <w:sz w:val="21"/>
                <w:szCs w:val="21"/>
                <w:lang w:val="en-US" w:eastAsia="zh-CN"/>
              </w:rPr>
            </w:pPr>
            <w:r>
              <w:rPr>
                <w:rFonts w:hint="eastAsia"/>
                <w:color w:val="auto"/>
                <w:sz w:val="21"/>
                <w:szCs w:val="21"/>
                <w:lang w:val="en-US" w:eastAsia="zh-CN"/>
              </w:rPr>
              <w:t>/</w:t>
            </w:r>
          </w:p>
        </w:tc>
      </w:tr>
    </w:tbl>
    <w:p>
      <w:pPr>
        <w:spacing w:line="360" w:lineRule="auto"/>
        <w:rPr>
          <w:color w:val="auto"/>
        </w:rPr>
      </w:pPr>
    </w:p>
    <w:p>
      <w:pPr>
        <w:spacing w:line="360" w:lineRule="auto"/>
        <w:rPr>
          <w:color w:val="auto"/>
        </w:rPr>
      </w:pPr>
      <w:r>
        <w:rPr>
          <w:color w:val="auto"/>
        </w:rPr>
        <w:t>（2）无组织大气污染物排放量核算</w:t>
      </w:r>
    </w:p>
    <w:p>
      <w:pPr>
        <w:jc w:val="center"/>
        <w:rPr>
          <w:b/>
          <w:color w:val="auto"/>
        </w:rPr>
      </w:pPr>
      <w:r>
        <w:rPr>
          <w:b/>
          <w:color w:val="auto"/>
        </w:rPr>
        <w:t>表5.</w:t>
      </w:r>
      <w:r>
        <w:rPr>
          <w:rFonts w:hint="eastAsia"/>
          <w:b/>
          <w:color w:val="auto"/>
        </w:rPr>
        <w:t>2</w:t>
      </w:r>
      <w:r>
        <w:rPr>
          <w:b/>
          <w:color w:val="auto"/>
        </w:rPr>
        <w:t xml:space="preserve">-3 </w:t>
      </w:r>
      <w:r>
        <w:rPr>
          <w:rFonts w:hint="eastAsia"/>
          <w:b/>
          <w:color w:val="auto"/>
        </w:rPr>
        <w:t>本项目</w:t>
      </w:r>
      <w:r>
        <w:rPr>
          <w:b/>
          <w:color w:val="auto"/>
        </w:rPr>
        <w:t>大气污染物排放量核算表（无组织）</w:t>
      </w:r>
    </w:p>
    <w:tbl>
      <w:tblPr>
        <w:tblStyle w:val="54"/>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0"/>
        <w:gridCol w:w="1003"/>
        <w:gridCol w:w="905"/>
        <w:gridCol w:w="1185"/>
        <w:gridCol w:w="3167"/>
        <w:gridCol w:w="1365"/>
        <w:gridCol w:w="12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460" w:type="dxa"/>
            <w:vMerge w:val="restart"/>
            <w:vAlign w:val="center"/>
          </w:tcPr>
          <w:p>
            <w:pPr>
              <w:autoSpaceDE w:val="0"/>
              <w:autoSpaceDN w:val="0"/>
              <w:jc w:val="center"/>
              <w:textAlignment w:val="baseline"/>
              <w:rPr>
                <w:b/>
                <w:color w:val="auto"/>
                <w:sz w:val="21"/>
                <w:szCs w:val="21"/>
              </w:rPr>
            </w:pPr>
            <w:r>
              <w:rPr>
                <w:b/>
                <w:color w:val="auto"/>
                <w:sz w:val="21"/>
                <w:szCs w:val="21"/>
              </w:rPr>
              <w:t>序号</w:t>
            </w:r>
          </w:p>
        </w:tc>
        <w:tc>
          <w:tcPr>
            <w:tcW w:w="1003" w:type="dxa"/>
            <w:vMerge w:val="restart"/>
            <w:vAlign w:val="center"/>
          </w:tcPr>
          <w:p>
            <w:pPr>
              <w:autoSpaceDE w:val="0"/>
              <w:autoSpaceDN w:val="0"/>
              <w:jc w:val="center"/>
              <w:textAlignment w:val="baseline"/>
              <w:rPr>
                <w:b/>
                <w:color w:val="auto"/>
                <w:sz w:val="21"/>
                <w:szCs w:val="21"/>
              </w:rPr>
            </w:pPr>
            <w:r>
              <w:rPr>
                <w:b/>
                <w:color w:val="auto"/>
                <w:sz w:val="21"/>
                <w:szCs w:val="21"/>
              </w:rPr>
              <w:t>产污环节</w:t>
            </w:r>
          </w:p>
        </w:tc>
        <w:tc>
          <w:tcPr>
            <w:tcW w:w="905" w:type="dxa"/>
            <w:vMerge w:val="restart"/>
            <w:vAlign w:val="center"/>
          </w:tcPr>
          <w:p>
            <w:pPr>
              <w:autoSpaceDE w:val="0"/>
              <w:autoSpaceDN w:val="0"/>
              <w:jc w:val="center"/>
              <w:textAlignment w:val="baseline"/>
              <w:rPr>
                <w:b/>
                <w:color w:val="auto"/>
                <w:sz w:val="21"/>
                <w:szCs w:val="21"/>
              </w:rPr>
            </w:pPr>
            <w:r>
              <w:rPr>
                <w:b/>
                <w:color w:val="auto"/>
                <w:sz w:val="21"/>
                <w:szCs w:val="21"/>
              </w:rPr>
              <w:t>污染物</w:t>
            </w:r>
          </w:p>
        </w:tc>
        <w:tc>
          <w:tcPr>
            <w:tcW w:w="1185" w:type="dxa"/>
            <w:vMerge w:val="restart"/>
            <w:vAlign w:val="center"/>
          </w:tcPr>
          <w:p>
            <w:pPr>
              <w:autoSpaceDE w:val="0"/>
              <w:autoSpaceDN w:val="0"/>
              <w:jc w:val="center"/>
              <w:textAlignment w:val="baseline"/>
              <w:rPr>
                <w:b/>
                <w:color w:val="auto"/>
                <w:sz w:val="21"/>
                <w:szCs w:val="21"/>
              </w:rPr>
            </w:pPr>
            <w:r>
              <w:rPr>
                <w:b/>
                <w:color w:val="auto"/>
                <w:sz w:val="21"/>
                <w:szCs w:val="21"/>
              </w:rPr>
              <w:t>主要污染防治措施</w:t>
            </w:r>
          </w:p>
        </w:tc>
        <w:tc>
          <w:tcPr>
            <w:tcW w:w="4532" w:type="dxa"/>
            <w:gridSpan w:val="2"/>
            <w:vAlign w:val="center"/>
          </w:tcPr>
          <w:p>
            <w:pPr>
              <w:autoSpaceDE w:val="0"/>
              <w:autoSpaceDN w:val="0"/>
              <w:jc w:val="center"/>
              <w:textAlignment w:val="baseline"/>
              <w:rPr>
                <w:b/>
                <w:color w:val="auto"/>
                <w:sz w:val="21"/>
                <w:szCs w:val="21"/>
              </w:rPr>
            </w:pPr>
            <w:r>
              <w:rPr>
                <w:b/>
                <w:color w:val="auto"/>
                <w:sz w:val="21"/>
                <w:szCs w:val="21"/>
              </w:rPr>
              <w:t>排放标准</w:t>
            </w:r>
          </w:p>
        </w:tc>
        <w:tc>
          <w:tcPr>
            <w:tcW w:w="1202" w:type="dxa"/>
            <w:vMerge w:val="restart"/>
            <w:vAlign w:val="center"/>
          </w:tcPr>
          <w:p>
            <w:pPr>
              <w:autoSpaceDE w:val="0"/>
              <w:autoSpaceDN w:val="0"/>
              <w:jc w:val="center"/>
              <w:textAlignment w:val="baseline"/>
              <w:rPr>
                <w:b/>
                <w:color w:val="auto"/>
                <w:sz w:val="21"/>
                <w:szCs w:val="21"/>
              </w:rPr>
            </w:pPr>
            <w:r>
              <w:rPr>
                <w:b/>
                <w:color w:val="auto"/>
                <w:sz w:val="21"/>
                <w:szCs w:val="21"/>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460" w:type="dxa"/>
            <w:vMerge w:val="continue"/>
            <w:vAlign w:val="center"/>
          </w:tcPr>
          <w:p>
            <w:pPr>
              <w:autoSpaceDE w:val="0"/>
              <w:autoSpaceDN w:val="0"/>
              <w:jc w:val="center"/>
              <w:textAlignment w:val="baseline"/>
              <w:rPr>
                <w:b/>
                <w:color w:val="auto"/>
                <w:sz w:val="21"/>
                <w:szCs w:val="21"/>
              </w:rPr>
            </w:pPr>
          </w:p>
        </w:tc>
        <w:tc>
          <w:tcPr>
            <w:tcW w:w="1003" w:type="dxa"/>
            <w:vMerge w:val="continue"/>
            <w:vAlign w:val="center"/>
          </w:tcPr>
          <w:p>
            <w:pPr>
              <w:autoSpaceDE w:val="0"/>
              <w:autoSpaceDN w:val="0"/>
              <w:jc w:val="center"/>
              <w:textAlignment w:val="baseline"/>
              <w:rPr>
                <w:b/>
                <w:color w:val="auto"/>
                <w:sz w:val="21"/>
                <w:szCs w:val="21"/>
              </w:rPr>
            </w:pPr>
          </w:p>
        </w:tc>
        <w:tc>
          <w:tcPr>
            <w:tcW w:w="905" w:type="dxa"/>
            <w:vMerge w:val="continue"/>
            <w:vAlign w:val="center"/>
          </w:tcPr>
          <w:p>
            <w:pPr>
              <w:autoSpaceDE w:val="0"/>
              <w:autoSpaceDN w:val="0"/>
              <w:jc w:val="center"/>
              <w:textAlignment w:val="baseline"/>
              <w:rPr>
                <w:b/>
                <w:color w:val="auto"/>
                <w:sz w:val="21"/>
                <w:szCs w:val="21"/>
              </w:rPr>
            </w:pPr>
          </w:p>
        </w:tc>
        <w:tc>
          <w:tcPr>
            <w:tcW w:w="1185" w:type="dxa"/>
            <w:vMerge w:val="continue"/>
            <w:vAlign w:val="center"/>
          </w:tcPr>
          <w:p>
            <w:pPr>
              <w:autoSpaceDE w:val="0"/>
              <w:autoSpaceDN w:val="0"/>
              <w:jc w:val="center"/>
              <w:textAlignment w:val="baseline"/>
              <w:rPr>
                <w:b/>
                <w:color w:val="auto"/>
                <w:sz w:val="21"/>
                <w:szCs w:val="21"/>
              </w:rPr>
            </w:pPr>
          </w:p>
        </w:tc>
        <w:tc>
          <w:tcPr>
            <w:tcW w:w="3167" w:type="dxa"/>
            <w:vAlign w:val="center"/>
          </w:tcPr>
          <w:p>
            <w:pPr>
              <w:autoSpaceDE w:val="0"/>
              <w:autoSpaceDN w:val="0"/>
              <w:jc w:val="center"/>
              <w:textAlignment w:val="baseline"/>
              <w:rPr>
                <w:b/>
                <w:color w:val="auto"/>
                <w:sz w:val="21"/>
                <w:szCs w:val="21"/>
              </w:rPr>
            </w:pPr>
            <w:r>
              <w:rPr>
                <w:b/>
                <w:color w:val="auto"/>
                <w:sz w:val="21"/>
                <w:szCs w:val="21"/>
              </w:rPr>
              <w:t>标准名称</w:t>
            </w:r>
          </w:p>
        </w:tc>
        <w:tc>
          <w:tcPr>
            <w:tcW w:w="1365" w:type="dxa"/>
            <w:vAlign w:val="center"/>
          </w:tcPr>
          <w:p>
            <w:pPr>
              <w:autoSpaceDE w:val="0"/>
              <w:autoSpaceDN w:val="0"/>
              <w:jc w:val="center"/>
              <w:textAlignment w:val="baseline"/>
              <w:rPr>
                <w:b/>
                <w:color w:val="auto"/>
                <w:sz w:val="21"/>
                <w:szCs w:val="21"/>
              </w:rPr>
            </w:pPr>
            <w:r>
              <w:rPr>
                <w:b/>
                <w:color w:val="auto"/>
                <w:sz w:val="21"/>
                <w:szCs w:val="21"/>
              </w:rPr>
              <w:t>浓度限值（mg/m</w:t>
            </w:r>
            <w:r>
              <w:rPr>
                <w:b/>
                <w:color w:val="auto"/>
                <w:sz w:val="21"/>
                <w:szCs w:val="21"/>
                <w:vertAlign w:val="superscript"/>
              </w:rPr>
              <w:t>3</w:t>
            </w:r>
            <w:r>
              <w:rPr>
                <w:b/>
                <w:color w:val="auto"/>
                <w:sz w:val="21"/>
                <w:szCs w:val="21"/>
              </w:rPr>
              <w:t>）</w:t>
            </w:r>
          </w:p>
        </w:tc>
        <w:tc>
          <w:tcPr>
            <w:tcW w:w="1202" w:type="dxa"/>
            <w:vMerge w:val="continue"/>
            <w:vAlign w:val="center"/>
          </w:tcPr>
          <w:p>
            <w:pPr>
              <w:autoSpaceDE w:val="0"/>
              <w:autoSpaceDN w:val="0"/>
              <w:jc w:val="center"/>
              <w:textAlignment w:val="baseline"/>
              <w:rPr>
                <w:b/>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60" w:type="dxa"/>
            <w:vAlign w:val="center"/>
          </w:tcPr>
          <w:p>
            <w:pPr>
              <w:autoSpaceDE w:val="0"/>
              <w:autoSpaceDN w:val="0"/>
              <w:jc w:val="center"/>
              <w:textAlignment w:val="baseline"/>
              <w:rPr>
                <w:color w:val="auto"/>
                <w:sz w:val="21"/>
                <w:szCs w:val="21"/>
              </w:rPr>
            </w:pPr>
            <w:r>
              <w:rPr>
                <w:rFonts w:hint="eastAsia"/>
                <w:color w:val="auto"/>
                <w:sz w:val="21"/>
                <w:szCs w:val="21"/>
              </w:rPr>
              <w:t>1</w:t>
            </w:r>
          </w:p>
        </w:tc>
        <w:tc>
          <w:tcPr>
            <w:tcW w:w="1003" w:type="dxa"/>
            <w:vAlign w:val="center"/>
          </w:tcPr>
          <w:p>
            <w:pPr>
              <w:autoSpaceDE w:val="0"/>
              <w:autoSpaceDN w:val="0"/>
              <w:jc w:val="center"/>
              <w:textAlignment w:val="baseline"/>
              <w:rPr>
                <w:color w:val="auto"/>
                <w:sz w:val="21"/>
                <w:szCs w:val="21"/>
              </w:rPr>
            </w:pPr>
            <w:r>
              <w:rPr>
                <w:color w:val="auto"/>
                <w:sz w:val="21"/>
                <w:szCs w:val="21"/>
              </w:rPr>
              <w:t>场区建筑垃圾的风力扬尘</w:t>
            </w:r>
          </w:p>
        </w:tc>
        <w:tc>
          <w:tcPr>
            <w:tcW w:w="905" w:type="dxa"/>
            <w:vAlign w:val="center"/>
          </w:tcPr>
          <w:p>
            <w:pPr>
              <w:autoSpaceDE w:val="0"/>
              <w:autoSpaceDN w:val="0"/>
              <w:jc w:val="center"/>
              <w:textAlignment w:val="baseline"/>
              <w:rPr>
                <w:color w:val="auto"/>
                <w:sz w:val="21"/>
                <w:szCs w:val="21"/>
              </w:rPr>
            </w:pPr>
            <w:r>
              <w:rPr>
                <w:rFonts w:hint="eastAsia"/>
                <w:color w:val="auto"/>
                <w:sz w:val="21"/>
                <w:szCs w:val="21"/>
              </w:rPr>
              <w:t>颗粒物</w:t>
            </w:r>
          </w:p>
        </w:tc>
        <w:tc>
          <w:tcPr>
            <w:tcW w:w="1185" w:type="dxa"/>
            <w:vAlign w:val="center"/>
          </w:tcPr>
          <w:p>
            <w:pPr>
              <w:autoSpaceDE w:val="0"/>
              <w:autoSpaceDN w:val="0"/>
              <w:jc w:val="center"/>
              <w:textAlignment w:val="baseline"/>
              <w:rPr>
                <w:color w:val="auto"/>
                <w:sz w:val="21"/>
                <w:szCs w:val="21"/>
              </w:rPr>
            </w:pPr>
            <w:r>
              <w:rPr>
                <w:rFonts w:hint="eastAsia"/>
                <w:color w:val="auto"/>
                <w:sz w:val="21"/>
                <w:szCs w:val="21"/>
              </w:rPr>
              <w:t>洒水抑尘</w:t>
            </w:r>
          </w:p>
        </w:tc>
        <w:tc>
          <w:tcPr>
            <w:tcW w:w="3167" w:type="dxa"/>
            <w:vMerge w:val="restart"/>
            <w:vAlign w:val="center"/>
          </w:tcPr>
          <w:p>
            <w:pPr>
              <w:autoSpaceDE w:val="0"/>
              <w:autoSpaceDN w:val="0"/>
              <w:jc w:val="center"/>
              <w:textAlignment w:val="baseline"/>
              <w:rPr>
                <w:color w:val="auto"/>
                <w:sz w:val="21"/>
                <w:szCs w:val="21"/>
              </w:rPr>
            </w:pPr>
            <w:r>
              <w:rPr>
                <w:color w:val="auto"/>
                <w:sz w:val="21"/>
                <w:szCs w:val="21"/>
              </w:rPr>
              <w:t>广东省地方标准《大气污染物排放限值》（DB44/27-2001）第二时段无组织排放标准限值</w:t>
            </w:r>
          </w:p>
        </w:tc>
        <w:tc>
          <w:tcPr>
            <w:tcW w:w="1365" w:type="dxa"/>
            <w:vAlign w:val="center"/>
          </w:tcPr>
          <w:p>
            <w:pPr>
              <w:autoSpaceDE w:val="0"/>
              <w:autoSpaceDN w:val="0"/>
              <w:jc w:val="center"/>
              <w:textAlignment w:val="baseline"/>
              <w:rPr>
                <w:color w:val="auto"/>
                <w:sz w:val="21"/>
                <w:szCs w:val="21"/>
              </w:rPr>
            </w:pPr>
            <w:r>
              <w:rPr>
                <w:color w:val="auto"/>
                <w:sz w:val="21"/>
                <w:szCs w:val="21"/>
              </w:rPr>
              <w:t>1.0</w:t>
            </w:r>
          </w:p>
        </w:tc>
        <w:tc>
          <w:tcPr>
            <w:tcW w:w="1202" w:type="dxa"/>
            <w:vAlign w:val="center"/>
          </w:tcPr>
          <w:p>
            <w:pPr>
              <w:autoSpaceDE w:val="0"/>
              <w:autoSpaceDN w:val="0"/>
              <w:jc w:val="center"/>
              <w:textAlignment w:val="baseline"/>
              <w:rPr>
                <w:color w:val="auto"/>
                <w:sz w:val="21"/>
                <w:szCs w:val="21"/>
              </w:rPr>
            </w:pPr>
            <w:r>
              <w:rPr>
                <w:rFonts w:hint="eastAsia"/>
                <w:color w:val="auto"/>
                <w:sz w:val="21"/>
                <w:szCs w:val="21"/>
              </w:rPr>
              <w:t>1.191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60" w:type="dxa"/>
            <w:vAlign w:val="center"/>
          </w:tcPr>
          <w:p>
            <w:pPr>
              <w:autoSpaceDE w:val="0"/>
              <w:autoSpaceDN w:val="0"/>
              <w:jc w:val="center"/>
              <w:textAlignment w:val="baseline"/>
              <w:rPr>
                <w:color w:val="auto"/>
                <w:sz w:val="21"/>
                <w:szCs w:val="21"/>
              </w:rPr>
            </w:pPr>
            <w:r>
              <w:rPr>
                <w:rFonts w:hint="eastAsia"/>
                <w:color w:val="auto"/>
                <w:sz w:val="21"/>
                <w:szCs w:val="21"/>
              </w:rPr>
              <w:t>2</w:t>
            </w:r>
          </w:p>
        </w:tc>
        <w:tc>
          <w:tcPr>
            <w:tcW w:w="1003" w:type="dxa"/>
            <w:vAlign w:val="center"/>
          </w:tcPr>
          <w:p>
            <w:pPr>
              <w:autoSpaceDE w:val="0"/>
              <w:autoSpaceDN w:val="0"/>
              <w:jc w:val="center"/>
              <w:textAlignment w:val="baseline"/>
              <w:rPr>
                <w:color w:val="auto"/>
                <w:sz w:val="21"/>
                <w:szCs w:val="21"/>
              </w:rPr>
            </w:pPr>
            <w:r>
              <w:rPr>
                <w:color w:val="auto"/>
                <w:sz w:val="21"/>
                <w:szCs w:val="21"/>
              </w:rPr>
              <w:t>运输车辆倾倒垃圾粉尘</w:t>
            </w:r>
          </w:p>
        </w:tc>
        <w:tc>
          <w:tcPr>
            <w:tcW w:w="905" w:type="dxa"/>
            <w:vAlign w:val="center"/>
          </w:tcPr>
          <w:p>
            <w:pPr>
              <w:autoSpaceDE w:val="0"/>
              <w:autoSpaceDN w:val="0"/>
              <w:jc w:val="center"/>
              <w:textAlignment w:val="baseline"/>
              <w:rPr>
                <w:color w:val="auto"/>
                <w:sz w:val="21"/>
                <w:szCs w:val="21"/>
              </w:rPr>
            </w:pPr>
            <w:r>
              <w:rPr>
                <w:rFonts w:hint="eastAsia"/>
                <w:color w:val="auto"/>
                <w:sz w:val="21"/>
                <w:szCs w:val="21"/>
              </w:rPr>
              <w:t>颗粒物</w:t>
            </w:r>
          </w:p>
        </w:tc>
        <w:tc>
          <w:tcPr>
            <w:tcW w:w="1185" w:type="dxa"/>
            <w:vAlign w:val="center"/>
          </w:tcPr>
          <w:p>
            <w:pPr>
              <w:autoSpaceDE w:val="0"/>
              <w:autoSpaceDN w:val="0"/>
              <w:jc w:val="center"/>
              <w:textAlignment w:val="baseline"/>
              <w:rPr>
                <w:color w:val="auto"/>
                <w:sz w:val="21"/>
                <w:szCs w:val="21"/>
              </w:rPr>
            </w:pPr>
            <w:r>
              <w:rPr>
                <w:rFonts w:hint="eastAsia"/>
                <w:color w:val="auto"/>
                <w:sz w:val="21"/>
                <w:szCs w:val="21"/>
              </w:rPr>
              <w:t>洒水抑尘</w:t>
            </w:r>
          </w:p>
        </w:tc>
        <w:tc>
          <w:tcPr>
            <w:tcW w:w="3167" w:type="dxa"/>
            <w:vMerge w:val="continue"/>
            <w:vAlign w:val="center"/>
          </w:tcPr>
          <w:p>
            <w:pPr>
              <w:autoSpaceDE w:val="0"/>
              <w:autoSpaceDN w:val="0"/>
              <w:jc w:val="center"/>
              <w:textAlignment w:val="baseline"/>
              <w:rPr>
                <w:color w:val="auto"/>
                <w:sz w:val="21"/>
                <w:szCs w:val="21"/>
              </w:rPr>
            </w:pPr>
          </w:p>
        </w:tc>
        <w:tc>
          <w:tcPr>
            <w:tcW w:w="1365" w:type="dxa"/>
            <w:vAlign w:val="center"/>
          </w:tcPr>
          <w:p>
            <w:pPr>
              <w:autoSpaceDE w:val="0"/>
              <w:autoSpaceDN w:val="0"/>
              <w:jc w:val="center"/>
              <w:textAlignment w:val="baseline"/>
              <w:rPr>
                <w:color w:val="auto"/>
                <w:sz w:val="21"/>
                <w:szCs w:val="21"/>
              </w:rPr>
            </w:pPr>
            <w:r>
              <w:rPr>
                <w:color w:val="auto"/>
                <w:sz w:val="21"/>
                <w:szCs w:val="21"/>
              </w:rPr>
              <w:t>1.0</w:t>
            </w:r>
          </w:p>
        </w:tc>
        <w:tc>
          <w:tcPr>
            <w:tcW w:w="1202" w:type="dxa"/>
            <w:vAlign w:val="center"/>
          </w:tcPr>
          <w:p>
            <w:pPr>
              <w:autoSpaceDE w:val="0"/>
              <w:autoSpaceDN w:val="0"/>
              <w:jc w:val="center"/>
              <w:textAlignment w:val="baseline"/>
              <w:rPr>
                <w:rFonts w:hint="eastAsia" w:eastAsia="宋体"/>
                <w:color w:val="auto"/>
                <w:sz w:val="21"/>
                <w:szCs w:val="21"/>
                <w:lang w:eastAsia="zh-CN"/>
              </w:rPr>
            </w:pPr>
            <w:r>
              <w:rPr>
                <w:rFonts w:hint="eastAsia"/>
                <w:color w:val="auto"/>
                <w:kern w:val="0"/>
                <w:sz w:val="21"/>
                <w:szCs w:val="21"/>
                <w:lang w:val="en-US" w:eastAsia="zh-CN"/>
              </w:rPr>
              <w:t>2.07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60" w:type="dxa"/>
            <w:vAlign w:val="center"/>
          </w:tcPr>
          <w:p>
            <w:pPr>
              <w:autoSpaceDE w:val="0"/>
              <w:autoSpaceDN w:val="0"/>
              <w:jc w:val="center"/>
              <w:textAlignment w:val="baseline"/>
              <w:rPr>
                <w:color w:val="auto"/>
                <w:sz w:val="21"/>
                <w:szCs w:val="21"/>
              </w:rPr>
            </w:pPr>
            <w:r>
              <w:rPr>
                <w:rFonts w:hint="eastAsia"/>
                <w:color w:val="auto"/>
                <w:sz w:val="21"/>
                <w:szCs w:val="21"/>
              </w:rPr>
              <w:t>3</w:t>
            </w:r>
          </w:p>
        </w:tc>
        <w:tc>
          <w:tcPr>
            <w:tcW w:w="1003" w:type="dxa"/>
            <w:vAlign w:val="center"/>
          </w:tcPr>
          <w:p>
            <w:pPr>
              <w:autoSpaceDE w:val="0"/>
              <w:autoSpaceDN w:val="0"/>
              <w:jc w:val="center"/>
              <w:textAlignment w:val="baseline"/>
              <w:rPr>
                <w:color w:val="auto"/>
                <w:sz w:val="21"/>
                <w:szCs w:val="21"/>
              </w:rPr>
            </w:pPr>
            <w:r>
              <w:rPr>
                <w:color w:val="auto"/>
                <w:kern w:val="0"/>
                <w:sz w:val="21"/>
                <w:szCs w:val="21"/>
              </w:rPr>
              <w:t>车辆运输扬尘</w:t>
            </w:r>
          </w:p>
        </w:tc>
        <w:tc>
          <w:tcPr>
            <w:tcW w:w="905" w:type="dxa"/>
            <w:vAlign w:val="center"/>
          </w:tcPr>
          <w:p>
            <w:pPr>
              <w:autoSpaceDE w:val="0"/>
              <w:autoSpaceDN w:val="0"/>
              <w:jc w:val="center"/>
              <w:textAlignment w:val="baseline"/>
              <w:rPr>
                <w:color w:val="auto"/>
                <w:sz w:val="21"/>
                <w:szCs w:val="21"/>
              </w:rPr>
            </w:pPr>
            <w:r>
              <w:rPr>
                <w:rFonts w:hint="eastAsia"/>
                <w:color w:val="auto"/>
                <w:sz w:val="21"/>
                <w:szCs w:val="21"/>
              </w:rPr>
              <w:t>颗粒物</w:t>
            </w:r>
          </w:p>
        </w:tc>
        <w:tc>
          <w:tcPr>
            <w:tcW w:w="1185" w:type="dxa"/>
            <w:vAlign w:val="center"/>
          </w:tcPr>
          <w:p>
            <w:pPr>
              <w:autoSpaceDE w:val="0"/>
              <w:autoSpaceDN w:val="0"/>
              <w:jc w:val="center"/>
              <w:textAlignment w:val="baseline"/>
              <w:rPr>
                <w:color w:val="auto"/>
                <w:sz w:val="21"/>
                <w:szCs w:val="21"/>
              </w:rPr>
            </w:pPr>
            <w:r>
              <w:rPr>
                <w:rFonts w:hint="eastAsia"/>
                <w:color w:val="auto"/>
                <w:sz w:val="21"/>
                <w:szCs w:val="21"/>
              </w:rPr>
              <w:t>洒水抑尘</w:t>
            </w:r>
          </w:p>
        </w:tc>
        <w:tc>
          <w:tcPr>
            <w:tcW w:w="3167" w:type="dxa"/>
            <w:vMerge w:val="continue"/>
            <w:vAlign w:val="center"/>
          </w:tcPr>
          <w:p>
            <w:pPr>
              <w:autoSpaceDE w:val="0"/>
              <w:autoSpaceDN w:val="0"/>
              <w:jc w:val="center"/>
              <w:textAlignment w:val="baseline"/>
              <w:rPr>
                <w:color w:val="auto"/>
                <w:sz w:val="21"/>
                <w:szCs w:val="21"/>
              </w:rPr>
            </w:pPr>
          </w:p>
        </w:tc>
        <w:tc>
          <w:tcPr>
            <w:tcW w:w="1365" w:type="dxa"/>
            <w:vAlign w:val="center"/>
          </w:tcPr>
          <w:p>
            <w:pPr>
              <w:autoSpaceDE w:val="0"/>
              <w:autoSpaceDN w:val="0"/>
              <w:jc w:val="center"/>
              <w:textAlignment w:val="baseline"/>
              <w:rPr>
                <w:color w:val="auto"/>
                <w:sz w:val="21"/>
                <w:szCs w:val="21"/>
              </w:rPr>
            </w:pPr>
            <w:r>
              <w:rPr>
                <w:color w:val="auto"/>
                <w:sz w:val="21"/>
                <w:szCs w:val="21"/>
              </w:rPr>
              <w:t>1.0</w:t>
            </w:r>
          </w:p>
        </w:tc>
        <w:tc>
          <w:tcPr>
            <w:tcW w:w="1202" w:type="dxa"/>
            <w:vAlign w:val="center"/>
          </w:tcPr>
          <w:p>
            <w:pPr>
              <w:autoSpaceDE w:val="0"/>
              <w:autoSpaceDN w:val="0"/>
              <w:jc w:val="center"/>
              <w:textAlignment w:val="baseline"/>
              <w:rPr>
                <w:color w:val="auto"/>
                <w:sz w:val="21"/>
                <w:szCs w:val="21"/>
              </w:rPr>
            </w:pPr>
            <w:r>
              <w:rPr>
                <w:color w:val="auto"/>
                <w:sz w:val="21"/>
                <w:szCs w:val="21"/>
              </w:rPr>
              <w:t>0.24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60" w:type="dxa"/>
            <w:vAlign w:val="center"/>
          </w:tcPr>
          <w:p>
            <w:pPr>
              <w:autoSpaceDE w:val="0"/>
              <w:autoSpaceDN w:val="0"/>
              <w:jc w:val="center"/>
              <w:textAlignment w:val="baseline"/>
              <w:rPr>
                <w:color w:val="auto"/>
                <w:sz w:val="21"/>
                <w:szCs w:val="21"/>
              </w:rPr>
            </w:pPr>
            <w:r>
              <w:rPr>
                <w:color w:val="auto"/>
                <w:sz w:val="21"/>
                <w:szCs w:val="21"/>
              </w:rPr>
              <w:t>4</w:t>
            </w:r>
          </w:p>
        </w:tc>
        <w:tc>
          <w:tcPr>
            <w:tcW w:w="1003" w:type="dxa"/>
            <w:vMerge w:val="restart"/>
            <w:vAlign w:val="center"/>
          </w:tcPr>
          <w:p>
            <w:pPr>
              <w:autoSpaceDE w:val="0"/>
              <w:autoSpaceDN w:val="0"/>
              <w:jc w:val="center"/>
              <w:textAlignment w:val="baseline"/>
              <w:rPr>
                <w:color w:val="auto"/>
                <w:sz w:val="21"/>
                <w:szCs w:val="21"/>
              </w:rPr>
            </w:pPr>
            <w:r>
              <w:rPr>
                <w:bCs/>
                <w:color w:val="auto"/>
                <w:sz w:val="21"/>
                <w:szCs w:val="21"/>
              </w:rPr>
              <w:t>卸料间和设备间</w:t>
            </w:r>
          </w:p>
        </w:tc>
        <w:tc>
          <w:tcPr>
            <w:tcW w:w="905" w:type="dxa"/>
            <w:vAlign w:val="center"/>
          </w:tcPr>
          <w:p>
            <w:pPr>
              <w:autoSpaceDE w:val="0"/>
              <w:autoSpaceDN w:val="0"/>
              <w:jc w:val="center"/>
              <w:textAlignment w:val="baseline"/>
              <w:rPr>
                <w:color w:val="auto"/>
                <w:sz w:val="21"/>
                <w:szCs w:val="21"/>
              </w:rPr>
            </w:pPr>
            <w:r>
              <w:rPr>
                <w:color w:val="auto"/>
                <w:sz w:val="21"/>
                <w:szCs w:val="21"/>
              </w:rPr>
              <w:t>NH</w:t>
            </w:r>
            <w:r>
              <w:rPr>
                <w:color w:val="auto"/>
                <w:sz w:val="21"/>
                <w:szCs w:val="21"/>
                <w:vertAlign w:val="subscript"/>
              </w:rPr>
              <w:t>3</w:t>
            </w:r>
          </w:p>
        </w:tc>
        <w:tc>
          <w:tcPr>
            <w:tcW w:w="1185" w:type="dxa"/>
            <w:vAlign w:val="center"/>
          </w:tcPr>
          <w:p>
            <w:pPr>
              <w:autoSpaceDE w:val="0"/>
              <w:autoSpaceDN w:val="0"/>
              <w:jc w:val="center"/>
              <w:textAlignment w:val="baseline"/>
              <w:rPr>
                <w:color w:val="auto"/>
                <w:sz w:val="21"/>
                <w:szCs w:val="21"/>
              </w:rPr>
            </w:pPr>
            <w:r>
              <w:rPr>
                <w:color w:val="auto"/>
                <w:sz w:val="21"/>
                <w:szCs w:val="21"/>
              </w:rPr>
              <w:t>/</w:t>
            </w:r>
          </w:p>
        </w:tc>
        <w:tc>
          <w:tcPr>
            <w:tcW w:w="3167" w:type="dxa"/>
            <w:vMerge w:val="restart"/>
            <w:vAlign w:val="center"/>
          </w:tcPr>
          <w:p>
            <w:pPr>
              <w:autoSpaceDE w:val="0"/>
              <w:autoSpaceDN w:val="0"/>
              <w:jc w:val="center"/>
              <w:textAlignment w:val="baseline"/>
              <w:rPr>
                <w:color w:val="auto"/>
                <w:sz w:val="21"/>
                <w:szCs w:val="21"/>
              </w:rPr>
            </w:pPr>
            <w:r>
              <w:rPr>
                <w:color w:val="auto"/>
                <w:sz w:val="21"/>
                <w:szCs w:val="21"/>
              </w:rPr>
              <w:t>《恶臭污染物排放标准》（GB14554-93）厂界标准</w:t>
            </w:r>
          </w:p>
        </w:tc>
        <w:tc>
          <w:tcPr>
            <w:tcW w:w="1365" w:type="dxa"/>
            <w:vAlign w:val="center"/>
          </w:tcPr>
          <w:p>
            <w:pPr>
              <w:autoSpaceDE w:val="0"/>
              <w:autoSpaceDN w:val="0"/>
              <w:jc w:val="center"/>
              <w:textAlignment w:val="baseline"/>
              <w:rPr>
                <w:color w:val="auto"/>
                <w:sz w:val="21"/>
                <w:szCs w:val="21"/>
              </w:rPr>
            </w:pPr>
            <w:r>
              <w:rPr>
                <w:color w:val="auto"/>
                <w:sz w:val="21"/>
                <w:szCs w:val="21"/>
              </w:rPr>
              <w:t>1.5</w:t>
            </w:r>
          </w:p>
        </w:tc>
        <w:tc>
          <w:tcPr>
            <w:tcW w:w="1202" w:type="dxa"/>
            <w:vAlign w:val="center"/>
          </w:tcPr>
          <w:p>
            <w:pPr>
              <w:jc w:val="center"/>
              <w:rPr>
                <w:color w:val="auto"/>
                <w:sz w:val="21"/>
                <w:szCs w:val="21"/>
              </w:rPr>
            </w:pPr>
            <w:r>
              <w:rPr>
                <w:rFonts w:hint="eastAsia"/>
                <w:color w:val="auto"/>
                <w:sz w:val="21"/>
                <w:szCs w:val="21"/>
              </w:rPr>
              <w:t>0.0</w:t>
            </w:r>
            <w:r>
              <w:rPr>
                <w:rFonts w:hint="eastAsia"/>
                <w:color w:val="auto"/>
                <w:sz w:val="21"/>
                <w:szCs w:val="21"/>
                <w:lang w:val="en-US" w:eastAsia="zh-CN"/>
              </w:rPr>
              <w:t>052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460" w:type="dxa"/>
            <w:vAlign w:val="center"/>
          </w:tcPr>
          <w:p>
            <w:pPr>
              <w:autoSpaceDE w:val="0"/>
              <w:autoSpaceDN w:val="0"/>
              <w:jc w:val="center"/>
              <w:textAlignment w:val="baseline"/>
              <w:rPr>
                <w:color w:val="auto"/>
                <w:sz w:val="21"/>
                <w:szCs w:val="21"/>
              </w:rPr>
            </w:pPr>
            <w:r>
              <w:rPr>
                <w:color w:val="auto"/>
                <w:sz w:val="21"/>
                <w:szCs w:val="21"/>
              </w:rPr>
              <w:t>5</w:t>
            </w:r>
          </w:p>
        </w:tc>
        <w:tc>
          <w:tcPr>
            <w:tcW w:w="1003" w:type="dxa"/>
            <w:vMerge w:val="continue"/>
            <w:vAlign w:val="center"/>
          </w:tcPr>
          <w:p>
            <w:pPr>
              <w:autoSpaceDE w:val="0"/>
              <w:autoSpaceDN w:val="0"/>
              <w:jc w:val="center"/>
              <w:textAlignment w:val="baseline"/>
              <w:rPr>
                <w:color w:val="auto"/>
                <w:sz w:val="21"/>
                <w:szCs w:val="21"/>
              </w:rPr>
            </w:pPr>
          </w:p>
        </w:tc>
        <w:tc>
          <w:tcPr>
            <w:tcW w:w="905" w:type="dxa"/>
            <w:vAlign w:val="center"/>
          </w:tcPr>
          <w:p>
            <w:pPr>
              <w:autoSpaceDE w:val="0"/>
              <w:autoSpaceDN w:val="0"/>
              <w:jc w:val="center"/>
              <w:textAlignment w:val="baseline"/>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1185" w:type="dxa"/>
            <w:vAlign w:val="center"/>
          </w:tcPr>
          <w:p>
            <w:pPr>
              <w:autoSpaceDE w:val="0"/>
              <w:autoSpaceDN w:val="0"/>
              <w:jc w:val="center"/>
              <w:textAlignment w:val="baseline"/>
              <w:rPr>
                <w:color w:val="auto"/>
                <w:sz w:val="21"/>
                <w:szCs w:val="21"/>
              </w:rPr>
            </w:pPr>
            <w:r>
              <w:rPr>
                <w:color w:val="auto"/>
                <w:sz w:val="21"/>
                <w:szCs w:val="21"/>
              </w:rPr>
              <w:t>/</w:t>
            </w:r>
          </w:p>
        </w:tc>
        <w:tc>
          <w:tcPr>
            <w:tcW w:w="3167" w:type="dxa"/>
            <w:vMerge w:val="continue"/>
            <w:vAlign w:val="center"/>
          </w:tcPr>
          <w:p>
            <w:pPr>
              <w:autoSpaceDE w:val="0"/>
              <w:autoSpaceDN w:val="0"/>
              <w:jc w:val="center"/>
              <w:textAlignment w:val="baseline"/>
              <w:rPr>
                <w:color w:val="auto"/>
                <w:sz w:val="21"/>
                <w:szCs w:val="21"/>
              </w:rPr>
            </w:pPr>
          </w:p>
        </w:tc>
        <w:tc>
          <w:tcPr>
            <w:tcW w:w="1365" w:type="dxa"/>
            <w:vAlign w:val="center"/>
          </w:tcPr>
          <w:p>
            <w:pPr>
              <w:autoSpaceDE w:val="0"/>
              <w:autoSpaceDN w:val="0"/>
              <w:jc w:val="center"/>
              <w:textAlignment w:val="baseline"/>
              <w:rPr>
                <w:color w:val="auto"/>
                <w:sz w:val="21"/>
                <w:szCs w:val="21"/>
              </w:rPr>
            </w:pPr>
            <w:r>
              <w:rPr>
                <w:color w:val="auto"/>
                <w:sz w:val="21"/>
                <w:szCs w:val="21"/>
              </w:rPr>
              <w:t>0.06</w:t>
            </w:r>
          </w:p>
        </w:tc>
        <w:tc>
          <w:tcPr>
            <w:tcW w:w="1202" w:type="dxa"/>
            <w:vAlign w:val="center"/>
          </w:tcPr>
          <w:p>
            <w:pPr>
              <w:jc w:val="center"/>
              <w:rPr>
                <w:color w:val="auto"/>
                <w:sz w:val="21"/>
                <w:szCs w:val="21"/>
              </w:rPr>
            </w:pPr>
            <w:r>
              <w:rPr>
                <w:rFonts w:hint="eastAsia"/>
                <w:color w:val="auto"/>
                <w:sz w:val="21"/>
                <w:szCs w:val="21"/>
              </w:rPr>
              <w:t>0.00</w:t>
            </w:r>
            <w:r>
              <w:rPr>
                <w:rFonts w:hint="eastAsia"/>
                <w:color w:val="auto"/>
                <w:sz w:val="21"/>
                <w:szCs w:val="21"/>
                <w:lang w:val="en-US" w:eastAsia="zh-CN"/>
              </w:rPr>
              <w:t>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368" w:type="dxa"/>
            <w:gridSpan w:val="3"/>
            <w:vMerge w:val="restart"/>
            <w:vAlign w:val="center"/>
          </w:tcPr>
          <w:p>
            <w:pPr>
              <w:autoSpaceDE w:val="0"/>
              <w:autoSpaceDN w:val="0"/>
              <w:jc w:val="center"/>
              <w:textAlignment w:val="baseline"/>
              <w:rPr>
                <w:color w:val="auto"/>
                <w:sz w:val="21"/>
                <w:szCs w:val="21"/>
              </w:rPr>
            </w:pPr>
            <w:r>
              <w:rPr>
                <w:color w:val="auto"/>
                <w:sz w:val="21"/>
                <w:szCs w:val="21"/>
              </w:rPr>
              <w:t>无组织排放总计</w:t>
            </w:r>
          </w:p>
        </w:tc>
        <w:tc>
          <w:tcPr>
            <w:tcW w:w="4352" w:type="dxa"/>
            <w:gridSpan w:val="2"/>
            <w:vAlign w:val="center"/>
          </w:tcPr>
          <w:p>
            <w:pPr>
              <w:autoSpaceDE w:val="0"/>
              <w:autoSpaceDN w:val="0"/>
              <w:jc w:val="center"/>
              <w:textAlignment w:val="baseline"/>
              <w:rPr>
                <w:color w:val="auto"/>
                <w:sz w:val="21"/>
                <w:szCs w:val="21"/>
              </w:rPr>
            </w:pPr>
            <w:r>
              <w:rPr>
                <w:rFonts w:hint="eastAsia"/>
                <w:color w:val="auto"/>
                <w:sz w:val="21"/>
                <w:szCs w:val="21"/>
              </w:rPr>
              <w:t>颗粒物</w:t>
            </w:r>
          </w:p>
        </w:tc>
        <w:tc>
          <w:tcPr>
            <w:tcW w:w="2567" w:type="dxa"/>
            <w:gridSpan w:val="2"/>
            <w:vAlign w:val="center"/>
          </w:tcPr>
          <w:p>
            <w:pPr>
              <w:autoSpaceDE w:val="0"/>
              <w:autoSpaceDN w:val="0"/>
              <w:jc w:val="center"/>
              <w:textAlignment w:val="baseline"/>
              <w:rPr>
                <w:color w:val="auto"/>
                <w:sz w:val="21"/>
                <w:szCs w:val="21"/>
              </w:rPr>
            </w:pPr>
            <w:r>
              <w:rPr>
                <w:rFonts w:hint="eastAsia"/>
                <w:color w:val="auto"/>
                <w:sz w:val="21"/>
                <w:szCs w:val="21"/>
              </w:rPr>
              <w:t>3.</w:t>
            </w:r>
            <w:r>
              <w:rPr>
                <w:rFonts w:hint="eastAsia"/>
                <w:color w:val="auto"/>
                <w:sz w:val="21"/>
                <w:szCs w:val="21"/>
                <w:lang w:val="en-US" w:eastAsia="zh-CN"/>
              </w:rPr>
              <w:t>501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368" w:type="dxa"/>
            <w:gridSpan w:val="3"/>
            <w:vMerge w:val="continue"/>
            <w:vAlign w:val="center"/>
          </w:tcPr>
          <w:p>
            <w:pPr>
              <w:autoSpaceDE w:val="0"/>
              <w:autoSpaceDN w:val="0"/>
              <w:jc w:val="center"/>
              <w:textAlignment w:val="baseline"/>
              <w:rPr>
                <w:color w:val="auto"/>
                <w:sz w:val="21"/>
                <w:szCs w:val="21"/>
              </w:rPr>
            </w:pPr>
          </w:p>
        </w:tc>
        <w:tc>
          <w:tcPr>
            <w:tcW w:w="4352" w:type="dxa"/>
            <w:gridSpan w:val="2"/>
            <w:vAlign w:val="center"/>
          </w:tcPr>
          <w:p>
            <w:pPr>
              <w:autoSpaceDE w:val="0"/>
              <w:autoSpaceDN w:val="0"/>
              <w:jc w:val="center"/>
              <w:textAlignment w:val="baseline"/>
              <w:rPr>
                <w:color w:val="auto"/>
                <w:sz w:val="21"/>
                <w:szCs w:val="21"/>
              </w:rPr>
            </w:pPr>
            <w:r>
              <w:rPr>
                <w:color w:val="auto"/>
                <w:sz w:val="21"/>
                <w:szCs w:val="21"/>
              </w:rPr>
              <w:t>NH</w:t>
            </w:r>
            <w:r>
              <w:rPr>
                <w:color w:val="auto"/>
                <w:sz w:val="21"/>
                <w:szCs w:val="21"/>
                <w:vertAlign w:val="subscript"/>
              </w:rPr>
              <w:t>3</w:t>
            </w:r>
          </w:p>
        </w:tc>
        <w:tc>
          <w:tcPr>
            <w:tcW w:w="2567" w:type="dxa"/>
            <w:gridSpan w:val="2"/>
            <w:textDirection w:val="lrTb"/>
            <w:vAlign w:val="center"/>
          </w:tcPr>
          <w:p>
            <w:pPr>
              <w:jc w:val="center"/>
              <w:rPr>
                <w:color w:val="auto"/>
                <w:sz w:val="21"/>
                <w:szCs w:val="21"/>
              </w:rPr>
            </w:pPr>
            <w:r>
              <w:rPr>
                <w:rFonts w:hint="eastAsia"/>
                <w:color w:val="auto"/>
                <w:sz w:val="21"/>
                <w:szCs w:val="21"/>
              </w:rPr>
              <w:t>0.0</w:t>
            </w:r>
            <w:r>
              <w:rPr>
                <w:rFonts w:hint="eastAsia"/>
                <w:color w:val="auto"/>
                <w:sz w:val="21"/>
                <w:szCs w:val="21"/>
                <w:lang w:val="en-US" w:eastAsia="zh-CN"/>
              </w:rPr>
              <w:t>052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368" w:type="dxa"/>
            <w:gridSpan w:val="3"/>
            <w:vMerge w:val="continue"/>
            <w:vAlign w:val="center"/>
          </w:tcPr>
          <w:p>
            <w:pPr>
              <w:autoSpaceDE w:val="0"/>
              <w:autoSpaceDN w:val="0"/>
              <w:jc w:val="center"/>
              <w:textAlignment w:val="baseline"/>
              <w:rPr>
                <w:color w:val="auto"/>
                <w:sz w:val="21"/>
                <w:szCs w:val="21"/>
              </w:rPr>
            </w:pPr>
          </w:p>
        </w:tc>
        <w:tc>
          <w:tcPr>
            <w:tcW w:w="4352" w:type="dxa"/>
            <w:gridSpan w:val="2"/>
            <w:vAlign w:val="center"/>
          </w:tcPr>
          <w:p>
            <w:pPr>
              <w:autoSpaceDE w:val="0"/>
              <w:autoSpaceDN w:val="0"/>
              <w:jc w:val="center"/>
              <w:textAlignment w:val="baseline"/>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2567" w:type="dxa"/>
            <w:gridSpan w:val="2"/>
            <w:textDirection w:val="lrTb"/>
            <w:vAlign w:val="center"/>
          </w:tcPr>
          <w:p>
            <w:pPr>
              <w:jc w:val="center"/>
              <w:rPr>
                <w:color w:val="auto"/>
                <w:sz w:val="21"/>
                <w:szCs w:val="21"/>
              </w:rPr>
            </w:pPr>
            <w:r>
              <w:rPr>
                <w:rFonts w:hint="eastAsia"/>
                <w:color w:val="auto"/>
                <w:sz w:val="21"/>
                <w:szCs w:val="21"/>
              </w:rPr>
              <w:t>0.00</w:t>
            </w:r>
            <w:r>
              <w:rPr>
                <w:rFonts w:hint="eastAsia"/>
                <w:color w:val="auto"/>
                <w:sz w:val="21"/>
                <w:szCs w:val="21"/>
                <w:lang w:val="en-US" w:eastAsia="zh-CN"/>
              </w:rPr>
              <w:t>21</w:t>
            </w:r>
          </w:p>
        </w:tc>
      </w:tr>
    </w:tbl>
    <w:p>
      <w:pPr>
        <w:tabs>
          <w:tab w:val="left" w:pos="705"/>
        </w:tabs>
        <w:rPr>
          <w:color w:val="auto"/>
        </w:rPr>
      </w:pPr>
    </w:p>
    <w:p>
      <w:pPr>
        <w:spacing w:line="360" w:lineRule="auto"/>
        <w:rPr>
          <w:color w:val="auto"/>
        </w:rPr>
      </w:pPr>
      <w:r>
        <w:rPr>
          <w:rFonts w:hint="eastAsia"/>
          <w:color w:val="auto"/>
        </w:rPr>
        <w:t>二、本项目</w:t>
      </w:r>
      <w:r>
        <w:rPr>
          <w:color w:val="auto"/>
        </w:rPr>
        <w:t>大气污染物年排放量核算</w:t>
      </w:r>
    </w:p>
    <w:p>
      <w:pPr>
        <w:spacing w:line="360" w:lineRule="auto"/>
        <w:jc w:val="center"/>
        <w:rPr>
          <w:b/>
          <w:color w:val="auto"/>
        </w:rPr>
      </w:pPr>
      <w:r>
        <w:rPr>
          <w:b/>
          <w:color w:val="auto"/>
        </w:rPr>
        <w:t>表</w:t>
      </w:r>
      <w:r>
        <w:rPr>
          <w:rFonts w:hint="eastAsia"/>
          <w:b/>
          <w:color w:val="auto"/>
        </w:rPr>
        <w:t>5.2-4</w:t>
      </w:r>
      <w:r>
        <w:rPr>
          <w:b/>
          <w:color w:val="auto"/>
        </w:rPr>
        <w:t xml:space="preserve">  大气污染物年排放量核算表</w:t>
      </w:r>
    </w:p>
    <w:tbl>
      <w:tblPr>
        <w:tblStyle w:val="54"/>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95"/>
        <w:gridCol w:w="3095"/>
        <w:gridCol w:w="30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3095" w:type="dxa"/>
            <w:vAlign w:val="center"/>
          </w:tcPr>
          <w:p>
            <w:pPr>
              <w:autoSpaceDE w:val="0"/>
              <w:autoSpaceDN w:val="0"/>
              <w:jc w:val="center"/>
              <w:textAlignment w:val="baseline"/>
              <w:rPr>
                <w:b/>
                <w:color w:val="auto"/>
                <w:sz w:val="21"/>
                <w:szCs w:val="21"/>
              </w:rPr>
            </w:pPr>
            <w:r>
              <w:rPr>
                <w:b/>
                <w:color w:val="auto"/>
                <w:sz w:val="21"/>
                <w:szCs w:val="21"/>
              </w:rPr>
              <w:t>序号</w:t>
            </w:r>
          </w:p>
        </w:tc>
        <w:tc>
          <w:tcPr>
            <w:tcW w:w="3095" w:type="dxa"/>
            <w:vAlign w:val="center"/>
          </w:tcPr>
          <w:p>
            <w:pPr>
              <w:autoSpaceDE w:val="0"/>
              <w:autoSpaceDN w:val="0"/>
              <w:jc w:val="center"/>
              <w:textAlignment w:val="baseline"/>
              <w:rPr>
                <w:b/>
                <w:color w:val="auto"/>
                <w:sz w:val="21"/>
                <w:szCs w:val="21"/>
              </w:rPr>
            </w:pPr>
            <w:r>
              <w:rPr>
                <w:b/>
                <w:color w:val="auto"/>
                <w:sz w:val="21"/>
                <w:szCs w:val="21"/>
              </w:rPr>
              <w:t>污染物</w:t>
            </w:r>
          </w:p>
        </w:tc>
        <w:tc>
          <w:tcPr>
            <w:tcW w:w="3096" w:type="dxa"/>
            <w:vAlign w:val="center"/>
          </w:tcPr>
          <w:p>
            <w:pPr>
              <w:autoSpaceDE w:val="0"/>
              <w:autoSpaceDN w:val="0"/>
              <w:jc w:val="center"/>
              <w:textAlignment w:val="baseline"/>
              <w:rPr>
                <w:b/>
                <w:color w:val="auto"/>
                <w:sz w:val="21"/>
                <w:szCs w:val="21"/>
              </w:rPr>
            </w:pPr>
            <w:r>
              <w:rPr>
                <w:b/>
                <w:color w:val="auto"/>
                <w:sz w:val="21"/>
                <w:szCs w:val="21"/>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095" w:type="dxa"/>
            <w:vAlign w:val="center"/>
          </w:tcPr>
          <w:p>
            <w:pPr>
              <w:autoSpaceDE w:val="0"/>
              <w:autoSpaceDN w:val="0"/>
              <w:jc w:val="center"/>
              <w:textAlignment w:val="baseline"/>
              <w:rPr>
                <w:color w:val="auto"/>
                <w:sz w:val="21"/>
                <w:szCs w:val="21"/>
              </w:rPr>
            </w:pPr>
            <w:r>
              <w:rPr>
                <w:color w:val="auto"/>
                <w:sz w:val="21"/>
                <w:szCs w:val="21"/>
              </w:rPr>
              <w:t>1</w:t>
            </w:r>
          </w:p>
        </w:tc>
        <w:tc>
          <w:tcPr>
            <w:tcW w:w="3095" w:type="dxa"/>
            <w:vAlign w:val="center"/>
          </w:tcPr>
          <w:p>
            <w:pPr>
              <w:autoSpaceDE w:val="0"/>
              <w:autoSpaceDN w:val="0"/>
              <w:jc w:val="center"/>
              <w:textAlignment w:val="baseline"/>
              <w:rPr>
                <w:color w:val="auto"/>
                <w:sz w:val="21"/>
                <w:szCs w:val="21"/>
              </w:rPr>
            </w:pPr>
            <w:r>
              <w:rPr>
                <w:rFonts w:eastAsiaTheme="minorEastAsia"/>
                <w:color w:val="auto"/>
                <w:sz w:val="21"/>
                <w:szCs w:val="21"/>
              </w:rPr>
              <w:t>H</w:t>
            </w:r>
            <w:r>
              <w:rPr>
                <w:rFonts w:eastAsiaTheme="minorEastAsia"/>
                <w:color w:val="auto"/>
                <w:sz w:val="21"/>
                <w:szCs w:val="21"/>
                <w:vertAlign w:val="subscript"/>
              </w:rPr>
              <w:t>2</w:t>
            </w:r>
            <w:r>
              <w:rPr>
                <w:rFonts w:eastAsiaTheme="minorEastAsia"/>
                <w:color w:val="auto"/>
                <w:sz w:val="21"/>
                <w:szCs w:val="21"/>
              </w:rPr>
              <w:t>S</w:t>
            </w:r>
          </w:p>
        </w:tc>
        <w:tc>
          <w:tcPr>
            <w:tcW w:w="3096" w:type="dxa"/>
            <w:textDirection w:val="lrTb"/>
            <w:vAlign w:val="center"/>
          </w:tcPr>
          <w:p>
            <w:pPr>
              <w:jc w:val="center"/>
              <w:rPr>
                <w:rFonts w:hint="eastAsia"/>
                <w:color w:val="auto"/>
                <w:sz w:val="21"/>
                <w:szCs w:val="21"/>
              </w:rPr>
            </w:pPr>
            <w:r>
              <w:rPr>
                <w:rFonts w:hint="eastAsia"/>
                <w:color w:val="auto"/>
                <w:sz w:val="21"/>
                <w:szCs w:val="21"/>
                <w:lang w:val="en-US" w:eastAsia="zh-CN"/>
              </w:rPr>
              <w:t>0.0161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095" w:type="dxa"/>
            <w:vAlign w:val="center"/>
          </w:tcPr>
          <w:p>
            <w:pPr>
              <w:autoSpaceDE w:val="0"/>
              <w:autoSpaceDN w:val="0"/>
              <w:jc w:val="center"/>
              <w:textAlignment w:val="baseline"/>
              <w:rPr>
                <w:color w:val="auto"/>
                <w:sz w:val="21"/>
                <w:szCs w:val="21"/>
              </w:rPr>
            </w:pPr>
            <w:r>
              <w:rPr>
                <w:color w:val="auto"/>
                <w:sz w:val="21"/>
                <w:szCs w:val="21"/>
              </w:rPr>
              <w:t>2</w:t>
            </w:r>
          </w:p>
        </w:tc>
        <w:tc>
          <w:tcPr>
            <w:tcW w:w="3095" w:type="dxa"/>
            <w:vAlign w:val="center"/>
          </w:tcPr>
          <w:p>
            <w:pPr>
              <w:autoSpaceDE w:val="0"/>
              <w:autoSpaceDN w:val="0"/>
              <w:jc w:val="center"/>
              <w:textAlignment w:val="baseline"/>
              <w:rPr>
                <w:color w:val="auto"/>
                <w:sz w:val="21"/>
                <w:szCs w:val="21"/>
              </w:rPr>
            </w:pPr>
            <w:r>
              <w:rPr>
                <w:rFonts w:eastAsiaTheme="minorEastAsia"/>
                <w:color w:val="auto"/>
                <w:sz w:val="21"/>
                <w:szCs w:val="21"/>
              </w:rPr>
              <w:t>NH</w:t>
            </w:r>
            <w:r>
              <w:rPr>
                <w:rFonts w:eastAsiaTheme="minorEastAsia"/>
                <w:color w:val="auto"/>
                <w:sz w:val="21"/>
                <w:szCs w:val="21"/>
                <w:vertAlign w:val="subscript"/>
              </w:rPr>
              <w:t>3</w:t>
            </w:r>
          </w:p>
        </w:tc>
        <w:tc>
          <w:tcPr>
            <w:tcW w:w="3096" w:type="dxa"/>
            <w:textDirection w:val="lrTb"/>
            <w:vAlign w:val="center"/>
          </w:tcPr>
          <w:p>
            <w:pPr>
              <w:jc w:val="center"/>
              <w:rPr>
                <w:rFonts w:hint="eastAsia"/>
                <w:color w:val="auto"/>
                <w:sz w:val="21"/>
                <w:szCs w:val="21"/>
              </w:rPr>
            </w:pPr>
            <w:r>
              <w:rPr>
                <w:rFonts w:hint="eastAsia"/>
                <w:color w:val="auto"/>
                <w:sz w:val="21"/>
                <w:szCs w:val="21"/>
                <w:lang w:val="en-US" w:eastAsia="zh-CN"/>
              </w:rPr>
              <w:t>0.0302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095" w:type="dxa"/>
            <w:vAlign w:val="center"/>
          </w:tcPr>
          <w:p>
            <w:pPr>
              <w:autoSpaceDE w:val="0"/>
              <w:autoSpaceDN w:val="0"/>
              <w:jc w:val="center"/>
              <w:textAlignment w:val="baseline"/>
              <w:rPr>
                <w:rFonts w:hint="eastAsia" w:eastAsia="宋体"/>
                <w:color w:val="auto"/>
                <w:sz w:val="21"/>
                <w:szCs w:val="21"/>
                <w:lang w:val="en-US" w:eastAsia="zh-CN"/>
              </w:rPr>
            </w:pPr>
            <w:r>
              <w:rPr>
                <w:rFonts w:hint="eastAsia"/>
                <w:color w:val="auto"/>
                <w:sz w:val="21"/>
                <w:szCs w:val="21"/>
                <w:lang w:val="en-US" w:eastAsia="zh-CN"/>
              </w:rPr>
              <w:t>3</w:t>
            </w:r>
          </w:p>
        </w:tc>
        <w:tc>
          <w:tcPr>
            <w:tcW w:w="3095" w:type="dxa"/>
            <w:vAlign w:val="center"/>
          </w:tcPr>
          <w:p>
            <w:pPr>
              <w:autoSpaceDE w:val="0"/>
              <w:autoSpaceDN w:val="0"/>
              <w:jc w:val="center"/>
              <w:textAlignment w:val="baseline"/>
              <w:rPr>
                <w:rFonts w:hint="eastAsia" w:eastAsiaTheme="minorEastAsia"/>
                <w:color w:val="auto"/>
                <w:sz w:val="21"/>
                <w:szCs w:val="21"/>
                <w:lang w:val="en-US" w:eastAsia="zh-CN"/>
              </w:rPr>
            </w:pPr>
            <w:r>
              <w:rPr>
                <w:rFonts w:hint="eastAsia" w:eastAsiaTheme="minorEastAsia"/>
                <w:color w:val="auto"/>
                <w:sz w:val="21"/>
                <w:szCs w:val="21"/>
                <w:lang w:val="en-US" w:eastAsia="zh-CN"/>
              </w:rPr>
              <w:t>臭气</w:t>
            </w:r>
          </w:p>
        </w:tc>
        <w:tc>
          <w:tcPr>
            <w:tcW w:w="3096" w:type="dxa"/>
            <w:vAlign w:val="center"/>
          </w:tcPr>
          <w:p>
            <w:pPr>
              <w:autoSpaceDE w:val="0"/>
              <w:autoSpaceDN w:val="0"/>
              <w:jc w:val="center"/>
              <w:textAlignment w:val="baseline"/>
              <w:rPr>
                <w:rFonts w:hint="eastAsia" w:eastAsia="宋体"/>
                <w:color w:val="auto"/>
                <w:sz w:val="21"/>
                <w:szCs w:val="21"/>
                <w:lang w:val="en-US" w:eastAsia="zh-CN"/>
              </w:rPr>
            </w:pPr>
            <w:r>
              <w:rPr>
                <w:rFonts w:hint="eastAsia"/>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3095" w:type="dxa"/>
            <w:vAlign w:val="center"/>
          </w:tcPr>
          <w:p>
            <w:pPr>
              <w:autoSpaceDE w:val="0"/>
              <w:autoSpaceDN w:val="0"/>
              <w:jc w:val="center"/>
              <w:textAlignment w:val="baseline"/>
              <w:rPr>
                <w:color w:val="auto"/>
                <w:sz w:val="21"/>
                <w:szCs w:val="21"/>
              </w:rPr>
            </w:pPr>
            <w:r>
              <w:rPr>
                <w:color w:val="auto"/>
                <w:sz w:val="21"/>
                <w:szCs w:val="21"/>
              </w:rPr>
              <w:t>4</w:t>
            </w:r>
          </w:p>
        </w:tc>
        <w:tc>
          <w:tcPr>
            <w:tcW w:w="3095" w:type="dxa"/>
            <w:vAlign w:val="center"/>
          </w:tcPr>
          <w:p>
            <w:pPr>
              <w:autoSpaceDE w:val="0"/>
              <w:autoSpaceDN w:val="0"/>
              <w:jc w:val="center"/>
              <w:textAlignment w:val="baseline"/>
              <w:rPr>
                <w:color w:val="auto"/>
                <w:sz w:val="21"/>
                <w:szCs w:val="21"/>
              </w:rPr>
            </w:pPr>
            <w:r>
              <w:rPr>
                <w:color w:val="auto"/>
                <w:sz w:val="21"/>
                <w:szCs w:val="21"/>
              </w:rPr>
              <w:t>颗粒物</w:t>
            </w:r>
          </w:p>
        </w:tc>
        <w:tc>
          <w:tcPr>
            <w:tcW w:w="3096" w:type="dxa"/>
            <w:vAlign w:val="center"/>
          </w:tcPr>
          <w:p>
            <w:pPr>
              <w:autoSpaceDE w:val="0"/>
              <w:autoSpaceDN w:val="0"/>
              <w:jc w:val="center"/>
              <w:textAlignment w:val="baseline"/>
              <w:rPr>
                <w:color w:val="auto"/>
                <w:sz w:val="21"/>
                <w:szCs w:val="21"/>
              </w:rPr>
            </w:pPr>
            <w:r>
              <w:rPr>
                <w:rFonts w:hint="eastAsia"/>
                <w:color w:val="auto"/>
                <w:sz w:val="21"/>
                <w:szCs w:val="21"/>
              </w:rPr>
              <w:t>3.</w:t>
            </w:r>
            <w:r>
              <w:rPr>
                <w:rFonts w:hint="eastAsia"/>
                <w:color w:val="auto"/>
                <w:sz w:val="21"/>
                <w:szCs w:val="21"/>
                <w:lang w:val="en-US" w:eastAsia="zh-CN"/>
              </w:rPr>
              <w:t>501</w:t>
            </w:r>
          </w:p>
        </w:tc>
      </w:tr>
    </w:tbl>
    <w:p>
      <w:pPr>
        <w:spacing w:line="360" w:lineRule="auto"/>
        <w:rPr>
          <w:b/>
          <w:color w:val="auto"/>
        </w:rPr>
      </w:pPr>
      <w:r>
        <w:rPr>
          <w:b/>
          <w:color w:val="auto"/>
        </w:rPr>
        <w:t>5.2.1.</w:t>
      </w:r>
      <w:r>
        <w:rPr>
          <w:rFonts w:hint="eastAsia"/>
          <w:b/>
          <w:color w:val="auto"/>
        </w:rPr>
        <w:t>3非正常排放量核算</w:t>
      </w:r>
    </w:p>
    <w:p>
      <w:pPr>
        <w:spacing w:line="360" w:lineRule="auto"/>
        <w:ind w:firstLine="480"/>
        <w:rPr>
          <w:color w:val="auto"/>
        </w:rPr>
      </w:pPr>
      <w:r>
        <w:rPr>
          <w:rFonts w:hint="eastAsia"/>
          <w:color w:val="auto"/>
        </w:rPr>
        <w:t>本项目非正常排放主要是废气处理设施故障时（处理效率按0计）大气污染物排放量，具体见下表。</w:t>
      </w:r>
    </w:p>
    <w:p>
      <w:pPr>
        <w:spacing w:line="360" w:lineRule="auto"/>
        <w:ind w:firstLine="480"/>
        <w:jc w:val="center"/>
        <w:rPr>
          <w:b/>
          <w:color w:val="auto"/>
        </w:rPr>
      </w:pPr>
      <w:r>
        <w:rPr>
          <w:b/>
          <w:color w:val="auto"/>
        </w:rPr>
        <w:t>表5.</w:t>
      </w:r>
      <w:r>
        <w:rPr>
          <w:rFonts w:hint="eastAsia"/>
          <w:b/>
          <w:color w:val="auto"/>
        </w:rPr>
        <w:t>2</w:t>
      </w:r>
      <w:r>
        <w:rPr>
          <w:b/>
          <w:color w:val="auto"/>
        </w:rPr>
        <w:t xml:space="preserve">-5  </w:t>
      </w:r>
      <w:r>
        <w:rPr>
          <w:rFonts w:hint="eastAsia"/>
          <w:b/>
          <w:color w:val="auto"/>
        </w:rPr>
        <w:t>本项目</w:t>
      </w:r>
      <w:r>
        <w:rPr>
          <w:b/>
          <w:color w:val="auto"/>
        </w:rPr>
        <w:t>污染源非正常排放量核算</w:t>
      </w:r>
    </w:p>
    <w:tbl>
      <w:tblPr>
        <w:tblStyle w:val="54"/>
        <w:tblW w:w="9287"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3"/>
        <w:gridCol w:w="1217"/>
        <w:gridCol w:w="698"/>
        <w:gridCol w:w="957"/>
        <w:gridCol w:w="860"/>
        <w:gridCol w:w="884"/>
        <w:gridCol w:w="1042"/>
        <w:gridCol w:w="1042"/>
        <w:gridCol w:w="1042"/>
        <w:gridCol w:w="10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4" w:hRule="atLeast"/>
          <w:tblHeader/>
          <w:jc w:val="center"/>
        </w:trPr>
        <w:tc>
          <w:tcPr>
            <w:tcW w:w="503" w:type="dxa"/>
            <w:vAlign w:val="center"/>
          </w:tcPr>
          <w:p>
            <w:pPr>
              <w:autoSpaceDE w:val="0"/>
              <w:autoSpaceDN w:val="0"/>
              <w:jc w:val="center"/>
              <w:textAlignment w:val="baseline"/>
              <w:rPr>
                <w:b/>
                <w:color w:val="auto"/>
                <w:sz w:val="21"/>
                <w:szCs w:val="21"/>
              </w:rPr>
            </w:pPr>
            <w:r>
              <w:rPr>
                <w:b/>
                <w:color w:val="auto"/>
                <w:sz w:val="21"/>
                <w:szCs w:val="21"/>
              </w:rPr>
              <w:t>序号</w:t>
            </w:r>
          </w:p>
        </w:tc>
        <w:tc>
          <w:tcPr>
            <w:tcW w:w="1915" w:type="dxa"/>
            <w:gridSpan w:val="2"/>
            <w:vAlign w:val="center"/>
          </w:tcPr>
          <w:p>
            <w:pPr>
              <w:autoSpaceDE w:val="0"/>
              <w:autoSpaceDN w:val="0"/>
              <w:jc w:val="center"/>
              <w:textAlignment w:val="baseline"/>
              <w:rPr>
                <w:b/>
                <w:color w:val="auto"/>
                <w:sz w:val="21"/>
                <w:szCs w:val="21"/>
              </w:rPr>
            </w:pPr>
            <w:r>
              <w:rPr>
                <w:b/>
                <w:color w:val="auto"/>
                <w:sz w:val="21"/>
                <w:szCs w:val="21"/>
              </w:rPr>
              <w:t>污染源</w:t>
            </w:r>
          </w:p>
        </w:tc>
        <w:tc>
          <w:tcPr>
            <w:tcW w:w="957" w:type="dxa"/>
            <w:vAlign w:val="center"/>
          </w:tcPr>
          <w:p>
            <w:pPr>
              <w:autoSpaceDE w:val="0"/>
              <w:autoSpaceDN w:val="0"/>
              <w:jc w:val="center"/>
              <w:textAlignment w:val="baseline"/>
              <w:rPr>
                <w:b/>
                <w:color w:val="auto"/>
                <w:sz w:val="21"/>
                <w:szCs w:val="21"/>
              </w:rPr>
            </w:pPr>
            <w:r>
              <w:rPr>
                <w:b/>
                <w:color w:val="auto"/>
                <w:sz w:val="21"/>
                <w:szCs w:val="21"/>
              </w:rPr>
              <w:t>非正常排放原因</w:t>
            </w:r>
          </w:p>
        </w:tc>
        <w:tc>
          <w:tcPr>
            <w:tcW w:w="860" w:type="dxa"/>
            <w:vAlign w:val="center"/>
          </w:tcPr>
          <w:p>
            <w:pPr>
              <w:autoSpaceDE w:val="0"/>
              <w:autoSpaceDN w:val="0"/>
              <w:jc w:val="center"/>
              <w:textAlignment w:val="baseline"/>
              <w:rPr>
                <w:b/>
                <w:color w:val="auto"/>
                <w:sz w:val="21"/>
                <w:szCs w:val="21"/>
              </w:rPr>
            </w:pPr>
            <w:r>
              <w:rPr>
                <w:b/>
                <w:color w:val="auto"/>
                <w:sz w:val="21"/>
                <w:szCs w:val="21"/>
              </w:rPr>
              <w:t>污染物</w:t>
            </w:r>
          </w:p>
        </w:tc>
        <w:tc>
          <w:tcPr>
            <w:tcW w:w="884" w:type="dxa"/>
            <w:vAlign w:val="center"/>
          </w:tcPr>
          <w:p>
            <w:pPr>
              <w:autoSpaceDE w:val="0"/>
              <w:autoSpaceDN w:val="0"/>
              <w:jc w:val="center"/>
              <w:textAlignment w:val="baseline"/>
              <w:rPr>
                <w:b/>
                <w:color w:val="auto"/>
                <w:sz w:val="21"/>
                <w:szCs w:val="21"/>
              </w:rPr>
            </w:pPr>
            <w:r>
              <w:rPr>
                <w:b/>
                <w:color w:val="auto"/>
                <w:sz w:val="21"/>
                <w:szCs w:val="21"/>
              </w:rPr>
              <w:t>非正常排放浓度（mg/m</w:t>
            </w:r>
            <w:r>
              <w:rPr>
                <w:b/>
                <w:color w:val="auto"/>
                <w:sz w:val="21"/>
                <w:szCs w:val="21"/>
                <w:vertAlign w:val="superscript"/>
              </w:rPr>
              <w:t>3</w:t>
            </w:r>
            <w:r>
              <w:rPr>
                <w:b/>
                <w:color w:val="auto"/>
                <w:sz w:val="21"/>
                <w:szCs w:val="21"/>
              </w:rPr>
              <w:t>）</w:t>
            </w:r>
          </w:p>
        </w:tc>
        <w:tc>
          <w:tcPr>
            <w:tcW w:w="1042" w:type="dxa"/>
            <w:vAlign w:val="center"/>
          </w:tcPr>
          <w:p>
            <w:pPr>
              <w:autoSpaceDE w:val="0"/>
              <w:autoSpaceDN w:val="0"/>
              <w:jc w:val="center"/>
              <w:textAlignment w:val="baseline"/>
              <w:rPr>
                <w:b/>
                <w:color w:val="auto"/>
                <w:sz w:val="21"/>
                <w:szCs w:val="21"/>
              </w:rPr>
            </w:pPr>
            <w:r>
              <w:rPr>
                <w:b/>
                <w:color w:val="auto"/>
                <w:sz w:val="21"/>
                <w:szCs w:val="21"/>
              </w:rPr>
              <w:t>非正常排放速率（kg/h）</w:t>
            </w:r>
          </w:p>
        </w:tc>
        <w:tc>
          <w:tcPr>
            <w:tcW w:w="1042" w:type="dxa"/>
            <w:vAlign w:val="center"/>
          </w:tcPr>
          <w:p>
            <w:pPr>
              <w:autoSpaceDE w:val="0"/>
              <w:autoSpaceDN w:val="0"/>
              <w:jc w:val="center"/>
              <w:textAlignment w:val="baseline"/>
              <w:rPr>
                <w:b/>
                <w:color w:val="auto"/>
                <w:sz w:val="21"/>
                <w:szCs w:val="21"/>
              </w:rPr>
            </w:pPr>
            <w:r>
              <w:rPr>
                <w:rFonts w:hint="eastAsia"/>
                <w:b/>
                <w:color w:val="auto"/>
                <w:sz w:val="21"/>
                <w:szCs w:val="21"/>
              </w:rPr>
              <w:t>单次持续时间（h）</w:t>
            </w:r>
          </w:p>
        </w:tc>
        <w:tc>
          <w:tcPr>
            <w:tcW w:w="1042" w:type="dxa"/>
            <w:vAlign w:val="center"/>
          </w:tcPr>
          <w:p>
            <w:pPr>
              <w:autoSpaceDE w:val="0"/>
              <w:autoSpaceDN w:val="0"/>
              <w:jc w:val="center"/>
              <w:textAlignment w:val="baseline"/>
              <w:rPr>
                <w:b/>
                <w:color w:val="auto"/>
                <w:sz w:val="21"/>
                <w:szCs w:val="21"/>
              </w:rPr>
            </w:pPr>
            <w:r>
              <w:rPr>
                <w:rFonts w:hint="eastAsia"/>
                <w:b/>
                <w:color w:val="auto"/>
                <w:sz w:val="21"/>
                <w:szCs w:val="21"/>
              </w:rPr>
              <w:t>年发生频次（次）</w:t>
            </w:r>
          </w:p>
        </w:tc>
        <w:tc>
          <w:tcPr>
            <w:tcW w:w="1042" w:type="dxa"/>
            <w:vAlign w:val="center"/>
          </w:tcPr>
          <w:p>
            <w:pPr>
              <w:autoSpaceDE w:val="0"/>
              <w:autoSpaceDN w:val="0"/>
              <w:jc w:val="center"/>
              <w:textAlignment w:val="baseline"/>
              <w:rPr>
                <w:b/>
                <w:color w:val="auto"/>
                <w:sz w:val="21"/>
                <w:szCs w:val="21"/>
              </w:rPr>
            </w:pPr>
            <w:r>
              <w:rPr>
                <w:rFonts w:hint="eastAsia"/>
                <w:b/>
                <w:color w:val="auto"/>
                <w:sz w:val="21"/>
                <w:szCs w:val="21"/>
              </w:rPr>
              <w:t>应对措施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51" w:hRule="atLeast"/>
          <w:jc w:val="center"/>
        </w:trPr>
        <w:tc>
          <w:tcPr>
            <w:tcW w:w="503" w:type="dxa"/>
            <w:vMerge w:val="restart"/>
            <w:vAlign w:val="center"/>
          </w:tcPr>
          <w:p>
            <w:pPr>
              <w:autoSpaceDE w:val="0"/>
              <w:autoSpaceDN w:val="0"/>
              <w:jc w:val="center"/>
              <w:textAlignment w:val="baseline"/>
              <w:rPr>
                <w:color w:val="auto"/>
                <w:sz w:val="21"/>
                <w:szCs w:val="21"/>
              </w:rPr>
            </w:pPr>
            <w:r>
              <w:rPr>
                <w:rFonts w:hint="eastAsia"/>
                <w:color w:val="auto"/>
                <w:sz w:val="21"/>
                <w:szCs w:val="21"/>
              </w:rPr>
              <w:t>1</w:t>
            </w:r>
          </w:p>
        </w:tc>
        <w:tc>
          <w:tcPr>
            <w:tcW w:w="1217" w:type="dxa"/>
            <w:vMerge w:val="restart"/>
            <w:vAlign w:val="center"/>
          </w:tcPr>
          <w:p>
            <w:pPr>
              <w:autoSpaceDE w:val="0"/>
              <w:autoSpaceDN w:val="0"/>
              <w:jc w:val="center"/>
              <w:textAlignment w:val="baseline"/>
              <w:rPr>
                <w:color w:val="auto"/>
                <w:sz w:val="21"/>
                <w:szCs w:val="21"/>
              </w:rPr>
            </w:pPr>
            <w:r>
              <w:rPr>
                <w:rFonts w:hint="eastAsia"/>
                <w:color w:val="auto"/>
                <w:sz w:val="21"/>
                <w:szCs w:val="21"/>
              </w:rPr>
              <w:t>餐厨垃圾卸料间、接料斗、破碎机、油水分离机等设备、整体车间</w:t>
            </w:r>
          </w:p>
        </w:tc>
        <w:tc>
          <w:tcPr>
            <w:tcW w:w="698" w:type="dxa"/>
            <w:vMerge w:val="restart"/>
            <w:vAlign w:val="center"/>
          </w:tcPr>
          <w:p>
            <w:pPr>
              <w:autoSpaceDE w:val="0"/>
              <w:autoSpaceDN w:val="0"/>
              <w:jc w:val="center"/>
              <w:textAlignment w:val="baseline"/>
              <w:rPr>
                <w:color w:val="auto"/>
                <w:sz w:val="21"/>
                <w:szCs w:val="21"/>
              </w:rPr>
            </w:pPr>
            <w:r>
              <w:rPr>
                <w:rFonts w:hint="eastAsia" w:eastAsiaTheme="minorEastAsia"/>
                <w:color w:val="auto"/>
                <w:sz w:val="21"/>
                <w:szCs w:val="21"/>
              </w:rPr>
              <w:t>FQ-05</w:t>
            </w:r>
          </w:p>
        </w:tc>
        <w:tc>
          <w:tcPr>
            <w:tcW w:w="957" w:type="dxa"/>
            <w:vMerge w:val="restart"/>
            <w:vAlign w:val="center"/>
          </w:tcPr>
          <w:p>
            <w:pPr>
              <w:autoSpaceDE w:val="0"/>
              <w:autoSpaceDN w:val="0"/>
              <w:jc w:val="center"/>
              <w:textAlignment w:val="baseline"/>
              <w:rPr>
                <w:color w:val="auto"/>
                <w:sz w:val="21"/>
                <w:szCs w:val="21"/>
              </w:rPr>
            </w:pPr>
            <w:r>
              <w:rPr>
                <w:rFonts w:hint="eastAsia"/>
                <w:color w:val="auto"/>
                <w:sz w:val="21"/>
                <w:szCs w:val="21"/>
              </w:rPr>
              <w:t>废气处理设施故障</w:t>
            </w:r>
          </w:p>
        </w:tc>
        <w:tc>
          <w:tcPr>
            <w:tcW w:w="860" w:type="dxa"/>
            <w:textDirection w:val="lrTb"/>
            <w:vAlign w:val="center"/>
          </w:tcPr>
          <w:p>
            <w:pPr>
              <w:autoSpaceDE w:val="0"/>
              <w:autoSpaceDN w:val="0"/>
              <w:jc w:val="center"/>
              <w:textAlignment w:val="baseline"/>
              <w:rPr>
                <w:color w:val="auto"/>
                <w:sz w:val="21"/>
                <w:szCs w:val="21"/>
              </w:rPr>
            </w:pPr>
            <w:r>
              <w:rPr>
                <w:rFonts w:eastAsiaTheme="minorEastAsia"/>
                <w:color w:val="auto"/>
                <w:sz w:val="21"/>
                <w:szCs w:val="21"/>
              </w:rPr>
              <w:t>H</w:t>
            </w:r>
            <w:r>
              <w:rPr>
                <w:rFonts w:eastAsiaTheme="minorEastAsia"/>
                <w:color w:val="auto"/>
                <w:sz w:val="21"/>
                <w:szCs w:val="21"/>
                <w:vertAlign w:val="subscript"/>
              </w:rPr>
              <w:t>2</w:t>
            </w:r>
            <w:r>
              <w:rPr>
                <w:rFonts w:eastAsiaTheme="minorEastAsia"/>
                <w:color w:val="auto"/>
                <w:sz w:val="21"/>
                <w:szCs w:val="21"/>
              </w:rPr>
              <w:t>S</w:t>
            </w:r>
          </w:p>
        </w:tc>
        <w:tc>
          <w:tcPr>
            <w:tcW w:w="884" w:type="dxa"/>
            <w:textDirection w:val="lrTb"/>
            <w:vAlign w:val="center"/>
          </w:tcPr>
          <w:p>
            <w:pPr>
              <w:spacing w:line="240" w:lineRule="auto"/>
              <w:jc w:val="center"/>
              <w:rPr>
                <w:color w:val="auto"/>
                <w:sz w:val="21"/>
                <w:szCs w:val="21"/>
              </w:rPr>
            </w:pPr>
            <w:r>
              <w:rPr>
                <w:rFonts w:hint="default" w:ascii="Times New Roman" w:hAnsi="Times New Roman" w:cs="Times New Roman"/>
                <w:color w:val="auto"/>
                <w:sz w:val="21"/>
                <w:szCs w:val="21"/>
                <w:lang w:val="en-US" w:eastAsia="zh-CN"/>
              </w:rPr>
              <w:t>0.214</w:t>
            </w:r>
          </w:p>
        </w:tc>
        <w:tc>
          <w:tcPr>
            <w:tcW w:w="1042" w:type="dxa"/>
            <w:textDirection w:val="lrTb"/>
            <w:vAlign w:val="center"/>
          </w:tcPr>
          <w:p>
            <w:pPr>
              <w:spacing w:line="360" w:lineRule="auto"/>
              <w:jc w:val="center"/>
              <w:rPr>
                <w:color w:val="auto"/>
                <w:sz w:val="21"/>
                <w:szCs w:val="21"/>
              </w:rPr>
            </w:pPr>
            <w:r>
              <w:rPr>
                <w:rFonts w:hint="default" w:ascii="Times New Roman" w:hAnsi="Times New Roman" w:cs="Times New Roman"/>
                <w:color w:val="auto"/>
                <w:sz w:val="21"/>
                <w:szCs w:val="21"/>
              </w:rPr>
              <w:t>0.0</w:t>
            </w:r>
            <w:r>
              <w:rPr>
                <w:rFonts w:hint="default" w:ascii="Times New Roman" w:hAnsi="Times New Roman" w:cs="Times New Roman"/>
                <w:color w:val="auto"/>
                <w:sz w:val="21"/>
                <w:szCs w:val="21"/>
                <w:lang w:val="en-US" w:eastAsia="zh-CN"/>
              </w:rPr>
              <w:t>15</w:t>
            </w:r>
          </w:p>
        </w:tc>
        <w:tc>
          <w:tcPr>
            <w:tcW w:w="1042" w:type="dxa"/>
            <w:vMerge w:val="restart"/>
            <w:vAlign w:val="center"/>
          </w:tcPr>
          <w:p>
            <w:pPr>
              <w:jc w:val="center"/>
              <w:rPr>
                <w:color w:val="auto"/>
                <w:sz w:val="21"/>
                <w:szCs w:val="21"/>
              </w:rPr>
            </w:pPr>
            <w:r>
              <w:rPr>
                <w:color w:val="auto"/>
                <w:sz w:val="21"/>
                <w:szCs w:val="21"/>
              </w:rPr>
              <w:t>20</w:t>
            </w:r>
          </w:p>
        </w:tc>
        <w:tc>
          <w:tcPr>
            <w:tcW w:w="1042" w:type="dxa"/>
            <w:vMerge w:val="restart"/>
            <w:vAlign w:val="center"/>
          </w:tcPr>
          <w:p>
            <w:pPr>
              <w:jc w:val="center"/>
              <w:rPr>
                <w:color w:val="auto"/>
                <w:sz w:val="21"/>
                <w:szCs w:val="21"/>
              </w:rPr>
            </w:pPr>
            <w:r>
              <w:rPr>
                <w:color w:val="auto"/>
                <w:sz w:val="21"/>
                <w:szCs w:val="21"/>
              </w:rPr>
              <w:t>2</w:t>
            </w:r>
          </w:p>
        </w:tc>
        <w:tc>
          <w:tcPr>
            <w:tcW w:w="1042" w:type="dxa"/>
            <w:vMerge w:val="restart"/>
            <w:vAlign w:val="center"/>
          </w:tcPr>
          <w:p>
            <w:pPr>
              <w:jc w:val="center"/>
              <w:rPr>
                <w:color w:val="auto"/>
                <w:sz w:val="21"/>
                <w:szCs w:val="21"/>
              </w:rPr>
            </w:pPr>
            <w:r>
              <w:rPr>
                <w:color w:val="auto"/>
                <w:sz w:val="21"/>
                <w:szCs w:val="21"/>
              </w:rPr>
              <w:t>及时修复废气处理设施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4" w:hRule="atLeast"/>
          <w:jc w:val="center"/>
        </w:trPr>
        <w:tc>
          <w:tcPr>
            <w:tcW w:w="503" w:type="dxa"/>
            <w:vMerge w:val="continue"/>
            <w:vAlign w:val="center"/>
          </w:tcPr>
          <w:p>
            <w:pPr>
              <w:autoSpaceDE w:val="0"/>
              <w:autoSpaceDN w:val="0"/>
              <w:jc w:val="center"/>
              <w:textAlignment w:val="baseline"/>
              <w:rPr>
                <w:color w:val="auto"/>
                <w:sz w:val="21"/>
                <w:szCs w:val="21"/>
              </w:rPr>
            </w:pPr>
          </w:p>
        </w:tc>
        <w:tc>
          <w:tcPr>
            <w:tcW w:w="1217" w:type="dxa"/>
            <w:vMerge w:val="continue"/>
            <w:vAlign w:val="center"/>
          </w:tcPr>
          <w:p>
            <w:pPr>
              <w:autoSpaceDE w:val="0"/>
              <w:autoSpaceDN w:val="0"/>
              <w:jc w:val="center"/>
              <w:textAlignment w:val="baseline"/>
              <w:rPr>
                <w:color w:val="auto"/>
                <w:sz w:val="21"/>
                <w:szCs w:val="21"/>
              </w:rPr>
            </w:pPr>
          </w:p>
        </w:tc>
        <w:tc>
          <w:tcPr>
            <w:tcW w:w="698" w:type="dxa"/>
            <w:vMerge w:val="continue"/>
            <w:vAlign w:val="center"/>
          </w:tcPr>
          <w:p>
            <w:pPr>
              <w:autoSpaceDE w:val="0"/>
              <w:autoSpaceDN w:val="0"/>
              <w:jc w:val="center"/>
              <w:textAlignment w:val="baseline"/>
              <w:rPr>
                <w:color w:val="auto"/>
                <w:sz w:val="21"/>
                <w:szCs w:val="21"/>
              </w:rPr>
            </w:pPr>
          </w:p>
        </w:tc>
        <w:tc>
          <w:tcPr>
            <w:tcW w:w="957" w:type="dxa"/>
            <w:vMerge w:val="continue"/>
            <w:vAlign w:val="center"/>
          </w:tcPr>
          <w:p>
            <w:pPr>
              <w:autoSpaceDE w:val="0"/>
              <w:autoSpaceDN w:val="0"/>
              <w:jc w:val="center"/>
              <w:textAlignment w:val="baseline"/>
              <w:rPr>
                <w:color w:val="auto"/>
                <w:sz w:val="21"/>
                <w:szCs w:val="21"/>
              </w:rPr>
            </w:pPr>
          </w:p>
        </w:tc>
        <w:tc>
          <w:tcPr>
            <w:tcW w:w="860" w:type="dxa"/>
            <w:textDirection w:val="lrTb"/>
            <w:vAlign w:val="center"/>
          </w:tcPr>
          <w:p>
            <w:pPr>
              <w:autoSpaceDE w:val="0"/>
              <w:autoSpaceDN w:val="0"/>
              <w:jc w:val="center"/>
              <w:textAlignment w:val="baseline"/>
              <w:rPr>
                <w:color w:val="auto"/>
                <w:sz w:val="21"/>
                <w:szCs w:val="21"/>
              </w:rPr>
            </w:pPr>
            <w:r>
              <w:rPr>
                <w:rFonts w:eastAsiaTheme="minorEastAsia"/>
                <w:color w:val="auto"/>
                <w:sz w:val="21"/>
                <w:szCs w:val="21"/>
              </w:rPr>
              <w:t>NH</w:t>
            </w:r>
            <w:r>
              <w:rPr>
                <w:rFonts w:eastAsiaTheme="minorEastAsia"/>
                <w:color w:val="auto"/>
                <w:sz w:val="21"/>
                <w:szCs w:val="21"/>
                <w:vertAlign w:val="subscript"/>
              </w:rPr>
              <w:t>3</w:t>
            </w:r>
          </w:p>
        </w:tc>
        <w:tc>
          <w:tcPr>
            <w:tcW w:w="884" w:type="dxa"/>
            <w:textDirection w:val="lrTb"/>
            <w:vAlign w:val="center"/>
          </w:tcPr>
          <w:p>
            <w:pPr>
              <w:spacing w:line="360" w:lineRule="auto"/>
              <w:jc w:val="center"/>
              <w:rPr>
                <w:color w:val="auto"/>
                <w:sz w:val="21"/>
                <w:szCs w:val="21"/>
              </w:rPr>
            </w:pPr>
            <w:r>
              <w:rPr>
                <w:rFonts w:hint="default" w:ascii="Times New Roman" w:hAnsi="Times New Roman" w:cs="Times New Roman"/>
                <w:color w:val="auto"/>
                <w:sz w:val="21"/>
                <w:szCs w:val="21"/>
                <w:lang w:val="en-US" w:eastAsia="zh-CN"/>
              </w:rPr>
              <w:t>0.529</w:t>
            </w:r>
          </w:p>
        </w:tc>
        <w:tc>
          <w:tcPr>
            <w:tcW w:w="1042" w:type="dxa"/>
            <w:textDirection w:val="lrTb"/>
            <w:vAlign w:val="center"/>
          </w:tcPr>
          <w:p>
            <w:pPr>
              <w:spacing w:line="360" w:lineRule="auto"/>
              <w:jc w:val="center"/>
              <w:rPr>
                <w:color w:val="auto"/>
                <w:sz w:val="21"/>
                <w:szCs w:val="21"/>
              </w:rPr>
            </w:pPr>
            <w:r>
              <w:rPr>
                <w:rFonts w:hint="default" w:ascii="Times New Roman" w:hAnsi="Times New Roman" w:cs="Times New Roman"/>
                <w:color w:val="auto"/>
                <w:sz w:val="21"/>
                <w:szCs w:val="21"/>
              </w:rPr>
              <w:t>0.0</w:t>
            </w:r>
            <w:r>
              <w:rPr>
                <w:rFonts w:hint="default" w:ascii="Times New Roman" w:hAnsi="Times New Roman" w:cs="Times New Roman"/>
                <w:color w:val="auto"/>
                <w:sz w:val="21"/>
                <w:szCs w:val="21"/>
                <w:lang w:val="en-US" w:eastAsia="zh-CN"/>
              </w:rPr>
              <w:t>37</w:t>
            </w:r>
          </w:p>
        </w:tc>
        <w:tc>
          <w:tcPr>
            <w:tcW w:w="1042" w:type="dxa"/>
            <w:vMerge w:val="continue"/>
            <w:vAlign w:val="center"/>
          </w:tcPr>
          <w:p>
            <w:pPr>
              <w:jc w:val="center"/>
              <w:rPr>
                <w:color w:val="auto"/>
                <w:sz w:val="21"/>
                <w:szCs w:val="21"/>
              </w:rPr>
            </w:pPr>
          </w:p>
        </w:tc>
        <w:tc>
          <w:tcPr>
            <w:tcW w:w="1042" w:type="dxa"/>
            <w:vMerge w:val="continue"/>
            <w:vAlign w:val="center"/>
          </w:tcPr>
          <w:p>
            <w:pPr>
              <w:jc w:val="center"/>
              <w:rPr>
                <w:color w:val="auto"/>
                <w:sz w:val="21"/>
                <w:szCs w:val="21"/>
              </w:rPr>
            </w:pPr>
          </w:p>
        </w:tc>
        <w:tc>
          <w:tcPr>
            <w:tcW w:w="1042" w:type="dxa"/>
            <w:vMerge w:val="continue"/>
            <w:vAlign w:val="center"/>
          </w:tcPr>
          <w:p>
            <w:pPr>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4" w:hRule="atLeast"/>
          <w:jc w:val="center"/>
        </w:trPr>
        <w:tc>
          <w:tcPr>
            <w:tcW w:w="503" w:type="dxa"/>
            <w:vMerge w:val="continue"/>
            <w:vAlign w:val="center"/>
          </w:tcPr>
          <w:p>
            <w:pPr>
              <w:autoSpaceDE w:val="0"/>
              <w:autoSpaceDN w:val="0"/>
              <w:jc w:val="center"/>
              <w:textAlignment w:val="baseline"/>
              <w:rPr>
                <w:color w:val="auto"/>
                <w:sz w:val="21"/>
                <w:szCs w:val="21"/>
              </w:rPr>
            </w:pPr>
          </w:p>
        </w:tc>
        <w:tc>
          <w:tcPr>
            <w:tcW w:w="1217" w:type="dxa"/>
            <w:vMerge w:val="continue"/>
            <w:vAlign w:val="center"/>
          </w:tcPr>
          <w:p>
            <w:pPr>
              <w:autoSpaceDE w:val="0"/>
              <w:autoSpaceDN w:val="0"/>
              <w:jc w:val="center"/>
              <w:textAlignment w:val="baseline"/>
              <w:rPr>
                <w:color w:val="auto"/>
                <w:sz w:val="21"/>
                <w:szCs w:val="21"/>
              </w:rPr>
            </w:pPr>
          </w:p>
        </w:tc>
        <w:tc>
          <w:tcPr>
            <w:tcW w:w="698" w:type="dxa"/>
            <w:vMerge w:val="continue"/>
            <w:vAlign w:val="center"/>
          </w:tcPr>
          <w:p>
            <w:pPr>
              <w:autoSpaceDE w:val="0"/>
              <w:autoSpaceDN w:val="0"/>
              <w:jc w:val="center"/>
              <w:textAlignment w:val="baseline"/>
              <w:rPr>
                <w:color w:val="auto"/>
                <w:sz w:val="21"/>
                <w:szCs w:val="21"/>
              </w:rPr>
            </w:pPr>
          </w:p>
        </w:tc>
        <w:tc>
          <w:tcPr>
            <w:tcW w:w="957" w:type="dxa"/>
            <w:vMerge w:val="continue"/>
            <w:vAlign w:val="center"/>
          </w:tcPr>
          <w:p>
            <w:pPr>
              <w:autoSpaceDE w:val="0"/>
              <w:autoSpaceDN w:val="0"/>
              <w:jc w:val="center"/>
              <w:textAlignment w:val="baseline"/>
              <w:rPr>
                <w:color w:val="auto"/>
                <w:sz w:val="21"/>
                <w:szCs w:val="21"/>
              </w:rPr>
            </w:pPr>
          </w:p>
        </w:tc>
        <w:tc>
          <w:tcPr>
            <w:tcW w:w="860" w:type="dxa"/>
            <w:textDirection w:val="lrTb"/>
            <w:vAlign w:val="center"/>
          </w:tcPr>
          <w:p>
            <w:pPr>
              <w:autoSpaceDE w:val="0"/>
              <w:autoSpaceDN w:val="0"/>
              <w:jc w:val="center"/>
              <w:textAlignment w:val="baseline"/>
              <w:rPr>
                <w:rFonts w:eastAsiaTheme="minorEastAsia"/>
                <w:color w:val="auto"/>
                <w:sz w:val="21"/>
                <w:szCs w:val="21"/>
              </w:rPr>
            </w:pPr>
            <w:r>
              <w:rPr>
                <w:rFonts w:hint="eastAsia" w:eastAsiaTheme="minorEastAsia"/>
                <w:color w:val="auto"/>
                <w:sz w:val="21"/>
                <w:szCs w:val="21"/>
                <w:lang w:eastAsia="zh-CN"/>
              </w:rPr>
              <w:t>臭气</w:t>
            </w:r>
          </w:p>
        </w:tc>
        <w:tc>
          <w:tcPr>
            <w:tcW w:w="884" w:type="dxa"/>
            <w:textDirection w:val="lrTb"/>
            <w:vAlign w:val="center"/>
          </w:tcPr>
          <w:p>
            <w:pPr>
              <w:jc w:val="center"/>
              <w:rPr>
                <w:color w:val="auto"/>
                <w:sz w:val="21"/>
                <w:szCs w:val="21"/>
              </w:rPr>
            </w:pPr>
            <w:r>
              <w:rPr>
                <w:rFonts w:hint="eastAsia"/>
                <w:color w:val="auto"/>
                <w:sz w:val="21"/>
                <w:szCs w:val="21"/>
                <w:lang w:val="en-US" w:eastAsia="zh-CN"/>
              </w:rPr>
              <w:t>2443</w:t>
            </w:r>
          </w:p>
        </w:tc>
        <w:tc>
          <w:tcPr>
            <w:tcW w:w="1042" w:type="dxa"/>
            <w:textDirection w:val="lrTb"/>
            <w:vAlign w:val="center"/>
          </w:tcPr>
          <w:p>
            <w:pPr>
              <w:jc w:val="center"/>
              <w:rPr>
                <w:color w:val="auto"/>
                <w:sz w:val="21"/>
                <w:szCs w:val="21"/>
              </w:rPr>
            </w:pPr>
            <w:r>
              <w:rPr>
                <w:rFonts w:hint="eastAsia"/>
                <w:color w:val="auto"/>
                <w:sz w:val="21"/>
                <w:szCs w:val="21"/>
                <w:lang w:val="en-US" w:eastAsia="zh-CN"/>
              </w:rPr>
              <w:t>/</w:t>
            </w:r>
          </w:p>
        </w:tc>
        <w:tc>
          <w:tcPr>
            <w:tcW w:w="1042" w:type="dxa"/>
            <w:vMerge w:val="continue"/>
            <w:vAlign w:val="center"/>
          </w:tcPr>
          <w:p>
            <w:pPr>
              <w:jc w:val="center"/>
              <w:rPr>
                <w:color w:val="auto"/>
                <w:sz w:val="21"/>
                <w:szCs w:val="21"/>
              </w:rPr>
            </w:pPr>
          </w:p>
        </w:tc>
        <w:tc>
          <w:tcPr>
            <w:tcW w:w="1042" w:type="dxa"/>
            <w:vMerge w:val="continue"/>
            <w:vAlign w:val="center"/>
          </w:tcPr>
          <w:p>
            <w:pPr>
              <w:jc w:val="center"/>
              <w:rPr>
                <w:color w:val="auto"/>
                <w:sz w:val="21"/>
                <w:szCs w:val="21"/>
              </w:rPr>
            </w:pPr>
          </w:p>
        </w:tc>
        <w:tc>
          <w:tcPr>
            <w:tcW w:w="1042" w:type="dxa"/>
            <w:vMerge w:val="continue"/>
            <w:vAlign w:val="center"/>
          </w:tcPr>
          <w:p>
            <w:pPr>
              <w:jc w:val="center"/>
              <w:rPr>
                <w:color w:val="auto"/>
                <w:sz w:val="21"/>
                <w:szCs w:val="21"/>
              </w:rPr>
            </w:pPr>
          </w:p>
        </w:tc>
      </w:tr>
    </w:tbl>
    <w:p>
      <w:pPr>
        <w:pStyle w:val="67"/>
        <w:jc w:val="left"/>
        <w:rPr>
          <w:rFonts w:ascii="Times New Roman" w:hAnsi="Times New Roman" w:cs="Times New Roman"/>
          <w:color w:val="auto"/>
        </w:rPr>
      </w:pPr>
    </w:p>
    <w:p>
      <w:pPr>
        <w:spacing w:line="360" w:lineRule="auto"/>
        <w:rPr>
          <w:b/>
          <w:bCs/>
          <w:snapToGrid w:val="0"/>
          <w:color w:val="auto"/>
        </w:rPr>
      </w:pPr>
      <w:bookmarkStart w:id="636" w:name="_Toc392488676"/>
      <w:bookmarkStart w:id="637" w:name="_Toc294109886"/>
      <w:bookmarkStart w:id="638" w:name="_Toc335568716"/>
      <w:bookmarkStart w:id="639" w:name="_Toc389557315"/>
      <w:bookmarkStart w:id="640" w:name="_Toc260317158"/>
      <w:r>
        <w:rPr>
          <w:b/>
          <w:bCs/>
          <w:snapToGrid w:val="0"/>
          <w:color w:val="auto"/>
        </w:rPr>
        <w:t>5.2.1.9环境防护距离</w:t>
      </w:r>
      <w:bookmarkEnd w:id="636"/>
      <w:bookmarkEnd w:id="637"/>
      <w:bookmarkEnd w:id="638"/>
      <w:bookmarkEnd w:id="639"/>
      <w:bookmarkEnd w:id="640"/>
    </w:p>
    <w:p>
      <w:pPr>
        <w:adjustRightInd w:val="0"/>
        <w:snapToGrid w:val="0"/>
        <w:spacing w:line="360" w:lineRule="auto"/>
        <w:ind w:firstLine="480" w:firstLineChars="200"/>
        <w:rPr>
          <w:color w:val="auto"/>
        </w:rPr>
      </w:pPr>
      <w:r>
        <w:rPr>
          <w:color w:val="auto"/>
        </w:rPr>
        <w:t>（1）</w:t>
      </w:r>
      <w:r>
        <w:rPr>
          <w:rFonts w:hint="eastAsia"/>
          <w:color w:val="auto"/>
        </w:rPr>
        <w:t>大气防护距离</w:t>
      </w:r>
    </w:p>
    <w:p>
      <w:pPr>
        <w:adjustRightInd w:val="0"/>
        <w:snapToGrid w:val="0"/>
        <w:spacing w:line="360" w:lineRule="auto"/>
        <w:ind w:firstLine="480" w:firstLineChars="200"/>
        <w:rPr>
          <w:color w:val="auto"/>
        </w:rPr>
      </w:pPr>
      <w:r>
        <w:rPr>
          <w:color w:val="auto"/>
        </w:rPr>
        <w:t>根据《环境影响评价技术导则大气环境》（HJ2.2-2018），本项目正常工况下最大落地浓度占标率（Pmax）最大为</w:t>
      </w:r>
      <w:r>
        <w:rPr>
          <w:rFonts w:hint="eastAsia"/>
          <w:color w:val="auto"/>
          <w:lang w:val="en-US" w:eastAsia="zh-CN"/>
        </w:rPr>
        <w:t>9.24</w:t>
      </w:r>
      <w:r>
        <w:rPr>
          <w:color w:val="auto"/>
        </w:rPr>
        <w:t>%，大气环境影响评价等级为二级，无组织排放的气体均无超标点，因此无需设置大气环境防护距离</w:t>
      </w:r>
      <w:r>
        <w:rPr>
          <w:rFonts w:hint="eastAsia"/>
          <w:color w:val="auto"/>
        </w:rPr>
        <w:t>。</w:t>
      </w:r>
    </w:p>
    <w:p>
      <w:pPr>
        <w:adjustRightInd w:val="0"/>
        <w:snapToGrid w:val="0"/>
        <w:spacing w:line="360" w:lineRule="auto"/>
        <w:ind w:firstLine="480" w:firstLineChars="200"/>
        <w:rPr>
          <w:color w:val="auto"/>
        </w:rPr>
      </w:pPr>
      <w:r>
        <w:rPr>
          <w:rFonts w:hint="eastAsia"/>
          <w:color w:val="auto"/>
        </w:rPr>
        <w:t>（2）</w:t>
      </w:r>
      <w:r>
        <w:rPr>
          <w:color w:val="auto"/>
        </w:rPr>
        <w:t>卫生防护距离</w:t>
      </w:r>
    </w:p>
    <w:p>
      <w:pPr>
        <w:pStyle w:val="5"/>
        <w:adjustRightInd w:val="0"/>
        <w:snapToGrid w:val="0"/>
        <w:spacing w:line="360" w:lineRule="auto"/>
        <w:ind w:firstLine="496"/>
        <w:rPr>
          <w:color w:val="auto"/>
          <w:spacing w:val="4"/>
        </w:rPr>
      </w:pPr>
      <w:r>
        <w:rPr>
          <w:rFonts w:hint="eastAsia" w:ascii="宋体" w:hAnsi="宋体" w:cs="宋体"/>
          <w:color w:val="auto"/>
          <w:spacing w:val="4"/>
        </w:rPr>
        <w:t>①</w:t>
      </w:r>
      <w:r>
        <w:rPr>
          <w:color w:val="auto"/>
          <w:spacing w:val="4"/>
        </w:rPr>
        <w:t>计算公式</w:t>
      </w:r>
    </w:p>
    <w:p>
      <w:pPr>
        <w:pStyle w:val="5"/>
        <w:adjustRightInd w:val="0"/>
        <w:snapToGrid w:val="0"/>
        <w:spacing w:line="360" w:lineRule="auto"/>
        <w:ind w:firstLine="620" w:firstLineChars="250"/>
        <w:rPr>
          <w:color w:val="auto"/>
          <w:spacing w:val="4"/>
        </w:rPr>
      </w:pPr>
      <w:r>
        <w:rPr>
          <w:color w:val="auto"/>
          <w:spacing w:val="4"/>
        </w:rPr>
        <w:t>依据《制定地方大气污染物排放标准的技术方法》（GB/T13201 -91）的规定，对无组织排放源与居住区之间设置卫生防护距离，其计算公式为：</w:t>
      </w:r>
    </w:p>
    <w:p>
      <w:pPr>
        <w:snapToGrid w:val="0"/>
        <w:spacing w:line="360" w:lineRule="auto"/>
        <w:jc w:val="center"/>
        <w:rPr>
          <w:bCs/>
          <w:color w:val="auto"/>
        </w:rPr>
      </w:pPr>
      <w:r>
        <w:rPr>
          <w:bCs/>
          <w:color w:val="auto"/>
          <w:position w:val="-30"/>
        </w:rPr>
        <w:object>
          <v:shape id="_x0000_i1037" o:spt="75" type="#_x0000_t75" style="height:33.75pt;width:144pt;" o:ole="t" filled="f" o:preferrelative="t" stroked="f" coordsize="21600,21600">
            <v:path/>
            <v:fill on="f" focussize="0,0"/>
            <v:stroke on="f" joinstyle="miter"/>
            <v:imagedata r:id="rId109" o:title=""/>
            <o:lock v:ext="edit" aspectratio="t"/>
            <w10:wrap type="none"/>
            <w10:anchorlock/>
          </v:shape>
          <o:OLEObject Type="Embed" ProgID="Equation.3" ShapeID="_x0000_i1037" DrawAspect="Content" ObjectID="_1468075737" r:id="rId108">
            <o:LockedField>false</o:LockedField>
          </o:OLEObject>
        </w:object>
      </w:r>
    </w:p>
    <w:p>
      <w:pPr>
        <w:pStyle w:val="5"/>
        <w:snapToGrid w:val="0"/>
        <w:spacing w:line="360" w:lineRule="auto"/>
        <w:ind w:firstLine="480"/>
        <w:rPr>
          <w:color w:val="auto"/>
        </w:rPr>
      </w:pPr>
      <w:r>
        <w:rPr>
          <w:color w:val="auto"/>
        </w:rPr>
        <w:t>式中：C</w:t>
      </w:r>
      <w:r>
        <w:rPr>
          <w:color w:val="auto"/>
          <w:vertAlign w:val="subscript"/>
        </w:rPr>
        <w:t>m</w:t>
      </w:r>
      <w:r>
        <w:rPr>
          <w:color w:val="auto"/>
        </w:rPr>
        <w:t>——标准浓度限值，mg/m</w:t>
      </w:r>
      <w:r>
        <w:rPr>
          <w:color w:val="auto"/>
          <w:vertAlign w:val="superscript"/>
        </w:rPr>
        <w:t>3</w:t>
      </w:r>
      <w:r>
        <w:rPr>
          <w:color w:val="auto"/>
        </w:rPr>
        <w:t>；</w:t>
      </w:r>
    </w:p>
    <w:p>
      <w:pPr>
        <w:pStyle w:val="5"/>
        <w:snapToGrid w:val="0"/>
        <w:spacing w:line="360" w:lineRule="auto"/>
        <w:ind w:firstLine="1202" w:firstLineChars="501"/>
        <w:rPr>
          <w:color w:val="auto"/>
        </w:rPr>
      </w:pPr>
      <w:r>
        <w:rPr>
          <w:color w:val="auto"/>
        </w:rPr>
        <w:t>L——工业企业所需卫生防护距离，m；</w:t>
      </w:r>
    </w:p>
    <w:p>
      <w:pPr>
        <w:pStyle w:val="5"/>
        <w:snapToGrid w:val="0"/>
        <w:spacing w:line="360" w:lineRule="auto"/>
        <w:ind w:firstLine="1207" w:firstLineChars="503"/>
        <w:rPr>
          <w:color w:val="auto"/>
        </w:rPr>
      </w:pPr>
      <w:r>
        <w:rPr>
          <w:color w:val="auto"/>
        </w:rPr>
        <w:t>r——有害气体无组织排放源所在生产单元的等效半径，m。根据该生产单元占地面积S（m</w:t>
      </w:r>
      <w:r>
        <w:rPr>
          <w:color w:val="auto"/>
          <w:vertAlign w:val="superscript"/>
        </w:rPr>
        <w:t>2</w:t>
      </w:r>
      <w:r>
        <w:rPr>
          <w:color w:val="auto"/>
        </w:rPr>
        <w:t>）计算，r=(S/π)</w:t>
      </w:r>
      <w:r>
        <w:rPr>
          <w:color w:val="auto"/>
          <w:vertAlign w:val="superscript"/>
        </w:rPr>
        <w:t>0.5</w:t>
      </w:r>
      <w:r>
        <w:rPr>
          <w:color w:val="auto"/>
        </w:rPr>
        <w:t>；</w:t>
      </w:r>
    </w:p>
    <w:p>
      <w:pPr>
        <w:pStyle w:val="5"/>
        <w:snapToGrid w:val="0"/>
        <w:spacing w:line="360" w:lineRule="auto"/>
        <w:ind w:firstLine="1207" w:firstLineChars="503"/>
        <w:rPr>
          <w:color w:val="auto"/>
        </w:rPr>
      </w:pPr>
      <w:r>
        <w:rPr>
          <w:color w:val="auto"/>
        </w:rPr>
        <w:t>A,B,C,D——卫生防护距离计算系数，无因次，根据工业企业所在地区近五年平均风速及工业企业大气污染源构成类别，查《导则》表进行确定；</w:t>
      </w:r>
    </w:p>
    <w:p>
      <w:pPr>
        <w:pStyle w:val="5"/>
        <w:snapToGrid w:val="0"/>
        <w:spacing w:line="360" w:lineRule="auto"/>
        <w:ind w:firstLine="1207" w:firstLineChars="503"/>
        <w:rPr>
          <w:color w:val="auto"/>
        </w:rPr>
      </w:pPr>
      <w:r>
        <w:rPr>
          <w:color w:val="auto"/>
        </w:rPr>
        <w:t>Q</w:t>
      </w:r>
      <w:r>
        <w:rPr>
          <w:color w:val="auto"/>
          <w:vertAlign w:val="subscript"/>
        </w:rPr>
        <w:t>c</w:t>
      </w:r>
      <w:r>
        <w:rPr>
          <w:color w:val="auto"/>
        </w:rPr>
        <w:t>——工业企业有害气体无组织排放量可以达到的控制水平，kg/h。</w:t>
      </w:r>
    </w:p>
    <w:p>
      <w:pPr>
        <w:snapToGrid w:val="0"/>
        <w:spacing w:line="360" w:lineRule="auto"/>
        <w:ind w:firstLine="480" w:firstLineChars="200"/>
        <w:rPr>
          <w:color w:val="auto"/>
        </w:rPr>
      </w:pPr>
      <w:r>
        <w:rPr>
          <w:rFonts w:hint="eastAsia" w:ascii="宋体" w:hAnsi="宋体" w:cs="宋体"/>
          <w:color w:val="auto"/>
        </w:rPr>
        <w:t>②</w:t>
      </w:r>
      <w:r>
        <w:rPr>
          <w:color w:val="auto"/>
        </w:rPr>
        <w:t>卫生防护距离参数</w:t>
      </w:r>
    </w:p>
    <w:p>
      <w:pPr>
        <w:snapToGrid w:val="0"/>
        <w:spacing w:line="360" w:lineRule="auto"/>
        <w:ind w:firstLine="480" w:firstLineChars="200"/>
        <w:rPr>
          <w:color w:val="auto"/>
        </w:rPr>
      </w:pPr>
      <w:r>
        <w:rPr>
          <w:color w:val="auto"/>
        </w:rPr>
        <w:t>无组织排放卫生防护距离计算参数见表5.2-</w:t>
      </w:r>
      <w:r>
        <w:rPr>
          <w:rFonts w:hint="eastAsia"/>
          <w:color w:val="auto"/>
        </w:rPr>
        <w:t>6</w:t>
      </w:r>
      <w:r>
        <w:rPr>
          <w:color w:val="auto"/>
        </w:rPr>
        <w:t>。</w:t>
      </w:r>
    </w:p>
    <w:p>
      <w:pPr>
        <w:pStyle w:val="67"/>
        <w:adjustRightInd/>
        <w:spacing w:line="240" w:lineRule="auto"/>
        <w:textAlignment w:val="auto"/>
        <w:rPr>
          <w:rFonts w:ascii="Times New Roman" w:hAnsi="Times New Roman" w:cs="Times New Roman"/>
          <w:color w:val="auto"/>
        </w:rPr>
      </w:pPr>
    </w:p>
    <w:p>
      <w:pPr>
        <w:pStyle w:val="67"/>
        <w:adjustRightInd/>
        <w:spacing w:line="240" w:lineRule="auto"/>
        <w:textAlignment w:val="auto"/>
        <w:rPr>
          <w:rFonts w:ascii="Times New Roman" w:hAnsi="Times New Roman" w:cs="Times New Roman"/>
          <w:color w:val="auto"/>
        </w:rPr>
      </w:pPr>
    </w:p>
    <w:p>
      <w:pPr>
        <w:pStyle w:val="67"/>
        <w:adjustRightInd/>
        <w:spacing w:line="240" w:lineRule="auto"/>
        <w:textAlignment w:val="auto"/>
        <w:rPr>
          <w:rFonts w:ascii="Times New Roman" w:hAnsi="Times New Roman" w:cs="Times New Roman"/>
          <w:color w:val="auto"/>
        </w:rPr>
      </w:pPr>
      <w:r>
        <w:rPr>
          <w:rFonts w:ascii="Times New Roman" w:hAnsi="Times New Roman" w:cs="Times New Roman"/>
          <w:color w:val="auto"/>
        </w:rPr>
        <w:t>表5.2-</w:t>
      </w:r>
      <w:r>
        <w:rPr>
          <w:rFonts w:hint="eastAsia" w:ascii="Times New Roman" w:hAnsi="Times New Roman" w:cs="Times New Roman"/>
          <w:color w:val="auto"/>
        </w:rPr>
        <w:t>6</w:t>
      </w:r>
      <w:r>
        <w:rPr>
          <w:rFonts w:ascii="Times New Roman" w:hAnsi="Times New Roman" w:cs="Times New Roman"/>
          <w:color w:val="auto"/>
        </w:rPr>
        <w:t xml:space="preserve">  无组织排放源强卫生防护距离计算参数</w:t>
      </w:r>
    </w:p>
    <w:tbl>
      <w:tblPr>
        <w:tblStyle w:val="53"/>
        <w:tblW w:w="903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23"/>
        <w:gridCol w:w="1705"/>
        <w:gridCol w:w="1667"/>
        <w:gridCol w:w="1843"/>
        <w:gridCol w:w="17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123" w:type="dxa"/>
            <w:vAlign w:val="center"/>
          </w:tcPr>
          <w:p>
            <w:pPr>
              <w:snapToGrid w:val="0"/>
              <w:jc w:val="center"/>
              <w:rPr>
                <w:b/>
                <w:color w:val="auto"/>
                <w:sz w:val="21"/>
                <w:szCs w:val="21"/>
              </w:rPr>
            </w:pPr>
            <w:r>
              <w:rPr>
                <w:b/>
                <w:color w:val="auto"/>
                <w:sz w:val="21"/>
                <w:szCs w:val="21"/>
              </w:rPr>
              <w:t>排放源</w:t>
            </w:r>
          </w:p>
        </w:tc>
        <w:tc>
          <w:tcPr>
            <w:tcW w:w="1705" w:type="dxa"/>
            <w:vAlign w:val="center"/>
          </w:tcPr>
          <w:p>
            <w:pPr>
              <w:snapToGrid w:val="0"/>
              <w:jc w:val="center"/>
              <w:rPr>
                <w:b/>
                <w:color w:val="auto"/>
                <w:sz w:val="21"/>
                <w:szCs w:val="21"/>
              </w:rPr>
            </w:pPr>
            <w:r>
              <w:rPr>
                <w:b/>
                <w:color w:val="auto"/>
                <w:sz w:val="21"/>
                <w:szCs w:val="21"/>
              </w:rPr>
              <w:t>污染物名称</w:t>
            </w:r>
          </w:p>
        </w:tc>
        <w:tc>
          <w:tcPr>
            <w:tcW w:w="1667" w:type="dxa"/>
            <w:vAlign w:val="center"/>
          </w:tcPr>
          <w:p>
            <w:pPr>
              <w:snapToGrid w:val="0"/>
              <w:jc w:val="center"/>
              <w:rPr>
                <w:b/>
                <w:color w:val="auto"/>
                <w:sz w:val="21"/>
                <w:szCs w:val="21"/>
              </w:rPr>
            </w:pPr>
            <w:r>
              <w:rPr>
                <w:b/>
                <w:color w:val="auto"/>
                <w:sz w:val="21"/>
                <w:szCs w:val="21"/>
              </w:rPr>
              <w:t>排放量/ kg/h</w:t>
            </w:r>
          </w:p>
        </w:tc>
        <w:tc>
          <w:tcPr>
            <w:tcW w:w="1843" w:type="dxa"/>
            <w:vAlign w:val="center"/>
          </w:tcPr>
          <w:p>
            <w:pPr>
              <w:snapToGrid w:val="0"/>
              <w:jc w:val="center"/>
              <w:rPr>
                <w:b/>
                <w:color w:val="auto"/>
                <w:sz w:val="21"/>
                <w:szCs w:val="21"/>
                <w:vertAlign w:val="superscript"/>
              </w:rPr>
            </w:pPr>
            <w:r>
              <w:rPr>
                <w:b/>
                <w:color w:val="auto"/>
                <w:sz w:val="21"/>
                <w:szCs w:val="21"/>
              </w:rPr>
              <w:t>执行标准Cm/mg/m</w:t>
            </w:r>
            <w:r>
              <w:rPr>
                <w:b/>
                <w:color w:val="auto"/>
                <w:sz w:val="21"/>
                <w:szCs w:val="21"/>
                <w:vertAlign w:val="superscript"/>
              </w:rPr>
              <w:t>3</w:t>
            </w:r>
          </w:p>
        </w:tc>
        <w:tc>
          <w:tcPr>
            <w:tcW w:w="1701" w:type="dxa"/>
            <w:vAlign w:val="center"/>
          </w:tcPr>
          <w:p>
            <w:pPr>
              <w:snapToGrid w:val="0"/>
              <w:jc w:val="center"/>
              <w:rPr>
                <w:b/>
                <w:color w:val="auto"/>
                <w:sz w:val="21"/>
                <w:szCs w:val="21"/>
              </w:rPr>
            </w:pPr>
            <w:r>
              <w:rPr>
                <w:b/>
                <w:color w:val="auto"/>
                <w:sz w:val="21"/>
                <w:szCs w:val="21"/>
              </w:rPr>
              <w:t>面源几何参数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123" w:type="dxa"/>
            <w:vMerge w:val="restart"/>
            <w:vAlign w:val="center"/>
          </w:tcPr>
          <w:p>
            <w:pPr>
              <w:snapToGrid w:val="0"/>
              <w:jc w:val="center"/>
              <w:rPr>
                <w:color w:val="auto"/>
                <w:sz w:val="21"/>
                <w:szCs w:val="21"/>
              </w:rPr>
            </w:pPr>
            <w:r>
              <w:rPr>
                <w:rFonts w:hint="eastAsia"/>
                <w:color w:val="auto"/>
                <w:sz w:val="21"/>
                <w:szCs w:val="21"/>
              </w:rPr>
              <w:t>餐厨处理车间</w:t>
            </w:r>
          </w:p>
        </w:tc>
        <w:tc>
          <w:tcPr>
            <w:tcW w:w="1705" w:type="dxa"/>
            <w:vAlign w:val="center"/>
          </w:tcPr>
          <w:p>
            <w:pPr>
              <w:snapToGrid w:val="0"/>
              <w:jc w:val="center"/>
              <w:rPr>
                <w:color w:val="auto"/>
                <w:sz w:val="21"/>
                <w:szCs w:val="21"/>
                <w:vertAlign w:val="subscript"/>
              </w:rPr>
            </w:pPr>
            <w:r>
              <w:rPr>
                <w:color w:val="auto"/>
                <w:sz w:val="21"/>
                <w:szCs w:val="21"/>
              </w:rPr>
              <w:t>NH</w:t>
            </w:r>
            <w:r>
              <w:rPr>
                <w:color w:val="auto"/>
                <w:sz w:val="21"/>
                <w:szCs w:val="21"/>
                <w:vertAlign w:val="subscript"/>
              </w:rPr>
              <w:t>3</w:t>
            </w:r>
          </w:p>
        </w:tc>
        <w:tc>
          <w:tcPr>
            <w:tcW w:w="1667" w:type="dxa"/>
            <w:vAlign w:val="center"/>
          </w:tcPr>
          <w:p>
            <w:pPr>
              <w:jc w:val="center"/>
              <w:rPr>
                <w:color w:val="auto"/>
                <w:sz w:val="21"/>
                <w:szCs w:val="21"/>
              </w:rPr>
            </w:pPr>
            <w:r>
              <w:rPr>
                <w:rFonts w:hint="eastAsia"/>
                <w:color w:val="auto"/>
                <w:sz w:val="21"/>
                <w:szCs w:val="21"/>
              </w:rPr>
              <w:t>0.00</w:t>
            </w:r>
            <w:r>
              <w:rPr>
                <w:rFonts w:hint="eastAsia"/>
                <w:color w:val="auto"/>
                <w:sz w:val="21"/>
                <w:szCs w:val="21"/>
                <w:lang w:val="en-US" w:eastAsia="zh-CN"/>
              </w:rPr>
              <w:t>20</w:t>
            </w:r>
          </w:p>
        </w:tc>
        <w:tc>
          <w:tcPr>
            <w:tcW w:w="1843" w:type="dxa"/>
            <w:vAlign w:val="center"/>
          </w:tcPr>
          <w:p>
            <w:pPr>
              <w:snapToGrid w:val="0"/>
              <w:jc w:val="center"/>
              <w:rPr>
                <w:color w:val="auto"/>
                <w:sz w:val="21"/>
                <w:szCs w:val="21"/>
              </w:rPr>
            </w:pPr>
            <w:r>
              <w:rPr>
                <w:color w:val="auto"/>
                <w:sz w:val="21"/>
                <w:szCs w:val="21"/>
              </w:rPr>
              <w:t>0.20</w:t>
            </w:r>
          </w:p>
        </w:tc>
        <w:tc>
          <w:tcPr>
            <w:tcW w:w="1701" w:type="dxa"/>
            <w:vMerge w:val="restart"/>
            <w:shd w:val="clear" w:color="auto" w:fill="FFFFFF"/>
            <w:vAlign w:val="center"/>
          </w:tcPr>
          <w:p>
            <w:pPr>
              <w:snapToGrid w:val="0"/>
              <w:jc w:val="center"/>
              <w:rPr>
                <w:color w:val="auto"/>
                <w:sz w:val="21"/>
                <w:szCs w:val="21"/>
              </w:rPr>
            </w:pPr>
            <w:r>
              <w:rPr>
                <w:color w:val="auto"/>
                <w:sz w:val="21"/>
                <w:szCs w:val="21"/>
              </w:rPr>
              <w:t>L=</w:t>
            </w:r>
            <w:r>
              <w:rPr>
                <w:rFonts w:hint="eastAsia"/>
                <w:color w:val="auto"/>
                <w:sz w:val="21"/>
                <w:szCs w:val="21"/>
              </w:rPr>
              <w:t>86</w:t>
            </w:r>
            <w:r>
              <w:rPr>
                <w:color w:val="auto"/>
                <w:sz w:val="21"/>
                <w:szCs w:val="21"/>
              </w:rPr>
              <w:t>m</w:t>
            </w:r>
          </w:p>
          <w:p>
            <w:pPr>
              <w:snapToGrid w:val="0"/>
              <w:jc w:val="center"/>
              <w:rPr>
                <w:color w:val="auto"/>
                <w:sz w:val="21"/>
                <w:szCs w:val="21"/>
              </w:rPr>
            </w:pPr>
            <w:r>
              <w:rPr>
                <w:color w:val="auto"/>
                <w:sz w:val="21"/>
                <w:szCs w:val="21"/>
              </w:rPr>
              <w:t>B=</w:t>
            </w:r>
            <w:r>
              <w:rPr>
                <w:rFonts w:hint="eastAsia"/>
                <w:color w:val="auto"/>
                <w:sz w:val="21"/>
                <w:szCs w:val="21"/>
              </w:rPr>
              <w:t>50</w:t>
            </w:r>
            <w:r>
              <w:rPr>
                <w:color w:val="auto"/>
                <w:sz w:val="21"/>
                <w:szCs w:val="21"/>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123" w:type="dxa"/>
            <w:vMerge w:val="continue"/>
            <w:vAlign w:val="center"/>
          </w:tcPr>
          <w:p>
            <w:pPr>
              <w:snapToGrid w:val="0"/>
              <w:jc w:val="center"/>
              <w:rPr>
                <w:color w:val="auto"/>
                <w:sz w:val="21"/>
                <w:szCs w:val="21"/>
              </w:rPr>
            </w:pPr>
          </w:p>
        </w:tc>
        <w:tc>
          <w:tcPr>
            <w:tcW w:w="1705" w:type="dxa"/>
            <w:vAlign w:val="center"/>
          </w:tcPr>
          <w:p>
            <w:pPr>
              <w:snapToGrid w:val="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1667" w:type="dxa"/>
            <w:vAlign w:val="center"/>
          </w:tcPr>
          <w:p>
            <w:pPr>
              <w:jc w:val="center"/>
              <w:rPr>
                <w:color w:val="auto"/>
                <w:sz w:val="21"/>
                <w:szCs w:val="21"/>
              </w:rPr>
            </w:pPr>
            <w:r>
              <w:rPr>
                <w:rFonts w:hint="eastAsia"/>
                <w:color w:val="auto"/>
                <w:sz w:val="22"/>
                <w:szCs w:val="22"/>
              </w:rPr>
              <w:t>0.000</w:t>
            </w:r>
            <w:r>
              <w:rPr>
                <w:rFonts w:hint="eastAsia"/>
                <w:color w:val="auto"/>
                <w:sz w:val="22"/>
                <w:szCs w:val="22"/>
                <w:lang w:val="en-US" w:eastAsia="zh-CN"/>
              </w:rPr>
              <w:t>8</w:t>
            </w:r>
          </w:p>
        </w:tc>
        <w:tc>
          <w:tcPr>
            <w:tcW w:w="1843" w:type="dxa"/>
            <w:vAlign w:val="center"/>
          </w:tcPr>
          <w:p>
            <w:pPr>
              <w:snapToGrid w:val="0"/>
              <w:jc w:val="center"/>
              <w:rPr>
                <w:color w:val="auto"/>
                <w:sz w:val="21"/>
                <w:szCs w:val="21"/>
              </w:rPr>
            </w:pPr>
            <w:r>
              <w:rPr>
                <w:color w:val="auto"/>
                <w:sz w:val="21"/>
                <w:szCs w:val="21"/>
              </w:rPr>
              <w:t>0.01</w:t>
            </w:r>
          </w:p>
        </w:tc>
        <w:tc>
          <w:tcPr>
            <w:tcW w:w="1701" w:type="dxa"/>
            <w:vMerge w:val="continue"/>
            <w:shd w:val="clear" w:color="auto" w:fill="FFFFFF"/>
            <w:vAlign w:val="center"/>
          </w:tcPr>
          <w:p>
            <w:pPr>
              <w:snapToGrid w:val="0"/>
              <w:jc w:val="center"/>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123" w:type="dxa"/>
            <w:vAlign w:val="center"/>
          </w:tcPr>
          <w:p>
            <w:pPr>
              <w:snapToGrid w:val="0"/>
              <w:jc w:val="center"/>
              <w:rPr>
                <w:color w:val="auto"/>
                <w:sz w:val="21"/>
                <w:szCs w:val="21"/>
              </w:rPr>
            </w:pPr>
            <w:r>
              <w:rPr>
                <w:rFonts w:hint="eastAsia"/>
                <w:color w:val="auto"/>
                <w:sz w:val="21"/>
                <w:szCs w:val="21"/>
              </w:rPr>
              <w:t>建筑垃圾消纳场</w:t>
            </w:r>
          </w:p>
        </w:tc>
        <w:tc>
          <w:tcPr>
            <w:tcW w:w="1705" w:type="dxa"/>
            <w:vAlign w:val="center"/>
          </w:tcPr>
          <w:p>
            <w:pPr>
              <w:snapToGrid w:val="0"/>
              <w:jc w:val="center"/>
              <w:rPr>
                <w:color w:val="auto"/>
                <w:sz w:val="21"/>
                <w:szCs w:val="21"/>
              </w:rPr>
            </w:pPr>
            <w:r>
              <w:rPr>
                <w:rFonts w:hint="eastAsia"/>
                <w:color w:val="auto"/>
                <w:sz w:val="21"/>
                <w:szCs w:val="21"/>
              </w:rPr>
              <w:t>TSP</w:t>
            </w:r>
          </w:p>
        </w:tc>
        <w:tc>
          <w:tcPr>
            <w:tcW w:w="1667" w:type="dxa"/>
            <w:vAlign w:val="center"/>
          </w:tcPr>
          <w:p>
            <w:pPr>
              <w:snapToGrid w:val="0"/>
              <w:jc w:val="center"/>
              <w:rPr>
                <w:color w:val="auto"/>
                <w:sz w:val="21"/>
                <w:szCs w:val="21"/>
              </w:rPr>
            </w:pPr>
            <w:r>
              <w:rPr>
                <w:color w:val="auto"/>
                <w:sz w:val="21"/>
                <w:szCs w:val="21"/>
                <w:shd w:val="clear" w:color="auto" w:fill="FFFFFF"/>
              </w:rPr>
              <w:t>0.1</w:t>
            </w:r>
            <w:r>
              <w:rPr>
                <w:rFonts w:hint="eastAsia"/>
                <w:color w:val="auto"/>
                <w:sz w:val="21"/>
                <w:szCs w:val="21"/>
                <w:shd w:val="clear" w:color="auto" w:fill="FFFFFF"/>
              </w:rPr>
              <w:t>36</w:t>
            </w:r>
          </w:p>
        </w:tc>
        <w:tc>
          <w:tcPr>
            <w:tcW w:w="1843" w:type="dxa"/>
            <w:vAlign w:val="center"/>
          </w:tcPr>
          <w:p>
            <w:pPr>
              <w:snapToGrid w:val="0"/>
              <w:jc w:val="center"/>
              <w:rPr>
                <w:color w:val="auto"/>
                <w:sz w:val="21"/>
                <w:szCs w:val="21"/>
              </w:rPr>
            </w:pPr>
            <w:r>
              <w:rPr>
                <w:rFonts w:hint="eastAsia"/>
                <w:color w:val="auto"/>
                <w:sz w:val="21"/>
                <w:szCs w:val="21"/>
              </w:rPr>
              <w:t>0.9</w:t>
            </w:r>
          </w:p>
        </w:tc>
        <w:tc>
          <w:tcPr>
            <w:tcW w:w="1701" w:type="dxa"/>
            <w:shd w:val="clear" w:color="auto" w:fill="FFFFFF"/>
            <w:vAlign w:val="center"/>
          </w:tcPr>
          <w:p>
            <w:pPr>
              <w:snapToGrid w:val="0"/>
              <w:jc w:val="center"/>
              <w:rPr>
                <w:color w:val="auto"/>
                <w:sz w:val="21"/>
                <w:szCs w:val="21"/>
              </w:rPr>
            </w:pPr>
            <w:r>
              <w:rPr>
                <w:color w:val="auto"/>
                <w:sz w:val="21"/>
                <w:szCs w:val="21"/>
              </w:rPr>
              <w:t>L=</w:t>
            </w:r>
            <w:r>
              <w:rPr>
                <w:rFonts w:hint="eastAsia"/>
                <w:color w:val="auto"/>
                <w:sz w:val="21"/>
                <w:szCs w:val="21"/>
              </w:rPr>
              <w:t>490</w:t>
            </w:r>
            <w:r>
              <w:rPr>
                <w:color w:val="auto"/>
                <w:sz w:val="21"/>
                <w:szCs w:val="21"/>
              </w:rPr>
              <w:t>m</w:t>
            </w:r>
          </w:p>
          <w:p>
            <w:pPr>
              <w:snapToGrid w:val="0"/>
              <w:jc w:val="center"/>
              <w:rPr>
                <w:color w:val="auto"/>
                <w:sz w:val="21"/>
                <w:szCs w:val="21"/>
              </w:rPr>
            </w:pPr>
            <w:r>
              <w:rPr>
                <w:color w:val="auto"/>
                <w:sz w:val="21"/>
                <w:szCs w:val="21"/>
              </w:rPr>
              <w:t>B=</w:t>
            </w:r>
            <w:r>
              <w:rPr>
                <w:rFonts w:hint="eastAsia"/>
                <w:color w:val="auto"/>
                <w:sz w:val="21"/>
                <w:szCs w:val="21"/>
              </w:rPr>
              <w:t>250</w:t>
            </w:r>
            <w:r>
              <w:rPr>
                <w:color w:val="auto"/>
                <w:sz w:val="21"/>
                <w:szCs w:val="21"/>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039" w:type="dxa"/>
            <w:gridSpan w:val="5"/>
            <w:vAlign w:val="center"/>
          </w:tcPr>
          <w:p>
            <w:pPr>
              <w:snapToGrid w:val="0"/>
              <w:rPr>
                <w:color w:val="auto"/>
                <w:sz w:val="21"/>
                <w:szCs w:val="21"/>
              </w:rPr>
            </w:pPr>
            <w:r>
              <w:rPr>
                <w:color w:val="auto"/>
                <w:sz w:val="21"/>
                <w:szCs w:val="21"/>
              </w:rPr>
              <w:t>农村地区，平均风速1.5m/s</w:t>
            </w:r>
            <w:r>
              <w:rPr>
                <w:rFonts w:hint="eastAsia"/>
                <w:color w:val="auto"/>
                <w:sz w:val="21"/>
                <w:szCs w:val="21"/>
              </w:rPr>
              <w:t>。</w:t>
            </w:r>
          </w:p>
        </w:tc>
      </w:tr>
    </w:tbl>
    <w:p>
      <w:pPr>
        <w:adjustRightInd w:val="0"/>
        <w:snapToGrid w:val="0"/>
        <w:spacing w:line="360" w:lineRule="auto"/>
        <w:rPr>
          <w:b/>
          <w:color w:val="auto"/>
          <w:sz w:val="21"/>
          <w:szCs w:val="21"/>
        </w:rPr>
      </w:pPr>
      <w:r>
        <w:rPr>
          <w:bCs/>
          <w:color w:val="auto"/>
          <w:sz w:val="21"/>
          <w:szCs w:val="21"/>
        </w:rPr>
        <w:t>注：NH</w:t>
      </w:r>
      <w:r>
        <w:rPr>
          <w:bCs/>
          <w:color w:val="auto"/>
          <w:sz w:val="21"/>
          <w:szCs w:val="21"/>
          <w:vertAlign w:val="subscript"/>
        </w:rPr>
        <w:t>3</w:t>
      </w:r>
      <w:r>
        <w:rPr>
          <w:bCs/>
          <w:color w:val="auto"/>
          <w:sz w:val="21"/>
          <w:szCs w:val="21"/>
        </w:rPr>
        <w:t>、H</w:t>
      </w:r>
      <w:r>
        <w:rPr>
          <w:bCs/>
          <w:color w:val="auto"/>
          <w:sz w:val="21"/>
          <w:szCs w:val="21"/>
          <w:vertAlign w:val="subscript"/>
        </w:rPr>
        <w:t>2</w:t>
      </w:r>
      <w:r>
        <w:rPr>
          <w:bCs/>
          <w:color w:val="auto"/>
          <w:sz w:val="21"/>
          <w:szCs w:val="21"/>
        </w:rPr>
        <w:t>S参考《</w:t>
      </w:r>
      <w:r>
        <w:rPr>
          <w:rFonts w:hint="eastAsia"/>
          <w:bCs/>
          <w:color w:val="auto"/>
          <w:sz w:val="21"/>
          <w:szCs w:val="21"/>
        </w:rPr>
        <w:t>环境影响评价技术导则 大气环境</w:t>
      </w:r>
      <w:r>
        <w:rPr>
          <w:bCs/>
          <w:color w:val="auto"/>
          <w:sz w:val="21"/>
          <w:szCs w:val="21"/>
        </w:rPr>
        <w:t>》</w:t>
      </w:r>
      <w:r>
        <w:rPr>
          <w:rFonts w:hint="eastAsia"/>
          <w:bCs/>
          <w:color w:val="auto"/>
          <w:sz w:val="21"/>
          <w:szCs w:val="21"/>
        </w:rPr>
        <w:t>（H</w:t>
      </w:r>
      <w:r>
        <w:rPr>
          <w:bCs/>
          <w:color w:val="auto"/>
          <w:sz w:val="21"/>
          <w:szCs w:val="21"/>
        </w:rPr>
        <w:t>J2.2-2018</w:t>
      </w:r>
      <w:r>
        <w:rPr>
          <w:rFonts w:hint="eastAsia"/>
          <w:bCs/>
          <w:color w:val="auto"/>
          <w:sz w:val="21"/>
          <w:szCs w:val="21"/>
        </w:rPr>
        <w:t>）附录D中其他污染物空气质量浓度参考限值</w:t>
      </w:r>
      <w:r>
        <w:rPr>
          <w:bCs/>
          <w:color w:val="auto"/>
          <w:sz w:val="21"/>
          <w:szCs w:val="21"/>
        </w:rPr>
        <w:t>。</w:t>
      </w:r>
    </w:p>
    <w:p>
      <w:pPr>
        <w:adjustRightInd w:val="0"/>
        <w:snapToGrid w:val="0"/>
        <w:spacing w:line="360" w:lineRule="auto"/>
        <w:ind w:firstLine="480" w:firstLineChars="200"/>
        <w:rPr>
          <w:color w:val="auto"/>
        </w:rPr>
      </w:pPr>
      <w:r>
        <w:rPr>
          <w:color w:val="auto"/>
        </w:rPr>
        <w:fldChar w:fldCharType="begin"/>
      </w:r>
      <w:r>
        <w:rPr>
          <w:color w:val="auto"/>
        </w:rPr>
        <w:instrText xml:space="preserve"> </w:instrText>
      </w:r>
      <w:r>
        <w:rPr>
          <w:rFonts w:hint="eastAsia"/>
          <w:color w:val="auto"/>
        </w:rPr>
        <w:instrText xml:space="preserve">= 3 \* GB3</w:instrText>
      </w:r>
      <w:r>
        <w:rPr>
          <w:color w:val="auto"/>
        </w:rPr>
        <w:instrText xml:space="preserve"> </w:instrText>
      </w:r>
      <w:r>
        <w:rPr>
          <w:color w:val="auto"/>
        </w:rPr>
        <w:fldChar w:fldCharType="separate"/>
      </w:r>
      <w:r>
        <w:rPr>
          <w:rFonts w:hint="eastAsia"/>
          <w:color w:val="auto"/>
        </w:rPr>
        <w:t>③</w:t>
      </w:r>
      <w:r>
        <w:rPr>
          <w:color w:val="auto"/>
        </w:rPr>
        <w:fldChar w:fldCharType="end"/>
      </w:r>
      <w:r>
        <w:rPr>
          <w:color w:val="auto"/>
        </w:rPr>
        <w:t>计算结果</w:t>
      </w:r>
    </w:p>
    <w:p>
      <w:pPr>
        <w:adjustRightInd w:val="0"/>
        <w:snapToGrid w:val="0"/>
        <w:spacing w:line="360" w:lineRule="auto"/>
        <w:ind w:firstLine="480" w:firstLineChars="200"/>
        <w:rPr>
          <w:color w:val="auto"/>
        </w:rPr>
      </w:pPr>
      <w:r>
        <w:rPr>
          <w:color w:val="auto"/>
        </w:rPr>
        <w:t>卫生防护计算结果</w:t>
      </w:r>
      <w:r>
        <w:rPr>
          <w:rFonts w:hint="eastAsia"/>
          <w:color w:val="auto"/>
        </w:rPr>
        <w:t>见</w:t>
      </w:r>
      <w:r>
        <w:rPr>
          <w:color w:val="auto"/>
        </w:rPr>
        <w:t>表5.2-</w:t>
      </w:r>
      <w:r>
        <w:rPr>
          <w:rFonts w:hint="eastAsia"/>
          <w:color w:val="auto"/>
        </w:rPr>
        <w:t>7</w:t>
      </w:r>
      <w:r>
        <w:rPr>
          <w:color w:val="auto"/>
        </w:rPr>
        <w:t>。</w:t>
      </w:r>
    </w:p>
    <w:p>
      <w:pPr>
        <w:pStyle w:val="67"/>
        <w:rPr>
          <w:rFonts w:ascii="Times New Roman" w:hAnsi="Times New Roman" w:cs="Times New Roman"/>
          <w:color w:val="auto"/>
        </w:rPr>
      </w:pPr>
      <w:r>
        <w:rPr>
          <w:rFonts w:ascii="Times New Roman" w:hAnsi="Times New Roman" w:cs="Times New Roman"/>
          <w:color w:val="auto"/>
        </w:rPr>
        <w:t>表5.2-</w:t>
      </w:r>
      <w:r>
        <w:rPr>
          <w:rFonts w:hint="eastAsia" w:ascii="Times New Roman" w:hAnsi="Times New Roman" w:cs="Times New Roman"/>
          <w:color w:val="auto"/>
        </w:rPr>
        <w:t>7</w:t>
      </w:r>
      <w:r>
        <w:rPr>
          <w:rFonts w:ascii="Times New Roman" w:hAnsi="Times New Roman" w:cs="Times New Roman"/>
          <w:color w:val="auto"/>
        </w:rPr>
        <w:t xml:space="preserve">  无组织排放卫生防护距离计算结果</w:t>
      </w:r>
    </w:p>
    <w:tbl>
      <w:tblPr>
        <w:tblStyle w:val="53"/>
        <w:tblW w:w="918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80"/>
        <w:gridCol w:w="1976"/>
        <w:gridCol w:w="1974"/>
        <w:gridCol w:w="1691"/>
        <w:gridCol w:w="15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4" w:hRule="atLeast"/>
        </w:trPr>
        <w:tc>
          <w:tcPr>
            <w:tcW w:w="1980" w:type="dxa"/>
            <w:vAlign w:val="center"/>
          </w:tcPr>
          <w:p>
            <w:pPr>
              <w:snapToGrid w:val="0"/>
              <w:jc w:val="center"/>
              <w:rPr>
                <w:rFonts w:eastAsiaTheme="minorEastAsia"/>
                <w:b/>
                <w:color w:val="auto"/>
                <w:sz w:val="21"/>
                <w:szCs w:val="21"/>
              </w:rPr>
            </w:pPr>
            <w:r>
              <w:rPr>
                <w:rFonts w:eastAsiaTheme="minorEastAsia"/>
                <w:b/>
                <w:color w:val="auto"/>
                <w:sz w:val="21"/>
                <w:szCs w:val="21"/>
              </w:rPr>
              <w:t>排放源</w:t>
            </w:r>
          </w:p>
        </w:tc>
        <w:tc>
          <w:tcPr>
            <w:tcW w:w="1976" w:type="dxa"/>
            <w:vAlign w:val="center"/>
          </w:tcPr>
          <w:p>
            <w:pPr>
              <w:snapToGrid w:val="0"/>
              <w:jc w:val="center"/>
              <w:rPr>
                <w:rFonts w:eastAsiaTheme="minorEastAsia"/>
                <w:b/>
                <w:color w:val="auto"/>
                <w:sz w:val="21"/>
                <w:szCs w:val="21"/>
              </w:rPr>
            </w:pPr>
            <w:r>
              <w:rPr>
                <w:rFonts w:eastAsiaTheme="minorEastAsia"/>
                <w:b/>
                <w:color w:val="auto"/>
                <w:sz w:val="21"/>
                <w:szCs w:val="21"/>
              </w:rPr>
              <w:t>污染物名称</w:t>
            </w:r>
          </w:p>
        </w:tc>
        <w:tc>
          <w:tcPr>
            <w:tcW w:w="1974" w:type="dxa"/>
            <w:vAlign w:val="center"/>
          </w:tcPr>
          <w:p>
            <w:pPr>
              <w:snapToGrid w:val="0"/>
              <w:jc w:val="center"/>
              <w:rPr>
                <w:rFonts w:eastAsiaTheme="minorEastAsia"/>
                <w:b/>
                <w:color w:val="auto"/>
                <w:sz w:val="21"/>
                <w:szCs w:val="21"/>
              </w:rPr>
            </w:pPr>
            <w:r>
              <w:rPr>
                <w:rFonts w:eastAsiaTheme="minorEastAsia"/>
                <w:b/>
                <w:color w:val="auto"/>
                <w:sz w:val="21"/>
                <w:szCs w:val="21"/>
              </w:rPr>
              <w:t>计算结果/m</w:t>
            </w:r>
          </w:p>
        </w:tc>
        <w:tc>
          <w:tcPr>
            <w:tcW w:w="1691" w:type="dxa"/>
          </w:tcPr>
          <w:p>
            <w:pPr>
              <w:snapToGrid w:val="0"/>
              <w:jc w:val="center"/>
              <w:rPr>
                <w:rFonts w:eastAsiaTheme="minorEastAsia"/>
                <w:b/>
                <w:color w:val="auto"/>
                <w:sz w:val="21"/>
                <w:szCs w:val="21"/>
              </w:rPr>
            </w:pPr>
            <w:r>
              <w:rPr>
                <w:rFonts w:eastAsiaTheme="minorEastAsia"/>
                <w:b/>
                <w:color w:val="auto"/>
                <w:sz w:val="21"/>
                <w:szCs w:val="21"/>
              </w:rPr>
              <w:t>卫生防护距离/m</w:t>
            </w:r>
          </w:p>
        </w:tc>
        <w:tc>
          <w:tcPr>
            <w:tcW w:w="1559" w:type="dxa"/>
            <w:vAlign w:val="center"/>
          </w:tcPr>
          <w:p>
            <w:pPr>
              <w:snapToGrid w:val="0"/>
              <w:jc w:val="center"/>
              <w:rPr>
                <w:rFonts w:eastAsiaTheme="minorEastAsia"/>
                <w:b/>
                <w:color w:val="auto"/>
                <w:sz w:val="21"/>
                <w:szCs w:val="21"/>
              </w:rPr>
            </w:pPr>
            <w:r>
              <w:rPr>
                <w:rFonts w:eastAsiaTheme="minorEastAsia"/>
                <w:b/>
                <w:color w:val="auto"/>
                <w:sz w:val="21"/>
                <w:szCs w:val="21"/>
              </w:rPr>
              <w:t>提级后卫生防护距离/m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1" w:hRule="atLeast"/>
        </w:trPr>
        <w:tc>
          <w:tcPr>
            <w:tcW w:w="1980" w:type="dxa"/>
            <w:vMerge w:val="restart"/>
            <w:vAlign w:val="center"/>
          </w:tcPr>
          <w:p>
            <w:pPr>
              <w:snapToGrid w:val="0"/>
              <w:jc w:val="center"/>
              <w:rPr>
                <w:color w:val="auto"/>
                <w:sz w:val="21"/>
                <w:szCs w:val="21"/>
              </w:rPr>
            </w:pPr>
            <w:r>
              <w:rPr>
                <w:rFonts w:hint="eastAsia"/>
                <w:color w:val="auto"/>
                <w:sz w:val="21"/>
                <w:szCs w:val="21"/>
              </w:rPr>
              <w:t>餐厨处理车间</w:t>
            </w:r>
          </w:p>
        </w:tc>
        <w:tc>
          <w:tcPr>
            <w:tcW w:w="1976" w:type="dxa"/>
            <w:vAlign w:val="center"/>
          </w:tcPr>
          <w:p>
            <w:pPr>
              <w:snapToGrid w:val="0"/>
              <w:jc w:val="center"/>
              <w:rPr>
                <w:rFonts w:eastAsiaTheme="minorEastAsia"/>
                <w:color w:val="auto"/>
                <w:sz w:val="21"/>
                <w:szCs w:val="21"/>
                <w:vertAlign w:val="subscript"/>
              </w:rPr>
            </w:pPr>
            <w:r>
              <w:rPr>
                <w:rFonts w:eastAsiaTheme="minorEastAsia"/>
                <w:color w:val="auto"/>
                <w:sz w:val="21"/>
                <w:szCs w:val="21"/>
              </w:rPr>
              <w:t>NH</w:t>
            </w:r>
            <w:r>
              <w:rPr>
                <w:rFonts w:eastAsiaTheme="minorEastAsia"/>
                <w:color w:val="auto"/>
                <w:sz w:val="21"/>
                <w:szCs w:val="21"/>
                <w:vertAlign w:val="subscript"/>
              </w:rPr>
              <w:t>3</w:t>
            </w:r>
          </w:p>
        </w:tc>
        <w:tc>
          <w:tcPr>
            <w:tcW w:w="1974" w:type="dxa"/>
            <w:vAlign w:val="center"/>
          </w:tcPr>
          <w:p>
            <w:pPr>
              <w:snapToGrid w:val="0"/>
              <w:jc w:val="center"/>
              <w:rPr>
                <w:rFonts w:eastAsiaTheme="minorEastAsia"/>
                <w:color w:val="auto"/>
                <w:sz w:val="21"/>
                <w:szCs w:val="21"/>
              </w:rPr>
            </w:pPr>
            <w:r>
              <w:rPr>
                <w:rFonts w:hint="eastAsia" w:eastAsiaTheme="minorEastAsia"/>
                <w:color w:val="auto"/>
                <w:sz w:val="21"/>
                <w:szCs w:val="21"/>
              </w:rPr>
              <w:t>0.</w:t>
            </w:r>
            <w:r>
              <w:rPr>
                <w:rFonts w:hint="eastAsia" w:eastAsiaTheme="minorEastAsia"/>
                <w:color w:val="auto"/>
                <w:sz w:val="21"/>
                <w:szCs w:val="21"/>
                <w:lang w:val="en-US" w:eastAsia="zh-CN"/>
              </w:rPr>
              <w:t>196</w:t>
            </w:r>
          </w:p>
        </w:tc>
        <w:tc>
          <w:tcPr>
            <w:tcW w:w="1691" w:type="dxa"/>
          </w:tcPr>
          <w:p>
            <w:pPr>
              <w:snapToGrid w:val="0"/>
              <w:jc w:val="center"/>
              <w:rPr>
                <w:rFonts w:eastAsiaTheme="minorEastAsia"/>
                <w:color w:val="auto"/>
                <w:sz w:val="21"/>
                <w:szCs w:val="21"/>
              </w:rPr>
            </w:pPr>
            <w:r>
              <w:rPr>
                <w:rFonts w:eastAsiaTheme="minorEastAsia"/>
                <w:color w:val="auto"/>
                <w:sz w:val="21"/>
                <w:szCs w:val="21"/>
              </w:rPr>
              <w:t>50</w:t>
            </w:r>
          </w:p>
        </w:tc>
        <w:tc>
          <w:tcPr>
            <w:tcW w:w="1559" w:type="dxa"/>
            <w:vMerge w:val="restart"/>
            <w:vAlign w:val="center"/>
          </w:tcPr>
          <w:p>
            <w:pPr>
              <w:snapToGrid w:val="0"/>
              <w:jc w:val="center"/>
              <w:rPr>
                <w:rFonts w:eastAsiaTheme="minorEastAsia"/>
                <w:color w:val="auto"/>
                <w:sz w:val="21"/>
                <w:szCs w:val="21"/>
              </w:rPr>
            </w:pPr>
            <w:r>
              <w:rPr>
                <w:rFonts w:eastAsiaTheme="minorEastAsia"/>
                <w:color w:val="auto"/>
                <w:sz w:val="21"/>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8" w:hRule="atLeast"/>
        </w:trPr>
        <w:tc>
          <w:tcPr>
            <w:tcW w:w="1980" w:type="dxa"/>
            <w:vMerge w:val="continue"/>
            <w:vAlign w:val="center"/>
          </w:tcPr>
          <w:p>
            <w:pPr>
              <w:snapToGrid w:val="0"/>
              <w:jc w:val="center"/>
              <w:rPr>
                <w:rFonts w:eastAsiaTheme="minorEastAsia"/>
                <w:color w:val="auto"/>
                <w:sz w:val="21"/>
                <w:szCs w:val="21"/>
              </w:rPr>
            </w:pPr>
          </w:p>
        </w:tc>
        <w:tc>
          <w:tcPr>
            <w:tcW w:w="1976" w:type="dxa"/>
            <w:vAlign w:val="center"/>
          </w:tcPr>
          <w:p>
            <w:pPr>
              <w:snapToGrid w:val="0"/>
              <w:jc w:val="center"/>
              <w:rPr>
                <w:rFonts w:eastAsiaTheme="minorEastAsia"/>
                <w:color w:val="auto"/>
                <w:sz w:val="21"/>
                <w:szCs w:val="21"/>
              </w:rPr>
            </w:pPr>
            <w:r>
              <w:rPr>
                <w:rFonts w:eastAsiaTheme="minorEastAsia"/>
                <w:color w:val="auto"/>
                <w:sz w:val="21"/>
                <w:szCs w:val="21"/>
              </w:rPr>
              <w:t>H</w:t>
            </w:r>
            <w:r>
              <w:rPr>
                <w:rFonts w:eastAsiaTheme="minorEastAsia"/>
                <w:color w:val="auto"/>
                <w:sz w:val="21"/>
                <w:szCs w:val="21"/>
                <w:vertAlign w:val="subscript"/>
              </w:rPr>
              <w:t>2</w:t>
            </w:r>
            <w:r>
              <w:rPr>
                <w:rFonts w:eastAsiaTheme="minorEastAsia"/>
                <w:color w:val="auto"/>
                <w:sz w:val="21"/>
                <w:szCs w:val="21"/>
              </w:rPr>
              <w:t>S</w:t>
            </w:r>
          </w:p>
        </w:tc>
        <w:tc>
          <w:tcPr>
            <w:tcW w:w="1974" w:type="dxa"/>
            <w:vAlign w:val="center"/>
          </w:tcPr>
          <w:p>
            <w:pPr>
              <w:snapToGrid w:val="0"/>
              <w:jc w:val="center"/>
              <w:rPr>
                <w:rFonts w:hint="eastAsia" w:eastAsiaTheme="minorEastAsia"/>
                <w:color w:val="auto"/>
                <w:sz w:val="21"/>
                <w:szCs w:val="21"/>
                <w:lang w:eastAsia="zh-CN"/>
              </w:rPr>
            </w:pPr>
            <w:r>
              <w:rPr>
                <w:rFonts w:hint="eastAsia" w:eastAsiaTheme="minorEastAsia"/>
                <w:color w:val="auto"/>
                <w:sz w:val="21"/>
                <w:szCs w:val="21"/>
                <w:lang w:val="en-US" w:eastAsia="zh-CN"/>
              </w:rPr>
              <w:t>2.326</w:t>
            </w:r>
          </w:p>
        </w:tc>
        <w:tc>
          <w:tcPr>
            <w:tcW w:w="1691" w:type="dxa"/>
          </w:tcPr>
          <w:p>
            <w:pPr>
              <w:snapToGrid w:val="0"/>
              <w:jc w:val="center"/>
              <w:rPr>
                <w:rFonts w:eastAsiaTheme="minorEastAsia"/>
                <w:color w:val="auto"/>
                <w:sz w:val="21"/>
                <w:szCs w:val="21"/>
              </w:rPr>
            </w:pPr>
            <w:r>
              <w:rPr>
                <w:rFonts w:eastAsiaTheme="minorEastAsia"/>
                <w:color w:val="auto"/>
                <w:sz w:val="21"/>
                <w:szCs w:val="21"/>
              </w:rPr>
              <w:t>50</w:t>
            </w:r>
          </w:p>
        </w:tc>
        <w:tc>
          <w:tcPr>
            <w:tcW w:w="1559" w:type="dxa"/>
            <w:vMerge w:val="continue"/>
            <w:vAlign w:val="center"/>
          </w:tcPr>
          <w:p>
            <w:pPr>
              <w:snapToGrid w:val="0"/>
              <w:jc w:val="center"/>
              <w:rPr>
                <w:rFonts w:eastAsiaTheme="minorEastAsia"/>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trPr>
        <w:tc>
          <w:tcPr>
            <w:tcW w:w="1980" w:type="dxa"/>
            <w:vAlign w:val="center"/>
          </w:tcPr>
          <w:p>
            <w:pPr>
              <w:snapToGrid w:val="0"/>
              <w:jc w:val="center"/>
              <w:rPr>
                <w:color w:val="auto"/>
                <w:sz w:val="21"/>
                <w:szCs w:val="21"/>
              </w:rPr>
            </w:pPr>
            <w:r>
              <w:rPr>
                <w:rFonts w:hint="eastAsia"/>
                <w:color w:val="auto"/>
                <w:sz w:val="21"/>
                <w:szCs w:val="21"/>
              </w:rPr>
              <w:t>建筑垃圾消纳场</w:t>
            </w:r>
          </w:p>
        </w:tc>
        <w:tc>
          <w:tcPr>
            <w:tcW w:w="1976" w:type="dxa"/>
            <w:vAlign w:val="center"/>
          </w:tcPr>
          <w:p>
            <w:pPr>
              <w:snapToGrid w:val="0"/>
              <w:jc w:val="center"/>
              <w:rPr>
                <w:color w:val="auto"/>
                <w:sz w:val="21"/>
                <w:szCs w:val="21"/>
              </w:rPr>
            </w:pPr>
            <w:r>
              <w:rPr>
                <w:rFonts w:hint="eastAsia"/>
                <w:color w:val="auto"/>
                <w:sz w:val="21"/>
                <w:szCs w:val="21"/>
              </w:rPr>
              <w:t>TSP</w:t>
            </w:r>
          </w:p>
        </w:tc>
        <w:tc>
          <w:tcPr>
            <w:tcW w:w="1974" w:type="dxa"/>
            <w:vAlign w:val="center"/>
          </w:tcPr>
          <w:p>
            <w:pPr>
              <w:snapToGrid w:val="0"/>
              <w:jc w:val="center"/>
              <w:rPr>
                <w:rFonts w:hint="eastAsia" w:eastAsiaTheme="minorEastAsia"/>
                <w:color w:val="auto"/>
                <w:sz w:val="21"/>
                <w:szCs w:val="21"/>
                <w:lang w:eastAsia="zh-CN"/>
              </w:rPr>
            </w:pPr>
            <w:r>
              <w:rPr>
                <w:rFonts w:hint="eastAsia" w:eastAsiaTheme="minorEastAsia"/>
                <w:color w:val="auto"/>
                <w:sz w:val="21"/>
                <w:szCs w:val="21"/>
                <w:lang w:val="en-US" w:eastAsia="zh-CN"/>
              </w:rPr>
              <w:t>0.676</w:t>
            </w:r>
          </w:p>
        </w:tc>
        <w:tc>
          <w:tcPr>
            <w:tcW w:w="1691" w:type="dxa"/>
          </w:tcPr>
          <w:p>
            <w:pPr>
              <w:snapToGrid w:val="0"/>
              <w:jc w:val="center"/>
              <w:rPr>
                <w:rFonts w:eastAsiaTheme="minorEastAsia"/>
                <w:color w:val="auto"/>
                <w:sz w:val="21"/>
                <w:szCs w:val="21"/>
              </w:rPr>
            </w:pPr>
            <w:r>
              <w:rPr>
                <w:rFonts w:eastAsiaTheme="minorEastAsia"/>
                <w:color w:val="auto"/>
                <w:sz w:val="21"/>
                <w:szCs w:val="21"/>
              </w:rPr>
              <w:t>50</w:t>
            </w:r>
          </w:p>
        </w:tc>
        <w:tc>
          <w:tcPr>
            <w:tcW w:w="1559" w:type="dxa"/>
          </w:tcPr>
          <w:p>
            <w:pPr>
              <w:snapToGrid w:val="0"/>
              <w:jc w:val="center"/>
              <w:rPr>
                <w:rFonts w:eastAsiaTheme="minorEastAsia"/>
                <w:color w:val="auto"/>
                <w:sz w:val="21"/>
                <w:szCs w:val="21"/>
              </w:rPr>
            </w:pPr>
            <w:r>
              <w:rPr>
                <w:rFonts w:eastAsiaTheme="minorEastAsia"/>
                <w:color w:val="auto"/>
                <w:sz w:val="21"/>
                <w:szCs w:val="21"/>
              </w:rPr>
              <w:t>50</w:t>
            </w:r>
          </w:p>
        </w:tc>
      </w:tr>
    </w:tbl>
    <w:p>
      <w:pPr>
        <w:autoSpaceDE w:val="0"/>
        <w:autoSpaceDN w:val="0"/>
        <w:adjustRightInd w:val="0"/>
        <w:spacing w:line="360" w:lineRule="auto"/>
        <w:ind w:firstLine="480" w:firstLineChars="200"/>
        <w:rPr>
          <w:color w:val="auto"/>
        </w:rPr>
      </w:pPr>
      <w:r>
        <w:rPr>
          <w:color w:val="auto"/>
        </w:rPr>
        <w:t>根据</w:t>
      </w:r>
      <w:r>
        <w:rPr>
          <w:color w:val="auto"/>
          <w:spacing w:val="4"/>
        </w:rPr>
        <w:t>《制定地方大气污染物排放标准的技术方法》（GB/T13201 -91）的规定：</w:t>
      </w:r>
      <w:r>
        <w:rPr>
          <w:rFonts w:asciiTheme="minorEastAsia" w:hAnsiTheme="minorEastAsia" w:eastAsiaTheme="minorEastAsia"/>
          <w:color w:val="auto"/>
          <w:spacing w:val="4"/>
        </w:rPr>
        <w:t>“</w:t>
      </w:r>
      <w:r>
        <w:rPr>
          <w:color w:val="auto"/>
        </w:rPr>
        <w:t>7.5 无组织排放多种有害气体的工业企业，按Qc/Cm的最大值计算其所需卫生防护距离；但当按两种或两种以上的有害气体的Qc/Cm值计算的卫生防护距离在同一级别时，该类工业企业的卫生防护距离级别应该高一</w:t>
      </w:r>
      <w:r>
        <w:rPr>
          <w:rFonts w:asciiTheme="minorEastAsia" w:hAnsiTheme="minorEastAsia" w:eastAsiaTheme="minorEastAsia"/>
          <w:color w:val="auto"/>
        </w:rPr>
        <w:t>级”</w:t>
      </w:r>
      <w:r>
        <w:rPr>
          <w:color w:val="auto"/>
        </w:rPr>
        <w:t>。</w:t>
      </w:r>
    </w:p>
    <w:p>
      <w:pPr>
        <w:autoSpaceDE w:val="0"/>
        <w:autoSpaceDN w:val="0"/>
        <w:adjustRightInd w:val="0"/>
        <w:spacing w:line="360" w:lineRule="auto"/>
        <w:ind w:firstLine="480" w:firstLineChars="200"/>
        <w:jc w:val="both"/>
        <w:rPr>
          <w:color w:val="auto"/>
        </w:rPr>
      </w:pPr>
      <w:r>
        <w:rPr>
          <w:bCs/>
          <w:color w:val="auto"/>
        </w:rPr>
        <w:t>在NH</w:t>
      </w:r>
      <w:r>
        <w:rPr>
          <w:bCs/>
          <w:color w:val="auto"/>
          <w:vertAlign w:val="subscript"/>
        </w:rPr>
        <w:t>3</w:t>
      </w:r>
      <w:r>
        <w:rPr>
          <w:bCs/>
          <w:color w:val="auto"/>
        </w:rPr>
        <w:t>、H</w:t>
      </w:r>
      <w:r>
        <w:rPr>
          <w:bCs/>
          <w:color w:val="auto"/>
          <w:vertAlign w:val="subscript"/>
        </w:rPr>
        <w:t>2</w:t>
      </w:r>
      <w:r>
        <w:rPr>
          <w:bCs/>
          <w:color w:val="auto"/>
        </w:rPr>
        <w:t>S参考《环境影响评价技术导则</w:t>
      </w:r>
      <w:r>
        <w:rPr>
          <w:rFonts w:hint="eastAsia"/>
          <w:bCs/>
          <w:color w:val="auto"/>
        </w:rPr>
        <w:t xml:space="preserve"> </w:t>
      </w:r>
      <w:r>
        <w:rPr>
          <w:bCs/>
          <w:color w:val="auto"/>
        </w:rPr>
        <w:t>大气环境》（</w:t>
      </w:r>
      <w:r>
        <w:rPr>
          <w:rFonts w:hint="eastAsia"/>
          <w:bCs/>
          <w:color w:val="auto"/>
        </w:rPr>
        <w:t>H</w:t>
      </w:r>
      <w:r>
        <w:rPr>
          <w:bCs/>
          <w:color w:val="auto"/>
        </w:rPr>
        <w:t>J2.2-2018）</w:t>
      </w:r>
      <w:r>
        <w:rPr>
          <w:rFonts w:hint="eastAsia"/>
          <w:bCs/>
          <w:color w:val="auto"/>
        </w:rPr>
        <w:t>附录D</w:t>
      </w:r>
      <w:r>
        <w:rPr>
          <w:bCs/>
          <w:color w:val="auto"/>
        </w:rPr>
        <w:t>中其他污染物空气质量浓度参考限</w:t>
      </w:r>
      <w:r>
        <w:rPr>
          <w:rFonts w:hint="eastAsia"/>
          <w:bCs/>
          <w:color w:val="auto"/>
        </w:rPr>
        <w:t>值</w:t>
      </w:r>
      <w:r>
        <w:rPr>
          <w:bCs/>
          <w:color w:val="auto"/>
        </w:rPr>
        <w:t>的前提下，</w:t>
      </w:r>
      <w:r>
        <w:rPr>
          <w:rFonts w:hint="eastAsia"/>
          <w:color w:val="auto"/>
        </w:rPr>
        <w:t>本项目</w:t>
      </w:r>
      <w:r>
        <w:rPr>
          <w:color w:val="auto"/>
        </w:rPr>
        <w:t>的</w:t>
      </w:r>
      <w:r>
        <w:rPr>
          <w:rFonts w:hint="eastAsia"/>
          <w:color w:val="auto"/>
        </w:rPr>
        <w:t>餐厨处理车间</w:t>
      </w:r>
      <w:r>
        <w:rPr>
          <w:color w:val="auto"/>
        </w:rPr>
        <w:t>需设置100m的卫生防护距离；同时</w:t>
      </w:r>
      <w:r>
        <w:rPr>
          <w:rFonts w:hint="eastAsia"/>
          <w:color w:val="auto"/>
        </w:rPr>
        <w:t>建筑垃圾消纳场</w:t>
      </w:r>
      <w:r>
        <w:rPr>
          <w:color w:val="auto"/>
        </w:rPr>
        <w:t>需设置50m的卫生防护距离。</w:t>
      </w:r>
    </w:p>
    <w:p>
      <w:pPr>
        <w:adjustRightInd w:val="0"/>
        <w:snapToGrid w:val="0"/>
        <w:spacing w:line="360" w:lineRule="auto"/>
        <w:ind w:firstLine="480" w:firstLineChars="200"/>
        <w:rPr>
          <w:color w:val="auto"/>
        </w:rPr>
      </w:pPr>
      <w:bookmarkStart w:id="641" w:name="_Hlk23154203"/>
      <w:r>
        <w:rPr>
          <w:rFonts w:hint="eastAsia"/>
          <w:color w:val="auto"/>
        </w:rPr>
        <w:t>本项目卫生环境防护距离没有</w:t>
      </w:r>
      <w:r>
        <w:rPr>
          <w:color w:val="auto"/>
        </w:rPr>
        <w:t>长期居住的人群</w:t>
      </w:r>
      <w:r>
        <w:rPr>
          <w:rFonts w:hint="eastAsia"/>
          <w:color w:val="auto"/>
        </w:rPr>
        <w:t>，</w:t>
      </w:r>
      <w:r>
        <w:rPr>
          <w:color w:val="auto"/>
        </w:rPr>
        <w:t>环境防护距离包络线图见图5.2-</w:t>
      </w:r>
      <w:r>
        <w:rPr>
          <w:rFonts w:hint="eastAsia"/>
          <w:color w:val="auto"/>
        </w:rPr>
        <w:t>1</w:t>
      </w:r>
      <w:r>
        <w:rPr>
          <w:color w:val="auto"/>
        </w:rPr>
        <w:t>。</w:t>
      </w:r>
      <w:bookmarkEnd w:id="641"/>
    </w:p>
    <w:p>
      <w:pPr>
        <w:adjustRightInd w:val="0"/>
        <w:snapToGrid w:val="0"/>
        <w:spacing w:line="360" w:lineRule="auto"/>
        <w:ind w:firstLine="482" w:firstLineChars="200"/>
        <w:jc w:val="center"/>
        <w:rPr>
          <w:color w:val="auto"/>
        </w:rPr>
      </w:pPr>
      <w:r>
        <w:rPr>
          <w:color w:val="auto"/>
          <w:sz w:val="24"/>
        </w:rPr>
        <mc:AlternateContent>
          <mc:Choice Requires="wps">
            <w:drawing>
              <wp:anchor distT="0" distB="0" distL="114300" distR="114300" simplePos="0" relativeHeight="2903180288" behindDoc="0" locked="0" layoutInCell="1" allowOverlap="1">
                <wp:simplePos x="0" y="0"/>
                <wp:positionH relativeFrom="column">
                  <wp:posOffset>298450</wp:posOffset>
                </wp:positionH>
                <wp:positionV relativeFrom="paragraph">
                  <wp:posOffset>3162935</wp:posOffset>
                </wp:positionV>
                <wp:extent cx="1565910" cy="1040130"/>
                <wp:effectExtent l="0" t="0" r="15240" b="7620"/>
                <wp:wrapNone/>
                <wp:docPr id="235" name="矩形 235"/>
                <wp:cNvGraphicFramePr/>
                <a:graphic xmlns:a="http://schemas.openxmlformats.org/drawingml/2006/main">
                  <a:graphicData uri="http://schemas.microsoft.com/office/word/2010/wordprocessingShape">
                    <wps:wsp>
                      <wps:cNvSpPr/>
                      <wps:spPr>
                        <a:xfrm>
                          <a:off x="1502410" y="3810635"/>
                          <a:ext cx="1565910" cy="1040130"/>
                        </a:xfrm>
                        <a:prstGeom prst="rect">
                          <a:avLst/>
                        </a:prstGeom>
                        <a:solidFill>
                          <a:srgbClr val="B8B8B8">
                            <a:lumMod val="85000"/>
                            <a:alpha val="6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5pt;margin-top:249.05pt;height:81.9pt;width:123.3pt;z-index:-1391787008;v-text-anchor:middle;mso-width-relative:page;mso-height-relative:page;" fillcolor="#9C9C9C" filled="t" stroked="f" coordsize="21600,21600" o:gfxdata="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ZoVIf2wAAAAoBAAAPAAAAAAAAAAEAIAAAACIAAABkcnMvZG93bnJl&#10;di54bWxQSwECFAAUAAAACACHTuJAwE5152wCAACvBAAADgAAAAAAAAABACAAAAAqAQAAZHJzL2Uy&#10;b0RvYy54bWxQSwUGAAAAAAYABgBZAQAACAYAAAAA&#10;">
                <v:fill on="t" opacity="41943f" focussize="0,0"/>
                <v:stroke on="f" weight="2pt"/>
                <v:imagedata o:title=""/>
                <o:lock v:ext="edit" aspectratio="f"/>
              </v:rect>
            </w:pict>
          </mc:Fallback>
        </mc:AlternateContent>
      </w:r>
      <w:r>
        <w:rPr>
          <w:color w:val="auto"/>
          <w:sz w:val="24"/>
        </w:rPr>
        <mc:AlternateContent>
          <mc:Choice Requires="wps">
            <w:drawing>
              <wp:anchor distT="0" distB="0" distL="114300" distR="114300" simplePos="0" relativeHeight="3998813184" behindDoc="0" locked="0" layoutInCell="1" allowOverlap="1">
                <wp:simplePos x="0" y="0"/>
                <wp:positionH relativeFrom="column">
                  <wp:posOffset>652145</wp:posOffset>
                </wp:positionH>
                <wp:positionV relativeFrom="paragraph">
                  <wp:posOffset>3141980</wp:posOffset>
                </wp:positionV>
                <wp:extent cx="585470" cy="289560"/>
                <wp:effectExtent l="0" t="0" r="0" b="0"/>
                <wp:wrapNone/>
                <wp:docPr id="236" name="文本框 236"/>
                <wp:cNvGraphicFramePr/>
                <a:graphic xmlns:a="http://schemas.openxmlformats.org/drawingml/2006/main">
                  <a:graphicData uri="http://schemas.microsoft.com/office/word/2010/wordprocessingShape">
                    <wps:wsp>
                      <wps:cNvSpPr txBox="1"/>
                      <wps:spPr>
                        <a:xfrm>
                          <a:off x="1729105" y="3869055"/>
                          <a:ext cx="585470" cy="289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lang w:eastAsia="zh-CN"/>
                              </w:rPr>
                            </w:pPr>
                            <w:r>
                              <w:rPr>
                                <w:rFonts w:hint="eastAsia"/>
                                <w:b/>
                                <w:bCs/>
                                <w:lang w:eastAsia="zh-CN"/>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35pt;margin-top:247.4pt;height:22.8pt;width:46.1pt;z-index:-296154112;mso-width-relative:page;mso-height-relative:page;" filled="f" stroked="f" coordsize="21600,21600" o:gfxdata="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FhaubHaAAAACwEAAA8AAAAAAAAAAQAgAAAAIgAAAGRycy9kb3ducmV2LnhtbFBL&#10;AQIUABQAAAAIAIdO4kBDH23wLQIAACcEAAAOAAAAAAAAAAEAIAAAACkBAABkcnMvZTJvRG9jLnht&#10;bFBLBQYAAAAABgAGAFkBAADIBQAAAAA=&#10;">
                <v:fill on="f" focussize="0,0"/>
                <v:stroke on="f" weight="0.5pt"/>
                <v:imagedata o:title=""/>
                <o:lock v:ext="edit" aspectratio="f"/>
                <v:textbox>
                  <w:txbxContent>
                    <w:p>
                      <w:pPr>
                        <w:rPr>
                          <w:rFonts w:hint="eastAsia" w:eastAsia="宋体"/>
                          <w:b/>
                          <w:bCs/>
                          <w:lang w:eastAsia="zh-CN"/>
                        </w:rPr>
                      </w:pPr>
                      <w:r>
                        <w:rPr>
                          <w:rFonts w:hint="eastAsia"/>
                          <w:b/>
                          <w:bCs/>
                          <w:lang w:eastAsia="zh-CN"/>
                        </w:rPr>
                        <w:t>图例</w:t>
                      </w:r>
                    </w:p>
                  </w:txbxContent>
                </v:textbox>
              </v:shape>
            </w:pict>
          </mc:Fallback>
        </mc:AlternateContent>
      </w:r>
      <w:r>
        <w:rPr>
          <w:color w:val="auto"/>
          <w:sz w:val="24"/>
        </w:rPr>
        <mc:AlternateContent>
          <mc:Choice Requires="wps">
            <w:drawing>
              <wp:anchor distT="0" distB="0" distL="114300" distR="114300" simplePos="0" relativeHeight="2355383296" behindDoc="0" locked="0" layoutInCell="1" allowOverlap="1">
                <wp:simplePos x="0" y="0"/>
                <wp:positionH relativeFrom="column">
                  <wp:posOffset>681355</wp:posOffset>
                </wp:positionH>
                <wp:positionV relativeFrom="paragraph">
                  <wp:posOffset>3955415</wp:posOffset>
                </wp:positionV>
                <wp:extent cx="1314450" cy="352425"/>
                <wp:effectExtent l="0" t="0" r="0" b="0"/>
                <wp:wrapNone/>
                <wp:docPr id="254" name="文本框 254"/>
                <wp:cNvGraphicFramePr/>
                <a:graphic xmlns:a="http://schemas.openxmlformats.org/drawingml/2006/main">
                  <a:graphicData uri="http://schemas.microsoft.com/office/word/2010/wordprocessingShape">
                    <wps:wsp>
                      <wps:cNvSpPr txBox="1"/>
                      <wps:spPr>
                        <a:xfrm>
                          <a:off x="0" y="0"/>
                          <a:ext cx="1314450" cy="352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lang w:eastAsia="zh-CN"/>
                              </w:rPr>
                            </w:pPr>
                            <w:r>
                              <w:rPr>
                                <w:rFonts w:hint="eastAsia"/>
                                <w:b/>
                                <w:bCs/>
                                <w:lang w:eastAsia="zh-CN"/>
                              </w:rPr>
                              <w:t>卫生防护距离</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65pt;margin-top:311.45pt;height:27.75pt;width:103.5pt;z-index:-1939584000;mso-width-relative:page;mso-height-relative:page;" filled="f" stroked="f" coordsize="21600,21600" o:gfxdata="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60ha&#10;ItsAAAALAQAADwAAAAAAAAABACAAAAAiAAAAZHJzL2Rvd25yZXYueG1sUEsBAhQAFAAAAAgAh07i&#10;QFPRBQEfAgAAHAQAAA4AAAAAAAAAAQAgAAAAKgEAAGRycy9lMm9Eb2MueG1sUEsFBgAAAAAGAAYA&#10;WQEAALsFAAAAAA==&#10;">
                <v:fill on="f" focussize="0,0"/>
                <v:stroke on="f" weight="0.5pt"/>
                <v:imagedata o:title=""/>
                <o:lock v:ext="edit" aspectratio="f"/>
                <v:textbox>
                  <w:txbxContent>
                    <w:p>
                      <w:pPr>
                        <w:rPr>
                          <w:rFonts w:hint="eastAsia" w:eastAsia="宋体"/>
                          <w:b/>
                          <w:bCs/>
                          <w:lang w:eastAsia="zh-CN"/>
                        </w:rPr>
                      </w:pPr>
                      <w:r>
                        <w:rPr>
                          <w:rFonts w:hint="eastAsia"/>
                          <w:b/>
                          <w:bCs/>
                          <w:lang w:eastAsia="zh-CN"/>
                        </w:rPr>
                        <w:t>卫生防护距离</w:t>
                      </w:r>
                    </w:p>
                  </w:txbxContent>
                </v:textbox>
              </v:shape>
            </w:pict>
          </mc:Fallback>
        </mc:AlternateContent>
      </w:r>
      <w:r>
        <w:rPr>
          <w:color w:val="auto"/>
          <w:sz w:val="24"/>
        </w:rPr>
        <mc:AlternateContent>
          <mc:Choice Requires="wps">
            <w:drawing>
              <wp:anchor distT="0" distB="0" distL="114300" distR="114300" simplePos="0" relativeHeight="2903193600" behindDoc="0" locked="0" layoutInCell="1" allowOverlap="1">
                <wp:simplePos x="0" y="0"/>
                <wp:positionH relativeFrom="column">
                  <wp:posOffset>690880</wp:posOffset>
                </wp:positionH>
                <wp:positionV relativeFrom="paragraph">
                  <wp:posOffset>3774440</wp:posOffset>
                </wp:positionV>
                <wp:extent cx="1314450" cy="352425"/>
                <wp:effectExtent l="0" t="0" r="0" b="0"/>
                <wp:wrapNone/>
                <wp:docPr id="253" name="文本框 253"/>
                <wp:cNvGraphicFramePr/>
                <a:graphic xmlns:a="http://schemas.openxmlformats.org/drawingml/2006/main">
                  <a:graphicData uri="http://schemas.microsoft.com/office/word/2010/wordprocessingShape">
                    <wps:wsp>
                      <wps:cNvSpPr txBox="1"/>
                      <wps:spPr>
                        <a:xfrm>
                          <a:off x="0" y="0"/>
                          <a:ext cx="1314450" cy="352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b/>
                                <w:bCs/>
                                <w:lang w:eastAsia="zh-CN"/>
                              </w:rPr>
                              <w:t>建筑垃圾消纳场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4pt;margin-top:297.2pt;height:27.75pt;width:103.5pt;z-index:-1391773696;mso-width-relative:page;mso-height-relative:page;" filled="f" stroked="f" coordsize="21600,21600" o:gfxdata="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DV2X&#10;3tsAAAALAQAADwAAAAAAAAABACAAAAAiAAAAZHJzL2Rvd25yZXYueG1sUEsBAhQAFAAAAAgAh07i&#10;QC9rWE4fAgAAHAQAAA4AAAAAAAAAAQAgAAAAKgEAAGRycy9lMm9Eb2MueG1sUEsFBgAAAAAGAAYA&#10;WQEAALsFAAAAAA==&#10;">
                <v:fill on="f" focussize="0,0"/>
                <v:stroke on="f" weight="0.5pt"/>
                <v:imagedata o:title=""/>
                <o:lock v:ext="edit" aspectratio="f"/>
                <v:textbox>
                  <w:txbxContent>
                    <w:p>
                      <w:pPr>
                        <w:rPr>
                          <w:rFonts w:hint="eastAsia" w:eastAsia="宋体"/>
                          <w:lang w:eastAsia="zh-CN"/>
                        </w:rPr>
                      </w:pPr>
                      <w:r>
                        <w:rPr>
                          <w:rFonts w:hint="eastAsia"/>
                          <w:b/>
                          <w:bCs/>
                          <w:lang w:eastAsia="zh-CN"/>
                        </w:rPr>
                        <w:t>建筑垃圾消纳场</w:t>
                      </w:r>
                    </w:p>
                  </w:txbxContent>
                </v:textbox>
              </v:shape>
            </w:pict>
          </mc:Fallback>
        </mc:AlternateContent>
      </w:r>
      <w:r>
        <w:rPr>
          <w:color w:val="auto"/>
          <w:sz w:val="24"/>
        </w:rPr>
        <mc:AlternateContent>
          <mc:Choice Requires="wps">
            <w:drawing>
              <wp:anchor distT="0" distB="0" distL="114300" distR="114300" simplePos="0" relativeHeight="3451003904" behindDoc="0" locked="0" layoutInCell="1" allowOverlap="1">
                <wp:simplePos x="0" y="0"/>
                <wp:positionH relativeFrom="column">
                  <wp:posOffset>681355</wp:posOffset>
                </wp:positionH>
                <wp:positionV relativeFrom="paragraph">
                  <wp:posOffset>3593465</wp:posOffset>
                </wp:positionV>
                <wp:extent cx="1314450" cy="352425"/>
                <wp:effectExtent l="0" t="0" r="0" b="0"/>
                <wp:wrapNone/>
                <wp:docPr id="252" name="文本框 252"/>
                <wp:cNvGraphicFramePr/>
                <a:graphic xmlns:a="http://schemas.openxmlformats.org/drawingml/2006/main">
                  <a:graphicData uri="http://schemas.microsoft.com/office/word/2010/wordprocessingShape">
                    <wps:wsp>
                      <wps:cNvSpPr txBox="1"/>
                      <wps:spPr>
                        <a:xfrm>
                          <a:off x="0" y="0"/>
                          <a:ext cx="1314450" cy="352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b/>
                                <w:bCs/>
                                <w:lang w:eastAsia="zh-CN"/>
                              </w:rPr>
                              <w:t>餐厨垃圾处理厂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65pt;margin-top:282.95pt;height:27.75pt;width:103.5pt;z-index:-843963392;mso-width-relative:page;mso-height-relative:page;" filled="f" stroked="f" coordsize="21600,21600" o:gfxdata="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e0d0&#10;itsAAAALAQAADwAAAAAAAAABACAAAAAiAAAAZHJzL2Rvd25yZXYueG1sUEsBAhQAFAAAAAgAh07i&#10;QL2MZ90fAgAAHAQAAA4AAAAAAAAAAQAgAAAAKgEAAGRycy9lMm9Eb2MueG1sUEsFBgAAAAAGAAYA&#10;WQEAALsFAAAAAA==&#10;">
                <v:fill on="f" focussize="0,0"/>
                <v:stroke on="f" weight="0.5pt"/>
                <v:imagedata o:title=""/>
                <o:lock v:ext="edit" aspectratio="f"/>
                <v:textbox>
                  <w:txbxContent>
                    <w:p>
                      <w:pPr>
                        <w:rPr>
                          <w:rFonts w:hint="eastAsia" w:eastAsia="宋体"/>
                          <w:lang w:eastAsia="zh-CN"/>
                        </w:rPr>
                      </w:pPr>
                      <w:r>
                        <w:rPr>
                          <w:rFonts w:hint="eastAsia"/>
                          <w:b/>
                          <w:bCs/>
                          <w:lang w:eastAsia="zh-CN"/>
                        </w:rPr>
                        <w:t>餐厨垃圾处理厂</w:t>
                      </w:r>
                    </w:p>
                  </w:txbxContent>
                </v:textbox>
              </v:shape>
            </w:pict>
          </mc:Fallback>
        </mc:AlternateContent>
      </w:r>
      <w:r>
        <w:rPr>
          <w:color w:val="auto"/>
          <w:sz w:val="24"/>
        </w:rPr>
        <mc:AlternateContent>
          <mc:Choice Requires="wps">
            <w:drawing>
              <wp:anchor distT="0" distB="0" distL="114300" distR="114300" simplePos="0" relativeHeight="251582464" behindDoc="0" locked="0" layoutInCell="1" allowOverlap="1">
                <wp:simplePos x="0" y="0"/>
                <wp:positionH relativeFrom="column">
                  <wp:posOffset>748030</wp:posOffset>
                </wp:positionH>
                <wp:positionV relativeFrom="paragraph">
                  <wp:posOffset>3355340</wp:posOffset>
                </wp:positionV>
                <wp:extent cx="971550" cy="352425"/>
                <wp:effectExtent l="0" t="0" r="0" b="0"/>
                <wp:wrapNone/>
                <wp:docPr id="251" name="文本框 251"/>
                <wp:cNvGraphicFramePr/>
                <a:graphic xmlns:a="http://schemas.openxmlformats.org/drawingml/2006/main">
                  <a:graphicData uri="http://schemas.microsoft.com/office/word/2010/wordprocessingShape">
                    <wps:wsp>
                      <wps:cNvSpPr txBox="1"/>
                      <wps:spPr>
                        <a:xfrm>
                          <a:off x="1913890" y="4094480"/>
                          <a:ext cx="971550" cy="352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b/>
                                <w:bCs/>
                                <w:lang w:eastAsia="zh-CN"/>
                              </w:rPr>
                              <w:t>园区大红线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9pt;margin-top:264.2pt;height:27.75pt;width:76.5pt;z-index:251582464;mso-width-relative:page;mso-height-relative:page;" filled="f" stroked="f" coordsize="21600,21600" o:gfxdata="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LhSkX2wAAAAsBAAAPAAAAAAAAAAEAIAAAACIAAABkcnMvZG93bnJldi54bWxQSwEC&#10;FAAUAAAACACHTuJACx7VkyoCAAAnBAAADgAAAAAAAAABACAAAAAqAQAAZHJzL2Uyb0RvYy54bWxQ&#10;SwUGAAAAAAYABgBZAQAAxgUAAAAA&#10;">
                <v:fill on="f" focussize="0,0"/>
                <v:stroke on="f" weight="0.5pt"/>
                <v:imagedata o:title=""/>
                <o:lock v:ext="edit" aspectratio="f"/>
                <v:textbox>
                  <w:txbxContent>
                    <w:p>
                      <w:pPr>
                        <w:rPr>
                          <w:rFonts w:hint="eastAsia" w:eastAsia="宋体"/>
                          <w:lang w:eastAsia="zh-CN"/>
                        </w:rPr>
                      </w:pPr>
                      <w:r>
                        <w:rPr>
                          <w:rFonts w:hint="eastAsia"/>
                          <w:b/>
                          <w:bCs/>
                          <w:lang w:eastAsia="zh-CN"/>
                        </w:rPr>
                        <w:t>园区大红线</w:t>
                      </w:r>
                    </w:p>
                  </w:txbxContent>
                </v:textbox>
              </v:shape>
            </w:pict>
          </mc:Fallback>
        </mc:AlternateContent>
      </w:r>
      <w:r>
        <w:rPr>
          <w:color w:val="auto"/>
          <w:sz w:val="24"/>
        </w:rPr>
        <mc:AlternateContent>
          <mc:Choice Requires="wps">
            <w:drawing>
              <wp:anchor distT="0" distB="0" distL="114300" distR="114300" simplePos="0" relativeHeight="2903190528" behindDoc="0" locked="0" layoutInCell="1" allowOverlap="1">
                <wp:simplePos x="0" y="0"/>
                <wp:positionH relativeFrom="column">
                  <wp:posOffset>376555</wp:posOffset>
                </wp:positionH>
                <wp:positionV relativeFrom="paragraph">
                  <wp:posOffset>4041140</wp:posOffset>
                </wp:positionV>
                <wp:extent cx="257175" cy="104775"/>
                <wp:effectExtent l="12700" t="0" r="15875" b="15240"/>
                <wp:wrapNone/>
                <wp:docPr id="247" name="矩形 247"/>
                <wp:cNvGraphicFramePr/>
                <a:graphic xmlns:a="http://schemas.openxmlformats.org/drawingml/2006/main">
                  <a:graphicData uri="http://schemas.microsoft.com/office/word/2010/wordprocessingShape">
                    <wps:wsp>
                      <wps:cNvSpPr/>
                      <wps:spPr>
                        <a:xfrm>
                          <a:off x="0" y="0"/>
                          <a:ext cx="257175" cy="104775"/>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65pt;margin-top:318.2pt;height:8.25pt;width:20.25pt;z-index:-1391776768;v-text-anchor:middle;mso-width-relative:page;mso-height-relative:page;" filled="f" stroked="t" coordsize="21600,21600" o:gfxdata="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anYli9oAAAAJAQAADwAAAAAAAAABACAA&#10;AAAiAAAAZHJzL2Rvd25yZXYueG1sUEsBAhQAFAAAAAgAh07iQOXWqRtEAgAAaQQAAA4AAAAAAAAA&#10;AQAgAAAAKQEAAGRycy9lMm9Eb2MueG1sUEsFBgAAAAAGAAYAWQEAAN8FAAAAAA==&#10;">
                <v:fill on="f" focussize="0,0"/>
                <v:stroke weight="2pt" color="#00B050 [3204]" joinstyle="round"/>
                <v:imagedata o:title=""/>
                <o:lock v:ext="edit" aspectratio="f"/>
              </v:rect>
            </w:pict>
          </mc:Fallback>
        </mc:AlternateContent>
      </w:r>
      <w:r>
        <w:rPr>
          <w:color w:val="auto"/>
          <w:sz w:val="24"/>
        </w:rPr>
        <mc:AlternateContent>
          <mc:Choice Requires="wps">
            <w:drawing>
              <wp:anchor distT="0" distB="0" distL="114300" distR="114300" simplePos="0" relativeHeight="3451001856" behindDoc="0" locked="0" layoutInCell="1" allowOverlap="1">
                <wp:simplePos x="0" y="0"/>
                <wp:positionH relativeFrom="column">
                  <wp:posOffset>376555</wp:posOffset>
                </wp:positionH>
                <wp:positionV relativeFrom="paragraph">
                  <wp:posOffset>3850640</wp:posOffset>
                </wp:positionV>
                <wp:extent cx="257175" cy="104775"/>
                <wp:effectExtent l="12700" t="0" r="15875" b="15240"/>
                <wp:wrapNone/>
                <wp:docPr id="239" name="矩形 239"/>
                <wp:cNvGraphicFramePr/>
                <a:graphic xmlns:a="http://schemas.openxmlformats.org/drawingml/2006/main">
                  <a:graphicData uri="http://schemas.microsoft.com/office/word/2010/wordprocessingShape">
                    <wps:wsp>
                      <wps:cNvSpPr/>
                      <wps:spPr>
                        <a:xfrm>
                          <a:off x="0" y="0"/>
                          <a:ext cx="257175" cy="104775"/>
                        </a:xfrm>
                        <a:prstGeom prst="rect">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65pt;margin-top:303.2pt;height:8.25pt;width:20.25pt;z-index:-843965440;v-text-anchor:middle;mso-width-relative:page;mso-height-relative:page;" filled="f" stroked="t" coordsize="21600,21600" o:gfxdata="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B554DtoAAAAJ&#10;AQAADwAAAAAAAAABACAAAAAiAAAAZHJzL2Rvd25yZXYueG1sUEsBAhQAFAAAAAgAh07iQCewz+xT&#10;AgAAiwQAAA4AAAAAAAAAAQAgAAAAKQEAAGRycy9lMm9Eb2MueG1sUEsFBgAAAAAGAAYAWQEAAO4F&#10;AAAAAA==&#10;">
                <v:fill on="f" focussize="0,0"/>
                <v:stroke weight="2pt" color="#17375E [2415]" joinstyle="round"/>
                <v:imagedata o:title=""/>
                <o:lock v:ext="edit" aspectratio="f"/>
              </v:rect>
            </w:pict>
          </mc:Fallback>
        </mc:AlternateContent>
      </w:r>
      <w:r>
        <w:rPr>
          <w:color w:val="auto"/>
          <w:sz w:val="24"/>
        </w:rPr>
        <mc:AlternateContent>
          <mc:Choice Requires="wps">
            <w:drawing>
              <wp:anchor distT="0" distB="0" distL="114300" distR="114300" simplePos="0" relativeHeight="3451001856" behindDoc="0" locked="0" layoutInCell="1" allowOverlap="1">
                <wp:simplePos x="0" y="0"/>
                <wp:positionH relativeFrom="column">
                  <wp:posOffset>367030</wp:posOffset>
                </wp:positionH>
                <wp:positionV relativeFrom="paragraph">
                  <wp:posOffset>3641090</wp:posOffset>
                </wp:positionV>
                <wp:extent cx="257175" cy="104775"/>
                <wp:effectExtent l="12700" t="0" r="15875" b="15240"/>
                <wp:wrapNone/>
                <wp:docPr id="238" name="矩形 238"/>
                <wp:cNvGraphicFramePr/>
                <a:graphic xmlns:a="http://schemas.openxmlformats.org/drawingml/2006/main">
                  <a:graphicData uri="http://schemas.microsoft.com/office/word/2010/wordprocessingShape">
                    <wps:wsp>
                      <wps:cNvSpPr/>
                      <wps:spPr>
                        <a:xfrm>
                          <a:off x="0" y="0"/>
                          <a:ext cx="257175" cy="10477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9pt;margin-top:286.7pt;height:8.25pt;width:20.25pt;z-index:-843965440;v-text-anchor:middle;mso-width-relative:page;mso-height-relative:page;" filled="f" stroked="t" coordsize="21600,21600" o:gfxdata="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QCdlk2AAAAAkBAAAPAAAAAAAAAAEAIAAAACIA&#10;AABkcnMvZG93bnJldi54bWxQSwECFAAUAAAACACHTuJAMJtcs0ICAABpBAAADgAAAAAAAAABACAA&#10;AAAnAQAAZHJzL2Uyb0RvYy54bWxQSwUGAAAAAAYABgBZAQAA2wUAAAAA&#10;">
                <v:fill on="f" focussize="0,0"/>
                <v:stroke weight="2pt" color="#FFFF00 [3204]" joinstyle="round"/>
                <v:imagedata o:title=""/>
                <o:lock v:ext="edit" aspectratio="f"/>
              </v:rect>
            </w:pict>
          </mc:Fallback>
        </mc:AlternateContent>
      </w:r>
      <w:r>
        <w:rPr>
          <w:color w:val="auto"/>
          <w:sz w:val="24"/>
        </w:rPr>
        <mc:AlternateContent>
          <mc:Choice Requires="wps">
            <w:drawing>
              <wp:anchor distT="0" distB="0" distL="114300" distR="114300" simplePos="0" relativeHeight="3998814208" behindDoc="0" locked="0" layoutInCell="1" allowOverlap="1">
                <wp:simplePos x="0" y="0"/>
                <wp:positionH relativeFrom="column">
                  <wp:posOffset>357505</wp:posOffset>
                </wp:positionH>
                <wp:positionV relativeFrom="paragraph">
                  <wp:posOffset>3431540</wp:posOffset>
                </wp:positionV>
                <wp:extent cx="257175" cy="104775"/>
                <wp:effectExtent l="12700" t="0" r="15875" b="15240"/>
                <wp:wrapNone/>
                <wp:docPr id="237" name="矩形 237"/>
                <wp:cNvGraphicFramePr/>
                <a:graphic xmlns:a="http://schemas.openxmlformats.org/drawingml/2006/main">
                  <a:graphicData uri="http://schemas.microsoft.com/office/word/2010/wordprocessingShape">
                    <wps:wsp>
                      <wps:cNvSpPr/>
                      <wps:spPr>
                        <a:xfrm>
                          <a:off x="1437640" y="4151630"/>
                          <a:ext cx="257175" cy="1047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15pt;margin-top:270.2pt;height:8.25pt;width:20.25pt;z-index:-296153088;v-text-anchor:middle;mso-width-relative:page;mso-height-relative:page;" filled="f" stroked="t" coordsize="21600,21600" o:gfxdata="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U9atr2QAAAAkBAAAP&#10;AAAAAAAAAAEAIAAAACIAAABkcnMvZG93bnJldi54bWxQSwECFAAUAAAACACHTuJAhX6+RVACAAB1&#10;BAAADgAAAAAAAAABACAAAAAoAQAAZHJzL2Uyb0RvYy54bWxQSwUGAAAAAAYABgBZAQAA6gUAAAAA&#10;">
                <v:fill on="f" focussize="0,0"/>
                <v:stroke weight="2pt" color="#FF0000 [3204]" joinstyle="round"/>
                <v:imagedata o:title=""/>
                <o:lock v:ext="edit" aspectratio="f"/>
              </v:rect>
            </w:pict>
          </mc:Fallback>
        </mc:AlternateContent>
      </w:r>
      <w:r>
        <w:rPr>
          <w:color w:val="auto"/>
        </w:rPr>
        <w:drawing>
          <wp:inline distT="0" distB="0" distL="114300" distR="114300">
            <wp:extent cx="5755005" cy="4218940"/>
            <wp:effectExtent l="0" t="0" r="17145" b="10160"/>
            <wp:docPr id="23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
                    <pic:cNvPicPr>
                      <a:picLocks noChangeAspect="1"/>
                    </pic:cNvPicPr>
                  </pic:nvPicPr>
                  <pic:blipFill>
                    <a:blip r:embed="rId110"/>
                    <a:stretch>
                      <a:fillRect/>
                    </a:stretch>
                  </pic:blipFill>
                  <pic:spPr>
                    <a:xfrm>
                      <a:off x="0" y="0"/>
                      <a:ext cx="5755005" cy="4218940"/>
                    </a:xfrm>
                    <a:prstGeom prst="rect">
                      <a:avLst/>
                    </a:prstGeom>
                    <a:noFill/>
                    <a:ln w="9525">
                      <a:noFill/>
                      <a:miter/>
                    </a:ln>
                  </pic:spPr>
                </pic:pic>
              </a:graphicData>
            </a:graphic>
          </wp:inline>
        </w:drawing>
      </w:r>
    </w:p>
    <w:p>
      <w:pPr>
        <w:adjustRightInd w:val="0"/>
        <w:snapToGrid w:val="0"/>
        <w:jc w:val="center"/>
        <w:rPr>
          <w:b/>
          <w:color w:val="auto"/>
        </w:rPr>
      </w:pPr>
      <w:r>
        <w:rPr>
          <w:b/>
          <w:color w:val="auto"/>
        </w:rPr>
        <w:t>图 5.2-</w:t>
      </w:r>
      <w:r>
        <w:rPr>
          <w:rFonts w:hint="eastAsia"/>
          <w:b/>
          <w:color w:val="auto"/>
        </w:rPr>
        <w:t>1</w:t>
      </w:r>
      <w:r>
        <w:rPr>
          <w:b/>
          <w:color w:val="auto"/>
        </w:rPr>
        <w:t xml:space="preserve"> </w:t>
      </w:r>
      <w:r>
        <w:rPr>
          <w:b/>
          <w:color w:val="auto"/>
          <w:highlight w:val="none"/>
        </w:rPr>
        <w:t>环境防护距离包络线</w:t>
      </w:r>
      <w:r>
        <w:rPr>
          <w:b/>
          <w:color w:val="auto"/>
        </w:rPr>
        <w:t>图</w:t>
      </w:r>
    </w:p>
    <w:p>
      <w:pPr>
        <w:adjustRightInd w:val="0"/>
        <w:snapToGrid w:val="0"/>
        <w:jc w:val="center"/>
        <w:rPr>
          <w:color w:val="auto"/>
        </w:rPr>
      </w:pPr>
    </w:p>
    <w:p>
      <w:pPr>
        <w:spacing w:line="360" w:lineRule="auto"/>
        <w:rPr>
          <w:b/>
          <w:color w:val="auto"/>
        </w:rPr>
      </w:pPr>
      <w:r>
        <w:rPr>
          <w:b/>
          <w:color w:val="auto"/>
        </w:rPr>
        <w:t>5.2.1.1</w:t>
      </w:r>
      <w:r>
        <w:rPr>
          <w:rFonts w:hint="eastAsia"/>
          <w:b/>
          <w:color w:val="auto"/>
        </w:rPr>
        <w:t>0</w:t>
      </w:r>
      <w:r>
        <w:rPr>
          <w:b/>
          <w:color w:val="auto"/>
        </w:rPr>
        <w:t>大气环境影响评价自查表</w:t>
      </w:r>
    </w:p>
    <w:p>
      <w:pPr>
        <w:pStyle w:val="290"/>
        <w:adjustRightInd w:val="0"/>
        <w:snapToGrid w:val="0"/>
        <w:rPr>
          <w:color w:val="auto"/>
        </w:rPr>
      </w:pPr>
      <w:r>
        <w:rPr>
          <w:color w:val="auto"/>
        </w:rPr>
        <w:t>表5.2-</w:t>
      </w:r>
      <w:r>
        <w:rPr>
          <w:rFonts w:hint="eastAsia"/>
          <w:color w:val="auto"/>
        </w:rPr>
        <w:t>8</w:t>
      </w:r>
      <w:r>
        <w:rPr>
          <w:color w:val="auto"/>
        </w:rPr>
        <w:t xml:space="preserve">  建设项目大气环境影响评价自查表</w:t>
      </w:r>
    </w:p>
    <w:tbl>
      <w:tblPr>
        <w:tblStyle w:val="53"/>
        <w:tblW w:w="9285"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1"/>
        <w:gridCol w:w="1344"/>
        <w:gridCol w:w="934"/>
        <w:gridCol w:w="103"/>
        <w:gridCol w:w="419"/>
        <w:gridCol w:w="315"/>
        <w:gridCol w:w="25"/>
        <w:gridCol w:w="281"/>
        <w:gridCol w:w="277"/>
        <w:gridCol w:w="72"/>
        <w:gridCol w:w="486"/>
        <w:gridCol w:w="205"/>
        <w:gridCol w:w="522"/>
        <w:gridCol w:w="521"/>
        <w:gridCol w:w="208"/>
        <w:gridCol w:w="485"/>
        <w:gridCol w:w="347"/>
        <w:gridCol w:w="450"/>
        <w:gridCol w:w="174"/>
        <w:gridCol w:w="360"/>
        <w:gridCol w:w="56"/>
        <w:gridCol w:w="10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2005" w:type="dxa"/>
            <w:gridSpan w:val="2"/>
            <w:shd w:val="clear" w:color="auto" w:fill="auto"/>
            <w:vAlign w:val="center"/>
          </w:tcPr>
          <w:p>
            <w:pPr>
              <w:autoSpaceDE w:val="0"/>
              <w:autoSpaceDN w:val="0"/>
              <w:jc w:val="center"/>
              <w:textAlignment w:val="baseline"/>
              <w:rPr>
                <w:b/>
                <w:color w:val="auto"/>
                <w:sz w:val="21"/>
                <w:szCs w:val="21"/>
              </w:rPr>
            </w:pPr>
            <w:r>
              <w:rPr>
                <w:b/>
                <w:color w:val="auto"/>
                <w:sz w:val="21"/>
                <w:szCs w:val="21"/>
              </w:rPr>
              <w:t>工作内容</w:t>
            </w:r>
          </w:p>
        </w:tc>
        <w:tc>
          <w:tcPr>
            <w:tcW w:w="7280" w:type="dxa"/>
            <w:gridSpan w:val="20"/>
            <w:shd w:val="clear" w:color="auto" w:fill="auto"/>
            <w:vAlign w:val="center"/>
          </w:tcPr>
          <w:p>
            <w:pPr>
              <w:autoSpaceDE w:val="0"/>
              <w:autoSpaceDN w:val="0"/>
              <w:jc w:val="center"/>
              <w:textAlignment w:val="baseline"/>
              <w:rPr>
                <w:b/>
                <w:color w:val="auto"/>
                <w:sz w:val="21"/>
                <w:szCs w:val="21"/>
              </w:rPr>
            </w:pPr>
            <w:r>
              <w:rPr>
                <w:b/>
                <w:color w:val="auto"/>
                <w:sz w:val="21"/>
                <w:szCs w:val="21"/>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61" w:type="dxa"/>
            <w:vMerge w:val="restart"/>
            <w:shd w:val="clear" w:color="auto" w:fill="auto"/>
            <w:vAlign w:val="center"/>
          </w:tcPr>
          <w:p>
            <w:pPr>
              <w:autoSpaceDE w:val="0"/>
              <w:autoSpaceDN w:val="0"/>
              <w:jc w:val="center"/>
              <w:textAlignment w:val="baseline"/>
              <w:rPr>
                <w:color w:val="auto"/>
                <w:sz w:val="21"/>
                <w:szCs w:val="21"/>
              </w:rPr>
            </w:pPr>
            <w:r>
              <w:rPr>
                <w:color w:val="auto"/>
                <w:sz w:val="21"/>
                <w:szCs w:val="21"/>
              </w:rPr>
              <w:t>评价等级与范围</w:t>
            </w:r>
          </w:p>
        </w:tc>
        <w:tc>
          <w:tcPr>
            <w:tcW w:w="1344" w:type="dxa"/>
            <w:shd w:val="clear" w:color="auto" w:fill="auto"/>
            <w:vAlign w:val="center"/>
          </w:tcPr>
          <w:p>
            <w:pPr>
              <w:autoSpaceDE w:val="0"/>
              <w:autoSpaceDN w:val="0"/>
              <w:jc w:val="center"/>
              <w:textAlignment w:val="baseline"/>
              <w:rPr>
                <w:color w:val="auto"/>
                <w:sz w:val="21"/>
                <w:szCs w:val="21"/>
              </w:rPr>
            </w:pPr>
            <w:r>
              <w:rPr>
                <w:color w:val="auto"/>
                <w:sz w:val="21"/>
                <w:szCs w:val="21"/>
              </w:rPr>
              <w:t>评价等级</w:t>
            </w:r>
          </w:p>
        </w:tc>
        <w:tc>
          <w:tcPr>
            <w:tcW w:w="2354" w:type="dxa"/>
            <w:gridSpan w:val="7"/>
            <w:shd w:val="clear" w:color="auto" w:fill="auto"/>
            <w:vAlign w:val="center"/>
          </w:tcPr>
          <w:p>
            <w:pPr>
              <w:autoSpaceDE w:val="0"/>
              <w:autoSpaceDN w:val="0"/>
              <w:jc w:val="center"/>
              <w:textAlignment w:val="baseline"/>
              <w:rPr>
                <w:color w:val="auto"/>
                <w:sz w:val="21"/>
                <w:szCs w:val="21"/>
              </w:rPr>
            </w:pPr>
            <w:r>
              <w:rPr>
                <w:color w:val="auto"/>
                <w:sz w:val="21"/>
                <w:szCs w:val="21"/>
              </w:rPr>
              <w:t>一级</w:t>
            </w:r>
            <w:r>
              <w:rPr>
                <w:rFonts w:asciiTheme="minorEastAsia" w:hAnsiTheme="minorEastAsia" w:eastAsiaTheme="minorEastAsia"/>
                <w:color w:val="auto"/>
                <w:sz w:val="21"/>
                <w:szCs w:val="21"/>
              </w:rPr>
              <w:t>□</w:t>
            </w:r>
          </w:p>
        </w:tc>
        <w:tc>
          <w:tcPr>
            <w:tcW w:w="3296" w:type="dxa"/>
            <w:gridSpan w:val="9"/>
            <w:shd w:val="clear" w:color="auto" w:fill="auto"/>
            <w:vAlign w:val="center"/>
          </w:tcPr>
          <w:p>
            <w:pPr>
              <w:autoSpaceDE w:val="0"/>
              <w:autoSpaceDN w:val="0"/>
              <w:jc w:val="center"/>
              <w:textAlignment w:val="baseline"/>
              <w:rPr>
                <w:color w:val="auto"/>
                <w:sz w:val="21"/>
                <w:szCs w:val="21"/>
              </w:rPr>
            </w:pPr>
            <w:r>
              <w:rPr>
                <w:color w:val="auto"/>
                <w:sz w:val="21"/>
                <w:szCs w:val="21"/>
              </w:rPr>
              <w:t>二级√</w:t>
            </w:r>
          </w:p>
        </w:tc>
        <w:tc>
          <w:tcPr>
            <w:tcW w:w="1630" w:type="dxa"/>
            <w:gridSpan w:val="4"/>
            <w:shd w:val="clear" w:color="auto" w:fill="auto"/>
            <w:vAlign w:val="center"/>
          </w:tcPr>
          <w:p>
            <w:pPr>
              <w:autoSpaceDE w:val="0"/>
              <w:autoSpaceDN w:val="0"/>
              <w:jc w:val="center"/>
              <w:textAlignment w:val="baseline"/>
              <w:rPr>
                <w:color w:val="auto"/>
                <w:sz w:val="21"/>
                <w:szCs w:val="21"/>
              </w:rPr>
            </w:pPr>
            <w:r>
              <w:rPr>
                <w:color w:val="auto"/>
                <w:sz w:val="21"/>
                <w:szCs w:val="21"/>
              </w:rPr>
              <w:t>三级</w:t>
            </w:r>
            <w:r>
              <w:rPr>
                <w:rFonts w:asciiTheme="minorEastAsia" w:hAnsiTheme="minorEastAsia" w:eastAsiaTheme="minor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61" w:type="dxa"/>
            <w:vMerge w:val="continue"/>
            <w:shd w:val="clear" w:color="auto" w:fill="auto"/>
            <w:vAlign w:val="center"/>
          </w:tcPr>
          <w:p>
            <w:pPr>
              <w:rPr>
                <w:color w:val="auto"/>
                <w:sz w:val="21"/>
                <w:szCs w:val="21"/>
              </w:rPr>
            </w:pPr>
          </w:p>
        </w:tc>
        <w:tc>
          <w:tcPr>
            <w:tcW w:w="1344" w:type="dxa"/>
            <w:shd w:val="clear" w:color="auto" w:fill="auto"/>
            <w:vAlign w:val="center"/>
          </w:tcPr>
          <w:p>
            <w:pPr>
              <w:autoSpaceDE w:val="0"/>
              <w:autoSpaceDN w:val="0"/>
              <w:jc w:val="center"/>
              <w:textAlignment w:val="baseline"/>
              <w:rPr>
                <w:color w:val="auto"/>
                <w:sz w:val="21"/>
                <w:szCs w:val="21"/>
              </w:rPr>
            </w:pPr>
            <w:r>
              <w:rPr>
                <w:color w:val="auto"/>
                <w:sz w:val="21"/>
                <w:szCs w:val="21"/>
              </w:rPr>
              <w:t>评价范围</w:t>
            </w:r>
          </w:p>
        </w:tc>
        <w:tc>
          <w:tcPr>
            <w:tcW w:w="2354" w:type="dxa"/>
            <w:gridSpan w:val="7"/>
            <w:shd w:val="clear" w:color="auto" w:fill="auto"/>
            <w:vAlign w:val="center"/>
          </w:tcPr>
          <w:p>
            <w:pPr>
              <w:autoSpaceDE w:val="0"/>
              <w:autoSpaceDN w:val="0"/>
              <w:jc w:val="center"/>
              <w:textAlignment w:val="baseline"/>
              <w:rPr>
                <w:color w:val="auto"/>
                <w:sz w:val="21"/>
                <w:szCs w:val="21"/>
              </w:rPr>
            </w:pPr>
            <w:r>
              <w:rPr>
                <w:color w:val="auto"/>
                <w:sz w:val="21"/>
                <w:szCs w:val="21"/>
              </w:rPr>
              <w:t>边长=50km</w:t>
            </w:r>
            <w:r>
              <w:rPr>
                <w:rFonts w:asciiTheme="minorEastAsia" w:hAnsiTheme="minorEastAsia" w:eastAsiaTheme="minorEastAsia"/>
                <w:color w:val="auto"/>
                <w:sz w:val="21"/>
                <w:szCs w:val="21"/>
              </w:rPr>
              <w:t>□</w:t>
            </w:r>
          </w:p>
        </w:tc>
        <w:tc>
          <w:tcPr>
            <w:tcW w:w="3296" w:type="dxa"/>
            <w:gridSpan w:val="9"/>
            <w:shd w:val="clear" w:color="auto" w:fill="auto"/>
            <w:vAlign w:val="center"/>
          </w:tcPr>
          <w:p>
            <w:pPr>
              <w:autoSpaceDE w:val="0"/>
              <w:autoSpaceDN w:val="0"/>
              <w:jc w:val="center"/>
              <w:textAlignment w:val="baseline"/>
              <w:rPr>
                <w:color w:val="auto"/>
                <w:sz w:val="21"/>
                <w:szCs w:val="21"/>
              </w:rPr>
            </w:pPr>
            <w:r>
              <w:rPr>
                <w:color w:val="auto"/>
                <w:sz w:val="21"/>
                <w:szCs w:val="21"/>
              </w:rPr>
              <w:t>边长5-50km</w:t>
            </w:r>
            <w:r>
              <w:rPr>
                <w:rFonts w:asciiTheme="minorEastAsia" w:hAnsiTheme="minorEastAsia" w:eastAsiaTheme="minorEastAsia"/>
                <w:color w:val="auto"/>
                <w:sz w:val="21"/>
                <w:szCs w:val="21"/>
              </w:rPr>
              <w:t>□</w:t>
            </w:r>
          </w:p>
        </w:tc>
        <w:tc>
          <w:tcPr>
            <w:tcW w:w="1630" w:type="dxa"/>
            <w:gridSpan w:val="4"/>
            <w:shd w:val="clear" w:color="auto" w:fill="auto"/>
            <w:vAlign w:val="center"/>
          </w:tcPr>
          <w:p>
            <w:pPr>
              <w:autoSpaceDE w:val="0"/>
              <w:autoSpaceDN w:val="0"/>
              <w:jc w:val="center"/>
              <w:textAlignment w:val="baseline"/>
              <w:rPr>
                <w:color w:val="auto"/>
                <w:sz w:val="21"/>
                <w:szCs w:val="21"/>
              </w:rPr>
            </w:pPr>
            <w:r>
              <w:rPr>
                <w:color w:val="auto"/>
                <w:sz w:val="21"/>
                <w:szCs w:val="21"/>
              </w:rPr>
              <w:t>边长=5km√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61" w:type="dxa"/>
            <w:vMerge w:val="restart"/>
            <w:shd w:val="clear" w:color="auto" w:fill="auto"/>
            <w:vAlign w:val="center"/>
          </w:tcPr>
          <w:p>
            <w:pPr>
              <w:autoSpaceDE w:val="0"/>
              <w:autoSpaceDN w:val="0"/>
              <w:jc w:val="center"/>
              <w:textAlignment w:val="baseline"/>
              <w:rPr>
                <w:color w:val="auto"/>
                <w:sz w:val="21"/>
                <w:szCs w:val="21"/>
              </w:rPr>
            </w:pPr>
            <w:r>
              <w:rPr>
                <w:color w:val="auto"/>
                <w:sz w:val="21"/>
                <w:szCs w:val="21"/>
              </w:rPr>
              <w:t>评价因子</w:t>
            </w:r>
          </w:p>
        </w:tc>
        <w:tc>
          <w:tcPr>
            <w:tcW w:w="1344" w:type="dxa"/>
            <w:shd w:val="clear" w:color="auto" w:fill="auto"/>
            <w:vAlign w:val="center"/>
          </w:tcPr>
          <w:p>
            <w:pPr>
              <w:autoSpaceDE w:val="0"/>
              <w:autoSpaceDN w:val="0"/>
              <w:jc w:val="center"/>
              <w:textAlignment w:val="baseline"/>
              <w:rPr>
                <w:color w:val="auto"/>
                <w:sz w:val="21"/>
                <w:szCs w:val="21"/>
              </w:rPr>
            </w:pPr>
            <w:r>
              <w:rPr>
                <w:color w:val="auto"/>
                <w:sz w:val="21"/>
                <w:szCs w:val="21"/>
              </w:rPr>
              <w:t>SO</w:t>
            </w:r>
            <w:r>
              <w:rPr>
                <w:color w:val="auto"/>
                <w:sz w:val="21"/>
                <w:szCs w:val="21"/>
                <w:vertAlign w:val="subscript"/>
              </w:rPr>
              <w:t>2</w:t>
            </w:r>
            <w:r>
              <w:rPr>
                <w:color w:val="auto"/>
                <w:sz w:val="21"/>
                <w:szCs w:val="21"/>
              </w:rPr>
              <w:t>+NOx排放量</w:t>
            </w:r>
          </w:p>
        </w:tc>
        <w:tc>
          <w:tcPr>
            <w:tcW w:w="1771" w:type="dxa"/>
            <w:gridSpan w:val="4"/>
            <w:shd w:val="clear" w:color="auto" w:fill="auto"/>
            <w:vAlign w:val="center"/>
          </w:tcPr>
          <w:p>
            <w:pPr>
              <w:autoSpaceDE w:val="0"/>
              <w:autoSpaceDN w:val="0"/>
              <w:jc w:val="center"/>
              <w:textAlignment w:val="baseline"/>
              <w:rPr>
                <w:color w:val="auto"/>
                <w:sz w:val="21"/>
                <w:szCs w:val="21"/>
              </w:rPr>
            </w:pPr>
            <w:r>
              <w:rPr>
                <w:color w:val="auto"/>
                <w:sz w:val="21"/>
                <w:szCs w:val="21"/>
              </w:rPr>
              <w:t>≥2000t/a□</w:t>
            </w:r>
          </w:p>
        </w:tc>
        <w:tc>
          <w:tcPr>
            <w:tcW w:w="3879" w:type="dxa"/>
            <w:gridSpan w:val="12"/>
            <w:shd w:val="clear" w:color="auto" w:fill="auto"/>
            <w:vAlign w:val="center"/>
          </w:tcPr>
          <w:p>
            <w:pPr>
              <w:autoSpaceDE w:val="0"/>
              <w:autoSpaceDN w:val="0"/>
              <w:jc w:val="center"/>
              <w:textAlignment w:val="baseline"/>
              <w:rPr>
                <w:color w:val="auto"/>
                <w:sz w:val="21"/>
                <w:szCs w:val="21"/>
              </w:rPr>
            </w:pPr>
            <w:r>
              <w:rPr>
                <w:color w:val="auto"/>
                <w:sz w:val="21"/>
                <w:szCs w:val="21"/>
              </w:rPr>
              <w:t>500-2000t/a□</w:t>
            </w:r>
          </w:p>
        </w:tc>
        <w:tc>
          <w:tcPr>
            <w:tcW w:w="1630" w:type="dxa"/>
            <w:gridSpan w:val="4"/>
            <w:shd w:val="clear" w:color="auto" w:fill="auto"/>
            <w:vAlign w:val="center"/>
          </w:tcPr>
          <w:p>
            <w:pPr>
              <w:autoSpaceDE w:val="0"/>
              <w:autoSpaceDN w:val="0"/>
              <w:jc w:val="center"/>
              <w:textAlignment w:val="baseline"/>
              <w:rPr>
                <w:color w:val="auto"/>
                <w:sz w:val="21"/>
                <w:szCs w:val="21"/>
              </w:rPr>
            </w:pPr>
            <w:r>
              <w:rPr>
                <w:color w:val="auto"/>
                <w:sz w:val="21"/>
                <w:szCs w:val="21"/>
              </w:rPr>
              <w:t>＜500t/a√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61" w:type="dxa"/>
            <w:vMerge w:val="continue"/>
            <w:shd w:val="clear" w:color="auto" w:fill="auto"/>
            <w:vAlign w:val="center"/>
          </w:tcPr>
          <w:p>
            <w:pPr>
              <w:rPr>
                <w:color w:val="auto"/>
                <w:sz w:val="21"/>
                <w:szCs w:val="21"/>
              </w:rPr>
            </w:pPr>
          </w:p>
        </w:tc>
        <w:tc>
          <w:tcPr>
            <w:tcW w:w="1344" w:type="dxa"/>
            <w:shd w:val="clear" w:color="auto" w:fill="auto"/>
            <w:vAlign w:val="center"/>
          </w:tcPr>
          <w:p>
            <w:pPr>
              <w:autoSpaceDE w:val="0"/>
              <w:autoSpaceDN w:val="0"/>
              <w:jc w:val="center"/>
              <w:textAlignment w:val="baseline"/>
              <w:rPr>
                <w:color w:val="auto"/>
                <w:sz w:val="21"/>
                <w:szCs w:val="21"/>
              </w:rPr>
            </w:pPr>
            <w:r>
              <w:rPr>
                <w:color w:val="auto"/>
                <w:sz w:val="21"/>
                <w:szCs w:val="21"/>
              </w:rPr>
              <w:t>评价因子</w:t>
            </w:r>
          </w:p>
        </w:tc>
        <w:tc>
          <w:tcPr>
            <w:tcW w:w="4160" w:type="dxa"/>
            <w:gridSpan w:val="12"/>
            <w:shd w:val="clear" w:color="auto" w:fill="auto"/>
            <w:vAlign w:val="center"/>
          </w:tcPr>
          <w:p>
            <w:pPr>
              <w:autoSpaceDE w:val="0"/>
              <w:autoSpaceDN w:val="0"/>
              <w:jc w:val="center"/>
              <w:textAlignment w:val="baseline"/>
              <w:rPr>
                <w:color w:val="auto"/>
                <w:sz w:val="21"/>
                <w:szCs w:val="21"/>
              </w:rPr>
            </w:pPr>
            <w:r>
              <w:rPr>
                <w:color w:val="auto"/>
                <w:sz w:val="21"/>
                <w:szCs w:val="21"/>
              </w:rPr>
              <w:t>基本污染物（</w:t>
            </w:r>
            <w:r>
              <w:rPr>
                <w:rFonts w:hint="eastAsia"/>
                <w:color w:val="auto"/>
                <w:sz w:val="21"/>
                <w:szCs w:val="21"/>
              </w:rPr>
              <w:t>/</w:t>
            </w:r>
            <w:r>
              <w:rPr>
                <w:color w:val="auto"/>
                <w:sz w:val="21"/>
                <w:szCs w:val="21"/>
              </w:rPr>
              <w:t>）</w:t>
            </w:r>
          </w:p>
          <w:p>
            <w:pPr>
              <w:autoSpaceDE w:val="0"/>
              <w:autoSpaceDN w:val="0"/>
              <w:jc w:val="center"/>
              <w:textAlignment w:val="baseline"/>
              <w:rPr>
                <w:color w:val="auto"/>
                <w:sz w:val="21"/>
                <w:szCs w:val="21"/>
              </w:rPr>
            </w:pPr>
            <w:r>
              <w:rPr>
                <w:color w:val="auto"/>
                <w:sz w:val="21"/>
                <w:szCs w:val="21"/>
              </w:rPr>
              <w:t>其他污染物（H</w:t>
            </w:r>
            <w:r>
              <w:rPr>
                <w:color w:val="auto"/>
                <w:sz w:val="21"/>
                <w:szCs w:val="21"/>
                <w:vertAlign w:val="subscript"/>
              </w:rPr>
              <w:t>2</w:t>
            </w:r>
            <w:r>
              <w:rPr>
                <w:color w:val="auto"/>
                <w:sz w:val="21"/>
                <w:szCs w:val="21"/>
              </w:rPr>
              <w:t>S、NH</w:t>
            </w:r>
            <w:r>
              <w:rPr>
                <w:color w:val="auto"/>
                <w:sz w:val="21"/>
                <w:szCs w:val="21"/>
                <w:vertAlign w:val="subscript"/>
              </w:rPr>
              <w:t>3</w:t>
            </w:r>
            <w:r>
              <w:rPr>
                <w:color w:val="auto"/>
                <w:sz w:val="21"/>
                <w:szCs w:val="21"/>
              </w:rPr>
              <w:t>、</w:t>
            </w:r>
            <w:r>
              <w:rPr>
                <w:rFonts w:hint="eastAsia"/>
                <w:color w:val="auto"/>
                <w:sz w:val="21"/>
                <w:szCs w:val="21"/>
              </w:rPr>
              <w:t>TS</w:t>
            </w:r>
            <w:r>
              <w:rPr>
                <w:color w:val="auto"/>
                <w:sz w:val="21"/>
                <w:szCs w:val="21"/>
              </w:rPr>
              <w:t>P）</w:t>
            </w:r>
          </w:p>
        </w:tc>
        <w:tc>
          <w:tcPr>
            <w:tcW w:w="3120" w:type="dxa"/>
            <w:gridSpan w:val="8"/>
            <w:shd w:val="clear" w:color="auto" w:fill="auto"/>
            <w:vAlign w:val="center"/>
          </w:tcPr>
          <w:p>
            <w:pPr>
              <w:autoSpaceDE w:val="0"/>
              <w:autoSpaceDN w:val="0"/>
              <w:ind w:right="480" w:rightChars="200"/>
              <w:jc w:val="right"/>
              <w:textAlignment w:val="baseline"/>
              <w:rPr>
                <w:color w:val="auto"/>
                <w:sz w:val="21"/>
                <w:szCs w:val="21"/>
              </w:rPr>
            </w:pPr>
            <w:r>
              <w:rPr>
                <w:color w:val="auto"/>
                <w:sz w:val="21"/>
                <w:szCs w:val="21"/>
              </w:rPr>
              <w:t>包括二次PM2.5</w:t>
            </w:r>
            <w:r>
              <w:rPr>
                <w:rFonts w:asciiTheme="minorEastAsia" w:hAnsiTheme="minorEastAsia" w:eastAsiaTheme="minorEastAsia"/>
                <w:color w:val="auto"/>
                <w:sz w:val="21"/>
                <w:szCs w:val="21"/>
              </w:rPr>
              <w:t>□</w:t>
            </w:r>
          </w:p>
          <w:p>
            <w:pPr>
              <w:autoSpaceDE w:val="0"/>
              <w:autoSpaceDN w:val="0"/>
              <w:ind w:right="480" w:rightChars="200"/>
              <w:jc w:val="right"/>
              <w:textAlignment w:val="baseline"/>
              <w:rPr>
                <w:color w:val="auto"/>
                <w:sz w:val="21"/>
                <w:szCs w:val="21"/>
              </w:rPr>
            </w:pPr>
            <w:r>
              <w:rPr>
                <w:color w:val="auto"/>
                <w:sz w:val="21"/>
                <w:szCs w:val="21"/>
              </w:rPr>
              <w:t>不包括二次PM2.5√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61" w:type="dxa"/>
            <w:shd w:val="clear" w:color="auto" w:fill="auto"/>
            <w:vAlign w:val="center"/>
          </w:tcPr>
          <w:p>
            <w:pPr>
              <w:autoSpaceDE w:val="0"/>
              <w:autoSpaceDN w:val="0"/>
              <w:jc w:val="center"/>
              <w:textAlignment w:val="baseline"/>
              <w:rPr>
                <w:color w:val="auto"/>
                <w:sz w:val="21"/>
                <w:szCs w:val="21"/>
              </w:rPr>
            </w:pPr>
            <w:r>
              <w:rPr>
                <w:color w:val="auto"/>
                <w:sz w:val="21"/>
                <w:szCs w:val="21"/>
              </w:rPr>
              <w:t>评价标准</w:t>
            </w:r>
          </w:p>
        </w:tc>
        <w:tc>
          <w:tcPr>
            <w:tcW w:w="1344" w:type="dxa"/>
            <w:shd w:val="clear" w:color="auto" w:fill="auto"/>
            <w:vAlign w:val="center"/>
          </w:tcPr>
          <w:p>
            <w:pPr>
              <w:autoSpaceDE w:val="0"/>
              <w:autoSpaceDN w:val="0"/>
              <w:jc w:val="center"/>
              <w:textAlignment w:val="baseline"/>
              <w:rPr>
                <w:color w:val="auto"/>
                <w:sz w:val="21"/>
                <w:szCs w:val="21"/>
              </w:rPr>
            </w:pPr>
            <w:r>
              <w:rPr>
                <w:color w:val="auto"/>
                <w:sz w:val="21"/>
                <w:szCs w:val="21"/>
              </w:rPr>
              <w:t>评价标准</w:t>
            </w:r>
          </w:p>
        </w:tc>
        <w:tc>
          <w:tcPr>
            <w:tcW w:w="1796" w:type="dxa"/>
            <w:gridSpan w:val="5"/>
            <w:shd w:val="clear" w:color="auto" w:fill="auto"/>
            <w:vAlign w:val="center"/>
          </w:tcPr>
          <w:p>
            <w:pPr>
              <w:autoSpaceDE w:val="0"/>
              <w:autoSpaceDN w:val="0"/>
              <w:jc w:val="center"/>
              <w:textAlignment w:val="baseline"/>
              <w:rPr>
                <w:color w:val="auto"/>
                <w:sz w:val="21"/>
                <w:szCs w:val="21"/>
              </w:rPr>
            </w:pPr>
            <w:r>
              <w:rPr>
                <w:color w:val="auto"/>
                <w:sz w:val="21"/>
                <w:szCs w:val="21"/>
              </w:rPr>
              <w:t>国家标准√</w:t>
            </w:r>
          </w:p>
        </w:tc>
        <w:tc>
          <w:tcPr>
            <w:tcW w:w="2364" w:type="dxa"/>
            <w:gridSpan w:val="7"/>
            <w:shd w:val="clear" w:color="auto" w:fill="auto"/>
            <w:vAlign w:val="center"/>
          </w:tcPr>
          <w:p>
            <w:pPr>
              <w:autoSpaceDE w:val="0"/>
              <w:autoSpaceDN w:val="0"/>
              <w:jc w:val="center"/>
              <w:textAlignment w:val="baseline"/>
              <w:rPr>
                <w:color w:val="auto"/>
                <w:sz w:val="21"/>
                <w:szCs w:val="21"/>
              </w:rPr>
            </w:pPr>
            <w:r>
              <w:rPr>
                <w:color w:val="auto"/>
                <w:sz w:val="21"/>
                <w:szCs w:val="21"/>
              </w:rPr>
              <w:t>地方标准√</w:t>
            </w:r>
          </w:p>
        </w:tc>
        <w:tc>
          <w:tcPr>
            <w:tcW w:w="2024" w:type="dxa"/>
            <w:gridSpan w:val="6"/>
            <w:shd w:val="clear" w:color="auto" w:fill="auto"/>
            <w:vAlign w:val="center"/>
          </w:tcPr>
          <w:p>
            <w:pPr>
              <w:autoSpaceDE w:val="0"/>
              <w:autoSpaceDN w:val="0"/>
              <w:jc w:val="center"/>
              <w:textAlignment w:val="baseline"/>
              <w:rPr>
                <w:color w:val="auto"/>
                <w:sz w:val="21"/>
                <w:szCs w:val="21"/>
              </w:rPr>
            </w:pPr>
            <w:r>
              <w:rPr>
                <w:color w:val="auto"/>
                <w:sz w:val="21"/>
                <w:szCs w:val="21"/>
              </w:rPr>
              <w:t>附录D√</w:t>
            </w:r>
          </w:p>
        </w:tc>
        <w:tc>
          <w:tcPr>
            <w:tcW w:w="1096" w:type="dxa"/>
            <w:gridSpan w:val="2"/>
            <w:shd w:val="clear" w:color="auto" w:fill="auto"/>
            <w:vAlign w:val="center"/>
          </w:tcPr>
          <w:p>
            <w:pPr>
              <w:autoSpaceDE w:val="0"/>
              <w:autoSpaceDN w:val="0"/>
              <w:jc w:val="center"/>
              <w:textAlignment w:val="baseline"/>
              <w:rPr>
                <w:color w:val="auto"/>
                <w:sz w:val="21"/>
                <w:szCs w:val="21"/>
              </w:rPr>
            </w:pPr>
            <w:r>
              <w:rPr>
                <w:color w:val="auto"/>
                <w:sz w:val="21"/>
                <w:szCs w:val="21"/>
              </w:rPr>
              <w:t>其他标准√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61" w:type="dxa"/>
            <w:vMerge w:val="restart"/>
            <w:shd w:val="clear" w:color="auto" w:fill="auto"/>
            <w:vAlign w:val="center"/>
          </w:tcPr>
          <w:p>
            <w:pPr>
              <w:autoSpaceDE w:val="0"/>
              <w:autoSpaceDN w:val="0"/>
              <w:jc w:val="center"/>
              <w:textAlignment w:val="baseline"/>
              <w:rPr>
                <w:color w:val="auto"/>
                <w:sz w:val="21"/>
                <w:szCs w:val="21"/>
              </w:rPr>
            </w:pPr>
            <w:r>
              <w:rPr>
                <w:color w:val="auto"/>
                <w:sz w:val="21"/>
                <w:szCs w:val="21"/>
              </w:rPr>
              <w:t>现状评价</w:t>
            </w:r>
          </w:p>
        </w:tc>
        <w:tc>
          <w:tcPr>
            <w:tcW w:w="1344" w:type="dxa"/>
            <w:shd w:val="clear" w:color="auto" w:fill="auto"/>
            <w:vAlign w:val="center"/>
          </w:tcPr>
          <w:p>
            <w:pPr>
              <w:autoSpaceDE w:val="0"/>
              <w:autoSpaceDN w:val="0"/>
              <w:jc w:val="center"/>
              <w:textAlignment w:val="baseline"/>
              <w:rPr>
                <w:color w:val="auto"/>
                <w:sz w:val="21"/>
                <w:szCs w:val="21"/>
              </w:rPr>
            </w:pPr>
            <w:r>
              <w:rPr>
                <w:color w:val="auto"/>
                <w:sz w:val="21"/>
                <w:szCs w:val="21"/>
              </w:rPr>
              <w:t>环境功能区</w:t>
            </w:r>
          </w:p>
        </w:tc>
        <w:tc>
          <w:tcPr>
            <w:tcW w:w="2354" w:type="dxa"/>
            <w:gridSpan w:val="7"/>
            <w:shd w:val="clear" w:color="auto" w:fill="auto"/>
            <w:vAlign w:val="center"/>
          </w:tcPr>
          <w:p>
            <w:pPr>
              <w:autoSpaceDE w:val="0"/>
              <w:autoSpaceDN w:val="0"/>
              <w:jc w:val="center"/>
              <w:textAlignment w:val="baseline"/>
              <w:rPr>
                <w:color w:val="auto"/>
                <w:sz w:val="21"/>
                <w:szCs w:val="21"/>
              </w:rPr>
            </w:pPr>
            <w:r>
              <w:rPr>
                <w:color w:val="auto"/>
                <w:sz w:val="21"/>
                <w:szCs w:val="21"/>
              </w:rPr>
              <w:t>一类区□</w:t>
            </w:r>
          </w:p>
        </w:tc>
        <w:tc>
          <w:tcPr>
            <w:tcW w:w="3296" w:type="dxa"/>
            <w:gridSpan w:val="9"/>
            <w:shd w:val="clear" w:color="auto" w:fill="auto"/>
            <w:vAlign w:val="center"/>
          </w:tcPr>
          <w:p>
            <w:pPr>
              <w:autoSpaceDE w:val="0"/>
              <w:autoSpaceDN w:val="0"/>
              <w:jc w:val="center"/>
              <w:textAlignment w:val="baseline"/>
              <w:rPr>
                <w:color w:val="auto"/>
                <w:sz w:val="21"/>
                <w:szCs w:val="21"/>
              </w:rPr>
            </w:pPr>
            <w:r>
              <w:rPr>
                <w:color w:val="auto"/>
                <w:sz w:val="21"/>
                <w:szCs w:val="21"/>
              </w:rPr>
              <w:t>二类区□</w:t>
            </w:r>
          </w:p>
        </w:tc>
        <w:tc>
          <w:tcPr>
            <w:tcW w:w="1630" w:type="dxa"/>
            <w:gridSpan w:val="4"/>
            <w:shd w:val="clear" w:color="auto" w:fill="auto"/>
            <w:vAlign w:val="center"/>
          </w:tcPr>
          <w:p>
            <w:pPr>
              <w:autoSpaceDE w:val="0"/>
              <w:autoSpaceDN w:val="0"/>
              <w:jc w:val="center"/>
              <w:textAlignment w:val="baseline"/>
              <w:rPr>
                <w:color w:val="auto"/>
                <w:sz w:val="21"/>
                <w:szCs w:val="21"/>
              </w:rPr>
            </w:pPr>
            <w:r>
              <w:rPr>
                <w:color w:val="auto"/>
                <w:sz w:val="21"/>
                <w:szCs w:val="21"/>
              </w:rPr>
              <w:t>一类区和二类区√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61" w:type="dxa"/>
            <w:vMerge w:val="continue"/>
            <w:shd w:val="clear" w:color="auto" w:fill="auto"/>
            <w:vAlign w:val="center"/>
          </w:tcPr>
          <w:p>
            <w:pPr>
              <w:rPr>
                <w:color w:val="auto"/>
                <w:sz w:val="21"/>
                <w:szCs w:val="21"/>
              </w:rPr>
            </w:pPr>
          </w:p>
        </w:tc>
        <w:tc>
          <w:tcPr>
            <w:tcW w:w="1344" w:type="dxa"/>
            <w:shd w:val="clear" w:color="auto" w:fill="auto"/>
            <w:vAlign w:val="center"/>
          </w:tcPr>
          <w:p>
            <w:pPr>
              <w:autoSpaceDE w:val="0"/>
              <w:autoSpaceDN w:val="0"/>
              <w:jc w:val="center"/>
              <w:textAlignment w:val="baseline"/>
              <w:rPr>
                <w:color w:val="auto"/>
                <w:sz w:val="21"/>
                <w:szCs w:val="21"/>
              </w:rPr>
            </w:pPr>
            <w:r>
              <w:rPr>
                <w:color w:val="auto"/>
                <w:sz w:val="21"/>
                <w:szCs w:val="21"/>
              </w:rPr>
              <w:t>评价基准年</w:t>
            </w:r>
          </w:p>
        </w:tc>
        <w:tc>
          <w:tcPr>
            <w:tcW w:w="7280" w:type="dxa"/>
            <w:gridSpan w:val="20"/>
            <w:shd w:val="clear" w:color="auto" w:fill="auto"/>
            <w:vAlign w:val="center"/>
          </w:tcPr>
          <w:p>
            <w:pPr>
              <w:autoSpaceDE w:val="0"/>
              <w:autoSpaceDN w:val="0"/>
              <w:jc w:val="center"/>
              <w:textAlignment w:val="baseline"/>
              <w:rPr>
                <w:color w:val="auto"/>
                <w:sz w:val="21"/>
                <w:szCs w:val="21"/>
              </w:rPr>
            </w:pPr>
            <w:r>
              <w:rPr>
                <w:color w:val="auto"/>
                <w:sz w:val="21"/>
                <w:szCs w:val="21"/>
              </w:rPr>
              <w:t>（2018）年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61" w:type="dxa"/>
            <w:vMerge w:val="continue"/>
            <w:shd w:val="clear" w:color="auto" w:fill="auto"/>
            <w:vAlign w:val="center"/>
          </w:tcPr>
          <w:p>
            <w:pPr>
              <w:rPr>
                <w:color w:val="auto"/>
                <w:sz w:val="21"/>
                <w:szCs w:val="21"/>
              </w:rPr>
            </w:pPr>
          </w:p>
        </w:tc>
        <w:tc>
          <w:tcPr>
            <w:tcW w:w="1344" w:type="dxa"/>
            <w:shd w:val="clear" w:color="auto" w:fill="auto"/>
            <w:vAlign w:val="center"/>
          </w:tcPr>
          <w:p>
            <w:pPr>
              <w:autoSpaceDE w:val="0"/>
              <w:autoSpaceDN w:val="0"/>
              <w:jc w:val="center"/>
              <w:textAlignment w:val="baseline"/>
              <w:rPr>
                <w:color w:val="auto"/>
                <w:sz w:val="21"/>
                <w:szCs w:val="21"/>
              </w:rPr>
            </w:pPr>
            <w:r>
              <w:rPr>
                <w:color w:val="auto"/>
                <w:sz w:val="21"/>
                <w:szCs w:val="21"/>
              </w:rPr>
              <w:t>环境空气质量现状调查数据来源</w:t>
            </w:r>
          </w:p>
        </w:tc>
        <w:tc>
          <w:tcPr>
            <w:tcW w:w="2354" w:type="dxa"/>
            <w:gridSpan w:val="7"/>
            <w:shd w:val="clear" w:color="auto" w:fill="auto"/>
            <w:vAlign w:val="center"/>
          </w:tcPr>
          <w:p>
            <w:pPr>
              <w:autoSpaceDE w:val="0"/>
              <w:autoSpaceDN w:val="0"/>
              <w:jc w:val="center"/>
              <w:textAlignment w:val="baseline"/>
              <w:rPr>
                <w:color w:val="auto"/>
                <w:sz w:val="21"/>
                <w:szCs w:val="21"/>
              </w:rPr>
            </w:pPr>
            <w:r>
              <w:rPr>
                <w:color w:val="auto"/>
                <w:sz w:val="21"/>
                <w:szCs w:val="21"/>
              </w:rPr>
              <w:t>长期例行监测数据□</w:t>
            </w:r>
          </w:p>
        </w:tc>
        <w:tc>
          <w:tcPr>
            <w:tcW w:w="3296" w:type="dxa"/>
            <w:gridSpan w:val="9"/>
            <w:shd w:val="clear" w:color="auto" w:fill="auto"/>
            <w:vAlign w:val="center"/>
          </w:tcPr>
          <w:p>
            <w:pPr>
              <w:autoSpaceDE w:val="0"/>
              <w:autoSpaceDN w:val="0"/>
              <w:jc w:val="center"/>
              <w:textAlignment w:val="baseline"/>
              <w:rPr>
                <w:color w:val="auto"/>
                <w:sz w:val="21"/>
                <w:szCs w:val="21"/>
              </w:rPr>
            </w:pPr>
            <w:r>
              <w:rPr>
                <w:color w:val="auto"/>
                <w:sz w:val="21"/>
                <w:szCs w:val="21"/>
              </w:rPr>
              <w:t>主管部门发布的数据√</w:t>
            </w:r>
          </w:p>
        </w:tc>
        <w:tc>
          <w:tcPr>
            <w:tcW w:w="1630" w:type="dxa"/>
            <w:gridSpan w:val="4"/>
            <w:shd w:val="clear" w:color="auto" w:fill="auto"/>
            <w:vAlign w:val="center"/>
          </w:tcPr>
          <w:p>
            <w:pPr>
              <w:autoSpaceDE w:val="0"/>
              <w:autoSpaceDN w:val="0"/>
              <w:jc w:val="center"/>
              <w:textAlignment w:val="baseline"/>
              <w:rPr>
                <w:color w:val="auto"/>
                <w:sz w:val="21"/>
                <w:szCs w:val="21"/>
              </w:rPr>
            </w:pPr>
            <w:r>
              <w:rPr>
                <w:color w:val="auto"/>
                <w:sz w:val="21"/>
                <w:szCs w:val="21"/>
              </w:rPr>
              <w:t>现状补充监测√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61" w:type="dxa"/>
            <w:vMerge w:val="continue"/>
            <w:shd w:val="clear" w:color="auto" w:fill="auto"/>
            <w:vAlign w:val="center"/>
          </w:tcPr>
          <w:p>
            <w:pPr>
              <w:rPr>
                <w:color w:val="auto"/>
                <w:sz w:val="21"/>
                <w:szCs w:val="21"/>
              </w:rPr>
            </w:pPr>
          </w:p>
        </w:tc>
        <w:tc>
          <w:tcPr>
            <w:tcW w:w="1344" w:type="dxa"/>
            <w:shd w:val="clear" w:color="auto" w:fill="auto"/>
            <w:vAlign w:val="center"/>
          </w:tcPr>
          <w:p>
            <w:pPr>
              <w:autoSpaceDE w:val="0"/>
              <w:autoSpaceDN w:val="0"/>
              <w:jc w:val="center"/>
              <w:textAlignment w:val="baseline"/>
              <w:rPr>
                <w:color w:val="auto"/>
                <w:sz w:val="21"/>
                <w:szCs w:val="21"/>
              </w:rPr>
            </w:pPr>
            <w:r>
              <w:rPr>
                <w:color w:val="auto"/>
                <w:sz w:val="21"/>
                <w:szCs w:val="21"/>
              </w:rPr>
              <w:t>现状评价</w:t>
            </w:r>
          </w:p>
        </w:tc>
        <w:tc>
          <w:tcPr>
            <w:tcW w:w="4160" w:type="dxa"/>
            <w:gridSpan w:val="12"/>
            <w:shd w:val="clear" w:color="auto" w:fill="auto"/>
            <w:vAlign w:val="center"/>
          </w:tcPr>
          <w:p>
            <w:pPr>
              <w:autoSpaceDE w:val="0"/>
              <w:autoSpaceDN w:val="0"/>
              <w:jc w:val="center"/>
              <w:textAlignment w:val="baseline"/>
              <w:rPr>
                <w:color w:val="auto"/>
                <w:sz w:val="21"/>
                <w:szCs w:val="21"/>
              </w:rPr>
            </w:pPr>
            <w:r>
              <w:rPr>
                <w:color w:val="auto"/>
                <w:sz w:val="21"/>
                <w:szCs w:val="21"/>
              </w:rPr>
              <w:t>达标区√</w:t>
            </w:r>
          </w:p>
        </w:tc>
        <w:tc>
          <w:tcPr>
            <w:tcW w:w="3120" w:type="dxa"/>
            <w:gridSpan w:val="8"/>
            <w:shd w:val="clear" w:color="auto" w:fill="auto"/>
            <w:vAlign w:val="center"/>
          </w:tcPr>
          <w:p>
            <w:pPr>
              <w:autoSpaceDE w:val="0"/>
              <w:autoSpaceDN w:val="0"/>
              <w:jc w:val="center"/>
              <w:textAlignment w:val="baseline"/>
              <w:rPr>
                <w:color w:val="auto"/>
                <w:sz w:val="21"/>
                <w:szCs w:val="21"/>
              </w:rPr>
            </w:pPr>
            <w:r>
              <w:rPr>
                <w:color w:val="auto"/>
                <w:sz w:val="21"/>
                <w:szCs w:val="21"/>
              </w:rPr>
              <w:t>不达标区</w:t>
            </w:r>
            <w:r>
              <w:rPr>
                <w:rFonts w:asciiTheme="minorEastAsia" w:hAnsiTheme="minorEastAsia" w:eastAsiaTheme="minor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61" w:type="dxa"/>
            <w:shd w:val="clear" w:color="auto" w:fill="auto"/>
            <w:vAlign w:val="center"/>
          </w:tcPr>
          <w:p>
            <w:pPr>
              <w:autoSpaceDE w:val="0"/>
              <w:autoSpaceDN w:val="0"/>
              <w:jc w:val="center"/>
              <w:textAlignment w:val="baseline"/>
              <w:rPr>
                <w:color w:val="auto"/>
                <w:sz w:val="21"/>
                <w:szCs w:val="21"/>
              </w:rPr>
            </w:pPr>
            <w:r>
              <w:rPr>
                <w:color w:val="auto"/>
                <w:sz w:val="21"/>
                <w:szCs w:val="21"/>
              </w:rPr>
              <w:t>污染源调查</w:t>
            </w:r>
          </w:p>
        </w:tc>
        <w:tc>
          <w:tcPr>
            <w:tcW w:w="1344" w:type="dxa"/>
            <w:shd w:val="clear" w:color="auto" w:fill="auto"/>
            <w:vAlign w:val="center"/>
          </w:tcPr>
          <w:p>
            <w:pPr>
              <w:autoSpaceDE w:val="0"/>
              <w:autoSpaceDN w:val="0"/>
              <w:jc w:val="center"/>
              <w:textAlignment w:val="baseline"/>
              <w:rPr>
                <w:color w:val="auto"/>
                <w:sz w:val="21"/>
                <w:szCs w:val="21"/>
              </w:rPr>
            </w:pPr>
            <w:r>
              <w:rPr>
                <w:color w:val="auto"/>
                <w:sz w:val="21"/>
                <w:szCs w:val="21"/>
              </w:rPr>
              <w:t>调查内容</w:t>
            </w:r>
          </w:p>
        </w:tc>
        <w:tc>
          <w:tcPr>
            <w:tcW w:w="1796" w:type="dxa"/>
            <w:gridSpan w:val="5"/>
            <w:shd w:val="clear" w:color="auto" w:fill="auto"/>
            <w:vAlign w:val="center"/>
          </w:tcPr>
          <w:p>
            <w:pPr>
              <w:autoSpaceDE w:val="0"/>
              <w:autoSpaceDN w:val="0"/>
              <w:jc w:val="center"/>
              <w:textAlignment w:val="baseline"/>
              <w:rPr>
                <w:color w:val="auto"/>
                <w:sz w:val="21"/>
                <w:szCs w:val="21"/>
              </w:rPr>
            </w:pPr>
            <w:r>
              <w:rPr>
                <w:color w:val="auto"/>
                <w:sz w:val="21"/>
                <w:szCs w:val="21"/>
              </w:rPr>
              <w:t>本项目正常排放源√</w:t>
            </w:r>
          </w:p>
          <w:p>
            <w:pPr>
              <w:autoSpaceDE w:val="0"/>
              <w:autoSpaceDN w:val="0"/>
              <w:jc w:val="center"/>
              <w:textAlignment w:val="baseline"/>
              <w:rPr>
                <w:color w:val="auto"/>
                <w:sz w:val="21"/>
                <w:szCs w:val="21"/>
              </w:rPr>
            </w:pPr>
            <w:r>
              <w:rPr>
                <w:color w:val="auto"/>
                <w:sz w:val="21"/>
                <w:szCs w:val="21"/>
              </w:rPr>
              <w:t>本项目非正常</w:t>
            </w:r>
          </w:p>
          <w:p>
            <w:pPr>
              <w:autoSpaceDE w:val="0"/>
              <w:autoSpaceDN w:val="0"/>
              <w:jc w:val="center"/>
              <w:textAlignment w:val="baseline"/>
              <w:rPr>
                <w:color w:val="auto"/>
                <w:sz w:val="21"/>
                <w:szCs w:val="21"/>
              </w:rPr>
            </w:pPr>
            <w:r>
              <w:rPr>
                <w:color w:val="auto"/>
                <w:sz w:val="21"/>
                <w:szCs w:val="21"/>
              </w:rPr>
              <w:t>排放源√</w:t>
            </w:r>
          </w:p>
          <w:p>
            <w:pPr>
              <w:autoSpaceDE w:val="0"/>
              <w:autoSpaceDN w:val="0"/>
              <w:jc w:val="center"/>
              <w:textAlignment w:val="baseline"/>
              <w:rPr>
                <w:color w:val="auto"/>
                <w:sz w:val="21"/>
                <w:szCs w:val="21"/>
              </w:rPr>
            </w:pPr>
            <w:r>
              <w:rPr>
                <w:color w:val="auto"/>
                <w:sz w:val="21"/>
                <w:szCs w:val="21"/>
              </w:rPr>
              <w:t>现有污染源√</w:t>
            </w:r>
          </w:p>
        </w:tc>
        <w:tc>
          <w:tcPr>
            <w:tcW w:w="2364" w:type="dxa"/>
            <w:gridSpan w:val="7"/>
            <w:shd w:val="clear" w:color="auto" w:fill="auto"/>
            <w:vAlign w:val="center"/>
          </w:tcPr>
          <w:p>
            <w:pPr>
              <w:autoSpaceDE w:val="0"/>
              <w:autoSpaceDN w:val="0"/>
              <w:jc w:val="center"/>
              <w:textAlignment w:val="baseline"/>
              <w:rPr>
                <w:color w:val="auto"/>
                <w:sz w:val="21"/>
                <w:szCs w:val="21"/>
              </w:rPr>
            </w:pPr>
            <w:r>
              <w:rPr>
                <w:color w:val="auto"/>
                <w:sz w:val="21"/>
                <w:szCs w:val="21"/>
              </w:rPr>
              <w:t>拟替代的污染源</w:t>
            </w:r>
            <w:r>
              <w:rPr>
                <w:rFonts w:asciiTheme="minorEastAsia" w:hAnsiTheme="minorEastAsia" w:eastAsiaTheme="minorEastAsia"/>
                <w:color w:val="auto"/>
                <w:sz w:val="21"/>
                <w:szCs w:val="21"/>
              </w:rPr>
              <w:t>□</w:t>
            </w:r>
          </w:p>
        </w:tc>
        <w:tc>
          <w:tcPr>
            <w:tcW w:w="2024" w:type="dxa"/>
            <w:gridSpan w:val="6"/>
            <w:shd w:val="clear" w:color="auto" w:fill="auto"/>
            <w:vAlign w:val="center"/>
          </w:tcPr>
          <w:p>
            <w:pPr>
              <w:autoSpaceDE w:val="0"/>
              <w:autoSpaceDN w:val="0"/>
              <w:jc w:val="center"/>
              <w:textAlignment w:val="baseline"/>
              <w:rPr>
                <w:color w:val="auto"/>
                <w:sz w:val="21"/>
                <w:szCs w:val="21"/>
              </w:rPr>
            </w:pPr>
            <w:r>
              <w:rPr>
                <w:color w:val="auto"/>
                <w:sz w:val="21"/>
                <w:szCs w:val="21"/>
              </w:rPr>
              <w:t>其他在建、拟建项目污染源√</w:t>
            </w:r>
          </w:p>
        </w:tc>
        <w:tc>
          <w:tcPr>
            <w:tcW w:w="1096" w:type="dxa"/>
            <w:gridSpan w:val="2"/>
            <w:shd w:val="clear" w:color="auto" w:fill="auto"/>
            <w:vAlign w:val="center"/>
          </w:tcPr>
          <w:p>
            <w:pPr>
              <w:autoSpaceDE w:val="0"/>
              <w:autoSpaceDN w:val="0"/>
              <w:jc w:val="center"/>
              <w:textAlignment w:val="baseline"/>
              <w:rPr>
                <w:color w:val="auto"/>
                <w:sz w:val="21"/>
                <w:szCs w:val="21"/>
              </w:rPr>
            </w:pPr>
            <w:r>
              <w:rPr>
                <w:color w:val="auto"/>
                <w:sz w:val="21"/>
                <w:szCs w:val="21"/>
              </w:rPr>
              <w:t>区域污染源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61" w:type="dxa"/>
            <w:vMerge w:val="restart"/>
            <w:shd w:val="clear" w:color="auto" w:fill="auto"/>
            <w:vAlign w:val="center"/>
          </w:tcPr>
          <w:p>
            <w:pPr>
              <w:autoSpaceDE w:val="0"/>
              <w:autoSpaceDN w:val="0"/>
              <w:jc w:val="center"/>
              <w:textAlignment w:val="baseline"/>
              <w:rPr>
                <w:color w:val="auto"/>
                <w:sz w:val="21"/>
                <w:szCs w:val="21"/>
              </w:rPr>
            </w:pPr>
            <w:r>
              <w:rPr>
                <w:color w:val="auto"/>
                <w:sz w:val="21"/>
                <w:szCs w:val="21"/>
              </w:rPr>
              <w:t>大气环境影响预测与评价</w:t>
            </w:r>
          </w:p>
        </w:tc>
        <w:tc>
          <w:tcPr>
            <w:tcW w:w="1344" w:type="dxa"/>
            <w:shd w:val="clear" w:color="auto" w:fill="auto"/>
            <w:vAlign w:val="center"/>
          </w:tcPr>
          <w:p>
            <w:pPr>
              <w:autoSpaceDE w:val="0"/>
              <w:autoSpaceDN w:val="0"/>
              <w:jc w:val="center"/>
              <w:textAlignment w:val="baseline"/>
              <w:rPr>
                <w:color w:val="auto"/>
                <w:sz w:val="21"/>
                <w:szCs w:val="21"/>
              </w:rPr>
            </w:pPr>
            <w:r>
              <w:rPr>
                <w:color w:val="auto"/>
                <w:sz w:val="21"/>
                <w:szCs w:val="21"/>
              </w:rPr>
              <w:t>预测模型</w:t>
            </w:r>
          </w:p>
        </w:tc>
        <w:tc>
          <w:tcPr>
            <w:tcW w:w="1037" w:type="dxa"/>
            <w:gridSpan w:val="2"/>
            <w:shd w:val="clear" w:color="auto" w:fill="auto"/>
            <w:vAlign w:val="center"/>
          </w:tcPr>
          <w:p>
            <w:pPr>
              <w:autoSpaceDE w:val="0"/>
              <w:autoSpaceDN w:val="0"/>
              <w:jc w:val="center"/>
              <w:textAlignment w:val="baseline"/>
              <w:rPr>
                <w:color w:val="auto"/>
                <w:sz w:val="21"/>
                <w:szCs w:val="21"/>
              </w:rPr>
            </w:pPr>
            <w:r>
              <w:rPr>
                <w:color w:val="auto"/>
                <w:sz w:val="21"/>
                <w:szCs w:val="21"/>
              </w:rPr>
              <w:t>AERMOD</w:t>
            </w:r>
            <w:r>
              <w:rPr>
                <w:rFonts w:asciiTheme="minorEastAsia" w:hAnsiTheme="minorEastAsia" w:eastAsiaTheme="minorEastAsia"/>
                <w:color w:val="auto"/>
                <w:sz w:val="21"/>
                <w:szCs w:val="21"/>
              </w:rPr>
              <w:t>□</w:t>
            </w:r>
          </w:p>
        </w:tc>
        <w:tc>
          <w:tcPr>
            <w:tcW w:w="1040" w:type="dxa"/>
            <w:gridSpan w:val="4"/>
            <w:shd w:val="clear" w:color="auto" w:fill="auto"/>
            <w:vAlign w:val="center"/>
          </w:tcPr>
          <w:p>
            <w:pPr>
              <w:autoSpaceDE w:val="0"/>
              <w:autoSpaceDN w:val="0"/>
              <w:jc w:val="center"/>
              <w:textAlignment w:val="baseline"/>
              <w:rPr>
                <w:color w:val="auto"/>
                <w:sz w:val="21"/>
                <w:szCs w:val="21"/>
              </w:rPr>
            </w:pPr>
            <w:r>
              <w:rPr>
                <w:color w:val="auto"/>
                <w:sz w:val="21"/>
                <w:szCs w:val="21"/>
              </w:rPr>
              <w:t>ADMS</w:t>
            </w:r>
            <w:r>
              <w:rPr>
                <w:rFonts w:asciiTheme="minorEastAsia" w:hAnsiTheme="minorEastAsia" w:eastAsiaTheme="minorEastAsia"/>
                <w:color w:val="auto"/>
                <w:sz w:val="21"/>
                <w:szCs w:val="21"/>
              </w:rPr>
              <w:t>□</w:t>
            </w:r>
          </w:p>
        </w:tc>
        <w:tc>
          <w:tcPr>
            <w:tcW w:w="1040" w:type="dxa"/>
            <w:gridSpan w:val="4"/>
            <w:shd w:val="clear" w:color="auto" w:fill="auto"/>
            <w:vAlign w:val="center"/>
          </w:tcPr>
          <w:p>
            <w:pPr>
              <w:autoSpaceDE w:val="0"/>
              <w:autoSpaceDN w:val="0"/>
              <w:jc w:val="center"/>
              <w:textAlignment w:val="baseline"/>
              <w:rPr>
                <w:color w:val="auto"/>
                <w:sz w:val="21"/>
                <w:szCs w:val="21"/>
              </w:rPr>
            </w:pPr>
            <w:r>
              <w:rPr>
                <w:color w:val="auto"/>
                <w:sz w:val="21"/>
                <w:szCs w:val="21"/>
              </w:rPr>
              <w:t>AUSTAL2000</w:t>
            </w:r>
            <w:r>
              <w:rPr>
                <w:rFonts w:asciiTheme="minorEastAsia" w:hAnsiTheme="minorEastAsia" w:eastAsiaTheme="minorEastAsia"/>
                <w:color w:val="auto"/>
                <w:sz w:val="21"/>
                <w:szCs w:val="21"/>
              </w:rPr>
              <w:t>□</w:t>
            </w:r>
          </w:p>
        </w:tc>
        <w:tc>
          <w:tcPr>
            <w:tcW w:w="1043" w:type="dxa"/>
            <w:gridSpan w:val="2"/>
            <w:shd w:val="clear" w:color="auto" w:fill="auto"/>
            <w:vAlign w:val="center"/>
          </w:tcPr>
          <w:p>
            <w:pPr>
              <w:autoSpaceDE w:val="0"/>
              <w:autoSpaceDN w:val="0"/>
              <w:jc w:val="center"/>
              <w:textAlignment w:val="baseline"/>
              <w:rPr>
                <w:color w:val="auto"/>
                <w:sz w:val="21"/>
                <w:szCs w:val="21"/>
              </w:rPr>
            </w:pPr>
            <w:r>
              <w:rPr>
                <w:color w:val="auto"/>
                <w:sz w:val="21"/>
                <w:szCs w:val="21"/>
              </w:rPr>
              <w:t>EDMS/AEDT</w:t>
            </w:r>
            <w:r>
              <w:rPr>
                <w:rFonts w:asciiTheme="minorEastAsia" w:hAnsiTheme="minorEastAsia" w:eastAsiaTheme="minorEastAsia"/>
                <w:color w:val="auto"/>
                <w:sz w:val="21"/>
                <w:szCs w:val="21"/>
              </w:rPr>
              <w:t>□</w:t>
            </w:r>
          </w:p>
        </w:tc>
        <w:tc>
          <w:tcPr>
            <w:tcW w:w="1040" w:type="dxa"/>
            <w:gridSpan w:val="3"/>
            <w:shd w:val="clear" w:color="auto" w:fill="auto"/>
            <w:vAlign w:val="center"/>
          </w:tcPr>
          <w:p>
            <w:pPr>
              <w:autoSpaceDE w:val="0"/>
              <w:autoSpaceDN w:val="0"/>
              <w:jc w:val="center"/>
              <w:textAlignment w:val="baseline"/>
              <w:rPr>
                <w:color w:val="auto"/>
                <w:sz w:val="21"/>
                <w:szCs w:val="21"/>
              </w:rPr>
            </w:pPr>
            <w:r>
              <w:rPr>
                <w:color w:val="auto"/>
                <w:sz w:val="21"/>
                <w:szCs w:val="21"/>
              </w:rPr>
              <w:t>CALPUFF</w:t>
            </w:r>
            <w:r>
              <w:rPr>
                <w:rFonts w:asciiTheme="minorEastAsia" w:hAnsiTheme="minorEastAsia" w:eastAsiaTheme="minorEastAsia"/>
                <w:color w:val="auto"/>
                <w:sz w:val="21"/>
                <w:szCs w:val="21"/>
              </w:rPr>
              <w:t>□</w:t>
            </w:r>
          </w:p>
        </w:tc>
        <w:tc>
          <w:tcPr>
            <w:tcW w:w="1040" w:type="dxa"/>
            <w:gridSpan w:val="4"/>
            <w:shd w:val="clear" w:color="auto" w:fill="auto"/>
            <w:vAlign w:val="center"/>
          </w:tcPr>
          <w:p>
            <w:pPr>
              <w:autoSpaceDE w:val="0"/>
              <w:autoSpaceDN w:val="0"/>
              <w:jc w:val="center"/>
              <w:textAlignment w:val="baseline"/>
              <w:rPr>
                <w:color w:val="auto"/>
                <w:sz w:val="21"/>
                <w:szCs w:val="21"/>
              </w:rPr>
            </w:pPr>
            <w:r>
              <w:rPr>
                <w:color w:val="auto"/>
                <w:sz w:val="21"/>
                <w:szCs w:val="21"/>
              </w:rPr>
              <w:t>网格模型</w:t>
            </w:r>
            <w:r>
              <w:rPr>
                <w:rFonts w:asciiTheme="minorEastAsia" w:hAnsiTheme="minorEastAsia" w:eastAsiaTheme="minorEastAsia"/>
                <w:color w:val="auto"/>
                <w:sz w:val="21"/>
                <w:szCs w:val="21"/>
              </w:rPr>
              <w:t>□</w:t>
            </w:r>
          </w:p>
        </w:tc>
        <w:tc>
          <w:tcPr>
            <w:tcW w:w="1040" w:type="dxa"/>
            <w:shd w:val="clear" w:color="auto" w:fill="auto"/>
            <w:vAlign w:val="center"/>
          </w:tcPr>
          <w:p>
            <w:pPr>
              <w:autoSpaceDE w:val="0"/>
              <w:autoSpaceDN w:val="0"/>
              <w:jc w:val="center"/>
              <w:textAlignment w:val="baseline"/>
              <w:rPr>
                <w:color w:val="auto"/>
                <w:sz w:val="21"/>
                <w:szCs w:val="21"/>
              </w:rPr>
            </w:pPr>
            <w:r>
              <w:rPr>
                <w:color w:val="auto"/>
                <w:sz w:val="21"/>
                <w:szCs w:val="21"/>
              </w:rPr>
              <w:t>其他</w:t>
            </w:r>
            <w:r>
              <w:rPr>
                <w:rFonts w:asciiTheme="minorEastAsia" w:hAnsiTheme="minorEastAsia" w:eastAsiaTheme="minor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61" w:type="dxa"/>
            <w:vMerge w:val="continue"/>
            <w:shd w:val="clear" w:color="auto" w:fill="auto"/>
            <w:vAlign w:val="center"/>
          </w:tcPr>
          <w:p>
            <w:pPr>
              <w:rPr>
                <w:color w:val="auto"/>
                <w:sz w:val="21"/>
                <w:szCs w:val="21"/>
              </w:rPr>
            </w:pPr>
          </w:p>
        </w:tc>
        <w:tc>
          <w:tcPr>
            <w:tcW w:w="1344" w:type="dxa"/>
            <w:shd w:val="clear" w:color="auto" w:fill="auto"/>
            <w:vAlign w:val="center"/>
          </w:tcPr>
          <w:p>
            <w:pPr>
              <w:autoSpaceDE w:val="0"/>
              <w:autoSpaceDN w:val="0"/>
              <w:jc w:val="center"/>
              <w:textAlignment w:val="baseline"/>
              <w:rPr>
                <w:color w:val="auto"/>
                <w:sz w:val="21"/>
                <w:szCs w:val="21"/>
              </w:rPr>
            </w:pPr>
            <w:r>
              <w:rPr>
                <w:color w:val="auto"/>
                <w:sz w:val="21"/>
                <w:szCs w:val="21"/>
              </w:rPr>
              <w:t>预测范围</w:t>
            </w:r>
          </w:p>
        </w:tc>
        <w:tc>
          <w:tcPr>
            <w:tcW w:w="2077" w:type="dxa"/>
            <w:gridSpan w:val="6"/>
            <w:shd w:val="clear" w:color="auto" w:fill="auto"/>
            <w:vAlign w:val="center"/>
          </w:tcPr>
          <w:p>
            <w:pPr>
              <w:autoSpaceDE w:val="0"/>
              <w:autoSpaceDN w:val="0"/>
              <w:jc w:val="center"/>
              <w:textAlignment w:val="baseline"/>
              <w:rPr>
                <w:color w:val="auto"/>
                <w:sz w:val="21"/>
                <w:szCs w:val="21"/>
              </w:rPr>
            </w:pPr>
            <w:r>
              <w:rPr>
                <w:color w:val="auto"/>
                <w:sz w:val="21"/>
                <w:szCs w:val="21"/>
              </w:rPr>
              <w:t>边长≥50km</w:t>
            </w:r>
            <w:r>
              <w:rPr>
                <w:rFonts w:asciiTheme="minorEastAsia" w:hAnsiTheme="minorEastAsia" w:eastAsiaTheme="minorEastAsia"/>
                <w:color w:val="auto"/>
                <w:sz w:val="21"/>
                <w:szCs w:val="21"/>
              </w:rPr>
              <w:t>□</w:t>
            </w:r>
          </w:p>
        </w:tc>
        <w:tc>
          <w:tcPr>
            <w:tcW w:w="3123" w:type="dxa"/>
            <w:gridSpan w:val="9"/>
            <w:shd w:val="clear" w:color="auto" w:fill="auto"/>
            <w:vAlign w:val="center"/>
          </w:tcPr>
          <w:p>
            <w:pPr>
              <w:autoSpaceDE w:val="0"/>
              <w:autoSpaceDN w:val="0"/>
              <w:jc w:val="center"/>
              <w:textAlignment w:val="baseline"/>
              <w:rPr>
                <w:color w:val="auto"/>
                <w:sz w:val="21"/>
                <w:szCs w:val="21"/>
              </w:rPr>
            </w:pPr>
            <w:r>
              <w:rPr>
                <w:color w:val="auto"/>
                <w:sz w:val="21"/>
                <w:szCs w:val="21"/>
              </w:rPr>
              <w:t>边长5-50km</w:t>
            </w:r>
            <w:r>
              <w:rPr>
                <w:rFonts w:asciiTheme="minorEastAsia" w:hAnsiTheme="minorEastAsia" w:eastAsiaTheme="minorEastAsia"/>
                <w:color w:val="auto"/>
                <w:sz w:val="21"/>
                <w:szCs w:val="21"/>
              </w:rPr>
              <w:t>□</w:t>
            </w:r>
          </w:p>
        </w:tc>
        <w:tc>
          <w:tcPr>
            <w:tcW w:w="2080" w:type="dxa"/>
            <w:gridSpan w:val="5"/>
            <w:shd w:val="clear" w:color="auto" w:fill="auto"/>
            <w:vAlign w:val="center"/>
          </w:tcPr>
          <w:p>
            <w:pPr>
              <w:autoSpaceDE w:val="0"/>
              <w:autoSpaceDN w:val="0"/>
              <w:jc w:val="center"/>
              <w:textAlignment w:val="baseline"/>
              <w:rPr>
                <w:color w:val="auto"/>
                <w:sz w:val="21"/>
                <w:szCs w:val="21"/>
              </w:rPr>
            </w:pPr>
            <w:r>
              <w:rPr>
                <w:color w:val="auto"/>
                <w:sz w:val="21"/>
                <w:szCs w:val="21"/>
              </w:rPr>
              <w:t>边长=5km</w:t>
            </w:r>
            <w:r>
              <w:rPr>
                <w:rFonts w:asciiTheme="minorEastAsia" w:hAnsiTheme="minorEastAsia" w:eastAsiaTheme="minor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61" w:type="dxa"/>
            <w:vMerge w:val="continue"/>
            <w:shd w:val="clear" w:color="auto" w:fill="auto"/>
            <w:vAlign w:val="center"/>
          </w:tcPr>
          <w:p>
            <w:pPr>
              <w:rPr>
                <w:color w:val="auto"/>
                <w:sz w:val="21"/>
                <w:szCs w:val="21"/>
              </w:rPr>
            </w:pPr>
          </w:p>
        </w:tc>
        <w:tc>
          <w:tcPr>
            <w:tcW w:w="1344" w:type="dxa"/>
            <w:shd w:val="clear" w:color="auto" w:fill="auto"/>
            <w:vAlign w:val="center"/>
          </w:tcPr>
          <w:p>
            <w:pPr>
              <w:autoSpaceDE w:val="0"/>
              <w:autoSpaceDN w:val="0"/>
              <w:jc w:val="center"/>
              <w:textAlignment w:val="baseline"/>
              <w:rPr>
                <w:color w:val="auto"/>
                <w:sz w:val="21"/>
                <w:szCs w:val="21"/>
              </w:rPr>
            </w:pPr>
            <w:r>
              <w:rPr>
                <w:color w:val="auto"/>
                <w:sz w:val="21"/>
                <w:szCs w:val="21"/>
              </w:rPr>
              <w:t>预测因子</w:t>
            </w:r>
          </w:p>
        </w:tc>
        <w:tc>
          <w:tcPr>
            <w:tcW w:w="3639" w:type="dxa"/>
            <w:gridSpan w:val="11"/>
            <w:shd w:val="clear" w:color="auto" w:fill="auto"/>
            <w:vAlign w:val="center"/>
          </w:tcPr>
          <w:p>
            <w:pPr>
              <w:autoSpaceDE w:val="0"/>
              <w:autoSpaceDN w:val="0"/>
              <w:jc w:val="center"/>
              <w:textAlignment w:val="baseline"/>
              <w:rPr>
                <w:color w:val="auto"/>
                <w:sz w:val="21"/>
                <w:szCs w:val="21"/>
              </w:rPr>
            </w:pPr>
            <w:r>
              <w:rPr>
                <w:color w:val="auto"/>
                <w:sz w:val="21"/>
                <w:szCs w:val="21"/>
              </w:rPr>
              <w:t>预测因子（</w:t>
            </w:r>
            <w:r>
              <w:rPr>
                <w:rFonts w:hint="eastAsia"/>
                <w:color w:val="auto"/>
                <w:sz w:val="21"/>
                <w:szCs w:val="21"/>
              </w:rPr>
              <w:t xml:space="preserve">  </w:t>
            </w:r>
            <w:r>
              <w:rPr>
                <w:color w:val="auto"/>
                <w:sz w:val="21"/>
                <w:szCs w:val="21"/>
              </w:rPr>
              <w:t>）</w:t>
            </w:r>
          </w:p>
        </w:tc>
        <w:tc>
          <w:tcPr>
            <w:tcW w:w="3641" w:type="dxa"/>
            <w:gridSpan w:val="9"/>
            <w:shd w:val="clear" w:color="auto" w:fill="auto"/>
            <w:vAlign w:val="center"/>
          </w:tcPr>
          <w:p>
            <w:pPr>
              <w:autoSpaceDE w:val="0"/>
              <w:autoSpaceDN w:val="0"/>
              <w:ind w:right="480" w:rightChars="200"/>
              <w:jc w:val="right"/>
              <w:textAlignment w:val="baseline"/>
              <w:rPr>
                <w:color w:val="auto"/>
                <w:sz w:val="21"/>
                <w:szCs w:val="21"/>
              </w:rPr>
            </w:pPr>
            <w:r>
              <w:rPr>
                <w:color w:val="auto"/>
                <w:sz w:val="21"/>
                <w:szCs w:val="21"/>
              </w:rPr>
              <w:t>包括二次PM2.5</w:t>
            </w:r>
            <w:r>
              <w:rPr>
                <w:rFonts w:asciiTheme="minorEastAsia" w:hAnsiTheme="minorEastAsia" w:eastAsiaTheme="minorEastAsia"/>
                <w:color w:val="auto"/>
                <w:sz w:val="21"/>
                <w:szCs w:val="21"/>
              </w:rPr>
              <w:t>□</w:t>
            </w:r>
          </w:p>
          <w:p>
            <w:pPr>
              <w:autoSpaceDE w:val="0"/>
              <w:autoSpaceDN w:val="0"/>
              <w:ind w:right="480" w:rightChars="200"/>
              <w:jc w:val="right"/>
              <w:textAlignment w:val="baseline"/>
              <w:rPr>
                <w:color w:val="auto"/>
                <w:sz w:val="21"/>
                <w:szCs w:val="21"/>
              </w:rPr>
            </w:pPr>
            <w:r>
              <w:rPr>
                <w:color w:val="auto"/>
                <w:sz w:val="21"/>
                <w:szCs w:val="21"/>
              </w:rPr>
              <w:t>不包括二次PM2.5</w:t>
            </w:r>
            <w:r>
              <w:rPr>
                <w:rFonts w:asciiTheme="minorEastAsia" w:hAnsiTheme="minorEastAsia" w:eastAsiaTheme="minor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61" w:type="dxa"/>
            <w:vMerge w:val="continue"/>
            <w:shd w:val="clear" w:color="auto" w:fill="auto"/>
            <w:vAlign w:val="center"/>
          </w:tcPr>
          <w:p>
            <w:pPr>
              <w:rPr>
                <w:color w:val="auto"/>
                <w:sz w:val="21"/>
                <w:szCs w:val="21"/>
              </w:rPr>
            </w:pPr>
          </w:p>
        </w:tc>
        <w:tc>
          <w:tcPr>
            <w:tcW w:w="1344" w:type="dxa"/>
            <w:shd w:val="clear" w:color="auto" w:fill="auto"/>
            <w:vAlign w:val="center"/>
          </w:tcPr>
          <w:p>
            <w:pPr>
              <w:autoSpaceDE w:val="0"/>
              <w:autoSpaceDN w:val="0"/>
              <w:jc w:val="center"/>
              <w:textAlignment w:val="baseline"/>
              <w:rPr>
                <w:color w:val="auto"/>
                <w:sz w:val="21"/>
                <w:szCs w:val="21"/>
              </w:rPr>
            </w:pPr>
            <w:r>
              <w:rPr>
                <w:color w:val="auto"/>
                <w:sz w:val="21"/>
                <w:szCs w:val="21"/>
              </w:rPr>
              <w:t>正常排放短期浓度贡献值</w:t>
            </w:r>
          </w:p>
        </w:tc>
        <w:tc>
          <w:tcPr>
            <w:tcW w:w="3639" w:type="dxa"/>
            <w:gridSpan w:val="11"/>
            <w:shd w:val="clear" w:color="auto" w:fill="auto"/>
            <w:vAlign w:val="center"/>
          </w:tcPr>
          <w:p>
            <w:pPr>
              <w:autoSpaceDE w:val="0"/>
              <w:autoSpaceDN w:val="0"/>
              <w:jc w:val="center"/>
              <w:textAlignment w:val="baseline"/>
              <w:rPr>
                <w:color w:val="auto"/>
                <w:sz w:val="21"/>
                <w:szCs w:val="21"/>
              </w:rPr>
            </w:pPr>
            <w:r>
              <w:rPr>
                <w:color w:val="auto"/>
                <w:sz w:val="21"/>
                <w:szCs w:val="21"/>
              </w:rPr>
              <w:t>C</w:t>
            </w:r>
            <w:r>
              <w:rPr>
                <w:color w:val="auto"/>
                <w:sz w:val="21"/>
                <w:szCs w:val="21"/>
                <w:vertAlign w:val="subscript"/>
              </w:rPr>
              <w:t>本项目</w:t>
            </w:r>
            <w:r>
              <w:rPr>
                <w:color w:val="auto"/>
                <w:sz w:val="21"/>
                <w:szCs w:val="21"/>
              </w:rPr>
              <w:t>最大占标率≤100%</w:t>
            </w:r>
            <w:r>
              <w:rPr>
                <w:rFonts w:asciiTheme="minorEastAsia" w:hAnsiTheme="minorEastAsia" w:eastAsiaTheme="minorEastAsia"/>
                <w:color w:val="auto"/>
                <w:sz w:val="21"/>
                <w:szCs w:val="21"/>
              </w:rPr>
              <w:t>□</w:t>
            </w:r>
          </w:p>
        </w:tc>
        <w:tc>
          <w:tcPr>
            <w:tcW w:w="3641" w:type="dxa"/>
            <w:gridSpan w:val="9"/>
            <w:shd w:val="clear" w:color="auto" w:fill="auto"/>
            <w:vAlign w:val="center"/>
          </w:tcPr>
          <w:p>
            <w:pPr>
              <w:autoSpaceDE w:val="0"/>
              <w:autoSpaceDN w:val="0"/>
              <w:jc w:val="center"/>
              <w:textAlignment w:val="baseline"/>
              <w:rPr>
                <w:color w:val="auto"/>
                <w:sz w:val="21"/>
                <w:szCs w:val="21"/>
              </w:rPr>
            </w:pPr>
            <w:r>
              <w:rPr>
                <w:color w:val="auto"/>
                <w:sz w:val="21"/>
                <w:szCs w:val="21"/>
              </w:rPr>
              <w:t>C</w:t>
            </w:r>
            <w:r>
              <w:rPr>
                <w:color w:val="auto"/>
                <w:sz w:val="21"/>
                <w:szCs w:val="21"/>
                <w:vertAlign w:val="subscript"/>
              </w:rPr>
              <w:t>本项目</w:t>
            </w:r>
            <w:r>
              <w:rPr>
                <w:color w:val="auto"/>
                <w:sz w:val="21"/>
                <w:szCs w:val="21"/>
              </w:rPr>
              <w:t>最大占标率＞100%</w:t>
            </w:r>
            <w:r>
              <w:rPr>
                <w:rFonts w:asciiTheme="minorEastAsia" w:hAnsiTheme="minorEastAsia" w:eastAsiaTheme="minor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61" w:type="dxa"/>
            <w:vMerge w:val="continue"/>
            <w:shd w:val="clear" w:color="auto" w:fill="auto"/>
            <w:vAlign w:val="center"/>
          </w:tcPr>
          <w:p>
            <w:pPr>
              <w:rPr>
                <w:color w:val="auto"/>
                <w:sz w:val="21"/>
                <w:szCs w:val="21"/>
              </w:rPr>
            </w:pPr>
          </w:p>
        </w:tc>
        <w:tc>
          <w:tcPr>
            <w:tcW w:w="1344" w:type="dxa"/>
            <w:vMerge w:val="restart"/>
            <w:shd w:val="clear" w:color="auto" w:fill="auto"/>
            <w:vAlign w:val="center"/>
          </w:tcPr>
          <w:p>
            <w:pPr>
              <w:autoSpaceDE w:val="0"/>
              <w:autoSpaceDN w:val="0"/>
              <w:jc w:val="center"/>
              <w:textAlignment w:val="baseline"/>
              <w:rPr>
                <w:color w:val="auto"/>
                <w:sz w:val="21"/>
                <w:szCs w:val="21"/>
              </w:rPr>
            </w:pPr>
            <w:r>
              <w:rPr>
                <w:color w:val="auto"/>
                <w:sz w:val="21"/>
                <w:szCs w:val="21"/>
              </w:rPr>
              <w:t>正常排放年均浓度贡献值</w:t>
            </w:r>
          </w:p>
        </w:tc>
        <w:tc>
          <w:tcPr>
            <w:tcW w:w="934" w:type="dxa"/>
            <w:shd w:val="clear" w:color="auto" w:fill="auto"/>
            <w:vAlign w:val="center"/>
          </w:tcPr>
          <w:p>
            <w:pPr>
              <w:autoSpaceDE w:val="0"/>
              <w:autoSpaceDN w:val="0"/>
              <w:jc w:val="center"/>
              <w:textAlignment w:val="baseline"/>
              <w:rPr>
                <w:color w:val="auto"/>
                <w:sz w:val="21"/>
                <w:szCs w:val="21"/>
              </w:rPr>
            </w:pPr>
            <w:r>
              <w:rPr>
                <w:color w:val="auto"/>
                <w:sz w:val="21"/>
                <w:szCs w:val="21"/>
              </w:rPr>
              <w:t>一类区</w:t>
            </w:r>
          </w:p>
        </w:tc>
        <w:tc>
          <w:tcPr>
            <w:tcW w:w="2705" w:type="dxa"/>
            <w:gridSpan w:val="10"/>
            <w:shd w:val="clear" w:color="auto" w:fill="auto"/>
            <w:vAlign w:val="center"/>
          </w:tcPr>
          <w:p>
            <w:pPr>
              <w:autoSpaceDE w:val="0"/>
              <w:autoSpaceDN w:val="0"/>
              <w:jc w:val="center"/>
              <w:textAlignment w:val="baseline"/>
              <w:rPr>
                <w:color w:val="auto"/>
                <w:sz w:val="21"/>
                <w:szCs w:val="21"/>
              </w:rPr>
            </w:pPr>
            <w:r>
              <w:rPr>
                <w:color w:val="auto"/>
                <w:sz w:val="21"/>
                <w:szCs w:val="21"/>
              </w:rPr>
              <w:t>C</w:t>
            </w:r>
            <w:r>
              <w:rPr>
                <w:color w:val="auto"/>
                <w:sz w:val="21"/>
                <w:szCs w:val="21"/>
                <w:vertAlign w:val="subscript"/>
              </w:rPr>
              <w:t>本项目</w:t>
            </w:r>
            <w:r>
              <w:rPr>
                <w:color w:val="auto"/>
                <w:sz w:val="21"/>
                <w:szCs w:val="21"/>
              </w:rPr>
              <w:t>最大占标率≤10%</w:t>
            </w:r>
            <w:r>
              <w:rPr>
                <w:rFonts w:asciiTheme="minorEastAsia" w:hAnsiTheme="minorEastAsia" w:eastAsiaTheme="minorEastAsia"/>
                <w:color w:val="auto"/>
                <w:sz w:val="21"/>
                <w:szCs w:val="21"/>
              </w:rPr>
              <w:t>□</w:t>
            </w:r>
          </w:p>
        </w:tc>
        <w:tc>
          <w:tcPr>
            <w:tcW w:w="3641" w:type="dxa"/>
            <w:gridSpan w:val="9"/>
            <w:shd w:val="clear" w:color="auto" w:fill="auto"/>
            <w:vAlign w:val="center"/>
          </w:tcPr>
          <w:p>
            <w:pPr>
              <w:autoSpaceDE w:val="0"/>
              <w:autoSpaceDN w:val="0"/>
              <w:jc w:val="center"/>
              <w:textAlignment w:val="baseline"/>
              <w:rPr>
                <w:color w:val="auto"/>
                <w:sz w:val="21"/>
                <w:szCs w:val="21"/>
              </w:rPr>
            </w:pPr>
            <w:r>
              <w:rPr>
                <w:color w:val="auto"/>
                <w:sz w:val="21"/>
                <w:szCs w:val="21"/>
              </w:rPr>
              <w:t>C</w:t>
            </w:r>
            <w:r>
              <w:rPr>
                <w:color w:val="auto"/>
                <w:sz w:val="21"/>
                <w:szCs w:val="21"/>
                <w:vertAlign w:val="subscript"/>
              </w:rPr>
              <w:t>本项目</w:t>
            </w:r>
            <w:r>
              <w:rPr>
                <w:color w:val="auto"/>
                <w:sz w:val="21"/>
                <w:szCs w:val="21"/>
              </w:rPr>
              <w:t>最大占标率＞10%</w:t>
            </w:r>
            <w:r>
              <w:rPr>
                <w:rFonts w:asciiTheme="minorEastAsia" w:hAnsiTheme="minorEastAsia" w:eastAsiaTheme="minor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61" w:type="dxa"/>
            <w:vMerge w:val="continue"/>
            <w:shd w:val="clear" w:color="auto" w:fill="auto"/>
            <w:vAlign w:val="center"/>
          </w:tcPr>
          <w:p>
            <w:pPr>
              <w:rPr>
                <w:color w:val="auto"/>
                <w:sz w:val="21"/>
                <w:szCs w:val="21"/>
              </w:rPr>
            </w:pPr>
          </w:p>
        </w:tc>
        <w:tc>
          <w:tcPr>
            <w:tcW w:w="1344" w:type="dxa"/>
            <w:vMerge w:val="continue"/>
            <w:shd w:val="clear" w:color="auto" w:fill="auto"/>
            <w:vAlign w:val="center"/>
          </w:tcPr>
          <w:p>
            <w:pPr>
              <w:rPr>
                <w:color w:val="auto"/>
                <w:sz w:val="21"/>
                <w:szCs w:val="21"/>
              </w:rPr>
            </w:pPr>
          </w:p>
        </w:tc>
        <w:tc>
          <w:tcPr>
            <w:tcW w:w="934" w:type="dxa"/>
            <w:shd w:val="clear" w:color="auto" w:fill="auto"/>
            <w:vAlign w:val="center"/>
          </w:tcPr>
          <w:p>
            <w:pPr>
              <w:autoSpaceDE w:val="0"/>
              <w:autoSpaceDN w:val="0"/>
              <w:jc w:val="center"/>
              <w:textAlignment w:val="baseline"/>
              <w:rPr>
                <w:color w:val="auto"/>
                <w:sz w:val="21"/>
                <w:szCs w:val="21"/>
              </w:rPr>
            </w:pPr>
            <w:r>
              <w:rPr>
                <w:color w:val="auto"/>
                <w:sz w:val="21"/>
                <w:szCs w:val="21"/>
              </w:rPr>
              <w:t>二类区</w:t>
            </w:r>
          </w:p>
        </w:tc>
        <w:tc>
          <w:tcPr>
            <w:tcW w:w="2705" w:type="dxa"/>
            <w:gridSpan w:val="10"/>
            <w:shd w:val="clear" w:color="auto" w:fill="auto"/>
            <w:vAlign w:val="center"/>
          </w:tcPr>
          <w:p>
            <w:pPr>
              <w:autoSpaceDE w:val="0"/>
              <w:autoSpaceDN w:val="0"/>
              <w:jc w:val="center"/>
              <w:textAlignment w:val="baseline"/>
              <w:rPr>
                <w:color w:val="auto"/>
                <w:sz w:val="21"/>
                <w:szCs w:val="21"/>
              </w:rPr>
            </w:pPr>
            <w:r>
              <w:rPr>
                <w:color w:val="auto"/>
                <w:sz w:val="21"/>
                <w:szCs w:val="21"/>
              </w:rPr>
              <w:t>C</w:t>
            </w:r>
            <w:r>
              <w:rPr>
                <w:color w:val="auto"/>
                <w:sz w:val="21"/>
                <w:szCs w:val="21"/>
                <w:vertAlign w:val="subscript"/>
              </w:rPr>
              <w:t>本项目</w:t>
            </w:r>
            <w:r>
              <w:rPr>
                <w:color w:val="auto"/>
                <w:sz w:val="21"/>
                <w:szCs w:val="21"/>
              </w:rPr>
              <w:t>最大占标率≤30%</w:t>
            </w:r>
            <w:r>
              <w:rPr>
                <w:rFonts w:asciiTheme="minorEastAsia" w:hAnsiTheme="minorEastAsia" w:eastAsiaTheme="minorEastAsia"/>
                <w:color w:val="auto"/>
                <w:sz w:val="21"/>
                <w:szCs w:val="21"/>
              </w:rPr>
              <w:t>□</w:t>
            </w:r>
          </w:p>
        </w:tc>
        <w:tc>
          <w:tcPr>
            <w:tcW w:w="3641" w:type="dxa"/>
            <w:gridSpan w:val="9"/>
            <w:shd w:val="clear" w:color="auto" w:fill="auto"/>
            <w:vAlign w:val="center"/>
          </w:tcPr>
          <w:p>
            <w:pPr>
              <w:autoSpaceDE w:val="0"/>
              <w:autoSpaceDN w:val="0"/>
              <w:jc w:val="center"/>
              <w:textAlignment w:val="baseline"/>
              <w:rPr>
                <w:color w:val="auto"/>
                <w:sz w:val="21"/>
                <w:szCs w:val="21"/>
              </w:rPr>
            </w:pPr>
            <w:r>
              <w:rPr>
                <w:color w:val="auto"/>
                <w:sz w:val="21"/>
                <w:szCs w:val="21"/>
              </w:rPr>
              <w:t>C</w:t>
            </w:r>
            <w:r>
              <w:rPr>
                <w:color w:val="auto"/>
                <w:sz w:val="21"/>
                <w:szCs w:val="21"/>
                <w:vertAlign w:val="subscript"/>
              </w:rPr>
              <w:t>本项目</w:t>
            </w:r>
            <w:r>
              <w:rPr>
                <w:color w:val="auto"/>
                <w:sz w:val="21"/>
                <w:szCs w:val="21"/>
              </w:rPr>
              <w:t>最大占标率＞30%</w:t>
            </w:r>
            <w:r>
              <w:rPr>
                <w:rFonts w:asciiTheme="minorEastAsia" w:hAnsiTheme="minorEastAsia" w:eastAsiaTheme="minor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61" w:type="dxa"/>
            <w:vMerge w:val="continue"/>
            <w:shd w:val="clear" w:color="auto" w:fill="auto"/>
            <w:vAlign w:val="center"/>
          </w:tcPr>
          <w:p>
            <w:pPr>
              <w:rPr>
                <w:color w:val="auto"/>
                <w:sz w:val="21"/>
                <w:szCs w:val="21"/>
              </w:rPr>
            </w:pPr>
          </w:p>
        </w:tc>
        <w:tc>
          <w:tcPr>
            <w:tcW w:w="1344" w:type="dxa"/>
            <w:shd w:val="clear" w:color="auto" w:fill="auto"/>
            <w:vAlign w:val="center"/>
          </w:tcPr>
          <w:p>
            <w:pPr>
              <w:autoSpaceDE w:val="0"/>
              <w:autoSpaceDN w:val="0"/>
              <w:jc w:val="center"/>
              <w:textAlignment w:val="baseline"/>
              <w:rPr>
                <w:color w:val="auto"/>
                <w:sz w:val="21"/>
                <w:szCs w:val="21"/>
              </w:rPr>
            </w:pPr>
            <w:r>
              <w:rPr>
                <w:color w:val="auto"/>
                <w:sz w:val="21"/>
                <w:szCs w:val="21"/>
              </w:rPr>
              <w:t>非正常排放1h浓度贡献值</w:t>
            </w:r>
          </w:p>
        </w:tc>
        <w:tc>
          <w:tcPr>
            <w:tcW w:w="2426" w:type="dxa"/>
            <w:gridSpan w:val="8"/>
            <w:shd w:val="clear" w:color="auto" w:fill="auto"/>
            <w:vAlign w:val="center"/>
          </w:tcPr>
          <w:p>
            <w:pPr>
              <w:autoSpaceDE w:val="0"/>
              <w:autoSpaceDN w:val="0"/>
              <w:jc w:val="center"/>
              <w:textAlignment w:val="baseline"/>
              <w:rPr>
                <w:color w:val="auto"/>
                <w:sz w:val="21"/>
                <w:szCs w:val="21"/>
              </w:rPr>
            </w:pPr>
            <w:r>
              <w:rPr>
                <w:color w:val="auto"/>
                <w:sz w:val="21"/>
                <w:szCs w:val="21"/>
              </w:rPr>
              <w:t>非正常持续时长（</w:t>
            </w:r>
            <w:r>
              <w:rPr>
                <w:rFonts w:hint="eastAsia"/>
                <w:color w:val="auto"/>
                <w:sz w:val="21"/>
                <w:szCs w:val="21"/>
              </w:rPr>
              <w:t xml:space="preserve"> </w:t>
            </w:r>
            <w:r>
              <w:rPr>
                <w:color w:val="auto"/>
                <w:sz w:val="21"/>
                <w:szCs w:val="21"/>
              </w:rPr>
              <w:t>）h</w:t>
            </w:r>
          </w:p>
        </w:tc>
        <w:tc>
          <w:tcPr>
            <w:tcW w:w="2427" w:type="dxa"/>
            <w:gridSpan w:val="6"/>
            <w:shd w:val="clear" w:color="auto" w:fill="auto"/>
            <w:vAlign w:val="center"/>
          </w:tcPr>
          <w:p>
            <w:pPr>
              <w:autoSpaceDE w:val="0"/>
              <w:autoSpaceDN w:val="0"/>
              <w:jc w:val="center"/>
              <w:textAlignment w:val="baseline"/>
              <w:rPr>
                <w:color w:val="auto"/>
                <w:sz w:val="21"/>
                <w:szCs w:val="21"/>
              </w:rPr>
            </w:pPr>
            <w:r>
              <w:rPr>
                <w:color w:val="auto"/>
                <w:sz w:val="21"/>
                <w:szCs w:val="21"/>
              </w:rPr>
              <w:t>C</w:t>
            </w:r>
            <w:r>
              <w:rPr>
                <w:color w:val="auto"/>
                <w:sz w:val="21"/>
                <w:szCs w:val="21"/>
                <w:vertAlign w:val="subscript"/>
              </w:rPr>
              <w:t>非正常</w:t>
            </w:r>
            <w:r>
              <w:rPr>
                <w:color w:val="auto"/>
                <w:sz w:val="21"/>
                <w:szCs w:val="21"/>
              </w:rPr>
              <w:t>占标率≤100%</w:t>
            </w:r>
            <w:r>
              <w:rPr>
                <w:rFonts w:asciiTheme="minorEastAsia" w:hAnsiTheme="minorEastAsia" w:eastAsiaTheme="minorEastAsia"/>
                <w:color w:val="auto"/>
                <w:sz w:val="21"/>
                <w:szCs w:val="21"/>
              </w:rPr>
              <w:t>□</w:t>
            </w:r>
          </w:p>
        </w:tc>
        <w:tc>
          <w:tcPr>
            <w:tcW w:w="2427" w:type="dxa"/>
            <w:gridSpan w:val="6"/>
            <w:shd w:val="clear" w:color="auto" w:fill="auto"/>
            <w:vAlign w:val="center"/>
          </w:tcPr>
          <w:p>
            <w:pPr>
              <w:autoSpaceDE w:val="0"/>
              <w:autoSpaceDN w:val="0"/>
              <w:jc w:val="center"/>
              <w:textAlignment w:val="baseline"/>
              <w:rPr>
                <w:color w:val="auto"/>
                <w:sz w:val="21"/>
                <w:szCs w:val="21"/>
              </w:rPr>
            </w:pPr>
            <w:r>
              <w:rPr>
                <w:color w:val="auto"/>
                <w:sz w:val="21"/>
                <w:szCs w:val="21"/>
              </w:rPr>
              <w:t>C</w:t>
            </w:r>
            <w:r>
              <w:rPr>
                <w:color w:val="auto"/>
                <w:sz w:val="21"/>
                <w:szCs w:val="21"/>
                <w:vertAlign w:val="subscript"/>
              </w:rPr>
              <w:t>非正常</w:t>
            </w:r>
            <w:r>
              <w:rPr>
                <w:color w:val="auto"/>
                <w:sz w:val="21"/>
                <w:szCs w:val="21"/>
              </w:rPr>
              <w:t>占标率＞100%</w:t>
            </w:r>
            <w:r>
              <w:rPr>
                <w:rFonts w:asciiTheme="minorEastAsia" w:hAnsiTheme="minorEastAsia" w:eastAsiaTheme="minor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61" w:type="dxa"/>
            <w:vMerge w:val="continue"/>
            <w:shd w:val="clear" w:color="auto" w:fill="auto"/>
            <w:vAlign w:val="center"/>
          </w:tcPr>
          <w:p>
            <w:pPr>
              <w:rPr>
                <w:color w:val="auto"/>
                <w:sz w:val="21"/>
                <w:szCs w:val="21"/>
              </w:rPr>
            </w:pPr>
          </w:p>
        </w:tc>
        <w:tc>
          <w:tcPr>
            <w:tcW w:w="1344" w:type="dxa"/>
            <w:shd w:val="clear" w:color="auto" w:fill="auto"/>
            <w:vAlign w:val="center"/>
          </w:tcPr>
          <w:p>
            <w:pPr>
              <w:autoSpaceDE w:val="0"/>
              <w:autoSpaceDN w:val="0"/>
              <w:jc w:val="center"/>
              <w:textAlignment w:val="baseline"/>
              <w:rPr>
                <w:color w:val="auto"/>
                <w:sz w:val="21"/>
                <w:szCs w:val="21"/>
              </w:rPr>
            </w:pPr>
            <w:r>
              <w:rPr>
                <w:color w:val="auto"/>
                <w:sz w:val="21"/>
                <w:szCs w:val="21"/>
              </w:rPr>
              <w:t>保证率日平均浓度和年平均浓度叠加值</w:t>
            </w:r>
          </w:p>
        </w:tc>
        <w:tc>
          <w:tcPr>
            <w:tcW w:w="3639" w:type="dxa"/>
            <w:gridSpan w:val="11"/>
            <w:shd w:val="clear" w:color="auto" w:fill="auto"/>
            <w:vAlign w:val="center"/>
          </w:tcPr>
          <w:p>
            <w:pPr>
              <w:autoSpaceDE w:val="0"/>
              <w:autoSpaceDN w:val="0"/>
              <w:jc w:val="center"/>
              <w:textAlignment w:val="baseline"/>
              <w:rPr>
                <w:color w:val="auto"/>
                <w:sz w:val="21"/>
                <w:szCs w:val="21"/>
              </w:rPr>
            </w:pPr>
            <w:r>
              <w:rPr>
                <w:color w:val="auto"/>
                <w:sz w:val="21"/>
                <w:szCs w:val="21"/>
              </w:rPr>
              <w:t>C叠加达标</w:t>
            </w:r>
            <w:r>
              <w:rPr>
                <w:rFonts w:asciiTheme="minorEastAsia" w:hAnsiTheme="minorEastAsia" w:eastAsiaTheme="minorEastAsia"/>
                <w:color w:val="auto"/>
                <w:sz w:val="21"/>
                <w:szCs w:val="21"/>
              </w:rPr>
              <w:t>□</w:t>
            </w:r>
          </w:p>
        </w:tc>
        <w:tc>
          <w:tcPr>
            <w:tcW w:w="3641" w:type="dxa"/>
            <w:gridSpan w:val="9"/>
            <w:shd w:val="clear" w:color="auto" w:fill="auto"/>
            <w:vAlign w:val="center"/>
          </w:tcPr>
          <w:p>
            <w:pPr>
              <w:autoSpaceDE w:val="0"/>
              <w:autoSpaceDN w:val="0"/>
              <w:jc w:val="center"/>
              <w:textAlignment w:val="baseline"/>
              <w:rPr>
                <w:color w:val="auto"/>
                <w:sz w:val="21"/>
                <w:szCs w:val="21"/>
              </w:rPr>
            </w:pPr>
            <w:r>
              <w:rPr>
                <w:color w:val="auto"/>
                <w:sz w:val="21"/>
                <w:szCs w:val="21"/>
              </w:rPr>
              <w:t>C叠加不达标</w:t>
            </w:r>
            <w:r>
              <w:rPr>
                <w:rFonts w:asciiTheme="minorEastAsia" w:hAnsiTheme="minorEastAsia" w:eastAsiaTheme="minor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61" w:type="dxa"/>
            <w:vMerge w:val="continue"/>
            <w:shd w:val="clear" w:color="auto" w:fill="auto"/>
            <w:vAlign w:val="center"/>
          </w:tcPr>
          <w:p>
            <w:pPr>
              <w:rPr>
                <w:color w:val="auto"/>
                <w:sz w:val="21"/>
                <w:szCs w:val="21"/>
              </w:rPr>
            </w:pPr>
          </w:p>
        </w:tc>
        <w:tc>
          <w:tcPr>
            <w:tcW w:w="1344" w:type="dxa"/>
            <w:shd w:val="clear" w:color="auto" w:fill="auto"/>
            <w:vAlign w:val="center"/>
          </w:tcPr>
          <w:p>
            <w:pPr>
              <w:autoSpaceDE w:val="0"/>
              <w:autoSpaceDN w:val="0"/>
              <w:jc w:val="center"/>
              <w:textAlignment w:val="baseline"/>
              <w:rPr>
                <w:color w:val="auto"/>
                <w:sz w:val="21"/>
                <w:szCs w:val="21"/>
              </w:rPr>
            </w:pPr>
            <w:r>
              <w:rPr>
                <w:color w:val="auto"/>
                <w:sz w:val="21"/>
                <w:szCs w:val="21"/>
              </w:rPr>
              <w:t>区域环境质量的整体变化情况</w:t>
            </w:r>
          </w:p>
        </w:tc>
        <w:tc>
          <w:tcPr>
            <w:tcW w:w="3639" w:type="dxa"/>
            <w:gridSpan w:val="11"/>
            <w:shd w:val="clear" w:color="auto" w:fill="auto"/>
            <w:vAlign w:val="center"/>
          </w:tcPr>
          <w:p>
            <w:pPr>
              <w:autoSpaceDE w:val="0"/>
              <w:autoSpaceDN w:val="0"/>
              <w:jc w:val="center"/>
              <w:textAlignment w:val="baseline"/>
              <w:rPr>
                <w:color w:val="auto"/>
                <w:sz w:val="21"/>
                <w:szCs w:val="21"/>
              </w:rPr>
            </w:pPr>
            <w:r>
              <w:rPr>
                <w:color w:val="auto"/>
                <w:sz w:val="21"/>
                <w:szCs w:val="21"/>
              </w:rPr>
              <w:t>k≤-20%</w:t>
            </w:r>
            <w:r>
              <w:rPr>
                <w:rFonts w:asciiTheme="minorEastAsia" w:hAnsiTheme="minorEastAsia" w:eastAsiaTheme="minorEastAsia"/>
                <w:color w:val="auto"/>
                <w:sz w:val="21"/>
                <w:szCs w:val="21"/>
              </w:rPr>
              <w:t>□</w:t>
            </w:r>
          </w:p>
        </w:tc>
        <w:tc>
          <w:tcPr>
            <w:tcW w:w="3641" w:type="dxa"/>
            <w:gridSpan w:val="9"/>
            <w:shd w:val="clear" w:color="auto" w:fill="auto"/>
            <w:vAlign w:val="center"/>
          </w:tcPr>
          <w:p>
            <w:pPr>
              <w:autoSpaceDE w:val="0"/>
              <w:autoSpaceDN w:val="0"/>
              <w:jc w:val="center"/>
              <w:textAlignment w:val="baseline"/>
              <w:rPr>
                <w:color w:val="auto"/>
                <w:sz w:val="21"/>
                <w:szCs w:val="21"/>
              </w:rPr>
            </w:pPr>
            <w:r>
              <w:rPr>
                <w:color w:val="auto"/>
                <w:sz w:val="21"/>
                <w:szCs w:val="21"/>
              </w:rPr>
              <w:t>K＞-20%</w:t>
            </w:r>
            <w:r>
              <w:rPr>
                <w:rFonts w:asciiTheme="minorEastAsia" w:hAnsiTheme="minorEastAsia" w:eastAsiaTheme="minor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61" w:type="dxa"/>
            <w:vMerge w:val="restart"/>
            <w:shd w:val="clear" w:color="auto" w:fill="auto"/>
            <w:vAlign w:val="center"/>
          </w:tcPr>
          <w:p>
            <w:pPr>
              <w:autoSpaceDE w:val="0"/>
              <w:autoSpaceDN w:val="0"/>
              <w:jc w:val="center"/>
              <w:textAlignment w:val="baseline"/>
              <w:rPr>
                <w:color w:val="auto"/>
                <w:sz w:val="21"/>
                <w:szCs w:val="21"/>
              </w:rPr>
            </w:pPr>
            <w:r>
              <w:rPr>
                <w:color w:val="auto"/>
                <w:sz w:val="21"/>
                <w:szCs w:val="21"/>
              </w:rPr>
              <w:t>环境监测计划</w:t>
            </w:r>
          </w:p>
        </w:tc>
        <w:tc>
          <w:tcPr>
            <w:tcW w:w="1344" w:type="dxa"/>
            <w:shd w:val="clear" w:color="auto" w:fill="auto"/>
            <w:vAlign w:val="center"/>
          </w:tcPr>
          <w:p>
            <w:pPr>
              <w:autoSpaceDE w:val="0"/>
              <w:autoSpaceDN w:val="0"/>
              <w:jc w:val="center"/>
              <w:textAlignment w:val="baseline"/>
              <w:rPr>
                <w:color w:val="auto"/>
                <w:sz w:val="21"/>
                <w:szCs w:val="21"/>
              </w:rPr>
            </w:pPr>
            <w:r>
              <w:rPr>
                <w:color w:val="auto"/>
                <w:sz w:val="21"/>
                <w:szCs w:val="21"/>
              </w:rPr>
              <w:t>污染源监测</w:t>
            </w:r>
          </w:p>
        </w:tc>
        <w:tc>
          <w:tcPr>
            <w:tcW w:w="2426" w:type="dxa"/>
            <w:gridSpan w:val="8"/>
            <w:shd w:val="clear" w:color="auto" w:fill="auto"/>
            <w:vAlign w:val="center"/>
          </w:tcPr>
          <w:p>
            <w:pPr>
              <w:autoSpaceDE w:val="0"/>
              <w:autoSpaceDN w:val="0"/>
              <w:adjustRightInd w:val="0"/>
              <w:rPr>
                <w:color w:val="auto"/>
                <w:kern w:val="0"/>
                <w:sz w:val="21"/>
                <w:szCs w:val="21"/>
              </w:rPr>
            </w:pPr>
            <w:r>
              <w:rPr>
                <w:color w:val="auto"/>
                <w:sz w:val="21"/>
                <w:szCs w:val="21"/>
              </w:rPr>
              <w:t>监测因子：（颗粒物、H</w:t>
            </w:r>
            <w:r>
              <w:rPr>
                <w:color w:val="auto"/>
                <w:sz w:val="21"/>
                <w:szCs w:val="21"/>
                <w:vertAlign w:val="subscript"/>
              </w:rPr>
              <w:t>2</w:t>
            </w:r>
            <w:r>
              <w:rPr>
                <w:color w:val="auto"/>
                <w:sz w:val="21"/>
                <w:szCs w:val="21"/>
              </w:rPr>
              <w:t>S、NH</w:t>
            </w:r>
            <w:r>
              <w:rPr>
                <w:color w:val="auto"/>
                <w:sz w:val="21"/>
                <w:szCs w:val="21"/>
                <w:vertAlign w:val="subscript"/>
              </w:rPr>
              <w:t>3</w:t>
            </w:r>
            <w:r>
              <w:rPr>
                <w:color w:val="auto"/>
                <w:sz w:val="21"/>
                <w:szCs w:val="21"/>
              </w:rPr>
              <w:t>）</w:t>
            </w:r>
          </w:p>
        </w:tc>
        <w:tc>
          <w:tcPr>
            <w:tcW w:w="2427" w:type="dxa"/>
            <w:gridSpan w:val="6"/>
            <w:shd w:val="clear" w:color="auto" w:fill="auto"/>
            <w:vAlign w:val="center"/>
          </w:tcPr>
          <w:p>
            <w:pPr>
              <w:autoSpaceDE w:val="0"/>
              <w:autoSpaceDN w:val="0"/>
              <w:jc w:val="center"/>
              <w:textAlignment w:val="baseline"/>
              <w:rPr>
                <w:color w:val="auto"/>
                <w:sz w:val="21"/>
                <w:szCs w:val="21"/>
              </w:rPr>
            </w:pPr>
            <w:r>
              <w:rPr>
                <w:color w:val="auto"/>
                <w:sz w:val="21"/>
                <w:szCs w:val="21"/>
              </w:rPr>
              <w:t>有组织废气监测√</w:t>
            </w:r>
          </w:p>
          <w:p>
            <w:pPr>
              <w:autoSpaceDE w:val="0"/>
              <w:autoSpaceDN w:val="0"/>
              <w:jc w:val="center"/>
              <w:textAlignment w:val="baseline"/>
              <w:rPr>
                <w:color w:val="auto"/>
                <w:sz w:val="21"/>
                <w:szCs w:val="21"/>
              </w:rPr>
            </w:pPr>
            <w:r>
              <w:rPr>
                <w:color w:val="auto"/>
                <w:sz w:val="21"/>
                <w:szCs w:val="21"/>
              </w:rPr>
              <w:t>无组织废气监测√</w:t>
            </w:r>
          </w:p>
        </w:tc>
        <w:tc>
          <w:tcPr>
            <w:tcW w:w="2427" w:type="dxa"/>
            <w:gridSpan w:val="6"/>
            <w:shd w:val="clear" w:color="auto" w:fill="auto"/>
            <w:vAlign w:val="center"/>
          </w:tcPr>
          <w:p>
            <w:pPr>
              <w:autoSpaceDE w:val="0"/>
              <w:autoSpaceDN w:val="0"/>
              <w:jc w:val="center"/>
              <w:textAlignment w:val="baseline"/>
              <w:rPr>
                <w:color w:val="auto"/>
                <w:sz w:val="21"/>
                <w:szCs w:val="21"/>
              </w:rPr>
            </w:pPr>
            <w:r>
              <w:rPr>
                <w:color w:val="auto"/>
                <w:sz w:val="21"/>
                <w:szCs w:val="21"/>
              </w:rPr>
              <w:t>无监测</w:t>
            </w:r>
            <w:r>
              <w:rPr>
                <w:rFonts w:asciiTheme="minorEastAsia" w:hAnsiTheme="minorEastAsia" w:eastAsiaTheme="minor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61" w:type="dxa"/>
            <w:vMerge w:val="continue"/>
            <w:shd w:val="clear" w:color="auto" w:fill="auto"/>
            <w:vAlign w:val="center"/>
          </w:tcPr>
          <w:p>
            <w:pPr>
              <w:rPr>
                <w:color w:val="auto"/>
                <w:sz w:val="21"/>
                <w:szCs w:val="21"/>
              </w:rPr>
            </w:pPr>
          </w:p>
        </w:tc>
        <w:tc>
          <w:tcPr>
            <w:tcW w:w="1344" w:type="dxa"/>
            <w:shd w:val="clear" w:color="auto" w:fill="auto"/>
            <w:vAlign w:val="center"/>
          </w:tcPr>
          <w:p>
            <w:pPr>
              <w:autoSpaceDE w:val="0"/>
              <w:autoSpaceDN w:val="0"/>
              <w:jc w:val="center"/>
              <w:textAlignment w:val="baseline"/>
              <w:rPr>
                <w:color w:val="auto"/>
                <w:sz w:val="21"/>
                <w:szCs w:val="21"/>
              </w:rPr>
            </w:pPr>
            <w:r>
              <w:rPr>
                <w:color w:val="auto"/>
                <w:sz w:val="21"/>
                <w:szCs w:val="21"/>
              </w:rPr>
              <w:t>环境质量监测</w:t>
            </w:r>
          </w:p>
        </w:tc>
        <w:tc>
          <w:tcPr>
            <w:tcW w:w="2426" w:type="dxa"/>
            <w:gridSpan w:val="8"/>
            <w:shd w:val="clear" w:color="auto" w:fill="auto"/>
            <w:vAlign w:val="center"/>
          </w:tcPr>
          <w:p>
            <w:pPr>
              <w:autoSpaceDE w:val="0"/>
              <w:autoSpaceDN w:val="0"/>
              <w:adjustRightInd w:val="0"/>
              <w:rPr>
                <w:color w:val="auto"/>
                <w:kern w:val="0"/>
                <w:sz w:val="21"/>
                <w:szCs w:val="21"/>
              </w:rPr>
            </w:pPr>
            <w:r>
              <w:rPr>
                <w:color w:val="auto"/>
                <w:sz w:val="21"/>
                <w:szCs w:val="21"/>
              </w:rPr>
              <w:t>监测因子：（TSP</w:t>
            </w:r>
            <w:r>
              <w:rPr>
                <w:rFonts w:hint="eastAsia"/>
                <w:color w:val="auto"/>
                <w:sz w:val="21"/>
                <w:szCs w:val="21"/>
              </w:rPr>
              <w:t>、</w:t>
            </w:r>
            <w:r>
              <w:rPr>
                <w:color w:val="auto"/>
                <w:sz w:val="21"/>
                <w:szCs w:val="21"/>
              </w:rPr>
              <w:t>NH</w:t>
            </w:r>
            <w:r>
              <w:rPr>
                <w:color w:val="auto"/>
                <w:sz w:val="21"/>
                <w:szCs w:val="21"/>
                <w:vertAlign w:val="subscript"/>
              </w:rPr>
              <w:t>3</w:t>
            </w:r>
            <w:r>
              <w:rPr>
                <w:color w:val="auto"/>
                <w:sz w:val="21"/>
                <w:szCs w:val="21"/>
              </w:rPr>
              <w:t>、HCl、</w:t>
            </w:r>
            <w:r>
              <w:rPr>
                <w:rFonts w:hint="eastAsia"/>
                <w:color w:val="auto"/>
                <w:sz w:val="21"/>
                <w:szCs w:val="21"/>
              </w:rPr>
              <w:t>H</w:t>
            </w:r>
            <w:r>
              <w:rPr>
                <w:color w:val="auto"/>
                <w:sz w:val="21"/>
                <w:szCs w:val="21"/>
                <w:vertAlign w:val="subscript"/>
              </w:rPr>
              <w:t>2</w:t>
            </w:r>
            <w:r>
              <w:rPr>
                <w:color w:val="auto"/>
                <w:sz w:val="21"/>
                <w:szCs w:val="21"/>
              </w:rPr>
              <w:t>S、臭气浓度、CH</w:t>
            </w:r>
            <w:r>
              <w:rPr>
                <w:color w:val="auto"/>
                <w:sz w:val="21"/>
                <w:szCs w:val="21"/>
                <w:vertAlign w:val="subscript"/>
              </w:rPr>
              <w:t>3</w:t>
            </w:r>
            <w:r>
              <w:rPr>
                <w:color w:val="auto"/>
                <w:sz w:val="21"/>
                <w:szCs w:val="21"/>
              </w:rPr>
              <w:t>SH）</w:t>
            </w:r>
          </w:p>
        </w:tc>
        <w:tc>
          <w:tcPr>
            <w:tcW w:w="2427" w:type="dxa"/>
            <w:gridSpan w:val="6"/>
            <w:shd w:val="clear" w:color="auto" w:fill="auto"/>
            <w:vAlign w:val="center"/>
          </w:tcPr>
          <w:p>
            <w:pPr>
              <w:autoSpaceDE w:val="0"/>
              <w:autoSpaceDN w:val="0"/>
              <w:jc w:val="center"/>
              <w:textAlignment w:val="baseline"/>
              <w:rPr>
                <w:color w:val="auto"/>
                <w:sz w:val="21"/>
                <w:szCs w:val="21"/>
              </w:rPr>
            </w:pPr>
            <w:r>
              <w:rPr>
                <w:color w:val="auto"/>
                <w:sz w:val="21"/>
                <w:szCs w:val="21"/>
              </w:rPr>
              <w:t>监测点位数（</w:t>
            </w:r>
            <w:r>
              <w:rPr>
                <w:rFonts w:hint="eastAsia"/>
                <w:color w:val="auto"/>
                <w:sz w:val="21"/>
                <w:szCs w:val="21"/>
              </w:rPr>
              <w:t>1</w:t>
            </w:r>
            <w:r>
              <w:rPr>
                <w:color w:val="auto"/>
                <w:sz w:val="21"/>
                <w:szCs w:val="21"/>
              </w:rPr>
              <w:t>）</w:t>
            </w:r>
          </w:p>
        </w:tc>
        <w:tc>
          <w:tcPr>
            <w:tcW w:w="2427" w:type="dxa"/>
            <w:gridSpan w:val="6"/>
            <w:shd w:val="clear" w:color="auto" w:fill="auto"/>
            <w:vAlign w:val="center"/>
          </w:tcPr>
          <w:p>
            <w:pPr>
              <w:autoSpaceDE w:val="0"/>
              <w:autoSpaceDN w:val="0"/>
              <w:jc w:val="center"/>
              <w:textAlignment w:val="baseline"/>
              <w:rPr>
                <w:color w:val="auto"/>
                <w:sz w:val="21"/>
                <w:szCs w:val="21"/>
              </w:rPr>
            </w:pPr>
            <w:r>
              <w:rPr>
                <w:color w:val="auto"/>
                <w:sz w:val="21"/>
                <w:szCs w:val="21"/>
              </w:rPr>
              <w:t>无监测</w:t>
            </w:r>
            <w:r>
              <w:rPr>
                <w:rFonts w:asciiTheme="minorEastAsia" w:hAnsiTheme="minorEastAsia" w:eastAsiaTheme="minor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61" w:type="dxa"/>
            <w:vMerge w:val="restart"/>
            <w:shd w:val="clear" w:color="auto" w:fill="auto"/>
            <w:vAlign w:val="center"/>
          </w:tcPr>
          <w:p>
            <w:pPr>
              <w:autoSpaceDE w:val="0"/>
              <w:autoSpaceDN w:val="0"/>
              <w:jc w:val="center"/>
              <w:textAlignment w:val="baseline"/>
              <w:rPr>
                <w:color w:val="auto"/>
                <w:sz w:val="21"/>
                <w:szCs w:val="21"/>
              </w:rPr>
            </w:pPr>
            <w:r>
              <w:rPr>
                <w:color w:val="auto"/>
                <w:sz w:val="21"/>
                <w:szCs w:val="21"/>
              </w:rPr>
              <w:t>评价结论</w:t>
            </w:r>
          </w:p>
        </w:tc>
        <w:tc>
          <w:tcPr>
            <w:tcW w:w="1344" w:type="dxa"/>
            <w:shd w:val="clear" w:color="auto" w:fill="auto"/>
            <w:vAlign w:val="center"/>
          </w:tcPr>
          <w:p>
            <w:pPr>
              <w:autoSpaceDE w:val="0"/>
              <w:autoSpaceDN w:val="0"/>
              <w:jc w:val="center"/>
              <w:textAlignment w:val="baseline"/>
              <w:rPr>
                <w:color w:val="auto"/>
                <w:sz w:val="21"/>
                <w:szCs w:val="21"/>
              </w:rPr>
            </w:pPr>
            <w:r>
              <w:rPr>
                <w:color w:val="auto"/>
                <w:sz w:val="21"/>
                <w:szCs w:val="21"/>
              </w:rPr>
              <w:t>环境影响</w:t>
            </w:r>
          </w:p>
        </w:tc>
        <w:tc>
          <w:tcPr>
            <w:tcW w:w="7280" w:type="dxa"/>
            <w:gridSpan w:val="20"/>
            <w:shd w:val="clear" w:color="auto" w:fill="auto"/>
            <w:vAlign w:val="center"/>
          </w:tcPr>
          <w:p>
            <w:pPr>
              <w:autoSpaceDE w:val="0"/>
              <w:autoSpaceDN w:val="0"/>
              <w:jc w:val="center"/>
              <w:textAlignment w:val="baseline"/>
              <w:rPr>
                <w:color w:val="auto"/>
                <w:sz w:val="21"/>
                <w:szCs w:val="21"/>
              </w:rPr>
            </w:pPr>
            <w:r>
              <w:rPr>
                <w:color w:val="auto"/>
                <w:sz w:val="21"/>
                <w:szCs w:val="21"/>
              </w:rPr>
              <w:t>可以接受√      不可以接受</w:t>
            </w:r>
            <w:r>
              <w:rPr>
                <w:rFonts w:asciiTheme="minorEastAsia" w:hAnsiTheme="minorEastAsia" w:eastAsiaTheme="minor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61" w:type="dxa"/>
            <w:vMerge w:val="continue"/>
            <w:shd w:val="clear" w:color="auto" w:fill="auto"/>
            <w:vAlign w:val="center"/>
          </w:tcPr>
          <w:p>
            <w:pPr>
              <w:rPr>
                <w:color w:val="auto"/>
                <w:sz w:val="21"/>
                <w:szCs w:val="21"/>
              </w:rPr>
            </w:pPr>
          </w:p>
        </w:tc>
        <w:tc>
          <w:tcPr>
            <w:tcW w:w="1344" w:type="dxa"/>
            <w:shd w:val="clear" w:color="auto" w:fill="auto"/>
            <w:vAlign w:val="center"/>
          </w:tcPr>
          <w:p>
            <w:pPr>
              <w:autoSpaceDE w:val="0"/>
              <w:autoSpaceDN w:val="0"/>
              <w:jc w:val="center"/>
              <w:textAlignment w:val="baseline"/>
              <w:rPr>
                <w:color w:val="auto"/>
                <w:sz w:val="21"/>
                <w:szCs w:val="21"/>
              </w:rPr>
            </w:pPr>
            <w:r>
              <w:rPr>
                <w:color w:val="auto"/>
                <w:sz w:val="21"/>
                <w:szCs w:val="21"/>
              </w:rPr>
              <w:t>大气环境防护距离</w:t>
            </w:r>
          </w:p>
        </w:tc>
        <w:tc>
          <w:tcPr>
            <w:tcW w:w="7280" w:type="dxa"/>
            <w:gridSpan w:val="20"/>
            <w:shd w:val="clear" w:color="auto" w:fill="auto"/>
            <w:vAlign w:val="center"/>
          </w:tcPr>
          <w:p>
            <w:pPr>
              <w:autoSpaceDE w:val="0"/>
              <w:autoSpaceDN w:val="0"/>
              <w:jc w:val="center"/>
              <w:textAlignment w:val="baseline"/>
              <w:rPr>
                <w:color w:val="auto"/>
                <w:sz w:val="21"/>
                <w:szCs w:val="21"/>
              </w:rPr>
            </w:pPr>
            <w:r>
              <w:rPr>
                <w:color w:val="auto"/>
                <w:sz w:val="21"/>
                <w:szCs w:val="21"/>
              </w:rPr>
              <w:t>距（</w:t>
            </w:r>
            <w:r>
              <w:rPr>
                <w:rFonts w:hint="eastAsia"/>
                <w:color w:val="auto"/>
                <w:sz w:val="21"/>
                <w:szCs w:val="21"/>
              </w:rPr>
              <w:t xml:space="preserve"> </w:t>
            </w:r>
            <w:r>
              <w:rPr>
                <w:color w:val="auto"/>
                <w:sz w:val="21"/>
                <w:szCs w:val="21"/>
              </w:rPr>
              <w:t>）厂界最远（</w:t>
            </w:r>
            <w:r>
              <w:rPr>
                <w:rFonts w:hint="eastAsia"/>
                <w:color w:val="auto"/>
                <w:sz w:val="21"/>
                <w:szCs w:val="21"/>
              </w:rPr>
              <w:t xml:space="preserve">0 </w:t>
            </w:r>
            <w:r>
              <w:rPr>
                <w:color w:val="auto"/>
                <w:sz w:val="21"/>
                <w:szCs w:val="21"/>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61" w:type="dxa"/>
            <w:vMerge w:val="continue"/>
            <w:shd w:val="clear" w:color="auto" w:fill="auto"/>
            <w:vAlign w:val="center"/>
          </w:tcPr>
          <w:p>
            <w:pPr>
              <w:rPr>
                <w:color w:val="auto"/>
                <w:sz w:val="21"/>
                <w:szCs w:val="21"/>
              </w:rPr>
            </w:pPr>
          </w:p>
        </w:tc>
        <w:tc>
          <w:tcPr>
            <w:tcW w:w="1344" w:type="dxa"/>
            <w:shd w:val="clear" w:color="auto" w:fill="auto"/>
            <w:vAlign w:val="center"/>
          </w:tcPr>
          <w:p>
            <w:pPr>
              <w:autoSpaceDE w:val="0"/>
              <w:autoSpaceDN w:val="0"/>
              <w:jc w:val="center"/>
              <w:textAlignment w:val="baseline"/>
              <w:rPr>
                <w:color w:val="auto"/>
                <w:sz w:val="21"/>
                <w:szCs w:val="21"/>
              </w:rPr>
            </w:pPr>
            <w:r>
              <w:rPr>
                <w:color w:val="auto"/>
                <w:sz w:val="21"/>
                <w:szCs w:val="21"/>
              </w:rPr>
              <w:t>污染源年排放量</w:t>
            </w:r>
          </w:p>
        </w:tc>
        <w:tc>
          <w:tcPr>
            <w:tcW w:w="1456" w:type="dxa"/>
            <w:gridSpan w:val="3"/>
            <w:shd w:val="clear" w:color="auto" w:fill="auto"/>
            <w:vAlign w:val="center"/>
          </w:tcPr>
          <w:p>
            <w:pPr>
              <w:autoSpaceDE w:val="0"/>
              <w:autoSpaceDN w:val="0"/>
              <w:jc w:val="center"/>
              <w:textAlignment w:val="baseline"/>
              <w:rPr>
                <w:color w:val="auto"/>
                <w:sz w:val="21"/>
                <w:szCs w:val="21"/>
              </w:rPr>
            </w:pPr>
            <w:r>
              <w:rPr>
                <w:color w:val="auto"/>
                <w:sz w:val="21"/>
                <w:szCs w:val="21"/>
              </w:rPr>
              <w:t>NO</w:t>
            </w:r>
            <w:r>
              <w:rPr>
                <w:rFonts w:hint="eastAsia"/>
                <w:color w:val="auto"/>
                <w:sz w:val="21"/>
                <w:szCs w:val="21"/>
                <w:vertAlign w:val="subscript"/>
              </w:rPr>
              <w:t>x</w:t>
            </w:r>
            <w:r>
              <w:rPr>
                <w:color w:val="auto"/>
                <w:sz w:val="21"/>
                <w:szCs w:val="21"/>
              </w:rPr>
              <w:t>：（</w:t>
            </w:r>
            <w:r>
              <w:rPr>
                <w:rFonts w:hint="eastAsia"/>
                <w:color w:val="auto"/>
                <w:sz w:val="21"/>
                <w:szCs w:val="21"/>
              </w:rPr>
              <w:t xml:space="preserve"> </w:t>
            </w:r>
            <w:r>
              <w:rPr>
                <w:color w:val="auto"/>
                <w:sz w:val="21"/>
                <w:szCs w:val="21"/>
              </w:rPr>
              <w:t>）t/a</w:t>
            </w:r>
          </w:p>
        </w:tc>
        <w:tc>
          <w:tcPr>
            <w:tcW w:w="1456" w:type="dxa"/>
            <w:gridSpan w:val="6"/>
            <w:shd w:val="clear" w:color="auto" w:fill="auto"/>
            <w:vAlign w:val="center"/>
          </w:tcPr>
          <w:p>
            <w:pPr>
              <w:autoSpaceDE w:val="0"/>
              <w:autoSpaceDN w:val="0"/>
              <w:jc w:val="center"/>
              <w:textAlignment w:val="baseline"/>
              <w:rPr>
                <w:color w:val="auto"/>
                <w:sz w:val="21"/>
                <w:szCs w:val="21"/>
              </w:rPr>
            </w:pPr>
            <w:r>
              <w:rPr>
                <w:color w:val="auto"/>
                <w:sz w:val="21"/>
                <w:szCs w:val="21"/>
              </w:rPr>
              <w:t>SO</w:t>
            </w:r>
            <w:r>
              <w:rPr>
                <w:color w:val="auto"/>
                <w:sz w:val="21"/>
                <w:szCs w:val="21"/>
                <w:vertAlign w:val="subscript"/>
              </w:rPr>
              <w:t>2</w:t>
            </w:r>
            <w:r>
              <w:rPr>
                <w:color w:val="auto"/>
                <w:sz w:val="21"/>
                <w:szCs w:val="21"/>
              </w:rPr>
              <w:t>：（）t/a</w:t>
            </w:r>
          </w:p>
        </w:tc>
        <w:tc>
          <w:tcPr>
            <w:tcW w:w="1456" w:type="dxa"/>
            <w:gridSpan w:val="4"/>
            <w:shd w:val="clear" w:color="auto" w:fill="auto"/>
            <w:vAlign w:val="center"/>
          </w:tcPr>
          <w:p>
            <w:pPr>
              <w:autoSpaceDE w:val="0"/>
              <w:autoSpaceDN w:val="0"/>
              <w:jc w:val="center"/>
              <w:textAlignment w:val="baseline"/>
              <w:rPr>
                <w:color w:val="auto"/>
                <w:sz w:val="21"/>
                <w:szCs w:val="21"/>
              </w:rPr>
            </w:pPr>
            <w:r>
              <w:rPr>
                <w:color w:val="auto"/>
                <w:sz w:val="21"/>
                <w:szCs w:val="21"/>
              </w:rPr>
              <w:t>TSP：（3.</w:t>
            </w:r>
            <w:r>
              <w:rPr>
                <w:rFonts w:hint="eastAsia"/>
                <w:color w:val="auto"/>
                <w:sz w:val="21"/>
                <w:szCs w:val="21"/>
                <w:lang w:val="en-US" w:eastAsia="zh-CN"/>
              </w:rPr>
              <w:t>501</w:t>
            </w:r>
            <w:r>
              <w:rPr>
                <w:rFonts w:hint="eastAsia"/>
                <w:color w:val="auto"/>
                <w:sz w:val="21"/>
                <w:szCs w:val="21"/>
              </w:rPr>
              <w:t xml:space="preserve"> </w:t>
            </w:r>
            <w:r>
              <w:rPr>
                <w:color w:val="auto"/>
                <w:sz w:val="21"/>
                <w:szCs w:val="21"/>
              </w:rPr>
              <w:t>）t/a</w:t>
            </w:r>
          </w:p>
        </w:tc>
        <w:tc>
          <w:tcPr>
            <w:tcW w:w="1456" w:type="dxa"/>
            <w:gridSpan w:val="4"/>
            <w:shd w:val="clear" w:color="auto" w:fill="auto"/>
            <w:vAlign w:val="center"/>
          </w:tcPr>
          <w:p>
            <w:pPr>
              <w:autoSpaceDE w:val="0"/>
              <w:autoSpaceDN w:val="0"/>
              <w:jc w:val="center"/>
              <w:textAlignment w:val="baseline"/>
              <w:rPr>
                <w:color w:val="auto"/>
                <w:sz w:val="21"/>
                <w:szCs w:val="21"/>
              </w:rPr>
            </w:pPr>
          </w:p>
        </w:tc>
        <w:tc>
          <w:tcPr>
            <w:tcW w:w="1456" w:type="dxa"/>
            <w:gridSpan w:val="3"/>
            <w:shd w:val="clear" w:color="auto" w:fill="auto"/>
            <w:vAlign w:val="center"/>
          </w:tcPr>
          <w:p>
            <w:pPr>
              <w:autoSpaceDE w:val="0"/>
              <w:autoSpaceDN w:val="0"/>
              <w:jc w:val="center"/>
              <w:textAlignment w:val="baseline"/>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285" w:type="dxa"/>
            <w:gridSpan w:val="22"/>
            <w:shd w:val="clear" w:color="auto" w:fill="auto"/>
            <w:vAlign w:val="center"/>
          </w:tcPr>
          <w:p>
            <w:pPr>
              <w:autoSpaceDE w:val="0"/>
              <w:autoSpaceDN w:val="0"/>
              <w:textAlignment w:val="baseline"/>
              <w:rPr>
                <w:color w:val="auto"/>
                <w:sz w:val="21"/>
                <w:szCs w:val="21"/>
              </w:rPr>
            </w:pPr>
            <w:r>
              <w:rPr>
                <w:color w:val="auto"/>
                <w:sz w:val="21"/>
                <w:szCs w:val="21"/>
              </w:rPr>
              <w:t>注：</w:t>
            </w:r>
            <w:r>
              <w:rPr>
                <w:rFonts w:asciiTheme="minorEastAsia" w:hAnsiTheme="minorEastAsia" w:eastAsiaTheme="minorEastAsia"/>
                <w:color w:val="auto"/>
                <w:sz w:val="21"/>
                <w:szCs w:val="21"/>
              </w:rPr>
              <w:t>“□”</w:t>
            </w:r>
            <w:r>
              <w:rPr>
                <w:color w:val="auto"/>
                <w:sz w:val="21"/>
                <w:szCs w:val="21"/>
              </w:rPr>
              <w:t>为勾选项，填</w:t>
            </w:r>
            <w:r>
              <w:rPr>
                <w:rFonts w:asciiTheme="minorEastAsia" w:hAnsiTheme="minorEastAsia" w:eastAsiaTheme="minorEastAsia"/>
                <w:color w:val="auto"/>
                <w:sz w:val="21"/>
                <w:szCs w:val="21"/>
              </w:rPr>
              <w:t>“√”</w:t>
            </w:r>
            <w:r>
              <w:rPr>
                <w:color w:val="auto"/>
                <w:sz w:val="21"/>
                <w:szCs w:val="21"/>
              </w:rPr>
              <w:t>；</w:t>
            </w:r>
            <w:r>
              <w:rPr>
                <w:rFonts w:asciiTheme="minorEastAsia" w:hAnsiTheme="minorEastAsia" w:eastAsiaTheme="minorEastAsia"/>
                <w:color w:val="auto"/>
                <w:sz w:val="21"/>
                <w:szCs w:val="21"/>
              </w:rPr>
              <w:t>“（   ）”</w:t>
            </w:r>
            <w:r>
              <w:rPr>
                <w:color w:val="auto"/>
                <w:sz w:val="21"/>
                <w:szCs w:val="21"/>
              </w:rPr>
              <w:t>为内容填写项</w:t>
            </w:r>
          </w:p>
        </w:tc>
      </w:tr>
    </w:tbl>
    <w:p>
      <w:pPr>
        <w:pStyle w:val="4"/>
        <w:numPr>
          <w:ilvl w:val="0"/>
          <w:numId w:val="0"/>
        </w:numPr>
        <w:tabs>
          <w:tab w:val="clear" w:pos="680"/>
        </w:tabs>
        <w:ind w:left="720" w:right="240" w:hanging="720"/>
        <w:rPr>
          <w:b/>
          <w:color w:val="auto"/>
          <w:szCs w:val="24"/>
        </w:rPr>
      </w:pPr>
      <w:bookmarkStart w:id="642" w:name="_Toc24136818"/>
      <w:bookmarkStart w:id="643" w:name="_Toc34234737"/>
      <w:bookmarkStart w:id="644" w:name="_Toc15912199"/>
      <w:bookmarkStart w:id="645" w:name="_Toc1603"/>
      <w:bookmarkStart w:id="646" w:name="_Toc14946907"/>
      <w:r>
        <w:rPr>
          <w:rFonts w:hint="eastAsia"/>
          <w:b/>
          <w:color w:val="auto"/>
          <w:szCs w:val="24"/>
        </w:rPr>
        <w:t>5</w:t>
      </w:r>
      <w:r>
        <w:rPr>
          <w:b/>
          <w:color w:val="auto"/>
          <w:szCs w:val="24"/>
        </w:rPr>
        <w:t>.2.2水环境影响分析</w:t>
      </w:r>
      <w:bookmarkEnd w:id="642"/>
      <w:bookmarkEnd w:id="643"/>
      <w:bookmarkEnd w:id="644"/>
      <w:bookmarkEnd w:id="645"/>
      <w:bookmarkEnd w:id="646"/>
    </w:p>
    <w:p>
      <w:pPr>
        <w:spacing w:line="360" w:lineRule="auto"/>
        <w:rPr>
          <w:b/>
          <w:color w:val="auto"/>
        </w:rPr>
      </w:pPr>
      <w:r>
        <w:rPr>
          <w:b/>
          <w:color w:val="auto"/>
        </w:rPr>
        <w:t>5.2.2.1 地表水环境影响分析</w:t>
      </w:r>
    </w:p>
    <w:p>
      <w:pPr>
        <w:spacing w:line="360" w:lineRule="auto"/>
        <w:ind w:firstLine="480" w:firstLineChars="200"/>
        <w:rPr>
          <w:color w:val="auto"/>
        </w:rPr>
      </w:pPr>
      <w:r>
        <w:rPr>
          <w:color w:val="auto"/>
        </w:rPr>
        <w:t>1、地表水影响预测工作内容（评价等级：三级（B））</w:t>
      </w:r>
    </w:p>
    <w:p>
      <w:pPr>
        <w:spacing w:line="360" w:lineRule="auto"/>
        <w:ind w:firstLine="480" w:firstLineChars="200"/>
        <w:jc w:val="both"/>
        <w:rPr>
          <w:color w:val="auto"/>
        </w:rPr>
      </w:pPr>
      <w:r>
        <w:rPr>
          <w:color w:val="auto"/>
        </w:rPr>
        <w:t>由地表水评价工作等级判定可知</w:t>
      </w:r>
      <w:r>
        <w:rPr>
          <w:rFonts w:hint="eastAsia"/>
          <w:color w:val="auto"/>
        </w:rPr>
        <w:t>，</w:t>
      </w:r>
      <w:r>
        <w:rPr>
          <w:color w:val="auto"/>
        </w:rPr>
        <w:t>本项目地表水评价等级为三级（B）。根据《环境影响评价技术导则 地表水环境》（HJ2.3-2018）中要求</w:t>
      </w:r>
      <w:r>
        <w:rPr>
          <w:rFonts w:asciiTheme="minorEastAsia" w:hAnsiTheme="minorEastAsia" w:eastAsiaTheme="minorEastAsia"/>
          <w:color w:val="auto"/>
        </w:rPr>
        <w:t>“地表水环境影响预测 其中水污染影响型三级</w:t>
      </w:r>
      <w:r>
        <w:rPr>
          <w:rFonts w:eastAsiaTheme="minorEastAsia"/>
          <w:color w:val="auto"/>
        </w:rPr>
        <w:t>B</w:t>
      </w:r>
      <w:r>
        <w:rPr>
          <w:rFonts w:asciiTheme="minorEastAsia" w:hAnsiTheme="minorEastAsia" w:eastAsiaTheme="minorEastAsia"/>
          <w:color w:val="auto"/>
        </w:rPr>
        <w:t>评价可不进行水环境影响预测”</w:t>
      </w:r>
      <w:r>
        <w:rPr>
          <w:color w:val="auto"/>
        </w:rPr>
        <w:t>。由工程分析可知，本项目废水经收集处理后全部回用，不外排。因此本次评价，地表水环境影响</w:t>
      </w:r>
      <w:r>
        <w:rPr>
          <w:rFonts w:hint="eastAsia"/>
          <w:color w:val="auto"/>
        </w:rPr>
        <w:t>分析</w:t>
      </w:r>
      <w:r>
        <w:rPr>
          <w:color w:val="auto"/>
        </w:rPr>
        <w:t>仅论述本项目废水回用的可行性。</w:t>
      </w:r>
    </w:p>
    <w:p>
      <w:pPr>
        <w:autoSpaceDE w:val="0"/>
        <w:autoSpaceDN w:val="0"/>
        <w:adjustRightInd w:val="0"/>
        <w:spacing w:line="360" w:lineRule="auto"/>
        <w:ind w:firstLine="480" w:firstLineChars="200"/>
        <w:rPr>
          <w:color w:val="auto"/>
          <w:kern w:val="0"/>
        </w:rPr>
      </w:pPr>
      <w:r>
        <w:rPr>
          <w:bCs/>
          <w:color w:val="auto"/>
          <w:kern w:val="0"/>
        </w:rPr>
        <w:t>2</w:t>
      </w:r>
      <w:r>
        <w:rPr>
          <w:color w:val="auto"/>
          <w:kern w:val="0"/>
        </w:rPr>
        <w:t>、废水回用环境影响分析</w:t>
      </w:r>
    </w:p>
    <w:p>
      <w:pPr>
        <w:autoSpaceDE w:val="0"/>
        <w:autoSpaceDN w:val="0"/>
        <w:adjustRightInd w:val="0"/>
        <w:spacing w:line="360" w:lineRule="auto"/>
        <w:ind w:firstLine="480" w:firstLineChars="200"/>
        <w:jc w:val="both"/>
        <w:rPr>
          <w:rFonts w:asciiTheme="minorEastAsia" w:hAnsiTheme="minorEastAsia" w:eastAsiaTheme="minorEastAsia"/>
          <w:color w:val="auto"/>
          <w:kern w:val="0"/>
        </w:rPr>
      </w:pPr>
      <w:r>
        <w:rPr>
          <w:rFonts w:asciiTheme="minorEastAsia" w:hAnsiTheme="minorEastAsia" w:eastAsiaTheme="minorEastAsia"/>
          <w:color w:val="auto"/>
          <w:kern w:val="0"/>
        </w:rPr>
        <w:t>为了保护生态环境，尽量提高水的重复利用率，做到“污废分流、清污分流”、“一水多用，废水回用”，</w:t>
      </w:r>
      <w:r>
        <w:rPr>
          <w:rFonts w:hint="eastAsia" w:asciiTheme="minorEastAsia" w:hAnsiTheme="minorEastAsia" w:eastAsiaTheme="minorEastAsia"/>
          <w:color w:val="auto"/>
          <w:kern w:val="0"/>
        </w:rPr>
        <w:t>本项目主要依托在建焚烧项目</w:t>
      </w:r>
      <w:r>
        <w:rPr>
          <w:rFonts w:asciiTheme="minorEastAsia" w:hAnsiTheme="minorEastAsia" w:eastAsiaTheme="minorEastAsia"/>
          <w:color w:val="auto"/>
          <w:kern w:val="0"/>
        </w:rPr>
        <w:t>配套建设</w:t>
      </w:r>
      <w:r>
        <w:rPr>
          <w:rFonts w:hint="eastAsia" w:asciiTheme="minorEastAsia" w:hAnsiTheme="minorEastAsia" w:eastAsiaTheme="minorEastAsia"/>
          <w:color w:val="auto"/>
          <w:kern w:val="0"/>
        </w:rPr>
        <w:t>的</w:t>
      </w:r>
      <w:r>
        <w:rPr>
          <w:rFonts w:asciiTheme="minorEastAsia" w:hAnsiTheme="minorEastAsia" w:eastAsiaTheme="minorEastAsia"/>
          <w:color w:val="auto"/>
          <w:kern w:val="0"/>
        </w:rPr>
        <w:t>工程废水处理系统</w:t>
      </w:r>
      <w:r>
        <w:rPr>
          <w:rFonts w:hint="eastAsia" w:asciiTheme="minorEastAsia" w:hAnsiTheme="minorEastAsia" w:eastAsiaTheme="minorEastAsia"/>
          <w:color w:val="auto"/>
          <w:kern w:val="0"/>
        </w:rPr>
        <w:t>以及新建的废水处理系统</w:t>
      </w:r>
      <w:r>
        <w:rPr>
          <w:rFonts w:asciiTheme="minorEastAsia" w:hAnsiTheme="minorEastAsia" w:eastAsiaTheme="minorEastAsia"/>
          <w:color w:val="auto"/>
          <w:kern w:val="0"/>
        </w:rPr>
        <w:t>。</w:t>
      </w:r>
    </w:p>
    <w:p>
      <w:pPr>
        <w:autoSpaceDE w:val="0"/>
        <w:autoSpaceDN w:val="0"/>
        <w:adjustRightInd w:val="0"/>
        <w:spacing w:line="360" w:lineRule="auto"/>
        <w:ind w:firstLine="480" w:firstLineChars="200"/>
        <w:rPr>
          <w:color w:val="auto"/>
          <w:kern w:val="0"/>
        </w:rPr>
      </w:pPr>
      <w:r>
        <w:rPr>
          <w:color w:val="auto"/>
          <w:kern w:val="0"/>
        </w:rPr>
        <w:t>项目废水主要包括：</w:t>
      </w:r>
      <w:r>
        <w:rPr>
          <w:rFonts w:hint="eastAsia"/>
          <w:color w:val="auto"/>
          <w:kern w:val="0"/>
        </w:rPr>
        <w:t>餐厨项目的餐厨废水</w:t>
      </w:r>
      <w:r>
        <w:rPr>
          <w:color w:val="auto"/>
          <w:kern w:val="0"/>
        </w:rPr>
        <w:t>、</w:t>
      </w:r>
      <w:r>
        <w:rPr>
          <w:rFonts w:hint="eastAsia"/>
          <w:color w:val="auto"/>
          <w:kern w:val="0"/>
        </w:rPr>
        <w:t>除臭系统废水</w:t>
      </w:r>
      <w:r>
        <w:rPr>
          <w:color w:val="auto"/>
          <w:kern w:val="0"/>
        </w:rPr>
        <w:t>、</w:t>
      </w:r>
      <w:r>
        <w:rPr>
          <w:rFonts w:hint="eastAsia"/>
          <w:color w:val="auto"/>
          <w:kern w:val="0"/>
        </w:rPr>
        <w:t>冲洗废水以及建筑垃圾处理项目的洗车废水</w:t>
      </w:r>
      <w:r>
        <w:rPr>
          <w:color w:val="auto"/>
          <w:kern w:val="0"/>
        </w:rPr>
        <w:t>、</w:t>
      </w:r>
      <w:r>
        <w:rPr>
          <w:rFonts w:hint="eastAsia"/>
          <w:color w:val="auto"/>
          <w:kern w:val="0"/>
        </w:rPr>
        <w:t>淋溶液</w:t>
      </w:r>
      <w:r>
        <w:rPr>
          <w:color w:val="auto"/>
          <w:kern w:val="0"/>
        </w:rPr>
        <w:t>等。</w:t>
      </w:r>
    </w:p>
    <w:p>
      <w:pPr>
        <w:autoSpaceDE w:val="0"/>
        <w:autoSpaceDN w:val="0"/>
        <w:adjustRightInd w:val="0"/>
        <w:spacing w:line="360" w:lineRule="auto"/>
        <w:ind w:firstLine="480" w:firstLineChars="200"/>
        <w:jc w:val="both"/>
        <w:rPr>
          <w:color w:val="auto"/>
          <w:kern w:val="0"/>
        </w:rPr>
      </w:pPr>
      <w:r>
        <w:rPr>
          <w:color w:val="auto"/>
          <w:kern w:val="0"/>
        </w:rPr>
        <w:t>本工程</w:t>
      </w:r>
      <w:r>
        <w:rPr>
          <w:rFonts w:hint="eastAsia"/>
          <w:color w:val="auto"/>
          <w:kern w:val="0"/>
        </w:rPr>
        <w:t>餐厨项目的餐厨废水</w:t>
      </w:r>
      <w:r>
        <w:rPr>
          <w:color w:val="auto"/>
          <w:kern w:val="0"/>
        </w:rPr>
        <w:t>、</w:t>
      </w:r>
      <w:r>
        <w:rPr>
          <w:rFonts w:hint="eastAsia"/>
          <w:color w:val="auto"/>
          <w:kern w:val="0"/>
        </w:rPr>
        <w:t>除臭系统废水</w:t>
      </w:r>
      <w:r>
        <w:rPr>
          <w:color w:val="auto"/>
          <w:kern w:val="0"/>
        </w:rPr>
        <w:t>、</w:t>
      </w:r>
      <w:r>
        <w:rPr>
          <w:rFonts w:hint="eastAsia"/>
          <w:color w:val="auto"/>
          <w:kern w:val="0"/>
        </w:rPr>
        <w:t>冲洗废水</w:t>
      </w:r>
      <w:r>
        <w:rPr>
          <w:rFonts w:hint="eastAsia"/>
          <w:color w:val="auto"/>
          <w:kern w:val="0"/>
          <w:lang w:eastAsia="zh-CN"/>
        </w:rPr>
        <w:t>、初期雨水</w:t>
      </w:r>
      <w:r>
        <w:rPr>
          <w:rFonts w:hint="eastAsia"/>
          <w:color w:val="auto"/>
          <w:kern w:val="0"/>
        </w:rPr>
        <w:t>（</w:t>
      </w:r>
      <w:r>
        <w:rPr>
          <w:rFonts w:hint="eastAsia"/>
          <w:color w:val="auto"/>
          <w:kern w:val="0"/>
          <w:lang w:eastAsia="zh-CN"/>
        </w:rPr>
        <w:t>以上四种废水总计为</w:t>
      </w:r>
      <w:r>
        <w:rPr>
          <w:rFonts w:hint="eastAsia"/>
          <w:color w:val="auto"/>
          <w:kern w:val="0"/>
          <w:lang w:val="en-US" w:eastAsia="zh-CN"/>
        </w:rPr>
        <w:t>18.84</w:t>
      </w:r>
      <w:r>
        <w:rPr>
          <w:rFonts w:hint="eastAsia"/>
          <w:color w:val="auto"/>
        </w:rPr>
        <w:t>t/d</w:t>
      </w:r>
      <w:r>
        <w:rPr>
          <w:rFonts w:hint="eastAsia"/>
          <w:color w:val="auto"/>
          <w:kern w:val="0"/>
        </w:rPr>
        <w:t>）</w:t>
      </w:r>
      <w:r>
        <w:rPr>
          <w:rFonts w:hint="eastAsia"/>
          <w:color w:val="auto"/>
        </w:rPr>
        <w:t>依托园区内在建的渗漏液处理站处理，</w:t>
      </w:r>
      <w:r>
        <w:rPr>
          <w:color w:val="auto"/>
          <w:kern w:val="0"/>
        </w:rPr>
        <w:t>渗滤液处理采取</w:t>
      </w:r>
      <w:r>
        <w:rPr>
          <w:rFonts w:asciiTheme="minorEastAsia" w:hAnsiTheme="minorEastAsia" w:eastAsiaTheme="minorEastAsia"/>
          <w:color w:val="auto"/>
          <w:kern w:val="0"/>
        </w:rPr>
        <w:t>“</w:t>
      </w:r>
      <w:r>
        <w:rPr>
          <w:rFonts w:asciiTheme="minorEastAsia" w:hAnsiTheme="minorEastAsia" w:eastAsiaTheme="minorEastAsia"/>
          <w:bCs/>
          <w:color w:val="auto"/>
          <w:kern w:val="0"/>
        </w:rPr>
        <w:t>预</w:t>
      </w:r>
      <w:r>
        <w:rPr>
          <w:bCs/>
          <w:color w:val="auto"/>
          <w:kern w:val="0"/>
        </w:rPr>
        <w:t>处理+ UASB厌氧反应器+MBR生化处理系统+NF纳滤膜系统+RO反渗透系统+DTRO</w:t>
      </w:r>
      <w:r>
        <w:rPr>
          <w:rFonts w:asciiTheme="minorEastAsia" w:hAnsiTheme="minorEastAsia" w:eastAsiaTheme="minorEastAsia"/>
          <w:color w:val="auto"/>
          <w:kern w:val="0"/>
        </w:rPr>
        <w:t>”处理</w:t>
      </w:r>
      <w:r>
        <w:rPr>
          <w:color w:val="auto"/>
          <w:kern w:val="0"/>
        </w:rPr>
        <w:t>工艺，处理后出水回用于冷却循环水补充水，DTRO浓缩液用于烟气处理石灰浆制备，经处理后的污水出水水质可满足《城市污水再生利用 工业用水水质》（GB/T 19923-2005）循环冷却水系统补充水水质标准，以上废水经处理后回用本项目循环冷却水补水。</w:t>
      </w:r>
    </w:p>
    <w:p>
      <w:pPr>
        <w:autoSpaceDE w:val="0"/>
        <w:autoSpaceDN w:val="0"/>
        <w:adjustRightInd w:val="0"/>
        <w:spacing w:line="360" w:lineRule="auto"/>
        <w:ind w:firstLine="480" w:firstLineChars="200"/>
        <w:jc w:val="both"/>
        <w:rPr>
          <w:rFonts w:hint="eastAsia"/>
          <w:color w:val="auto"/>
          <w:kern w:val="0"/>
          <w:lang w:eastAsia="zh-CN"/>
        </w:rPr>
      </w:pPr>
      <w:r>
        <w:rPr>
          <w:rFonts w:hint="eastAsia"/>
          <w:color w:val="auto"/>
          <w:kern w:val="0"/>
          <w:lang w:eastAsia="zh-CN"/>
        </w:rPr>
        <w:t>餐厨垃圾处理厂的初期雨水由室外雨水管道收集以后排至园区内在建的初期雨水收集池，经管道输送至初期雨水收集后再进入渗滤液处理系统处理。生产区的其他雨水通过园区雨水口有组织收集后，经雨水管网排至厂外。</w:t>
      </w:r>
    </w:p>
    <w:p>
      <w:pPr>
        <w:autoSpaceDE w:val="0"/>
        <w:autoSpaceDN w:val="0"/>
        <w:adjustRightInd w:val="0"/>
        <w:spacing w:line="360" w:lineRule="auto"/>
        <w:ind w:firstLine="480" w:firstLineChars="200"/>
        <w:jc w:val="both"/>
        <w:rPr>
          <w:rFonts w:hint="eastAsia"/>
          <w:color w:val="auto"/>
          <w:kern w:val="0"/>
          <w:lang w:eastAsia="zh-CN"/>
        </w:rPr>
      </w:pPr>
      <w:r>
        <w:rPr>
          <w:rFonts w:hint="eastAsia"/>
          <w:color w:val="auto"/>
          <w:kern w:val="0"/>
          <w:lang w:eastAsia="zh-CN"/>
        </w:rPr>
        <w:t>特别说明：</w:t>
      </w:r>
      <w:r>
        <w:rPr>
          <w:rFonts w:hint="eastAsia"/>
          <w:color w:val="auto"/>
          <w:lang w:eastAsia="zh-CN"/>
        </w:rPr>
        <w:t>园区内</w:t>
      </w:r>
      <w:r>
        <w:rPr>
          <w:color w:val="auto"/>
        </w:rPr>
        <w:t>设地下初期雨水收集池1座</w:t>
      </w:r>
      <w:r>
        <w:rPr>
          <w:rFonts w:hint="eastAsia"/>
          <w:color w:val="auto"/>
        </w:rPr>
        <w:t>（</w:t>
      </w:r>
      <w:r>
        <w:rPr>
          <w:color w:val="auto"/>
        </w:rPr>
        <w:t>有效容量</w:t>
      </w:r>
      <w:r>
        <w:rPr>
          <w:rFonts w:hint="eastAsia"/>
          <w:color w:val="auto"/>
        </w:rPr>
        <w:t>约</w:t>
      </w:r>
      <w:r>
        <w:rPr>
          <w:color w:val="auto"/>
        </w:rPr>
        <w:t>V=150m</w:t>
      </w:r>
      <w:r>
        <w:rPr>
          <w:color w:val="auto"/>
          <w:vertAlign w:val="superscript"/>
        </w:rPr>
        <w:t>3</w:t>
      </w:r>
      <w:r>
        <w:rPr>
          <w:rFonts w:hint="eastAsia"/>
          <w:color w:val="auto"/>
        </w:rPr>
        <w:t>）</w:t>
      </w:r>
      <w:r>
        <w:rPr>
          <w:color w:val="auto"/>
        </w:rPr>
        <w:t>。</w:t>
      </w:r>
      <w:r>
        <w:rPr>
          <w:rFonts w:hint="eastAsia"/>
          <w:color w:val="auto"/>
          <w:lang w:eastAsia="zh-CN"/>
        </w:rPr>
        <w:t>在建项目</w:t>
      </w:r>
      <w:r>
        <w:rPr>
          <w:color w:val="auto"/>
        </w:rPr>
        <w:t>最大初期雨水需收集量</w:t>
      </w:r>
      <w:r>
        <w:rPr>
          <w:rFonts w:hint="eastAsia"/>
          <w:color w:val="auto"/>
          <w:lang w:eastAsia="zh-CN"/>
        </w:rPr>
        <w:t>为</w:t>
      </w:r>
      <w:r>
        <w:rPr>
          <w:color w:val="auto"/>
        </w:rPr>
        <w:t>41.4m</w:t>
      </w:r>
      <w:r>
        <w:rPr>
          <w:color w:val="auto"/>
          <w:vertAlign w:val="superscript"/>
        </w:rPr>
        <w:t>3</w:t>
      </w:r>
      <w:r>
        <w:rPr>
          <w:rFonts w:hint="eastAsia"/>
          <w:color w:val="auto"/>
          <w:vertAlign w:val="baseline"/>
          <w:lang w:eastAsia="zh-CN"/>
        </w:rPr>
        <w:t>，剩余</w:t>
      </w:r>
      <w:r>
        <w:rPr>
          <w:rFonts w:hint="eastAsia"/>
          <w:color w:val="auto"/>
          <w:vertAlign w:val="baseline"/>
          <w:lang w:val="en-US" w:eastAsia="zh-CN"/>
        </w:rPr>
        <w:t>108.6</w:t>
      </w:r>
      <w:r>
        <w:rPr>
          <w:color w:val="auto"/>
        </w:rPr>
        <w:t>m</w:t>
      </w:r>
      <w:r>
        <w:rPr>
          <w:color w:val="auto"/>
          <w:vertAlign w:val="superscript"/>
        </w:rPr>
        <w:t>3</w:t>
      </w:r>
      <w:r>
        <w:rPr>
          <w:rFonts w:hint="eastAsia"/>
          <w:color w:val="auto"/>
          <w:vertAlign w:val="baseline"/>
          <w:lang w:eastAsia="zh-CN"/>
        </w:rPr>
        <w:t>有效容积，远大于本项目初期雨水的产生量（</w:t>
      </w:r>
      <w:r>
        <w:rPr>
          <w:rFonts w:hint="eastAsia"/>
          <w:color w:val="auto"/>
          <w:vertAlign w:val="baseline"/>
          <w:lang w:val="en-US" w:eastAsia="zh-CN"/>
        </w:rPr>
        <w:t>4.75m</w:t>
      </w:r>
      <w:r>
        <w:rPr>
          <w:rFonts w:hint="eastAsia"/>
          <w:color w:val="auto"/>
          <w:vertAlign w:val="superscript"/>
          <w:lang w:val="en-US" w:eastAsia="zh-CN"/>
        </w:rPr>
        <w:t>3</w:t>
      </w:r>
      <w:r>
        <w:rPr>
          <w:rFonts w:hint="eastAsia"/>
          <w:color w:val="auto"/>
          <w:vertAlign w:val="baseline"/>
          <w:lang w:eastAsia="zh-CN"/>
        </w:rPr>
        <w:t>），因此，本项目餐厨垃圾初期雨水依托园区现有的初期雨水收集池是</w:t>
      </w:r>
      <w:r>
        <w:rPr>
          <w:rFonts w:hint="eastAsia"/>
          <w:color w:val="auto"/>
          <w:lang w:eastAsia="zh-CN"/>
        </w:rPr>
        <w:t>可行的。</w:t>
      </w:r>
    </w:p>
    <w:p>
      <w:pPr>
        <w:autoSpaceDE w:val="0"/>
        <w:autoSpaceDN w:val="0"/>
        <w:adjustRightInd w:val="0"/>
        <w:spacing w:line="360" w:lineRule="auto"/>
        <w:ind w:firstLine="480" w:firstLineChars="200"/>
        <w:jc w:val="both"/>
        <w:rPr>
          <w:color w:val="auto"/>
          <w:kern w:val="0"/>
        </w:rPr>
      </w:pPr>
      <w:r>
        <w:rPr>
          <w:rFonts w:hint="eastAsia"/>
          <w:color w:val="auto"/>
          <w:kern w:val="0"/>
        </w:rPr>
        <w:t>建筑垃圾处理项目的洗车废水和淋溶液（共</w:t>
      </w:r>
      <w:r>
        <w:rPr>
          <w:rFonts w:hint="eastAsia"/>
          <w:bCs/>
          <w:color w:val="auto"/>
          <w:spacing w:val="2"/>
        </w:rPr>
        <w:t>85.44</w:t>
      </w:r>
      <w:r>
        <w:rPr>
          <w:bCs/>
          <w:color w:val="auto"/>
          <w:spacing w:val="2"/>
        </w:rPr>
        <w:t>m³/d</w:t>
      </w:r>
      <w:r>
        <w:rPr>
          <w:rFonts w:hint="eastAsia"/>
          <w:color w:val="auto"/>
          <w:kern w:val="0"/>
        </w:rPr>
        <w:t>）经</w:t>
      </w:r>
      <w:r>
        <w:rPr>
          <w:rFonts w:hint="eastAsia"/>
          <w:color w:val="auto"/>
        </w:rPr>
        <w:t>消纳场配套建设的机械加速澄清池</w:t>
      </w:r>
      <w:r>
        <w:rPr>
          <w:color w:val="auto"/>
        </w:rPr>
        <w:t>沉淀</w:t>
      </w:r>
      <w:r>
        <w:rPr>
          <w:rFonts w:hint="eastAsia"/>
          <w:color w:val="auto"/>
        </w:rPr>
        <w:t>过滤</w:t>
      </w:r>
      <w:r>
        <w:rPr>
          <w:color w:val="auto"/>
        </w:rPr>
        <w:t>后，</w:t>
      </w:r>
      <w:r>
        <w:rPr>
          <w:rFonts w:hint="eastAsia"/>
          <w:color w:val="auto"/>
        </w:rPr>
        <w:t>回</w:t>
      </w:r>
      <w:r>
        <w:rPr>
          <w:color w:val="auto"/>
        </w:rPr>
        <w:t>用于厂内洒水抑尘，不外排</w:t>
      </w:r>
      <w:r>
        <w:rPr>
          <w:rFonts w:hint="eastAsia"/>
          <w:color w:val="auto"/>
          <w:kern w:val="0"/>
        </w:rPr>
        <w:t>。</w:t>
      </w:r>
    </w:p>
    <w:p>
      <w:pPr>
        <w:autoSpaceDE w:val="0"/>
        <w:autoSpaceDN w:val="0"/>
        <w:adjustRightInd w:val="0"/>
        <w:spacing w:line="360" w:lineRule="auto"/>
        <w:ind w:firstLine="480" w:firstLineChars="200"/>
        <w:jc w:val="both"/>
        <w:rPr>
          <w:color w:val="auto"/>
          <w:kern w:val="0"/>
        </w:rPr>
      </w:pPr>
      <w:r>
        <w:rPr>
          <w:color w:val="auto"/>
          <w:kern w:val="0"/>
        </w:rPr>
        <w:t>因此</w:t>
      </w:r>
      <w:bookmarkStart w:id="647" w:name="_Hlk23151351"/>
      <w:r>
        <w:rPr>
          <w:color w:val="auto"/>
          <w:kern w:val="0"/>
        </w:rPr>
        <w:t>本项目所有废水经处理后均得到回用，不外排，对周边地表水环境影响较小。</w:t>
      </w:r>
      <w:bookmarkEnd w:id="647"/>
    </w:p>
    <w:p>
      <w:pPr>
        <w:spacing w:line="360" w:lineRule="auto"/>
        <w:ind w:firstLine="480" w:firstLineChars="200"/>
        <w:rPr>
          <w:color w:val="auto"/>
        </w:rPr>
      </w:pPr>
      <w:r>
        <w:rPr>
          <w:rFonts w:hint="eastAsia"/>
          <w:color w:val="auto"/>
        </w:rPr>
        <w:t>本</w:t>
      </w:r>
      <w:r>
        <w:rPr>
          <w:color w:val="auto"/>
        </w:rPr>
        <w:t>项目地表水环境影响评价自查表详见下表：</w:t>
      </w:r>
    </w:p>
    <w:p>
      <w:pPr>
        <w:adjustRightInd w:val="0"/>
        <w:snapToGrid w:val="0"/>
        <w:ind w:firstLine="482"/>
        <w:jc w:val="center"/>
        <w:rPr>
          <w:b/>
          <w:color w:val="auto"/>
        </w:rPr>
      </w:pPr>
      <w:r>
        <w:rPr>
          <w:b/>
          <w:color w:val="auto"/>
        </w:rPr>
        <w:t>表5.2-</w:t>
      </w:r>
      <w:r>
        <w:rPr>
          <w:rFonts w:hint="eastAsia"/>
          <w:b/>
          <w:color w:val="auto"/>
        </w:rPr>
        <w:t>9</w:t>
      </w:r>
      <w:r>
        <w:rPr>
          <w:b/>
          <w:color w:val="auto"/>
        </w:rPr>
        <w:t xml:space="preserve">  地表水环境影响评价自查表</w:t>
      </w:r>
    </w:p>
    <w:tbl>
      <w:tblPr>
        <w:tblStyle w:val="53"/>
        <w:tblW w:w="9662" w:type="dxa"/>
        <w:jc w:val="center"/>
        <w:tblInd w:w="0" w:type="dxa"/>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426"/>
        <w:gridCol w:w="108"/>
        <w:gridCol w:w="1842"/>
        <w:gridCol w:w="1276"/>
        <w:gridCol w:w="567"/>
        <w:gridCol w:w="585"/>
        <w:gridCol w:w="549"/>
        <w:gridCol w:w="992"/>
        <w:gridCol w:w="284"/>
        <w:gridCol w:w="604"/>
        <w:gridCol w:w="813"/>
        <w:gridCol w:w="408"/>
        <w:gridCol w:w="159"/>
        <w:gridCol w:w="1049"/>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blHeader/>
          <w:jc w:val="center"/>
        </w:trPr>
        <w:tc>
          <w:tcPr>
            <w:tcW w:w="2376" w:type="dxa"/>
            <w:gridSpan w:val="3"/>
            <w:shd w:val="clear" w:color="auto" w:fill="auto"/>
            <w:vAlign w:val="center"/>
          </w:tcPr>
          <w:p>
            <w:pPr>
              <w:adjustRightInd w:val="0"/>
              <w:snapToGrid w:val="0"/>
              <w:ind w:firstLine="420"/>
              <w:jc w:val="center"/>
              <w:rPr>
                <w:b/>
                <w:color w:val="auto"/>
                <w:sz w:val="21"/>
                <w:szCs w:val="21"/>
              </w:rPr>
            </w:pPr>
            <w:r>
              <w:rPr>
                <w:b/>
                <w:color w:val="auto"/>
                <w:sz w:val="21"/>
                <w:szCs w:val="21"/>
              </w:rPr>
              <w:t>工作内容</w:t>
            </w:r>
          </w:p>
        </w:tc>
        <w:tc>
          <w:tcPr>
            <w:tcW w:w="7286" w:type="dxa"/>
            <w:gridSpan w:val="11"/>
            <w:shd w:val="clear" w:color="auto" w:fill="auto"/>
            <w:vAlign w:val="center"/>
          </w:tcPr>
          <w:p>
            <w:pPr>
              <w:adjustRightInd w:val="0"/>
              <w:snapToGrid w:val="0"/>
              <w:jc w:val="center"/>
              <w:rPr>
                <w:b/>
                <w:color w:val="auto"/>
                <w:sz w:val="21"/>
                <w:szCs w:val="21"/>
              </w:rPr>
            </w:pPr>
            <w:r>
              <w:rPr>
                <w:b/>
                <w:color w:val="auto"/>
                <w:sz w:val="21"/>
                <w:szCs w:val="21"/>
              </w:rPr>
              <w:t>自查项目</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534" w:type="dxa"/>
            <w:gridSpan w:val="2"/>
            <w:vMerge w:val="restart"/>
            <w:shd w:val="clear" w:color="auto" w:fill="auto"/>
            <w:vAlign w:val="center"/>
          </w:tcPr>
          <w:p>
            <w:pPr>
              <w:adjustRightInd w:val="0"/>
              <w:snapToGrid w:val="0"/>
              <w:rPr>
                <w:color w:val="auto"/>
                <w:sz w:val="21"/>
                <w:szCs w:val="21"/>
              </w:rPr>
            </w:pPr>
            <w:r>
              <w:rPr>
                <w:color w:val="auto"/>
                <w:sz w:val="21"/>
                <w:szCs w:val="21"/>
              </w:rPr>
              <w:t>影响识别</w:t>
            </w:r>
          </w:p>
        </w:tc>
        <w:tc>
          <w:tcPr>
            <w:tcW w:w="1842" w:type="dxa"/>
            <w:shd w:val="clear" w:color="auto" w:fill="auto"/>
            <w:vAlign w:val="center"/>
          </w:tcPr>
          <w:p>
            <w:pPr>
              <w:adjustRightInd w:val="0"/>
              <w:snapToGrid w:val="0"/>
              <w:ind w:firstLine="420"/>
              <w:rPr>
                <w:color w:val="auto"/>
                <w:sz w:val="21"/>
                <w:szCs w:val="21"/>
              </w:rPr>
            </w:pPr>
            <w:r>
              <w:rPr>
                <w:color w:val="auto"/>
                <w:sz w:val="21"/>
                <w:szCs w:val="21"/>
              </w:rPr>
              <w:t>影响类型</w:t>
            </w:r>
          </w:p>
        </w:tc>
        <w:tc>
          <w:tcPr>
            <w:tcW w:w="7286" w:type="dxa"/>
            <w:gridSpan w:val="11"/>
            <w:shd w:val="clear" w:color="auto" w:fill="auto"/>
            <w:vAlign w:val="center"/>
          </w:tcPr>
          <w:p>
            <w:pPr>
              <w:adjustRightInd w:val="0"/>
              <w:snapToGrid w:val="0"/>
              <w:ind w:firstLine="1260" w:firstLineChars="600"/>
              <w:rPr>
                <w:color w:val="auto"/>
                <w:sz w:val="21"/>
                <w:szCs w:val="21"/>
              </w:rPr>
            </w:pPr>
            <w:r>
              <w:rPr>
                <w:color w:val="auto"/>
                <w:sz w:val="21"/>
                <w:szCs w:val="21"/>
              </w:rPr>
              <w:t>水污染影响型√ ；水文要素影响型□</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534" w:type="dxa"/>
            <w:gridSpan w:val="2"/>
            <w:vMerge w:val="continue"/>
            <w:shd w:val="clear" w:color="auto" w:fill="auto"/>
            <w:vAlign w:val="center"/>
          </w:tcPr>
          <w:p>
            <w:pPr>
              <w:adjustRightInd w:val="0"/>
              <w:snapToGrid w:val="0"/>
              <w:ind w:firstLine="420"/>
              <w:jc w:val="center"/>
              <w:rPr>
                <w:color w:val="auto"/>
                <w:sz w:val="21"/>
                <w:szCs w:val="21"/>
              </w:rPr>
            </w:pPr>
          </w:p>
        </w:tc>
        <w:tc>
          <w:tcPr>
            <w:tcW w:w="1842" w:type="dxa"/>
            <w:shd w:val="clear" w:color="auto" w:fill="auto"/>
            <w:vAlign w:val="center"/>
          </w:tcPr>
          <w:p>
            <w:pPr>
              <w:adjustRightInd w:val="0"/>
              <w:snapToGrid w:val="0"/>
              <w:jc w:val="center"/>
              <w:rPr>
                <w:color w:val="auto"/>
                <w:sz w:val="21"/>
                <w:szCs w:val="21"/>
              </w:rPr>
            </w:pPr>
            <w:r>
              <w:rPr>
                <w:color w:val="auto"/>
                <w:sz w:val="21"/>
                <w:szCs w:val="21"/>
              </w:rPr>
              <w:t>水环境保护目标</w:t>
            </w:r>
          </w:p>
        </w:tc>
        <w:tc>
          <w:tcPr>
            <w:tcW w:w="7286" w:type="dxa"/>
            <w:gridSpan w:val="11"/>
            <w:shd w:val="clear" w:color="auto" w:fill="auto"/>
            <w:vAlign w:val="center"/>
          </w:tcPr>
          <w:p>
            <w:pPr>
              <w:adjustRightInd w:val="0"/>
              <w:snapToGrid w:val="0"/>
              <w:rPr>
                <w:color w:val="auto"/>
                <w:sz w:val="21"/>
                <w:szCs w:val="21"/>
              </w:rPr>
            </w:pPr>
            <w:r>
              <w:rPr>
                <w:color w:val="auto"/>
                <w:sz w:val="21"/>
                <w:szCs w:val="21"/>
              </w:rPr>
              <w:t>饮用水源保护区□；饮用水取水□；涉水的自然保护区□；重要湿地□；重点保护与珍稀水生生物的栖息地□；重要水生生物的自然产卵场及索饵场、越冬场和洄游通道、天然渔场等渔业水体□；涉水的风景名胜区□；其他√</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534" w:type="dxa"/>
            <w:gridSpan w:val="2"/>
            <w:vMerge w:val="continue"/>
            <w:shd w:val="clear" w:color="auto" w:fill="auto"/>
            <w:vAlign w:val="center"/>
          </w:tcPr>
          <w:p>
            <w:pPr>
              <w:adjustRightInd w:val="0"/>
              <w:snapToGrid w:val="0"/>
              <w:ind w:firstLine="420"/>
              <w:jc w:val="center"/>
              <w:rPr>
                <w:color w:val="auto"/>
                <w:sz w:val="21"/>
                <w:szCs w:val="21"/>
              </w:rPr>
            </w:pPr>
          </w:p>
        </w:tc>
        <w:tc>
          <w:tcPr>
            <w:tcW w:w="1842" w:type="dxa"/>
            <w:vMerge w:val="restart"/>
            <w:shd w:val="clear" w:color="auto" w:fill="auto"/>
            <w:vAlign w:val="center"/>
          </w:tcPr>
          <w:p>
            <w:pPr>
              <w:adjustRightInd w:val="0"/>
              <w:snapToGrid w:val="0"/>
              <w:jc w:val="center"/>
              <w:rPr>
                <w:color w:val="auto"/>
                <w:sz w:val="21"/>
                <w:szCs w:val="21"/>
              </w:rPr>
            </w:pPr>
            <w:r>
              <w:rPr>
                <w:color w:val="auto"/>
                <w:sz w:val="21"/>
                <w:szCs w:val="21"/>
              </w:rPr>
              <w:t>影响途径</w:t>
            </w:r>
          </w:p>
        </w:tc>
        <w:tc>
          <w:tcPr>
            <w:tcW w:w="3969" w:type="dxa"/>
            <w:gridSpan w:val="5"/>
            <w:shd w:val="clear" w:color="auto" w:fill="auto"/>
            <w:vAlign w:val="center"/>
          </w:tcPr>
          <w:p>
            <w:pPr>
              <w:adjustRightInd w:val="0"/>
              <w:snapToGrid w:val="0"/>
              <w:jc w:val="center"/>
              <w:rPr>
                <w:color w:val="auto"/>
                <w:sz w:val="21"/>
                <w:szCs w:val="21"/>
              </w:rPr>
            </w:pPr>
            <w:r>
              <w:rPr>
                <w:color w:val="auto"/>
                <w:sz w:val="21"/>
                <w:szCs w:val="21"/>
              </w:rPr>
              <w:t>水污染影响型</w:t>
            </w:r>
          </w:p>
        </w:tc>
        <w:tc>
          <w:tcPr>
            <w:tcW w:w="3317" w:type="dxa"/>
            <w:gridSpan w:val="6"/>
            <w:shd w:val="clear" w:color="auto" w:fill="auto"/>
            <w:vAlign w:val="center"/>
          </w:tcPr>
          <w:p>
            <w:pPr>
              <w:adjustRightInd w:val="0"/>
              <w:snapToGrid w:val="0"/>
              <w:jc w:val="center"/>
              <w:rPr>
                <w:color w:val="auto"/>
                <w:sz w:val="21"/>
                <w:szCs w:val="21"/>
              </w:rPr>
            </w:pPr>
            <w:r>
              <w:rPr>
                <w:color w:val="auto"/>
                <w:sz w:val="21"/>
                <w:szCs w:val="21"/>
              </w:rPr>
              <w:t>水文要素影响型</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534" w:type="dxa"/>
            <w:gridSpan w:val="2"/>
            <w:vMerge w:val="continue"/>
            <w:shd w:val="clear" w:color="auto" w:fill="auto"/>
            <w:vAlign w:val="center"/>
          </w:tcPr>
          <w:p>
            <w:pPr>
              <w:adjustRightInd w:val="0"/>
              <w:snapToGrid w:val="0"/>
              <w:ind w:firstLine="420"/>
              <w:jc w:val="center"/>
              <w:rPr>
                <w:color w:val="auto"/>
                <w:sz w:val="21"/>
                <w:szCs w:val="21"/>
              </w:rPr>
            </w:pPr>
          </w:p>
        </w:tc>
        <w:tc>
          <w:tcPr>
            <w:tcW w:w="1842" w:type="dxa"/>
            <w:vMerge w:val="continue"/>
            <w:shd w:val="clear" w:color="auto" w:fill="auto"/>
            <w:vAlign w:val="center"/>
          </w:tcPr>
          <w:p>
            <w:pPr>
              <w:adjustRightInd w:val="0"/>
              <w:snapToGrid w:val="0"/>
              <w:ind w:firstLine="420"/>
              <w:jc w:val="center"/>
              <w:rPr>
                <w:color w:val="auto"/>
                <w:sz w:val="21"/>
                <w:szCs w:val="21"/>
              </w:rPr>
            </w:pPr>
          </w:p>
        </w:tc>
        <w:tc>
          <w:tcPr>
            <w:tcW w:w="3969" w:type="dxa"/>
            <w:gridSpan w:val="5"/>
            <w:shd w:val="clear" w:color="auto" w:fill="auto"/>
            <w:vAlign w:val="center"/>
          </w:tcPr>
          <w:p>
            <w:pPr>
              <w:adjustRightInd w:val="0"/>
              <w:snapToGrid w:val="0"/>
              <w:jc w:val="center"/>
              <w:rPr>
                <w:color w:val="auto"/>
                <w:sz w:val="21"/>
                <w:szCs w:val="21"/>
              </w:rPr>
            </w:pPr>
            <w:r>
              <w:rPr>
                <w:color w:val="auto"/>
                <w:sz w:val="21"/>
                <w:szCs w:val="21"/>
              </w:rPr>
              <w:t>直接排放□；间接排放□；其他√</w:t>
            </w:r>
          </w:p>
        </w:tc>
        <w:tc>
          <w:tcPr>
            <w:tcW w:w="3317" w:type="dxa"/>
            <w:gridSpan w:val="6"/>
            <w:shd w:val="clear" w:color="auto" w:fill="auto"/>
            <w:vAlign w:val="center"/>
          </w:tcPr>
          <w:p>
            <w:pPr>
              <w:adjustRightInd w:val="0"/>
              <w:snapToGrid w:val="0"/>
              <w:jc w:val="center"/>
              <w:rPr>
                <w:color w:val="auto"/>
                <w:sz w:val="21"/>
                <w:szCs w:val="21"/>
              </w:rPr>
            </w:pPr>
            <w:r>
              <w:rPr>
                <w:color w:val="auto"/>
                <w:sz w:val="21"/>
                <w:szCs w:val="21"/>
              </w:rPr>
              <w:t>水温□；径流□；水域面积□</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534" w:type="dxa"/>
            <w:gridSpan w:val="2"/>
            <w:vMerge w:val="continue"/>
            <w:shd w:val="clear" w:color="auto" w:fill="auto"/>
            <w:vAlign w:val="center"/>
          </w:tcPr>
          <w:p>
            <w:pPr>
              <w:adjustRightInd w:val="0"/>
              <w:snapToGrid w:val="0"/>
              <w:ind w:firstLine="420"/>
              <w:jc w:val="center"/>
              <w:rPr>
                <w:color w:val="auto"/>
                <w:sz w:val="21"/>
                <w:szCs w:val="21"/>
              </w:rPr>
            </w:pPr>
          </w:p>
        </w:tc>
        <w:tc>
          <w:tcPr>
            <w:tcW w:w="1842" w:type="dxa"/>
            <w:shd w:val="clear" w:color="auto" w:fill="auto"/>
            <w:vAlign w:val="center"/>
          </w:tcPr>
          <w:p>
            <w:pPr>
              <w:adjustRightInd w:val="0"/>
              <w:snapToGrid w:val="0"/>
              <w:jc w:val="center"/>
              <w:rPr>
                <w:color w:val="auto"/>
                <w:sz w:val="21"/>
                <w:szCs w:val="21"/>
              </w:rPr>
            </w:pPr>
            <w:r>
              <w:rPr>
                <w:color w:val="auto"/>
                <w:sz w:val="21"/>
                <w:szCs w:val="21"/>
              </w:rPr>
              <w:t>影响因子</w:t>
            </w:r>
          </w:p>
        </w:tc>
        <w:tc>
          <w:tcPr>
            <w:tcW w:w="3969" w:type="dxa"/>
            <w:gridSpan w:val="5"/>
            <w:shd w:val="clear" w:color="auto" w:fill="auto"/>
            <w:vAlign w:val="center"/>
          </w:tcPr>
          <w:p>
            <w:pPr>
              <w:adjustRightInd w:val="0"/>
              <w:snapToGrid w:val="0"/>
              <w:jc w:val="center"/>
              <w:rPr>
                <w:color w:val="auto"/>
                <w:sz w:val="21"/>
                <w:szCs w:val="21"/>
              </w:rPr>
            </w:pPr>
            <w:r>
              <w:rPr>
                <w:color w:val="auto"/>
                <w:sz w:val="21"/>
                <w:szCs w:val="21"/>
              </w:rPr>
              <w:t>持久性污染物□；有毒有害污染物□；非持久性污染物√；PH值□；热污染□；富营养化□；其他□</w:t>
            </w:r>
          </w:p>
        </w:tc>
        <w:tc>
          <w:tcPr>
            <w:tcW w:w="3317" w:type="dxa"/>
            <w:gridSpan w:val="6"/>
            <w:shd w:val="clear" w:color="auto" w:fill="auto"/>
            <w:vAlign w:val="center"/>
          </w:tcPr>
          <w:p>
            <w:pPr>
              <w:adjustRightInd w:val="0"/>
              <w:snapToGrid w:val="0"/>
              <w:jc w:val="center"/>
              <w:rPr>
                <w:color w:val="auto"/>
                <w:sz w:val="21"/>
                <w:szCs w:val="21"/>
              </w:rPr>
            </w:pPr>
            <w:r>
              <w:rPr>
                <w:color w:val="auto"/>
                <w:sz w:val="21"/>
                <w:szCs w:val="21"/>
              </w:rPr>
              <w:t>水温□；水位（水深）□；流速□；流量□；其他□</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2376" w:type="dxa"/>
            <w:gridSpan w:val="3"/>
            <w:vMerge w:val="restart"/>
            <w:shd w:val="clear" w:color="auto" w:fill="auto"/>
            <w:vAlign w:val="center"/>
          </w:tcPr>
          <w:p>
            <w:pPr>
              <w:adjustRightInd w:val="0"/>
              <w:snapToGrid w:val="0"/>
              <w:ind w:firstLine="420"/>
              <w:jc w:val="center"/>
              <w:rPr>
                <w:color w:val="auto"/>
                <w:sz w:val="21"/>
                <w:szCs w:val="21"/>
              </w:rPr>
            </w:pPr>
            <w:r>
              <w:rPr>
                <w:color w:val="auto"/>
                <w:sz w:val="21"/>
                <w:szCs w:val="21"/>
              </w:rPr>
              <w:t>评价等级</w:t>
            </w:r>
          </w:p>
        </w:tc>
        <w:tc>
          <w:tcPr>
            <w:tcW w:w="3969" w:type="dxa"/>
            <w:gridSpan w:val="5"/>
            <w:shd w:val="clear" w:color="auto" w:fill="auto"/>
            <w:vAlign w:val="center"/>
          </w:tcPr>
          <w:p>
            <w:pPr>
              <w:adjustRightInd w:val="0"/>
              <w:snapToGrid w:val="0"/>
              <w:ind w:firstLine="420"/>
              <w:jc w:val="center"/>
              <w:rPr>
                <w:color w:val="auto"/>
                <w:sz w:val="21"/>
                <w:szCs w:val="21"/>
              </w:rPr>
            </w:pPr>
            <w:r>
              <w:rPr>
                <w:color w:val="auto"/>
                <w:sz w:val="21"/>
                <w:szCs w:val="21"/>
              </w:rPr>
              <w:t>水污染影响型</w:t>
            </w:r>
          </w:p>
        </w:tc>
        <w:tc>
          <w:tcPr>
            <w:tcW w:w="3317" w:type="dxa"/>
            <w:gridSpan w:val="6"/>
            <w:shd w:val="clear" w:color="auto" w:fill="auto"/>
            <w:vAlign w:val="center"/>
          </w:tcPr>
          <w:p>
            <w:pPr>
              <w:adjustRightInd w:val="0"/>
              <w:snapToGrid w:val="0"/>
              <w:jc w:val="center"/>
              <w:rPr>
                <w:color w:val="auto"/>
                <w:sz w:val="21"/>
                <w:szCs w:val="21"/>
              </w:rPr>
            </w:pPr>
            <w:r>
              <w:rPr>
                <w:color w:val="auto"/>
                <w:sz w:val="21"/>
                <w:szCs w:val="21"/>
              </w:rPr>
              <w:t>水文要素影响型</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2376" w:type="dxa"/>
            <w:gridSpan w:val="3"/>
            <w:vMerge w:val="continue"/>
            <w:shd w:val="clear" w:color="auto" w:fill="auto"/>
            <w:vAlign w:val="center"/>
          </w:tcPr>
          <w:p>
            <w:pPr>
              <w:adjustRightInd w:val="0"/>
              <w:snapToGrid w:val="0"/>
              <w:ind w:firstLine="420"/>
              <w:jc w:val="center"/>
              <w:rPr>
                <w:color w:val="auto"/>
                <w:sz w:val="21"/>
                <w:szCs w:val="21"/>
              </w:rPr>
            </w:pPr>
          </w:p>
        </w:tc>
        <w:tc>
          <w:tcPr>
            <w:tcW w:w="3969" w:type="dxa"/>
            <w:gridSpan w:val="5"/>
            <w:shd w:val="clear" w:color="auto" w:fill="auto"/>
            <w:vAlign w:val="center"/>
          </w:tcPr>
          <w:p>
            <w:pPr>
              <w:adjustRightInd w:val="0"/>
              <w:snapToGrid w:val="0"/>
              <w:ind w:firstLine="199" w:firstLineChars="95"/>
              <w:rPr>
                <w:color w:val="auto"/>
                <w:sz w:val="21"/>
                <w:szCs w:val="21"/>
              </w:rPr>
            </w:pPr>
            <w:r>
              <w:rPr>
                <w:color w:val="auto"/>
                <w:sz w:val="21"/>
                <w:szCs w:val="21"/>
              </w:rPr>
              <w:t>一级□；二级□；三级A□；三级B√</w:t>
            </w:r>
          </w:p>
        </w:tc>
        <w:tc>
          <w:tcPr>
            <w:tcW w:w="3317" w:type="dxa"/>
            <w:gridSpan w:val="6"/>
            <w:shd w:val="clear" w:color="auto" w:fill="auto"/>
            <w:vAlign w:val="center"/>
          </w:tcPr>
          <w:p>
            <w:pPr>
              <w:adjustRightInd w:val="0"/>
              <w:snapToGrid w:val="0"/>
              <w:jc w:val="center"/>
              <w:rPr>
                <w:color w:val="auto"/>
                <w:sz w:val="21"/>
                <w:szCs w:val="21"/>
              </w:rPr>
            </w:pPr>
            <w:r>
              <w:rPr>
                <w:color w:val="auto"/>
                <w:sz w:val="21"/>
                <w:szCs w:val="21"/>
              </w:rPr>
              <w:t>一级□；二级□；三级□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restart"/>
            <w:shd w:val="clear" w:color="auto" w:fill="auto"/>
            <w:vAlign w:val="center"/>
          </w:tcPr>
          <w:p>
            <w:pPr>
              <w:adjustRightInd w:val="0"/>
              <w:snapToGrid w:val="0"/>
              <w:rPr>
                <w:color w:val="auto"/>
                <w:sz w:val="21"/>
                <w:szCs w:val="21"/>
              </w:rPr>
            </w:pPr>
            <w:r>
              <w:rPr>
                <w:color w:val="auto"/>
                <w:sz w:val="21"/>
                <w:szCs w:val="21"/>
              </w:rPr>
              <w:t>现状调查</w:t>
            </w:r>
          </w:p>
        </w:tc>
        <w:tc>
          <w:tcPr>
            <w:tcW w:w="1950" w:type="dxa"/>
            <w:gridSpan w:val="2"/>
            <w:vMerge w:val="restart"/>
            <w:shd w:val="clear" w:color="auto" w:fill="auto"/>
            <w:vAlign w:val="center"/>
          </w:tcPr>
          <w:p>
            <w:pPr>
              <w:adjustRightInd w:val="0"/>
              <w:snapToGrid w:val="0"/>
              <w:jc w:val="center"/>
              <w:rPr>
                <w:color w:val="auto"/>
                <w:sz w:val="21"/>
                <w:szCs w:val="21"/>
              </w:rPr>
            </w:pPr>
            <w:r>
              <w:rPr>
                <w:color w:val="auto"/>
                <w:sz w:val="21"/>
                <w:szCs w:val="21"/>
              </w:rPr>
              <w:t>区域污染源</w:t>
            </w:r>
          </w:p>
        </w:tc>
        <w:tc>
          <w:tcPr>
            <w:tcW w:w="3969" w:type="dxa"/>
            <w:gridSpan w:val="5"/>
            <w:shd w:val="clear" w:color="auto" w:fill="auto"/>
            <w:vAlign w:val="center"/>
          </w:tcPr>
          <w:p>
            <w:pPr>
              <w:adjustRightInd w:val="0"/>
              <w:snapToGrid w:val="0"/>
              <w:ind w:firstLine="420"/>
              <w:jc w:val="center"/>
              <w:rPr>
                <w:color w:val="auto"/>
                <w:sz w:val="21"/>
                <w:szCs w:val="21"/>
              </w:rPr>
            </w:pPr>
            <w:r>
              <w:rPr>
                <w:color w:val="auto"/>
                <w:sz w:val="21"/>
                <w:szCs w:val="21"/>
              </w:rPr>
              <w:t>调查项目</w:t>
            </w:r>
          </w:p>
        </w:tc>
        <w:tc>
          <w:tcPr>
            <w:tcW w:w="3317" w:type="dxa"/>
            <w:gridSpan w:val="6"/>
            <w:shd w:val="clear" w:color="auto" w:fill="auto"/>
            <w:vAlign w:val="center"/>
          </w:tcPr>
          <w:p>
            <w:pPr>
              <w:adjustRightInd w:val="0"/>
              <w:snapToGrid w:val="0"/>
              <w:ind w:firstLine="420"/>
              <w:jc w:val="center"/>
              <w:rPr>
                <w:color w:val="auto"/>
                <w:sz w:val="21"/>
                <w:szCs w:val="21"/>
              </w:rPr>
            </w:pPr>
            <w:r>
              <w:rPr>
                <w:color w:val="auto"/>
                <w:sz w:val="21"/>
                <w:szCs w:val="21"/>
              </w:rPr>
              <w:t>数据来源</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vMerge w:val="continue"/>
            <w:shd w:val="clear" w:color="auto" w:fill="auto"/>
            <w:vAlign w:val="center"/>
          </w:tcPr>
          <w:p>
            <w:pPr>
              <w:adjustRightInd w:val="0"/>
              <w:snapToGrid w:val="0"/>
              <w:ind w:firstLine="420"/>
              <w:jc w:val="center"/>
              <w:rPr>
                <w:color w:val="auto"/>
                <w:sz w:val="21"/>
                <w:szCs w:val="21"/>
              </w:rPr>
            </w:pPr>
          </w:p>
        </w:tc>
        <w:tc>
          <w:tcPr>
            <w:tcW w:w="1843" w:type="dxa"/>
            <w:gridSpan w:val="2"/>
            <w:shd w:val="clear" w:color="auto" w:fill="auto"/>
            <w:vAlign w:val="center"/>
          </w:tcPr>
          <w:p>
            <w:pPr>
              <w:adjustRightInd w:val="0"/>
              <w:snapToGrid w:val="0"/>
              <w:rPr>
                <w:color w:val="auto"/>
                <w:sz w:val="21"/>
                <w:szCs w:val="21"/>
              </w:rPr>
            </w:pPr>
            <w:r>
              <w:rPr>
                <w:color w:val="auto"/>
                <w:sz w:val="21"/>
                <w:szCs w:val="21"/>
              </w:rPr>
              <w:t>已建□；在建□；拟建□；其他□</w:t>
            </w:r>
          </w:p>
        </w:tc>
        <w:tc>
          <w:tcPr>
            <w:tcW w:w="2126" w:type="dxa"/>
            <w:gridSpan w:val="3"/>
            <w:shd w:val="clear" w:color="auto" w:fill="auto"/>
            <w:vAlign w:val="center"/>
          </w:tcPr>
          <w:p>
            <w:pPr>
              <w:adjustRightInd w:val="0"/>
              <w:snapToGrid w:val="0"/>
              <w:rPr>
                <w:color w:val="auto"/>
                <w:sz w:val="21"/>
                <w:szCs w:val="21"/>
              </w:rPr>
            </w:pPr>
            <w:r>
              <w:rPr>
                <w:color w:val="auto"/>
                <w:sz w:val="21"/>
                <w:szCs w:val="21"/>
              </w:rPr>
              <w:t>拟替代的污染源□</w:t>
            </w:r>
          </w:p>
        </w:tc>
        <w:tc>
          <w:tcPr>
            <w:tcW w:w="3317" w:type="dxa"/>
            <w:gridSpan w:val="6"/>
            <w:shd w:val="clear" w:color="auto" w:fill="auto"/>
            <w:vAlign w:val="center"/>
          </w:tcPr>
          <w:p>
            <w:pPr>
              <w:adjustRightInd w:val="0"/>
              <w:snapToGrid w:val="0"/>
              <w:rPr>
                <w:color w:val="auto"/>
                <w:sz w:val="21"/>
                <w:szCs w:val="21"/>
              </w:rPr>
            </w:pPr>
            <w:r>
              <w:rPr>
                <w:color w:val="auto"/>
                <w:sz w:val="21"/>
                <w:szCs w:val="21"/>
              </w:rPr>
              <w:t>排污许可证□；环评□；环保验收□；既有实测□；现场监测□；入河排放口数据□；其他□</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vMerge w:val="restart"/>
            <w:shd w:val="clear" w:color="auto" w:fill="auto"/>
            <w:vAlign w:val="center"/>
          </w:tcPr>
          <w:p>
            <w:pPr>
              <w:adjustRightInd w:val="0"/>
              <w:snapToGrid w:val="0"/>
              <w:jc w:val="center"/>
              <w:rPr>
                <w:color w:val="auto"/>
                <w:sz w:val="21"/>
                <w:szCs w:val="21"/>
              </w:rPr>
            </w:pPr>
            <w:r>
              <w:rPr>
                <w:color w:val="auto"/>
                <w:sz w:val="21"/>
                <w:szCs w:val="21"/>
              </w:rPr>
              <w:t>受影响水体水环境质量</w:t>
            </w:r>
          </w:p>
        </w:tc>
        <w:tc>
          <w:tcPr>
            <w:tcW w:w="3969" w:type="dxa"/>
            <w:gridSpan w:val="5"/>
            <w:shd w:val="clear" w:color="auto" w:fill="auto"/>
            <w:vAlign w:val="center"/>
          </w:tcPr>
          <w:p>
            <w:pPr>
              <w:adjustRightInd w:val="0"/>
              <w:snapToGrid w:val="0"/>
              <w:ind w:firstLine="420"/>
              <w:jc w:val="center"/>
              <w:rPr>
                <w:color w:val="auto"/>
                <w:sz w:val="21"/>
                <w:szCs w:val="21"/>
              </w:rPr>
            </w:pPr>
            <w:r>
              <w:rPr>
                <w:color w:val="auto"/>
                <w:sz w:val="21"/>
                <w:szCs w:val="21"/>
              </w:rPr>
              <w:t>调查项目</w:t>
            </w:r>
          </w:p>
        </w:tc>
        <w:tc>
          <w:tcPr>
            <w:tcW w:w="3317" w:type="dxa"/>
            <w:gridSpan w:val="6"/>
            <w:shd w:val="clear" w:color="auto" w:fill="auto"/>
            <w:vAlign w:val="center"/>
          </w:tcPr>
          <w:p>
            <w:pPr>
              <w:adjustRightInd w:val="0"/>
              <w:snapToGrid w:val="0"/>
              <w:ind w:firstLine="420"/>
              <w:jc w:val="center"/>
              <w:rPr>
                <w:color w:val="auto"/>
                <w:sz w:val="21"/>
                <w:szCs w:val="21"/>
              </w:rPr>
            </w:pPr>
            <w:r>
              <w:rPr>
                <w:color w:val="auto"/>
                <w:sz w:val="21"/>
                <w:szCs w:val="21"/>
              </w:rPr>
              <w:t>数据来源</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70" w:hRule="atLeast"/>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vMerge w:val="continue"/>
            <w:shd w:val="clear" w:color="auto" w:fill="auto"/>
            <w:vAlign w:val="center"/>
          </w:tcPr>
          <w:p>
            <w:pPr>
              <w:adjustRightInd w:val="0"/>
              <w:snapToGrid w:val="0"/>
              <w:ind w:firstLine="420"/>
              <w:jc w:val="center"/>
              <w:rPr>
                <w:color w:val="auto"/>
                <w:sz w:val="21"/>
                <w:szCs w:val="21"/>
              </w:rPr>
            </w:pPr>
          </w:p>
        </w:tc>
        <w:tc>
          <w:tcPr>
            <w:tcW w:w="3969" w:type="dxa"/>
            <w:gridSpan w:val="5"/>
            <w:shd w:val="clear" w:color="auto" w:fill="auto"/>
            <w:vAlign w:val="center"/>
          </w:tcPr>
          <w:p>
            <w:pPr>
              <w:adjustRightInd w:val="0"/>
              <w:snapToGrid w:val="0"/>
              <w:rPr>
                <w:color w:val="auto"/>
                <w:sz w:val="21"/>
                <w:szCs w:val="21"/>
              </w:rPr>
            </w:pPr>
            <w:r>
              <w:rPr>
                <w:color w:val="auto"/>
                <w:sz w:val="21"/>
                <w:szCs w:val="21"/>
              </w:rPr>
              <w:t>丰水期□；平水期√；枯水期□；冰封期□</w:t>
            </w:r>
          </w:p>
          <w:p>
            <w:pPr>
              <w:adjustRightInd w:val="0"/>
              <w:snapToGrid w:val="0"/>
              <w:rPr>
                <w:color w:val="auto"/>
                <w:sz w:val="21"/>
                <w:szCs w:val="21"/>
              </w:rPr>
            </w:pPr>
            <w:r>
              <w:rPr>
                <w:color w:val="auto"/>
                <w:sz w:val="21"/>
                <w:szCs w:val="21"/>
              </w:rPr>
              <w:t>春季□；夏季√；秋季□；冬季□</w:t>
            </w:r>
          </w:p>
        </w:tc>
        <w:tc>
          <w:tcPr>
            <w:tcW w:w="3317" w:type="dxa"/>
            <w:gridSpan w:val="6"/>
            <w:shd w:val="clear" w:color="auto" w:fill="auto"/>
            <w:vAlign w:val="center"/>
          </w:tcPr>
          <w:p>
            <w:pPr>
              <w:adjustRightInd w:val="0"/>
              <w:snapToGrid w:val="0"/>
              <w:rPr>
                <w:color w:val="auto"/>
                <w:sz w:val="21"/>
                <w:szCs w:val="21"/>
              </w:rPr>
            </w:pPr>
            <w:r>
              <w:rPr>
                <w:color w:val="auto"/>
                <w:sz w:val="21"/>
                <w:szCs w:val="21"/>
              </w:rPr>
              <w:t>生态环境保护主管部门□；补充监测√；其他□</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shd w:val="clear" w:color="auto" w:fill="auto"/>
            <w:vAlign w:val="center"/>
          </w:tcPr>
          <w:p>
            <w:pPr>
              <w:adjustRightInd w:val="0"/>
              <w:snapToGrid w:val="0"/>
              <w:jc w:val="center"/>
              <w:rPr>
                <w:color w:val="auto"/>
                <w:sz w:val="21"/>
                <w:szCs w:val="21"/>
              </w:rPr>
            </w:pPr>
            <w:r>
              <w:rPr>
                <w:color w:val="auto"/>
                <w:sz w:val="21"/>
                <w:szCs w:val="21"/>
              </w:rPr>
              <w:t>区域水资源开发利用情况</w:t>
            </w:r>
          </w:p>
        </w:tc>
        <w:tc>
          <w:tcPr>
            <w:tcW w:w="7286" w:type="dxa"/>
            <w:gridSpan w:val="11"/>
            <w:shd w:val="clear" w:color="auto" w:fill="auto"/>
            <w:vAlign w:val="center"/>
          </w:tcPr>
          <w:p>
            <w:pPr>
              <w:adjustRightInd w:val="0"/>
              <w:snapToGrid w:val="0"/>
              <w:ind w:firstLine="840" w:firstLineChars="400"/>
              <w:rPr>
                <w:color w:val="auto"/>
                <w:sz w:val="21"/>
                <w:szCs w:val="21"/>
              </w:rPr>
            </w:pPr>
            <w:r>
              <w:rPr>
                <w:color w:val="auto"/>
                <w:sz w:val="21"/>
                <w:szCs w:val="21"/>
              </w:rPr>
              <w:t>未开发□；开发量40%以下□；开发量40%以上□</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vMerge w:val="restart"/>
            <w:shd w:val="clear" w:color="auto" w:fill="auto"/>
            <w:vAlign w:val="center"/>
          </w:tcPr>
          <w:p>
            <w:pPr>
              <w:adjustRightInd w:val="0"/>
              <w:snapToGrid w:val="0"/>
              <w:jc w:val="center"/>
              <w:rPr>
                <w:color w:val="auto"/>
                <w:sz w:val="21"/>
                <w:szCs w:val="21"/>
              </w:rPr>
            </w:pPr>
            <w:r>
              <w:rPr>
                <w:color w:val="auto"/>
                <w:sz w:val="21"/>
                <w:szCs w:val="21"/>
              </w:rPr>
              <w:t>水文情势调查</w:t>
            </w:r>
          </w:p>
        </w:tc>
        <w:tc>
          <w:tcPr>
            <w:tcW w:w="3969" w:type="dxa"/>
            <w:gridSpan w:val="5"/>
            <w:shd w:val="clear" w:color="auto" w:fill="auto"/>
            <w:vAlign w:val="center"/>
          </w:tcPr>
          <w:p>
            <w:pPr>
              <w:adjustRightInd w:val="0"/>
              <w:snapToGrid w:val="0"/>
              <w:ind w:firstLine="420"/>
              <w:jc w:val="center"/>
              <w:rPr>
                <w:color w:val="auto"/>
                <w:sz w:val="21"/>
                <w:szCs w:val="21"/>
              </w:rPr>
            </w:pPr>
            <w:r>
              <w:rPr>
                <w:color w:val="auto"/>
                <w:sz w:val="21"/>
                <w:szCs w:val="21"/>
              </w:rPr>
              <w:t>调查项目</w:t>
            </w:r>
          </w:p>
        </w:tc>
        <w:tc>
          <w:tcPr>
            <w:tcW w:w="3317" w:type="dxa"/>
            <w:gridSpan w:val="6"/>
            <w:shd w:val="clear" w:color="auto" w:fill="auto"/>
            <w:vAlign w:val="center"/>
          </w:tcPr>
          <w:p>
            <w:pPr>
              <w:adjustRightInd w:val="0"/>
              <w:snapToGrid w:val="0"/>
              <w:ind w:firstLine="420"/>
              <w:jc w:val="center"/>
              <w:rPr>
                <w:color w:val="auto"/>
                <w:sz w:val="21"/>
                <w:szCs w:val="21"/>
              </w:rPr>
            </w:pPr>
            <w:r>
              <w:rPr>
                <w:color w:val="auto"/>
                <w:sz w:val="21"/>
                <w:szCs w:val="21"/>
              </w:rPr>
              <w:t>数据来源</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vMerge w:val="continue"/>
            <w:shd w:val="clear" w:color="auto" w:fill="auto"/>
            <w:vAlign w:val="center"/>
          </w:tcPr>
          <w:p>
            <w:pPr>
              <w:adjustRightInd w:val="0"/>
              <w:snapToGrid w:val="0"/>
              <w:ind w:firstLine="420"/>
              <w:jc w:val="center"/>
              <w:rPr>
                <w:color w:val="auto"/>
                <w:sz w:val="21"/>
                <w:szCs w:val="21"/>
              </w:rPr>
            </w:pPr>
          </w:p>
        </w:tc>
        <w:tc>
          <w:tcPr>
            <w:tcW w:w="3969" w:type="dxa"/>
            <w:gridSpan w:val="5"/>
            <w:shd w:val="clear" w:color="auto" w:fill="auto"/>
            <w:vAlign w:val="center"/>
          </w:tcPr>
          <w:p>
            <w:pPr>
              <w:adjustRightInd w:val="0"/>
              <w:snapToGrid w:val="0"/>
              <w:rPr>
                <w:color w:val="auto"/>
                <w:sz w:val="21"/>
                <w:szCs w:val="21"/>
              </w:rPr>
            </w:pPr>
            <w:r>
              <w:rPr>
                <w:color w:val="auto"/>
                <w:sz w:val="21"/>
                <w:szCs w:val="21"/>
              </w:rPr>
              <w:t>丰水期□；平水期□；枯水期□；冰封期□</w:t>
            </w:r>
          </w:p>
          <w:p>
            <w:pPr>
              <w:adjustRightInd w:val="0"/>
              <w:snapToGrid w:val="0"/>
              <w:rPr>
                <w:color w:val="auto"/>
                <w:sz w:val="21"/>
                <w:szCs w:val="21"/>
              </w:rPr>
            </w:pPr>
            <w:r>
              <w:rPr>
                <w:color w:val="auto"/>
                <w:sz w:val="21"/>
                <w:szCs w:val="21"/>
              </w:rPr>
              <w:t>春季□；夏季□；秋季□；冬季□</w:t>
            </w:r>
          </w:p>
        </w:tc>
        <w:tc>
          <w:tcPr>
            <w:tcW w:w="3317" w:type="dxa"/>
            <w:gridSpan w:val="6"/>
            <w:shd w:val="clear" w:color="auto" w:fill="auto"/>
            <w:vAlign w:val="center"/>
          </w:tcPr>
          <w:p>
            <w:pPr>
              <w:adjustRightInd w:val="0"/>
              <w:snapToGrid w:val="0"/>
              <w:jc w:val="center"/>
              <w:rPr>
                <w:color w:val="auto"/>
                <w:sz w:val="21"/>
                <w:szCs w:val="21"/>
              </w:rPr>
            </w:pPr>
            <w:r>
              <w:rPr>
                <w:color w:val="auto"/>
                <w:sz w:val="21"/>
                <w:szCs w:val="21"/>
              </w:rPr>
              <w:t>水行政主管部门□；补充监测□；其他□</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vMerge w:val="restart"/>
            <w:shd w:val="clear" w:color="auto" w:fill="auto"/>
            <w:vAlign w:val="center"/>
          </w:tcPr>
          <w:p>
            <w:pPr>
              <w:adjustRightInd w:val="0"/>
              <w:snapToGrid w:val="0"/>
              <w:jc w:val="center"/>
              <w:rPr>
                <w:color w:val="auto"/>
                <w:sz w:val="21"/>
                <w:szCs w:val="21"/>
              </w:rPr>
            </w:pPr>
            <w:r>
              <w:rPr>
                <w:color w:val="auto"/>
                <w:sz w:val="21"/>
                <w:szCs w:val="21"/>
              </w:rPr>
              <w:t>补充监测</w:t>
            </w:r>
          </w:p>
        </w:tc>
        <w:tc>
          <w:tcPr>
            <w:tcW w:w="3969" w:type="dxa"/>
            <w:gridSpan w:val="5"/>
            <w:shd w:val="clear" w:color="auto" w:fill="auto"/>
            <w:vAlign w:val="center"/>
          </w:tcPr>
          <w:p>
            <w:pPr>
              <w:adjustRightInd w:val="0"/>
              <w:snapToGrid w:val="0"/>
              <w:jc w:val="center"/>
              <w:rPr>
                <w:color w:val="auto"/>
                <w:sz w:val="21"/>
                <w:szCs w:val="21"/>
              </w:rPr>
            </w:pPr>
            <w:r>
              <w:rPr>
                <w:color w:val="auto"/>
                <w:sz w:val="21"/>
                <w:szCs w:val="21"/>
              </w:rPr>
              <w:t>监测时期</w:t>
            </w:r>
          </w:p>
        </w:tc>
        <w:tc>
          <w:tcPr>
            <w:tcW w:w="2109" w:type="dxa"/>
            <w:gridSpan w:val="4"/>
            <w:shd w:val="clear" w:color="auto" w:fill="auto"/>
            <w:vAlign w:val="center"/>
          </w:tcPr>
          <w:p>
            <w:pPr>
              <w:adjustRightInd w:val="0"/>
              <w:snapToGrid w:val="0"/>
              <w:jc w:val="center"/>
              <w:rPr>
                <w:color w:val="auto"/>
                <w:sz w:val="21"/>
                <w:szCs w:val="21"/>
              </w:rPr>
            </w:pPr>
            <w:r>
              <w:rPr>
                <w:color w:val="auto"/>
                <w:sz w:val="21"/>
                <w:szCs w:val="21"/>
              </w:rPr>
              <w:t>监测因子</w:t>
            </w:r>
          </w:p>
        </w:tc>
        <w:tc>
          <w:tcPr>
            <w:tcW w:w="1208" w:type="dxa"/>
            <w:gridSpan w:val="2"/>
            <w:shd w:val="clear" w:color="auto" w:fill="auto"/>
            <w:vAlign w:val="center"/>
          </w:tcPr>
          <w:p>
            <w:pPr>
              <w:adjustRightInd w:val="0"/>
              <w:snapToGrid w:val="0"/>
              <w:jc w:val="center"/>
              <w:rPr>
                <w:color w:val="auto"/>
                <w:sz w:val="21"/>
                <w:szCs w:val="21"/>
              </w:rPr>
            </w:pPr>
            <w:r>
              <w:rPr>
                <w:color w:val="auto"/>
                <w:sz w:val="21"/>
                <w:szCs w:val="21"/>
              </w:rPr>
              <w:t>监测断面或点位</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vMerge w:val="continue"/>
            <w:shd w:val="clear" w:color="auto" w:fill="auto"/>
            <w:vAlign w:val="center"/>
          </w:tcPr>
          <w:p>
            <w:pPr>
              <w:adjustRightInd w:val="0"/>
              <w:snapToGrid w:val="0"/>
              <w:ind w:firstLine="420"/>
              <w:jc w:val="center"/>
              <w:rPr>
                <w:color w:val="auto"/>
                <w:sz w:val="21"/>
                <w:szCs w:val="21"/>
              </w:rPr>
            </w:pPr>
          </w:p>
        </w:tc>
        <w:tc>
          <w:tcPr>
            <w:tcW w:w="3969" w:type="dxa"/>
            <w:gridSpan w:val="5"/>
            <w:shd w:val="clear" w:color="auto" w:fill="auto"/>
            <w:vAlign w:val="center"/>
          </w:tcPr>
          <w:p>
            <w:pPr>
              <w:adjustRightInd w:val="0"/>
              <w:snapToGrid w:val="0"/>
              <w:rPr>
                <w:color w:val="auto"/>
                <w:sz w:val="21"/>
                <w:szCs w:val="21"/>
              </w:rPr>
            </w:pPr>
            <w:r>
              <w:rPr>
                <w:color w:val="auto"/>
                <w:sz w:val="21"/>
                <w:szCs w:val="21"/>
              </w:rPr>
              <w:t>丰水期□；平水期√；枯水期□；冰封期□</w:t>
            </w:r>
          </w:p>
          <w:p>
            <w:pPr>
              <w:adjustRightInd w:val="0"/>
              <w:snapToGrid w:val="0"/>
              <w:rPr>
                <w:color w:val="auto"/>
                <w:sz w:val="21"/>
                <w:szCs w:val="21"/>
              </w:rPr>
            </w:pPr>
            <w:r>
              <w:rPr>
                <w:color w:val="auto"/>
                <w:sz w:val="21"/>
                <w:szCs w:val="21"/>
              </w:rPr>
              <w:t>春季√；夏季□；秋季□；冬季□</w:t>
            </w:r>
          </w:p>
        </w:tc>
        <w:tc>
          <w:tcPr>
            <w:tcW w:w="2109" w:type="dxa"/>
            <w:gridSpan w:val="4"/>
            <w:shd w:val="clear" w:color="auto" w:fill="auto"/>
            <w:vAlign w:val="center"/>
          </w:tcPr>
          <w:p>
            <w:pPr>
              <w:autoSpaceDE w:val="0"/>
              <w:autoSpaceDN w:val="0"/>
              <w:adjustRightInd w:val="0"/>
              <w:rPr>
                <w:color w:val="auto"/>
                <w:kern w:val="0"/>
                <w:sz w:val="21"/>
                <w:szCs w:val="21"/>
              </w:rPr>
            </w:pPr>
            <w:r>
              <w:rPr>
                <w:color w:val="auto"/>
                <w:sz w:val="21"/>
                <w:szCs w:val="21"/>
              </w:rPr>
              <w:t>（</w:t>
            </w:r>
            <w:r>
              <w:rPr>
                <w:color w:val="auto"/>
                <w:kern w:val="0"/>
                <w:sz w:val="21"/>
                <w:szCs w:val="21"/>
              </w:rPr>
              <w:t>pH、水温、SS、COD、BOD</w:t>
            </w:r>
            <w:r>
              <w:rPr>
                <w:color w:val="auto"/>
                <w:kern w:val="0"/>
                <w:sz w:val="21"/>
                <w:szCs w:val="21"/>
                <w:vertAlign w:val="subscript"/>
              </w:rPr>
              <w:t>5</w:t>
            </w:r>
            <w:r>
              <w:rPr>
                <w:color w:val="auto"/>
                <w:kern w:val="0"/>
                <w:sz w:val="21"/>
                <w:szCs w:val="21"/>
              </w:rPr>
              <w:t>、氨氮、总磷、总氮、Hg、As、Pb、Cd、Cr6+、石油类、氟化物、高锰酸盐指数、粪大肠杆菌、全盐量</w:t>
            </w:r>
            <w:r>
              <w:rPr>
                <w:color w:val="auto"/>
                <w:sz w:val="21"/>
                <w:szCs w:val="21"/>
              </w:rPr>
              <w:t>）</w:t>
            </w:r>
          </w:p>
        </w:tc>
        <w:tc>
          <w:tcPr>
            <w:tcW w:w="1208" w:type="dxa"/>
            <w:gridSpan w:val="2"/>
            <w:shd w:val="clear" w:color="auto" w:fill="auto"/>
            <w:vAlign w:val="center"/>
          </w:tcPr>
          <w:p>
            <w:pPr>
              <w:adjustRightInd w:val="0"/>
              <w:snapToGrid w:val="0"/>
              <w:rPr>
                <w:color w:val="auto"/>
                <w:sz w:val="21"/>
                <w:szCs w:val="21"/>
              </w:rPr>
            </w:pPr>
            <w:r>
              <w:rPr>
                <w:color w:val="auto"/>
                <w:sz w:val="21"/>
                <w:szCs w:val="21"/>
              </w:rPr>
              <w:t>监测断面或点位个数（2）个</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restart"/>
            <w:shd w:val="clear" w:color="auto" w:fill="auto"/>
            <w:vAlign w:val="center"/>
          </w:tcPr>
          <w:p>
            <w:pPr>
              <w:adjustRightInd w:val="0"/>
              <w:snapToGrid w:val="0"/>
              <w:ind w:firstLine="420"/>
              <w:jc w:val="center"/>
              <w:rPr>
                <w:color w:val="auto"/>
                <w:sz w:val="21"/>
                <w:szCs w:val="21"/>
              </w:rPr>
            </w:pPr>
            <w:r>
              <w:rPr>
                <w:color w:val="auto"/>
                <w:sz w:val="21"/>
                <w:szCs w:val="21"/>
              </w:rPr>
              <w:t>现</w:t>
            </w:r>
            <w:r>
              <w:rPr>
                <w:rFonts w:hint="eastAsia"/>
                <w:color w:val="auto"/>
                <w:sz w:val="21"/>
                <w:szCs w:val="21"/>
              </w:rPr>
              <w:t>现</w:t>
            </w:r>
            <w:r>
              <w:rPr>
                <w:color w:val="auto"/>
                <w:sz w:val="21"/>
                <w:szCs w:val="21"/>
              </w:rPr>
              <w:t>状评价</w:t>
            </w:r>
          </w:p>
        </w:tc>
        <w:tc>
          <w:tcPr>
            <w:tcW w:w="1950" w:type="dxa"/>
            <w:gridSpan w:val="2"/>
            <w:shd w:val="clear" w:color="auto" w:fill="auto"/>
            <w:vAlign w:val="center"/>
          </w:tcPr>
          <w:p>
            <w:pPr>
              <w:adjustRightInd w:val="0"/>
              <w:snapToGrid w:val="0"/>
              <w:ind w:firstLine="420"/>
              <w:rPr>
                <w:color w:val="auto"/>
                <w:sz w:val="21"/>
                <w:szCs w:val="21"/>
              </w:rPr>
            </w:pPr>
            <w:r>
              <w:rPr>
                <w:color w:val="auto"/>
                <w:sz w:val="21"/>
                <w:szCs w:val="21"/>
              </w:rPr>
              <w:t>评价范围</w:t>
            </w:r>
          </w:p>
        </w:tc>
        <w:tc>
          <w:tcPr>
            <w:tcW w:w="7286" w:type="dxa"/>
            <w:gridSpan w:val="11"/>
            <w:shd w:val="clear" w:color="auto" w:fill="auto"/>
            <w:vAlign w:val="center"/>
          </w:tcPr>
          <w:p>
            <w:pPr>
              <w:adjustRightInd w:val="0"/>
              <w:snapToGrid w:val="0"/>
              <w:ind w:firstLine="420"/>
              <w:jc w:val="center"/>
              <w:rPr>
                <w:color w:val="auto"/>
                <w:sz w:val="21"/>
                <w:szCs w:val="21"/>
              </w:rPr>
            </w:pPr>
            <w:r>
              <w:rPr>
                <w:color w:val="auto"/>
                <w:sz w:val="21"/>
                <w:szCs w:val="21"/>
              </w:rPr>
              <w:t>河流：长度（2）km；湖库、河口及近岸海域：面积（）km；</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shd w:val="clear" w:color="auto" w:fill="auto"/>
            <w:vAlign w:val="center"/>
          </w:tcPr>
          <w:p>
            <w:pPr>
              <w:adjustRightInd w:val="0"/>
              <w:snapToGrid w:val="0"/>
              <w:ind w:firstLine="420"/>
              <w:rPr>
                <w:color w:val="auto"/>
                <w:sz w:val="21"/>
                <w:szCs w:val="21"/>
              </w:rPr>
            </w:pPr>
            <w:r>
              <w:rPr>
                <w:color w:val="auto"/>
                <w:sz w:val="21"/>
                <w:szCs w:val="21"/>
              </w:rPr>
              <w:t>评价因子</w:t>
            </w:r>
          </w:p>
        </w:tc>
        <w:tc>
          <w:tcPr>
            <w:tcW w:w="7286" w:type="dxa"/>
            <w:gridSpan w:val="11"/>
            <w:shd w:val="clear" w:color="auto" w:fill="auto"/>
            <w:vAlign w:val="center"/>
          </w:tcPr>
          <w:p>
            <w:pPr>
              <w:adjustRightInd w:val="0"/>
              <w:snapToGrid w:val="0"/>
              <w:ind w:firstLine="420"/>
              <w:jc w:val="center"/>
              <w:rPr>
                <w:color w:val="auto"/>
                <w:sz w:val="21"/>
                <w:szCs w:val="21"/>
              </w:rPr>
            </w:pPr>
            <w:r>
              <w:rPr>
                <w:color w:val="auto"/>
                <w:sz w:val="21"/>
                <w:szCs w:val="21"/>
              </w:rPr>
              <w:t>（CODcr、氨氮）</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shd w:val="clear" w:color="auto" w:fill="auto"/>
            <w:vAlign w:val="center"/>
          </w:tcPr>
          <w:p>
            <w:pPr>
              <w:adjustRightInd w:val="0"/>
              <w:snapToGrid w:val="0"/>
              <w:ind w:firstLine="420"/>
              <w:rPr>
                <w:color w:val="auto"/>
                <w:sz w:val="21"/>
                <w:szCs w:val="21"/>
              </w:rPr>
            </w:pPr>
            <w:r>
              <w:rPr>
                <w:color w:val="auto"/>
                <w:sz w:val="21"/>
                <w:szCs w:val="21"/>
              </w:rPr>
              <w:t>评价标准</w:t>
            </w:r>
          </w:p>
        </w:tc>
        <w:tc>
          <w:tcPr>
            <w:tcW w:w="7286" w:type="dxa"/>
            <w:gridSpan w:val="11"/>
            <w:shd w:val="clear" w:color="auto" w:fill="auto"/>
            <w:vAlign w:val="center"/>
          </w:tcPr>
          <w:p>
            <w:pPr>
              <w:adjustRightInd w:val="0"/>
              <w:snapToGrid w:val="0"/>
              <w:ind w:firstLine="420"/>
              <w:jc w:val="center"/>
              <w:rPr>
                <w:color w:val="auto"/>
                <w:sz w:val="21"/>
                <w:szCs w:val="21"/>
              </w:rPr>
            </w:pPr>
            <w:r>
              <w:rPr>
                <w:color w:val="auto"/>
                <w:sz w:val="21"/>
                <w:szCs w:val="21"/>
              </w:rPr>
              <w:t>河流、湖库、河口：</w:t>
            </w:r>
            <w:r>
              <w:rPr>
                <w:rFonts w:hint="eastAsia" w:ascii="宋体" w:hAnsi="宋体" w:cs="宋体"/>
                <w:color w:val="auto"/>
                <w:sz w:val="21"/>
                <w:szCs w:val="21"/>
              </w:rPr>
              <w:t>Ⅰ</w:t>
            </w:r>
            <w:r>
              <w:rPr>
                <w:color w:val="auto"/>
                <w:sz w:val="21"/>
                <w:szCs w:val="21"/>
              </w:rPr>
              <w:t>类□：</w:t>
            </w:r>
            <w:r>
              <w:rPr>
                <w:rFonts w:hint="eastAsia" w:ascii="宋体" w:hAnsi="宋体" w:cs="宋体"/>
                <w:color w:val="auto"/>
                <w:sz w:val="21"/>
                <w:szCs w:val="21"/>
              </w:rPr>
              <w:t>Ⅱ</w:t>
            </w:r>
            <w:r>
              <w:rPr>
                <w:color w:val="auto"/>
                <w:sz w:val="21"/>
                <w:szCs w:val="21"/>
              </w:rPr>
              <w:t>类□：</w:t>
            </w:r>
            <w:r>
              <w:rPr>
                <w:rFonts w:hint="eastAsia" w:ascii="宋体" w:hAnsi="宋体" w:cs="宋体"/>
                <w:color w:val="auto"/>
                <w:sz w:val="21"/>
                <w:szCs w:val="21"/>
              </w:rPr>
              <w:t>Ⅲ</w:t>
            </w:r>
            <w:r>
              <w:rPr>
                <w:color w:val="auto"/>
                <w:sz w:val="21"/>
                <w:szCs w:val="21"/>
              </w:rPr>
              <w:t>类√：</w:t>
            </w:r>
            <w:r>
              <w:rPr>
                <w:rFonts w:hint="eastAsia" w:ascii="宋体" w:hAnsi="宋体" w:cs="宋体"/>
                <w:color w:val="auto"/>
                <w:sz w:val="21"/>
                <w:szCs w:val="21"/>
              </w:rPr>
              <w:t>Ⅳ</w:t>
            </w:r>
            <w:r>
              <w:rPr>
                <w:color w:val="auto"/>
                <w:sz w:val="21"/>
                <w:szCs w:val="21"/>
              </w:rPr>
              <w:t>类√：</w:t>
            </w:r>
            <w:r>
              <w:rPr>
                <w:rFonts w:hint="eastAsia" w:ascii="宋体" w:hAnsi="宋体" w:cs="宋体"/>
                <w:color w:val="auto"/>
                <w:sz w:val="21"/>
                <w:szCs w:val="21"/>
              </w:rPr>
              <w:t>Ⅴ</w:t>
            </w:r>
            <w:r>
              <w:rPr>
                <w:color w:val="auto"/>
                <w:sz w:val="21"/>
                <w:szCs w:val="21"/>
              </w:rPr>
              <w:t>类□</w:t>
            </w:r>
          </w:p>
          <w:p>
            <w:pPr>
              <w:adjustRightInd w:val="0"/>
              <w:snapToGrid w:val="0"/>
              <w:ind w:firstLine="420"/>
              <w:jc w:val="center"/>
              <w:rPr>
                <w:color w:val="auto"/>
                <w:sz w:val="21"/>
                <w:szCs w:val="21"/>
              </w:rPr>
            </w:pPr>
            <w:r>
              <w:rPr>
                <w:color w:val="auto"/>
                <w:sz w:val="21"/>
                <w:szCs w:val="21"/>
              </w:rPr>
              <w:t>近岸海域：第一类□：第二类□：第三类□：第四类□</w:t>
            </w:r>
          </w:p>
          <w:p>
            <w:pPr>
              <w:adjustRightInd w:val="0"/>
              <w:snapToGrid w:val="0"/>
              <w:ind w:firstLine="420"/>
              <w:jc w:val="center"/>
              <w:rPr>
                <w:color w:val="auto"/>
                <w:sz w:val="21"/>
                <w:szCs w:val="21"/>
              </w:rPr>
            </w:pPr>
            <w:r>
              <w:rPr>
                <w:color w:val="auto"/>
                <w:sz w:val="21"/>
                <w:szCs w:val="21"/>
              </w:rPr>
              <w:t>规划年评价标准（）</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shd w:val="clear" w:color="auto" w:fill="auto"/>
            <w:vAlign w:val="center"/>
          </w:tcPr>
          <w:p>
            <w:pPr>
              <w:adjustRightInd w:val="0"/>
              <w:snapToGrid w:val="0"/>
              <w:ind w:firstLine="420"/>
              <w:rPr>
                <w:color w:val="auto"/>
                <w:sz w:val="21"/>
                <w:szCs w:val="21"/>
              </w:rPr>
            </w:pPr>
            <w:r>
              <w:rPr>
                <w:color w:val="auto"/>
                <w:sz w:val="21"/>
                <w:szCs w:val="21"/>
              </w:rPr>
              <w:t>评价时期</w:t>
            </w:r>
          </w:p>
        </w:tc>
        <w:tc>
          <w:tcPr>
            <w:tcW w:w="7286" w:type="dxa"/>
            <w:gridSpan w:val="11"/>
            <w:shd w:val="clear" w:color="auto" w:fill="auto"/>
            <w:vAlign w:val="center"/>
          </w:tcPr>
          <w:p>
            <w:pPr>
              <w:adjustRightInd w:val="0"/>
              <w:snapToGrid w:val="0"/>
              <w:ind w:firstLine="420"/>
              <w:jc w:val="center"/>
              <w:rPr>
                <w:color w:val="auto"/>
                <w:sz w:val="21"/>
                <w:szCs w:val="21"/>
              </w:rPr>
            </w:pPr>
            <w:r>
              <w:rPr>
                <w:color w:val="auto"/>
                <w:sz w:val="21"/>
                <w:szCs w:val="21"/>
              </w:rPr>
              <w:t>丰水期□；平水期√；枯水期□；冰封期□</w:t>
            </w:r>
          </w:p>
          <w:p>
            <w:pPr>
              <w:adjustRightInd w:val="0"/>
              <w:snapToGrid w:val="0"/>
              <w:ind w:firstLine="420"/>
              <w:jc w:val="center"/>
              <w:rPr>
                <w:color w:val="auto"/>
                <w:sz w:val="21"/>
                <w:szCs w:val="21"/>
              </w:rPr>
            </w:pPr>
            <w:r>
              <w:rPr>
                <w:color w:val="auto"/>
                <w:sz w:val="21"/>
                <w:szCs w:val="21"/>
              </w:rPr>
              <w:t>春季□；夏季√；秋季□；冬季□</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shd w:val="clear" w:color="auto" w:fill="auto"/>
            <w:vAlign w:val="center"/>
          </w:tcPr>
          <w:p>
            <w:pPr>
              <w:adjustRightInd w:val="0"/>
              <w:snapToGrid w:val="0"/>
              <w:ind w:firstLine="420"/>
              <w:rPr>
                <w:color w:val="auto"/>
                <w:sz w:val="21"/>
                <w:szCs w:val="21"/>
              </w:rPr>
            </w:pPr>
            <w:r>
              <w:rPr>
                <w:color w:val="auto"/>
                <w:sz w:val="21"/>
                <w:szCs w:val="21"/>
              </w:rPr>
              <w:t>评价结论</w:t>
            </w:r>
          </w:p>
        </w:tc>
        <w:tc>
          <w:tcPr>
            <w:tcW w:w="6237" w:type="dxa"/>
            <w:gridSpan w:val="10"/>
            <w:shd w:val="clear" w:color="auto" w:fill="auto"/>
            <w:vAlign w:val="center"/>
          </w:tcPr>
          <w:p>
            <w:pPr>
              <w:adjustRightInd w:val="0"/>
              <w:snapToGrid w:val="0"/>
              <w:rPr>
                <w:color w:val="auto"/>
                <w:sz w:val="21"/>
                <w:szCs w:val="21"/>
              </w:rPr>
            </w:pPr>
            <w:r>
              <w:rPr>
                <w:color w:val="auto"/>
                <w:sz w:val="21"/>
                <w:szCs w:val="21"/>
              </w:rPr>
              <w:t>水环境功能区或水功能区、近岸海域环境功能区水质达标状况：达标□；不达标□</w:t>
            </w:r>
          </w:p>
          <w:p>
            <w:pPr>
              <w:adjustRightInd w:val="0"/>
              <w:snapToGrid w:val="0"/>
              <w:rPr>
                <w:color w:val="auto"/>
                <w:sz w:val="21"/>
                <w:szCs w:val="21"/>
              </w:rPr>
            </w:pPr>
            <w:r>
              <w:rPr>
                <w:color w:val="auto"/>
                <w:sz w:val="21"/>
                <w:szCs w:val="21"/>
              </w:rPr>
              <w:t>水环境控制单元或断面水质达标状况：达标□；不达标□</w:t>
            </w:r>
          </w:p>
          <w:p>
            <w:pPr>
              <w:adjustRightInd w:val="0"/>
              <w:snapToGrid w:val="0"/>
              <w:rPr>
                <w:color w:val="auto"/>
                <w:sz w:val="21"/>
                <w:szCs w:val="21"/>
              </w:rPr>
            </w:pPr>
            <w:r>
              <w:rPr>
                <w:color w:val="auto"/>
                <w:sz w:val="21"/>
                <w:szCs w:val="21"/>
              </w:rPr>
              <w:t>水环境保护目标质量状况：达标□；不达标□</w:t>
            </w:r>
          </w:p>
          <w:p>
            <w:pPr>
              <w:adjustRightInd w:val="0"/>
              <w:snapToGrid w:val="0"/>
              <w:rPr>
                <w:color w:val="auto"/>
                <w:sz w:val="21"/>
                <w:szCs w:val="21"/>
              </w:rPr>
            </w:pPr>
            <w:r>
              <w:rPr>
                <w:color w:val="auto"/>
                <w:sz w:val="21"/>
                <w:szCs w:val="21"/>
              </w:rPr>
              <w:t>对照断面、控制断面等代表性断面的水质状况：达标□；不达标√</w:t>
            </w:r>
          </w:p>
          <w:p>
            <w:pPr>
              <w:adjustRightInd w:val="0"/>
              <w:snapToGrid w:val="0"/>
              <w:rPr>
                <w:color w:val="auto"/>
                <w:sz w:val="21"/>
                <w:szCs w:val="21"/>
              </w:rPr>
            </w:pPr>
            <w:r>
              <w:rPr>
                <w:color w:val="auto"/>
                <w:sz w:val="21"/>
                <w:szCs w:val="21"/>
              </w:rPr>
              <w:t>底泥污染评价□</w:t>
            </w:r>
          </w:p>
          <w:p>
            <w:pPr>
              <w:adjustRightInd w:val="0"/>
              <w:snapToGrid w:val="0"/>
              <w:rPr>
                <w:color w:val="auto"/>
                <w:sz w:val="21"/>
                <w:szCs w:val="21"/>
              </w:rPr>
            </w:pPr>
            <w:r>
              <w:rPr>
                <w:color w:val="auto"/>
                <w:sz w:val="21"/>
                <w:szCs w:val="21"/>
              </w:rPr>
              <w:t>水资源与开发利用程度及其水文情势评价□</w:t>
            </w:r>
          </w:p>
          <w:p>
            <w:pPr>
              <w:adjustRightInd w:val="0"/>
              <w:snapToGrid w:val="0"/>
              <w:rPr>
                <w:color w:val="auto"/>
                <w:sz w:val="21"/>
                <w:szCs w:val="21"/>
              </w:rPr>
            </w:pPr>
            <w:r>
              <w:rPr>
                <w:color w:val="auto"/>
                <w:sz w:val="21"/>
                <w:szCs w:val="21"/>
              </w:rPr>
              <w:t>水环境质量回顾性评价□</w:t>
            </w:r>
          </w:p>
          <w:p>
            <w:pPr>
              <w:adjustRightInd w:val="0"/>
              <w:snapToGrid w:val="0"/>
              <w:rPr>
                <w:color w:val="auto"/>
                <w:sz w:val="21"/>
                <w:szCs w:val="21"/>
              </w:rPr>
            </w:pPr>
            <w:r>
              <w:rPr>
                <w:color w:val="auto"/>
                <w:sz w:val="21"/>
                <w:szCs w:val="21"/>
              </w:rPr>
              <w:t>流域（区域）水资源（包括水能资源）与开发利用总体状况、生态流域管理要求与现状满足程度、建设项目占用水域空间的水流状况与河流演变状况□</w:t>
            </w:r>
          </w:p>
        </w:tc>
        <w:tc>
          <w:tcPr>
            <w:tcW w:w="1049" w:type="dxa"/>
            <w:shd w:val="clear" w:color="auto" w:fill="auto"/>
            <w:vAlign w:val="center"/>
          </w:tcPr>
          <w:p>
            <w:pPr>
              <w:adjustRightInd w:val="0"/>
              <w:snapToGrid w:val="0"/>
              <w:rPr>
                <w:color w:val="auto"/>
                <w:sz w:val="21"/>
                <w:szCs w:val="21"/>
              </w:rPr>
            </w:pPr>
            <w:r>
              <w:rPr>
                <w:color w:val="auto"/>
                <w:sz w:val="21"/>
                <w:szCs w:val="21"/>
              </w:rPr>
              <w:t>达标区□</w:t>
            </w:r>
          </w:p>
          <w:p>
            <w:pPr>
              <w:adjustRightInd w:val="0"/>
              <w:snapToGrid w:val="0"/>
              <w:rPr>
                <w:color w:val="auto"/>
                <w:sz w:val="21"/>
                <w:szCs w:val="21"/>
              </w:rPr>
            </w:pPr>
            <w:r>
              <w:rPr>
                <w:color w:val="auto"/>
                <w:sz w:val="21"/>
                <w:szCs w:val="21"/>
              </w:rPr>
              <w:t>不达标区√</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restart"/>
            <w:shd w:val="clear" w:color="auto" w:fill="auto"/>
            <w:vAlign w:val="center"/>
          </w:tcPr>
          <w:p>
            <w:pPr>
              <w:adjustRightInd w:val="0"/>
              <w:snapToGrid w:val="0"/>
              <w:ind w:firstLine="420"/>
              <w:jc w:val="center"/>
              <w:rPr>
                <w:color w:val="auto"/>
                <w:sz w:val="21"/>
                <w:szCs w:val="21"/>
              </w:rPr>
            </w:pPr>
            <w:r>
              <w:rPr>
                <w:color w:val="auto"/>
                <w:sz w:val="21"/>
                <w:szCs w:val="21"/>
              </w:rPr>
              <w:t>影</w:t>
            </w:r>
            <w:r>
              <w:rPr>
                <w:rFonts w:hint="eastAsia"/>
                <w:color w:val="auto"/>
                <w:sz w:val="21"/>
                <w:szCs w:val="21"/>
              </w:rPr>
              <w:t>影</w:t>
            </w:r>
            <w:r>
              <w:rPr>
                <w:color w:val="auto"/>
                <w:sz w:val="21"/>
                <w:szCs w:val="21"/>
              </w:rPr>
              <w:t>响预测</w:t>
            </w:r>
          </w:p>
        </w:tc>
        <w:tc>
          <w:tcPr>
            <w:tcW w:w="1950" w:type="dxa"/>
            <w:gridSpan w:val="2"/>
            <w:shd w:val="clear" w:color="auto" w:fill="auto"/>
            <w:vAlign w:val="center"/>
          </w:tcPr>
          <w:p>
            <w:pPr>
              <w:adjustRightInd w:val="0"/>
              <w:snapToGrid w:val="0"/>
              <w:ind w:firstLine="420"/>
              <w:rPr>
                <w:color w:val="auto"/>
                <w:sz w:val="21"/>
                <w:szCs w:val="21"/>
              </w:rPr>
            </w:pPr>
            <w:r>
              <w:rPr>
                <w:color w:val="auto"/>
                <w:sz w:val="21"/>
                <w:szCs w:val="21"/>
              </w:rPr>
              <w:t>预测范围</w:t>
            </w:r>
          </w:p>
        </w:tc>
        <w:tc>
          <w:tcPr>
            <w:tcW w:w="7286" w:type="dxa"/>
            <w:gridSpan w:val="11"/>
            <w:shd w:val="clear" w:color="auto" w:fill="auto"/>
            <w:vAlign w:val="center"/>
          </w:tcPr>
          <w:p>
            <w:pPr>
              <w:adjustRightInd w:val="0"/>
              <w:snapToGrid w:val="0"/>
              <w:ind w:firstLine="420"/>
              <w:rPr>
                <w:color w:val="auto"/>
                <w:sz w:val="21"/>
                <w:szCs w:val="21"/>
              </w:rPr>
            </w:pPr>
            <w:r>
              <w:rPr>
                <w:color w:val="auto"/>
                <w:sz w:val="21"/>
                <w:szCs w:val="21"/>
              </w:rPr>
              <w:t>河流：长度（）km；湖库、河口及近岸海域：面积（）km；</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shd w:val="clear" w:color="auto" w:fill="auto"/>
            <w:vAlign w:val="center"/>
          </w:tcPr>
          <w:p>
            <w:pPr>
              <w:adjustRightInd w:val="0"/>
              <w:snapToGrid w:val="0"/>
              <w:ind w:firstLine="420"/>
              <w:rPr>
                <w:color w:val="auto"/>
                <w:sz w:val="21"/>
                <w:szCs w:val="21"/>
              </w:rPr>
            </w:pPr>
            <w:r>
              <w:rPr>
                <w:color w:val="auto"/>
                <w:sz w:val="21"/>
                <w:szCs w:val="21"/>
              </w:rPr>
              <w:t>预测因子</w:t>
            </w:r>
          </w:p>
        </w:tc>
        <w:tc>
          <w:tcPr>
            <w:tcW w:w="7286" w:type="dxa"/>
            <w:gridSpan w:val="11"/>
            <w:shd w:val="clear" w:color="auto" w:fill="auto"/>
            <w:vAlign w:val="center"/>
          </w:tcPr>
          <w:p>
            <w:pPr>
              <w:adjustRightInd w:val="0"/>
              <w:snapToGrid w:val="0"/>
              <w:ind w:firstLine="420"/>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shd w:val="clear" w:color="auto" w:fill="auto"/>
            <w:vAlign w:val="center"/>
          </w:tcPr>
          <w:p>
            <w:pPr>
              <w:adjustRightInd w:val="0"/>
              <w:snapToGrid w:val="0"/>
              <w:ind w:firstLine="420"/>
              <w:rPr>
                <w:color w:val="auto"/>
                <w:sz w:val="21"/>
                <w:szCs w:val="21"/>
              </w:rPr>
            </w:pPr>
            <w:r>
              <w:rPr>
                <w:color w:val="auto"/>
                <w:sz w:val="21"/>
                <w:szCs w:val="21"/>
              </w:rPr>
              <w:t>预测时间</w:t>
            </w:r>
          </w:p>
        </w:tc>
        <w:tc>
          <w:tcPr>
            <w:tcW w:w="7286" w:type="dxa"/>
            <w:gridSpan w:val="11"/>
            <w:shd w:val="clear" w:color="auto" w:fill="auto"/>
            <w:vAlign w:val="center"/>
          </w:tcPr>
          <w:p>
            <w:pPr>
              <w:adjustRightInd w:val="0"/>
              <w:snapToGrid w:val="0"/>
              <w:ind w:firstLine="420"/>
              <w:jc w:val="center"/>
              <w:rPr>
                <w:color w:val="auto"/>
                <w:sz w:val="21"/>
                <w:szCs w:val="21"/>
              </w:rPr>
            </w:pPr>
            <w:r>
              <w:rPr>
                <w:color w:val="auto"/>
                <w:sz w:val="21"/>
                <w:szCs w:val="21"/>
              </w:rPr>
              <w:t>丰水期□；平水期□；枯水期□；冰封期□</w:t>
            </w:r>
          </w:p>
          <w:p>
            <w:pPr>
              <w:adjustRightInd w:val="0"/>
              <w:snapToGrid w:val="0"/>
              <w:ind w:firstLine="420"/>
              <w:jc w:val="center"/>
              <w:rPr>
                <w:color w:val="auto"/>
                <w:sz w:val="21"/>
                <w:szCs w:val="21"/>
              </w:rPr>
            </w:pPr>
            <w:r>
              <w:rPr>
                <w:color w:val="auto"/>
                <w:sz w:val="21"/>
                <w:szCs w:val="21"/>
              </w:rPr>
              <w:t>春季□；夏季□；秋季□；冬季□</w:t>
            </w:r>
          </w:p>
          <w:p>
            <w:pPr>
              <w:adjustRightInd w:val="0"/>
              <w:snapToGrid w:val="0"/>
              <w:ind w:firstLine="420"/>
              <w:jc w:val="center"/>
              <w:rPr>
                <w:color w:val="auto"/>
                <w:sz w:val="21"/>
                <w:szCs w:val="21"/>
              </w:rPr>
            </w:pPr>
            <w:r>
              <w:rPr>
                <w:color w:val="auto"/>
                <w:sz w:val="21"/>
                <w:szCs w:val="21"/>
              </w:rPr>
              <w:t>设计水文条件□</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shd w:val="clear" w:color="auto" w:fill="auto"/>
            <w:vAlign w:val="center"/>
          </w:tcPr>
          <w:p>
            <w:pPr>
              <w:adjustRightInd w:val="0"/>
              <w:snapToGrid w:val="0"/>
              <w:ind w:firstLine="420"/>
              <w:rPr>
                <w:color w:val="auto"/>
                <w:sz w:val="21"/>
                <w:szCs w:val="21"/>
              </w:rPr>
            </w:pPr>
            <w:r>
              <w:rPr>
                <w:color w:val="auto"/>
                <w:sz w:val="21"/>
                <w:szCs w:val="21"/>
              </w:rPr>
              <w:t>预测情景</w:t>
            </w:r>
          </w:p>
        </w:tc>
        <w:tc>
          <w:tcPr>
            <w:tcW w:w="7286" w:type="dxa"/>
            <w:gridSpan w:val="11"/>
            <w:shd w:val="clear" w:color="auto" w:fill="auto"/>
            <w:vAlign w:val="center"/>
          </w:tcPr>
          <w:p>
            <w:pPr>
              <w:adjustRightInd w:val="0"/>
              <w:snapToGrid w:val="0"/>
              <w:ind w:firstLine="1470" w:firstLineChars="700"/>
              <w:rPr>
                <w:color w:val="auto"/>
                <w:sz w:val="21"/>
                <w:szCs w:val="21"/>
              </w:rPr>
            </w:pPr>
            <w:r>
              <w:rPr>
                <w:color w:val="auto"/>
                <w:sz w:val="21"/>
                <w:szCs w:val="21"/>
              </w:rPr>
              <w:t>建设期□；生产运行期□；服务期满后□</w:t>
            </w:r>
          </w:p>
          <w:p>
            <w:pPr>
              <w:adjustRightInd w:val="0"/>
              <w:snapToGrid w:val="0"/>
              <w:ind w:firstLine="420"/>
              <w:jc w:val="center"/>
              <w:rPr>
                <w:color w:val="auto"/>
                <w:sz w:val="21"/>
                <w:szCs w:val="21"/>
              </w:rPr>
            </w:pPr>
            <w:r>
              <w:rPr>
                <w:color w:val="auto"/>
                <w:sz w:val="21"/>
                <w:szCs w:val="21"/>
              </w:rPr>
              <w:t>正常工况□；非正常工况□</w:t>
            </w:r>
          </w:p>
          <w:p>
            <w:pPr>
              <w:adjustRightInd w:val="0"/>
              <w:snapToGrid w:val="0"/>
              <w:ind w:firstLine="420"/>
              <w:jc w:val="center"/>
              <w:rPr>
                <w:color w:val="auto"/>
                <w:sz w:val="21"/>
                <w:szCs w:val="21"/>
              </w:rPr>
            </w:pPr>
            <w:r>
              <w:rPr>
                <w:color w:val="auto"/>
                <w:sz w:val="21"/>
                <w:szCs w:val="21"/>
              </w:rPr>
              <w:t>污染控制和减缓措施方案□</w:t>
            </w:r>
          </w:p>
          <w:p>
            <w:pPr>
              <w:adjustRightInd w:val="0"/>
              <w:snapToGrid w:val="0"/>
              <w:ind w:firstLine="420"/>
              <w:jc w:val="center"/>
              <w:rPr>
                <w:color w:val="auto"/>
                <w:sz w:val="21"/>
                <w:szCs w:val="21"/>
              </w:rPr>
            </w:pPr>
            <w:r>
              <w:rPr>
                <w:color w:val="auto"/>
                <w:sz w:val="21"/>
                <w:szCs w:val="21"/>
              </w:rPr>
              <w:t>区（流）域环境质量改善目标要求情景□</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shd w:val="clear" w:color="auto" w:fill="auto"/>
            <w:vAlign w:val="center"/>
          </w:tcPr>
          <w:p>
            <w:pPr>
              <w:adjustRightInd w:val="0"/>
              <w:snapToGrid w:val="0"/>
              <w:ind w:firstLine="420"/>
              <w:rPr>
                <w:color w:val="auto"/>
                <w:sz w:val="21"/>
                <w:szCs w:val="21"/>
              </w:rPr>
            </w:pPr>
            <w:r>
              <w:rPr>
                <w:color w:val="auto"/>
                <w:sz w:val="21"/>
                <w:szCs w:val="21"/>
              </w:rPr>
              <w:t>预测方法</w:t>
            </w:r>
          </w:p>
        </w:tc>
        <w:tc>
          <w:tcPr>
            <w:tcW w:w="7286" w:type="dxa"/>
            <w:gridSpan w:val="11"/>
            <w:shd w:val="clear" w:color="auto" w:fill="auto"/>
            <w:vAlign w:val="center"/>
          </w:tcPr>
          <w:p>
            <w:pPr>
              <w:adjustRightInd w:val="0"/>
              <w:snapToGrid w:val="0"/>
              <w:ind w:firstLine="420"/>
              <w:jc w:val="center"/>
              <w:rPr>
                <w:color w:val="auto"/>
                <w:sz w:val="21"/>
                <w:szCs w:val="21"/>
              </w:rPr>
            </w:pPr>
            <w:r>
              <w:rPr>
                <w:color w:val="auto"/>
                <w:sz w:val="21"/>
                <w:szCs w:val="21"/>
              </w:rPr>
              <w:t>数值解□；解析解□；其他□</w:t>
            </w:r>
          </w:p>
          <w:p>
            <w:pPr>
              <w:adjustRightInd w:val="0"/>
              <w:snapToGrid w:val="0"/>
              <w:ind w:firstLine="420"/>
              <w:jc w:val="center"/>
              <w:rPr>
                <w:color w:val="auto"/>
                <w:sz w:val="21"/>
                <w:szCs w:val="21"/>
              </w:rPr>
            </w:pPr>
            <w:r>
              <w:rPr>
                <w:color w:val="auto"/>
                <w:sz w:val="21"/>
                <w:szCs w:val="21"/>
              </w:rPr>
              <w:t>导则推荐模式□；其他□</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restart"/>
            <w:shd w:val="clear" w:color="auto" w:fill="auto"/>
            <w:vAlign w:val="center"/>
          </w:tcPr>
          <w:p>
            <w:pPr>
              <w:adjustRightInd w:val="0"/>
              <w:snapToGrid w:val="0"/>
              <w:rPr>
                <w:color w:val="auto"/>
                <w:sz w:val="21"/>
                <w:szCs w:val="21"/>
              </w:rPr>
            </w:pPr>
            <w:r>
              <w:rPr>
                <w:color w:val="auto"/>
                <w:sz w:val="21"/>
                <w:szCs w:val="21"/>
              </w:rPr>
              <w:t>影响评价</w:t>
            </w:r>
          </w:p>
        </w:tc>
        <w:tc>
          <w:tcPr>
            <w:tcW w:w="1950" w:type="dxa"/>
            <w:gridSpan w:val="2"/>
            <w:shd w:val="clear" w:color="auto" w:fill="auto"/>
            <w:vAlign w:val="center"/>
          </w:tcPr>
          <w:p>
            <w:pPr>
              <w:adjustRightInd w:val="0"/>
              <w:snapToGrid w:val="0"/>
              <w:jc w:val="center"/>
              <w:rPr>
                <w:color w:val="auto"/>
                <w:sz w:val="21"/>
                <w:szCs w:val="21"/>
              </w:rPr>
            </w:pPr>
            <w:r>
              <w:rPr>
                <w:color w:val="auto"/>
                <w:sz w:val="21"/>
                <w:szCs w:val="21"/>
              </w:rPr>
              <w:t>水污染控制和水环境影响减缓措施有效性评价</w:t>
            </w:r>
          </w:p>
        </w:tc>
        <w:tc>
          <w:tcPr>
            <w:tcW w:w="7286" w:type="dxa"/>
            <w:gridSpan w:val="11"/>
            <w:shd w:val="clear" w:color="auto" w:fill="auto"/>
            <w:vAlign w:val="center"/>
          </w:tcPr>
          <w:p>
            <w:pPr>
              <w:adjustRightInd w:val="0"/>
              <w:snapToGrid w:val="0"/>
              <w:ind w:firstLine="420"/>
              <w:jc w:val="center"/>
              <w:rPr>
                <w:color w:val="auto"/>
                <w:sz w:val="21"/>
                <w:szCs w:val="21"/>
              </w:rPr>
            </w:pPr>
            <w:r>
              <w:rPr>
                <w:color w:val="auto"/>
                <w:sz w:val="21"/>
                <w:szCs w:val="21"/>
              </w:rPr>
              <w:t>区（流）域环境质量改善目标√；替代削减源□</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shd w:val="clear" w:color="auto" w:fill="auto"/>
            <w:vAlign w:val="center"/>
          </w:tcPr>
          <w:p>
            <w:pPr>
              <w:adjustRightInd w:val="0"/>
              <w:snapToGrid w:val="0"/>
              <w:jc w:val="center"/>
              <w:rPr>
                <w:color w:val="auto"/>
                <w:sz w:val="21"/>
                <w:szCs w:val="21"/>
              </w:rPr>
            </w:pPr>
            <w:r>
              <w:rPr>
                <w:color w:val="auto"/>
                <w:sz w:val="21"/>
                <w:szCs w:val="21"/>
              </w:rPr>
              <w:t>水环境影响评价</w:t>
            </w:r>
          </w:p>
        </w:tc>
        <w:tc>
          <w:tcPr>
            <w:tcW w:w="7286" w:type="dxa"/>
            <w:gridSpan w:val="11"/>
            <w:shd w:val="clear" w:color="auto" w:fill="auto"/>
            <w:vAlign w:val="center"/>
          </w:tcPr>
          <w:p>
            <w:pPr>
              <w:adjustRightInd w:val="0"/>
              <w:snapToGrid w:val="0"/>
              <w:ind w:firstLine="420"/>
              <w:jc w:val="center"/>
              <w:rPr>
                <w:color w:val="auto"/>
                <w:sz w:val="21"/>
                <w:szCs w:val="21"/>
              </w:rPr>
            </w:pPr>
            <w:r>
              <w:rPr>
                <w:color w:val="auto"/>
                <w:sz w:val="21"/>
                <w:szCs w:val="21"/>
              </w:rPr>
              <w:t>排放口混合区外满足水环境管理要求□</w:t>
            </w:r>
          </w:p>
          <w:p>
            <w:pPr>
              <w:adjustRightInd w:val="0"/>
              <w:snapToGrid w:val="0"/>
              <w:ind w:firstLine="420"/>
              <w:jc w:val="center"/>
              <w:rPr>
                <w:color w:val="auto"/>
                <w:sz w:val="21"/>
                <w:szCs w:val="21"/>
              </w:rPr>
            </w:pPr>
            <w:r>
              <w:rPr>
                <w:color w:val="auto"/>
                <w:sz w:val="21"/>
                <w:szCs w:val="21"/>
              </w:rPr>
              <w:t>水环境功能区或水功能区、近岸海域环境功能区水质达标□</w:t>
            </w:r>
          </w:p>
          <w:p>
            <w:pPr>
              <w:adjustRightInd w:val="0"/>
              <w:snapToGrid w:val="0"/>
              <w:ind w:firstLine="420"/>
              <w:jc w:val="center"/>
              <w:rPr>
                <w:color w:val="auto"/>
                <w:sz w:val="21"/>
                <w:szCs w:val="21"/>
              </w:rPr>
            </w:pPr>
            <w:r>
              <w:rPr>
                <w:color w:val="auto"/>
                <w:sz w:val="21"/>
                <w:szCs w:val="21"/>
              </w:rPr>
              <w:t>满足水环境保护目标水域水环境质量要求□</w:t>
            </w:r>
          </w:p>
          <w:p>
            <w:pPr>
              <w:adjustRightInd w:val="0"/>
              <w:snapToGrid w:val="0"/>
              <w:ind w:firstLine="420"/>
              <w:jc w:val="center"/>
              <w:rPr>
                <w:color w:val="auto"/>
                <w:sz w:val="21"/>
                <w:szCs w:val="21"/>
              </w:rPr>
            </w:pPr>
            <w:r>
              <w:rPr>
                <w:color w:val="auto"/>
                <w:sz w:val="21"/>
                <w:szCs w:val="21"/>
              </w:rPr>
              <w:t>满足重点水污染物排放总量控制指标要求、重点行业建设项目要求，主要污染物排放满足等量或减量替代要求□</w:t>
            </w:r>
          </w:p>
          <w:p>
            <w:pPr>
              <w:adjustRightInd w:val="0"/>
              <w:snapToGrid w:val="0"/>
              <w:ind w:firstLine="420"/>
              <w:jc w:val="center"/>
              <w:rPr>
                <w:color w:val="auto"/>
                <w:sz w:val="21"/>
                <w:szCs w:val="21"/>
              </w:rPr>
            </w:pPr>
            <w:r>
              <w:rPr>
                <w:color w:val="auto"/>
                <w:sz w:val="21"/>
                <w:szCs w:val="21"/>
              </w:rPr>
              <w:t>满足区（流）域环境质量改善目标要求□</w:t>
            </w:r>
          </w:p>
          <w:p>
            <w:pPr>
              <w:adjustRightInd w:val="0"/>
              <w:snapToGrid w:val="0"/>
              <w:ind w:firstLine="420"/>
              <w:jc w:val="center"/>
              <w:rPr>
                <w:color w:val="auto"/>
                <w:sz w:val="21"/>
                <w:szCs w:val="21"/>
              </w:rPr>
            </w:pPr>
            <w:r>
              <w:rPr>
                <w:color w:val="auto"/>
                <w:sz w:val="21"/>
                <w:szCs w:val="21"/>
              </w:rPr>
              <w:t>水文要素影响型建设项目同时应包括水文情势变化评价、主要水文特征值影响评价、生态流量符合性评价□</w:t>
            </w:r>
          </w:p>
          <w:p>
            <w:pPr>
              <w:adjustRightInd w:val="0"/>
              <w:snapToGrid w:val="0"/>
              <w:ind w:firstLine="420"/>
              <w:jc w:val="center"/>
              <w:rPr>
                <w:color w:val="auto"/>
                <w:sz w:val="21"/>
                <w:szCs w:val="21"/>
              </w:rPr>
            </w:pPr>
            <w:r>
              <w:rPr>
                <w:color w:val="auto"/>
                <w:sz w:val="21"/>
                <w:szCs w:val="21"/>
              </w:rPr>
              <w:t>对于新设或调整入河（湖库、近岸海域）排放口的建设项目，应包括排放口设置的环境合理性评价□</w:t>
            </w:r>
          </w:p>
          <w:p>
            <w:pPr>
              <w:adjustRightInd w:val="0"/>
              <w:snapToGrid w:val="0"/>
              <w:ind w:firstLine="420"/>
              <w:jc w:val="center"/>
              <w:rPr>
                <w:color w:val="auto"/>
                <w:sz w:val="21"/>
                <w:szCs w:val="21"/>
              </w:rPr>
            </w:pPr>
            <w:r>
              <w:rPr>
                <w:color w:val="auto"/>
                <w:sz w:val="21"/>
                <w:szCs w:val="21"/>
              </w:rPr>
              <w:t>满足生态保护红线、水环境质量底线、资源利用上线和环境准入清单管理要求√</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vMerge w:val="restart"/>
            <w:shd w:val="clear" w:color="auto" w:fill="auto"/>
            <w:vAlign w:val="center"/>
          </w:tcPr>
          <w:p>
            <w:pPr>
              <w:adjustRightInd w:val="0"/>
              <w:snapToGrid w:val="0"/>
              <w:rPr>
                <w:color w:val="auto"/>
                <w:sz w:val="21"/>
                <w:szCs w:val="21"/>
              </w:rPr>
            </w:pPr>
            <w:r>
              <w:rPr>
                <w:color w:val="auto"/>
                <w:sz w:val="21"/>
                <w:szCs w:val="21"/>
              </w:rPr>
              <w:t>污染源排放量核算</w:t>
            </w:r>
          </w:p>
        </w:tc>
        <w:tc>
          <w:tcPr>
            <w:tcW w:w="1276" w:type="dxa"/>
            <w:shd w:val="clear" w:color="auto" w:fill="auto"/>
            <w:vAlign w:val="center"/>
          </w:tcPr>
          <w:p>
            <w:pPr>
              <w:adjustRightInd w:val="0"/>
              <w:snapToGrid w:val="0"/>
              <w:rPr>
                <w:color w:val="auto"/>
                <w:sz w:val="21"/>
                <w:szCs w:val="21"/>
              </w:rPr>
            </w:pPr>
            <w:r>
              <w:rPr>
                <w:color w:val="auto"/>
                <w:sz w:val="21"/>
                <w:szCs w:val="21"/>
              </w:rPr>
              <w:t>污染源名称</w:t>
            </w:r>
          </w:p>
        </w:tc>
        <w:tc>
          <w:tcPr>
            <w:tcW w:w="2977" w:type="dxa"/>
            <w:gridSpan w:val="5"/>
            <w:shd w:val="clear" w:color="auto" w:fill="auto"/>
            <w:vAlign w:val="center"/>
          </w:tcPr>
          <w:p>
            <w:pPr>
              <w:adjustRightInd w:val="0"/>
              <w:snapToGrid w:val="0"/>
              <w:jc w:val="center"/>
              <w:rPr>
                <w:color w:val="auto"/>
                <w:sz w:val="21"/>
                <w:szCs w:val="21"/>
              </w:rPr>
            </w:pPr>
            <w:r>
              <w:rPr>
                <w:color w:val="auto"/>
                <w:sz w:val="21"/>
                <w:szCs w:val="21"/>
              </w:rPr>
              <w:t>排放量（t/a）</w:t>
            </w:r>
          </w:p>
        </w:tc>
        <w:tc>
          <w:tcPr>
            <w:tcW w:w="3033" w:type="dxa"/>
            <w:gridSpan w:val="5"/>
            <w:shd w:val="clear" w:color="auto" w:fill="auto"/>
            <w:vAlign w:val="center"/>
          </w:tcPr>
          <w:p>
            <w:pPr>
              <w:adjustRightInd w:val="0"/>
              <w:snapToGrid w:val="0"/>
              <w:ind w:firstLine="420"/>
              <w:jc w:val="center"/>
              <w:rPr>
                <w:color w:val="auto"/>
                <w:sz w:val="21"/>
                <w:szCs w:val="21"/>
              </w:rPr>
            </w:pPr>
            <w:r>
              <w:rPr>
                <w:color w:val="auto"/>
                <w:sz w:val="21"/>
                <w:szCs w:val="21"/>
              </w:rPr>
              <w:t>排放浓度（mg/L）</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vMerge w:val="continue"/>
            <w:shd w:val="clear" w:color="auto" w:fill="auto"/>
            <w:vAlign w:val="center"/>
          </w:tcPr>
          <w:p>
            <w:pPr>
              <w:adjustRightInd w:val="0"/>
              <w:snapToGrid w:val="0"/>
              <w:ind w:firstLine="420"/>
              <w:jc w:val="center"/>
              <w:rPr>
                <w:color w:val="auto"/>
                <w:sz w:val="21"/>
                <w:szCs w:val="21"/>
              </w:rPr>
            </w:pPr>
          </w:p>
        </w:tc>
        <w:tc>
          <w:tcPr>
            <w:tcW w:w="1276" w:type="dxa"/>
            <w:shd w:val="clear" w:color="auto" w:fill="auto"/>
            <w:vAlign w:val="center"/>
          </w:tcPr>
          <w:p>
            <w:pPr>
              <w:adjustRightInd w:val="0"/>
              <w:snapToGrid w:val="0"/>
              <w:rPr>
                <w:color w:val="auto"/>
                <w:sz w:val="21"/>
                <w:szCs w:val="21"/>
              </w:rPr>
            </w:pPr>
            <w:r>
              <w:rPr>
                <w:color w:val="auto"/>
                <w:sz w:val="21"/>
                <w:szCs w:val="21"/>
              </w:rPr>
              <w:t>（COD</w:t>
            </w:r>
            <w:r>
              <w:rPr>
                <w:color w:val="auto"/>
                <w:sz w:val="21"/>
                <w:szCs w:val="21"/>
                <w:vertAlign w:val="subscript"/>
              </w:rPr>
              <w:t>Cr</w:t>
            </w:r>
            <w:r>
              <w:rPr>
                <w:color w:val="auto"/>
                <w:sz w:val="21"/>
                <w:szCs w:val="21"/>
              </w:rPr>
              <w:t>）</w:t>
            </w:r>
          </w:p>
        </w:tc>
        <w:tc>
          <w:tcPr>
            <w:tcW w:w="2977" w:type="dxa"/>
            <w:gridSpan w:val="5"/>
            <w:shd w:val="clear" w:color="auto" w:fill="auto"/>
            <w:vAlign w:val="center"/>
          </w:tcPr>
          <w:p>
            <w:pPr>
              <w:adjustRightInd w:val="0"/>
              <w:snapToGrid w:val="0"/>
              <w:jc w:val="center"/>
              <w:rPr>
                <w:color w:val="auto"/>
                <w:sz w:val="21"/>
                <w:szCs w:val="21"/>
              </w:rPr>
            </w:pPr>
            <w:r>
              <w:rPr>
                <w:color w:val="auto"/>
                <w:sz w:val="21"/>
                <w:szCs w:val="21"/>
              </w:rPr>
              <w:t>（0）</w:t>
            </w:r>
          </w:p>
        </w:tc>
        <w:tc>
          <w:tcPr>
            <w:tcW w:w="3033" w:type="dxa"/>
            <w:gridSpan w:val="5"/>
            <w:shd w:val="clear" w:color="auto" w:fill="auto"/>
            <w:vAlign w:val="center"/>
          </w:tcPr>
          <w:p>
            <w:pPr>
              <w:adjustRightInd w:val="0"/>
              <w:snapToGrid w:val="0"/>
              <w:jc w:val="center"/>
              <w:rPr>
                <w:color w:val="auto"/>
                <w:sz w:val="21"/>
                <w:szCs w:val="21"/>
              </w:rPr>
            </w:pPr>
            <w:r>
              <w:rPr>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60" w:hRule="atLeast"/>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vMerge w:val="continue"/>
            <w:shd w:val="clear" w:color="auto" w:fill="auto"/>
            <w:vAlign w:val="center"/>
          </w:tcPr>
          <w:p>
            <w:pPr>
              <w:adjustRightInd w:val="0"/>
              <w:snapToGrid w:val="0"/>
              <w:ind w:firstLine="420"/>
              <w:jc w:val="center"/>
              <w:rPr>
                <w:color w:val="auto"/>
                <w:sz w:val="21"/>
                <w:szCs w:val="21"/>
              </w:rPr>
            </w:pPr>
          </w:p>
        </w:tc>
        <w:tc>
          <w:tcPr>
            <w:tcW w:w="1276" w:type="dxa"/>
            <w:shd w:val="clear" w:color="auto" w:fill="auto"/>
            <w:vAlign w:val="center"/>
          </w:tcPr>
          <w:p>
            <w:pPr>
              <w:adjustRightInd w:val="0"/>
              <w:snapToGrid w:val="0"/>
              <w:rPr>
                <w:color w:val="auto"/>
                <w:sz w:val="21"/>
                <w:szCs w:val="21"/>
              </w:rPr>
            </w:pPr>
            <w:r>
              <w:rPr>
                <w:color w:val="auto"/>
                <w:sz w:val="21"/>
                <w:szCs w:val="21"/>
              </w:rPr>
              <w:t>（NH</w:t>
            </w:r>
            <w:r>
              <w:rPr>
                <w:color w:val="auto"/>
                <w:sz w:val="21"/>
                <w:szCs w:val="21"/>
                <w:vertAlign w:val="subscript"/>
              </w:rPr>
              <w:t>3</w:t>
            </w:r>
            <w:r>
              <w:rPr>
                <w:color w:val="auto"/>
                <w:sz w:val="21"/>
                <w:szCs w:val="21"/>
              </w:rPr>
              <w:t>-N）</w:t>
            </w:r>
          </w:p>
        </w:tc>
        <w:tc>
          <w:tcPr>
            <w:tcW w:w="2977" w:type="dxa"/>
            <w:gridSpan w:val="5"/>
            <w:shd w:val="clear" w:color="auto" w:fill="auto"/>
            <w:vAlign w:val="center"/>
          </w:tcPr>
          <w:p>
            <w:pPr>
              <w:adjustRightInd w:val="0"/>
              <w:snapToGrid w:val="0"/>
              <w:jc w:val="center"/>
              <w:rPr>
                <w:color w:val="auto"/>
                <w:sz w:val="21"/>
                <w:szCs w:val="21"/>
              </w:rPr>
            </w:pPr>
            <w:r>
              <w:rPr>
                <w:color w:val="auto"/>
                <w:sz w:val="21"/>
                <w:szCs w:val="21"/>
              </w:rPr>
              <w:t>（0）</w:t>
            </w:r>
          </w:p>
        </w:tc>
        <w:tc>
          <w:tcPr>
            <w:tcW w:w="3033" w:type="dxa"/>
            <w:gridSpan w:val="5"/>
            <w:shd w:val="clear" w:color="auto" w:fill="auto"/>
            <w:vAlign w:val="center"/>
          </w:tcPr>
          <w:p>
            <w:pPr>
              <w:adjustRightInd w:val="0"/>
              <w:snapToGrid w:val="0"/>
              <w:jc w:val="center"/>
              <w:rPr>
                <w:color w:val="auto"/>
                <w:sz w:val="21"/>
                <w:szCs w:val="21"/>
              </w:rPr>
            </w:pPr>
            <w:r>
              <w:rPr>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vMerge w:val="restart"/>
            <w:shd w:val="clear" w:color="auto" w:fill="auto"/>
            <w:vAlign w:val="center"/>
          </w:tcPr>
          <w:p>
            <w:pPr>
              <w:adjustRightInd w:val="0"/>
              <w:snapToGrid w:val="0"/>
              <w:jc w:val="center"/>
              <w:rPr>
                <w:color w:val="auto"/>
                <w:sz w:val="21"/>
                <w:szCs w:val="21"/>
              </w:rPr>
            </w:pPr>
            <w:r>
              <w:rPr>
                <w:color w:val="auto"/>
                <w:sz w:val="21"/>
                <w:szCs w:val="21"/>
              </w:rPr>
              <w:t>替代源排放情况</w:t>
            </w:r>
          </w:p>
        </w:tc>
        <w:tc>
          <w:tcPr>
            <w:tcW w:w="1276" w:type="dxa"/>
            <w:shd w:val="clear" w:color="auto" w:fill="auto"/>
            <w:vAlign w:val="center"/>
          </w:tcPr>
          <w:p>
            <w:pPr>
              <w:adjustRightInd w:val="0"/>
              <w:snapToGrid w:val="0"/>
              <w:rPr>
                <w:color w:val="auto"/>
                <w:sz w:val="21"/>
                <w:szCs w:val="21"/>
              </w:rPr>
            </w:pPr>
            <w:r>
              <w:rPr>
                <w:color w:val="auto"/>
                <w:sz w:val="21"/>
                <w:szCs w:val="21"/>
              </w:rPr>
              <w:t>污染源名称</w:t>
            </w:r>
          </w:p>
        </w:tc>
        <w:tc>
          <w:tcPr>
            <w:tcW w:w="1701" w:type="dxa"/>
            <w:gridSpan w:val="3"/>
            <w:shd w:val="clear" w:color="auto" w:fill="auto"/>
            <w:vAlign w:val="center"/>
          </w:tcPr>
          <w:p>
            <w:pPr>
              <w:adjustRightInd w:val="0"/>
              <w:snapToGrid w:val="0"/>
              <w:rPr>
                <w:color w:val="auto"/>
                <w:sz w:val="21"/>
                <w:szCs w:val="21"/>
              </w:rPr>
            </w:pPr>
            <w:r>
              <w:rPr>
                <w:color w:val="auto"/>
                <w:sz w:val="21"/>
                <w:szCs w:val="21"/>
              </w:rPr>
              <w:t>排污许可证编号</w:t>
            </w:r>
          </w:p>
        </w:tc>
        <w:tc>
          <w:tcPr>
            <w:tcW w:w="1276" w:type="dxa"/>
            <w:gridSpan w:val="2"/>
            <w:shd w:val="clear" w:color="auto" w:fill="auto"/>
            <w:vAlign w:val="center"/>
          </w:tcPr>
          <w:p>
            <w:pPr>
              <w:adjustRightInd w:val="0"/>
              <w:snapToGrid w:val="0"/>
              <w:rPr>
                <w:color w:val="auto"/>
                <w:sz w:val="21"/>
                <w:szCs w:val="21"/>
              </w:rPr>
            </w:pPr>
            <w:r>
              <w:rPr>
                <w:color w:val="auto"/>
                <w:sz w:val="21"/>
                <w:szCs w:val="21"/>
              </w:rPr>
              <w:t>污染物名称</w:t>
            </w:r>
          </w:p>
        </w:tc>
        <w:tc>
          <w:tcPr>
            <w:tcW w:w="1417" w:type="dxa"/>
            <w:gridSpan w:val="2"/>
            <w:shd w:val="clear" w:color="auto" w:fill="auto"/>
            <w:vAlign w:val="center"/>
          </w:tcPr>
          <w:p>
            <w:pPr>
              <w:adjustRightInd w:val="0"/>
              <w:snapToGrid w:val="0"/>
              <w:rPr>
                <w:color w:val="auto"/>
                <w:sz w:val="21"/>
                <w:szCs w:val="21"/>
              </w:rPr>
            </w:pPr>
            <w:r>
              <w:rPr>
                <w:color w:val="auto"/>
                <w:sz w:val="21"/>
                <w:szCs w:val="21"/>
              </w:rPr>
              <w:t>排放量（t/a）</w:t>
            </w:r>
          </w:p>
        </w:tc>
        <w:tc>
          <w:tcPr>
            <w:tcW w:w="1616" w:type="dxa"/>
            <w:gridSpan w:val="3"/>
            <w:shd w:val="clear" w:color="auto" w:fill="auto"/>
            <w:vAlign w:val="center"/>
          </w:tcPr>
          <w:p>
            <w:pPr>
              <w:adjustRightInd w:val="0"/>
              <w:snapToGrid w:val="0"/>
              <w:rPr>
                <w:color w:val="auto"/>
                <w:sz w:val="21"/>
                <w:szCs w:val="21"/>
              </w:rPr>
            </w:pPr>
            <w:r>
              <w:rPr>
                <w:color w:val="auto"/>
                <w:sz w:val="21"/>
                <w:szCs w:val="21"/>
              </w:rPr>
              <w:t>排放浓度（mg/L）</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60" w:hRule="atLeast"/>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vMerge w:val="continue"/>
            <w:shd w:val="clear" w:color="auto" w:fill="auto"/>
            <w:vAlign w:val="center"/>
          </w:tcPr>
          <w:p>
            <w:pPr>
              <w:adjustRightInd w:val="0"/>
              <w:snapToGrid w:val="0"/>
              <w:ind w:firstLine="420"/>
              <w:jc w:val="center"/>
              <w:rPr>
                <w:color w:val="auto"/>
                <w:sz w:val="21"/>
                <w:szCs w:val="21"/>
              </w:rPr>
            </w:pPr>
          </w:p>
        </w:tc>
        <w:tc>
          <w:tcPr>
            <w:tcW w:w="1276" w:type="dxa"/>
            <w:shd w:val="clear" w:color="auto" w:fill="auto"/>
            <w:vAlign w:val="center"/>
          </w:tcPr>
          <w:p>
            <w:pPr>
              <w:adjustRightInd w:val="0"/>
              <w:snapToGrid w:val="0"/>
              <w:jc w:val="center"/>
              <w:rPr>
                <w:color w:val="auto"/>
                <w:sz w:val="21"/>
                <w:szCs w:val="21"/>
              </w:rPr>
            </w:pPr>
            <w:r>
              <w:rPr>
                <w:color w:val="auto"/>
                <w:sz w:val="21"/>
                <w:szCs w:val="21"/>
              </w:rPr>
              <w:t>（）</w:t>
            </w:r>
          </w:p>
        </w:tc>
        <w:tc>
          <w:tcPr>
            <w:tcW w:w="1701" w:type="dxa"/>
            <w:gridSpan w:val="3"/>
            <w:shd w:val="clear" w:color="auto" w:fill="auto"/>
            <w:vAlign w:val="center"/>
          </w:tcPr>
          <w:p>
            <w:pPr>
              <w:adjustRightInd w:val="0"/>
              <w:snapToGrid w:val="0"/>
              <w:jc w:val="center"/>
              <w:rPr>
                <w:color w:val="auto"/>
                <w:sz w:val="21"/>
                <w:szCs w:val="21"/>
              </w:rPr>
            </w:pPr>
            <w:r>
              <w:rPr>
                <w:color w:val="auto"/>
                <w:sz w:val="21"/>
                <w:szCs w:val="21"/>
              </w:rPr>
              <w:t>（）</w:t>
            </w:r>
          </w:p>
        </w:tc>
        <w:tc>
          <w:tcPr>
            <w:tcW w:w="1276" w:type="dxa"/>
            <w:gridSpan w:val="2"/>
            <w:shd w:val="clear" w:color="auto" w:fill="auto"/>
            <w:vAlign w:val="center"/>
          </w:tcPr>
          <w:p>
            <w:pPr>
              <w:adjustRightInd w:val="0"/>
              <w:snapToGrid w:val="0"/>
              <w:jc w:val="center"/>
              <w:rPr>
                <w:color w:val="auto"/>
                <w:sz w:val="21"/>
                <w:szCs w:val="21"/>
              </w:rPr>
            </w:pPr>
            <w:r>
              <w:rPr>
                <w:color w:val="auto"/>
                <w:sz w:val="21"/>
                <w:szCs w:val="21"/>
              </w:rPr>
              <w:t>（）</w:t>
            </w:r>
          </w:p>
        </w:tc>
        <w:tc>
          <w:tcPr>
            <w:tcW w:w="1417" w:type="dxa"/>
            <w:gridSpan w:val="2"/>
            <w:shd w:val="clear" w:color="auto" w:fill="auto"/>
            <w:vAlign w:val="center"/>
          </w:tcPr>
          <w:p>
            <w:pPr>
              <w:adjustRightInd w:val="0"/>
              <w:snapToGrid w:val="0"/>
              <w:jc w:val="center"/>
              <w:rPr>
                <w:color w:val="auto"/>
                <w:sz w:val="21"/>
                <w:szCs w:val="21"/>
              </w:rPr>
            </w:pPr>
            <w:r>
              <w:rPr>
                <w:color w:val="auto"/>
                <w:sz w:val="21"/>
                <w:szCs w:val="21"/>
              </w:rPr>
              <w:t>（）</w:t>
            </w:r>
          </w:p>
        </w:tc>
        <w:tc>
          <w:tcPr>
            <w:tcW w:w="1616" w:type="dxa"/>
            <w:gridSpan w:val="3"/>
            <w:shd w:val="clear" w:color="auto" w:fill="auto"/>
            <w:vAlign w:val="center"/>
          </w:tcPr>
          <w:p>
            <w:pPr>
              <w:adjustRightInd w:val="0"/>
              <w:snapToGrid w:val="0"/>
              <w:jc w:val="center"/>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shd w:val="clear" w:color="auto" w:fill="auto"/>
            <w:vAlign w:val="center"/>
          </w:tcPr>
          <w:p>
            <w:pPr>
              <w:adjustRightInd w:val="0"/>
              <w:snapToGrid w:val="0"/>
              <w:jc w:val="center"/>
              <w:rPr>
                <w:color w:val="auto"/>
                <w:sz w:val="21"/>
                <w:szCs w:val="21"/>
              </w:rPr>
            </w:pPr>
            <w:r>
              <w:rPr>
                <w:color w:val="auto"/>
                <w:sz w:val="21"/>
                <w:szCs w:val="21"/>
              </w:rPr>
              <w:t>生态流量确定</w:t>
            </w:r>
          </w:p>
        </w:tc>
        <w:tc>
          <w:tcPr>
            <w:tcW w:w="7286" w:type="dxa"/>
            <w:gridSpan w:val="11"/>
            <w:shd w:val="clear" w:color="auto" w:fill="auto"/>
            <w:vAlign w:val="center"/>
          </w:tcPr>
          <w:p>
            <w:pPr>
              <w:adjustRightInd w:val="0"/>
              <w:snapToGrid w:val="0"/>
              <w:ind w:firstLine="420"/>
              <w:jc w:val="center"/>
              <w:rPr>
                <w:color w:val="auto"/>
                <w:sz w:val="21"/>
                <w:szCs w:val="21"/>
              </w:rPr>
            </w:pPr>
            <w:r>
              <w:rPr>
                <w:color w:val="auto"/>
                <w:sz w:val="21"/>
                <w:szCs w:val="21"/>
              </w:rPr>
              <w:t>生态流量：一般水期（）m</w:t>
            </w:r>
            <w:r>
              <w:rPr>
                <w:color w:val="auto"/>
                <w:sz w:val="21"/>
                <w:szCs w:val="21"/>
                <w:vertAlign w:val="superscript"/>
              </w:rPr>
              <w:t>3</w:t>
            </w:r>
            <w:r>
              <w:rPr>
                <w:color w:val="auto"/>
                <w:sz w:val="21"/>
                <w:szCs w:val="21"/>
              </w:rPr>
              <w:t>/s；鱼类繁殖期（）m</w:t>
            </w:r>
            <w:r>
              <w:rPr>
                <w:color w:val="auto"/>
                <w:sz w:val="21"/>
                <w:szCs w:val="21"/>
                <w:vertAlign w:val="superscript"/>
              </w:rPr>
              <w:t>3</w:t>
            </w:r>
            <w:r>
              <w:rPr>
                <w:color w:val="auto"/>
                <w:sz w:val="21"/>
                <w:szCs w:val="21"/>
              </w:rPr>
              <w:t>/s；其他（）m</w:t>
            </w:r>
            <w:r>
              <w:rPr>
                <w:color w:val="auto"/>
                <w:sz w:val="21"/>
                <w:szCs w:val="21"/>
                <w:vertAlign w:val="superscript"/>
              </w:rPr>
              <w:t>3</w:t>
            </w:r>
            <w:r>
              <w:rPr>
                <w:color w:val="auto"/>
                <w:sz w:val="21"/>
                <w:szCs w:val="21"/>
              </w:rPr>
              <w:t>/s</w:t>
            </w:r>
          </w:p>
          <w:p>
            <w:pPr>
              <w:adjustRightInd w:val="0"/>
              <w:snapToGrid w:val="0"/>
              <w:ind w:firstLine="420"/>
              <w:jc w:val="center"/>
              <w:rPr>
                <w:color w:val="auto"/>
                <w:sz w:val="21"/>
                <w:szCs w:val="21"/>
              </w:rPr>
            </w:pPr>
            <w:r>
              <w:rPr>
                <w:color w:val="auto"/>
                <w:sz w:val="21"/>
                <w:szCs w:val="21"/>
              </w:rPr>
              <w:t>生态水位：一般水期（）m；鱼类繁殖期（）m；其他（）m</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restart"/>
            <w:shd w:val="clear" w:color="auto" w:fill="auto"/>
            <w:vAlign w:val="center"/>
          </w:tcPr>
          <w:p>
            <w:pPr>
              <w:adjustRightInd w:val="0"/>
              <w:snapToGrid w:val="0"/>
              <w:rPr>
                <w:color w:val="auto"/>
                <w:sz w:val="21"/>
                <w:szCs w:val="21"/>
              </w:rPr>
            </w:pPr>
            <w:r>
              <w:rPr>
                <w:color w:val="auto"/>
                <w:sz w:val="21"/>
                <w:szCs w:val="21"/>
              </w:rPr>
              <w:t>防治措施</w:t>
            </w:r>
          </w:p>
        </w:tc>
        <w:tc>
          <w:tcPr>
            <w:tcW w:w="1950" w:type="dxa"/>
            <w:gridSpan w:val="2"/>
            <w:shd w:val="clear" w:color="auto" w:fill="auto"/>
            <w:vAlign w:val="center"/>
          </w:tcPr>
          <w:p>
            <w:pPr>
              <w:adjustRightInd w:val="0"/>
              <w:snapToGrid w:val="0"/>
              <w:jc w:val="center"/>
              <w:rPr>
                <w:color w:val="auto"/>
                <w:sz w:val="21"/>
                <w:szCs w:val="21"/>
              </w:rPr>
            </w:pPr>
            <w:r>
              <w:rPr>
                <w:color w:val="auto"/>
                <w:sz w:val="21"/>
                <w:szCs w:val="21"/>
              </w:rPr>
              <w:t>环保措施</w:t>
            </w:r>
          </w:p>
        </w:tc>
        <w:tc>
          <w:tcPr>
            <w:tcW w:w="7286" w:type="dxa"/>
            <w:gridSpan w:val="11"/>
            <w:shd w:val="clear" w:color="auto" w:fill="auto"/>
            <w:vAlign w:val="center"/>
          </w:tcPr>
          <w:p>
            <w:pPr>
              <w:adjustRightInd w:val="0"/>
              <w:snapToGrid w:val="0"/>
              <w:rPr>
                <w:color w:val="auto"/>
                <w:sz w:val="21"/>
                <w:szCs w:val="21"/>
              </w:rPr>
            </w:pPr>
            <w:r>
              <w:rPr>
                <w:color w:val="auto"/>
                <w:sz w:val="21"/>
                <w:szCs w:val="21"/>
              </w:rPr>
              <w:t>污水处理设施 √；水文减缓设施 □；生态流量保障设施 □；区域削减 □；依托其他工程措施 □；其他 □</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vMerge w:val="restart"/>
            <w:shd w:val="clear" w:color="auto" w:fill="auto"/>
            <w:vAlign w:val="center"/>
          </w:tcPr>
          <w:p>
            <w:pPr>
              <w:adjustRightInd w:val="0"/>
              <w:snapToGrid w:val="0"/>
              <w:jc w:val="center"/>
              <w:rPr>
                <w:color w:val="auto"/>
                <w:sz w:val="21"/>
                <w:szCs w:val="21"/>
              </w:rPr>
            </w:pPr>
            <w:r>
              <w:rPr>
                <w:color w:val="auto"/>
                <w:sz w:val="21"/>
                <w:szCs w:val="21"/>
              </w:rPr>
              <w:t>监测计划</w:t>
            </w:r>
          </w:p>
        </w:tc>
        <w:tc>
          <w:tcPr>
            <w:tcW w:w="2428" w:type="dxa"/>
            <w:gridSpan w:val="3"/>
            <w:shd w:val="clear" w:color="auto" w:fill="auto"/>
            <w:vAlign w:val="center"/>
          </w:tcPr>
          <w:p>
            <w:pPr>
              <w:adjustRightInd w:val="0"/>
              <w:snapToGrid w:val="0"/>
              <w:ind w:firstLine="420"/>
              <w:jc w:val="center"/>
              <w:rPr>
                <w:color w:val="auto"/>
                <w:sz w:val="21"/>
                <w:szCs w:val="21"/>
              </w:rPr>
            </w:pPr>
          </w:p>
        </w:tc>
        <w:tc>
          <w:tcPr>
            <w:tcW w:w="2429" w:type="dxa"/>
            <w:gridSpan w:val="4"/>
            <w:shd w:val="clear" w:color="auto" w:fill="auto"/>
            <w:vAlign w:val="center"/>
          </w:tcPr>
          <w:p>
            <w:pPr>
              <w:jc w:val="center"/>
              <w:rPr>
                <w:color w:val="auto"/>
                <w:sz w:val="21"/>
                <w:szCs w:val="21"/>
              </w:rPr>
            </w:pPr>
            <w:r>
              <w:rPr>
                <w:color w:val="auto"/>
                <w:sz w:val="21"/>
                <w:szCs w:val="21"/>
              </w:rPr>
              <w:t>环境质量</w:t>
            </w:r>
          </w:p>
        </w:tc>
        <w:tc>
          <w:tcPr>
            <w:tcW w:w="2429" w:type="dxa"/>
            <w:gridSpan w:val="4"/>
            <w:shd w:val="clear" w:color="auto" w:fill="auto"/>
            <w:vAlign w:val="center"/>
          </w:tcPr>
          <w:p>
            <w:pPr>
              <w:jc w:val="center"/>
              <w:rPr>
                <w:color w:val="auto"/>
                <w:sz w:val="21"/>
                <w:szCs w:val="21"/>
              </w:rPr>
            </w:pPr>
            <w:r>
              <w:rPr>
                <w:color w:val="auto"/>
                <w:sz w:val="21"/>
                <w:szCs w:val="21"/>
              </w:rPr>
              <w:t>污染源</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vMerge w:val="continue"/>
            <w:shd w:val="clear" w:color="auto" w:fill="auto"/>
            <w:vAlign w:val="center"/>
          </w:tcPr>
          <w:p>
            <w:pPr>
              <w:adjustRightInd w:val="0"/>
              <w:snapToGrid w:val="0"/>
              <w:jc w:val="center"/>
              <w:rPr>
                <w:color w:val="auto"/>
                <w:sz w:val="21"/>
                <w:szCs w:val="21"/>
              </w:rPr>
            </w:pPr>
          </w:p>
        </w:tc>
        <w:tc>
          <w:tcPr>
            <w:tcW w:w="2428" w:type="dxa"/>
            <w:gridSpan w:val="3"/>
            <w:shd w:val="clear" w:color="auto" w:fill="auto"/>
            <w:vAlign w:val="center"/>
          </w:tcPr>
          <w:p>
            <w:pPr>
              <w:jc w:val="center"/>
              <w:rPr>
                <w:color w:val="auto"/>
                <w:sz w:val="21"/>
                <w:szCs w:val="21"/>
              </w:rPr>
            </w:pPr>
            <w:r>
              <w:rPr>
                <w:color w:val="auto"/>
                <w:sz w:val="21"/>
                <w:szCs w:val="21"/>
              </w:rPr>
              <w:t>监测方式</w:t>
            </w:r>
          </w:p>
        </w:tc>
        <w:tc>
          <w:tcPr>
            <w:tcW w:w="2429" w:type="dxa"/>
            <w:gridSpan w:val="4"/>
            <w:shd w:val="clear" w:color="auto" w:fill="auto"/>
            <w:vAlign w:val="center"/>
          </w:tcPr>
          <w:p>
            <w:pPr>
              <w:adjustRightInd w:val="0"/>
              <w:snapToGrid w:val="0"/>
              <w:rPr>
                <w:color w:val="auto"/>
                <w:sz w:val="21"/>
                <w:szCs w:val="21"/>
              </w:rPr>
            </w:pPr>
            <w:r>
              <w:rPr>
                <w:color w:val="auto"/>
                <w:sz w:val="21"/>
                <w:szCs w:val="21"/>
              </w:rPr>
              <w:t>手动√；自动 □；无监测□</w:t>
            </w:r>
          </w:p>
        </w:tc>
        <w:tc>
          <w:tcPr>
            <w:tcW w:w="2429" w:type="dxa"/>
            <w:gridSpan w:val="4"/>
            <w:shd w:val="clear" w:color="auto" w:fill="auto"/>
            <w:vAlign w:val="center"/>
          </w:tcPr>
          <w:p>
            <w:pPr>
              <w:adjustRightInd w:val="0"/>
              <w:snapToGrid w:val="0"/>
              <w:rPr>
                <w:color w:val="auto"/>
                <w:sz w:val="21"/>
                <w:szCs w:val="21"/>
              </w:rPr>
            </w:pPr>
            <w:r>
              <w:rPr>
                <w:color w:val="auto"/>
                <w:sz w:val="21"/>
                <w:szCs w:val="21"/>
              </w:rPr>
              <w:t>手动√；自动；无监测 □</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vMerge w:val="continue"/>
            <w:shd w:val="clear" w:color="auto" w:fill="auto"/>
            <w:vAlign w:val="center"/>
          </w:tcPr>
          <w:p>
            <w:pPr>
              <w:adjustRightInd w:val="0"/>
              <w:snapToGrid w:val="0"/>
              <w:jc w:val="center"/>
              <w:rPr>
                <w:color w:val="auto"/>
                <w:sz w:val="21"/>
                <w:szCs w:val="21"/>
              </w:rPr>
            </w:pPr>
          </w:p>
        </w:tc>
        <w:tc>
          <w:tcPr>
            <w:tcW w:w="2428" w:type="dxa"/>
            <w:gridSpan w:val="3"/>
            <w:shd w:val="clear" w:color="auto" w:fill="auto"/>
            <w:vAlign w:val="center"/>
          </w:tcPr>
          <w:p>
            <w:pPr>
              <w:jc w:val="center"/>
              <w:rPr>
                <w:color w:val="auto"/>
                <w:sz w:val="21"/>
                <w:szCs w:val="21"/>
              </w:rPr>
            </w:pPr>
            <w:r>
              <w:rPr>
                <w:color w:val="auto"/>
                <w:sz w:val="21"/>
                <w:szCs w:val="21"/>
              </w:rPr>
              <w:t>监测点位</w:t>
            </w:r>
          </w:p>
        </w:tc>
        <w:tc>
          <w:tcPr>
            <w:tcW w:w="2429" w:type="dxa"/>
            <w:gridSpan w:val="4"/>
            <w:shd w:val="clear" w:color="auto" w:fill="auto"/>
            <w:vAlign w:val="center"/>
          </w:tcPr>
          <w:p>
            <w:pPr>
              <w:autoSpaceDE w:val="0"/>
              <w:autoSpaceDN w:val="0"/>
              <w:adjustRightInd w:val="0"/>
              <w:rPr>
                <w:color w:val="auto"/>
                <w:sz w:val="21"/>
                <w:szCs w:val="21"/>
              </w:rPr>
            </w:pPr>
          </w:p>
        </w:tc>
        <w:tc>
          <w:tcPr>
            <w:tcW w:w="2429" w:type="dxa"/>
            <w:gridSpan w:val="4"/>
            <w:shd w:val="clear" w:color="auto" w:fill="auto"/>
            <w:vAlign w:val="center"/>
          </w:tcPr>
          <w:p>
            <w:pPr>
              <w:rPr>
                <w:color w:val="auto"/>
                <w:sz w:val="21"/>
                <w:szCs w:val="21"/>
              </w:rPr>
            </w:pPr>
            <w:r>
              <w:rPr>
                <w:rFonts w:hint="eastAsia"/>
                <w:color w:val="auto"/>
                <w:sz w:val="21"/>
                <w:szCs w:val="21"/>
              </w:rPr>
              <w:t>（建筑垃圾消纳场废水处理设施回用水池</w:t>
            </w: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vMerge w:val="continue"/>
            <w:shd w:val="clear" w:color="auto" w:fill="auto"/>
            <w:vAlign w:val="center"/>
          </w:tcPr>
          <w:p>
            <w:pPr>
              <w:adjustRightInd w:val="0"/>
              <w:snapToGrid w:val="0"/>
              <w:jc w:val="center"/>
              <w:rPr>
                <w:color w:val="auto"/>
                <w:sz w:val="21"/>
                <w:szCs w:val="21"/>
              </w:rPr>
            </w:pPr>
          </w:p>
        </w:tc>
        <w:tc>
          <w:tcPr>
            <w:tcW w:w="2428" w:type="dxa"/>
            <w:gridSpan w:val="3"/>
            <w:shd w:val="clear" w:color="auto" w:fill="auto"/>
            <w:vAlign w:val="center"/>
          </w:tcPr>
          <w:p>
            <w:pPr>
              <w:jc w:val="center"/>
              <w:rPr>
                <w:color w:val="auto"/>
                <w:sz w:val="21"/>
                <w:szCs w:val="21"/>
              </w:rPr>
            </w:pPr>
            <w:r>
              <w:rPr>
                <w:color w:val="auto"/>
                <w:sz w:val="21"/>
                <w:szCs w:val="21"/>
              </w:rPr>
              <w:t>监测因子</w:t>
            </w:r>
          </w:p>
        </w:tc>
        <w:tc>
          <w:tcPr>
            <w:tcW w:w="2429" w:type="dxa"/>
            <w:gridSpan w:val="4"/>
            <w:shd w:val="clear" w:color="auto" w:fill="auto"/>
            <w:vAlign w:val="center"/>
          </w:tcPr>
          <w:p>
            <w:pPr>
              <w:jc w:val="center"/>
              <w:rPr>
                <w:color w:val="auto"/>
                <w:sz w:val="21"/>
                <w:szCs w:val="21"/>
              </w:rPr>
            </w:pPr>
            <w:r>
              <w:rPr>
                <w:color w:val="auto"/>
                <w:sz w:val="21"/>
                <w:szCs w:val="21"/>
              </w:rPr>
              <w:t>无需监测</w:t>
            </w:r>
          </w:p>
        </w:tc>
        <w:tc>
          <w:tcPr>
            <w:tcW w:w="2429" w:type="dxa"/>
            <w:gridSpan w:val="4"/>
            <w:shd w:val="clear" w:color="auto" w:fill="auto"/>
            <w:vAlign w:val="center"/>
          </w:tcPr>
          <w:p>
            <w:pPr>
              <w:autoSpaceDE w:val="0"/>
              <w:autoSpaceDN w:val="0"/>
              <w:adjustRightInd w:val="0"/>
              <w:rPr>
                <w:color w:val="auto"/>
                <w:kern w:val="0"/>
                <w:sz w:val="21"/>
                <w:szCs w:val="21"/>
              </w:rPr>
            </w:pPr>
            <w:r>
              <w:rPr>
                <w:color w:val="auto"/>
                <w:sz w:val="21"/>
                <w:szCs w:val="21"/>
              </w:rPr>
              <w:t>（</w:t>
            </w:r>
            <w:r>
              <w:rPr>
                <w:color w:val="auto"/>
                <w:kern w:val="0"/>
                <w:sz w:val="21"/>
                <w:szCs w:val="21"/>
              </w:rPr>
              <w:t>pH、SS、COD、BOD</w:t>
            </w:r>
            <w:r>
              <w:rPr>
                <w:color w:val="auto"/>
                <w:kern w:val="0"/>
                <w:sz w:val="21"/>
                <w:szCs w:val="21"/>
                <w:vertAlign w:val="subscript"/>
              </w:rPr>
              <w:t>5</w:t>
            </w:r>
            <w:r>
              <w:rPr>
                <w:color w:val="auto"/>
                <w:kern w:val="0"/>
                <w:sz w:val="21"/>
                <w:szCs w:val="21"/>
              </w:rPr>
              <w:t>、</w:t>
            </w:r>
          </w:p>
          <w:p>
            <w:pPr>
              <w:autoSpaceDE w:val="0"/>
              <w:autoSpaceDN w:val="0"/>
              <w:adjustRightInd w:val="0"/>
              <w:rPr>
                <w:color w:val="auto"/>
                <w:sz w:val="21"/>
                <w:szCs w:val="21"/>
              </w:rPr>
            </w:pPr>
            <w:r>
              <w:rPr>
                <w:color w:val="auto"/>
                <w:kern w:val="0"/>
                <w:sz w:val="21"/>
                <w:szCs w:val="21"/>
              </w:rPr>
              <w:t>氨氮</w:t>
            </w:r>
            <w:r>
              <w:rPr>
                <w:rFonts w:hint="eastAsia"/>
                <w:color w:val="auto"/>
                <w:kern w:val="0"/>
                <w:sz w:val="21"/>
                <w:szCs w:val="21"/>
              </w:rPr>
              <w:t>、</w:t>
            </w:r>
            <w:r>
              <w:rPr>
                <w:color w:val="auto"/>
                <w:sz w:val="21"/>
                <w:szCs w:val="21"/>
              </w:rPr>
              <w:t>总磷</w:t>
            </w:r>
            <w:r>
              <w:rPr>
                <w:rFonts w:hint="eastAsia"/>
                <w:color w:val="auto"/>
                <w:sz w:val="21"/>
                <w:szCs w:val="21"/>
              </w:rPr>
              <w:t>、</w:t>
            </w:r>
            <w:r>
              <w:rPr>
                <w:color w:val="auto"/>
                <w:sz w:val="21"/>
                <w:szCs w:val="21"/>
              </w:rPr>
              <w:t>总汞</w:t>
            </w:r>
            <w:r>
              <w:rPr>
                <w:rFonts w:hint="eastAsia"/>
                <w:color w:val="auto"/>
                <w:sz w:val="21"/>
                <w:szCs w:val="21"/>
              </w:rPr>
              <w:t>、</w:t>
            </w:r>
            <w:r>
              <w:rPr>
                <w:color w:val="auto"/>
                <w:sz w:val="21"/>
                <w:szCs w:val="21"/>
              </w:rPr>
              <w:t>总镉</w:t>
            </w:r>
            <w:r>
              <w:rPr>
                <w:rFonts w:hint="eastAsia"/>
                <w:color w:val="auto"/>
                <w:sz w:val="21"/>
                <w:szCs w:val="21"/>
              </w:rPr>
              <w:t>、</w:t>
            </w:r>
            <w:r>
              <w:rPr>
                <w:color w:val="auto"/>
                <w:sz w:val="21"/>
                <w:szCs w:val="21"/>
              </w:rPr>
              <w:t>总铬）</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shd w:val="clear" w:color="auto" w:fill="auto"/>
            <w:vAlign w:val="center"/>
          </w:tcPr>
          <w:p>
            <w:pPr>
              <w:jc w:val="center"/>
              <w:rPr>
                <w:color w:val="auto"/>
                <w:sz w:val="21"/>
                <w:szCs w:val="21"/>
              </w:rPr>
            </w:pPr>
            <w:r>
              <w:rPr>
                <w:color w:val="auto"/>
                <w:sz w:val="21"/>
                <w:szCs w:val="21"/>
              </w:rPr>
              <w:t>污染物排放清单</w:t>
            </w:r>
          </w:p>
        </w:tc>
        <w:tc>
          <w:tcPr>
            <w:tcW w:w="7286" w:type="dxa"/>
            <w:gridSpan w:val="11"/>
            <w:shd w:val="clear" w:color="auto" w:fill="auto"/>
            <w:vAlign w:val="center"/>
          </w:tcPr>
          <w:p>
            <w:pPr>
              <w:jc w:val="center"/>
              <w:rPr>
                <w:rFonts w:ascii="宋体" w:hAnsi="宋体" w:cs="宋体"/>
                <w:color w:val="auto"/>
                <w:sz w:val="21"/>
                <w:szCs w:val="21"/>
              </w:rPr>
            </w:pPr>
            <w:r>
              <w:rPr>
                <w:rFonts w:hint="eastAsia" w:ascii="宋体" w:hAnsi="宋体" w:cs="宋体"/>
                <w:color w:val="auto"/>
                <w:sz w:val="21"/>
                <w:szCs w:val="21"/>
              </w:rPr>
              <w:t>无</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426" w:type="dxa"/>
            <w:vMerge w:val="continue"/>
            <w:shd w:val="clear" w:color="auto" w:fill="auto"/>
            <w:vAlign w:val="center"/>
          </w:tcPr>
          <w:p>
            <w:pPr>
              <w:adjustRightInd w:val="0"/>
              <w:snapToGrid w:val="0"/>
              <w:ind w:firstLine="420"/>
              <w:jc w:val="center"/>
              <w:rPr>
                <w:color w:val="auto"/>
                <w:sz w:val="21"/>
                <w:szCs w:val="21"/>
              </w:rPr>
            </w:pPr>
          </w:p>
        </w:tc>
        <w:tc>
          <w:tcPr>
            <w:tcW w:w="1950" w:type="dxa"/>
            <w:gridSpan w:val="2"/>
            <w:shd w:val="clear" w:color="auto" w:fill="auto"/>
            <w:vAlign w:val="center"/>
          </w:tcPr>
          <w:p>
            <w:pPr>
              <w:jc w:val="center"/>
              <w:rPr>
                <w:color w:val="auto"/>
                <w:sz w:val="21"/>
                <w:szCs w:val="21"/>
              </w:rPr>
            </w:pPr>
            <w:r>
              <w:rPr>
                <w:color w:val="auto"/>
                <w:sz w:val="21"/>
                <w:szCs w:val="21"/>
              </w:rPr>
              <w:t>评价结论</w:t>
            </w:r>
          </w:p>
        </w:tc>
        <w:tc>
          <w:tcPr>
            <w:tcW w:w="7286" w:type="dxa"/>
            <w:gridSpan w:val="11"/>
            <w:shd w:val="clear" w:color="auto" w:fill="auto"/>
            <w:vAlign w:val="center"/>
          </w:tcPr>
          <w:p>
            <w:pPr>
              <w:rPr>
                <w:color w:val="auto"/>
                <w:sz w:val="21"/>
                <w:szCs w:val="21"/>
              </w:rPr>
            </w:pPr>
            <w:r>
              <w:rPr>
                <w:color w:val="auto"/>
                <w:sz w:val="21"/>
                <w:szCs w:val="21"/>
              </w:rPr>
              <w:t xml:space="preserve">可以接受 </w:t>
            </w:r>
            <w:r>
              <w:rPr>
                <w:color w:val="auto"/>
                <w:sz w:val="21"/>
                <w:szCs w:val="21"/>
              </w:rPr>
              <w:sym w:font="Wingdings 2" w:char="0052"/>
            </w:r>
            <w:r>
              <w:rPr>
                <w:color w:val="auto"/>
                <w:sz w:val="21"/>
                <w:szCs w:val="21"/>
              </w:rPr>
              <w:t>；不可以接受 □</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9662" w:type="dxa"/>
            <w:gridSpan w:val="14"/>
            <w:shd w:val="clear" w:color="auto" w:fill="auto"/>
            <w:vAlign w:val="center"/>
          </w:tcPr>
          <w:p>
            <w:pPr>
              <w:rPr>
                <w:color w:val="auto"/>
                <w:sz w:val="21"/>
                <w:szCs w:val="21"/>
              </w:rPr>
            </w:pPr>
            <w:r>
              <w:rPr>
                <w:color w:val="auto"/>
                <w:sz w:val="21"/>
                <w:szCs w:val="21"/>
              </w:rPr>
              <w:t>注：“□”为勾选项，可√；“（ ）”为内容填写项；“备注”为其他补充内容。</w:t>
            </w:r>
          </w:p>
        </w:tc>
      </w:tr>
    </w:tbl>
    <w:p>
      <w:pPr>
        <w:pStyle w:val="4"/>
        <w:numPr>
          <w:ilvl w:val="0"/>
          <w:numId w:val="0"/>
        </w:numPr>
        <w:tabs>
          <w:tab w:val="clear" w:pos="680"/>
        </w:tabs>
        <w:ind w:left="720" w:right="240" w:hanging="720"/>
        <w:rPr>
          <w:b/>
          <w:color w:val="auto"/>
          <w:szCs w:val="24"/>
        </w:rPr>
      </w:pPr>
      <w:bookmarkStart w:id="648" w:name="_Toc15912200"/>
      <w:bookmarkStart w:id="649" w:name="_Toc14946908"/>
      <w:bookmarkStart w:id="650" w:name="_Toc29005"/>
      <w:bookmarkStart w:id="651" w:name="_Toc34234738"/>
      <w:bookmarkStart w:id="652" w:name="_Toc24136819"/>
      <w:r>
        <w:rPr>
          <w:rFonts w:hint="eastAsia"/>
          <w:b/>
          <w:color w:val="auto"/>
          <w:szCs w:val="24"/>
        </w:rPr>
        <w:t>5</w:t>
      </w:r>
      <w:r>
        <w:rPr>
          <w:b/>
          <w:color w:val="auto"/>
          <w:szCs w:val="24"/>
        </w:rPr>
        <w:t>.2.3地下水环境影响</w:t>
      </w:r>
      <w:bookmarkEnd w:id="648"/>
      <w:bookmarkEnd w:id="649"/>
      <w:r>
        <w:rPr>
          <w:rFonts w:hint="eastAsia"/>
          <w:b/>
          <w:color w:val="auto"/>
          <w:szCs w:val="24"/>
        </w:rPr>
        <w:t>分析</w:t>
      </w:r>
      <w:bookmarkEnd w:id="650"/>
      <w:bookmarkEnd w:id="651"/>
      <w:bookmarkEnd w:id="652"/>
    </w:p>
    <w:p>
      <w:pPr>
        <w:spacing w:line="360" w:lineRule="auto"/>
        <w:rPr>
          <w:b/>
          <w:color w:val="auto"/>
        </w:rPr>
      </w:pPr>
      <w:bookmarkStart w:id="653" w:name="_Toc29361"/>
      <w:r>
        <w:rPr>
          <w:b/>
          <w:color w:val="auto"/>
        </w:rPr>
        <w:t>5.2.3.1</w:t>
      </w:r>
      <w:r>
        <w:rPr>
          <w:rFonts w:hint="eastAsia"/>
          <w:b/>
          <w:color w:val="auto"/>
        </w:rPr>
        <w:t>场地</w:t>
      </w:r>
      <w:r>
        <w:rPr>
          <w:b/>
          <w:color w:val="auto"/>
        </w:rPr>
        <w:t>地质特征</w:t>
      </w:r>
      <w:bookmarkEnd w:id="653"/>
    </w:p>
    <w:p>
      <w:pPr>
        <w:spacing w:line="353" w:lineRule="auto"/>
        <w:ind w:firstLine="480" w:firstLineChars="200"/>
        <w:rPr>
          <w:color w:val="auto"/>
        </w:rPr>
      </w:pPr>
      <w:r>
        <w:rPr>
          <w:rFonts w:hint="eastAsia"/>
          <w:color w:val="auto"/>
        </w:rPr>
        <w:t>1、</w:t>
      </w:r>
      <w:r>
        <w:rPr>
          <w:color w:val="auto"/>
        </w:rPr>
        <w:t>地形地貌</w:t>
      </w:r>
    </w:p>
    <w:p>
      <w:pPr>
        <w:spacing w:line="353" w:lineRule="auto"/>
        <w:ind w:firstLine="480" w:firstLineChars="200"/>
        <w:jc w:val="both"/>
        <w:rPr>
          <w:color w:val="auto"/>
        </w:rPr>
      </w:pPr>
      <w:r>
        <w:rPr>
          <w:rFonts w:hint="eastAsia"/>
          <w:color w:val="auto"/>
        </w:rPr>
        <w:t>项目地处兴宁冲积平原（Q）南段东南白垩系紫红色粉砂岩或泥质粉砂岩与燕山期花岗岩的交接地带，属于浅切割的脊状低山丘陵地带，地形高差小于100m，山坡坡度较平缓，小于30度，坡面残积土层厚度一般大于2m，植被较发育，一般为草本植物或不太高大的松树、杉树等树种。</w:t>
      </w:r>
    </w:p>
    <w:p>
      <w:pPr>
        <w:spacing w:line="353" w:lineRule="auto"/>
        <w:ind w:firstLine="480" w:firstLineChars="200"/>
        <w:rPr>
          <w:color w:val="auto"/>
        </w:rPr>
      </w:pPr>
      <w:r>
        <w:rPr>
          <w:rFonts w:hint="eastAsia"/>
          <w:color w:val="auto"/>
        </w:rPr>
        <w:t>2、</w:t>
      </w:r>
      <w:r>
        <w:rPr>
          <w:color w:val="auto"/>
        </w:rPr>
        <w:t>地质构造</w:t>
      </w:r>
    </w:p>
    <w:p>
      <w:pPr>
        <w:spacing w:line="360" w:lineRule="auto"/>
        <w:ind w:firstLine="532" w:firstLineChars="200"/>
        <w:jc w:val="both"/>
        <w:rPr>
          <w:rFonts w:hint="default"/>
          <w:bCs/>
          <w:color w:val="auto"/>
          <w:lang w:eastAsia="zh-CN"/>
        </w:rPr>
      </w:pPr>
      <w:r>
        <w:rPr>
          <w:rFonts w:hint="default"/>
          <w:bCs/>
          <w:color w:val="auto"/>
          <w:lang w:eastAsia="zh-CN"/>
        </w:rPr>
        <w:t>梅州市地质构造比较复杂，由</w:t>
      </w:r>
      <w:r>
        <w:rPr>
          <w:rFonts w:hint="eastAsia"/>
          <w:bCs/>
          <w:color w:val="auto"/>
          <w:lang w:eastAsia="zh-CN"/>
        </w:rPr>
        <w:t>岩浆岩、沉积岩、变质岩</w:t>
      </w:r>
      <w:r>
        <w:rPr>
          <w:rFonts w:hint="default"/>
          <w:bCs/>
          <w:color w:val="auto"/>
          <w:lang w:eastAsia="zh-CN"/>
        </w:rPr>
        <w:t>构成台地、丘陵、山地、阶地和平原五大类地貌类型。全市山地面积占24.3%；丘陵及台地、阶地面积占56.6%；平原面积占13.7%；河流和水库等水面积占5.4% 。</w:t>
      </w:r>
    </w:p>
    <w:p>
      <w:pPr>
        <w:spacing w:line="360" w:lineRule="auto"/>
        <w:ind w:firstLine="532" w:firstLineChars="200"/>
        <w:jc w:val="both"/>
        <w:rPr>
          <w:rFonts w:hint="default"/>
          <w:bCs/>
          <w:color w:val="auto"/>
          <w:lang w:eastAsia="zh-CN"/>
        </w:rPr>
      </w:pPr>
      <w:r>
        <w:rPr>
          <w:rFonts w:hint="default"/>
          <w:bCs/>
          <w:color w:val="auto"/>
          <w:lang w:eastAsia="zh-CN"/>
        </w:rPr>
        <w:t>区域内从长城系至第四系地层发育比较齐全，自上而下可分为第四系地层，未分统的残积层，白垩系地层、侏罗系地层</w:t>
      </w:r>
      <w:r>
        <w:rPr>
          <w:rFonts w:hint="eastAsia"/>
          <w:bCs/>
          <w:color w:val="auto"/>
          <w:lang w:eastAsia="zh-CN"/>
        </w:rPr>
        <w:t>、震旦系地层</w:t>
      </w:r>
      <w:r>
        <w:rPr>
          <w:rFonts w:hint="default"/>
          <w:bCs/>
          <w:color w:val="auto"/>
          <w:lang w:eastAsia="zh-CN"/>
        </w:rPr>
        <w:t>、三叠系地层、二叠系地层、石炭系地层等。除上述地层外，区内中生代岩浆活动</w:t>
      </w:r>
      <w:r>
        <w:rPr>
          <w:rFonts w:hint="eastAsia"/>
          <w:bCs/>
          <w:color w:val="auto"/>
          <w:lang w:eastAsia="zh-CN"/>
        </w:rPr>
        <w:t>不</w:t>
      </w:r>
      <w:r>
        <w:rPr>
          <w:rFonts w:hint="default"/>
          <w:bCs/>
          <w:color w:val="auto"/>
          <w:lang w:eastAsia="zh-CN"/>
        </w:rPr>
        <w:t>强烈</w:t>
      </w:r>
      <w:r>
        <w:rPr>
          <w:rFonts w:hint="eastAsia"/>
          <w:bCs/>
          <w:color w:val="auto"/>
          <w:lang w:eastAsia="zh-CN"/>
        </w:rPr>
        <w:t>。</w:t>
      </w:r>
    </w:p>
    <w:p>
      <w:pPr>
        <w:spacing w:line="353" w:lineRule="auto"/>
        <w:ind w:firstLine="480" w:firstLineChars="200"/>
        <w:rPr>
          <w:color w:val="auto"/>
        </w:rPr>
      </w:pPr>
      <w:r>
        <w:rPr>
          <w:rFonts w:hint="eastAsia"/>
          <w:color w:val="auto"/>
        </w:rPr>
        <w:t>3、工程地质条件</w:t>
      </w:r>
    </w:p>
    <w:p>
      <w:pPr>
        <w:spacing w:line="360" w:lineRule="auto"/>
        <w:ind w:firstLine="532" w:firstLineChars="200"/>
        <w:jc w:val="both"/>
        <w:rPr>
          <w:rFonts w:hint="default" w:ascii="Times New Roman" w:hAnsi="Times New Roman" w:eastAsia="仿宋" w:cs="Times New Roman"/>
          <w:color w:val="auto"/>
          <w:w w:val="99"/>
          <w:sz w:val="24"/>
          <w:szCs w:val="24"/>
          <w:highlight w:val="none"/>
        </w:rPr>
      </w:pPr>
      <w:bookmarkStart w:id="654" w:name="_Toc154390978"/>
      <w:bookmarkStart w:id="655" w:name="_Toc277870031"/>
      <w:bookmarkStart w:id="656" w:name="_Toc379818475"/>
      <w:r>
        <w:rPr>
          <w:rFonts w:hint="default"/>
          <w:bCs/>
          <w:color w:val="auto"/>
          <w:lang w:eastAsia="zh-CN"/>
        </w:rPr>
        <w:t>根据汕头市潮汕水电勘察有限公司提供的《兴宁市静脉产业园项目（一期工程）详勘工程岩 土 工 程 勘 察 报 告（详细勘察阶段）》可知，</w:t>
      </w:r>
      <w:r>
        <w:rPr>
          <w:rFonts w:hint="default"/>
          <w:bCs/>
          <w:color w:val="auto"/>
        </w:rPr>
        <w:t>按其成因类型自上而下分为人工填土层</w:t>
      </w:r>
      <w:r>
        <w:rPr>
          <w:rFonts w:hint="default" w:ascii="Times New Roman" w:hAnsi="Times New Roman" w:eastAsia="仿宋" w:cs="Times New Roman"/>
          <w:color w:val="auto"/>
          <w:w w:val="99"/>
          <w:sz w:val="24"/>
          <w:szCs w:val="24"/>
          <w:highlight w:val="none"/>
        </w:rPr>
        <w:t>(Q</w:t>
      </w:r>
      <w:r>
        <w:rPr>
          <w:rFonts w:hint="default" w:ascii="Times New Roman" w:hAnsi="Times New Roman" w:eastAsia="仿宋" w:cs="Times New Roman"/>
          <w:color w:val="auto"/>
          <w:w w:val="99"/>
          <w:sz w:val="24"/>
          <w:szCs w:val="24"/>
          <w:highlight w:val="none"/>
          <w:vertAlign w:val="subscript"/>
        </w:rPr>
        <w:t>4</w:t>
      </w:r>
      <w:r>
        <w:rPr>
          <w:rFonts w:hint="default" w:ascii="Times New Roman" w:hAnsi="Times New Roman" w:eastAsia="仿宋" w:cs="Times New Roman"/>
          <w:color w:val="auto"/>
          <w:w w:val="99"/>
          <w:sz w:val="24"/>
          <w:szCs w:val="24"/>
          <w:highlight w:val="none"/>
          <w:vertAlign w:val="superscript"/>
        </w:rPr>
        <w:t>ml</w:t>
      </w:r>
      <w:r>
        <w:rPr>
          <w:rFonts w:hint="default" w:ascii="Times New Roman" w:hAnsi="Times New Roman" w:eastAsia="仿宋" w:cs="Times New Roman"/>
          <w:color w:val="auto"/>
          <w:w w:val="99"/>
          <w:sz w:val="24"/>
          <w:szCs w:val="24"/>
          <w:highlight w:val="none"/>
        </w:rPr>
        <w:t>)、</w:t>
      </w:r>
      <w:r>
        <w:rPr>
          <w:rFonts w:hint="default"/>
          <w:bCs/>
          <w:color w:val="auto"/>
          <w:lang w:eastAsia="zh-CN"/>
        </w:rPr>
        <w:t>冲积层</w:t>
      </w:r>
      <w:r>
        <w:rPr>
          <w:rFonts w:hint="default" w:ascii="Times New Roman" w:hAnsi="Times New Roman" w:eastAsia="仿宋" w:cs="Times New Roman"/>
          <w:color w:val="auto"/>
          <w:w w:val="99"/>
          <w:sz w:val="24"/>
          <w:szCs w:val="24"/>
          <w:highlight w:val="none"/>
        </w:rPr>
        <w:t>(Q</w:t>
      </w:r>
      <w:r>
        <w:rPr>
          <w:rFonts w:hint="default" w:ascii="Times New Roman" w:hAnsi="Times New Roman" w:eastAsia="仿宋" w:cs="Times New Roman"/>
          <w:color w:val="auto"/>
          <w:w w:val="99"/>
          <w:sz w:val="24"/>
          <w:szCs w:val="24"/>
          <w:highlight w:val="none"/>
          <w:vertAlign w:val="subscript"/>
        </w:rPr>
        <w:t>4</w:t>
      </w:r>
      <w:r>
        <w:rPr>
          <w:rFonts w:hint="default" w:ascii="Times New Roman" w:hAnsi="Times New Roman" w:eastAsia="仿宋" w:cs="Times New Roman"/>
          <w:color w:val="auto"/>
          <w:w w:val="99"/>
          <w:sz w:val="24"/>
          <w:szCs w:val="24"/>
          <w:highlight w:val="none"/>
          <w:vertAlign w:val="superscript"/>
        </w:rPr>
        <w:t>al</w:t>
      </w:r>
      <w:r>
        <w:rPr>
          <w:rFonts w:hint="default" w:ascii="Times New Roman" w:hAnsi="Times New Roman" w:eastAsia="仿宋" w:cs="Times New Roman"/>
          <w:color w:val="auto"/>
          <w:w w:val="99"/>
          <w:sz w:val="24"/>
          <w:szCs w:val="24"/>
          <w:highlight w:val="none"/>
        </w:rPr>
        <w:t>)、</w:t>
      </w:r>
      <w:r>
        <w:rPr>
          <w:rFonts w:hint="default"/>
          <w:bCs/>
          <w:color w:val="auto"/>
          <w:lang w:eastAsia="zh-CN"/>
        </w:rPr>
        <w:t>坡积层</w:t>
      </w:r>
      <w:r>
        <w:rPr>
          <w:rFonts w:hint="default" w:ascii="Times New Roman" w:hAnsi="Times New Roman" w:eastAsia="仿宋" w:cs="Times New Roman"/>
          <w:color w:val="auto"/>
          <w:w w:val="99"/>
          <w:sz w:val="24"/>
          <w:szCs w:val="24"/>
          <w:highlight w:val="none"/>
        </w:rPr>
        <w:t>(Q</w:t>
      </w:r>
      <w:r>
        <w:rPr>
          <w:rFonts w:hint="default" w:ascii="Times New Roman" w:hAnsi="Times New Roman" w:eastAsia="仿宋" w:cs="Times New Roman"/>
          <w:color w:val="auto"/>
          <w:w w:val="99"/>
          <w:sz w:val="24"/>
          <w:szCs w:val="24"/>
          <w:highlight w:val="none"/>
          <w:vertAlign w:val="subscript"/>
        </w:rPr>
        <w:t>4</w:t>
      </w:r>
      <w:r>
        <w:rPr>
          <w:rFonts w:hint="default" w:ascii="Times New Roman" w:hAnsi="Times New Roman" w:eastAsia="仿宋" w:cs="Times New Roman"/>
          <w:color w:val="auto"/>
          <w:w w:val="99"/>
          <w:sz w:val="24"/>
          <w:szCs w:val="24"/>
          <w:highlight w:val="none"/>
          <w:vertAlign w:val="superscript"/>
        </w:rPr>
        <w:t>dl</w:t>
      </w:r>
      <w:r>
        <w:rPr>
          <w:rFonts w:hint="default" w:ascii="Times New Roman" w:hAnsi="Times New Roman" w:eastAsia="仿宋" w:cs="Times New Roman"/>
          <w:color w:val="auto"/>
          <w:w w:val="99"/>
          <w:sz w:val="24"/>
          <w:szCs w:val="24"/>
          <w:highlight w:val="none"/>
        </w:rPr>
        <w:t>)、</w:t>
      </w:r>
      <w:r>
        <w:rPr>
          <w:rFonts w:hint="default"/>
          <w:bCs/>
          <w:color w:val="auto"/>
        </w:rPr>
        <w:t>残积层</w:t>
      </w:r>
      <w:r>
        <w:rPr>
          <w:rFonts w:hint="default" w:ascii="Times New Roman" w:hAnsi="Times New Roman" w:eastAsia="仿宋" w:cs="Times New Roman"/>
          <w:color w:val="auto"/>
          <w:w w:val="99"/>
          <w:sz w:val="24"/>
          <w:szCs w:val="24"/>
          <w:highlight w:val="none"/>
        </w:rPr>
        <w:t>(Q</w:t>
      </w:r>
      <w:r>
        <w:rPr>
          <w:rFonts w:hint="default" w:ascii="Times New Roman" w:hAnsi="Times New Roman" w:eastAsia="仿宋" w:cs="Times New Roman"/>
          <w:color w:val="auto"/>
          <w:w w:val="99"/>
          <w:sz w:val="24"/>
          <w:szCs w:val="24"/>
          <w:highlight w:val="none"/>
          <w:vertAlign w:val="subscript"/>
        </w:rPr>
        <w:t>4</w:t>
      </w:r>
      <w:r>
        <w:rPr>
          <w:rFonts w:hint="default" w:ascii="Times New Roman" w:hAnsi="Times New Roman" w:eastAsia="仿宋" w:cs="Times New Roman"/>
          <w:color w:val="auto"/>
          <w:w w:val="99"/>
          <w:sz w:val="24"/>
          <w:szCs w:val="24"/>
          <w:highlight w:val="none"/>
          <w:vertAlign w:val="superscript"/>
        </w:rPr>
        <w:t>el</w:t>
      </w:r>
      <w:r>
        <w:rPr>
          <w:rFonts w:hint="default" w:ascii="Times New Roman" w:hAnsi="Times New Roman" w:eastAsia="仿宋" w:cs="Times New Roman"/>
          <w:color w:val="auto"/>
          <w:w w:val="99"/>
          <w:sz w:val="24"/>
          <w:szCs w:val="24"/>
          <w:highlight w:val="none"/>
        </w:rPr>
        <w:t>)</w:t>
      </w:r>
      <w:r>
        <w:rPr>
          <w:rFonts w:hint="default"/>
          <w:bCs/>
          <w:color w:val="auto"/>
        </w:rPr>
        <w:t>、燕山三期</w:t>
      </w:r>
      <w:r>
        <w:rPr>
          <w:rFonts w:hint="default" w:ascii="Times New Roman" w:hAnsi="Times New Roman" w:eastAsia="仿宋" w:cs="Times New Roman"/>
          <w:bCs/>
          <w:color w:val="auto"/>
          <w:w w:val="99"/>
          <w:sz w:val="24"/>
          <w:szCs w:val="24"/>
          <w:highlight w:val="none"/>
        </w:rPr>
        <w:t>（γ</w:t>
      </w:r>
      <w:r>
        <w:rPr>
          <w:rFonts w:hint="default" w:ascii="Times New Roman" w:hAnsi="Times New Roman" w:eastAsia="仿宋" w:cs="Times New Roman"/>
          <w:bCs/>
          <w:color w:val="auto"/>
          <w:w w:val="99"/>
          <w:sz w:val="24"/>
          <w:szCs w:val="24"/>
          <w:highlight w:val="none"/>
          <w:vertAlign w:val="subscript"/>
        </w:rPr>
        <w:t>5</w:t>
      </w:r>
      <w:r>
        <w:rPr>
          <w:rFonts w:hint="default" w:ascii="Times New Roman" w:hAnsi="Times New Roman" w:eastAsia="仿宋" w:cs="Times New Roman"/>
          <w:bCs/>
          <w:color w:val="auto"/>
          <w:w w:val="99"/>
          <w:sz w:val="24"/>
          <w:szCs w:val="24"/>
          <w:highlight w:val="none"/>
          <w:vertAlign w:val="superscript"/>
        </w:rPr>
        <w:t>2（3）</w:t>
      </w:r>
      <w:r>
        <w:rPr>
          <w:rFonts w:hint="default" w:ascii="Times New Roman" w:hAnsi="Times New Roman" w:eastAsia="仿宋" w:cs="Times New Roman"/>
          <w:bCs/>
          <w:color w:val="auto"/>
          <w:w w:val="99"/>
          <w:sz w:val="24"/>
          <w:szCs w:val="24"/>
          <w:highlight w:val="none"/>
        </w:rPr>
        <w:t>）</w:t>
      </w:r>
      <w:r>
        <w:rPr>
          <w:rFonts w:hint="default"/>
          <w:bCs/>
          <w:color w:val="auto"/>
        </w:rPr>
        <w:t>基岩（岩性为花岗岩）。现把各岩土层的埋藏条件、岩土特性、物理力学性质分述如下：</w:t>
      </w:r>
    </w:p>
    <w:p>
      <w:pPr>
        <w:spacing w:line="360" w:lineRule="auto"/>
        <w:jc w:val="both"/>
        <w:rPr>
          <w:rFonts w:hint="default"/>
          <w:bCs/>
          <w:color w:val="auto"/>
        </w:rPr>
      </w:pPr>
      <w:r>
        <w:rPr>
          <w:rFonts w:hint="eastAsia"/>
          <w:bCs/>
          <w:color w:val="auto"/>
          <w:lang w:val="en-US" w:eastAsia="zh-CN"/>
        </w:rPr>
        <w:t xml:space="preserve">    </w:t>
      </w:r>
      <w:r>
        <w:rPr>
          <w:rFonts w:hint="default"/>
          <w:bCs/>
          <w:color w:val="auto"/>
        </w:rPr>
        <w:t>（1）第四系</w:t>
      </w:r>
      <w:r>
        <w:rPr>
          <w:rFonts w:hint="default" w:ascii="Times New Roman" w:hAnsi="Times New Roman" w:eastAsia="仿宋" w:cs="Times New Roman"/>
          <w:color w:val="auto"/>
          <w:w w:val="99"/>
          <w:sz w:val="24"/>
          <w:szCs w:val="24"/>
        </w:rPr>
        <w:t>（Q</w:t>
      </w:r>
      <w:r>
        <w:rPr>
          <w:rFonts w:hint="default" w:ascii="Times New Roman" w:hAnsi="Times New Roman" w:eastAsia="仿宋" w:cs="Times New Roman"/>
          <w:color w:val="auto"/>
          <w:w w:val="99"/>
          <w:sz w:val="24"/>
          <w:szCs w:val="24"/>
          <w:vertAlign w:val="subscript"/>
        </w:rPr>
        <w:t>4</w:t>
      </w:r>
      <w:r>
        <w:rPr>
          <w:rFonts w:hint="default" w:ascii="Times New Roman" w:hAnsi="Times New Roman" w:eastAsia="仿宋" w:cs="Times New Roman"/>
          <w:color w:val="auto"/>
          <w:w w:val="99"/>
          <w:sz w:val="24"/>
          <w:szCs w:val="24"/>
        </w:rPr>
        <w:t>）</w:t>
      </w:r>
      <w:r>
        <w:rPr>
          <w:rFonts w:hint="default"/>
          <w:bCs/>
          <w:color w:val="auto"/>
        </w:rPr>
        <w:t>：岩性主要是人工填土层</w:t>
      </w:r>
      <w:r>
        <w:rPr>
          <w:rFonts w:hint="default" w:ascii="Times New Roman" w:hAnsi="Times New Roman" w:eastAsia="仿宋" w:cs="Times New Roman"/>
          <w:color w:val="auto"/>
          <w:w w:val="99"/>
          <w:sz w:val="24"/>
          <w:szCs w:val="24"/>
        </w:rPr>
        <w:t>（Q</w:t>
      </w:r>
      <w:r>
        <w:rPr>
          <w:rFonts w:hint="default" w:ascii="Times New Roman" w:hAnsi="Times New Roman" w:eastAsia="仿宋" w:cs="Times New Roman"/>
          <w:color w:val="auto"/>
          <w:w w:val="99"/>
          <w:sz w:val="24"/>
          <w:szCs w:val="24"/>
          <w:vertAlign w:val="subscript"/>
        </w:rPr>
        <w:t>4</w:t>
      </w:r>
      <w:r>
        <w:rPr>
          <w:rFonts w:hint="default" w:ascii="Times New Roman" w:hAnsi="Times New Roman" w:eastAsia="仿宋" w:cs="Times New Roman"/>
          <w:i/>
          <w:color w:val="auto"/>
          <w:w w:val="99"/>
          <w:sz w:val="24"/>
          <w:szCs w:val="24"/>
          <w:vertAlign w:val="superscript"/>
        </w:rPr>
        <w:t>ml</w:t>
      </w:r>
      <w:r>
        <w:rPr>
          <w:rFonts w:hint="default" w:ascii="Times New Roman" w:hAnsi="Times New Roman" w:eastAsia="仿宋" w:cs="Times New Roman"/>
          <w:color w:val="auto"/>
          <w:w w:val="99"/>
          <w:sz w:val="24"/>
          <w:szCs w:val="24"/>
        </w:rPr>
        <w:t xml:space="preserve"> ）</w:t>
      </w:r>
      <w:r>
        <w:rPr>
          <w:rFonts w:hint="default"/>
          <w:bCs/>
          <w:color w:val="auto"/>
        </w:rPr>
        <w:t>的杂填土、冲积层</w:t>
      </w:r>
      <w:r>
        <w:rPr>
          <w:rFonts w:hint="default" w:ascii="Times New Roman" w:hAnsi="Times New Roman" w:eastAsia="仿宋" w:cs="Times New Roman"/>
          <w:color w:val="auto"/>
          <w:w w:val="99"/>
          <w:sz w:val="24"/>
          <w:szCs w:val="24"/>
        </w:rPr>
        <w:t>(Q</w:t>
      </w:r>
      <w:r>
        <w:rPr>
          <w:rFonts w:hint="default" w:ascii="Times New Roman" w:hAnsi="Times New Roman" w:eastAsia="仿宋" w:cs="Times New Roman"/>
          <w:color w:val="auto"/>
          <w:w w:val="99"/>
          <w:sz w:val="24"/>
          <w:szCs w:val="24"/>
          <w:vertAlign w:val="subscript"/>
        </w:rPr>
        <w:t>4</w:t>
      </w:r>
      <w:r>
        <w:rPr>
          <w:rFonts w:hint="default" w:ascii="Times New Roman" w:hAnsi="Times New Roman" w:eastAsia="仿宋" w:cs="Times New Roman"/>
          <w:color w:val="auto"/>
          <w:w w:val="99"/>
          <w:sz w:val="24"/>
          <w:szCs w:val="24"/>
          <w:vertAlign w:val="superscript"/>
        </w:rPr>
        <w:t>al</w:t>
      </w:r>
      <w:r>
        <w:rPr>
          <w:rFonts w:hint="default" w:ascii="Times New Roman" w:hAnsi="Times New Roman" w:eastAsia="仿宋" w:cs="Times New Roman"/>
          <w:color w:val="auto"/>
          <w:w w:val="99"/>
          <w:sz w:val="24"/>
          <w:szCs w:val="24"/>
        </w:rPr>
        <w:t>)</w:t>
      </w:r>
      <w:r>
        <w:rPr>
          <w:rFonts w:hint="default"/>
          <w:bCs/>
          <w:color w:val="auto"/>
        </w:rPr>
        <w:t>的</w:t>
      </w:r>
    </w:p>
    <w:p>
      <w:pPr>
        <w:spacing w:line="360" w:lineRule="auto"/>
        <w:jc w:val="both"/>
        <w:rPr>
          <w:rFonts w:hint="default" w:ascii="Times New Roman" w:hAnsi="Times New Roman" w:eastAsia="仿宋" w:cs="Times New Roman"/>
          <w:color w:val="auto"/>
          <w:w w:val="99"/>
          <w:sz w:val="24"/>
          <w:szCs w:val="24"/>
        </w:rPr>
      </w:pPr>
      <w:r>
        <w:rPr>
          <w:rFonts w:hint="default"/>
          <w:bCs/>
          <w:color w:val="auto"/>
        </w:rPr>
        <w:t>淤泥质粉质粘土、粉质粘土、坡积层</w:t>
      </w:r>
      <w:r>
        <w:rPr>
          <w:rFonts w:hint="default" w:ascii="Times New Roman" w:hAnsi="Times New Roman" w:eastAsia="仿宋" w:cs="Times New Roman"/>
          <w:color w:val="auto"/>
          <w:w w:val="99"/>
          <w:sz w:val="24"/>
          <w:szCs w:val="24"/>
        </w:rPr>
        <w:t>(Q</w:t>
      </w:r>
      <w:r>
        <w:rPr>
          <w:rFonts w:hint="default" w:ascii="Times New Roman" w:hAnsi="Times New Roman" w:eastAsia="仿宋" w:cs="Times New Roman"/>
          <w:color w:val="auto"/>
          <w:w w:val="99"/>
          <w:sz w:val="24"/>
          <w:szCs w:val="24"/>
          <w:vertAlign w:val="subscript"/>
        </w:rPr>
        <w:t>4</w:t>
      </w:r>
      <w:r>
        <w:rPr>
          <w:rFonts w:hint="default" w:ascii="Times New Roman" w:hAnsi="Times New Roman" w:eastAsia="仿宋" w:cs="Times New Roman"/>
          <w:color w:val="auto"/>
          <w:w w:val="99"/>
          <w:sz w:val="24"/>
          <w:szCs w:val="24"/>
          <w:vertAlign w:val="superscript"/>
        </w:rPr>
        <w:t>dl</w:t>
      </w:r>
      <w:r>
        <w:rPr>
          <w:rFonts w:hint="default" w:ascii="Times New Roman" w:hAnsi="Times New Roman" w:eastAsia="仿宋" w:cs="Times New Roman"/>
          <w:color w:val="auto"/>
          <w:w w:val="99"/>
          <w:sz w:val="24"/>
          <w:szCs w:val="24"/>
        </w:rPr>
        <w:t>)</w:t>
      </w:r>
      <w:r>
        <w:rPr>
          <w:rFonts w:hint="default"/>
          <w:bCs/>
          <w:color w:val="auto"/>
        </w:rPr>
        <w:t>粉质粘土、残积层</w:t>
      </w:r>
      <w:r>
        <w:rPr>
          <w:rFonts w:hint="default" w:ascii="Times New Roman" w:hAnsi="Times New Roman" w:eastAsia="仿宋" w:cs="Times New Roman"/>
          <w:color w:val="auto"/>
          <w:w w:val="99"/>
          <w:sz w:val="24"/>
          <w:szCs w:val="24"/>
        </w:rPr>
        <w:t>(Q</w:t>
      </w:r>
      <w:r>
        <w:rPr>
          <w:rFonts w:hint="default" w:ascii="Times New Roman" w:hAnsi="Times New Roman" w:eastAsia="仿宋" w:cs="Times New Roman"/>
          <w:color w:val="auto"/>
          <w:w w:val="99"/>
          <w:sz w:val="24"/>
          <w:szCs w:val="24"/>
          <w:vertAlign w:val="subscript"/>
        </w:rPr>
        <w:t>4</w:t>
      </w:r>
      <w:r>
        <w:rPr>
          <w:rFonts w:hint="default" w:ascii="Times New Roman" w:hAnsi="Times New Roman" w:eastAsia="仿宋" w:cs="Times New Roman"/>
          <w:color w:val="auto"/>
          <w:w w:val="99"/>
          <w:sz w:val="24"/>
          <w:szCs w:val="24"/>
          <w:vertAlign w:val="superscript"/>
        </w:rPr>
        <w:t>el</w:t>
      </w:r>
      <w:r>
        <w:rPr>
          <w:rFonts w:hint="default" w:ascii="Times New Roman" w:hAnsi="Times New Roman" w:eastAsia="仿宋" w:cs="Times New Roman"/>
          <w:color w:val="auto"/>
          <w:w w:val="99"/>
          <w:sz w:val="24"/>
          <w:szCs w:val="24"/>
        </w:rPr>
        <w:t>)</w:t>
      </w:r>
      <w:r>
        <w:rPr>
          <w:rFonts w:hint="default"/>
          <w:bCs/>
          <w:color w:val="auto"/>
        </w:rPr>
        <w:t>砂质粘性土</w:t>
      </w:r>
      <w:r>
        <w:rPr>
          <w:rFonts w:hint="default" w:ascii="Times New Roman" w:hAnsi="Times New Roman" w:eastAsia="仿宋" w:cs="Times New Roman"/>
          <w:color w:val="auto"/>
          <w:w w:val="99"/>
          <w:sz w:val="24"/>
          <w:szCs w:val="24"/>
        </w:rPr>
        <w:t>。</w:t>
      </w:r>
    </w:p>
    <w:p>
      <w:pPr>
        <w:spacing w:line="360" w:lineRule="auto"/>
        <w:ind w:firstLine="532" w:firstLineChars="200"/>
        <w:jc w:val="both"/>
        <w:rPr>
          <w:rFonts w:hint="default" w:ascii="Times New Roman" w:hAnsi="Times New Roman" w:eastAsia="仿宋" w:cs="Times New Roman"/>
          <w:color w:val="auto"/>
          <w:w w:val="99"/>
          <w:sz w:val="24"/>
          <w:szCs w:val="24"/>
        </w:rPr>
      </w:pPr>
      <w:r>
        <w:rPr>
          <w:rFonts w:hint="default"/>
          <w:bCs/>
          <w:color w:val="auto"/>
        </w:rPr>
        <w:t>（2）燕山三期</w:t>
      </w:r>
      <w:r>
        <w:rPr>
          <w:rFonts w:hint="default" w:ascii="Times New Roman" w:hAnsi="Times New Roman" w:eastAsia="仿宋" w:cs="Times New Roman"/>
          <w:bCs/>
          <w:color w:val="auto"/>
          <w:w w:val="99"/>
          <w:sz w:val="24"/>
          <w:szCs w:val="24"/>
        </w:rPr>
        <w:t>（γ</w:t>
      </w:r>
      <w:r>
        <w:rPr>
          <w:rFonts w:hint="default" w:ascii="Times New Roman" w:hAnsi="Times New Roman" w:eastAsia="仿宋" w:cs="Times New Roman"/>
          <w:bCs/>
          <w:color w:val="auto"/>
          <w:w w:val="99"/>
          <w:sz w:val="24"/>
          <w:szCs w:val="24"/>
          <w:vertAlign w:val="subscript"/>
        </w:rPr>
        <w:t>5</w:t>
      </w:r>
      <w:r>
        <w:rPr>
          <w:rFonts w:hint="default" w:ascii="Times New Roman" w:hAnsi="Times New Roman" w:eastAsia="仿宋" w:cs="Times New Roman"/>
          <w:bCs/>
          <w:color w:val="auto"/>
          <w:w w:val="99"/>
          <w:sz w:val="24"/>
          <w:szCs w:val="24"/>
          <w:vertAlign w:val="superscript"/>
        </w:rPr>
        <w:t>2（3）</w:t>
      </w:r>
      <w:r>
        <w:rPr>
          <w:rFonts w:hint="default" w:ascii="Times New Roman" w:hAnsi="Times New Roman" w:eastAsia="仿宋" w:cs="Times New Roman"/>
          <w:bCs/>
          <w:color w:val="auto"/>
          <w:w w:val="99"/>
          <w:sz w:val="24"/>
          <w:szCs w:val="24"/>
        </w:rPr>
        <w:t>）</w:t>
      </w:r>
      <w:r>
        <w:rPr>
          <w:rFonts w:hint="default"/>
          <w:bCs/>
          <w:color w:val="auto"/>
        </w:rPr>
        <w:t>基岩（岩性为花岗岩）：岩性颜色主要为褐黄间青灰褐，黄褐，浅灰白，浅深灰色，浅青灰褐等斑点色为主，岩性主要呈全风化、强风化岩、中风化岩花岗岩。该地层在场地中被第四系地层所覆盖。</w:t>
      </w:r>
    </w:p>
    <w:p>
      <w:pPr>
        <w:spacing w:line="360" w:lineRule="auto"/>
        <w:ind w:firstLine="532" w:firstLineChars="200"/>
        <w:jc w:val="both"/>
        <w:rPr>
          <w:rFonts w:hint="eastAsia"/>
          <w:bCs/>
          <w:color w:val="auto"/>
        </w:rPr>
      </w:pPr>
      <w:r>
        <w:rPr>
          <w:rFonts w:hint="eastAsia"/>
          <w:bCs/>
          <w:color w:val="auto"/>
          <w:lang w:val="en-US" w:eastAsia="zh-CN"/>
        </w:rPr>
        <w:t>4</w:t>
      </w:r>
      <w:r>
        <w:rPr>
          <w:rFonts w:hint="eastAsia"/>
          <w:bCs/>
          <w:color w:val="auto"/>
        </w:rPr>
        <w:t>、</w:t>
      </w:r>
      <w:r>
        <w:rPr>
          <w:rFonts w:hint="default"/>
          <w:bCs/>
          <w:color w:val="auto"/>
        </w:rPr>
        <w:t>地质构造特征</w:t>
      </w:r>
    </w:p>
    <w:p>
      <w:pPr>
        <w:spacing w:line="353" w:lineRule="auto"/>
        <w:ind w:firstLine="600" w:firstLineChars="250"/>
        <w:rPr>
          <w:rFonts w:hint="eastAsia"/>
          <w:bCs/>
          <w:color w:val="auto"/>
        </w:rPr>
      </w:pPr>
      <w:r>
        <w:rPr>
          <w:rFonts w:hint="eastAsia"/>
          <w:bCs/>
          <w:color w:val="auto"/>
        </w:rPr>
        <w:t>拟建场地位于北东向莲花山断裂带东北支段展布区。该断裂带斜贯全区，是区内的主导构造。顺沿着莲花山山脉向东北经丰顺、梅县、大埔，进入福建的华安、南靖一带。地质构造比较复杂，以断裂构造为主，可分为北东、东西和北西向三组。北东向断裂规模宏大，北西向多出现在沿海，沿断裂有多次大面积的岩浆侵入和喷发，动力变质和接触变质作用分布普遍。褶皱构造多与断裂相伴产出，由于受到多次断裂作用及岩浆侵入的破坏，多数不太完整。自新第三纪以来为现代地貌主要形成期，此期的新构造运动，受北东及北西向两组断裂的联合控制，其主要表现为区域性不均衡间歇上升、第四纪断陷盆地的继承性活动。梅州地区断裂最新强烈活动期的地质证据</w:t>
      </w:r>
      <w:r>
        <w:rPr>
          <w:rFonts w:hint="eastAsia"/>
          <w:bCs/>
          <w:color w:val="auto"/>
          <w:lang w:eastAsia="zh-CN"/>
        </w:rPr>
        <w:t>。</w:t>
      </w:r>
    </w:p>
    <w:p>
      <w:pPr>
        <w:spacing w:line="353" w:lineRule="auto"/>
        <w:ind w:firstLine="600" w:firstLineChars="250"/>
        <w:rPr>
          <w:rFonts w:hint="eastAsia"/>
          <w:bCs/>
          <w:color w:val="auto"/>
        </w:rPr>
      </w:pPr>
      <w:r>
        <w:rPr>
          <w:rFonts w:hint="eastAsia"/>
          <w:bCs/>
          <w:color w:val="auto"/>
        </w:rPr>
        <w:t>大致出现在晚更新世晚期之前的早、中期，晚更新世晚期后至全新世以来，本区的断裂构造活动已显著减弱，区内尚未发现全新世沉积层为断裂切割现象及断裂活动形成的构造地貌。按《岩土工程勘察规范》（GB50021-2001，2009年版）中表5.8.3中“全新活动断裂分级”的评定标准，综合评定本区为Ⅲ级-微弱全新活动断裂级别。</w:t>
      </w:r>
    </w:p>
    <w:p>
      <w:pPr>
        <w:spacing w:line="353" w:lineRule="auto"/>
        <w:ind w:firstLine="600" w:firstLineChars="250"/>
        <w:rPr>
          <w:rFonts w:hint="eastAsia"/>
          <w:bCs/>
          <w:color w:val="auto"/>
        </w:rPr>
      </w:pPr>
      <w:r>
        <w:rPr>
          <w:rFonts w:hint="eastAsia"/>
          <w:bCs/>
          <w:color w:val="auto"/>
        </w:rPr>
        <w:t>综上所述，本工程场地内未揭露有断裂构造，不会发生突发性构造运动</w:t>
      </w:r>
    </w:p>
    <w:p>
      <w:pPr>
        <w:spacing w:line="353" w:lineRule="auto"/>
        <w:ind w:firstLine="600" w:firstLineChars="250"/>
        <w:rPr>
          <w:bCs/>
          <w:color w:val="auto"/>
        </w:rPr>
      </w:pPr>
      <w:r>
        <w:rPr>
          <w:rFonts w:hint="eastAsia"/>
          <w:bCs/>
          <w:color w:val="auto"/>
          <w:lang w:val="en-US" w:eastAsia="zh-CN"/>
        </w:rPr>
        <w:t>5</w:t>
      </w:r>
      <w:r>
        <w:rPr>
          <w:rFonts w:hint="eastAsia"/>
          <w:bCs/>
          <w:color w:val="auto"/>
        </w:rPr>
        <w:t>、水文地质条件</w:t>
      </w:r>
    </w:p>
    <w:p>
      <w:pPr>
        <w:spacing w:line="353" w:lineRule="auto"/>
        <w:ind w:firstLine="480" w:firstLineChars="200"/>
        <w:jc w:val="both"/>
        <w:rPr>
          <w:rFonts w:hint="eastAsia"/>
          <w:bCs/>
          <w:color w:val="auto"/>
        </w:rPr>
      </w:pPr>
      <w:r>
        <w:rPr>
          <w:rFonts w:hint="eastAsia"/>
          <w:bCs/>
          <w:color w:val="auto"/>
        </w:rPr>
        <w:t>本场地地下水类型主要有第四系孔隙水（下称孔隙水）和燕山三期（γ52（3））花岗岩基岩裂隙水（下称基岩裂隙水）。</w:t>
      </w:r>
    </w:p>
    <w:p>
      <w:pPr>
        <w:spacing w:line="353" w:lineRule="auto"/>
        <w:ind w:firstLine="480" w:firstLineChars="200"/>
        <w:jc w:val="both"/>
        <w:rPr>
          <w:rFonts w:hint="eastAsia"/>
          <w:bCs/>
          <w:color w:val="auto"/>
        </w:rPr>
      </w:pPr>
      <w:r>
        <w:rPr>
          <w:rFonts w:hint="eastAsia"/>
          <w:bCs/>
          <w:color w:val="auto"/>
        </w:rPr>
        <w:t>本场地人工填土（杂填土）中，含水量不稳定，其动态受季节性控制，主要接受大气降水、地表沟渠及生活用水的渗透补给。孔隙水：主要存在于第四系冲积层淤泥质粉质粘土&lt;②1&gt;层共45个钻孔揭露，受周围山体阻碍地下水排流不畅长期浸泡形成的饱和水，广泛分布于本场地水田区域钻孔中，厚度较大，其透水性较差、富水性较好，孔隙水含量丰富；冲积层粉质粘土、坡积层粉质粘土、残积层砂质粘性土、全风化花岗岩渗透性较差，孔隙水含水量较小，为微弱透水层。基岩裂隙水：基岩裂隙水受岩层破碎程度影响，因此基岩裂隙水含水量具有不均匀性，主要赋存在强风化岩、中风化岩中，含水量与基岩的裂隙发育及其连通性有关，主要补给来源为侧向渗透补给；强风化岩、中风化岩裂隙较发育，遍布整个场区，在钻探过程中未发生严重漏水漏浆的现象，说明裂隙的连通性较差，透水性较弱。</w:t>
      </w:r>
    </w:p>
    <w:p>
      <w:pPr>
        <w:spacing w:line="353" w:lineRule="auto"/>
        <w:ind w:firstLine="480" w:firstLineChars="200"/>
        <w:jc w:val="both"/>
        <w:rPr>
          <w:rFonts w:hint="eastAsia"/>
          <w:bCs/>
          <w:color w:val="auto"/>
        </w:rPr>
      </w:pPr>
      <w:r>
        <w:rPr>
          <w:rFonts w:hint="eastAsia"/>
          <w:bCs/>
          <w:color w:val="auto"/>
        </w:rPr>
        <w:t>本次勘察场地东侧为山沟源头，沟水流向为东西向，本场地现有山沟排水十分畅通，基本上山沟水流入或渗透到水田里面是区内地下水的主要补给来源，其次地下水也靠大气降水补给，蒸发及向低洼地段渗透为地下水排泄方式，地下水水位随季节性变化，场地及附近区域不存在对地下水和地表水的污染源，勘察期间测得钻孔初始地下水位深度为0.00～13.00m，稳定地下水位深度为0.10～12.20m，水位标高153.80～177.02m，水田区域钻孔地下水位基本上没变化，低山坡脚区域钻孔地下水位起伏变化幅度大。</w:t>
      </w:r>
    </w:p>
    <w:bookmarkEnd w:id="654"/>
    <w:bookmarkEnd w:id="655"/>
    <w:bookmarkEnd w:id="656"/>
    <w:p>
      <w:pPr>
        <w:spacing w:line="353" w:lineRule="auto"/>
        <w:ind w:firstLine="480" w:firstLineChars="200"/>
        <w:rPr>
          <w:color w:val="auto"/>
        </w:rPr>
      </w:pPr>
    </w:p>
    <w:p>
      <w:pPr>
        <w:spacing w:line="353" w:lineRule="auto"/>
        <w:ind w:firstLine="480" w:firstLineChars="200"/>
        <w:rPr>
          <w:color w:val="auto"/>
        </w:rPr>
      </w:pPr>
    </w:p>
    <w:p>
      <w:pPr>
        <w:spacing w:line="353" w:lineRule="auto"/>
        <w:ind w:firstLine="480" w:firstLineChars="200"/>
        <w:rPr>
          <w:color w:val="auto"/>
        </w:rPr>
      </w:pPr>
    </w:p>
    <w:p>
      <w:pPr>
        <w:spacing w:line="353" w:lineRule="auto"/>
        <w:ind w:firstLine="480" w:firstLineChars="200"/>
        <w:rPr>
          <w:color w:val="auto"/>
        </w:rPr>
      </w:pPr>
    </w:p>
    <w:p>
      <w:pPr>
        <w:spacing w:line="353" w:lineRule="auto"/>
        <w:ind w:firstLine="480" w:firstLineChars="200"/>
        <w:rPr>
          <w:color w:val="auto"/>
        </w:rPr>
      </w:pPr>
    </w:p>
    <w:p>
      <w:pPr>
        <w:spacing w:line="353" w:lineRule="auto"/>
        <w:ind w:firstLine="480" w:firstLineChars="200"/>
        <w:rPr>
          <w:color w:val="auto"/>
        </w:rPr>
      </w:pPr>
    </w:p>
    <w:p>
      <w:pPr>
        <w:spacing w:line="353" w:lineRule="auto"/>
        <w:ind w:firstLine="480" w:firstLineChars="200"/>
        <w:rPr>
          <w:color w:val="auto"/>
        </w:rPr>
      </w:pPr>
    </w:p>
    <w:p>
      <w:pPr>
        <w:spacing w:line="353" w:lineRule="auto"/>
        <w:ind w:firstLine="480" w:firstLineChars="200"/>
        <w:rPr>
          <w:color w:val="auto"/>
        </w:rPr>
      </w:pPr>
    </w:p>
    <w:p>
      <w:pPr>
        <w:spacing w:line="353" w:lineRule="auto"/>
        <w:ind w:firstLine="480" w:firstLineChars="200"/>
        <w:rPr>
          <w:color w:val="auto"/>
        </w:rPr>
      </w:pPr>
    </w:p>
    <w:p>
      <w:pPr>
        <w:spacing w:line="353" w:lineRule="auto"/>
        <w:ind w:firstLine="480" w:firstLineChars="200"/>
        <w:rPr>
          <w:color w:val="auto"/>
        </w:rPr>
      </w:pPr>
    </w:p>
    <w:p>
      <w:pPr>
        <w:spacing w:line="353" w:lineRule="auto"/>
        <w:ind w:firstLine="480" w:firstLineChars="200"/>
        <w:rPr>
          <w:color w:val="auto"/>
        </w:rPr>
      </w:pPr>
    </w:p>
    <w:p>
      <w:pPr>
        <w:spacing w:line="353" w:lineRule="auto"/>
        <w:rPr>
          <w:color w:val="auto"/>
        </w:rPr>
        <w:sectPr>
          <w:pgSz w:w="11906" w:h="16838"/>
          <w:pgMar w:top="1134" w:right="1134" w:bottom="1134" w:left="1701" w:header="709" w:footer="964" w:gutter="0"/>
          <w:pgNumType w:fmt="decimal"/>
          <w:cols w:space="720" w:num="1"/>
          <w:docGrid w:linePitch="312" w:charSpace="0"/>
        </w:sectPr>
      </w:pPr>
    </w:p>
    <w:p>
      <w:pPr>
        <w:spacing w:line="353" w:lineRule="auto"/>
        <w:jc w:val="center"/>
        <w:rPr>
          <w:color w:val="auto"/>
        </w:rPr>
      </w:pPr>
      <w:r>
        <w:rPr>
          <w:b/>
          <w:bCs/>
          <w:color w:val="auto"/>
        </w:rPr>
        <mc:AlternateContent>
          <mc:Choice Requires="wps">
            <w:drawing>
              <wp:anchor distT="0" distB="0" distL="114300" distR="114300" simplePos="0" relativeHeight="251712512" behindDoc="0" locked="0" layoutInCell="1" allowOverlap="1">
                <wp:simplePos x="0" y="0"/>
                <wp:positionH relativeFrom="column">
                  <wp:posOffset>3718560</wp:posOffset>
                </wp:positionH>
                <wp:positionV relativeFrom="paragraph">
                  <wp:posOffset>2577465</wp:posOffset>
                </wp:positionV>
                <wp:extent cx="857250" cy="304800"/>
                <wp:effectExtent l="0" t="266700" r="19050" b="19050"/>
                <wp:wrapNone/>
                <wp:docPr id="57" name="对话气泡: 矩形 57"/>
                <wp:cNvGraphicFramePr/>
                <a:graphic xmlns:a="http://schemas.openxmlformats.org/drawingml/2006/main">
                  <a:graphicData uri="http://schemas.microsoft.com/office/word/2010/wordprocessingShape">
                    <wps:wsp>
                      <wps:cNvSpPr/>
                      <wps:spPr>
                        <a:xfrm>
                          <a:off x="0" y="0"/>
                          <a:ext cx="857250" cy="304800"/>
                        </a:xfrm>
                        <a:prstGeom prst="wedgeRectCallout">
                          <a:avLst>
                            <a:gd name="adj1" fmla="val -19769"/>
                            <a:gd name="adj2" fmla="val -137181"/>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57" o:spid="_x0000_s1026" o:spt="61" type="#_x0000_t61" style="position:absolute;left:0pt;margin-left:292.8pt;margin-top:202.95pt;height:24pt;width:67.5pt;z-index:251712512;v-text-anchor:middle;mso-width-relative:page;mso-height-relative:page;" filled="f" stroked="t" coordsize="21600,21600" o:gfxdata="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HP7Vm2wAAAAsB&#10;AAAPAAAAAAAAAAEAIAAAACIAAABkcnMvZG93bnJldi54bWxQSwECFAAUAAAACACHTuJApb3Hb4oC&#10;AADgBAAADgAAAAAAAAABACAAAAAqAQAAZHJzL2Uyb0RvYy54bWxQSwUGAAAAAAYABgBZAQAAJgYA&#10;AAAA&#10;" adj="6530,-18831">
                <v:fill on="f" focussize="0,0"/>
                <v:stroke weight="1.5pt" color="#000000 [3213]" joinstyle="round"/>
                <v:imagedata o:title=""/>
                <o:lock v:ext="edit" aspectratio="f"/>
                <v:textbox>
                  <w:txbxContent>
                    <w:p>
                      <w:pPr>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项目位置</w:t>
                      </w:r>
                    </w:p>
                  </w:txbxContent>
                </v:textbox>
              </v:shape>
            </w:pict>
          </mc:Fallback>
        </mc:AlternateContent>
      </w:r>
      <w:r>
        <w:rPr>
          <w:b/>
          <w:bCs/>
          <w:color w:val="auto"/>
        </w:rPr>
        <mc:AlternateContent>
          <mc:Choice Requires="wps">
            <w:drawing>
              <wp:anchor distT="0" distB="0" distL="114300" distR="114300" simplePos="0" relativeHeight="251710464" behindDoc="0" locked="0" layoutInCell="1" allowOverlap="1">
                <wp:simplePos x="0" y="0"/>
                <wp:positionH relativeFrom="column">
                  <wp:posOffset>3909060</wp:posOffset>
                </wp:positionH>
                <wp:positionV relativeFrom="paragraph">
                  <wp:posOffset>2186940</wp:posOffset>
                </wp:positionV>
                <wp:extent cx="123825" cy="123825"/>
                <wp:effectExtent l="19050" t="38100" r="47625" b="47625"/>
                <wp:wrapNone/>
                <wp:docPr id="56" name="星形: 五角 56"/>
                <wp:cNvGraphicFramePr/>
                <a:graphic xmlns:a="http://schemas.openxmlformats.org/drawingml/2006/main">
                  <a:graphicData uri="http://schemas.microsoft.com/office/word/2010/wordprocessingShape">
                    <wps:wsp>
                      <wps:cNvSpPr/>
                      <wps:spPr>
                        <a:xfrm>
                          <a:off x="0" y="0"/>
                          <a:ext cx="123825" cy="123825"/>
                        </a:xfrm>
                        <a:prstGeom prst="star5">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五角 56" o:spid="_x0000_s1026" style="position:absolute;left:0pt;margin-left:307.8pt;margin-top:172.2pt;height:9.75pt;width:9.75pt;z-index:251710464;v-text-anchor:middle;mso-width-relative:page;mso-height-relative:page;" fillcolor="#00B050" filled="t" stroked="t" coordsize="123825,123825" o:gfxdata="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jPvlZ2gAAAAsB&#10;AAAPAAAAAAAAAAEAIAAAACIAAABkcnMvZG93bnJldi54bWxQSwECFAAUAAAACACHTuJA+CHSCVIC&#10;AACZBAAADgAAAAAAAAABACAAAAApAQAAZHJzL2Uyb0RvYy54bWxQSwUGAAAAAAYABgBZAQAA7QUA&#10;AAAA&#10;" path="m0,47296l47297,47297,61912,0,76527,47297,123824,47296,85560,76527,100176,123824,61912,94593,23648,123824,38264,76527xe">
                <v:path o:connectlocs="61912,0;0,47296;23648,123824;100176,123824;123824,47296" o:connectangles="16200000,10800000,5400000,5400000,0"/>
                <v:fill on="t" focussize="0,0"/>
                <v:stroke weight="2pt" color="#00B050 [3204]" joinstyle="round"/>
                <v:imagedata o:title=""/>
                <o:lock v:ext="edit" aspectratio="f"/>
              </v:shape>
            </w:pict>
          </mc:Fallback>
        </mc:AlternateContent>
      </w:r>
      <w:r>
        <w:rPr>
          <w:b/>
          <w:bCs/>
          <w:color w:val="auto"/>
        </w:rPr>
        <w:drawing>
          <wp:anchor distT="0" distB="0" distL="114300" distR="114300" simplePos="0" relativeHeight="251706368" behindDoc="0" locked="0" layoutInCell="1" allowOverlap="1">
            <wp:simplePos x="0" y="0"/>
            <wp:positionH relativeFrom="column">
              <wp:posOffset>7128510</wp:posOffset>
            </wp:positionH>
            <wp:positionV relativeFrom="paragraph">
              <wp:posOffset>757555</wp:posOffset>
            </wp:positionV>
            <wp:extent cx="1906270" cy="4359275"/>
            <wp:effectExtent l="0" t="0" r="0" b="3175"/>
            <wp:wrapNone/>
            <wp:docPr id="1304" name="图片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图片 1304"/>
                    <pic:cNvPicPr>
                      <a:picLocks noChangeAspect="1"/>
                    </pic:cNvPicPr>
                  </pic:nvPicPr>
                  <pic:blipFill>
                    <a:blip r:embed="rId111" cstate="print">
                      <a:extLst>
                        <a:ext uri="{28A0092B-C50C-407E-A947-70E740481C1C}">
                          <a14:useLocalDpi xmlns:a14="http://schemas.microsoft.com/office/drawing/2010/main" val="0"/>
                        </a:ext>
                      </a:extLst>
                    </a:blip>
                    <a:srcRect t="10706" r="9435" b="962"/>
                    <a:stretch>
                      <a:fillRect/>
                    </a:stretch>
                  </pic:blipFill>
                  <pic:spPr>
                    <a:xfrm>
                      <a:off x="0" y="0"/>
                      <a:ext cx="1907034" cy="4361233"/>
                    </a:xfrm>
                    <a:prstGeom prst="rect">
                      <a:avLst/>
                    </a:prstGeom>
                    <a:ln>
                      <a:noFill/>
                    </a:ln>
                  </pic:spPr>
                </pic:pic>
              </a:graphicData>
            </a:graphic>
          </wp:anchor>
        </w:drawing>
      </w:r>
      <w:r>
        <w:rPr>
          <w:rFonts w:hint="eastAsia"/>
          <w:color w:val="auto"/>
        </w:rPr>
        <w:t xml:space="preserve"> </w:t>
      </w:r>
      <w:r>
        <w:rPr>
          <w:rFonts w:hint="eastAsia"/>
          <w:color w:val="auto"/>
        </w:rPr>
        <w:drawing>
          <wp:inline distT="0" distB="0" distL="0" distR="0">
            <wp:extent cx="8752840" cy="5172075"/>
            <wp:effectExtent l="0" t="0" r="0" b="0"/>
            <wp:docPr id="1288" name="图片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图片 1288"/>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8770500" cy="5182435"/>
                    </a:xfrm>
                    <a:prstGeom prst="rect">
                      <a:avLst/>
                    </a:prstGeom>
                  </pic:spPr>
                </pic:pic>
              </a:graphicData>
            </a:graphic>
          </wp:inline>
        </w:drawing>
      </w:r>
    </w:p>
    <w:p>
      <w:pPr>
        <w:adjustRightInd w:val="0"/>
        <w:snapToGrid w:val="0"/>
        <w:spacing w:line="360" w:lineRule="auto"/>
        <w:jc w:val="center"/>
        <w:rPr>
          <w:b/>
          <w:bCs/>
          <w:color w:val="auto"/>
        </w:rPr>
      </w:pPr>
      <w:r>
        <w:rPr>
          <w:rFonts w:hint="eastAsia"/>
          <w:b/>
          <w:bCs/>
          <w:color w:val="auto"/>
        </w:rPr>
        <w:t>图5</w:t>
      </w:r>
      <w:r>
        <w:rPr>
          <w:b/>
          <w:bCs/>
          <w:color w:val="auto"/>
        </w:rPr>
        <w:t>.2</w:t>
      </w:r>
      <w:r>
        <w:rPr>
          <w:rFonts w:hint="eastAsia"/>
          <w:b/>
          <w:bCs/>
          <w:color w:val="auto"/>
        </w:rPr>
        <w:t>-2</w:t>
      </w:r>
      <w:r>
        <w:rPr>
          <w:b/>
          <w:bCs/>
          <w:color w:val="auto"/>
        </w:rPr>
        <w:t xml:space="preserve">  </w:t>
      </w:r>
      <w:r>
        <w:rPr>
          <w:rFonts w:hint="eastAsia"/>
          <w:b/>
          <w:bCs/>
          <w:color w:val="auto"/>
        </w:rPr>
        <w:t>水文地质图</w:t>
      </w:r>
    </w:p>
    <w:p>
      <w:pPr>
        <w:adjustRightInd w:val="0"/>
        <w:snapToGrid w:val="0"/>
        <w:spacing w:line="360" w:lineRule="auto"/>
        <w:rPr>
          <w:b/>
          <w:bCs/>
          <w:color w:val="auto"/>
        </w:rPr>
      </w:pPr>
    </w:p>
    <w:p>
      <w:pPr>
        <w:adjustRightInd w:val="0"/>
        <w:snapToGrid w:val="0"/>
        <w:spacing w:line="360" w:lineRule="auto"/>
        <w:rPr>
          <w:b/>
          <w:bCs/>
          <w:color w:val="auto"/>
        </w:rPr>
        <w:sectPr>
          <w:pgSz w:w="16838" w:h="11906" w:orient="landscape"/>
          <w:pgMar w:top="1701" w:right="1134" w:bottom="1134" w:left="1134" w:header="709" w:footer="964" w:gutter="0"/>
          <w:pgNumType w:fmt="decimal"/>
          <w:cols w:space="720" w:num="1"/>
          <w:docGrid w:linePitch="326" w:charSpace="0"/>
        </w:sectPr>
      </w:pPr>
    </w:p>
    <w:p>
      <w:pPr>
        <w:adjustRightInd w:val="0"/>
        <w:snapToGrid w:val="0"/>
        <w:spacing w:line="360" w:lineRule="auto"/>
        <w:rPr>
          <w:b/>
          <w:bCs/>
          <w:color w:val="auto"/>
        </w:rPr>
      </w:pPr>
      <w:r>
        <w:rPr>
          <w:b/>
          <w:bCs/>
          <w:color w:val="auto"/>
        </w:rPr>
        <w:t>5.2.3.2</w:t>
      </w:r>
      <w:r>
        <w:rPr>
          <w:rFonts w:hint="eastAsia"/>
          <w:b/>
          <w:bCs/>
          <w:color w:val="auto"/>
        </w:rPr>
        <w:t>地下水环境影响分析</w:t>
      </w:r>
    </w:p>
    <w:p>
      <w:pPr>
        <w:spacing w:line="360" w:lineRule="auto"/>
        <w:rPr>
          <w:b/>
          <w:color w:val="auto"/>
        </w:rPr>
      </w:pPr>
      <w:r>
        <w:rPr>
          <w:rFonts w:hint="eastAsia"/>
          <w:b/>
          <w:color w:val="auto"/>
        </w:rPr>
        <w:t>一、</w:t>
      </w:r>
      <w:r>
        <w:rPr>
          <w:b/>
          <w:color w:val="auto"/>
        </w:rPr>
        <w:t>地下水污染途径</w:t>
      </w:r>
    </w:p>
    <w:p>
      <w:pPr>
        <w:spacing w:line="360" w:lineRule="auto"/>
        <w:ind w:firstLine="480"/>
        <w:rPr>
          <w:color w:val="auto"/>
        </w:rPr>
      </w:pPr>
      <w:r>
        <w:rPr>
          <w:rFonts w:hint="eastAsia"/>
          <w:color w:val="auto"/>
        </w:rPr>
        <w:t>污染物从污染源进入地下水所经过路径称为地下水污染途径。污染物对地下水的影响主要是由于降雨或废水排放等通过垂直渗透进入包气带，进入包气带的污染物在物理、化学和生物作用下经吸附、转化、迁移和分解后输入地下水。因此，包气带是联接地面污染物与地下含水层的主要通道和过渡带，既是污染物媒介体，又是污染物的净化场所和保护层。地下水能否被污染以及污染物的种类和性质，一般来说，土壤粒细而紧密，渗透性差，则污染慢，反之，颗粒大松散，渗透性能良好则污染重。</w:t>
      </w:r>
    </w:p>
    <w:p>
      <w:pPr>
        <w:spacing w:line="360" w:lineRule="auto"/>
        <w:ind w:firstLine="600" w:firstLineChars="250"/>
        <w:rPr>
          <w:color w:val="auto"/>
        </w:rPr>
      </w:pPr>
      <w:r>
        <w:rPr>
          <w:rFonts w:hint="eastAsia"/>
          <w:color w:val="auto"/>
        </w:rPr>
        <w:t>1、可能导致地下水污染的情景</w:t>
      </w:r>
    </w:p>
    <w:p>
      <w:pPr>
        <w:spacing w:line="360" w:lineRule="auto"/>
        <w:ind w:firstLine="480"/>
        <w:rPr>
          <w:color w:val="auto"/>
        </w:rPr>
      </w:pPr>
      <w:r>
        <w:rPr>
          <w:rFonts w:hint="eastAsia"/>
          <w:color w:val="auto"/>
        </w:rPr>
        <w:t>（1）废水处理设施、管道泄漏</w:t>
      </w:r>
    </w:p>
    <w:p>
      <w:pPr>
        <w:spacing w:line="360" w:lineRule="auto"/>
        <w:ind w:firstLine="480"/>
        <w:rPr>
          <w:color w:val="auto"/>
        </w:rPr>
      </w:pPr>
      <w:r>
        <w:rPr>
          <w:rFonts w:hint="eastAsia"/>
          <w:color w:val="auto"/>
        </w:rPr>
        <w:t>本项目废水收集管网、废水处理设施发生故障，造成生产废水泄漏，可能造成废水下渗，可能对地下水造成污染。</w:t>
      </w:r>
    </w:p>
    <w:p>
      <w:pPr>
        <w:spacing w:line="360" w:lineRule="auto"/>
        <w:ind w:firstLine="480"/>
        <w:rPr>
          <w:color w:val="auto"/>
        </w:rPr>
      </w:pPr>
      <w:r>
        <w:rPr>
          <w:rFonts w:hint="eastAsia"/>
          <w:color w:val="auto"/>
        </w:rPr>
        <w:t>（2）填埋区淋溶液泄漏</w:t>
      </w:r>
    </w:p>
    <w:p>
      <w:pPr>
        <w:spacing w:line="360" w:lineRule="auto"/>
        <w:ind w:firstLine="480"/>
        <w:rPr>
          <w:color w:val="auto"/>
        </w:rPr>
      </w:pPr>
      <w:r>
        <w:rPr>
          <w:rFonts w:hint="eastAsia"/>
          <w:color w:val="auto"/>
        </w:rPr>
        <w:t>若填埋区未按要求进行防渗，填埋构成的淋溶液会泄漏，可能造成泄漏液体渗漏污染地下水环境。</w:t>
      </w:r>
    </w:p>
    <w:p>
      <w:pPr>
        <w:spacing w:line="360" w:lineRule="auto"/>
        <w:rPr>
          <w:b/>
          <w:color w:val="auto"/>
        </w:rPr>
      </w:pPr>
      <w:r>
        <w:rPr>
          <w:rFonts w:hint="eastAsia"/>
          <w:b/>
          <w:color w:val="auto"/>
        </w:rPr>
        <w:t>二、地下水污染影响分析</w:t>
      </w:r>
    </w:p>
    <w:p>
      <w:pPr>
        <w:pStyle w:val="97"/>
        <w:spacing w:line="360" w:lineRule="auto"/>
        <w:ind w:firstLine="480" w:firstLineChars="200"/>
        <w:jc w:val="both"/>
        <w:rPr>
          <w:rFonts w:ascii="Times New Roman" w:eastAsia="宋体" w:cs="Times New Roman"/>
          <w:bCs/>
          <w:color w:val="auto"/>
        </w:rPr>
      </w:pPr>
      <w:r>
        <w:rPr>
          <w:rFonts w:hint="eastAsia" w:ascii="Times New Roman" w:eastAsia="宋体" w:cs="Times New Roman"/>
          <w:bCs/>
          <w:color w:val="auto"/>
        </w:rPr>
        <w:t>（一）</w:t>
      </w:r>
      <w:r>
        <w:rPr>
          <w:rFonts w:ascii="Times New Roman" w:eastAsia="宋体" w:cs="Times New Roman"/>
          <w:bCs/>
          <w:color w:val="auto"/>
        </w:rPr>
        <w:t>厂区地下水污染预测情景设定</w:t>
      </w:r>
    </w:p>
    <w:p>
      <w:pPr>
        <w:snapToGrid w:val="0"/>
        <w:spacing w:line="360" w:lineRule="auto"/>
        <w:ind w:firstLine="538"/>
        <w:rPr>
          <w:color w:val="auto"/>
        </w:rPr>
      </w:pPr>
      <w:r>
        <w:rPr>
          <w:color w:val="auto"/>
        </w:rPr>
        <w:t>（1）泄漏点的设定</w:t>
      </w:r>
    </w:p>
    <w:p>
      <w:pPr>
        <w:spacing w:line="360" w:lineRule="auto"/>
        <w:ind w:firstLine="480"/>
        <w:rPr>
          <w:color w:val="auto"/>
        </w:rPr>
      </w:pPr>
      <w:r>
        <w:rPr>
          <w:rFonts w:hint="eastAsia"/>
          <w:color w:val="auto"/>
        </w:rPr>
        <w:t>根据设计及环评要求，拟建项目工艺设备和地下水各环保设施均达到设计要求条件，防渗系统完好，污水经收集进入污水处理系统，正常运行情况下，不会有污水的泄露事故，造成废水泄露到土壤和地下水中。</w:t>
      </w:r>
    </w:p>
    <w:p>
      <w:pPr>
        <w:snapToGrid w:val="0"/>
        <w:spacing w:line="360" w:lineRule="auto"/>
        <w:ind w:firstLine="480" w:firstLineChars="200"/>
        <w:jc w:val="both"/>
        <w:rPr>
          <w:color w:val="auto"/>
        </w:rPr>
      </w:pPr>
      <w:r>
        <w:rPr>
          <w:rFonts w:hint="eastAsia"/>
          <w:color w:val="auto"/>
        </w:rPr>
        <w:t>餐厨垃圾项目产生的生产废水依托园区内在建的渗滤液处理站处理，因此，地下水影响主要考虑渗滤液处理站泄露，在《兴宁市静脉产业园PPP项目环境影响报告书》在地下水中已经对渗滤液处理站泄露进行了地下水预测，本环评引用该报告的相关内容。</w:t>
      </w:r>
    </w:p>
    <w:p>
      <w:pPr>
        <w:snapToGrid w:val="0"/>
        <w:spacing w:line="360" w:lineRule="auto"/>
        <w:ind w:firstLine="480" w:firstLineChars="200"/>
        <w:jc w:val="both"/>
        <w:rPr>
          <w:color w:val="auto"/>
        </w:rPr>
      </w:pPr>
      <w:r>
        <w:rPr>
          <w:rFonts w:hint="eastAsia"/>
          <w:color w:val="auto"/>
        </w:rPr>
        <w:t>同时若建筑垃圾消纳区未按要求进行防渗，或者防渗层出现破损，填埋构成的淋溶液会泄漏，可能造成泄漏液体渗漏污染地下水环境</w:t>
      </w:r>
      <w:r>
        <w:rPr>
          <w:color w:val="auto"/>
        </w:rPr>
        <w:t>。本次非正常工况情景源强设定，主要设定为垃圾渗漏液处理站以及</w:t>
      </w:r>
      <w:r>
        <w:rPr>
          <w:rFonts w:hint="eastAsia"/>
          <w:color w:val="auto"/>
        </w:rPr>
        <w:t>建筑垃圾消纳</w:t>
      </w:r>
      <w:r>
        <w:rPr>
          <w:color w:val="auto"/>
        </w:rPr>
        <w:t>场防渗层出现破损</w:t>
      </w:r>
      <w:r>
        <w:rPr>
          <w:rFonts w:hint="eastAsia"/>
          <w:color w:val="auto"/>
        </w:rPr>
        <w:t>。</w:t>
      </w:r>
    </w:p>
    <w:p>
      <w:pPr>
        <w:snapToGrid w:val="0"/>
        <w:spacing w:line="360" w:lineRule="auto"/>
        <w:ind w:firstLine="480" w:firstLineChars="200"/>
        <w:jc w:val="both"/>
        <w:rPr>
          <w:color w:val="auto"/>
        </w:rPr>
      </w:pPr>
      <w:r>
        <w:rPr>
          <w:color w:val="auto"/>
        </w:rPr>
        <w:t>本次评价非正常工况泄漏点设定为</w:t>
      </w:r>
      <w:r>
        <w:rPr>
          <w:rFonts w:hint="eastAsia"/>
          <w:color w:val="auto"/>
        </w:rPr>
        <w:t>：</w:t>
      </w:r>
    </w:p>
    <w:p>
      <w:pPr>
        <w:snapToGrid w:val="0"/>
        <w:spacing w:line="360" w:lineRule="auto"/>
        <w:ind w:firstLine="480" w:firstLineChars="200"/>
        <w:rPr>
          <w:rFonts w:eastAsiaTheme="minorEastAsia"/>
          <w:color w:val="auto"/>
        </w:rPr>
      </w:pPr>
      <w:r>
        <w:rPr>
          <w:rFonts w:eastAsiaTheme="minorEastAsia"/>
          <w:color w:val="auto"/>
        </w:rPr>
        <w:t>I—垃圾渗滤液处理站；</w:t>
      </w:r>
    </w:p>
    <w:p>
      <w:pPr>
        <w:snapToGrid w:val="0"/>
        <w:spacing w:line="360" w:lineRule="auto"/>
        <w:ind w:firstLine="480" w:firstLineChars="200"/>
        <w:rPr>
          <w:rFonts w:eastAsiaTheme="minorEastAsia"/>
          <w:color w:val="auto"/>
        </w:rPr>
      </w:pPr>
      <w:r>
        <w:rPr>
          <w:rFonts w:eastAsiaTheme="minorEastAsia"/>
          <w:color w:val="auto"/>
        </w:rPr>
        <w:t>II—</w:t>
      </w:r>
      <w:r>
        <w:rPr>
          <w:rFonts w:hint="eastAsia" w:eastAsiaTheme="minorEastAsia"/>
          <w:color w:val="auto"/>
        </w:rPr>
        <w:t>建筑垃圾消纳场</w:t>
      </w:r>
      <w:r>
        <w:rPr>
          <w:rFonts w:eastAsiaTheme="minorEastAsia"/>
          <w:color w:val="auto"/>
        </w:rPr>
        <w:t>；</w:t>
      </w:r>
    </w:p>
    <w:p>
      <w:pPr>
        <w:spacing w:line="360" w:lineRule="auto"/>
        <w:ind w:firstLine="480"/>
        <w:rPr>
          <w:color w:val="auto"/>
          <w:highlight w:val="yellow"/>
        </w:rPr>
        <w:sectPr>
          <w:pgSz w:w="11906" w:h="16838"/>
          <w:pgMar w:top="1134" w:right="1134" w:bottom="1134" w:left="1701" w:header="709" w:footer="964" w:gutter="0"/>
          <w:pgNumType w:fmt="decimal"/>
          <w:cols w:space="720" w:num="1"/>
          <w:docGrid w:linePitch="312" w:charSpace="0"/>
        </w:sectPr>
      </w:pPr>
      <w:r>
        <w:rPr>
          <w:color w:val="auto"/>
        </w:rPr>
        <w:t>预测情景非正常工况泄漏点设定位置见图5.2-3</w:t>
      </w:r>
    </w:p>
    <w:p>
      <w:pPr>
        <w:snapToGrid w:val="0"/>
        <w:spacing w:line="360" w:lineRule="auto"/>
        <w:ind w:firstLine="480" w:firstLineChars="200"/>
        <w:jc w:val="center"/>
        <w:rPr>
          <w:b/>
          <w:color w:val="auto"/>
          <w:szCs w:val="21"/>
        </w:rPr>
      </w:pPr>
      <w:r>
        <w:rPr>
          <w:color w:val="auto"/>
        </w:rPr>
        <mc:AlternateContent>
          <mc:Choice Requires="wps">
            <w:drawing>
              <wp:anchor distT="0" distB="0" distL="114300" distR="114300" simplePos="0" relativeHeight="251776000" behindDoc="0" locked="0" layoutInCell="1" allowOverlap="1">
                <wp:simplePos x="0" y="0"/>
                <wp:positionH relativeFrom="column">
                  <wp:posOffset>5180330</wp:posOffset>
                </wp:positionH>
                <wp:positionV relativeFrom="paragraph">
                  <wp:posOffset>1934845</wp:posOffset>
                </wp:positionV>
                <wp:extent cx="466725" cy="352425"/>
                <wp:effectExtent l="0" t="0" r="0" b="0"/>
                <wp:wrapNone/>
                <wp:docPr id="63" name="矩形 63"/>
                <wp:cNvGraphicFramePr/>
                <a:graphic xmlns:a="http://schemas.openxmlformats.org/drawingml/2006/main">
                  <a:graphicData uri="http://schemas.microsoft.com/office/word/2010/wordprocessingShape">
                    <wps:wsp>
                      <wps:cNvSpPr/>
                      <wps:spPr>
                        <a:xfrm>
                          <a:off x="0" y="0"/>
                          <a:ext cx="466725" cy="352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FF0000"/>
                                <w:sz w:val="32"/>
                                <w:szCs w:val="32"/>
                              </w:rPr>
                            </w:pPr>
                            <w:r>
                              <w:rPr>
                                <w:rFonts w:hint="eastAsia"/>
                                <w:b/>
                                <w:bCs/>
                                <w:color w:val="FF0000"/>
                                <w:sz w:val="32"/>
                                <w:szCs w:val="32"/>
                              </w:rPr>
                              <w:t>I</w:t>
                            </w:r>
                            <w:r>
                              <w:rPr>
                                <w:b/>
                                <w:bCs/>
                                <w:color w:val="FF0000"/>
                                <w:sz w:val="32"/>
                                <w:szCs w:val="32"/>
                              </w:rPr>
                              <w:t>I</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7.9pt;margin-top:152.35pt;height:27.75pt;width:36.75pt;z-index:251776000;v-text-anchor:middle;mso-width-relative:page;mso-height-relative:page;" filled="f" stroked="f" coordsize="21600,21600" o:gfxdata="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nZPwltoAAAALAQAADwAAAAAAAAABACAAAAAiAAAAZHJzL2Rv&#10;d25yZXYueG1sUEsBAhQAFAAAAAgAh07iQFBsTrw4AgAASQQAAA4AAAAAAAAAAQAgAAAAKQEAAGRy&#10;cy9lMm9Eb2MueG1sUEsFBgAAAAAGAAYAWQEAANMFAAAAAA==&#10;">
                <v:fill on="f" focussize="0,0"/>
                <v:stroke on="f" weight="2pt"/>
                <v:imagedata o:title=""/>
                <o:lock v:ext="edit" aspectratio="f"/>
                <v:textbox>
                  <w:txbxContent>
                    <w:p>
                      <w:pPr>
                        <w:jc w:val="center"/>
                        <w:rPr>
                          <w:b/>
                          <w:bCs/>
                          <w:color w:val="FF0000"/>
                          <w:sz w:val="32"/>
                          <w:szCs w:val="32"/>
                        </w:rPr>
                      </w:pPr>
                      <w:r>
                        <w:rPr>
                          <w:rFonts w:hint="eastAsia"/>
                          <w:b/>
                          <w:bCs/>
                          <w:color w:val="FF0000"/>
                          <w:sz w:val="32"/>
                          <w:szCs w:val="32"/>
                        </w:rPr>
                        <w:t>I</w:t>
                      </w:r>
                      <w:r>
                        <w:rPr>
                          <w:b/>
                          <w:bCs/>
                          <w:color w:val="FF0000"/>
                          <w:sz w:val="32"/>
                          <w:szCs w:val="32"/>
                        </w:rPr>
                        <w:t>I</w:t>
                      </w:r>
                    </w:p>
                  </w:txbxContent>
                </v:textbox>
              </v:rect>
            </w:pict>
          </mc:Fallback>
        </mc:AlternateContent>
      </w:r>
      <w:r>
        <w:rPr>
          <w:color w:val="auto"/>
        </w:rPr>
        <mc:AlternateContent>
          <mc:Choice Requires="wps">
            <w:drawing>
              <wp:anchor distT="0" distB="0" distL="114300" distR="114300" simplePos="0" relativeHeight="251782144" behindDoc="0" locked="0" layoutInCell="1" allowOverlap="1">
                <wp:simplePos x="0" y="0"/>
                <wp:positionH relativeFrom="column">
                  <wp:posOffset>5329555</wp:posOffset>
                </wp:positionH>
                <wp:positionV relativeFrom="paragraph">
                  <wp:posOffset>1917700</wp:posOffset>
                </wp:positionV>
                <wp:extent cx="123825" cy="123825"/>
                <wp:effectExtent l="0" t="0" r="28575" b="28575"/>
                <wp:wrapNone/>
                <wp:docPr id="71" name="椭圆 71"/>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19.65pt;margin-top:151pt;height:9.75pt;width:9.75pt;z-index:251782144;v-text-anchor:middle;mso-width-relative:page;mso-height-relative:page;" fillcolor="#FF0000" filled="t" stroked="t" coordsize="21600,21600" o:gfxdata="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nJxvdcAAAALAQAADwAAAAAAAAABACAAAAAi&#10;AAAAZHJzL2Rvd25yZXYueG1sUEsBAhQAFAAAAAgAh07iQAG2It9EAgAAkwQAAA4AAAAAAAAAAQAg&#10;AAAAJgEAAGRycy9lMm9Eb2MueG1sUEsFBgAAAAAGAAYAWQEAANwFAAAAAA==&#10;">
                <v:fill on="t" focussize="0,0"/>
                <v:stroke weight="2pt" color="#FF0000 [3204]" joinstyle="round"/>
                <v:imagedata o:title=""/>
                <o:lock v:ext="edit" aspectratio="f"/>
              </v:shape>
            </w:pict>
          </mc:Fallback>
        </mc:AlternateContent>
      </w:r>
      <w:r>
        <w:rPr>
          <w:color w:val="auto"/>
        </w:rPr>
        <mc:AlternateContent>
          <mc:Choice Requires="wps">
            <w:drawing>
              <wp:anchor distT="0" distB="0" distL="114300" distR="114300" simplePos="0" relativeHeight="251778048" behindDoc="0" locked="0" layoutInCell="1" allowOverlap="1">
                <wp:simplePos x="0" y="0"/>
                <wp:positionH relativeFrom="column">
                  <wp:posOffset>7201535</wp:posOffset>
                </wp:positionH>
                <wp:positionV relativeFrom="paragraph">
                  <wp:posOffset>2890520</wp:posOffset>
                </wp:positionV>
                <wp:extent cx="466725" cy="352425"/>
                <wp:effectExtent l="0" t="0" r="0" b="0"/>
                <wp:wrapNone/>
                <wp:docPr id="64" name="矩形 64"/>
                <wp:cNvGraphicFramePr/>
                <a:graphic xmlns:a="http://schemas.openxmlformats.org/drawingml/2006/main">
                  <a:graphicData uri="http://schemas.microsoft.com/office/word/2010/wordprocessingShape">
                    <wps:wsp>
                      <wps:cNvSpPr/>
                      <wps:spPr>
                        <a:xfrm>
                          <a:off x="0" y="0"/>
                          <a:ext cx="466725" cy="352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FF0000"/>
                                <w:sz w:val="32"/>
                                <w:szCs w:val="32"/>
                              </w:rPr>
                            </w:pPr>
                            <w:r>
                              <w:rPr>
                                <w:rFonts w:hint="eastAsia"/>
                                <w:b/>
                                <w:bCs/>
                                <w:color w:val="FF0000"/>
                                <w:sz w:val="32"/>
                                <w:szCs w:val="32"/>
                              </w:rPr>
                              <w:t>I</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7.05pt;margin-top:227.6pt;height:27.75pt;width:36.75pt;z-index:251778048;v-text-anchor:middle;mso-width-relative:page;mso-height-relative:page;" filled="f" stroked="f" coordsize="21600,21600" o:gfxdata="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6yMTr2gAAAA0BAAAPAAAAAAAAAAEAIAAAACIAAABkcnMvZG93&#10;bnJldi54bWxQSwECFAAUAAAACACHTuJAhO7KwjcCAABJBAAADgAAAAAAAAABACAAAAApAQAAZHJz&#10;L2Uyb0RvYy54bWxQSwUGAAAAAAYABgBZAQAA0gUAAAAA&#10;">
                <v:fill on="f" focussize="0,0"/>
                <v:stroke on="f" weight="2pt"/>
                <v:imagedata o:title=""/>
                <o:lock v:ext="edit" aspectratio="f"/>
                <v:textbox>
                  <w:txbxContent>
                    <w:p>
                      <w:pPr>
                        <w:jc w:val="center"/>
                        <w:rPr>
                          <w:b/>
                          <w:bCs/>
                          <w:color w:val="FF0000"/>
                          <w:sz w:val="32"/>
                          <w:szCs w:val="32"/>
                        </w:rPr>
                      </w:pPr>
                      <w:r>
                        <w:rPr>
                          <w:rFonts w:hint="eastAsia"/>
                          <w:b/>
                          <w:bCs/>
                          <w:color w:val="FF0000"/>
                          <w:sz w:val="32"/>
                          <w:szCs w:val="32"/>
                        </w:rPr>
                        <w:t>I</w:t>
                      </w:r>
                    </w:p>
                  </w:txbxContent>
                </v:textbox>
              </v:rect>
            </w:pict>
          </mc:Fallback>
        </mc:AlternateContent>
      </w:r>
      <w:r>
        <w:rPr>
          <w:color w:val="auto"/>
        </w:rPr>
        <mc:AlternateContent>
          <mc:Choice Requires="wps">
            <w:drawing>
              <wp:anchor distT="0" distB="0" distL="114300" distR="114300" simplePos="0" relativeHeight="251780096" behindDoc="0" locked="0" layoutInCell="1" allowOverlap="1">
                <wp:simplePos x="0" y="0"/>
                <wp:positionH relativeFrom="column">
                  <wp:posOffset>7136765</wp:posOffset>
                </wp:positionH>
                <wp:positionV relativeFrom="paragraph">
                  <wp:posOffset>2977515</wp:posOffset>
                </wp:positionV>
                <wp:extent cx="123825" cy="123825"/>
                <wp:effectExtent l="0" t="0" r="28575" b="28575"/>
                <wp:wrapNone/>
                <wp:docPr id="65" name="椭圆 65"/>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61.95pt;margin-top:234.45pt;height:9.75pt;width:9.75pt;z-index:251780096;v-text-anchor:middle;mso-width-relative:page;mso-height-relative:page;" fillcolor="#FF0000" filled="t" stroked="t" coordsize="21600,21600" o:gfxdata="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AcPFKnYAAAADQEAAA8AAAAAAAAAAQAgAAAA&#10;IgAAAGRycy9kb3ducmV2LnhtbFBLAQIUABQAAAAIAIdO4kAQQNsiRAIAAJMEAAAOAAAAAAAAAAEA&#10;IAAAACcBAABkcnMvZTJvRG9jLnhtbFBLBQYAAAAABgAGAFkBAADdBQAAAAA=&#10;">
                <v:fill on="t" focussize="0,0"/>
                <v:stroke weight="2pt" color="#FF0000 [3204]" joinstyle="round"/>
                <v:imagedata o:title=""/>
                <o:lock v:ext="edit" aspectratio="f"/>
              </v:shape>
            </w:pict>
          </mc:Fallback>
        </mc:AlternateContent>
      </w:r>
      <w:r>
        <w:rPr>
          <w:color w:val="auto"/>
        </w:rPr>
        <mc:AlternateContent>
          <mc:Choice Requires="wps">
            <w:drawing>
              <wp:anchor distT="0" distB="0" distL="114300" distR="114300" simplePos="0" relativeHeight="251784192" behindDoc="0" locked="0" layoutInCell="1" allowOverlap="1">
                <wp:simplePos x="0" y="0"/>
                <wp:positionH relativeFrom="column">
                  <wp:posOffset>7732395</wp:posOffset>
                </wp:positionH>
                <wp:positionV relativeFrom="paragraph">
                  <wp:posOffset>4630420</wp:posOffset>
                </wp:positionV>
                <wp:extent cx="123825" cy="123825"/>
                <wp:effectExtent l="0" t="0" r="28575" b="28575"/>
                <wp:wrapNone/>
                <wp:docPr id="72" name="椭圆 72"/>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608.85pt;margin-top:364.6pt;height:9.75pt;width:9.75pt;z-index:251784192;v-text-anchor:middle;mso-width-relative:page;mso-height-relative:page;" fillcolor="#FF0000" filled="t" stroked="t" coordsize="21600,21600" o:gfxdata="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DFSEM3YAAAADQEAAA8AAAAAAAAAAQAgAAAA&#10;IgAAAGRycy9kb3ducmV2LnhtbFBLAQIUABQAAAAIAIdO4kABRvIFRAIAAJMEAAAOAAAAAAAAAAEA&#10;IAAAACcBAABkcnMvZTJvRG9jLnhtbFBLBQYAAAAABgAGAFkBAADdBQAAAAA=&#10;">
                <v:fill on="t" focussize="0,0"/>
                <v:stroke weight="2pt" color="#FF0000 [3204]" joinstyle="round"/>
                <v:imagedata o:title=""/>
                <o:lock v:ext="edit" aspectratio="f"/>
              </v:shape>
            </w:pict>
          </mc:Fallback>
        </mc:AlternateContent>
      </w:r>
      <w:r>
        <w:rPr>
          <w:color w:val="auto"/>
        </w:rPr>
        <mc:AlternateContent>
          <mc:Choice Requires="wps">
            <w:drawing>
              <wp:anchor distT="0" distB="0" distL="114300" distR="114300" simplePos="0" relativeHeight="251773952" behindDoc="0" locked="0" layoutInCell="1" allowOverlap="1">
                <wp:simplePos x="0" y="0"/>
                <wp:positionH relativeFrom="column">
                  <wp:posOffset>7858125</wp:posOffset>
                </wp:positionH>
                <wp:positionV relativeFrom="paragraph">
                  <wp:posOffset>4509135</wp:posOffset>
                </wp:positionV>
                <wp:extent cx="895350" cy="352425"/>
                <wp:effectExtent l="0" t="0" r="0" b="0"/>
                <wp:wrapNone/>
                <wp:docPr id="62" name="矩形 62"/>
                <wp:cNvGraphicFramePr/>
                <a:graphic xmlns:a="http://schemas.openxmlformats.org/drawingml/2006/main">
                  <a:graphicData uri="http://schemas.microsoft.com/office/word/2010/wordprocessingShape">
                    <wps:wsp>
                      <wps:cNvSpPr/>
                      <wps:spPr>
                        <a:xfrm>
                          <a:off x="0" y="0"/>
                          <a:ext cx="895350" cy="352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FF0000"/>
                                <w:sz w:val="32"/>
                                <w:szCs w:val="32"/>
                              </w:rPr>
                            </w:pPr>
                            <w:r>
                              <w:rPr>
                                <w:rFonts w:hint="eastAsia"/>
                                <w:b/>
                                <w:bCs/>
                                <w:color w:val="FF0000"/>
                                <w:sz w:val="32"/>
                                <w:szCs w:val="32"/>
                              </w:rPr>
                              <w:t>泄漏点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8.75pt;margin-top:355.05pt;height:27.75pt;width:70.5pt;z-index:251773952;v-text-anchor:middle;mso-width-relative:page;mso-height-relative:page;" filled="f" stroked="f" coordsize="21600,21600" o:gfxdata="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gbgjC9oAAAANAQAADwAAAAAAAAABACAAAAAiAAAAZHJzL2Rv&#10;d25yZXYueG1sUEsBAhQAFAAAAAgAh07iQJb15gI4AgAASQQAAA4AAAAAAAAAAQAgAAAAKQEAAGRy&#10;cy9lMm9Eb2MueG1sUEsFBgAAAAAGAAYAWQEAANMFAAAAAA==&#10;">
                <v:fill on="f" focussize="0,0"/>
                <v:stroke on="f" weight="2pt"/>
                <v:imagedata o:title=""/>
                <o:lock v:ext="edit" aspectratio="f"/>
                <v:textbox>
                  <w:txbxContent>
                    <w:p>
                      <w:pPr>
                        <w:jc w:val="center"/>
                        <w:rPr>
                          <w:b/>
                          <w:bCs/>
                          <w:color w:val="FF0000"/>
                          <w:sz w:val="32"/>
                          <w:szCs w:val="32"/>
                        </w:rPr>
                      </w:pPr>
                      <w:r>
                        <w:rPr>
                          <w:rFonts w:hint="eastAsia"/>
                          <w:b/>
                          <w:bCs/>
                          <w:color w:val="FF0000"/>
                          <w:sz w:val="32"/>
                          <w:szCs w:val="32"/>
                        </w:rPr>
                        <w:t>泄漏点</w:t>
                      </w:r>
                    </w:p>
                  </w:txbxContent>
                </v:textbox>
              </v:rect>
            </w:pict>
          </mc:Fallback>
        </mc:AlternateContent>
      </w:r>
      <w:r>
        <w:rPr>
          <w:color w:val="auto"/>
        </w:rPr>
        <w:drawing>
          <wp:inline distT="0" distB="0" distL="114300" distR="114300">
            <wp:extent cx="6702425" cy="4627880"/>
            <wp:effectExtent l="0" t="0" r="3175" b="1270"/>
            <wp:docPr id="25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4"/>
                    <pic:cNvPicPr>
                      <a:picLocks noChangeAspect="1"/>
                    </pic:cNvPicPr>
                  </pic:nvPicPr>
                  <pic:blipFill>
                    <a:blip r:embed="rId113"/>
                    <a:stretch>
                      <a:fillRect/>
                    </a:stretch>
                  </pic:blipFill>
                  <pic:spPr>
                    <a:xfrm>
                      <a:off x="0" y="0"/>
                      <a:ext cx="6702425" cy="4627880"/>
                    </a:xfrm>
                    <a:prstGeom prst="rect">
                      <a:avLst/>
                    </a:prstGeom>
                    <a:noFill/>
                    <a:ln w="9525">
                      <a:noFill/>
                      <a:miter/>
                    </a:ln>
                  </pic:spPr>
                </pic:pic>
              </a:graphicData>
            </a:graphic>
          </wp:inline>
        </w:drawing>
      </w:r>
    </w:p>
    <w:p>
      <w:pPr>
        <w:snapToGrid w:val="0"/>
        <w:spacing w:line="360" w:lineRule="auto"/>
        <w:ind w:firstLine="482" w:firstLineChars="200"/>
        <w:jc w:val="center"/>
        <w:rPr>
          <w:color w:val="auto"/>
        </w:rPr>
        <w:sectPr>
          <w:pgSz w:w="16838" w:h="11906" w:orient="landscape"/>
          <w:pgMar w:top="1701" w:right="1134" w:bottom="1134" w:left="1134" w:header="709" w:footer="964" w:gutter="0"/>
          <w:pgNumType w:fmt="decimal"/>
          <w:cols w:space="720" w:num="1"/>
          <w:docGrid w:linePitch="326" w:charSpace="0"/>
        </w:sectPr>
      </w:pPr>
      <w:r>
        <w:rPr>
          <w:b/>
          <w:color w:val="auto"/>
        </w:rPr>
        <w:t>图 5.2-3</w:t>
      </w:r>
      <w:r>
        <w:rPr>
          <w:b/>
          <w:color w:val="auto"/>
          <w:szCs w:val="21"/>
        </w:rPr>
        <w:t xml:space="preserve">  预测情景非正常工况泄漏点位置图</w:t>
      </w:r>
    </w:p>
    <w:p>
      <w:pPr>
        <w:snapToGrid w:val="0"/>
        <w:spacing w:line="360" w:lineRule="auto"/>
        <w:ind w:firstLine="480" w:firstLineChars="200"/>
        <w:rPr>
          <w:color w:val="auto"/>
        </w:rPr>
      </w:pPr>
      <w:r>
        <w:rPr>
          <w:color w:val="auto"/>
        </w:rPr>
        <w:t>（2）</w:t>
      </w:r>
      <w:r>
        <w:rPr>
          <w:rFonts w:hint="eastAsia"/>
          <w:color w:val="auto"/>
        </w:rPr>
        <w:t>泄漏</w:t>
      </w:r>
      <w:r>
        <w:rPr>
          <w:color w:val="auto"/>
        </w:rPr>
        <w:t>源强设定</w:t>
      </w:r>
    </w:p>
    <w:p>
      <w:pPr>
        <w:snapToGrid w:val="0"/>
        <w:spacing w:line="360" w:lineRule="auto"/>
        <w:ind w:firstLine="480" w:firstLineChars="200"/>
        <w:jc w:val="both"/>
        <w:rPr>
          <w:color w:val="auto"/>
        </w:rPr>
      </w:pPr>
      <w:r>
        <w:rPr>
          <w:color w:val="auto"/>
        </w:rPr>
        <w:t>在生产运行期间，只有在各类废污水收集管网或废污水处理建筑物出现破损、生产原料发生跑、冒、滴、漏的非正常工况下，如处理不当，污染物可能下渗影响地下水。本次非正常工况情景源强设定，主要设定为垃圾渗漏液处理站、垃圾</w:t>
      </w:r>
      <w:r>
        <w:rPr>
          <w:rFonts w:hint="eastAsia"/>
          <w:color w:val="auto"/>
        </w:rPr>
        <w:t>池</w:t>
      </w:r>
      <w:r>
        <w:rPr>
          <w:color w:val="auto"/>
        </w:rPr>
        <w:t>产生裂痕出现的泄漏以及</w:t>
      </w:r>
      <w:r>
        <w:rPr>
          <w:rFonts w:hint="eastAsia"/>
          <w:color w:val="auto"/>
        </w:rPr>
        <w:t>卫生</w:t>
      </w:r>
      <w:r>
        <w:rPr>
          <w:color w:val="auto"/>
        </w:rPr>
        <w:t>填埋场防渗层出现破损。</w:t>
      </w:r>
    </w:p>
    <w:p>
      <w:pPr>
        <w:spacing w:line="276" w:lineRule="auto"/>
        <w:jc w:val="center"/>
        <w:rPr>
          <w:color w:val="auto"/>
        </w:rPr>
      </w:pPr>
      <w:r>
        <w:rPr>
          <w:b/>
          <w:color w:val="auto"/>
        </w:rPr>
        <w:t>表5.2-</w:t>
      </w:r>
      <w:r>
        <w:rPr>
          <w:rFonts w:hint="eastAsia"/>
          <w:b/>
          <w:color w:val="auto"/>
        </w:rPr>
        <w:t>10</w:t>
      </w:r>
      <w:r>
        <w:rPr>
          <w:b/>
          <w:color w:val="auto"/>
          <w:szCs w:val="21"/>
        </w:rPr>
        <w:t xml:space="preserve">  项目废水种类及污染物浓度</w:t>
      </w:r>
    </w:p>
    <w:tbl>
      <w:tblPr>
        <w:tblStyle w:val="53"/>
        <w:tblW w:w="928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74"/>
        <w:gridCol w:w="1499"/>
        <w:gridCol w:w="1733"/>
        <w:gridCol w:w="2173"/>
        <w:gridCol w:w="17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2" w:hRule="atLeast"/>
          <w:jc w:val="center"/>
        </w:trPr>
        <w:tc>
          <w:tcPr>
            <w:tcW w:w="2174" w:type="dxa"/>
            <w:vAlign w:val="center"/>
          </w:tcPr>
          <w:p>
            <w:pPr>
              <w:spacing w:line="276" w:lineRule="auto"/>
              <w:jc w:val="center"/>
              <w:rPr>
                <w:b/>
                <w:color w:val="auto"/>
                <w:sz w:val="21"/>
                <w:szCs w:val="21"/>
              </w:rPr>
            </w:pPr>
            <w:r>
              <w:rPr>
                <w:b/>
                <w:color w:val="auto"/>
                <w:sz w:val="21"/>
                <w:szCs w:val="21"/>
              </w:rPr>
              <w:t>污染源</w:t>
            </w:r>
          </w:p>
        </w:tc>
        <w:tc>
          <w:tcPr>
            <w:tcW w:w="1499" w:type="dxa"/>
            <w:vAlign w:val="center"/>
          </w:tcPr>
          <w:p>
            <w:pPr>
              <w:spacing w:line="276" w:lineRule="auto"/>
              <w:jc w:val="center"/>
              <w:rPr>
                <w:b/>
                <w:color w:val="auto"/>
                <w:sz w:val="21"/>
                <w:szCs w:val="21"/>
              </w:rPr>
            </w:pPr>
            <w:r>
              <w:rPr>
                <w:b/>
                <w:color w:val="auto"/>
                <w:sz w:val="21"/>
                <w:szCs w:val="21"/>
              </w:rPr>
              <w:t>污水类型</w:t>
            </w:r>
          </w:p>
        </w:tc>
        <w:tc>
          <w:tcPr>
            <w:tcW w:w="1733" w:type="dxa"/>
            <w:vAlign w:val="center"/>
          </w:tcPr>
          <w:p>
            <w:pPr>
              <w:spacing w:line="276" w:lineRule="auto"/>
              <w:jc w:val="center"/>
              <w:rPr>
                <w:b/>
                <w:color w:val="auto"/>
                <w:sz w:val="21"/>
                <w:szCs w:val="21"/>
              </w:rPr>
            </w:pPr>
            <w:r>
              <w:rPr>
                <w:b/>
                <w:color w:val="auto"/>
                <w:sz w:val="21"/>
                <w:szCs w:val="21"/>
              </w:rPr>
              <w:t>废水量（m</w:t>
            </w:r>
            <w:r>
              <w:rPr>
                <w:b/>
                <w:color w:val="auto"/>
                <w:sz w:val="21"/>
                <w:szCs w:val="21"/>
                <w:vertAlign w:val="superscript"/>
              </w:rPr>
              <w:t>3</w:t>
            </w:r>
            <w:r>
              <w:rPr>
                <w:b/>
                <w:color w:val="auto"/>
                <w:sz w:val="21"/>
                <w:szCs w:val="21"/>
              </w:rPr>
              <w:t>/d）</w:t>
            </w:r>
          </w:p>
        </w:tc>
        <w:tc>
          <w:tcPr>
            <w:tcW w:w="2173" w:type="dxa"/>
            <w:vAlign w:val="center"/>
          </w:tcPr>
          <w:p>
            <w:pPr>
              <w:spacing w:line="276" w:lineRule="auto"/>
              <w:jc w:val="center"/>
              <w:rPr>
                <w:b/>
                <w:color w:val="auto"/>
                <w:sz w:val="21"/>
                <w:szCs w:val="21"/>
              </w:rPr>
            </w:pPr>
            <w:r>
              <w:rPr>
                <w:b/>
                <w:color w:val="auto"/>
                <w:sz w:val="21"/>
                <w:szCs w:val="21"/>
              </w:rPr>
              <w:t>污染物种类</w:t>
            </w:r>
          </w:p>
        </w:tc>
        <w:tc>
          <w:tcPr>
            <w:tcW w:w="1707" w:type="dxa"/>
            <w:vAlign w:val="center"/>
          </w:tcPr>
          <w:p>
            <w:pPr>
              <w:spacing w:line="276" w:lineRule="auto"/>
              <w:jc w:val="center"/>
              <w:rPr>
                <w:b/>
                <w:color w:val="auto"/>
                <w:sz w:val="21"/>
                <w:szCs w:val="21"/>
              </w:rPr>
            </w:pPr>
            <w:r>
              <w:rPr>
                <w:b/>
                <w:color w:val="auto"/>
                <w:sz w:val="21"/>
                <w:szCs w:val="21"/>
              </w:rPr>
              <w:t>浓度（mg/L）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29" w:hRule="atLeast"/>
          <w:jc w:val="center"/>
        </w:trPr>
        <w:tc>
          <w:tcPr>
            <w:tcW w:w="2174" w:type="dxa"/>
            <w:vMerge w:val="restart"/>
            <w:vAlign w:val="center"/>
          </w:tcPr>
          <w:p>
            <w:pPr>
              <w:jc w:val="center"/>
              <w:rPr>
                <w:color w:val="auto"/>
                <w:sz w:val="21"/>
                <w:szCs w:val="21"/>
              </w:rPr>
            </w:pPr>
            <w:r>
              <w:rPr>
                <w:color w:val="auto"/>
                <w:sz w:val="21"/>
                <w:szCs w:val="21"/>
              </w:rPr>
              <w:t>垃圾渗滤液处理站</w:t>
            </w:r>
          </w:p>
        </w:tc>
        <w:tc>
          <w:tcPr>
            <w:tcW w:w="1499" w:type="dxa"/>
            <w:vMerge w:val="restart"/>
            <w:vAlign w:val="center"/>
          </w:tcPr>
          <w:p>
            <w:pPr>
              <w:jc w:val="center"/>
              <w:rPr>
                <w:color w:val="auto"/>
                <w:sz w:val="21"/>
                <w:szCs w:val="21"/>
              </w:rPr>
            </w:pPr>
            <w:r>
              <w:rPr>
                <w:color w:val="auto"/>
                <w:sz w:val="21"/>
                <w:szCs w:val="21"/>
              </w:rPr>
              <w:t>高浓度废水</w:t>
            </w:r>
          </w:p>
        </w:tc>
        <w:tc>
          <w:tcPr>
            <w:tcW w:w="1733" w:type="dxa"/>
            <w:vMerge w:val="restart"/>
            <w:vAlign w:val="center"/>
          </w:tcPr>
          <w:p>
            <w:pPr>
              <w:autoSpaceDE w:val="0"/>
              <w:autoSpaceDN w:val="0"/>
              <w:adjustRightInd w:val="0"/>
              <w:ind w:left="-48" w:leftChars="-20" w:right="-48" w:rightChars="-20"/>
              <w:jc w:val="center"/>
              <w:rPr>
                <w:color w:val="auto"/>
                <w:sz w:val="21"/>
                <w:szCs w:val="21"/>
              </w:rPr>
            </w:pPr>
            <w:r>
              <w:rPr>
                <w:color w:val="auto"/>
                <w:kern w:val="0"/>
                <w:sz w:val="21"/>
                <w:szCs w:val="21"/>
              </w:rPr>
              <w:t>300</w:t>
            </w:r>
          </w:p>
        </w:tc>
        <w:tc>
          <w:tcPr>
            <w:tcW w:w="2173" w:type="dxa"/>
            <w:vAlign w:val="center"/>
          </w:tcPr>
          <w:p>
            <w:pPr>
              <w:jc w:val="center"/>
              <w:rPr>
                <w:color w:val="auto"/>
                <w:sz w:val="21"/>
                <w:szCs w:val="21"/>
              </w:rPr>
            </w:pPr>
            <w:r>
              <w:rPr>
                <w:color w:val="auto"/>
                <w:kern w:val="0"/>
                <w:sz w:val="21"/>
                <w:szCs w:val="21"/>
              </w:rPr>
              <w:t>COD</w:t>
            </w:r>
          </w:p>
        </w:tc>
        <w:tc>
          <w:tcPr>
            <w:tcW w:w="1707" w:type="dxa"/>
            <w:vAlign w:val="center"/>
          </w:tcPr>
          <w:p>
            <w:pPr>
              <w:widowControl/>
              <w:jc w:val="center"/>
              <w:rPr>
                <w:color w:val="auto"/>
                <w:sz w:val="21"/>
                <w:szCs w:val="21"/>
              </w:rPr>
            </w:pPr>
            <w:r>
              <w:rPr>
                <w:color w:val="auto"/>
                <w:sz w:val="21"/>
                <w:szCs w:val="21"/>
              </w:rPr>
              <w:t>50000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74" w:type="dxa"/>
            <w:vMerge w:val="continue"/>
            <w:vAlign w:val="center"/>
          </w:tcPr>
          <w:p>
            <w:pPr>
              <w:jc w:val="center"/>
              <w:rPr>
                <w:color w:val="auto"/>
                <w:sz w:val="21"/>
                <w:szCs w:val="21"/>
              </w:rPr>
            </w:pPr>
          </w:p>
        </w:tc>
        <w:tc>
          <w:tcPr>
            <w:tcW w:w="1499" w:type="dxa"/>
            <w:vMerge w:val="continue"/>
            <w:vAlign w:val="center"/>
          </w:tcPr>
          <w:p>
            <w:pPr>
              <w:jc w:val="center"/>
              <w:rPr>
                <w:color w:val="auto"/>
                <w:sz w:val="21"/>
                <w:szCs w:val="21"/>
              </w:rPr>
            </w:pPr>
          </w:p>
        </w:tc>
        <w:tc>
          <w:tcPr>
            <w:tcW w:w="1733" w:type="dxa"/>
            <w:vMerge w:val="continue"/>
            <w:vAlign w:val="center"/>
          </w:tcPr>
          <w:p>
            <w:pPr>
              <w:autoSpaceDE w:val="0"/>
              <w:autoSpaceDN w:val="0"/>
              <w:adjustRightInd w:val="0"/>
              <w:ind w:left="-48" w:leftChars="-20" w:right="-48" w:rightChars="-20"/>
              <w:jc w:val="center"/>
              <w:rPr>
                <w:color w:val="auto"/>
                <w:kern w:val="0"/>
                <w:sz w:val="21"/>
                <w:szCs w:val="21"/>
              </w:rPr>
            </w:pPr>
          </w:p>
        </w:tc>
        <w:tc>
          <w:tcPr>
            <w:tcW w:w="2173" w:type="dxa"/>
            <w:vAlign w:val="center"/>
          </w:tcPr>
          <w:p>
            <w:pPr>
              <w:jc w:val="center"/>
              <w:rPr>
                <w:color w:val="auto"/>
                <w:sz w:val="21"/>
                <w:szCs w:val="21"/>
              </w:rPr>
            </w:pPr>
            <w:r>
              <w:rPr>
                <w:color w:val="auto"/>
                <w:kern w:val="0"/>
                <w:sz w:val="21"/>
                <w:szCs w:val="21"/>
              </w:rPr>
              <w:t>NH</w:t>
            </w:r>
            <w:r>
              <w:rPr>
                <w:color w:val="auto"/>
                <w:kern w:val="0"/>
                <w:sz w:val="21"/>
                <w:szCs w:val="21"/>
                <w:vertAlign w:val="subscript"/>
              </w:rPr>
              <w:t>3</w:t>
            </w:r>
            <w:r>
              <w:rPr>
                <w:color w:val="auto"/>
                <w:kern w:val="0"/>
                <w:sz w:val="21"/>
                <w:szCs w:val="21"/>
              </w:rPr>
              <w:t>-N</w:t>
            </w:r>
          </w:p>
        </w:tc>
        <w:tc>
          <w:tcPr>
            <w:tcW w:w="1707" w:type="dxa"/>
            <w:vAlign w:val="center"/>
          </w:tcPr>
          <w:p>
            <w:pPr>
              <w:jc w:val="center"/>
              <w:rPr>
                <w:color w:val="auto"/>
                <w:sz w:val="21"/>
                <w:szCs w:val="21"/>
              </w:rPr>
            </w:pPr>
            <w:r>
              <w:rPr>
                <w:color w:val="auto"/>
                <w:sz w:val="21"/>
                <w:szCs w:val="21"/>
              </w:rPr>
              <w:t>1000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74" w:type="dxa"/>
            <w:vMerge w:val="continue"/>
            <w:vAlign w:val="center"/>
          </w:tcPr>
          <w:p>
            <w:pPr>
              <w:jc w:val="center"/>
              <w:rPr>
                <w:color w:val="auto"/>
                <w:sz w:val="21"/>
                <w:szCs w:val="21"/>
              </w:rPr>
            </w:pPr>
          </w:p>
        </w:tc>
        <w:tc>
          <w:tcPr>
            <w:tcW w:w="1499" w:type="dxa"/>
            <w:vMerge w:val="continue"/>
            <w:vAlign w:val="center"/>
          </w:tcPr>
          <w:p>
            <w:pPr>
              <w:jc w:val="center"/>
              <w:rPr>
                <w:color w:val="auto"/>
                <w:sz w:val="21"/>
                <w:szCs w:val="21"/>
              </w:rPr>
            </w:pPr>
          </w:p>
        </w:tc>
        <w:tc>
          <w:tcPr>
            <w:tcW w:w="1733" w:type="dxa"/>
            <w:vMerge w:val="continue"/>
            <w:vAlign w:val="center"/>
          </w:tcPr>
          <w:p>
            <w:pPr>
              <w:autoSpaceDE w:val="0"/>
              <w:autoSpaceDN w:val="0"/>
              <w:adjustRightInd w:val="0"/>
              <w:ind w:left="-48" w:leftChars="-20" w:right="-48" w:rightChars="-20"/>
              <w:jc w:val="center"/>
              <w:rPr>
                <w:color w:val="auto"/>
                <w:kern w:val="0"/>
                <w:sz w:val="21"/>
                <w:szCs w:val="21"/>
              </w:rPr>
            </w:pPr>
          </w:p>
        </w:tc>
        <w:tc>
          <w:tcPr>
            <w:tcW w:w="2173" w:type="dxa"/>
            <w:vAlign w:val="center"/>
          </w:tcPr>
          <w:p>
            <w:pPr>
              <w:jc w:val="center"/>
              <w:rPr>
                <w:color w:val="auto"/>
                <w:kern w:val="0"/>
                <w:sz w:val="21"/>
                <w:szCs w:val="21"/>
              </w:rPr>
            </w:pPr>
            <w:r>
              <w:rPr>
                <w:rFonts w:hint="eastAsia"/>
                <w:color w:val="auto"/>
                <w:kern w:val="0"/>
                <w:sz w:val="21"/>
                <w:szCs w:val="21"/>
              </w:rPr>
              <w:t>总铅</w:t>
            </w:r>
          </w:p>
        </w:tc>
        <w:tc>
          <w:tcPr>
            <w:tcW w:w="1707" w:type="dxa"/>
            <w:vAlign w:val="center"/>
          </w:tcPr>
          <w:p>
            <w:pPr>
              <w:jc w:val="center"/>
              <w:rPr>
                <w:color w:val="auto"/>
                <w:sz w:val="21"/>
                <w:szCs w:val="21"/>
              </w:rPr>
            </w:pPr>
            <w:r>
              <w:rPr>
                <w:rFonts w:hint="eastAsia"/>
                <w:color w:val="auto"/>
                <w:sz w:val="21"/>
                <w:szCs w:val="21"/>
              </w:rPr>
              <w:t>0</w:t>
            </w:r>
            <w:r>
              <w:rPr>
                <w:color w:val="auto"/>
                <w:sz w:val="21"/>
                <w:szCs w:val="21"/>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74" w:type="dxa"/>
            <w:vMerge w:val="continue"/>
            <w:vAlign w:val="center"/>
          </w:tcPr>
          <w:p>
            <w:pPr>
              <w:jc w:val="center"/>
              <w:rPr>
                <w:color w:val="auto"/>
                <w:sz w:val="21"/>
                <w:szCs w:val="21"/>
              </w:rPr>
            </w:pPr>
          </w:p>
        </w:tc>
        <w:tc>
          <w:tcPr>
            <w:tcW w:w="1499" w:type="dxa"/>
            <w:vMerge w:val="continue"/>
            <w:vAlign w:val="center"/>
          </w:tcPr>
          <w:p>
            <w:pPr>
              <w:jc w:val="center"/>
              <w:rPr>
                <w:color w:val="auto"/>
                <w:sz w:val="21"/>
                <w:szCs w:val="21"/>
              </w:rPr>
            </w:pPr>
          </w:p>
        </w:tc>
        <w:tc>
          <w:tcPr>
            <w:tcW w:w="1733" w:type="dxa"/>
            <w:vMerge w:val="continue"/>
            <w:vAlign w:val="center"/>
          </w:tcPr>
          <w:p>
            <w:pPr>
              <w:autoSpaceDE w:val="0"/>
              <w:autoSpaceDN w:val="0"/>
              <w:adjustRightInd w:val="0"/>
              <w:ind w:left="-48" w:leftChars="-20" w:right="-48" w:rightChars="-20"/>
              <w:jc w:val="center"/>
              <w:rPr>
                <w:color w:val="auto"/>
                <w:kern w:val="0"/>
                <w:sz w:val="21"/>
                <w:szCs w:val="21"/>
              </w:rPr>
            </w:pPr>
          </w:p>
        </w:tc>
        <w:tc>
          <w:tcPr>
            <w:tcW w:w="2173" w:type="dxa"/>
            <w:vAlign w:val="center"/>
          </w:tcPr>
          <w:p>
            <w:pPr>
              <w:jc w:val="center"/>
              <w:rPr>
                <w:color w:val="auto"/>
                <w:kern w:val="0"/>
                <w:sz w:val="21"/>
                <w:szCs w:val="21"/>
              </w:rPr>
            </w:pPr>
            <w:r>
              <w:rPr>
                <w:rFonts w:hint="eastAsia"/>
                <w:color w:val="auto"/>
                <w:kern w:val="0"/>
                <w:sz w:val="21"/>
                <w:szCs w:val="21"/>
              </w:rPr>
              <w:t>总镉</w:t>
            </w:r>
          </w:p>
        </w:tc>
        <w:tc>
          <w:tcPr>
            <w:tcW w:w="1707" w:type="dxa"/>
            <w:vAlign w:val="center"/>
          </w:tcPr>
          <w:p>
            <w:pPr>
              <w:jc w:val="center"/>
              <w:rPr>
                <w:color w:val="auto"/>
                <w:sz w:val="21"/>
                <w:szCs w:val="21"/>
              </w:rPr>
            </w:pPr>
            <w:r>
              <w:rPr>
                <w:rFonts w:hint="eastAsia"/>
                <w:color w:val="auto"/>
                <w:sz w:val="21"/>
                <w:szCs w:val="21"/>
              </w:rPr>
              <w:t>0</w:t>
            </w:r>
            <w:r>
              <w:rPr>
                <w:color w:val="auto"/>
                <w:sz w:val="21"/>
                <w:szCs w:val="21"/>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74" w:type="dxa"/>
            <w:vMerge w:val="restart"/>
            <w:vAlign w:val="center"/>
          </w:tcPr>
          <w:p>
            <w:pPr>
              <w:jc w:val="center"/>
              <w:rPr>
                <w:color w:val="auto"/>
                <w:sz w:val="21"/>
                <w:szCs w:val="21"/>
              </w:rPr>
            </w:pPr>
            <w:r>
              <w:rPr>
                <w:rFonts w:hint="eastAsia"/>
                <w:color w:val="auto"/>
                <w:sz w:val="21"/>
                <w:szCs w:val="21"/>
              </w:rPr>
              <w:t>建筑垃圾消纳</w:t>
            </w:r>
            <w:r>
              <w:rPr>
                <w:color w:val="auto"/>
                <w:sz w:val="21"/>
                <w:szCs w:val="21"/>
              </w:rPr>
              <w:t>场</w:t>
            </w:r>
          </w:p>
        </w:tc>
        <w:tc>
          <w:tcPr>
            <w:tcW w:w="1499" w:type="dxa"/>
            <w:vMerge w:val="restart"/>
            <w:vAlign w:val="center"/>
          </w:tcPr>
          <w:p>
            <w:pPr>
              <w:jc w:val="center"/>
              <w:rPr>
                <w:color w:val="auto"/>
                <w:sz w:val="21"/>
                <w:szCs w:val="21"/>
              </w:rPr>
            </w:pPr>
            <w:r>
              <w:rPr>
                <w:color w:val="auto"/>
                <w:sz w:val="21"/>
                <w:szCs w:val="21"/>
              </w:rPr>
              <w:t>高浓度废水</w:t>
            </w:r>
          </w:p>
        </w:tc>
        <w:tc>
          <w:tcPr>
            <w:tcW w:w="1733" w:type="dxa"/>
            <w:vMerge w:val="restart"/>
            <w:vAlign w:val="center"/>
          </w:tcPr>
          <w:p>
            <w:pPr>
              <w:autoSpaceDE w:val="0"/>
              <w:autoSpaceDN w:val="0"/>
              <w:adjustRightInd w:val="0"/>
              <w:ind w:left="-48" w:leftChars="-20" w:right="-48" w:rightChars="-20"/>
              <w:jc w:val="center"/>
              <w:rPr>
                <w:color w:val="auto"/>
                <w:kern w:val="0"/>
                <w:sz w:val="21"/>
                <w:szCs w:val="21"/>
              </w:rPr>
            </w:pPr>
            <w:r>
              <w:rPr>
                <w:color w:val="auto"/>
                <w:sz w:val="21"/>
                <w:szCs w:val="21"/>
              </w:rPr>
              <w:t>80.04</w:t>
            </w:r>
          </w:p>
        </w:tc>
        <w:tc>
          <w:tcPr>
            <w:tcW w:w="2173" w:type="dxa"/>
            <w:vAlign w:val="center"/>
          </w:tcPr>
          <w:p>
            <w:pPr>
              <w:jc w:val="center"/>
              <w:rPr>
                <w:color w:val="auto"/>
                <w:kern w:val="0"/>
                <w:sz w:val="21"/>
                <w:szCs w:val="21"/>
              </w:rPr>
            </w:pPr>
            <w:r>
              <w:rPr>
                <w:rFonts w:hint="eastAsia"/>
                <w:color w:val="auto"/>
                <w:kern w:val="0"/>
                <w:sz w:val="21"/>
                <w:szCs w:val="21"/>
              </w:rPr>
              <w:t>总砷</w:t>
            </w:r>
          </w:p>
        </w:tc>
        <w:tc>
          <w:tcPr>
            <w:tcW w:w="1707" w:type="dxa"/>
            <w:vAlign w:val="center"/>
          </w:tcPr>
          <w:p>
            <w:pPr>
              <w:jc w:val="center"/>
              <w:rPr>
                <w:color w:val="auto"/>
                <w:sz w:val="21"/>
                <w:szCs w:val="21"/>
              </w:rPr>
            </w:pPr>
            <w:r>
              <w:rPr>
                <w:rFonts w:hint="eastAsia"/>
                <w:color w:val="auto"/>
                <w:sz w:val="21"/>
                <w:shd w:val="clear" w:color="auto" w:fill="FFFFFF"/>
              </w:rPr>
              <w:t>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74" w:type="dxa"/>
            <w:vMerge w:val="continue"/>
            <w:vAlign w:val="center"/>
          </w:tcPr>
          <w:p>
            <w:pPr>
              <w:jc w:val="center"/>
              <w:rPr>
                <w:color w:val="auto"/>
                <w:sz w:val="21"/>
                <w:szCs w:val="21"/>
              </w:rPr>
            </w:pPr>
          </w:p>
        </w:tc>
        <w:tc>
          <w:tcPr>
            <w:tcW w:w="1499" w:type="dxa"/>
            <w:vMerge w:val="continue"/>
            <w:vAlign w:val="center"/>
          </w:tcPr>
          <w:p>
            <w:pPr>
              <w:jc w:val="center"/>
              <w:rPr>
                <w:color w:val="auto"/>
                <w:sz w:val="21"/>
                <w:szCs w:val="21"/>
              </w:rPr>
            </w:pPr>
          </w:p>
        </w:tc>
        <w:tc>
          <w:tcPr>
            <w:tcW w:w="1733" w:type="dxa"/>
            <w:vMerge w:val="continue"/>
            <w:vAlign w:val="center"/>
          </w:tcPr>
          <w:p>
            <w:pPr>
              <w:autoSpaceDE w:val="0"/>
              <w:autoSpaceDN w:val="0"/>
              <w:adjustRightInd w:val="0"/>
              <w:ind w:left="-48" w:leftChars="-20" w:right="-48" w:rightChars="-20"/>
              <w:jc w:val="center"/>
              <w:rPr>
                <w:color w:val="auto"/>
                <w:kern w:val="0"/>
                <w:sz w:val="21"/>
                <w:szCs w:val="21"/>
              </w:rPr>
            </w:pPr>
          </w:p>
        </w:tc>
        <w:tc>
          <w:tcPr>
            <w:tcW w:w="2173" w:type="dxa"/>
            <w:vAlign w:val="center"/>
          </w:tcPr>
          <w:p>
            <w:pPr>
              <w:jc w:val="center"/>
              <w:rPr>
                <w:color w:val="auto"/>
                <w:kern w:val="0"/>
                <w:sz w:val="21"/>
                <w:szCs w:val="21"/>
              </w:rPr>
            </w:pPr>
            <w:r>
              <w:rPr>
                <w:rFonts w:hint="eastAsia"/>
                <w:color w:val="auto"/>
                <w:kern w:val="0"/>
                <w:sz w:val="21"/>
                <w:szCs w:val="21"/>
              </w:rPr>
              <w:t>总汞</w:t>
            </w:r>
          </w:p>
        </w:tc>
        <w:tc>
          <w:tcPr>
            <w:tcW w:w="1707" w:type="dxa"/>
            <w:vAlign w:val="center"/>
          </w:tcPr>
          <w:p>
            <w:pPr>
              <w:jc w:val="center"/>
              <w:rPr>
                <w:color w:val="auto"/>
                <w:sz w:val="21"/>
                <w:szCs w:val="21"/>
              </w:rPr>
            </w:pPr>
            <w:r>
              <w:rPr>
                <w:rFonts w:hint="eastAsia"/>
                <w:color w:val="auto"/>
                <w:sz w:val="21"/>
                <w:shd w:val="clear" w:color="auto" w:fill="FFFFFF"/>
              </w:rPr>
              <w:t>0.009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74" w:type="dxa"/>
            <w:vMerge w:val="continue"/>
            <w:vAlign w:val="center"/>
          </w:tcPr>
          <w:p>
            <w:pPr>
              <w:jc w:val="center"/>
              <w:rPr>
                <w:color w:val="auto"/>
                <w:sz w:val="21"/>
                <w:szCs w:val="21"/>
              </w:rPr>
            </w:pPr>
          </w:p>
        </w:tc>
        <w:tc>
          <w:tcPr>
            <w:tcW w:w="1499" w:type="dxa"/>
            <w:vMerge w:val="continue"/>
            <w:vAlign w:val="center"/>
          </w:tcPr>
          <w:p>
            <w:pPr>
              <w:jc w:val="center"/>
              <w:rPr>
                <w:color w:val="auto"/>
                <w:sz w:val="21"/>
                <w:szCs w:val="21"/>
              </w:rPr>
            </w:pPr>
          </w:p>
        </w:tc>
        <w:tc>
          <w:tcPr>
            <w:tcW w:w="1733" w:type="dxa"/>
            <w:vMerge w:val="continue"/>
            <w:vAlign w:val="center"/>
          </w:tcPr>
          <w:p>
            <w:pPr>
              <w:autoSpaceDE w:val="0"/>
              <w:autoSpaceDN w:val="0"/>
              <w:adjustRightInd w:val="0"/>
              <w:ind w:left="-48" w:leftChars="-20" w:right="-48" w:rightChars="-20"/>
              <w:jc w:val="center"/>
              <w:rPr>
                <w:color w:val="auto"/>
                <w:kern w:val="0"/>
                <w:sz w:val="21"/>
                <w:szCs w:val="21"/>
              </w:rPr>
            </w:pPr>
          </w:p>
        </w:tc>
        <w:tc>
          <w:tcPr>
            <w:tcW w:w="2173" w:type="dxa"/>
            <w:vAlign w:val="center"/>
          </w:tcPr>
          <w:p>
            <w:pPr>
              <w:jc w:val="center"/>
              <w:rPr>
                <w:color w:val="auto"/>
                <w:kern w:val="0"/>
                <w:sz w:val="21"/>
                <w:szCs w:val="21"/>
              </w:rPr>
            </w:pPr>
            <w:r>
              <w:rPr>
                <w:rFonts w:hint="eastAsia"/>
                <w:color w:val="auto"/>
                <w:kern w:val="0"/>
                <w:sz w:val="21"/>
                <w:szCs w:val="21"/>
              </w:rPr>
              <w:t>总铅</w:t>
            </w:r>
          </w:p>
        </w:tc>
        <w:tc>
          <w:tcPr>
            <w:tcW w:w="1707" w:type="dxa"/>
            <w:vAlign w:val="center"/>
          </w:tcPr>
          <w:p>
            <w:pPr>
              <w:jc w:val="center"/>
              <w:rPr>
                <w:color w:val="auto"/>
                <w:sz w:val="21"/>
                <w:szCs w:val="21"/>
              </w:rPr>
            </w:pPr>
            <w:r>
              <w:rPr>
                <w:rFonts w:hint="eastAsia"/>
                <w:color w:val="auto"/>
                <w:sz w:val="21"/>
                <w:shd w:val="clear" w:color="auto" w:fill="FFFFFF"/>
              </w:rPr>
              <w:t>2.13</w:t>
            </w:r>
          </w:p>
        </w:tc>
      </w:tr>
    </w:tbl>
    <w:p>
      <w:pPr>
        <w:snapToGrid w:val="0"/>
        <w:spacing w:line="360" w:lineRule="auto"/>
        <w:ind w:firstLine="440" w:firstLineChars="200"/>
        <w:jc w:val="both"/>
        <w:rPr>
          <w:rFonts w:eastAsiaTheme="minorEastAsia"/>
          <w:color w:val="auto"/>
          <w:sz w:val="22"/>
        </w:rPr>
      </w:pPr>
      <w:r>
        <w:rPr>
          <w:rFonts w:hint="eastAsia" w:eastAsiaTheme="minorEastAsia"/>
          <w:color w:val="auto"/>
          <w:sz w:val="22"/>
        </w:rPr>
        <w:t>备注：建筑垃圾消纳场淋溶液重金属的浓度主要是</w:t>
      </w:r>
      <w:r>
        <w:rPr>
          <w:rFonts w:hint="eastAsia"/>
          <w:color w:val="auto"/>
          <w:sz w:val="22"/>
          <w:shd w:val="clear" w:color="auto" w:fill="FFFFFF"/>
        </w:rPr>
        <w:t>类比《建筑垃圾填埋场的环境效应》（环境卫生工程第14卷第1期，同济大学 污染控制与资源化研究国家重点实验室 上海 200092 袁玉玉、王罗春、赵由才）中建筑垃圾填埋场渗滤液检测结果。</w:t>
      </w:r>
    </w:p>
    <w:p>
      <w:pPr>
        <w:snapToGrid w:val="0"/>
        <w:spacing w:line="360" w:lineRule="auto"/>
        <w:ind w:firstLine="480" w:firstLineChars="200"/>
        <w:jc w:val="both"/>
        <w:rPr>
          <w:rFonts w:eastAsiaTheme="minorEastAsia"/>
          <w:color w:val="auto"/>
        </w:rPr>
      </w:pPr>
      <w:r>
        <w:rPr>
          <w:rFonts w:eastAsiaTheme="minorEastAsia"/>
          <w:color w:val="auto"/>
        </w:rPr>
        <w:t>根据周世厥等人在《环境监测中某些指标的相关性分析》一文分析高锰酸钾指数和COD的相关性表明，其关系为高锰酸钾指数=</w:t>
      </w:r>
      <w:r>
        <w:rPr>
          <w:rFonts w:hint="eastAsia" w:eastAsiaTheme="minorEastAsia"/>
          <w:color w:val="auto"/>
        </w:rPr>
        <w:t>（</w:t>
      </w:r>
      <w:r>
        <w:rPr>
          <w:rFonts w:eastAsiaTheme="minorEastAsia"/>
          <w:color w:val="auto"/>
        </w:rPr>
        <w:t>0.2~0.7</w:t>
      </w:r>
      <w:r>
        <w:rPr>
          <w:rFonts w:hint="eastAsia" w:eastAsiaTheme="minorEastAsia"/>
          <w:color w:val="auto"/>
        </w:rPr>
        <w:t>）</w:t>
      </w:r>
      <w:r>
        <w:rPr>
          <w:rFonts w:eastAsiaTheme="minorEastAsia"/>
          <w:color w:val="auto"/>
        </w:rPr>
        <w:t>COD</w:t>
      </w:r>
      <w:r>
        <w:rPr>
          <w:rFonts w:eastAsiaTheme="minorEastAsia"/>
          <w:color w:val="auto"/>
          <w:vertAlign w:val="subscript"/>
        </w:rPr>
        <w:t>Cr</w:t>
      </w:r>
      <w:r>
        <w:rPr>
          <w:rFonts w:hint="eastAsia" w:eastAsiaTheme="minorEastAsia"/>
          <w:color w:val="auto"/>
        </w:rPr>
        <w:t>，</w:t>
      </w:r>
      <w:r>
        <w:rPr>
          <w:rFonts w:eastAsiaTheme="minorEastAsia"/>
          <w:color w:val="auto"/>
        </w:rPr>
        <w:t>故本次预测取值为0.7COD。</w:t>
      </w:r>
    </w:p>
    <w:p>
      <w:pPr>
        <w:snapToGrid w:val="0"/>
        <w:spacing w:line="360" w:lineRule="auto"/>
        <w:ind w:firstLine="480" w:firstLineChars="200"/>
        <w:jc w:val="both"/>
        <w:rPr>
          <w:color w:val="auto"/>
        </w:rPr>
      </w:pPr>
      <w:r>
        <w:rPr>
          <w:rFonts w:eastAsiaTheme="minorEastAsia"/>
          <w:color w:val="auto"/>
        </w:rPr>
        <w:t>因此，非正常工况下，通过污水池等半地下非可视部位发生小面积渗漏时，可能进入地下水污染物的预测源强见</w:t>
      </w:r>
      <w:r>
        <w:rPr>
          <w:rFonts w:hint="eastAsia" w:eastAsiaTheme="minorEastAsia"/>
          <w:color w:val="auto"/>
        </w:rPr>
        <w:t>下</w:t>
      </w:r>
      <w:r>
        <w:rPr>
          <w:rFonts w:eastAsiaTheme="minorEastAsia"/>
          <w:color w:val="auto"/>
        </w:rPr>
        <w:t>表。</w:t>
      </w:r>
    </w:p>
    <w:p>
      <w:pPr>
        <w:snapToGrid w:val="0"/>
        <w:jc w:val="center"/>
        <w:rPr>
          <w:b/>
          <w:color w:val="auto"/>
          <w:szCs w:val="21"/>
        </w:rPr>
      </w:pPr>
      <w:r>
        <w:rPr>
          <w:b/>
          <w:color w:val="auto"/>
        </w:rPr>
        <w:t>表5.2-</w:t>
      </w:r>
      <w:r>
        <w:rPr>
          <w:rFonts w:hint="eastAsia"/>
          <w:b/>
          <w:color w:val="auto"/>
        </w:rPr>
        <w:t>11</w:t>
      </w:r>
      <w:r>
        <w:rPr>
          <w:b/>
          <w:color w:val="auto"/>
          <w:szCs w:val="21"/>
        </w:rPr>
        <w:t xml:space="preserve">  非正常工况地下水预测源强表</w:t>
      </w:r>
    </w:p>
    <w:tbl>
      <w:tblPr>
        <w:tblStyle w:val="53"/>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44"/>
        <w:gridCol w:w="2253"/>
        <w:gridCol w:w="2606"/>
        <w:gridCol w:w="29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44" w:type="dxa"/>
            <w:vAlign w:val="center"/>
          </w:tcPr>
          <w:p>
            <w:pPr>
              <w:jc w:val="center"/>
              <w:rPr>
                <w:b/>
                <w:color w:val="auto"/>
                <w:sz w:val="21"/>
                <w:szCs w:val="21"/>
              </w:rPr>
            </w:pPr>
            <w:r>
              <w:rPr>
                <w:b/>
                <w:color w:val="auto"/>
                <w:sz w:val="21"/>
                <w:szCs w:val="21"/>
              </w:rPr>
              <w:t>情景设定</w:t>
            </w:r>
          </w:p>
        </w:tc>
        <w:tc>
          <w:tcPr>
            <w:tcW w:w="2253" w:type="dxa"/>
            <w:vAlign w:val="center"/>
          </w:tcPr>
          <w:p>
            <w:pPr>
              <w:jc w:val="center"/>
              <w:rPr>
                <w:b/>
                <w:color w:val="auto"/>
                <w:sz w:val="21"/>
                <w:szCs w:val="21"/>
              </w:rPr>
            </w:pPr>
            <w:r>
              <w:rPr>
                <w:b/>
                <w:color w:val="auto"/>
                <w:sz w:val="21"/>
                <w:szCs w:val="21"/>
              </w:rPr>
              <w:t>渗漏点</w:t>
            </w:r>
          </w:p>
        </w:tc>
        <w:tc>
          <w:tcPr>
            <w:tcW w:w="2606" w:type="dxa"/>
            <w:vAlign w:val="center"/>
          </w:tcPr>
          <w:p>
            <w:pPr>
              <w:jc w:val="center"/>
              <w:rPr>
                <w:b/>
                <w:color w:val="auto"/>
                <w:sz w:val="21"/>
                <w:szCs w:val="21"/>
              </w:rPr>
            </w:pPr>
            <w:r>
              <w:rPr>
                <w:b/>
                <w:color w:val="auto"/>
                <w:sz w:val="21"/>
                <w:szCs w:val="21"/>
              </w:rPr>
              <w:t>特征污染物</w:t>
            </w:r>
          </w:p>
        </w:tc>
        <w:tc>
          <w:tcPr>
            <w:tcW w:w="2983" w:type="dxa"/>
            <w:vAlign w:val="center"/>
          </w:tcPr>
          <w:p>
            <w:pPr>
              <w:jc w:val="center"/>
              <w:rPr>
                <w:b/>
                <w:color w:val="auto"/>
                <w:sz w:val="21"/>
                <w:szCs w:val="21"/>
              </w:rPr>
            </w:pPr>
            <w:r>
              <w:rPr>
                <w:b/>
                <w:color w:val="auto"/>
                <w:sz w:val="21"/>
                <w:szCs w:val="21"/>
              </w:rPr>
              <w:t>浓度mg/L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44" w:type="dxa"/>
            <w:vMerge w:val="restart"/>
            <w:vAlign w:val="center"/>
          </w:tcPr>
          <w:p>
            <w:pPr>
              <w:jc w:val="center"/>
              <w:rPr>
                <w:color w:val="auto"/>
                <w:sz w:val="21"/>
                <w:szCs w:val="21"/>
              </w:rPr>
            </w:pPr>
            <w:r>
              <w:rPr>
                <w:color w:val="auto"/>
                <w:sz w:val="21"/>
                <w:szCs w:val="21"/>
              </w:rPr>
              <w:t>一般事故</w:t>
            </w:r>
          </w:p>
        </w:tc>
        <w:tc>
          <w:tcPr>
            <w:tcW w:w="2253" w:type="dxa"/>
            <w:vMerge w:val="restart"/>
            <w:vAlign w:val="center"/>
          </w:tcPr>
          <w:p>
            <w:pPr>
              <w:jc w:val="center"/>
              <w:rPr>
                <w:color w:val="auto"/>
                <w:sz w:val="21"/>
                <w:szCs w:val="21"/>
              </w:rPr>
            </w:pPr>
            <w:r>
              <w:rPr>
                <w:color w:val="auto"/>
                <w:sz w:val="21"/>
                <w:szCs w:val="21"/>
              </w:rPr>
              <w:t>垃圾渗滤液处理站</w:t>
            </w:r>
          </w:p>
        </w:tc>
        <w:tc>
          <w:tcPr>
            <w:tcW w:w="2606" w:type="dxa"/>
            <w:vAlign w:val="center"/>
          </w:tcPr>
          <w:p>
            <w:pPr>
              <w:jc w:val="center"/>
              <w:rPr>
                <w:color w:val="auto"/>
                <w:sz w:val="21"/>
                <w:szCs w:val="21"/>
              </w:rPr>
            </w:pPr>
            <w:r>
              <w:rPr>
                <w:color w:val="auto"/>
                <w:sz w:val="21"/>
                <w:szCs w:val="21"/>
              </w:rPr>
              <w:t>高锰酸盐指数</w:t>
            </w:r>
          </w:p>
        </w:tc>
        <w:tc>
          <w:tcPr>
            <w:tcW w:w="2983" w:type="dxa"/>
            <w:vAlign w:val="center"/>
          </w:tcPr>
          <w:p>
            <w:pPr>
              <w:widowControl/>
              <w:jc w:val="center"/>
              <w:rPr>
                <w:color w:val="auto"/>
                <w:sz w:val="21"/>
                <w:szCs w:val="21"/>
              </w:rPr>
            </w:pPr>
            <w:r>
              <w:rPr>
                <w:color w:val="auto"/>
                <w:sz w:val="21"/>
                <w:szCs w:val="21"/>
              </w:rPr>
              <w:t>35000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44" w:type="dxa"/>
            <w:vMerge w:val="continue"/>
            <w:vAlign w:val="center"/>
          </w:tcPr>
          <w:p>
            <w:pPr>
              <w:jc w:val="center"/>
              <w:rPr>
                <w:color w:val="auto"/>
                <w:sz w:val="21"/>
                <w:szCs w:val="21"/>
              </w:rPr>
            </w:pPr>
          </w:p>
        </w:tc>
        <w:tc>
          <w:tcPr>
            <w:tcW w:w="2253" w:type="dxa"/>
            <w:vMerge w:val="continue"/>
            <w:vAlign w:val="center"/>
          </w:tcPr>
          <w:p>
            <w:pPr>
              <w:jc w:val="center"/>
              <w:rPr>
                <w:color w:val="auto"/>
                <w:sz w:val="21"/>
                <w:szCs w:val="21"/>
              </w:rPr>
            </w:pPr>
          </w:p>
        </w:tc>
        <w:tc>
          <w:tcPr>
            <w:tcW w:w="2606" w:type="dxa"/>
            <w:vAlign w:val="center"/>
          </w:tcPr>
          <w:p>
            <w:pPr>
              <w:jc w:val="center"/>
              <w:rPr>
                <w:color w:val="auto"/>
                <w:sz w:val="21"/>
                <w:szCs w:val="21"/>
              </w:rPr>
            </w:pPr>
            <w:r>
              <w:rPr>
                <w:color w:val="auto"/>
                <w:sz w:val="21"/>
                <w:szCs w:val="21"/>
              </w:rPr>
              <w:t>氨氮</w:t>
            </w:r>
          </w:p>
        </w:tc>
        <w:tc>
          <w:tcPr>
            <w:tcW w:w="2983" w:type="dxa"/>
            <w:vAlign w:val="center"/>
          </w:tcPr>
          <w:p>
            <w:pPr>
              <w:jc w:val="center"/>
              <w:rPr>
                <w:color w:val="auto"/>
                <w:sz w:val="21"/>
                <w:szCs w:val="21"/>
              </w:rPr>
            </w:pPr>
            <w:r>
              <w:rPr>
                <w:color w:val="auto"/>
                <w:sz w:val="21"/>
                <w:szCs w:val="21"/>
              </w:rPr>
              <w:t>1000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44" w:type="dxa"/>
            <w:vMerge w:val="continue"/>
            <w:vAlign w:val="center"/>
          </w:tcPr>
          <w:p>
            <w:pPr>
              <w:jc w:val="center"/>
              <w:rPr>
                <w:color w:val="auto"/>
                <w:sz w:val="21"/>
                <w:szCs w:val="21"/>
              </w:rPr>
            </w:pPr>
          </w:p>
        </w:tc>
        <w:tc>
          <w:tcPr>
            <w:tcW w:w="2253" w:type="dxa"/>
            <w:vMerge w:val="continue"/>
            <w:vAlign w:val="center"/>
          </w:tcPr>
          <w:p>
            <w:pPr>
              <w:jc w:val="center"/>
              <w:rPr>
                <w:color w:val="auto"/>
                <w:sz w:val="21"/>
                <w:szCs w:val="21"/>
              </w:rPr>
            </w:pPr>
          </w:p>
        </w:tc>
        <w:tc>
          <w:tcPr>
            <w:tcW w:w="2606" w:type="dxa"/>
            <w:vAlign w:val="center"/>
          </w:tcPr>
          <w:p>
            <w:pPr>
              <w:jc w:val="center"/>
              <w:rPr>
                <w:color w:val="auto"/>
                <w:sz w:val="21"/>
                <w:szCs w:val="21"/>
              </w:rPr>
            </w:pPr>
            <w:r>
              <w:rPr>
                <w:rFonts w:hint="eastAsia"/>
                <w:color w:val="auto"/>
                <w:kern w:val="0"/>
                <w:sz w:val="21"/>
                <w:szCs w:val="21"/>
              </w:rPr>
              <w:t>总铅</w:t>
            </w:r>
          </w:p>
        </w:tc>
        <w:tc>
          <w:tcPr>
            <w:tcW w:w="2983" w:type="dxa"/>
            <w:vAlign w:val="center"/>
          </w:tcPr>
          <w:p>
            <w:pPr>
              <w:jc w:val="center"/>
              <w:rPr>
                <w:color w:val="auto"/>
                <w:sz w:val="21"/>
                <w:szCs w:val="21"/>
              </w:rPr>
            </w:pPr>
            <w:r>
              <w:rPr>
                <w:rFonts w:hint="eastAsia"/>
                <w:color w:val="auto"/>
                <w:sz w:val="21"/>
                <w:szCs w:val="21"/>
              </w:rPr>
              <w:t>0</w:t>
            </w:r>
            <w:r>
              <w:rPr>
                <w:color w:val="auto"/>
                <w:sz w:val="21"/>
                <w:szCs w:val="21"/>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44" w:type="dxa"/>
            <w:vMerge w:val="continue"/>
            <w:vAlign w:val="center"/>
          </w:tcPr>
          <w:p>
            <w:pPr>
              <w:jc w:val="center"/>
              <w:rPr>
                <w:color w:val="auto"/>
                <w:sz w:val="21"/>
                <w:szCs w:val="21"/>
              </w:rPr>
            </w:pPr>
          </w:p>
        </w:tc>
        <w:tc>
          <w:tcPr>
            <w:tcW w:w="2253" w:type="dxa"/>
            <w:vMerge w:val="continue"/>
            <w:vAlign w:val="center"/>
          </w:tcPr>
          <w:p>
            <w:pPr>
              <w:jc w:val="center"/>
              <w:rPr>
                <w:color w:val="auto"/>
                <w:sz w:val="21"/>
                <w:szCs w:val="21"/>
              </w:rPr>
            </w:pPr>
          </w:p>
        </w:tc>
        <w:tc>
          <w:tcPr>
            <w:tcW w:w="2606" w:type="dxa"/>
            <w:vAlign w:val="center"/>
          </w:tcPr>
          <w:p>
            <w:pPr>
              <w:jc w:val="center"/>
              <w:rPr>
                <w:color w:val="auto"/>
                <w:sz w:val="21"/>
                <w:szCs w:val="21"/>
              </w:rPr>
            </w:pPr>
            <w:r>
              <w:rPr>
                <w:rFonts w:hint="eastAsia"/>
                <w:color w:val="auto"/>
                <w:kern w:val="0"/>
                <w:sz w:val="21"/>
                <w:szCs w:val="21"/>
              </w:rPr>
              <w:t>总镉</w:t>
            </w:r>
          </w:p>
        </w:tc>
        <w:tc>
          <w:tcPr>
            <w:tcW w:w="2983" w:type="dxa"/>
            <w:vAlign w:val="center"/>
          </w:tcPr>
          <w:p>
            <w:pPr>
              <w:jc w:val="center"/>
              <w:rPr>
                <w:color w:val="auto"/>
                <w:sz w:val="21"/>
                <w:szCs w:val="21"/>
              </w:rPr>
            </w:pPr>
            <w:r>
              <w:rPr>
                <w:rFonts w:hint="eastAsia"/>
                <w:color w:val="auto"/>
                <w:sz w:val="21"/>
                <w:szCs w:val="21"/>
              </w:rPr>
              <w:t>0</w:t>
            </w:r>
            <w:r>
              <w:rPr>
                <w:color w:val="auto"/>
                <w:sz w:val="21"/>
                <w:szCs w:val="21"/>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44" w:type="dxa"/>
            <w:vMerge w:val="restart"/>
            <w:vAlign w:val="center"/>
          </w:tcPr>
          <w:p>
            <w:pPr>
              <w:jc w:val="center"/>
              <w:rPr>
                <w:color w:val="auto"/>
                <w:sz w:val="21"/>
                <w:szCs w:val="21"/>
              </w:rPr>
            </w:pPr>
            <w:r>
              <w:rPr>
                <w:color w:val="auto"/>
                <w:sz w:val="21"/>
                <w:szCs w:val="21"/>
              </w:rPr>
              <w:t>一般事故</w:t>
            </w:r>
          </w:p>
        </w:tc>
        <w:tc>
          <w:tcPr>
            <w:tcW w:w="2253" w:type="dxa"/>
            <w:vMerge w:val="restart"/>
            <w:vAlign w:val="center"/>
          </w:tcPr>
          <w:p>
            <w:pPr>
              <w:jc w:val="center"/>
              <w:rPr>
                <w:color w:val="auto"/>
                <w:sz w:val="21"/>
                <w:szCs w:val="21"/>
              </w:rPr>
            </w:pPr>
            <w:r>
              <w:rPr>
                <w:rFonts w:hint="eastAsia"/>
                <w:color w:val="auto"/>
                <w:sz w:val="21"/>
                <w:szCs w:val="21"/>
              </w:rPr>
              <w:t>建筑垃圾消纳</w:t>
            </w:r>
            <w:r>
              <w:rPr>
                <w:color w:val="auto"/>
                <w:sz w:val="21"/>
                <w:szCs w:val="21"/>
              </w:rPr>
              <w:t>场</w:t>
            </w:r>
          </w:p>
        </w:tc>
        <w:tc>
          <w:tcPr>
            <w:tcW w:w="2606" w:type="dxa"/>
            <w:vAlign w:val="center"/>
          </w:tcPr>
          <w:p>
            <w:pPr>
              <w:jc w:val="center"/>
              <w:rPr>
                <w:color w:val="auto"/>
                <w:kern w:val="0"/>
                <w:sz w:val="21"/>
                <w:szCs w:val="21"/>
              </w:rPr>
            </w:pPr>
            <w:r>
              <w:rPr>
                <w:rFonts w:hint="eastAsia"/>
                <w:color w:val="auto"/>
                <w:kern w:val="0"/>
                <w:sz w:val="21"/>
                <w:szCs w:val="21"/>
              </w:rPr>
              <w:t>总砷</w:t>
            </w:r>
          </w:p>
        </w:tc>
        <w:tc>
          <w:tcPr>
            <w:tcW w:w="2983" w:type="dxa"/>
            <w:vAlign w:val="center"/>
          </w:tcPr>
          <w:p>
            <w:pPr>
              <w:jc w:val="center"/>
              <w:rPr>
                <w:color w:val="auto"/>
                <w:sz w:val="21"/>
                <w:szCs w:val="21"/>
              </w:rPr>
            </w:pPr>
            <w:r>
              <w:rPr>
                <w:rFonts w:hint="eastAsia"/>
                <w:color w:val="auto"/>
                <w:sz w:val="21"/>
                <w:shd w:val="clear" w:color="auto" w:fill="FFFFFF"/>
              </w:rPr>
              <w:t>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44" w:type="dxa"/>
            <w:vMerge w:val="continue"/>
            <w:vAlign w:val="center"/>
          </w:tcPr>
          <w:p>
            <w:pPr>
              <w:jc w:val="center"/>
              <w:rPr>
                <w:color w:val="auto"/>
                <w:sz w:val="21"/>
                <w:szCs w:val="21"/>
              </w:rPr>
            </w:pPr>
          </w:p>
        </w:tc>
        <w:tc>
          <w:tcPr>
            <w:tcW w:w="2253" w:type="dxa"/>
            <w:vMerge w:val="continue"/>
            <w:vAlign w:val="center"/>
          </w:tcPr>
          <w:p>
            <w:pPr>
              <w:jc w:val="center"/>
              <w:rPr>
                <w:color w:val="auto"/>
                <w:sz w:val="21"/>
                <w:szCs w:val="21"/>
              </w:rPr>
            </w:pPr>
          </w:p>
        </w:tc>
        <w:tc>
          <w:tcPr>
            <w:tcW w:w="2606" w:type="dxa"/>
            <w:vAlign w:val="center"/>
          </w:tcPr>
          <w:p>
            <w:pPr>
              <w:jc w:val="center"/>
              <w:rPr>
                <w:color w:val="auto"/>
                <w:kern w:val="0"/>
                <w:sz w:val="21"/>
                <w:szCs w:val="21"/>
              </w:rPr>
            </w:pPr>
            <w:r>
              <w:rPr>
                <w:rFonts w:hint="eastAsia"/>
                <w:color w:val="auto"/>
                <w:kern w:val="0"/>
                <w:sz w:val="21"/>
                <w:szCs w:val="21"/>
              </w:rPr>
              <w:t>总汞</w:t>
            </w:r>
          </w:p>
        </w:tc>
        <w:tc>
          <w:tcPr>
            <w:tcW w:w="2983" w:type="dxa"/>
            <w:vAlign w:val="center"/>
          </w:tcPr>
          <w:p>
            <w:pPr>
              <w:jc w:val="center"/>
              <w:rPr>
                <w:color w:val="auto"/>
                <w:sz w:val="21"/>
                <w:szCs w:val="21"/>
              </w:rPr>
            </w:pPr>
            <w:r>
              <w:rPr>
                <w:rFonts w:hint="eastAsia"/>
                <w:color w:val="auto"/>
                <w:sz w:val="21"/>
                <w:shd w:val="clear" w:color="auto" w:fill="FFFFFF"/>
              </w:rPr>
              <w:t>0.009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44" w:type="dxa"/>
            <w:vMerge w:val="continue"/>
            <w:vAlign w:val="center"/>
          </w:tcPr>
          <w:p>
            <w:pPr>
              <w:jc w:val="center"/>
              <w:rPr>
                <w:color w:val="auto"/>
                <w:sz w:val="21"/>
                <w:szCs w:val="21"/>
              </w:rPr>
            </w:pPr>
          </w:p>
        </w:tc>
        <w:tc>
          <w:tcPr>
            <w:tcW w:w="2253" w:type="dxa"/>
            <w:vMerge w:val="continue"/>
            <w:vAlign w:val="center"/>
          </w:tcPr>
          <w:p>
            <w:pPr>
              <w:jc w:val="center"/>
              <w:rPr>
                <w:color w:val="auto"/>
                <w:sz w:val="21"/>
                <w:szCs w:val="21"/>
              </w:rPr>
            </w:pPr>
          </w:p>
        </w:tc>
        <w:tc>
          <w:tcPr>
            <w:tcW w:w="2606" w:type="dxa"/>
            <w:vAlign w:val="center"/>
          </w:tcPr>
          <w:p>
            <w:pPr>
              <w:jc w:val="center"/>
              <w:rPr>
                <w:color w:val="auto"/>
                <w:kern w:val="0"/>
                <w:sz w:val="21"/>
                <w:szCs w:val="21"/>
              </w:rPr>
            </w:pPr>
            <w:r>
              <w:rPr>
                <w:rFonts w:hint="eastAsia"/>
                <w:color w:val="auto"/>
                <w:kern w:val="0"/>
                <w:sz w:val="21"/>
                <w:szCs w:val="21"/>
              </w:rPr>
              <w:t>总铅</w:t>
            </w:r>
          </w:p>
        </w:tc>
        <w:tc>
          <w:tcPr>
            <w:tcW w:w="2983" w:type="dxa"/>
            <w:vAlign w:val="center"/>
          </w:tcPr>
          <w:p>
            <w:pPr>
              <w:jc w:val="center"/>
              <w:rPr>
                <w:color w:val="auto"/>
                <w:sz w:val="21"/>
                <w:szCs w:val="21"/>
              </w:rPr>
            </w:pPr>
            <w:r>
              <w:rPr>
                <w:rFonts w:hint="eastAsia"/>
                <w:color w:val="auto"/>
                <w:sz w:val="21"/>
                <w:shd w:val="clear" w:color="auto" w:fill="FFFFFF"/>
              </w:rPr>
              <w:t>2.13</w:t>
            </w:r>
          </w:p>
        </w:tc>
      </w:tr>
    </w:tbl>
    <w:p>
      <w:pPr>
        <w:pStyle w:val="97"/>
        <w:spacing w:line="360" w:lineRule="auto"/>
        <w:ind w:firstLine="480" w:firstLineChars="200"/>
        <w:rPr>
          <w:rFonts w:ascii="Times New Roman" w:cs="Times New Roman"/>
          <w:bCs/>
          <w:color w:val="auto"/>
        </w:rPr>
      </w:pPr>
      <w:r>
        <w:rPr>
          <w:rFonts w:ascii="Times New Roman" w:cs="Times New Roman"/>
          <w:bCs/>
          <w:color w:val="auto"/>
        </w:rPr>
        <w:t>2</w:t>
      </w:r>
      <w:r>
        <w:rPr>
          <w:rFonts w:hint="eastAsia" w:ascii="Times New Roman" w:cs="Times New Roman"/>
          <w:bCs/>
          <w:color w:val="auto"/>
        </w:rPr>
        <w:t>、</w:t>
      </w:r>
      <w:r>
        <w:rPr>
          <w:rFonts w:ascii="Times New Roman" w:cs="Times New Roman"/>
          <w:bCs/>
          <w:color w:val="auto"/>
        </w:rPr>
        <w:t>预测模式</w:t>
      </w:r>
    </w:p>
    <w:p>
      <w:pPr>
        <w:snapToGrid w:val="0"/>
        <w:spacing w:line="360" w:lineRule="auto"/>
        <w:ind w:firstLine="480" w:firstLineChars="200"/>
        <w:rPr>
          <w:color w:val="auto"/>
        </w:rPr>
      </w:pPr>
      <w:r>
        <w:rPr>
          <w:color w:val="auto"/>
        </w:rPr>
        <w:t>依据《环境影响评价技术导则 地下水环境》</w:t>
      </w:r>
      <w:r>
        <w:rPr>
          <w:rFonts w:hint="eastAsia"/>
          <w:color w:val="auto"/>
        </w:rPr>
        <w:t>（</w:t>
      </w:r>
      <w:r>
        <w:rPr>
          <w:color w:val="auto"/>
        </w:rPr>
        <w:t>HJ610-2016</w:t>
      </w:r>
      <w:r>
        <w:rPr>
          <w:rFonts w:hint="eastAsia"/>
          <w:color w:val="auto"/>
        </w:rPr>
        <w:t>）</w:t>
      </w:r>
      <w:r>
        <w:rPr>
          <w:color w:val="auto"/>
        </w:rPr>
        <w:t>对二级评价的要求，结合本期工程场地水文地质条件和潜在污染源特征，地下水环境影响预测</w:t>
      </w:r>
      <w:bookmarkStart w:id="657" w:name="OLE_LINK113"/>
      <w:r>
        <w:rPr>
          <w:color w:val="auto"/>
        </w:rPr>
        <w:t>采用一维半无限长多孔介质柱体，一端为定浓度边界模型</w:t>
      </w:r>
      <w:bookmarkEnd w:id="657"/>
      <w:r>
        <w:rPr>
          <w:color w:val="auto"/>
        </w:rPr>
        <w:t>。其解析解分别如下列公式所示：</w:t>
      </w:r>
    </w:p>
    <w:p>
      <w:pPr>
        <w:snapToGrid w:val="0"/>
        <w:jc w:val="center"/>
        <w:rPr>
          <w:color w:val="auto"/>
        </w:rPr>
      </w:pPr>
      <w:r>
        <w:rPr>
          <w:color w:val="auto"/>
          <w:position w:val="-36"/>
        </w:rPr>
        <w:object>
          <v:shape id="_x0000_i1038" o:spt="75" type="#_x0000_t75" style="height:42pt;width:208.4pt;" o:ole="t" filled="f" o:preferrelative="t" stroked="f" coordsize="21600,21600">
            <v:path/>
            <v:fill on="f" focussize="0,0"/>
            <v:stroke on="f" joinstyle="miter"/>
            <v:imagedata r:id="rId115" o:title=""/>
            <o:lock v:ext="edit" aspectratio="t"/>
            <w10:wrap type="none"/>
            <w10:anchorlock/>
          </v:shape>
          <o:OLEObject Type="Embed" ProgID="Equation.DSMT4" ShapeID="_x0000_i1038" DrawAspect="Content" ObjectID="_1468075738" r:id="rId114">
            <o:LockedField>false</o:LockedField>
          </o:OLEObject>
        </w:object>
      </w:r>
    </w:p>
    <w:p>
      <w:pPr>
        <w:snapToGrid w:val="0"/>
        <w:spacing w:line="360" w:lineRule="auto"/>
        <w:ind w:firstLine="480" w:firstLineChars="200"/>
        <w:rPr>
          <w:color w:val="auto"/>
        </w:rPr>
      </w:pPr>
      <w:r>
        <w:rPr>
          <w:color w:val="auto"/>
        </w:rPr>
        <w:t>式中：x—距注入点的距离：m；</w:t>
      </w:r>
    </w:p>
    <w:p>
      <w:pPr>
        <w:snapToGrid w:val="0"/>
        <w:spacing w:line="360" w:lineRule="auto"/>
        <w:ind w:firstLine="1200" w:firstLineChars="500"/>
        <w:rPr>
          <w:color w:val="auto"/>
        </w:rPr>
      </w:pPr>
      <w:r>
        <w:rPr>
          <w:color w:val="auto"/>
        </w:rPr>
        <w:t>t—时间，d；</w:t>
      </w:r>
    </w:p>
    <w:p>
      <w:pPr>
        <w:snapToGrid w:val="0"/>
        <w:spacing w:line="360" w:lineRule="auto"/>
        <w:ind w:firstLine="1200" w:firstLineChars="500"/>
        <w:rPr>
          <w:color w:val="auto"/>
        </w:rPr>
      </w:pPr>
      <w:r>
        <w:rPr>
          <w:color w:val="auto"/>
        </w:rPr>
        <w:t>C(x，t)—t时刻x处的示踪剂浓度，mg/L；</w:t>
      </w:r>
    </w:p>
    <w:p>
      <w:pPr>
        <w:snapToGrid w:val="0"/>
        <w:spacing w:line="360" w:lineRule="auto"/>
        <w:ind w:firstLine="1200" w:firstLineChars="500"/>
        <w:rPr>
          <w:color w:val="auto"/>
        </w:rPr>
      </w:pPr>
      <w:r>
        <w:rPr>
          <w:color w:val="auto"/>
        </w:rPr>
        <w:t>C</w:t>
      </w:r>
      <w:r>
        <w:rPr>
          <w:color w:val="auto"/>
          <w:vertAlign w:val="subscript"/>
        </w:rPr>
        <w:t>0</w:t>
      </w:r>
      <w:r>
        <w:rPr>
          <w:color w:val="auto"/>
        </w:rPr>
        <w:t>—注入的示踪剂浓度，mg/L；</w:t>
      </w:r>
    </w:p>
    <w:p>
      <w:pPr>
        <w:snapToGrid w:val="0"/>
        <w:spacing w:line="360" w:lineRule="auto"/>
        <w:ind w:firstLine="1200" w:firstLineChars="500"/>
        <w:rPr>
          <w:color w:val="auto"/>
        </w:rPr>
      </w:pPr>
      <w:r>
        <w:rPr>
          <w:color w:val="auto"/>
        </w:rPr>
        <w:t>u—水流速度，m/d；</w:t>
      </w:r>
    </w:p>
    <w:p>
      <w:pPr>
        <w:snapToGrid w:val="0"/>
        <w:spacing w:line="360" w:lineRule="auto"/>
        <w:ind w:firstLine="1200" w:firstLineChars="500"/>
        <w:rPr>
          <w:color w:val="auto"/>
        </w:rPr>
      </w:pPr>
      <w:r>
        <w:rPr>
          <w:color w:val="auto"/>
        </w:rPr>
        <w:t>D</w:t>
      </w:r>
      <w:r>
        <w:rPr>
          <w:color w:val="auto"/>
          <w:vertAlign w:val="subscript"/>
        </w:rPr>
        <w:t>L</w:t>
      </w:r>
      <w:r>
        <w:rPr>
          <w:color w:val="auto"/>
        </w:rPr>
        <w:t>—纵向弥散系数，m</w:t>
      </w:r>
      <w:r>
        <w:rPr>
          <w:color w:val="auto"/>
          <w:vertAlign w:val="superscript"/>
        </w:rPr>
        <w:t>2</w:t>
      </w:r>
      <w:r>
        <w:rPr>
          <w:color w:val="auto"/>
        </w:rPr>
        <w:t>/d；</w:t>
      </w:r>
    </w:p>
    <w:p>
      <w:pPr>
        <w:snapToGrid w:val="0"/>
        <w:spacing w:line="360" w:lineRule="auto"/>
        <w:ind w:firstLine="1200" w:firstLineChars="500"/>
        <w:rPr>
          <w:color w:val="auto"/>
        </w:rPr>
      </w:pPr>
      <w:r>
        <w:rPr>
          <w:color w:val="auto"/>
        </w:rPr>
        <w:t>Erfc（）—余误差函数。</w:t>
      </w:r>
    </w:p>
    <w:p>
      <w:pPr>
        <w:snapToGrid w:val="0"/>
        <w:spacing w:line="360" w:lineRule="auto"/>
        <w:ind w:firstLine="480" w:firstLineChars="200"/>
        <w:rPr>
          <w:color w:val="auto"/>
        </w:rPr>
      </w:pPr>
      <w:r>
        <w:rPr>
          <w:color w:val="auto"/>
        </w:rPr>
        <w:t>计算参数：</w:t>
      </w:r>
    </w:p>
    <w:p>
      <w:pPr>
        <w:snapToGrid w:val="0"/>
        <w:spacing w:line="360" w:lineRule="auto"/>
        <w:ind w:firstLine="480" w:firstLineChars="200"/>
        <w:rPr>
          <w:color w:val="auto"/>
        </w:rPr>
      </w:pPr>
      <w:r>
        <w:rPr>
          <w:color w:val="auto"/>
        </w:rPr>
        <w:t xml:space="preserve">利用所选取的污染物迁移模型，能否达到对污染物迁移过程的合理预测，关键就在于模型参数的选取和确定是否正确合理。 </w:t>
      </w:r>
    </w:p>
    <w:p>
      <w:pPr>
        <w:snapToGrid w:val="0"/>
        <w:spacing w:line="360" w:lineRule="auto"/>
        <w:ind w:firstLine="480" w:firstLineChars="200"/>
        <w:rPr>
          <w:color w:val="auto"/>
        </w:rPr>
      </w:pPr>
      <w:r>
        <w:rPr>
          <w:color w:val="auto"/>
        </w:rPr>
        <w:t>本次预测所用模型需要的参数有：岩层的有效孔隙度</w:t>
      </w:r>
      <w:r>
        <w:rPr>
          <w:i/>
          <w:color w:val="auto"/>
        </w:rPr>
        <w:t>n</w:t>
      </w:r>
      <w:r>
        <w:rPr>
          <w:color w:val="auto"/>
        </w:rPr>
        <w:t>；水流速度</w:t>
      </w:r>
      <w:r>
        <w:rPr>
          <w:i/>
          <w:color w:val="auto"/>
        </w:rPr>
        <w:t>u</w:t>
      </w:r>
      <w:r>
        <w:rPr>
          <w:color w:val="auto"/>
        </w:rPr>
        <w:t>；污染物纵向弥散系数</w:t>
      </w:r>
      <w:r>
        <w:rPr>
          <w:i/>
          <w:color w:val="auto"/>
        </w:rPr>
        <w:t>D</w:t>
      </w:r>
      <w:r>
        <w:rPr>
          <w:i/>
          <w:color w:val="auto"/>
          <w:vertAlign w:val="subscript"/>
        </w:rPr>
        <w:t>L</w:t>
      </w:r>
      <w:r>
        <w:rPr>
          <w:color w:val="auto"/>
        </w:rPr>
        <w:t>；污染物横向弥散系数</w:t>
      </w:r>
      <w:r>
        <w:rPr>
          <w:i/>
          <w:color w:val="auto"/>
        </w:rPr>
        <w:t>D</w:t>
      </w:r>
      <w:r>
        <w:rPr>
          <w:i/>
          <w:color w:val="auto"/>
          <w:vertAlign w:val="subscript"/>
        </w:rPr>
        <w:t>T</w:t>
      </w:r>
      <w:r>
        <w:rPr>
          <w:color w:val="auto"/>
        </w:rPr>
        <w:t>，这些参数由</w:t>
      </w:r>
      <w:r>
        <w:rPr>
          <w:color w:val="auto"/>
          <w:lang w:val="zh-CN"/>
        </w:rPr>
        <w:t>水文地质勘察</w:t>
      </w:r>
      <w:r>
        <w:rPr>
          <w:color w:val="auto"/>
        </w:rPr>
        <w:t>及根据导则给出经验值来确定。</w:t>
      </w:r>
    </w:p>
    <w:p>
      <w:pPr>
        <w:snapToGrid w:val="0"/>
        <w:spacing w:line="360" w:lineRule="auto"/>
        <w:ind w:firstLine="480" w:firstLineChars="200"/>
        <w:rPr>
          <w:color w:val="auto"/>
        </w:rPr>
      </w:pPr>
      <w:r>
        <w:rPr>
          <w:color w:val="auto"/>
        </w:rPr>
        <w:t>根据本场地的工程勘察报告</w:t>
      </w:r>
      <w:r>
        <w:rPr>
          <w:rFonts w:hint="eastAsia"/>
          <w:color w:val="auto"/>
        </w:rPr>
        <w:t>（原《</w:t>
      </w:r>
      <w:r>
        <w:rPr>
          <w:rFonts w:hint="eastAsia"/>
          <w:bCs/>
          <w:color w:val="auto"/>
        </w:rPr>
        <w:t>兴宁市生活垃圾综合处理场详细勘察阶段的工程地质勘察报告》</w:t>
      </w:r>
      <w:r>
        <w:rPr>
          <w:rFonts w:hint="eastAsia"/>
          <w:color w:val="auto"/>
        </w:rPr>
        <w:t>）：</w:t>
      </w:r>
    </w:p>
    <w:p>
      <w:pPr>
        <w:snapToGrid w:val="0"/>
        <w:spacing w:line="360" w:lineRule="auto"/>
        <w:ind w:firstLine="480" w:firstLineChars="200"/>
        <w:rPr>
          <w:color w:val="auto"/>
        </w:rPr>
      </w:pPr>
      <w:r>
        <w:rPr>
          <w:color w:val="auto"/>
        </w:rPr>
        <w:t>（1）含水层的平均有效孔隙度n</w:t>
      </w:r>
    </w:p>
    <w:p>
      <w:pPr>
        <w:snapToGrid w:val="0"/>
        <w:spacing w:line="360" w:lineRule="auto"/>
        <w:ind w:firstLine="480" w:firstLineChars="200"/>
        <w:jc w:val="both"/>
        <w:rPr>
          <w:bCs/>
          <w:color w:val="auto"/>
        </w:rPr>
      </w:pPr>
      <w:r>
        <w:rPr>
          <w:color w:val="auto"/>
        </w:rPr>
        <w:t>强风化~中风化</w:t>
      </w:r>
      <w:r>
        <w:rPr>
          <w:rFonts w:hint="eastAsia"/>
          <w:color w:val="auto"/>
        </w:rPr>
        <w:t>花岗</w:t>
      </w:r>
      <w:r>
        <w:rPr>
          <w:color w:val="auto"/>
        </w:rPr>
        <w:t>岩为主要含水层，</w:t>
      </w:r>
      <w:r>
        <w:rPr>
          <w:color w:val="auto"/>
          <w:lang w:val="en-GB"/>
        </w:rPr>
        <w:t>厂区区域大部分地区均</w:t>
      </w:r>
      <w:r>
        <w:rPr>
          <w:color w:val="auto"/>
        </w:rPr>
        <w:t>为粉质黏土层</w:t>
      </w:r>
      <w:r>
        <w:rPr>
          <w:rFonts w:hint="eastAsia"/>
          <w:color w:val="auto"/>
        </w:rPr>
        <w:t>，</w:t>
      </w:r>
      <w:r>
        <w:rPr>
          <w:color w:val="auto"/>
        </w:rPr>
        <w:t>根据经验考虑参考</w:t>
      </w:r>
      <w:r>
        <w:rPr>
          <w:rFonts w:hint="eastAsia"/>
          <w:color w:val="auto"/>
        </w:rPr>
        <w:t>粉质粘土渗透系数</w:t>
      </w:r>
      <w:r>
        <w:rPr>
          <w:color w:val="auto"/>
        </w:rPr>
        <w:t>将渗透系数取</w:t>
      </w:r>
      <w:r>
        <w:rPr>
          <w:rFonts w:hint="eastAsia"/>
          <w:color w:val="auto"/>
        </w:rPr>
        <w:t>6.0×10</w:t>
      </w:r>
      <w:r>
        <w:rPr>
          <w:rFonts w:hint="eastAsia"/>
          <w:color w:val="auto"/>
          <w:vertAlign w:val="superscript"/>
        </w:rPr>
        <w:t>-4</w:t>
      </w:r>
      <w:r>
        <w:rPr>
          <w:rFonts w:hint="eastAsia"/>
          <w:color w:val="auto"/>
        </w:rPr>
        <w:t>cm/s</w:t>
      </w:r>
      <w:r>
        <w:rPr>
          <w:color w:val="auto"/>
        </w:rPr>
        <w:t>，有效孔隙度取0.25。</w:t>
      </w:r>
    </w:p>
    <w:p>
      <w:pPr>
        <w:snapToGrid w:val="0"/>
        <w:spacing w:line="360" w:lineRule="auto"/>
        <w:ind w:left="480"/>
        <w:rPr>
          <w:color w:val="auto"/>
        </w:rPr>
      </w:pPr>
      <w:r>
        <w:rPr>
          <w:color w:val="auto"/>
        </w:rPr>
        <w:t>（2）水流速度</w:t>
      </w:r>
    </w:p>
    <w:p>
      <w:pPr>
        <w:snapToGrid w:val="0"/>
        <w:spacing w:line="360" w:lineRule="auto"/>
        <w:ind w:firstLine="480" w:firstLineChars="200"/>
        <w:rPr>
          <w:color w:val="auto"/>
        </w:rPr>
      </w:pPr>
      <w:r>
        <w:rPr>
          <w:color w:val="auto"/>
        </w:rPr>
        <w:t>依据试验水文地质参数，采用下列公式计算本场地地下水实际流速。</w:t>
      </w:r>
    </w:p>
    <w:p>
      <w:pPr>
        <w:snapToGrid w:val="0"/>
        <w:spacing w:line="360" w:lineRule="auto"/>
        <w:jc w:val="center"/>
        <w:rPr>
          <w:color w:val="auto"/>
        </w:rPr>
      </w:pPr>
      <w:r>
        <w:rPr>
          <w:color w:val="auto"/>
        </w:rPr>
        <w:t>U=K·I/n</w:t>
      </w:r>
    </w:p>
    <w:p>
      <w:pPr>
        <w:snapToGrid w:val="0"/>
        <w:spacing w:line="360" w:lineRule="auto"/>
        <w:ind w:firstLine="480" w:firstLineChars="200"/>
        <w:rPr>
          <w:color w:val="auto"/>
        </w:rPr>
      </w:pPr>
      <w:r>
        <w:rPr>
          <w:color w:val="auto"/>
        </w:rPr>
        <w:t xml:space="preserve">式中：U---地下水实际流速(m/d)；       </w:t>
      </w:r>
    </w:p>
    <w:p>
      <w:pPr>
        <w:snapToGrid w:val="0"/>
        <w:spacing w:line="360" w:lineRule="auto"/>
        <w:ind w:firstLine="1200" w:firstLineChars="500"/>
        <w:rPr>
          <w:color w:val="auto"/>
        </w:rPr>
      </w:pPr>
      <w:r>
        <w:rPr>
          <w:color w:val="auto"/>
        </w:rPr>
        <w:t>K---渗透系数</w:t>
      </w:r>
      <w:r>
        <w:rPr>
          <w:rFonts w:hint="eastAsia"/>
          <w:color w:val="auto"/>
        </w:rPr>
        <w:t>（</w:t>
      </w:r>
      <w:r>
        <w:rPr>
          <w:color w:val="auto"/>
        </w:rPr>
        <w:t>m/d</w:t>
      </w:r>
      <w:r>
        <w:rPr>
          <w:rFonts w:hint="eastAsia"/>
          <w:color w:val="auto"/>
        </w:rPr>
        <w:t>），6.0×10</w:t>
      </w:r>
      <w:r>
        <w:rPr>
          <w:rFonts w:hint="eastAsia"/>
          <w:color w:val="auto"/>
          <w:vertAlign w:val="superscript"/>
        </w:rPr>
        <w:t>-4</w:t>
      </w:r>
      <w:r>
        <w:rPr>
          <w:rFonts w:hint="eastAsia"/>
          <w:color w:val="auto"/>
        </w:rPr>
        <w:t>cm/s（</w:t>
      </w:r>
      <w:r>
        <w:rPr>
          <w:color w:val="auto"/>
        </w:rPr>
        <w:t>0.518m/d</w:t>
      </w:r>
      <w:r>
        <w:rPr>
          <w:rFonts w:hint="eastAsia"/>
          <w:color w:val="auto"/>
        </w:rPr>
        <w:t>）</w:t>
      </w:r>
      <w:r>
        <w:rPr>
          <w:color w:val="auto"/>
        </w:rPr>
        <w:t>；</w:t>
      </w:r>
    </w:p>
    <w:p>
      <w:pPr>
        <w:snapToGrid w:val="0"/>
        <w:spacing w:line="360" w:lineRule="auto"/>
        <w:ind w:firstLine="1200" w:firstLineChars="500"/>
        <w:rPr>
          <w:color w:val="auto"/>
        </w:rPr>
      </w:pPr>
      <w:r>
        <w:rPr>
          <w:color w:val="auto"/>
        </w:rPr>
        <w:t>I---水力坡度</w:t>
      </w:r>
      <w:r>
        <w:rPr>
          <w:rFonts w:hint="eastAsia"/>
          <w:color w:val="auto"/>
        </w:rPr>
        <w:t>，取0</w:t>
      </w:r>
      <w:r>
        <w:rPr>
          <w:color w:val="auto"/>
        </w:rPr>
        <w:t xml:space="preserve">.0068；             </w:t>
      </w:r>
    </w:p>
    <w:p>
      <w:pPr>
        <w:snapToGrid w:val="0"/>
        <w:spacing w:line="360" w:lineRule="auto"/>
        <w:ind w:firstLine="1200" w:firstLineChars="500"/>
        <w:rPr>
          <w:color w:val="auto"/>
        </w:rPr>
      </w:pPr>
      <w:r>
        <w:rPr>
          <w:color w:val="auto"/>
        </w:rPr>
        <w:t>n---有效孔隙度</w:t>
      </w:r>
      <w:r>
        <w:rPr>
          <w:rFonts w:hint="eastAsia"/>
          <w:color w:val="auto"/>
        </w:rPr>
        <w:t>，取0</w:t>
      </w:r>
      <w:r>
        <w:rPr>
          <w:color w:val="auto"/>
        </w:rPr>
        <w:t>.25。</w:t>
      </w:r>
    </w:p>
    <w:p>
      <w:pPr>
        <w:snapToGrid w:val="0"/>
        <w:spacing w:line="360" w:lineRule="auto"/>
        <w:ind w:firstLine="480" w:firstLineChars="200"/>
        <w:rPr>
          <w:color w:val="auto"/>
        </w:rPr>
      </w:pPr>
      <w:r>
        <w:rPr>
          <w:rFonts w:hint="eastAsia"/>
          <w:color w:val="auto"/>
        </w:rPr>
        <w:t>计算得出实际流速U=</w:t>
      </w:r>
      <w:r>
        <w:rPr>
          <w:color w:val="auto"/>
        </w:rPr>
        <w:t>0.014</w:t>
      </w:r>
      <w:r>
        <w:rPr>
          <w:rFonts w:hint="eastAsia"/>
          <w:color w:val="auto"/>
        </w:rPr>
        <w:t>m/</w:t>
      </w:r>
      <w:r>
        <w:rPr>
          <w:color w:val="auto"/>
        </w:rPr>
        <w:t>d。</w:t>
      </w:r>
    </w:p>
    <w:p>
      <w:pPr>
        <w:snapToGrid w:val="0"/>
        <w:spacing w:line="360" w:lineRule="auto"/>
        <w:ind w:firstLine="555"/>
        <w:rPr>
          <w:color w:val="auto"/>
          <w:vertAlign w:val="subscript"/>
        </w:rPr>
      </w:pPr>
      <w:r>
        <w:rPr>
          <w:color w:val="auto"/>
        </w:rPr>
        <w:t>（3）纵向x方向的弥散系数</w:t>
      </w:r>
      <w:r>
        <w:rPr>
          <w:i/>
          <w:iCs/>
          <w:color w:val="auto"/>
        </w:rPr>
        <w:t>D</w:t>
      </w:r>
      <w:r>
        <w:rPr>
          <w:i/>
          <w:iCs/>
          <w:color w:val="auto"/>
          <w:vertAlign w:val="subscript"/>
        </w:rPr>
        <w:t>L</w:t>
      </w:r>
    </w:p>
    <w:p>
      <w:pPr>
        <w:snapToGrid w:val="0"/>
        <w:spacing w:line="360" w:lineRule="auto"/>
        <w:ind w:firstLine="480" w:firstLineChars="200"/>
        <w:rPr>
          <w:color w:val="auto"/>
        </w:rPr>
      </w:pPr>
      <w:r>
        <w:rPr>
          <w:color w:val="auto"/>
        </w:rPr>
        <w:t>参考李国敏等（李国敏等，空隙介质水动力弥散尺度效应的分形特征及弥散度初步估计，地球科学，1995。）关于纵向弥散度与观测尺度关系的理论，根据本次场地的研究尺度，模型计算中纵向弥散度选用10m。</w:t>
      </w:r>
    </w:p>
    <w:p>
      <w:pPr>
        <w:snapToGrid w:val="0"/>
        <w:spacing w:line="360" w:lineRule="auto"/>
        <w:ind w:firstLine="555"/>
        <w:rPr>
          <w:color w:val="auto"/>
        </w:rPr>
      </w:pPr>
      <w:r>
        <w:rPr>
          <w:color w:val="auto"/>
        </w:rPr>
        <w:t>由此估算含水层中的纵向弥散系数</w:t>
      </w:r>
      <w:r>
        <w:rPr>
          <w:i/>
          <w:color w:val="auto"/>
        </w:rPr>
        <w:t>D</w:t>
      </w:r>
      <w:r>
        <w:rPr>
          <w:i/>
          <w:color w:val="auto"/>
          <w:vertAlign w:val="subscript"/>
        </w:rPr>
        <w:t>L</w:t>
      </w:r>
      <w:r>
        <w:rPr>
          <w:color w:val="auto"/>
        </w:rPr>
        <w:t>=</w:t>
      </w:r>
      <w:r>
        <w:rPr>
          <w:i/>
          <w:color w:val="auto"/>
        </w:rPr>
        <w:t>α</w:t>
      </w:r>
      <w:r>
        <w:rPr>
          <w:i/>
          <w:color w:val="auto"/>
          <w:vertAlign w:val="subscript"/>
        </w:rPr>
        <w:t>L</w:t>
      </w:r>
      <w:r>
        <w:rPr>
          <w:color w:val="auto"/>
        </w:rPr>
        <w:t>×</w:t>
      </w:r>
      <w:r>
        <w:rPr>
          <w:i/>
          <w:color w:val="auto"/>
        </w:rPr>
        <w:t>u</w:t>
      </w:r>
      <w:r>
        <w:rPr>
          <w:color w:val="auto"/>
        </w:rPr>
        <w:t>=10m×0.014m/d=0.14m</w:t>
      </w:r>
      <w:r>
        <w:rPr>
          <w:color w:val="auto"/>
          <w:vertAlign w:val="superscript"/>
        </w:rPr>
        <w:t>2</w:t>
      </w:r>
      <w:r>
        <w:rPr>
          <w:color w:val="auto"/>
        </w:rPr>
        <w:t>/d。</w:t>
      </w:r>
    </w:p>
    <w:p>
      <w:pPr>
        <w:snapToGrid w:val="0"/>
        <w:spacing w:line="360" w:lineRule="auto"/>
        <w:ind w:firstLine="555"/>
        <w:rPr>
          <w:color w:val="auto"/>
        </w:rPr>
      </w:pPr>
      <w:r>
        <w:rPr>
          <w:rFonts w:hint="eastAsia"/>
          <w:color w:val="auto"/>
        </w:rPr>
        <w:t>（4）</w:t>
      </w:r>
      <w:r>
        <w:rPr>
          <w:color w:val="auto"/>
        </w:rPr>
        <w:t>横向</w:t>
      </w:r>
      <w:r>
        <w:rPr>
          <w:i/>
          <w:color w:val="auto"/>
        </w:rPr>
        <w:t>y</w:t>
      </w:r>
      <w:r>
        <w:rPr>
          <w:color w:val="auto"/>
        </w:rPr>
        <w:t>方向的弥散系数</w:t>
      </w:r>
      <w:r>
        <w:rPr>
          <w:i/>
          <w:color w:val="auto"/>
        </w:rPr>
        <w:t>D</w:t>
      </w:r>
      <w:r>
        <w:rPr>
          <w:i/>
          <w:color w:val="auto"/>
          <w:vertAlign w:val="subscript"/>
        </w:rPr>
        <w:t>T</w:t>
      </w:r>
    </w:p>
    <w:p>
      <w:pPr>
        <w:snapToGrid w:val="0"/>
        <w:spacing w:line="360" w:lineRule="auto"/>
        <w:ind w:firstLine="480" w:firstLineChars="200"/>
        <w:rPr>
          <w:color w:val="auto"/>
        </w:rPr>
      </w:pPr>
      <w:r>
        <w:rPr>
          <w:color w:val="auto"/>
        </w:rPr>
        <w:t>根据经验一般</w:t>
      </w:r>
      <w:r>
        <w:rPr>
          <w:i/>
          <w:color w:val="auto"/>
        </w:rPr>
        <w:t>D</w:t>
      </w:r>
      <w:r>
        <w:rPr>
          <w:i/>
          <w:color w:val="auto"/>
          <w:vertAlign w:val="subscript"/>
        </w:rPr>
        <w:t>T</w:t>
      </w:r>
      <w:r>
        <w:rPr>
          <w:color w:val="auto"/>
        </w:rPr>
        <w:t>/</w:t>
      </w:r>
      <w:r>
        <w:rPr>
          <w:i/>
          <w:color w:val="auto"/>
        </w:rPr>
        <w:t>D</w:t>
      </w:r>
      <w:r>
        <w:rPr>
          <w:i/>
          <w:color w:val="auto"/>
          <w:vertAlign w:val="subscript"/>
        </w:rPr>
        <w:t>L</w:t>
      </w:r>
      <w:r>
        <w:rPr>
          <w:color w:val="auto"/>
        </w:rPr>
        <w:t>=0.1，因此</w:t>
      </w:r>
      <w:r>
        <w:rPr>
          <w:i/>
          <w:color w:val="auto"/>
        </w:rPr>
        <w:t>D</w:t>
      </w:r>
      <w:r>
        <w:rPr>
          <w:i/>
          <w:color w:val="auto"/>
          <w:vertAlign w:val="subscript"/>
        </w:rPr>
        <w:t>T</w:t>
      </w:r>
      <w:r>
        <w:rPr>
          <w:color w:val="auto"/>
        </w:rPr>
        <w:t>取0.014m</w:t>
      </w:r>
      <w:r>
        <w:rPr>
          <w:color w:val="auto"/>
          <w:vertAlign w:val="superscript"/>
        </w:rPr>
        <w:t>2</w:t>
      </w:r>
      <w:r>
        <w:rPr>
          <w:color w:val="auto"/>
        </w:rPr>
        <w:t>/d。</w:t>
      </w:r>
    </w:p>
    <w:p>
      <w:pPr>
        <w:pStyle w:val="97"/>
        <w:spacing w:line="360" w:lineRule="auto"/>
        <w:ind w:firstLine="480" w:firstLineChars="200"/>
        <w:rPr>
          <w:rFonts w:ascii="Times New Roman" w:cs="Times New Roman"/>
          <w:bCs/>
          <w:color w:val="auto"/>
        </w:rPr>
      </w:pPr>
      <w:r>
        <w:rPr>
          <w:rFonts w:ascii="Times New Roman" w:cs="Times New Roman"/>
          <w:bCs/>
          <w:color w:val="auto"/>
        </w:rPr>
        <w:t>3</w:t>
      </w:r>
      <w:r>
        <w:rPr>
          <w:rFonts w:hint="eastAsia" w:ascii="Times New Roman" w:cs="Times New Roman"/>
          <w:bCs/>
          <w:color w:val="auto"/>
        </w:rPr>
        <w:t>、</w:t>
      </w:r>
      <w:r>
        <w:rPr>
          <w:rFonts w:ascii="Times New Roman" w:cs="Times New Roman"/>
          <w:bCs/>
          <w:color w:val="auto"/>
        </w:rPr>
        <w:t>厂区污染模拟预测</w:t>
      </w:r>
    </w:p>
    <w:p>
      <w:pPr>
        <w:snapToGrid w:val="0"/>
        <w:spacing w:line="360" w:lineRule="auto"/>
        <w:ind w:firstLine="480" w:firstLineChars="200"/>
        <w:jc w:val="both"/>
        <w:rPr>
          <w:color w:val="auto"/>
        </w:rPr>
      </w:pPr>
      <w:r>
        <w:rPr>
          <w:color w:val="auto"/>
        </w:rPr>
        <w:t>本次预测根据风险分析情景设定主要污染源的分布位置，选定优先控制污染物，分别预测在非正常工况下，污染物在地下水中迁移过程，进一步分析污染物影响范围和超标范围。本项目场地位于</w:t>
      </w:r>
      <w:r>
        <w:rPr>
          <w:rFonts w:hint="eastAsia"/>
          <w:color w:val="auto"/>
        </w:rPr>
        <w:t>韩江及粤东诸河梅州兴宁地下水水源涵养区（</w:t>
      </w:r>
      <w:r>
        <w:rPr>
          <w:color w:val="auto"/>
        </w:rPr>
        <w:t>H084414002T06</w:t>
      </w:r>
      <w:r>
        <w:rPr>
          <w:rFonts w:hint="eastAsia"/>
          <w:color w:val="auto"/>
        </w:rPr>
        <w:t>）</w:t>
      </w:r>
      <w:r>
        <w:rPr>
          <w:color w:val="auto"/>
        </w:rPr>
        <w:t xml:space="preserve">，地下水执行《地下水质量标准》(GB/T14848-2017) </w:t>
      </w:r>
      <w:r>
        <w:rPr>
          <w:color w:val="auto"/>
        </w:rPr>
        <w:fldChar w:fldCharType="begin"/>
      </w:r>
      <w:r>
        <w:rPr>
          <w:color w:val="auto"/>
        </w:rPr>
        <w:instrText xml:space="preserve"> = 3 \* ROMAN </w:instrText>
      </w:r>
      <w:r>
        <w:rPr>
          <w:color w:val="auto"/>
        </w:rPr>
        <w:fldChar w:fldCharType="separate"/>
      </w:r>
      <w:r>
        <w:rPr>
          <w:color w:val="auto"/>
        </w:rPr>
        <w:t>III</w:t>
      </w:r>
      <w:r>
        <w:rPr>
          <w:color w:val="auto"/>
        </w:rPr>
        <w:fldChar w:fldCharType="end"/>
      </w:r>
      <w:r>
        <w:rPr>
          <w:color w:val="auto"/>
        </w:rPr>
        <w:t>类。各类污染物的检出下限值参照常规仪器检测下限。拟采用污染物检出下限及其水质标准限值见表5.2-</w:t>
      </w:r>
      <w:r>
        <w:rPr>
          <w:rFonts w:hint="eastAsia"/>
          <w:color w:val="auto"/>
        </w:rPr>
        <w:t>12</w:t>
      </w:r>
      <w:r>
        <w:rPr>
          <w:color w:val="auto"/>
        </w:rPr>
        <w:t>。</w:t>
      </w:r>
    </w:p>
    <w:p>
      <w:pPr>
        <w:snapToGrid w:val="0"/>
        <w:jc w:val="center"/>
        <w:rPr>
          <w:b/>
          <w:color w:val="auto"/>
          <w:szCs w:val="21"/>
        </w:rPr>
      </w:pPr>
      <w:r>
        <w:rPr>
          <w:b/>
          <w:color w:val="auto"/>
        </w:rPr>
        <w:t>表5.2-</w:t>
      </w:r>
      <w:r>
        <w:rPr>
          <w:rFonts w:hint="eastAsia"/>
          <w:b/>
          <w:color w:val="auto"/>
        </w:rPr>
        <w:t>12</w:t>
      </w:r>
      <w:r>
        <w:rPr>
          <w:b/>
          <w:color w:val="auto"/>
          <w:szCs w:val="21"/>
        </w:rPr>
        <w:t xml:space="preserve">  拟采用污染物检出下限及其水质标准限值</w:t>
      </w:r>
    </w:p>
    <w:tbl>
      <w:tblPr>
        <w:tblStyle w:val="53"/>
        <w:tblW w:w="928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54"/>
        <w:gridCol w:w="3083"/>
        <w:gridCol w:w="33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8" w:hRule="atLeast"/>
          <w:jc w:val="center"/>
        </w:trPr>
        <w:tc>
          <w:tcPr>
            <w:tcW w:w="2854" w:type="dxa"/>
            <w:vAlign w:val="center"/>
          </w:tcPr>
          <w:p>
            <w:pPr>
              <w:snapToGrid w:val="0"/>
              <w:jc w:val="center"/>
              <w:rPr>
                <w:b/>
                <w:bCs/>
                <w:color w:val="auto"/>
                <w:sz w:val="21"/>
                <w:szCs w:val="21"/>
              </w:rPr>
            </w:pPr>
            <w:r>
              <w:rPr>
                <w:b/>
                <w:bCs/>
                <w:color w:val="auto"/>
                <w:sz w:val="21"/>
                <w:szCs w:val="21"/>
              </w:rPr>
              <w:t>模拟预测因子</w:t>
            </w:r>
          </w:p>
        </w:tc>
        <w:tc>
          <w:tcPr>
            <w:tcW w:w="3083" w:type="dxa"/>
            <w:vAlign w:val="center"/>
          </w:tcPr>
          <w:p>
            <w:pPr>
              <w:snapToGrid w:val="0"/>
              <w:ind w:right="480"/>
              <w:jc w:val="center"/>
              <w:rPr>
                <w:b/>
                <w:bCs/>
                <w:color w:val="auto"/>
                <w:sz w:val="21"/>
                <w:szCs w:val="21"/>
              </w:rPr>
            </w:pPr>
            <w:r>
              <w:rPr>
                <w:b/>
                <w:bCs/>
                <w:color w:val="auto"/>
                <w:sz w:val="21"/>
                <w:szCs w:val="21"/>
              </w:rPr>
              <w:t>检出下限值（mg/L）</w:t>
            </w:r>
          </w:p>
        </w:tc>
        <w:tc>
          <w:tcPr>
            <w:tcW w:w="3349" w:type="dxa"/>
            <w:vAlign w:val="center"/>
          </w:tcPr>
          <w:p>
            <w:pPr>
              <w:snapToGrid w:val="0"/>
              <w:ind w:right="480"/>
              <w:jc w:val="center"/>
              <w:rPr>
                <w:b/>
                <w:bCs/>
                <w:color w:val="auto"/>
                <w:sz w:val="21"/>
                <w:szCs w:val="21"/>
              </w:rPr>
            </w:pPr>
            <w:r>
              <w:rPr>
                <w:b/>
                <w:bCs/>
                <w:color w:val="auto"/>
                <w:sz w:val="21"/>
                <w:szCs w:val="21"/>
              </w:rPr>
              <w:t>标准限值（mg/L）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8" w:hRule="atLeast"/>
          <w:jc w:val="center"/>
        </w:trPr>
        <w:tc>
          <w:tcPr>
            <w:tcW w:w="2854" w:type="dxa"/>
            <w:vAlign w:val="center"/>
          </w:tcPr>
          <w:p>
            <w:pPr>
              <w:snapToGrid w:val="0"/>
              <w:jc w:val="center"/>
              <w:rPr>
                <w:color w:val="auto"/>
                <w:sz w:val="21"/>
                <w:szCs w:val="21"/>
              </w:rPr>
            </w:pPr>
            <w:r>
              <w:rPr>
                <w:color w:val="auto"/>
              </w:rPr>
              <w:t>COD</w:t>
            </w:r>
            <w:r>
              <w:rPr>
                <w:color w:val="auto"/>
                <w:vertAlign w:val="subscript"/>
              </w:rPr>
              <w:t>Mn</w:t>
            </w:r>
          </w:p>
        </w:tc>
        <w:tc>
          <w:tcPr>
            <w:tcW w:w="3083" w:type="dxa"/>
            <w:vAlign w:val="center"/>
          </w:tcPr>
          <w:p>
            <w:pPr>
              <w:snapToGrid w:val="0"/>
              <w:jc w:val="center"/>
              <w:rPr>
                <w:color w:val="auto"/>
                <w:sz w:val="21"/>
                <w:szCs w:val="21"/>
              </w:rPr>
            </w:pPr>
            <w:r>
              <w:rPr>
                <w:color w:val="auto"/>
                <w:sz w:val="21"/>
                <w:szCs w:val="21"/>
              </w:rPr>
              <w:t>0.05</w:t>
            </w:r>
          </w:p>
        </w:tc>
        <w:tc>
          <w:tcPr>
            <w:tcW w:w="3349" w:type="dxa"/>
            <w:vAlign w:val="center"/>
          </w:tcPr>
          <w:p>
            <w:pPr>
              <w:snapToGrid w:val="0"/>
              <w:jc w:val="center"/>
              <w:rPr>
                <w:color w:val="auto"/>
                <w:sz w:val="21"/>
                <w:szCs w:val="21"/>
              </w:rPr>
            </w:pPr>
            <w:r>
              <w:rPr>
                <w:color w:val="auto"/>
                <w:sz w:val="21"/>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8" w:hRule="atLeast"/>
          <w:jc w:val="center"/>
        </w:trPr>
        <w:tc>
          <w:tcPr>
            <w:tcW w:w="2854" w:type="dxa"/>
            <w:vAlign w:val="center"/>
          </w:tcPr>
          <w:p>
            <w:pPr>
              <w:snapToGrid w:val="0"/>
              <w:jc w:val="center"/>
              <w:rPr>
                <w:color w:val="auto"/>
                <w:sz w:val="21"/>
                <w:szCs w:val="21"/>
              </w:rPr>
            </w:pPr>
            <w:r>
              <w:rPr>
                <w:color w:val="auto"/>
                <w:sz w:val="21"/>
                <w:szCs w:val="21"/>
              </w:rPr>
              <w:t>氨氮</w:t>
            </w:r>
          </w:p>
        </w:tc>
        <w:tc>
          <w:tcPr>
            <w:tcW w:w="3083" w:type="dxa"/>
            <w:vAlign w:val="center"/>
          </w:tcPr>
          <w:p>
            <w:pPr>
              <w:snapToGrid w:val="0"/>
              <w:jc w:val="center"/>
              <w:rPr>
                <w:color w:val="auto"/>
                <w:sz w:val="21"/>
                <w:szCs w:val="21"/>
              </w:rPr>
            </w:pPr>
            <w:r>
              <w:rPr>
                <w:color w:val="auto"/>
                <w:sz w:val="21"/>
                <w:szCs w:val="21"/>
              </w:rPr>
              <w:t>0.02</w:t>
            </w:r>
          </w:p>
        </w:tc>
        <w:tc>
          <w:tcPr>
            <w:tcW w:w="3349" w:type="dxa"/>
            <w:vAlign w:val="center"/>
          </w:tcPr>
          <w:p>
            <w:pPr>
              <w:snapToGrid w:val="0"/>
              <w:jc w:val="center"/>
              <w:rPr>
                <w:color w:val="auto"/>
                <w:sz w:val="21"/>
                <w:szCs w:val="21"/>
              </w:rPr>
            </w:pPr>
            <w:r>
              <w:rPr>
                <w:color w:val="auto"/>
                <w:sz w:val="21"/>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8" w:hRule="atLeast"/>
          <w:jc w:val="center"/>
        </w:trPr>
        <w:tc>
          <w:tcPr>
            <w:tcW w:w="2854" w:type="dxa"/>
            <w:vAlign w:val="center"/>
          </w:tcPr>
          <w:p>
            <w:pPr>
              <w:snapToGrid w:val="0"/>
              <w:jc w:val="center"/>
              <w:rPr>
                <w:color w:val="auto"/>
                <w:sz w:val="21"/>
                <w:szCs w:val="21"/>
              </w:rPr>
            </w:pPr>
            <w:r>
              <w:rPr>
                <w:rFonts w:hint="eastAsia"/>
                <w:color w:val="auto"/>
                <w:kern w:val="0"/>
                <w:sz w:val="21"/>
                <w:szCs w:val="21"/>
              </w:rPr>
              <w:t>总铅</w:t>
            </w:r>
          </w:p>
        </w:tc>
        <w:tc>
          <w:tcPr>
            <w:tcW w:w="3083" w:type="dxa"/>
            <w:vAlign w:val="center"/>
          </w:tcPr>
          <w:p>
            <w:pPr>
              <w:snapToGrid w:val="0"/>
              <w:jc w:val="center"/>
              <w:rPr>
                <w:color w:val="auto"/>
                <w:sz w:val="21"/>
                <w:szCs w:val="21"/>
              </w:rPr>
            </w:pPr>
            <w:r>
              <w:rPr>
                <w:color w:val="auto"/>
                <w:sz w:val="21"/>
                <w:szCs w:val="21"/>
              </w:rPr>
              <w:t>0.09μg/L</w:t>
            </w:r>
          </w:p>
        </w:tc>
        <w:tc>
          <w:tcPr>
            <w:tcW w:w="3349" w:type="dxa"/>
            <w:vAlign w:val="center"/>
          </w:tcPr>
          <w:p>
            <w:pPr>
              <w:snapToGrid w:val="0"/>
              <w:jc w:val="center"/>
              <w:rPr>
                <w:color w:val="auto"/>
                <w:sz w:val="21"/>
                <w:szCs w:val="21"/>
              </w:rPr>
            </w:pPr>
            <w:r>
              <w:rPr>
                <w:rFonts w:hint="eastAsia"/>
                <w:color w:val="auto"/>
                <w:sz w:val="21"/>
                <w:szCs w:val="21"/>
              </w:rPr>
              <w:t>0</w:t>
            </w:r>
            <w:r>
              <w:rPr>
                <w:color w:val="auto"/>
                <w:sz w:val="21"/>
                <w:szCs w:val="21"/>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8" w:hRule="atLeast"/>
          <w:jc w:val="center"/>
        </w:trPr>
        <w:tc>
          <w:tcPr>
            <w:tcW w:w="2854" w:type="dxa"/>
            <w:vAlign w:val="center"/>
          </w:tcPr>
          <w:p>
            <w:pPr>
              <w:snapToGrid w:val="0"/>
              <w:jc w:val="center"/>
              <w:rPr>
                <w:color w:val="auto"/>
                <w:sz w:val="21"/>
                <w:szCs w:val="21"/>
              </w:rPr>
            </w:pPr>
            <w:r>
              <w:rPr>
                <w:rFonts w:hint="eastAsia"/>
                <w:color w:val="auto"/>
                <w:kern w:val="0"/>
                <w:sz w:val="21"/>
                <w:szCs w:val="21"/>
              </w:rPr>
              <w:t>总镉</w:t>
            </w:r>
          </w:p>
        </w:tc>
        <w:tc>
          <w:tcPr>
            <w:tcW w:w="3083" w:type="dxa"/>
            <w:vAlign w:val="center"/>
          </w:tcPr>
          <w:p>
            <w:pPr>
              <w:snapToGrid w:val="0"/>
              <w:jc w:val="center"/>
              <w:rPr>
                <w:color w:val="auto"/>
                <w:sz w:val="21"/>
                <w:szCs w:val="21"/>
              </w:rPr>
            </w:pPr>
            <w:r>
              <w:rPr>
                <w:color w:val="auto"/>
                <w:sz w:val="21"/>
                <w:szCs w:val="21"/>
              </w:rPr>
              <w:t>0.05μg/L</w:t>
            </w:r>
          </w:p>
        </w:tc>
        <w:tc>
          <w:tcPr>
            <w:tcW w:w="3349" w:type="dxa"/>
            <w:vAlign w:val="center"/>
          </w:tcPr>
          <w:p>
            <w:pPr>
              <w:snapToGrid w:val="0"/>
              <w:jc w:val="center"/>
              <w:rPr>
                <w:color w:val="auto"/>
                <w:sz w:val="21"/>
                <w:szCs w:val="21"/>
              </w:rPr>
            </w:pPr>
            <w:r>
              <w:rPr>
                <w:rFonts w:hint="eastAsia"/>
                <w:color w:val="auto"/>
                <w:sz w:val="21"/>
                <w:szCs w:val="21"/>
              </w:rPr>
              <w:t>0</w:t>
            </w:r>
            <w:r>
              <w:rPr>
                <w:color w:val="auto"/>
                <w:sz w:val="21"/>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8" w:hRule="atLeast"/>
          <w:jc w:val="center"/>
        </w:trPr>
        <w:tc>
          <w:tcPr>
            <w:tcW w:w="2854" w:type="dxa"/>
            <w:vAlign w:val="center"/>
          </w:tcPr>
          <w:p>
            <w:pPr>
              <w:snapToGrid w:val="0"/>
              <w:jc w:val="center"/>
              <w:rPr>
                <w:color w:val="auto"/>
                <w:kern w:val="0"/>
                <w:sz w:val="21"/>
                <w:szCs w:val="21"/>
              </w:rPr>
            </w:pPr>
            <w:r>
              <w:rPr>
                <w:rFonts w:hint="eastAsia"/>
                <w:color w:val="auto"/>
                <w:kern w:val="0"/>
                <w:sz w:val="21"/>
                <w:szCs w:val="21"/>
              </w:rPr>
              <w:t>总砷</w:t>
            </w:r>
          </w:p>
        </w:tc>
        <w:tc>
          <w:tcPr>
            <w:tcW w:w="3083" w:type="dxa"/>
            <w:vAlign w:val="center"/>
          </w:tcPr>
          <w:p>
            <w:pPr>
              <w:snapToGrid w:val="0"/>
              <w:jc w:val="center"/>
              <w:rPr>
                <w:color w:val="auto"/>
                <w:sz w:val="21"/>
                <w:szCs w:val="21"/>
              </w:rPr>
            </w:pPr>
            <w:r>
              <w:rPr>
                <w:rFonts w:hint="eastAsia"/>
                <w:color w:val="auto"/>
                <w:sz w:val="21"/>
                <w:szCs w:val="21"/>
              </w:rPr>
              <w:t>0.0005</w:t>
            </w:r>
          </w:p>
        </w:tc>
        <w:tc>
          <w:tcPr>
            <w:tcW w:w="3349" w:type="dxa"/>
            <w:vAlign w:val="center"/>
          </w:tcPr>
          <w:p>
            <w:pPr>
              <w:snapToGrid w:val="0"/>
              <w:jc w:val="center"/>
              <w:rPr>
                <w:color w:val="auto"/>
                <w:sz w:val="21"/>
                <w:szCs w:val="21"/>
              </w:rPr>
            </w:pPr>
            <w:r>
              <w:rPr>
                <w:rFonts w:hint="eastAsia"/>
                <w:color w:val="auto"/>
                <w:sz w:val="21"/>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8" w:hRule="atLeast"/>
          <w:jc w:val="center"/>
        </w:trPr>
        <w:tc>
          <w:tcPr>
            <w:tcW w:w="2854" w:type="dxa"/>
            <w:vAlign w:val="center"/>
          </w:tcPr>
          <w:p>
            <w:pPr>
              <w:snapToGrid w:val="0"/>
              <w:jc w:val="center"/>
              <w:rPr>
                <w:color w:val="auto"/>
                <w:kern w:val="0"/>
                <w:sz w:val="21"/>
                <w:szCs w:val="21"/>
              </w:rPr>
            </w:pPr>
            <w:r>
              <w:rPr>
                <w:rFonts w:hint="eastAsia"/>
                <w:color w:val="auto"/>
                <w:kern w:val="0"/>
                <w:sz w:val="21"/>
                <w:szCs w:val="21"/>
              </w:rPr>
              <w:t>总汞</w:t>
            </w:r>
          </w:p>
        </w:tc>
        <w:tc>
          <w:tcPr>
            <w:tcW w:w="3083" w:type="dxa"/>
            <w:vAlign w:val="center"/>
          </w:tcPr>
          <w:p>
            <w:pPr>
              <w:snapToGrid w:val="0"/>
              <w:jc w:val="center"/>
              <w:rPr>
                <w:color w:val="auto"/>
                <w:sz w:val="21"/>
                <w:szCs w:val="21"/>
              </w:rPr>
            </w:pPr>
            <w:r>
              <w:rPr>
                <w:rFonts w:hint="eastAsia"/>
                <w:color w:val="auto"/>
                <w:sz w:val="21"/>
                <w:szCs w:val="21"/>
              </w:rPr>
              <w:t>0.00005</w:t>
            </w:r>
          </w:p>
        </w:tc>
        <w:tc>
          <w:tcPr>
            <w:tcW w:w="3349" w:type="dxa"/>
            <w:vAlign w:val="center"/>
          </w:tcPr>
          <w:p>
            <w:pPr>
              <w:snapToGrid w:val="0"/>
              <w:jc w:val="center"/>
              <w:rPr>
                <w:color w:val="auto"/>
                <w:sz w:val="21"/>
                <w:szCs w:val="21"/>
              </w:rPr>
            </w:pPr>
            <w:r>
              <w:rPr>
                <w:rFonts w:hint="eastAsia"/>
                <w:color w:val="auto"/>
                <w:sz w:val="21"/>
                <w:szCs w:val="21"/>
              </w:rPr>
              <w:t>0.001</w:t>
            </w:r>
          </w:p>
        </w:tc>
      </w:tr>
    </w:tbl>
    <w:p>
      <w:pPr>
        <w:snapToGrid w:val="0"/>
        <w:spacing w:line="360" w:lineRule="auto"/>
        <w:ind w:firstLine="480" w:firstLineChars="200"/>
        <w:rPr>
          <w:color w:val="auto"/>
        </w:rPr>
      </w:pPr>
      <w:r>
        <w:rPr>
          <w:color w:val="auto"/>
        </w:rPr>
        <w:t>以下根据设定的污染源位置和源强大小，对不同位置非正常工况情景进行模拟预测，预测结果如下：</w:t>
      </w:r>
    </w:p>
    <w:p>
      <w:pPr>
        <w:snapToGrid w:val="0"/>
        <w:spacing w:line="360" w:lineRule="auto"/>
        <w:ind w:firstLine="480" w:firstLineChars="200"/>
        <w:jc w:val="both"/>
        <w:rPr>
          <w:snapToGrid w:val="0"/>
          <w:color w:val="auto"/>
        </w:rPr>
      </w:pPr>
      <w:r>
        <w:rPr>
          <w:color w:val="auto"/>
        </w:rPr>
        <w:t>垃圾渗滤液处理站渗漏情况下地下水COD</w:t>
      </w:r>
      <w:r>
        <w:rPr>
          <w:color w:val="auto"/>
          <w:vertAlign w:val="subscript"/>
        </w:rPr>
        <w:t>Mn</w:t>
      </w:r>
      <w:r>
        <w:rPr>
          <w:color w:val="auto"/>
        </w:rPr>
        <w:t>污染预测结果表明，</w:t>
      </w:r>
      <w:r>
        <w:rPr>
          <w:rFonts w:hint="eastAsia"/>
          <w:snapToGrid w:val="0"/>
          <w:color w:val="auto"/>
        </w:rPr>
        <w:t>100天时，预测超标距离为2</w:t>
      </w:r>
      <w:r>
        <w:rPr>
          <w:snapToGrid w:val="0"/>
          <w:color w:val="auto"/>
        </w:rPr>
        <w:t>2</w:t>
      </w:r>
      <w:r>
        <w:rPr>
          <w:rFonts w:hint="eastAsia"/>
          <w:snapToGrid w:val="0"/>
          <w:color w:val="auto"/>
        </w:rPr>
        <w:t>m，影响距离为26m；300天时，预测超标距离为39m，影响距离为4</w:t>
      </w:r>
      <w:r>
        <w:rPr>
          <w:snapToGrid w:val="0"/>
          <w:color w:val="auto"/>
        </w:rPr>
        <w:t>8</w:t>
      </w:r>
      <w:r>
        <w:rPr>
          <w:rFonts w:hint="eastAsia"/>
          <w:snapToGrid w:val="0"/>
          <w:color w:val="auto"/>
        </w:rPr>
        <w:t>m；500天时，预测超标距离为5</w:t>
      </w:r>
      <w:r>
        <w:rPr>
          <w:snapToGrid w:val="0"/>
          <w:color w:val="auto"/>
        </w:rPr>
        <w:t>3</w:t>
      </w:r>
      <w:r>
        <w:rPr>
          <w:rFonts w:hint="eastAsia"/>
          <w:snapToGrid w:val="0"/>
          <w:color w:val="auto"/>
        </w:rPr>
        <w:t>m，影响距离为6</w:t>
      </w:r>
      <w:r>
        <w:rPr>
          <w:snapToGrid w:val="0"/>
          <w:color w:val="auto"/>
        </w:rPr>
        <w:t>3</w:t>
      </w:r>
      <w:r>
        <w:rPr>
          <w:rFonts w:hint="eastAsia"/>
          <w:snapToGrid w:val="0"/>
          <w:color w:val="auto"/>
        </w:rPr>
        <w:t>m；1000天时，预测超标距离为7</w:t>
      </w:r>
      <w:r>
        <w:rPr>
          <w:snapToGrid w:val="0"/>
          <w:color w:val="auto"/>
        </w:rPr>
        <w:t>9</w:t>
      </w:r>
      <w:r>
        <w:rPr>
          <w:rFonts w:hint="eastAsia"/>
          <w:snapToGrid w:val="0"/>
          <w:color w:val="auto"/>
        </w:rPr>
        <w:t>m，影响距离为9</w:t>
      </w:r>
      <w:r>
        <w:rPr>
          <w:snapToGrid w:val="0"/>
          <w:color w:val="auto"/>
        </w:rPr>
        <w:t>4</w:t>
      </w:r>
      <w:r>
        <w:rPr>
          <w:rFonts w:hint="eastAsia"/>
          <w:snapToGrid w:val="0"/>
          <w:color w:val="auto"/>
        </w:rPr>
        <w:t>m</w:t>
      </w:r>
      <w:r>
        <w:rPr>
          <w:snapToGrid w:val="0"/>
          <w:color w:val="auto"/>
        </w:rPr>
        <w:t>。</w:t>
      </w:r>
      <w:r>
        <w:rPr>
          <w:rFonts w:hint="eastAsia"/>
          <w:snapToGrid w:val="0"/>
          <w:color w:val="auto"/>
        </w:rPr>
        <w:t>不同时间预测浓度</w:t>
      </w:r>
      <w:r>
        <w:rPr>
          <w:snapToGrid w:val="0"/>
          <w:color w:val="auto"/>
        </w:rPr>
        <w:t>详见表5.2-</w:t>
      </w:r>
      <w:r>
        <w:rPr>
          <w:rFonts w:hint="eastAsia"/>
          <w:snapToGrid w:val="0"/>
          <w:color w:val="auto"/>
        </w:rPr>
        <w:t>13</w:t>
      </w:r>
      <w:r>
        <w:rPr>
          <w:snapToGrid w:val="0"/>
          <w:color w:val="auto"/>
        </w:rPr>
        <w:t>。</w:t>
      </w:r>
      <w:r>
        <w:rPr>
          <w:b/>
          <w:color w:val="auto"/>
        </w:rPr>
        <w:t xml:space="preserve"> </w:t>
      </w:r>
    </w:p>
    <w:p>
      <w:pPr>
        <w:snapToGrid w:val="0"/>
        <w:jc w:val="center"/>
        <w:rPr>
          <w:b/>
          <w:color w:val="auto"/>
          <w:szCs w:val="21"/>
        </w:rPr>
      </w:pPr>
      <w:r>
        <w:rPr>
          <w:b/>
          <w:color w:val="auto"/>
        </w:rPr>
        <w:t>表5.2-</w:t>
      </w:r>
      <w:r>
        <w:rPr>
          <w:rFonts w:hint="eastAsia"/>
          <w:b/>
          <w:color w:val="auto"/>
        </w:rPr>
        <w:t>13</w:t>
      </w:r>
      <w:r>
        <w:rPr>
          <w:b/>
          <w:color w:val="auto"/>
          <w:szCs w:val="21"/>
        </w:rPr>
        <w:t xml:space="preserve">  </w:t>
      </w:r>
      <w:r>
        <w:rPr>
          <w:rFonts w:hint="eastAsia"/>
          <w:b/>
          <w:color w:val="auto"/>
          <w:szCs w:val="21"/>
        </w:rPr>
        <w:t>污染物（</w:t>
      </w:r>
      <w:r>
        <w:rPr>
          <w:b/>
          <w:color w:val="auto"/>
          <w:szCs w:val="21"/>
        </w:rPr>
        <w:t>COD</w:t>
      </w:r>
      <w:r>
        <w:rPr>
          <w:b/>
          <w:color w:val="auto"/>
          <w:szCs w:val="21"/>
          <w:vertAlign w:val="subscript"/>
        </w:rPr>
        <w:t>Mn</w:t>
      </w:r>
      <w:r>
        <w:rPr>
          <w:rFonts w:hint="eastAsia"/>
          <w:b/>
          <w:color w:val="auto"/>
          <w:szCs w:val="21"/>
        </w:rPr>
        <w:t>）运移模拟结果（mg</w:t>
      </w:r>
      <w:r>
        <w:rPr>
          <w:b/>
          <w:color w:val="auto"/>
          <w:szCs w:val="21"/>
        </w:rPr>
        <w:t>/L</w:t>
      </w:r>
      <w:r>
        <w:rPr>
          <w:rFonts w:hint="eastAsia"/>
          <w:b/>
          <w:color w:val="auto"/>
          <w:szCs w:val="21"/>
        </w:rPr>
        <w:t>）</w:t>
      </w:r>
    </w:p>
    <w:tbl>
      <w:tblPr>
        <w:tblStyle w:val="54"/>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7"/>
        <w:gridCol w:w="1857"/>
        <w:gridCol w:w="1857"/>
        <w:gridCol w:w="1858"/>
        <w:gridCol w:w="18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1857" w:type="dxa"/>
          </w:tcPr>
          <w:p>
            <w:pPr>
              <w:snapToGrid w:val="0"/>
              <w:jc w:val="center"/>
              <w:rPr>
                <w:b/>
                <w:color w:val="auto"/>
                <w:sz w:val="21"/>
                <w:szCs w:val="21"/>
              </w:rPr>
            </w:pPr>
            <w:r>
              <w:rPr>
                <w:rFonts w:hint="eastAsia"/>
                <w:b/>
                <w:color w:val="auto"/>
                <w:sz w:val="21"/>
                <w:szCs w:val="21"/>
              </w:rPr>
              <w:t>距离</w:t>
            </w:r>
          </w:p>
        </w:tc>
        <w:tc>
          <w:tcPr>
            <w:tcW w:w="1857" w:type="dxa"/>
          </w:tcPr>
          <w:p>
            <w:pPr>
              <w:snapToGrid w:val="0"/>
              <w:jc w:val="center"/>
              <w:rPr>
                <w:b/>
                <w:color w:val="auto"/>
                <w:sz w:val="21"/>
                <w:szCs w:val="21"/>
              </w:rPr>
            </w:pPr>
            <w:r>
              <w:rPr>
                <w:rFonts w:hint="eastAsia"/>
                <w:b/>
                <w:color w:val="auto"/>
                <w:sz w:val="21"/>
                <w:szCs w:val="21"/>
              </w:rPr>
              <w:t>1</w:t>
            </w:r>
            <w:r>
              <w:rPr>
                <w:b/>
                <w:color w:val="auto"/>
                <w:sz w:val="21"/>
                <w:szCs w:val="21"/>
              </w:rPr>
              <w:t>00</w:t>
            </w:r>
            <w:r>
              <w:rPr>
                <w:rFonts w:hint="eastAsia"/>
                <w:b/>
                <w:color w:val="auto"/>
                <w:sz w:val="21"/>
                <w:szCs w:val="21"/>
              </w:rPr>
              <w:t>d</w:t>
            </w:r>
          </w:p>
        </w:tc>
        <w:tc>
          <w:tcPr>
            <w:tcW w:w="1857" w:type="dxa"/>
          </w:tcPr>
          <w:p>
            <w:pPr>
              <w:snapToGrid w:val="0"/>
              <w:jc w:val="center"/>
              <w:rPr>
                <w:b/>
                <w:color w:val="auto"/>
                <w:sz w:val="21"/>
                <w:szCs w:val="21"/>
              </w:rPr>
            </w:pPr>
            <w:r>
              <w:rPr>
                <w:rFonts w:hint="eastAsia"/>
                <w:b/>
                <w:color w:val="auto"/>
                <w:sz w:val="21"/>
                <w:szCs w:val="21"/>
              </w:rPr>
              <w:t>3</w:t>
            </w:r>
            <w:r>
              <w:rPr>
                <w:b/>
                <w:color w:val="auto"/>
                <w:sz w:val="21"/>
                <w:szCs w:val="21"/>
              </w:rPr>
              <w:t>00</w:t>
            </w:r>
            <w:r>
              <w:rPr>
                <w:rFonts w:hint="eastAsia"/>
                <w:b/>
                <w:color w:val="auto"/>
                <w:sz w:val="21"/>
                <w:szCs w:val="21"/>
              </w:rPr>
              <w:t>d</w:t>
            </w:r>
          </w:p>
        </w:tc>
        <w:tc>
          <w:tcPr>
            <w:tcW w:w="1858" w:type="dxa"/>
          </w:tcPr>
          <w:p>
            <w:pPr>
              <w:snapToGrid w:val="0"/>
              <w:jc w:val="center"/>
              <w:rPr>
                <w:b/>
                <w:color w:val="auto"/>
                <w:sz w:val="21"/>
                <w:szCs w:val="21"/>
              </w:rPr>
            </w:pPr>
            <w:r>
              <w:rPr>
                <w:rFonts w:hint="eastAsia"/>
                <w:b/>
                <w:color w:val="auto"/>
                <w:sz w:val="21"/>
                <w:szCs w:val="21"/>
              </w:rPr>
              <w:t>5</w:t>
            </w:r>
            <w:r>
              <w:rPr>
                <w:b/>
                <w:color w:val="auto"/>
                <w:sz w:val="21"/>
                <w:szCs w:val="21"/>
              </w:rPr>
              <w:t>00</w:t>
            </w:r>
            <w:r>
              <w:rPr>
                <w:rFonts w:hint="eastAsia"/>
                <w:b/>
                <w:color w:val="auto"/>
                <w:sz w:val="21"/>
                <w:szCs w:val="21"/>
              </w:rPr>
              <w:t>d</w:t>
            </w:r>
          </w:p>
        </w:tc>
        <w:tc>
          <w:tcPr>
            <w:tcW w:w="1858" w:type="dxa"/>
          </w:tcPr>
          <w:p>
            <w:pPr>
              <w:snapToGrid w:val="0"/>
              <w:jc w:val="center"/>
              <w:rPr>
                <w:b/>
                <w:color w:val="auto"/>
                <w:sz w:val="21"/>
                <w:szCs w:val="21"/>
              </w:rPr>
            </w:pPr>
            <w:r>
              <w:rPr>
                <w:rFonts w:hint="eastAsia"/>
                <w:b/>
                <w:color w:val="auto"/>
                <w:sz w:val="21"/>
                <w:szCs w:val="21"/>
              </w:rPr>
              <w:t>1</w:t>
            </w:r>
            <w:r>
              <w:rPr>
                <w:b/>
                <w:color w:val="auto"/>
                <w:sz w:val="21"/>
                <w:szCs w:val="21"/>
              </w:rPr>
              <w:t>000</w:t>
            </w:r>
            <w:r>
              <w:rPr>
                <w:rFonts w:hint="eastAsia"/>
                <w:b/>
                <w:color w:val="auto"/>
                <w:sz w:val="21"/>
                <w:szCs w:val="21"/>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1</w:t>
            </w:r>
          </w:p>
        </w:tc>
        <w:tc>
          <w:tcPr>
            <w:tcW w:w="1857" w:type="dxa"/>
          </w:tcPr>
          <w:p>
            <w:pPr>
              <w:snapToGrid w:val="0"/>
              <w:jc w:val="center"/>
              <w:rPr>
                <w:bCs/>
                <w:color w:val="auto"/>
                <w:sz w:val="21"/>
                <w:szCs w:val="21"/>
              </w:rPr>
            </w:pPr>
            <w:r>
              <w:rPr>
                <w:bCs/>
                <w:color w:val="auto"/>
                <w:sz w:val="21"/>
                <w:szCs w:val="21"/>
              </w:rPr>
              <w:t>3.11E+04</w:t>
            </w:r>
          </w:p>
        </w:tc>
        <w:tc>
          <w:tcPr>
            <w:tcW w:w="1857" w:type="dxa"/>
          </w:tcPr>
          <w:p>
            <w:pPr>
              <w:snapToGrid w:val="0"/>
              <w:jc w:val="center"/>
              <w:rPr>
                <w:bCs/>
                <w:color w:val="auto"/>
                <w:sz w:val="21"/>
                <w:szCs w:val="21"/>
              </w:rPr>
            </w:pPr>
            <w:r>
              <w:rPr>
                <w:bCs/>
                <w:color w:val="auto"/>
                <w:sz w:val="21"/>
                <w:szCs w:val="21"/>
              </w:rPr>
              <w:t>3.33E+04</w:t>
            </w:r>
          </w:p>
        </w:tc>
        <w:tc>
          <w:tcPr>
            <w:tcW w:w="1858" w:type="dxa"/>
          </w:tcPr>
          <w:p>
            <w:pPr>
              <w:snapToGrid w:val="0"/>
              <w:jc w:val="center"/>
              <w:rPr>
                <w:bCs/>
                <w:color w:val="auto"/>
                <w:sz w:val="21"/>
                <w:szCs w:val="21"/>
              </w:rPr>
            </w:pPr>
            <w:r>
              <w:rPr>
                <w:bCs/>
                <w:color w:val="auto"/>
                <w:sz w:val="21"/>
                <w:szCs w:val="21"/>
              </w:rPr>
              <w:t>3.39E+04</w:t>
            </w:r>
          </w:p>
        </w:tc>
        <w:tc>
          <w:tcPr>
            <w:tcW w:w="1858" w:type="dxa"/>
          </w:tcPr>
          <w:p>
            <w:pPr>
              <w:snapToGrid w:val="0"/>
              <w:jc w:val="center"/>
              <w:rPr>
                <w:bCs/>
                <w:color w:val="auto"/>
                <w:sz w:val="21"/>
                <w:szCs w:val="21"/>
              </w:rPr>
            </w:pPr>
            <w:r>
              <w:rPr>
                <w:bCs/>
                <w:color w:val="auto"/>
                <w:sz w:val="21"/>
                <w:szCs w:val="21"/>
              </w:rPr>
              <w:t>3.45E+04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10</w:t>
            </w:r>
          </w:p>
        </w:tc>
        <w:tc>
          <w:tcPr>
            <w:tcW w:w="1857" w:type="dxa"/>
          </w:tcPr>
          <w:p>
            <w:pPr>
              <w:snapToGrid w:val="0"/>
              <w:jc w:val="center"/>
              <w:rPr>
                <w:bCs/>
                <w:color w:val="auto"/>
                <w:sz w:val="21"/>
                <w:szCs w:val="21"/>
              </w:rPr>
            </w:pPr>
            <w:r>
              <w:rPr>
                <w:bCs/>
                <w:color w:val="auto"/>
                <w:sz w:val="21"/>
                <w:szCs w:val="21"/>
              </w:rPr>
              <w:t>3.31E+03</w:t>
            </w:r>
          </w:p>
        </w:tc>
        <w:tc>
          <w:tcPr>
            <w:tcW w:w="1857" w:type="dxa"/>
          </w:tcPr>
          <w:p>
            <w:pPr>
              <w:snapToGrid w:val="0"/>
              <w:jc w:val="center"/>
              <w:rPr>
                <w:bCs/>
                <w:color w:val="auto"/>
                <w:sz w:val="21"/>
                <w:szCs w:val="21"/>
              </w:rPr>
            </w:pPr>
            <w:r>
              <w:rPr>
                <w:bCs/>
                <w:color w:val="auto"/>
                <w:sz w:val="21"/>
                <w:szCs w:val="21"/>
              </w:rPr>
              <w:t>1.50E+04</w:t>
            </w:r>
          </w:p>
        </w:tc>
        <w:tc>
          <w:tcPr>
            <w:tcW w:w="1858" w:type="dxa"/>
          </w:tcPr>
          <w:p>
            <w:pPr>
              <w:snapToGrid w:val="0"/>
              <w:jc w:val="center"/>
              <w:rPr>
                <w:bCs/>
                <w:color w:val="auto"/>
                <w:sz w:val="21"/>
                <w:szCs w:val="21"/>
              </w:rPr>
            </w:pPr>
            <w:r>
              <w:rPr>
                <w:bCs/>
                <w:color w:val="auto"/>
                <w:sz w:val="21"/>
                <w:szCs w:val="21"/>
              </w:rPr>
              <w:t>2.12E+04</w:t>
            </w:r>
          </w:p>
        </w:tc>
        <w:tc>
          <w:tcPr>
            <w:tcW w:w="1858" w:type="dxa"/>
          </w:tcPr>
          <w:p>
            <w:pPr>
              <w:snapToGrid w:val="0"/>
              <w:jc w:val="center"/>
              <w:rPr>
                <w:bCs/>
                <w:color w:val="auto"/>
                <w:sz w:val="21"/>
                <w:szCs w:val="21"/>
              </w:rPr>
            </w:pPr>
            <w:r>
              <w:rPr>
                <w:bCs/>
                <w:color w:val="auto"/>
                <w:sz w:val="21"/>
                <w:szCs w:val="21"/>
              </w:rPr>
              <w:t>2.80E+04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20</w:t>
            </w:r>
          </w:p>
        </w:tc>
        <w:tc>
          <w:tcPr>
            <w:tcW w:w="1857" w:type="dxa"/>
          </w:tcPr>
          <w:p>
            <w:pPr>
              <w:snapToGrid w:val="0"/>
              <w:jc w:val="center"/>
              <w:rPr>
                <w:bCs/>
                <w:color w:val="auto"/>
                <w:sz w:val="21"/>
                <w:szCs w:val="21"/>
              </w:rPr>
            </w:pPr>
            <w:r>
              <w:rPr>
                <w:bCs/>
                <w:color w:val="auto"/>
                <w:sz w:val="21"/>
                <w:szCs w:val="21"/>
              </w:rPr>
              <w:t>1.45E+01</w:t>
            </w:r>
          </w:p>
        </w:tc>
        <w:tc>
          <w:tcPr>
            <w:tcW w:w="1857" w:type="dxa"/>
          </w:tcPr>
          <w:p>
            <w:pPr>
              <w:snapToGrid w:val="0"/>
              <w:jc w:val="center"/>
              <w:rPr>
                <w:bCs/>
                <w:color w:val="auto"/>
                <w:sz w:val="21"/>
                <w:szCs w:val="21"/>
              </w:rPr>
            </w:pPr>
            <w:r>
              <w:rPr>
                <w:bCs/>
                <w:color w:val="auto"/>
                <w:sz w:val="21"/>
                <w:szCs w:val="21"/>
              </w:rPr>
              <w:t>2.55E+03</w:t>
            </w:r>
          </w:p>
        </w:tc>
        <w:tc>
          <w:tcPr>
            <w:tcW w:w="1858" w:type="dxa"/>
          </w:tcPr>
          <w:p>
            <w:pPr>
              <w:snapToGrid w:val="0"/>
              <w:jc w:val="center"/>
              <w:rPr>
                <w:bCs/>
                <w:color w:val="auto"/>
                <w:sz w:val="21"/>
                <w:szCs w:val="21"/>
              </w:rPr>
            </w:pPr>
            <w:r>
              <w:rPr>
                <w:bCs/>
                <w:color w:val="auto"/>
                <w:sz w:val="21"/>
                <w:szCs w:val="21"/>
              </w:rPr>
              <w:t>7.67E+03</w:t>
            </w:r>
          </w:p>
        </w:tc>
        <w:tc>
          <w:tcPr>
            <w:tcW w:w="1858" w:type="dxa"/>
          </w:tcPr>
          <w:p>
            <w:pPr>
              <w:snapToGrid w:val="0"/>
              <w:jc w:val="center"/>
              <w:rPr>
                <w:bCs/>
                <w:color w:val="auto"/>
                <w:sz w:val="21"/>
                <w:szCs w:val="21"/>
              </w:rPr>
            </w:pPr>
            <w:r>
              <w:rPr>
                <w:bCs/>
                <w:color w:val="auto"/>
                <w:sz w:val="21"/>
                <w:szCs w:val="21"/>
              </w:rPr>
              <w:t>1.81E+04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50</w:t>
            </w:r>
          </w:p>
        </w:tc>
        <w:tc>
          <w:tcPr>
            <w:tcW w:w="1857" w:type="dxa"/>
          </w:tcPr>
          <w:p>
            <w:pPr>
              <w:snapToGrid w:val="0"/>
              <w:jc w:val="center"/>
              <w:rPr>
                <w:bCs/>
                <w:color w:val="auto"/>
                <w:sz w:val="21"/>
                <w:szCs w:val="21"/>
              </w:rPr>
            </w:pPr>
            <w:r>
              <w:rPr>
                <w:color w:val="auto"/>
                <w:sz w:val="21"/>
                <w:szCs w:val="21"/>
              </w:rPr>
              <w:t>0.00E+00</w:t>
            </w:r>
          </w:p>
        </w:tc>
        <w:tc>
          <w:tcPr>
            <w:tcW w:w="1857" w:type="dxa"/>
          </w:tcPr>
          <w:p>
            <w:pPr>
              <w:snapToGrid w:val="0"/>
              <w:jc w:val="center"/>
              <w:rPr>
                <w:bCs/>
                <w:color w:val="auto"/>
                <w:sz w:val="21"/>
                <w:szCs w:val="21"/>
              </w:rPr>
            </w:pPr>
            <w:r>
              <w:rPr>
                <w:bCs/>
                <w:color w:val="auto"/>
                <w:sz w:val="21"/>
                <w:szCs w:val="21"/>
              </w:rPr>
              <w:t>1.89E-02</w:t>
            </w:r>
          </w:p>
        </w:tc>
        <w:tc>
          <w:tcPr>
            <w:tcW w:w="1858" w:type="dxa"/>
          </w:tcPr>
          <w:p>
            <w:pPr>
              <w:snapToGrid w:val="0"/>
              <w:jc w:val="center"/>
              <w:rPr>
                <w:bCs/>
                <w:color w:val="auto"/>
                <w:sz w:val="21"/>
                <w:szCs w:val="21"/>
              </w:rPr>
            </w:pPr>
            <w:r>
              <w:rPr>
                <w:bCs/>
                <w:color w:val="auto"/>
                <w:sz w:val="21"/>
                <w:szCs w:val="21"/>
              </w:rPr>
              <w:t>8.66E+00</w:t>
            </w:r>
          </w:p>
        </w:tc>
        <w:tc>
          <w:tcPr>
            <w:tcW w:w="1858" w:type="dxa"/>
          </w:tcPr>
          <w:p>
            <w:pPr>
              <w:snapToGrid w:val="0"/>
              <w:jc w:val="center"/>
              <w:rPr>
                <w:bCs/>
                <w:color w:val="auto"/>
                <w:sz w:val="21"/>
                <w:szCs w:val="21"/>
              </w:rPr>
            </w:pPr>
            <w:r>
              <w:rPr>
                <w:bCs/>
                <w:color w:val="auto"/>
                <w:sz w:val="21"/>
                <w:szCs w:val="21"/>
              </w:rPr>
              <w:t>8.90E+02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80</w:t>
            </w:r>
          </w:p>
        </w:tc>
        <w:tc>
          <w:tcPr>
            <w:tcW w:w="1857" w:type="dxa"/>
          </w:tcPr>
          <w:p>
            <w:pPr>
              <w:snapToGrid w:val="0"/>
              <w:jc w:val="center"/>
              <w:rPr>
                <w:bCs/>
                <w:color w:val="auto"/>
                <w:sz w:val="21"/>
                <w:szCs w:val="21"/>
              </w:rPr>
            </w:pPr>
            <w:r>
              <w:rPr>
                <w:color w:val="auto"/>
                <w:sz w:val="21"/>
                <w:szCs w:val="21"/>
              </w:rPr>
              <w:t>0.00E+00</w:t>
            </w:r>
          </w:p>
        </w:tc>
        <w:tc>
          <w:tcPr>
            <w:tcW w:w="1857" w:type="dxa"/>
          </w:tcPr>
          <w:p>
            <w:pPr>
              <w:snapToGrid w:val="0"/>
              <w:jc w:val="center"/>
              <w:rPr>
                <w:bCs/>
                <w:color w:val="auto"/>
                <w:sz w:val="21"/>
                <w:szCs w:val="21"/>
              </w:rPr>
            </w:pPr>
            <w:r>
              <w:rPr>
                <w:bCs/>
                <w:color w:val="auto"/>
                <w:sz w:val="21"/>
                <w:szCs w:val="21"/>
              </w:rPr>
              <w:t>1.94E-12</w:t>
            </w:r>
          </w:p>
        </w:tc>
        <w:tc>
          <w:tcPr>
            <w:tcW w:w="1858" w:type="dxa"/>
          </w:tcPr>
          <w:p>
            <w:pPr>
              <w:snapToGrid w:val="0"/>
              <w:jc w:val="center"/>
              <w:rPr>
                <w:bCs/>
                <w:color w:val="auto"/>
                <w:sz w:val="21"/>
                <w:szCs w:val="21"/>
              </w:rPr>
            </w:pPr>
            <w:r>
              <w:rPr>
                <w:bCs/>
                <w:color w:val="auto"/>
                <w:sz w:val="21"/>
                <w:szCs w:val="21"/>
              </w:rPr>
              <w:t>2.30E-05</w:t>
            </w:r>
          </w:p>
        </w:tc>
        <w:tc>
          <w:tcPr>
            <w:tcW w:w="1858" w:type="dxa"/>
          </w:tcPr>
          <w:p>
            <w:pPr>
              <w:snapToGrid w:val="0"/>
              <w:jc w:val="center"/>
              <w:rPr>
                <w:bCs/>
                <w:color w:val="auto"/>
                <w:sz w:val="21"/>
                <w:szCs w:val="21"/>
              </w:rPr>
            </w:pPr>
            <w:r>
              <w:rPr>
                <w:bCs/>
                <w:color w:val="auto"/>
                <w:sz w:val="21"/>
                <w:szCs w:val="21"/>
              </w:rPr>
              <w:t>2.41E+00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100</w:t>
            </w:r>
          </w:p>
        </w:tc>
        <w:tc>
          <w:tcPr>
            <w:tcW w:w="1857" w:type="dxa"/>
          </w:tcPr>
          <w:p>
            <w:pPr>
              <w:snapToGrid w:val="0"/>
              <w:jc w:val="center"/>
              <w:rPr>
                <w:bCs/>
                <w:color w:val="auto"/>
                <w:sz w:val="21"/>
                <w:szCs w:val="21"/>
              </w:rPr>
            </w:pPr>
            <w:r>
              <w:rPr>
                <w:color w:val="auto"/>
                <w:sz w:val="21"/>
                <w:szCs w:val="21"/>
              </w:rPr>
              <w:t>0.00E+00</w:t>
            </w:r>
          </w:p>
        </w:tc>
        <w:tc>
          <w:tcPr>
            <w:tcW w:w="1857"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bCs/>
                <w:color w:val="auto"/>
                <w:sz w:val="21"/>
                <w:szCs w:val="21"/>
              </w:rPr>
              <w:t>7.19E-11</w:t>
            </w:r>
          </w:p>
        </w:tc>
        <w:tc>
          <w:tcPr>
            <w:tcW w:w="1858" w:type="dxa"/>
          </w:tcPr>
          <w:p>
            <w:pPr>
              <w:snapToGrid w:val="0"/>
              <w:jc w:val="center"/>
              <w:rPr>
                <w:bCs/>
                <w:color w:val="auto"/>
                <w:sz w:val="21"/>
                <w:szCs w:val="21"/>
              </w:rPr>
            </w:pPr>
            <w:r>
              <w:rPr>
                <w:bCs/>
                <w:color w:val="auto"/>
                <w:sz w:val="21"/>
                <w:szCs w:val="21"/>
              </w:rPr>
              <w:t>8.54E-03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1</w:t>
            </w:r>
            <w:r>
              <w:rPr>
                <w:bCs/>
                <w:color w:val="auto"/>
                <w:sz w:val="21"/>
                <w:szCs w:val="21"/>
              </w:rPr>
              <w:t>50</w:t>
            </w:r>
          </w:p>
        </w:tc>
        <w:tc>
          <w:tcPr>
            <w:tcW w:w="1857" w:type="dxa"/>
          </w:tcPr>
          <w:p>
            <w:pPr>
              <w:snapToGrid w:val="0"/>
              <w:jc w:val="center"/>
              <w:rPr>
                <w:bCs/>
                <w:color w:val="auto"/>
                <w:sz w:val="21"/>
                <w:szCs w:val="21"/>
              </w:rPr>
            </w:pPr>
            <w:r>
              <w:rPr>
                <w:color w:val="auto"/>
                <w:sz w:val="21"/>
                <w:szCs w:val="21"/>
              </w:rPr>
              <w:t>0.00E+00</w:t>
            </w:r>
          </w:p>
        </w:tc>
        <w:tc>
          <w:tcPr>
            <w:tcW w:w="1857"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bCs/>
                <w:color w:val="auto"/>
                <w:sz w:val="21"/>
                <w:szCs w:val="21"/>
              </w:rPr>
              <w:t>7.77E-12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1</w:t>
            </w:r>
            <w:r>
              <w:rPr>
                <w:bCs/>
                <w:color w:val="auto"/>
                <w:sz w:val="21"/>
                <w:szCs w:val="21"/>
              </w:rPr>
              <w:t>80</w:t>
            </w:r>
          </w:p>
        </w:tc>
        <w:tc>
          <w:tcPr>
            <w:tcW w:w="1857" w:type="dxa"/>
          </w:tcPr>
          <w:p>
            <w:pPr>
              <w:snapToGrid w:val="0"/>
              <w:jc w:val="center"/>
              <w:rPr>
                <w:bCs/>
                <w:color w:val="auto"/>
                <w:sz w:val="21"/>
                <w:szCs w:val="21"/>
              </w:rPr>
            </w:pPr>
            <w:r>
              <w:rPr>
                <w:color w:val="auto"/>
                <w:sz w:val="21"/>
                <w:szCs w:val="21"/>
              </w:rPr>
              <w:t>0.00E+00</w:t>
            </w:r>
          </w:p>
        </w:tc>
        <w:tc>
          <w:tcPr>
            <w:tcW w:w="1857"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color w:val="auto"/>
                <w:sz w:val="21"/>
                <w:szCs w:val="21"/>
              </w:rPr>
              <w:t>0.00E+00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200</w:t>
            </w:r>
          </w:p>
        </w:tc>
        <w:tc>
          <w:tcPr>
            <w:tcW w:w="1857" w:type="dxa"/>
          </w:tcPr>
          <w:p>
            <w:pPr>
              <w:snapToGrid w:val="0"/>
              <w:jc w:val="center"/>
              <w:rPr>
                <w:bCs/>
                <w:color w:val="auto"/>
                <w:sz w:val="21"/>
                <w:szCs w:val="21"/>
              </w:rPr>
            </w:pPr>
            <w:r>
              <w:rPr>
                <w:color w:val="auto"/>
                <w:sz w:val="21"/>
                <w:szCs w:val="21"/>
              </w:rPr>
              <w:t>0.00E+00</w:t>
            </w:r>
          </w:p>
        </w:tc>
        <w:tc>
          <w:tcPr>
            <w:tcW w:w="1857"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color w:val="auto"/>
                <w:sz w:val="21"/>
                <w:szCs w:val="21"/>
              </w:rPr>
              <w:t>0.00E+00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Borders>
              <w:bottom w:val="single" w:color="auto" w:sz="4" w:space="0"/>
            </w:tcBorders>
          </w:tcPr>
          <w:p>
            <w:pPr>
              <w:snapToGrid w:val="0"/>
              <w:jc w:val="center"/>
              <w:rPr>
                <w:bCs/>
                <w:color w:val="auto"/>
                <w:sz w:val="21"/>
                <w:szCs w:val="21"/>
              </w:rPr>
            </w:pPr>
            <w:r>
              <w:rPr>
                <w:rFonts w:hint="eastAsia"/>
                <w:bCs/>
                <w:color w:val="auto"/>
                <w:sz w:val="21"/>
                <w:szCs w:val="21"/>
              </w:rPr>
              <w:t>2</w:t>
            </w:r>
            <w:r>
              <w:rPr>
                <w:bCs/>
                <w:color w:val="auto"/>
                <w:sz w:val="21"/>
                <w:szCs w:val="21"/>
              </w:rPr>
              <w:t>50</w:t>
            </w:r>
          </w:p>
        </w:tc>
        <w:tc>
          <w:tcPr>
            <w:tcW w:w="1857" w:type="dxa"/>
            <w:tcBorders>
              <w:bottom w:val="single" w:color="auto" w:sz="4" w:space="0"/>
            </w:tcBorders>
          </w:tcPr>
          <w:p>
            <w:pPr>
              <w:snapToGrid w:val="0"/>
              <w:jc w:val="center"/>
              <w:rPr>
                <w:bCs/>
                <w:color w:val="auto"/>
                <w:sz w:val="21"/>
                <w:szCs w:val="21"/>
              </w:rPr>
            </w:pPr>
            <w:r>
              <w:rPr>
                <w:color w:val="auto"/>
                <w:sz w:val="21"/>
                <w:szCs w:val="21"/>
              </w:rPr>
              <w:t>0.00E+00</w:t>
            </w:r>
          </w:p>
        </w:tc>
        <w:tc>
          <w:tcPr>
            <w:tcW w:w="1857" w:type="dxa"/>
            <w:tcBorders>
              <w:bottom w:val="single" w:color="auto" w:sz="4" w:space="0"/>
            </w:tcBorders>
          </w:tcPr>
          <w:p>
            <w:pPr>
              <w:snapToGrid w:val="0"/>
              <w:jc w:val="center"/>
              <w:rPr>
                <w:bCs/>
                <w:color w:val="auto"/>
                <w:sz w:val="21"/>
                <w:szCs w:val="21"/>
              </w:rPr>
            </w:pPr>
            <w:r>
              <w:rPr>
                <w:color w:val="auto"/>
                <w:sz w:val="21"/>
                <w:szCs w:val="21"/>
              </w:rPr>
              <w:t>0.00E+00</w:t>
            </w:r>
          </w:p>
        </w:tc>
        <w:tc>
          <w:tcPr>
            <w:tcW w:w="1858" w:type="dxa"/>
            <w:tcBorders>
              <w:bottom w:val="single" w:color="auto" w:sz="4" w:space="0"/>
            </w:tcBorders>
          </w:tcPr>
          <w:p>
            <w:pPr>
              <w:snapToGrid w:val="0"/>
              <w:jc w:val="center"/>
              <w:rPr>
                <w:bCs/>
                <w:color w:val="auto"/>
                <w:sz w:val="21"/>
                <w:szCs w:val="21"/>
              </w:rPr>
            </w:pPr>
            <w:r>
              <w:rPr>
                <w:color w:val="auto"/>
                <w:sz w:val="21"/>
                <w:szCs w:val="21"/>
              </w:rPr>
              <w:t>0.00E+00</w:t>
            </w:r>
          </w:p>
        </w:tc>
        <w:tc>
          <w:tcPr>
            <w:tcW w:w="1858" w:type="dxa"/>
            <w:tcBorders>
              <w:bottom w:val="single" w:color="auto" w:sz="4" w:space="0"/>
            </w:tcBorders>
          </w:tcPr>
          <w:p>
            <w:pPr>
              <w:snapToGrid w:val="0"/>
              <w:jc w:val="center"/>
              <w:rPr>
                <w:bCs/>
                <w:color w:val="auto"/>
                <w:sz w:val="21"/>
                <w:szCs w:val="21"/>
              </w:rPr>
            </w:pPr>
            <w:r>
              <w:rPr>
                <w:color w:val="auto"/>
                <w:sz w:val="21"/>
                <w:szCs w:val="21"/>
              </w:rPr>
              <w:t>0.00E+00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Borders>
              <w:top w:val="single" w:color="auto" w:sz="4" w:space="0"/>
              <w:bottom w:val="single" w:color="auto" w:sz="12" w:space="0"/>
            </w:tcBorders>
          </w:tcPr>
          <w:p>
            <w:pPr>
              <w:snapToGrid w:val="0"/>
              <w:jc w:val="center"/>
              <w:rPr>
                <w:bCs/>
                <w:color w:val="auto"/>
                <w:sz w:val="21"/>
                <w:szCs w:val="21"/>
              </w:rPr>
            </w:pPr>
            <w:r>
              <w:rPr>
                <w:rFonts w:hint="eastAsia"/>
                <w:bCs/>
                <w:color w:val="auto"/>
                <w:sz w:val="21"/>
                <w:szCs w:val="21"/>
              </w:rPr>
              <w:t>3</w:t>
            </w:r>
            <w:r>
              <w:rPr>
                <w:bCs/>
                <w:color w:val="auto"/>
                <w:sz w:val="21"/>
                <w:szCs w:val="21"/>
              </w:rPr>
              <w:t>00</w:t>
            </w:r>
          </w:p>
        </w:tc>
        <w:tc>
          <w:tcPr>
            <w:tcW w:w="1857" w:type="dxa"/>
            <w:tcBorders>
              <w:top w:val="single" w:color="auto" w:sz="4" w:space="0"/>
              <w:bottom w:val="single" w:color="auto" w:sz="12" w:space="0"/>
            </w:tcBorders>
          </w:tcPr>
          <w:p>
            <w:pPr>
              <w:snapToGrid w:val="0"/>
              <w:jc w:val="center"/>
              <w:rPr>
                <w:bCs/>
                <w:color w:val="auto"/>
                <w:sz w:val="21"/>
                <w:szCs w:val="21"/>
              </w:rPr>
            </w:pPr>
            <w:r>
              <w:rPr>
                <w:color w:val="auto"/>
                <w:sz w:val="21"/>
                <w:szCs w:val="21"/>
              </w:rPr>
              <w:t>0.00E+00</w:t>
            </w:r>
          </w:p>
        </w:tc>
        <w:tc>
          <w:tcPr>
            <w:tcW w:w="1857" w:type="dxa"/>
            <w:tcBorders>
              <w:top w:val="single" w:color="auto" w:sz="4" w:space="0"/>
              <w:bottom w:val="single" w:color="auto" w:sz="12" w:space="0"/>
            </w:tcBorders>
          </w:tcPr>
          <w:p>
            <w:pPr>
              <w:snapToGrid w:val="0"/>
              <w:jc w:val="center"/>
              <w:rPr>
                <w:bCs/>
                <w:color w:val="auto"/>
                <w:sz w:val="21"/>
                <w:szCs w:val="21"/>
              </w:rPr>
            </w:pPr>
            <w:r>
              <w:rPr>
                <w:color w:val="auto"/>
                <w:sz w:val="21"/>
                <w:szCs w:val="21"/>
              </w:rPr>
              <w:t>0.00E+00</w:t>
            </w:r>
          </w:p>
        </w:tc>
        <w:tc>
          <w:tcPr>
            <w:tcW w:w="1858" w:type="dxa"/>
            <w:tcBorders>
              <w:top w:val="single" w:color="auto" w:sz="4" w:space="0"/>
              <w:bottom w:val="single" w:color="auto" w:sz="12" w:space="0"/>
            </w:tcBorders>
          </w:tcPr>
          <w:p>
            <w:pPr>
              <w:snapToGrid w:val="0"/>
              <w:jc w:val="center"/>
              <w:rPr>
                <w:bCs/>
                <w:color w:val="auto"/>
                <w:sz w:val="21"/>
                <w:szCs w:val="21"/>
              </w:rPr>
            </w:pPr>
            <w:r>
              <w:rPr>
                <w:color w:val="auto"/>
                <w:sz w:val="21"/>
                <w:szCs w:val="21"/>
              </w:rPr>
              <w:t>0.00E+00</w:t>
            </w:r>
          </w:p>
        </w:tc>
        <w:tc>
          <w:tcPr>
            <w:tcW w:w="1858" w:type="dxa"/>
            <w:tcBorders>
              <w:top w:val="single" w:color="auto" w:sz="4" w:space="0"/>
              <w:bottom w:val="single" w:color="auto" w:sz="12" w:space="0"/>
            </w:tcBorders>
          </w:tcPr>
          <w:p>
            <w:pPr>
              <w:snapToGrid w:val="0"/>
              <w:jc w:val="center"/>
              <w:rPr>
                <w:bCs/>
                <w:color w:val="auto"/>
                <w:sz w:val="21"/>
                <w:szCs w:val="21"/>
              </w:rPr>
            </w:pPr>
            <w:r>
              <w:rPr>
                <w:color w:val="auto"/>
                <w:sz w:val="21"/>
                <w:szCs w:val="21"/>
              </w:rPr>
              <w:t>0.00E+00</w:t>
            </w:r>
          </w:p>
        </w:tc>
      </w:tr>
    </w:tbl>
    <w:p>
      <w:pPr>
        <w:snapToGrid w:val="0"/>
        <w:spacing w:line="360" w:lineRule="auto"/>
        <w:ind w:firstLine="480" w:firstLineChars="200"/>
        <w:jc w:val="both"/>
        <w:rPr>
          <w:snapToGrid w:val="0"/>
          <w:color w:val="auto"/>
        </w:rPr>
      </w:pPr>
      <w:r>
        <w:rPr>
          <w:color w:val="auto"/>
        </w:rPr>
        <w:t>垃圾渗滤液处理站渗漏情况下地下水氨氮污染预测结果表明，</w:t>
      </w:r>
      <w:r>
        <w:rPr>
          <w:rFonts w:hint="eastAsia"/>
          <w:color w:val="auto"/>
        </w:rPr>
        <w:t>100天时，预测超标距离为</w:t>
      </w:r>
      <w:r>
        <w:rPr>
          <w:color w:val="auto"/>
        </w:rPr>
        <w:t>19</w:t>
      </w:r>
      <w:r>
        <w:rPr>
          <w:rFonts w:hint="eastAsia"/>
          <w:color w:val="auto"/>
        </w:rPr>
        <w:t>m，影响距离为2</w:t>
      </w:r>
      <w:r>
        <w:rPr>
          <w:color w:val="auto"/>
        </w:rPr>
        <w:t>3</w:t>
      </w:r>
      <w:r>
        <w:rPr>
          <w:rFonts w:hint="eastAsia"/>
          <w:color w:val="auto"/>
        </w:rPr>
        <w:t>m；300天时，预测超标距离为3</w:t>
      </w:r>
      <w:r>
        <w:rPr>
          <w:color w:val="auto"/>
        </w:rPr>
        <w:t>5</w:t>
      </w:r>
      <w:r>
        <w:rPr>
          <w:rFonts w:hint="eastAsia"/>
          <w:color w:val="auto"/>
        </w:rPr>
        <w:t>m，影响距离为43m；500天时，预测超标距离为4</w:t>
      </w:r>
      <w:r>
        <w:rPr>
          <w:color w:val="auto"/>
        </w:rPr>
        <w:t>7</w:t>
      </w:r>
      <w:r>
        <w:rPr>
          <w:rFonts w:hint="eastAsia"/>
          <w:color w:val="auto"/>
        </w:rPr>
        <w:t>m，影响距离为57m；1000天时，预测超标距离为7</w:t>
      </w:r>
      <w:r>
        <w:rPr>
          <w:color w:val="auto"/>
        </w:rPr>
        <w:t>1</w:t>
      </w:r>
      <w:r>
        <w:rPr>
          <w:rFonts w:hint="eastAsia"/>
          <w:color w:val="auto"/>
        </w:rPr>
        <w:t>m，影响距离为8</w:t>
      </w:r>
      <w:r>
        <w:rPr>
          <w:color w:val="auto"/>
        </w:rPr>
        <w:t>4</w:t>
      </w:r>
      <w:r>
        <w:rPr>
          <w:rFonts w:hint="eastAsia"/>
          <w:color w:val="auto"/>
        </w:rPr>
        <w:t>m</w:t>
      </w:r>
      <w:r>
        <w:rPr>
          <w:snapToGrid w:val="0"/>
          <w:color w:val="auto"/>
        </w:rPr>
        <w:t>。</w:t>
      </w:r>
      <w:r>
        <w:rPr>
          <w:rFonts w:hint="eastAsia"/>
          <w:snapToGrid w:val="0"/>
          <w:color w:val="auto"/>
        </w:rPr>
        <w:t>不同时间预测浓度</w:t>
      </w:r>
      <w:r>
        <w:rPr>
          <w:snapToGrid w:val="0"/>
          <w:color w:val="auto"/>
        </w:rPr>
        <w:t>详见表5.2-</w:t>
      </w:r>
      <w:r>
        <w:rPr>
          <w:rFonts w:hint="eastAsia"/>
          <w:snapToGrid w:val="0"/>
          <w:color w:val="auto"/>
        </w:rPr>
        <w:t>14</w:t>
      </w:r>
      <w:r>
        <w:rPr>
          <w:snapToGrid w:val="0"/>
          <w:color w:val="auto"/>
        </w:rPr>
        <w:t>。</w:t>
      </w:r>
      <w:r>
        <w:rPr>
          <w:b/>
          <w:color w:val="auto"/>
        </w:rPr>
        <w:t xml:space="preserve"> </w:t>
      </w:r>
    </w:p>
    <w:p>
      <w:pPr>
        <w:snapToGrid w:val="0"/>
        <w:jc w:val="center"/>
        <w:rPr>
          <w:b/>
          <w:color w:val="auto"/>
          <w:szCs w:val="21"/>
        </w:rPr>
      </w:pPr>
      <w:r>
        <w:rPr>
          <w:b/>
          <w:color w:val="auto"/>
        </w:rPr>
        <w:t>表5.2-</w:t>
      </w:r>
      <w:r>
        <w:rPr>
          <w:rFonts w:hint="eastAsia"/>
          <w:b/>
          <w:color w:val="auto"/>
        </w:rPr>
        <w:t>14</w:t>
      </w:r>
      <w:r>
        <w:rPr>
          <w:b/>
          <w:color w:val="auto"/>
          <w:szCs w:val="21"/>
        </w:rPr>
        <w:t xml:space="preserve">  </w:t>
      </w:r>
      <w:r>
        <w:rPr>
          <w:rFonts w:hint="eastAsia"/>
          <w:b/>
          <w:color w:val="auto"/>
          <w:szCs w:val="21"/>
        </w:rPr>
        <w:t>污染物（氨氮）运移模拟结果（mg</w:t>
      </w:r>
      <w:r>
        <w:rPr>
          <w:b/>
          <w:color w:val="auto"/>
          <w:szCs w:val="21"/>
        </w:rPr>
        <w:t>/L</w:t>
      </w:r>
      <w:r>
        <w:rPr>
          <w:rFonts w:hint="eastAsia"/>
          <w:b/>
          <w:color w:val="auto"/>
          <w:szCs w:val="21"/>
        </w:rPr>
        <w:t>）</w:t>
      </w:r>
    </w:p>
    <w:tbl>
      <w:tblPr>
        <w:tblStyle w:val="54"/>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7"/>
        <w:gridCol w:w="1857"/>
        <w:gridCol w:w="1857"/>
        <w:gridCol w:w="1858"/>
        <w:gridCol w:w="18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
                <w:color w:val="auto"/>
                <w:sz w:val="21"/>
                <w:szCs w:val="21"/>
              </w:rPr>
            </w:pPr>
            <w:r>
              <w:rPr>
                <w:rFonts w:hint="eastAsia"/>
                <w:b/>
                <w:color w:val="auto"/>
                <w:sz w:val="21"/>
                <w:szCs w:val="21"/>
              </w:rPr>
              <w:t>距离</w:t>
            </w:r>
          </w:p>
        </w:tc>
        <w:tc>
          <w:tcPr>
            <w:tcW w:w="1857" w:type="dxa"/>
          </w:tcPr>
          <w:p>
            <w:pPr>
              <w:snapToGrid w:val="0"/>
              <w:jc w:val="center"/>
              <w:rPr>
                <w:b/>
                <w:color w:val="auto"/>
                <w:sz w:val="21"/>
                <w:szCs w:val="21"/>
              </w:rPr>
            </w:pPr>
            <w:r>
              <w:rPr>
                <w:rFonts w:hint="eastAsia"/>
                <w:b/>
                <w:color w:val="auto"/>
                <w:sz w:val="21"/>
                <w:szCs w:val="21"/>
              </w:rPr>
              <w:t>1</w:t>
            </w:r>
            <w:r>
              <w:rPr>
                <w:b/>
                <w:color w:val="auto"/>
                <w:sz w:val="21"/>
                <w:szCs w:val="21"/>
              </w:rPr>
              <w:t>00</w:t>
            </w:r>
            <w:r>
              <w:rPr>
                <w:rFonts w:hint="eastAsia"/>
                <w:b/>
                <w:color w:val="auto"/>
                <w:sz w:val="21"/>
                <w:szCs w:val="21"/>
              </w:rPr>
              <w:t>d</w:t>
            </w:r>
          </w:p>
        </w:tc>
        <w:tc>
          <w:tcPr>
            <w:tcW w:w="1857" w:type="dxa"/>
          </w:tcPr>
          <w:p>
            <w:pPr>
              <w:snapToGrid w:val="0"/>
              <w:jc w:val="center"/>
              <w:rPr>
                <w:b/>
                <w:color w:val="auto"/>
                <w:sz w:val="21"/>
                <w:szCs w:val="21"/>
              </w:rPr>
            </w:pPr>
            <w:r>
              <w:rPr>
                <w:rFonts w:hint="eastAsia"/>
                <w:b/>
                <w:color w:val="auto"/>
                <w:sz w:val="21"/>
                <w:szCs w:val="21"/>
              </w:rPr>
              <w:t>3</w:t>
            </w:r>
            <w:r>
              <w:rPr>
                <w:b/>
                <w:color w:val="auto"/>
                <w:sz w:val="21"/>
                <w:szCs w:val="21"/>
              </w:rPr>
              <w:t>00</w:t>
            </w:r>
            <w:r>
              <w:rPr>
                <w:rFonts w:hint="eastAsia"/>
                <w:b/>
                <w:color w:val="auto"/>
                <w:sz w:val="21"/>
                <w:szCs w:val="21"/>
              </w:rPr>
              <w:t>d</w:t>
            </w:r>
          </w:p>
        </w:tc>
        <w:tc>
          <w:tcPr>
            <w:tcW w:w="1858" w:type="dxa"/>
          </w:tcPr>
          <w:p>
            <w:pPr>
              <w:snapToGrid w:val="0"/>
              <w:jc w:val="center"/>
              <w:rPr>
                <w:b/>
                <w:color w:val="auto"/>
                <w:sz w:val="21"/>
                <w:szCs w:val="21"/>
              </w:rPr>
            </w:pPr>
            <w:r>
              <w:rPr>
                <w:rFonts w:hint="eastAsia"/>
                <w:b/>
                <w:color w:val="auto"/>
                <w:sz w:val="21"/>
                <w:szCs w:val="21"/>
              </w:rPr>
              <w:t>5</w:t>
            </w:r>
            <w:r>
              <w:rPr>
                <w:b/>
                <w:color w:val="auto"/>
                <w:sz w:val="21"/>
                <w:szCs w:val="21"/>
              </w:rPr>
              <w:t>00</w:t>
            </w:r>
            <w:r>
              <w:rPr>
                <w:rFonts w:hint="eastAsia"/>
                <w:b/>
                <w:color w:val="auto"/>
                <w:sz w:val="21"/>
                <w:szCs w:val="21"/>
              </w:rPr>
              <w:t>d</w:t>
            </w:r>
          </w:p>
        </w:tc>
        <w:tc>
          <w:tcPr>
            <w:tcW w:w="1858" w:type="dxa"/>
          </w:tcPr>
          <w:p>
            <w:pPr>
              <w:snapToGrid w:val="0"/>
              <w:jc w:val="center"/>
              <w:rPr>
                <w:b/>
                <w:color w:val="auto"/>
                <w:sz w:val="21"/>
                <w:szCs w:val="21"/>
              </w:rPr>
            </w:pPr>
            <w:r>
              <w:rPr>
                <w:rFonts w:hint="eastAsia"/>
                <w:b/>
                <w:color w:val="auto"/>
                <w:sz w:val="21"/>
                <w:szCs w:val="21"/>
              </w:rPr>
              <w:t>1</w:t>
            </w:r>
            <w:r>
              <w:rPr>
                <w:b/>
                <w:color w:val="auto"/>
                <w:sz w:val="21"/>
                <w:szCs w:val="21"/>
              </w:rPr>
              <w:t>000</w:t>
            </w:r>
            <w:r>
              <w:rPr>
                <w:rFonts w:hint="eastAsia"/>
                <w:b/>
                <w:color w:val="auto"/>
                <w:sz w:val="21"/>
                <w:szCs w:val="21"/>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1</w:t>
            </w:r>
          </w:p>
        </w:tc>
        <w:tc>
          <w:tcPr>
            <w:tcW w:w="1857" w:type="dxa"/>
          </w:tcPr>
          <w:p>
            <w:pPr>
              <w:snapToGrid w:val="0"/>
              <w:jc w:val="center"/>
              <w:rPr>
                <w:bCs/>
                <w:color w:val="auto"/>
                <w:sz w:val="21"/>
                <w:szCs w:val="21"/>
              </w:rPr>
            </w:pPr>
            <w:r>
              <w:rPr>
                <w:bCs/>
                <w:color w:val="auto"/>
                <w:sz w:val="21"/>
                <w:szCs w:val="21"/>
              </w:rPr>
              <w:t>8.89E+02</w:t>
            </w:r>
          </w:p>
        </w:tc>
        <w:tc>
          <w:tcPr>
            <w:tcW w:w="1857" w:type="dxa"/>
          </w:tcPr>
          <w:p>
            <w:pPr>
              <w:snapToGrid w:val="0"/>
              <w:jc w:val="center"/>
              <w:rPr>
                <w:bCs/>
                <w:color w:val="auto"/>
                <w:sz w:val="21"/>
                <w:szCs w:val="21"/>
              </w:rPr>
            </w:pPr>
            <w:r>
              <w:rPr>
                <w:bCs/>
                <w:color w:val="auto"/>
                <w:sz w:val="21"/>
                <w:szCs w:val="21"/>
              </w:rPr>
              <w:t>9.52E+02</w:t>
            </w:r>
          </w:p>
        </w:tc>
        <w:tc>
          <w:tcPr>
            <w:tcW w:w="1858" w:type="dxa"/>
          </w:tcPr>
          <w:p>
            <w:pPr>
              <w:snapToGrid w:val="0"/>
              <w:jc w:val="center"/>
              <w:rPr>
                <w:bCs/>
                <w:color w:val="auto"/>
                <w:sz w:val="21"/>
                <w:szCs w:val="21"/>
              </w:rPr>
            </w:pPr>
            <w:r>
              <w:rPr>
                <w:bCs/>
                <w:color w:val="auto"/>
                <w:sz w:val="21"/>
                <w:szCs w:val="21"/>
              </w:rPr>
              <w:t>9.70E+02</w:t>
            </w:r>
          </w:p>
        </w:tc>
        <w:tc>
          <w:tcPr>
            <w:tcW w:w="1858" w:type="dxa"/>
          </w:tcPr>
          <w:p>
            <w:pPr>
              <w:snapToGrid w:val="0"/>
              <w:jc w:val="center"/>
              <w:rPr>
                <w:bCs/>
                <w:color w:val="auto"/>
                <w:sz w:val="21"/>
                <w:szCs w:val="21"/>
              </w:rPr>
            </w:pPr>
            <w:r>
              <w:rPr>
                <w:bCs/>
                <w:color w:val="auto"/>
                <w:sz w:val="21"/>
                <w:szCs w:val="21"/>
              </w:rPr>
              <w:t>9.86E+02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10</w:t>
            </w:r>
          </w:p>
        </w:tc>
        <w:tc>
          <w:tcPr>
            <w:tcW w:w="1857" w:type="dxa"/>
          </w:tcPr>
          <w:p>
            <w:pPr>
              <w:snapToGrid w:val="0"/>
              <w:jc w:val="center"/>
              <w:rPr>
                <w:bCs/>
                <w:color w:val="auto"/>
                <w:sz w:val="21"/>
                <w:szCs w:val="21"/>
              </w:rPr>
            </w:pPr>
            <w:r>
              <w:rPr>
                <w:bCs/>
                <w:color w:val="auto"/>
                <w:sz w:val="21"/>
                <w:szCs w:val="21"/>
              </w:rPr>
              <w:t>9.45E+01</w:t>
            </w:r>
          </w:p>
        </w:tc>
        <w:tc>
          <w:tcPr>
            <w:tcW w:w="1857" w:type="dxa"/>
          </w:tcPr>
          <w:p>
            <w:pPr>
              <w:snapToGrid w:val="0"/>
              <w:jc w:val="center"/>
              <w:rPr>
                <w:bCs/>
                <w:color w:val="auto"/>
                <w:sz w:val="21"/>
                <w:szCs w:val="21"/>
              </w:rPr>
            </w:pPr>
            <w:r>
              <w:rPr>
                <w:bCs/>
                <w:color w:val="auto"/>
                <w:sz w:val="21"/>
                <w:szCs w:val="21"/>
              </w:rPr>
              <w:t>4.28E+02</w:t>
            </w:r>
          </w:p>
        </w:tc>
        <w:tc>
          <w:tcPr>
            <w:tcW w:w="1858" w:type="dxa"/>
          </w:tcPr>
          <w:p>
            <w:pPr>
              <w:snapToGrid w:val="0"/>
              <w:jc w:val="center"/>
              <w:rPr>
                <w:bCs/>
                <w:color w:val="auto"/>
                <w:sz w:val="21"/>
                <w:szCs w:val="21"/>
              </w:rPr>
            </w:pPr>
            <w:r>
              <w:rPr>
                <w:bCs/>
                <w:color w:val="auto"/>
                <w:sz w:val="21"/>
                <w:szCs w:val="21"/>
              </w:rPr>
              <w:t>6.05E+02</w:t>
            </w:r>
          </w:p>
        </w:tc>
        <w:tc>
          <w:tcPr>
            <w:tcW w:w="1858" w:type="dxa"/>
          </w:tcPr>
          <w:p>
            <w:pPr>
              <w:snapToGrid w:val="0"/>
              <w:jc w:val="center"/>
              <w:rPr>
                <w:bCs/>
                <w:color w:val="auto"/>
                <w:sz w:val="21"/>
                <w:szCs w:val="21"/>
              </w:rPr>
            </w:pPr>
            <w:r>
              <w:rPr>
                <w:bCs/>
                <w:color w:val="auto"/>
                <w:sz w:val="21"/>
                <w:szCs w:val="21"/>
              </w:rPr>
              <w:t>8.00E+02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20</w:t>
            </w:r>
          </w:p>
        </w:tc>
        <w:tc>
          <w:tcPr>
            <w:tcW w:w="1857" w:type="dxa"/>
          </w:tcPr>
          <w:p>
            <w:pPr>
              <w:snapToGrid w:val="0"/>
              <w:jc w:val="center"/>
              <w:rPr>
                <w:bCs/>
                <w:color w:val="auto"/>
                <w:sz w:val="21"/>
                <w:szCs w:val="21"/>
              </w:rPr>
            </w:pPr>
            <w:r>
              <w:rPr>
                <w:bCs/>
                <w:color w:val="auto"/>
                <w:sz w:val="21"/>
                <w:szCs w:val="21"/>
              </w:rPr>
              <w:t>4.14E-01</w:t>
            </w:r>
          </w:p>
        </w:tc>
        <w:tc>
          <w:tcPr>
            <w:tcW w:w="1857" w:type="dxa"/>
          </w:tcPr>
          <w:p>
            <w:pPr>
              <w:snapToGrid w:val="0"/>
              <w:jc w:val="center"/>
              <w:rPr>
                <w:bCs/>
                <w:color w:val="auto"/>
                <w:sz w:val="21"/>
                <w:szCs w:val="21"/>
              </w:rPr>
            </w:pPr>
            <w:r>
              <w:rPr>
                <w:bCs/>
                <w:color w:val="auto"/>
                <w:sz w:val="21"/>
                <w:szCs w:val="21"/>
              </w:rPr>
              <w:t>7.30E+01</w:t>
            </w:r>
          </w:p>
        </w:tc>
        <w:tc>
          <w:tcPr>
            <w:tcW w:w="1858" w:type="dxa"/>
          </w:tcPr>
          <w:p>
            <w:pPr>
              <w:snapToGrid w:val="0"/>
              <w:jc w:val="center"/>
              <w:rPr>
                <w:bCs/>
                <w:color w:val="auto"/>
                <w:sz w:val="21"/>
                <w:szCs w:val="21"/>
              </w:rPr>
            </w:pPr>
            <w:r>
              <w:rPr>
                <w:bCs/>
                <w:color w:val="auto"/>
                <w:sz w:val="21"/>
                <w:szCs w:val="21"/>
              </w:rPr>
              <w:t>2.19E+02</w:t>
            </w:r>
          </w:p>
        </w:tc>
        <w:tc>
          <w:tcPr>
            <w:tcW w:w="1858" w:type="dxa"/>
          </w:tcPr>
          <w:p>
            <w:pPr>
              <w:snapToGrid w:val="0"/>
              <w:jc w:val="center"/>
              <w:rPr>
                <w:bCs/>
                <w:color w:val="auto"/>
                <w:sz w:val="21"/>
                <w:szCs w:val="21"/>
              </w:rPr>
            </w:pPr>
            <w:r>
              <w:rPr>
                <w:bCs/>
                <w:color w:val="auto"/>
                <w:sz w:val="21"/>
                <w:szCs w:val="21"/>
              </w:rPr>
              <w:t>5.16E+02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50</w:t>
            </w:r>
          </w:p>
        </w:tc>
        <w:tc>
          <w:tcPr>
            <w:tcW w:w="1857" w:type="dxa"/>
          </w:tcPr>
          <w:p>
            <w:pPr>
              <w:snapToGrid w:val="0"/>
              <w:jc w:val="center"/>
              <w:rPr>
                <w:bCs/>
                <w:color w:val="auto"/>
                <w:sz w:val="21"/>
                <w:szCs w:val="21"/>
              </w:rPr>
            </w:pPr>
            <w:r>
              <w:rPr>
                <w:color w:val="auto"/>
                <w:sz w:val="21"/>
                <w:szCs w:val="21"/>
              </w:rPr>
              <w:t>0.00E+00</w:t>
            </w:r>
          </w:p>
        </w:tc>
        <w:tc>
          <w:tcPr>
            <w:tcW w:w="1857" w:type="dxa"/>
          </w:tcPr>
          <w:p>
            <w:pPr>
              <w:snapToGrid w:val="0"/>
              <w:jc w:val="center"/>
              <w:rPr>
                <w:bCs/>
                <w:color w:val="auto"/>
                <w:sz w:val="21"/>
                <w:szCs w:val="21"/>
              </w:rPr>
            </w:pPr>
            <w:r>
              <w:rPr>
                <w:bCs/>
                <w:color w:val="auto"/>
                <w:sz w:val="21"/>
                <w:szCs w:val="21"/>
              </w:rPr>
              <w:t>5.40E-04</w:t>
            </w:r>
          </w:p>
        </w:tc>
        <w:tc>
          <w:tcPr>
            <w:tcW w:w="1858" w:type="dxa"/>
          </w:tcPr>
          <w:p>
            <w:pPr>
              <w:snapToGrid w:val="0"/>
              <w:jc w:val="center"/>
              <w:rPr>
                <w:bCs/>
                <w:color w:val="auto"/>
                <w:sz w:val="21"/>
                <w:szCs w:val="21"/>
              </w:rPr>
            </w:pPr>
            <w:r>
              <w:rPr>
                <w:bCs/>
                <w:color w:val="auto"/>
                <w:sz w:val="21"/>
                <w:szCs w:val="21"/>
              </w:rPr>
              <w:t>2.48E-01</w:t>
            </w:r>
          </w:p>
        </w:tc>
        <w:tc>
          <w:tcPr>
            <w:tcW w:w="1858" w:type="dxa"/>
          </w:tcPr>
          <w:p>
            <w:pPr>
              <w:snapToGrid w:val="0"/>
              <w:jc w:val="center"/>
              <w:rPr>
                <w:bCs/>
                <w:color w:val="auto"/>
                <w:sz w:val="21"/>
                <w:szCs w:val="21"/>
              </w:rPr>
            </w:pPr>
            <w:r>
              <w:rPr>
                <w:bCs/>
                <w:color w:val="auto"/>
                <w:sz w:val="21"/>
                <w:szCs w:val="21"/>
              </w:rPr>
              <w:t>2.54E+01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80</w:t>
            </w:r>
          </w:p>
        </w:tc>
        <w:tc>
          <w:tcPr>
            <w:tcW w:w="1857" w:type="dxa"/>
          </w:tcPr>
          <w:p>
            <w:pPr>
              <w:snapToGrid w:val="0"/>
              <w:jc w:val="center"/>
              <w:rPr>
                <w:bCs/>
                <w:color w:val="auto"/>
                <w:sz w:val="21"/>
                <w:szCs w:val="21"/>
              </w:rPr>
            </w:pPr>
            <w:r>
              <w:rPr>
                <w:color w:val="auto"/>
                <w:sz w:val="21"/>
                <w:szCs w:val="21"/>
              </w:rPr>
              <w:t>0.00E+00</w:t>
            </w:r>
          </w:p>
        </w:tc>
        <w:tc>
          <w:tcPr>
            <w:tcW w:w="1857" w:type="dxa"/>
          </w:tcPr>
          <w:p>
            <w:pPr>
              <w:snapToGrid w:val="0"/>
              <w:jc w:val="center"/>
              <w:rPr>
                <w:bCs/>
                <w:color w:val="auto"/>
                <w:sz w:val="21"/>
                <w:szCs w:val="21"/>
              </w:rPr>
            </w:pPr>
            <w:r>
              <w:rPr>
                <w:bCs/>
                <w:color w:val="auto"/>
                <w:sz w:val="21"/>
                <w:szCs w:val="21"/>
              </w:rPr>
              <w:t>5.55E-14</w:t>
            </w:r>
          </w:p>
        </w:tc>
        <w:tc>
          <w:tcPr>
            <w:tcW w:w="1858" w:type="dxa"/>
          </w:tcPr>
          <w:p>
            <w:pPr>
              <w:snapToGrid w:val="0"/>
              <w:jc w:val="center"/>
              <w:rPr>
                <w:bCs/>
                <w:color w:val="auto"/>
                <w:sz w:val="21"/>
                <w:szCs w:val="21"/>
              </w:rPr>
            </w:pPr>
            <w:r>
              <w:rPr>
                <w:bCs/>
                <w:color w:val="auto"/>
                <w:sz w:val="21"/>
                <w:szCs w:val="21"/>
              </w:rPr>
              <w:t>6.56E-07</w:t>
            </w:r>
          </w:p>
        </w:tc>
        <w:tc>
          <w:tcPr>
            <w:tcW w:w="1858" w:type="dxa"/>
          </w:tcPr>
          <w:p>
            <w:pPr>
              <w:snapToGrid w:val="0"/>
              <w:jc w:val="center"/>
              <w:rPr>
                <w:bCs/>
                <w:color w:val="auto"/>
                <w:sz w:val="21"/>
                <w:szCs w:val="21"/>
              </w:rPr>
            </w:pPr>
            <w:r>
              <w:rPr>
                <w:bCs/>
                <w:color w:val="auto"/>
                <w:sz w:val="21"/>
                <w:szCs w:val="21"/>
              </w:rPr>
              <w:t>6.90E-02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100</w:t>
            </w:r>
          </w:p>
        </w:tc>
        <w:tc>
          <w:tcPr>
            <w:tcW w:w="1857" w:type="dxa"/>
          </w:tcPr>
          <w:p>
            <w:pPr>
              <w:snapToGrid w:val="0"/>
              <w:jc w:val="center"/>
              <w:rPr>
                <w:bCs/>
                <w:color w:val="auto"/>
                <w:sz w:val="21"/>
                <w:szCs w:val="21"/>
              </w:rPr>
            </w:pPr>
            <w:r>
              <w:rPr>
                <w:color w:val="auto"/>
                <w:sz w:val="21"/>
                <w:szCs w:val="21"/>
              </w:rPr>
              <w:t>0.00E+00</w:t>
            </w:r>
          </w:p>
        </w:tc>
        <w:tc>
          <w:tcPr>
            <w:tcW w:w="1857"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bCs/>
                <w:color w:val="auto"/>
                <w:sz w:val="21"/>
                <w:szCs w:val="21"/>
              </w:rPr>
              <w:t>2.05E-12</w:t>
            </w:r>
          </w:p>
        </w:tc>
        <w:tc>
          <w:tcPr>
            <w:tcW w:w="1858" w:type="dxa"/>
          </w:tcPr>
          <w:p>
            <w:pPr>
              <w:snapToGrid w:val="0"/>
              <w:jc w:val="center"/>
              <w:rPr>
                <w:bCs/>
                <w:color w:val="auto"/>
                <w:sz w:val="21"/>
                <w:szCs w:val="21"/>
              </w:rPr>
            </w:pPr>
            <w:r>
              <w:rPr>
                <w:bCs/>
                <w:color w:val="auto"/>
                <w:sz w:val="21"/>
                <w:szCs w:val="21"/>
              </w:rPr>
              <w:t>2.44E-04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1</w:t>
            </w:r>
            <w:r>
              <w:rPr>
                <w:bCs/>
                <w:color w:val="auto"/>
                <w:sz w:val="21"/>
                <w:szCs w:val="21"/>
              </w:rPr>
              <w:t>50</w:t>
            </w:r>
          </w:p>
        </w:tc>
        <w:tc>
          <w:tcPr>
            <w:tcW w:w="1857" w:type="dxa"/>
          </w:tcPr>
          <w:p>
            <w:pPr>
              <w:snapToGrid w:val="0"/>
              <w:jc w:val="center"/>
              <w:rPr>
                <w:bCs/>
                <w:color w:val="auto"/>
                <w:sz w:val="21"/>
                <w:szCs w:val="21"/>
              </w:rPr>
            </w:pPr>
            <w:r>
              <w:rPr>
                <w:color w:val="auto"/>
                <w:sz w:val="21"/>
                <w:szCs w:val="21"/>
              </w:rPr>
              <w:t>0.00E+00</w:t>
            </w:r>
          </w:p>
        </w:tc>
        <w:tc>
          <w:tcPr>
            <w:tcW w:w="1857"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bCs/>
                <w:color w:val="auto"/>
                <w:sz w:val="21"/>
                <w:szCs w:val="21"/>
              </w:rPr>
              <w:t>2.22E-13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1</w:t>
            </w:r>
            <w:r>
              <w:rPr>
                <w:bCs/>
                <w:color w:val="auto"/>
                <w:sz w:val="21"/>
                <w:szCs w:val="21"/>
              </w:rPr>
              <w:t>80</w:t>
            </w:r>
          </w:p>
        </w:tc>
        <w:tc>
          <w:tcPr>
            <w:tcW w:w="1857" w:type="dxa"/>
          </w:tcPr>
          <w:p>
            <w:pPr>
              <w:snapToGrid w:val="0"/>
              <w:jc w:val="center"/>
              <w:rPr>
                <w:bCs/>
                <w:color w:val="auto"/>
                <w:sz w:val="21"/>
                <w:szCs w:val="21"/>
              </w:rPr>
            </w:pPr>
            <w:r>
              <w:rPr>
                <w:color w:val="auto"/>
                <w:sz w:val="21"/>
                <w:szCs w:val="21"/>
              </w:rPr>
              <w:t>0.00E+00</w:t>
            </w:r>
          </w:p>
        </w:tc>
        <w:tc>
          <w:tcPr>
            <w:tcW w:w="1857"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color w:val="auto"/>
                <w:sz w:val="21"/>
                <w:szCs w:val="21"/>
              </w:rPr>
              <w:t>0.00E+00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200</w:t>
            </w:r>
          </w:p>
        </w:tc>
        <w:tc>
          <w:tcPr>
            <w:tcW w:w="1857" w:type="dxa"/>
          </w:tcPr>
          <w:p>
            <w:pPr>
              <w:snapToGrid w:val="0"/>
              <w:jc w:val="center"/>
              <w:rPr>
                <w:bCs/>
                <w:color w:val="auto"/>
                <w:sz w:val="21"/>
                <w:szCs w:val="21"/>
              </w:rPr>
            </w:pPr>
            <w:r>
              <w:rPr>
                <w:color w:val="auto"/>
                <w:sz w:val="21"/>
                <w:szCs w:val="21"/>
              </w:rPr>
              <w:t>0.00E+00</w:t>
            </w:r>
          </w:p>
        </w:tc>
        <w:tc>
          <w:tcPr>
            <w:tcW w:w="1857"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color w:val="auto"/>
                <w:sz w:val="21"/>
                <w:szCs w:val="21"/>
              </w:rPr>
              <w:t>0.00E+00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Borders>
              <w:bottom w:val="single" w:color="auto" w:sz="4" w:space="0"/>
            </w:tcBorders>
          </w:tcPr>
          <w:p>
            <w:pPr>
              <w:snapToGrid w:val="0"/>
              <w:jc w:val="center"/>
              <w:rPr>
                <w:bCs/>
                <w:color w:val="auto"/>
                <w:sz w:val="21"/>
                <w:szCs w:val="21"/>
              </w:rPr>
            </w:pPr>
            <w:r>
              <w:rPr>
                <w:rFonts w:hint="eastAsia"/>
                <w:bCs/>
                <w:color w:val="auto"/>
                <w:sz w:val="21"/>
                <w:szCs w:val="21"/>
              </w:rPr>
              <w:t>2</w:t>
            </w:r>
            <w:r>
              <w:rPr>
                <w:bCs/>
                <w:color w:val="auto"/>
                <w:sz w:val="21"/>
                <w:szCs w:val="21"/>
              </w:rPr>
              <w:t>50</w:t>
            </w:r>
          </w:p>
        </w:tc>
        <w:tc>
          <w:tcPr>
            <w:tcW w:w="1857" w:type="dxa"/>
            <w:tcBorders>
              <w:bottom w:val="single" w:color="auto" w:sz="4" w:space="0"/>
            </w:tcBorders>
          </w:tcPr>
          <w:p>
            <w:pPr>
              <w:snapToGrid w:val="0"/>
              <w:jc w:val="center"/>
              <w:rPr>
                <w:bCs/>
                <w:color w:val="auto"/>
                <w:sz w:val="21"/>
                <w:szCs w:val="21"/>
              </w:rPr>
            </w:pPr>
            <w:r>
              <w:rPr>
                <w:color w:val="auto"/>
                <w:sz w:val="21"/>
                <w:szCs w:val="21"/>
              </w:rPr>
              <w:t>0.00E+00</w:t>
            </w:r>
          </w:p>
        </w:tc>
        <w:tc>
          <w:tcPr>
            <w:tcW w:w="1857" w:type="dxa"/>
            <w:tcBorders>
              <w:bottom w:val="single" w:color="auto" w:sz="4" w:space="0"/>
            </w:tcBorders>
          </w:tcPr>
          <w:p>
            <w:pPr>
              <w:snapToGrid w:val="0"/>
              <w:jc w:val="center"/>
              <w:rPr>
                <w:bCs/>
                <w:color w:val="auto"/>
                <w:sz w:val="21"/>
                <w:szCs w:val="21"/>
              </w:rPr>
            </w:pPr>
            <w:r>
              <w:rPr>
                <w:color w:val="auto"/>
                <w:sz w:val="21"/>
                <w:szCs w:val="21"/>
              </w:rPr>
              <w:t>0.00E+00</w:t>
            </w:r>
          </w:p>
        </w:tc>
        <w:tc>
          <w:tcPr>
            <w:tcW w:w="1858" w:type="dxa"/>
            <w:tcBorders>
              <w:bottom w:val="single" w:color="auto" w:sz="4" w:space="0"/>
            </w:tcBorders>
          </w:tcPr>
          <w:p>
            <w:pPr>
              <w:snapToGrid w:val="0"/>
              <w:jc w:val="center"/>
              <w:rPr>
                <w:bCs/>
                <w:color w:val="auto"/>
                <w:sz w:val="21"/>
                <w:szCs w:val="21"/>
              </w:rPr>
            </w:pPr>
            <w:r>
              <w:rPr>
                <w:color w:val="auto"/>
                <w:sz w:val="21"/>
                <w:szCs w:val="21"/>
              </w:rPr>
              <w:t>0.00E+00</w:t>
            </w:r>
          </w:p>
        </w:tc>
        <w:tc>
          <w:tcPr>
            <w:tcW w:w="1858" w:type="dxa"/>
            <w:tcBorders>
              <w:bottom w:val="single" w:color="auto" w:sz="4" w:space="0"/>
            </w:tcBorders>
          </w:tcPr>
          <w:p>
            <w:pPr>
              <w:snapToGrid w:val="0"/>
              <w:jc w:val="center"/>
              <w:rPr>
                <w:bCs/>
                <w:color w:val="auto"/>
                <w:sz w:val="21"/>
                <w:szCs w:val="21"/>
              </w:rPr>
            </w:pPr>
            <w:r>
              <w:rPr>
                <w:color w:val="auto"/>
                <w:sz w:val="21"/>
                <w:szCs w:val="21"/>
              </w:rPr>
              <w:t>0.00E+00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Borders>
              <w:top w:val="single" w:color="auto" w:sz="4" w:space="0"/>
              <w:bottom w:val="single" w:color="auto" w:sz="12" w:space="0"/>
            </w:tcBorders>
          </w:tcPr>
          <w:p>
            <w:pPr>
              <w:snapToGrid w:val="0"/>
              <w:jc w:val="center"/>
              <w:rPr>
                <w:bCs/>
                <w:color w:val="auto"/>
                <w:sz w:val="21"/>
                <w:szCs w:val="21"/>
              </w:rPr>
            </w:pPr>
            <w:r>
              <w:rPr>
                <w:rFonts w:hint="eastAsia"/>
                <w:bCs/>
                <w:color w:val="auto"/>
                <w:sz w:val="21"/>
                <w:szCs w:val="21"/>
              </w:rPr>
              <w:t>3</w:t>
            </w:r>
            <w:r>
              <w:rPr>
                <w:bCs/>
                <w:color w:val="auto"/>
                <w:sz w:val="21"/>
                <w:szCs w:val="21"/>
              </w:rPr>
              <w:t>00</w:t>
            </w:r>
          </w:p>
        </w:tc>
        <w:tc>
          <w:tcPr>
            <w:tcW w:w="1857" w:type="dxa"/>
            <w:tcBorders>
              <w:top w:val="single" w:color="auto" w:sz="4" w:space="0"/>
              <w:bottom w:val="single" w:color="auto" w:sz="12" w:space="0"/>
            </w:tcBorders>
          </w:tcPr>
          <w:p>
            <w:pPr>
              <w:snapToGrid w:val="0"/>
              <w:jc w:val="center"/>
              <w:rPr>
                <w:bCs/>
                <w:color w:val="auto"/>
                <w:sz w:val="21"/>
                <w:szCs w:val="21"/>
              </w:rPr>
            </w:pPr>
            <w:r>
              <w:rPr>
                <w:color w:val="auto"/>
                <w:sz w:val="21"/>
                <w:szCs w:val="21"/>
              </w:rPr>
              <w:t>0.00E+00</w:t>
            </w:r>
          </w:p>
        </w:tc>
        <w:tc>
          <w:tcPr>
            <w:tcW w:w="1857" w:type="dxa"/>
            <w:tcBorders>
              <w:top w:val="single" w:color="auto" w:sz="4" w:space="0"/>
              <w:bottom w:val="single" w:color="auto" w:sz="12" w:space="0"/>
            </w:tcBorders>
          </w:tcPr>
          <w:p>
            <w:pPr>
              <w:snapToGrid w:val="0"/>
              <w:jc w:val="center"/>
              <w:rPr>
                <w:bCs/>
                <w:color w:val="auto"/>
                <w:sz w:val="21"/>
                <w:szCs w:val="21"/>
              </w:rPr>
            </w:pPr>
            <w:r>
              <w:rPr>
                <w:color w:val="auto"/>
                <w:sz w:val="21"/>
                <w:szCs w:val="21"/>
              </w:rPr>
              <w:t>0.00E+00</w:t>
            </w:r>
          </w:p>
        </w:tc>
        <w:tc>
          <w:tcPr>
            <w:tcW w:w="1858" w:type="dxa"/>
            <w:tcBorders>
              <w:top w:val="single" w:color="auto" w:sz="4" w:space="0"/>
              <w:bottom w:val="single" w:color="auto" w:sz="12" w:space="0"/>
            </w:tcBorders>
          </w:tcPr>
          <w:p>
            <w:pPr>
              <w:snapToGrid w:val="0"/>
              <w:jc w:val="center"/>
              <w:rPr>
                <w:bCs/>
                <w:color w:val="auto"/>
                <w:sz w:val="21"/>
                <w:szCs w:val="21"/>
              </w:rPr>
            </w:pPr>
            <w:r>
              <w:rPr>
                <w:color w:val="auto"/>
                <w:sz w:val="21"/>
                <w:szCs w:val="21"/>
              </w:rPr>
              <w:t>0.00E+00</w:t>
            </w:r>
          </w:p>
        </w:tc>
        <w:tc>
          <w:tcPr>
            <w:tcW w:w="1858" w:type="dxa"/>
            <w:tcBorders>
              <w:top w:val="single" w:color="auto" w:sz="4" w:space="0"/>
              <w:bottom w:val="single" w:color="auto" w:sz="12" w:space="0"/>
            </w:tcBorders>
          </w:tcPr>
          <w:p>
            <w:pPr>
              <w:snapToGrid w:val="0"/>
              <w:jc w:val="center"/>
              <w:rPr>
                <w:bCs/>
                <w:color w:val="auto"/>
                <w:sz w:val="21"/>
                <w:szCs w:val="21"/>
              </w:rPr>
            </w:pPr>
            <w:r>
              <w:rPr>
                <w:color w:val="auto"/>
                <w:sz w:val="21"/>
                <w:szCs w:val="21"/>
              </w:rPr>
              <w:t>0.00E+00</w:t>
            </w:r>
          </w:p>
        </w:tc>
      </w:tr>
    </w:tbl>
    <w:p>
      <w:pPr>
        <w:snapToGrid w:val="0"/>
        <w:spacing w:line="360" w:lineRule="auto"/>
        <w:ind w:firstLine="480" w:firstLineChars="200"/>
        <w:jc w:val="both"/>
        <w:rPr>
          <w:snapToGrid w:val="0"/>
          <w:color w:val="auto"/>
        </w:rPr>
      </w:pPr>
      <w:r>
        <w:rPr>
          <w:color w:val="auto"/>
        </w:rPr>
        <w:t>垃圾渗滤液处理站渗漏情况下地下水</w:t>
      </w:r>
      <w:r>
        <w:rPr>
          <w:rFonts w:hint="eastAsia"/>
          <w:color w:val="auto"/>
        </w:rPr>
        <w:t>总铅</w:t>
      </w:r>
      <w:r>
        <w:rPr>
          <w:color w:val="auto"/>
        </w:rPr>
        <w:t>污染预测结果表明，</w:t>
      </w:r>
      <w:r>
        <w:rPr>
          <w:rFonts w:hint="eastAsia"/>
          <w:color w:val="auto"/>
        </w:rPr>
        <w:t>100天时，预测超标距离为15m，影响距离为21m；300天时，预测超标距离为28m，影响距离为38m；500天时，预测超标距离为37m，影响距离为51m；1000天时，预测超标距离为57m，影响距离为76m</w:t>
      </w:r>
      <w:r>
        <w:rPr>
          <w:rFonts w:hint="eastAsia"/>
          <w:snapToGrid w:val="0"/>
          <w:color w:val="auto"/>
        </w:rPr>
        <w:t>。不同时间预测浓度</w:t>
      </w:r>
      <w:r>
        <w:rPr>
          <w:snapToGrid w:val="0"/>
          <w:color w:val="auto"/>
        </w:rPr>
        <w:t>详见表5.2-</w:t>
      </w:r>
      <w:r>
        <w:rPr>
          <w:rFonts w:hint="eastAsia"/>
          <w:snapToGrid w:val="0"/>
          <w:color w:val="auto"/>
        </w:rPr>
        <w:t>15</w:t>
      </w:r>
      <w:r>
        <w:rPr>
          <w:snapToGrid w:val="0"/>
          <w:color w:val="auto"/>
        </w:rPr>
        <w:t>。</w:t>
      </w:r>
      <w:r>
        <w:rPr>
          <w:b/>
          <w:color w:val="auto"/>
        </w:rPr>
        <w:t xml:space="preserve"> </w:t>
      </w:r>
    </w:p>
    <w:p>
      <w:pPr>
        <w:snapToGrid w:val="0"/>
        <w:jc w:val="center"/>
        <w:rPr>
          <w:b/>
          <w:color w:val="auto"/>
          <w:szCs w:val="21"/>
        </w:rPr>
      </w:pPr>
      <w:r>
        <w:rPr>
          <w:b/>
          <w:color w:val="auto"/>
        </w:rPr>
        <w:t>表5.2-</w:t>
      </w:r>
      <w:r>
        <w:rPr>
          <w:rFonts w:hint="eastAsia"/>
          <w:b/>
          <w:color w:val="auto"/>
        </w:rPr>
        <w:t>15</w:t>
      </w:r>
      <w:r>
        <w:rPr>
          <w:b/>
          <w:color w:val="auto"/>
          <w:szCs w:val="21"/>
        </w:rPr>
        <w:t xml:space="preserve">  </w:t>
      </w:r>
      <w:r>
        <w:rPr>
          <w:rFonts w:hint="eastAsia"/>
          <w:b/>
          <w:color w:val="auto"/>
          <w:szCs w:val="21"/>
        </w:rPr>
        <w:t>污染物（总铅）运移模拟结果（mg</w:t>
      </w:r>
      <w:r>
        <w:rPr>
          <w:b/>
          <w:color w:val="auto"/>
          <w:szCs w:val="21"/>
        </w:rPr>
        <w:t>/L</w:t>
      </w:r>
      <w:r>
        <w:rPr>
          <w:rFonts w:hint="eastAsia"/>
          <w:b/>
          <w:color w:val="auto"/>
          <w:szCs w:val="21"/>
        </w:rPr>
        <w:t>）</w:t>
      </w:r>
    </w:p>
    <w:tbl>
      <w:tblPr>
        <w:tblStyle w:val="54"/>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7"/>
        <w:gridCol w:w="1857"/>
        <w:gridCol w:w="1857"/>
        <w:gridCol w:w="1858"/>
        <w:gridCol w:w="18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
                <w:color w:val="auto"/>
                <w:sz w:val="21"/>
                <w:szCs w:val="21"/>
              </w:rPr>
            </w:pPr>
            <w:r>
              <w:rPr>
                <w:rFonts w:hint="eastAsia"/>
                <w:b/>
                <w:color w:val="auto"/>
                <w:sz w:val="21"/>
                <w:szCs w:val="21"/>
              </w:rPr>
              <w:t>距离</w:t>
            </w:r>
          </w:p>
        </w:tc>
        <w:tc>
          <w:tcPr>
            <w:tcW w:w="1857" w:type="dxa"/>
          </w:tcPr>
          <w:p>
            <w:pPr>
              <w:snapToGrid w:val="0"/>
              <w:jc w:val="center"/>
              <w:rPr>
                <w:b/>
                <w:color w:val="auto"/>
                <w:sz w:val="21"/>
                <w:szCs w:val="21"/>
              </w:rPr>
            </w:pPr>
            <w:r>
              <w:rPr>
                <w:rFonts w:hint="eastAsia"/>
                <w:b/>
                <w:color w:val="auto"/>
                <w:sz w:val="21"/>
                <w:szCs w:val="21"/>
              </w:rPr>
              <w:t>1</w:t>
            </w:r>
            <w:r>
              <w:rPr>
                <w:b/>
                <w:color w:val="auto"/>
                <w:sz w:val="21"/>
                <w:szCs w:val="21"/>
              </w:rPr>
              <w:t>00</w:t>
            </w:r>
            <w:r>
              <w:rPr>
                <w:rFonts w:hint="eastAsia"/>
                <w:b/>
                <w:color w:val="auto"/>
                <w:sz w:val="21"/>
                <w:szCs w:val="21"/>
              </w:rPr>
              <w:t>d</w:t>
            </w:r>
          </w:p>
        </w:tc>
        <w:tc>
          <w:tcPr>
            <w:tcW w:w="1857" w:type="dxa"/>
          </w:tcPr>
          <w:p>
            <w:pPr>
              <w:snapToGrid w:val="0"/>
              <w:jc w:val="center"/>
              <w:rPr>
                <w:b/>
                <w:color w:val="auto"/>
                <w:sz w:val="21"/>
                <w:szCs w:val="21"/>
              </w:rPr>
            </w:pPr>
            <w:r>
              <w:rPr>
                <w:rFonts w:hint="eastAsia"/>
                <w:b/>
                <w:color w:val="auto"/>
                <w:sz w:val="21"/>
                <w:szCs w:val="21"/>
              </w:rPr>
              <w:t>3</w:t>
            </w:r>
            <w:r>
              <w:rPr>
                <w:b/>
                <w:color w:val="auto"/>
                <w:sz w:val="21"/>
                <w:szCs w:val="21"/>
              </w:rPr>
              <w:t>00</w:t>
            </w:r>
            <w:r>
              <w:rPr>
                <w:rFonts w:hint="eastAsia"/>
                <w:b/>
                <w:color w:val="auto"/>
                <w:sz w:val="21"/>
                <w:szCs w:val="21"/>
              </w:rPr>
              <w:t>d</w:t>
            </w:r>
          </w:p>
        </w:tc>
        <w:tc>
          <w:tcPr>
            <w:tcW w:w="1858" w:type="dxa"/>
          </w:tcPr>
          <w:p>
            <w:pPr>
              <w:snapToGrid w:val="0"/>
              <w:jc w:val="center"/>
              <w:rPr>
                <w:b/>
                <w:color w:val="auto"/>
                <w:sz w:val="21"/>
                <w:szCs w:val="21"/>
              </w:rPr>
            </w:pPr>
            <w:r>
              <w:rPr>
                <w:rFonts w:hint="eastAsia"/>
                <w:b/>
                <w:color w:val="auto"/>
                <w:sz w:val="21"/>
                <w:szCs w:val="21"/>
              </w:rPr>
              <w:t>5</w:t>
            </w:r>
            <w:r>
              <w:rPr>
                <w:b/>
                <w:color w:val="auto"/>
                <w:sz w:val="21"/>
                <w:szCs w:val="21"/>
              </w:rPr>
              <w:t>00</w:t>
            </w:r>
            <w:r>
              <w:rPr>
                <w:rFonts w:hint="eastAsia"/>
                <w:b/>
                <w:color w:val="auto"/>
                <w:sz w:val="21"/>
                <w:szCs w:val="21"/>
              </w:rPr>
              <w:t>d</w:t>
            </w:r>
          </w:p>
        </w:tc>
        <w:tc>
          <w:tcPr>
            <w:tcW w:w="1858" w:type="dxa"/>
          </w:tcPr>
          <w:p>
            <w:pPr>
              <w:snapToGrid w:val="0"/>
              <w:jc w:val="center"/>
              <w:rPr>
                <w:b/>
                <w:color w:val="auto"/>
                <w:sz w:val="21"/>
                <w:szCs w:val="21"/>
              </w:rPr>
            </w:pPr>
            <w:r>
              <w:rPr>
                <w:rFonts w:hint="eastAsia"/>
                <w:b/>
                <w:color w:val="auto"/>
                <w:sz w:val="21"/>
                <w:szCs w:val="21"/>
              </w:rPr>
              <w:t>1</w:t>
            </w:r>
            <w:r>
              <w:rPr>
                <w:b/>
                <w:color w:val="auto"/>
                <w:sz w:val="21"/>
                <w:szCs w:val="21"/>
              </w:rPr>
              <w:t>000</w:t>
            </w:r>
            <w:r>
              <w:rPr>
                <w:rFonts w:hint="eastAsia"/>
                <w:b/>
                <w:color w:val="auto"/>
                <w:sz w:val="21"/>
                <w:szCs w:val="21"/>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1</w:t>
            </w:r>
          </w:p>
        </w:tc>
        <w:tc>
          <w:tcPr>
            <w:tcW w:w="1857" w:type="dxa"/>
          </w:tcPr>
          <w:p>
            <w:pPr>
              <w:snapToGrid w:val="0"/>
              <w:jc w:val="center"/>
              <w:rPr>
                <w:bCs/>
                <w:color w:val="auto"/>
                <w:sz w:val="21"/>
                <w:szCs w:val="21"/>
              </w:rPr>
            </w:pPr>
            <w:r>
              <w:rPr>
                <w:bCs/>
                <w:color w:val="auto"/>
                <w:sz w:val="21"/>
                <w:szCs w:val="21"/>
              </w:rPr>
              <w:t>5.34E-01</w:t>
            </w:r>
          </w:p>
        </w:tc>
        <w:tc>
          <w:tcPr>
            <w:tcW w:w="1857" w:type="dxa"/>
          </w:tcPr>
          <w:p>
            <w:pPr>
              <w:snapToGrid w:val="0"/>
              <w:jc w:val="center"/>
              <w:rPr>
                <w:bCs/>
                <w:color w:val="auto"/>
                <w:sz w:val="21"/>
                <w:szCs w:val="21"/>
              </w:rPr>
            </w:pPr>
            <w:r>
              <w:rPr>
                <w:bCs/>
                <w:color w:val="auto"/>
                <w:sz w:val="21"/>
                <w:szCs w:val="21"/>
              </w:rPr>
              <w:t>5.71E-01</w:t>
            </w:r>
          </w:p>
        </w:tc>
        <w:tc>
          <w:tcPr>
            <w:tcW w:w="1858" w:type="dxa"/>
          </w:tcPr>
          <w:p>
            <w:pPr>
              <w:snapToGrid w:val="0"/>
              <w:jc w:val="center"/>
              <w:rPr>
                <w:bCs/>
                <w:color w:val="auto"/>
                <w:sz w:val="21"/>
                <w:szCs w:val="21"/>
              </w:rPr>
            </w:pPr>
            <w:r>
              <w:rPr>
                <w:bCs/>
                <w:color w:val="auto"/>
                <w:sz w:val="21"/>
                <w:szCs w:val="21"/>
              </w:rPr>
              <w:t>5.82E-01</w:t>
            </w:r>
          </w:p>
        </w:tc>
        <w:tc>
          <w:tcPr>
            <w:tcW w:w="1858" w:type="dxa"/>
          </w:tcPr>
          <w:p>
            <w:pPr>
              <w:snapToGrid w:val="0"/>
              <w:jc w:val="center"/>
              <w:rPr>
                <w:bCs/>
                <w:color w:val="auto"/>
                <w:sz w:val="21"/>
                <w:szCs w:val="21"/>
              </w:rPr>
            </w:pPr>
            <w:r>
              <w:rPr>
                <w:bCs/>
                <w:color w:val="auto"/>
                <w:sz w:val="21"/>
                <w:szCs w:val="21"/>
              </w:rPr>
              <w:t>5.92E-01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10</w:t>
            </w:r>
          </w:p>
        </w:tc>
        <w:tc>
          <w:tcPr>
            <w:tcW w:w="1857" w:type="dxa"/>
          </w:tcPr>
          <w:p>
            <w:pPr>
              <w:snapToGrid w:val="0"/>
              <w:jc w:val="center"/>
              <w:rPr>
                <w:bCs/>
                <w:color w:val="auto"/>
                <w:sz w:val="21"/>
                <w:szCs w:val="21"/>
              </w:rPr>
            </w:pPr>
            <w:r>
              <w:rPr>
                <w:bCs/>
                <w:color w:val="auto"/>
                <w:sz w:val="21"/>
                <w:szCs w:val="21"/>
              </w:rPr>
              <w:t>5.67E-02</w:t>
            </w:r>
          </w:p>
        </w:tc>
        <w:tc>
          <w:tcPr>
            <w:tcW w:w="1857" w:type="dxa"/>
          </w:tcPr>
          <w:p>
            <w:pPr>
              <w:snapToGrid w:val="0"/>
              <w:jc w:val="center"/>
              <w:rPr>
                <w:bCs/>
                <w:color w:val="auto"/>
                <w:sz w:val="21"/>
                <w:szCs w:val="21"/>
              </w:rPr>
            </w:pPr>
            <w:r>
              <w:rPr>
                <w:bCs/>
                <w:color w:val="auto"/>
                <w:sz w:val="21"/>
                <w:szCs w:val="21"/>
              </w:rPr>
              <w:t>2.57E-01</w:t>
            </w:r>
          </w:p>
        </w:tc>
        <w:tc>
          <w:tcPr>
            <w:tcW w:w="1858" w:type="dxa"/>
          </w:tcPr>
          <w:p>
            <w:pPr>
              <w:snapToGrid w:val="0"/>
              <w:jc w:val="center"/>
              <w:rPr>
                <w:bCs/>
                <w:color w:val="auto"/>
                <w:sz w:val="21"/>
                <w:szCs w:val="21"/>
              </w:rPr>
            </w:pPr>
            <w:r>
              <w:rPr>
                <w:bCs/>
                <w:color w:val="auto"/>
                <w:sz w:val="21"/>
                <w:szCs w:val="21"/>
              </w:rPr>
              <w:t>3.63E-01</w:t>
            </w:r>
          </w:p>
        </w:tc>
        <w:tc>
          <w:tcPr>
            <w:tcW w:w="1858" w:type="dxa"/>
          </w:tcPr>
          <w:p>
            <w:pPr>
              <w:snapToGrid w:val="0"/>
              <w:jc w:val="center"/>
              <w:rPr>
                <w:bCs/>
                <w:color w:val="auto"/>
                <w:sz w:val="21"/>
                <w:szCs w:val="21"/>
              </w:rPr>
            </w:pPr>
            <w:r>
              <w:rPr>
                <w:bCs/>
                <w:color w:val="auto"/>
                <w:sz w:val="21"/>
                <w:szCs w:val="21"/>
              </w:rPr>
              <w:t>4.80E-01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20</w:t>
            </w:r>
          </w:p>
        </w:tc>
        <w:tc>
          <w:tcPr>
            <w:tcW w:w="1857" w:type="dxa"/>
          </w:tcPr>
          <w:p>
            <w:pPr>
              <w:snapToGrid w:val="0"/>
              <w:jc w:val="center"/>
              <w:rPr>
                <w:bCs/>
                <w:color w:val="auto"/>
                <w:sz w:val="21"/>
                <w:szCs w:val="21"/>
              </w:rPr>
            </w:pPr>
            <w:r>
              <w:rPr>
                <w:bCs/>
                <w:color w:val="auto"/>
                <w:sz w:val="21"/>
                <w:szCs w:val="21"/>
              </w:rPr>
              <w:t>2.48E-04</w:t>
            </w:r>
          </w:p>
        </w:tc>
        <w:tc>
          <w:tcPr>
            <w:tcW w:w="1857" w:type="dxa"/>
          </w:tcPr>
          <w:p>
            <w:pPr>
              <w:snapToGrid w:val="0"/>
              <w:jc w:val="center"/>
              <w:rPr>
                <w:bCs/>
                <w:color w:val="auto"/>
                <w:sz w:val="21"/>
                <w:szCs w:val="21"/>
              </w:rPr>
            </w:pPr>
            <w:r>
              <w:rPr>
                <w:bCs/>
                <w:color w:val="auto"/>
                <w:sz w:val="21"/>
                <w:szCs w:val="21"/>
              </w:rPr>
              <w:t>4.38E-02</w:t>
            </w:r>
          </w:p>
        </w:tc>
        <w:tc>
          <w:tcPr>
            <w:tcW w:w="1858" w:type="dxa"/>
          </w:tcPr>
          <w:p>
            <w:pPr>
              <w:snapToGrid w:val="0"/>
              <w:jc w:val="center"/>
              <w:rPr>
                <w:bCs/>
                <w:color w:val="auto"/>
                <w:sz w:val="21"/>
                <w:szCs w:val="21"/>
              </w:rPr>
            </w:pPr>
            <w:r>
              <w:rPr>
                <w:bCs/>
                <w:color w:val="auto"/>
                <w:sz w:val="21"/>
                <w:szCs w:val="21"/>
              </w:rPr>
              <w:t>1.31E-01</w:t>
            </w:r>
          </w:p>
        </w:tc>
        <w:tc>
          <w:tcPr>
            <w:tcW w:w="1858" w:type="dxa"/>
          </w:tcPr>
          <w:p>
            <w:pPr>
              <w:snapToGrid w:val="0"/>
              <w:jc w:val="center"/>
              <w:rPr>
                <w:bCs/>
                <w:color w:val="auto"/>
                <w:sz w:val="21"/>
                <w:szCs w:val="21"/>
              </w:rPr>
            </w:pPr>
            <w:r>
              <w:rPr>
                <w:bCs/>
                <w:color w:val="auto"/>
                <w:sz w:val="21"/>
                <w:szCs w:val="21"/>
              </w:rPr>
              <w:t>3.09E-01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50</w:t>
            </w:r>
          </w:p>
        </w:tc>
        <w:tc>
          <w:tcPr>
            <w:tcW w:w="1857" w:type="dxa"/>
          </w:tcPr>
          <w:p>
            <w:pPr>
              <w:snapToGrid w:val="0"/>
              <w:jc w:val="center"/>
              <w:rPr>
                <w:bCs/>
                <w:color w:val="auto"/>
                <w:sz w:val="21"/>
                <w:szCs w:val="21"/>
              </w:rPr>
            </w:pPr>
            <w:r>
              <w:rPr>
                <w:color w:val="auto"/>
                <w:sz w:val="21"/>
                <w:szCs w:val="21"/>
              </w:rPr>
              <w:t>0.00E+00</w:t>
            </w:r>
          </w:p>
        </w:tc>
        <w:tc>
          <w:tcPr>
            <w:tcW w:w="1857" w:type="dxa"/>
          </w:tcPr>
          <w:p>
            <w:pPr>
              <w:snapToGrid w:val="0"/>
              <w:jc w:val="center"/>
              <w:rPr>
                <w:bCs/>
                <w:color w:val="auto"/>
                <w:sz w:val="21"/>
                <w:szCs w:val="21"/>
              </w:rPr>
            </w:pPr>
            <w:r>
              <w:rPr>
                <w:bCs/>
                <w:color w:val="auto"/>
                <w:sz w:val="21"/>
                <w:szCs w:val="21"/>
              </w:rPr>
              <w:t>3.24E-07</w:t>
            </w:r>
          </w:p>
        </w:tc>
        <w:tc>
          <w:tcPr>
            <w:tcW w:w="1858" w:type="dxa"/>
          </w:tcPr>
          <w:p>
            <w:pPr>
              <w:snapToGrid w:val="0"/>
              <w:jc w:val="center"/>
              <w:rPr>
                <w:bCs/>
                <w:color w:val="auto"/>
                <w:sz w:val="21"/>
                <w:szCs w:val="21"/>
              </w:rPr>
            </w:pPr>
            <w:r>
              <w:rPr>
                <w:bCs/>
                <w:color w:val="auto"/>
                <w:sz w:val="21"/>
                <w:szCs w:val="21"/>
              </w:rPr>
              <w:t>1.49E-04</w:t>
            </w:r>
          </w:p>
        </w:tc>
        <w:tc>
          <w:tcPr>
            <w:tcW w:w="1858" w:type="dxa"/>
          </w:tcPr>
          <w:p>
            <w:pPr>
              <w:snapToGrid w:val="0"/>
              <w:jc w:val="center"/>
              <w:rPr>
                <w:bCs/>
                <w:color w:val="auto"/>
                <w:sz w:val="21"/>
                <w:szCs w:val="21"/>
              </w:rPr>
            </w:pPr>
            <w:r>
              <w:rPr>
                <w:bCs/>
                <w:color w:val="auto"/>
                <w:sz w:val="21"/>
                <w:szCs w:val="21"/>
              </w:rPr>
              <w:t>1.53E-02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80</w:t>
            </w:r>
          </w:p>
        </w:tc>
        <w:tc>
          <w:tcPr>
            <w:tcW w:w="1857" w:type="dxa"/>
          </w:tcPr>
          <w:p>
            <w:pPr>
              <w:snapToGrid w:val="0"/>
              <w:jc w:val="center"/>
              <w:rPr>
                <w:bCs/>
                <w:color w:val="auto"/>
                <w:sz w:val="21"/>
                <w:szCs w:val="21"/>
              </w:rPr>
            </w:pPr>
            <w:r>
              <w:rPr>
                <w:color w:val="auto"/>
                <w:sz w:val="21"/>
                <w:szCs w:val="21"/>
              </w:rPr>
              <w:t>0.00E+00</w:t>
            </w:r>
          </w:p>
        </w:tc>
        <w:tc>
          <w:tcPr>
            <w:tcW w:w="1857" w:type="dxa"/>
          </w:tcPr>
          <w:p>
            <w:pPr>
              <w:snapToGrid w:val="0"/>
              <w:jc w:val="center"/>
              <w:rPr>
                <w:bCs/>
                <w:color w:val="auto"/>
                <w:sz w:val="21"/>
                <w:szCs w:val="21"/>
              </w:rPr>
            </w:pPr>
            <w:r>
              <w:rPr>
                <w:bCs/>
                <w:color w:val="auto"/>
                <w:sz w:val="21"/>
                <w:szCs w:val="21"/>
              </w:rPr>
              <w:t>3.33E-17</w:t>
            </w:r>
          </w:p>
        </w:tc>
        <w:tc>
          <w:tcPr>
            <w:tcW w:w="1858" w:type="dxa"/>
          </w:tcPr>
          <w:p>
            <w:pPr>
              <w:snapToGrid w:val="0"/>
              <w:jc w:val="center"/>
              <w:rPr>
                <w:bCs/>
                <w:color w:val="auto"/>
                <w:sz w:val="21"/>
                <w:szCs w:val="21"/>
              </w:rPr>
            </w:pPr>
            <w:r>
              <w:rPr>
                <w:bCs/>
                <w:color w:val="auto"/>
                <w:sz w:val="21"/>
                <w:szCs w:val="21"/>
              </w:rPr>
              <w:t>3.94E-10</w:t>
            </w:r>
          </w:p>
        </w:tc>
        <w:tc>
          <w:tcPr>
            <w:tcW w:w="1858" w:type="dxa"/>
          </w:tcPr>
          <w:p>
            <w:pPr>
              <w:snapToGrid w:val="0"/>
              <w:jc w:val="center"/>
              <w:rPr>
                <w:bCs/>
                <w:color w:val="auto"/>
                <w:sz w:val="21"/>
                <w:szCs w:val="21"/>
              </w:rPr>
            </w:pPr>
            <w:r>
              <w:rPr>
                <w:bCs/>
                <w:color w:val="auto"/>
                <w:sz w:val="21"/>
                <w:szCs w:val="21"/>
              </w:rPr>
              <w:t>4.14E-05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100</w:t>
            </w:r>
          </w:p>
        </w:tc>
        <w:tc>
          <w:tcPr>
            <w:tcW w:w="1857" w:type="dxa"/>
          </w:tcPr>
          <w:p>
            <w:pPr>
              <w:snapToGrid w:val="0"/>
              <w:jc w:val="center"/>
              <w:rPr>
                <w:bCs/>
                <w:color w:val="auto"/>
                <w:sz w:val="21"/>
                <w:szCs w:val="21"/>
              </w:rPr>
            </w:pPr>
            <w:r>
              <w:rPr>
                <w:color w:val="auto"/>
                <w:sz w:val="21"/>
                <w:szCs w:val="21"/>
              </w:rPr>
              <w:t>0.00E+00</w:t>
            </w:r>
          </w:p>
        </w:tc>
        <w:tc>
          <w:tcPr>
            <w:tcW w:w="1857"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bCs/>
                <w:color w:val="auto"/>
                <w:sz w:val="21"/>
                <w:szCs w:val="21"/>
              </w:rPr>
              <w:t>1.23E-15</w:t>
            </w:r>
          </w:p>
        </w:tc>
        <w:tc>
          <w:tcPr>
            <w:tcW w:w="1858" w:type="dxa"/>
          </w:tcPr>
          <w:p>
            <w:pPr>
              <w:snapToGrid w:val="0"/>
              <w:jc w:val="center"/>
              <w:rPr>
                <w:bCs/>
                <w:color w:val="auto"/>
                <w:sz w:val="21"/>
                <w:szCs w:val="21"/>
              </w:rPr>
            </w:pPr>
            <w:r>
              <w:rPr>
                <w:bCs/>
                <w:color w:val="auto"/>
                <w:sz w:val="21"/>
                <w:szCs w:val="21"/>
              </w:rPr>
              <w:t>1.46E-07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1</w:t>
            </w:r>
            <w:r>
              <w:rPr>
                <w:bCs/>
                <w:color w:val="auto"/>
                <w:sz w:val="21"/>
                <w:szCs w:val="21"/>
              </w:rPr>
              <w:t>50</w:t>
            </w:r>
          </w:p>
        </w:tc>
        <w:tc>
          <w:tcPr>
            <w:tcW w:w="1857" w:type="dxa"/>
          </w:tcPr>
          <w:p>
            <w:pPr>
              <w:snapToGrid w:val="0"/>
              <w:jc w:val="center"/>
              <w:rPr>
                <w:bCs/>
                <w:color w:val="auto"/>
                <w:sz w:val="21"/>
                <w:szCs w:val="21"/>
              </w:rPr>
            </w:pPr>
            <w:r>
              <w:rPr>
                <w:color w:val="auto"/>
                <w:sz w:val="21"/>
                <w:szCs w:val="21"/>
              </w:rPr>
              <w:t>0.00E+00</w:t>
            </w:r>
          </w:p>
        </w:tc>
        <w:tc>
          <w:tcPr>
            <w:tcW w:w="1857"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bCs/>
                <w:color w:val="auto"/>
                <w:sz w:val="21"/>
                <w:szCs w:val="21"/>
              </w:rPr>
              <w:t>1.33E-16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1</w:t>
            </w:r>
            <w:r>
              <w:rPr>
                <w:bCs/>
                <w:color w:val="auto"/>
                <w:sz w:val="21"/>
                <w:szCs w:val="21"/>
              </w:rPr>
              <w:t>80</w:t>
            </w:r>
          </w:p>
        </w:tc>
        <w:tc>
          <w:tcPr>
            <w:tcW w:w="1857" w:type="dxa"/>
          </w:tcPr>
          <w:p>
            <w:pPr>
              <w:snapToGrid w:val="0"/>
              <w:jc w:val="center"/>
              <w:rPr>
                <w:bCs/>
                <w:color w:val="auto"/>
                <w:sz w:val="21"/>
                <w:szCs w:val="21"/>
              </w:rPr>
            </w:pPr>
            <w:r>
              <w:rPr>
                <w:color w:val="auto"/>
                <w:sz w:val="21"/>
                <w:szCs w:val="21"/>
              </w:rPr>
              <w:t>0.00E+00</w:t>
            </w:r>
          </w:p>
        </w:tc>
        <w:tc>
          <w:tcPr>
            <w:tcW w:w="1857"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color w:val="auto"/>
                <w:sz w:val="21"/>
                <w:szCs w:val="21"/>
              </w:rPr>
              <w:t>0.00E+00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200</w:t>
            </w:r>
          </w:p>
        </w:tc>
        <w:tc>
          <w:tcPr>
            <w:tcW w:w="1857" w:type="dxa"/>
          </w:tcPr>
          <w:p>
            <w:pPr>
              <w:snapToGrid w:val="0"/>
              <w:jc w:val="center"/>
              <w:rPr>
                <w:bCs/>
                <w:color w:val="auto"/>
                <w:sz w:val="21"/>
                <w:szCs w:val="21"/>
              </w:rPr>
            </w:pPr>
            <w:r>
              <w:rPr>
                <w:color w:val="auto"/>
                <w:sz w:val="21"/>
                <w:szCs w:val="21"/>
              </w:rPr>
              <w:t>0.00E+00</w:t>
            </w:r>
          </w:p>
        </w:tc>
        <w:tc>
          <w:tcPr>
            <w:tcW w:w="1857"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color w:val="auto"/>
                <w:sz w:val="21"/>
                <w:szCs w:val="21"/>
              </w:rPr>
              <w:t>0.00E+00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Borders>
              <w:bottom w:val="single" w:color="auto" w:sz="4" w:space="0"/>
            </w:tcBorders>
          </w:tcPr>
          <w:p>
            <w:pPr>
              <w:snapToGrid w:val="0"/>
              <w:jc w:val="center"/>
              <w:rPr>
                <w:bCs/>
                <w:color w:val="auto"/>
                <w:sz w:val="21"/>
                <w:szCs w:val="21"/>
              </w:rPr>
            </w:pPr>
            <w:r>
              <w:rPr>
                <w:rFonts w:hint="eastAsia"/>
                <w:bCs/>
                <w:color w:val="auto"/>
                <w:sz w:val="21"/>
                <w:szCs w:val="21"/>
              </w:rPr>
              <w:t>2</w:t>
            </w:r>
            <w:r>
              <w:rPr>
                <w:bCs/>
                <w:color w:val="auto"/>
                <w:sz w:val="21"/>
                <w:szCs w:val="21"/>
              </w:rPr>
              <w:t>50</w:t>
            </w:r>
          </w:p>
        </w:tc>
        <w:tc>
          <w:tcPr>
            <w:tcW w:w="1857" w:type="dxa"/>
            <w:tcBorders>
              <w:bottom w:val="single" w:color="auto" w:sz="4" w:space="0"/>
            </w:tcBorders>
          </w:tcPr>
          <w:p>
            <w:pPr>
              <w:snapToGrid w:val="0"/>
              <w:jc w:val="center"/>
              <w:rPr>
                <w:bCs/>
                <w:color w:val="auto"/>
                <w:sz w:val="21"/>
                <w:szCs w:val="21"/>
              </w:rPr>
            </w:pPr>
            <w:r>
              <w:rPr>
                <w:color w:val="auto"/>
                <w:sz w:val="21"/>
                <w:szCs w:val="21"/>
              </w:rPr>
              <w:t>0.00E+00</w:t>
            </w:r>
          </w:p>
        </w:tc>
        <w:tc>
          <w:tcPr>
            <w:tcW w:w="1857" w:type="dxa"/>
            <w:tcBorders>
              <w:bottom w:val="single" w:color="auto" w:sz="4" w:space="0"/>
            </w:tcBorders>
          </w:tcPr>
          <w:p>
            <w:pPr>
              <w:snapToGrid w:val="0"/>
              <w:jc w:val="center"/>
              <w:rPr>
                <w:bCs/>
                <w:color w:val="auto"/>
                <w:sz w:val="21"/>
                <w:szCs w:val="21"/>
              </w:rPr>
            </w:pPr>
            <w:r>
              <w:rPr>
                <w:color w:val="auto"/>
                <w:sz w:val="21"/>
                <w:szCs w:val="21"/>
              </w:rPr>
              <w:t>0.00E+00</w:t>
            </w:r>
          </w:p>
        </w:tc>
        <w:tc>
          <w:tcPr>
            <w:tcW w:w="1858" w:type="dxa"/>
            <w:tcBorders>
              <w:bottom w:val="single" w:color="auto" w:sz="4" w:space="0"/>
            </w:tcBorders>
          </w:tcPr>
          <w:p>
            <w:pPr>
              <w:snapToGrid w:val="0"/>
              <w:jc w:val="center"/>
              <w:rPr>
                <w:bCs/>
                <w:color w:val="auto"/>
                <w:sz w:val="21"/>
                <w:szCs w:val="21"/>
              </w:rPr>
            </w:pPr>
            <w:r>
              <w:rPr>
                <w:color w:val="auto"/>
                <w:sz w:val="21"/>
                <w:szCs w:val="21"/>
              </w:rPr>
              <w:t>0.00E+00</w:t>
            </w:r>
          </w:p>
        </w:tc>
        <w:tc>
          <w:tcPr>
            <w:tcW w:w="1858" w:type="dxa"/>
            <w:tcBorders>
              <w:bottom w:val="single" w:color="auto" w:sz="4" w:space="0"/>
            </w:tcBorders>
          </w:tcPr>
          <w:p>
            <w:pPr>
              <w:snapToGrid w:val="0"/>
              <w:jc w:val="center"/>
              <w:rPr>
                <w:bCs/>
                <w:color w:val="auto"/>
                <w:sz w:val="21"/>
                <w:szCs w:val="21"/>
              </w:rPr>
            </w:pPr>
            <w:r>
              <w:rPr>
                <w:color w:val="auto"/>
                <w:sz w:val="21"/>
                <w:szCs w:val="21"/>
              </w:rPr>
              <w:t>0.00E+00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Borders>
              <w:top w:val="single" w:color="auto" w:sz="4" w:space="0"/>
              <w:bottom w:val="single" w:color="auto" w:sz="12" w:space="0"/>
            </w:tcBorders>
          </w:tcPr>
          <w:p>
            <w:pPr>
              <w:snapToGrid w:val="0"/>
              <w:jc w:val="center"/>
              <w:rPr>
                <w:bCs/>
                <w:color w:val="auto"/>
                <w:sz w:val="21"/>
                <w:szCs w:val="21"/>
              </w:rPr>
            </w:pPr>
            <w:r>
              <w:rPr>
                <w:rFonts w:hint="eastAsia"/>
                <w:bCs/>
                <w:color w:val="auto"/>
                <w:sz w:val="21"/>
                <w:szCs w:val="21"/>
              </w:rPr>
              <w:t>3</w:t>
            </w:r>
            <w:r>
              <w:rPr>
                <w:bCs/>
                <w:color w:val="auto"/>
                <w:sz w:val="21"/>
                <w:szCs w:val="21"/>
              </w:rPr>
              <w:t>00</w:t>
            </w:r>
          </w:p>
        </w:tc>
        <w:tc>
          <w:tcPr>
            <w:tcW w:w="1857" w:type="dxa"/>
            <w:tcBorders>
              <w:top w:val="single" w:color="auto" w:sz="4" w:space="0"/>
              <w:bottom w:val="single" w:color="auto" w:sz="12" w:space="0"/>
            </w:tcBorders>
          </w:tcPr>
          <w:p>
            <w:pPr>
              <w:snapToGrid w:val="0"/>
              <w:jc w:val="center"/>
              <w:rPr>
                <w:bCs/>
                <w:color w:val="auto"/>
                <w:sz w:val="21"/>
                <w:szCs w:val="21"/>
              </w:rPr>
            </w:pPr>
            <w:r>
              <w:rPr>
                <w:color w:val="auto"/>
                <w:sz w:val="21"/>
                <w:szCs w:val="21"/>
              </w:rPr>
              <w:t>0.00E+00</w:t>
            </w:r>
          </w:p>
        </w:tc>
        <w:tc>
          <w:tcPr>
            <w:tcW w:w="1857" w:type="dxa"/>
            <w:tcBorders>
              <w:top w:val="single" w:color="auto" w:sz="4" w:space="0"/>
              <w:bottom w:val="single" w:color="auto" w:sz="12" w:space="0"/>
            </w:tcBorders>
          </w:tcPr>
          <w:p>
            <w:pPr>
              <w:snapToGrid w:val="0"/>
              <w:jc w:val="center"/>
              <w:rPr>
                <w:bCs/>
                <w:color w:val="auto"/>
                <w:sz w:val="21"/>
                <w:szCs w:val="21"/>
              </w:rPr>
            </w:pPr>
            <w:r>
              <w:rPr>
                <w:color w:val="auto"/>
                <w:sz w:val="21"/>
                <w:szCs w:val="21"/>
              </w:rPr>
              <w:t>0.00E+00</w:t>
            </w:r>
          </w:p>
        </w:tc>
        <w:tc>
          <w:tcPr>
            <w:tcW w:w="1858" w:type="dxa"/>
            <w:tcBorders>
              <w:top w:val="single" w:color="auto" w:sz="4" w:space="0"/>
              <w:bottom w:val="single" w:color="auto" w:sz="12" w:space="0"/>
            </w:tcBorders>
          </w:tcPr>
          <w:p>
            <w:pPr>
              <w:snapToGrid w:val="0"/>
              <w:jc w:val="center"/>
              <w:rPr>
                <w:bCs/>
                <w:color w:val="auto"/>
                <w:sz w:val="21"/>
                <w:szCs w:val="21"/>
              </w:rPr>
            </w:pPr>
            <w:r>
              <w:rPr>
                <w:color w:val="auto"/>
                <w:sz w:val="21"/>
                <w:szCs w:val="21"/>
              </w:rPr>
              <w:t>0.00E+00</w:t>
            </w:r>
          </w:p>
        </w:tc>
        <w:tc>
          <w:tcPr>
            <w:tcW w:w="1858" w:type="dxa"/>
            <w:tcBorders>
              <w:top w:val="single" w:color="auto" w:sz="4" w:space="0"/>
              <w:bottom w:val="single" w:color="auto" w:sz="12" w:space="0"/>
            </w:tcBorders>
          </w:tcPr>
          <w:p>
            <w:pPr>
              <w:snapToGrid w:val="0"/>
              <w:jc w:val="center"/>
              <w:rPr>
                <w:bCs/>
                <w:color w:val="auto"/>
                <w:sz w:val="21"/>
                <w:szCs w:val="21"/>
              </w:rPr>
            </w:pPr>
            <w:r>
              <w:rPr>
                <w:color w:val="auto"/>
                <w:sz w:val="21"/>
                <w:szCs w:val="21"/>
              </w:rPr>
              <w:t>0.00E+00</w:t>
            </w:r>
          </w:p>
        </w:tc>
      </w:tr>
    </w:tbl>
    <w:p>
      <w:pPr>
        <w:snapToGrid w:val="0"/>
        <w:spacing w:line="360" w:lineRule="auto"/>
        <w:ind w:firstLine="480" w:firstLineChars="200"/>
        <w:jc w:val="both"/>
        <w:rPr>
          <w:snapToGrid w:val="0"/>
          <w:color w:val="auto"/>
        </w:rPr>
      </w:pPr>
      <w:r>
        <w:rPr>
          <w:color w:val="auto"/>
        </w:rPr>
        <w:t>垃圾渗滤液处理站渗漏情况下地下水</w:t>
      </w:r>
      <w:r>
        <w:rPr>
          <w:rFonts w:hint="eastAsia"/>
          <w:color w:val="auto"/>
        </w:rPr>
        <w:t>总镉</w:t>
      </w:r>
      <w:r>
        <w:rPr>
          <w:color w:val="auto"/>
        </w:rPr>
        <w:t>污染预测结果表明，</w:t>
      </w:r>
      <w:r>
        <w:rPr>
          <w:rFonts w:hint="eastAsia"/>
          <w:color w:val="auto"/>
        </w:rPr>
        <w:t>100天时，预测超标距离为10m，影响距离为20m；300天时，预测超标距离为20m，影响距离为36m；500天时，预测超标距离为27m，影响距离为49m；1000天时，预测超标距离为42m，影响距离为73m</w:t>
      </w:r>
      <w:r>
        <w:rPr>
          <w:rFonts w:hint="eastAsia"/>
          <w:snapToGrid w:val="0"/>
          <w:color w:val="auto"/>
        </w:rPr>
        <w:t>。不同时间预测浓度</w:t>
      </w:r>
      <w:r>
        <w:rPr>
          <w:snapToGrid w:val="0"/>
          <w:color w:val="auto"/>
        </w:rPr>
        <w:t>详见表5.2-</w:t>
      </w:r>
      <w:r>
        <w:rPr>
          <w:rFonts w:hint="eastAsia"/>
          <w:snapToGrid w:val="0"/>
          <w:color w:val="auto"/>
        </w:rPr>
        <w:t>16</w:t>
      </w:r>
      <w:r>
        <w:rPr>
          <w:snapToGrid w:val="0"/>
          <w:color w:val="auto"/>
        </w:rPr>
        <w:t>。</w:t>
      </w:r>
      <w:r>
        <w:rPr>
          <w:b/>
          <w:color w:val="auto"/>
        </w:rPr>
        <w:t xml:space="preserve"> </w:t>
      </w:r>
    </w:p>
    <w:p>
      <w:pPr>
        <w:snapToGrid w:val="0"/>
        <w:jc w:val="center"/>
        <w:rPr>
          <w:b/>
          <w:color w:val="auto"/>
          <w:szCs w:val="21"/>
        </w:rPr>
      </w:pPr>
      <w:r>
        <w:rPr>
          <w:b/>
          <w:color w:val="auto"/>
        </w:rPr>
        <w:t>表5.2-</w:t>
      </w:r>
      <w:r>
        <w:rPr>
          <w:rFonts w:hint="eastAsia"/>
          <w:b/>
          <w:color w:val="auto"/>
        </w:rPr>
        <w:t>16</w:t>
      </w:r>
      <w:r>
        <w:rPr>
          <w:b/>
          <w:color w:val="auto"/>
          <w:szCs w:val="21"/>
        </w:rPr>
        <w:t xml:space="preserve">  </w:t>
      </w:r>
      <w:r>
        <w:rPr>
          <w:rFonts w:hint="eastAsia"/>
          <w:b/>
          <w:color w:val="auto"/>
          <w:szCs w:val="21"/>
        </w:rPr>
        <w:t>污染物（总镉）运移模拟结果（mg</w:t>
      </w:r>
      <w:r>
        <w:rPr>
          <w:b/>
          <w:color w:val="auto"/>
          <w:szCs w:val="21"/>
        </w:rPr>
        <w:t>/L</w:t>
      </w:r>
      <w:r>
        <w:rPr>
          <w:rFonts w:hint="eastAsia"/>
          <w:b/>
          <w:color w:val="auto"/>
          <w:szCs w:val="21"/>
        </w:rPr>
        <w:t>）</w:t>
      </w:r>
    </w:p>
    <w:tbl>
      <w:tblPr>
        <w:tblStyle w:val="54"/>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7"/>
        <w:gridCol w:w="1857"/>
        <w:gridCol w:w="1857"/>
        <w:gridCol w:w="1858"/>
        <w:gridCol w:w="18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
                <w:color w:val="auto"/>
                <w:sz w:val="21"/>
                <w:szCs w:val="21"/>
              </w:rPr>
            </w:pPr>
            <w:r>
              <w:rPr>
                <w:rFonts w:hint="eastAsia"/>
                <w:b/>
                <w:color w:val="auto"/>
                <w:sz w:val="21"/>
                <w:szCs w:val="21"/>
              </w:rPr>
              <w:t>距离</w:t>
            </w:r>
          </w:p>
        </w:tc>
        <w:tc>
          <w:tcPr>
            <w:tcW w:w="1857" w:type="dxa"/>
          </w:tcPr>
          <w:p>
            <w:pPr>
              <w:snapToGrid w:val="0"/>
              <w:jc w:val="center"/>
              <w:rPr>
                <w:b/>
                <w:color w:val="auto"/>
                <w:sz w:val="21"/>
                <w:szCs w:val="21"/>
              </w:rPr>
            </w:pPr>
            <w:r>
              <w:rPr>
                <w:rFonts w:hint="eastAsia"/>
                <w:b/>
                <w:color w:val="auto"/>
                <w:sz w:val="21"/>
                <w:szCs w:val="21"/>
              </w:rPr>
              <w:t>1</w:t>
            </w:r>
            <w:r>
              <w:rPr>
                <w:b/>
                <w:color w:val="auto"/>
                <w:sz w:val="21"/>
                <w:szCs w:val="21"/>
              </w:rPr>
              <w:t>00</w:t>
            </w:r>
            <w:r>
              <w:rPr>
                <w:rFonts w:hint="eastAsia"/>
                <w:b/>
                <w:color w:val="auto"/>
                <w:sz w:val="21"/>
                <w:szCs w:val="21"/>
              </w:rPr>
              <w:t>d</w:t>
            </w:r>
          </w:p>
        </w:tc>
        <w:tc>
          <w:tcPr>
            <w:tcW w:w="1857" w:type="dxa"/>
          </w:tcPr>
          <w:p>
            <w:pPr>
              <w:snapToGrid w:val="0"/>
              <w:jc w:val="center"/>
              <w:rPr>
                <w:b/>
                <w:color w:val="auto"/>
                <w:sz w:val="21"/>
                <w:szCs w:val="21"/>
              </w:rPr>
            </w:pPr>
            <w:r>
              <w:rPr>
                <w:rFonts w:hint="eastAsia"/>
                <w:b/>
                <w:color w:val="auto"/>
                <w:sz w:val="21"/>
                <w:szCs w:val="21"/>
              </w:rPr>
              <w:t>3</w:t>
            </w:r>
            <w:r>
              <w:rPr>
                <w:b/>
                <w:color w:val="auto"/>
                <w:sz w:val="21"/>
                <w:szCs w:val="21"/>
              </w:rPr>
              <w:t>00</w:t>
            </w:r>
            <w:r>
              <w:rPr>
                <w:rFonts w:hint="eastAsia"/>
                <w:b/>
                <w:color w:val="auto"/>
                <w:sz w:val="21"/>
                <w:szCs w:val="21"/>
              </w:rPr>
              <w:t>d</w:t>
            </w:r>
          </w:p>
        </w:tc>
        <w:tc>
          <w:tcPr>
            <w:tcW w:w="1858" w:type="dxa"/>
          </w:tcPr>
          <w:p>
            <w:pPr>
              <w:snapToGrid w:val="0"/>
              <w:jc w:val="center"/>
              <w:rPr>
                <w:b/>
                <w:color w:val="auto"/>
                <w:sz w:val="21"/>
                <w:szCs w:val="21"/>
              </w:rPr>
            </w:pPr>
            <w:r>
              <w:rPr>
                <w:rFonts w:hint="eastAsia"/>
                <w:b/>
                <w:color w:val="auto"/>
                <w:sz w:val="21"/>
                <w:szCs w:val="21"/>
              </w:rPr>
              <w:t>5</w:t>
            </w:r>
            <w:r>
              <w:rPr>
                <w:b/>
                <w:color w:val="auto"/>
                <w:sz w:val="21"/>
                <w:szCs w:val="21"/>
              </w:rPr>
              <w:t>00</w:t>
            </w:r>
            <w:r>
              <w:rPr>
                <w:rFonts w:hint="eastAsia"/>
                <w:b/>
                <w:color w:val="auto"/>
                <w:sz w:val="21"/>
                <w:szCs w:val="21"/>
              </w:rPr>
              <w:t>d</w:t>
            </w:r>
          </w:p>
        </w:tc>
        <w:tc>
          <w:tcPr>
            <w:tcW w:w="1858" w:type="dxa"/>
          </w:tcPr>
          <w:p>
            <w:pPr>
              <w:snapToGrid w:val="0"/>
              <w:jc w:val="center"/>
              <w:rPr>
                <w:b/>
                <w:color w:val="auto"/>
                <w:sz w:val="21"/>
                <w:szCs w:val="21"/>
              </w:rPr>
            </w:pPr>
            <w:r>
              <w:rPr>
                <w:rFonts w:hint="eastAsia"/>
                <w:b/>
                <w:color w:val="auto"/>
                <w:sz w:val="21"/>
                <w:szCs w:val="21"/>
              </w:rPr>
              <w:t>1</w:t>
            </w:r>
            <w:r>
              <w:rPr>
                <w:b/>
                <w:color w:val="auto"/>
                <w:sz w:val="21"/>
                <w:szCs w:val="21"/>
              </w:rPr>
              <w:t>000</w:t>
            </w:r>
            <w:r>
              <w:rPr>
                <w:rFonts w:hint="eastAsia"/>
                <w:b/>
                <w:color w:val="auto"/>
                <w:sz w:val="21"/>
                <w:szCs w:val="21"/>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1</w:t>
            </w:r>
          </w:p>
        </w:tc>
        <w:tc>
          <w:tcPr>
            <w:tcW w:w="1857" w:type="dxa"/>
          </w:tcPr>
          <w:p>
            <w:pPr>
              <w:snapToGrid w:val="0"/>
              <w:jc w:val="center"/>
              <w:rPr>
                <w:bCs/>
                <w:color w:val="auto"/>
                <w:sz w:val="21"/>
                <w:szCs w:val="21"/>
              </w:rPr>
            </w:pPr>
            <w:r>
              <w:rPr>
                <w:bCs/>
                <w:color w:val="auto"/>
                <w:sz w:val="21"/>
                <w:szCs w:val="21"/>
              </w:rPr>
              <w:t>1.33E-01</w:t>
            </w:r>
          </w:p>
        </w:tc>
        <w:tc>
          <w:tcPr>
            <w:tcW w:w="1857" w:type="dxa"/>
          </w:tcPr>
          <w:p>
            <w:pPr>
              <w:snapToGrid w:val="0"/>
              <w:jc w:val="center"/>
              <w:rPr>
                <w:bCs/>
                <w:color w:val="auto"/>
                <w:sz w:val="21"/>
                <w:szCs w:val="21"/>
              </w:rPr>
            </w:pPr>
            <w:r>
              <w:rPr>
                <w:bCs/>
                <w:color w:val="auto"/>
                <w:sz w:val="21"/>
                <w:szCs w:val="21"/>
              </w:rPr>
              <w:t>1.43E-01</w:t>
            </w:r>
          </w:p>
        </w:tc>
        <w:tc>
          <w:tcPr>
            <w:tcW w:w="1858" w:type="dxa"/>
          </w:tcPr>
          <w:p>
            <w:pPr>
              <w:snapToGrid w:val="0"/>
              <w:jc w:val="center"/>
              <w:rPr>
                <w:bCs/>
                <w:color w:val="auto"/>
                <w:sz w:val="21"/>
                <w:szCs w:val="21"/>
              </w:rPr>
            </w:pPr>
            <w:r>
              <w:rPr>
                <w:bCs/>
                <w:color w:val="auto"/>
                <w:sz w:val="21"/>
                <w:szCs w:val="21"/>
              </w:rPr>
              <w:t>1.45E-01</w:t>
            </w:r>
          </w:p>
        </w:tc>
        <w:tc>
          <w:tcPr>
            <w:tcW w:w="1858" w:type="dxa"/>
          </w:tcPr>
          <w:p>
            <w:pPr>
              <w:snapToGrid w:val="0"/>
              <w:jc w:val="center"/>
              <w:rPr>
                <w:bCs/>
                <w:color w:val="auto"/>
                <w:sz w:val="21"/>
                <w:szCs w:val="21"/>
              </w:rPr>
            </w:pPr>
            <w:r>
              <w:rPr>
                <w:bCs/>
                <w:color w:val="auto"/>
                <w:sz w:val="21"/>
                <w:szCs w:val="21"/>
              </w:rPr>
              <w:t>1.48E-01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10</w:t>
            </w:r>
          </w:p>
        </w:tc>
        <w:tc>
          <w:tcPr>
            <w:tcW w:w="1857" w:type="dxa"/>
          </w:tcPr>
          <w:p>
            <w:pPr>
              <w:snapToGrid w:val="0"/>
              <w:jc w:val="center"/>
              <w:rPr>
                <w:bCs/>
                <w:color w:val="auto"/>
                <w:sz w:val="21"/>
                <w:szCs w:val="21"/>
              </w:rPr>
            </w:pPr>
            <w:r>
              <w:rPr>
                <w:bCs/>
                <w:color w:val="auto"/>
                <w:sz w:val="21"/>
                <w:szCs w:val="21"/>
              </w:rPr>
              <w:t>1.42E-02</w:t>
            </w:r>
          </w:p>
        </w:tc>
        <w:tc>
          <w:tcPr>
            <w:tcW w:w="1857" w:type="dxa"/>
          </w:tcPr>
          <w:p>
            <w:pPr>
              <w:snapToGrid w:val="0"/>
              <w:jc w:val="center"/>
              <w:rPr>
                <w:bCs/>
                <w:color w:val="auto"/>
                <w:sz w:val="21"/>
                <w:szCs w:val="21"/>
              </w:rPr>
            </w:pPr>
            <w:r>
              <w:rPr>
                <w:bCs/>
                <w:color w:val="auto"/>
                <w:sz w:val="21"/>
                <w:szCs w:val="21"/>
              </w:rPr>
              <w:t>6.42E-02</w:t>
            </w:r>
          </w:p>
        </w:tc>
        <w:tc>
          <w:tcPr>
            <w:tcW w:w="1858" w:type="dxa"/>
          </w:tcPr>
          <w:p>
            <w:pPr>
              <w:snapToGrid w:val="0"/>
              <w:jc w:val="center"/>
              <w:rPr>
                <w:bCs/>
                <w:color w:val="auto"/>
                <w:sz w:val="21"/>
                <w:szCs w:val="21"/>
              </w:rPr>
            </w:pPr>
            <w:r>
              <w:rPr>
                <w:bCs/>
                <w:color w:val="auto"/>
                <w:sz w:val="21"/>
                <w:szCs w:val="21"/>
              </w:rPr>
              <w:t>9.07E-02</w:t>
            </w:r>
          </w:p>
        </w:tc>
        <w:tc>
          <w:tcPr>
            <w:tcW w:w="1858" w:type="dxa"/>
          </w:tcPr>
          <w:p>
            <w:pPr>
              <w:snapToGrid w:val="0"/>
              <w:jc w:val="center"/>
              <w:rPr>
                <w:bCs/>
                <w:color w:val="auto"/>
                <w:sz w:val="21"/>
                <w:szCs w:val="21"/>
              </w:rPr>
            </w:pPr>
            <w:r>
              <w:rPr>
                <w:bCs/>
                <w:color w:val="auto"/>
                <w:sz w:val="21"/>
                <w:szCs w:val="21"/>
              </w:rPr>
              <w:t>1.20E-01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20</w:t>
            </w:r>
          </w:p>
        </w:tc>
        <w:tc>
          <w:tcPr>
            <w:tcW w:w="1857" w:type="dxa"/>
          </w:tcPr>
          <w:p>
            <w:pPr>
              <w:snapToGrid w:val="0"/>
              <w:jc w:val="center"/>
              <w:rPr>
                <w:bCs/>
                <w:color w:val="auto"/>
                <w:sz w:val="21"/>
                <w:szCs w:val="21"/>
              </w:rPr>
            </w:pPr>
            <w:r>
              <w:rPr>
                <w:bCs/>
                <w:color w:val="auto"/>
                <w:sz w:val="21"/>
                <w:szCs w:val="21"/>
              </w:rPr>
              <w:t>6.21E-05</w:t>
            </w:r>
          </w:p>
        </w:tc>
        <w:tc>
          <w:tcPr>
            <w:tcW w:w="1857" w:type="dxa"/>
          </w:tcPr>
          <w:p>
            <w:pPr>
              <w:snapToGrid w:val="0"/>
              <w:jc w:val="center"/>
              <w:rPr>
                <w:bCs/>
                <w:color w:val="auto"/>
                <w:sz w:val="21"/>
                <w:szCs w:val="21"/>
              </w:rPr>
            </w:pPr>
            <w:r>
              <w:rPr>
                <w:bCs/>
                <w:color w:val="auto"/>
                <w:sz w:val="21"/>
                <w:szCs w:val="21"/>
              </w:rPr>
              <w:t>1.09E-02</w:t>
            </w:r>
          </w:p>
        </w:tc>
        <w:tc>
          <w:tcPr>
            <w:tcW w:w="1858" w:type="dxa"/>
          </w:tcPr>
          <w:p>
            <w:pPr>
              <w:snapToGrid w:val="0"/>
              <w:jc w:val="center"/>
              <w:rPr>
                <w:bCs/>
                <w:color w:val="auto"/>
                <w:sz w:val="21"/>
                <w:szCs w:val="21"/>
              </w:rPr>
            </w:pPr>
            <w:r>
              <w:rPr>
                <w:bCs/>
                <w:color w:val="auto"/>
                <w:sz w:val="21"/>
                <w:szCs w:val="21"/>
              </w:rPr>
              <w:t>3.29E-02</w:t>
            </w:r>
          </w:p>
        </w:tc>
        <w:tc>
          <w:tcPr>
            <w:tcW w:w="1858" w:type="dxa"/>
          </w:tcPr>
          <w:p>
            <w:pPr>
              <w:snapToGrid w:val="0"/>
              <w:jc w:val="center"/>
              <w:rPr>
                <w:bCs/>
                <w:color w:val="auto"/>
                <w:sz w:val="21"/>
                <w:szCs w:val="21"/>
              </w:rPr>
            </w:pPr>
            <w:r>
              <w:rPr>
                <w:bCs/>
                <w:color w:val="auto"/>
                <w:sz w:val="21"/>
                <w:szCs w:val="21"/>
              </w:rPr>
              <w:t>7.74E-02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50</w:t>
            </w:r>
          </w:p>
        </w:tc>
        <w:tc>
          <w:tcPr>
            <w:tcW w:w="1857" w:type="dxa"/>
          </w:tcPr>
          <w:p>
            <w:pPr>
              <w:snapToGrid w:val="0"/>
              <w:jc w:val="center"/>
              <w:rPr>
                <w:bCs/>
                <w:color w:val="auto"/>
                <w:sz w:val="21"/>
                <w:szCs w:val="21"/>
              </w:rPr>
            </w:pPr>
            <w:r>
              <w:rPr>
                <w:color w:val="auto"/>
                <w:sz w:val="21"/>
                <w:szCs w:val="21"/>
              </w:rPr>
              <w:t>0.00E+00</w:t>
            </w:r>
          </w:p>
        </w:tc>
        <w:tc>
          <w:tcPr>
            <w:tcW w:w="1857" w:type="dxa"/>
          </w:tcPr>
          <w:p>
            <w:pPr>
              <w:snapToGrid w:val="0"/>
              <w:jc w:val="center"/>
              <w:rPr>
                <w:bCs/>
                <w:color w:val="auto"/>
                <w:sz w:val="21"/>
                <w:szCs w:val="21"/>
              </w:rPr>
            </w:pPr>
            <w:r>
              <w:rPr>
                <w:bCs/>
                <w:color w:val="auto"/>
                <w:sz w:val="21"/>
                <w:szCs w:val="21"/>
              </w:rPr>
              <w:t>8.11E-08</w:t>
            </w:r>
          </w:p>
        </w:tc>
        <w:tc>
          <w:tcPr>
            <w:tcW w:w="1858" w:type="dxa"/>
          </w:tcPr>
          <w:p>
            <w:pPr>
              <w:snapToGrid w:val="0"/>
              <w:jc w:val="center"/>
              <w:rPr>
                <w:bCs/>
                <w:color w:val="auto"/>
                <w:sz w:val="21"/>
                <w:szCs w:val="21"/>
              </w:rPr>
            </w:pPr>
            <w:r>
              <w:rPr>
                <w:bCs/>
                <w:color w:val="auto"/>
                <w:sz w:val="21"/>
                <w:szCs w:val="21"/>
              </w:rPr>
              <w:t>3.71E-05</w:t>
            </w:r>
          </w:p>
        </w:tc>
        <w:tc>
          <w:tcPr>
            <w:tcW w:w="1858" w:type="dxa"/>
          </w:tcPr>
          <w:p>
            <w:pPr>
              <w:snapToGrid w:val="0"/>
              <w:jc w:val="center"/>
              <w:rPr>
                <w:bCs/>
                <w:color w:val="auto"/>
                <w:sz w:val="21"/>
                <w:szCs w:val="21"/>
              </w:rPr>
            </w:pPr>
            <w:r>
              <w:rPr>
                <w:bCs/>
                <w:color w:val="auto"/>
                <w:sz w:val="21"/>
                <w:szCs w:val="21"/>
              </w:rPr>
              <w:t>3.82E-03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80</w:t>
            </w:r>
          </w:p>
        </w:tc>
        <w:tc>
          <w:tcPr>
            <w:tcW w:w="1857" w:type="dxa"/>
          </w:tcPr>
          <w:p>
            <w:pPr>
              <w:snapToGrid w:val="0"/>
              <w:jc w:val="center"/>
              <w:rPr>
                <w:bCs/>
                <w:color w:val="auto"/>
                <w:sz w:val="21"/>
                <w:szCs w:val="21"/>
              </w:rPr>
            </w:pPr>
            <w:r>
              <w:rPr>
                <w:color w:val="auto"/>
                <w:sz w:val="21"/>
                <w:szCs w:val="21"/>
              </w:rPr>
              <w:t>0.00E+00</w:t>
            </w:r>
          </w:p>
        </w:tc>
        <w:tc>
          <w:tcPr>
            <w:tcW w:w="1857" w:type="dxa"/>
          </w:tcPr>
          <w:p>
            <w:pPr>
              <w:snapToGrid w:val="0"/>
              <w:jc w:val="center"/>
              <w:rPr>
                <w:bCs/>
                <w:color w:val="auto"/>
                <w:sz w:val="21"/>
                <w:szCs w:val="21"/>
              </w:rPr>
            </w:pPr>
            <w:r>
              <w:rPr>
                <w:bCs/>
                <w:color w:val="auto"/>
                <w:sz w:val="21"/>
                <w:szCs w:val="21"/>
              </w:rPr>
              <w:t>8.33E-18</w:t>
            </w:r>
          </w:p>
        </w:tc>
        <w:tc>
          <w:tcPr>
            <w:tcW w:w="1858" w:type="dxa"/>
          </w:tcPr>
          <w:p>
            <w:pPr>
              <w:snapToGrid w:val="0"/>
              <w:jc w:val="center"/>
              <w:rPr>
                <w:bCs/>
                <w:color w:val="auto"/>
                <w:sz w:val="21"/>
                <w:szCs w:val="21"/>
              </w:rPr>
            </w:pPr>
            <w:r>
              <w:rPr>
                <w:bCs/>
                <w:color w:val="auto"/>
                <w:sz w:val="21"/>
                <w:szCs w:val="21"/>
              </w:rPr>
              <w:t>9.84E-11</w:t>
            </w:r>
          </w:p>
        </w:tc>
        <w:tc>
          <w:tcPr>
            <w:tcW w:w="1858" w:type="dxa"/>
          </w:tcPr>
          <w:p>
            <w:pPr>
              <w:snapToGrid w:val="0"/>
              <w:jc w:val="center"/>
              <w:rPr>
                <w:bCs/>
                <w:color w:val="auto"/>
                <w:sz w:val="21"/>
                <w:szCs w:val="21"/>
              </w:rPr>
            </w:pPr>
            <w:r>
              <w:rPr>
                <w:bCs/>
                <w:color w:val="auto"/>
                <w:sz w:val="21"/>
                <w:szCs w:val="21"/>
              </w:rPr>
              <w:t>1.03E-05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100</w:t>
            </w:r>
          </w:p>
        </w:tc>
        <w:tc>
          <w:tcPr>
            <w:tcW w:w="1857" w:type="dxa"/>
          </w:tcPr>
          <w:p>
            <w:pPr>
              <w:snapToGrid w:val="0"/>
              <w:jc w:val="center"/>
              <w:rPr>
                <w:bCs/>
                <w:color w:val="auto"/>
                <w:sz w:val="21"/>
                <w:szCs w:val="21"/>
              </w:rPr>
            </w:pPr>
            <w:r>
              <w:rPr>
                <w:color w:val="auto"/>
                <w:sz w:val="21"/>
                <w:szCs w:val="21"/>
              </w:rPr>
              <w:t>0.00E+00</w:t>
            </w:r>
          </w:p>
        </w:tc>
        <w:tc>
          <w:tcPr>
            <w:tcW w:w="1857"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bCs/>
                <w:color w:val="auto"/>
                <w:sz w:val="21"/>
                <w:szCs w:val="21"/>
              </w:rPr>
              <w:t>3.08E-16</w:t>
            </w:r>
          </w:p>
        </w:tc>
        <w:tc>
          <w:tcPr>
            <w:tcW w:w="1858" w:type="dxa"/>
          </w:tcPr>
          <w:p>
            <w:pPr>
              <w:snapToGrid w:val="0"/>
              <w:jc w:val="center"/>
              <w:rPr>
                <w:bCs/>
                <w:color w:val="auto"/>
                <w:sz w:val="21"/>
                <w:szCs w:val="21"/>
              </w:rPr>
            </w:pPr>
            <w:r>
              <w:rPr>
                <w:bCs/>
                <w:color w:val="auto"/>
                <w:sz w:val="21"/>
                <w:szCs w:val="21"/>
              </w:rPr>
              <w:t>3.66E-08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1</w:t>
            </w:r>
            <w:r>
              <w:rPr>
                <w:bCs/>
                <w:color w:val="auto"/>
                <w:sz w:val="21"/>
                <w:szCs w:val="21"/>
              </w:rPr>
              <w:t>50</w:t>
            </w:r>
          </w:p>
        </w:tc>
        <w:tc>
          <w:tcPr>
            <w:tcW w:w="1857" w:type="dxa"/>
          </w:tcPr>
          <w:p>
            <w:pPr>
              <w:snapToGrid w:val="0"/>
              <w:jc w:val="center"/>
              <w:rPr>
                <w:bCs/>
                <w:color w:val="auto"/>
                <w:sz w:val="21"/>
                <w:szCs w:val="21"/>
              </w:rPr>
            </w:pPr>
            <w:r>
              <w:rPr>
                <w:color w:val="auto"/>
                <w:sz w:val="21"/>
                <w:szCs w:val="21"/>
              </w:rPr>
              <w:t>0.00E+00</w:t>
            </w:r>
          </w:p>
        </w:tc>
        <w:tc>
          <w:tcPr>
            <w:tcW w:w="1857"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bCs/>
                <w:color w:val="auto"/>
                <w:sz w:val="21"/>
                <w:szCs w:val="21"/>
              </w:rPr>
              <w:t>3.33E-17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1</w:t>
            </w:r>
            <w:r>
              <w:rPr>
                <w:bCs/>
                <w:color w:val="auto"/>
                <w:sz w:val="21"/>
                <w:szCs w:val="21"/>
              </w:rPr>
              <w:t>80</w:t>
            </w:r>
          </w:p>
        </w:tc>
        <w:tc>
          <w:tcPr>
            <w:tcW w:w="1857" w:type="dxa"/>
          </w:tcPr>
          <w:p>
            <w:pPr>
              <w:snapToGrid w:val="0"/>
              <w:jc w:val="center"/>
              <w:rPr>
                <w:bCs/>
                <w:color w:val="auto"/>
                <w:sz w:val="21"/>
                <w:szCs w:val="21"/>
              </w:rPr>
            </w:pPr>
            <w:r>
              <w:rPr>
                <w:color w:val="auto"/>
                <w:sz w:val="21"/>
                <w:szCs w:val="21"/>
              </w:rPr>
              <w:t>0.00E+00</w:t>
            </w:r>
          </w:p>
        </w:tc>
        <w:tc>
          <w:tcPr>
            <w:tcW w:w="1857"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color w:val="auto"/>
                <w:sz w:val="21"/>
                <w:szCs w:val="21"/>
              </w:rPr>
              <w:t>0.00E+00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200</w:t>
            </w:r>
          </w:p>
        </w:tc>
        <w:tc>
          <w:tcPr>
            <w:tcW w:w="1857" w:type="dxa"/>
          </w:tcPr>
          <w:p>
            <w:pPr>
              <w:snapToGrid w:val="0"/>
              <w:jc w:val="center"/>
              <w:rPr>
                <w:bCs/>
                <w:color w:val="auto"/>
                <w:sz w:val="21"/>
                <w:szCs w:val="21"/>
              </w:rPr>
            </w:pPr>
            <w:r>
              <w:rPr>
                <w:color w:val="auto"/>
                <w:sz w:val="21"/>
                <w:szCs w:val="21"/>
              </w:rPr>
              <w:t>0.00E+00</w:t>
            </w:r>
          </w:p>
        </w:tc>
        <w:tc>
          <w:tcPr>
            <w:tcW w:w="1857"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color w:val="auto"/>
                <w:sz w:val="21"/>
                <w:szCs w:val="21"/>
              </w:rPr>
              <w:t>0.00E+00</w:t>
            </w:r>
          </w:p>
        </w:tc>
        <w:tc>
          <w:tcPr>
            <w:tcW w:w="1858" w:type="dxa"/>
          </w:tcPr>
          <w:p>
            <w:pPr>
              <w:snapToGrid w:val="0"/>
              <w:jc w:val="center"/>
              <w:rPr>
                <w:bCs/>
                <w:color w:val="auto"/>
                <w:sz w:val="21"/>
                <w:szCs w:val="21"/>
              </w:rPr>
            </w:pPr>
            <w:r>
              <w:rPr>
                <w:color w:val="auto"/>
                <w:sz w:val="21"/>
                <w:szCs w:val="21"/>
              </w:rPr>
              <w:t>0.00E+00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Borders>
              <w:bottom w:val="single" w:color="auto" w:sz="4" w:space="0"/>
            </w:tcBorders>
          </w:tcPr>
          <w:p>
            <w:pPr>
              <w:snapToGrid w:val="0"/>
              <w:jc w:val="center"/>
              <w:rPr>
                <w:bCs/>
                <w:color w:val="auto"/>
                <w:sz w:val="21"/>
                <w:szCs w:val="21"/>
              </w:rPr>
            </w:pPr>
            <w:r>
              <w:rPr>
                <w:rFonts w:hint="eastAsia"/>
                <w:bCs/>
                <w:color w:val="auto"/>
                <w:sz w:val="21"/>
                <w:szCs w:val="21"/>
              </w:rPr>
              <w:t>2</w:t>
            </w:r>
            <w:r>
              <w:rPr>
                <w:bCs/>
                <w:color w:val="auto"/>
                <w:sz w:val="21"/>
                <w:szCs w:val="21"/>
              </w:rPr>
              <w:t>50</w:t>
            </w:r>
          </w:p>
        </w:tc>
        <w:tc>
          <w:tcPr>
            <w:tcW w:w="1857" w:type="dxa"/>
            <w:tcBorders>
              <w:bottom w:val="single" w:color="auto" w:sz="4" w:space="0"/>
            </w:tcBorders>
          </w:tcPr>
          <w:p>
            <w:pPr>
              <w:snapToGrid w:val="0"/>
              <w:jc w:val="center"/>
              <w:rPr>
                <w:bCs/>
                <w:color w:val="auto"/>
                <w:sz w:val="21"/>
                <w:szCs w:val="21"/>
              </w:rPr>
            </w:pPr>
            <w:r>
              <w:rPr>
                <w:color w:val="auto"/>
                <w:sz w:val="21"/>
                <w:szCs w:val="21"/>
              </w:rPr>
              <w:t>0.00E+00</w:t>
            </w:r>
          </w:p>
        </w:tc>
        <w:tc>
          <w:tcPr>
            <w:tcW w:w="1857" w:type="dxa"/>
            <w:tcBorders>
              <w:bottom w:val="single" w:color="auto" w:sz="4" w:space="0"/>
            </w:tcBorders>
          </w:tcPr>
          <w:p>
            <w:pPr>
              <w:snapToGrid w:val="0"/>
              <w:jc w:val="center"/>
              <w:rPr>
                <w:bCs/>
                <w:color w:val="auto"/>
                <w:sz w:val="21"/>
                <w:szCs w:val="21"/>
              </w:rPr>
            </w:pPr>
            <w:r>
              <w:rPr>
                <w:color w:val="auto"/>
                <w:sz w:val="21"/>
                <w:szCs w:val="21"/>
              </w:rPr>
              <w:t>0.00E+00</w:t>
            </w:r>
          </w:p>
        </w:tc>
        <w:tc>
          <w:tcPr>
            <w:tcW w:w="1858" w:type="dxa"/>
            <w:tcBorders>
              <w:bottom w:val="single" w:color="auto" w:sz="4" w:space="0"/>
            </w:tcBorders>
          </w:tcPr>
          <w:p>
            <w:pPr>
              <w:snapToGrid w:val="0"/>
              <w:jc w:val="center"/>
              <w:rPr>
                <w:bCs/>
                <w:color w:val="auto"/>
                <w:sz w:val="21"/>
                <w:szCs w:val="21"/>
              </w:rPr>
            </w:pPr>
            <w:r>
              <w:rPr>
                <w:color w:val="auto"/>
                <w:sz w:val="21"/>
                <w:szCs w:val="21"/>
              </w:rPr>
              <w:t>0.00E+00</w:t>
            </w:r>
          </w:p>
        </w:tc>
        <w:tc>
          <w:tcPr>
            <w:tcW w:w="1858" w:type="dxa"/>
            <w:tcBorders>
              <w:bottom w:val="single" w:color="auto" w:sz="4" w:space="0"/>
            </w:tcBorders>
          </w:tcPr>
          <w:p>
            <w:pPr>
              <w:snapToGrid w:val="0"/>
              <w:jc w:val="center"/>
              <w:rPr>
                <w:bCs/>
                <w:color w:val="auto"/>
                <w:sz w:val="21"/>
                <w:szCs w:val="21"/>
              </w:rPr>
            </w:pPr>
            <w:r>
              <w:rPr>
                <w:color w:val="auto"/>
                <w:sz w:val="21"/>
                <w:szCs w:val="21"/>
              </w:rPr>
              <w:t>0.00E+00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Borders>
              <w:top w:val="single" w:color="auto" w:sz="4" w:space="0"/>
              <w:bottom w:val="single" w:color="auto" w:sz="12" w:space="0"/>
            </w:tcBorders>
          </w:tcPr>
          <w:p>
            <w:pPr>
              <w:snapToGrid w:val="0"/>
              <w:jc w:val="center"/>
              <w:rPr>
                <w:bCs/>
                <w:color w:val="auto"/>
                <w:sz w:val="21"/>
                <w:szCs w:val="21"/>
              </w:rPr>
            </w:pPr>
            <w:r>
              <w:rPr>
                <w:rFonts w:hint="eastAsia"/>
                <w:bCs/>
                <w:color w:val="auto"/>
                <w:sz w:val="21"/>
                <w:szCs w:val="21"/>
              </w:rPr>
              <w:t>3</w:t>
            </w:r>
            <w:r>
              <w:rPr>
                <w:bCs/>
                <w:color w:val="auto"/>
                <w:sz w:val="21"/>
                <w:szCs w:val="21"/>
              </w:rPr>
              <w:t>00</w:t>
            </w:r>
          </w:p>
        </w:tc>
        <w:tc>
          <w:tcPr>
            <w:tcW w:w="1857" w:type="dxa"/>
            <w:tcBorders>
              <w:top w:val="single" w:color="auto" w:sz="4" w:space="0"/>
              <w:bottom w:val="single" w:color="auto" w:sz="12" w:space="0"/>
            </w:tcBorders>
          </w:tcPr>
          <w:p>
            <w:pPr>
              <w:snapToGrid w:val="0"/>
              <w:jc w:val="center"/>
              <w:rPr>
                <w:bCs/>
                <w:color w:val="auto"/>
                <w:sz w:val="21"/>
                <w:szCs w:val="21"/>
              </w:rPr>
            </w:pPr>
            <w:r>
              <w:rPr>
                <w:color w:val="auto"/>
                <w:sz w:val="21"/>
                <w:szCs w:val="21"/>
              </w:rPr>
              <w:t>0.00E+00</w:t>
            </w:r>
          </w:p>
        </w:tc>
        <w:tc>
          <w:tcPr>
            <w:tcW w:w="1857" w:type="dxa"/>
            <w:tcBorders>
              <w:top w:val="single" w:color="auto" w:sz="4" w:space="0"/>
              <w:bottom w:val="single" w:color="auto" w:sz="12" w:space="0"/>
            </w:tcBorders>
          </w:tcPr>
          <w:p>
            <w:pPr>
              <w:snapToGrid w:val="0"/>
              <w:jc w:val="center"/>
              <w:rPr>
                <w:bCs/>
                <w:color w:val="auto"/>
                <w:sz w:val="21"/>
                <w:szCs w:val="21"/>
              </w:rPr>
            </w:pPr>
            <w:r>
              <w:rPr>
                <w:color w:val="auto"/>
                <w:sz w:val="21"/>
                <w:szCs w:val="21"/>
              </w:rPr>
              <w:t>0.00E+00</w:t>
            </w:r>
          </w:p>
        </w:tc>
        <w:tc>
          <w:tcPr>
            <w:tcW w:w="1858" w:type="dxa"/>
            <w:tcBorders>
              <w:top w:val="single" w:color="auto" w:sz="4" w:space="0"/>
              <w:bottom w:val="single" w:color="auto" w:sz="12" w:space="0"/>
            </w:tcBorders>
          </w:tcPr>
          <w:p>
            <w:pPr>
              <w:snapToGrid w:val="0"/>
              <w:jc w:val="center"/>
              <w:rPr>
                <w:bCs/>
                <w:color w:val="auto"/>
                <w:sz w:val="21"/>
                <w:szCs w:val="21"/>
              </w:rPr>
            </w:pPr>
            <w:r>
              <w:rPr>
                <w:color w:val="auto"/>
                <w:sz w:val="21"/>
                <w:szCs w:val="21"/>
              </w:rPr>
              <w:t>0.00E+00</w:t>
            </w:r>
          </w:p>
        </w:tc>
        <w:tc>
          <w:tcPr>
            <w:tcW w:w="1858" w:type="dxa"/>
            <w:tcBorders>
              <w:top w:val="single" w:color="auto" w:sz="4" w:space="0"/>
              <w:bottom w:val="single" w:color="auto" w:sz="12" w:space="0"/>
            </w:tcBorders>
          </w:tcPr>
          <w:p>
            <w:pPr>
              <w:snapToGrid w:val="0"/>
              <w:jc w:val="center"/>
              <w:rPr>
                <w:bCs/>
                <w:color w:val="auto"/>
                <w:sz w:val="21"/>
                <w:szCs w:val="21"/>
              </w:rPr>
            </w:pPr>
            <w:r>
              <w:rPr>
                <w:color w:val="auto"/>
                <w:sz w:val="21"/>
                <w:szCs w:val="21"/>
              </w:rPr>
              <w:t>0.00E+00</w:t>
            </w:r>
          </w:p>
        </w:tc>
      </w:tr>
    </w:tbl>
    <w:p>
      <w:pPr>
        <w:spacing w:line="360" w:lineRule="auto"/>
        <w:ind w:firstLine="480" w:firstLineChars="200"/>
        <w:rPr>
          <w:color w:val="auto"/>
        </w:rPr>
      </w:pPr>
      <w:r>
        <w:rPr>
          <w:color w:val="auto"/>
        </w:rPr>
        <w:t>（</w:t>
      </w:r>
      <w:r>
        <w:rPr>
          <w:rFonts w:hint="eastAsia"/>
          <w:color w:val="auto"/>
        </w:rPr>
        <w:t>2</w:t>
      </w:r>
      <w:r>
        <w:rPr>
          <w:color w:val="auto"/>
        </w:rPr>
        <w:t>）</w:t>
      </w:r>
      <w:r>
        <w:rPr>
          <w:rFonts w:hint="eastAsia"/>
          <w:color w:val="auto"/>
        </w:rPr>
        <w:t>建筑垃圾消纳场</w:t>
      </w:r>
      <w:r>
        <w:rPr>
          <w:color w:val="auto"/>
        </w:rPr>
        <w:t>防渗层破损渗漏</w:t>
      </w:r>
    </w:p>
    <w:p>
      <w:pPr>
        <w:snapToGrid w:val="0"/>
        <w:spacing w:line="336" w:lineRule="auto"/>
        <w:ind w:firstLine="480" w:firstLineChars="200"/>
        <w:jc w:val="both"/>
        <w:rPr>
          <w:snapToGrid w:val="0"/>
          <w:color w:val="auto"/>
        </w:rPr>
      </w:pPr>
      <w:r>
        <w:rPr>
          <w:rFonts w:hint="eastAsia"/>
          <w:color w:val="auto"/>
        </w:rPr>
        <w:t>建筑垃圾消纳场</w:t>
      </w:r>
      <w:r>
        <w:rPr>
          <w:color w:val="auto"/>
        </w:rPr>
        <w:t>防渗层破损渗漏情况下地下水</w:t>
      </w:r>
      <w:r>
        <w:rPr>
          <w:rFonts w:hint="eastAsia"/>
          <w:color w:val="auto"/>
        </w:rPr>
        <w:t>总砷</w:t>
      </w:r>
      <w:r>
        <w:rPr>
          <w:color w:val="auto"/>
        </w:rPr>
        <w:t>污染预测结果表明，</w:t>
      </w:r>
      <w:r>
        <w:rPr>
          <w:rFonts w:hint="eastAsia"/>
          <w:color w:val="auto"/>
        </w:rPr>
        <w:t>100天时，预测超标距离为10m，影响距离为16m；300天时，预测超标距离为19m，影响距离为30m；500天时，预测超标距离为26m，影响距离为40m；1000天时，预测超标距离为41m，影响距离为60m</w:t>
      </w:r>
      <w:r>
        <w:rPr>
          <w:snapToGrid w:val="0"/>
          <w:color w:val="auto"/>
        </w:rPr>
        <w:t>。</w:t>
      </w:r>
      <w:r>
        <w:rPr>
          <w:rFonts w:hint="eastAsia"/>
          <w:snapToGrid w:val="0"/>
          <w:color w:val="auto"/>
        </w:rPr>
        <w:t>不同时间预测浓度</w:t>
      </w:r>
      <w:r>
        <w:rPr>
          <w:snapToGrid w:val="0"/>
          <w:color w:val="auto"/>
        </w:rPr>
        <w:t>详见表5.2-</w:t>
      </w:r>
      <w:r>
        <w:rPr>
          <w:rFonts w:hint="eastAsia"/>
          <w:snapToGrid w:val="0"/>
          <w:color w:val="auto"/>
        </w:rPr>
        <w:t>17</w:t>
      </w:r>
      <w:r>
        <w:rPr>
          <w:snapToGrid w:val="0"/>
          <w:color w:val="auto"/>
        </w:rPr>
        <w:t>。</w:t>
      </w:r>
    </w:p>
    <w:p>
      <w:pPr>
        <w:snapToGrid w:val="0"/>
        <w:jc w:val="center"/>
        <w:rPr>
          <w:b/>
          <w:color w:val="auto"/>
          <w:szCs w:val="21"/>
        </w:rPr>
      </w:pPr>
      <w:r>
        <w:rPr>
          <w:b/>
          <w:color w:val="auto"/>
        </w:rPr>
        <w:t>表5.2-</w:t>
      </w:r>
      <w:r>
        <w:rPr>
          <w:rFonts w:hint="eastAsia"/>
          <w:b/>
          <w:color w:val="auto"/>
        </w:rPr>
        <w:t>17</w:t>
      </w:r>
      <w:r>
        <w:rPr>
          <w:b/>
          <w:color w:val="auto"/>
          <w:szCs w:val="21"/>
        </w:rPr>
        <w:t xml:space="preserve">  </w:t>
      </w:r>
      <w:r>
        <w:rPr>
          <w:rFonts w:hint="eastAsia"/>
          <w:b/>
          <w:color w:val="auto"/>
          <w:szCs w:val="21"/>
        </w:rPr>
        <w:t>污染物（</w:t>
      </w:r>
      <w:r>
        <w:rPr>
          <w:rFonts w:hint="eastAsia"/>
          <w:b/>
          <w:bCs/>
          <w:color w:val="auto"/>
        </w:rPr>
        <w:t>总砷</w:t>
      </w:r>
      <w:r>
        <w:rPr>
          <w:rFonts w:hint="eastAsia"/>
          <w:b/>
          <w:color w:val="auto"/>
          <w:szCs w:val="21"/>
        </w:rPr>
        <w:t>）运移模拟结果（mg</w:t>
      </w:r>
      <w:r>
        <w:rPr>
          <w:b/>
          <w:color w:val="auto"/>
          <w:szCs w:val="21"/>
        </w:rPr>
        <w:t>/L</w:t>
      </w:r>
      <w:r>
        <w:rPr>
          <w:rFonts w:hint="eastAsia"/>
          <w:b/>
          <w:color w:val="auto"/>
          <w:szCs w:val="21"/>
        </w:rPr>
        <w:t>）</w:t>
      </w:r>
    </w:p>
    <w:tbl>
      <w:tblPr>
        <w:tblStyle w:val="54"/>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7"/>
        <w:gridCol w:w="1857"/>
        <w:gridCol w:w="1857"/>
        <w:gridCol w:w="1858"/>
        <w:gridCol w:w="18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
                <w:color w:val="auto"/>
                <w:sz w:val="21"/>
                <w:szCs w:val="21"/>
              </w:rPr>
            </w:pPr>
            <w:r>
              <w:rPr>
                <w:rFonts w:hint="eastAsia"/>
                <w:b/>
                <w:color w:val="auto"/>
                <w:sz w:val="21"/>
                <w:szCs w:val="21"/>
              </w:rPr>
              <w:t>距离</w:t>
            </w:r>
          </w:p>
        </w:tc>
        <w:tc>
          <w:tcPr>
            <w:tcW w:w="1857" w:type="dxa"/>
          </w:tcPr>
          <w:p>
            <w:pPr>
              <w:snapToGrid w:val="0"/>
              <w:jc w:val="center"/>
              <w:rPr>
                <w:b/>
                <w:color w:val="auto"/>
                <w:sz w:val="21"/>
                <w:szCs w:val="21"/>
              </w:rPr>
            </w:pPr>
            <w:r>
              <w:rPr>
                <w:rFonts w:hint="eastAsia"/>
                <w:b/>
                <w:color w:val="auto"/>
                <w:sz w:val="21"/>
                <w:szCs w:val="21"/>
              </w:rPr>
              <w:t>1</w:t>
            </w:r>
            <w:r>
              <w:rPr>
                <w:b/>
                <w:color w:val="auto"/>
                <w:sz w:val="21"/>
                <w:szCs w:val="21"/>
              </w:rPr>
              <w:t>00</w:t>
            </w:r>
            <w:r>
              <w:rPr>
                <w:rFonts w:hint="eastAsia"/>
                <w:b/>
                <w:color w:val="auto"/>
                <w:sz w:val="21"/>
                <w:szCs w:val="21"/>
              </w:rPr>
              <w:t>d</w:t>
            </w:r>
          </w:p>
        </w:tc>
        <w:tc>
          <w:tcPr>
            <w:tcW w:w="1857" w:type="dxa"/>
          </w:tcPr>
          <w:p>
            <w:pPr>
              <w:snapToGrid w:val="0"/>
              <w:jc w:val="center"/>
              <w:rPr>
                <w:b/>
                <w:color w:val="auto"/>
                <w:sz w:val="21"/>
                <w:szCs w:val="21"/>
              </w:rPr>
            </w:pPr>
            <w:r>
              <w:rPr>
                <w:rFonts w:hint="eastAsia"/>
                <w:b/>
                <w:color w:val="auto"/>
                <w:sz w:val="21"/>
                <w:szCs w:val="21"/>
              </w:rPr>
              <w:t>3</w:t>
            </w:r>
            <w:r>
              <w:rPr>
                <w:b/>
                <w:color w:val="auto"/>
                <w:sz w:val="21"/>
                <w:szCs w:val="21"/>
              </w:rPr>
              <w:t>00</w:t>
            </w:r>
            <w:r>
              <w:rPr>
                <w:rFonts w:hint="eastAsia"/>
                <w:b/>
                <w:color w:val="auto"/>
                <w:sz w:val="21"/>
                <w:szCs w:val="21"/>
              </w:rPr>
              <w:t>d</w:t>
            </w:r>
          </w:p>
        </w:tc>
        <w:tc>
          <w:tcPr>
            <w:tcW w:w="1858" w:type="dxa"/>
          </w:tcPr>
          <w:p>
            <w:pPr>
              <w:snapToGrid w:val="0"/>
              <w:jc w:val="center"/>
              <w:rPr>
                <w:b/>
                <w:color w:val="auto"/>
                <w:sz w:val="21"/>
                <w:szCs w:val="21"/>
              </w:rPr>
            </w:pPr>
            <w:r>
              <w:rPr>
                <w:rFonts w:hint="eastAsia"/>
                <w:b/>
                <w:color w:val="auto"/>
                <w:sz w:val="21"/>
                <w:szCs w:val="21"/>
              </w:rPr>
              <w:t>5</w:t>
            </w:r>
            <w:r>
              <w:rPr>
                <w:b/>
                <w:color w:val="auto"/>
                <w:sz w:val="21"/>
                <w:szCs w:val="21"/>
              </w:rPr>
              <w:t>00</w:t>
            </w:r>
            <w:r>
              <w:rPr>
                <w:rFonts w:hint="eastAsia"/>
                <w:b/>
                <w:color w:val="auto"/>
                <w:sz w:val="21"/>
                <w:szCs w:val="21"/>
              </w:rPr>
              <w:t>d</w:t>
            </w:r>
          </w:p>
        </w:tc>
        <w:tc>
          <w:tcPr>
            <w:tcW w:w="1858" w:type="dxa"/>
          </w:tcPr>
          <w:p>
            <w:pPr>
              <w:snapToGrid w:val="0"/>
              <w:jc w:val="center"/>
              <w:rPr>
                <w:b/>
                <w:color w:val="auto"/>
                <w:sz w:val="21"/>
                <w:szCs w:val="21"/>
              </w:rPr>
            </w:pPr>
            <w:r>
              <w:rPr>
                <w:rFonts w:hint="eastAsia"/>
                <w:b/>
                <w:color w:val="auto"/>
                <w:sz w:val="21"/>
                <w:szCs w:val="21"/>
              </w:rPr>
              <w:t>1</w:t>
            </w:r>
            <w:r>
              <w:rPr>
                <w:b/>
                <w:color w:val="auto"/>
                <w:sz w:val="21"/>
                <w:szCs w:val="21"/>
              </w:rPr>
              <w:t>000</w:t>
            </w:r>
            <w:r>
              <w:rPr>
                <w:rFonts w:hint="eastAsia"/>
                <w:b/>
                <w:color w:val="auto"/>
                <w:sz w:val="21"/>
                <w:szCs w:val="21"/>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1</w:t>
            </w:r>
          </w:p>
        </w:tc>
        <w:tc>
          <w:tcPr>
            <w:tcW w:w="1857" w:type="dxa"/>
          </w:tcPr>
          <w:p>
            <w:pPr>
              <w:snapToGrid w:val="0"/>
              <w:jc w:val="center"/>
              <w:rPr>
                <w:bCs/>
                <w:color w:val="auto"/>
                <w:sz w:val="21"/>
                <w:szCs w:val="21"/>
              </w:rPr>
            </w:pPr>
            <w:r>
              <w:rPr>
                <w:bCs/>
                <w:color w:val="auto"/>
                <w:sz w:val="21"/>
                <w:szCs w:val="21"/>
              </w:rPr>
              <w:t>1.07E-01</w:t>
            </w:r>
          </w:p>
        </w:tc>
        <w:tc>
          <w:tcPr>
            <w:tcW w:w="1857" w:type="dxa"/>
          </w:tcPr>
          <w:p>
            <w:pPr>
              <w:snapToGrid w:val="0"/>
              <w:jc w:val="center"/>
              <w:rPr>
                <w:bCs/>
                <w:color w:val="auto"/>
                <w:sz w:val="21"/>
                <w:szCs w:val="21"/>
              </w:rPr>
            </w:pPr>
            <w:r>
              <w:rPr>
                <w:bCs/>
                <w:color w:val="auto"/>
                <w:sz w:val="21"/>
                <w:szCs w:val="21"/>
              </w:rPr>
              <w:t>1.14E-01</w:t>
            </w:r>
          </w:p>
        </w:tc>
        <w:tc>
          <w:tcPr>
            <w:tcW w:w="1858" w:type="dxa"/>
          </w:tcPr>
          <w:p>
            <w:pPr>
              <w:snapToGrid w:val="0"/>
              <w:jc w:val="center"/>
              <w:rPr>
                <w:bCs/>
                <w:color w:val="auto"/>
                <w:sz w:val="21"/>
                <w:szCs w:val="21"/>
              </w:rPr>
            </w:pPr>
            <w:r>
              <w:rPr>
                <w:bCs/>
                <w:color w:val="auto"/>
                <w:sz w:val="21"/>
                <w:szCs w:val="21"/>
              </w:rPr>
              <w:t>1.16E-01</w:t>
            </w:r>
          </w:p>
        </w:tc>
        <w:tc>
          <w:tcPr>
            <w:tcW w:w="1858" w:type="dxa"/>
          </w:tcPr>
          <w:p>
            <w:pPr>
              <w:snapToGrid w:val="0"/>
              <w:jc w:val="center"/>
              <w:rPr>
                <w:bCs/>
                <w:color w:val="auto"/>
                <w:sz w:val="21"/>
                <w:szCs w:val="21"/>
              </w:rPr>
            </w:pPr>
            <w:r>
              <w:rPr>
                <w:bCs/>
                <w:color w:val="auto"/>
                <w:sz w:val="21"/>
                <w:szCs w:val="21"/>
              </w:rPr>
              <w:t>1.18E-01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10</w:t>
            </w:r>
          </w:p>
        </w:tc>
        <w:tc>
          <w:tcPr>
            <w:tcW w:w="1857" w:type="dxa"/>
            <w:vAlign w:val="bottom"/>
          </w:tcPr>
          <w:p>
            <w:pPr>
              <w:snapToGrid w:val="0"/>
              <w:jc w:val="center"/>
              <w:rPr>
                <w:bCs/>
                <w:color w:val="auto"/>
                <w:sz w:val="21"/>
                <w:szCs w:val="21"/>
              </w:rPr>
            </w:pPr>
            <w:r>
              <w:rPr>
                <w:rFonts w:hint="eastAsia"/>
                <w:bCs/>
                <w:color w:val="auto"/>
                <w:sz w:val="21"/>
                <w:szCs w:val="21"/>
              </w:rPr>
              <w:t>1.13E-02</w:t>
            </w:r>
          </w:p>
        </w:tc>
        <w:tc>
          <w:tcPr>
            <w:tcW w:w="1857" w:type="dxa"/>
            <w:vAlign w:val="bottom"/>
          </w:tcPr>
          <w:p>
            <w:pPr>
              <w:snapToGrid w:val="0"/>
              <w:jc w:val="center"/>
              <w:rPr>
                <w:bCs/>
                <w:color w:val="auto"/>
                <w:sz w:val="21"/>
                <w:szCs w:val="21"/>
              </w:rPr>
            </w:pPr>
            <w:r>
              <w:rPr>
                <w:rFonts w:hint="eastAsia"/>
                <w:bCs/>
                <w:color w:val="auto"/>
                <w:sz w:val="21"/>
                <w:szCs w:val="21"/>
              </w:rPr>
              <w:t>5.14E-02</w:t>
            </w:r>
          </w:p>
        </w:tc>
        <w:tc>
          <w:tcPr>
            <w:tcW w:w="1858" w:type="dxa"/>
            <w:vAlign w:val="bottom"/>
          </w:tcPr>
          <w:p>
            <w:pPr>
              <w:snapToGrid w:val="0"/>
              <w:jc w:val="center"/>
              <w:rPr>
                <w:bCs/>
                <w:color w:val="auto"/>
                <w:sz w:val="21"/>
                <w:szCs w:val="21"/>
              </w:rPr>
            </w:pPr>
            <w:r>
              <w:rPr>
                <w:rFonts w:hint="eastAsia"/>
                <w:bCs/>
                <w:color w:val="auto"/>
                <w:sz w:val="21"/>
                <w:szCs w:val="21"/>
              </w:rPr>
              <w:t>7.26E-02</w:t>
            </w:r>
          </w:p>
        </w:tc>
        <w:tc>
          <w:tcPr>
            <w:tcW w:w="1858" w:type="dxa"/>
            <w:vAlign w:val="bottom"/>
          </w:tcPr>
          <w:p>
            <w:pPr>
              <w:snapToGrid w:val="0"/>
              <w:jc w:val="center"/>
              <w:rPr>
                <w:bCs/>
                <w:color w:val="auto"/>
                <w:sz w:val="21"/>
                <w:szCs w:val="21"/>
              </w:rPr>
            </w:pPr>
            <w:r>
              <w:rPr>
                <w:rFonts w:hint="eastAsia"/>
                <w:bCs/>
                <w:color w:val="auto"/>
                <w:sz w:val="21"/>
                <w:szCs w:val="21"/>
              </w:rPr>
              <w:t>9.60E-02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20</w:t>
            </w:r>
          </w:p>
        </w:tc>
        <w:tc>
          <w:tcPr>
            <w:tcW w:w="1857" w:type="dxa"/>
            <w:vAlign w:val="bottom"/>
          </w:tcPr>
          <w:p>
            <w:pPr>
              <w:snapToGrid w:val="0"/>
              <w:jc w:val="center"/>
              <w:rPr>
                <w:bCs/>
                <w:color w:val="auto"/>
                <w:sz w:val="21"/>
                <w:szCs w:val="21"/>
              </w:rPr>
            </w:pPr>
            <w:r>
              <w:rPr>
                <w:rFonts w:hint="eastAsia"/>
                <w:bCs/>
                <w:color w:val="auto"/>
                <w:sz w:val="21"/>
                <w:szCs w:val="21"/>
              </w:rPr>
              <w:t>4.97E-05</w:t>
            </w:r>
          </w:p>
        </w:tc>
        <w:tc>
          <w:tcPr>
            <w:tcW w:w="1857" w:type="dxa"/>
            <w:vAlign w:val="bottom"/>
          </w:tcPr>
          <w:p>
            <w:pPr>
              <w:snapToGrid w:val="0"/>
              <w:jc w:val="center"/>
              <w:rPr>
                <w:bCs/>
                <w:color w:val="auto"/>
                <w:sz w:val="21"/>
                <w:szCs w:val="21"/>
              </w:rPr>
            </w:pPr>
            <w:r>
              <w:rPr>
                <w:rFonts w:hint="eastAsia"/>
                <w:bCs/>
                <w:color w:val="auto"/>
                <w:sz w:val="21"/>
                <w:szCs w:val="21"/>
              </w:rPr>
              <w:t>8.75E-03</w:t>
            </w:r>
          </w:p>
        </w:tc>
        <w:tc>
          <w:tcPr>
            <w:tcW w:w="1858" w:type="dxa"/>
            <w:vAlign w:val="bottom"/>
          </w:tcPr>
          <w:p>
            <w:pPr>
              <w:snapToGrid w:val="0"/>
              <w:jc w:val="center"/>
              <w:rPr>
                <w:bCs/>
                <w:color w:val="auto"/>
                <w:sz w:val="21"/>
                <w:szCs w:val="21"/>
              </w:rPr>
            </w:pPr>
            <w:r>
              <w:rPr>
                <w:rFonts w:hint="eastAsia"/>
                <w:bCs/>
                <w:color w:val="auto"/>
                <w:sz w:val="21"/>
                <w:szCs w:val="21"/>
              </w:rPr>
              <w:t>2.63E-02</w:t>
            </w:r>
          </w:p>
        </w:tc>
        <w:tc>
          <w:tcPr>
            <w:tcW w:w="1858" w:type="dxa"/>
            <w:vAlign w:val="bottom"/>
          </w:tcPr>
          <w:p>
            <w:pPr>
              <w:snapToGrid w:val="0"/>
              <w:jc w:val="center"/>
              <w:rPr>
                <w:bCs/>
                <w:color w:val="auto"/>
                <w:sz w:val="21"/>
                <w:szCs w:val="21"/>
              </w:rPr>
            </w:pPr>
            <w:r>
              <w:rPr>
                <w:rFonts w:hint="eastAsia"/>
                <w:bCs/>
                <w:color w:val="auto"/>
                <w:sz w:val="21"/>
                <w:szCs w:val="21"/>
              </w:rPr>
              <w:t>6.19E-02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50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7" w:type="dxa"/>
            <w:vAlign w:val="bottom"/>
          </w:tcPr>
          <w:p>
            <w:pPr>
              <w:snapToGrid w:val="0"/>
              <w:jc w:val="center"/>
              <w:rPr>
                <w:bCs/>
                <w:color w:val="auto"/>
                <w:sz w:val="21"/>
                <w:szCs w:val="21"/>
              </w:rPr>
            </w:pPr>
            <w:r>
              <w:rPr>
                <w:rFonts w:hint="eastAsia"/>
                <w:bCs/>
                <w:color w:val="auto"/>
                <w:sz w:val="21"/>
                <w:szCs w:val="21"/>
              </w:rPr>
              <w:t>6.48E-08</w:t>
            </w:r>
          </w:p>
        </w:tc>
        <w:tc>
          <w:tcPr>
            <w:tcW w:w="1858" w:type="dxa"/>
            <w:vAlign w:val="bottom"/>
          </w:tcPr>
          <w:p>
            <w:pPr>
              <w:snapToGrid w:val="0"/>
              <w:jc w:val="center"/>
              <w:rPr>
                <w:bCs/>
                <w:color w:val="auto"/>
                <w:sz w:val="21"/>
                <w:szCs w:val="21"/>
              </w:rPr>
            </w:pPr>
            <w:r>
              <w:rPr>
                <w:rFonts w:hint="eastAsia"/>
                <w:bCs/>
                <w:color w:val="auto"/>
                <w:sz w:val="21"/>
                <w:szCs w:val="21"/>
              </w:rPr>
              <w:t>2.97E-05</w:t>
            </w:r>
          </w:p>
        </w:tc>
        <w:tc>
          <w:tcPr>
            <w:tcW w:w="1858" w:type="dxa"/>
            <w:vAlign w:val="bottom"/>
          </w:tcPr>
          <w:p>
            <w:pPr>
              <w:snapToGrid w:val="0"/>
              <w:jc w:val="center"/>
              <w:rPr>
                <w:bCs/>
                <w:color w:val="auto"/>
                <w:sz w:val="21"/>
                <w:szCs w:val="21"/>
              </w:rPr>
            </w:pPr>
            <w:r>
              <w:rPr>
                <w:rFonts w:hint="eastAsia"/>
                <w:bCs/>
                <w:color w:val="auto"/>
                <w:sz w:val="21"/>
                <w:szCs w:val="21"/>
              </w:rPr>
              <w:t>3.05E-03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80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7" w:type="dxa"/>
            <w:vAlign w:val="bottom"/>
          </w:tcPr>
          <w:p>
            <w:pPr>
              <w:snapToGrid w:val="0"/>
              <w:jc w:val="center"/>
              <w:rPr>
                <w:bCs/>
                <w:color w:val="auto"/>
                <w:sz w:val="21"/>
                <w:szCs w:val="21"/>
              </w:rPr>
            </w:pPr>
            <w:r>
              <w:rPr>
                <w:rFonts w:hint="eastAsia"/>
                <w:bCs/>
                <w:color w:val="auto"/>
                <w:sz w:val="21"/>
                <w:szCs w:val="21"/>
              </w:rPr>
              <w:t>6.66E-18</w:t>
            </w:r>
          </w:p>
        </w:tc>
        <w:tc>
          <w:tcPr>
            <w:tcW w:w="1858" w:type="dxa"/>
            <w:vAlign w:val="bottom"/>
          </w:tcPr>
          <w:p>
            <w:pPr>
              <w:snapToGrid w:val="0"/>
              <w:jc w:val="center"/>
              <w:rPr>
                <w:bCs/>
                <w:color w:val="auto"/>
                <w:sz w:val="21"/>
                <w:szCs w:val="21"/>
              </w:rPr>
            </w:pPr>
            <w:r>
              <w:rPr>
                <w:rFonts w:hint="eastAsia"/>
                <w:bCs/>
                <w:color w:val="auto"/>
                <w:sz w:val="21"/>
                <w:szCs w:val="21"/>
              </w:rPr>
              <w:t>7.87E-11</w:t>
            </w:r>
          </w:p>
        </w:tc>
        <w:tc>
          <w:tcPr>
            <w:tcW w:w="1858" w:type="dxa"/>
            <w:vAlign w:val="bottom"/>
          </w:tcPr>
          <w:p>
            <w:pPr>
              <w:snapToGrid w:val="0"/>
              <w:jc w:val="center"/>
              <w:rPr>
                <w:bCs/>
                <w:color w:val="auto"/>
                <w:sz w:val="21"/>
                <w:szCs w:val="21"/>
              </w:rPr>
            </w:pPr>
            <w:r>
              <w:rPr>
                <w:rFonts w:hint="eastAsia"/>
                <w:bCs/>
                <w:color w:val="auto"/>
                <w:sz w:val="21"/>
                <w:szCs w:val="21"/>
              </w:rPr>
              <w:t>8.28E-06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100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2.46E-16</w:t>
            </w:r>
          </w:p>
        </w:tc>
        <w:tc>
          <w:tcPr>
            <w:tcW w:w="1858" w:type="dxa"/>
            <w:vAlign w:val="bottom"/>
          </w:tcPr>
          <w:p>
            <w:pPr>
              <w:snapToGrid w:val="0"/>
              <w:jc w:val="center"/>
              <w:rPr>
                <w:bCs/>
                <w:color w:val="auto"/>
                <w:sz w:val="21"/>
                <w:szCs w:val="21"/>
              </w:rPr>
            </w:pPr>
            <w:r>
              <w:rPr>
                <w:rFonts w:hint="eastAsia"/>
                <w:bCs/>
                <w:color w:val="auto"/>
                <w:sz w:val="21"/>
                <w:szCs w:val="21"/>
              </w:rPr>
              <w:t>2.93E-08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1</w:t>
            </w:r>
            <w:r>
              <w:rPr>
                <w:bCs/>
                <w:color w:val="auto"/>
                <w:sz w:val="21"/>
                <w:szCs w:val="21"/>
              </w:rPr>
              <w:t>50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2.66E-17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1</w:t>
            </w:r>
            <w:r>
              <w:rPr>
                <w:bCs/>
                <w:color w:val="auto"/>
                <w:sz w:val="21"/>
                <w:szCs w:val="21"/>
              </w:rPr>
              <w:t>80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0.00E+00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200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0.00E+00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2</w:t>
            </w:r>
            <w:r>
              <w:rPr>
                <w:bCs/>
                <w:color w:val="auto"/>
                <w:sz w:val="21"/>
                <w:szCs w:val="21"/>
              </w:rPr>
              <w:t>50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0.00E+00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3</w:t>
            </w:r>
            <w:r>
              <w:rPr>
                <w:bCs/>
                <w:color w:val="auto"/>
                <w:sz w:val="21"/>
                <w:szCs w:val="21"/>
              </w:rPr>
              <w:t>00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0.00E+00</w:t>
            </w:r>
          </w:p>
        </w:tc>
      </w:tr>
    </w:tbl>
    <w:p>
      <w:pPr>
        <w:snapToGrid w:val="0"/>
        <w:spacing w:line="336" w:lineRule="auto"/>
        <w:ind w:firstLine="480" w:firstLineChars="200"/>
        <w:jc w:val="both"/>
        <w:rPr>
          <w:snapToGrid w:val="0"/>
          <w:color w:val="auto"/>
        </w:rPr>
      </w:pPr>
      <w:r>
        <w:rPr>
          <w:rFonts w:hint="eastAsia"/>
          <w:color w:val="auto"/>
        </w:rPr>
        <w:t>建筑垃圾消纳场</w:t>
      </w:r>
      <w:r>
        <w:rPr>
          <w:color w:val="auto"/>
        </w:rPr>
        <w:t>防渗层破损渗漏情况下地下水</w:t>
      </w:r>
      <w:r>
        <w:rPr>
          <w:rFonts w:hint="eastAsia"/>
          <w:color w:val="auto"/>
        </w:rPr>
        <w:t>总汞</w:t>
      </w:r>
      <w:r>
        <w:rPr>
          <w:color w:val="auto"/>
        </w:rPr>
        <w:t>污染预测结果表明，</w:t>
      </w:r>
      <w:r>
        <w:rPr>
          <w:rFonts w:hint="eastAsia"/>
          <w:color w:val="auto"/>
        </w:rPr>
        <w:t>100天时，预测超标距离为9m，影响距离为15m；300天时，预测超标距离为18m，影响距离为29m；500天时，预测超标距离为24m，影响距离为39m；1000天时，预测超标距离为38m，影响距离为59m</w:t>
      </w:r>
      <w:r>
        <w:rPr>
          <w:snapToGrid w:val="0"/>
          <w:color w:val="auto"/>
        </w:rPr>
        <w:t>。</w:t>
      </w:r>
      <w:r>
        <w:rPr>
          <w:rFonts w:hint="eastAsia"/>
          <w:snapToGrid w:val="0"/>
          <w:color w:val="auto"/>
        </w:rPr>
        <w:t>不同时间预测浓度</w:t>
      </w:r>
      <w:r>
        <w:rPr>
          <w:snapToGrid w:val="0"/>
          <w:color w:val="auto"/>
        </w:rPr>
        <w:t>详见表5.2-</w:t>
      </w:r>
      <w:r>
        <w:rPr>
          <w:rFonts w:hint="eastAsia"/>
          <w:snapToGrid w:val="0"/>
          <w:color w:val="auto"/>
        </w:rPr>
        <w:t>18</w:t>
      </w:r>
      <w:r>
        <w:rPr>
          <w:snapToGrid w:val="0"/>
          <w:color w:val="auto"/>
        </w:rPr>
        <w:t>。</w:t>
      </w:r>
    </w:p>
    <w:p>
      <w:pPr>
        <w:snapToGrid w:val="0"/>
        <w:jc w:val="center"/>
        <w:rPr>
          <w:b/>
          <w:color w:val="auto"/>
          <w:szCs w:val="21"/>
        </w:rPr>
      </w:pPr>
      <w:r>
        <w:rPr>
          <w:b/>
          <w:color w:val="auto"/>
        </w:rPr>
        <w:t>表5.2-</w:t>
      </w:r>
      <w:r>
        <w:rPr>
          <w:rFonts w:hint="eastAsia"/>
          <w:b/>
          <w:color w:val="auto"/>
        </w:rPr>
        <w:t>18</w:t>
      </w:r>
      <w:r>
        <w:rPr>
          <w:b/>
          <w:color w:val="auto"/>
          <w:szCs w:val="21"/>
        </w:rPr>
        <w:t xml:space="preserve">  </w:t>
      </w:r>
      <w:r>
        <w:rPr>
          <w:rFonts w:hint="eastAsia"/>
          <w:b/>
          <w:color w:val="auto"/>
          <w:szCs w:val="21"/>
        </w:rPr>
        <w:t>污染物（</w:t>
      </w:r>
      <w:r>
        <w:rPr>
          <w:rFonts w:hint="eastAsia"/>
          <w:b/>
          <w:bCs/>
          <w:color w:val="auto"/>
        </w:rPr>
        <w:t>总汞</w:t>
      </w:r>
      <w:r>
        <w:rPr>
          <w:rFonts w:hint="eastAsia"/>
          <w:b/>
          <w:color w:val="auto"/>
          <w:szCs w:val="21"/>
        </w:rPr>
        <w:t>）运移模拟结果（mg</w:t>
      </w:r>
      <w:r>
        <w:rPr>
          <w:b/>
          <w:color w:val="auto"/>
          <w:szCs w:val="21"/>
        </w:rPr>
        <w:t>/L</w:t>
      </w:r>
      <w:r>
        <w:rPr>
          <w:rFonts w:hint="eastAsia"/>
          <w:b/>
          <w:color w:val="auto"/>
          <w:szCs w:val="21"/>
        </w:rPr>
        <w:t>）</w:t>
      </w:r>
    </w:p>
    <w:tbl>
      <w:tblPr>
        <w:tblStyle w:val="54"/>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7"/>
        <w:gridCol w:w="1857"/>
        <w:gridCol w:w="1857"/>
        <w:gridCol w:w="1858"/>
        <w:gridCol w:w="18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
                <w:color w:val="auto"/>
                <w:sz w:val="21"/>
                <w:szCs w:val="21"/>
              </w:rPr>
            </w:pPr>
            <w:r>
              <w:rPr>
                <w:rFonts w:hint="eastAsia"/>
                <w:b/>
                <w:color w:val="auto"/>
                <w:sz w:val="21"/>
                <w:szCs w:val="21"/>
              </w:rPr>
              <w:t>距离</w:t>
            </w:r>
          </w:p>
        </w:tc>
        <w:tc>
          <w:tcPr>
            <w:tcW w:w="1857" w:type="dxa"/>
          </w:tcPr>
          <w:p>
            <w:pPr>
              <w:snapToGrid w:val="0"/>
              <w:jc w:val="center"/>
              <w:rPr>
                <w:b/>
                <w:color w:val="auto"/>
                <w:sz w:val="21"/>
                <w:szCs w:val="21"/>
              </w:rPr>
            </w:pPr>
            <w:r>
              <w:rPr>
                <w:rFonts w:hint="eastAsia"/>
                <w:b/>
                <w:color w:val="auto"/>
                <w:sz w:val="21"/>
                <w:szCs w:val="21"/>
              </w:rPr>
              <w:t>1</w:t>
            </w:r>
            <w:r>
              <w:rPr>
                <w:b/>
                <w:color w:val="auto"/>
                <w:sz w:val="21"/>
                <w:szCs w:val="21"/>
              </w:rPr>
              <w:t>00</w:t>
            </w:r>
            <w:r>
              <w:rPr>
                <w:rFonts w:hint="eastAsia"/>
                <w:b/>
                <w:color w:val="auto"/>
                <w:sz w:val="21"/>
                <w:szCs w:val="21"/>
              </w:rPr>
              <w:t>d</w:t>
            </w:r>
          </w:p>
        </w:tc>
        <w:tc>
          <w:tcPr>
            <w:tcW w:w="1857" w:type="dxa"/>
          </w:tcPr>
          <w:p>
            <w:pPr>
              <w:snapToGrid w:val="0"/>
              <w:jc w:val="center"/>
              <w:rPr>
                <w:b/>
                <w:color w:val="auto"/>
                <w:sz w:val="21"/>
                <w:szCs w:val="21"/>
              </w:rPr>
            </w:pPr>
            <w:r>
              <w:rPr>
                <w:rFonts w:hint="eastAsia"/>
                <w:b/>
                <w:color w:val="auto"/>
                <w:sz w:val="21"/>
                <w:szCs w:val="21"/>
              </w:rPr>
              <w:t>3</w:t>
            </w:r>
            <w:r>
              <w:rPr>
                <w:b/>
                <w:color w:val="auto"/>
                <w:sz w:val="21"/>
                <w:szCs w:val="21"/>
              </w:rPr>
              <w:t>00</w:t>
            </w:r>
            <w:r>
              <w:rPr>
                <w:rFonts w:hint="eastAsia"/>
                <w:b/>
                <w:color w:val="auto"/>
                <w:sz w:val="21"/>
                <w:szCs w:val="21"/>
              </w:rPr>
              <w:t>d</w:t>
            </w:r>
          </w:p>
        </w:tc>
        <w:tc>
          <w:tcPr>
            <w:tcW w:w="1858" w:type="dxa"/>
          </w:tcPr>
          <w:p>
            <w:pPr>
              <w:snapToGrid w:val="0"/>
              <w:jc w:val="center"/>
              <w:rPr>
                <w:b/>
                <w:color w:val="auto"/>
                <w:sz w:val="21"/>
                <w:szCs w:val="21"/>
              </w:rPr>
            </w:pPr>
            <w:r>
              <w:rPr>
                <w:rFonts w:hint="eastAsia"/>
                <w:b/>
                <w:color w:val="auto"/>
                <w:sz w:val="21"/>
                <w:szCs w:val="21"/>
              </w:rPr>
              <w:t>5</w:t>
            </w:r>
            <w:r>
              <w:rPr>
                <w:b/>
                <w:color w:val="auto"/>
                <w:sz w:val="21"/>
                <w:szCs w:val="21"/>
              </w:rPr>
              <w:t>00</w:t>
            </w:r>
            <w:r>
              <w:rPr>
                <w:rFonts w:hint="eastAsia"/>
                <w:b/>
                <w:color w:val="auto"/>
                <w:sz w:val="21"/>
                <w:szCs w:val="21"/>
              </w:rPr>
              <w:t>d</w:t>
            </w:r>
          </w:p>
        </w:tc>
        <w:tc>
          <w:tcPr>
            <w:tcW w:w="1858" w:type="dxa"/>
          </w:tcPr>
          <w:p>
            <w:pPr>
              <w:snapToGrid w:val="0"/>
              <w:jc w:val="center"/>
              <w:rPr>
                <w:b/>
                <w:color w:val="auto"/>
                <w:sz w:val="21"/>
                <w:szCs w:val="21"/>
              </w:rPr>
            </w:pPr>
            <w:r>
              <w:rPr>
                <w:rFonts w:hint="eastAsia"/>
                <w:b/>
                <w:color w:val="auto"/>
                <w:sz w:val="21"/>
                <w:szCs w:val="21"/>
              </w:rPr>
              <w:t>1</w:t>
            </w:r>
            <w:r>
              <w:rPr>
                <w:b/>
                <w:color w:val="auto"/>
                <w:sz w:val="21"/>
                <w:szCs w:val="21"/>
              </w:rPr>
              <w:t>000</w:t>
            </w:r>
            <w:r>
              <w:rPr>
                <w:rFonts w:hint="eastAsia"/>
                <w:b/>
                <w:color w:val="auto"/>
                <w:sz w:val="21"/>
                <w:szCs w:val="21"/>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1</w:t>
            </w:r>
          </w:p>
        </w:tc>
        <w:tc>
          <w:tcPr>
            <w:tcW w:w="1857" w:type="dxa"/>
          </w:tcPr>
          <w:p>
            <w:pPr>
              <w:snapToGrid w:val="0"/>
              <w:jc w:val="center"/>
              <w:rPr>
                <w:bCs/>
                <w:color w:val="auto"/>
                <w:sz w:val="21"/>
                <w:szCs w:val="21"/>
              </w:rPr>
            </w:pPr>
            <w:r>
              <w:rPr>
                <w:bCs/>
                <w:color w:val="auto"/>
                <w:sz w:val="21"/>
                <w:szCs w:val="21"/>
              </w:rPr>
              <w:t>8.00E-03</w:t>
            </w:r>
          </w:p>
        </w:tc>
        <w:tc>
          <w:tcPr>
            <w:tcW w:w="1857" w:type="dxa"/>
          </w:tcPr>
          <w:p>
            <w:pPr>
              <w:snapToGrid w:val="0"/>
              <w:jc w:val="center"/>
              <w:rPr>
                <w:bCs/>
                <w:color w:val="auto"/>
                <w:sz w:val="21"/>
                <w:szCs w:val="21"/>
              </w:rPr>
            </w:pPr>
            <w:r>
              <w:rPr>
                <w:bCs/>
                <w:color w:val="auto"/>
                <w:sz w:val="21"/>
                <w:szCs w:val="21"/>
              </w:rPr>
              <w:t>8.57E-03</w:t>
            </w:r>
          </w:p>
        </w:tc>
        <w:tc>
          <w:tcPr>
            <w:tcW w:w="1858" w:type="dxa"/>
          </w:tcPr>
          <w:p>
            <w:pPr>
              <w:snapToGrid w:val="0"/>
              <w:jc w:val="center"/>
              <w:rPr>
                <w:bCs/>
                <w:color w:val="auto"/>
                <w:sz w:val="21"/>
                <w:szCs w:val="21"/>
              </w:rPr>
            </w:pPr>
            <w:r>
              <w:rPr>
                <w:bCs/>
                <w:color w:val="auto"/>
                <w:sz w:val="21"/>
                <w:szCs w:val="21"/>
              </w:rPr>
              <w:t>8.73E-03</w:t>
            </w:r>
          </w:p>
        </w:tc>
        <w:tc>
          <w:tcPr>
            <w:tcW w:w="1858" w:type="dxa"/>
          </w:tcPr>
          <w:p>
            <w:pPr>
              <w:snapToGrid w:val="0"/>
              <w:jc w:val="center"/>
              <w:rPr>
                <w:bCs/>
                <w:color w:val="auto"/>
                <w:sz w:val="21"/>
                <w:szCs w:val="21"/>
              </w:rPr>
            </w:pPr>
            <w:r>
              <w:rPr>
                <w:bCs/>
                <w:color w:val="auto"/>
                <w:sz w:val="21"/>
                <w:szCs w:val="21"/>
              </w:rPr>
              <w:t>8.87E-03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10</w:t>
            </w:r>
          </w:p>
        </w:tc>
        <w:tc>
          <w:tcPr>
            <w:tcW w:w="1857" w:type="dxa"/>
            <w:vAlign w:val="bottom"/>
          </w:tcPr>
          <w:p>
            <w:pPr>
              <w:snapToGrid w:val="0"/>
              <w:jc w:val="center"/>
              <w:rPr>
                <w:bCs/>
                <w:color w:val="auto"/>
                <w:sz w:val="21"/>
                <w:szCs w:val="21"/>
              </w:rPr>
            </w:pPr>
            <w:r>
              <w:rPr>
                <w:rFonts w:hint="eastAsia"/>
                <w:bCs/>
                <w:color w:val="auto"/>
                <w:sz w:val="21"/>
                <w:szCs w:val="21"/>
              </w:rPr>
              <w:t>8.50E-04</w:t>
            </w:r>
          </w:p>
        </w:tc>
        <w:tc>
          <w:tcPr>
            <w:tcW w:w="1857" w:type="dxa"/>
            <w:vAlign w:val="bottom"/>
          </w:tcPr>
          <w:p>
            <w:pPr>
              <w:snapToGrid w:val="0"/>
              <w:jc w:val="center"/>
              <w:rPr>
                <w:bCs/>
                <w:color w:val="auto"/>
                <w:sz w:val="21"/>
                <w:szCs w:val="21"/>
              </w:rPr>
            </w:pPr>
            <w:r>
              <w:rPr>
                <w:rFonts w:hint="eastAsia"/>
                <w:bCs/>
                <w:color w:val="auto"/>
                <w:sz w:val="21"/>
                <w:szCs w:val="21"/>
              </w:rPr>
              <w:t>3.85E-03</w:t>
            </w:r>
          </w:p>
        </w:tc>
        <w:tc>
          <w:tcPr>
            <w:tcW w:w="1858" w:type="dxa"/>
            <w:vAlign w:val="bottom"/>
          </w:tcPr>
          <w:p>
            <w:pPr>
              <w:snapToGrid w:val="0"/>
              <w:jc w:val="center"/>
              <w:rPr>
                <w:bCs/>
                <w:color w:val="auto"/>
                <w:sz w:val="21"/>
                <w:szCs w:val="21"/>
              </w:rPr>
            </w:pPr>
            <w:r>
              <w:rPr>
                <w:rFonts w:hint="eastAsia"/>
                <w:bCs/>
                <w:color w:val="auto"/>
                <w:sz w:val="21"/>
                <w:szCs w:val="21"/>
              </w:rPr>
              <w:t>5.44E-03</w:t>
            </w:r>
          </w:p>
        </w:tc>
        <w:tc>
          <w:tcPr>
            <w:tcW w:w="1858" w:type="dxa"/>
            <w:vAlign w:val="bottom"/>
          </w:tcPr>
          <w:p>
            <w:pPr>
              <w:snapToGrid w:val="0"/>
              <w:jc w:val="center"/>
              <w:rPr>
                <w:bCs/>
                <w:color w:val="auto"/>
                <w:sz w:val="21"/>
                <w:szCs w:val="21"/>
              </w:rPr>
            </w:pPr>
            <w:r>
              <w:rPr>
                <w:rFonts w:hint="eastAsia"/>
                <w:bCs/>
                <w:color w:val="auto"/>
                <w:sz w:val="21"/>
                <w:szCs w:val="21"/>
              </w:rPr>
              <w:t>7.20E-03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20</w:t>
            </w:r>
          </w:p>
        </w:tc>
        <w:tc>
          <w:tcPr>
            <w:tcW w:w="1857" w:type="dxa"/>
            <w:vAlign w:val="bottom"/>
          </w:tcPr>
          <w:p>
            <w:pPr>
              <w:snapToGrid w:val="0"/>
              <w:jc w:val="center"/>
              <w:rPr>
                <w:bCs/>
                <w:color w:val="auto"/>
                <w:sz w:val="21"/>
                <w:szCs w:val="21"/>
              </w:rPr>
            </w:pPr>
            <w:r>
              <w:rPr>
                <w:rFonts w:hint="eastAsia"/>
                <w:bCs/>
                <w:color w:val="auto"/>
                <w:sz w:val="21"/>
                <w:szCs w:val="21"/>
              </w:rPr>
              <w:t>3.73E-06</w:t>
            </w:r>
          </w:p>
        </w:tc>
        <w:tc>
          <w:tcPr>
            <w:tcW w:w="1857" w:type="dxa"/>
            <w:vAlign w:val="bottom"/>
          </w:tcPr>
          <w:p>
            <w:pPr>
              <w:snapToGrid w:val="0"/>
              <w:jc w:val="center"/>
              <w:rPr>
                <w:bCs/>
                <w:color w:val="auto"/>
                <w:sz w:val="21"/>
                <w:szCs w:val="21"/>
              </w:rPr>
            </w:pPr>
            <w:r>
              <w:rPr>
                <w:rFonts w:hint="eastAsia"/>
                <w:bCs/>
                <w:color w:val="auto"/>
                <w:sz w:val="21"/>
                <w:szCs w:val="21"/>
              </w:rPr>
              <w:t>6.57E-04</w:t>
            </w:r>
          </w:p>
        </w:tc>
        <w:tc>
          <w:tcPr>
            <w:tcW w:w="1858" w:type="dxa"/>
            <w:vAlign w:val="bottom"/>
          </w:tcPr>
          <w:p>
            <w:pPr>
              <w:snapToGrid w:val="0"/>
              <w:jc w:val="center"/>
              <w:rPr>
                <w:bCs/>
                <w:color w:val="auto"/>
                <w:sz w:val="21"/>
                <w:szCs w:val="21"/>
              </w:rPr>
            </w:pPr>
            <w:r>
              <w:rPr>
                <w:rFonts w:hint="eastAsia"/>
                <w:bCs/>
                <w:color w:val="auto"/>
                <w:sz w:val="21"/>
                <w:szCs w:val="21"/>
              </w:rPr>
              <w:t>1.97E-03</w:t>
            </w:r>
          </w:p>
        </w:tc>
        <w:tc>
          <w:tcPr>
            <w:tcW w:w="1858" w:type="dxa"/>
            <w:vAlign w:val="bottom"/>
          </w:tcPr>
          <w:p>
            <w:pPr>
              <w:snapToGrid w:val="0"/>
              <w:jc w:val="center"/>
              <w:rPr>
                <w:bCs/>
                <w:color w:val="auto"/>
                <w:sz w:val="21"/>
                <w:szCs w:val="21"/>
              </w:rPr>
            </w:pPr>
            <w:r>
              <w:rPr>
                <w:rFonts w:hint="eastAsia"/>
                <w:bCs/>
                <w:color w:val="auto"/>
                <w:sz w:val="21"/>
                <w:szCs w:val="21"/>
              </w:rPr>
              <w:t>4.64E-03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50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7" w:type="dxa"/>
            <w:vAlign w:val="bottom"/>
          </w:tcPr>
          <w:p>
            <w:pPr>
              <w:snapToGrid w:val="0"/>
              <w:jc w:val="center"/>
              <w:rPr>
                <w:bCs/>
                <w:color w:val="auto"/>
                <w:sz w:val="21"/>
                <w:szCs w:val="21"/>
              </w:rPr>
            </w:pPr>
            <w:r>
              <w:rPr>
                <w:rFonts w:hint="eastAsia"/>
                <w:bCs/>
                <w:color w:val="auto"/>
                <w:sz w:val="21"/>
                <w:szCs w:val="21"/>
              </w:rPr>
              <w:t>4.86E-09</w:t>
            </w:r>
          </w:p>
        </w:tc>
        <w:tc>
          <w:tcPr>
            <w:tcW w:w="1858" w:type="dxa"/>
            <w:vAlign w:val="bottom"/>
          </w:tcPr>
          <w:p>
            <w:pPr>
              <w:snapToGrid w:val="0"/>
              <w:jc w:val="center"/>
              <w:rPr>
                <w:bCs/>
                <w:color w:val="auto"/>
                <w:sz w:val="21"/>
                <w:szCs w:val="21"/>
              </w:rPr>
            </w:pPr>
            <w:r>
              <w:rPr>
                <w:rFonts w:hint="eastAsia"/>
                <w:bCs/>
                <w:color w:val="auto"/>
                <w:sz w:val="21"/>
                <w:szCs w:val="21"/>
              </w:rPr>
              <w:t>2.23E-06</w:t>
            </w:r>
          </w:p>
        </w:tc>
        <w:tc>
          <w:tcPr>
            <w:tcW w:w="1858" w:type="dxa"/>
            <w:vAlign w:val="bottom"/>
          </w:tcPr>
          <w:p>
            <w:pPr>
              <w:snapToGrid w:val="0"/>
              <w:jc w:val="center"/>
              <w:rPr>
                <w:bCs/>
                <w:color w:val="auto"/>
                <w:sz w:val="21"/>
                <w:szCs w:val="21"/>
              </w:rPr>
            </w:pPr>
            <w:r>
              <w:rPr>
                <w:rFonts w:hint="eastAsia"/>
                <w:bCs/>
                <w:color w:val="auto"/>
                <w:sz w:val="21"/>
                <w:szCs w:val="21"/>
              </w:rPr>
              <w:t>2.29E-04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80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7" w:type="dxa"/>
            <w:vAlign w:val="bottom"/>
          </w:tcPr>
          <w:p>
            <w:pPr>
              <w:snapToGrid w:val="0"/>
              <w:jc w:val="center"/>
              <w:rPr>
                <w:bCs/>
                <w:color w:val="auto"/>
                <w:sz w:val="21"/>
                <w:szCs w:val="21"/>
              </w:rPr>
            </w:pPr>
            <w:r>
              <w:rPr>
                <w:rFonts w:hint="eastAsia"/>
                <w:bCs/>
                <w:color w:val="auto"/>
                <w:sz w:val="21"/>
                <w:szCs w:val="21"/>
              </w:rPr>
              <w:t>5.00E-19</w:t>
            </w:r>
          </w:p>
        </w:tc>
        <w:tc>
          <w:tcPr>
            <w:tcW w:w="1858" w:type="dxa"/>
            <w:vAlign w:val="bottom"/>
          </w:tcPr>
          <w:p>
            <w:pPr>
              <w:snapToGrid w:val="0"/>
              <w:jc w:val="center"/>
              <w:rPr>
                <w:bCs/>
                <w:color w:val="auto"/>
                <w:sz w:val="21"/>
                <w:szCs w:val="21"/>
              </w:rPr>
            </w:pPr>
            <w:r>
              <w:rPr>
                <w:rFonts w:hint="eastAsia"/>
                <w:bCs/>
                <w:color w:val="auto"/>
                <w:sz w:val="21"/>
                <w:szCs w:val="21"/>
              </w:rPr>
              <w:t>5.90E-12</w:t>
            </w:r>
          </w:p>
        </w:tc>
        <w:tc>
          <w:tcPr>
            <w:tcW w:w="1858" w:type="dxa"/>
            <w:vAlign w:val="bottom"/>
          </w:tcPr>
          <w:p>
            <w:pPr>
              <w:snapToGrid w:val="0"/>
              <w:jc w:val="center"/>
              <w:rPr>
                <w:bCs/>
                <w:color w:val="auto"/>
                <w:sz w:val="21"/>
                <w:szCs w:val="21"/>
              </w:rPr>
            </w:pPr>
            <w:r>
              <w:rPr>
                <w:rFonts w:hint="eastAsia"/>
                <w:bCs/>
                <w:color w:val="auto"/>
                <w:sz w:val="21"/>
                <w:szCs w:val="21"/>
              </w:rPr>
              <w:t>6.21E-07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100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1.85E-17</w:t>
            </w:r>
          </w:p>
        </w:tc>
        <w:tc>
          <w:tcPr>
            <w:tcW w:w="1858" w:type="dxa"/>
            <w:vAlign w:val="bottom"/>
          </w:tcPr>
          <w:p>
            <w:pPr>
              <w:snapToGrid w:val="0"/>
              <w:jc w:val="center"/>
              <w:rPr>
                <w:bCs/>
                <w:color w:val="auto"/>
                <w:sz w:val="21"/>
                <w:szCs w:val="21"/>
              </w:rPr>
            </w:pPr>
            <w:r>
              <w:rPr>
                <w:rFonts w:hint="eastAsia"/>
                <w:bCs/>
                <w:color w:val="auto"/>
                <w:sz w:val="21"/>
                <w:szCs w:val="21"/>
              </w:rPr>
              <w:t>2.20E-09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1</w:t>
            </w:r>
            <w:r>
              <w:rPr>
                <w:bCs/>
                <w:color w:val="auto"/>
                <w:sz w:val="21"/>
                <w:szCs w:val="21"/>
              </w:rPr>
              <w:t>50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2.00E-18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1</w:t>
            </w:r>
            <w:r>
              <w:rPr>
                <w:bCs/>
                <w:color w:val="auto"/>
                <w:sz w:val="21"/>
                <w:szCs w:val="21"/>
              </w:rPr>
              <w:t>80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0.00E+00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200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0.00E+00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2</w:t>
            </w:r>
            <w:r>
              <w:rPr>
                <w:bCs/>
                <w:color w:val="auto"/>
                <w:sz w:val="21"/>
                <w:szCs w:val="21"/>
              </w:rPr>
              <w:t>50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0.00E+00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3</w:t>
            </w:r>
            <w:r>
              <w:rPr>
                <w:bCs/>
                <w:color w:val="auto"/>
                <w:sz w:val="21"/>
                <w:szCs w:val="21"/>
              </w:rPr>
              <w:t>00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0.00E+00</w:t>
            </w:r>
          </w:p>
        </w:tc>
      </w:tr>
    </w:tbl>
    <w:p>
      <w:pPr>
        <w:snapToGrid w:val="0"/>
        <w:spacing w:line="360" w:lineRule="auto"/>
        <w:ind w:firstLine="480" w:firstLineChars="200"/>
        <w:jc w:val="both"/>
        <w:rPr>
          <w:snapToGrid w:val="0"/>
          <w:color w:val="auto"/>
        </w:rPr>
      </w:pPr>
      <w:r>
        <w:rPr>
          <w:rFonts w:hint="eastAsia"/>
          <w:color w:val="auto"/>
        </w:rPr>
        <w:t>建筑垃圾消纳场</w:t>
      </w:r>
      <w:r>
        <w:rPr>
          <w:color w:val="auto"/>
        </w:rPr>
        <w:t>防渗层破损渗漏情况下地下水</w:t>
      </w:r>
      <w:r>
        <w:rPr>
          <w:rFonts w:hint="eastAsia"/>
          <w:color w:val="auto"/>
        </w:rPr>
        <w:t>总铅</w:t>
      </w:r>
      <w:r>
        <w:rPr>
          <w:color w:val="auto"/>
        </w:rPr>
        <w:t>污染预测结果表明，</w:t>
      </w:r>
      <w:r>
        <w:rPr>
          <w:rFonts w:hint="eastAsia"/>
          <w:color w:val="auto"/>
        </w:rPr>
        <w:t>100天时，预测超标距离为16m，影响距离为23m；300天时，预测超标距离为29m，影响距离为41m；500天时，预测超标距离为39m，影响距离为55m；1000天时，预测超标距离为60m，影响距离为81m</w:t>
      </w:r>
      <w:r>
        <w:rPr>
          <w:snapToGrid w:val="0"/>
          <w:color w:val="auto"/>
        </w:rPr>
        <w:t>。</w:t>
      </w:r>
      <w:r>
        <w:rPr>
          <w:rFonts w:hint="eastAsia"/>
          <w:snapToGrid w:val="0"/>
          <w:color w:val="auto"/>
        </w:rPr>
        <w:t>不同时间预测浓度</w:t>
      </w:r>
      <w:r>
        <w:rPr>
          <w:snapToGrid w:val="0"/>
          <w:color w:val="auto"/>
        </w:rPr>
        <w:t>详见表5.2-</w:t>
      </w:r>
      <w:r>
        <w:rPr>
          <w:rFonts w:hint="eastAsia"/>
          <w:snapToGrid w:val="0"/>
          <w:color w:val="auto"/>
        </w:rPr>
        <w:t>19</w:t>
      </w:r>
      <w:r>
        <w:rPr>
          <w:snapToGrid w:val="0"/>
          <w:color w:val="auto"/>
        </w:rPr>
        <w:t>。</w:t>
      </w:r>
    </w:p>
    <w:p>
      <w:pPr>
        <w:snapToGrid w:val="0"/>
        <w:spacing w:line="360" w:lineRule="auto"/>
        <w:ind w:firstLine="480" w:firstLineChars="200"/>
        <w:jc w:val="both"/>
        <w:rPr>
          <w:snapToGrid w:val="0"/>
          <w:color w:val="auto"/>
        </w:rPr>
      </w:pPr>
    </w:p>
    <w:p>
      <w:pPr>
        <w:snapToGrid w:val="0"/>
        <w:jc w:val="center"/>
        <w:rPr>
          <w:b/>
          <w:color w:val="auto"/>
          <w:szCs w:val="21"/>
        </w:rPr>
      </w:pPr>
      <w:r>
        <w:rPr>
          <w:b/>
          <w:color w:val="auto"/>
        </w:rPr>
        <w:t>表5.2-</w:t>
      </w:r>
      <w:r>
        <w:rPr>
          <w:rFonts w:hint="eastAsia"/>
          <w:b/>
          <w:color w:val="auto"/>
        </w:rPr>
        <w:t>19</w:t>
      </w:r>
      <w:r>
        <w:rPr>
          <w:b/>
          <w:color w:val="auto"/>
          <w:szCs w:val="21"/>
        </w:rPr>
        <w:t xml:space="preserve">  </w:t>
      </w:r>
      <w:r>
        <w:rPr>
          <w:rFonts w:hint="eastAsia"/>
          <w:b/>
          <w:color w:val="auto"/>
          <w:szCs w:val="21"/>
        </w:rPr>
        <w:t>污染物（</w:t>
      </w:r>
      <w:r>
        <w:rPr>
          <w:rFonts w:hint="eastAsia"/>
          <w:b/>
          <w:bCs/>
          <w:color w:val="auto"/>
        </w:rPr>
        <w:t>总铅</w:t>
      </w:r>
      <w:r>
        <w:rPr>
          <w:rFonts w:hint="eastAsia"/>
          <w:b/>
          <w:color w:val="auto"/>
          <w:szCs w:val="21"/>
        </w:rPr>
        <w:t>）运移模拟结果（mg</w:t>
      </w:r>
      <w:r>
        <w:rPr>
          <w:b/>
          <w:color w:val="auto"/>
          <w:szCs w:val="21"/>
        </w:rPr>
        <w:t>/L</w:t>
      </w:r>
      <w:r>
        <w:rPr>
          <w:rFonts w:hint="eastAsia"/>
          <w:b/>
          <w:color w:val="auto"/>
          <w:szCs w:val="21"/>
        </w:rPr>
        <w:t>）</w:t>
      </w:r>
    </w:p>
    <w:tbl>
      <w:tblPr>
        <w:tblStyle w:val="54"/>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7"/>
        <w:gridCol w:w="1857"/>
        <w:gridCol w:w="1857"/>
        <w:gridCol w:w="1858"/>
        <w:gridCol w:w="18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
                <w:color w:val="auto"/>
                <w:sz w:val="21"/>
                <w:szCs w:val="21"/>
              </w:rPr>
            </w:pPr>
            <w:r>
              <w:rPr>
                <w:rFonts w:hint="eastAsia"/>
                <w:b/>
                <w:color w:val="auto"/>
                <w:sz w:val="21"/>
                <w:szCs w:val="21"/>
              </w:rPr>
              <w:t>距离</w:t>
            </w:r>
          </w:p>
        </w:tc>
        <w:tc>
          <w:tcPr>
            <w:tcW w:w="1857" w:type="dxa"/>
          </w:tcPr>
          <w:p>
            <w:pPr>
              <w:snapToGrid w:val="0"/>
              <w:jc w:val="center"/>
              <w:rPr>
                <w:b/>
                <w:color w:val="auto"/>
                <w:sz w:val="21"/>
                <w:szCs w:val="21"/>
              </w:rPr>
            </w:pPr>
            <w:r>
              <w:rPr>
                <w:rFonts w:hint="eastAsia"/>
                <w:b/>
                <w:color w:val="auto"/>
                <w:sz w:val="21"/>
                <w:szCs w:val="21"/>
              </w:rPr>
              <w:t>1</w:t>
            </w:r>
            <w:r>
              <w:rPr>
                <w:b/>
                <w:color w:val="auto"/>
                <w:sz w:val="21"/>
                <w:szCs w:val="21"/>
              </w:rPr>
              <w:t>00</w:t>
            </w:r>
            <w:r>
              <w:rPr>
                <w:rFonts w:hint="eastAsia"/>
                <w:b/>
                <w:color w:val="auto"/>
                <w:sz w:val="21"/>
                <w:szCs w:val="21"/>
              </w:rPr>
              <w:t>d</w:t>
            </w:r>
          </w:p>
        </w:tc>
        <w:tc>
          <w:tcPr>
            <w:tcW w:w="1857" w:type="dxa"/>
          </w:tcPr>
          <w:p>
            <w:pPr>
              <w:snapToGrid w:val="0"/>
              <w:jc w:val="center"/>
              <w:rPr>
                <w:b/>
                <w:color w:val="auto"/>
                <w:sz w:val="21"/>
                <w:szCs w:val="21"/>
              </w:rPr>
            </w:pPr>
            <w:r>
              <w:rPr>
                <w:rFonts w:hint="eastAsia"/>
                <w:b/>
                <w:color w:val="auto"/>
                <w:sz w:val="21"/>
                <w:szCs w:val="21"/>
              </w:rPr>
              <w:t>3</w:t>
            </w:r>
            <w:r>
              <w:rPr>
                <w:b/>
                <w:color w:val="auto"/>
                <w:sz w:val="21"/>
                <w:szCs w:val="21"/>
              </w:rPr>
              <w:t>00</w:t>
            </w:r>
            <w:r>
              <w:rPr>
                <w:rFonts w:hint="eastAsia"/>
                <w:b/>
                <w:color w:val="auto"/>
                <w:sz w:val="21"/>
                <w:szCs w:val="21"/>
              </w:rPr>
              <w:t>d</w:t>
            </w:r>
          </w:p>
        </w:tc>
        <w:tc>
          <w:tcPr>
            <w:tcW w:w="1858" w:type="dxa"/>
          </w:tcPr>
          <w:p>
            <w:pPr>
              <w:snapToGrid w:val="0"/>
              <w:jc w:val="center"/>
              <w:rPr>
                <w:b/>
                <w:color w:val="auto"/>
                <w:sz w:val="21"/>
                <w:szCs w:val="21"/>
              </w:rPr>
            </w:pPr>
            <w:r>
              <w:rPr>
                <w:rFonts w:hint="eastAsia"/>
                <w:b/>
                <w:color w:val="auto"/>
                <w:sz w:val="21"/>
                <w:szCs w:val="21"/>
              </w:rPr>
              <w:t>5</w:t>
            </w:r>
            <w:r>
              <w:rPr>
                <w:b/>
                <w:color w:val="auto"/>
                <w:sz w:val="21"/>
                <w:szCs w:val="21"/>
              </w:rPr>
              <w:t>00</w:t>
            </w:r>
            <w:r>
              <w:rPr>
                <w:rFonts w:hint="eastAsia"/>
                <w:b/>
                <w:color w:val="auto"/>
                <w:sz w:val="21"/>
                <w:szCs w:val="21"/>
              </w:rPr>
              <w:t>d</w:t>
            </w:r>
          </w:p>
        </w:tc>
        <w:tc>
          <w:tcPr>
            <w:tcW w:w="1858" w:type="dxa"/>
          </w:tcPr>
          <w:p>
            <w:pPr>
              <w:snapToGrid w:val="0"/>
              <w:jc w:val="center"/>
              <w:rPr>
                <w:b/>
                <w:color w:val="auto"/>
                <w:sz w:val="21"/>
                <w:szCs w:val="21"/>
              </w:rPr>
            </w:pPr>
            <w:r>
              <w:rPr>
                <w:rFonts w:hint="eastAsia"/>
                <w:b/>
                <w:color w:val="auto"/>
                <w:sz w:val="21"/>
                <w:szCs w:val="21"/>
              </w:rPr>
              <w:t>1</w:t>
            </w:r>
            <w:r>
              <w:rPr>
                <w:b/>
                <w:color w:val="auto"/>
                <w:sz w:val="21"/>
                <w:szCs w:val="21"/>
              </w:rPr>
              <w:t>000</w:t>
            </w:r>
            <w:r>
              <w:rPr>
                <w:rFonts w:hint="eastAsia"/>
                <w:b/>
                <w:color w:val="auto"/>
                <w:sz w:val="21"/>
                <w:szCs w:val="21"/>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1</w:t>
            </w:r>
          </w:p>
        </w:tc>
        <w:tc>
          <w:tcPr>
            <w:tcW w:w="1857" w:type="dxa"/>
          </w:tcPr>
          <w:p>
            <w:pPr>
              <w:snapToGrid w:val="0"/>
              <w:jc w:val="center"/>
              <w:rPr>
                <w:bCs/>
                <w:color w:val="auto"/>
                <w:sz w:val="21"/>
                <w:szCs w:val="21"/>
              </w:rPr>
            </w:pPr>
            <w:r>
              <w:rPr>
                <w:bCs/>
                <w:color w:val="auto"/>
                <w:sz w:val="21"/>
                <w:szCs w:val="21"/>
              </w:rPr>
              <w:t>1.89E+00</w:t>
            </w:r>
          </w:p>
        </w:tc>
        <w:tc>
          <w:tcPr>
            <w:tcW w:w="1857" w:type="dxa"/>
          </w:tcPr>
          <w:p>
            <w:pPr>
              <w:snapToGrid w:val="0"/>
              <w:jc w:val="center"/>
              <w:rPr>
                <w:bCs/>
                <w:color w:val="auto"/>
                <w:sz w:val="21"/>
                <w:szCs w:val="21"/>
              </w:rPr>
            </w:pPr>
            <w:r>
              <w:rPr>
                <w:bCs/>
                <w:color w:val="auto"/>
                <w:sz w:val="21"/>
                <w:szCs w:val="21"/>
              </w:rPr>
              <w:t>2.03E+00</w:t>
            </w:r>
          </w:p>
        </w:tc>
        <w:tc>
          <w:tcPr>
            <w:tcW w:w="1858" w:type="dxa"/>
          </w:tcPr>
          <w:p>
            <w:pPr>
              <w:snapToGrid w:val="0"/>
              <w:jc w:val="center"/>
              <w:rPr>
                <w:bCs/>
                <w:color w:val="auto"/>
                <w:sz w:val="21"/>
                <w:szCs w:val="21"/>
              </w:rPr>
            </w:pPr>
            <w:r>
              <w:rPr>
                <w:bCs/>
                <w:color w:val="auto"/>
                <w:sz w:val="21"/>
                <w:szCs w:val="21"/>
              </w:rPr>
              <w:t>2.07E+00</w:t>
            </w:r>
          </w:p>
        </w:tc>
        <w:tc>
          <w:tcPr>
            <w:tcW w:w="1858" w:type="dxa"/>
          </w:tcPr>
          <w:p>
            <w:pPr>
              <w:snapToGrid w:val="0"/>
              <w:jc w:val="center"/>
              <w:rPr>
                <w:bCs/>
                <w:color w:val="auto"/>
                <w:sz w:val="21"/>
                <w:szCs w:val="21"/>
              </w:rPr>
            </w:pPr>
            <w:r>
              <w:rPr>
                <w:bCs/>
                <w:color w:val="auto"/>
                <w:sz w:val="21"/>
                <w:szCs w:val="21"/>
              </w:rPr>
              <w:t>2.10E+00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10</w:t>
            </w:r>
          </w:p>
        </w:tc>
        <w:tc>
          <w:tcPr>
            <w:tcW w:w="1857" w:type="dxa"/>
            <w:vAlign w:val="bottom"/>
          </w:tcPr>
          <w:p>
            <w:pPr>
              <w:snapToGrid w:val="0"/>
              <w:jc w:val="center"/>
              <w:rPr>
                <w:bCs/>
                <w:color w:val="auto"/>
                <w:sz w:val="21"/>
                <w:szCs w:val="21"/>
              </w:rPr>
            </w:pPr>
            <w:r>
              <w:rPr>
                <w:rFonts w:hint="eastAsia"/>
                <w:bCs/>
                <w:color w:val="auto"/>
                <w:sz w:val="21"/>
                <w:szCs w:val="21"/>
              </w:rPr>
              <w:t>2.01E-01</w:t>
            </w:r>
          </w:p>
        </w:tc>
        <w:tc>
          <w:tcPr>
            <w:tcW w:w="1857" w:type="dxa"/>
            <w:vAlign w:val="bottom"/>
          </w:tcPr>
          <w:p>
            <w:pPr>
              <w:snapToGrid w:val="0"/>
              <w:jc w:val="center"/>
              <w:rPr>
                <w:bCs/>
                <w:color w:val="auto"/>
                <w:sz w:val="21"/>
                <w:szCs w:val="21"/>
              </w:rPr>
            </w:pPr>
            <w:r>
              <w:rPr>
                <w:rFonts w:hint="eastAsia"/>
                <w:bCs/>
                <w:color w:val="auto"/>
                <w:sz w:val="21"/>
                <w:szCs w:val="21"/>
              </w:rPr>
              <w:t>9.12E-01</w:t>
            </w:r>
          </w:p>
        </w:tc>
        <w:tc>
          <w:tcPr>
            <w:tcW w:w="1858" w:type="dxa"/>
            <w:vAlign w:val="bottom"/>
          </w:tcPr>
          <w:p>
            <w:pPr>
              <w:snapToGrid w:val="0"/>
              <w:jc w:val="center"/>
              <w:rPr>
                <w:bCs/>
                <w:color w:val="auto"/>
                <w:sz w:val="21"/>
                <w:szCs w:val="21"/>
              </w:rPr>
            </w:pPr>
            <w:r>
              <w:rPr>
                <w:rFonts w:hint="eastAsia"/>
                <w:bCs/>
                <w:color w:val="auto"/>
                <w:sz w:val="21"/>
                <w:szCs w:val="21"/>
              </w:rPr>
              <w:t>1.29E+00</w:t>
            </w:r>
          </w:p>
        </w:tc>
        <w:tc>
          <w:tcPr>
            <w:tcW w:w="1858" w:type="dxa"/>
            <w:vAlign w:val="bottom"/>
          </w:tcPr>
          <w:p>
            <w:pPr>
              <w:snapToGrid w:val="0"/>
              <w:jc w:val="center"/>
              <w:rPr>
                <w:bCs/>
                <w:color w:val="auto"/>
                <w:sz w:val="21"/>
                <w:szCs w:val="21"/>
              </w:rPr>
            </w:pPr>
            <w:r>
              <w:rPr>
                <w:rFonts w:hint="eastAsia"/>
                <w:bCs/>
                <w:color w:val="auto"/>
                <w:sz w:val="21"/>
                <w:szCs w:val="21"/>
              </w:rPr>
              <w:t>1.70E+00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20</w:t>
            </w:r>
          </w:p>
        </w:tc>
        <w:tc>
          <w:tcPr>
            <w:tcW w:w="1857" w:type="dxa"/>
            <w:vAlign w:val="bottom"/>
          </w:tcPr>
          <w:p>
            <w:pPr>
              <w:snapToGrid w:val="0"/>
              <w:jc w:val="center"/>
              <w:rPr>
                <w:bCs/>
                <w:color w:val="auto"/>
                <w:sz w:val="21"/>
                <w:szCs w:val="21"/>
              </w:rPr>
            </w:pPr>
            <w:r>
              <w:rPr>
                <w:rFonts w:hint="eastAsia"/>
                <w:bCs/>
                <w:color w:val="auto"/>
                <w:sz w:val="21"/>
                <w:szCs w:val="21"/>
              </w:rPr>
              <w:t>8.82E-04</w:t>
            </w:r>
          </w:p>
        </w:tc>
        <w:tc>
          <w:tcPr>
            <w:tcW w:w="1857" w:type="dxa"/>
            <w:vAlign w:val="bottom"/>
          </w:tcPr>
          <w:p>
            <w:pPr>
              <w:snapToGrid w:val="0"/>
              <w:jc w:val="center"/>
              <w:rPr>
                <w:bCs/>
                <w:color w:val="auto"/>
                <w:sz w:val="21"/>
                <w:szCs w:val="21"/>
              </w:rPr>
            </w:pPr>
            <w:r>
              <w:rPr>
                <w:rFonts w:hint="eastAsia"/>
                <w:bCs/>
                <w:color w:val="auto"/>
                <w:sz w:val="21"/>
                <w:szCs w:val="21"/>
              </w:rPr>
              <w:t>1.55E-01</w:t>
            </w:r>
          </w:p>
        </w:tc>
        <w:tc>
          <w:tcPr>
            <w:tcW w:w="1858" w:type="dxa"/>
            <w:vAlign w:val="bottom"/>
          </w:tcPr>
          <w:p>
            <w:pPr>
              <w:snapToGrid w:val="0"/>
              <w:jc w:val="center"/>
              <w:rPr>
                <w:bCs/>
                <w:color w:val="auto"/>
                <w:sz w:val="21"/>
                <w:szCs w:val="21"/>
              </w:rPr>
            </w:pPr>
            <w:r>
              <w:rPr>
                <w:rFonts w:hint="eastAsia"/>
                <w:bCs/>
                <w:color w:val="auto"/>
                <w:sz w:val="21"/>
                <w:szCs w:val="21"/>
              </w:rPr>
              <w:t>4.67E-01</w:t>
            </w:r>
          </w:p>
        </w:tc>
        <w:tc>
          <w:tcPr>
            <w:tcW w:w="1858" w:type="dxa"/>
            <w:vAlign w:val="bottom"/>
          </w:tcPr>
          <w:p>
            <w:pPr>
              <w:snapToGrid w:val="0"/>
              <w:jc w:val="center"/>
              <w:rPr>
                <w:bCs/>
                <w:color w:val="auto"/>
                <w:sz w:val="21"/>
                <w:szCs w:val="21"/>
              </w:rPr>
            </w:pPr>
            <w:r>
              <w:rPr>
                <w:rFonts w:hint="eastAsia"/>
                <w:bCs/>
                <w:color w:val="auto"/>
                <w:sz w:val="21"/>
                <w:szCs w:val="21"/>
              </w:rPr>
              <w:t>1.10E+00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50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7" w:type="dxa"/>
            <w:vAlign w:val="bottom"/>
          </w:tcPr>
          <w:p>
            <w:pPr>
              <w:snapToGrid w:val="0"/>
              <w:jc w:val="center"/>
              <w:rPr>
                <w:bCs/>
                <w:color w:val="auto"/>
                <w:sz w:val="21"/>
                <w:szCs w:val="21"/>
              </w:rPr>
            </w:pPr>
            <w:r>
              <w:rPr>
                <w:rFonts w:hint="eastAsia"/>
                <w:bCs/>
                <w:color w:val="auto"/>
                <w:sz w:val="21"/>
                <w:szCs w:val="21"/>
              </w:rPr>
              <w:t>1.15E-06</w:t>
            </w:r>
          </w:p>
        </w:tc>
        <w:tc>
          <w:tcPr>
            <w:tcW w:w="1858" w:type="dxa"/>
            <w:vAlign w:val="bottom"/>
          </w:tcPr>
          <w:p>
            <w:pPr>
              <w:snapToGrid w:val="0"/>
              <w:jc w:val="center"/>
              <w:rPr>
                <w:bCs/>
                <w:color w:val="auto"/>
                <w:sz w:val="21"/>
                <w:szCs w:val="21"/>
              </w:rPr>
            </w:pPr>
            <w:r>
              <w:rPr>
                <w:rFonts w:hint="eastAsia"/>
                <w:bCs/>
                <w:color w:val="auto"/>
                <w:sz w:val="21"/>
                <w:szCs w:val="21"/>
              </w:rPr>
              <w:t>5.27E-04</w:t>
            </w:r>
          </w:p>
        </w:tc>
        <w:tc>
          <w:tcPr>
            <w:tcW w:w="1858" w:type="dxa"/>
            <w:vAlign w:val="bottom"/>
          </w:tcPr>
          <w:p>
            <w:pPr>
              <w:snapToGrid w:val="0"/>
              <w:jc w:val="center"/>
              <w:rPr>
                <w:bCs/>
                <w:color w:val="auto"/>
                <w:sz w:val="21"/>
                <w:szCs w:val="21"/>
              </w:rPr>
            </w:pPr>
            <w:r>
              <w:rPr>
                <w:rFonts w:hint="eastAsia"/>
                <w:bCs/>
                <w:color w:val="auto"/>
                <w:sz w:val="21"/>
                <w:szCs w:val="21"/>
              </w:rPr>
              <w:t>5.42E-02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80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7" w:type="dxa"/>
            <w:vAlign w:val="bottom"/>
          </w:tcPr>
          <w:p>
            <w:pPr>
              <w:snapToGrid w:val="0"/>
              <w:jc w:val="center"/>
              <w:rPr>
                <w:bCs/>
                <w:color w:val="auto"/>
                <w:sz w:val="21"/>
                <w:szCs w:val="21"/>
              </w:rPr>
            </w:pPr>
            <w:r>
              <w:rPr>
                <w:rFonts w:hint="eastAsia"/>
                <w:bCs/>
                <w:color w:val="auto"/>
                <w:sz w:val="21"/>
                <w:szCs w:val="21"/>
              </w:rPr>
              <w:t>1.18E-16</w:t>
            </w:r>
          </w:p>
        </w:tc>
        <w:tc>
          <w:tcPr>
            <w:tcW w:w="1858" w:type="dxa"/>
            <w:vAlign w:val="bottom"/>
          </w:tcPr>
          <w:p>
            <w:pPr>
              <w:snapToGrid w:val="0"/>
              <w:jc w:val="center"/>
              <w:rPr>
                <w:bCs/>
                <w:color w:val="auto"/>
                <w:sz w:val="21"/>
                <w:szCs w:val="21"/>
              </w:rPr>
            </w:pPr>
            <w:r>
              <w:rPr>
                <w:rFonts w:hint="eastAsia"/>
                <w:bCs/>
                <w:color w:val="auto"/>
                <w:sz w:val="21"/>
                <w:szCs w:val="21"/>
              </w:rPr>
              <w:t>1.40E-09</w:t>
            </w:r>
          </w:p>
        </w:tc>
        <w:tc>
          <w:tcPr>
            <w:tcW w:w="1858" w:type="dxa"/>
            <w:vAlign w:val="bottom"/>
          </w:tcPr>
          <w:p>
            <w:pPr>
              <w:snapToGrid w:val="0"/>
              <w:jc w:val="center"/>
              <w:rPr>
                <w:bCs/>
                <w:color w:val="auto"/>
                <w:sz w:val="21"/>
                <w:szCs w:val="21"/>
              </w:rPr>
            </w:pPr>
            <w:r>
              <w:rPr>
                <w:rFonts w:hint="eastAsia"/>
                <w:bCs/>
                <w:color w:val="auto"/>
                <w:sz w:val="21"/>
                <w:szCs w:val="21"/>
              </w:rPr>
              <w:t>1.47E-04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100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4.37E-15</w:t>
            </w:r>
          </w:p>
        </w:tc>
        <w:tc>
          <w:tcPr>
            <w:tcW w:w="1858" w:type="dxa"/>
            <w:vAlign w:val="bottom"/>
          </w:tcPr>
          <w:p>
            <w:pPr>
              <w:snapToGrid w:val="0"/>
              <w:jc w:val="center"/>
              <w:rPr>
                <w:bCs/>
                <w:color w:val="auto"/>
                <w:sz w:val="21"/>
                <w:szCs w:val="21"/>
              </w:rPr>
            </w:pPr>
            <w:r>
              <w:rPr>
                <w:rFonts w:hint="eastAsia"/>
                <w:bCs/>
                <w:color w:val="auto"/>
                <w:sz w:val="21"/>
                <w:szCs w:val="21"/>
              </w:rPr>
              <w:t>5.20E-07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1</w:t>
            </w:r>
            <w:r>
              <w:rPr>
                <w:bCs/>
                <w:color w:val="auto"/>
                <w:sz w:val="21"/>
                <w:szCs w:val="21"/>
              </w:rPr>
              <w:t>50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4.73E-16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rFonts w:hint="eastAsia"/>
                <w:bCs/>
                <w:color w:val="auto"/>
                <w:sz w:val="21"/>
                <w:szCs w:val="21"/>
              </w:rPr>
              <w:t>1</w:t>
            </w:r>
            <w:r>
              <w:rPr>
                <w:bCs/>
                <w:color w:val="auto"/>
                <w:sz w:val="21"/>
                <w:szCs w:val="21"/>
              </w:rPr>
              <w:t>80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0.00E+00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Pr>
          <w:p>
            <w:pPr>
              <w:snapToGrid w:val="0"/>
              <w:jc w:val="center"/>
              <w:rPr>
                <w:bCs/>
                <w:color w:val="auto"/>
                <w:sz w:val="21"/>
                <w:szCs w:val="21"/>
              </w:rPr>
            </w:pPr>
            <w:r>
              <w:rPr>
                <w:bCs/>
                <w:color w:val="auto"/>
                <w:sz w:val="21"/>
                <w:szCs w:val="21"/>
              </w:rPr>
              <w:t>200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7"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0.00E+00</w:t>
            </w:r>
          </w:p>
        </w:tc>
        <w:tc>
          <w:tcPr>
            <w:tcW w:w="1858" w:type="dxa"/>
            <w:vAlign w:val="bottom"/>
          </w:tcPr>
          <w:p>
            <w:pPr>
              <w:snapToGrid w:val="0"/>
              <w:jc w:val="center"/>
              <w:rPr>
                <w:bCs/>
                <w:color w:val="auto"/>
                <w:sz w:val="21"/>
                <w:szCs w:val="21"/>
              </w:rPr>
            </w:pPr>
            <w:r>
              <w:rPr>
                <w:rFonts w:hint="eastAsia"/>
                <w:bCs/>
                <w:color w:val="auto"/>
                <w:sz w:val="21"/>
                <w:szCs w:val="21"/>
              </w:rPr>
              <w:t>0.00E+00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Borders>
              <w:bottom w:val="single" w:color="auto" w:sz="4" w:space="0"/>
            </w:tcBorders>
          </w:tcPr>
          <w:p>
            <w:pPr>
              <w:snapToGrid w:val="0"/>
              <w:jc w:val="center"/>
              <w:rPr>
                <w:bCs/>
                <w:color w:val="auto"/>
                <w:sz w:val="21"/>
                <w:szCs w:val="21"/>
              </w:rPr>
            </w:pPr>
            <w:r>
              <w:rPr>
                <w:rFonts w:hint="eastAsia"/>
                <w:bCs/>
                <w:color w:val="auto"/>
                <w:sz w:val="21"/>
                <w:szCs w:val="21"/>
              </w:rPr>
              <w:t>2</w:t>
            </w:r>
            <w:r>
              <w:rPr>
                <w:bCs/>
                <w:color w:val="auto"/>
                <w:sz w:val="21"/>
                <w:szCs w:val="21"/>
              </w:rPr>
              <w:t>50</w:t>
            </w:r>
          </w:p>
        </w:tc>
        <w:tc>
          <w:tcPr>
            <w:tcW w:w="1857" w:type="dxa"/>
            <w:tcBorders>
              <w:bottom w:val="single" w:color="auto" w:sz="4" w:space="0"/>
            </w:tcBorders>
            <w:vAlign w:val="bottom"/>
          </w:tcPr>
          <w:p>
            <w:pPr>
              <w:snapToGrid w:val="0"/>
              <w:jc w:val="center"/>
              <w:rPr>
                <w:bCs/>
                <w:color w:val="auto"/>
                <w:sz w:val="21"/>
                <w:szCs w:val="21"/>
              </w:rPr>
            </w:pPr>
            <w:r>
              <w:rPr>
                <w:rFonts w:hint="eastAsia"/>
                <w:bCs/>
                <w:color w:val="auto"/>
                <w:sz w:val="21"/>
                <w:szCs w:val="21"/>
              </w:rPr>
              <w:t>0.00E+00</w:t>
            </w:r>
          </w:p>
        </w:tc>
        <w:tc>
          <w:tcPr>
            <w:tcW w:w="1857" w:type="dxa"/>
            <w:tcBorders>
              <w:bottom w:val="single" w:color="auto" w:sz="4" w:space="0"/>
            </w:tcBorders>
            <w:vAlign w:val="bottom"/>
          </w:tcPr>
          <w:p>
            <w:pPr>
              <w:snapToGrid w:val="0"/>
              <w:jc w:val="center"/>
              <w:rPr>
                <w:bCs/>
                <w:color w:val="auto"/>
                <w:sz w:val="21"/>
                <w:szCs w:val="21"/>
              </w:rPr>
            </w:pPr>
            <w:r>
              <w:rPr>
                <w:rFonts w:hint="eastAsia"/>
                <w:bCs/>
                <w:color w:val="auto"/>
                <w:sz w:val="21"/>
                <w:szCs w:val="21"/>
              </w:rPr>
              <w:t>0.00E+00</w:t>
            </w:r>
          </w:p>
        </w:tc>
        <w:tc>
          <w:tcPr>
            <w:tcW w:w="1858" w:type="dxa"/>
            <w:tcBorders>
              <w:bottom w:val="single" w:color="auto" w:sz="4" w:space="0"/>
            </w:tcBorders>
            <w:vAlign w:val="bottom"/>
          </w:tcPr>
          <w:p>
            <w:pPr>
              <w:snapToGrid w:val="0"/>
              <w:jc w:val="center"/>
              <w:rPr>
                <w:bCs/>
                <w:color w:val="auto"/>
                <w:sz w:val="21"/>
                <w:szCs w:val="21"/>
              </w:rPr>
            </w:pPr>
            <w:r>
              <w:rPr>
                <w:rFonts w:hint="eastAsia"/>
                <w:bCs/>
                <w:color w:val="auto"/>
                <w:sz w:val="21"/>
                <w:szCs w:val="21"/>
              </w:rPr>
              <w:t>0.00E+00</w:t>
            </w:r>
          </w:p>
        </w:tc>
        <w:tc>
          <w:tcPr>
            <w:tcW w:w="1858" w:type="dxa"/>
            <w:tcBorders>
              <w:bottom w:val="single" w:color="auto" w:sz="4" w:space="0"/>
            </w:tcBorders>
            <w:vAlign w:val="bottom"/>
          </w:tcPr>
          <w:p>
            <w:pPr>
              <w:snapToGrid w:val="0"/>
              <w:jc w:val="center"/>
              <w:rPr>
                <w:bCs/>
                <w:color w:val="auto"/>
                <w:sz w:val="21"/>
                <w:szCs w:val="21"/>
              </w:rPr>
            </w:pPr>
            <w:r>
              <w:rPr>
                <w:rFonts w:hint="eastAsia"/>
                <w:bCs/>
                <w:color w:val="auto"/>
                <w:sz w:val="21"/>
                <w:szCs w:val="21"/>
              </w:rPr>
              <w:t>0.00E+00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57" w:type="dxa"/>
            <w:tcBorders>
              <w:top w:val="single" w:color="auto" w:sz="4" w:space="0"/>
              <w:bottom w:val="single" w:color="auto" w:sz="12" w:space="0"/>
            </w:tcBorders>
          </w:tcPr>
          <w:p>
            <w:pPr>
              <w:snapToGrid w:val="0"/>
              <w:jc w:val="center"/>
              <w:rPr>
                <w:bCs/>
                <w:color w:val="auto"/>
                <w:sz w:val="21"/>
                <w:szCs w:val="21"/>
              </w:rPr>
            </w:pPr>
            <w:r>
              <w:rPr>
                <w:rFonts w:hint="eastAsia"/>
                <w:bCs/>
                <w:color w:val="auto"/>
                <w:sz w:val="21"/>
                <w:szCs w:val="21"/>
              </w:rPr>
              <w:t>3</w:t>
            </w:r>
            <w:r>
              <w:rPr>
                <w:bCs/>
                <w:color w:val="auto"/>
                <w:sz w:val="21"/>
                <w:szCs w:val="21"/>
              </w:rPr>
              <w:t>00</w:t>
            </w:r>
          </w:p>
        </w:tc>
        <w:tc>
          <w:tcPr>
            <w:tcW w:w="1857" w:type="dxa"/>
            <w:tcBorders>
              <w:top w:val="single" w:color="auto" w:sz="4" w:space="0"/>
              <w:bottom w:val="single" w:color="auto" w:sz="12" w:space="0"/>
            </w:tcBorders>
            <w:vAlign w:val="bottom"/>
          </w:tcPr>
          <w:p>
            <w:pPr>
              <w:snapToGrid w:val="0"/>
              <w:jc w:val="center"/>
              <w:rPr>
                <w:bCs/>
                <w:color w:val="auto"/>
                <w:sz w:val="21"/>
                <w:szCs w:val="21"/>
              </w:rPr>
            </w:pPr>
            <w:r>
              <w:rPr>
                <w:rFonts w:hint="eastAsia"/>
                <w:bCs/>
                <w:color w:val="auto"/>
                <w:sz w:val="21"/>
                <w:szCs w:val="21"/>
              </w:rPr>
              <w:t>0.00E+00</w:t>
            </w:r>
          </w:p>
        </w:tc>
        <w:tc>
          <w:tcPr>
            <w:tcW w:w="1857" w:type="dxa"/>
            <w:tcBorders>
              <w:top w:val="single" w:color="auto" w:sz="4" w:space="0"/>
              <w:bottom w:val="single" w:color="auto" w:sz="12" w:space="0"/>
            </w:tcBorders>
            <w:vAlign w:val="bottom"/>
          </w:tcPr>
          <w:p>
            <w:pPr>
              <w:snapToGrid w:val="0"/>
              <w:jc w:val="center"/>
              <w:rPr>
                <w:bCs/>
                <w:color w:val="auto"/>
                <w:sz w:val="21"/>
                <w:szCs w:val="21"/>
              </w:rPr>
            </w:pPr>
            <w:r>
              <w:rPr>
                <w:rFonts w:hint="eastAsia"/>
                <w:bCs/>
                <w:color w:val="auto"/>
                <w:sz w:val="21"/>
                <w:szCs w:val="21"/>
              </w:rPr>
              <w:t>0.00E+00</w:t>
            </w:r>
          </w:p>
        </w:tc>
        <w:tc>
          <w:tcPr>
            <w:tcW w:w="1858" w:type="dxa"/>
            <w:tcBorders>
              <w:top w:val="single" w:color="auto" w:sz="4" w:space="0"/>
              <w:bottom w:val="single" w:color="auto" w:sz="12" w:space="0"/>
            </w:tcBorders>
            <w:vAlign w:val="bottom"/>
          </w:tcPr>
          <w:p>
            <w:pPr>
              <w:snapToGrid w:val="0"/>
              <w:jc w:val="center"/>
              <w:rPr>
                <w:bCs/>
                <w:color w:val="auto"/>
                <w:sz w:val="21"/>
                <w:szCs w:val="21"/>
              </w:rPr>
            </w:pPr>
            <w:r>
              <w:rPr>
                <w:rFonts w:hint="eastAsia"/>
                <w:bCs/>
                <w:color w:val="auto"/>
                <w:sz w:val="21"/>
                <w:szCs w:val="21"/>
              </w:rPr>
              <w:t>0.00E+00</w:t>
            </w:r>
          </w:p>
        </w:tc>
        <w:tc>
          <w:tcPr>
            <w:tcW w:w="1858" w:type="dxa"/>
            <w:tcBorders>
              <w:top w:val="single" w:color="auto" w:sz="4" w:space="0"/>
              <w:bottom w:val="single" w:color="auto" w:sz="12" w:space="0"/>
            </w:tcBorders>
            <w:vAlign w:val="bottom"/>
          </w:tcPr>
          <w:p>
            <w:pPr>
              <w:snapToGrid w:val="0"/>
              <w:jc w:val="center"/>
              <w:rPr>
                <w:bCs/>
                <w:color w:val="auto"/>
                <w:sz w:val="21"/>
                <w:szCs w:val="21"/>
              </w:rPr>
            </w:pPr>
            <w:r>
              <w:rPr>
                <w:rFonts w:hint="eastAsia"/>
                <w:bCs/>
                <w:color w:val="auto"/>
                <w:sz w:val="21"/>
                <w:szCs w:val="21"/>
              </w:rPr>
              <w:t>0.00E+00</w:t>
            </w:r>
          </w:p>
        </w:tc>
      </w:tr>
    </w:tbl>
    <w:p>
      <w:pPr>
        <w:spacing w:line="360" w:lineRule="auto"/>
        <w:ind w:firstLine="480"/>
        <w:rPr>
          <w:color w:val="auto"/>
        </w:rPr>
      </w:pPr>
      <w:r>
        <w:rPr>
          <w:rFonts w:hint="eastAsia"/>
          <w:color w:val="auto"/>
        </w:rPr>
        <w:t>综上，正常情况下，对地下水的污染主要是由于污染物迁移穿过包气带进入含水层造成，本项目场地为粉质黏土层，其渗透系数为10</w:t>
      </w:r>
      <w:r>
        <w:rPr>
          <w:rFonts w:hint="eastAsia"/>
          <w:color w:val="auto"/>
          <w:vertAlign w:val="superscript"/>
        </w:rPr>
        <w:t>-5</w:t>
      </w:r>
      <w:r>
        <w:rPr>
          <w:rFonts w:hint="eastAsia"/>
          <w:color w:val="auto"/>
        </w:rPr>
        <w:t>cm/s≤K＜10</w:t>
      </w:r>
      <w:r>
        <w:rPr>
          <w:rFonts w:hint="eastAsia"/>
          <w:color w:val="auto"/>
          <w:vertAlign w:val="superscript"/>
        </w:rPr>
        <w:t>-4</w:t>
      </w:r>
      <w:r>
        <w:rPr>
          <w:rFonts w:hint="eastAsia"/>
          <w:color w:val="auto"/>
        </w:rPr>
        <w:t>cm/s，包气带防污性能为中级，说明浅层水不太容易受到污染。若废水或废液发生渗漏，污染物不会很快穿过包气带进入浅层地下水，对地下水的污染很小。地下水环境保护目标为维持场地的地下水环境现状。</w:t>
      </w:r>
    </w:p>
    <w:p>
      <w:pPr>
        <w:spacing w:line="360" w:lineRule="auto"/>
        <w:ind w:firstLine="480"/>
        <w:rPr>
          <w:color w:val="auto"/>
        </w:rPr>
      </w:pPr>
      <w:r>
        <w:rPr>
          <w:rFonts w:hint="eastAsia"/>
          <w:color w:val="auto"/>
        </w:rPr>
        <w:t>同时本环评要求建设单位在建设过程对生产车间、废水处理设施进行重点防渗，地面除使用防渗混凝土以外，对于混凝土中间的伸缩缝、缩缝和与实体基础的缝隙，通过填充柔性材料、防渗填塞料达到防渗目的。对各地面和池体表面使用环氧树脂等进行防腐防渗。经采取上述措施后，各单元防渗层渗透系数≤10</w:t>
      </w:r>
      <w:r>
        <w:rPr>
          <w:rFonts w:hint="eastAsia"/>
          <w:color w:val="auto"/>
          <w:vertAlign w:val="superscript"/>
        </w:rPr>
        <w:t>-10</w:t>
      </w:r>
      <w:r>
        <w:rPr>
          <w:rFonts w:hint="eastAsia"/>
          <w:color w:val="auto"/>
        </w:rPr>
        <w:t>cm/s。</w:t>
      </w:r>
    </w:p>
    <w:p>
      <w:pPr>
        <w:spacing w:line="360" w:lineRule="auto"/>
        <w:ind w:firstLine="480"/>
        <w:rPr>
          <w:color w:val="auto"/>
        </w:rPr>
      </w:pPr>
      <w:r>
        <w:rPr>
          <w:rFonts w:hint="eastAsia"/>
          <w:color w:val="auto"/>
        </w:rPr>
        <w:t>同时，对建筑垃圾消纳场</w:t>
      </w:r>
      <w:r>
        <w:rPr>
          <w:color w:val="auto"/>
        </w:rPr>
        <w:t>底部采用</w:t>
      </w:r>
      <w:r>
        <w:rPr>
          <w:rFonts w:hint="eastAsia"/>
          <w:color w:val="auto"/>
        </w:rPr>
        <w:t>铺设</w:t>
      </w:r>
      <w:r>
        <w:rPr>
          <w:color w:val="auto"/>
          <w:kern w:val="0"/>
        </w:rPr>
        <w:t>高密度聚乙烯（HDPE）</w:t>
      </w:r>
      <w:r>
        <w:rPr>
          <w:color w:val="auto"/>
        </w:rPr>
        <w:t>水平防渗</w:t>
      </w:r>
      <w:r>
        <w:rPr>
          <w:rFonts w:hint="eastAsia"/>
          <w:color w:val="auto"/>
        </w:rPr>
        <w:t>，根据项目场地水文地质条件，建筑垃圾消纳场项目设置地下水监控井</w:t>
      </w:r>
      <w:r>
        <w:rPr>
          <w:color w:val="auto"/>
        </w:rPr>
        <w:t>3</w:t>
      </w:r>
      <w:r>
        <w:rPr>
          <w:rFonts w:hint="eastAsia"/>
          <w:color w:val="auto"/>
        </w:rPr>
        <w:t>眼，设置原则为</w:t>
      </w:r>
      <w:r>
        <w:rPr>
          <w:rFonts w:hint="eastAsia"/>
          <w:color w:val="auto"/>
          <w:kern w:val="0"/>
        </w:rPr>
        <w:t>本底井一眼：设在填埋场地下水流向上游</w:t>
      </w:r>
      <w:r>
        <w:rPr>
          <w:color w:val="auto"/>
          <w:kern w:val="0"/>
        </w:rPr>
        <w:t>30m~50m</w:t>
      </w:r>
      <w:r>
        <w:rPr>
          <w:rFonts w:hint="eastAsia"/>
          <w:color w:val="auto"/>
          <w:kern w:val="0"/>
        </w:rPr>
        <w:t>处；污染扩散井一眼：设在垂直填埋场地下水走向的一侧</w:t>
      </w:r>
      <w:r>
        <w:rPr>
          <w:color w:val="auto"/>
          <w:kern w:val="0"/>
        </w:rPr>
        <w:t>30m~50m</w:t>
      </w:r>
      <w:r>
        <w:rPr>
          <w:rFonts w:hint="eastAsia"/>
          <w:color w:val="auto"/>
          <w:kern w:val="0"/>
        </w:rPr>
        <w:t>处；污染监视井一眼：设在填埋场地下水流向下游</w:t>
      </w:r>
      <w:r>
        <w:rPr>
          <w:color w:val="auto"/>
          <w:kern w:val="0"/>
        </w:rPr>
        <w:t>50m</w:t>
      </w:r>
      <w:r>
        <w:rPr>
          <w:rFonts w:hint="eastAsia"/>
          <w:color w:val="auto"/>
          <w:kern w:val="0"/>
        </w:rPr>
        <w:t>处。</w:t>
      </w:r>
    </w:p>
    <w:p>
      <w:pPr>
        <w:spacing w:line="360" w:lineRule="auto"/>
        <w:ind w:firstLine="480"/>
        <w:rPr>
          <w:color w:val="auto"/>
        </w:rPr>
      </w:pPr>
      <w:r>
        <w:rPr>
          <w:rFonts w:hint="eastAsia"/>
          <w:color w:val="auto"/>
        </w:rPr>
        <w:t>因此，本次评价认为在采取环评提出的防治措施后，由于本工程淋溶液产生量较小，对周边地下水影响较小，但应加强以下防治措施：</w:t>
      </w:r>
    </w:p>
    <w:p>
      <w:pPr>
        <w:spacing w:line="360" w:lineRule="auto"/>
        <w:ind w:firstLine="480"/>
        <w:rPr>
          <w:color w:val="auto"/>
        </w:rPr>
      </w:pPr>
      <w:r>
        <w:rPr>
          <w:color w:val="auto"/>
        </w:rPr>
        <w:fldChar w:fldCharType="begin"/>
      </w:r>
      <w:r>
        <w:rPr>
          <w:color w:val="auto"/>
        </w:rPr>
        <w:instrText xml:space="preserve"> </w:instrText>
      </w:r>
      <w:r>
        <w:rPr>
          <w:rFonts w:hint="eastAsia"/>
          <w:color w:val="auto"/>
        </w:rPr>
        <w:instrText xml:space="preserve">= 1 \* GB3</w:instrText>
      </w:r>
      <w:r>
        <w:rPr>
          <w:color w:val="auto"/>
        </w:rPr>
        <w:instrText xml:space="preserve"> </w:instrText>
      </w:r>
      <w:r>
        <w:rPr>
          <w:color w:val="auto"/>
        </w:rPr>
        <w:fldChar w:fldCharType="separate"/>
      </w:r>
      <w:r>
        <w:rPr>
          <w:rFonts w:hint="eastAsia"/>
          <w:color w:val="auto"/>
        </w:rPr>
        <w:t>①</w:t>
      </w:r>
      <w:r>
        <w:rPr>
          <w:color w:val="auto"/>
        </w:rPr>
        <w:fldChar w:fldCharType="end"/>
      </w:r>
      <w:r>
        <w:rPr>
          <w:rFonts w:hint="eastAsia"/>
          <w:color w:val="auto"/>
        </w:rPr>
        <w:t>加强淋溶液收集系统、地下水监测井的监测；</w:t>
      </w:r>
    </w:p>
    <w:p>
      <w:pPr>
        <w:spacing w:line="360" w:lineRule="auto"/>
        <w:ind w:firstLine="480"/>
        <w:rPr>
          <w:color w:val="auto"/>
        </w:rPr>
      </w:pPr>
      <w:r>
        <w:rPr>
          <w:color w:val="auto"/>
        </w:rPr>
        <w:fldChar w:fldCharType="begin"/>
      </w:r>
      <w:r>
        <w:rPr>
          <w:color w:val="auto"/>
        </w:rPr>
        <w:instrText xml:space="preserve"> </w:instrText>
      </w:r>
      <w:r>
        <w:rPr>
          <w:rFonts w:hint="eastAsia"/>
          <w:color w:val="auto"/>
        </w:rPr>
        <w:instrText xml:space="preserve">= 2 \* GB3</w:instrText>
      </w:r>
      <w:r>
        <w:rPr>
          <w:color w:val="auto"/>
        </w:rPr>
        <w:instrText xml:space="preserve"> </w:instrText>
      </w:r>
      <w:r>
        <w:rPr>
          <w:color w:val="auto"/>
        </w:rPr>
        <w:fldChar w:fldCharType="separate"/>
      </w:r>
      <w:r>
        <w:rPr>
          <w:rFonts w:hint="eastAsia"/>
          <w:color w:val="auto"/>
        </w:rPr>
        <w:t>②</w:t>
      </w:r>
      <w:r>
        <w:rPr>
          <w:color w:val="auto"/>
        </w:rPr>
        <w:fldChar w:fldCharType="end"/>
      </w:r>
      <w:r>
        <w:rPr>
          <w:rFonts w:hint="eastAsia"/>
          <w:color w:val="auto"/>
        </w:rPr>
        <w:t>定期监测淋溶液导排系统的有效性，保证正常运行，定期检测地下水水质。当发现地下水水质有被污染的迹象时，应及时查找原因，发现渗漏位置并采取补救措施，防止污染进一步扩散。</w:t>
      </w:r>
    </w:p>
    <w:p>
      <w:pPr>
        <w:spacing w:line="360" w:lineRule="auto"/>
        <w:ind w:firstLine="480"/>
        <w:rPr>
          <w:color w:val="auto"/>
        </w:rPr>
      </w:pPr>
      <w:r>
        <w:rPr>
          <w:rFonts w:hint="eastAsia"/>
          <w:color w:val="auto"/>
        </w:rPr>
        <w:t>综上所述，本项目在生产运营过程中应加强管理，避免发生液体泄漏等，经采取以上措施后，本项目正常情况下对地下水影响很小。</w:t>
      </w:r>
    </w:p>
    <w:p>
      <w:pPr>
        <w:spacing w:line="360" w:lineRule="auto"/>
        <w:rPr>
          <w:b/>
          <w:color w:val="auto"/>
        </w:rPr>
      </w:pPr>
      <w:r>
        <w:rPr>
          <w:b/>
          <w:color w:val="auto"/>
        </w:rPr>
        <w:t>5.2.3.</w:t>
      </w:r>
      <w:r>
        <w:rPr>
          <w:rFonts w:hint="eastAsia"/>
          <w:b/>
          <w:color w:val="auto"/>
        </w:rPr>
        <w:t>3</w:t>
      </w:r>
      <w:r>
        <w:rPr>
          <w:b/>
          <w:color w:val="auto"/>
        </w:rPr>
        <w:t>地下水环境影响评价结论</w:t>
      </w:r>
    </w:p>
    <w:p>
      <w:pPr>
        <w:spacing w:line="360" w:lineRule="auto"/>
        <w:ind w:firstLine="480" w:firstLineChars="200"/>
        <w:rPr>
          <w:color w:val="auto"/>
        </w:rPr>
      </w:pPr>
      <w:r>
        <w:rPr>
          <w:color w:val="auto"/>
        </w:rPr>
        <w:t>项目可能对所在地地下水产生的影响的污染途径主要有：</w:t>
      </w:r>
      <w:r>
        <w:rPr>
          <w:rFonts w:hint="eastAsia"/>
          <w:color w:val="auto"/>
        </w:rPr>
        <w:t>废水处理设施、管道</w:t>
      </w:r>
      <w:r>
        <w:rPr>
          <w:color w:val="auto"/>
        </w:rPr>
        <w:t>发生渗漏</w:t>
      </w:r>
      <w:r>
        <w:rPr>
          <w:rFonts w:hint="eastAsia"/>
          <w:color w:val="auto"/>
        </w:rPr>
        <w:t>和消纳场</w:t>
      </w:r>
      <w:r>
        <w:rPr>
          <w:color w:val="auto"/>
        </w:rPr>
        <w:t>区</w:t>
      </w:r>
      <w:r>
        <w:rPr>
          <w:rFonts w:hint="eastAsia"/>
          <w:color w:val="auto"/>
        </w:rPr>
        <w:t>淋溶液</w:t>
      </w:r>
      <w:r>
        <w:rPr>
          <w:color w:val="auto"/>
        </w:rPr>
        <w:t>下渗。</w:t>
      </w:r>
    </w:p>
    <w:p>
      <w:pPr>
        <w:spacing w:line="360" w:lineRule="auto"/>
        <w:ind w:firstLine="480" w:firstLineChars="200"/>
        <w:rPr>
          <w:color w:val="auto"/>
        </w:rPr>
      </w:pPr>
      <w:r>
        <w:rPr>
          <w:color w:val="auto"/>
        </w:rPr>
        <w:t>为确保本区域地下水不受本项目污染，应对</w:t>
      </w:r>
      <w:r>
        <w:rPr>
          <w:rFonts w:hint="eastAsia"/>
          <w:color w:val="auto"/>
        </w:rPr>
        <w:t>消纳场、淋溶液调节池、废水处理池</w:t>
      </w:r>
      <w:r>
        <w:rPr>
          <w:color w:val="auto"/>
        </w:rPr>
        <w:t>进行防渗处理，</w:t>
      </w:r>
      <w:r>
        <w:rPr>
          <w:rFonts w:hint="eastAsia"/>
          <w:color w:val="auto"/>
        </w:rPr>
        <w:t>选用质量合格的废水输送管道，</w:t>
      </w:r>
      <w:r>
        <w:rPr>
          <w:color w:val="auto"/>
        </w:rPr>
        <w:t>避免</w:t>
      </w:r>
      <w:r>
        <w:rPr>
          <w:rFonts w:hint="eastAsia"/>
          <w:color w:val="auto"/>
        </w:rPr>
        <w:t>淋溶液和生产废水</w:t>
      </w:r>
      <w:r>
        <w:rPr>
          <w:color w:val="auto"/>
        </w:rPr>
        <w:t>渗进地下水。在确保各项防渗措施得以落实，并加强维护和厂区环境管理的前提下，可有效控制厂区内的废水污染物下渗现象，避免污染地下水，因此项目不会对区域地下水环境产生明显影响。</w:t>
      </w:r>
    </w:p>
    <w:p>
      <w:pPr>
        <w:pStyle w:val="4"/>
        <w:numPr>
          <w:ilvl w:val="0"/>
          <w:numId w:val="0"/>
        </w:numPr>
        <w:tabs>
          <w:tab w:val="clear" w:pos="680"/>
        </w:tabs>
        <w:spacing w:line="336" w:lineRule="auto"/>
        <w:ind w:left="720" w:right="240" w:hanging="720"/>
        <w:rPr>
          <w:b/>
          <w:color w:val="auto"/>
          <w:szCs w:val="24"/>
        </w:rPr>
      </w:pPr>
      <w:bookmarkStart w:id="658" w:name="_Toc14946909"/>
      <w:bookmarkStart w:id="659" w:name="_Toc15912201"/>
      <w:bookmarkStart w:id="660" w:name="_Toc15092"/>
      <w:bookmarkStart w:id="661" w:name="_Toc24136820"/>
      <w:bookmarkStart w:id="662" w:name="_Toc34234739"/>
      <w:r>
        <w:rPr>
          <w:rFonts w:hint="eastAsia"/>
          <w:b/>
          <w:color w:val="auto"/>
          <w:szCs w:val="24"/>
        </w:rPr>
        <w:t>5</w:t>
      </w:r>
      <w:r>
        <w:rPr>
          <w:b/>
          <w:color w:val="auto"/>
          <w:szCs w:val="24"/>
        </w:rPr>
        <w:t>.2.4噪声环境影响</w:t>
      </w:r>
      <w:bookmarkEnd w:id="658"/>
      <w:bookmarkEnd w:id="659"/>
      <w:r>
        <w:rPr>
          <w:rFonts w:hint="eastAsia"/>
          <w:b/>
          <w:color w:val="auto"/>
          <w:szCs w:val="24"/>
        </w:rPr>
        <w:t>分析</w:t>
      </w:r>
      <w:bookmarkEnd w:id="660"/>
      <w:bookmarkEnd w:id="661"/>
      <w:bookmarkEnd w:id="662"/>
    </w:p>
    <w:p>
      <w:pPr>
        <w:spacing w:line="336" w:lineRule="auto"/>
        <w:rPr>
          <w:rStyle w:val="277"/>
          <w:b/>
          <w:color w:val="auto"/>
        </w:rPr>
      </w:pPr>
      <w:bookmarkStart w:id="663" w:name="_Toc389557326"/>
      <w:r>
        <w:rPr>
          <w:rStyle w:val="277"/>
          <w:b/>
          <w:color w:val="auto"/>
        </w:rPr>
        <w:t>5.2.4.1 噪声源情况</w:t>
      </w:r>
      <w:bookmarkEnd w:id="663"/>
    </w:p>
    <w:p>
      <w:pPr>
        <w:pStyle w:val="72"/>
        <w:spacing w:line="336" w:lineRule="auto"/>
        <w:jc w:val="both"/>
        <w:rPr>
          <w:rFonts w:ascii="Times New Roman" w:hAnsi="Times New Roman" w:cs="Times New Roman"/>
          <w:color w:val="auto"/>
          <w:szCs w:val="24"/>
        </w:rPr>
      </w:pPr>
      <w:r>
        <w:rPr>
          <w:rFonts w:hint="eastAsia" w:ascii="Times New Roman" w:hAnsi="Times New Roman" w:cs="Times New Roman"/>
          <w:color w:val="auto"/>
          <w:szCs w:val="24"/>
        </w:rPr>
        <w:t>本项目</w:t>
      </w:r>
      <w:r>
        <w:rPr>
          <w:rFonts w:ascii="Times New Roman" w:hAnsi="Times New Roman" w:cs="Times New Roman"/>
          <w:color w:val="auto"/>
          <w:szCs w:val="24"/>
        </w:rPr>
        <w:t>的噪声源主要由各种运转设备产生，固定性噪声源包括：空气压缩机、引风机、送风机、空气压缩机、</w:t>
      </w:r>
      <w:r>
        <w:rPr>
          <w:rFonts w:hint="eastAsia" w:ascii="Times New Roman" w:hAnsi="Times New Roman" w:cs="Times New Roman"/>
          <w:color w:val="auto"/>
          <w:szCs w:val="24"/>
        </w:rPr>
        <w:t>破碎机</w:t>
      </w:r>
      <w:r>
        <w:rPr>
          <w:rFonts w:ascii="Times New Roman" w:hAnsi="Times New Roman" w:cs="Times New Roman"/>
          <w:color w:val="auto"/>
          <w:szCs w:val="24"/>
        </w:rPr>
        <w:t>、</w:t>
      </w:r>
      <w:r>
        <w:rPr>
          <w:rFonts w:hint="eastAsia" w:ascii="Times New Roman" w:hAnsi="Times New Roman" w:cs="Times New Roman"/>
          <w:color w:val="auto"/>
          <w:szCs w:val="24"/>
        </w:rPr>
        <w:t>脱水机</w:t>
      </w:r>
      <w:r>
        <w:rPr>
          <w:rFonts w:ascii="Times New Roman" w:hAnsi="Times New Roman" w:cs="Times New Roman"/>
          <w:color w:val="auto"/>
          <w:szCs w:val="24"/>
        </w:rPr>
        <w:t>、泵类、</w:t>
      </w:r>
      <w:r>
        <w:rPr>
          <w:rFonts w:hint="eastAsia" w:ascii="Times New Roman" w:hAnsi="Times New Roman" w:cs="Times New Roman"/>
          <w:color w:val="auto"/>
          <w:szCs w:val="24"/>
        </w:rPr>
        <w:t>三相分离机、推土机、推土碾压机</w:t>
      </w:r>
      <w:r>
        <w:rPr>
          <w:rFonts w:ascii="Times New Roman" w:hAnsi="Times New Roman" w:cs="Times New Roman"/>
          <w:color w:val="auto"/>
          <w:szCs w:val="24"/>
        </w:rPr>
        <w:t>等。噪声排放状况见表5.2-</w:t>
      </w:r>
      <w:r>
        <w:rPr>
          <w:rFonts w:hint="eastAsia" w:ascii="Times New Roman" w:hAnsi="Times New Roman" w:cs="Times New Roman"/>
          <w:color w:val="auto"/>
          <w:szCs w:val="24"/>
        </w:rPr>
        <w:t>20</w:t>
      </w:r>
      <w:r>
        <w:rPr>
          <w:rFonts w:ascii="Times New Roman" w:hAnsi="Times New Roman" w:cs="Times New Roman"/>
          <w:color w:val="auto"/>
          <w:szCs w:val="24"/>
        </w:rPr>
        <w:t>。</w:t>
      </w:r>
    </w:p>
    <w:p>
      <w:pPr>
        <w:pStyle w:val="67"/>
        <w:spacing w:line="240" w:lineRule="auto"/>
        <w:rPr>
          <w:rFonts w:ascii="Times New Roman" w:hAnsi="Times New Roman" w:cs="Times New Roman"/>
          <w:color w:val="auto"/>
          <w:szCs w:val="24"/>
        </w:rPr>
      </w:pPr>
      <w:r>
        <w:rPr>
          <w:rFonts w:ascii="Times New Roman" w:hAnsi="Times New Roman" w:cs="Times New Roman"/>
          <w:color w:val="auto"/>
        </w:rPr>
        <w:t>表5.2-</w:t>
      </w:r>
      <w:r>
        <w:rPr>
          <w:rFonts w:hint="eastAsia" w:ascii="Times New Roman" w:hAnsi="Times New Roman" w:cs="Times New Roman"/>
          <w:color w:val="auto"/>
        </w:rPr>
        <w:t>20</w:t>
      </w:r>
      <w:r>
        <w:rPr>
          <w:rFonts w:ascii="Times New Roman" w:hAnsi="Times New Roman" w:cs="Times New Roman"/>
          <w:color w:val="auto"/>
        </w:rPr>
        <w:t xml:space="preserve"> </w:t>
      </w:r>
      <w:r>
        <w:rPr>
          <w:rFonts w:ascii="Times New Roman" w:hAnsi="Times New Roman" w:cs="Times New Roman"/>
          <w:color w:val="auto"/>
          <w:szCs w:val="24"/>
        </w:rPr>
        <w:t xml:space="preserve"> </w:t>
      </w:r>
      <w:r>
        <w:rPr>
          <w:rFonts w:hint="eastAsia" w:ascii="Times New Roman" w:hAnsi="Times New Roman" w:cs="Times New Roman"/>
          <w:color w:val="auto"/>
          <w:szCs w:val="24"/>
        </w:rPr>
        <w:t>主要</w:t>
      </w:r>
      <w:r>
        <w:rPr>
          <w:rFonts w:ascii="Times New Roman" w:hAnsi="Times New Roman" w:cs="Times New Roman"/>
          <w:color w:val="auto"/>
          <w:szCs w:val="24"/>
        </w:rPr>
        <w:t>噪声产生、治理及排放情况 （dB（A））</w:t>
      </w:r>
    </w:p>
    <w:tbl>
      <w:tblPr>
        <w:tblStyle w:val="53"/>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1"/>
        <w:gridCol w:w="1382"/>
        <w:gridCol w:w="1140"/>
        <w:gridCol w:w="3083"/>
        <w:gridCol w:w="1688"/>
        <w:gridCol w:w="12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711" w:type="dxa"/>
            <w:vAlign w:val="center"/>
          </w:tcPr>
          <w:p>
            <w:pPr>
              <w:jc w:val="center"/>
              <w:rPr>
                <w:b/>
                <w:color w:val="auto"/>
                <w:sz w:val="21"/>
                <w:szCs w:val="21"/>
              </w:rPr>
            </w:pPr>
            <w:r>
              <w:rPr>
                <w:b/>
                <w:color w:val="auto"/>
                <w:sz w:val="21"/>
                <w:szCs w:val="21"/>
              </w:rPr>
              <w:t>序号</w:t>
            </w:r>
          </w:p>
        </w:tc>
        <w:tc>
          <w:tcPr>
            <w:tcW w:w="1382" w:type="dxa"/>
            <w:vAlign w:val="center"/>
          </w:tcPr>
          <w:p>
            <w:pPr>
              <w:jc w:val="center"/>
              <w:rPr>
                <w:b/>
                <w:color w:val="auto"/>
                <w:sz w:val="21"/>
                <w:szCs w:val="21"/>
              </w:rPr>
            </w:pPr>
            <w:r>
              <w:rPr>
                <w:b/>
                <w:color w:val="auto"/>
                <w:sz w:val="21"/>
                <w:szCs w:val="21"/>
              </w:rPr>
              <w:t>设备</w:t>
            </w:r>
          </w:p>
          <w:p>
            <w:pPr>
              <w:jc w:val="center"/>
              <w:rPr>
                <w:b/>
                <w:color w:val="auto"/>
                <w:sz w:val="21"/>
                <w:szCs w:val="21"/>
              </w:rPr>
            </w:pPr>
            <w:r>
              <w:rPr>
                <w:b/>
                <w:color w:val="auto"/>
                <w:sz w:val="21"/>
                <w:szCs w:val="21"/>
              </w:rPr>
              <w:t>名称</w:t>
            </w:r>
          </w:p>
        </w:tc>
        <w:tc>
          <w:tcPr>
            <w:tcW w:w="1140" w:type="dxa"/>
            <w:vAlign w:val="center"/>
          </w:tcPr>
          <w:p>
            <w:pPr>
              <w:jc w:val="center"/>
              <w:rPr>
                <w:b/>
                <w:color w:val="auto"/>
                <w:sz w:val="21"/>
                <w:szCs w:val="21"/>
              </w:rPr>
            </w:pPr>
            <w:r>
              <w:rPr>
                <w:b/>
                <w:color w:val="auto"/>
                <w:sz w:val="21"/>
                <w:szCs w:val="21"/>
              </w:rPr>
              <w:t>声源</w:t>
            </w:r>
          </w:p>
          <w:p>
            <w:pPr>
              <w:jc w:val="center"/>
              <w:rPr>
                <w:b/>
                <w:color w:val="auto"/>
                <w:sz w:val="21"/>
                <w:szCs w:val="21"/>
              </w:rPr>
            </w:pPr>
            <w:r>
              <w:rPr>
                <w:b/>
                <w:color w:val="auto"/>
                <w:sz w:val="21"/>
                <w:szCs w:val="21"/>
              </w:rPr>
              <w:t>噪声级</w:t>
            </w:r>
          </w:p>
        </w:tc>
        <w:tc>
          <w:tcPr>
            <w:tcW w:w="3083" w:type="dxa"/>
            <w:vAlign w:val="center"/>
          </w:tcPr>
          <w:p>
            <w:pPr>
              <w:jc w:val="center"/>
              <w:rPr>
                <w:b/>
                <w:color w:val="auto"/>
                <w:sz w:val="21"/>
                <w:szCs w:val="21"/>
              </w:rPr>
            </w:pPr>
            <w:r>
              <w:rPr>
                <w:b/>
                <w:color w:val="auto"/>
                <w:sz w:val="21"/>
                <w:szCs w:val="21"/>
              </w:rPr>
              <w:t>治理措施</w:t>
            </w:r>
          </w:p>
        </w:tc>
        <w:tc>
          <w:tcPr>
            <w:tcW w:w="1688" w:type="dxa"/>
            <w:vAlign w:val="center"/>
          </w:tcPr>
          <w:p>
            <w:pPr>
              <w:jc w:val="center"/>
              <w:rPr>
                <w:b/>
                <w:color w:val="auto"/>
                <w:sz w:val="21"/>
                <w:szCs w:val="21"/>
              </w:rPr>
            </w:pPr>
            <w:r>
              <w:rPr>
                <w:b/>
                <w:color w:val="auto"/>
                <w:sz w:val="21"/>
                <w:szCs w:val="21"/>
              </w:rPr>
              <w:t>治理效果（降噪dB）</w:t>
            </w:r>
          </w:p>
        </w:tc>
        <w:tc>
          <w:tcPr>
            <w:tcW w:w="1283" w:type="dxa"/>
            <w:vAlign w:val="center"/>
          </w:tcPr>
          <w:p>
            <w:pPr>
              <w:jc w:val="center"/>
              <w:rPr>
                <w:b/>
                <w:color w:val="auto"/>
                <w:sz w:val="21"/>
                <w:szCs w:val="21"/>
              </w:rPr>
            </w:pPr>
            <w:r>
              <w:rPr>
                <w:b/>
                <w:color w:val="auto"/>
                <w:sz w:val="21"/>
                <w:szCs w:val="21"/>
              </w:rPr>
              <w:t>治理后噪声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54" w:hRule="atLeast"/>
        </w:trPr>
        <w:tc>
          <w:tcPr>
            <w:tcW w:w="711" w:type="dxa"/>
            <w:vMerge w:val="restart"/>
            <w:vAlign w:val="center"/>
          </w:tcPr>
          <w:p>
            <w:pPr>
              <w:jc w:val="center"/>
              <w:rPr>
                <w:color w:val="auto"/>
                <w:sz w:val="21"/>
                <w:szCs w:val="21"/>
              </w:rPr>
            </w:pPr>
            <w:r>
              <w:rPr>
                <w:color w:val="auto"/>
                <w:sz w:val="21"/>
                <w:szCs w:val="21"/>
              </w:rPr>
              <w:t>餐厨垃圾处理厂</w:t>
            </w:r>
          </w:p>
        </w:tc>
        <w:tc>
          <w:tcPr>
            <w:tcW w:w="1382" w:type="dxa"/>
            <w:vAlign w:val="center"/>
          </w:tcPr>
          <w:p>
            <w:pPr>
              <w:jc w:val="center"/>
              <w:rPr>
                <w:color w:val="auto"/>
                <w:sz w:val="21"/>
                <w:szCs w:val="21"/>
              </w:rPr>
            </w:pPr>
            <w:r>
              <w:rPr>
                <w:color w:val="auto"/>
                <w:sz w:val="21"/>
                <w:szCs w:val="21"/>
              </w:rPr>
              <w:t>引风机</w:t>
            </w:r>
          </w:p>
        </w:tc>
        <w:tc>
          <w:tcPr>
            <w:tcW w:w="1140" w:type="dxa"/>
            <w:vAlign w:val="center"/>
          </w:tcPr>
          <w:p>
            <w:pPr>
              <w:jc w:val="center"/>
              <w:rPr>
                <w:color w:val="auto"/>
                <w:sz w:val="21"/>
                <w:szCs w:val="21"/>
              </w:rPr>
            </w:pPr>
            <w:r>
              <w:rPr>
                <w:color w:val="auto"/>
                <w:sz w:val="21"/>
                <w:szCs w:val="21"/>
              </w:rPr>
              <w:t>85～90</w:t>
            </w:r>
          </w:p>
        </w:tc>
        <w:tc>
          <w:tcPr>
            <w:tcW w:w="3083" w:type="dxa"/>
            <w:vAlign w:val="center"/>
          </w:tcPr>
          <w:p>
            <w:pPr>
              <w:jc w:val="center"/>
              <w:rPr>
                <w:color w:val="auto"/>
                <w:sz w:val="21"/>
                <w:szCs w:val="21"/>
              </w:rPr>
            </w:pPr>
            <w:r>
              <w:rPr>
                <w:color w:val="auto"/>
                <w:sz w:val="21"/>
                <w:szCs w:val="21"/>
              </w:rPr>
              <w:t>加装隔音箱、厂房隔声</w:t>
            </w:r>
          </w:p>
        </w:tc>
        <w:tc>
          <w:tcPr>
            <w:tcW w:w="1688" w:type="dxa"/>
            <w:vAlign w:val="center"/>
          </w:tcPr>
          <w:p>
            <w:pPr>
              <w:jc w:val="center"/>
              <w:rPr>
                <w:color w:val="auto"/>
                <w:sz w:val="21"/>
                <w:szCs w:val="21"/>
              </w:rPr>
            </w:pPr>
            <w:r>
              <w:rPr>
                <w:color w:val="auto"/>
                <w:sz w:val="21"/>
                <w:szCs w:val="21"/>
              </w:rPr>
              <w:t>30～35</w:t>
            </w:r>
          </w:p>
        </w:tc>
        <w:tc>
          <w:tcPr>
            <w:tcW w:w="1283" w:type="dxa"/>
            <w:vAlign w:val="center"/>
          </w:tcPr>
          <w:p>
            <w:pPr>
              <w:jc w:val="center"/>
              <w:rPr>
                <w:color w:val="auto"/>
                <w:sz w:val="21"/>
                <w:szCs w:val="21"/>
              </w:rPr>
            </w:pPr>
            <w:r>
              <w:rPr>
                <w:color w:val="auto"/>
                <w:sz w:val="21"/>
                <w:szCs w:val="21"/>
              </w:rPr>
              <w:t>55～60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711" w:type="dxa"/>
            <w:vMerge w:val="continue"/>
            <w:vAlign w:val="center"/>
          </w:tcPr>
          <w:p>
            <w:pPr>
              <w:jc w:val="center"/>
              <w:rPr>
                <w:color w:val="auto"/>
                <w:sz w:val="21"/>
                <w:szCs w:val="21"/>
              </w:rPr>
            </w:pPr>
          </w:p>
        </w:tc>
        <w:tc>
          <w:tcPr>
            <w:tcW w:w="1382" w:type="dxa"/>
            <w:vAlign w:val="center"/>
          </w:tcPr>
          <w:p>
            <w:pPr>
              <w:jc w:val="center"/>
              <w:rPr>
                <w:color w:val="auto"/>
                <w:sz w:val="21"/>
                <w:szCs w:val="21"/>
              </w:rPr>
            </w:pPr>
            <w:r>
              <w:rPr>
                <w:color w:val="auto"/>
                <w:sz w:val="21"/>
                <w:szCs w:val="21"/>
              </w:rPr>
              <w:t>送风机</w:t>
            </w:r>
          </w:p>
        </w:tc>
        <w:tc>
          <w:tcPr>
            <w:tcW w:w="1140" w:type="dxa"/>
            <w:vAlign w:val="center"/>
          </w:tcPr>
          <w:p>
            <w:pPr>
              <w:jc w:val="center"/>
              <w:rPr>
                <w:color w:val="auto"/>
                <w:sz w:val="21"/>
                <w:szCs w:val="21"/>
              </w:rPr>
            </w:pPr>
            <w:r>
              <w:rPr>
                <w:color w:val="auto"/>
                <w:sz w:val="21"/>
                <w:szCs w:val="21"/>
              </w:rPr>
              <w:t>85～90</w:t>
            </w:r>
          </w:p>
        </w:tc>
        <w:tc>
          <w:tcPr>
            <w:tcW w:w="3083" w:type="dxa"/>
            <w:vAlign w:val="center"/>
          </w:tcPr>
          <w:p>
            <w:pPr>
              <w:jc w:val="center"/>
              <w:rPr>
                <w:color w:val="auto"/>
                <w:sz w:val="21"/>
                <w:szCs w:val="21"/>
              </w:rPr>
            </w:pPr>
            <w:r>
              <w:rPr>
                <w:color w:val="auto"/>
                <w:sz w:val="21"/>
                <w:szCs w:val="21"/>
              </w:rPr>
              <w:t>加装隔音箱、厂房隔声</w:t>
            </w:r>
          </w:p>
        </w:tc>
        <w:tc>
          <w:tcPr>
            <w:tcW w:w="1688" w:type="dxa"/>
            <w:vAlign w:val="center"/>
          </w:tcPr>
          <w:p>
            <w:pPr>
              <w:jc w:val="center"/>
              <w:rPr>
                <w:color w:val="auto"/>
                <w:sz w:val="21"/>
                <w:szCs w:val="21"/>
              </w:rPr>
            </w:pPr>
            <w:r>
              <w:rPr>
                <w:color w:val="auto"/>
                <w:sz w:val="21"/>
                <w:szCs w:val="21"/>
              </w:rPr>
              <w:t>30～35</w:t>
            </w:r>
          </w:p>
        </w:tc>
        <w:tc>
          <w:tcPr>
            <w:tcW w:w="1283" w:type="dxa"/>
            <w:vAlign w:val="center"/>
          </w:tcPr>
          <w:p>
            <w:pPr>
              <w:jc w:val="center"/>
              <w:rPr>
                <w:color w:val="auto"/>
                <w:sz w:val="21"/>
                <w:szCs w:val="21"/>
              </w:rPr>
            </w:pPr>
            <w:r>
              <w:rPr>
                <w:color w:val="auto"/>
                <w:sz w:val="21"/>
                <w:szCs w:val="21"/>
              </w:rPr>
              <w:t>55～60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711" w:type="dxa"/>
            <w:vMerge w:val="continue"/>
            <w:vAlign w:val="center"/>
          </w:tcPr>
          <w:p>
            <w:pPr>
              <w:jc w:val="center"/>
              <w:rPr>
                <w:color w:val="auto"/>
                <w:sz w:val="21"/>
                <w:szCs w:val="21"/>
              </w:rPr>
            </w:pPr>
          </w:p>
        </w:tc>
        <w:tc>
          <w:tcPr>
            <w:tcW w:w="1382" w:type="dxa"/>
            <w:vAlign w:val="center"/>
          </w:tcPr>
          <w:p>
            <w:pPr>
              <w:jc w:val="center"/>
              <w:rPr>
                <w:color w:val="auto"/>
                <w:sz w:val="21"/>
                <w:szCs w:val="21"/>
              </w:rPr>
            </w:pPr>
            <w:r>
              <w:rPr>
                <w:color w:val="auto"/>
                <w:sz w:val="21"/>
                <w:szCs w:val="21"/>
              </w:rPr>
              <w:t>空气压缩机</w:t>
            </w:r>
          </w:p>
        </w:tc>
        <w:tc>
          <w:tcPr>
            <w:tcW w:w="1140" w:type="dxa"/>
            <w:vAlign w:val="center"/>
          </w:tcPr>
          <w:p>
            <w:pPr>
              <w:jc w:val="center"/>
              <w:rPr>
                <w:color w:val="auto"/>
                <w:sz w:val="21"/>
                <w:szCs w:val="21"/>
              </w:rPr>
            </w:pPr>
            <w:r>
              <w:rPr>
                <w:color w:val="auto"/>
                <w:sz w:val="21"/>
                <w:szCs w:val="21"/>
              </w:rPr>
              <w:t>90～95</w:t>
            </w:r>
          </w:p>
        </w:tc>
        <w:tc>
          <w:tcPr>
            <w:tcW w:w="3083" w:type="dxa"/>
            <w:vAlign w:val="center"/>
          </w:tcPr>
          <w:p>
            <w:pPr>
              <w:jc w:val="center"/>
              <w:rPr>
                <w:color w:val="auto"/>
                <w:sz w:val="21"/>
                <w:szCs w:val="21"/>
              </w:rPr>
            </w:pPr>
            <w:r>
              <w:rPr>
                <w:color w:val="auto"/>
                <w:sz w:val="21"/>
                <w:szCs w:val="21"/>
              </w:rPr>
              <w:t>厂房隔声</w:t>
            </w:r>
          </w:p>
        </w:tc>
        <w:tc>
          <w:tcPr>
            <w:tcW w:w="1688" w:type="dxa"/>
            <w:vAlign w:val="center"/>
          </w:tcPr>
          <w:p>
            <w:pPr>
              <w:jc w:val="center"/>
              <w:rPr>
                <w:color w:val="auto"/>
                <w:sz w:val="21"/>
                <w:szCs w:val="21"/>
              </w:rPr>
            </w:pPr>
            <w:r>
              <w:rPr>
                <w:color w:val="auto"/>
                <w:sz w:val="21"/>
                <w:szCs w:val="21"/>
              </w:rPr>
              <w:t>35～40</w:t>
            </w:r>
          </w:p>
        </w:tc>
        <w:tc>
          <w:tcPr>
            <w:tcW w:w="1283" w:type="dxa"/>
            <w:vAlign w:val="center"/>
          </w:tcPr>
          <w:p>
            <w:pPr>
              <w:jc w:val="center"/>
              <w:rPr>
                <w:color w:val="auto"/>
                <w:sz w:val="21"/>
                <w:szCs w:val="21"/>
              </w:rPr>
            </w:pPr>
            <w:r>
              <w:rPr>
                <w:color w:val="auto"/>
                <w:sz w:val="21"/>
                <w:szCs w:val="21"/>
              </w:rPr>
              <w:t>55～60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711" w:type="dxa"/>
            <w:vMerge w:val="continue"/>
            <w:vAlign w:val="center"/>
          </w:tcPr>
          <w:p>
            <w:pPr>
              <w:jc w:val="center"/>
              <w:rPr>
                <w:color w:val="auto"/>
                <w:sz w:val="21"/>
                <w:szCs w:val="21"/>
              </w:rPr>
            </w:pPr>
          </w:p>
        </w:tc>
        <w:tc>
          <w:tcPr>
            <w:tcW w:w="1382" w:type="dxa"/>
            <w:vAlign w:val="center"/>
          </w:tcPr>
          <w:p>
            <w:pPr>
              <w:jc w:val="center"/>
              <w:rPr>
                <w:color w:val="auto"/>
                <w:sz w:val="21"/>
                <w:szCs w:val="21"/>
              </w:rPr>
            </w:pPr>
            <w:r>
              <w:rPr>
                <w:color w:val="auto"/>
                <w:sz w:val="21"/>
                <w:szCs w:val="21"/>
              </w:rPr>
              <w:t>破碎机</w:t>
            </w:r>
          </w:p>
        </w:tc>
        <w:tc>
          <w:tcPr>
            <w:tcW w:w="1140" w:type="dxa"/>
            <w:vAlign w:val="center"/>
          </w:tcPr>
          <w:p>
            <w:pPr>
              <w:jc w:val="center"/>
              <w:rPr>
                <w:color w:val="auto"/>
                <w:sz w:val="21"/>
                <w:szCs w:val="21"/>
              </w:rPr>
            </w:pPr>
            <w:r>
              <w:rPr>
                <w:color w:val="auto"/>
                <w:sz w:val="21"/>
                <w:szCs w:val="21"/>
              </w:rPr>
              <w:t>85～90</w:t>
            </w:r>
          </w:p>
        </w:tc>
        <w:tc>
          <w:tcPr>
            <w:tcW w:w="3083" w:type="dxa"/>
            <w:vAlign w:val="center"/>
          </w:tcPr>
          <w:p>
            <w:pPr>
              <w:jc w:val="center"/>
              <w:rPr>
                <w:color w:val="auto"/>
                <w:sz w:val="21"/>
                <w:szCs w:val="21"/>
              </w:rPr>
            </w:pPr>
            <w:r>
              <w:rPr>
                <w:color w:val="auto"/>
                <w:sz w:val="21"/>
                <w:szCs w:val="21"/>
              </w:rPr>
              <w:t>减振设施，厂房隔声</w:t>
            </w:r>
          </w:p>
        </w:tc>
        <w:tc>
          <w:tcPr>
            <w:tcW w:w="1688" w:type="dxa"/>
            <w:vAlign w:val="center"/>
          </w:tcPr>
          <w:p>
            <w:pPr>
              <w:jc w:val="center"/>
              <w:rPr>
                <w:color w:val="auto"/>
                <w:sz w:val="21"/>
                <w:szCs w:val="21"/>
              </w:rPr>
            </w:pPr>
            <w:r>
              <w:rPr>
                <w:color w:val="auto"/>
                <w:sz w:val="21"/>
                <w:szCs w:val="21"/>
              </w:rPr>
              <w:t>20～25</w:t>
            </w:r>
          </w:p>
        </w:tc>
        <w:tc>
          <w:tcPr>
            <w:tcW w:w="1283" w:type="dxa"/>
            <w:vAlign w:val="center"/>
          </w:tcPr>
          <w:p>
            <w:pPr>
              <w:jc w:val="center"/>
              <w:rPr>
                <w:color w:val="auto"/>
                <w:sz w:val="21"/>
                <w:szCs w:val="21"/>
              </w:rPr>
            </w:pPr>
            <w:r>
              <w:rPr>
                <w:color w:val="auto"/>
                <w:sz w:val="21"/>
                <w:szCs w:val="21"/>
              </w:rPr>
              <w:t>65～70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711" w:type="dxa"/>
            <w:vMerge w:val="continue"/>
            <w:vAlign w:val="center"/>
          </w:tcPr>
          <w:p>
            <w:pPr>
              <w:jc w:val="center"/>
              <w:rPr>
                <w:color w:val="auto"/>
                <w:sz w:val="21"/>
                <w:szCs w:val="21"/>
              </w:rPr>
            </w:pPr>
          </w:p>
        </w:tc>
        <w:tc>
          <w:tcPr>
            <w:tcW w:w="1382" w:type="dxa"/>
            <w:vAlign w:val="center"/>
          </w:tcPr>
          <w:p>
            <w:pPr>
              <w:jc w:val="center"/>
              <w:rPr>
                <w:color w:val="auto"/>
                <w:sz w:val="21"/>
                <w:szCs w:val="21"/>
              </w:rPr>
            </w:pPr>
            <w:r>
              <w:rPr>
                <w:color w:val="auto"/>
                <w:sz w:val="21"/>
                <w:szCs w:val="21"/>
              </w:rPr>
              <w:t>脱水机</w:t>
            </w:r>
          </w:p>
        </w:tc>
        <w:tc>
          <w:tcPr>
            <w:tcW w:w="1140" w:type="dxa"/>
            <w:vAlign w:val="center"/>
          </w:tcPr>
          <w:p>
            <w:pPr>
              <w:jc w:val="center"/>
              <w:rPr>
                <w:color w:val="auto"/>
                <w:sz w:val="21"/>
                <w:szCs w:val="21"/>
              </w:rPr>
            </w:pPr>
            <w:r>
              <w:rPr>
                <w:color w:val="auto"/>
                <w:sz w:val="21"/>
                <w:szCs w:val="21"/>
              </w:rPr>
              <w:t>80～90</w:t>
            </w:r>
          </w:p>
        </w:tc>
        <w:tc>
          <w:tcPr>
            <w:tcW w:w="3083" w:type="dxa"/>
            <w:vAlign w:val="center"/>
          </w:tcPr>
          <w:p>
            <w:pPr>
              <w:jc w:val="center"/>
              <w:rPr>
                <w:color w:val="auto"/>
                <w:sz w:val="21"/>
                <w:szCs w:val="21"/>
              </w:rPr>
            </w:pPr>
            <w:r>
              <w:rPr>
                <w:color w:val="auto"/>
                <w:sz w:val="21"/>
                <w:szCs w:val="21"/>
              </w:rPr>
              <w:t>厂房隔声</w:t>
            </w:r>
          </w:p>
        </w:tc>
        <w:tc>
          <w:tcPr>
            <w:tcW w:w="1688" w:type="dxa"/>
            <w:vAlign w:val="center"/>
          </w:tcPr>
          <w:p>
            <w:pPr>
              <w:jc w:val="center"/>
              <w:rPr>
                <w:color w:val="auto"/>
                <w:sz w:val="21"/>
                <w:szCs w:val="21"/>
              </w:rPr>
            </w:pPr>
            <w:r>
              <w:rPr>
                <w:color w:val="auto"/>
                <w:sz w:val="21"/>
                <w:szCs w:val="21"/>
              </w:rPr>
              <w:t>20～25</w:t>
            </w:r>
          </w:p>
        </w:tc>
        <w:tc>
          <w:tcPr>
            <w:tcW w:w="1283" w:type="dxa"/>
            <w:vAlign w:val="center"/>
          </w:tcPr>
          <w:p>
            <w:pPr>
              <w:jc w:val="center"/>
              <w:rPr>
                <w:color w:val="auto"/>
                <w:sz w:val="21"/>
                <w:szCs w:val="21"/>
              </w:rPr>
            </w:pPr>
            <w:r>
              <w:rPr>
                <w:color w:val="auto"/>
                <w:sz w:val="21"/>
                <w:szCs w:val="21"/>
              </w:rPr>
              <w:t>60～70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711" w:type="dxa"/>
            <w:vMerge w:val="continue"/>
            <w:vAlign w:val="center"/>
          </w:tcPr>
          <w:p>
            <w:pPr>
              <w:jc w:val="center"/>
              <w:rPr>
                <w:color w:val="auto"/>
                <w:sz w:val="21"/>
                <w:szCs w:val="21"/>
              </w:rPr>
            </w:pPr>
          </w:p>
        </w:tc>
        <w:tc>
          <w:tcPr>
            <w:tcW w:w="1382" w:type="dxa"/>
            <w:vAlign w:val="center"/>
          </w:tcPr>
          <w:p>
            <w:pPr>
              <w:jc w:val="center"/>
              <w:rPr>
                <w:color w:val="auto"/>
                <w:sz w:val="21"/>
                <w:szCs w:val="21"/>
              </w:rPr>
            </w:pPr>
            <w:r>
              <w:rPr>
                <w:color w:val="auto"/>
                <w:sz w:val="21"/>
                <w:szCs w:val="21"/>
              </w:rPr>
              <w:t>泵类</w:t>
            </w:r>
          </w:p>
        </w:tc>
        <w:tc>
          <w:tcPr>
            <w:tcW w:w="1140" w:type="dxa"/>
            <w:vAlign w:val="center"/>
          </w:tcPr>
          <w:p>
            <w:pPr>
              <w:jc w:val="center"/>
              <w:rPr>
                <w:color w:val="auto"/>
                <w:sz w:val="21"/>
                <w:szCs w:val="21"/>
              </w:rPr>
            </w:pPr>
            <w:r>
              <w:rPr>
                <w:color w:val="auto"/>
                <w:sz w:val="21"/>
                <w:szCs w:val="21"/>
              </w:rPr>
              <w:t>85～90</w:t>
            </w:r>
          </w:p>
        </w:tc>
        <w:tc>
          <w:tcPr>
            <w:tcW w:w="3083" w:type="dxa"/>
            <w:vAlign w:val="center"/>
          </w:tcPr>
          <w:p>
            <w:pPr>
              <w:jc w:val="center"/>
              <w:rPr>
                <w:color w:val="auto"/>
                <w:sz w:val="21"/>
                <w:szCs w:val="21"/>
              </w:rPr>
            </w:pPr>
            <w:r>
              <w:rPr>
                <w:color w:val="auto"/>
                <w:sz w:val="21"/>
                <w:szCs w:val="21"/>
              </w:rPr>
              <w:t>减振设施，厂房隔声</w:t>
            </w:r>
          </w:p>
        </w:tc>
        <w:tc>
          <w:tcPr>
            <w:tcW w:w="1688" w:type="dxa"/>
            <w:vAlign w:val="center"/>
          </w:tcPr>
          <w:p>
            <w:pPr>
              <w:jc w:val="center"/>
              <w:rPr>
                <w:color w:val="auto"/>
                <w:sz w:val="21"/>
                <w:szCs w:val="21"/>
              </w:rPr>
            </w:pPr>
            <w:r>
              <w:rPr>
                <w:color w:val="auto"/>
                <w:sz w:val="21"/>
                <w:szCs w:val="21"/>
              </w:rPr>
              <w:t>35～40</w:t>
            </w:r>
          </w:p>
        </w:tc>
        <w:tc>
          <w:tcPr>
            <w:tcW w:w="1283" w:type="dxa"/>
            <w:vAlign w:val="center"/>
          </w:tcPr>
          <w:p>
            <w:pPr>
              <w:jc w:val="center"/>
              <w:rPr>
                <w:color w:val="auto"/>
                <w:sz w:val="21"/>
                <w:szCs w:val="21"/>
              </w:rPr>
            </w:pPr>
            <w:r>
              <w:rPr>
                <w:color w:val="auto"/>
                <w:sz w:val="21"/>
                <w:szCs w:val="21"/>
              </w:rPr>
              <w:t>50～55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711" w:type="dxa"/>
            <w:vMerge w:val="continue"/>
            <w:vAlign w:val="center"/>
          </w:tcPr>
          <w:p>
            <w:pPr>
              <w:jc w:val="center"/>
              <w:rPr>
                <w:color w:val="auto"/>
                <w:sz w:val="21"/>
                <w:szCs w:val="21"/>
              </w:rPr>
            </w:pPr>
          </w:p>
        </w:tc>
        <w:tc>
          <w:tcPr>
            <w:tcW w:w="1382" w:type="dxa"/>
            <w:vAlign w:val="center"/>
          </w:tcPr>
          <w:p>
            <w:pPr>
              <w:jc w:val="center"/>
              <w:rPr>
                <w:color w:val="auto"/>
                <w:sz w:val="21"/>
                <w:szCs w:val="21"/>
              </w:rPr>
            </w:pPr>
            <w:r>
              <w:rPr>
                <w:color w:val="auto"/>
                <w:sz w:val="21"/>
                <w:szCs w:val="21"/>
              </w:rPr>
              <w:t>三相分离机</w:t>
            </w:r>
          </w:p>
        </w:tc>
        <w:tc>
          <w:tcPr>
            <w:tcW w:w="1140" w:type="dxa"/>
            <w:vAlign w:val="center"/>
          </w:tcPr>
          <w:p>
            <w:pPr>
              <w:jc w:val="center"/>
              <w:rPr>
                <w:color w:val="auto"/>
                <w:sz w:val="21"/>
                <w:szCs w:val="21"/>
              </w:rPr>
            </w:pPr>
            <w:r>
              <w:rPr>
                <w:color w:val="auto"/>
                <w:sz w:val="21"/>
                <w:szCs w:val="21"/>
              </w:rPr>
              <w:t>85～90</w:t>
            </w:r>
          </w:p>
        </w:tc>
        <w:tc>
          <w:tcPr>
            <w:tcW w:w="3083" w:type="dxa"/>
            <w:vAlign w:val="center"/>
          </w:tcPr>
          <w:p>
            <w:pPr>
              <w:jc w:val="center"/>
              <w:rPr>
                <w:color w:val="auto"/>
                <w:sz w:val="21"/>
                <w:szCs w:val="21"/>
              </w:rPr>
            </w:pPr>
            <w:r>
              <w:rPr>
                <w:color w:val="auto"/>
                <w:sz w:val="21"/>
                <w:szCs w:val="21"/>
              </w:rPr>
              <w:t>减振设施，厂房隔声</w:t>
            </w:r>
          </w:p>
        </w:tc>
        <w:tc>
          <w:tcPr>
            <w:tcW w:w="1688" w:type="dxa"/>
            <w:vAlign w:val="center"/>
          </w:tcPr>
          <w:p>
            <w:pPr>
              <w:jc w:val="center"/>
              <w:rPr>
                <w:color w:val="auto"/>
                <w:sz w:val="21"/>
                <w:szCs w:val="21"/>
              </w:rPr>
            </w:pPr>
            <w:r>
              <w:rPr>
                <w:color w:val="auto"/>
                <w:sz w:val="21"/>
                <w:szCs w:val="21"/>
              </w:rPr>
              <w:t>20～25</w:t>
            </w:r>
          </w:p>
        </w:tc>
        <w:tc>
          <w:tcPr>
            <w:tcW w:w="1283" w:type="dxa"/>
            <w:vAlign w:val="center"/>
          </w:tcPr>
          <w:p>
            <w:pPr>
              <w:jc w:val="center"/>
              <w:rPr>
                <w:color w:val="auto"/>
                <w:sz w:val="21"/>
                <w:szCs w:val="21"/>
              </w:rPr>
            </w:pPr>
            <w:r>
              <w:rPr>
                <w:color w:val="auto"/>
                <w:sz w:val="21"/>
                <w:szCs w:val="21"/>
              </w:rPr>
              <w:t>65～70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711" w:type="dxa"/>
            <w:vMerge w:val="restart"/>
            <w:vAlign w:val="center"/>
          </w:tcPr>
          <w:p>
            <w:pPr>
              <w:jc w:val="center"/>
              <w:rPr>
                <w:color w:val="auto"/>
                <w:sz w:val="21"/>
                <w:szCs w:val="21"/>
              </w:rPr>
            </w:pPr>
            <w:r>
              <w:rPr>
                <w:color w:val="auto"/>
                <w:sz w:val="21"/>
                <w:szCs w:val="21"/>
              </w:rPr>
              <w:t>建筑垃圾消纳场</w:t>
            </w:r>
          </w:p>
        </w:tc>
        <w:tc>
          <w:tcPr>
            <w:tcW w:w="1382" w:type="dxa"/>
            <w:vAlign w:val="center"/>
          </w:tcPr>
          <w:p>
            <w:pPr>
              <w:jc w:val="center"/>
              <w:rPr>
                <w:color w:val="auto"/>
                <w:sz w:val="21"/>
                <w:szCs w:val="21"/>
              </w:rPr>
            </w:pPr>
            <w:r>
              <w:rPr>
                <w:color w:val="auto"/>
                <w:sz w:val="21"/>
                <w:szCs w:val="21"/>
              </w:rPr>
              <w:t>推土机</w:t>
            </w:r>
          </w:p>
        </w:tc>
        <w:tc>
          <w:tcPr>
            <w:tcW w:w="1140" w:type="dxa"/>
            <w:vAlign w:val="center"/>
          </w:tcPr>
          <w:p>
            <w:pPr>
              <w:jc w:val="center"/>
              <w:rPr>
                <w:color w:val="auto"/>
                <w:sz w:val="21"/>
                <w:szCs w:val="21"/>
              </w:rPr>
            </w:pPr>
            <w:r>
              <w:rPr>
                <w:color w:val="auto"/>
                <w:sz w:val="21"/>
                <w:szCs w:val="21"/>
              </w:rPr>
              <w:t>85~90</w:t>
            </w:r>
          </w:p>
        </w:tc>
        <w:tc>
          <w:tcPr>
            <w:tcW w:w="3083" w:type="dxa"/>
            <w:vAlign w:val="center"/>
          </w:tcPr>
          <w:p>
            <w:pPr>
              <w:jc w:val="center"/>
              <w:rPr>
                <w:color w:val="auto"/>
                <w:sz w:val="21"/>
                <w:szCs w:val="21"/>
              </w:rPr>
            </w:pPr>
            <w:r>
              <w:rPr>
                <w:color w:val="auto"/>
                <w:sz w:val="21"/>
                <w:szCs w:val="21"/>
              </w:rPr>
              <w:t>减震、隔声</w:t>
            </w:r>
          </w:p>
        </w:tc>
        <w:tc>
          <w:tcPr>
            <w:tcW w:w="1688" w:type="dxa"/>
            <w:vAlign w:val="center"/>
          </w:tcPr>
          <w:p>
            <w:pPr>
              <w:jc w:val="center"/>
              <w:rPr>
                <w:color w:val="auto"/>
                <w:sz w:val="21"/>
                <w:szCs w:val="21"/>
              </w:rPr>
            </w:pPr>
            <w:r>
              <w:rPr>
                <w:color w:val="auto"/>
                <w:sz w:val="21"/>
                <w:szCs w:val="21"/>
              </w:rPr>
              <w:t>15～20</w:t>
            </w:r>
          </w:p>
        </w:tc>
        <w:tc>
          <w:tcPr>
            <w:tcW w:w="1283" w:type="dxa"/>
            <w:vAlign w:val="center"/>
          </w:tcPr>
          <w:p>
            <w:pPr>
              <w:jc w:val="center"/>
              <w:rPr>
                <w:color w:val="auto"/>
                <w:sz w:val="21"/>
                <w:szCs w:val="21"/>
              </w:rPr>
            </w:pPr>
            <w:r>
              <w:rPr>
                <w:color w:val="auto"/>
                <w:sz w:val="21"/>
                <w:szCs w:val="21"/>
              </w:rPr>
              <w:t>70~75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711" w:type="dxa"/>
            <w:vMerge w:val="continue"/>
            <w:vAlign w:val="center"/>
          </w:tcPr>
          <w:p>
            <w:pPr>
              <w:jc w:val="center"/>
              <w:rPr>
                <w:color w:val="auto"/>
                <w:sz w:val="21"/>
                <w:szCs w:val="21"/>
              </w:rPr>
            </w:pPr>
          </w:p>
        </w:tc>
        <w:tc>
          <w:tcPr>
            <w:tcW w:w="1382" w:type="dxa"/>
            <w:vAlign w:val="center"/>
          </w:tcPr>
          <w:p>
            <w:pPr>
              <w:jc w:val="center"/>
              <w:rPr>
                <w:color w:val="auto"/>
                <w:sz w:val="21"/>
                <w:szCs w:val="21"/>
              </w:rPr>
            </w:pPr>
            <w:r>
              <w:rPr>
                <w:color w:val="auto"/>
                <w:sz w:val="21"/>
                <w:szCs w:val="21"/>
              </w:rPr>
              <w:t>推土碾压机</w:t>
            </w:r>
          </w:p>
        </w:tc>
        <w:tc>
          <w:tcPr>
            <w:tcW w:w="1140" w:type="dxa"/>
            <w:vAlign w:val="center"/>
          </w:tcPr>
          <w:p>
            <w:pPr>
              <w:jc w:val="center"/>
              <w:rPr>
                <w:color w:val="auto"/>
                <w:sz w:val="21"/>
                <w:szCs w:val="21"/>
              </w:rPr>
            </w:pPr>
            <w:r>
              <w:rPr>
                <w:color w:val="auto"/>
                <w:sz w:val="21"/>
                <w:szCs w:val="21"/>
              </w:rPr>
              <w:t>85~90</w:t>
            </w:r>
          </w:p>
        </w:tc>
        <w:tc>
          <w:tcPr>
            <w:tcW w:w="3083" w:type="dxa"/>
            <w:vAlign w:val="center"/>
          </w:tcPr>
          <w:p>
            <w:pPr>
              <w:jc w:val="center"/>
              <w:rPr>
                <w:color w:val="auto"/>
                <w:sz w:val="21"/>
                <w:szCs w:val="21"/>
              </w:rPr>
            </w:pPr>
            <w:r>
              <w:rPr>
                <w:color w:val="auto"/>
                <w:sz w:val="21"/>
                <w:szCs w:val="21"/>
              </w:rPr>
              <w:t>减震、隔声</w:t>
            </w:r>
          </w:p>
        </w:tc>
        <w:tc>
          <w:tcPr>
            <w:tcW w:w="1688" w:type="dxa"/>
            <w:vAlign w:val="center"/>
          </w:tcPr>
          <w:p>
            <w:pPr>
              <w:jc w:val="center"/>
              <w:rPr>
                <w:color w:val="auto"/>
                <w:sz w:val="21"/>
                <w:szCs w:val="21"/>
              </w:rPr>
            </w:pPr>
            <w:r>
              <w:rPr>
                <w:color w:val="auto"/>
                <w:sz w:val="21"/>
                <w:szCs w:val="21"/>
              </w:rPr>
              <w:t>15～20</w:t>
            </w:r>
          </w:p>
        </w:tc>
        <w:tc>
          <w:tcPr>
            <w:tcW w:w="1283" w:type="dxa"/>
            <w:vAlign w:val="center"/>
          </w:tcPr>
          <w:p>
            <w:pPr>
              <w:jc w:val="center"/>
              <w:rPr>
                <w:color w:val="auto"/>
                <w:sz w:val="21"/>
                <w:szCs w:val="21"/>
              </w:rPr>
            </w:pPr>
            <w:r>
              <w:rPr>
                <w:color w:val="auto"/>
                <w:sz w:val="21"/>
                <w:szCs w:val="21"/>
              </w:rPr>
              <w:t>70~75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711" w:type="dxa"/>
            <w:vMerge w:val="continue"/>
            <w:vAlign w:val="center"/>
          </w:tcPr>
          <w:p>
            <w:pPr>
              <w:jc w:val="center"/>
              <w:rPr>
                <w:color w:val="auto"/>
                <w:sz w:val="21"/>
                <w:szCs w:val="21"/>
              </w:rPr>
            </w:pPr>
          </w:p>
        </w:tc>
        <w:tc>
          <w:tcPr>
            <w:tcW w:w="1382" w:type="dxa"/>
            <w:vAlign w:val="center"/>
          </w:tcPr>
          <w:p>
            <w:pPr>
              <w:jc w:val="center"/>
              <w:rPr>
                <w:color w:val="auto"/>
                <w:sz w:val="21"/>
                <w:szCs w:val="21"/>
              </w:rPr>
            </w:pPr>
            <w:r>
              <w:rPr>
                <w:color w:val="auto"/>
                <w:sz w:val="21"/>
                <w:szCs w:val="21"/>
              </w:rPr>
              <w:t>自卸卡车</w:t>
            </w:r>
          </w:p>
        </w:tc>
        <w:tc>
          <w:tcPr>
            <w:tcW w:w="1140" w:type="dxa"/>
            <w:vAlign w:val="center"/>
          </w:tcPr>
          <w:p>
            <w:pPr>
              <w:jc w:val="center"/>
              <w:rPr>
                <w:color w:val="auto"/>
                <w:sz w:val="21"/>
                <w:szCs w:val="21"/>
              </w:rPr>
            </w:pPr>
            <w:r>
              <w:rPr>
                <w:color w:val="auto"/>
                <w:sz w:val="21"/>
                <w:szCs w:val="21"/>
              </w:rPr>
              <w:t>80~85</w:t>
            </w:r>
          </w:p>
        </w:tc>
        <w:tc>
          <w:tcPr>
            <w:tcW w:w="3083" w:type="dxa"/>
            <w:vAlign w:val="center"/>
          </w:tcPr>
          <w:p>
            <w:pPr>
              <w:jc w:val="center"/>
              <w:rPr>
                <w:color w:val="auto"/>
                <w:sz w:val="21"/>
                <w:szCs w:val="21"/>
              </w:rPr>
            </w:pPr>
            <w:r>
              <w:rPr>
                <w:color w:val="auto"/>
                <w:sz w:val="21"/>
                <w:szCs w:val="21"/>
              </w:rPr>
              <w:t>减震、隔声</w:t>
            </w:r>
          </w:p>
        </w:tc>
        <w:tc>
          <w:tcPr>
            <w:tcW w:w="1688" w:type="dxa"/>
            <w:vAlign w:val="center"/>
          </w:tcPr>
          <w:p>
            <w:pPr>
              <w:jc w:val="center"/>
              <w:rPr>
                <w:color w:val="auto"/>
                <w:sz w:val="21"/>
                <w:szCs w:val="21"/>
              </w:rPr>
            </w:pPr>
            <w:r>
              <w:rPr>
                <w:color w:val="auto"/>
                <w:sz w:val="21"/>
                <w:szCs w:val="21"/>
              </w:rPr>
              <w:t>15～20</w:t>
            </w:r>
          </w:p>
        </w:tc>
        <w:tc>
          <w:tcPr>
            <w:tcW w:w="1283" w:type="dxa"/>
            <w:vAlign w:val="center"/>
          </w:tcPr>
          <w:p>
            <w:pPr>
              <w:jc w:val="center"/>
              <w:rPr>
                <w:color w:val="auto"/>
                <w:sz w:val="21"/>
                <w:szCs w:val="21"/>
              </w:rPr>
            </w:pPr>
            <w:r>
              <w:rPr>
                <w:color w:val="auto"/>
                <w:sz w:val="21"/>
                <w:szCs w:val="21"/>
              </w:rPr>
              <w:t>65~70</w:t>
            </w:r>
          </w:p>
        </w:tc>
      </w:tr>
    </w:tbl>
    <w:p>
      <w:pPr>
        <w:pStyle w:val="67"/>
        <w:spacing w:line="240" w:lineRule="auto"/>
        <w:rPr>
          <w:rFonts w:ascii="Times New Roman" w:hAnsi="Times New Roman" w:cs="Times New Roman"/>
          <w:color w:val="auto"/>
          <w:szCs w:val="24"/>
        </w:rPr>
      </w:pPr>
    </w:p>
    <w:p>
      <w:pPr>
        <w:spacing w:line="360" w:lineRule="auto"/>
        <w:rPr>
          <w:b/>
          <w:color w:val="auto"/>
        </w:rPr>
      </w:pPr>
      <w:bookmarkStart w:id="664" w:name="_Toc389557327"/>
      <w:r>
        <w:rPr>
          <w:rStyle w:val="277"/>
          <w:b/>
          <w:bCs/>
          <w:color w:val="auto"/>
        </w:rPr>
        <w:t>5.2.4.2</w:t>
      </w:r>
      <w:r>
        <w:rPr>
          <w:b/>
          <w:color w:val="auto"/>
        </w:rPr>
        <w:t>声环境影响预测</w:t>
      </w:r>
      <w:bookmarkEnd w:id="664"/>
    </w:p>
    <w:p>
      <w:pPr>
        <w:pStyle w:val="72"/>
        <w:snapToGrid w:val="0"/>
        <w:rPr>
          <w:rFonts w:ascii="Times New Roman" w:hAnsi="Times New Roman" w:cs="Times New Roman"/>
          <w:bCs/>
          <w:color w:val="auto"/>
          <w:szCs w:val="24"/>
        </w:rPr>
      </w:pPr>
      <w:r>
        <w:rPr>
          <w:rFonts w:ascii="Times New Roman" w:hAnsi="Times New Roman" w:cs="Times New Roman"/>
          <w:bCs/>
          <w:color w:val="auto"/>
          <w:szCs w:val="24"/>
        </w:rPr>
        <w:t>1、正常工况下噪声影响预测</w:t>
      </w:r>
    </w:p>
    <w:p>
      <w:pPr>
        <w:adjustRightInd w:val="0"/>
        <w:snapToGrid w:val="0"/>
        <w:spacing w:line="360" w:lineRule="auto"/>
        <w:ind w:firstLine="480" w:firstLineChars="200"/>
        <w:jc w:val="both"/>
        <w:rPr>
          <w:color w:val="auto"/>
          <w:kern w:val="0"/>
        </w:rPr>
      </w:pPr>
      <w:r>
        <w:rPr>
          <w:rFonts w:hint="eastAsia"/>
          <w:color w:val="auto"/>
          <w:kern w:val="0"/>
        </w:rPr>
        <w:t>在预测计算中主要考虑</w:t>
      </w:r>
      <w:r>
        <w:rPr>
          <w:color w:val="auto"/>
          <w:kern w:val="0"/>
        </w:rPr>
        <w:t>A1</w:t>
      </w:r>
      <w:r>
        <w:rPr>
          <w:rFonts w:hint="eastAsia"/>
          <w:color w:val="auto"/>
          <w:kern w:val="0"/>
        </w:rPr>
        <w:t>声波几何发散引起的</w:t>
      </w:r>
      <w:r>
        <w:rPr>
          <w:color w:val="auto"/>
          <w:kern w:val="0"/>
        </w:rPr>
        <w:t>A</w:t>
      </w:r>
      <w:r>
        <w:rPr>
          <w:rFonts w:hint="eastAsia"/>
          <w:color w:val="auto"/>
          <w:kern w:val="0"/>
        </w:rPr>
        <w:t>声级衰减量。点声源随传播距离增加引起的衰减公式如下：</w:t>
      </w:r>
    </w:p>
    <w:p>
      <w:pPr>
        <w:adjustRightInd w:val="0"/>
        <w:snapToGrid w:val="0"/>
        <w:spacing w:line="360" w:lineRule="auto"/>
        <w:jc w:val="center"/>
        <w:rPr>
          <w:color w:val="auto"/>
          <w:kern w:val="0"/>
        </w:rPr>
      </w:pPr>
      <w:r>
        <w:rPr>
          <w:color w:val="auto"/>
          <w:kern w:val="0"/>
        </w:rPr>
        <w:t>Lp=Lp0 – 20lg</w:t>
      </w:r>
      <w:r>
        <w:rPr>
          <w:rFonts w:hint="eastAsia"/>
          <w:color w:val="auto"/>
          <w:kern w:val="0"/>
        </w:rPr>
        <w:t>（</w:t>
      </w:r>
      <w:r>
        <w:rPr>
          <w:color w:val="auto"/>
          <w:kern w:val="0"/>
        </w:rPr>
        <w:t>r/r0</w:t>
      </w:r>
      <w:r>
        <w:rPr>
          <w:rFonts w:hint="eastAsia"/>
          <w:color w:val="auto"/>
          <w:kern w:val="0"/>
        </w:rPr>
        <w:t>）</w:t>
      </w:r>
    </w:p>
    <w:p>
      <w:pPr>
        <w:adjustRightInd w:val="0"/>
        <w:snapToGrid w:val="0"/>
        <w:spacing w:line="360" w:lineRule="auto"/>
        <w:ind w:firstLine="480" w:firstLineChars="200"/>
        <w:rPr>
          <w:color w:val="auto"/>
          <w:kern w:val="0"/>
        </w:rPr>
      </w:pPr>
      <w:r>
        <w:rPr>
          <w:rFonts w:hint="eastAsia"/>
          <w:color w:val="auto"/>
          <w:kern w:val="0"/>
        </w:rPr>
        <w:t>式中：</w:t>
      </w:r>
      <w:r>
        <w:rPr>
          <w:color w:val="auto"/>
          <w:kern w:val="0"/>
        </w:rPr>
        <w:t>Lp</w:t>
      </w:r>
      <w:r>
        <w:rPr>
          <w:rFonts w:hint="eastAsia"/>
          <w:color w:val="auto"/>
          <w:kern w:val="0"/>
        </w:rPr>
        <w:t>－预测点</w:t>
      </w:r>
      <w:r>
        <w:rPr>
          <w:color w:val="auto"/>
          <w:kern w:val="0"/>
        </w:rPr>
        <w:t xml:space="preserve">r </w:t>
      </w:r>
      <w:r>
        <w:rPr>
          <w:rFonts w:hint="eastAsia"/>
          <w:color w:val="auto"/>
          <w:kern w:val="0"/>
        </w:rPr>
        <w:t>处的声级</w:t>
      </w:r>
      <w:r>
        <w:rPr>
          <w:color w:val="auto"/>
          <w:kern w:val="0"/>
        </w:rPr>
        <w:t xml:space="preserve"> dB(A)</w:t>
      </w:r>
      <w:r>
        <w:rPr>
          <w:rFonts w:hint="eastAsia"/>
          <w:color w:val="auto"/>
          <w:kern w:val="0"/>
        </w:rPr>
        <w:t>；</w:t>
      </w:r>
      <w:r>
        <w:rPr>
          <w:color w:val="auto"/>
          <w:kern w:val="0"/>
        </w:rPr>
        <w:t xml:space="preserve"> </w:t>
      </w:r>
    </w:p>
    <w:p>
      <w:pPr>
        <w:adjustRightInd w:val="0"/>
        <w:snapToGrid w:val="0"/>
        <w:spacing w:line="360" w:lineRule="auto"/>
        <w:ind w:firstLine="1200" w:firstLineChars="500"/>
        <w:rPr>
          <w:color w:val="auto"/>
          <w:kern w:val="0"/>
        </w:rPr>
      </w:pPr>
      <w:r>
        <w:rPr>
          <w:color w:val="auto"/>
          <w:kern w:val="0"/>
        </w:rPr>
        <w:t>Lp0</w:t>
      </w:r>
      <w:r>
        <w:rPr>
          <w:rFonts w:hint="eastAsia"/>
          <w:color w:val="auto"/>
          <w:kern w:val="0"/>
        </w:rPr>
        <w:t>－参考位置</w:t>
      </w:r>
      <w:r>
        <w:rPr>
          <w:color w:val="auto"/>
          <w:kern w:val="0"/>
        </w:rPr>
        <w:t xml:space="preserve">r0 </w:t>
      </w:r>
      <w:r>
        <w:rPr>
          <w:rFonts w:hint="eastAsia"/>
          <w:color w:val="auto"/>
          <w:kern w:val="0"/>
        </w:rPr>
        <w:t>处的声级</w:t>
      </w:r>
      <w:r>
        <w:rPr>
          <w:color w:val="auto"/>
          <w:kern w:val="0"/>
        </w:rPr>
        <w:t>dB(A)</w:t>
      </w:r>
      <w:r>
        <w:rPr>
          <w:rFonts w:hint="eastAsia"/>
          <w:color w:val="auto"/>
          <w:kern w:val="0"/>
        </w:rPr>
        <w:t>；</w:t>
      </w:r>
    </w:p>
    <w:p>
      <w:pPr>
        <w:adjustRightInd w:val="0"/>
        <w:snapToGrid w:val="0"/>
        <w:spacing w:line="360" w:lineRule="auto"/>
        <w:ind w:firstLine="1200" w:firstLineChars="500"/>
        <w:rPr>
          <w:color w:val="auto"/>
          <w:kern w:val="0"/>
        </w:rPr>
      </w:pPr>
      <w:r>
        <w:rPr>
          <w:color w:val="auto"/>
          <w:kern w:val="0"/>
        </w:rPr>
        <w:t>r</w:t>
      </w:r>
      <w:r>
        <w:rPr>
          <w:rFonts w:hint="eastAsia"/>
          <w:color w:val="auto"/>
          <w:kern w:val="0"/>
        </w:rPr>
        <w:t>－预测点与点声源之间的距离（米）；</w:t>
      </w:r>
    </w:p>
    <w:p>
      <w:pPr>
        <w:adjustRightInd w:val="0"/>
        <w:snapToGrid w:val="0"/>
        <w:spacing w:line="360" w:lineRule="auto"/>
        <w:ind w:firstLine="1200" w:firstLineChars="500"/>
        <w:rPr>
          <w:color w:val="auto"/>
          <w:kern w:val="0"/>
        </w:rPr>
      </w:pPr>
      <w:r>
        <w:rPr>
          <w:color w:val="auto"/>
          <w:kern w:val="0"/>
        </w:rPr>
        <w:t>r0</w:t>
      </w:r>
      <w:r>
        <w:rPr>
          <w:rFonts w:hint="eastAsia"/>
          <w:color w:val="auto"/>
          <w:kern w:val="0"/>
        </w:rPr>
        <w:t>－参考声级处与点声源之间的距离（米）。</w:t>
      </w:r>
      <w:r>
        <w:rPr>
          <w:color w:val="auto"/>
          <w:kern w:val="0"/>
        </w:rPr>
        <w:t xml:space="preserve"> </w:t>
      </w:r>
    </w:p>
    <w:p>
      <w:pPr>
        <w:adjustRightInd w:val="0"/>
        <w:snapToGrid w:val="0"/>
        <w:spacing w:line="360" w:lineRule="auto"/>
        <w:ind w:firstLine="480" w:firstLineChars="200"/>
        <w:rPr>
          <w:color w:val="auto"/>
          <w:kern w:val="0"/>
        </w:rPr>
      </w:pPr>
      <w:r>
        <w:rPr>
          <w:rFonts w:hint="eastAsia"/>
          <w:color w:val="auto"/>
          <w:kern w:val="0"/>
        </w:rPr>
        <w:t>多声源共同叠加作用的等效声级</w:t>
      </w:r>
      <w:r>
        <w:rPr>
          <w:color w:val="auto"/>
          <w:kern w:val="0"/>
        </w:rPr>
        <w:t>Leq</w:t>
      </w:r>
      <w:r>
        <w:rPr>
          <w:rFonts w:hint="eastAsia"/>
          <w:color w:val="auto"/>
          <w:kern w:val="0"/>
        </w:rPr>
        <w:t>为：</w:t>
      </w:r>
      <w:r>
        <w:rPr>
          <w:color w:val="auto"/>
          <w:kern w:val="0"/>
        </w:rPr>
        <w:t xml:space="preserve"> </w:t>
      </w:r>
    </w:p>
    <w:p>
      <w:pPr>
        <w:adjustRightInd w:val="0"/>
        <w:snapToGrid w:val="0"/>
        <w:spacing w:line="360" w:lineRule="auto"/>
        <w:jc w:val="center"/>
        <w:rPr>
          <w:color w:val="auto"/>
          <w:kern w:val="0"/>
        </w:rPr>
      </w:pPr>
      <w:r>
        <w:rPr>
          <w:color w:val="auto"/>
          <w:kern w:val="0"/>
        </w:rPr>
        <w:drawing>
          <wp:inline distT="0" distB="0" distL="0" distR="0">
            <wp:extent cx="1690370" cy="532130"/>
            <wp:effectExtent l="0" t="0" r="5080" b="127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16"/>
                    <a:srcRect/>
                    <a:stretch>
                      <a:fillRect/>
                    </a:stretch>
                  </pic:blipFill>
                  <pic:spPr>
                    <a:xfrm>
                      <a:off x="0" y="0"/>
                      <a:ext cx="1732297" cy="545517"/>
                    </a:xfrm>
                    <a:prstGeom prst="rect">
                      <a:avLst/>
                    </a:prstGeom>
                    <a:noFill/>
                    <a:ln w="9525">
                      <a:noFill/>
                      <a:miter/>
                    </a:ln>
                  </pic:spPr>
                </pic:pic>
              </a:graphicData>
            </a:graphic>
          </wp:inline>
        </w:drawing>
      </w:r>
    </w:p>
    <w:p>
      <w:pPr>
        <w:adjustRightInd w:val="0"/>
        <w:snapToGrid w:val="0"/>
        <w:spacing w:line="360" w:lineRule="auto"/>
        <w:ind w:firstLine="480" w:firstLineChars="200"/>
        <w:rPr>
          <w:color w:val="auto"/>
          <w:kern w:val="0"/>
        </w:rPr>
      </w:pPr>
      <w:r>
        <w:rPr>
          <w:rFonts w:hint="eastAsia"/>
          <w:color w:val="auto"/>
          <w:kern w:val="0"/>
        </w:rPr>
        <w:t>式中：</w:t>
      </w:r>
      <w:r>
        <w:rPr>
          <w:color w:val="auto"/>
          <w:kern w:val="0"/>
        </w:rPr>
        <w:t>Leq—N</w:t>
      </w:r>
      <w:r>
        <w:rPr>
          <w:rFonts w:hint="eastAsia"/>
          <w:color w:val="auto"/>
          <w:kern w:val="0"/>
        </w:rPr>
        <w:t>个噪声源在同一受声点上的合成声压级</w:t>
      </w:r>
      <w:r>
        <w:rPr>
          <w:color w:val="auto"/>
          <w:kern w:val="0"/>
        </w:rPr>
        <w:t>dB(A)</w:t>
      </w:r>
      <w:r>
        <w:rPr>
          <w:rFonts w:hint="eastAsia"/>
          <w:color w:val="auto"/>
          <w:kern w:val="0"/>
        </w:rPr>
        <w:t>；</w:t>
      </w:r>
    </w:p>
    <w:p>
      <w:pPr>
        <w:adjustRightInd w:val="0"/>
        <w:snapToGrid w:val="0"/>
        <w:spacing w:line="360" w:lineRule="auto"/>
        <w:ind w:firstLine="1200" w:firstLineChars="500"/>
        <w:rPr>
          <w:color w:val="auto"/>
          <w:kern w:val="0"/>
        </w:rPr>
      </w:pPr>
      <w:r>
        <w:rPr>
          <w:color w:val="auto"/>
          <w:kern w:val="0"/>
        </w:rPr>
        <w:t>Leqi—</w:t>
      </w:r>
      <w:r>
        <w:rPr>
          <w:rFonts w:hint="eastAsia"/>
          <w:color w:val="auto"/>
          <w:kern w:val="0"/>
        </w:rPr>
        <w:t>第</w:t>
      </w:r>
      <w:r>
        <w:rPr>
          <w:color w:val="auto"/>
          <w:kern w:val="0"/>
        </w:rPr>
        <w:t>i</w:t>
      </w:r>
      <w:r>
        <w:rPr>
          <w:rFonts w:hint="eastAsia"/>
          <w:color w:val="auto"/>
          <w:kern w:val="0"/>
        </w:rPr>
        <w:t>个噪声源在受声点的声压级</w:t>
      </w:r>
      <w:r>
        <w:rPr>
          <w:color w:val="auto"/>
          <w:kern w:val="0"/>
        </w:rPr>
        <w:t>dB(A)</w:t>
      </w:r>
      <w:r>
        <w:rPr>
          <w:rFonts w:hint="eastAsia"/>
          <w:color w:val="auto"/>
          <w:kern w:val="0"/>
        </w:rPr>
        <w:t>。</w:t>
      </w:r>
      <w:r>
        <w:rPr>
          <w:color w:val="auto"/>
          <w:kern w:val="0"/>
        </w:rPr>
        <w:t xml:space="preserve"> </w:t>
      </w:r>
    </w:p>
    <w:p>
      <w:pPr>
        <w:adjustRightInd w:val="0"/>
        <w:snapToGrid w:val="0"/>
        <w:spacing w:line="360" w:lineRule="auto"/>
        <w:ind w:firstLine="480" w:firstLineChars="200"/>
        <w:rPr>
          <w:color w:val="auto"/>
          <w:kern w:val="0"/>
        </w:rPr>
      </w:pPr>
      <w:r>
        <w:rPr>
          <w:rFonts w:hint="eastAsia"/>
          <w:color w:val="auto"/>
          <w:kern w:val="0"/>
        </w:rPr>
        <w:t>2、预测结果</w:t>
      </w:r>
      <w:r>
        <w:rPr>
          <w:color w:val="auto"/>
          <w:kern w:val="0"/>
        </w:rPr>
        <w:t xml:space="preserve"> </w:t>
      </w:r>
    </w:p>
    <w:p>
      <w:pPr>
        <w:adjustRightInd w:val="0"/>
        <w:snapToGrid w:val="0"/>
        <w:spacing w:line="360" w:lineRule="auto"/>
        <w:ind w:firstLine="480" w:firstLineChars="200"/>
        <w:jc w:val="both"/>
        <w:rPr>
          <w:color w:val="auto"/>
        </w:rPr>
      </w:pPr>
      <w:r>
        <w:rPr>
          <w:rFonts w:hint="eastAsia"/>
          <w:color w:val="auto"/>
          <w:kern w:val="0"/>
        </w:rPr>
        <w:t>根据声源衰减预测模式，考虑建筑物、绿化对噪声传播的遮挡作用，拟建项目为本项目，</w:t>
      </w:r>
      <w:r>
        <w:rPr>
          <w:color w:val="auto"/>
          <w:kern w:val="0"/>
        </w:rPr>
        <w:t>根据《环境影响评价导则 声环境》（HJ2.4-2009）</w:t>
      </w:r>
      <w:r>
        <w:rPr>
          <w:rFonts w:hint="eastAsia"/>
          <w:color w:val="auto"/>
          <w:kern w:val="0"/>
        </w:rPr>
        <w:t>，厂界噪声预测结果见表</w:t>
      </w:r>
      <w:r>
        <w:rPr>
          <w:color w:val="auto"/>
          <w:kern w:val="0"/>
        </w:rPr>
        <w:t>5.2-</w:t>
      </w:r>
      <w:r>
        <w:rPr>
          <w:rFonts w:hint="eastAsia"/>
          <w:color w:val="auto"/>
          <w:kern w:val="0"/>
        </w:rPr>
        <w:t>21</w:t>
      </w:r>
    </w:p>
    <w:p>
      <w:pPr>
        <w:pStyle w:val="67"/>
        <w:spacing w:line="240" w:lineRule="auto"/>
        <w:rPr>
          <w:rFonts w:ascii="Times New Roman" w:hAnsi="Times New Roman" w:cs="Times New Roman"/>
          <w:color w:val="auto"/>
        </w:rPr>
      </w:pPr>
      <w:r>
        <w:rPr>
          <w:rFonts w:ascii="Times New Roman" w:hAnsi="Times New Roman" w:cs="Times New Roman"/>
          <w:color w:val="auto"/>
        </w:rPr>
        <w:t>表5.2-</w:t>
      </w:r>
      <w:r>
        <w:rPr>
          <w:rFonts w:hint="eastAsia" w:ascii="Times New Roman" w:hAnsi="Times New Roman" w:cs="Times New Roman"/>
          <w:color w:val="auto"/>
        </w:rPr>
        <w:t>21</w:t>
      </w:r>
      <w:r>
        <w:rPr>
          <w:rFonts w:ascii="Times New Roman" w:hAnsi="Times New Roman" w:cs="Times New Roman"/>
          <w:color w:val="auto"/>
        </w:rPr>
        <w:t xml:space="preserve">  厂界噪声预测结果  (dB(A))</w:t>
      </w:r>
    </w:p>
    <w:tbl>
      <w:tblPr>
        <w:tblStyle w:val="53"/>
        <w:tblW w:w="8360"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630"/>
        <w:gridCol w:w="849"/>
        <w:gridCol w:w="851"/>
        <w:gridCol w:w="851"/>
        <w:gridCol w:w="851"/>
        <w:gridCol w:w="849"/>
        <w:gridCol w:w="851"/>
        <w:gridCol w:w="813"/>
        <w:gridCol w:w="8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232" w:hRule="atLeast"/>
          <w:jc w:val="center"/>
        </w:trPr>
        <w:tc>
          <w:tcPr>
            <w:tcW w:w="1630" w:type="dxa"/>
            <w:vAlign w:val="center"/>
          </w:tcPr>
          <w:p>
            <w:pPr>
              <w:pStyle w:val="262"/>
              <w:spacing w:line="240" w:lineRule="auto"/>
              <w:rPr>
                <w:rFonts w:ascii="Times New Roman" w:hAnsi="Times New Roman" w:eastAsia="宋体" w:cs="Times New Roman"/>
                <w:b/>
                <w:color w:val="auto"/>
                <w:szCs w:val="21"/>
              </w:rPr>
            </w:pPr>
            <w:r>
              <w:rPr>
                <w:rFonts w:ascii="Times New Roman" w:hAnsi="Times New Roman" w:eastAsia="宋体" w:cs="Times New Roman"/>
                <w:b/>
                <w:color w:val="auto"/>
                <w:szCs w:val="21"/>
              </w:rPr>
              <w:t>厂界</w:t>
            </w:r>
          </w:p>
        </w:tc>
        <w:tc>
          <w:tcPr>
            <w:tcW w:w="1700" w:type="dxa"/>
            <w:gridSpan w:val="2"/>
            <w:vAlign w:val="center"/>
          </w:tcPr>
          <w:p>
            <w:pPr>
              <w:pStyle w:val="262"/>
              <w:spacing w:line="240" w:lineRule="auto"/>
              <w:rPr>
                <w:rFonts w:ascii="Times New Roman" w:hAnsi="Times New Roman" w:eastAsia="宋体" w:cs="Times New Roman"/>
                <w:b/>
                <w:color w:val="auto"/>
                <w:szCs w:val="21"/>
              </w:rPr>
            </w:pPr>
            <w:r>
              <w:rPr>
                <w:rFonts w:ascii="Times New Roman" w:hAnsi="Times New Roman" w:eastAsia="宋体" w:cs="Times New Roman"/>
                <w:b/>
                <w:color w:val="auto"/>
                <w:szCs w:val="21"/>
              </w:rPr>
              <w:t>东侧厂界</w:t>
            </w:r>
          </w:p>
        </w:tc>
        <w:tc>
          <w:tcPr>
            <w:tcW w:w="1702" w:type="dxa"/>
            <w:gridSpan w:val="2"/>
            <w:vAlign w:val="center"/>
          </w:tcPr>
          <w:p>
            <w:pPr>
              <w:pStyle w:val="262"/>
              <w:spacing w:line="240" w:lineRule="auto"/>
              <w:rPr>
                <w:rFonts w:ascii="Times New Roman" w:hAnsi="Times New Roman" w:eastAsia="宋体" w:cs="Times New Roman"/>
                <w:b/>
                <w:color w:val="auto"/>
                <w:szCs w:val="21"/>
              </w:rPr>
            </w:pPr>
            <w:r>
              <w:rPr>
                <w:rFonts w:ascii="Times New Roman" w:hAnsi="Times New Roman" w:eastAsia="宋体" w:cs="Times New Roman"/>
                <w:b/>
                <w:color w:val="auto"/>
                <w:szCs w:val="21"/>
              </w:rPr>
              <w:t>西侧厂界</w:t>
            </w:r>
          </w:p>
        </w:tc>
        <w:tc>
          <w:tcPr>
            <w:tcW w:w="1700" w:type="dxa"/>
            <w:gridSpan w:val="2"/>
            <w:vAlign w:val="center"/>
          </w:tcPr>
          <w:p>
            <w:pPr>
              <w:pStyle w:val="262"/>
              <w:spacing w:line="240" w:lineRule="auto"/>
              <w:rPr>
                <w:rFonts w:ascii="Times New Roman" w:hAnsi="Times New Roman" w:eastAsia="宋体" w:cs="Times New Roman"/>
                <w:b/>
                <w:color w:val="auto"/>
                <w:szCs w:val="21"/>
              </w:rPr>
            </w:pPr>
            <w:r>
              <w:rPr>
                <w:rFonts w:ascii="Times New Roman" w:hAnsi="Times New Roman" w:eastAsia="宋体" w:cs="Times New Roman"/>
                <w:b/>
                <w:color w:val="auto"/>
                <w:szCs w:val="21"/>
              </w:rPr>
              <w:t>南侧厂界</w:t>
            </w:r>
          </w:p>
        </w:tc>
        <w:tc>
          <w:tcPr>
            <w:tcW w:w="1628" w:type="dxa"/>
            <w:gridSpan w:val="2"/>
            <w:vAlign w:val="center"/>
          </w:tcPr>
          <w:p>
            <w:pPr>
              <w:pStyle w:val="262"/>
              <w:spacing w:line="240" w:lineRule="auto"/>
              <w:rPr>
                <w:rFonts w:ascii="Times New Roman" w:hAnsi="Times New Roman" w:eastAsia="宋体" w:cs="Times New Roman"/>
                <w:b/>
                <w:color w:val="auto"/>
                <w:szCs w:val="21"/>
              </w:rPr>
            </w:pPr>
            <w:r>
              <w:rPr>
                <w:rFonts w:ascii="Times New Roman" w:hAnsi="Times New Roman" w:eastAsia="宋体" w:cs="Times New Roman"/>
                <w:b/>
                <w:color w:val="auto"/>
                <w:szCs w:val="21"/>
              </w:rPr>
              <w:t>北侧厂界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66" w:hRule="atLeast"/>
          <w:jc w:val="center"/>
        </w:trPr>
        <w:tc>
          <w:tcPr>
            <w:tcW w:w="1630" w:type="dxa"/>
            <w:vAlign w:val="center"/>
          </w:tcPr>
          <w:p>
            <w:pPr>
              <w:pStyle w:val="262"/>
              <w:spacing w:line="240" w:lineRule="auto"/>
              <w:rPr>
                <w:rFonts w:ascii="Times New Roman" w:hAnsi="Times New Roman" w:eastAsia="宋体" w:cs="Times New Roman"/>
                <w:color w:val="auto"/>
                <w:szCs w:val="21"/>
              </w:rPr>
            </w:pPr>
            <w:r>
              <w:rPr>
                <w:rFonts w:ascii="Times New Roman" w:hAnsi="Times New Roman" w:eastAsia="宋体" w:cs="Times New Roman"/>
                <w:color w:val="auto"/>
                <w:szCs w:val="21"/>
              </w:rPr>
              <w:t>噪声贡献预测值</w:t>
            </w:r>
          </w:p>
        </w:tc>
        <w:tc>
          <w:tcPr>
            <w:tcW w:w="1700" w:type="dxa"/>
            <w:gridSpan w:val="2"/>
            <w:vAlign w:val="center"/>
          </w:tcPr>
          <w:p>
            <w:pPr>
              <w:pStyle w:val="262"/>
              <w:spacing w:line="240" w:lineRule="auto"/>
              <w:rPr>
                <w:rFonts w:ascii="Times New Roman" w:hAnsi="Times New Roman" w:eastAsia="宋体" w:cs="Times New Roman"/>
                <w:color w:val="auto"/>
                <w:szCs w:val="21"/>
              </w:rPr>
            </w:pPr>
            <w:r>
              <w:rPr>
                <w:rFonts w:ascii="Times New Roman" w:hAnsi="Times New Roman" w:eastAsia="宋体" w:cs="Times New Roman"/>
                <w:color w:val="auto"/>
                <w:szCs w:val="21"/>
              </w:rPr>
              <w:t>25.2</w:t>
            </w:r>
          </w:p>
        </w:tc>
        <w:tc>
          <w:tcPr>
            <w:tcW w:w="1702" w:type="dxa"/>
            <w:gridSpan w:val="2"/>
            <w:vAlign w:val="center"/>
          </w:tcPr>
          <w:p>
            <w:pPr>
              <w:pStyle w:val="262"/>
              <w:spacing w:line="240" w:lineRule="auto"/>
              <w:rPr>
                <w:rFonts w:ascii="Times New Roman" w:hAnsi="Times New Roman" w:eastAsia="宋体" w:cs="Times New Roman"/>
                <w:color w:val="auto"/>
                <w:szCs w:val="21"/>
              </w:rPr>
            </w:pPr>
            <w:r>
              <w:rPr>
                <w:rFonts w:ascii="Times New Roman" w:hAnsi="Times New Roman" w:eastAsia="宋体" w:cs="Times New Roman"/>
                <w:color w:val="auto"/>
                <w:szCs w:val="21"/>
              </w:rPr>
              <w:t>12.5</w:t>
            </w:r>
          </w:p>
        </w:tc>
        <w:tc>
          <w:tcPr>
            <w:tcW w:w="1700" w:type="dxa"/>
            <w:gridSpan w:val="2"/>
            <w:vAlign w:val="center"/>
          </w:tcPr>
          <w:p>
            <w:pPr>
              <w:pStyle w:val="262"/>
              <w:spacing w:line="240" w:lineRule="auto"/>
              <w:rPr>
                <w:rFonts w:ascii="Times New Roman" w:hAnsi="Times New Roman" w:eastAsia="宋体" w:cs="Times New Roman"/>
                <w:color w:val="auto"/>
                <w:szCs w:val="21"/>
              </w:rPr>
            </w:pPr>
            <w:r>
              <w:rPr>
                <w:rFonts w:ascii="Times New Roman" w:hAnsi="Times New Roman" w:eastAsia="宋体" w:cs="Times New Roman"/>
                <w:color w:val="auto"/>
                <w:szCs w:val="21"/>
              </w:rPr>
              <w:t>16.5</w:t>
            </w:r>
          </w:p>
        </w:tc>
        <w:tc>
          <w:tcPr>
            <w:tcW w:w="1628" w:type="dxa"/>
            <w:gridSpan w:val="2"/>
            <w:vAlign w:val="center"/>
          </w:tcPr>
          <w:p>
            <w:pPr>
              <w:pStyle w:val="262"/>
              <w:spacing w:line="240" w:lineRule="auto"/>
              <w:rPr>
                <w:rFonts w:ascii="Times New Roman" w:hAnsi="Times New Roman" w:eastAsia="宋体" w:cs="Times New Roman"/>
                <w:color w:val="auto"/>
                <w:szCs w:val="21"/>
              </w:rPr>
            </w:pPr>
            <w:r>
              <w:rPr>
                <w:rFonts w:ascii="Times New Roman" w:hAnsi="Times New Roman" w:eastAsia="宋体" w:cs="Times New Roman"/>
                <w:color w:val="auto"/>
                <w:szCs w:val="21"/>
              </w:rPr>
              <w:t>24.9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66" w:hRule="atLeast"/>
          <w:jc w:val="center"/>
        </w:trPr>
        <w:tc>
          <w:tcPr>
            <w:tcW w:w="1630" w:type="dxa"/>
            <w:vAlign w:val="center"/>
          </w:tcPr>
          <w:p>
            <w:pPr>
              <w:pStyle w:val="262"/>
              <w:spacing w:line="240" w:lineRule="auto"/>
              <w:rPr>
                <w:rFonts w:ascii="Times New Roman" w:hAnsi="Times New Roman" w:eastAsia="宋体" w:cs="Times New Roman"/>
                <w:color w:val="auto"/>
                <w:szCs w:val="21"/>
              </w:rPr>
            </w:pPr>
            <w:r>
              <w:rPr>
                <w:rFonts w:ascii="Times New Roman" w:hAnsi="Times New Roman" w:eastAsia="宋体" w:cs="Times New Roman"/>
                <w:color w:val="auto"/>
                <w:szCs w:val="21"/>
              </w:rPr>
              <w:t>标准值</w:t>
            </w:r>
          </w:p>
        </w:tc>
        <w:tc>
          <w:tcPr>
            <w:tcW w:w="849" w:type="dxa"/>
            <w:vAlign w:val="center"/>
          </w:tcPr>
          <w:p>
            <w:pPr>
              <w:pStyle w:val="262"/>
              <w:spacing w:line="240" w:lineRule="auto"/>
              <w:rPr>
                <w:rFonts w:ascii="Times New Roman" w:hAnsi="Times New Roman" w:eastAsia="宋体" w:cs="Times New Roman"/>
                <w:color w:val="auto"/>
                <w:szCs w:val="21"/>
              </w:rPr>
            </w:pPr>
            <w:r>
              <w:rPr>
                <w:rFonts w:ascii="Times New Roman" w:hAnsi="Times New Roman" w:eastAsia="宋体" w:cs="Times New Roman"/>
                <w:color w:val="auto"/>
                <w:szCs w:val="21"/>
              </w:rPr>
              <w:t>70</w:t>
            </w:r>
          </w:p>
        </w:tc>
        <w:tc>
          <w:tcPr>
            <w:tcW w:w="851" w:type="dxa"/>
            <w:vAlign w:val="center"/>
          </w:tcPr>
          <w:p>
            <w:pPr>
              <w:pStyle w:val="262"/>
              <w:spacing w:line="240" w:lineRule="auto"/>
              <w:rPr>
                <w:rFonts w:ascii="Times New Roman" w:hAnsi="Times New Roman" w:eastAsia="宋体" w:cs="Times New Roman"/>
                <w:color w:val="auto"/>
                <w:szCs w:val="21"/>
              </w:rPr>
            </w:pPr>
            <w:r>
              <w:rPr>
                <w:rFonts w:ascii="Times New Roman" w:hAnsi="Times New Roman" w:eastAsia="宋体" w:cs="Times New Roman"/>
                <w:color w:val="auto"/>
                <w:szCs w:val="21"/>
              </w:rPr>
              <w:t>55</w:t>
            </w:r>
          </w:p>
        </w:tc>
        <w:tc>
          <w:tcPr>
            <w:tcW w:w="851" w:type="dxa"/>
            <w:vAlign w:val="center"/>
          </w:tcPr>
          <w:p>
            <w:pPr>
              <w:pStyle w:val="262"/>
              <w:spacing w:line="240" w:lineRule="auto"/>
              <w:rPr>
                <w:rFonts w:ascii="Times New Roman" w:hAnsi="Times New Roman" w:eastAsia="宋体" w:cs="Times New Roman"/>
                <w:color w:val="auto"/>
                <w:szCs w:val="21"/>
              </w:rPr>
            </w:pPr>
            <w:r>
              <w:rPr>
                <w:rFonts w:ascii="Times New Roman" w:hAnsi="Times New Roman" w:eastAsia="宋体" w:cs="Times New Roman"/>
                <w:color w:val="auto"/>
                <w:szCs w:val="21"/>
              </w:rPr>
              <w:t>60</w:t>
            </w:r>
          </w:p>
        </w:tc>
        <w:tc>
          <w:tcPr>
            <w:tcW w:w="851" w:type="dxa"/>
            <w:vAlign w:val="center"/>
          </w:tcPr>
          <w:p>
            <w:pPr>
              <w:pStyle w:val="262"/>
              <w:spacing w:line="240" w:lineRule="auto"/>
              <w:rPr>
                <w:rFonts w:ascii="Times New Roman" w:hAnsi="Times New Roman" w:eastAsia="宋体" w:cs="Times New Roman"/>
                <w:color w:val="auto"/>
                <w:szCs w:val="21"/>
              </w:rPr>
            </w:pPr>
            <w:r>
              <w:rPr>
                <w:rFonts w:ascii="Times New Roman" w:hAnsi="Times New Roman" w:eastAsia="宋体" w:cs="Times New Roman"/>
                <w:color w:val="auto"/>
                <w:szCs w:val="21"/>
              </w:rPr>
              <w:t>50</w:t>
            </w:r>
          </w:p>
        </w:tc>
        <w:tc>
          <w:tcPr>
            <w:tcW w:w="849" w:type="dxa"/>
            <w:vAlign w:val="center"/>
          </w:tcPr>
          <w:p>
            <w:pPr>
              <w:pStyle w:val="262"/>
              <w:spacing w:line="240" w:lineRule="auto"/>
              <w:rPr>
                <w:rFonts w:ascii="Times New Roman" w:hAnsi="Times New Roman" w:eastAsia="宋体" w:cs="Times New Roman"/>
                <w:color w:val="auto"/>
                <w:szCs w:val="21"/>
              </w:rPr>
            </w:pPr>
            <w:r>
              <w:rPr>
                <w:rFonts w:ascii="Times New Roman" w:hAnsi="Times New Roman" w:eastAsia="宋体" w:cs="Times New Roman"/>
                <w:color w:val="auto"/>
                <w:szCs w:val="21"/>
              </w:rPr>
              <w:t>60</w:t>
            </w:r>
          </w:p>
        </w:tc>
        <w:tc>
          <w:tcPr>
            <w:tcW w:w="851" w:type="dxa"/>
            <w:vAlign w:val="center"/>
          </w:tcPr>
          <w:p>
            <w:pPr>
              <w:pStyle w:val="262"/>
              <w:spacing w:line="240" w:lineRule="auto"/>
              <w:rPr>
                <w:rFonts w:ascii="Times New Roman" w:hAnsi="Times New Roman" w:eastAsia="宋体" w:cs="Times New Roman"/>
                <w:color w:val="auto"/>
                <w:szCs w:val="21"/>
              </w:rPr>
            </w:pPr>
            <w:r>
              <w:rPr>
                <w:rFonts w:ascii="Times New Roman" w:hAnsi="Times New Roman" w:eastAsia="宋体" w:cs="Times New Roman"/>
                <w:color w:val="auto"/>
                <w:szCs w:val="21"/>
              </w:rPr>
              <w:t>50</w:t>
            </w:r>
          </w:p>
        </w:tc>
        <w:tc>
          <w:tcPr>
            <w:tcW w:w="813" w:type="dxa"/>
            <w:vAlign w:val="center"/>
          </w:tcPr>
          <w:p>
            <w:pPr>
              <w:pStyle w:val="262"/>
              <w:spacing w:line="240" w:lineRule="auto"/>
              <w:rPr>
                <w:rFonts w:ascii="Times New Roman" w:hAnsi="Times New Roman" w:eastAsia="宋体" w:cs="Times New Roman"/>
                <w:color w:val="auto"/>
                <w:szCs w:val="21"/>
              </w:rPr>
            </w:pPr>
            <w:r>
              <w:rPr>
                <w:rFonts w:ascii="Times New Roman" w:hAnsi="Times New Roman" w:eastAsia="宋体" w:cs="Times New Roman"/>
                <w:color w:val="auto"/>
                <w:szCs w:val="21"/>
              </w:rPr>
              <w:t>60</w:t>
            </w:r>
          </w:p>
        </w:tc>
        <w:tc>
          <w:tcPr>
            <w:tcW w:w="815" w:type="dxa"/>
            <w:vAlign w:val="center"/>
          </w:tcPr>
          <w:p>
            <w:pPr>
              <w:pStyle w:val="262"/>
              <w:spacing w:line="240" w:lineRule="auto"/>
              <w:rPr>
                <w:rFonts w:ascii="Times New Roman" w:hAnsi="Times New Roman" w:eastAsia="宋体" w:cs="Times New Roman"/>
                <w:color w:val="auto"/>
                <w:szCs w:val="21"/>
              </w:rPr>
            </w:pPr>
            <w:r>
              <w:rPr>
                <w:rFonts w:ascii="Times New Roman" w:hAnsi="Times New Roman" w:eastAsia="宋体" w:cs="Times New Roman"/>
                <w:color w:val="auto"/>
                <w:szCs w:val="21"/>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232" w:hRule="atLeast"/>
          <w:jc w:val="center"/>
        </w:trPr>
        <w:tc>
          <w:tcPr>
            <w:tcW w:w="1630" w:type="dxa"/>
            <w:vAlign w:val="center"/>
          </w:tcPr>
          <w:p>
            <w:pPr>
              <w:pStyle w:val="262"/>
              <w:spacing w:line="240" w:lineRule="auto"/>
              <w:rPr>
                <w:rFonts w:ascii="Times New Roman" w:hAnsi="Times New Roman" w:eastAsia="宋体" w:cs="Times New Roman"/>
                <w:color w:val="auto"/>
                <w:szCs w:val="21"/>
              </w:rPr>
            </w:pPr>
            <w:r>
              <w:rPr>
                <w:rFonts w:ascii="Times New Roman" w:hAnsi="Times New Roman" w:eastAsia="宋体" w:cs="Times New Roman"/>
                <w:color w:val="auto"/>
                <w:szCs w:val="21"/>
              </w:rPr>
              <w:t>达标情况</w:t>
            </w:r>
          </w:p>
        </w:tc>
        <w:tc>
          <w:tcPr>
            <w:tcW w:w="1700" w:type="dxa"/>
            <w:gridSpan w:val="2"/>
            <w:vAlign w:val="center"/>
          </w:tcPr>
          <w:p>
            <w:pPr>
              <w:pStyle w:val="262"/>
              <w:spacing w:line="240" w:lineRule="auto"/>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c>
          <w:tcPr>
            <w:tcW w:w="1702" w:type="dxa"/>
            <w:gridSpan w:val="2"/>
            <w:vAlign w:val="center"/>
          </w:tcPr>
          <w:p>
            <w:pPr>
              <w:pStyle w:val="262"/>
              <w:spacing w:line="240" w:lineRule="auto"/>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c>
          <w:tcPr>
            <w:tcW w:w="1700" w:type="dxa"/>
            <w:gridSpan w:val="2"/>
            <w:vAlign w:val="center"/>
          </w:tcPr>
          <w:p>
            <w:pPr>
              <w:pStyle w:val="262"/>
              <w:spacing w:line="240" w:lineRule="auto"/>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c>
          <w:tcPr>
            <w:tcW w:w="1628" w:type="dxa"/>
            <w:gridSpan w:val="2"/>
            <w:vAlign w:val="center"/>
          </w:tcPr>
          <w:p>
            <w:pPr>
              <w:pStyle w:val="262"/>
              <w:spacing w:line="240" w:lineRule="auto"/>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bl>
    <w:p>
      <w:pPr>
        <w:spacing w:line="360" w:lineRule="auto"/>
        <w:ind w:firstLine="480" w:firstLineChars="200"/>
        <w:rPr>
          <w:color w:val="auto"/>
        </w:rPr>
      </w:pPr>
      <w:bookmarkStart w:id="665" w:name="_Toc389557328"/>
      <w:r>
        <w:rPr>
          <w:color w:val="auto"/>
        </w:rPr>
        <w:t>根据以上分析表明，拟建项目建成后，采取相应的措施后，</w:t>
      </w:r>
      <w:r>
        <w:rPr>
          <w:rFonts w:hint="eastAsia"/>
          <w:color w:val="auto"/>
        </w:rPr>
        <w:t>厂界</w:t>
      </w:r>
      <w:r>
        <w:rPr>
          <w:color w:val="auto"/>
        </w:rPr>
        <w:t>昼夜噪声贡献值</w:t>
      </w:r>
      <w:r>
        <w:rPr>
          <w:rFonts w:hint="eastAsia"/>
          <w:color w:val="auto"/>
        </w:rPr>
        <w:t>、敏感点预测值均</w:t>
      </w:r>
      <w:r>
        <w:rPr>
          <w:color w:val="auto"/>
        </w:rPr>
        <w:t>满足《工业企业厂界环境噪声排放标准》（GB 12348-2008）中的2类标准。</w:t>
      </w:r>
    </w:p>
    <w:bookmarkEnd w:id="665"/>
    <w:p>
      <w:pPr>
        <w:pStyle w:val="4"/>
        <w:numPr>
          <w:ilvl w:val="0"/>
          <w:numId w:val="0"/>
        </w:numPr>
        <w:tabs>
          <w:tab w:val="clear" w:pos="680"/>
        </w:tabs>
        <w:ind w:left="720" w:right="240" w:hanging="720"/>
        <w:rPr>
          <w:b/>
          <w:color w:val="auto"/>
          <w:szCs w:val="24"/>
        </w:rPr>
      </w:pPr>
      <w:bookmarkStart w:id="666" w:name="_Toc34234740"/>
      <w:bookmarkStart w:id="667" w:name="_Toc15912202"/>
      <w:bookmarkStart w:id="668" w:name="_Toc166495101"/>
      <w:bookmarkStart w:id="669" w:name="_Toc14946910"/>
      <w:bookmarkStart w:id="670" w:name="_Toc30621"/>
      <w:bookmarkStart w:id="671" w:name="_Toc24136821"/>
      <w:r>
        <w:rPr>
          <w:rFonts w:hint="eastAsia"/>
          <w:b/>
          <w:color w:val="auto"/>
          <w:szCs w:val="24"/>
        </w:rPr>
        <w:t>5</w:t>
      </w:r>
      <w:r>
        <w:rPr>
          <w:b/>
          <w:color w:val="auto"/>
          <w:szCs w:val="24"/>
        </w:rPr>
        <w:t>.2.5固体废物</w:t>
      </w:r>
      <w:r>
        <w:rPr>
          <w:rFonts w:hint="eastAsia"/>
          <w:b/>
          <w:color w:val="auto"/>
          <w:szCs w:val="24"/>
        </w:rPr>
        <w:t>环境影响</w:t>
      </w:r>
      <w:r>
        <w:rPr>
          <w:b/>
          <w:color w:val="auto"/>
          <w:szCs w:val="24"/>
        </w:rPr>
        <w:t>分析</w:t>
      </w:r>
      <w:bookmarkEnd w:id="666"/>
      <w:bookmarkEnd w:id="667"/>
      <w:bookmarkEnd w:id="668"/>
      <w:bookmarkEnd w:id="669"/>
      <w:bookmarkEnd w:id="670"/>
      <w:bookmarkEnd w:id="671"/>
    </w:p>
    <w:p>
      <w:pPr>
        <w:autoSpaceDE w:val="0"/>
        <w:autoSpaceDN w:val="0"/>
        <w:adjustRightInd w:val="0"/>
        <w:spacing w:line="360" w:lineRule="auto"/>
        <w:ind w:firstLine="482" w:firstLineChars="200"/>
        <w:rPr>
          <w:rFonts w:ascii="宋体" w:cs="宋体"/>
          <w:color w:val="auto"/>
          <w:kern w:val="0"/>
        </w:rPr>
      </w:pPr>
      <w:r>
        <w:rPr>
          <w:b/>
          <w:bCs/>
          <w:color w:val="auto"/>
          <w:kern w:val="0"/>
        </w:rPr>
        <w:t>1</w:t>
      </w:r>
      <w:r>
        <w:rPr>
          <w:rFonts w:hint="eastAsia" w:ascii="宋体" w:cs="宋体"/>
          <w:color w:val="auto"/>
          <w:kern w:val="0"/>
        </w:rPr>
        <w:t>、固体废物处置方式</w:t>
      </w:r>
    </w:p>
    <w:p>
      <w:pPr>
        <w:autoSpaceDE w:val="0"/>
        <w:autoSpaceDN w:val="0"/>
        <w:adjustRightInd w:val="0"/>
        <w:spacing w:line="360" w:lineRule="auto"/>
        <w:ind w:firstLine="480" w:firstLineChars="200"/>
        <w:rPr>
          <w:rFonts w:ascii="宋体" w:cs="宋体"/>
          <w:color w:val="auto"/>
          <w:kern w:val="0"/>
        </w:rPr>
      </w:pPr>
      <w:r>
        <w:rPr>
          <w:rFonts w:hint="eastAsia" w:ascii="宋体" w:cs="宋体"/>
          <w:color w:val="auto"/>
          <w:kern w:val="0"/>
        </w:rPr>
        <w:t>拟建项目产生的固体废物主要有脱水残渣和除油残渣、粗油脂、废UV光解灯管、废机油、消纳场废水沉淀池沉沙等。</w:t>
      </w:r>
      <w:r>
        <w:rPr>
          <w:color w:val="auto"/>
        </w:rPr>
        <w:t>固体废物中有害物质通过水体、土壤和大气而进入环境中，对环境的影响程度取决于释放过程中污染物的转移量及其浓度。从本项目产生的固体废物的种类及其成份来</w:t>
      </w:r>
      <w:r>
        <w:rPr>
          <w:rFonts w:eastAsiaTheme="minorEastAsia"/>
          <w:color w:val="auto"/>
        </w:rPr>
        <w:t>看，若不妥当处置，将有可能对土壤、水体、环境空气质量造成影响。</w:t>
      </w:r>
    </w:p>
    <w:p>
      <w:pPr>
        <w:spacing w:line="360" w:lineRule="auto"/>
        <w:ind w:firstLine="480"/>
        <w:rPr>
          <w:rFonts w:eastAsiaTheme="minorEastAsia"/>
          <w:color w:val="auto"/>
        </w:rPr>
      </w:pPr>
      <w:r>
        <w:rPr>
          <w:rFonts w:eastAsiaTheme="minorEastAsia"/>
          <w:color w:val="auto"/>
        </w:rPr>
        <w:t>（1）固体废物影响分析</w:t>
      </w:r>
    </w:p>
    <w:p>
      <w:pPr>
        <w:pStyle w:val="72"/>
        <w:rPr>
          <w:rFonts w:ascii="Times New Roman" w:hAnsi="Times New Roman" w:cs="Times New Roman" w:eastAsiaTheme="minorEastAsia"/>
          <w:color w:val="auto"/>
          <w:szCs w:val="24"/>
        </w:rPr>
      </w:pPr>
      <w:r>
        <w:rPr>
          <w:rFonts w:hint="eastAsia" w:ascii="宋体" w:hAnsi="宋体"/>
          <w:color w:val="auto"/>
        </w:rPr>
        <w:t>①</w:t>
      </w:r>
      <w:r>
        <w:rPr>
          <w:rFonts w:ascii="Times New Roman" w:hAnsi="Times New Roman" w:cs="Times New Roman" w:eastAsiaTheme="minorEastAsia"/>
          <w:color w:val="auto"/>
          <w:szCs w:val="24"/>
        </w:rPr>
        <w:t>固体废物对土壤环境的影响分析</w:t>
      </w:r>
    </w:p>
    <w:p>
      <w:pPr>
        <w:pStyle w:val="72"/>
        <w:jc w:val="both"/>
        <w:rPr>
          <w:rFonts w:ascii="Times New Roman" w:hAnsi="Times New Roman" w:cs="Times New Roman"/>
          <w:color w:val="auto"/>
          <w:szCs w:val="24"/>
        </w:rPr>
      </w:pPr>
      <w:r>
        <w:rPr>
          <w:rFonts w:ascii="Times New Roman" w:hAnsi="Times New Roman" w:cs="Times New Roman" w:eastAsiaTheme="minorEastAsia"/>
          <w:color w:val="auto"/>
          <w:szCs w:val="24"/>
        </w:rPr>
        <w:t>从本项目固体废物中主要有害成份来</w:t>
      </w:r>
      <w:r>
        <w:rPr>
          <w:rFonts w:ascii="Times New Roman" w:hAnsi="Times New Roman" w:cs="Times New Roman"/>
          <w:color w:val="auto"/>
          <w:szCs w:val="24"/>
        </w:rPr>
        <w:t>看，固废中有机物类物质含量较高，若固体废物不考虑设置废物堆放处或者没有适当的防漏措施的垃圾处理，其中的有害组分很容易经过风化、雨水淋溶、地表径流的侵蚀，有毒液体渗入土壤，杀死</w:t>
      </w:r>
      <w:r>
        <w:rPr>
          <w:rFonts w:ascii="Times New Roman" w:hAnsi="Times New Roman" w:cs="Times New Roman"/>
          <w:color w:val="auto"/>
        </w:rPr>
        <w:t>土壤中的微生物，破坏微生物与周围环境构成系统的平衡，导致草木不生，对于耕地则造成大面积的减产。因此，本项目的固体废物不能直接用于农业、一般的堆存或填埋</w:t>
      </w:r>
      <w:r>
        <w:rPr>
          <w:rFonts w:ascii="Times New Roman" w:hAnsi="Times New Roman" w:cs="Times New Roman"/>
          <w:color w:val="auto"/>
          <w:szCs w:val="24"/>
        </w:rPr>
        <w:t>，否则将给土壤带来一定的污染。</w:t>
      </w:r>
    </w:p>
    <w:p>
      <w:pPr>
        <w:pStyle w:val="72"/>
        <w:rPr>
          <w:rFonts w:ascii="Times New Roman" w:hAnsi="Times New Roman" w:cs="Times New Roman"/>
          <w:color w:val="auto"/>
        </w:rPr>
      </w:pPr>
      <w:r>
        <w:rPr>
          <w:rFonts w:hint="eastAsia" w:ascii="宋体" w:hAnsi="宋体"/>
          <w:color w:val="auto"/>
          <w:szCs w:val="24"/>
        </w:rPr>
        <w:t>②</w:t>
      </w:r>
      <w:r>
        <w:rPr>
          <w:rFonts w:ascii="Times New Roman" w:hAnsi="Times New Roman" w:cs="Times New Roman"/>
          <w:color w:val="auto"/>
          <w:szCs w:val="24"/>
        </w:rPr>
        <w:t>固体废物对水体环境的影响</w:t>
      </w:r>
      <w:r>
        <w:rPr>
          <w:rFonts w:ascii="Times New Roman" w:hAnsi="Times New Roman" w:cs="Times New Roman"/>
          <w:color w:val="auto"/>
        </w:rPr>
        <w:t>分析</w:t>
      </w:r>
    </w:p>
    <w:p>
      <w:pPr>
        <w:pStyle w:val="72"/>
        <w:jc w:val="both"/>
        <w:rPr>
          <w:rFonts w:ascii="Times New Roman" w:hAnsi="Times New Roman" w:cs="Times New Roman"/>
          <w:color w:val="auto"/>
        </w:rPr>
      </w:pPr>
      <w:r>
        <w:rPr>
          <w:rFonts w:ascii="Times New Roman" w:hAnsi="Times New Roman" w:cs="Times New Roman"/>
          <w:color w:val="auto"/>
        </w:rPr>
        <w:t>固体废物一旦与水和地表径流相遇，固体废物中的有害成份就会浸滤出来，污染物中有害成份随浸出液进入地面水体，使地面水体受到污染，随渗水进入土壤则污染地下水，可能对地面水体和地下水体造成二次污染，特别是附近有农田灌渠，如发生污染对当地农灌将产生严重影响。</w:t>
      </w:r>
    </w:p>
    <w:p>
      <w:pPr>
        <w:pStyle w:val="72"/>
        <w:rPr>
          <w:rFonts w:ascii="Times New Roman" w:hAnsi="Times New Roman" w:cs="Times New Roman"/>
          <w:color w:val="auto"/>
        </w:rPr>
      </w:pPr>
      <w:r>
        <w:rPr>
          <w:rFonts w:ascii="Times New Roman" w:hAnsi="Times New Roman" w:cs="Times New Roman"/>
          <w:color w:val="auto"/>
        </w:rPr>
        <w:fldChar w:fldCharType="begin"/>
      </w:r>
      <w:r>
        <w:rPr>
          <w:rFonts w:ascii="Times New Roman" w:hAnsi="Times New Roman" w:cs="Times New Roman"/>
          <w:color w:val="auto"/>
        </w:rPr>
        <w:instrText xml:space="preserve"> </w:instrText>
      </w:r>
      <w:r>
        <w:rPr>
          <w:rFonts w:hint="eastAsia" w:ascii="Times New Roman" w:hAnsi="Times New Roman" w:cs="Times New Roman"/>
          <w:color w:val="auto"/>
        </w:rPr>
        <w:instrText xml:space="preserve">= 3 \* GB3</w:instrText>
      </w:r>
      <w:r>
        <w:rPr>
          <w:rFonts w:ascii="Times New Roman" w:hAnsi="Times New Roman" w:cs="Times New Roman"/>
          <w:color w:val="auto"/>
        </w:rPr>
        <w:instrText xml:space="preserve"> </w:instrText>
      </w:r>
      <w:r>
        <w:rPr>
          <w:rFonts w:ascii="Times New Roman" w:hAnsi="Times New Roman" w:cs="Times New Roman"/>
          <w:color w:val="auto"/>
        </w:rPr>
        <w:fldChar w:fldCharType="separate"/>
      </w:r>
      <w:r>
        <w:rPr>
          <w:rFonts w:hint="eastAsia" w:ascii="Times New Roman" w:hAnsi="Times New Roman" w:cs="Times New Roman"/>
          <w:color w:val="auto"/>
        </w:rPr>
        <w:t>③</w:t>
      </w:r>
      <w:r>
        <w:rPr>
          <w:rFonts w:ascii="Times New Roman" w:hAnsi="Times New Roman" w:cs="Times New Roman"/>
          <w:color w:val="auto"/>
        </w:rPr>
        <w:fldChar w:fldCharType="end"/>
      </w:r>
      <w:r>
        <w:rPr>
          <w:rFonts w:ascii="Times New Roman" w:hAnsi="Times New Roman" w:cs="Times New Roman"/>
          <w:color w:val="auto"/>
        </w:rPr>
        <w:t>固体废物对环境空气质量的影响分析</w:t>
      </w:r>
    </w:p>
    <w:p>
      <w:pPr>
        <w:pStyle w:val="72"/>
        <w:rPr>
          <w:rFonts w:ascii="Times New Roman" w:hAnsi="Times New Roman" w:cs="Times New Roman"/>
          <w:color w:val="auto"/>
        </w:rPr>
      </w:pPr>
      <w:r>
        <w:rPr>
          <w:rFonts w:ascii="Times New Roman" w:hAnsi="Times New Roman" w:cs="Times New Roman"/>
          <w:color w:val="auto"/>
        </w:rPr>
        <w:t>本项目产生的</w:t>
      </w:r>
      <w:r>
        <w:rPr>
          <w:rFonts w:hint="eastAsia" w:ascii="Times New Roman" w:hAnsi="Times New Roman" w:cs="Times New Roman"/>
          <w:color w:val="auto"/>
        </w:rPr>
        <w:t>废机油、粗油脂、固渣</w:t>
      </w:r>
      <w:r>
        <w:rPr>
          <w:rFonts w:ascii="Times New Roman" w:hAnsi="Times New Roman" w:cs="Times New Roman"/>
          <w:color w:val="auto"/>
        </w:rPr>
        <w:t>等，长期存放在环境空气中均会受外环境的影响而形成扬尘，特别是在温度高、湿度小且较为干燥的季节，更能产生尘污染，若对固体废物不进行妥善处置，长期随意堆放露开，则会对环境空气造成一定的影响。</w:t>
      </w:r>
    </w:p>
    <w:p>
      <w:pPr>
        <w:spacing w:line="360" w:lineRule="auto"/>
        <w:ind w:firstLine="480"/>
        <w:rPr>
          <w:color w:val="auto"/>
        </w:rPr>
      </w:pPr>
      <w:r>
        <w:rPr>
          <w:color w:val="auto"/>
        </w:rPr>
        <w:t>（2）固体废物污染防治措施</w:t>
      </w:r>
    </w:p>
    <w:p>
      <w:pPr>
        <w:spacing w:line="360" w:lineRule="auto"/>
        <w:ind w:firstLine="480"/>
        <w:jc w:val="both"/>
        <w:rPr>
          <w:color w:val="auto"/>
        </w:rPr>
      </w:pPr>
      <w:r>
        <w:rPr>
          <w:color w:val="auto"/>
        </w:rPr>
        <w:t>对固体废物污染环境的防治，要遵循《中华人民共和国固体废物污染防治法》第三条：</w:t>
      </w:r>
      <w:r>
        <w:rPr>
          <w:rFonts w:asciiTheme="minorEastAsia" w:hAnsiTheme="minorEastAsia" w:eastAsiaTheme="minorEastAsia"/>
          <w:color w:val="auto"/>
        </w:rPr>
        <w:t>“实行减少固体废物的产生、充分合理利用固体废物和无害化处置固体废物的原则”</w:t>
      </w:r>
      <w:r>
        <w:rPr>
          <w:color w:val="auto"/>
        </w:rPr>
        <w:t>，首先从生产工艺入手，尽量不排或少排固体废物；其次就是将固体废物作为一种可再生的资源进行回收或综合利用；最后就是对无法或暂时尚不能回收利用的固体废物进行无害化处置，以防止、减少固体废物的危害。此外，在固体废物的收集、贮存、运输、处置过程中应采取必要的防扬散、防流失、防渗漏等措施，实现全过程管理，同时，还应按《固体废物污染防治法》和国家、省、市的有关规定，开展固体废物的申报登记工作，尽可能地避免其对大气、水体、土壤造成二次污染。</w:t>
      </w:r>
    </w:p>
    <w:p>
      <w:pPr>
        <w:spacing w:line="360" w:lineRule="auto"/>
        <w:ind w:firstLine="480"/>
        <w:rPr>
          <w:color w:val="auto"/>
        </w:rPr>
      </w:pPr>
      <w:r>
        <w:rPr>
          <w:color w:val="auto"/>
        </w:rPr>
        <w:t>（3）固体废物暂存的环境影响</w:t>
      </w:r>
    </w:p>
    <w:p>
      <w:pPr>
        <w:spacing w:line="360" w:lineRule="auto"/>
        <w:ind w:firstLine="480"/>
        <w:jc w:val="both"/>
        <w:rPr>
          <w:color w:val="auto"/>
        </w:rPr>
      </w:pPr>
      <w:r>
        <w:rPr>
          <w:color w:val="auto"/>
        </w:rPr>
        <w:t>项目产生的固废在处理之前，一般需要预先贮存一定数量废物，在最终处置前需在厂内暂存一段时间</w:t>
      </w:r>
      <w:r>
        <w:rPr>
          <w:rFonts w:hint="eastAsia"/>
          <w:color w:val="auto"/>
        </w:rPr>
        <w:t>。</w:t>
      </w:r>
      <w:r>
        <w:rPr>
          <w:color w:val="auto"/>
        </w:rPr>
        <w:t>因此，相应的贮存设施应符合《一般工业固体废物贮存、处置场污染控制标准》（GB18599-2001）及其2013年修改单和《危险废物贮存污染控制标准》（GB18597-2001）及其2013年修改单中贮存过程的要求。</w:t>
      </w:r>
    </w:p>
    <w:p>
      <w:pPr>
        <w:spacing w:line="360" w:lineRule="auto"/>
        <w:ind w:firstLine="480"/>
        <w:jc w:val="both"/>
        <w:rPr>
          <w:color w:val="auto"/>
        </w:rPr>
      </w:pPr>
      <w:r>
        <w:rPr>
          <w:color w:val="auto"/>
        </w:rPr>
        <w:t>固废暂存最关键的一点就是所有贮存装置或区域必须有良好的防雨防渗设施，可以有效的防止废物中的污染物被雨水淋溶排入环境，因此要求所有暂存未处理的废物都必须存放在室内，所有地面都必须水泥硬化，对于综合处理后剩余固废和处理中产生的废物送暂存库暂存。</w:t>
      </w:r>
    </w:p>
    <w:p>
      <w:pPr>
        <w:spacing w:line="360" w:lineRule="auto"/>
        <w:ind w:firstLine="480"/>
        <w:jc w:val="both"/>
        <w:rPr>
          <w:color w:val="auto"/>
        </w:rPr>
      </w:pPr>
      <w:r>
        <w:rPr>
          <w:color w:val="auto"/>
        </w:rPr>
        <w:t>项目危险废物</w:t>
      </w:r>
      <w:r>
        <w:rPr>
          <w:rFonts w:hint="eastAsia"/>
          <w:color w:val="auto"/>
        </w:rPr>
        <w:t>依托园区内在建的焚烧厂配套的危废残存室，</w:t>
      </w:r>
      <w:r>
        <w:rPr>
          <w:color w:val="auto"/>
        </w:rPr>
        <w:t>堆放场地需进行水泥硬化，堆放场地基础防渗（渗透系数≤10</w:t>
      </w:r>
      <w:r>
        <w:rPr>
          <w:color w:val="auto"/>
          <w:vertAlign w:val="superscript"/>
        </w:rPr>
        <w:t>-10</w:t>
      </w:r>
      <w:r>
        <w:rPr>
          <w:color w:val="auto"/>
        </w:rPr>
        <w:t>cm/s）。设计建设径流疏导系数，保证能防止25年一遇的暴雨不会流到危险废物堆里。</w:t>
      </w:r>
    </w:p>
    <w:p>
      <w:pPr>
        <w:spacing w:line="360" w:lineRule="auto"/>
        <w:ind w:firstLine="480"/>
        <w:rPr>
          <w:color w:val="auto"/>
        </w:rPr>
      </w:pPr>
      <w:r>
        <w:rPr>
          <w:color w:val="auto"/>
        </w:rPr>
        <w:t>（4）固体废物运输的环境影响</w:t>
      </w:r>
    </w:p>
    <w:p>
      <w:pPr>
        <w:spacing w:line="360" w:lineRule="auto"/>
        <w:ind w:firstLine="480"/>
        <w:jc w:val="both"/>
        <w:rPr>
          <w:color w:val="auto"/>
        </w:rPr>
      </w:pPr>
      <w:r>
        <w:rPr>
          <w:color w:val="auto"/>
        </w:rPr>
        <w:t>项目产生的危险废物经过收集包装后，需要运送到处置场进行处置。建设单位委托有资质的运输单位进行运输。运输者需要认真核对运输清单、标记，选择合适的装载方式和适宜的运输工具，确定合理的运输路线及对泄漏或临时事故的应急措施。</w:t>
      </w:r>
    </w:p>
    <w:p>
      <w:pPr>
        <w:spacing w:line="360" w:lineRule="auto"/>
        <w:ind w:firstLine="480"/>
        <w:jc w:val="both"/>
        <w:rPr>
          <w:color w:val="auto"/>
        </w:rPr>
      </w:pPr>
      <w:r>
        <w:rPr>
          <w:color w:val="auto"/>
        </w:rPr>
        <w:t>采用车辆运输方式收运危险废物时，应考虑对收运人员的培训、许可证的审核以及收运过程中的安全防护等。最经常采用的运输方式是公路运输，为保证安全，危险废物不能在车辆上进行压缩。为防止运输过程中危险废物泄漏对环境造成污染，运输车辆必须具有必要的安全的、密闭的装卸条件，对司机也应进行专业培训，执行系列的特殊规定。危险废物运载车辆应标有醒目的危险符号，危险废物承运者必须掌握所运危险废物的必要资料，并制定在出现危险废物泄漏事故时的应急措施等。</w:t>
      </w:r>
    </w:p>
    <w:p>
      <w:pPr>
        <w:spacing w:line="360" w:lineRule="auto"/>
        <w:ind w:firstLine="480"/>
        <w:rPr>
          <w:color w:val="auto"/>
        </w:rPr>
      </w:pPr>
      <w:r>
        <w:rPr>
          <w:color w:val="auto"/>
        </w:rPr>
        <w:t>（5）对管理人员与管理制度要求</w:t>
      </w:r>
    </w:p>
    <w:p>
      <w:pPr>
        <w:spacing w:line="360" w:lineRule="auto"/>
        <w:ind w:firstLine="480"/>
        <w:jc w:val="both"/>
        <w:rPr>
          <w:color w:val="auto"/>
        </w:rPr>
      </w:pPr>
      <w:r>
        <w:rPr>
          <w:color w:val="auto"/>
        </w:rPr>
        <w:t>项目应有专人负责危险废物的收集、管理，收集和管理人员必须由具备一定专业知识、经验和相应资格的人员担任，并经环保主管部门专门培训。</w:t>
      </w:r>
    </w:p>
    <w:p>
      <w:pPr>
        <w:spacing w:line="360" w:lineRule="auto"/>
        <w:ind w:firstLine="480"/>
        <w:jc w:val="both"/>
        <w:rPr>
          <w:color w:val="auto"/>
        </w:rPr>
      </w:pPr>
      <w:r>
        <w:rPr>
          <w:color w:val="auto"/>
        </w:rPr>
        <w:t>企业必须建立和健全严格的危险废物管理制度，主管人员必须对危险废物的收集系统、设施进行定期检查，对危险废物的产生量、临时贮存量和进出厂的情况如实记录。不同种类的危险废物贮存容器或贮存包装应有不同颜色的标签加以区分，并应标明危险废物的名称、数量及贮存日期等。</w:t>
      </w:r>
    </w:p>
    <w:p>
      <w:pPr>
        <w:spacing w:line="360" w:lineRule="auto"/>
        <w:ind w:firstLine="480"/>
        <w:rPr>
          <w:color w:val="auto"/>
        </w:rPr>
      </w:pPr>
      <w:r>
        <w:rPr>
          <w:color w:val="auto"/>
        </w:rPr>
        <w:t>（6）固体废物最终处置环境影响</w:t>
      </w:r>
    </w:p>
    <w:p>
      <w:pPr>
        <w:spacing w:line="360" w:lineRule="auto"/>
        <w:ind w:firstLine="480"/>
        <w:jc w:val="both"/>
        <w:rPr>
          <w:color w:val="auto"/>
        </w:rPr>
      </w:pPr>
      <w:r>
        <w:rPr>
          <w:color w:val="auto"/>
        </w:rPr>
        <w:t>项目产生的各类一般工业固体废物按不同类型进行处置，并做好垃圾堆放点的消毒杀虫工作。</w:t>
      </w:r>
    </w:p>
    <w:p>
      <w:pPr>
        <w:spacing w:line="360" w:lineRule="auto"/>
        <w:ind w:firstLine="480"/>
        <w:jc w:val="both"/>
        <w:rPr>
          <w:color w:val="auto"/>
        </w:rPr>
      </w:pPr>
      <w:r>
        <w:rPr>
          <w:rFonts w:hint="eastAsia"/>
          <w:color w:val="auto"/>
        </w:rPr>
        <w:t>本项目废机油、废UV光解灯管等</w:t>
      </w:r>
      <w:r>
        <w:rPr>
          <w:color w:val="auto"/>
        </w:rPr>
        <w:t>均属于《国家危险废物名录》（部令第39号，2016年）中的危险废物，在危废室定点堆放</w:t>
      </w:r>
      <w:r>
        <w:rPr>
          <w:rFonts w:hint="eastAsia" w:ascii="宋体" w:cs="宋体"/>
          <w:color w:val="auto"/>
          <w:kern w:val="0"/>
        </w:rPr>
        <w:t>，均</w:t>
      </w:r>
      <w:r>
        <w:rPr>
          <w:color w:val="auto"/>
        </w:rPr>
        <w:t>按危险废物处理管理办法进行贮存、运输、处理和处置。</w:t>
      </w:r>
    </w:p>
    <w:p>
      <w:pPr>
        <w:spacing w:line="360" w:lineRule="auto"/>
        <w:ind w:firstLine="480"/>
        <w:jc w:val="both"/>
        <w:rPr>
          <w:color w:val="auto"/>
        </w:rPr>
      </w:pPr>
      <w:r>
        <w:rPr>
          <w:rFonts w:hint="eastAsia" w:ascii="宋体" w:cs="宋体"/>
          <w:color w:val="auto"/>
          <w:kern w:val="0"/>
        </w:rPr>
        <w:t>本项目产生的脱水残渣和除油残渣由</w:t>
      </w:r>
      <w:r>
        <w:rPr>
          <w:rFonts w:hint="eastAsia"/>
          <w:color w:val="auto"/>
        </w:rPr>
        <w:t>运至园区在建的焚烧炉焚烧利用</w:t>
      </w:r>
      <w:r>
        <w:rPr>
          <w:rFonts w:hint="eastAsia" w:ascii="宋体" w:cs="宋体"/>
          <w:color w:val="auto"/>
          <w:kern w:val="0"/>
        </w:rPr>
        <w:t>处理；粗油脂经收集后交由回收单位进行综合利用，消纳场废水</w:t>
      </w:r>
      <w:r>
        <w:rPr>
          <w:rFonts w:hint="eastAsia"/>
          <w:color w:val="auto"/>
        </w:rPr>
        <w:t>沉淀池的沉沙收集后经板框压滤机脱除一定水分，填埋进消纳场。</w:t>
      </w:r>
      <w:r>
        <w:rPr>
          <w:color w:val="auto"/>
        </w:rPr>
        <w:t>其临时堆放场所必须符合《一般工业固体废物的贮存、处置场污染控制标准》(GB18599-2001)及其2013年修改单的要求。</w:t>
      </w:r>
    </w:p>
    <w:p>
      <w:pPr>
        <w:pStyle w:val="72"/>
        <w:spacing w:line="360" w:lineRule="auto"/>
        <w:jc w:val="both"/>
        <w:rPr>
          <w:rFonts w:ascii="Times New Roman" w:hAnsi="Times New Roman" w:cs="Times New Roman"/>
          <w:color w:val="auto"/>
        </w:rPr>
      </w:pPr>
      <w:r>
        <w:rPr>
          <w:rFonts w:ascii="Times New Roman" w:hAnsi="Times New Roman" w:cs="Times New Roman"/>
          <w:color w:val="auto"/>
        </w:rPr>
        <w:t>综上所述，本项目产生的固体废物，特别是危险废物，若处理不当，将对水体、环境空气质量、土壤造成二次污染，危害生态环境和人群健康，因此，必须按照国家和地方的有关法律法规的规定，对本项目产生的危险废物进行全过程严格管理和安全处置。</w:t>
      </w:r>
    </w:p>
    <w:p>
      <w:pPr>
        <w:pStyle w:val="4"/>
        <w:numPr>
          <w:ilvl w:val="0"/>
          <w:numId w:val="0"/>
        </w:numPr>
        <w:tabs>
          <w:tab w:val="clear" w:pos="680"/>
        </w:tabs>
        <w:ind w:left="720" w:right="240" w:hanging="720"/>
        <w:rPr>
          <w:b/>
          <w:color w:val="auto"/>
          <w:szCs w:val="24"/>
        </w:rPr>
      </w:pPr>
      <w:bookmarkStart w:id="672" w:name="_Toc15912203"/>
      <w:bookmarkStart w:id="673" w:name="_Toc14946911"/>
      <w:bookmarkStart w:id="674" w:name="_Toc1782"/>
      <w:bookmarkStart w:id="675" w:name="_Toc24136822"/>
      <w:bookmarkStart w:id="676" w:name="_Toc34234741"/>
      <w:r>
        <w:rPr>
          <w:rFonts w:hint="eastAsia"/>
          <w:b/>
          <w:color w:val="auto"/>
          <w:szCs w:val="24"/>
        </w:rPr>
        <w:t>5</w:t>
      </w:r>
      <w:r>
        <w:rPr>
          <w:b/>
          <w:color w:val="auto"/>
          <w:szCs w:val="24"/>
        </w:rPr>
        <w:t>.2.6土壤环境影响</w:t>
      </w:r>
      <w:bookmarkEnd w:id="672"/>
      <w:bookmarkEnd w:id="673"/>
      <w:r>
        <w:rPr>
          <w:rFonts w:hint="eastAsia"/>
          <w:b/>
          <w:color w:val="auto"/>
          <w:szCs w:val="24"/>
        </w:rPr>
        <w:t>分析</w:t>
      </w:r>
      <w:bookmarkEnd w:id="674"/>
      <w:bookmarkEnd w:id="675"/>
      <w:bookmarkEnd w:id="676"/>
    </w:p>
    <w:p>
      <w:pPr>
        <w:autoSpaceDE w:val="0"/>
        <w:autoSpaceDN w:val="0"/>
        <w:adjustRightInd w:val="0"/>
        <w:spacing w:line="360" w:lineRule="auto"/>
        <w:ind w:firstLine="480" w:firstLineChars="200"/>
        <w:rPr>
          <w:bCs/>
          <w:color w:val="auto"/>
          <w:kern w:val="0"/>
        </w:rPr>
      </w:pPr>
      <w:r>
        <w:rPr>
          <w:bCs/>
          <w:color w:val="auto"/>
          <w:kern w:val="0"/>
        </w:rPr>
        <w:t>根据土壤环境影响评价项目类别、占地规模与敏感程度，确定本项目土壤环境评价工作等级为</w:t>
      </w:r>
      <w:r>
        <w:rPr>
          <w:rFonts w:hint="eastAsia"/>
          <w:bCs/>
          <w:color w:val="auto"/>
          <w:kern w:val="0"/>
        </w:rPr>
        <w:t>三</w:t>
      </w:r>
      <w:r>
        <w:rPr>
          <w:bCs/>
          <w:color w:val="auto"/>
          <w:kern w:val="0"/>
        </w:rPr>
        <w:t>级。本项目对土壤环境的影响主要发生在建设期和营运期。</w:t>
      </w:r>
    </w:p>
    <w:p>
      <w:pPr>
        <w:autoSpaceDE w:val="0"/>
        <w:autoSpaceDN w:val="0"/>
        <w:adjustRightInd w:val="0"/>
        <w:ind w:firstLine="361" w:firstLineChars="150"/>
        <w:jc w:val="center"/>
        <w:rPr>
          <w:b/>
          <w:bCs/>
          <w:color w:val="auto"/>
          <w:kern w:val="0"/>
        </w:rPr>
      </w:pPr>
      <w:r>
        <w:rPr>
          <w:b/>
          <w:bCs/>
          <w:color w:val="auto"/>
          <w:kern w:val="0"/>
        </w:rPr>
        <w:t>表 5.2-</w:t>
      </w:r>
      <w:r>
        <w:rPr>
          <w:rFonts w:hint="eastAsia"/>
          <w:b/>
          <w:bCs/>
          <w:color w:val="auto"/>
          <w:kern w:val="0"/>
        </w:rPr>
        <w:t>22</w:t>
      </w:r>
      <w:r>
        <w:rPr>
          <w:b/>
          <w:bCs/>
          <w:color w:val="auto"/>
          <w:kern w:val="0"/>
        </w:rPr>
        <w:t xml:space="preserve">  建设项目土壤环境影响类型与影响途径表</w:t>
      </w:r>
    </w:p>
    <w:tbl>
      <w:tblPr>
        <w:tblStyle w:val="54"/>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1"/>
        <w:gridCol w:w="1204"/>
        <w:gridCol w:w="1134"/>
        <w:gridCol w:w="1275"/>
        <w:gridCol w:w="1134"/>
        <w:gridCol w:w="851"/>
        <w:gridCol w:w="992"/>
        <w:gridCol w:w="851"/>
        <w:gridCol w:w="8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031" w:type="dxa"/>
            <w:vMerge w:val="restart"/>
            <w:vAlign w:val="center"/>
          </w:tcPr>
          <w:p>
            <w:pPr>
              <w:autoSpaceDE w:val="0"/>
              <w:autoSpaceDN w:val="0"/>
              <w:adjustRightInd w:val="0"/>
              <w:jc w:val="center"/>
              <w:rPr>
                <w:rFonts w:eastAsiaTheme="minorEastAsia"/>
                <w:color w:val="auto"/>
                <w:kern w:val="0"/>
                <w:sz w:val="21"/>
                <w:szCs w:val="21"/>
              </w:rPr>
            </w:pPr>
            <w:r>
              <w:rPr>
                <w:rFonts w:eastAsiaTheme="minorEastAsia"/>
                <w:color w:val="auto"/>
                <w:kern w:val="0"/>
                <w:sz w:val="21"/>
                <w:szCs w:val="21"/>
              </w:rPr>
              <w:t>不同</w:t>
            </w:r>
          </w:p>
          <w:p>
            <w:pPr>
              <w:autoSpaceDE w:val="0"/>
              <w:autoSpaceDN w:val="0"/>
              <w:adjustRightInd w:val="0"/>
              <w:jc w:val="center"/>
              <w:rPr>
                <w:rFonts w:eastAsiaTheme="minorEastAsia"/>
                <w:b/>
                <w:bCs/>
                <w:color w:val="auto"/>
                <w:kern w:val="0"/>
              </w:rPr>
            </w:pPr>
            <w:r>
              <w:rPr>
                <w:rFonts w:eastAsiaTheme="minorEastAsia"/>
                <w:color w:val="auto"/>
                <w:kern w:val="0"/>
                <w:sz w:val="21"/>
                <w:szCs w:val="21"/>
              </w:rPr>
              <w:t>时段</w:t>
            </w:r>
          </w:p>
        </w:tc>
        <w:tc>
          <w:tcPr>
            <w:tcW w:w="4747" w:type="dxa"/>
            <w:gridSpan w:val="4"/>
            <w:vAlign w:val="center"/>
          </w:tcPr>
          <w:p>
            <w:pPr>
              <w:autoSpaceDE w:val="0"/>
              <w:autoSpaceDN w:val="0"/>
              <w:adjustRightInd w:val="0"/>
              <w:jc w:val="center"/>
              <w:rPr>
                <w:rFonts w:eastAsiaTheme="minorEastAsia"/>
                <w:b/>
                <w:bCs/>
                <w:color w:val="auto"/>
                <w:kern w:val="0"/>
              </w:rPr>
            </w:pPr>
            <w:r>
              <w:rPr>
                <w:rFonts w:eastAsiaTheme="minorEastAsia"/>
                <w:color w:val="auto"/>
                <w:kern w:val="0"/>
                <w:sz w:val="21"/>
                <w:szCs w:val="21"/>
              </w:rPr>
              <w:t>污染影响型</w:t>
            </w:r>
          </w:p>
        </w:tc>
        <w:tc>
          <w:tcPr>
            <w:tcW w:w="3509" w:type="dxa"/>
            <w:gridSpan w:val="4"/>
            <w:vAlign w:val="center"/>
          </w:tcPr>
          <w:p>
            <w:pPr>
              <w:autoSpaceDE w:val="0"/>
              <w:autoSpaceDN w:val="0"/>
              <w:adjustRightInd w:val="0"/>
              <w:jc w:val="center"/>
              <w:rPr>
                <w:rFonts w:eastAsiaTheme="minorEastAsia"/>
                <w:b/>
                <w:bCs/>
                <w:color w:val="auto"/>
                <w:kern w:val="0"/>
              </w:rPr>
            </w:pPr>
            <w:r>
              <w:rPr>
                <w:rFonts w:eastAsiaTheme="minorEastAsia"/>
                <w:color w:val="auto"/>
                <w:kern w:val="0"/>
                <w:sz w:val="21"/>
                <w:szCs w:val="21"/>
              </w:rPr>
              <w:t>生态影响型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031" w:type="dxa"/>
            <w:vMerge w:val="continue"/>
            <w:vAlign w:val="center"/>
          </w:tcPr>
          <w:p>
            <w:pPr>
              <w:autoSpaceDE w:val="0"/>
              <w:autoSpaceDN w:val="0"/>
              <w:adjustRightInd w:val="0"/>
              <w:jc w:val="center"/>
              <w:rPr>
                <w:rFonts w:eastAsiaTheme="minorEastAsia"/>
                <w:b/>
                <w:bCs/>
                <w:color w:val="auto"/>
                <w:kern w:val="0"/>
              </w:rPr>
            </w:pPr>
          </w:p>
        </w:tc>
        <w:tc>
          <w:tcPr>
            <w:tcW w:w="1204" w:type="dxa"/>
            <w:vAlign w:val="center"/>
          </w:tcPr>
          <w:p>
            <w:pPr>
              <w:autoSpaceDE w:val="0"/>
              <w:autoSpaceDN w:val="0"/>
              <w:adjustRightInd w:val="0"/>
              <w:jc w:val="center"/>
              <w:rPr>
                <w:rFonts w:eastAsiaTheme="minorEastAsia"/>
                <w:b/>
                <w:bCs/>
                <w:color w:val="auto"/>
                <w:kern w:val="0"/>
              </w:rPr>
            </w:pPr>
            <w:r>
              <w:rPr>
                <w:rFonts w:eastAsiaTheme="minorEastAsia"/>
                <w:color w:val="auto"/>
                <w:kern w:val="0"/>
                <w:sz w:val="21"/>
                <w:szCs w:val="21"/>
              </w:rPr>
              <w:t>大气沉降</w:t>
            </w:r>
          </w:p>
        </w:tc>
        <w:tc>
          <w:tcPr>
            <w:tcW w:w="1134" w:type="dxa"/>
            <w:vAlign w:val="center"/>
          </w:tcPr>
          <w:p>
            <w:pPr>
              <w:autoSpaceDE w:val="0"/>
              <w:autoSpaceDN w:val="0"/>
              <w:adjustRightInd w:val="0"/>
              <w:jc w:val="center"/>
              <w:rPr>
                <w:rFonts w:eastAsiaTheme="minorEastAsia"/>
                <w:b/>
                <w:bCs/>
                <w:color w:val="auto"/>
                <w:kern w:val="0"/>
              </w:rPr>
            </w:pPr>
            <w:r>
              <w:rPr>
                <w:rFonts w:eastAsiaTheme="minorEastAsia"/>
                <w:color w:val="auto"/>
                <w:kern w:val="0"/>
                <w:sz w:val="21"/>
                <w:szCs w:val="21"/>
              </w:rPr>
              <w:t>地面漫流</w:t>
            </w:r>
          </w:p>
        </w:tc>
        <w:tc>
          <w:tcPr>
            <w:tcW w:w="1275" w:type="dxa"/>
            <w:vAlign w:val="center"/>
          </w:tcPr>
          <w:p>
            <w:pPr>
              <w:autoSpaceDE w:val="0"/>
              <w:autoSpaceDN w:val="0"/>
              <w:adjustRightInd w:val="0"/>
              <w:jc w:val="center"/>
              <w:rPr>
                <w:rFonts w:eastAsiaTheme="minorEastAsia"/>
                <w:b/>
                <w:bCs/>
                <w:color w:val="auto"/>
                <w:kern w:val="0"/>
              </w:rPr>
            </w:pPr>
            <w:r>
              <w:rPr>
                <w:rFonts w:eastAsiaTheme="minorEastAsia"/>
                <w:color w:val="auto"/>
                <w:kern w:val="0"/>
                <w:sz w:val="21"/>
                <w:szCs w:val="21"/>
              </w:rPr>
              <w:t>垂直入渗</w:t>
            </w:r>
          </w:p>
        </w:tc>
        <w:tc>
          <w:tcPr>
            <w:tcW w:w="1134" w:type="dxa"/>
            <w:vAlign w:val="center"/>
          </w:tcPr>
          <w:p>
            <w:pPr>
              <w:autoSpaceDE w:val="0"/>
              <w:autoSpaceDN w:val="0"/>
              <w:adjustRightInd w:val="0"/>
              <w:jc w:val="center"/>
              <w:rPr>
                <w:rFonts w:eastAsiaTheme="minorEastAsia"/>
                <w:b/>
                <w:bCs/>
                <w:color w:val="auto"/>
                <w:kern w:val="0"/>
              </w:rPr>
            </w:pPr>
            <w:r>
              <w:rPr>
                <w:rFonts w:eastAsiaTheme="minorEastAsia"/>
                <w:color w:val="auto"/>
                <w:kern w:val="0"/>
                <w:sz w:val="21"/>
                <w:szCs w:val="21"/>
              </w:rPr>
              <w:t>其他</w:t>
            </w:r>
          </w:p>
        </w:tc>
        <w:tc>
          <w:tcPr>
            <w:tcW w:w="851" w:type="dxa"/>
            <w:vAlign w:val="center"/>
          </w:tcPr>
          <w:p>
            <w:pPr>
              <w:autoSpaceDE w:val="0"/>
              <w:autoSpaceDN w:val="0"/>
              <w:adjustRightInd w:val="0"/>
              <w:jc w:val="center"/>
              <w:rPr>
                <w:rFonts w:eastAsiaTheme="minorEastAsia"/>
                <w:b/>
                <w:bCs/>
                <w:color w:val="auto"/>
                <w:kern w:val="0"/>
              </w:rPr>
            </w:pPr>
            <w:r>
              <w:rPr>
                <w:rFonts w:eastAsiaTheme="minorEastAsia"/>
                <w:color w:val="auto"/>
                <w:kern w:val="0"/>
                <w:sz w:val="21"/>
                <w:szCs w:val="21"/>
              </w:rPr>
              <w:t>盐化</w:t>
            </w:r>
          </w:p>
        </w:tc>
        <w:tc>
          <w:tcPr>
            <w:tcW w:w="992" w:type="dxa"/>
            <w:vAlign w:val="center"/>
          </w:tcPr>
          <w:p>
            <w:pPr>
              <w:autoSpaceDE w:val="0"/>
              <w:autoSpaceDN w:val="0"/>
              <w:adjustRightInd w:val="0"/>
              <w:jc w:val="center"/>
              <w:rPr>
                <w:rFonts w:eastAsiaTheme="minorEastAsia"/>
                <w:b/>
                <w:bCs/>
                <w:color w:val="auto"/>
                <w:kern w:val="0"/>
              </w:rPr>
            </w:pPr>
            <w:r>
              <w:rPr>
                <w:rFonts w:eastAsiaTheme="minorEastAsia"/>
                <w:color w:val="auto"/>
                <w:kern w:val="0"/>
                <w:sz w:val="21"/>
                <w:szCs w:val="21"/>
              </w:rPr>
              <w:t>碱化</w:t>
            </w:r>
          </w:p>
        </w:tc>
        <w:tc>
          <w:tcPr>
            <w:tcW w:w="851" w:type="dxa"/>
            <w:vAlign w:val="center"/>
          </w:tcPr>
          <w:p>
            <w:pPr>
              <w:autoSpaceDE w:val="0"/>
              <w:autoSpaceDN w:val="0"/>
              <w:adjustRightInd w:val="0"/>
              <w:jc w:val="center"/>
              <w:rPr>
                <w:rFonts w:eastAsiaTheme="minorEastAsia"/>
                <w:b/>
                <w:bCs/>
                <w:color w:val="auto"/>
                <w:kern w:val="0"/>
              </w:rPr>
            </w:pPr>
            <w:r>
              <w:rPr>
                <w:rFonts w:eastAsiaTheme="minorEastAsia"/>
                <w:color w:val="auto"/>
                <w:kern w:val="0"/>
                <w:sz w:val="21"/>
                <w:szCs w:val="21"/>
              </w:rPr>
              <w:t>酸化</w:t>
            </w:r>
          </w:p>
        </w:tc>
        <w:tc>
          <w:tcPr>
            <w:tcW w:w="815" w:type="dxa"/>
            <w:vAlign w:val="center"/>
          </w:tcPr>
          <w:p>
            <w:pPr>
              <w:autoSpaceDE w:val="0"/>
              <w:autoSpaceDN w:val="0"/>
              <w:adjustRightInd w:val="0"/>
              <w:jc w:val="center"/>
              <w:rPr>
                <w:rFonts w:eastAsiaTheme="minorEastAsia"/>
                <w:b/>
                <w:bCs/>
                <w:color w:val="auto"/>
                <w:kern w:val="0"/>
              </w:rPr>
            </w:pPr>
            <w:r>
              <w:rPr>
                <w:rFonts w:eastAsiaTheme="minorEastAsia"/>
                <w:color w:val="auto"/>
                <w:kern w:val="0"/>
                <w:sz w:val="21"/>
                <w:szCs w:val="21"/>
              </w:rPr>
              <w:t>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031" w:type="dxa"/>
            <w:vAlign w:val="center"/>
          </w:tcPr>
          <w:p>
            <w:pPr>
              <w:autoSpaceDE w:val="0"/>
              <w:autoSpaceDN w:val="0"/>
              <w:adjustRightInd w:val="0"/>
              <w:jc w:val="center"/>
              <w:rPr>
                <w:rFonts w:eastAsiaTheme="minorEastAsia"/>
                <w:b/>
                <w:bCs/>
                <w:color w:val="auto"/>
                <w:kern w:val="0"/>
              </w:rPr>
            </w:pPr>
            <w:r>
              <w:rPr>
                <w:rFonts w:eastAsiaTheme="minorEastAsia"/>
                <w:color w:val="auto"/>
                <w:kern w:val="0"/>
                <w:sz w:val="21"/>
                <w:szCs w:val="21"/>
              </w:rPr>
              <w:t>建设期</w:t>
            </w:r>
          </w:p>
        </w:tc>
        <w:tc>
          <w:tcPr>
            <w:tcW w:w="1204" w:type="dxa"/>
            <w:vAlign w:val="center"/>
          </w:tcPr>
          <w:p>
            <w:pPr>
              <w:autoSpaceDE w:val="0"/>
              <w:autoSpaceDN w:val="0"/>
              <w:adjustRightInd w:val="0"/>
              <w:jc w:val="center"/>
              <w:rPr>
                <w:rFonts w:eastAsiaTheme="minorEastAsia"/>
                <w:b/>
                <w:bCs/>
                <w:color w:val="auto"/>
                <w:kern w:val="0"/>
              </w:rPr>
            </w:pPr>
          </w:p>
        </w:tc>
        <w:tc>
          <w:tcPr>
            <w:tcW w:w="1134" w:type="dxa"/>
            <w:vAlign w:val="center"/>
          </w:tcPr>
          <w:p>
            <w:pPr>
              <w:autoSpaceDE w:val="0"/>
              <w:autoSpaceDN w:val="0"/>
              <w:adjustRightInd w:val="0"/>
              <w:jc w:val="center"/>
              <w:rPr>
                <w:rFonts w:eastAsiaTheme="minorEastAsia"/>
                <w:b/>
                <w:bCs/>
                <w:color w:val="auto"/>
                <w:kern w:val="0"/>
              </w:rPr>
            </w:pPr>
          </w:p>
        </w:tc>
        <w:tc>
          <w:tcPr>
            <w:tcW w:w="1275" w:type="dxa"/>
            <w:vAlign w:val="center"/>
          </w:tcPr>
          <w:p>
            <w:pPr>
              <w:autoSpaceDE w:val="0"/>
              <w:autoSpaceDN w:val="0"/>
              <w:adjustRightInd w:val="0"/>
              <w:jc w:val="center"/>
              <w:rPr>
                <w:rFonts w:eastAsiaTheme="minorEastAsia"/>
                <w:b/>
                <w:bCs/>
                <w:color w:val="auto"/>
                <w:kern w:val="0"/>
              </w:rPr>
            </w:pPr>
          </w:p>
        </w:tc>
        <w:tc>
          <w:tcPr>
            <w:tcW w:w="1134" w:type="dxa"/>
            <w:vAlign w:val="center"/>
          </w:tcPr>
          <w:p>
            <w:pPr>
              <w:autoSpaceDE w:val="0"/>
              <w:autoSpaceDN w:val="0"/>
              <w:adjustRightInd w:val="0"/>
              <w:jc w:val="center"/>
              <w:rPr>
                <w:rFonts w:eastAsiaTheme="minorEastAsia"/>
                <w:b/>
                <w:bCs/>
                <w:color w:val="auto"/>
                <w:kern w:val="0"/>
              </w:rPr>
            </w:pPr>
            <w:r>
              <w:rPr>
                <w:rFonts w:eastAsiaTheme="minorEastAsia"/>
                <w:color w:val="auto"/>
                <w:kern w:val="0"/>
                <w:sz w:val="21"/>
                <w:szCs w:val="21"/>
              </w:rPr>
              <w:t>√</w:t>
            </w:r>
          </w:p>
        </w:tc>
        <w:tc>
          <w:tcPr>
            <w:tcW w:w="851" w:type="dxa"/>
            <w:vAlign w:val="center"/>
          </w:tcPr>
          <w:p>
            <w:pPr>
              <w:autoSpaceDE w:val="0"/>
              <w:autoSpaceDN w:val="0"/>
              <w:adjustRightInd w:val="0"/>
              <w:jc w:val="center"/>
              <w:rPr>
                <w:rFonts w:eastAsiaTheme="minorEastAsia"/>
                <w:b/>
                <w:bCs/>
                <w:color w:val="auto"/>
                <w:kern w:val="0"/>
              </w:rPr>
            </w:pPr>
          </w:p>
        </w:tc>
        <w:tc>
          <w:tcPr>
            <w:tcW w:w="992" w:type="dxa"/>
            <w:vAlign w:val="center"/>
          </w:tcPr>
          <w:p>
            <w:pPr>
              <w:autoSpaceDE w:val="0"/>
              <w:autoSpaceDN w:val="0"/>
              <w:adjustRightInd w:val="0"/>
              <w:jc w:val="center"/>
              <w:rPr>
                <w:rFonts w:eastAsiaTheme="minorEastAsia"/>
                <w:b/>
                <w:bCs/>
                <w:color w:val="auto"/>
                <w:kern w:val="0"/>
              </w:rPr>
            </w:pPr>
          </w:p>
        </w:tc>
        <w:tc>
          <w:tcPr>
            <w:tcW w:w="851" w:type="dxa"/>
            <w:vAlign w:val="center"/>
          </w:tcPr>
          <w:p>
            <w:pPr>
              <w:autoSpaceDE w:val="0"/>
              <w:autoSpaceDN w:val="0"/>
              <w:adjustRightInd w:val="0"/>
              <w:jc w:val="center"/>
              <w:rPr>
                <w:rFonts w:eastAsiaTheme="minorEastAsia"/>
                <w:b/>
                <w:bCs/>
                <w:color w:val="auto"/>
                <w:kern w:val="0"/>
              </w:rPr>
            </w:pPr>
          </w:p>
        </w:tc>
        <w:tc>
          <w:tcPr>
            <w:tcW w:w="815" w:type="dxa"/>
            <w:vAlign w:val="center"/>
          </w:tcPr>
          <w:p>
            <w:pPr>
              <w:autoSpaceDE w:val="0"/>
              <w:autoSpaceDN w:val="0"/>
              <w:adjustRightInd w:val="0"/>
              <w:jc w:val="center"/>
              <w:rPr>
                <w:rFonts w:eastAsiaTheme="minorEastAsia"/>
                <w:b/>
                <w:bCs/>
                <w:color w:val="auto"/>
                <w:kern w:val="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031" w:type="dxa"/>
            <w:vAlign w:val="center"/>
          </w:tcPr>
          <w:p>
            <w:pPr>
              <w:autoSpaceDE w:val="0"/>
              <w:autoSpaceDN w:val="0"/>
              <w:adjustRightInd w:val="0"/>
              <w:jc w:val="center"/>
              <w:rPr>
                <w:rFonts w:eastAsiaTheme="minorEastAsia"/>
                <w:color w:val="auto"/>
                <w:kern w:val="0"/>
                <w:sz w:val="21"/>
                <w:szCs w:val="21"/>
              </w:rPr>
            </w:pPr>
            <w:r>
              <w:rPr>
                <w:rFonts w:eastAsiaTheme="minorEastAsia"/>
                <w:color w:val="auto"/>
                <w:kern w:val="0"/>
                <w:sz w:val="21"/>
                <w:szCs w:val="21"/>
              </w:rPr>
              <w:t>运营期</w:t>
            </w:r>
          </w:p>
        </w:tc>
        <w:tc>
          <w:tcPr>
            <w:tcW w:w="1204" w:type="dxa"/>
            <w:vAlign w:val="center"/>
          </w:tcPr>
          <w:p>
            <w:pPr>
              <w:autoSpaceDE w:val="0"/>
              <w:autoSpaceDN w:val="0"/>
              <w:adjustRightInd w:val="0"/>
              <w:jc w:val="center"/>
              <w:rPr>
                <w:rFonts w:eastAsiaTheme="minorEastAsia"/>
                <w:b/>
                <w:bCs/>
                <w:color w:val="auto"/>
                <w:kern w:val="0"/>
              </w:rPr>
            </w:pPr>
            <w:r>
              <w:rPr>
                <w:rFonts w:eastAsiaTheme="minorEastAsia"/>
                <w:color w:val="auto"/>
                <w:kern w:val="0"/>
                <w:sz w:val="21"/>
                <w:szCs w:val="21"/>
              </w:rPr>
              <w:t>√</w:t>
            </w:r>
          </w:p>
        </w:tc>
        <w:tc>
          <w:tcPr>
            <w:tcW w:w="1134" w:type="dxa"/>
            <w:vAlign w:val="center"/>
          </w:tcPr>
          <w:p>
            <w:pPr>
              <w:autoSpaceDE w:val="0"/>
              <w:autoSpaceDN w:val="0"/>
              <w:adjustRightInd w:val="0"/>
              <w:jc w:val="center"/>
              <w:rPr>
                <w:rFonts w:eastAsiaTheme="minorEastAsia"/>
                <w:b/>
                <w:bCs/>
                <w:color w:val="auto"/>
                <w:kern w:val="0"/>
              </w:rPr>
            </w:pPr>
          </w:p>
        </w:tc>
        <w:tc>
          <w:tcPr>
            <w:tcW w:w="1275" w:type="dxa"/>
            <w:vAlign w:val="center"/>
          </w:tcPr>
          <w:p>
            <w:pPr>
              <w:autoSpaceDE w:val="0"/>
              <w:autoSpaceDN w:val="0"/>
              <w:adjustRightInd w:val="0"/>
              <w:jc w:val="center"/>
              <w:rPr>
                <w:rFonts w:eastAsiaTheme="minorEastAsia"/>
                <w:b/>
                <w:bCs/>
                <w:color w:val="auto"/>
                <w:kern w:val="0"/>
              </w:rPr>
            </w:pPr>
            <w:r>
              <w:rPr>
                <w:rFonts w:eastAsiaTheme="minorEastAsia"/>
                <w:color w:val="auto"/>
                <w:kern w:val="0"/>
                <w:sz w:val="21"/>
                <w:szCs w:val="21"/>
              </w:rPr>
              <w:t>√</w:t>
            </w:r>
          </w:p>
        </w:tc>
        <w:tc>
          <w:tcPr>
            <w:tcW w:w="1134" w:type="dxa"/>
            <w:vAlign w:val="center"/>
          </w:tcPr>
          <w:p>
            <w:pPr>
              <w:autoSpaceDE w:val="0"/>
              <w:autoSpaceDN w:val="0"/>
              <w:adjustRightInd w:val="0"/>
              <w:jc w:val="center"/>
              <w:rPr>
                <w:rFonts w:eastAsiaTheme="minorEastAsia"/>
                <w:b/>
                <w:bCs/>
                <w:color w:val="auto"/>
                <w:kern w:val="0"/>
              </w:rPr>
            </w:pPr>
          </w:p>
        </w:tc>
        <w:tc>
          <w:tcPr>
            <w:tcW w:w="851" w:type="dxa"/>
            <w:vAlign w:val="center"/>
          </w:tcPr>
          <w:p>
            <w:pPr>
              <w:autoSpaceDE w:val="0"/>
              <w:autoSpaceDN w:val="0"/>
              <w:adjustRightInd w:val="0"/>
              <w:jc w:val="center"/>
              <w:rPr>
                <w:rFonts w:eastAsiaTheme="minorEastAsia"/>
                <w:b/>
                <w:bCs/>
                <w:color w:val="auto"/>
                <w:kern w:val="0"/>
              </w:rPr>
            </w:pPr>
          </w:p>
        </w:tc>
        <w:tc>
          <w:tcPr>
            <w:tcW w:w="992" w:type="dxa"/>
            <w:vAlign w:val="center"/>
          </w:tcPr>
          <w:p>
            <w:pPr>
              <w:autoSpaceDE w:val="0"/>
              <w:autoSpaceDN w:val="0"/>
              <w:adjustRightInd w:val="0"/>
              <w:jc w:val="center"/>
              <w:rPr>
                <w:rFonts w:eastAsiaTheme="minorEastAsia"/>
                <w:b/>
                <w:bCs/>
                <w:color w:val="auto"/>
                <w:kern w:val="0"/>
              </w:rPr>
            </w:pPr>
          </w:p>
        </w:tc>
        <w:tc>
          <w:tcPr>
            <w:tcW w:w="851" w:type="dxa"/>
            <w:vAlign w:val="center"/>
          </w:tcPr>
          <w:p>
            <w:pPr>
              <w:autoSpaceDE w:val="0"/>
              <w:autoSpaceDN w:val="0"/>
              <w:adjustRightInd w:val="0"/>
              <w:jc w:val="center"/>
              <w:rPr>
                <w:rFonts w:eastAsiaTheme="minorEastAsia"/>
                <w:b/>
                <w:bCs/>
                <w:color w:val="auto"/>
                <w:kern w:val="0"/>
              </w:rPr>
            </w:pPr>
          </w:p>
        </w:tc>
        <w:tc>
          <w:tcPr>
            <w:tcW w:w="815" w:type="dxa"/>
            <w:vAlign w:val="center"/>
          </w:tcPr>
          <w:p>
            <w:pPr>
              <w:autoSpaceDE w:val="0"/>
              <w:autoSpaceDN w:val="0"/>
              <w:adjustRightInd w:val="0"/>
              <w:jc w:val="center"/>
              <w:rPr>
                <w:rFonts w:eastAsiaTheme="minorEastAsia"/>
                <w:b/>
                <w:bCs/>
                <w:color w:val="auto"/>
                <w:kern w:val="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031" w:type="dxa"/>
            <w:vAlign w:val="center"/>
          </w:tcPr>
          <w:p>
            <w:pPr>
              <w:autoSpaceDE w:val="0"/>
              <w:autoSpaceDN w:val="0"/>
              <w:adjustRightInd w:val="0"/>
              <w:jc w:val="center"/>
              <w:rPr>
                <w:rFonts w:eastAsiaTheme="minorEastAsia"/>
                <w:color w:val="auto"/>
                <w:kern w:val="0"/>
                <w:sz w:val="21"/>
                <w:szCs w:val="21"/>
              </w:rPr>
            </w:pPr>
            <w:r>
              <w:rPr>
                <w:rFonts w:eastAsiaTheme="minorEastAsia"/>
                <w:color w:val="auto"/>
                <w:kern w:val="0"/>
                <w:sz w:val="21"/>
                <w:szCs w:val="21"/>
              </w:rPr>
              <w:t>服务期满后</w:t>
            </w:r>
          </w:p>
        </w:tc>
        <w:tc>
          <w:tcPr>
            <w:tcW w:w="1204" w:type="dxa"/>
            <w:vAlign w:val="center"/>
          </w:tcPr>
          <w:p>
            <w:pPr>
              <w:autoSpaceDE w:val="0"/>
              <w:autoSpaceDN w:val="0"/>
              <w:adjustRightInd w:val="0"/>
              <w:jc w:val="center"/>
              <w:rPr>
                <w:rFonts w:eastAsiaTheme="minorEastAsia"/>
                <w:b/>
                <w:bCs/>
                <w:color w:val="auto"/>
                <w:kern w:val="0"/>
              </w:rPr>
            </w:pPr>
          </w:p>
        </w:tc>
        <w:tc>
          <w:tcPr>
            <w:tcW w:w="1134" w:type="dxa"/>
            <w:vAlign w:val="center"/>
          </w:tcPr>
          <w:p>
            <w:pPr>
              <w:autoSpaceDE w:val="0"/>
              <w:autoSpaceDN w:val="0"/>
              <w:adjustRightInd w:val="0"/>
              <w:jc w:val="center"/>
              <w:rPr>
                <w:rFonts w:eastAsiaTheme="minorEastAsia"/>
                <w:b/>
                <w:bCs/>
                <w:color w:val="auto"/>
                <w:kern w:val="0"/>
              </w:rPr>
            </w:pPr>
          </w:p>
        </w:tc>
        <w:tc>
          <w:tcPr>
            <w:tcW w:w="1275" w:type="dxa"/>
            <w:vAlign w:val="center"/>
          </w:tcPr>
          <w:p>
            <w:pPr>
              <w:autoSpaceDE w:val="0"/>
              <w:autoSpaceDN w:val="0"/>
              <w:adjustRightInd w:val="0"/>
              <w:jc w:val="center"/>
              <w:rPr>
                <w:rFonts w:eastAsiaTheme="minorEastAsia"/>
                <w:b/>
                <w:bCs/>
                <w:color w:val="auto"/>
                <w:kern w:val="0"/>
              </w:rPr>
            </w:pPr>
          </w:p>
        </w:tc>
        <w:tc>
          <w:tcPr>
            <w:tcW w:w="1134" w:type="dxa"/>
            <w:vAlign w:val="center"/>
          </w:tcPr>
          <w:p>
            <w:pPr>
              <w:autoSpaceDE w:val="0"/>
              <w:autoSpaceDN w:val="0"/>
              <w:adjustRightInd w:val="0"/>
              <w:jc w:val="center"/>
              <w:rPr>
                <w:rFonts w:eastAsiaTheme="minorEastAsia"/>
                <w:b/>
                <w:bCs/>
                <w:color w:val="auto"/>
                <w:kern w:val="0"/>
              </w:rPr>
            </w:pPr>
            <w:r>
              <w:rPr>
                <w:rFonts w:eastAsiaTheme="minorEastAsia"/>
                <w:color w:val="auto"/>
                <w:kern w:val="0"/>
                <w:sz w:val="21"/>
                <w:szCs w:val="21"/>
              </w:rPr>
              <w:t>√</w:t>
            </w:r>
          </w:p>
        </w:tc>
        <w:tc>
          <w:tcPr>
            <w:tcW w:w="851" w:type="dxa"/>
            <w:vAlign w:val="center"/>
          </w:tcPr>
          <w:p>
            <w:pPr>
              <w:autoSpaceDE w:val="0"/>
              <w:autoSpaceDN w:val="0"/>
              <w:adjustRightInd w:val="0"/>
              <w:jc w:val="center"/>
              <w:rPr>
                <w:rFonts w:eastAsiaTheme="minorEastAsia"/>
                <w:b/>
                <w:bCs/>
                <w:color w:val="auto"/>
                <w:kern w:val="0"/>
              </w:rPr>
            </w:pPr>
          </w:p>
        </w:tc>
        <w:tc>
          <w:tcPr>
            <w:tcW w:w="992" w:type="dxa"/>
            <w:vAlign w:val="center"/>
          </w:tcPr>
          <w:p>
            <w:pPr>
              <w:autoSpaceDE w:val="0"/>
              <w:autoSpaceDN w:val="0"/>
              <w:adjustRightInd w:val="0"/>
              <w:jc w:val="center"/>
              <w:rPr>
                <w:rFonts w:eastAsiaTheme="minorEastAsia"/>
                <w:b/>
                <w:bCs/>
                <w:color w:val="auto"/>
                <w:kern w:val="0"/>
              </w:rPr>
            </w:pPr>
          </w:p>
        </w:tc>
        <w:tc>
          <w:tcPr>
            <w:tcW w:w="851" w:type="dxa"/>
            <w:vAlign w:val="center"/>
          </w:tcPr>
          <w:p>
            <w:pPr>
              <w:autoSpaceDE w:val="0"/>
              <w:autoSpaceDN w:val="0"/>
              <w:adjustRightInd w:val="0"/>
              <w:jc w:val="center"/>
              <w:rPr>
                <w:rFonts w:eastAsiaTheme="minorEastAsia"/>
                <w:b/>
                <w:bCs/>
                <w:color w:val="auto"/>
                <w:kern w:val="0"/>
              </w:rPr>
            </w:pPr>
          </w:p>
        </w:tc>
        <w:tc>
          <w:tcPr>
            <w:tcW w:w="815" w:type="dxa"/>
            <w:vAlign w:val="center"/>
          </w:tcPr>
          <w:p>
            <w:pPr>
              <w:autoSpaceDE w:val="0"/>
              <w:autoSpaceDN w:val="0"/>
              <w:adjustRightInd w:val="0"/>
              <w:jc w:val="center"/>
              <w:rPr>
                <w:rFonts w:eastAsiaTheme="minorEastAsia"/>
                <w:b/>
                <w:bCs/>
                <w:color w:val="auto"/>
                <w:kern w:val="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287" w:type="dxa"/>
            <w:gridSpan w:val="9"/>
            <w:vAlign w:val="center"/>
          </w:tcPr>
          <w:p>
            <w:pPr>
              <w:autoSpaceDE w:val="0"/>
              <w:autoSpaceDN w:val="0"/>
              <w:adjustRightInd w:val="0"/>
              <w:jc w:val="center"/>
              <w:rPr>
                <w:rFonts w:eastAsiaTheme="minorEastAsia"/>
                <w:b/>
                <w:bCs/>
                <w:color w:val="auto"/>
                <w:kern w:val="0"/>
              </w:rPr>
            </w:pPr>
            <w:r>
              <w:rPr>
                <w:rFonts w:eastAsiaTheme="minorEastAsia"/>
                <w:color w:val="auto"/>
                <w:kern w:val="0"/>
                <w:sz w:val="21"/>
                <w:szCs w:val="21"/>
              </w:rPr>
              <w:t>注：在可能产生的土壤环境影响类型处打“√”，列表未涵盖的可自行设计。</w:t>
            </w:r>
          </w:p>
        </w:tc>
      </w:tr>
    </w:tbl>
    <w:p>
      <w:pPr>
        <w:autoSpaceDE w:val="0"/>
        <w:autoSpaceDN w:val="0"/>
        <w:adjustRightInd w:val="0"/>
        <w:ind w:firstLine="361" w:firstLineChars="150"/>
        <w:jc w:val="center"/>
        <w:rPr>
          <w:rFonts w:eastAsiaTheme="minorEastAsia"/>
          <w:b/>
          <w:color w:val="auto"/>
          <w:kern w:val="0"/>
        </w:rPr>
      </w:pPr>
    </w:p>
    <w:p>
      <w:pPr>
        <w:autoSpaceDE w:val="0"/>
        <w:autoSpaceDN w:val="0"/>
        <w:adjustRightInd w:val="0"/>
        <w:ind w:firstLine="361" w:firstLineChars="150"/>
        <w:jc w:val="center"/>
        <w:rPr>
          <w:rFonts w:eastAsiaTheme="minorEastAsia"/>
          <w:b/>
          <w:bCs/>
          <w:color w:val="auto"/>
          <w:kern w:val="0"/>
        </w:rPr>
      </w:pPr>
      <w:r>
        <w:rPr>
          <w:rFonts w:eastAsiaTheme="minorEastAsia"/>
          <w:b/>
          <w:color w:val="auto"/>
          <w:kern w:val="0"/>
        </w:rPr>
        <w:t xml:space="preserve">表 </w:t>
      </w:r>
      <w:r>
        <w:rPr>
          <w:rFonts w:eastAsiaTheme="minorEastAsia"/>
          <w:b/>
          <w:bCs/>
          <w:color w:val="auto"/>
          <w:kern w:val="0"/>
        </w:rPr>
        <w:t>5.2-</w:t>
      </w:r>
      <w:r>
        <w:rPr>
          <w:rFonts w:hint="eastAsia" w:eastAsiaTheme="minorEastAsia"/>
          <w:b/>
          <w:bCs/>
          <w:color w:val="auto"/>
          <w:kern w:val="0"/>
        </w:rPr>
        <w:t>23</w:t>
      </w:r>
      <w:r>
        <w:rPr>
          <w:rFonts w:eastAsiaTheme="minorEastAsia"/>
          <w:b/>
          <w:bCs/>
          <w:color w:val="auto"/>
          <w:kern w:val="0"/>
        </w:rPr>
        <w:t xml:space="preserve">  </w:t>
      </w:r>
      <w:r>
        <w:rPr>
          <w:rFonts w:eastAsiaTheme="minorEastAsia"/>
          <w:b/>
          <w:color w:val="auto"/>
          <w:kern w:val="0"/>
        </w:rPr>
        <w:t>污染影响型建设项目土壤环境影响源及影响因子识别表</w:t>
      </w:r>
    </w:p>
    <w:tbl>
      <w:tblPr>
        <w:tblStyle w:val="54"/>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42"/>
        <w:gridCol w:w="1853"/>
        <w:gridCol w:w="1266"/>
        <w:gridCol w:w="2268"/>
        <w:gridCol w:w="1559"/>
        <w:gridCol w:w="10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1242" w:type="dxa"/>
            <w:vAlign w:val="center"/>
          </w:tcPr>
          <w:p>
            <w:pPr>
              <w:autoSpaceDE w:val="0"/>
              <w:autoSpaceDN w:val="0"/>
              <w:adjustRightInd w:val="0"/>
              <w:spacing w:line="360" w:lineRule="auto"/>
              <w:jc w:val="center"/>
              <w:rPr>
                <w:rFonts w:eastAsiaTheme="minorEastAsia"/>
                <w:b/>
                <w:bCs/>
                <w:color w:val="auto"/>
                <w:kern w:val="0"/>
                <w:sz w:val="21"/>
                <w:szCs w:val="21"/>
              </w:rPr>
            </w:pPr>
            <w:r>
              <w:rPr>
                <w:rFonts w:eastAsiaTheme="minorEastAsia"/>
                <w:b/>
                <w:color w:val="auto"/>
                <w:kern w:val="0"/>
                <w:sz w:val="21"/>
                <w:szCs w:val="21"/>
              </w:rPr>
              <w:t>污染源</w:t>
            </w:r>
          </w:p>
        </w:tc>
        <w:tc>
          <w:tcPr>
            <w:tcW w:w="1853" w:type="dxa"/>
            <w:vAlign w:val="center"/>
          </w:tcPr>
          <w:p>
            <w:pPr>
              <w:autoSpaceDE w:val="0"/>
              <w:autoSpaceDN w:val="0"/>
              <w:adjustRightInd w:val="0"/>
              <w:spacing w:line="360" w:lineRule="auto"/>
              <w:jc w:val="center"/>
              <w:rPr>
                <w:rFonts w:eastAsiaTheme="minorEastAsia"/>
                <w:b/>
                <w:bCs/>
                <w:color w:val="auto"/>
                <w:kern w:val="0"/>
                <w:sz w:val="21"/>
                <w:szCs w:val="21"/>
              </w:rPr>
            </w:pPr>
            <w:r>
              <w:rPr>
                <w:rFonts w:eastAsiaTheme="minorEastAsia"/>
                <w:b/>
                <w:color w:val="auto"/>
                <w:kern w:val="0"/>
                <w:sz w:val="21"/>
                <w:szCs w:val="21"/>
              </w:rPr>
              <w:t>工艺流程/节点</w:t>
            </w:r>
          </w:p>
        </w:tc>
        <w:tc>
          <w:tcPr>
            <w:tcW w:w="1266" w:type="dxa"/>
            <w:vAlign w:val="center"/>
          </w:tcPr>
          <w:p>
            <w:pPr>
              <w:autoSpaceDE w:val="0"/>
              <w:autoSpaceDN w:val="0"/>
              <w:adjustRightInd w:val="0"/>
              <w:spacing w:line="360" w:lineRule="auto"/>
              <w:jc w:val="center"/>
              <w:rPr>
                <w:rFonts w:eastAsiaTheme="minorEastAsia"/>
                <w:b/>
                <w:bCs/>
                <w:color w:val="auto"/>
                <w:kern w:val="0"/>
                <w:sz w:val="21"/>
                <w:szCs w:val="21"/>
              </w:rPr>
            </w:pPr>
            <w:r>
              <w:rPr>
                <w:rFonts w:eastAsiaTheme="minorEastAsia"/>
                <w:b/>
                <w:color w:val="auto"/>
                <w:kern w:val="0"/>
                <w:sz w:val="21"/>
                <w:szCs w:val="21"/>
              </w:rPr>
              <w:t>污染途径</w:t>
            </w:r>
          </w:p>
        </w:tc>
        <w:tc>
          <w:tcPr>
            <w:tcW w:w="2268" w:type="dxa"/>
            <w:vAlign w:val="center"/>
          </w:tcPr>
          <w:p>
            <w:pPr>
              <w:autoSpaceDE w:val="0"/>
              <w:autoSpaceDN w:val="0"/>
              <w:adjustRightInd w:val="0"/>
              <w:spacing w:line="360" w:lineRule="auto"/>
              <w:jc w:val="center"/>
              <w:rPr>
                <w:rFonts w:eastAsiaTheme="minorEastAsia"/>
                <w:b/>
                <w:bCs/>
                <w:color w:val="auto"/>
                <w:kern w:val="0"/>
                <w:sz w:val="21"/>
                <w:szCs w:val="21"/>
              </w:rPr>
            </w:pPr>
            <w:r>
              <w:rPr>
                <w:rFonts w:eastAsiaTheme="minorEastAsia"/>
                <w:b/>
                <w:color w:val="auto"/>
                <w:kern w:val="0"/>
                <w:sz w:val="21"/>
                <w:szCs w:val="21"/>
              </w:rPr>
              <w:t>全部污染物指标a</w:t>
            </w:r>
          </w:p>
        </w:tc>
        <w:tc>
          <w:tcPr>
            <w:tcW w:w="1559" w:type="dxa"/>
            <w:vAlign w:val="center"/>
          </w:tcPr>
          <w:p>
            <w:pPr>
              <w:autoSpaceDE w:val="0"/>
              <w:autoSpaceDN w:val="0"/>
              <w:adjustRightInd w:val="0"/>
              <w:spacing w:line="360" w:lineRule="auto"/>
              <w:jc w:val="center"/>
              <w:rPr>
                <w:rFonts w:eastAsiaTheme="minorEastAsia"/>
                <w:b/>
                <w:bCs/>
                <w:color w:val="auto"/>
                <w:kern w:val="0"/>
                <w:sz w:val="21"/>
                <w:szCs w:val="21"/>
              </w:rPr>
            </w:pPr>
            <w:r>
              <w:rPr>
                <w:rFonts w:eastAsiaTheme="minorEastAsia"/>
                <w:b/>
                <w:color w:val="auto"/>
                <w:kern w:val="0"/>
                <w:sz w:val="21"/>
                <w:szCs w:val="21"/>
              </w:rPr>
              <w:t>特征因子</w:t>
            </w:r>
          </w:p>
        </w:tc>
        <w:tc>
          <w:tcPr>
            <w:tcW w:w="1099" w:type="dxa"/>
            <w:vAlign w:val="center"/>
          </w:tcPr>
          <w:p>
            <w:pPr>
              <w:autoSpaceDE w:val="0"/>
              <w:autoSpaceDN w:val="0"/>
              <w:adjustRightInd w:val="0"/>
              <w:spacing w:line="360" w:lineRule="auto"/>
              <w:jc w:val="center"/>
              <w:rPr>
                <w:rFonts w:eastAsiaTheme="minorEastAsia"/>
                <w:b/>
                <w:bCs/>
                <w:color w:val="auto"/>
                <w:kern w:val="0"/>
                <w:sz w:val="21"/>
                <w:szCs w:val="21"/>
              </w:rPr>
            </w:pPr>
            <w:r>
              <w:rPr>
                <w:rFonts w:eastAsiaTheme="minorEastAsia"/>
                <w:b/>
                <w:color w:val="auto"/>
                <w:kern w:val="0"/>
                <w:sz w:val="21"/>
                <w:szCs w:val="21"/>
              </w:rPr>
              <w:t>备注b</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242" w:type="dxa"/>
            <w:vMerge w:val="restart"/>
            <w:vAlign w:val="center"/>
          </w:tcPr>
          <w:p>
            <w:pPr>
              <w:autoSpaceDE w:val="0"/>
              <w:autoSpaceDN w:val="0"/>
              <w:adjustRightInd w:val="0"/>
              <w:spacing w:line="360" w:lineRule="auto"/>
              <w:jc w:val="center"/>
              <w:rPr>
                <w:rFonts w:eastAsiaTheme="minorEastAsia"/>
                <w:b/>
                <w:bCs/>
                <w:color w:val="auto"/>
                <w:kern w:val="0"/>
                <w:sz w:val="21"/>
                <w:szCs w:val="21"/>
              </w:rPr>
            </w:pPr>
            <w:r>
              <w:rPr>
                <w:rFonts w:eastAsiaTheme="minorEastAsia"/>
                <w:color w:val="auto"/>
                <w:kern w:val="0"/>
                <w:sz w:val="21"/>
                <w:szCs w:val="21"/>
              </w:rPr>
              <w:t>生产车间</w:t>
            </w:r>
          </w:p>
        </w:tc>
        <w:tc>
          <w:tcPr>
            <w:tcW w:w="1853" w:type="dxa"/>
            <w:vAlign w:val="center"/>
          </w:tcPr>
          <w:p>
            <w:pPr>
              <w:autoSpaceDE w:val="0"/>
              <w:autoSpaceDN w:val="0"/>
              <w:adjustRightInd w:val="0"/>
              <w:spacing w:line="360" w:lineRule="auto"/>
              <w:jc w:val="center"/>
              <w:rPr>
                <w:rFonts w:eastAsiaTheme="minorEastAsia"/>
                <w:b/>
                <w:bCs/>
                <w:color w:val="auto"/>
                <w:kern w:val="0"/>
                <w:sz w:val="21"/>
                <w:szCs w:val="21"/>
              </w:rPr>
            </w:pPr>
            <w:r>
              <w:rPr>
                <w:rFonts w:eastAsiaTheme="minorEastAsia"/>
                <w:color w:val="auto"/>
                <w:kern w:val="0"/>
                <w:sz w:val="21"/>
                <w:szCs w:val="21"/>
              </w:rPr>
              <w:t>废气处理设施</w:t>
            </w:r>
          </w:p>
        </w:tc>
        <w:tc>
          <w:tcPr>
            <w:tcW w:w="1266" w:type="dxa"/>
            <w:vAlign w:val="center"/>
          </w:tcPr>
          <w:p>
            <w:pPr>
              <w:autoSpaceDE w:val="0"/>
              <w:autoSpaceDN w:val="0"/>
              <w:adjustRightInd w:val="0"/>
              <w:spacing w:line="360" w:lineRule="auto"/>
              <w:jc w:val="center"/>
              <w:rPr>
                <w:rFonts w:eastAsiaTheme="minorEastAsia"/>
                <w:b/>
                <w:bCs/>
                <w:color w:val="auto"/>
                <w:kern w:val="0"/>
                <w:sz w:val="21"/>
                <w:szCs w:val="21"/>
              </w:rPr>
            </w:pPr>
            <w:r>
              <w:rPr>
                <w:rFonts w:eastAsiaTheme="minorEastAsia"/>
                <w:color w:val="auto"/>
                <w:kern w:val="0"/>
                <w:sz w:val="21"/>
                <w:szCs w:val="21"/>
              </w:rPr>
              <w:t>大气沉降</w:t>
            </w:r>
          </w:p>
        </w:tc>
        <w:tc>
          <w:tcPr>
            <w:tcW w:w="2268" w:type="dxa"/>
            <w:vAlign w:val="center"/>
          </w:tcPr>
          <w:p>
            <w:pPr>
              <w:autoSpaceDE w:val="0"/>
              <w:autoSpaceDN w:val="0"/>
              <w:adjustRightInd w:val="0"/>
              <w:jc w:val="center"/>
              <w:rPr>
                <w:rFonts w:eastAsiaTheme="minorEastAsia"/>
                <w:b/>
                <w:bCs/>
                <w:color w:val="auto"/>
                <w:kern w:val="0"/>
                <w:sz w:val="21"/>
                <w:szCs w:val="21"/>
              </w:rPr>
            </w:pPr>
            <w:r>
              <w:rPr>
                <w:rFonts w:hint="eastAsia" w:eastAsiaTheme="minorEastAsia"/>
                <w:color w:val="auto"/>
                <w:kern w:val="0"/>
                <w:sz w:val="21"/>
                <w:szCs w:val="21"/>
              </w:rPr>
              <w:t>硫化氢和氨气</w:t>
            </w:r>
          </w:p>
        </w:tc>
        <w:tc>
          <w:tcPr>
            <w:tcW w:w="1559" w:type="dxa"/>
            <w:vAlign w:val="center"/>
          </w:tcPr>
          <w:p>
            <w:pPr>
              <w:autoSpaceDE w:val="0"/>
              <w:autoSpaceDN w:val="0"/>
              <w:adjustRightInd w:val="0"/>
              <w:jc w:val="center"/>
              <w:rPr>
                <w:rFonts w:eastAsiaTheme="minorEastAsia"/>
                <w:b/>
                <w:bCs/>
                <w:color w:val="auto"/>
                <w:kern w:val="0"/>
                <w:sz w:val="21"/>
                <w:szCs w:val="21"/>
              </w:rPr>
            </w:pPr>
            <w:r>
              <w:rPr>
                <w:rFonts w:hint="eastAsia" w:eastAsiaTheme="minorEastAsia"/>
                <w:color w:val="auto"/>
                <w:kern w:val="0"/>
                <w:sz w:val="21"/>
                <w:szCs w:val="21"/>
              </w:rPr>
              <w:t>硫化氢和氨气</w:t>
            </w:r>
          </w:p>
        </w:tc>
        <w:tc>
          <w:tcPr>
            <w:tcW w:w="1099" w:type="dxa"/>
            <w:vAlign w:val="center"/>
          </w:tcPr>
          <w:p>
            <w:pPr>
              <w:autoSpaceDE w:val="0"/>
              <w:autoSpaceDN w:val="0"/>
              <w:adjustRightInd w:val="0"/>
              <w:spacing w:line="360" w:lineRule="auto"/>
              <w:jc w:val="center"/>
              <w:rPr>
                <w:rFonts w:eastAsiaTheme="minorEastAsia"/>
                <w:b/>
                <w:bCs/>
                <w:color w:val="auto"/>
                <w:kern w:val="0"/>
                <w:sz w:val="21"/>
                <w:szCs w:val="21"/>
              </w:rPr>
            </w:pPr>
            <w:r>
              <w:rPr>
                <w:rFonts w:eastAsiaTheme="minorEastAsia"/>
                <w:color w:val="auto"/>
                <w:kern w:val="0"/>
                <w:sz w:val="21"/>
                <w:szCs w:val="21"/>
              </w:rPr>
              <w:t>连续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242" w:type="dxa"/>
            <w:vMerge w:val="continue"/>
            <w:vAlign w:val="center"/>
          </w:tcPr>
          <w:p>
            <w:pPr>
              <w:autoSpaceDE w:val="0"/>
              <w:autoSpaceDN w:val="0"/>
              <w:adjustRightInd w:val="0"/>
              <w:spacing w:line="360" w:lineRule="auto"/>
              <w:jc w:val="center"/>
              <w:rPr>
                <w:rFonts w:eastAsiaTheme="minorEastAsia"/>
                <w:b/>
                <w:bCs/>
                <w:color w:val="auto"/>
                <w:kern w:val="0"/>
                <w:sz w:val="21"/>
                <w:szCs w:val="21"/>
              </w:rPr>
            </w:pPr>
          </w:p>
        </w:tc>
        <w:tc>
          <w:tcPr>
            <w:tcW w:w="1853" w:type="dxa"/>
            <w:vAlign w:val="center"/>
          </w:tcPr>
          <w:p>
            <w:pPr>
              <w:autoSpaceDE w:val="0"/>
              <w:autoSpaceDN w:val="0"/>
              <w:adjustRightInd w:val="0"/>
              <w:spacing w:line="360" w:lineRule="auto"/>
              <w:jc w:val="center"/>
              <w:rPr>
                <w:rFonts w:eastAsiaTheme="minorEastAsia"/>
                <w:b/>
                <w:bCs/>
                <w:color w:val="auto"/>
                <w:kern w:val="0"/>
                <w:sz w:val="21"/>
                <w:szCs w:val="21"/>
              </w:rPr>
            </w:pPr>
            <w:r>
              <w:rPr>
                <w:rFonts w:eastAsiaTheme="minorEastAsia"/>
                <w:color w:val="auto"/>
                <w:kern w:val="0"/>
                <w:sz w:val="21"/>
                <w:szCs w:val="21"/>
              </w:rPr>
              <w:t>废水收集系统</w:t>
            </w:r>
          </w:p>
        </w:tc>
        <w:tc>
          <w:tcPr>
            <w:tcW w:w="1266" w:type="dxa"/>
            <w:vAlign w:val="center"/>
          </w:tcPr>
          <w:p>
            <w:pPr>
              <w:autoSpaceDE w:val="0"/>
              <w:autoSpaceDN w:val="0"/>
              <w:adjustRightInd w:val="0"/>
              <w:spacing w:line="360" w:lineRule="auto"/>
              <w:jc w:val="center"/>
              <w:rPr>
                <w:rFonts w:eastAsiaTheme="minorEastAsia"/>
                <w:b/>
                <w:bCs/>
                <w:color w:val="auto"/>
                <w:kern w:val="0"/>
                <w:sz w:val="21"/>
                <w:szCs w:val="21"/>
              </w:rPr>
            </w:pPr>
            <w:r>
              <w:rPr>
                <w:rFonts w:eastAsiaTheme="minorEastAsia"/>
                <w:color w:val="auto"/>
                <w:kern w:val="0"/>
                <w:sz w:val="21"/>
                <w:szCs w:val="21"/>
              </w:rPr>
              <w:t>垂直下渗</w:t>
            </w:r>
          </w:p>
        </w:tc>
        <w:tc>
          <w:tcPr>
            <w:tcW w:w="2268" w:type="dxa"/>
            <w:vAlign w:val="center"/>
          </w:tcPr>
          <w:p>
            <w:pPr>
              <w:autoSpaceDE w:val="0"/>
              <w:autoSpaceDN w:val="0"/>
              <w:adjustRightInd w:val="0"/>
              <w:jc w:val="center"/>
              <w:rPr>
                <w:rFonts w:eastAsiaTheme="minorEastAsia"/>
                <w:b/>
                <w:bCs/>
                <w:color w:val="auto"/>
                <w:kern w:val="0"/>
                <w:sz w:val="21"/>
                <w:szCs w:val="21"/>
              </w:rPr>
            </w:pPr>
            <w:r>
              <w:rPr>
                <w:rFonts w:eastAsiaTheme="minorEastAsia"/>
                <w:color w:val="auto"/>
                <w:sz w:val="21"/>
                <w:szCs w:val="21"/>
              </w:rPr>
              <w:t>有机物、重金属</w:t>
            </w:r>
          </w:p>
        </w:tc>
        <w:tc>
          <w:tcPr>
            <w:tcW w:w="1559" w:type="dxa"/>
            <w:vAlign w:val="center"/>
          </w:tcPr>
          <w:p>
            <w:pPr>
              <w:autoSpaceDE w:val="0"/>
              <w:autoSpaceDN w:val="0"/>
              <w:adjustRightInd w:val="0"/>
              <w:jc w:val="center"/>
              <w:rPr>
                <w:rFonts w:eastAsiaTheme="minorEastAsia"/>
                <w:b/>
                <w:bCs/>
                <w:color w:val="auto"/>
                <w:kern w:val="0"/>
                <w:sz w:val="21"/>
                <w:szCs w:val="21"/>
              </w:rPr>
            </w:pPr>
            <w:r>
              <w:rPr>
                <w:rFonts w:eastAsiaTheme="minorEastAsia"/>
                <w:color w:val="auto"/>
                <w:sz w:val="21"/>
                <w:szCs w:val="21"/>
              </w:rPr>
              <w:t>COD、氨氮、铅、镉</w:t>
            </w:r>
          </w:p>
        </w:tc>
        <w:tc>
          <w:tcPr>
            <w:tcW w:w="1099" w:type="dxa"/>
            <w:vAlign w:val="center"/>
          </w:tcPr>
          <w:p>
            <w:pPr>
              <w:autoSpaceDE w:val="0"/>
              <w:autoSpaceDN w:val="0"/>
              <w:adjustRightInd w:val="0"/>
              <w:spacing w:line="360" w:lineRule="auto"/>
              <w:jc w:val="center"/>
              <w:rPr>
                <w:rFonts w:eastAsiaTheme="minorEastAsia"/>
                <w:b/>
                <w:bCs/>
                <w:color w:val="auto"/>
                <w:kern w:val="0"/>
                <w:sz w:val="21"/>
                <w:szCs w:val="21"/>
              </w:rPr>
            </w:pPr>
            <w:r>
              <w:rPr>
                <w:rFonts w:eastAsiaTheme="minorEastAsia"/>
                <w:color w:val="auto"/>
                <w:kern w:val="0"/>
                <w:sz w:val="21"/>
                <w:szCs w:val="21"/>
              </w:rPr>
              <w:t>连续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c>
          <w:tcPr>
            <w:tcW w:w="9287" w:type="dxa"/>
            <w:gridSpan w:val="6"/>
            <w:vAlign w:val="center"/>
          </w:tcPr>
          <w:p>
            <w:pPr>
              <w:autoSpaceDE w:val="0"/>
              <w:autoSpaceDN w:val="0"/>
              <w:adjustRightInd w:val="0"/>
              <w:jc w:val="left"/>
              <w:rPr>
                <w:rFonts w:eastAsiaTheme="minorEastAsia"/>
                <w:color w:val="auto"/>
                <w:kern w:val="0"/>
                <w:sz w:val="21"/>
                <w:szCs w:val="21"/>
              </w:rPr>
            </w:pPr>
            <w:r>
              <w:rPr>
                <w:rFonts w:eastAsiaTheme="minorEastAsia"/>
                <w:color w:val="auto"/>
                <w:kern w:val="0"/>
                <w:sz w:val="21"/>
                <w:szCs w:val="21"/>
              </w:rPr>
              <w:t>a 根据工程分析结果填写。</w:t>
            </w:r>
          </w:p>
          <w:p>
            <w:pPr>
              <w:autoSpaceDE w:val="0"/>
              <w:autoSpaceDN w:val="0"/>
              <w:adjustRightInd w:val="0"/>
              <w:jc w:val="left"/>
              <w:rPr>
                <w:rFonts w:eastAsiaTheme="minorEastAsia"/>
                <w:color w:val="auto"/>
                <w:kern w:val="0"/>
                <w:sz w:val="21"/>
                <w:szCs w:val="21"/>
              </w:rPr>
            </w:pPr>
            <w:r>
              <w:rPr>
                <w:rFonts w:eastAsiaTheme="minorEastAsia"/>
                <w:color w:val="auto"/>
                <w:kern w:val="0"/>
                <w:sz w:val="21"/>
                <w:szCs w:val="21"/>
              </w:rPr>
              <w:t>b 应描述污染源特征，如连续、间断、正常、事故等；涉及大气沉降途径的，应识别建设项目周边的土壤环境敏感目标。</w:t>
            </w:r>
          </w:p>
        </w:tc>
      </w:tr>
    </w:tbl>
    <w:p>
      <w:pPr>
        <w:autoSpaceDE w:val="0"/>
        <w:autoSpaceDN w:val="0"/>
        <w:adjustRightInd w:val="0"/>
        <w:spacing w:line="360" w:lineRule="auto"/>
        <w:rPr>
          <w:rFonts w:eastAsiaTheme="minorEastAsia"/>
          <w:b/>
          <w:color w:val="auto"/>
          <w:kern w:val="0"/>
        </w:rPr>
      </w:pPr>
      <w:r>
        <w:rPr>
          <w:rFonts w:eastAsiaTheme="minorEastAsia"/>
          <w:b/>
          <w:bCs/>
          <w:color w:val="auto"/>
          <w:kern w:val="0"/>
        </w:rPr>
        <w:t>5.</w:t>
      </w:r>
      <w:r>
        <w:rPr>
          <w:rFonts w:hint="eastAsia" w:eastAsiaTheme="minorEastAsia"/>
          <w:b/>
          <w:bCs/>
          <w:color w:val="auto"/>
          <w:kern w:val="0"/>
        </w:rPr>
        <w:t>2.6</w:t>
      </w:r>
      <w:r>
        <w:rPr>
          <w:rFonts w:eastAsiaTheme="minorEastAsia"/>
          <w:b/>
          <w:bCs/>
          <w:color w:val="auto"/>
          <w:kern w:val="0"/>
        </w:rPr>
        <w:t>.1</w:t>
      </w:r>
      <w:r>
        <w:rPr>
          <w:rFonts w:eastAsiaTheme="minorEastAsia"/>
          <w:b/>
          <w:color w:val="auto"/>
          <w:kern w:val="0"/>
        </w:rPr>
        <w:t>废水渗漏对土壤</w:t>
      </w:r>
      <w:r>
        <w:rPr>
          <w:rFonts w:hint="eastAsia" w:eastAsiaTheme="minorEastAsia"/>
          <w:b/>
          <w:color w:val="auto"/>
          <w:kern w:val="0"/>
        </w:rPr>
        <w:t>环境</w:t>
      </w:r>
      <w:r>
        <w:rPr>
          <w:rFonts w:eastAsiaTheme="minorEastAsia"/>
          <w:b/>
          <w:color w:val="auto"/>
          <w:kern w:val="0"/>
        </w:rPr>
        <w:t>影响分析</w:t>
      </w:r>
    </w:p>
    <w:p>
      <w:pPr>
        <w:autoSpaceDE w:val="0"/>
        <w:autoSpaceDN w:val="0"/>
        <w:adjustRightInd w:val="0"/>
        <w:spacing w:line="360" w:lineRule="auto"/>
        <w:ind w:firstLine="480" w:firstLineChars="200"/>
        <w:jc w:val="both"/>
        <w:rPr>
          <w:rFonts w:eastAsiaTheme="minorEastAsia"/>
          <w:color w:val="auto"/>
          <w:kern w:val="0"/>
        </w:rPr>
      </w:pPr>
      <w:r>
        <w:rPr>
          <w:rFonts w:eastAsiaTheme="minorEastAsia"/>
          <w:color w:val="auto"/>
          <w:kern w:val="0"/>
        </w:rPr>
        <w:t>本项目</w:t>
      </w:r>
      <w:r>
        <w:rPr>
          <w:rFonts w:hint="eastAsia" w:eastAsiaTheme="minorEastAsia"/>
          <w:color w:val="auto"/>
          <w:kern w:val="0"/>
        </w:rPr>
        <w:t>淋溶液调节</w:t>
      </w:r>
      <w:r>
        <w:rPr>
          <w:rFonts w:eastAsiaTheme="minorEastAsia"/>
          <w:color w:val="auto"/>
          <w:kern w:val="0"/>
        </w:rPr>
        <w:t>池以及污水管线若没有适当的防漏措施，其中的有害组分渗出后，很容易经过雨水淋溶、地表径流侵蚀而渗入土壤，杀死土壤中的微生物，破坏微生物与周围环境构成系统的平衡，导致草木不生，对于耕地则造成大面积的减产、影响食品安全。同时这些水分经土壤渗入地下水，对地下水水质也造成污染。</w:t>
      </w:r>
    </w:p>
    <w:p>
      <w:pPr>
        <w:autoSpaceDE w:val="0"/>
        <w:autoSpaceDN w:val="0"/>
        <w:adjustRightInd w:val="0"/>
        <w:spacing w:line="360" w:lineRule="auto"/>
        <w:ind w:firstLine="480" w:firstLineChars="200"/>
        <w:jc w:val="both"/>
        <w:rPr>
          <w:rFonts w:eastAsiaTheme="minorEastAsia"/>
          <w:color w:val="auto"/>
          <w:kern w:val="0"/>
        </w:rPr>
      </w:pPr>
      <w:r>
        <w:rPr>
          <w:rFonts w:eastAsiaTheme="minorEastAsia"/>
          <w:color w:val="auto"/>
          <w:kern w:val="0"/>
        </w:rPr>
        <w:t>项目废水收集系统</w:t>
      </w:r>
      <w:r>
        <w:rPr>
          <w:rFonts w:hint="eastAsia" w:eastAsiaTheme="minorEastAsia"/>
          <w:color w:val="auto"/>
          <w:kern w:val="0"/>
        </w:rPr>
        <w:t>和消纳场区</w:t>
      </w:r>
      <w:r>
        <w:rPr>
          <w:rFonts w:eastAsiaTheme="minorEastAsia"/>
          <w:color w:val="auto"/>
          <w:kern w:val="0"/>
        </w:rPr>
        <w:t>按要求做好防渗措施，项目建成后对周边土壤的影响较小。同时本项目产生的危险废物也均得到安全处理和处置。因此只要各个环节得到良好控制，可以将本项目对土壤的影响降至最低。</w:t>
      </w:r>
    </w:p>
    <w:p>
      <w:pPr>
        <w:autoSpaceDE w:val="0"/>
        <w:autoSpaceDN w:val="0"/>
        <w:adjustRightInd w:val="0"/>
        <w:spacing w:line="360" w:lineRule="auto"/>
        <w:rPr>
          <w:rFonts w:eastAsiaTheme="minorEastAsia"/>
          <w:b/>
          <w:color w:val="auto"/>
          <w:kern w:val="0"/>
        </w:rPr>
      </w:pPr>
      <w:r>
        <w:rPr>
          <w:rFonts w:eastAsiaTheme="minorEastAsia"/>
          <w:b/>
          <w:bCs/>
          <w:color w:val="auto"/>
          <w:kern w:val="0"/>
        </w:rPr>
        <w:t>5.</w:t>
      </w:r>
      <w:r>
        <w:rPr>
          <w:rFonts w:hint="eastAsia" w:eastAsiaTheme="minorEastAsia"/>
          <w:b/>
          <w:bCs/>
          <w:color w:val="auto"/>
          <w:kern w:val="0"/>
        </w:rPr>
        <w:t>2.6</w:t>
      </w:r>
      <w:r>
        <w:rPr>
          <w:rFonts w:eastAsiaTheme="minorEastAsia"/>
          <w:b/>
          <w:bCs/>
          <w:color w:val="auto"/>
          <w:kern w:val="0"/>
        </w:rPr>
        <w:t>.2</w:t>
      </w:r>
      <w:r>
        <w:rPr>
          <w:rFonts w:eastAsiaTheme="minorEastAsia"/>
          <w:b/>
          <w:color w:val="auto"/>
          <w:kern w:val="0"/>
        </w:rPr>
        <w:t>废气排放对</w:t>
      </w:r>
      <w:r>
        <w:rPr>
          <w:rFonts w:hint="eastAsia" w:eastAsiaTheme="minorEastAsia"/>
          <w:b/>
          <w:color w:val="auto"/>
          <w:kern w:val="0"/>
        </w:rPr>
        <w:t>土壤环境影响分析</w:t>
      </w:r>
    </w:p>
    <w:p>
      <w:pPr>
        <w:autoSpaceDE w:val="0"/>
        <w:autoSpaceDN w:val="0"/>
        <w:adjustRightInd w:val="0"/>
        <w:spacing w:line="360" w:lineRule="auto"/>
        <w:ind w:firstLine="480" w:firstLineChars="200"/>
        <w:rPr>
          <w:color w:val="auto"/>
        </w:rPr>
      </w:pPr>
      <w:r>
        <w:rPr>
          <w:bCs/>
          <w:color w:val="auto"/>
          <w:kern w:val="0"/>
        </w:rPr>
        <w:t>本项目</w:t>
      </w:r>
      <w:r>
        <w:rPr>
          <w:rFonts w:hint="eastAsia"/>
          <w:bCs/>
          <w:color w:val="auto"/>
          <w:kern w:val="0"/>
        </w:rPr>
        <w:t>臭气</w:t>
      </w:r>
      <w:r>
        <w:rPr>
          <w:bCs/>
          <w:color w:val="auto"/>
          <w:kern w:val="0"/>
        </w:rPr>
        <w:t>排放的主要污染物包括</w:t>
      </w:r>
      <w:r>
        <w:rPr>
          <w:rFonts w:hint="eastAsia"/>
          <w:bCs/>
          <w:color w:val="auto"/>
          <w:kern w:val="0"/>
        </w:rPr>
        <w:t>氨气和硫化氢</w:t>
      </w:r>
      <w:r>
        <w:rPr>
          <w:bCs/>
          <w:color w:val="auto"/>
          <w:kern w:val="0"/>
        </w:rPr>
        <w:t>，</w:t>
      </w:r>
      <w:r>
        <w:rPr>
          <w:rFonts w:hint="eastAsia"/>
          <w:color w:val="auto"/>
        </w:rPr>
        <w:t>鉴于厂区各环节产生的污染物基本不涉及土壤污染重点污染物。因此废气排放基本不会对土壤产生明显的污染，不会改变土壤的环境质量，在采取达标排放措施后对环境影响可行。</w:t>
      </w:r>
    </w:p>
    <w:p>
      <w:pPr>
        <w:autoSpaceDE w:val="0"/>
        <w:autoSpaceDN w:val="0"/>
        <w:adjustRightInd w:val="0"/>
        <w:spacing w:line="360" w:lineRule="auto"/>
        <w:rPr>
          <w:rFonts w:eastAsiaTheme="minorEastAsia"/>
          <w:b/>
          <w:color w:val="auto"/>
          <w:kern w:val="0"/>
        </w:rPr>
      </w:pPr>
      <w:r>
        <w:rPr>
          <w:rFonts w:hint="eastAsia" w:eastAsiaTheme="minorEastAsia"/>
          <w:b/>
          <w:bCs/>
          <w:color w:val="auto"/>
          <w:kern w:val="0"/>
        </w:rPr>
        <w:t>5.2.6.3</w:t>
      </w:r>
      <w:r>
        <w:rPr>
          <w:rFonts w:eastAsiaTheme="minorEastAsia"/>
          <w:b/>
          <w:bCs/>
          <w:color w:val="auto"/>
          <w:kern w:val="0"/>
        </w:rPr>
        <w:t xml:space="preserve"> </w:t>
      </w:r>
      <w:r>
        <w:rPr>
          <w:rFonts w:eastAsiaTheme="minorEastAsia"/>
          <w:b/>
          <w:color w:val="auto"/>
          <w:kern w:val="0"/>
        </w:rPr>
        <w:t>小节</w:t>
      </w:r>
    </w:p>
    <w:p>
      <w:pPr>
        <w:spacing w:line="360" w:lineRule="auto"/>
        <w:ind w:firstLine="480" w:firstLineChars="200"/>
        <w:rPr>
          <w:color w:val="auto"/>
        </w:rPr>
      </w:pPr>
      <w:r>
        <w:rPr>
          <w:rFonts w:hint="eastAsia"/>
          <w:color w:val="auto"/>
        </w:rPr>
        <w:t>综合以上分析，正常状况下，由于采取了严格的防渗措施，不会因污水（淋溶液）下渗造成土壤污染。污水（淋溶液）处理设施泄露非正常状况下，污水（淋溶液）通过污水池裂缝进入土壤，将会造成部分土壤污染，但不会污染地下水。因此，</w:t>
      </w:r>
      <w:r>
        <w:rPr>
          <w:rFonts w:eastAsiaTheme="minorEastAsia"/>
          <w:color w:val="auto"/>
          <w:kern w:val="0"/>
        </w:rPr>
        <w:t>项目</w:t>
      </w:r>
      <w:r>
        <w:rPr>
          <w:rFonts w:hint="eastAsia" w:eastAsiaTheme="minorEastAsia"/>
          <w:color w:val="auto"/>
          <w:kern w:val="0"/>
        </w:rPr>
        <w:t>对</w:t>
      </w:r>
      <w:r>
        <w:rPr>
          <w:rFonts w:eastAsiaTheme="minorEastAsia"/>
          <w:color w:val="auto"/>
          <w:kern w:val="0"/>
        </w:rPr>
        <w:t>土壤</w:t>
      </w:r>
      <w:r>
        <w:rPr>
          <w:rFonts w:hint="eastAsia" w:eastAsiaTheme="minorEastAsia"/>
          <w:color w:val="auto"/>
          <w:kern w:val="0"/>
        </w:rPr>
        <w:t>环境的影响可接受</w:t>
      </w:r>
      <w:r>
        <w:rPr>
          <w:rFonts w:eastAsiaTheme="minorEastAsia"/>
          <w:color w:val="auto"/>
          <w:kern w:val="0"/>
        </w:rPr>
        <w:t>。</w:t>
      </w:r>
    </w:p>
    <w:p>
      <w:pPr>
        <w:autoSpaceDE w:val="0"/>
        <w:autoSpaceDN w:val="0"/>
        <w:adjustRightInd w:val="0"/>
        <w:ind w:firstLine="482" w:firstLineChars="200"/>
        <w:jc w:val="center"/>
        <w:rPr>
          <w:rFonts w:eastAsiaTheme="minorEastAsia"/>
          <w:b/>
          <w:color w:val="auto"/>
          <w:kern w:val="0"/>
        </w:rPr>
      </w:pPr>
      <w:r>
        <w:rPr>
          <w:b/>
          <w:color w:val="auto"/>
        </w:rPr>
        <w:t>表5.2-</w:t>
      </w:r>
      <w:r>
        <w:rPr>
          <w:rFonts w:hint="eastAsia"/>
          <w:b/>
          <w:color w:val="auto"/>
        </w:rPr>
        <w:t>24</w:t>
      </w:r>
      <w:r>
        <w:rPr>
          <w:rFonts w:eastAsiaTheme="minorEastAsia"/>
          <w:b/>
          <w:color w:val="auto"/>
          <w:kern w:val="0"/>
        </w:rPr>
        <w:t xml:space="preserve">  土壤环境影响评价自查表</w:t>
      </w:r>
    </w:p>
    <w:tbl>
      <w:tblPr>
        <w:tblStyle w:val="53"/>
        <w:tblW w:w="9287"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0"/>
        <w:gridCol w:w="1787"/>
        <w:gridCol w:w="1397"/>
        <w:gridCol w:w="466"/>
        <w:gridCol w:w="737"/>
        <w:gridCol w:w="1126"/>
        <w:gridCol w:w="152"/>
        <w:gridCol w:w="1984"/>
        <w:gridCol w:w="109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2327" w:type="dxa"/>
            <w:gridSpan w:val="2"/>
            <w:tcBorders>
              <w:top w:val="single" w:color="auto" w:sz="12" w:space="0"/>
            </w:tcBorders>
            <w:shd w:val="clear" w:color="auto" w:fill="auto"/>
            <w:vAlign w:val="center"/>
          </w:tcPr>
          <w:p>
            <w:pPr>
              <w:jc w:val="center"/>
              <w:rPr>
                <w:b/>
                <w:color w:val="auto"/>
                <w:sz w:val="21"/>
                <w:szCs w:val="21"/>
              </w:rPr>
            </w:pPr>
            <w:r>
              <w:rPr>
                <w:b/>
                <w:color w:val="auto"/>
                <w:sz w:val="21"/>
                <w:szCs w:val="21"/>
              </w:rPr>
              <w:t>工作内容</w:t>
            </w:r>
          </w:p>
        </w:tc>
        <w:tc>
          <w:tcPr>
            <w:tcW w:w="5862" w:type="dxa"/>
            <w:gridSpan w:val="6"/>
            <w:tcBorders>
              <w:top w:val="single" w:color="auto" w:sz="12" w:space="0"/>
            </w:tcBorders>
            <w:shd w:val="clear" w:color="auto" w:fill="auto"/>
            <w:vAlign w:val="center"/>
          </w:tcPr>
          <w:p>
            <w:pPr>
              <w:jc w:val="center"/>
              <w:rPr>
                <w:b/>
                <w:color w:val="auto"/>
                <w:sz w:val="21"/>
                <w:szCs w:val="21"/>
              </w:rPr>
            </w:pPr>
            <w:r>
              <w:rPr>
                <w:b/>
                <w:color w:val="auto"/>
                <w:sz w:val="21"/>
                <w:szCs w:val="21"/>
              </w:rPr>
              <w:t>完成情况</w:t>
            </w:r>
          </w:p>
        </w:tc>
        <w:tc>
          <w:tcPr>
            <w:tcW w:w="1098" w:type="dxa"/>
            <w:tcBorders>
              <w:top w:val="single" w:color="auto" w:sz="12" w:space="0"/>
            </w:tcBorders>
            <w:shd w:val="clear" w:color="auto" w:fill="auto"/>
            <w:vAlign w:val="center"/>
          </w:tcPr>
          <w:p>
            <w:pPr>
              <w:jc w:val="center"/>
              <w:rPr>
                <w:b/>
                <w:color w:val="auto"/>
                <w:sz w:val="21"/>
                <w:szCs w:val="21"/>
              </w:rPr>
            </w:pPr>
            <w:r>
              <w:rPr>
                <w:b/>
                <w:color w:val="auto"/>
                <w:sz w:val="21"/>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40" w:type="dxa"/>
            <w:vMerge w:val="restart"/>
            <w:shd w:val="clear" w:color="auto" w:fill="auto"/>
            <w:vAlign w:val="center"/>
          </w:tcPr>
          <w:p>
            <w:pPr>
              <w:jc w:val="center"/>
              <w:rPr>
                <w:color w:val="auto"/>
                <w:sz w:val="21"/>
                <w:szCs w:val="21"/>
              </w:rPr>
            </w:pPr>
            <w:r>
              <w:rPr>
                <w:color w:val="auto"/>
                <w:sz w:val="21"/>
                <w:szCs w:val="21"/>
              </w:rPr>
              <w:t>影响识别</w:t>
            </w:r>
          </w:p>
        </w:tc>
        <w:tc>
          <w:tcPr>
            <w:tcW w:w="1787" w:type="dxa"/>
            <w:shd w:val="clear" w:color="auto" w:fill="auto"/>
            <w:vAlign w:val="center"/>
          </w:tcPr>
          <w:p>
            <w:pPr>
              <w:jc w:val="center"/>
              <w:rPr>
                <w:color w:val="auto"/>
                <w:sz w:val="21"/>
                <w:szCs w:val="21"/>
              </w:rPr>
            </w:pPr>
            <w:r>
              <w:rPr>
                <w:color w:val="auto"/>
                <w:sz w:val="21"/>
                <w:szCs w:val="21"/>
              </w:rPr>
              <w:t>影响类型</w:t>
            </w:r>
          </w:p>
        </w:tc>
        <w:tc>
          <w:tcPr>
            <w:tcW w:w="5862" w:type="dxa"/>
            <w:gridSpan w:val="6"/>
            <w:shd w:val="clear" w:color="auto" w:fill="auto"/>
            <w:vAlign w:val="center"/>
          </w:tcPr>
          <w:p>
            <w:pPr>
              <w:rPr>
                <w:color w:val="auto"/>
                <w:sz w:val="21"/>
                <w:szCs w:val="21"/>
              </w:rPr>
            </w:pPr>
            <w:r>
              <w:rPr>
                <w:color w:val="auto"/>
                <w:sz w:val="21"/>
                <w:szCs w:val="21"/>
              </w:rPr>
              <w:t>污染影响型√；生态影响型□；两种兼有□</w:t>
            </w:r>
          </w:p>
        </w:tc>
        <w:tc>
          <w:tcPr>
            <w:tcW w:w="1098" w:type="dxa"/>
            <w:shd w:val="clear" w:color="auto" w:fill="auto"/>
            <w:vAlign w:val="center"/>
          </w:tcPr>
          <w:p>
            <w:pPr>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40" w:type="dxa"/>
            <w:vMerge w:val="continue"/>
            <w:shd w:val="clear" w:color="auto" w:fill="auto"/>
            <w:vAlign w:val="center"/>
          </w:tcPr>
          <w:p>
            <w:pPr>
              <w:jc w:val="center"/>
              <w:rPr>
                <w:color w:val="auto"/>
                <w:sz w:val="21"/>
                <w:szCs w:val="21"/>
              </w:rPr>
            </w:pPr>
          </w:p>
        </w:tc>
        <w:tc>
          <w:tcPr>
            <w:tcW w:w="1787" w:type="dxa"/>
            <w:shd w:val="clear" w:color="auto" w:fill="auto"/>
            <w:vAlign w:val="center"/>
          </w:tcPr>
          <w:p>
            <w:pPr>
              <w:jc w:val="center"/>
              <w:rPr>
                <w:color w:val="auto"/>
                <w:sz w:val="21"/>
                <w:szCs w:val="21"/>
              </w:rPr>
            </w:pPr>
            <w:r>
              <w:rPr>
                <w:color w:val="auto"/>
                <w:sz w:val="21"/>
                <w:szCs w:val="21"/>
              </w:rPr>
              <w:t>土地利用类型</w:t>
            </w:r>
          </w:p>
        </w:tc>
        <w:tc>
          <w:tcPr>
            <w:tcW w:w="5862" w:type="dxa"/>
            <w:gridSpan w:val="6"/>
            <w:shd w:val="clear" w:color="auto" w:fill="auto"/>
            <w:vAlign w:val="center"/>
          </w:tcPr>
          <w:p>
            <w:pPr>
              <w:rPr>
                <w:color w:val="auto"/>
                <w:sz w:val="21"/>
                <w:szCs w:val="21"/>
              </w:rPr>
            </w:pPr>
            <w:r>
              <w:rPr>
                <w:color w:val="auto"/>
                <w:sz w:val="21"/>
                <w:szCs w:val="21"/>
              </w:rPr>
              <w:t>建设用地√；农用地□；未利用地□</w:t>
            </w:r>
          </w:p>
        </w:tc>
        <w:tc>
          <w:tcPr>
            <w:tcW w:w="1098" w:type="dxa"/>
            <w:shd w:val="clear" w:color="auto" w:fill="auto"/>
            <w:vAlign w:val="center"/>
          </w:tcPr>
          <w:p>
            <w:pPr>
              <w:jc w:val="center"/>
              <w:rPr>
                <w:color w:val="auto"/>
                <w:sz w:val="21"/>
                <w:szCs w:val="21"/>
              </w:rPr>
            </w:pPr>
            <w:r>
              <w:rPr>
                <w:color w:val="auto"/>
                <w:sz w:val="21"/>
                <w:szCs w:val="21"/>
              </w:rPr>
              <w:t>土地利用类型图</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40" w:type="dxa"/>
            <w:vMerge w:val="continue"/>
            <w:shd w:val="clear" w:color="auto" w:fill="auto"/>
            <w:vAlign w:val="center"/>
          </w:tcPr>
          <w:p>
            <w:pPr>
              <w:jc w:val="center"/>
              <w:rPr>
                <w:color w:val="auto"/>
                <w:sz w:val="21"/>
                <w:szCs w:val="21"/>
              </w:rPr>
            </w:pPr>
          </w:p>
        </w:tc>
        <w:tc>
          <w:tcPr>
            <w:tcW w:w="1787" w:type="dxa"/>
            <w:shd w:val="clear" w:color="auto" w:fill="auto"/>
            <w:vAlign w:val="center"/>
          </w:tcPr>
          <w:p>
            <w:pPr>
              <w:jc w:val="center"/>
              <w:rPr>
                <w:color w:val="auto"/>
                <w:sz w:val="21"/>
                <w:szCs w:val="21"/>
              </w:rPr>
            </w:pPr>
            <w:r>
              <w:rPr>
                <w:color w:val="auto"/>
                <w:sz w:val="21"/>
                <w:szCs w:val="21"/>
              </w:rPr>
              <w:t>占地规模</w:t>
            </w:r>
          </w:p>
        </w:tc>
        <w:tc>
          <w:tcPr>
            <w:tcW w:w="5862" w:type="dxa"/>
            <w:gridSpan w:val="6"/>
            <w:shd w:val="clear" w:color="auto" w:fill="auto"/>
            <w:vAlign w:val="center"/>
          </w:tcPr>
          <w:p>
            <w:pPr>
              <w:rPr>
                <w:color w:val="auto"/>
                <w:sz w:val="21"/>
                <w:szCs w:val="21"/>
              </w:rPr>
            </w:pPr>
            <w:r>
              <w:rPr>
                <w:color w:val="auto"/>
                <w:sz w:val="21"/>
                <w:szCs w:val="21"/>
              </w:rPr>
              <w:t>（</w:t>
            </w:r>
            <w:r>
              <w:rPr>
                <w:rFonts w:hint="eastAsia"/>
                <w:color w:val="auto"/>
                <w:sz w:val="21"/>
                <w:szCs w:val="21"/>
              </w:rPr>
              <w:t>12.682</w:t>
            </w:r>
            <w:r>
              <w:rPr>
                <w:color w:val="auto"/>
                <w:sz w:val="21"/>
                <w:szCs w:val="21"/>
              </w:rPr>
              <w:t>）hm</w:t>
            </w:r>
            <w:r>
              <w:rPr>
                <w:color w:val="auto"/>
                <w:sz w:val="21"/>
                <w:szCs w:val="21"/>
                <w:vertAlign w:val="superscript"/>
              </w:rPr>
              <w:t>2</w:t>
            </w:r>
          </w:p>
        </w:tc>
        <w:tc>
          <w:tcPr>
            <w:tcW w:w="1098" w:type="dxa"/>
            <w:shd w:val="clear" w:color="auto" w:fill="auto"/>
            <w:vAlign w:val="center"/>
          </w:tcPr>
          <w:p>
            <w:pPr>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40" w:type="dxa"/>
            <w:vMerge w:val="continue"/>
            <w:shd w:val="clear" w:color="auto" w:fill="auto"/>
            <w:vAlign w:val="center"/>
          </w:tcPr>
          <w:p>
            <w:pPr>
              <w:jc w:val="center"/>
              <w:rPr>
                <w:color w:val="auto"/>
                <w:sz w:val="21"/>
                <w:szCs w:val="21"/>
              </w:rPr>
            </w:pPr>
          </w:p>
        </w:tc>
        <w:tc>
          <w:tcPr>
            <w:tcW w:w="1787" w:type="dxa"/>
            <w:shd w:val="clear" w:color="auto" w:fill="auto"/>
            <w:vAlign w:val="center"/>
          </w:tcPr>
          <w:p>
            <w:pPr>
              <w:jc w:val="center"/>
              <w:rPr>
                <w:color w:val="auto"/>
                <w:sz w:val="21"/>
                <w:szCs w:val="21"/>
              </w:rPr>
            </w:pPr>
            <w:r>
              <w:rPr>
                <w:color w:val="auto"/>
                <w:sz w:val="21"/>
                <w:szCs w:val="21"/>
              </w:rPr>
              <w:t>敏感目标信息</w:t>
            </w:r>
          </w:p>
        </w:tc>
        <w:tc>
          <w:tcPr>
            <w:tcW w:w="5862" w:type="dxa"/>
            <w:gridSpan w:val="6"/>
            <w:shd w:val="clear" w:color="auto" w:fill="auto"/>
            <w:vAlign w:val="center"/>
          </w:tcPr>
          <w:p>
            <w:pPr>
              <w:rPr>
                <w:color w:val="auto"/>
                <w:sz w:val="21"/>
                <w:szCs w:val="21"/>
              </w:rPr>
            </w:pPr>
            <w:r>
              <w:rPr>
                <w:color w:val="auto"/>
                <w:sz w:val="21"/>
                <w:szCs w:val="21"/>
              </w:rPr>
              <w:t>敏感目标（</w:t>
            </w:r>
            <w:r>
              <w:rPr>
                <w:rFonts w:hint="eastAsia"/>
                <w:color w:val="auto"/>
                <w:sz w:val="21"/>
                <w:szCs w:val="21"/>
              </w:rPr>
              <w:t xml:space="preserve"> </w:t>
            </w:r>
            <w:r>
              <w:rPr>
                <w:color w:val="auto"/>
                <w:sz w:val="21"/>
                <w:szCs w:val="21"/>
              </w:rPr>
              <w:t xml:space="preserve"> ）、方位（</w:t>
            </w:r>
            <w:r>
              <w:rPr>
                <w:rFonts w:hint="eastAsia"/>
                <w:color w:val="auto"/>
                <w:sz w:val="21"/>
                <w:szCs w:val="21"/>
              </w:rPr>
              <w:t xml:space="preserve"> </w:t>
            </w:r>
            <w:r>
              <w:rPr>
                <w:color w:val="auto"/>
                <w:sz w:val="21"/>
                <w:szCs w:val="21"/>
              </w:rPr>
              <w:t xml:space="preserve"> ）、距离（   ）</w:t>
            </w:r>
          </w:p>
        </w:tc>
        <w:tc>
          <w:tcPr>
            <w:tcW w:w="1098" w:type="dxa"/>
            <w:shd w:val="clear" w:color="auto" w:fill="auto"/>
            <w:vAlign w:val="center"/>
          </w:tcPr>
          <w:p>
            <w:pPr>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40" w:type="dxa"/>
            <w:vMerge w:val="continue"/>
            <w:shd w:val="clear" w:color="auto" w:fill="auto"/>
            <w:vAlign w:val="center"/>
          </w:tcPr>
          <w:p>
            <w:pPr>
              <w:jc w:val="center"/>
              <w:rPr>
                <w:color w:val="auto"/>
                <w:sz w:val="21"/>
                <w:szCs w:val="21"/>
              </w:rPr>
            </w:pPr>
          </w:p>
        </w:tc>
        <w:tc>
          <w:tcPr>
            <w:tcW w:w="1787" w:type="dxa"/>
            <w:shd w:val="clear" w:color="auto" w:fill="auto"/>
            <w:vAlign w:val="center"/>
          </w:tcPr>
          <w:p>
            <w:pPr>
              <w:jc w:val="center"/>
              <w:rPr>
                <w:color w:val="auto"/>
                <w:sz w:val="21"/>
                <w:szCs w:val="21"/>
              </w:rPr>
            </w:pPr>
            <w:r>
              <w:rPr>
                <w:color w:val="auto"/>
                <w:sz w:val="21"/>
                <w:szCs w:val="21"/>
              </w:rPr>
              <w:t>影响途经</w:t>
            </w:r>
          </w:p>
        </w:tc>
        <w:tc>
          <w:tcPr>
            <w:tcW w:w="5862" w:type="dxa"/>
            <w:gridSpan w:val="6"/>
            <w:shd w:val="clear" w:color="auto" w:fill="auto"/>
            <w:vAlign w:val="center"/>
          </w:tcPr>
          <w:p>
            <w:pPr>
              <w:rPr>
                <w:color w:val="auto"/>
                <w:sz w:val="21"/>
                <w:szCs w:val="21"/>
              </w:rPr>
            </w:pPr>
            <w:r>
              <w:rPr>
                <w:color w:val="auto"/>
                <w:sz w:val="21"/>
                <w:szCs w:val="21"/>
              </w:rPr>
              <w:t>大气沉降√；地面漫流□；垂直入渗√；地下水位□；其他（ ）</w:t>
            </w:r>
          </w:p>
        </w:tc>
        <w:tc>
          <w:tcPr>
            <w:tcW w:w="1098" w:type="dxa"/>
            <w:shd w:val="clear" w:color="auto" w:fill="auto"/>
            <w:vAlign w:val="center"/>
          </w:tcPr>
          <w:p>
            <w:pPr>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40" w:type="dxa"/>
            <w:vMerge w:val="continue"/>
            <w:shd w:val="clear" w:color="auto" w:fill="auto"/>
            <w:vAlign w:val="center"/>
          </w:tcPr>
          <w:p>
            <w:pPr>
              <w:jc w:val="center"/>
              <w:rPr>
                <w:color w:val="auto"/>
                <w:sz w:val="21"/>
                <w:szCs w:val="21"/>
              </w:rPr>
            </w:pPr>
          </w:p>
        </w:tc>
        <w:tc>
          <w:tcPr>
            <w:tcW w:w="1787" w:type="dxa"/>
            <w:shd w:val="clear" w:color="auto" w:fill="auto"/>
            <w:vAlign w:val="center"/>
          </w:tcPr>
          <w:p>
            <w:pPr>
              <w:jc w:val="center"/>
              <w:rPr>
                <w:color w:val="auto"/>
                <w:sz w:val="21"/>
                <w:szCs w:val="21"/>
              </w:rPr>
            </w:pPr>
            <w:r>
              <w:rPr>
                <w:color w:val="auto"/>
                <w:sz w:val="21"/>
                <w:szCs w:val="21"/>
              </w:rPr>
              <w:t>全部污染物</w:t>
            </w:r>
          </w:p>
        </w:tc>
        <w:tc>
          <w:tcPr>
            <w:tcW w:w="5862" w:type="dxa"/>
            <w:gridSpan w:val="6"/>
            <w:shd w:val="clear" w:color="auto" w:fill="auto"/>
            <w:vAlign w:val="center"/>
          </w:tcPr>
          <w:p>
            <w:pPr>
              <w:rPr>
                <w:color w:val="auto"/>
                <w:sz w:val="21"/>
                <w:szCs w:val="21"/>
              </w:rPr>
            </w:pPr>
            <w:r>
              <w:rPr>
                <w:color w:val="auto"/>
                <w:sz w:val="21"/>
                <w:szCs w:val="21"/>
              </w:rPr>
              <w:t>COD、氨氮</w:t>
            </w:r>
          </w:p>
        </w:tc>
        <w:tc>
          <w:tcPr>
            <w:tcW w:w="1098" w:type="dxa"/>
            <w:shd w:val="clear" w:color="auto" w:fill="auto"/>
            <w:vAlign w:val="center"/>
          </w:tcPr>
          <w:p>
            <w:pPr>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8" w:hRule="atLeast"/>
        </w:trPr>
        <w:tc>
          <w:tcPr>
            <w:tcW w:w="540" w:type="dxa"/>
            <w:vMerge w:val="continue"/>
            <w:shd w:val="clear" w:color="auto" w:fill="auto"/>
            <w:vAlign w:val="center"/>
          </w:tcPr>
          <w:p>
            <w:pPr>
              <w:jc w:val="center"/>
              <w:rPr>
                <w:color w:val="auto"/>
                <w:sz w:val="21"/>
                <w:szCs w:val="21"/>
              </w:rPr>
            </w:pPr>
          </w:p>
        </w:tc>
        <w:tc>
          <w:tcPr>
            <w:tcW w:w="1787" w:type="dxa"/>
            <w:shd w:val="clear" w:color="auto" w:fill="auto"/>
            <w:vAlign w:val="center"/>
          </w:tcPr>
          <w:p>
            <w:pPr>
              <w:jc w:val="center"/>
              <w:rPr>
                <w:color w:val="auto"/>
                <w:sz w:val="21"/>
                <w:szCs w:val="21"/>
              </w:rPr>
            </w:pPr>
            <w:r>
              <w:rPr>
                <w:color w:val="auto"/>
                <w:sz w:val="21"/>
                <w:szCs w:val="21"/>
              </w:rPr>
              <w:t>特征因子</w:t>
            </w:r>
          </w:p>
        </w:tc>
        <w:tc>
          <w:tcPr>
            <w:tcW w:w="5862" w:type="dxa"/>
            <w:gridSpan w:val="6"/>
            <w:shd w:val="clear" w:color="auto" w:fill="auto"/>
            <w:vAlign w:val="center"/>
          </w:tcPr>
          <w:p>
            <w:pPr>
              <w:rPr>
                <w:color w:val="auto"/>
                <w:sz w:val="21"/>
                <w:szCs w:val="21"/>
              </w:rPr>
            </w:pPr>
            <w:r>
              <w:rPr>
                <w:color w:val="auto"/>
                <w:sz w:val="21"/>
                <w:szCs w:val="21"/>
              </w:rPr>
              <w:t>COD、氨氮</w:t>
            </w:r>
          </w:p>
        </w:tc>
        <w:tc>
          <w:tcPr>
            <w:tcW w:w="1098" w:type="dxa"/>
            <w:shd w:val="clear" w:color="auto" w:fill="auto"/>
            <w:vAlign w:val="center"/>
          </w:tcPr>
          <w:p>
            <w:pPr>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40" w:type="dxa"/>
            <w:vMerge w:val="continue"/>
            <w:shd w:val="clear" w:color="auto" w:fill="auto"/>
            <w:vAlign w:val="center"/>
          </w:tcPr>
          <w:p>
            <w:pPr>
              <w:jc w:val="center"/>
              <w:rPr>
                <w:color w:val="auto"/>
                <w:sz w:val="21"/>
                <w:szCs w:val="21"/>
              </w:rPr>
            </w:pPr>
          </w:p>
        </w:tc>
        <w:tc>
          <w:tcPr>
            <w:tcW w:w="1787" w:type="dxa"/>
            <w:shd w:val="clear" w:color="auto" w:fill="auto"/>
            <w:vAlign w:val="center"/>
          </w:tcPr>
          <w:p>
            <w:pPr>
              <w:jc w:val="center"/>
              <w:rPr>
                <w:color w:val="auto"/>
                <w:sz w:val="21"/>
                <w:szCs w:val="21"/>
              </w:rPr>
            </w:pPr>
            <w:r>
              <w:rPr>
                <w:color w:val="auto"/>
                <w:sz w:val="21"/>
                <w:szCs w:val="21"/>
              </w:rPr>
              <w:t>所属土壤环境影响评价项目类别</w:t>
            </w:r>
          </w:p>
        </w:tc>
        <w:tc>
          <w:tcPr>
            <w:tcW w:w="5862" w:type="dxa"/>
            <w:gridSpan w:val="6"/>
            <w:shd w:val="clear" w:color="auto" w:fill="auto"/>
            <w:vAlign w:val="center"/>
          </w:tcPr>
          <w:p>
            <w:pPr>
              <w:rPr>
                <w:color w:val="auto"/>
                <w:sz w:val="21"/>
                <w:szCs w:val="21"/>
              </w:rPr>
            </w:pPr>
            <w:r>
              <w:rPr>
                <w:rFonts w:hint="eastAsia" w:ascii="宋体" w:hAnsi="宋体" w:cs="宋体"/>
                <w:color w:val="auto"/>
                <w:sz w:val="21"/>
                <w:szCs w:val="21"/>
              </w:rPr>
              <w:t>Ⅰ</w:t>
            </w:r>
            <w:r>
              <w:rPr>
                <w:color w:val="auto"/>
                <w:sz w:val="21"/>
                <w:szCs w:val="21"/>
              </w:rPr>
              <w:t>类□；</w:t>
            </w:r>
            <w:r>
              <w:rPr>
                <w:rFonts w:hint="eastAsia" w:ascii="宋体" w:hAnsi="宋体" w:cs="宋体"/>
                <w:color w:val="auto"/>
                <w:sz w:val="21"/>
                <w:szCs w:val="21"/>
              </w:rPr>
              <w:t>Ⅱ</w:t>
            </w:r>
            <w:r>
              <w:rPr>
                <w:color w:val="auto"/>
                <w:sz w:val="21"/>
                <w:szCs w:val="21"/>
              </w:rPr>
              <w:t>类√；</w:t>
            </w:r>
            <w:r>
              <w:rPr>
                <w:rFonts w:hint="eastAsia" w:ascii="宋体" w:hAnsi="宋体" w:cs="宋体"/>
                <w:color w:val="auto"/>
                <w:sz w:val="21"/>
                <w:szCs w:val="21"/>
              </w:rPr>
              <w:t>Ⅲ</w:t>
            </w:r>
            <w:r>
              <w:rPr>
                <w:color w:val="auto"/>
                <w:sz w:val="21"/>
                <w:szCs w:val="21"/>
              </w:rPr>
              <w:t>类□；</w:t>
            </w:r>
            <w:r>
              <w:rPr>
                <w:rFonts w:hint="eastAsia" w:ascii="宋体" w:hAnsi="宋体" w:cs="宋体"/>
                <w:color w:val="auto"/>
                <w:sz w:val="21"/>
                <w:szCs w:val="21"/>
              </w:rPr>
              <w:t>Ⅳ</w:t>
            </w:r>
            <w:r>
              <w:rPr>
                <w:color w:val="auto"/>
                <w:sz w:val="21"/>
                <w:szCs w:val="21"/>
              </w:rPr>
              <w:t>类□</w:t>
            </w:r>
          </w:p>
        </w:tc>
        <w:tc>
          <w:tcPr>
            <w:tcW w:w="1098" w:type="dxa"/>
            <w:shd w:val="clear" w:color="auto" w:fill="auto"/>
            <w:vAlign w:val="center"/>
          </w:tcPr>
          <w:p>
            <w:pPr>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40" w:type="dxa"/>
            <w:vMerge w:val="continue"/>
            <w:shd w:val="clear" w:color="auto" w:fill="auto"/>
            <w:vAlign w:val="center"/>
          </w:tcPr>
          <w:p>
            <w:pPr>
              <w:jc w:val="center"/>
              <w:rPr>
                <w:color w:val="auto"/>
                <w:sz w:val="21"/>
                <w:szCs w:val="21"/>
              </w:rPr>
            </w:pPr>
          </w:p>
        </w:tc>
        <w:tc>
          <w:tcPr>
            <w:tcW w:w="1787" w:type="dxa"/>
            <w:shd w:val="clear" w:color="auto" w:fill="auto"/>
            <w:vAlign w:val="center"/>
          </w:tcPr>
          <w:p>
            <w:pPr>
              <w:jc w:val="center"/>
              <w:rPr>
                <w:color w:val="auto"/>
                <w:sz w:val="21"/>
                <w:szCs w:val="21"/>
              </w:rPr>
            </w:pPr>
            <w:r>
              <w:rPr>
                <w:color w:val="auto"/>
                <w:sz w:val="21"/>
                <w:szCs w:val="21"/>
              </w:rPr>
              <w:t>敏感程度</w:t>
            </w:r>
          </w:p>
        </w:tc>
        <w:tc>
          <w:tcPr>
            <w:tcW w:w="5862" w:type="dxa"/>
            <w:gridSpan w:val="6"/>
            <w:shd w:val="clear" w:color="auto" w:fill="auto"/>
            <w:vAlign w:val="center"/>
          </w:tcPr>
          <w:p>
            <w:pPr>
              <w:rPr>
                <w:color w:val="auto"/>
                <w:sz w:val="21"/>
                <w:szCs w:val="21"/>
              </w:rPr>
            </w:pPr>
            <w:r>
              <w:rPr>
                <w:color w:val="auto"/>
                <w:sz w:val="21"/>
                <w:szCs w:val="21"/>
              </w:rPr>
              <w:t>敏感□；较敏感□；不敏感√</w:t>
            </w:r>
          </w:p>
        </w:tc>
        <w:tc>
          <w:tcPr>
            <w:tcW w:w="1098" w:type="dxa"/>
            <w:shd w:val="clear" w:color="auto" w:fill="auto"/>
            <w:vAlign w:val="center"/>
          </w:tcPr>
          <w:p>
            <w:pPr>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327" w:type="dxa"/>
            <w:gridSpan w:val="2"/>
            <w:shd w:val="clear" w:color="auto" w:fill="auto"/>
            <w:vAlign w:val="center"/>
          </w:tcPr>
          <w:p>
            <w:pPr>
              <w:jc w:val="center"/>
              <w:rPr>
                <w:color w:val="auto"/>
                <w:sz w:val="21"/>
                <w:szCs w:val="21"/>
              </w:rPr>
            </w:pPr>
            <w:r>
              <w:rPr>
                <w:color w:val="auto"/>
                <w:sz w:val="21"/>
                <w:szCs w:val="21"/>
              </w:rPr>
              <w:t>评价工作等级</w:t>
            </w:r>
          </w:p>
        </w:tc>
        <w:tc>
          <w:tcPr>
            <w:tcW w:w="5862" w:type="dxa"/>
            <w:gridSpan w:val="6"/>
            <w:shd w:val="clear" w:color="auto" w:fill="auto"/>
            <w:vAlign w:val="center"/>
          </w:tcPr>
          <w:p>
            <w:pPr>
              <w:rPr>
                <w:color w:val="auto"/>
                <w:sz w:val="21"/>
                <w:szCs w:val="21"/>
              </w:rPr>
            </w:pPr>
            <w:r>
              <w:rPr>
                <w:color w:val="auto"/>
                <w:sz w:val="21"/>
                <w:szCs w:val="21"/>
              </w:rPr>
              <w:t>一级□；二级□；三级√</w:t>
            </w:r>
          </w:p>
        </w:tc>
        <w:tc>
          <w:tcPr>
            <w:tcW w:w="1098" w:type="dxa"/>
            <w:shd w:val="clear" w:color="auto" w:fill="auto"/>
            <w:vAlign w:val="center"/>
          </w:tcPr>
          <w:p>
            <w:pPr>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40" w:type="dxa"/>
            <w:vMerge w:val="restart"/>
            <w:shd w:val="clear" w:color="auto" w:fill="auto"/>
            <w:vAlign w:val="center"/>
          </w:tcPr>
          <w:p>
            <w:pPr>
              <w:jc w:val="center"/>
              <w:rPr>
                <w:color w:val="auto"/>
                <w:sz w:val="21"/>
                <w:szCs w:val="21"/>
              </w:rPr>
            </w:pPr>
            <w:r>
              <w:rPr>
                <w:color w:val="auto"/>
                <w:sz w:val="21"/>
                <w:szCs w:val="21"/>
              </w:rPr>
              <w:t>现状调查内容</w:t>
            </w:r>
          </w:p>
        </w:tc>
        <w:tc>
          <w:tcPr>
            <w:tcW w:w="1787" w:type="dxa"/>
            <w:shd w:val="clear" w:color="auto" w:fill="auto"/>
            <w:vAlign w:val="center"/>
          </w:tcPr>
          <w:p>
            <w:pPr>
              <w:jc w:val="center"/>
              <w:rPr>
                <w:color w:val="auto"/>
                <w:sz w:val="21"/>
                <w:szCs w:val="21"/>
              </w:rPr>
            </w:pPr>
            <w:r>
              <w:rPr>
                <w:color w:val="auto"/>
                <w:sz w:val="21"/>
                <w:szCs w:val="21"/>
              </w:rPr>
              <w:t>资料收集</w:t>
            </w:r>
          </w:p>
        </w:tc>
        <w:tc>
          <w:tcPr>
            <w:tcW w:w="5862" w:type="dxa"/>
            <w:gridSpan w:val="6"/>
            <w:shd w:val="clear" w:color="auto" w:fill="auto"/>
            <w:vAlign w:val="center"/>
          </w:tcPr>
          <w:p>
            <w:pPr>
              <w:rPr>
                <w:color w:val="auto"/>
                <w:sz w:val="21"/>
                <w:szCs w:val="21"/>
              </w:rPr>
            </w:pPr>
            <w:r>
              <w:rPr>
                <w:color w:val="auto"/>
                <w:sz w:val="21"/>
                <w:szCs w:val="21"/>
              </w:rPr>
              <w:t>a) √；b) □；c) □；d) □</w:t>
            </w:r>
          </w:p>
        </w:tc>
        <w:tc>
          <w:tcPr>
            <w:tcW w:w="1098" w:type="dxa"/>
            <w:shd w:val="clear" w:color="auto" w:fill="auto"/>
            <w:vAlign w:val="center"/>
          </w:tcPr>
          <w:p>
            <w:pPr>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40" w:type="dxa"/>
            <w:vMerge w:val="continue"/>
            <w:shd w:val="clear" w:color="auto" w:fill="auto"/>
            <w:vAlign w:val="center"/>
          </w:tcPr>
          <w:p>
            <w:pPr>
              <w:jc w:val="center"/>
              <w:rPr>
                <w:color w:val="auto"/>
                <w:sz w:val="21"/>
                <w:szCs w:val="21"/>
              </w:rPr>
            </w:pPr>
          </w:p>
        </w:tc>
        <w:tc>
          <w:tcPr>
            <w:tcW w:w="1787" w:type="dxa"/>
            <w:shd w:val="clear" w:color="auto" w:fill="auto"/>
            <w:vAlign w:val="center"/>
          </w:tcPr>
          <w:p>
            <w:pPr>
              <w:jc w:val="center"/>
              <w:rPr>
                <w:color w:val="auto"/>
                <w:sz w:val="21"/>
                <w:szCs w:val="21"/>
              </w:rPr>
            </w:pPr>
            <w:r>
              <w:rPr>
                <w:color w:val="auto"/>
                <w:sz w:val="21"/>
                <w:szCs w:val="21"/>
              </w:rPr>
              <w:t>理化特性</w:t>
            </w:r>
          </w:p>
        </w:tc>
        <w:tc>
          <w:tcPr>
            <w:tcW w:w="5862" w:type="dxa"/>
            <w:gridSpan w:val="6"/>
            <w:shd w:val="clear" w:color="auto" w:fill="auto"/>
            <w:vAlign w:val="center"/>
          </w:tcPr>
          <w:p>
            <w:pPr>
              <w:rPr>
                <w:color w:val="auto"/>
                <w:sz w:val="21"/>
                <w:szCs w:val="21"/>
              </w:rPr>
            </w:pPr>
          </w:p>
        </w:tc>
        <w:tc>
          <w:tcPr>
            <w:tcW w:w="1098" w:type="dxa"/>
            <w:shd w:val="clear" w:color="auto" w:fill="auto"/>
            <w:vAlign w:val="center"/>
          </w:tcPr>
          <w:p>
            <w:pPr>
              <w:jc w:val="center"/>
              <w:rPr>
                <w:color w:val="auto"/>
                <w:sz w:val="21"/>
                <w:szCs w:val="21"/>
              </w:rPr>
            </w:pPr>
            <w:r>
              <w:rPr>
                <w:color w:val="auto"/>
                <w:sz w:val="21"/>
                <w:szCs w:val="21"/>
              </w:rPr>
              <w:t>同附录C</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540" w:type="dxa"/>
            <w:vMerge w:val="continue"/>
            <w:shd w:val="clear" w:color="auto" w:fill="auto"/>
            <w:vAlign w:val="center"/>
          </w:tcPr>
          <w:p>
            <w:pPr>
              <w:jc w:val="center"/>
              <w:rPr>
                <w:color w:val="auto"/>
                <w:sz w:val="21"/>
                <w:szCs w:val="21"/>
              </w:rPr>
            </w:pPr>
          </w:p>
        </w:tc>
        <w:tc>
          <w:tcPr>
            <w:tcW w:w="1787" w:type="dxa"/>
            <w:vMerge w:val="restart"/>
            <w:shd w:val="clear" w:color="auto" w:fill="auto"/>
            <w:vAlign w:val="center"/>
          </w:tcPr>
          <w:p>
            <w:pPr>
              <w:jc w:val="center"/>
              <w:rPr>
                <w:color w:val="auto"/>
                <w:sz w:val="21"/>
                <w:szCs w:val="21"/>
              </w:rPr>
            </w:pPr>
            <w:r>
              <w:rPr>
                <w:color w:val="auto"/>
                <w:sz w:val="21"/>
                <w:szCs w:val="21"/>
              </w:rPr>
              <w:t>现状监测点位</w:t>
            </w:r>
          </w:p>
        </w:tc>
        <w:tc>
          <w:tcPr>
            <w:tcW w:w="1397" w:type="dxa"/>
            <w:shd w:val="clear" w:color="auto" w:fill="auto"/>
            <w:vAlign w:val="center"/>
          </w:tcPr>
          <w:p>
            <w:pPr>
              <w:jc w:val="center"/>
              <w:rPr>
                <w:color w:val="auto"/>
                <w:sz w:val="21"/>
                <w:szCs w:val="21"/>
              </w:rPr>
            </w:pPr>
          </w:p>
        </w:tc>
        <w:tc>
          <w:tcPr>
            <w:tcW w:w="1203" w:type="dxa"/>
            <w:gridSpan w:val="2"/>
            <w:shd w:val="clear" w:color="auto" w:fill="auto"/>
            <w:vAlign w:val="center"/>
          </w:tcPr>
          <w:p>
            <w:pPr>
              <w:jc w:val="center"/>
              <w:rPr>
                <w:color w:val="auto"/>
                <w:sz w:val="21"/>
                <w:szCs w:val="21"/>
              </w:rPr>
            </w:pPr>
            <w:r>
              <w:rPr>
                <w:color w:val="auto"/>
                <w:sz w:val="21"/>
                <w:szCs w:val="21"/>
              </w:rPr>
              <w:t>占地范围</w:t>
            </w:r>
            <w:r>
              <w:rPr>
                <w:rFonts w:hint="eastAsia"/>
                <w:color w:val="auto"/>
                <w:sz w:val="21"/>
                <w:szCs w:val="21"/>
              </w:rPr>
              <w:t>（园区范围内）</w:t>
            </w:r>
          </w:p>
        </w:tc>
        <w:tc>
          <w:tcPr>
            <w:tcW w:w="1278" w:type="dxa"/>
            <w:gridSpan w:val="2"/>
            <w:shd w:val="clear" w:color="auto" w:fill="auto"/>
            <w:vAlign w:val="center"/>
          </w:tcPr>
          <w:p>
            <w:pPr>
              <w:jc w:val="center"/>
              <w:rPr>
                <w:color w:val="auto"/>
                <w:sz w:val="21"/>
                <w:szCs w:val="21"/>
              </w:rPr>
            </w:pPr>
            <w:r>
              <w:rPr>
                <w:color w:val="auto"/>
                <w:sz w:val="21"/>
                <w:szCs w:val="21"/>
              </w:rPr>
              <w:t>占地范围外</w:t>
            </w:r>
          </w:p>
        </w:tc>
        <w:tc>
          <w:tcPr>
            <w:tcW w:w="1984" w:type="dxa"/>
            <w:shd w:val="clear" w:color="auto" w:fill="auto"/>
            <w:vAlign w:val="center"/>
          </w:tcPr>
          <w:p>
            <w:pPr>
              <w:jc w:val="center"/>
              <w:rPr>
                <w:color w:val="auto"/>
                <w:sz w:val="21"/>
                <w:szCs w:val="21"/>
              </w:rPr>
            </w:pPr>
            <w:r>
              <w:rPr>
                <w:color w:val="auto"/>
                <w:sz w:val="21"/>
                <w:szCs w:val="21"/>
              </w:rPr>
              <w:t>深度</w:t>
            </w:r>
          </w:p>
        </w:tc>
        <w:tc>
          <w:tcPr>
            <w:tcW w:w="1098" w:type="dxa"/>
            <w:vMerge w:val="restart"/>
            <w:shd w:val="clear" w:color="auto" w:fill="auto"/>
            <w:vAlign w:val="center"/>
          </w:tcPr>
          <w:p>
            <w:pPr>
              <w:jc w:val="center"/>
              <w:rPr>
                <w:color w:val="auto"/>
                <w:sz w:val="21"/>
                <w:szCs w:val="21"/>
              </w:rPr>
            </w:pPr>
            <w:r>
              <w:rPr>
                <w:color w:val="auto"/>
                <w:sz w:val="21"/>
                <w:szCs w:val="21"/>
              </w:rPr>
              <w:t>点位布置图</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540" w:type="dxa"/>
            <w:vMerge w:val="continue"/>
            <w:shd w:val="clear" w:color="auto" w:fill="auto"/>
            <w:vAlign w:val="center"/>
          </w:tcPr>
          <w:p>
            <w:pPr>
              <w:jc w:val="center"/>
              <w:rPr>
                <w:color w:val="auto"/>
                <w:sz w:val="21"/>
                <w:szCs w:val="21"/>
              </w:rPr>
            </w:pPr>
          </w:p>
        </w:tc>
        <w:tc>
          <w:tcPr>
            <w:tcW w:w="1787" w:type="dxa"/>
            <w:vMerge w:val="continue"/>
            <w:shd w:val="clear" w:color="auto" w:fill="auto"/>
            <w:vAlign w:val="center"/>
          </w:tcPr>
          <w:p>
            <w:pPr>
              <w:jc w:val="center"/>
              <w:rPr>
                <w:color w:val="auto"/>
                <w:sz w:val="21"/>
                <w:szCs w:val="21"/>
              </w:rPr>
            </w:pPr>
          </w:p>
        </w:tc>
        <w:tc>
          <w:tcPr>
            <w:tcW w:w="1397" w:type="dxa"/>
            <w:shd w:val="clear" w:color="auto" w:fill="auto"/>
            <w:vAlign w:val="center"/>
          </w:tcPr>
          <w:p>
            <w:pPr>
              <w:jc w:val="center"/>
              <w:rPr>
                <w:color w:val="auto"/>
                <w:sz w:val="21"/>
                <w:szCs w:val="21"/>
              </w:rPr>
            </w:pPr>
            <w:r>
              <w:rPr>
                <w:color w:val="auto"/>
                <w:sz w:val="21"/>
                <w:szCs w:val="21"/>
              </w:rPr>
              <w:t>表层样点数</w:t>
            </w:r>
          </w:p>
        </w:tc>
        <w:tc>
          <w:tcPr>
            <w:tcW w:w="1203" w:type="dxa"/>
            <w:gridSpan w:val="2"/>
            <w:shd w:val="clear" w:color="auto" w:fill="auto"/>
            <w:vAlign w:val="center"/>
          </w:tcPr>
          <w:p>
            <w:pPr>
              <w:jc w:val="center"/>
              <w:rPr>
                <w:color w:val="auto"/>
                <w:sz w:val="21"/>
                <w:szCs w:val="21"/>
              </w:rPr>
            </w:pPr>
            <w:r>
              <w:rPr>
                <w:color w:val="auto"/>
                <w:sz w:val="21"/>
                <w:szCs w:val="21"/>
              </w:rPr>
              <w:t>1</w:t>
            </w:r>
          </w:p>
        </w:tc>
        <w:tc>
          <w:tcPr>
            <w:tcW w:w="1278" w:type="dxa"/>
            <w:gridSpan w:val="2"/>
            <w:shd w:val="clear" w:color="auto" w:fill="auto"/>
            <w:vAlign w:val="center"/>
          </w:tcPr>
          <w:p>
            <w:pPr>
              <w:jc w:val="center"/>
              <w:rPr>
                <w:color w:val="auto"/>
                <w:sz w:val="21"/>
                <w:szCs w:val="21"/>
              </w:rPr>
            </w:pPr>
            <w:r>
              <w:rPr>
                <w:color w:val="auto"/>
                <w:sz w:val="21"/>
                <w:szCs w:val="21"/>
              </w:rPr>
              <w:t>2</w:t>
            </w:r>
          </w:p>
        </w:tc>
        <w:tc>
          <w:tcPr>
            <w:tcW w:w="1984" w:type="dxa"/>
            <w:shd w:val="clear" w:color="auto" w:fill="auto"/>
            <w:vAlign w:val="center"/>
          </w:tcPr>
          <w:p>
            <w:pPr>
              <w:jc w:val="center"/>
              <w:rPr>
                <w:color w:val="auto"/>
                <w:sz w:val="21"/>
                <w:szCs w:val="21"/>
              </w:rPr>
            </w:pPr>
            <w:r>
              <w:rPr>
                <w:color w:val="auto"/>
                <w:sz w:val="21"/>
                <w:szCs w:val="21"/>
              </w:rPr>
              <w:t>0</w:t>
            </w:r>
            <w:r>
              <w:rPr>
                <w:rFonts w:hint="eastAsia"/>
                <w:color w:val="auto"/>
                <w:sz w:val="21"/>
                <w:szCs w:val="21"/>
              </w:rPr>
              <w:t>~</w:t>
            </w:r>
            <w:r>
              <w:rPr>
                <w:color w:val="auto"/>
                <w:sz w:val="21"/>
                <w:szCs w:val="21"/>
              </w:rPr>
              <w:t>0.2m</w:t>
            </w:r>
          </w:p>
        </w:tc>
        <w:tc>
          <w:tcPr>
            <w:tcW w:w="1098" w:type="dxa"/>
            <w:vMerge w:val="continue"/>
            <w:shd w:val="clear" w:color="auto" w:fill="auto"/>
            <w:vAlign w:val="center"/>
          </w:tcPr>
          <w:p>
            <w:pPr>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540" w:type="dxa"/>
            <w:vMerge w:val="continue"/>
            <w:shd w:val="clear" w:color="auto" w:fill="auto"/>
            <w:vAlign w:val="center"/>
          </w:tcPr>
          <w:p>
            <w:pPr>
              <w:jc w:val="center"/>
              <w:rPr>
                <w:color w:val="auto"/>
                <w:sz w:val="21"/>
                <w:szCs w:val="21"/>
              </w:rPr>
            </w:pPr>
          </w:p>
        </w:tc>
        <w:tc>
          <w:tcPr>
            <w:tcW w:w="1787" w:type="dxa"/>
            <w:vMerge w:val="continue"/>
            <w:shd w:val="clear" w:color="auto" w:fill="auto"/>
            <w:vAlign w:val="center"/>
          </w:tcPr>
          <w:p>
            <w:pPr>
              <w:jc w:val="center"/>
              <w:rPr>
                <w:color w:val="auto"/>
                <w:sz w:val="21"/>
                <w:szCs w:val="21"/>
              </w:rPr>
            </w:pPr>
          </w:p>
        </w:tc>
        <w:tc>
          <w:tcPr>
            <w:tcW w:w="1397" w:type="dxa"/>
            <w:shd w:val="clear" w:color="auto" w:fill="auto"/>
            <w:vAlign w:val="center"/>
          </w:tcPr>
          <w:p>
            <w:pPr>
              <w:jc w:val="center"/>
              <w:rPr>
                <w:color w:val="auto"/>
                <w:sz w:val="21"/>
                <w:szCs w:val="21"/>
              </w:rPr>
            </w:pPr>
            <w:r>
              <w:rPr>
                <w:color w:val="auto"/>
                <w:sz w:val="21"/>
                <w:szCs w:val="21"/>
              </w:rPr>
              <w:t>柱状样点数</w:t>
            </w:r>
          </w:p>
        </w:tc>
        <w:tc>
          <w:tcPr>
            <w:tcW w:w="1203" w:type="dxa"/>
            <w:gridSpan w:val="2"/>
            <w:shd w:val="clear" w:color="auto" w:fill="auto"/>
            <w:vAlign w:val="center"/>
          </w:tcPr>
          <w:p>
            <w:pPr>
              <w:jc w:val="center"/>
              <w:rPr>
                <w:color w:val="auto"/>
                <w:sz w:val="21"/>
                <w:szCs w:val="21"/>
              </w:rPr>
            </w:pPr>
            <w:r>
              <w:rPr>
                <w:color w:val="auto"/>
                <w:sz w:val="21"/>
                <w:szCs w:val="21"/>
              </w:rPr>
              <w:t>3</w:t>
            </w:r>
          </w:p>
        </w:tc>
        <w:tc>
          <w:tcPr>
            <w:tcW w:w="1278" w:type="dxa"/>
            <w:gridSpan w:val="2"/>
            <w:shd w:val="clear" w:color="auto" w:fill="auto"/>
            <w:vAlign w:val="center"/>
          </w:tcPr>
          <w:p>
            <w:pPr>
              <w:jc w:val="center"/>
              <w:rPr>
                <w:color w:val="auto"/>
                <w:sz w:val="21"/>
                <w:szCs w:val="21"/>
              </w:rPr>
            </w:pPr>
            <w:r>
              <w:rPr>
                <w:color w:val="auto"/>
                <w:sz w:val="21"/>
                <w:szCs w:val="21"/>
              </w:rPr>
              <w:t>0</w:t>
            </w:r>
          </w:p>
        </w:tc>
        <w:tc>
          <w:tcPr>
            <w:tcW w:w="1984" w:type="dxa"/>
            <w:shd w:val="clear" w:color="auto" w:fill="auto"/>
            <w:vAlign w:val="center"/>
          </w:tcPr>
          <w:p>
            <w:pPr>
              <w:jc w:val="center"/>
              <w:rPr>
                <w:color w:val="auto"/>
                <w:sz w:val="21"/>
                <w:szCs w:val="21"/>
              </w:rPr>
            </w:pPr>
            <w:r>
              <w:rPr>
                <w:rFonts w:hint="eastAsia"/>
                <w:color w:val="auto"/>
                <w:sz w:val="21"/>
                <w:szCs w:val="21"/>
              </w:rPr>
              <w:t>0~</w:t>
            </w:r>
            <w:r>
              <w:rPr>
                <w:color w:val="auto"/>
                <w:sz w:val="21"/>
                <w:szCs w:val="21"/>
              </w:rPr>
              <w:t>0.5</w:t>
            </w:r>
            <w:r>
              <w:rPr>
                <w:rFonts w:hint="eastAsia"/>
                <w:color w:val="auto"/>
                <w:sz w:val="21"/>
                <w:szCs w:val="21"/>
              </w:rPr>
              <w:t>m、0</w:t>
            </w:r>
            <w:r>
              <w:rPr>
                <w:color w:val="auto"/>
                <w:sz w:val="21"/>
                <w:szCs w:val="21"/>
              </w:rPr>
              <w:t>.5</w:t>
            </w:r>
            <w:r>
              <w:rPr>
                <w:rFonts w:hint="eastAsia"/>
                <w:color w:val="auto"/>
                <w:sz w:val="21"/>
                <w:szCs w:val="21"/>
              </w:rPr>
              <w:t>~</w:t>
            </w:r>
            <w:r>
              <w:rPr>
                <w:color w:val="auto"/>
                <w:sz w:val="21"/>
                <w:szCs w:val="21"/>
              </w:rPr>
              <w:t>1.5</w:t>
            </w:r>
            <w:r>
              <w:rPr>
                <w:rFonts w:hint="eastAsia"/>
                <w:color w:val="auto"/>
                <w:sz w:val="21"/>
                <w:szCs w:val="21"/>
              </w:rPr>
              <w:t>m、1</w:t>
            </w:r>
            <w:r>
              <w:rPr>
                <w:color w:val="auto"/>
                <w:sz w:val="21"/>
                <w:szCs w:val="21"/>
              </w:rPr>
              <w:t>.5</w:t>
            </w:r>
            <w:r>
              <w:rPr>
                <w:rFonts w:hint="eastAsia"/>
                <w:color w:val="auto"/>
                <w:sz w:val="21"/>
                <w:szCs w:val="21"/>
              </w:rPr>
              <w:t>~</w:t>
            </w:r>
            <w:r>
              <w:rPr>
                <w:color w:val="auto"/>
                <w:sz w:val="21"/>
                <w:szCs w:val="21"/>
              </w:rPr>
              <w:t>3</w:t>
            </w:r>
            <w:r>
              <w:rPr>
                <w:rFonts w:hint="eastAsia"/>
                <w:color w:val="auto"/>
                <w:sz w:val="21"/>
                <w:szCs w:val="21"/>
              </w:rPr>
              <w:t>m、3~</w:t>
            </w:r>
            <w:r>
              <w:rPr>
                <w:color w:val="auto"/>
                <w:sz w:val="21"/>
                <w:szCs w:val="21"/>
              </w:rPr>
              <w:t>6</w:t>
            </w:r>
            <w:r>
              <w:rPr>
                <w:rFonts w:hint="eastAsia"/>
                <w:color w:val="auto"/>
                <w:sz w:val="21"/>
                <w:szCs w:val="21"/>
              </w:rPr>
              <w:t>m、6</w:t>
            </w:r>
            <w:r>
              <w:rPr>
                <w:color w:val="auto"/>
                <w:sz w:val="21"/>
                <w:szCs w:val="21"/>
              </w:rPr>
              <w:t>~8m</w:t>
            </w:r>
          </w:p>
        </w:tc>
        <w:tc>
          <w:tcPr>
            <w:tcW w:w="1098" w:type="dxa"/>
            <w:vMerge w:val="continue"/>
            <w:shd w:val="clear" w:color="auto" w:fill="auto"/>
            <w:vAlign w:val="center"/>
          </w:tcPr>
          <w:p>
            <w:pPr>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22" w:hRule="atLeast"/>
        </w:trPr>
        <w:tc>
          <w:tcPr>
            <w:tcW w:w="540" w:type="dxa"/>
            <w:vMerge w:val="continue"/>
            <w:shd w:val="clear" w:color="auto" w:fill="auto"/>
            <w:vAlign w:val="center"/>
          </w:tcPr>
          <w:p>
            <w:pPr>
              <w:jc w:val="center"/>
              <w:rPr>
                <w:color w:val="auto"/>
                <w:sz w:val="21"/>
                <w:szCs w:val="21"/>
              </w:rPr>
            </w:pPr>
          </w:p>
        </w:tc>
        <w:tc>
          <w:tcPr>
            <w:tcW w:w="1787" w:type="dxa"/>
            <w:shd w:val="clear" w:color="auto" w:fill="auto"/>
            <w:vAlign w:val="center"/>
          </w:tcPr>
          <w:p>
            <w:pPr>
              <w:jc w:val="center"/>
              <w:rPr>
                <w:color w:val="auto"/>
                <w:sz w:val="21"/>
                <w:szCs w:val="21"/>
              </w:rPr>
            </w:pPr>
            <w:r>
              <w:rPr>
                <w:color w:val="auto"/>
                <w:sz w:val="21"/>
                <w:szCs w:val="21"/>
              </w:rPr>
              <w:t>现状监测因子</w:t>
            </w:r>
          </w:p>
        </w:tc>
        <w:tc>
          <w:tcPr>
            <w:tcW w:w="5862" w:type="dxa"/>
            <w:gridSpan w:val="6"/>
            <w:shd w:val="clear" w:color="auto" w:fill="auto"/>
            <w:vAlign w:val="center"/>
          </w:tcPr>
          <w:p>
            <w:pPr>
              <w:rPr>
                <w:color w:val="auto"/>
                <w:sz w:val="21"/>
                <w:szCs w:val="21"/>
              </w:rPr>
            </w:pPr>
            <w:r>
              <w:rPr>
                <w:color w:val="auto"/>
                <w:sz w:val="21"/>
                <w:szCs w:val="21"/>
              </w:rPr>
              <w:t>pH、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二噁英类</w:t>
            </w:r>
          </w:p>
        </w:tc>
        <w:tc>
          <w:tcPr>
            <w:tcW w:w="1098" w:type="dxa"/>
            <w:shd w:val="clear" w:color="auto" w:fill="auto"/>
            <w:vAlign w:val="center"/>
          </w:tcPr>
          <w:p>
            <w:pPr>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40" w:type="dxa"/>
            <w:vMerge w:val="restart"/>
            <w:shd w:val="clear" w:color="auto" w:fill="auto"/>
            <w:vAlign w:val="center"/>
          </w:tcPr>
          <w:p>
            <w:pPr>
              <w:jc w:val="center"/>
              <w:rPr>
                <w:color w:val="auto"/>
                <w:sz w:val="21"/>
                <w:szCs w:val="21"/>
              </w:rPr>
            </w:pPr>
            <w:r>
              <w:rPr>
                <w:color w:val="auto"/>
                <w:sz w:val="21"/>
                <w:szCs w:val="21"/>
              </w:rPr>
              <w:t>现状评价</w:t>
            </w:r>
          </w:p>
        </w:tc>
        <w:tc>
          <w:tcPr>
            <w:tcW w:w="1787" w:type="dxa"/>
            <w:shd w:val="clear" w:color="auto" w:fill="auto"/>
            <w:vAlign w:val="center"/>
          </w:tcPr>
          <w:p>
            <w:pPr>
              <w:jc w:val="center"/>
              <w:rPr>
                <w:color w:val="auto"/>
                <w:sz w:val="21"/>
                <w:szCs w:val="21"/>
              </w:rPr>
            </w:pPr>
            <w:r>
              <w:rPr>
                <w:color w:val="auto"/>
                <w:sz w:val="21"/>
                <w:szCs w:val="21"/>
              </w:rPr>
              <w:t>评价因子</w:t>
            </w:r>
          </w:p>
        </w:tc>
        <w:tc>
          <w:tcPr>
            <w:tcW w:w="5862" w:type="dxa"/>
            <w:gridSpan w:val="6"/>
            <w:shd w:val="clear" w:color="auto" w:fill="auto"/>
            <w:vAlign w:val="center"/>
          </w:tcPr>
          <w:p>
            <w:pPr>
              <w:rPr>
                <w:color w:val="auto"/>
                <w:sz w:val="21"/>
                <w:szCs w:val="21"/>
              </w:rPr>
            </w:pPr>
            <w:r>
              <w:rPr>
                <w:color w:val="auto"/>
                <w:sz w:val="21"/>
                <w:szCs w:val="21"/>
              </w:rPr>
              <w:t>pH、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二噁英类</w:t>
            </w:r>
          </w:p>
        </w:tc>
        <w:tc>
          <w:tcPr>
            <w:tcW w:w="1098" w:type="dxa"/>
            <w:shd w:val="clear" w:color="auto" w:fill="auto"/>
            <w:vAlign w:val="center"/>
          </w:tcPr>
          <w:p>
            <w:pPr>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40" w:type="dxa"/>
            <w:vMerge w:val="continue"/>
            <w:shd w:val="clear" w:color="auto" w:fill="auto"/>
            <w:vAlign w:val="center"/>
          </w:tcPr>
          <w:p>
            <w:pPr>
              <w:jc w:val="center"/>
              <w:rPr>
                <w:color w:val="auto"/>
                <w:sz w:val="21"/>
                <w:szCs w:val="21"/>
              </w:rPr>
            </w:pPr>
          </w:p>
        </w:tc>
        <w:tc>
          <w:tcPr>
            <w:tcW w:w="1787" w:type="dxa"/>
            <w:shd w:val="clear" w:color="auto" w:fill="auto"/>
            <w:vAlign w:val="center"/>
          </w:tcPr>
          <w:p>
            <w:pPr>
              <w:jc w:val="center"/>
              <w:rPr>
                <w:color w:val="auto"/>
                <w:sz w:val="21"/>
                <w:szCs w:val="21"/>
              </w:rPr>
            </w:pPr>
            <w:r>
              <w:rPr>
                <w:color w:val="auto"/>
                <w:sz w:val="21"/>
                <w:szCs w:val="21"/>
              </w:rPr>
              <w:t>评价标准</w:t>
            </w:r>
          </w:p>
        </w:tc>
        <w:tc>
          <w:tcPr>
            <w:tcW w:w="5862" w:type="dxa"/>
            <w:gridSpan w:val="6"/>
            <w:shd w:val="clear" w:color="auto" w:fill="auto"/>
            <w:vAlign w:val="center"/>
          </w:tcPr>
          <w:p>
            <w:pPr>
              <w:rPr>
                <w:color w:val="auto"/>
                <w:sz w:val="21"/>
                <w:szCs w:val="21"/>
              </w:rPr>
            </w:pPr>
            <w:r>
              <w:rPr>
                <w:color w:val="auto"/>
                <w:sz w:val="21"/>
                <w:szCs w:val="21"/>
              </w:rPr>
              <w:t>GB 15618√；GB 36600√；表D.1□；表D.2□；其他（   ）</w:t>
            </w:r>
          </w:p>
        </w:tc>
        <w:tc>
          <w:tcPr>
            <w:tcW w:w="1098" w:type="dxa"/>
            <w:shd w:val="clear" w:color="auto" w:fill="auto"/>
            <w:vAlign w:val="center"/>
          </w:tcPr>
          <w:p>
            <w:pPr>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40" w:type="dxa"/>
            <w:vMerge w:val="continue"/>
            <w:shd w:val="clear" w:color="auto" w:fill="auto"/>
            <w:vAlign w:val="center"/>
          </w:tcPr>
          <w:p>
            <w:pPr>
              <w:jc w:val="center"/>
              <w:rPr>
                <w:color w:val="auto"/>
                <w:sz w:val="21"/>
                <w:szCs w:val="21"/>
              </w:rPr>
            </w:pPr>
          </w:p>
        </w:tc>
        <w:tc>
          <w:tcPr>
            <w:tcW w:w="1787" w:type="dxa"/>
            <w:shd w:val="clear" w:color="auto" w:fill="auto"/>
            <w:vAlign w:val="center"/>
          </w:tcPr>
          <w:p>
            <w:pPr>
              <w:jc w:val="center"/>
              <w:rPr>
                <w:color w:val="auto"/>
                <w:sz w:val="21"/>
                <w:szCs w:val="21"/>
              </w:rPr>
            </w:pPr>
            <w:r>
              <w:rPr>
                <w:color w:val="auto"/>
                <w:sz w:val="21"/>
                <w:szCs w:val="21"/>
              </w:rPr>
              <w:t>现状评价结论</w:t>
            </w:r>
          </w:p>
        </w:tc>
        <w:tc>
          <w:tcPr>
            <w:tcW w:w="5862" w:type="dxa"/>
            <w:gridSpan w:val="6"/>
            <w:shd w:val="clear" w:color="auto" w:fill="auto"/>
            <w:vAlign w:val="center"/>
          </w:tcPr>
          <w:p>
            <w:pPr>
              <w:spacing w:line="288" w:lineRule="auto"/>
              <w:rPr>
                <w:color w:val="auto"/>
                <w:sz w:val="21"/>
                <w:szCs w:val="21"/>
              </w:rPr>
            </w:pPr>
            <w:r>
              <w:rPr>
                <w:color w:val="auto"/>
                <w:sz w:val="21"/>
                <w:szCs w:val="21"/>
              </w:rPr>
              <w:t>从监测结果可知，本次监测的所有土壤样点中，</w:t>
            </w:r>
            <w:r>
              <w:rPr>
                <w:rFonts w:hint="eastAsia"/>
                <w:color w:val="auto"/>
                <w:sz w:val="21"/>
                <w:szCs w:val="21"/>
              </w:rPr>
              <w:t>所有</w:t>
            </w:r>
            <w:r>
              <w:rPr>
                <w:color w:val="auto"/>
                <w:sz w:val="21"/>
                <w:szCs w:val="21"/>
              </w:rPr>
              <w:t>监测因子均满足《土壤环境质量 建设用地土壤污染风险管控标准》（试行GB36600-2018）中第二类用地的筛选值，</w:t>
            </w:r>
            <w:r>
              <w:rPr>
                <w:rFonts w:hint="eastAsia"/>
                <w:color w:val="auto"/>
                <w:sz w:val="21"/>
                <w:szCs w:val="21"/>
              </w:rPr>
              <w:t>说</w:t>
            </w:r>
            <w:r>
              <w:rPr>
                <w:color w:val="auto"/>
                <w:sz w:val="21"/>
                <w:szCs w:val="21"/>
              </w:rPr>
              <w:t>明本项目所在地土壤环境质量满足要求。</w:t>
            </w:r>
          </w:p>
        </w:tc>
        <w:tc>
          <w:tcPr>
            <w:tcW w:w="1098" w:type="dxa"/>
            <w:shd w:val="clear" w:color="auto" w:fill="auto"/>
            <w:vAlign w:val="center"/>
          </w:tcPr>
          <w:p>
            <w:pPr>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40" w:type="dxa"/>
            <w:vMerge w:val="restart"/>
            <w:shd w:val="clear" w:color="auto" w:fill="auto"/>
            <w:vAlign w:val="center"/>
          </w:tcPr>
          <w:p>
            <w:pPr>
              <w:jc w:val="center"/>
              <w:rPr>
                <w:color w:val="auto"/>
                <w:sz w:val="21"/>
                <w:szCs w:val="21"/>
              </w:rPr>
            </w:pPr>
            <w:r>
              <w:rPr>
                <w:color w:val="auto"/>
                <w:sz w:val="21"/>
                <w:szCs w:val="21"/>
              </w:rPr>
              <w:t>影响预测</w:t>
            </w:r>
          </w:p>
        </w:tc>
        <w:tc>
          <w:tcPr>
            <w:tcW w:w="1787" w:type="dxa"/>
            <w:shd w:val="clear" w:color="auto" w:fill="auto"/>
            <w:vAlign w:val="center"/>
          </w:tcPr>
          <w:p>
            <w:pPr>
              <w:jc w:val="center"/>
              <w:rPr>
                <w:color w:val="auto"/>
                <w:sz w:val="21"/>
                <w:szCs w:val="21"/>
              </w:rPr>
            </w:pPr>
            <w:r>
              <w:rPr>
                <w:color w:val="auto"/>
                <w:sz w:val="21"/>
                <w:szCs w:val="21"/>
              </w:rPr>
              <w:t>预测因子</w:t>
            </w:r>
          </w:p>
        </w:tc>
        <w:tc>
          <w:tcPr>
            <w:tcW w:w="5862" w:type="dxa"/>
            <w:gridSpan w:val="6"/>
            <w:shd w:val="clear" w:color="auto" w:fill="auto"/>
            <w:vAlign w:val="center"/>
          </w:tcPr>
          <w:p>
            <w:pPr>
              <w:rPr>
                <w:color w:val="auto"/>
                <w:sz w:val="21"/>
                <w:szCs w:val="21"/>
              </w:rPr>
            </w:pPr>
            <w:r>
              <w:rPr>
                <w:rFonts w:hint="eastAsia"/>
                <w:color w:val="auto"/>
                <w:sz w:val="21"/>
                <w:szCs w:val="21"/>
              </w:rPr>
              <w:t>/</w:t>
            </w:r>
          </w:p>
        </w:tc>
        <w:tc>
          <w:tcPr>
            <w:tcW w:w="1098" w:type="dxa"/>
            <w:shd w:val="clear" w:color="auto" w:fill="auto"/>
            <w:vAlign w:val="center"/>
          </w:tcPr>
          <w:p>
            <w:pPr>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40" w:type="dxa"/>
            <w:vMerge w:val="continue"/>
            <w:shd w:val="clear" w:color="auto" w:fill="auto"/>
            <w:vAlign w:val="center"/>
          </w:tcPr>
          <w:p>
            <w:pPr>
              <w:jc w:val="center"/>
              <w:rPr>
                <w:color w:val="auto"/>
                <w:sz w:val="21"/>
                <w:szCs w:val="21"/>
              </w:rPr>
            </w:pPr>
          </w:p>
        </w:tc>
        <w:tc>
          <w:tcPr>
            <w:tcW w:w="1787" w:type="dxa"/>
            <w:shd w:val="clear" w:color="auto" w:fill="auto"/>
            <w:vAlign w:val="center"/>
          </w:tcPr>
          <w:p>
            <w:pPr>
              <w:jc w:val="center"/>
              <w:rPr>
                <w:color w:val="auto"/>
                <w:sz w:val="21"/>
                <w:szCs w:val="21"/>
              </w:rPr>
            </w:pPr>
            <w:r>
              <w:rPr>
                <w:color w:val="auto"/>
                <w:sz w:val="21"/>
                <w:szCs w:val="21"/>
              </w:rPr>
              <w:t>预测方法</w:t>
            </w:r>
          </w:p>
        </w:tc>
        <w:tc>
          <w:tcPr>
            <w:tcW w:w="5862" w:type="dxa"/>
            <w:gridSpan w:val="6"/>
            <w:shd w:val="clear" w:color="auto" w:fill="auto"/>
            <w:vAlign w:val="center"/>
          </w:tcPr>
          <w:p>
            <w:pPr>
              <w:rPr>
                <w:color w:val="auto"/>
                <w:sz w:val="21"/>
                <w:szCs w:val="21"/>
              </w:rPr>
            </w:pPr>
            <w:r>
              <w:rPr>
                <w:color w:val="auto"/>
                <w:sz w:val="21"/>
                <w:szCs w:val="21"/>
              </w:rPr>
              <w:t>附录E□；附录F□；其他（     ）</w:t>
            </w:r>
          </w:p>
        </w:tc>
        <w:tc>
          <w:tcPr>
            <w:tcW w:w="1098" w:type="dxa"/>
            <w:shd w:val="clear" w:color="auto" w:fill="auto"/>
            <w:vAlign w:val="center"/>
          </w:tcPr>
          <w:p>
            <w:pPr>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40" w:type="dxa"/>
            <w:vMerge w:val="continue"/>
            <w:shd w:val="clear" w:color="auto" w:fill="auto"/>
            <w:vAlign w:val="center"/>
          </w:tcPr>
          <w:p>
            <w:pPr>
              <w:jc w:val="center"/>
              <w:rPr>
                <w:color w:val="auto"/>
                <w:sz w:val="21"/>
                <w:szCs w:val="21"/>
              </w:rPr>
            </w:pPr>
          </w:p>
        </w:tc>
        <w:tc>
          <w:tcPr>
            <w:tcW w:w="1787" w:type="dxa"/>
            <w:shd w:val="clear" w:color="auto" w:fill="auto"/>
            <w:vAlign w:val="center"/>
          </w:tcPr>
          <w:p>
            <w:pPr>
              <w:jc w:val="center"/>
              <w:rPr>
                <w:color w:val="auto"/>
                <w:sz w:val="21"/>
                <w:szCs w:val="21"/>
              </w:rPr>
            </w:pPr>
            <w:r>
              <w:rPr>
                <w:color w:val="auto"/>
                <w:sz w:val="21"/>
                <w:szCs w:val="21"/>
              </w:rPr>
              <w:t>预测分析内容</w:t>
            </w:r>
          </w:p>
        </w:tc>
        <w:tc>
          <w:tcPr>
            <w:tcW w:w="5862" w:type="dxa"/>
            <w:gridSpan w:val="6"/>
            <w:shd w:val="clear" w:color="auto" w:fill="auto"/>
            <w:vAlign w:val="center"/>
          </w:tcPr>
          <w:p>
            <w:pPr>
              <w:rPr>
                <w:color w:val="auto"/>
                <w:sz w:val="21"/>
                <w:szCs w:val="21"/>
              </w:rPr>
            </w:pPr>
            <w:r>
              <w:rPr>
                <w:color w:val="auto"/>
                <w:sz w:val="21"/>
                <w:szCs w:val="21"/>
              </w:rPr>
              <w:t>影响范围（</w:t>
            </w:r>
            <w:r>
              <w:rPr>
                <w:rFonts w:hint="eastAsia"/>
                <w:color w:val="auto"/>
                <w:sz w:val="21"/>
                <w:szCs w:val="21"/>
              </w:rPr>
              <w:t xml:space="preserve">      </w:t>
            </w:r>
            <w:r>
              <w:rPr>
                <w:color w:val="auto"/>
                <w:sz w:val="21"/>
                <w:szCs w:val="21"/>
              </w:rPr>
              <w:t>）</w:t>
            </w:r>
          </w:p>
          <w:p>
            <w:pPr>
              <w:rPr>
                <w:color w:val="auto"/>
                <w:sz w:val="21"/>
                <w:szCs w:val="21"/>
              </w:rPr>
            </w:pPr>
            <w:r>
              <w:rPr>
                <w:color w:val="auto"/>
                <w:sz w:val="21"/>
                <w:szCs w:val="21"/>
              </w:rPr>
              <w:t>影响程度（  小  ）</w:t>
            </w:r>
          </w:p>
        </w:tc>
        <w:tc>
          <w:tcPr>
            <w:tcW w:w="1098" w:type="dxa"/>
            <w:shd w:val="clear" w:color="auto" w:fill="auto"/>
            <w:vAlign w:val="center"/>
          </w:tcPr>
          <w:p>
            <w:pPr>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40" w:type="dxa"/>
            <w:vMerge w:val="continue"/>
            <w:shd w:val="clear" w:color="auto" w:fill="auto"/>
            <w:vAlign w:val="center"/>
          </w:tcPr>
          <w:p>
            <w:pPr>
              <w:jc w:val="center"/>
              <w:rPr>
                <w:color w:val="auto"/>
                <w:sz w:val="21"/>
                <w:szCs w:val="21"/>
              </w:rPr>
            </w:pPr>
          </w:p>
        </w:tc>
        <w:tc>
          <w:tcPr>
            <w:tcW w:w="1787" w:type="dxa"/>
            <w:shd w:val="clear" w:color="auto" w:fill="auto"/>
            <w:vAlign w:val="center"/>
          </w:tcPr>
          <w:p>
            <w:pPr>
              <w:jc w:val="center"/>
              <w:rPr>
                <w:color w:val="auto"/>
                <w:sz w:val="21"/>
                <w:szCs w:val="21"/>
              </w:rPr>
            </w:pPr>
            <w:r>
              <w:rPr>
                <w:color w:val="auto"/>
                <w:sz w:val="21"/>
                <w:szCs w:val="21"/>
              </w:rPr>
              <w:t>预测结论</w:t>
            </w:r>
          </w:p>
        </w:tc>
        <w:tc>
          <w:tcPr>
            <w:tcW w:w="5862" w:type="dxa"/>
            <w:gridSpan w:val="6"/>
            <w:shd w:val="clear" w:color="auto" w:fill="auto"/>
            <w:vAlign w:val="center"/>
          </w:tcPr>
          <w:p>
            <w:pPr>
              <w:rPr>
                <w:color w:val="auto"/>
                <w:sz w:val="21"/>
                <w:szCs w:val="21"/>
              </w:rPr>
            </w:pPr>
            <w:r>
              <w:rPr>
                <w:color w:val="auto"/>
                <w:sz w:val="21"/>
                <w:szCs w:val="21"/>
              </w:rPr>
              <w:t>达标结论：a) √；b) □；c) □</w:t>
            </w:r>
          </w:p>
          <w:p>
            <w:pPr>
              <w:rPr>
                <w:color w:val="auto"/>
                <w:sz w:val="21"/>
                <w:szCs w:val="21"/>
              </w:rPr>
            </w:pPr>
            <w:r>
              <w:rPr>
                <w:color w:val="auto"/>
                <w:sz w:val="21"/>
                <w:szCs w:val="21"/>
              </w:rPr>
              <w:t>不达标结论：a) □；b) □</w:t>
            </w:r>
          </w:p>
        </w:tc>
        <w:tc>
          <w:tcPr>
            <w:tcW w:w="1098" w:type="dxa"/>
            <w:shd w:val="clear" w:color="auto" w:fill="auto"/>
            <w:vAlign w:val="center"/>
          </w:tcPr>
          <w:p>
            <w:pPr>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40" w:type="dxa"/>
            <w:vMerge w:val="restart"/>
            <w:shd w:val="clear" w:color="auto" w:fill="auto"/>
            <w:vAlign w:val="center"/>
          </w:tcPr>
          <w:p>
            <w:pPr>
              <w:jc w:val="center"/>
              <w:rPr>
                <w:color w:val="auto"/>
                <w:sz w:val="21"/>
                <w:szCs w:val="21"/>
              </w:rPr>
            </w:pPr>
            <w:r>
              <w:rPr>
                <w:color w:val="auto"/>
                <w:sz w:val="21"/>
                <w:szCs w:val="21"/>
              </w:rPr>
              <w:t>防治措施</w:t>
            </w:r>
          </w:p>
        </w:tc>
        <w:tc>
          <w:tcPr>
            <w:tcW w:w="1787" w:type="dxa"/>
            <w:shd w:val="clear" w:color="auto" w:fill="auto"/>
            <w:vAlign w:val="center"/>
          </w:tcPr>
          <w:p>
            <w:pPr>
              <w:jc w:val="center"/>
              <w:rPr>
                <w:color w:val="auto"/>
                <w:sz w:val="21"/>
                <w:szCs w:val="21"/>
              </w:rPr>
            </w:pPr>
            <w:r>
              <w:rPr>
                <w:color w:val="auto"/>
                <w:sz w:val="21"/>
                <w:szCs w:val="21"/>
              </w:rPr>
              <w:t>防控措施</w:t>
            </w:r>
          </w:p>
        </w:tc>
        <w:tc>
          <w:tcPr>
            <w:tcW w:w="5862" w:type="dxa"/>
            <w:gridSpan w:val="6"/>
            <w:shd w:val="clear" w:color="auto" w:fill="auto"/>
            <w:vAlign w:val="center"/>
          </w:tcPr>
          <w:p>
            <w:pPr>
              <w:rPr>
                <w:color w:val="auto"/>
                <w:sz w:val="21"/>
                <w:szCs w:val="21"/>
              </w:rPr>
            </w:pPr>
            <w:r>
              <w:rPr>
                <w:color w:val="auto"/>
                <w:sz w:val="21"/>
                <w:szCs w:val="21"/>
              </w:rPr>
              <w:t>土壤环境质量现状保障□；源头控制□；过程防控√；其他（√）</w:t>
            </w:r>
          </w:p>
        </w:tc>
        <w:tc>
          <w:tcPr>
            <w:tcW w:w="1098" w:type="dxa"/>
            <w:shd w:val="clear" w:color="auto" w:fill="auto"/>
            <w:vAlign w:val="center"/>
          </w:tcPr>
          <w:p>
            <w:pPr>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5" w:hRule="atLeast"/>
        </w:trPr>
        <w:tc>
          <w:tcPr>
            <w:tcW w:w="540" w:type="dxa"/>
            <w:vMerge w:val="continue"/>
            <w:shd w:val="clear" w:color="auto" w:fill="auto"/>
            <w:vAlign w:val="center"/>
          </w:tcPr>
          <w:p>
            <w:pPr>
              <w:jc w:val="center"/>
              <w:rPr>
                <w:color w:val="auto"/>
                <w:sz w:val="21"/>
                <w:szCs w:val="21"/>
              </w:rPr>
            </w:pPr>
          </w:p>
        </w:tc>
        <w:tc>
          <w:tcPr>
            <w:tcW w:w="1787" w:type="dxa"/>
            <w:vMerge w:val="restart"/>
            <w:shd w:val="clear" w:color="auto" w:fill="auto"/>
            <w:vAlign w:val="center"/>
          </w:tcPr>
          <w:p>
            <w:pPr>
              <w:jc w:val="center"/>
              <w:rPr>
                <w:color w:val="auto"/>
                <w:sz w:val="21"/>
                <w:szCs w:val="21"/>
              </w:rPr>
            </w:pPr>
            <w:r>
              <w:rPr>
                <w:color w:val="auto"/>
                <w:sz w:val="21"/>
                <w:szCs w:val="21"/>
              </w:rPr>
              <w:t>跟踪监测</w:t>
            </w:r>
          </w:p>
        </w:tc>
        <w:tc>
          <w:tcPr>
            <w:tcW w:w="1863" w:type="dxa"/>
            <w:gridSpan w:val="2"/>
            <w:shd w:val="clear" w:color="auto" w:fill="auto"/>
            <w:vAlign w:val="center"/>
          </w:tcPr>
          <w:p>
            <w:pPr>
              <w:jc w:val="center"/>
              <w:rPr>
                <w:color w:val="auto"/>
                <w:sz w:val="21"/>
                <w:szCs w:val="21"/>
              </w:rPr>
            </w:pPr>
            <w:r>
              <w:rPr>
                <w:color w:val="auto"/>
                <w:sz w:val="21"/>
                <w:szCs w:val="21"/>
              </w:rPr>
              <w:t>监测点数</w:t>
            </w:r>
          </w:p>
        </w:tc>
        <w:tc>
          <w:tcPr>
            <w:tcW w:w="1863" w:type="dxa"/>
            <w:gridSpan w:val="2"/>
            <w:shd w:val="clear" w:color="auto" w:fill="auto"/>
            <w:vAlign w:val="center"/>
          </w:tcPr>
          <w:p>
            <w:pPr>
              <w:jc w:val="center"/>
              <w:rPr>
                <w:color w:val="auto"/>
                <w:sz w:val="21"/>
                <w:szCs w:val="21"/>
              </w:rPr>
            </w:pPr>
            <w:r>
              <w:rPr>
                <w:color w:val="auto"/>
                <w:sz w:val="21"/>
                <w:szCs w:val="21"/>
              </w:rPr>
              <w:t>监测指标</w:t>
            </w:r>
          </w:p>
        </w:tc>
        <w:tc>
          <w:tcPr>
            <w:tcW w:w="2136" w:type="dxa"/>
            <w:gridSpan w:val="2"/>
            <w:shd w:val="clear" w:color="auto" w:fill="auto"/>
            <w:vAlign w:val="center"/>
          </w:tcPr>
          <w:p>
            <w:pPr>
              <w:jc w:val="center"/>
              <w:rPr>
                <w:color w:val="auto"/>
                <w:sz w:val="21"/>
                <w:szCs w:val="21"/>
              </w:rPr>
            </w:pPr>
            <w:r>
              <w:rPr>
                <w:color w:val="auto"/>
                <w:sz w:val="21"/>
                <w:szCs w:val="21"/>
              </w:rPr>
              <w:t>监测频次</w:t>
            </w:r>
          </w:p>
        </w:tc>
        <w:tc>
          <w:tcPr>
            <w:tcW w:w="1098" w:type="dxa"/>
            <w:vMerge w:val="restart"/>
            <w:shd w:val="clear" w:color="auto" w:fill="auto"/>
            <w:vAlign w:val="center"/>
          </w:tcPr>
          <w:p>
            <w:pPr>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5" w:hRule="atLeast"/>
        </w:trPr>
        <w:tc>
          <w:tcPr>
            <w:tcW w:w="540" w:type="dxa"/>
            <w:vMerge w:val="continue"/>
            <w:shd w:val="clear" w:color="auto" w:fill="auto"/>
            <w:vAlign w:val="center"/>
          </w:tcPr>
          <w:p>
            <w:pPr>
              <w:jc w:val="center"/>
              <w:rPr>
                <w:color w:val="auto"/>
                <w:sz w:val="21"/>
                <w:szCs w:val="21"/>
              </w:rPr>
            </w:pPr>
          </w:p>
        </w:tc>
        <w:tc>
          <w:tcPr>
            <w:tcW w:w="1787" w:type="dxa"/>
            <w:vMerge w:val="continue"/>
            <w:shd w:val="clear" w:color="auto" w:fill="auto"/>
            <w:vAlign w:val="center"/>
          </w:tcPr>
          <w:p>
            <w:pPr>
              <w:jc w:val="center"/>
              <w:rPr>
                <w:color w:val="auto"/>
                <w:sz w:val="21"/>
                <w:szCs w:val="21"/>
              </w:rPr>
            </w:pPr>
          </w:p>
        </w:tc>
        <w:tc>
          <w:tcPr>
            <w:tcW w:w="1863" w:type="dxa"/>
            <w:gridSpan w:val="2"/>
            <w:shd w:val="clear" w:color="auto" w:fill="auto"/>
            <w:vAlign w:val="center"/>
          </w:tcPr>
          <w:p>
            <w:pPr>
              <w:jc w:val="center"/>
              <w:rPr>
                <w:rFonts w:hint="eastAsia" w:eastAsia="宋体"/>
                <w:color w:val="auto"/>
                <w:sz w:val="21"/>
                <w:szCs w:val="21"/>
                <w:lang w:eastAsia="zh-CN"/>
              </w:rPr>
            </w:pPr>
            <w:r>
              <w:rPr>
                <w:rFonts w:hint="eastAsia"/>
                <w:color w:val="auto"/>
                <w:sz w:val="21"/>
                <w:szCs w:val="21"/>
                <w:lang w:val="en-US" w:eastAsia="zh-CN"/>
              </w:rPr>
              <w:t>5</w:t>
            </w:r>
          </w:p>
        </w:tc>
        <w:tc>
          <w:tcPr>
            <w:tcW w:w="1863" w:type="dxa"/>
            <w:gridSpan w:val="2"/>
            <w:shd w:val="clear" w:color="auto" w:fill="auto"/>
            <w:vAlign w:val="center"/>
          </w:tcPr>
          <w:p>
            <w:pPr>
              <w:jc w:val="center"/>
              <w:rPr>
                <w:color w:val="auto"/>
                <w:sz w:val="21"/>
                <w:szCs w:val="21"/>
              </w:rPr>
            </w:pPr>
            <w:r>
              <w:rPr>
                <w:color w:val="auto"/>
                <w:sz w:val="21"/>
                <w:szCs w:val="21"/>
              </w:rPr>
              <w:t>GB 36600中所有基本项</w:t>
            </w:r>
          </w:p>
        </w:tc>
        <w:tc>
          <w:tcPr>
            <w:tcW w:w="2136" w:type="dxa"/>
            <w:gridSpan w:val="2"/>
            <w:shd w:val="clear" w:color="auto" w:fill="auto"/>
            <w:vAlign w:val="center"/>
          </w:tcPr>
          <w:p>
            <w:pPr>
              <w:jc w:val="center"/>
              <w:rPr>
                <w:color w:val="auto"/>
                <w:sz w:val="21"/>
                <w:szCs w:val="21"/>
              </w:rPr>
            </w:pPr>
            <w:r>
              <w:rPr>
                <w:color w:val="auto"/>
                <w:sz w:val="21"/>
                <w:szCs w:val="21"/>
              </w:rPr>
              <w:t>5年1次</w:t>
            </w:r>
          </w:p>
        </w:tc>
        <w:tc>
          <w:tcPr>
            <w:tcW w:w="1098" w:type="dxa"/>
            <w:vMerge w:val="continue"/>
            <w:shd w:val="clear" w:color="auto" w:fill="auto"/>
            <w:vAlign w:val="center"/>
          </w:tcPr>
          <w:p>
            <w:pPr>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40" w:type="dxa"/>
            <w:vMerge w:val="continue"/>
            <w:shd w:val="clear" w:color="auto" w:fill="auto"/>
            <w:vAlign w:val="center"/>
          </w:tcPr>
          <w:p>
            <w:pPr>
              <w:jc w:val="center"/>
              <w:rPr>
                <w:color w:val="auto"/>
                <w:sz w:val="21"/>
                <w:szCs w:val="21"/>
              </w:rPr>
            </w:pPr>
          </w:p>
        </w:tc>
        <w:tc>
          <w:tcPr>
            <w:tcW w:w="1787" w:type="dxa"/>
            <w:shd w:val="clear" w:color="auto" w:fill="auto"/>
            <w:vAlign w:val="center"/>
          </w:tcPr>
          <w:p>
            <w:pPr>
              <w:jc w:val="center"/>
              <w:rPr>
                <w:color w:val="auto"/>
                <w:sz w:val="21"/>
                <w:szCs w:val="21"/>
              </w:rPr>
            </w:pPr>
            <w:r>
              <w:rPr>
                <w:color w:val="auto"/>
                <w:sz w:val="21"/>
                <w:szCs w:val="21"/>
              </w:rPr>
              <w:t>信息公开指标</w:t>
            </w:r>
          </w:p>
        </w:tc>
        <w:tc>
          <w:tcPr>
            <w:tcW w:w="5862" w:type="dxa"/>
            <w:gridSpan w:val="6"/>
            <w:shd w:val="clear" w:color="auto" w:fill="auto"/>
            <w:vAlign w:val="center"/>
          </w:tcPr>
          <w:p>
            <w:pPr>
              <w:rPr>
                <w:color w:val="auto"/>
                <w:sz w:val="21"/>
                <w:szCs w:val="21"/>
              </w:rPr>
            </w:pPr>
          </w:p>
        </w:tc>
        <w:tc>
          <w:tcPr>
            <w:tcW w:w="1098" w:type="dxa"/>
            <w:shd w:val="clear" w:color="auto" w:fill="auto"/>
            <w:vAlign w:val="center"/>
          </w:tcPr>
          <w:p>
            <w:pPr>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327" w:type="dxa"/>
            <w:gridSpan w:val="2"/>
            <w:tcBorders>
              <w:bottom w:val="single" w:color="auto" w:sz="12" w:space="0"/>
            </w:tcBorders>
            <w:shd w:val="clear" w:color="auto" w:fill="auto"/>
            <w:vAlign w:val="center"/>
          </w:tcPr>
          <w:p>
            <w:pPr>
              <w:jc w:val="center"/>
              <w:rPr>
                <w:color w:val="auto"/>
                <w:sz w:val="21"/>
                <w:szCs w:val="21"/>
              </w:rPr>
            </w:pPr>
            <w:r>
              <w:rPr>
                <w:color w:val="auto"/>
                <w:sz w:val="21"/>
                <w:szCs w:val="21"/>
              </w:rPr>
              <w:t>评价结论</w:t>
            </w:r>
          </w:p>
        </w:tc>
        <w:tc>
          <w:tcPr>
            <w:tcW w:w="5862" w:type="dxa"/>
            <w:gridSpan w:val="6"/>
            <w:tcBorders>
              <w:bottom w:val="single" w:color="auto" w:sz="12" w:space="0"/>
            </w:tcBorders>
            <w:shd w:val="clear" w:color="auto" w:fill="auto"/>
            <w:vAlign w:val="center"/>
          </w:tcPr>
          <w:p>
            <w:pPr>
              <w:rPr>
                <w:color w:val="auto"/>
                <w:sz w:val="21"/>
                <w:szCs w:val="21"/>
              </w:rPr>
            </w:pPr>
            <w:r>
              <w:rPr>
                <w:rFonts w:hint="eastAsia"/>
                <w:color w:val="auto"/>
                <w:sz w:val="21"/>
                <w:szCs w:val="21"/>
              </w:rPr>
              <w:t>建设</w:t>
            </w:r>
            <w:r>
              <w:rPr>
                <w:color w:val="auto"/>
                <w:sz w:val="21"/>
                <w:szCs w:val="21"/>
              </w:rPr>
              <w:t>项目土壤</w:t>
            </w:r>
            <w:r>
              <w:rPr>
                <w:rFonts w:hint="eastAsia"/>
                <w:color w:val="auto"/>
                <w:sz w:val="21"/>
                <w:szCs w:val="21"/>
              </w:rPr>
              <w:t>环境影响可接受</w:t>
            </w:r>
          </w:p>
        </w:tc>
        <w:tc>
          <w:tcPr>
            <w:tcW w:w="1098" w:type="dxa"/>
            <w:tcBorders>
              <w:bottom w:val="single" w:color="auto" w:sz="12" w:space="0"/>
            </w:tcBorders>
            <w:shd w:val="clear" w:color="auto" w:fill="auto"/>
            <w:vAlign w:val="center"/>
          </w:tcPr>
          <w:p>
            <w:pPr>
              <w:jc w:val="center"/>
              <w:rPr>
                <w:color w:val="auto"/>
                <w:sz w:val="21"/>
                <w:szCs w:val="21"/>
              </w:rPr>
            </w:pPr>
          </w:p>
        </w:tc>
      </w:tr>
    </w:tbl>
    <w:p>
      <w:pPr>
        <w:pStyle w:val="4"/>
        <w:numPr>
          <w:ilvl w:val="0"/>
          <w:numId w:val="0"/>
        </w:numPr>
        <w:tabs>
          <w:tab w:val="clear" w:pos="680"/>
        </w:tabs>
        <w:adjustRightInd w:val="0"/>
        <w:snapToGrid w:val="0"/>
        <w:ind w:left="720" w:right="240" w:hanging="720"/>
        <w:rPr>
          <w:b/>
          <w:color w:val="auto"/>
          <w:szCs w:val="24"/>
        </w:rPr>
      </w:pPr>
      <w:bookmarkStart w:id="677" w:name="_Toc4703"/>
      <w:bookmarkStart w:id="678" w:name="_Toc24136823"/>
      <w:bookmarkStart w:id="679" w:name="_Toc14946912"/>
      <w:bookmarkStart w:id="680" w:name="_Toc34234742"/>
      <w:bookmarkStart w:id="681" w:name="_Toc15912204"/>
      <w:r>
        <w:rPr>
          <w:rFonts w:hint="eastAsia"/>
          <w:b/>
          <w:color w:val="auto"/>
          <w:szCs w:val="24"/>
        </w:rPr>
        <w:t>5</w:t>
      </w:r>
      <w:r>
        <w:rPr>
          <w:b/>
          <w:color w:val="auto"/>
          <w:szCs w:val="24"/>
        </w:rPr>
        <w:t>.2.7垃圾收运过程中环境影响分析</w:t>
      </w:r>
      <w:bookmarkEnd w:id="677"/>
      <w:bookmarkEnd w:id="678"/>
      <w:bookmarkEnd w:id="679"/>
      <w:bookmarkEnd w:id="680"/>
      <w:bookmarkEnd w:id="681"/>
    </w:p>
    <w:p>
      <w:pPr>
        <w:autoSpaceDE w:val="0"/>
        <w:autoSpaceDN w:val="0"/>
        <w:adjustRightInd w:val="0"/>
        <w:spacing w:line="360" w:lineRule="auto"/>
        <w:jc w:val="both"/>
        <w:rPr>
          <w:b/>
          <w:color w:val="auto"/>
        </w:rPr>
      </w:pPr>
      <w:r>
        <w:rPr>
          <w:rFonts w:hint="eastAsia"/>
          <w:b/>
          <w:color w:val="auto"/>
        </w:rPr>
        <w:t>5.2.7.1 收运路线</w:t>
      </w:r>
    </w:p>
    <w:p>
      <w:pPr>
        <w:autoSpaceDE w:val="0"/>
        <w:autoSpaceDN w:val="0"/>
        <w:adjustRightInd w:val="0"/>
        <w:spacing w:line="360" w:lineRule="auto"/>
        <w:ind w:firstLine="480" w:firstLineChars="200"/>
        <w:jc w:val="both"/>
        <w:rPr>
          <w:color w:val="auto"/>
          <w:kern w:val="0"/>
        </w:rPr>
      </w:pPr>
      <w:r>
        <w:rPr>
          <w:color w:val="auto"/>
        </w:rPr>
        <w:t>本项目</w:t>
      </w:r>
      <w:r>
        <w:rPr>
          <w:rFonts w:hint="eastAsia"/>
          <w:color w:val="auto"/>
        </w:rPr>
        <w:t>餐厨垃圾和建筑</w:t>
      </w:r>
      <w:r>
        <w:rPr>
          <w:color w:val="auto"/>
        </w:rPr>
        <w:t>垃圾运输线路主要采用省道、国道运输。运输路线详见</w:t>
      </w:r>
      <w:r>
        <w:rPr>
          <w:rFonts w:hint="eastAsia"/>
          <w:color w:val="auto"/>
        </w:rPr>
        <w:t>下图</w:t>
      </w:r>
      <w:r>
        <w:rPr>
          <w:color w:val="auto"/>
        </w:rPr>
        <w:t>。</w:t>
      </w:r>
    </w:p>
    <w:p>
      <w:pPr>
        <w:spacing w:line="360" w:lineRule="auto"/>
        <w:ind w:firstLine="482"/>
        <w:jc w:val="both"/>
        <w:rPr>
          <w:color w:val="auto"/>
        </w:rPr>
      </w:pPr>
      <w:r>
        <w:rPr>
          <w:rFonts w:hint="eastAsia"/>
          <w:color w:val="auto"/>
        </w:rPr>
        <w:t>在厂外由环卫系统负责收集，</w:t>
      </w:r>
      <w:r>
        <w:rPr>
          <w:color w:val="auto"/>
          <w:kern w:val="0"/>
        </w:rPr>
        <w:t>所有运送</w:t>
      </w:r>
      <w:r>
        <w:rPr>
          <w:rFonts w:hint="eastAsia"/>
          <w:color w:val="auto"/>
          <w:kern w:val="0"/>
        </w:rPr>
        <w:t>餐厨</w:t>
      </w:r>
      <w:r>
        <w:rPr>
          <w:color w:val="auto"/>
          <w:kern w:val="0"/>
        </w:rPr>
        <w:t>垃圾的运输车全部采用带有防治垃圾渗滤液的滴漏措施封闭式自卸垃圾车和压缩式自卸垃圾车运输进厂</w:t>
      </w:r>
      <w:r>
        <w:rPr>
          <w:rFonts w:hint="eastAsia"/>
          <w:color w:val="auto"/>
        </w:rPr>
        <w:t>，在进厂时垃圾经过称重和自动计量后，将餐厨垃圾卸至接料斗内。</w:t>
      </w:r>
    </w:p>
    <w:p>
      <w:pPr>
        <w:spacing w:line="360" w:lineRule="auto"/>
        <w:ind w:firstLine="480" w:firstLineChars="200"/>
        <w:rPr>
          <w:color w:val="auto"/>
        </w:rPr>
      </w:pPr>
      <w:r>
        <w:rPr>
          <w:rFonts w:hint="eastAsia"/>
          <w:color w:val="auto"/>
        </w:rPr>
        <w:t>建筑垃圾</w:t>
      </w:r>
      <w:r>
        <w:rPr>
          <w:color w:val="auto"/>
        </w:rPr>
        <w:t>运输车辆</w:t>
      </w:r>
      <w:r>
        <w:rPr>
          <w:rFonts w:hint="eastAsia"/>
          <w:color w:val="auto"/>
        </w:rPr>
        <w:t>避免</w:t>
      </w:r>
      <w:r>
        <w:rPr>
          <w:color w:val="auto"/>
        </w:rPr>
        <w:t>装载过满，并采取遮盖、密闭措施，减少其沿途抛洒，并及时清扫散落在路面的泥土和灰尘，冲洗轮胎，定时洒水压尘，减少运输过程中的扬尘。</w:t>
      </w:r>
    </w:p>
    <w:p>
      <w:pPr>
        <w:autoSpaceDE w:val="0"/>
        <w:autoSpaceDN w:val="0"/>
        <w:adjustRightInd w:val="0"/>
        <w:spacing w:line="360" w:lineRule="auto"/>
        <w:ind w:firstLine="480" w:firstLineChars="200"/>
        <w:jc w:val="both"/>
        <w:rPr>
          <w:color w:val="auto"/>
          <w:kern w:val="0"/>
        </w:rPr>
      </w:pPr>
      <w:r>
        <w:rPr>
          <w:rFonts w:hint="eastAsia"/>
          <w:color w:val="auto"/>
          <w:kern w:val="0"/>
        </w:rPr>
        <w:t>餐厨垃圾和建筑垃圾</w:t>
      </w:r>
      <w:r>
        <w:rPr>
          <w:color w:val="auto"/>
          <w:kern w:val="0"/>
        </w:rPr>
        <w:t>运输主要由城市路网承担，在</w:t>
      </w:r>
      <w:r>
        <w:rPr>
          <w:rFonts w:hint="eastAsia"/>
          <w:color w:val="auto"/>
          <w:kern w:val="0"/>
        </w:rPr>
        <w:t>各</w:t>
      </w:r>
      <w:r>
        <w:rPr>
          <w:color w:val="auto"/>
          <w:kern w:val="0"/>
        </w:rPr>
        <w:t>镇中转站的垃圾主要由省道和乡村道路承担。由于城市道路路面较宽、路况较好，马路两边主要以商业、办公为主，而垃圾运输沿途主要有散落的村庄等敏感目标。</w:t>
      </w:r>
      <w:r>
        <w:rPr>
          <w:rFonts w:hint="eastAsia"/>
          <w:color w:val="auto"/>
          <w:kern w:val="0"/>
        </w:rPr>
        <w:t>建议运输路线本着路线合理、分片收运的原则，最大限度地利用运输工具，节约运营成本，并且结合兴宁实际情况，兼顾安全性和经济性，尽量避开居民集中区、水源保护区等敏感区域和交通拥堵道路，应错开上下班高峰期。经对运输距离、顺序、时间等交通因素深入分析后确定收集路线。目前兴宁各镇公路可保证全天候畅通，但运输道路无成环条件，可原路往返运输。</w:t>
      </w:r>
    </w:p>
    <w:p>
      <w:pPr>
        <w:autoSpaceDE w:val="0"/>
        <w:autoSpaceDN w:val="0"/>
        <w:adjustRightInd w:val="0"/>
        <w:spacing w:line="360" w:lineRule="auto"/>
        <w:ind w:firstLine="480" w:firstLineChars="200"/>
        <w:jc w:val="both"/>
        <w:rPr>
          <w:color w:val="auto"/>
          <w:kern w:val="0"/>
        </w:rPr>
      </w:pPr>
      <w:r>
        <w:rPr>
          <w:rFonts w:hint="eastAsia"/>
          <w:color w:val="auto"/>
          <w:kern w:val="0"/>
        </w:rPr>
        <w:t>综上，垃圾车运输过程不会给沿线交通带来明显影响。同时考虑规定垃圾运输车量的运输时间，错开高峰运输。因此从垃圾运输路线来看，该项目的运输条件是可以得到保证的。</w:t>
      </w:r>
    </w:p>
    <w:p>
      <w:pPr>
        <w:autoSpaceDE w:val="0"/>
        <w:autoSpaceDN w:val="0"/>
        <w:adjustRightInd w:val="0"/>
        <w:spacing w:line="360" w:lineRule="auto"/>
        <w:ind w:firstLine="480" w:firstLineChars="200"/>
        <w:jc w:val="both"/>
        <w:rPr>
          <w:color w:val="auto"/>
          <w:kern w:val="0"/>
        </w:rPr>
      </w:pPr>
      <w:r>
        <w:rPr>
          <w:rFonts w:hint="eastAsia"/>
          <w:color w:val="auto"/>
          <w:kern w:val="0"/>
        </w:rPr>
        <w:t>兴宁将不断的改进垃圾车辆的密封性能，并注意检查、维护运输车辆，对有渗漏的车辆必须强制淘汰，以保护各乡镇及</w:t>
      </w:r>
      <w:r>
        <w:rPr>
          <w:color w:val="auto"/>
          <w:kern w:val="0"/>
        </w:rPr>
        <w:t>中心城区</w:t>
      </w:r>
      <w:r>
        <w:rPr>
          <w:rFonts w:hint="eastAsia"/>
          <w:color w:val="auto"/>
          <w:kern w:val="0"/>
        </w:rPr>
        <w:t>的市容卫生环境和周围群众的出行安全。</w:t>
      </w:r>
    </w:p>
    <w:p>
      <w:pPr>
        <w:autoSpaceDE w:val="0"/>
        <w:autoSpaceDN w:val="0"/>
        <w:adjustRightInd w:val="0"/>
        <w:spacing w:line="360" w:lineRule="auto"/>
        <w:jc w:val="center"/>
        <w:rPr>
          <w:color w:val="auto"/>
          <w:kern w:val="0"/>
        </w:rPr>
      </w:pPr>
    </w:p>
    <w:p>
      <w:pPr>
        <w:autoSpaceDE w:val="0"/>
        <w:autoSpaceDN w:val="0"/>
        <w:adjustRightInd w:val="0"/>
        <w:spacing w:line="360" w:lineRule="auto"/>
        <w:jc w:val="center"/>
        <w:rPr>
          <w:b/>
          <w:color w:val="auto"/>
        </w:rPr>
        <w:sectPr>
          <w:pgSz w:w="11906" w:h="16838"/>
          <w:pgMar w:top="1134" w:right="1134" w:bottom="1134" w:left="1701" w:header="709" w:footer="964" w:gutter="0"/>
          <w:pgNumType w:fmt="decimal"/>
          <w:cols w:space="720" w:num="1"/>
          <w:docGrid w:linePitch="312" w:charSpace="0"/>
        </w:sectPr>
      </w:pPr>
    </w:p>
    <w:p>
      <w:pPr>
        <w:autoSpaceDE w:val="0"/>
        <w:autoSpaceDN w:val="0"/>
        <w:adjustRightInd w:val="0"/>
        <w:spacing w:line="360" w:lineRule="auto"/>
        <w:jc w:val="center"/>
        <w:rPr>
          <w:color w:val="auto"/>
          <w:kern w:val="0"/>
        </w:rPr>
      </w:pPr>
    </w:p>
    <w:p>
      <w:pPr>
        <w:tabs>
          <w:tab w:val="left" w:pos="0"/>
        </w:tabs>
        <w:adjustRightInd w:val="0"/>
        <w:snapToGrid w:val="0"/>
        <w:spacing w:line="360" w:lineRule="auto"/>
        <w:jc w:val="center"/>
        <w:rPr>
          <w:b/>
          <w:color w:val="auto"/>
        </w:rPr>
      </w:pPr>
      <w:r>
        <w:rPr>
          <w:color w:val="auto"/>
        </w:rPr>
        <mc:AlternateContent>
          <mc:Choice Requires="wps">
            <w:drawing>
              <wp:anchor distT="0" distB="0" distL="114300" distR="114300" simplePos="0" relativeHeight="251704320" behindDoc="0" locked="0" layoutInCell="1" allowOverlap="1">
                <wp:simplePos x="0" y="0"/>
                <wp:positionH relativeFrom="column">
                  <wp:posOffset>7305040</wp:posOffset>
                </wp:positionH>
                <wp:positionV relativeFrom="paragraph">
                  <wp:posOffset>4511040</wp:posOffset>
                </wp:positionV>
                <wp:extent cx="310515" cy="0"/>
                <wp:effectExtent l="0" t="19050" r="13335" b="19050"/>
                <wp:wrapNone/>
                <wp:docPr id="309" name="直接连接符 309"/>
                <wp:cNvGraphicFramePr/>
                <a:graphic xmlns:a="http://schemas.openxmlformats.org/drawingml/2006/main">
                  <a:graphicData uri="http://schemas.microsoft.com/office/word/2010/wordprocessingShape">
                    <wps:wsp>
                      <wps:cNvCnPr/>
                      <wps:spPr>
                        <a:xfrm>
                          <a:off x="0" y="0"/>
                          <a:ext cx="310515" cy="0"/>
                        </a:xfrm>
                        <a:prstGeom prst="line">
                          <a:avLst/>
                        </a:prstGeom>
                        <a:ln w="317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75.2pt;margin-top:355.2pt;height:0pt;width:24.45pt;z-index:251704320;mso-width-relative:page;mso-height-relative:page;" filled="f" stroked="t" coordsize="21600,21600" o:gfxdata="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HVohtoAAAANAQAADwAAAAAAAAABACAAAAAiAAAAZHJzL2Rvd25yZXYu&#10;eG1sUEsBAhQAFAAAAAgAh07iQEFwaYLAAQAAUAMAAA4AAAAAAAAAAQAgAAAAKQEAAGRycy9lMm9E&#10;b2MueG1sUEsFBgAAAAAGAAYAWQEAAFsFAAAAAA==&#10;">
                <v:fill on="f" focussize="0,0"/>
                <v:stroke weight="2.5pt" color="#FF0000 [3204]" joinstyle="round"/>
                <v:imagedata o:title=""/>
                <o:lock v:ext="edit" aspectratio="f"/>
              </v:line>
            </w:pict>
          </mc:Fallback>
        </mc:AlternateContent>
      </w:r>
      <w:r>
        <w:rPr>
          <w:color w:val="auto"/>
        </w:rPr>
        <mc:AlternateContent>
          <mc:Choice Requires="wps">
            <w:drawing>
              <wp:anchor distT="0" distB="0" distL="114300" distR="114300" simplePos="0" relativeHeight="251702272" behindDoc="0" locked="0" layoutInCell="1" allowOverlap="1">
                <wp:simplePos x="0" y="0"/>
                <wp:positionH relativeFrom="column">
                  <wp:posOffset>7252335</wp:posOffset>
                </wp:positionH>
                <wp:positionV relativeFrom="paragraph">
                  <wp:posOffset>3886200</wp:posOffset>
                </wp:positionV>
                <wp:extent cx="1045210" cy="1021715"/>
                <wp:effectExtent l="0" t="0" r="21590" b="26035"/>
                <wp:wrapNone/>
                <wp:docPr id="306" name="文本框 306"/>
                <wp:cNvGraphicFramePr/>
                <a:graphic xmlns:a="http://schemas.openxmlformats.org/drawingml/2006/main">
                  <a:graphicData uri="http://schemas.microsoft.com/office/word/2010/wordprocessingShape">
                    <wps:wsp>
                      <wps:cNvSpPr txBox="1"/>
                      <wps:spPr>
                        <a:xfrm>
                          <a:off x="0" y="0"/>
                          <a:ext cx="1045210" cy="1021715"/>
                        </a:xfrm>
                        <a:prstGeom prst="rect">
                          <a:avLst/>
                        </a:prstGeom>
                        <a:solidFill>
                          <a:schemeClr val="lt1"/>
                        </a:solidFill>
                        <a:ln w="6350">
                          <a:solidFill>
                            <a:prstClr val="black"/>
                          </a:solidFill>
                        </a:ln>
                      </wps:spPr>
                      <wps:txbx>
                        <w:txbxContent>
                          <w:p>
                            <w:pPr>
                              <w:jc w:val="center"/>
                              <w:rPr>
                                <w:b/>
                                <w:bCs/>
                                <w:sz w:val="21"/>
                                <w:szCs w:val="21"/>
                              </w:rPr>
                            </w:pPr>
                            <w:r>
                              <w:rPr>
                                <w:rFonts w:hint="eastAsia"/>
                                <w:b/>
                                <w:bCs/>
                                <w:sz w:val="21"/>
                                <w:szCs w:val="21"/>
                              </w:rPr>
                              <w:t>图 例</w:t>
                            </w:r>
                          </w:p>
                          <w:p>
                            <w:pPr>
                              <w:jc w:val="center"/>
                              <w:rPr>
                                <w:b/>
                                <w:bCs/>
                                <w:sz w:val="21"/>
                                <w:szCs w:val="21"/>
                              </w:rPr>
                            </w:pPr>
                          </w:p>
                          <w:p>
                            <w:pPr>
                              <w:jc w:val="center"/>
                              <w:rPr>
                                <w:sz w:val="21"/>
                                <w:szCs w:val="21"/>
                              </w:rPr>
                            </w:pPr>
                          </w:p>
                          <w:p>
                            <w:pPr>
                              <w:jc w:val="center"/>
                              <w:rPr>
                                <w:sz w:val="21"/>
                                <w:szCs w:val="21"/>
                              </w:rPr>
                            </w:pPr>
                            <w:r>
                              <w:rPr>
                                <w:rFonts w:hint="eastAsia"/>
                                <w:sz w:val="21"/>
                                <w:szCs w:val="21"/>
                              </w:rPr>
                              <w:t xml:space="preserve"> </w:t>
                            </w:r>
                            <w:r>
                              <w:rPr>
                                <w:sz w:val="21"/>
                                <w:szCs w:val="21"/>
                              </w:rPr>
                              <w:t xml:space="preserve">   </w:t>
                            </w:r>
                            <w:r>
                              <w:rPr>
                                <w:rFonts w:hint="eastAsia"/>
                                <w:sz w:val="21"/>
                                <w:szCs w:val="21"/>
                              </w:rPr>
                              <w:t>运输线路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1.05pt;margin-top:306pt;height:80.45pt;width:82.3pt;z-index:251702272;mso-width-relative:page;mso-height-relative:page;" fillcolor="#FFFFFF [3201]" filled="t" stroked="t" coordsize="21600,21600" o:gfxdata="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&#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qRR8vYAAAADQEAAA8AAAAAAAAAAQAgAAAAIgAAAGRy&#10;cy9kb3ducmV2LnhtbFBLAQIUABQAAAAIAIdO4kCv5FThPgIAAG4EAAAOAAAAAAAAAAEAIAAAACcB&#10;AABkcnMvZTJvRG9jLnhtbFBLBQYAAAAABgAGAFkBAADXBQAAAAA=&#10;">
                <v:fill on="t" focussize="0,0"/>
                <v:stroke weight="0.5pt" color="#000000" joinstyle="round"/>
                <v:imagedata o:title=""/>
                <o:lock v:ext="edit" aspectratio="f"/>
                <v:textbox>
                  <w:txbxContent>
                    <w:p>
                      <w:pPr>
                        <w:jc w:val="center"/>
                        <w:rPr>
                          <w:b/>
                          <w:bCs/>
                          <w:sz w:val="21"/>
                          <w:szCs w:val="21"/>
                        </w:rPr>
                      </w:pPr>
                      <w:r>
                        <w:rPr>
                          <w:rFonts w:hint="eastAsia"/>
                          <w:b/>
                          <w:bCs/>
                          <w:sz w:val="21"/>
                          <w:szCs w:val="21"/>
                        </w:rPr>
                        <w:t>图 例</w:t>
                      </w:r>
                    </w:p>
                    <w:p>
                      <w:pPr>
                        <w:jc w:val="center"/>
                        <w:rPr>
                          <w:b/>
                          <w:bCs/>
                          <w:sz w:val="21"/>
                          <w:szCs w:val="21"/>
                        </w:rPr>
                      </w:pPr>
                    </w:p>
                    <w:p>
                      <w:pPr>
                        <w:jc w:val="center"/>
                        <w:rPr>
                          <w:sz w:val="21"/>
                          <w:szCs w:val="21"/>
                        </w:rPr>
                      </w:pPr>
                    </w:p>
                    <w:p>
                      <w:pPr>
                        <w:jc w:val="center"/>
                        <w:rPr>
                          <w:sz w:val="21"/>
                          <w:szCs w:val="21"/>
                        </w:rPr>
                      </w:pPr>
                      <w:r>
                        <w:rPr>
                          <w:rFonts w:hint="eastAsia"/>
                          <w:sz w:val="21"/>
                          <w:szCs w:val="21"/>
                        </w:rPr>
                        <w:t xml:space="preserve"> </w:t>
                      </w:r>
                      <w:r>
                        <w:rPr>
                          <w:sz w:val="21"/>
                          <w:szCs w:val="21"/>
                        </w:rPr>
                        <w:t xml:space="preserve">   </w:t>
                      </w:r>
                      <w:r>
                        <w:rPr>
                          <w:rFonts w:hint="eastAsia"/>
                          <w:sz w:val="21"/>
                          <w:szCs w:val="21"/>
                        </w:rPr>
                        <w:t>运输线路</w:t>
                      </w:r>
                    </w:p>
                  </w:txbxContent>
                </v:textbox>
              </v:shape>
            </w:pict>
          </mc:Fallback>
        </mc:AlternateContent>
      </w:r>
      <w:r>
        <w:rPr>
          <w:color w:val="auto"/>
        </w:rPr>
        <mc:AlternateContent>
          <mc:Choice Requires="wps">
            <w:drawing>
              <wp:anchor distT="0" distB="0" distL="114300" distR="114300" simplePos="0" relativeHeight="251700224" behindDoc="0" locked="0" layoutInCell="1" allowOverlap="1">
                <wp:simplePos x="0" y="0"/>
                <wp:positionH relativeFrom="column">
                  <wp:posOffset>1356360</wp:posOffset>
                </wp:positionH>
                <wp:positionV relativeFrom="paragraph">
                  <wp:posOffset>3308350</wp:posOffset>
                </wp:positionV>
                <wp:extent cx="838200" cy="292100"/>
                <wp:effectExtent l="323850" t="95250" r="19050" b="12700"/>
                <wp:wrapNone/>
                <wp:docPr id="388" name="对话气泡: 矩形 388"/>
                <wp:cNvGraphicFramePr/>
                <a:graphic xmlns:a="http://schemas.openxmlformats.org/drawingml/2006/main">
                  <a:graphicData uri="http://schemas.microsoft.com/office/word/2010/wordprocessingShape">
                    <wps:wsp>
                      <wps:cNvSpPr/>
                      <wps:spPr>
                        <a:xfrm>
                          <a:off x="0" y="0"/>
                          <a:ext cx="838200" cy="292100"/>
                        </a:xfrm>
                        <a:prstGeom prst="wedgeRectCallout">
                          <a:avLst>
                            <a:gd name="adj1" fmla="val -88257"/>
                            <a:gd name="adj2" fmla="val -82757"/>
                          </a:avLst>
                        </a:prstGeom>
                        <a:noFill/>
                        <a:ln w="127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rPr>
                            </w:pPr>
                            <w:r>
                              <w:rPr>
                                <w:rFonts w:hint="eastAsia"/>
                                <w:b/>
                                <w:bCs/>
                                <w:color w:val="0070C0"/>
                              </w:rPr>
                              <w:t>项目位置</w:t>
                            </w:r>
                            <w:r>
                              <w:rPr>
                                <w:b/>
                                <w:bCs/>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88" o:spid="_x0000_s1026" o:spt="61" type="#_x0000_t61" style="position:absolute;left:0pt;margin-left:106.8pt;margin-top:260.5pt;height:23pt;width:66pt;z-index:251700224;v-text-anchor:middle;mso-width-relative:page;mso-height-relative:page;" filled="f" stroked="t" coordsize="21600,21600" o:gfxdata="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4aHgGNgAAAALAQAA&#10;DwAAAAAAAAABACAAAAAiAAAAZHJzL2Rvd25yZXYueG1sUEsBAhQAFAAAAAgAh07iQEZf0peLAgAA&#10;4QQAAA4AAAAAAAAAAQAgAAAAJwEAAGRycy9lMm9Eb2MueG1sUEsFBgAAAAAGAAYAWQEAACQGAAAA&#10;AA==&#10;" adj="-8264,-7076">
                <v:fill on="f" focussize="0,0"/>
                <v:stroke weight="1pt" color="#0070C0 [3204]" joinstyle="round"/>
                <v:imagedata o:title=""/>
                <o:lock v:ext="edit" aspectratio="f"/>
                <v:textbox>
                  <w:txbxContent>
                    <w:p>
                      <w:pPr>
                        <w:jc w:val="center"/>
                        <w:rPr>
                          <w:b/>
                          <w:bCs/>
                        </w:rPr>
                      </w:pPr>
                      <w:r>
                        <w:rPr>
                          <w:rFonts w:hint="eastAsia"/>
                          <w:b/>
                          <w:bCs/>
                          <w:color w:val="0070C0"/>
                        </w:rPr>
                        <w:t>项目位置</w:t>
                      </w:r>
                      <w:r>
                        <w:rPr>
                          <w:b/>
                          <w:bCs/>
                        </w:rPr>
                        <w:t xml:space="preserve"> </w:t>
                      </w:r>
                    </w:p>
                  </w:txbxContent>
                </v:textbox>
              </v:shape>
            </w:pict>
          </mc:Fallback>
        </mc:AlternateContent>
      </w:r>
      <w:r>
        <w:rPr>
          <w:color w:val="auto"/>
        </w:rPr>
        <mc:AlternateContent>
          <mc:Choice Requires="wps">
            <w:drawing>
              <wp:anchor distT="0" distB="0" distL="114300" distR="114300" simplePos="0" relativeHeight="251698176" behindDoc="0" locked="0" layoutInCell="1" allowOverlap="1">
                <wp:simplePos x="0" y="0"/>
                <wp:positionH relativeFrom="column">
                  <wp:posOffset>870585</wp:posOffset>
                </wp:positionH>
                <wp:positionV relativeFrom="paragraph">
                  <wp:posOffset>3095625</wp:posOffset>
                </wp:positionV>
                <wp:extent cx="152400" cy="152400"/>
                <wp:effectExtent l="19050" t="38100" r="38100" b="38100"/>
                <wp:wrapNone/>
                <wp:docPr id="1306" name="星形: 五角 1306"/>
                <wp:cNvGraphicFramePr/>
                <a:graphic xmlns:a="http://schemas.openxmlformats.org/drawingml/2006/main">
                  <a:graphicData uri="http://schemas.microsoft.com/office/word/2010/wordprocessingShape">
                    <wps:wsp>
                      <wps:cNvSpPr/>
                      <wps:spPr>
                        <a:xfrm>
                          <a:off x="0" y="0"/>
                          <a:ext cx="152400" cy="152400"/>
                        </a:xfrm>
                        <a:prstGeom prst="star5">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五角 1306" o:spid="_x0000_s1026" style="position:absolute;left:0pt;margin-left:68.55pt;margin-top:243.75pt;height:12pt;width:12pt;z-index:251698176;v-text-anchor:middle;mso-width-relative:page;mso-height-relative:page;" fillcolor="#0070C0" filled="t" stroked="t" coordsize="152400,152400" o:gfxdata="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YH/5WNUAAAALAQAADwAA&#10;AAAAAAABACAAAAAiAAAAZHJzL2Rvd25yZXYueG1sUEsBAhQAFAAAAAgAh07iQN6cfiVSAgAAnQQA&#10;AA4AAAAAAAAAAQAgAAAAJAEAAGRycy9lMm9Eb2MueG1sUEsFBgAAAAAGAAYAWQEAAOgFAAAAAA==&#10;" path="m0,58211l58211,58211,76200,0,94188,58211,152399,58211,105305,94187,123294,152399,76200,116422,29105,152399,47094,94187xe">
                <v:path o:connectlocs="76200,0;0,58211;29105,152399;123294,152399;152399,58211" o:connectangles="16200000,10800000,5400000,5400000,0"/>
                <v:fill on="t" focussize="0,0"/>
                <v:stroke weight="2pt" color="#0070C0 [3204]" joinstyle="round"/>
                <v:imagedata o:title=""/>
                <o:lock v:ext="edit" aspectratio="f"/>
              </v:shape>
            </w:pict>
          </mc:Fallback>
        </mc:AlternateContent>
      </w:r>
      <w:r>
        <w:rPr>
          <w:color w:val="auto"/>
        </w:rPr>
        <w:drawing>
          <wp:inline distT="0" distB="0" distL="0" distR="0">
            <wp:extent cx="8877300" cy="5003165"/>
            <wp:effectExtent l="0" t="0" r="0" b="698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17"/>
                    <a:stretch>
                      <a:fillRect/>
                    </a:stretch>
                  </pic:blipFill>
                  <pic:spPr>
                    <a:xfrm>
                      <a:off x="0" y="0"/>
                      <a:ext cx="8877602" cy="5003926"/>
                    </a:xfrm>
                    <a:prstGeom prst="rect">
                      <a:avLst/>
                    </a:prstGeom>
                  </pic:spPr>
                </pic:pic>
              </a:graphicData>
            </a:graphic>
          </wp:inline>
        </w:drawing>
      </w:r>
    </w:p>
    <w:p>
      <w:pPr>
        <w:spacing w:line="360" w:lineRule="auto"/>
        <w:jc w:val="center"/>
        <w:rPr>
          <w:b/>
          <w:color w:val="auto"/>
        </w:rPr>
      </w:pPr>
      <w:r>
        <w:rPr>
          <w:rFonts w:hint="eastAsia"/>
          <w:b/>
          <w:color w:val="auto"/>
        </w:rPr>
        <w:t>图</w:t>
      </w:r>
      <w:r>
        <w:rPr>
          <w:b/>
          <w:color w:val="auto"/>
        </w:rPr>
        <w:t>5.2-</w:t>
      </w:r>
      <w:r>
        <w:rPr>
          <w:rFonts w:hint="eastAsia"/>
          <w:b/>
          <w:color w:val="auto"/>
        </w:rPr>
        <w:t>5</w:t>
      </w:r>
      <w:r>
        <w:rPr>
          <w:b/>
          <w:color w:val="auto"/>
        </w:rPr>
        <w:t xml:space="preserve">  </w:t>
      </w:r>
      <w:r>
        <w:rPr>
          <w:rFonts w:hint="eastAsia"/>
          <w:b/>
          <w:color w:val="auto"/>
        </w:rPr>
        <w:t>餐厨垃圾运输线路图</w:t>
      </w:r>
    </w:p>
    <w:p>
      <w:pPr>
        <w:spacing w:line="360" w:lineRule="auto"/>
        <w:rPr>
          <w:b/>
          <w:color w:val="auto"/>
        </w:rPr>
      </w:pPr>
    </w:p>
    <w:p>
      <w:pPr>
        <w:spacing w:line="360" w:lineRule="auto"/>
        <w:rPr>
          <w:b/>
          <w:color w:val="auto"/>
        </w:rPr>
      </w:pPr>
      <w:r>
        <w:rPr>
          <w:color w:val="auto"/>
        </w:rPr>
        <mc:AlternateContent>
          <mc:Choice Requires="wps">
            <w:drawing>
              <wp:anchor distT="0" distB="0" distL="114300" distR="114300" simplePos="0" relativeHeight="251722752" behindDoc="0" locked="0" layoutInCell="1" allowOverlap="1">
                <wp:simplePos x="0" y="0"/>
                <wp:positionH relativeFrom="column">
                  <wp:posOffset>7895590</wp:posOffset>
                </wp:positionH>
                <wp:positionV relativeFrom="paragraph">
                  <wp:posOffset>4730115</wp:posOffset>
                </wp:positionV>
                <wp:extent cx="310515" cy="0"/>
                <wp:effectExtent l="0" t="19050" r="13335" b="19050"/>
                <wp:wrapNone/>
                <wp:docPr id="29" name="直接连接符 29"/>
                <wp:cNvGraphicFramePr/>
                <a:graphic xmlns:a="http://schemas.openxmlformats.org/drawingml/2006/main">
                  <a:graphicData uri="http://schemas.microsoft.com/office/word/2010/wordprocessingShape">
                    <wps:wsp>
                      <wps:cNvCnPr/>
                      <wps:spPr>
                        <a:xfrm>
                          <a:off x="0" y="0"/>
                          <a:ext cx="310515" cy="0"/>
                        </a:xfrm>
                        <a:prstGeom prst="line">
                          <a:avLst/>
                        </a:prstGeom>
                        <a:ln w="317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621.7pt;margin-top:372.45pt;height:0pt;width:24.45pt;z-index:251722752;mso-width-relative:page;mso-height-relative:page;" filled="f" stroked="t" coordsize="21600,21600" o:gfxdata="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OH+N1fZAAAADQEAAA8AAAAAAAAAAQAgAAAAIgAAAGRycy9kb3ducmV2Lnht&#10;bFBLAQIUABQAAAAIAIdO4kBhZpDKvwEAAE4DAAAOAAAAAAAAAAEAIAAAACgBAABkcnMvZTJvRG9j&#10;LnhtbFBLBQYAAAAABgAGAFkBAABZBQAAAAA=&#10;">
                <v:fill on="f" focussize="0,0"/>
                <v:stroke weight="2.5pt" color="#00B050 [3204]" joinstyle="round"/>
                <v:imagedata o:title=""/>
                <o:lock v:ext="edit" aspectratio="f"/>
              </v:line>
            </w:pict>
          </mc:Fallback>
        </mc:AlternateContent>
      </w:r>
      <w:r>
        <w:rPr>
          <w:color w:val="auto"/>
        </w:rPr>
        <mc:AlternateContent>
          <mc:Choice Requires="wps">
            <w:drawing>
              <wp:anchor distT="0" distB="0" distL="114300" distR="114300" simplePos="0" relativeHeight="251720704" behindDoc="0" locked="0" layoutInCell="1" allowOverlap="1">
                <wp:simplePos x="0" y="0"/>
                <wp:positionH relativeFrom="column">
                  <wp:posOffset>7854950</wp:posOffset>
                </wp:positionH>
                <wp:positionV relativeFrom="paragraph">
                  <wp:posOffset>4102735</wp:posOffset>
                </wp:positionV>
                <wp:extent cx="1045210" cy="1021715"/>
                <wp:effectExtent l="0" t="0" r="21590" b="26035"/>
                <wp:wrapNone/>
                <wp:docPr id="27" name="文本框 27"/>
                <wp:cNvGraphicFramePr/>
                <a:graphic xmlns:a="http://schemas.openxmlformats.org/drawingml/2006/main">
                  <a:graphicData uri="http://schemas.microsoft.com/office/word/2010/wordprocessingShape">
                    <wps:wsp>
                      <wps:cNvSpPr txBox="1"/>
                      <wps:spPr>
                        <a:xfrm>
                          <a:off x="0" y="0"/>
                          <a:ext cx="1045210" cy="1021715"/>
                        </a:xfrm>
                        <a:prstGeom prst="rect">
                          <a:avLst/>
                        </a:prstGeom>
                        <a:solidFill>
                          <a:schemeClr val="lt1"/>
                        </a:solidFill>
                        <a:ln w="6350">
                          <a:solidFill>
                            <a:prstClr val="black"/>
                          </a:solidFill>
                        </a:ln>
                      </wps:spPr>
                      <wps:txbx>
                        <w:txbxContent>
                          <w:p>
                            <w:pPr>
                              <w:jc w:val="center"/>
                              <w:rPr>
                                <w:b/>
                                <w:bCs/>
                                <w:sz w:val="21"/>
                                <w:szCs w:val="21"/>
                              </w:rPr>
                            </w:pPr>
                            <w:r>
                              <w:rPr>
                                <w:rFonts w:hint="eastAsia"/>
                                <w:b/>
                                <w:bCs/>
                                <w:sz w:val="21"/>
                                <w:szCs w:val="21"/>
                              </w:rPr>
                              <w:t>图 例</w:t>
                            </w:r>
                          </w:p>
                          <w:p>
                            <w:pPr>
                              <w:jc w:val="center"/>
                              <w:rPr>
                                <w:b/>
                                <w:bCs/>
                                <w:sz w:val="21"/>
                                <w:szCs w:val="21"/>
                              </w:rPr>
                            </w:pPr>
                          </w:p>
                          <w:p>
                            <w:pPr>
                              <w:jc w:val="center"/>
                              <w:rPr>
                                <w:sz w:val="21"/>
                                <w:szCs w:val="21"/>
                              </w:rPr>
                            </w:pPr>
                          </w:p>
                          <w:p>
                            <w:pPr>
                              <w:jc w:val="center"/>
                              <w:rPr>
                                <w:sz w:val="21"/>
                                <w:szCs w:val="21"/>
                              </w:rPr>
                            </w:pPr>
                            <w:r>
                              <w:rPr>
                                <w:rFonts w:hint="eastAsia"/>
                                <w:sz w:val="21"/>
                                <w:szCs w:val="21"/>
                              </w:rPr>
                              <w:t xml:space="preserve"> </w:t>
                            </w:r>
                            <w:r>
                              <w:rPr>
                                <w:sz w:val="21"/>
                                <w:szCs w:val="21"/>
                              </w:rPr>
                              <w:t xml:space="preserve">   </w:t>
                            </w:r>
                            <w:r>
                              <w:rPr>
                                <w:rFonts w:hint="eastAsia"/>
                                <w:sz w:val="21"/>
                                <w:szCs w:val="21"/>
                              </w:rPr>
                              <w:t>运输线路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8.5pt;margin-top:323.05pt;height:80.45pt;width:82.3pt;z-index:251720704;mso-width-relative:page;mso-height-relative:page;" fillcolor="#FFFFFF [3201]" filled="t" stroked="t" coordsize="21600,21600" o:gfxdata="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OJHIrNgAAAANAQAADwAAAAAAAAABACAAAAAiAAAAZHJz&#10;L2Rvd25yZXYueG1sUEsBAhQAFAAAAAgAh07iQIl/c+Q9AgAAbAQAAA4AAAAAAAAAAQAgAAAAJwEA&#10;AGRycy9lMm9Eb2MueG1sUEsFBgAAAAAGAAYAWQEAANYFAAAAAA==&#10;">
                <v:fill on="t" focussize="0,0"/>
                <v:stroke weight="0.5pt" color="#000000" joinstyle="round"/>
                <v:imagedata o:title=""/>
                <o:lock v:ext="edit" aspectratio="f"/>
                <v:textbox>
                  <w:txbxContent>
                    <w:p>
                      <w:pPr>
                        <w:jc w:val="center"/>
                        <w:rPr>
                          <w:b/>
                          <w:bCs/>
                          <w:sz w:val="21"/>
                          <w:szCs w:val="21"/>
                        </w:rPr>
                      </w:pPr>
                      <w:r>
                        <w:rPr>
                          <w:rFonts w:hint="eastAsia"/>
                          <w:b/>
                          <w:bCs/>
                          <w:sz w:val="21"/>
                          <w:szCs w:val="21"/>
                        </w:rPr>
                        <w:t>图 例</w:t>
                      </w:r>
                    </w:p>
                    <w:p>
                      <w:pPr>
                        <w:jc w:val="center"/>
                        <w:rPr>
                          <w:b/>
                          <w:bCs/>
                          <w:sz w:val="21"/>
                          <w:szCs w:val="21"/>
                        </w:rPr>
                      </w:pPr>
                    </w:p>
                    <w:p>
                      <w:pPr>
                        <w:jc w:val="center"/>
                        <w:rPr>
                          <w:sz w:val="21"/>
                          <w:szCs w:val="21"/>
                        </w:rPr>
                      </w:pPr>
                    </w:p>
                    <w:p>
                      <w:pPr>
                        <w:jc w:val="center"/>
                        <w:rPr>
                          <w:sz w:val="21"/>
                          <w:szCs w:val="21"/>
                        </w:rPr>
                      </w:pPr>
                      <w:r>
                        <w:rPr>
                          <w:rFonts w:hint="eastAsia"/>
                          <w:sz w:val="21"/>
                          <w:szCs w:val="21"/>
                        </w:rPr>
                        <w:t xml:space="preserve"> </w:t>
                      </w:r>
                      <w:r>
                        <w:rPr>
                          <w:sz w:val="21"/>
                          <w:szCs w:val="21"/>
                        </w:rPr>
                        <w:t xml:space="preserve">   </w:t>
                      </w:r>
                      <w:r>
                        <w:rPr>
                          <w:rFonts w:hint="eastAsia"/>
                          <w:sz w:val="21"/>
                          <w:szCs w:val="21"/>
                        </w:rPr>
                        <w:t>运输线路</w:t>
                      </w:r>
                    </w:p>
                  </w:txbxContent>
                </v:textbox>
              </v:shape>
            </w:pict>
          </mc:Fallback>
        </mc:AlternateContent>
      </w:r>
      <w:r>
        <w:rPr>
          <w:color w:val="auto"/>
        </w:rPr>
        <mc:AlternateContent>
          <mc:Choice Requires="wps">
            <w:drawing>
              <wp:anchor distT="0" distB="0" distL="114300" distR="114300" simplePos="0" relativeHeight="251718656" behindDoc="0" locked="0" layoutInCell="1" allowOverlap="1">
                <wp:simplePos x="0" y="0"/>
                <wp:positionH relativeFrom="column">
                  <wp:posOffset>1403985</wp:posOffset>
                </wp:positionH>
                <wp:positionV relativeFrom="paragraph">
                  <wp:posOffset>4003675</wp:posOffset>
                </wp:positionV>
                <wp:extent cx="838200" cy="292100"/>
                <wp:effectExtent l="323850" t="95250" r="19050" b="12700"/>
                <wp:wrapNone/>
                <wp:docPr id="25" name="对话气泡: 矩形 388"/>
                <wp:cNvGraphicFramePr/>
                <a:graphic xmlns:a="http://schemas.openxmlformats.org/drawingml/2006/main">
                  <a:graphicData uri="http://schemas.microsoft.com/office/word/2010/wordprocessingShape">
                    <wps:wsp>
                      <wps:cNvSpPr/>
                      <wps:spPr>
                        <a:xfrm>
                          <a:off x="0" y="0"/>
                          <a:ext cx="838200" cy="292100"/>
                        </a:xfrm>
                        <a:prstGeom prst="wedgeRectCallout">
                          <a:avLst>
                            <a:gd name="adj1" fmla="val -88257"/>
                            <a:gd name="adj2" fmla="val -82757"/>
                          </a:avLst>
                        </a:prstGeom>
                        <a:noFill/>
                        <a:ln w="127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rPr>
                            </w:pPr>
                            <w:r>
                              <w:rPr>
                                <w:rFonts w:hint="eastAsia"/>
                                <w:b/>
                                <w:bCs/>
                                <w:color w:val="0070C0"/>
                              </w:rPr>
                              <w:t>项目位置</w:t>
                            </w:r>
                            <w:r>
                              <w:rPr>
                                <w:b/>
                                <w:bCs/>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88" o:spid="_x0000_s1026" o:spt="61" type="#_x0000_t61" style="position:absolute;left:0pt;margin-left:110.55pt;margin-top:315.25pt;height:23pt;width:66pt;z-index:251718656;v-text-anchor:middle;mso-width-relative:page;mso-height-relative:page;" filled="f" stroked="t" coordsize="21600,21600" o:gfxdata="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dBmUe9cAAAALAQAA&#10;DwAAAAAAAAABACAAAAAiAAAAZHJzL2Rvd25yZXYueG1sUEsBAhQAFAAAAAgAh07iQKDz+UmMAgAA&#10;4AQAAA4AAAAAAAAAAQAgAAAAJgEAAGRycy9lMm9Eb2MueG1sUEsFBgAAAAAGAAYAWQEAACQGAAAA&#10;AA==&#10;" adj="-8264,-7076">
                <v:fill on="f" focussize="0,0"/>
                <v:stroke weight="1pt" color="#0070C0 [3204]" joinstyle="round"/>
                <v:imagedata o:title=""/>
                <o:lock v:ext="edit" aspectratio="f"/>
                <v:textbox>
                  <w:txbxContent>
                    <w:p>
                      <w:pPr>
                        <w:jc w:val="center"/>
                        <w:rPr>
                          <w:b/>
                          <w:bCs/>
                        </w:rPr>
                      </w:pPr>
                      <w:r>
                        <w:rPr>
                          <w:rFonts w:hint="eastAsia"/>
                          <w:b/>
                          <w:bCs/>
                          <w:color w:val="0070C0"/>
                        </w:rPr>
                        <w:t>项目位置</w:t>
                      </w:r>
                      <w:r>
                        <w:rPr>
                          <w:b/>
                          <w:bCs/>
                        </w:rPr>
                        <w:t xml:space="preserve"> </w:t>
                      </w:r>
                    </w:p>
                  </w:txbxContent>
                </v:textbox>
              </v:shape>
            </w:pict>
          </mc:Fallback>
        </mc:AlternateContent>
      </w:r>
      <w:r>
        <w:rPr>
          <w:color w:val="auto"/>
        </w:rPr>
        <mc:AlternateContent>
          <mc:Choice Requires="wps">
            <w:drawing>
              <wp:anchor distT="0" distB="0" distL="114300" distR="114300" simplePos="0" relativeHeight="251716608" behindDoc="0" locked="0" layoutInCell="1" allowOverlap="1">
                <wp:simplePos x="0" y="0"/>
                <wp:positionH relativeFrom="column">
                  <wp:posOffset>965835</wp:posOffset>
                </wp:positionH>
                <wp:positionV relativeFrom="paragraph">
                  <wp:posOffset>3800475</wp:posOffset>
                </wp:positionV>
                <wp:extent cx="152400" cy="152400"/>
                <wp:effectExtent l="19050" t="38100" r="38100" b="38100"/>
                <wp:wrapNone/>
                <wp:docPr id="24" name="星形: 五角 1306"/>
                <wp:cNvGraphicFramePr/>
                <a:graphic xmlns:a="http://schemas.openxmlformats.org/drawingml/2006/main">
                  <a:graphicData uri="http://schemas.microsoft.com/office/word/2010/wordprocessingShape">
                    <wps:wsp>
                      <wps:cNvSpPr/>
                      <wps:spPr>
                        <a:xfrm>
                          <a:off x="0" y="0"/>
                          <a:ext cx="152400" cy="152400"/>
                        </a:xfrm>
                        <a:prstGeom prst="star5">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五角 1306" o:spid="_x0000_s1026" style="position:absolute;left:0pt;margin-left:76.05pt;margin-top:299.25pt;height:12pt;width:12pt;z-index:251716608;v-text-anchor:middle;mso-width-relative:page;mso-height-relative:page;" fillcolor="#0070C0" filled="t" stroked="t" coordsize="152400,152400" o:gfxdata="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JAjjKHVAAAACwEAAA8A&#10;AAAAAAAAAQAgAAAAIgAAAGRycy9kb3ducmV2LnhtbFBLAQIUABQAAAAIAIdO4kBcoDXKUwIAAJsE&#10;AAAOAAAAAAAAAAEAIAAAACQBAABkcnMvZTJvRG9jLnhtbFBLBQYAAAAABgAGAFkBAADpBQAAAAA=&#10;" path="m0,58211l58211,58211,76200,0,94188,58211,152399,58211,105305,94187,123294,152399,76200,116422,29105,152399,47094,94187xe">
                <v:path o:connectlocs="76200,0;0,58211;29105,152399;123294,152399;152399,58211" o:connectangles="16200000,10800000,5400000,5400000,0"/>
                <v:fill on="t" focussize="0,0"/>
                <v:stroke weight="2pt" color="#0070C0 [3204]" joinstyle="round"/>
                <v:imagedata o:title=""/>
                <o:lock v:ext="edit" aspectratio="f"/>
              </v:shape>
            </w:pict>
          </mc:Fallback>
        </mc:AlternateContent>
      </w:r>
      <w:r>
        <w:rPr>
          <w:color w:val="auto"/>
        </w:rPr>
        <w:drawing>
          <wp:inline distT="0" distB="0" distL="0" distR="0">
            <wp:extent cx="9477375" cy="514413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18"/>
                    <a:stretch>
                      <a:fillRect/>
                    </a:stretch>
                  </pic:blipFill>
                  <pic:spPr>
                    <a:xfrm>
                      <a:off x="0" y="0"/>
                      <a:ext cx="9479013" cy="5145437"/>
                    </a:xfrm>
                    <a:prstGeom prst="rect">
                      <a:avLst/>
                    </a:prstGeom>
                  </pic:spPr>
                </pic:pic>
              </a:graphicData>
            </a:graphic>
          </wp:inline>
        </w:drawing>
      </w:r>
    </w:p>
    <w:p>
      <w:pPr>
        <w:spacing w:line="360" w:lineRule="auto"/>
        <w:jc w:val="center"/>
        <w:rPr>
          <w:b/>
          <w:color w:val="auto"/>
        </w:rPr>
      </w:pPr>
      <w:r>
        <w:rPr>
          <w:rFonts w:hint="eastAsia"/>
          <w:b/>
          <w:color w:val="auto"/>
        </w:rPr>
        <w:t>图</w:t>
      </w:r>
      <w:r>
        <w:rPr>
          <w:b/>
          <w:color w:val="auto"/>
        </w:rPr>
        <w:t>5.2-</w:t>
      </w:r>
      <w:r>
        <w:rPr>
          <w:rFonts w:hint="eastAsia"/>
          <w:b/>
          <w:color w:val="auto"/>
        </w:rPr>
        <w:t>6</w:t>
      </w:r>
      <w:r>
        <w:rPr>
          <w:b/>
          <w:color w:val="auto"/>
        </w:rPr>
        <w:t xml:space="preserve">  </w:t>
      </w:r>
      <w:r>
        <w:rPr>
          <w:rFonts w:hint="eastAsia"/>
          <w:b/>
          <w:color w:val="auto"/>
        </w:rPr>
        <w:t>建筑垃圾运输线路图</w:t>
      </w:r>
    </w:p>
    <w:p>
      <w:pPr>
        <w:spacing w:line="360" w:lineRule="auto"/>
        <w:rPr>
          <w:b/>
          <w:color w:val="auto"/>
        </w:rPr>
        <w:sectPr>
          <w:pgSz w:w="16838" w:h="11906" w:orient="landscape"/>
          <w:pgMar w:top="1701" w:right="1134" w:bottom="1134" w:left="1134" w:header="964" w:footer="964" w:gutter="0"/>
          <w:pgNumType w:fmt="decimal"/>
          <w:cols w:space="720" w:num="1"/>
          <w:docGrid w:linePitch="326" w:charSpace="0"/>
        </w:sectPr>
      </w:pPr>
    </w:p>
    <w:p>
      <w:pPr>
        <w:spacing w:line="360" w:lineRule="auto"/>
        <w:rPr>
          <w:color w:val="auto"/>
        </w:rPr>
      </w:pPr>
      <w:r>
        <w:rPr>
          <w:b/>
          <w:color w:val="auto"/>
        </w:rPr>
        <w:t>5.2.7.2运输车辆环境影响</w:t>
      </w:r>
    </w:p>
    <w:p>
      <w:pPr>
        <w:spacing w:line="360" w:lineRule="auto"/>
        <w:ind w:firstLine="480" w:firstLineChars="200"/>
        <w:rPr>
          <w:color w:val="auto"/>
        </w:rPr>
      </w:pPr>
      <w:r>
        <w:rPr>
          <w:color w:val="auto"/>
        </w:rPr>
        <w:t>（1）交通噪声环境影响</w:t>
      </w:r>
    </w:p>
    <w:p>
      <w:pPr>
        <w:autoSpaceDE w:val="0"/>
        <w:autoSpaceDN w:val="0"/>
        <w:adjustRightInd w:val="0"/>
        <w:spacing w:line="360" w:lineRule="auto"/>
        <w:ind w:firstLine="480" w:firstLineChars="200"/>
        <w:jc w:val="both"/>
        <w:rPr>
          <w:color w:val="auto"/>
          <w:kern w:val="0"/>
        </w:rPr>
      </w:pPr>
      <w:r>
        <w:rPr>
          <w:color w:val="auto"/>
          <w:kern w:val="0"/>
        </w:rPr>
        <w:t>垃圾运输车产生的噪声影响主要是车流量的增加导致道路交通噪声对两侧敏感点影响，然而由于本次项目的垃圾运输道路为已建成的道路，在现有道路建设时已经做过环评，并提出了环境措施和环境可行性的结论。所以本项目的垃圾运输车辆产生的噪声影响，在道路建设环评的噪声预测中已经做过，本次评价只作如下简要分析：</w:t>
      </w:r>
    </w:p>
    <w:p>
      <w:pPr>
        <w:autoSpaceDE w:val="0"/>
        <w:autoSpaceDN w:val="0"/>
        <w:adjustRightInd w:val="0"/>
        <w:spacing w:line="360" w:lineRule="auto"/>
        <w:ind w:firstLine="480" w:firstLineChars="200"/>
        <w:rPr>
          <w:color w:val="auto"/>
        </w:rPr>
      </w:pPr>
      <w:r>
        <w:rPr>
          <w:rFonts w:hint="eastAsia"/>
          <w:color w:val="auto"/>
        </w:rPr>
        <w:t>垃圾运输车噪声为</w:t>
      </w:r>
      <w:r>
        <w:rPr>
          <w:color w:val="auto"/>
        </w:rPr>
        <w:t>85dB(A)</w:t>
      </w:r>
      <w:r>
        <w:rPr>
          <w:rFonts w:hint="eastAsia"/>
          <w:color w:val="auto"/>
        </w:rPr>
        <w:t>，在无任何防护设施的情况下，按线声源进行预测计算，计算结果见表5.2-25。</w:t>
      </w:r>
    </w:p>
    <w:p>
      <w:pPr>
        <w:autoSpaceDE w:val="0"/>
        <w:autoSpaceDN w:val="0"/>
        <w:adjustRightInd w:val="0"/>
        <w:ind w:firstLine="361" w:firstLineChars="150"/>
        <w:jc w:val="center"/>
        <w:rPr>
          <w:b/>
          <w:color w:val="auto"/>
        </w:rPr>
      </w:pPr>
      <w:r>
        <w:rPr>
          <w:b/>
          <w:color w:val="auto"/>
        </w:rPr>
        <w:t>表</w:t>
      </w:r>
      <w:r>
        <w:rPr>
          <w:b/>
          <w:bCs/>
          <w:color w:val="auto"/>
        </w:rPr>
        <w:t>5.2-</w:t>
      </w:r>
      <w:r>
        <w:rPr>
          <w:rFonts w:hint="eastAsia"/>
          <w:b/>
          <w:bCs/>
          <w:color w:val="auto"/>
        </w:rPr>
        <w:t>25</w:t>
      </w:r>
      <w:r>
        <w:rPr>
          <w:b/>
          <w:bCs/>
          <w:color w:val="auto"/>
        </w:rPr>
        <w:t xml:space="preserve">  </w:t>
      </w:r>
      <w:r>
        <w:rPr>
          <w:b/>
          <w:color w:val="auto"/>
        </w:rPr>
        <w:t>交通干线两侧噪声值</w:t>
      </w:r>
    </w:p>
    <w:tbl>
      <w:tblPr>
        <w:tblStyle w:val="54"/>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3"/>
        <w:gridCol w:w="1174"/>
        <w:gridCol w:w="1174"/>
        <w:gridCol w:w="1174"/>
        <w:gridCol w:w="1174"/>
        <w:gridCol w:w="1174"/>
        <w:gridCol w:w="1174"/>
        <w:gridCol w:w="10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73" w:type="dxa"/>
            <w:vAlign w:val="center"/>
          </w:tcPr>
          <w:p>
            <w:pPr>
              <w:autoSpaceDE w:val="0"/>
              <w:autoSpaceDN w:val="0"/>
              <w:adjustRightInd w:val="0"/>
              <w:spacing w:line="360" w:lineRule="auto"/>
              <w:jc w:val="center"/>
              <w:rPr>
                <w:b/>
                <w:color w:val="auto"/>
                <w:sz w:val="21"/>
                <w:szCs w:val="21"/>
              </w:rPr>
            </w:pPr>
            <w:r>
              <w:rPr>
                <w:rFonts w:hint="eastAsia"/>
                <w:b/>
                <w:color w:val="auto"/>
                <w:sz w:val="21"/>
                <w:szCs w:val="21"/>
              </w:rPr>
              <w:t>距离（m）</w:t>
            </w:r>
          </w:p>
        </w:tc>
        <w:tc>
          <w:tcPr>
            <w:tcW w:w="1174" w:type="dxa"/>
            <w:vAlign w:val="center"/>
          </w:tcPr>
          <w:p>
            <w:pPr>
              <w:autoSpaceDE w:val="0"/>
              <w:autoSpaceDN w:val="0"/>
              <w:adjustRightInd w:val="0"/>
              <w:spacing w:line="360" w:lineRule="auto"/>
              <w:jc w:val="center"/>
              <w:rPr>
                <w:color w:val="auto"/>
                <w:sz w:val="21"/>
                <w:szCs w:val="21"/>
              </w:rPr>
            </w:pPr>
            <w:r>
              <w:rPr>
                <w:rFonts w:hint="eastAsia"/>
                <w:color w:val="auto"/>
                <w:sz w:val="21"/>
                <w:szCs w:val="21"/>
              </w:rPr>
              <w:t>5</w:t>
            </w:r>
          </w:p>
        </w:tc>
        <w:tc>
          <w:tcPr>
            <w:tcW w:w="1174" w:type="dxa"/>
            <w:vAlign w:val="center"/>
          </w:tcPr>
          <w:p>
            <w:pPr>
              <w:autoSpaceDE w:val="0"/>
              <w:autoSpaceDN w:val="0"/>
              <w:adjustRightInd w:val="0"/>
              <w:spacing w:line="360" w:lineRule="auto"/>
              <w:jc w:val="center"/>
              <w:rPr>
                <w:color w:val="auto"/>
                <w:sz w:val="21"/>
                <w:szCs w:val="21"/>
              </w:rPr>
            </w:pPr>
            <w:r>
              <w:rPr>
                <w:rFonts w:hint="eastAsia"/>
                <w:color w:val="auto"/>
                <w:sz w:val="21"/>
                <w:szCs w:val="21"/>
              </w:rPr>
              <w:t>10</w:t>
            </w:r>
          </w:p>
        </w:tc>
        <w:tc>
          <w:tcPr>
            <w:tcW w:w="1174" w:type="dxa"/>
            <w:vAlign w:val="center"/>
          </w:tcPr>
          <w:p>
            <w:pPr>
              <w:autoSpaceDE w:val="0"/>
              <w:autoSpaceDN w:val="0"/>
              <w:adjustRightInd w:val="0"/>
              <w:spacing w:line="360" w:lineRule="auto"/>
              <w:jc w:val="center"/>
              <w:rPr>
                <w:color w:val="auto"/>
                <w:sz w:val="21"/>
                <w:szCs w:val="21"/>
              </w:rPr>
            </w:pPr>
            <w:r>
              <w:rPr>
                <w:rFonts w:hint="eastAsia"/>
                <w:color w:val="auto"/>
                <w:sz w:val="21"/>
                <w:szCs w:val="21"/>
              </w:rPr>
              <w:t>15</w:t>
            </w:r>
          </w:p>
        </w:tc>
        <w:tc>
          <w:tcPr>
            <w:tcW w:w="1174" w:type="dxa"/>
            <w:vAlign w:val="center"/>
          </w:tcPr>
          <w:p>
            <w:pPr>
              <w:autoSpaceDE w:val="0"/>
              <w:autoSpaceDN w:val="0"/>
              <w:adjustRightInd w:val="0"/>
              <w:spacing w:line="360" w:lineRule="auto"/>
              <w:jc w:val="center"/>
              <w:rPr>
                <w:color w:val="auto"/>
                <w:sz w:val="21"/>
                <w:szCs w:val="21"/>
              </w:rPr>
            </w:pPr>
            <w:r>
              <w:rPr>
                <w:rFonts w:hint="eastAsia"/>
                <w:color w:val="auto"/>
                <w:sz w:val="21"/>
                <w:szCs w:val="21"/>
              </w:rPr>
              <w:t>20</w:t>
            </w:r>
          </w:p>
        </w:tc>
        <w:tc>
          <w:tcPr>
            <w:tcW w:w="1174" w:type="dxa"/>
            <w:vAlign w:val="center"/>
          </w:tcPr>
          <w:p>
            <w:pPr>
              <w:autoSpaceDE w:val="0"/>
              <w:autoSpaceDN w:val="0"/>
              <w:adjustRightInd w:val="0"/>
              <w:spacing w:line="360" w:lineRule="auto"/>
              <w:jc w:val="center"/>
              <w:rPr>
                <w:color w:val="auto"/>
                <w:sz w:val="21"/>
                <w:szCs w:val="21"/>
              </w:rPr>
            </w:pPr>
            <w:r>
              <w:rPr>
                <w:rFonts w:hint="eastAsia"/>
                <w:color w:val="auto"/>
                <w:sz w:val="21"/>
                <w:szCs w:val="21"/>
              </w:rPr>
              <w:t>30</w:t>
            </w:r>
          </w:p>
        </w:tc>
        <w:tc>
          <w:tcPr>
            <w:tcW w:w="1174" w:type="dxa"/>
            <w:vAlign w:val="center"/>
          </w:tcPr>
          <w:p>
            <w:pPr>
              <w:autoSpaceDE w:val="0"/>
              <w:autoSpaceDN w:val="0"/>
              <w:adjustRightInd w:val="0"/>
              <w:spacing w:line="360" w:lineRule="auto"/>
              <w:jc w:val="center"/>
              <w:rPr>
                <w:color w:val="auto"/>
                <w:sz w:val="21"/>
                <w:szCs w:val="21"/>
              </w:rPr>
            </w:pPr>
            <w:r>
              <w:rPr>
                <w:rFonts w:hint="eastAsia"/>
                <w:color w:val="auto"/>
                <w:sz w:val="21"/>
                <w:szCs w:val="21"/>
              </w:rPr>
              <w:t>40</w:t>
            </w:r>
          </w:p>
        </w:tc>
        <w:tc>
          <w:tcPr>
            <w:tcW w:w="1070" w:type="dxa"/>
            <w:vAlign w:val="center"/>
          </w:tcPr>
          <w:p>
            <w:pPr>
              <w:autoSpaceDE w:val="0"/>
              <w:autoSpaceDN w:val="0"/>
              <w:adjustRightInd w:val="0"/>
              <w:spacing w:line="360" w:lineRule="auto"/>
              <w:jc w:val="center"/>
              <w:rPr>
                <w:color w:val="auto"/>
                <w:sz w:val="21"/>
                <w:szCs w:val="21"/>
              </w:rPr>
            </w:pPr>
            <w:r>
              <w:rPr>
                <w:rFonts w:hint="eastAsia"/>
                <w:color w:val="auto"/>
                <w:sz w:val="21"/>
                <w:szCs w:val="21"/>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73" w:type="dxa"/>
            <w:vAlign w:val="center"/>
          </w:tcPr>
          <w:p>
            <w:pPr>
              <w:autoSpaceDE w:val="0"/>
              <w:autoSpaceDN w:val="0"/>
              <w:adjustRightInd w:val="0"/>
              <w:spacing w:line="360" w:lineRule="auto"/>
              <w:jc w:val="center"/>
              <w:rPr>
                <w:b/>
                <w:color w:val="auto"/>
                <w:sz w:val="21"/>
                <w:szCs w:val="21"/>
              </w:rPr>
            </w:pPr>
            <w:r>
              <w:rPr>
                <w:rFonts w:hint="eastAsia"/>
                <w:b/>
                <w:color w:val="auto"/>
                <w:sz w:val="21"/>
                <w:szCs w:val="21"/>
              </w:rPr>
              <w:t>噪声值（dB（A））</w:t>
            </w:r>
          </w:p>
        </w:tc>
        <w:tc>
          <w:tcPr>
            <w:tcW w:w="1174" w:type="dxa"/>
            <w:vAlign w:val="center"/>
          </w:tcPr>
          <w:p>
            <w:pPr>
              <w:autoSpaceDE w:val="0"/>
              <w:autoSpaceDN w:val="0"/>
              <w:adjustRightInd w:val="0"/>
              <w:spacing w:line="360" w:lineRule="auto"/>
              <w:jc w:val="center"/>
              <w:rPr>
                <w:color w:val="auto"/>
                <w:sz w:val="21"/>
                <w:szCs w:val="21"/>
              </w:rPr>
            </w:pPr>
            <w:r>
              <w:rPr>
                <w:rFonts w:hint="eastAsia"/>
                <w:color w:val="auto"/>
                <w:sz w:val="21"/>
                <w:szCs w:val="21"/>
              </w:rPr>
              <w:t>71.71</w:t>
            </w:r>
          </w:p>
        </w:tc>
        <w:tc>
          <w:tcPr>
            <w:tcW w:w="1174" w:type="dxa"/>
            <w:vAlign w:val="center"/>
          </w:tcPr>
          <w:p>
            <w:pPr>
              <w:autoSpaceDE w:val="0"/>
              <w:autoSpaceDN w:val="0"/>
              <w:adjustRightInd w:val="0"/>
              <w:spacing w:line="360" w:lineRule="auto"/>
              <w:jc w:val="center"/>
              <w:rPr>
                <w:color w:val="auto"/>
                <w:sz w:val="21"/>
                <w:szCs w:val="21"/>
              </w:rPr>
            </w:pPr>
            <w:r>
              <w:rPr>
                <w:rFonts w:hint="eastAsia"/>
                <w:color w:val="auto"/>
                <w:sz w:val="21"/>
                <w:szCs w:val="21"/>
              </w:rPr>
              <w:t>68.38</w:t>
            </w:r>
          </w:p>
        </w:tc>
        <w:tc>
          <w:tcPr>
            <w:tcW w:w="1174" w:type="dxa"/>
            <w:vAlign w:val="center"/>
          </w:tcPr>
          <w:p>
            <w:pPr>
              <w:autoSpaceDE w:val="0"/>
              <w:autoSpaceDN w:val="0"/>
              <w:adjustRightInd w:val="0"/>
              <w:spacing w:line="360" w:lineRule="auto"/>
              <w:jc w:val="center"/>
              <w:rPr>
                <w:color w:val="auto"/>
                <w:sz w:val="21"/>
                <w:szCs w:val="21"/>
              </w:rPr>
            </w:pPr>
            <w:r>
              <w:rPr>
                <w:rFonts w:hint="eastAsia"/>
                <w:color w:val="auto"/>
                <w:sz w:val="21"/>
                <w:szCs w:val="21"/>
              </w:rPr>
              <w:t>66.30</w:t>
            </w:r>
          </w:p>
        </w:tc>
        <w:tc>
          <w:tcPr>
            <w:tcW w:w="1174" w:type="dxa"/>
            <w:vAlign w:val="center"/>
          </w:tcPr>
          <w:p>
            <w:pPr>
              <w:autoSpaceDE w:val="0"/>
              <w:autoSpaceDN w:val="0"/>
              <w:adjustRightInd w:val="0"/>
              <w:spacing w:line="360" w:lineRule="auto"/>
              <w:jc w:val="center"/>
              <w:rPr>
                <w:color w:val="auto"/>
                <w:sz w:val="21"/>
                <w:szCs w:val="21"/>
              </w:rPr>
            </w:pPr>
            <w:r>
              <w:rPr>
                <w:rFonts w:hint="eastAsia"/>
                <w:color w:val="auto"/>
                <w:sz w:val="21"/>
                <w:szCs w:val="21"/>
              </w:rPr>
              <w:t>64.73</w:t>
            </w:r>
          </w:p>
        </w:tc>
        <w:tc>
          <w:tcPr>
            <w:tcW w:w="1174" w:type="dxa"/>
            <w:vAlign w:val="center"/>
          </w:tcPr>
          <w:p>
            <w:pPr>
              <w:autoSpaceDE w:val="0"/>
              <w:autoSpaceDN w:val="0"/>
              <w:adjustRightInd w:val="0"/>
              <w:spacing w:line="360" w:lineRule="auto"/>
              <w:jc w:val="center"/>
              <w:rPr>
                <w:color w:val="auto"/>
                <w:sz w:val="21"/>
                <w:szCs w:val="21"/>
              </w:rPr>
            </w:pPr>
            <w:r>
              <w:rPr>
                <w:rFonts w:hint="eastAsia"/>
                <w:color w:val="auto"/>
                <w:sz w:val="21"/>
                <w:szCs w:val="21"/>
              </w:rPr>
              <w:t>62.33</w:t>
            </w:r>
          </w:p>
        </w:tc>
        <w:tc>
          <w:tcPr>
            <w:tcW w:w="1174" w:type="dxa"/>
            <w:vAlign w:val="center"/>
          </w:tcPr>
          <w:p>
            <w:pPr>
              <w:autoSpaceDE w:val="0"/>
              <w:autoSpaceDN w:val="0"/>
              <w:adjustRightInd w:val="0"/>
              <w:spacing w:line="360" w:lineRule="auto"/>
              <w:jc w:val="center"/>
              <w:rPr>
                <w:color w:val="auto"/>
                <w:sz w:val="21"/>
                <w:szCs w:val="21"/>
              </w:rPr>
            </w:pPr>
            <w:r>
              <w:rPr>
                <w:rFonts w:hint="eastAsia"/>
                <w:color w:val="auto"/>
                <w:sz w:val="21"/>
                <w:szCs w:val="21"/>
              </w:rPr>
              <w:t>60.48</w:t>
            </w:r>
          </w:p>
        </w:tc>
        <w:tc>
          <w:tcPr>
            <w:tcW w:w="1070" w:type="dxa"/>
            <w:vAlign w:val="center"/>
          </w:tcPr>
          <w:p>
            <w:pPr>
              <w:autoSpaceDE w:val="0"/>
              <w:autoSpaceDN w:val="0"/>
              <w:adjustRightInd w:val="0"/>
              <w:spacing w:line="360" w:lineRule="auto"/>
              <w:jc w:val="center"/>
              <w:rPr>
                <w:color w:val="auto"/>
                <w:sz w:val="21"/>
                <w:szCs w:val="21"/>
              </w:rPr>
            </w:pPr>
            <w:r>
              <w:rPr>
                <w:rFonts w:hint="eastAsia"/>
                <w:color w:val="auto"/>
                <w:sz w:val="21"/>
                <w:szCs w:val="21"/>
              </w:rPr>
              <w:t>59.67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287" w:type="dxa"/>
            <w:gridSpan w:val="8"/>
            <w:vAlign w:val="center"/>
          </w:tcPr>
          <w:p>
            <w:pPr>
              <w:pStyle w:val="97"/>
              <w:jc w:val="center"/>
              <w:rPr>
                <w:color w:val="auto"/>
                <w:sz w:val="21"/>
                <w:szCs w:val="21"/>
              </w:rPr>
            </w:pPr>
            <w:r>
              <w:rPr>
                <w:rFonts w:hint="eastAsia"/>
                <w:color w:val="auto"/>
                <w:sz w:val="21"/>
                <w:szCs w:val="21"/>
              </w:rPr>
              <w:t>交通干线两侧</w:t>
            </w:r>
            <w:r>
              <w:rPr>
                <w:rFonts w:ascii="Times New Roman" w:cs="Times New Roman"/>
                <w:color w:val="auto"/>
                <w:sz w:val="21"/>
                <w:szCs w:val="21"/>
              </w:rPr>
              <w:t>30m</w:t>
            </w:r>
            <w:r>
              <w:rPr>
                <w:rFonts w:hint="eastAsia"/>
                <w:color w:val="auto"/>
                <w:sz w:val="21"/>
                <w:szCs w:val="21"/>
              </w:rPr>
              <w:t>范围内执行《声环境质量标准》（</w:t>
            </w:r>
            <w:r>
              <w:rPr>
                <w:rFonts w:ascii="Times New Roman" w:cs="Times New Roman"/>
                <w:color w:val="auto"/>
                <w:sz w:val="21"/>
                <w:szCs w:val="21"/>
              </w:rPr>
              <w:t>GB3096</w:t>
            </w:r>
            <w:r>
              <w:rPr>
                <w:rFonts w:hint="eastAsia"/>
                <w:color w:val="auto"/>
                <w:sz w:val="21"/>
                <w:szCs w:val="21"/>
              </w:rPr>
              <w:t>－</w:t>
            </w:r>
            <w:r>
              <w:rPr>
                <w:rFonts w:ascii="Times New Roman" w:cs="Times New Roman"/>
                <w:color w:val="auto"/>
                <w:sz w:val="21"/>
                <w:szCs w:val="21"/>
              </w:rPr>
              <w:t>2008</w:t>
            </w:r>
            <w:r>
              <w:rPr>
                <w:rFonts w:hint="eastAsia"/>
                <w:color w:val="auto"/>
                <w:sz w:val="21"/>
                <w:szCs w:val="21"/>
              </w:rPr>
              <w:t>）</w:t>
            </w:r>
            <w:r>
              <w:rPr>
                <w:rFonts w:ascii="Times New Roman" w:cs="Times New Roman"/>
                <w:color w:val="auto"/>
                <w:sz w:val="21"/>
                <w:szCs w:val="21"/>
              </w:rPr>
              <w:t>4a</w:t>
            </w:r>
            <w:r>
              <w:rPr>
                <w:rFonts w:hint="eastAsia"/>
                <w:color w:val="auto"/>
                <w:sz w:val="21"/>
                <w:szCs w:val="21"/>
              </w:rPr>
              <w:t>类标准，昼间</w:t>
            </w:r>
            <w:r>
              <w:rPr>
                <w:rFonts w:ascii="Times New Roman" w:cs="Times New Roman"/>
                <w:color w:val="auto"/>
                <w:sz w:val="21"/>
                <w:szCs w:val="21"/>
              </w:rPr>
              <w:t>70dB(A)</w:t>
            </w:r>
            <w:r>
              <w:rPr>
                <w:rFonts w:hint="eastAsia"/>
                <w:color w:val="auto"/>
                <w:sz w:val="21"/>
                <w:szCs w:val="21"/>
              </w:rPr>
              <w:t>，夜间</w:t>
            </w:r>
            <w:r>
              <w:rPr>
                <w:rFonts w:ascii="Times New Roman" w:cs="Times New Roman"/>
                <w:color w:val="auto"/>
                <w:sz w:val="21"/>
                <w:szCs w:val="21"/>
              </w:rPr>
              <w:t>55dB(A)</w:t>
            </w:r>
          </w:p>
        </w:tc>
      </w:tr>
    </w:tbl>
    <w:p>
      <w:pPr>
        <w:autoSpaceDE w:val="0"/>
        <w:autoSpaceDN w:val="0"/>
        <w:adjustRightInd w:val="0"/>
        <w:spacing w:line="360" w:lineRule="auto"/>
        <w:ind w:firstLine="480" w:firstLineChars="200"/>
        <w:jc w:val="both"/>
        <w:rPr>
          <w:color w:val="auto"/>
        </w:rPr>
      </w:pPr>
      <w:r>
        <w:rPr>
          <w:rFonts w:hint="eastAsia"/>
          <w:color w:val="auto"/>
        </w:rPr>
        <w:t>在道路两侧</w:t>
      </w:r>
      <w:r>
        <w:rPr>
          <w:color w:val="auto"/>
        </w:rPr>
        <w:t>10m</w:t>
      </w:r>
      <w:r>
        <w:rPr>
          <w:rFonts w:hint="eastAsia"/>
          <w:color w:val="auto"/>
        </w:rPr>
        <w:t>处的等效连续声级</w:t>
      </w:r>
      <w:r>
        <w:rPr>
          <w:color w:val="auto"/>
        </w:rPr>
        <w:t>Leq</w:t>
      </w:r>
      <w:r>
        <w:rPr>
          <w:rFonts w:hint="eastAsia"/>
          <w:color w:val="auto"/>
        </w:rPr>
        <w:t>为</w:t>
      </w:r>
      <w:r>
        <w:rPr>
          <w:color w:val="auto"/>
        </w:rPr>
        <w:t>68.38dB(A)</w:t>
      </w:r>
      <w:r>
        <w:rPr>
          <w:rFonts w:hint="eastAsia"/>
          <w:color w:val="auto"/>
        </w:rPr>
        <w:t>，符合交通干线道路两侧区域昼间噪声标准</w:t>
      </w:r>
      <w:r>
        <w:rPr>
          <w:color w:val="auto"/>
        </w:rPr>
        <w:t>70dB(A)</w:t>
      </w:r>
      <w:r>
        <w:rPr>
          <w:rFonts w:hint="eastAsia"/>
          <w:color w:val="auto"/>
        </w:rPr>
        <w:t>的要求，但超过夜间噪声标准</w:t>
      </w:r>
      <w:r>
        <w:rPr>
          <w:color w:val="auto"/>
        </w:rPr>
        <w:t>55dB(A)</w:t>
      </w:r>
      <w:r>
        <w:rPr>
          <w:rFonts w:hint="eastAsia"/>
          <w:color w:val="auto"/>
        </w:rPr>
        <w:t>；在道路两侧</w:t>
      </w:r>
      <w:r>
        <w:rPr>
          <w:color w:val="auto"/>
        </w:rPr>
        <w:t>30m</w:t>
      </w:r>
      <w:r>
        <w:rPr>
          <w:rFonts w:hint="eastAsia"/>
          <w:color w:val="auto"/>
        </w:rPr>
        <w:t>处的等效连续声级</w:t>
      </w:r>
      <w:r>
        <w:rPr>
          <w:color w:val="auto"/>
        </w:rPr>
        <w:t>Leq</w:t>
      </w:r>
      <w:r>
        <w:rPr>
          <w:rFonts w:hint="eastAsia"/>
          <w:color w:val="auto"/>
        </w:rPr>
        <w:t>为</w:t>
      </w:r>
      <w:r>
        <w:rPr>
          <w:color w:val="auto"/>
        </w:rPr>
        <w:t>62.33dB(A)</w:t>
      </w:r>
      <w:r>
        <w:rPr>
          <w:rFonts w:hint="eastAsia"/>
          <w:color w:val="auto"/>
        </w:rPr>
        <w:t>，符合交通干线道路两侧区域昼间噪声标准要求，但夜间超标，经计算在无任何阻挡的条件下，夜间约在</w:t>
      </w:r>
      <w:r>
        <w:rPr>
          <w:color w:val="auto"/>
        </w:rPr>
        <w:t>96m</w:t>
      </w:r>
      <w:r>
        <w:rPr>
          <w:rFonts w:hint="eastAsia"/>
          <w:color w:val="auto"/>
        </w:rPr>
        <w:t>处可以达到</w:t>
      </w:r>
      <w:r>
        <w:rPr>
          <w:color w:val="auto"/>
        </w:rPr>
        <w:t>55dB(A)</w:t>
      </w:r>
      <w:r>
        <w:rPr>
          <w:rFonts w:hint="eastAsia"/>
          <w:color w:val="auto"/>
        </w:rPr>
        <w:t>的要求，因此，垃圾运输的交通干线两侧</w:t>
      </w:r>
      <w:r>
        <w:rPr>
          <w:color w:val="auto"/>
        </w:rPr>
        <w:t>5-10m</w:t>
      </w:r>
      <w:r>
        <w:rPr>
          <w:rFonts w:hint="eastAsia"/>
          <w:color w:val="auto"/>
        </w:rPr>
        <w:t>范围内的生活居住场所均会受到车辆噪声的干扰，沿线两侧建设建筑物后可受噪声影响的范围减小。</w:t>
      </w:r>
    </w:p>
    <w:p>
      <w:pPr>
        <w:autoSpaceDE w:val="0"/>
        <w:autoSpaceDN w:val="0"/>
        <w:adjustRightInd w:val="0"/>
        <w:spacing w:line="360" w:lineRule="auto"/>
        <w:ind w:firstLine="480" w:firstLineChars="200"/>
        <w:jc w:val="both"/>
        <w:rPr>
          <w:color w:val="auto"/>
        </w:rPr>
      </w:pPr>
      <w:r>
        <w:rPr>
          <w:rFonts w:hint="eastAsia"/>
          <w:color w:val="auto"/>
        </w:rPr>
        <w:t>由于垃圾运输为密封运输，利用现有道路运输，本项目垃圾运输道路周围居民点等敏感点距离垃圾运输道路至少</w:t>
      </w:r>
      <w:r>
        <w:rPr>
          <w:color w:val="auto"/>
        </w:rPr>
        <w:t>30m</w:t>
      </w:r>
      <w:r>
        <w:rPr>
          <w:rFonts w:hint="eastAsia"/>
          <w:color w:val="auto"/>
        </w:rPr>
        <w:t>远，因此，本项目垃圾运输对周围敏感点造成的噪声影响很小。</w:t>
      </w:r>
    </w:p>
    <w:p>
      <w:pPr>
        <w:spacing w:line="360" w:lineRule="auto"/>
        <w:ind w:firstLine="480" w:firstLineChars="200"/>
        <w:rPr>
          <w:color w:val="auto"/>
        </w:rPr>
      </w:pPr>
      <w:r>
        <w:rPr>
          <w:color w:val="auto"/>
        </w:rPr>
        <w:t>（2）恶臭与环境卫生环境影响</w:t>
      </w:r>
    </w:p>
    <w:p>
      <w:pPr>
        <w:tabs>
          <w:tab w:val="left" w:pos="0"/>
        </w:tabs>
        <w:adjustRightInd w:val="0"/>
        <w:snapToGrid w:val="0"/>
        <w:spacing w:line="360" w:lineRule="auto"/>
        <w:ind w:firstLine="480" w:firstLineChars="200"/>
        <w:rPr>
          <w:color w:val="auto"/>
        </w:rPr>
      </w:pPr>
      <w:r>
        <w:rPr>
          <w:rFonts w:hint="eastAsia"/>
          <w:color w:val="auto"/>
        </w:rPr>
        <w:t>根据目前国内运营较为成功的垃圾收运系统运营经验，为确保垃圾运输过程中不会对运输沿线造成恶臭影响，建议负责垃圾运输的城管部门采取或加强如下措施：</w:t>
      </w:r>
    </w:p>
    <w:p>
      <w:pPr>
        <w:tabs>
          <w:tab w:val="left" w:pos="0"/>
        </w:tabs>
        <w:adjustRightInd w:val="0"/>
        <w:snapToGrid w:val="0"/>
        <w:spacing w:line="360" w:lineRule="auto"/>
        <w:ind w:firstLine="480" w:firstLineChars="200"/>
        <w:rPr>
          <w:color w:val="auto"/>
        </w:rPr>
      </w:pPr>
      <w:r>
        <w:rPr>
          <w:color w:val="auto"/>
        </w:rPr>
        <w:fldChar w:fldCharType="begin"/>
      </w:r>
      <w:r>
        <w:rPr>
          <w:color w:val="auto"/>
        </w:rPr>
        <w:instrText xml:space="preserve"> </w:instrText>
      </w:r>
      <w:r>
        <w:rPr>
          <w:rFonts w:hint="eastAsia"/>
          <w:color w:val="auto"/>
        </w:rPr>
        <w:instrText xml:space="preserve">= 1 \* GB3</w:instrText>
      </w:r>
      <w:r>
        <w:rPr>
          <w:color w:val="auto"/>
        </w:rPr>
        <w:instrText xml:space="preserve"> </w:instrText>
      </w:r>
      <w:r>
        <w:rPr>
          <w:color w:val="auto"/>
        </w:rPr>
        <w:fldChar w:fldCharType="separate"/>
      </w:r>
      <w:r>
        <w:rPr>
          <w:rFonts w:hint="eastAsia"/>
          <w:color w:val="auto"/>
        </w:rPr>
        <w:t>①</w:t>
      </w:r>
      <w:r>
        <w:rPr>
          <w:color w:val="auto"/>
        </w:rPr>
        <w:fldChar w:fldCharType="end"/>
      </w:r>
      <w:r>
        <w:rPr>
          <w:rFonts w:hint="eastAsia"/>
          <w:color w:val="auto"/>
        </w:rPr>
        <w:t>选用密封性能耗的垃圾运输车辆，同时加强垃圾运输车辆的使用管理，并定期检修，使垃圾运输车辆保持良好的使用状态。</w:t>
      </w:r>
    </w:p>
    <w:p>
      <w:pPr>
        <w:tabs>
          <w:tab w:val="left" w:pos="0"/>
        </w:tabs>
        <w:adjustRightInd w:val="0"/>
        <w:snapToGrid w:val="0"/>
        <w:spacing w:line="360" w:lineRule="auto"/>
        <w:ind w:firstLine="480" w:firstLineChars="200"/>
        <w:rPr>
          <w:color w:val="auto"/>
        </w:rPr>
      </w:pPr>
      <w:r>
        <w:rPr>
          <w:color w:val="auto"/>
        </w:rPr>
        <w:fldChar w:fldCharType="begin"/>
      </w:r>
      <w:r>
        <w:rPr>
          <w:color w:val="auto"/>
        </w:rPr>
        <w:instrText xml:space="preserve"> </w:instrText>
      </w:r>
      <w:r>
        <w:rPr>
          <w:rFonts w:hint="eastAsia"/>
          <w:color w:val="auto"/>
        </w:rPr>
        <w:instrText xml:space="preserve">= 2 \* GB3</w:instrText>
      </w:r>
      <w:r>
        <w:rPr>
          <w:color w:val="auto"/>
        </w:rPr>
        <w:instrText xml:space="preserve"> </w:instrText>
      </w:r>
      <w:r>
        <w:rPr>
          <w:color w:val="auto"/>
        </w:rPr>
        <w:fldChar w:fldCharType="separate"/>
      </w:r>
      <w:r>
        <w:rPr>
          <w:rFonts w:hint="eastAsia"/>
          <w:color w:val="auto"/>
        </w:rPr>
        <w:t>②</w:t>
      </w:r>
      <w:r>
        <w:rPr>
          <w:color w:val="auto"/>
        </w:rPr>
        <w:fldChar w:fldCharType="end"/>
      </w:r>
      <w:r>
        <w:rPr>
          <w:rFonts w:hint="eastAsia"/>
          <w:color w:val="auto"/>
        </w:rPr>
        <w:t>对驾驶员进行培训，要求驾驶员严格按照管理规范操作，运输过程中保持车辆平稳，避免因颠簸而造成餐厨垃圾的洒漏。</w:t>
      </w:r>
    </w:p>
    <w:p>
      <w:pPr>
        <w:tabs>
          <w:tab w:val="left" w:pos="0"/>
        </w:tabs>
        <w:adjustRightInd w:val="0"/>
        <w:snapToGrid w:val="0"/>
        <w:spacing w:line="360" w:lineRule="auto"/>
        <w:ind w:firstLine="480" w:firstLineChars="200"/>
        <w:rPr>
          <w:color w:val="auto"/>
        </w:rPr>
      </w:pPr>
      <w:r>
        <w:rPr>
          <w:color w:val="auto"/>
        </w:rPr>
        <w:fldChar w:fldCharType="begin"/>
      </w:r>
      <w:r>
        <w:rPr>
          <w:color w:val="auto"/>
        </w:rPr>
        <w:instrText xml:space="preserve"> </w:instrText>
      </w:r>
      <w:r>
        <w:rPr>
          <w:rFonts w:hint="eastAsia"/>
          <w:color w:val="auto"/>
        </w:rPr>
        <w:instrText xml:space="preserve">= 3 \* GB3</w:instrText>
      </w:r>
      <w:r>
        <w:rPr>
          <w:color w:val="auto"/>
        </w:rPr>
        <w:instrText xml:space="preserve"> </w:instrText>
      </w:r>
      <w:r>
        <w:rPr>
          <w:color w:val="auto"/>
        </w:rPr>
        <w:fldChar w:fldCharType="separate"/>
      </w:r>
      <w:r>
        <w:rPr>
          <w:rFonts w:hint="eastAsia"/>
          <w:color w:val="auto"/>
        </w:rPr>
        <w:t>③</w:t>
      </w:r>
      <w:r>
        <w:rPr>
          <w:color w:val="auto"/>
        </w:rPr>
        <w:fldChar w:fldCharType="end"/>
      </w:r>
      <w:r>
        <w:rPr>
          <w:rFonts w:hint="eastAsia"/>
          <w:color w:val="auto"/>
        </w:rPr>
        <w:t>垃圾运输车辆在道路上行驶的状况应有跟踪监督制度，发现违规行为及时纠正，如发现垃圾或渗滤液洒漏，应及时通知环卫工人进行清理。</w:t>
      </w:r>
    </w:p>
    <w:p>
      <w:pPr>
        <w:tabs>
          <w:tab w:val="left" w:pos="0"/>
        </w:tabs>
        <w:adjustRightInd w:val="0"/>
        <w:snapToGrid w:val="0"/>
        <w:spacing w:line="360" w:lineRule="auto"/>
        <w:ind w:firstLine="480" w:firstLineChars="200"/>
        <w:rPr>
          <w:color w:val="auto"/>
        </w:rPr>
      </w:pPr>
      <w:r>
        <w:rPr>
          <w:rFonts w:hint="eastAsia"/>
          <w:color w:val="auto"/>
        </w:rPr>
        <w:t>只要能切实加强管理，完善垃圾转运系统，避免餐厨垃圾运输车辆在运输垃圾过程中出现餐厨垃圾洒漏情况，可以有效控制餐厨垃圾运输线路的恶臭影响。</w:t>
      </w:r>
    </w:p>
    <w:p>
      <w:pPr>
        <w:autoSpaceDE w:val="0"/>
        <w:autoSpaceDN w:val="0"/>
        <w:adjustRightInd w:val="0"/>
        <w:spacing w:line="360" w:lineRule="auto"/>
        <w:ind w:firstLine="480" w:firstLineChars="200"/>
        <w:rPr>
          <w:color w:val="auto"/>
          <w:kern w:val="0"/>
        </w:rPr>
      </w:pPr>
      <w:r>
        <w:rPr>
          <w:color w:val="auto"/>
          <w:kern w:val="0"/>
        </w:rPr>
        <w:t>（3）废水影响</w:t>
      </w:r>
    </w:p>
    <w:p>
      <w:pPr>
        <w:autoSpaceDE w:val="0"/>
        <w:autoSpaceDN w:val="0"/>
        <w:adjustRightInd w:val="0"/>
        <w:spacing w:line="360" w:lineRule="auto"/>
        <w:ind w:firstLine="480" w:firstLineChars="200"/>
        <w:rPr>
          <w:color w:val="auto"/>
        </w:rPr>
      </w:pPr>
      <w:r>
        <w:rPr>
          <w:rFonts w:hint="eastAsia"/>
          <w:color w:val="auto"/>
          <w:kern w:val="0"/>
        </w:rPr>
        <w:t>本项目的餐厨垃圾运输线路主要由城市路网承担，路面较宽、路况较好，此运输路线沿途涉及重要地表水体主要为宁江，</w:t>
      </w:r>
      <w:r>
        <w:rPr>
          <w:color w:val="auto"/>
        </w:rPr>
        <w:t>根据《关于同意实施广东省地表水环境功能区划的批复》（粤府函</w:t>
      </w:r>
      <w:r>
        <w:rPr>
          <w:rFonts w:hint="eastAsia"/>
          <w:color w:val="auto"/>
        </w:rPr>
        <w:t>【2</w:t>
      </w:r>
      <w:r>
        <w:rPr>
          <w:color w:val="auto"/>
        </w:rPr>
        <w:t>011</w:t>
      </w:r>
      <w:r>
        <w:rPr>
          <w:rFonts w:hint="eastAsia"/>
          <w:color w:val="auto"/>
        </w:rPr>
        <w:t>】</w:t>
      </w:r>
      <w:r>
        <w:rPr>
          <w:color w:val="auto"/>
        </w:rPr>
        <w:t>29号）和《关于印发&lt;广东省地表水环境功能区划&gt;的通知》（粤环</w:t>
      </w:r>
      <w:r>
        <w:rPr>
          <w:rFonts w:hint="eastAsia"/>
          <w:color w:val="auto"/>
        </w:rPr>
        <w:t>【2</w:t>
      </w:r>
      <w:r>
        <w:rPr>
          <w:color w:val="auto"/>
        </w:rPr>
        <w:t>011</w:t>
      </w:r>
      <w:r>
        <w:rPr>
          <w:rFonts w:hint="eastAsia"/>
          <w:color w:val="auto"/>
        </w:rPr>
        <w:t>】</w:t>
      </w:r>
      <w:r>
        <w:rPr>
          <w:color w:val="auto"/>
        </w:rPr>
        <w:t>14号），</w:t>
      </w:r>
      <w:r>
        <w:rPr>
          <w:rFonts w:hint="eastAsia"/>
          <w:color w:val="auto"/>
        </w:rPr>
        <w:t>宁</w:t>
      </w:r>
      <w:r>
        <w:rPr>
          <w:color w:val="auto"/>
        </w:rPr>
        <w:t>江在项目选址段（</w:t>
      </w:r>
      <w:r>
        <w:rPr>
          <w:rFonts w:hint="eastAsia"/>
          <w:color w:val="auto"/>
        </w:rPr>
        <w:t>望江桥闸</w:t>
      </w:r>
      <w:r>
        <w:rPr>
          <w:color w:val="auto"/>
        </w:rPr>
        <w:t>~</w:t>
      </w:r>
      <w:r>
        <w:rPr>
          <w:rFonts w:hint="eastAsia"/>
          <w:color w:val="auto"/>
        </w:rPr>
        <w:t>兴宁水口段</w:t>
      </w:r>
      <w:r>
        <w:rPr>
          <w:color w:val="auto"/>
        </w:rPr>
        <w:t>）为</w:t>
      </w:r>
      <w:r>
        <w:rPr>
          <w:rFonts w:hint="eastAsia"/>
          <w:color w:val="auto"/>
        </w:rPr>
        <w:t>饮用</w:t>
      </w:r>
      <w:r>
        <w:rPr>
          <w:color w:val="auto"/>
        </w:rPr>
        <w:t>农业用水功能，</w:t>
      </w:r>
      <w:r>
        <w:rPr>
          <w:rFonts w:hint="eastAsia"/>
          <w:color w:val="auto"/>
        </w:rPr>
        <w:t>为I</w:t>
      </w:r>
      <w:r>
        <w:rPr>
          <w:color w:val="auto"/>
        </w:rPr>
        <w:t>II</w:t>
      </w:r>
      <w:r>
        <w:rPr>
          <w:rFonts w:hint="eastAsia"/>
          <w:color w:val="auto"/>
        </w:rPr>
        <w:t>类区，</w:t>
      </w:r>
      <w:r>
        <w:rPr>
          <w:color w:val="auto"/>
        </w:rPr>
        <w:t>水质执行《地表水环境质量标准》（GB3838-2002）III类标准</w:t>
      </w:r>
      <w:r>
        <w:rPr>
          <w:rFonts w:hint="eastAsia"/>
          <w:color w:val="auto"/>
        </w:rPr>
        <w:t>。</w:t>
      </w:r>
    </w:p>
    <w:p>
      <w:pPr>
        <w:autoSpaceDE w:val="0"/>
        <w:autoSpaceDN w:val="0"/>
        <w:adjustRightInd w:val="0"/>
        <w:spacing w:line="360" w:lineRule="auto"/>
        <w:ind w:firstLine="480" w:firstLineChars="200"/>
        <w:rPr>
          <w:bCs/>
          <w:color w:val="auto"/>
        </w:rPr>
      </w:pPr>
      <w:r>
        <w:rPr>
          <w:rFonts w:hint="eastAsia"/>
          <w:color w:val="auto"/>
        </w:rPr>
        <w:t>餐厨垃圾在运输过程中对宁江地表水影响最大的为餐厨垃圾废水泄露，本报告要求</w:t>
      </w:r>
      <w:r>
        <w:rPr>
          <w:bCs/>
          <w:color w:val="auto"/>
        </w:rPr>
        <w:t>餐厨垃圾采用密闭、防腐专用容器盛装，采用密闭式专用收集车进行收集，专用收集车的装载机构与参与垃圾盛装容器相匹配</w:t>
      </w:r>
      <w:r>
        <w:rPr>
          <w:rFonts w:hint="eastAsia"/>
          <w:bCs/>
          <w:color w:val="auto"/>
        </w:rPr>
        <w:t>，</w:t>
      </w:r>
      <w:r>
        <w:rPr>
          <w:bCs/>
          <w:color w:val="auto"/>
        </w:rPr>
        <w:t>餐厨垃圾运输车辆在任何路面条件下不得泄露和遗洒</w:t>
      </w:r>
      <w:r>
        <w:rPr>
          <w:rFonts w:hint="eastAsia"/>
          <w:bCs/>
          <w:color w:val="auto"/>
        </w:rPr>
        <w:t>。</w:t>
      </w:r>
      <w:r>
        <w:rPr>
          <w:bCs/>
          <w:color w:val="auto"/>
        </w:rPr>
        <w:t>餐厨垃圾</w:t>
      </w:r>
      <w:r>
        <w:rPr>
          <w:rFonts w:hint="eastAsia"/>
          <w:bCs/>
          <w:color w:val="auto"/>
        </w:rPr>
        <w:t>应</w:t>
      </w:r>
      <w:r>
        <w:rPr>
          <w:bCs/>
          <w:color w:val="auto"/>
        </w:rPr>
        <w:t>直接从收集点运输至处理厂</w:t>
      </w:r>
      <w:r>
        <w:rPr>
          <w:rFonts w:hint="eastAsia"/>
          <w:bCs/>
          <w:color w:val="auto"/>
        </w:rPr>
        <w:t>，中途不设中转站，</w:t>
      </w:r>
      <w:r>
        <w:rPr>
          <w:bCs/>
          <w:color w:val="auto"/>
        </w:rPr>
        <w:t>运输路线应避开交通拥挤路段，运输时间应避开交通高峰时段</w:t>
      </w:r>
      <w:r>
        <w:rPr>
          <w:rFonts w:hint="eastAsia"/>
          <w:bCs/>
          <w:color w:val="auto"/>
        </w:rPr>
        <w:t>，同时</w:t>
      </w:r>
      <w:r>
        <w:rPr>
          <w:bCs/>
          <w:color w:val="auto"/>
        </w:rPr>
        <w:t>餐厨垃圾运输车装、卸料</w:t>
      </w:r>
      <w:r>
        <w:rPr>
          <w:rFonts w:hint="eastAsia"/>
          <w:bCs/>
          <w:color w:val="auto"/>
        </w:rPr>
        <w:t>应</w:t>
      </w:r>
      <w:r>
        <w:rPr>
          <w:bCs/>
          <w:color w:val="auto"/>
        </w:rPr>
        <w:t>为机械操作</w:t>
      </w:r>
      <w:r>
        <w:rPr>
          <w:rFonts w:hint="eastAsia"/>
          <w:bCs/>
          <w:color w:val="auto"/>
        </w:rPr>
        <w:t>。</w:t>
      </w:r>
    </w:p>
    <w:p>
      <w:pPr>
        <w:autoSpaceDE w:val="0"/>
        <w:autoSpaceDN w:val="0"/>
        <w:adjustRightInd w:val="0"/>
        <w:spacing w:line="360" w:lineRule="auto"/>
        <w:ind w:firstLine="480" w:firstLineChars="200"/>
        <w:rPr>
          <w:color w:val="auto"/>
          <w:kern w:val="0"/>
        </w:rPr>
      </w:pPr>
      <w:r>
        <w:rPr>
          <w:color w:val="auto"/>
          <w:kern w:val="0"/>
        </w:rPr>
        <w:t>但是，若垃圾运输车出现垃圾水沿路洒漏，则会由雨水冲涮路面而对附近水体造成污染</w:t>
      </w:r>
      <w:r>
        <w:rPr>
          <w:rFonts w:hint="eastAsia"/>
          <w:color w:val="auto"/>
          <w:kern w:val="0"/>
        </w:rPr>
        <w:t>，因此，需加强运输车辆的管理，采用密封性能好的运输车辆，加强维修保养，杜绝垃圾运输车辆沿途撒漏垃圾和渗滤液的现象；定期清洗运输车，并加强垃圾运输道路沿线的保洁工作；每辆运输车都配备必要的通讯工具，供应急联络用，当运输过程中发生事故，运输人员必须尽快通知有关管理部门进行妥善处理；加强对运输司机的思想教育和技术培训，避免交通事故的发生。</w:t>
      </w:r>
    </w:p>
    <w:p>
      <w:pPr>
        <w:autoSpaceDE w:val="0"/>
        <w:autoSpaceDN w:val="0"/>
        <w:adjustRightInd w:val="0"/>
        <w:spacing w:line="360" w:lineRule="auto"/>
        <w:ind w:firstLine="480" w:firstLineChars="200"/>
        <w:rPr>
          <w:color w:val="auto"/>
          <w:kern w:val="0"/>
        </w:rPr>
      </w:pPr>
      <w:r>
        <w:rPr>
          <w:color w:val="auto"/>
          <w:kern w:val="0"/>
        </w:rPr>
        <w:t>在车辆密封良好的情况下，运输过程中可有效控制</w:t>
      </w:r>
      <w:r>
        <w:rPr>
          <w:rFonts w:hint="eastAsia"/>
          <w:color w:val="auto"/>
          <w:kern w:val="0"/>
        </w:rPr>
        <w:t>餐厨</w:t>
      </w:r>
      <w:r>
        <w:rPr>
          <w:color w:val="auto"/>
          <w:kern w:val="0"/>
        </w:rPr>
        <w:t>垃圾运输车的</w:t>
      </w:r>
      <w:r>
        <w:rPr>
          <w:rFonts w:hint="eastAsia"/>
          <w:color w:val="auto"/>
          <w:kern w:val="0"/>
        </w:rPr>
        <w:t>餐厨废水</w:t>
      </w:r>
      <w:r>
        <w:rPr>
          <w:color w:val="auto"/>
          <w:kern w:val="0"/>
        </w:rPr>
        <w:t>泄露问题，对垃圾运输车所经过的道路两旁水体水质影响不大</w:t>
      </w:r>
      <w:r>
        <w:rPr>
          <w:rFonts w:hint="eastAsia"/>
          <w:color w:val="auto"/>
          <w:kern w:val="0"/>
        </w:rPr>
        <w:t>。</w:t>
      </w:r>
    </w:p>
    <w:p>
      <w:pPr>
        <w:pStyle w:val="4"/>
        <w:numPr>
          <w:ilvl w:val="0"/>
          <w:numId w:val="0"/>
        </w:numPr>
        <w:tabs>
          <w:tab w:val="clear" w:pos="680"/>
        </w:tabs>
        <w:adjustRightInd w:val="0"/>
        <w:snapToGrid w:val="0"/>
        <w:ind w:left="720" w:right="240" w:hanging="720"/>
        <w:rPr>
          <w:b/>
          <w:color w:val="auto"/>
          <w:szCs w:val="24"/>
        </w:rPr>
      </w:pPr>
      <w:bookmarkStart w:id="682" w:name="_Toc480964399"/>
      <w:bookmarkStart w:id="683" w:name="_Toc406091951"/>
      <w:bookmarkStart w:id="684" w:name="_Toc450814974"/>
      <w:bookmarkStart w:id="685" w:name="_Toc34234743"/>
      <w:bookmarkStart w:id="686" w:name="_Toc24136824"/>
      <w:bookmarkStart w:id="687" w:name="_Toc483263321"/>
      <w:bookmarkStart w:id="688" w:name="_Toc15912205"/>
      <w:bookmarkStart w:id="689" w:name="_Toc478481594"/>
      <w:bookmarkStart w:id="690" w:name="_Toc26486"/>
      <w:bookmarkStart w:id="691" w:name="_Toc14946913"/>
      <w:r>
        <w:rPr>
          <w:rFonts w:hint="eastAsia"/>
          <w:b/>
          <w:color w:val="auto"/>
          <w:szCs w:val="24"/>
        </w:rPr>
        <w:t>5</w:t>
      </w:r>
      <w:r>
        <w:rPr>
          <w:b/>
          <w:color w:val="auto"/>
          <w:szCs w:val="24"/>
        </w:rPr>
        <w:t>.2.8环境风险评价</w:t>
      </w:r>
      <w:bookmarkEnd w:id="682"/>
      <w:bookmarkEnd w:id="683"/>
      <w:bookmarkEnd w:id="684"/>
      <w:bookmarkEnd w:id="685"/>
      <w:bookmarkEnd w:id="686"/>
      <w:bookmarkEnd w:id="687"/>
      <w:bookmarkEnd w:id="688"/>
      <w:bookmarkEnd w:id="689"/>
      <w:bookmarkEnd w:id="690"/>
      <w:bookmarkEnd w:id="691"/>
    </w:p>
    <w:p>
      <w:pPr>
        <w:spacing w:line="360" w:lineRule="auto"/>
        <w:ind w:firstLine="480" w:firstLineChars="200"/>
        <w:rPr>
          <w:color w:val="auto"/>
        </w:rPr>
      </w:pPr>
      <w:bookmarkStart w:id="692" w:name="_Toc428897011"/>
      <w:bookmarkStart w:id="693" w:name="_Toc428955617"/>
      <w:bookmarkStart w:id="694" w:name="_Toc422990935"/>
      <w:bookmarkStart w:id="695" w:name="_Toc480964400"/>
      <w:bookmarkStart w:id="696" w:name="_Toc478481595"/>
      <w:bookmarkStart w:id="697" w:name="_Toc476490577"/>
      <w:bookmarkStart w:id="698" w:name="_Toc476489743"/>
      <w:bookmarkStart w:id="699" w:name="_Toc483263322"/>
      <w:bookmarkStart w:id="700" w:name="_Toc476056010"/>
      <w:r>
        <w:rPr>
          <w:color w:val="auto"/>
        </w:rPr>
        <w:t>环境风险评价的目的是分析和预测建设项目存在的潜在危险、有害因素，建设项目建设和运营期间可能发生的突发性事件或事故，引起有毒有害和易燃易爆等物质泄漏，所造成的人身安全与环境影响和损害程度，以最大限度的避免事故的发生。</w:t>
      </w:r>
    </w:p>
    <w:p>
      <w:pPr>
        <w:spacing w:line="360" w:lineRule="auto"/>
        <w:ind w:firstLine="480" w:firstLineChars="200"/>
        <w:rPr>
          <w:color w:val="auto"/>
        </w:rPr>
      </w:pPr>
      <w:bookmarkStart w:id="701" w:name="_Toc478481596"/>
      <w:bookmarkStart w:id="702" w:name="_Toc476056011"/>
      <w:bookmarkStart w:id="703" w:name="_Toc476489744"/>
      <w:bookmarkStart w:id="704" w:name="_Toc483263323"/>
      <w:bookmarkStart w:id="705" w:name="_Toc480964401"/>
      <w:bookmarkStart w:id="706" w:name="_Toc476490578"/>
      <w:r>
        <w:rPr>
          <w:color w:val="auto"/>
        </w:rPr>
        <w:t>本项目环境风险评价针对垃圾的收集、存放、运输中转和处理处置的相关系统，发生突发性灾难事故时所造成的环境风险进行评价，并提出必要的防范、应急与减缓措施，使建设项目事故率达到可接受水平，损失和环境影响达到最小。</w:t>
      </w:r>
      <w:bookmarkEnd w:id="701"/>
      <w:bookmarkEnd w:id="702"/>
      <w:bookmarkEnd w:id="703"/>
      <w:bookmarkEnd w:id="704"/>
      <w:bookmarkEnd w:id="705"/>
      <w:bookmarkEnd w:id="706"/>
    </w:p>
    <w:p>
      <w:pPr>
        <w:spacing w:line="360" w:lineRule="auto"/>
        <w:rPr>
          <w:b/>
          <w:color w:val="auto"/>
        </w:rPr>
      </w:pPr>
      <w:bookmarkStart w:id="707" w:name="_Toc483263324"/>
      <w:bookmarkStart w:id="708" w:name="_Toc384881830"/>
      <w:bookmarkStart w:id="709" w:name="_Toc162750615"/>
      <w:bookmarkStart w:id="710" w:name="_Toc450814975"/>
      <w:bookmarkStart w:id="711" w:name="_Toc478481597"/>
      <w:bookmarkStart w:id="712" w:name="_Toc212524986"/>
      <w:bookmarkStart w:id="713" w:name="_Toc153712819"/>
      <w:bookmarkStart w:id="714" w:name="_Toc480964402"/>
      <w:r>
        <w:rPr>
          <w:b/>
          <w:color w:val="auto"/>
        </w:rPr>
        <w:t>5.2.8.1风险识别</w:t>
      </w:r>
      <w:bookmarkEnd w:id="707"/>
      <w:bookmarkEnd w:id="708"/>
      <w:bookmarkEnd w:id="709"/>
      <w:bookmarkEnd w:id="710"/>
      <w:bookmarkEnd w:id="711"/>
      <w:bookmarkEnd w:id="712"/>
      <w:bookmarkEnd w:id="713"/>
      <w:bookmarkEnd w:id="714"/>
    </w:p>
    <w:p>
      <w:pPr>
        <w:spacing w:line="360" w:lineRule="auto"/>
        <w:rPr>
          <w:b/>
          <w:color w:val="auto"/>
        </w:rPr>
      </w:pPr>
      <w:bookmarkStart w:id="715" w:name="_Toc476056013"/>
      <w:bookmarkStart w:id="716" w:name="_Toc480964403"/>
      <w:bookmarkStart w:id="717" w:name="_Toc476489746"/>
      <w:bookmarkStart w:id="718" w:name="_Toc476490580"/>
      <w:bookmarkStart w:id="719" w:name="_Toc478481598"/>
      <w:bookmarkStart w:id="720" w:name="_Toc483263325"/>
      <w:r>
        <w:rPr>
          <w:b/>
          <w:color w:val="auto"/>
        </w:rPr>
        <w:t>5.2.8.1.1</w:t>
      </w:r>
      <w:bookmarkEnd w:id="715"/>
      <w:bookmarkEnd w:id="716"/>
      <w:bookmarkEnd w:id="717"/>
      <w:bookmarkEnd w:id="718"/>
      <w:bookmarkEnd w:id="719"/>
      <w:bookmarkEnd w:id="720"/>
      <w:r>
        <w:rPr>
          <w:rFonts w:hint="eastAsia"/>
          <w:b/>
          <w:color w:val="auto"/>
        </w:rPr>
        <w:t>物质危险性识别</w:t>
      </w:r>
    </w:p>
    <w:p>
      <w:pPr>
        <w:autoSpaceDE w:val="0"/>
        <w:autoSpaceDN w:val="0"/>
        <w:adjustRightInd w:val="0"/>
        <w:spacing w:line="360" w:lineRule="auto"/>
        <w:ind w:firstLine="360" w:firstLineChars="150"/>
        <w:rPr>
          <w:color w:val="auto"/>
          <w:kern w:val="0"/>
        </w:rPr>
      </w:pPr>
      <w:r>
        <w:rPr>
          <w:color w:val="auto"/>
          <w:kern w:val="0"/>
        </w:rPr>
        <w:t>根据工程分析结果，项目所涉及的有毒、易燃、易爆物质为</w:t>
      </w:r>
      <w:r>
        <w:rPr>
          <w:rFonts w:hint="eastAsia"/>
          <w:color w:val="auto"/>
          <w:kern w:val="0"/>
        </w:rPr>
        <w:t>硫酸</w:t>
      </w:r>
      <w:r>
        <w:rPr>
          <w:color w:val="auto"/>
          <w:kern w:val="0"/>
        </w:rPr>
        <w:t>、</w:t>
      </w:r>
      <w:r>
        <w:rPr>
          <w:rFonts w:hint="eastAsia"/>
          <w:color w:val="auto"/>
          <w:kern w:val="0"/>
        </w:rPr>
        <w:t>氢氧化钠</w:t>
      </w:r>
      <w:r>
        <w:rPr>
          <w:color w:val="auto"/>
          <w:kern w:val="0"/>
        </w:rPr>
        <w:t>、</w:t>
      </w:r>
      <w:r>
        <w:rPr>
          <w:rFonts w:hint="eastAsia"/>
          <w:color w:val="auto"/>
          <w:kern w:val="0"/>
        </w:rPr>
        <w:t>淋溶液</w:t>
      </w:r>
      <w:r>
        <w:rPr>
          <w:color w:val="auto"/>
          <w:kern w:val="0"/>
        </w:rPr>
        <w:t>及</w:t>
      </w:r>
      <w:r>
        <w:rPr>
          <w:rFonts w:hint="eastAsia"/>
          <w:color w:val="auto"/>
          <w:kern w:val="0"/>
        </w:rPr>
        <w:t>餐厨</w:t>
      </w:r>
      <w:r>
        <w:rPr>
          <w:color w:val="auto"/>
          <w:kern w:val="0"/>
        </w:rPr>
        <w:t>垃圾渗滤液</w:t>
      </w:r>
      <w:r>
        <w:rPr>
          <w:rFonts w:hint="eastAsia"/>
          <w:color w:val="auto"/>
          <w:kern w:val="0"/>
        </w:rPr>
        <w:t>等</w:t>
      </w:r>
      <w:r>
        <w:rPr>
          <w:color w:val="auto"/>
          <w:kern w:val="0"/>
        </w:rPr>
        <w:t>。</w:t>
      </w:r>
    </w:p>
    <w:p>
      <w:pPr>
        <w:autoSpaceDE w:val="0"/>
        <w:autoSpaceDN w:val="0"/>
        <w:adjustRightInd w:val="0"/>
        <w:spacing w:line="360" w:lineRule="auto"/>
        <w:ind w:firstLine="480" w:firstLineChars="200"/>
        <w:rPr>
          <w:color w:val="auto"/>
          <w:kern w:val="0"/>
        </w:rPr>
      </w:pPr>
      <w:r>
        <w:rPr>
          <w:color w:val="auto"/>
          <w:kern w:val="0"/>
        </w:rPr>
        <w:t>本项目涉及的主要化学品原料中，</w:t>
      </w:r>
      <w:r>
        <w:rPr>
          <w:rFonts w:hint="eastAsia"/>
          <w:color w:val="auto"/>
          <w:kern w:val="0"/>
        </w:rPr>
        <w:t>餐厨</w:t>
      </w:r>
      <w:r>
        <w:rPr>
          <w:color w:val="auto"/>
          <w:kern w:val="0"/>
        </w:rPr>
        <w:t>垃圾渗滤液</w:t>
      </w:r>
      <w:r>
        <w:rPr>
          <w:rFonts w:hint="eastAsia"/>
          <w:color w:val="auto"/>
          <w:kern w:val="0"/>
        </w:rPr>
        <w:t>和淋溶液</w:t>
      </w:r>
      <w:r>
        <w:rPr>
          <w:color w:val="auto"/>
          <w:kern w:val="0"/>
        </w:rPr>
        <w:t>属于易引发环境污染物质，其危险性相对较低。</w:t>
      </w:r>
      <w:r>
        <w:rPr>
          <w:rFonts w:hint="eastAsia"/>
          <w:color w:val="auto"/>
          <w:kern w:val="0"/>
        </w:rPr>
        <w:t>硫酸和氢氧化钠有毒有害物质，</w:t>
      </w:r>
      <w:r>
        <w:rPr>
          <w:bCs/>
          <w:color w:val="auto"/>
          <w:spacing w:val="8"/>
        </w:rPr>
        <w:t>根据</w:t>
      </w:r>
      <w:r>
        <w:rPr>
          <w:color w:val="auto"/>
        </w:rPr>
        <w:t>《危险化学品重大危险源辨识》（GB 18218-20</w:t>
      </w:r>
      <w:r>
        <w:rPr>
          <w:rFonts w:hint="eastAsia"/>
          <w:color w:val="auto"/>
        </w:rPr>
        <w:t>18</w:t>
      </w:r>
      <w:r>
        <w:rPr>
          <w:color w:val="auto"/>
        </w:rPr>
        <w:t>）和《危险货物品名表》（GB 12268-2005），</w:t>
      </w:r>
      <w:r>
        <w:rPr>
          <w:rFonts w:hint="eastAsia"/>
          <w:color w:val="auto"/>
        </w:rPr>
        <w:t>本</w:t>
      </w:r>
      <w:r>
        <w:rPr>
          <w:bCs/>
          <w:color w:val="auto"/>
          <w:spacing w:val="8"/>
        </w:rPr>
        <w:t>项目主要原材料的危险特性辨识见</w:t>
      </w:r>
      <w:r>
        <w:rPr>
          <w:rFonts w:hint="eastAsia"/>
          <w:bCs/>
          <w:color w:val="auto"/>
          <w:spacing w:val="8"/>
        </w:rPr>
        <w:t>下</w:t>
      </w:r>
      <w:r>
        <w:rPr>
          <w:bCs/>
          <w:color w:val="auto"/>
          <w:spacing w:val="8"/>
        </w:rPr>
        <w:t>表。</w:t>
      </w:r>
    </w:p>
    <w:p>
      <w:pPr>
        <w:pStyle w:val="290"/>
        <w:spacing w:line="360" w:lineRule="auto"/>
        <w:rPr>
          <w:color w:val="auto"/>
          <w:lang w:val="zh-CN"/>
        </w:rPr>
      </w:pPr>
      <w:r>
        <w:rPr>
          <w:color w:val="auto"/>
        </w:rPr>
        <w:t>表</w:t>
      </w:r>
      <w:r>
        <w:rPr>
          <w:rFonts w:hint="eastAsia"/>
          <w:color w:val="auto"/>
        </w:rPr>
        <w:t xml:space="preserve">5.2-26 </w:t>
      </w:r>
      <w:r>
        <w:rPr>
          <w:rFonts w:hint="eastAsia"/>
          <w:color w:val="auto"/>
          <w:lang w:val="zh-CN"/>
        </w:rPr>
        <w:t>硫酸（98%）理化性质</w:t>
      </w:r>
    </w:p>
    <w:tbl>
      <w:tblPr>
        <w:tblStyle w:val="53"/>
        <w:tblW w:w="9287"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101"/>
        <w:gridCol w:w="3828"/>
        <w:gridCol w:w="4358"/>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1101" w:type="dxa"/>
            <w:vMerge w:val="restart"/>
            <w:shd w:val="clear" w:color="auto" w:fill="auto"/>
            <w:vAlign w:val="center"/>
          </w:tcPr>
          <w:p>
            <w:pPr>
              <w:rPr>
                <w:b/>
                <w:color w:val="auto"/>
                <w:sz w:val="21"/>
                <w:szCs w:val="21"/>
              </w:rPr>
            </w:pPr>
            <w:r>
              <w:rPr>
                <w:b/>
                <w:color w:val="auto"/>
                <w:sz w:val="21"/>
                <w:szCs w:val="21"/>
              </w:rPr>
              <w:t>基本信息</w:t>
            </w:r>
          </w:p>
        </w:tc>
        <w:tc>
          <w:tcPr>
            <w:tcW w:w="3828" w:type="dxa"/>
            <w:shd w:val="clear" w:color="auto" w:fill="auto"/>
            <w:vAlign w:val="center"/>
          </w:tcPr>
          <w:p>
            <w:pPr>
              <w:rPr>
                <w:color w:val="auto"/>
                <w:sz w:val="21"/>
                <w:szCs w:val="21"/>
              </w:rPr>
            </w:pPr>
            <w:r>
              <w:rPr>
                <w:rFonts w:hint="eastAsia"/>
                <w:color w:val="auto"/>
                <w:sz w:val="21"/>
                <w:szCs w:val="21"/>
              </w:rPr>
              <w:t>技术说明书编码</w:t>
            </w:r>
          </w:p>
        </w:tc>
        <w:tc>
          <w:tcPr>
            <w:tcW w:w="4358" w:type="dxa"/>
            <w:shd w:val="clear" w:color="auto" w:fill="auto"/>
            <w:vAlign w:val="center"/>
          </w:tcPr>
          <w:p>
            <w:pPr>
              <w:rPr>
                <w:color w:val="auto"/>
                <w:sz w:val="21"/>
                <w:szCs w:val="21"/>
              </w:rPr>
            </w:pPr>
            <w:r>
              <w:rPr>
                <w:color w:val="auto"/>
                <w:sz w:val="21"/>
                <w:szCs w:val="21"/>
              </w:rPr>
              <w:t>954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1101" w:type="dxa"/>
            <w:vMerge w:val="continue"/>
            <w:shd w:val="clear" w:color="auto" w:fill="auto"/>
            <w:vAlign w:val="center"/>
          </w:tcPr>
          <w:p>
            <w:pPr>
              <w:rPr>
                <w:b/>
                <w:color w:val="auto"/>
                <w:sz w:val="21"/>
                <w:szCs w:val="21"/>
              </w:rPr>
            </w:pPr>
          </w:p>
        </w:tc>
        <w:tc>
          <w:tcPr>
            <w:tcW w:w="3828" w:type="dxa"/>
            <w:shd w:val="clear" w:color="auto" w:fill="auto"/>
            <w:vAlign w:val="center"/>
          </w:tcPr>
          <w:p>
            <w:pPr>
              <w:rPr>
                <w:color w:val="auto"/>
                <w:sz w:val="21"/>
                <w:szCs w:val="21"/>
              </w:rPr>
            </w:pPr>
            <w:r>
              <w:rPr>
                <w:color w:val="auto"/>
                <w:sz w:val="21"/>
                <w:szCs w:val="21"/>
              </w:rPr>
              <w:t>CAS号</w:t>
            </w:r>
          </w:p>
        </w:tc>
        <w:tc>
          <w:tcPr>
            <w:tcW w:w="4358" w:type="dxa"/>
            <w:shd w:val="clear" w:color="auto" w:fill="auto"/>
            <w:vAlign w:val="center"/>
          </w:tcPr>
          <w:p>
            <w:pPr>
              <w:rPr>
                <w:color w:val="auto"/>
                <w:sz w:val="21"/>
                <w:szCs w:val="21"/>
              </w:rPr>
            </w:pPr>
            <w:r>
              <w:rPr>
                <w:color w:val="auto"/>
                <w:sz w:val="21"/>
                <w:szCs w:val="21"/>
              </w:rPr>
              <w:t>7664-93-9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1101" w:type="dxa"/>
            <w:vMerge w:val="continue"/>
            <w:shd w:val="clear" w:color="auto" w:fill="auto"/>
            <w:vAlign w:val="center"/>
          </w:tcPr>
          <w:p>
            <w:pPr>
              <w:rPr>
                <w:b/>
                <w:color w:val="auto"/>
                <w:sz w:val="21"/>
                <w:szCs w:val="21"/>
              </w:rPr>
            </w:pPr>
          </w:p>
        </w:tc>
        <w:tc>
          <w:tcPr>
            <w:tcW w:w="3828" w:type="dxa"/>
            <w:shd w:val="clear" w:color="auto" w:fill="auto"/>
            <w:vAlign w:val="center"/>
          </w:tcPr>
          <w:p>
            <w:pPr>
              <w:rPr>
                <w:color w:val="auto"/>
                <w:sz w:val="21"/>
                <w:szCs w:val="21"/>
              </w:rPr>
            </w:pPr>
            <w:r>
              <w:rPr>
                <w:color w:val="auto"/>
                <w:sz w:val="21"/>
                <w:szCs w:val="21"/>
              </w:rPr>
              <w:t>分子式</w:t>
            </w:r>
          </w:p>
        </w:tc>
        <w:tc>
          <w:tcPr>
            <w:tcW w:w="4358" w:type="dxa"/>
            <w:shd w:val="clear" w:color="auto" w:fill="auto"/>
            <w:vAlign w:val="center"/>
          </w:tcPr>
          <w:p>
            <w:pPr>
              <w:rPr>
                <w:color w:val="auto"/>
                <w:sz w:val="21"/>
                <w:szCs w:val="21"/>
              </w:rPr>
            </w:pPr>
            <w:r>
              <w:rPr>
                <w:rFonts w:hint="eastAsia"/>
                <w:color w:val="auto"/>
                <w:sz w:val="21"/>
                <w:szCs w:val="21"/>
                <w:shd w:val="clear" w:color="auto" w:fill="FFFFFF"/>
              </w:rPr>
              <w:t>H</w:t>
            </w:r>
            <w:r>
              <w:rPr>
                <w:rFonts w:hint="eastAsia"/>
                <w:color w:val="auto"/>
                <w:shd w:val="clear" w:color="auto" w:fill="FFFFFF"/>
                <w:vertAlign w:val="subscript"/>
              </w:rPr>
              <w:t>2</w:t>
            </w:r>
            <w:r>
              <w:rPr>
                <w:rFonts w:hint="eastAsia"/>
                <w:color w:val="auto"/>
                <w:sz w:val="21"/>
                <w:szCs w:val="21"/>
                <w:shd w:val="clear" w:color="auto" w:fill="FFFFFF"/>
              </w:rPr>
              <w:t>SO</w:t>
            </w:r>
            <w:r>
              <w:rPr>
                <w:rFonts w:hint="eastAsia"/>
                <w:color w:val="auto"/>
                <w:shd w:val="clear" w:color="auto" w:fill="FFFFFF"/>
                <w:vertAlign w:val="subscript"/>
              </w:rPr>
              <w:t>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1101" w:type="dxa"/>
            <w:vMerge w:val="continue"/>
            <w:shd w:val="clear" w:color="auto" w:fill="auto"/>
            <w:vAlign w:val="center"/>
          </w:tcPr>
          <w:p>
            <w:pPr>
              <w:rPr>
                <w:b/>
                <w:color w:val="auto"/>
                <w:sz w:val="21"/>
                <w:szCs w:val="21"/>
              </w:rPr>
            </w:pPr>
          </w:p>
        </w:tc>
        <w:tc>
          <w:tcPr>
            <w:tcW w:w="3828" w:type="dxa"/>
            <w:shd w:val="clear" w:color="auto" w:fill="auto"/>
            <w:vAlign w:val="center"/>
          </w:tcPr>
          <w:p>
            <w:pPr>
              <w:rPr>
                <w:color w:val="auto"/>
                <w:sz w:val="21"/>
                <w:szCs w:val="21"/>
              </w:rPr>
            </w:pPr>
            <w:r>
              <w:rPr>
                <w:rFonts w:hint="eastAsia"/>
                <w:color w:val="auto"/>
                <w:sz w:val="21"/>
                <w:szCs w:val="21"/>
              </w:rPr>
              <w:t>分子量</w:t>
            </w:r>
          </w:p>
        </w:tc>
        <w:tc>
          <w:tcPr>
            <w:tcW w:w="4358" w:type="dxa"/>
            <w:shd w:val="clear" w:color="auto" w:fill="auto"/>
            <w:vAlign w:val="center"/>
          </w:tcPr>
          <w:p>
            <w:pPr>
              <w:rPr>
                <w:color w:val="auto"/>
                <w:sz w:val="21"/>
                <w:szCs w:val="21"/>
                <w:shd w:val="clear" w:color="auto" w:fill="FFFFFF"/>
              </w:rPr>
            </w:pPr>
            <w:r>
              <w:rPr>
                <w:rFonts w:hint="eastAsia"/>
                <w:color w:val="auto"/>
                <w:sz w:val="21"/>
                <w:szCs w:val="21"/>
                <w:shd w:val="clear" w:color="auto" w:fill="FFFFFF"/>
              </w:rPr>
              <w:t>98.08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1101" w:type="dxa"/>
            <w:shd w:val="clear" w:color="auto" w:fill="auto"/>
            <w:vAlign w:val="center"/>
          </w:tcPr>
          <w:p>
            <w:pPr>
              <w:rPr>
                <w:b/>
                <w:color w:val="auto"/>
                <w:sz w:val="21"/>
                <w:szCs w:val="21"/>
              </w:rPr>
            </w:pPr>
            <w:r>
              <w:rPr>
                <w:b/>
                <w:color w:val="auto"/>
                <w:sz w:val="21"/>
                <w:szCs w:val="21"/>
              </w:rPr>
              <w:t>物化性质</w:t>
            </w:r>
          </w:p>
        </w:tc>
        <w:tc>
          <w:tcPr>
            <w:tcW w:w="8186" w:type="dxa"/>
            <w:gridSpan w:val="2"/>
            <w:shd w:val="clear" w:color="auto" w:fill="auto"/>
            <w:vAlign w:val="center"/>
          </w:tcPr>
          <w:p>
            <w:pPr>
              <w:rPr>
                <w:color w:val="auto"/>
                <w:sz w:val="21"/>
                <w:szCs w:val="21"/>
              </w:rPr>
            </w:pPr>
            <w:r>
              <w:rPr>
                <w:rFonts w:hint="eastAsia"/>
                <w:color w:val="auto"/>
                <w:sz w:val="21"/>
                <w:szCs w:val="21"/>
                <w:shd w:val="clear" w:color="auto" w:fill="FFFFFF"/>
              </w:rPr>
              <w:t>纯品为无色透明油状液体，无臭。熔点10.5℃、沸点330.0℃、相对密度（水=1）1.83、饱和蒸气压0.13kpa（145.8℃），与水混溶。</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1101" w:type="dxa"/>
            <w:shd w:val="clear" w:color="auto" w:fill="auto"/>
            <w:vAlign w:val="center"/>
          </w:tcPr>
          <w:p>
            <w:pPr>
              <w:rPr>
                <w:b/>
                <w:color w:val="auto"/>
                <w:sz w:val="21"/>
                <w:szCs w:val="21"/>
              </w:rPr>
            </w:pPr>
            <w:r>
              <w:rPr>
                <w:b/>
                <w:color w:val="auto"/>
                <w:sz w:val="21"/>
                <w:szCs w:val="21"/>
              </w:rPr>
              <w:t>主要用途</w:t>
            </w:r>
          </w:p>
        </w:tc>
        <w:tc>
          <w:tcPr>
            <w:tcW w:w="8186" w:type="dxa"/>
            <w:gridSpan w:val="2"/>
            <w:shd w:val="clear" w:color="auto" w:fill="auto"/>
            <w:vAlign w:val="center"/>
          </w:tcPr>
          <w:p>
            <w:pPr>
              <w:rPr>
                <w:color w:val="auto"/>
                <w:sz w:val="21"/>
                <w:szCs w:val="21"/>
              </w:rPr>
            </w:pPr>
            <w:r>
              <w:rPr>
                <w:rFonts w:hint="eastAsia"/>
                <w:color w:val="auto"/>
                <w:sz w:val="21"/>
                <w:szCs w:val="21"/>
                <w:shd w:val="clear" w:color="auto" w:fill="FFFFFF"/>
              </w:rPr>
              <w:t>用于生产化学肥料，在化工、医药、塑料、染料、石油提炼等工业也有广泛的应用。</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1101" w:type="dxa"/>
            <w:shd w:val="clear" w:color="auto" w:fill="auto"/>
            <w:vAlign w:val="center"/>
          </w:tcPr>
          <w:p>
            <w:pPr>
              <w:rPr>
                <w:b/>
                <w:color w:val="auto"/>
                <w:sz w:val="21"/>
                <w:szCs w:val="21"/>
              </w:rPr>
            </w:pPr>
            <w:r>
              <w:rPr>
                <w:rFonts w:hint="eastAsia"/>
                <w:b/>
                <w:color w:val="auto"/>
                <w:sz w:val="21"/>
                <w:szCs w:val="21"/>
              </w:rPr>
              <w:t>有毒有害性质</w:t>
            </w:r>
          </w:p>
        </w:tc>
        <w:tc>
          <w:tcPr>
            <w:tcW w:w="8186" w:type="dxa"/>
            <w:gridSpan w:val="2"/>
            <w:shd w:val="clear" w:color="auto" w:fill="auto"/>
            <w:vAlign w:val="center"/>
          </w:tcPr>
          <w:p>
            <w:pPr>
              <w:rPr>
                <w:color w:val="auto"/>
                <w:sz w:val="21"/>
                <w:szCs w:val="21"/>
              </w:rPr>
            </w:pPr>
            <w:r>
              <w:rPr>
                <w:color w:val="auto"/>
                <w:sz w:val="21"/>
                <w:szCs w:val="21"/>
              </w:rPr>
              <w:t>侵入途径：</w:t>
            </w:r>
            <w:r>
              <w:rPr>
                <w:rFonts w:hint="eastAsia"/>
                <w:color w:val="auto"/>
                <w:sz w:val="21"/>
                <w:szCs w:val="21"/>
              </w:rPr>
              <w:t>皮肤接触、眼睛接触、吸入、食入。</w:t>
            </w:r>
          </w:p>
          <w:p>
            <w:pPr>
              <w:rPr>
                <w:color w:val="auto"/>
                <w:sz w:val="21"/>
                <w:szCs w:val="21"/>
              </w:rPr>
            </w:pPr>
            <w:r>
              <w:rPr>
                <w:color w:val="auto"/>
                <w:sz w:val="21"/>
                <w:szCs w:val="21"/>
              </w:rPr>
              <w:t>健康危害：</w:t>
            </w:r>
            <w:r>
              <w:rPr>
                <w:rFonts w:hint="eastAsia"/>
                <w:color w:val="auto"/>
                <w:sz w:val="21"/>
                <w:szCs w:val="21"/>
              </w:rPr>
              <w:t>对皮肤、粘膜等组织有强烈的刺激和腐蚀作用。蒸气或雾可引起结膜炎、结膜水肿、角膜混浊，以致失明；引起呼吸道刺激，重者发生呼吸困难和肺水肿；高浓度引起喉痉挛或声门水肿而窒息死亡。口服后引起消化道烧伤以致溃疡形成；严重者可能有胃穿孔、腹膜炎、肾损害、休克等。皮肤灼伤轻者出现红斑、重者形成溃疡，愈后癍痕收缩影响功能。溅入眼内可造成灼伤，甚至角膜穿孔、全眼炎以至失明。慢性影响：牙齿酸蚀症、慢性支气管炎、肺气肿和肺硬化。</w:t>
            </w:r>
          </w:p>
          <w:p>
            <w:pPr>
              <w:rPr>
                <w:color w:val="auto"/>
                <w:sz w:val="21"/>
                <w:szCs w:val="21"/>
              </w:rPr>
            </w:pPr>
            <w:r>
              <w:rPr>
                <w:color w:val="auto"/>
                <w:sz w:val="21"/>
                <w:szCs w:val="21"/>
              </w:rPr>
              <w:t>急性毒性：</w:t>
            </w:r>
            <w:r>
              <w:rPr>
                <w:rFonts w:hint="eastAsia"/>
                <w:color w:val="auto"/>
                <w:sz w:val="21"/>
                <w:szCs w:val="21"/>
              </w:rPr>
              <w:t>LD50：2140mg/kg（大鼠经口）；LC50：510mg/m</w:t>
            </w:r>
            <w:r>
              <w:rPr>
                <w:rFonts w:hint="eastAsia"/>
                <w:color w:val="auto"/>
                <w:sz w:val="21"/>
                <w:szCs w:val="21"/>
                <w:vertAlign w:val="superscript"/>
              </w:rPr>
              <w:t>3</w:t>
            </w:r>
            <w:r>
              <w:rPr>
                <w:rFonts w:hint="eastAsia"/>
                <w:color w:val="auto"/>
                <w:sz w:val="21"/>
                <w:szCs w:val="21"/>
              </w:rPr>
              <w:t>，2小时（大鼠吸入）；320mg/m</w:t>
            </w:r>
            <w:r>
              <w:rPr>
                <w:rFonts w:hint="eastAsia"/>
                <w:color w:val="auto"/>
                <w:sz w:val="21"/>
                <w:szCs w:val="21"/>
                <w:vertAlign w:val="superscript"/>
              </w:rPr>
              <w:t>3</w:t>
            </w:r>
            <w:r>
              <w:rPr>
                <w:rFonts w:hint="eastAsia"/>
                <w:color w:val="auto"/>
                <w:sz w:val="21"/>
                <w:szCs w:val="21"/>
              </w:rPr>
              <w:t>，2小时（小鼠吸入）。</w:t>
            </w:r>
          </w:p>
          <w:p>
            <w:pPr>
              <w:rPr>
                <w:color w:val="auto"/>
                <w:sz w:val="21"/>
                <w:szCs w:val="21"/>
              </w:rPr>
            </w:pPr>
            <w:r>
              <w:rPr>
                <w:rFonts w:hint="eastAsia"/>
                <w:color w:val="auto"/>
                <w:sz w:val="21"/>
                <w:szCs w:val="21"/>
              </w:rPr>
              <w:t>刺激性：家兔经眼：1380μg，重度刺激。</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1101" w:type="dxa"/>
            <w:shd w:val="clear" w:color="auto" w:fill="auto"/>
            <w:vAlign w:val="center"/>
          </w:tcPr>
          <w:p>
            <w:pPr>
              <w:rPr>
                <w:b/>
                <w:color w:val="auto"/>
                <w:sz w:val="21"/>
                <w:szCs w:val="21"/>
              </w:rPr>
            </w:pPr>
            <w:r>
              <w:rPr>
                <w:b/>
                <w:color w:val="auto"/>
                <w:sz w:val="21"/>
                <w:szCs w:val="21"/>
              </w:rPr>
              <w:t>危险特性</w:t>
            </w:r>
          </w:p>
        </w:tc>
        <w:tc>
          <w:tcPr>
            <w:tcW w:w="8186" w:type="dxa"/>
            <w:gridSpan w:val="2"/>
            <w:shd w:val="clear" w:color="auto" w:fill="auto"/>
            <w:vAlign w:val="center"/>
          </w:tcPr>
          <w:p>
            <w:pPr>
              <w:rPr>
                <w:color w:val="auto"/>
                <w:sz w:val="21"/>
                <w:szCs w:val="21"/>
              </w:rPr>
            </w:pPr>
            <w:r>
              <w:rPr>
                <w:rFonts w:hint="eastAsia"/>
                <w:color w:val="auto"/>
                <w:sz w:val="21"/>
                <w:szCs w:val="21"/>
              </w:rPr>
              <w:t>环境危害：对环境有危害，对水体和土壤可造成污染。</w:t>
            </w:r>
          </w:p>
          <w:p>
            <w:pPr>
              <w:rPr>
                <w:color w:val="auto"/>
                <w:sz w:val="21"/>
                <w:szCs w:val="21"/>
              </w:rPr>
            </w:pPr>
            <w:r>
              <w:rPr>
                <w:rFonts w:hint="eastAsia"/>
                <w:color w:val="auto"/>
                <w:sz w:val="21"/>
                <w:szCs w:val="21"/>
              </w:rPr>
              <w:t>燃爆危险：本品助燃，具强腐蚀性、强刺激性，可致人体灼伤。</w:t>
            </w:r>
          </w:p>
        </w:tc>
      </w:tr>
    </w:tbl>
    <w:p>
      <w:pPr>
        <w:ind w:firstLine="480"/>
        <w:rPr>
          <w:rFonts w:eastAsiaTheme="minorEastAsia"/>
          <w:color w:val="auto"/>
        </w:rPr>
      </w:pPr>
    </w:p>
    <w:p>
      <w:pPr>
        <w:autoSpaceDE w:val="0"/>
        <w:autoSpaceDN w:val="0"/>
        <w:adjustRightInd w:val="0"/>
        <w:spacing w:line="360" w:lineRule="auto"/>
        <w:rPr>
          <w:color w:val="auto"/>
          <w:kern w:val="0"/>
        </w:rPr>
      </w:pPr>
      <w:r>
        <w:rPr>
          <w:b/>
          <w:color w:val="auto"/>
        </w:rPr>
        <w:t>5.2.8.1.</w:t>
      </w:r>
      <w:r>
        <w:rPr>
          <w:rFonts w:hint="eastAsia"/>
          <w:b/>
          <w:color w:val="auto"/>
        </w:rPr>
        <w:t>2</w:t>
      </w:r>
      <w:r>
        <w:rPr>
          <w:b/>
          <w:color w:val="auto"/>
        </w:rPr>
        <w:t>可能影响环境的途径</w:t>
      </w:r>
    </w:p>
    <w:p>
      <w:pPr>
        <w:autoSpaceDE w:val="0"/>
        <w:autoSpaceDN w:val="0"/>
        <w:adjustRightInd w:val="0"/>
        <w:spacing w:line="360" w:lineRule="auto"/>
        <w:ind w:firstLine="360" w:firstLineChars="150"/>
        <w:rPr>
          <w:color w:val="auto"/>
          <w:kern w:val="0"/>
        </w:rPr>
      </w:pPr>
      <w:r>
        <w:rPr>
          <w:color w:val="auto"/>
          <w:kern w:val="0"/>
        </w:rPr>
        <w:t>生产过程风险识别主要包括对生产过程、环保设施、贮运系统等环节出现故障时可能发生的事故风险进行识别。</w:t>
      </w:r>
    </w:p>
    <w:p>
      <w:pPr>
        <w:autoSpaceDE w:val="0"/>
        <w:autoSpaceDN w:val="0"/>
        <w:adjustRightInd w:val="0"/>
        <w:spacing w:line="360" w:lineRule="auto"/>
        <w:rPr>
          <w:color w:val="auto"/>
          <w:kern w:val="0"/>
        </w:rPr>
      </w:pPr>
      <w:r>
        <w:rPr>
          <w:color w:val="auto"/>
          <w:kern w:val="0"/>
        </w:rPr>
        <w:t>1、生产运行系统的潜在风险</w:t>
      </w:r>
    </w:p>
    <w:p>
      <w:pPr>
        <w:autoSpaceDE w:val="0"/>
        <w:autoSpaceDN w:val="0"/>
        <w:adjustRightInd w:val="0"/>
        <w:spacing w:line="360" w:lineRule="auto"/>
        <w:ind w:firstLine="360" w:firstLineChars="150"/>
        <w:rPr>
          <w:color w:val="auto"/>
          <w:kern w:val="0"/>
        </w:rPr>
      </w:pPr>
      <w:r>
        <w:rPr>
          <w:color w:val="auto"/>
          <w:kern w:val="0"/>
        </w:rPr>
        <w:t>本项目生产过程中的主要危害集中在</w:t>
      </w:r>
      <w:r>
        <w:rPr>
          <w:rFonts w:hint="eastAsia"/>
          <w:color w:val="auto"/>
          <w:kern w:val="0"/>
        </w:rPr>
        <w:t>餐厨垃圾处理过程</w:t>
      </w:r>
      <w:r>
        <w:rPr>
          <w:color w:val="auto"/>
          <w:kern w:val="0"/>
        </w:rPr>
        <w:t>，在贮存过程中会产生一定量的硫化氢等恶臭，如对这些废气不能进行有效的收集并处理而直接对外排放，对人体将产生一定的危害。</w:t>
      </w:r>
    </w:p>
    <w:p>
      <w:pPr>
        <w:autoSpaceDE w:val="0"/>
        <w:autoSpaceDN w:val="0"/>
        <w:adjustRightInd w:val="0"/>
        <w:spacing w:line="360" w:lineRule="auto"/>
        <w:rPr>
          <w:color w:val="auto"/>
          <w:kern w:val="0"/>
        </w:rPr>
      </w:pPr>
      <w:r>
        <w:rPr>
          <w:color w:val="auto"/>
          <w:kern w:val="0"/>
        </w:rPr>
        <w:t>2、运输系统的潜在风险</w:t>
      </w:r>
    </w:p>
    <w:p>
      <w:pPr>
        <w:autoSpaceDE w:val="0"/>
        <w:autoSpaceDN w:val="0"/>
        <w:adjustRightInd w:val="0"/>
        <w:spacing w:line="360" w:lineRule="auto"/>
        <w:ind w:firstLine="480" w:firstLineChars="200"/>
        <w:rPr>
          <w:color w:val="auto"/>
          <w:kern w:val="0"/>
        </w:rPr>
      </w:pPr>
      <w:r>
        <w:rPr>
          <w:color w:val="auto"/>
          <w:kern w:val="0"/>
        </w:rPr>
        <w:t>本项目处置的</w:t>
      </w:r>
      <w:r>
        <w:rPr>
          <w:rFonts w:hint="eastAsia"/>
          <w:color w:val="auto"/>
          <w:kern w:val="0"/>
        </w:rPr>
        <w:t>餐厨垃圾和建筑垃圾</w:t>
      </w:r>
      <w:r>
        <w:rPr>
          <w:color w:val="auto"/>
          <w:kern w:val="0"/>
        </w:rPr>
        <w:t>是从</w:t>
      </w:r>
      <w:r>
        <w:rPr>
          <w:rFonts w:hint="eastAsia"/>
          <w:color w:val="auto"/>
          <w:kern w:val="0"/>
        </w:rPr>
        <w:t>兴宁市</w:t>
      </w:r>
      <w:r>
        <w:rPr>
          <w:color w:val="auto"/>
          <w:kern w:val="0"/>
        </w:rPr>
        <w:t>各镇收集，首先由各镇收集送至各中转点，再集中运输至项目厂区。在</w:t>
      </w:r>
      <w:r>
        <w:rPr>
          <w:rFonts w:hint="eastAsia"/>
          <w:color w:val="auto"/>
          <w:kern w:val="0"/>
        </w:rPr>
        <w:t>厂外</w:t>
      </w:r>
      <w:r>
        <w:rPr>
          <w:color w:val="auto"/>
          <w:kern w:val="0"/>
        </w:rPr>
        <w:t>运输过程中若因疏忽或交通事故导致</w:t>
      </w:r>
      <w:r>
        <w:rPr>
          <w:rFonts w:hint="eastAsia"/>
          <w:color w:val="auto"/>
          <w:kern w:val="0"/>
        </w:rPr>
        <w:t>餐厨</w:t>
      </w:r>
      <w:r>
        <w:rPr>
          <w:color w:val="auto"/>
          <w:kern w:val="0"/>
        </w:rPr>
        <w:t>垃圾散落</w:t>
      </w:r>
      <w:r>
        <w:rPr>
          <w:rFonts w:hint="eastAsia"/>
          <w:color w:val="auto"/>
          <w:kern w:val="0"/>
        </w:rPr>
        <w:t>或者餐厨废水泄露</w:t>
      </w:r>
      <w:r>
        <w:rPr>
          <w:color w:val="auto"/>
          <w:kern w:val="0"/>
        </w:rPr>
        <w:t>，则会对</w:t>
      </w:r>
      <w:r>
        <w:rPr>
          <w:rFonts w:hint="eastAsia"/>
          <w:color w:val="auto"/>
          <w:kern w:val="0"/>
        </w:rPr>
        <w:t>周边</w:t>
      </w:r>
      <w:r>
        <w:rPr>
          <w:color w:val="auto"/>
          <w:kern w:val="0"/>
        </w:rPr>
        <w:t>区域环境</w:t>
      </w:r>
      <w:r>
        <w:rPr>
          <w:rFonts w:hint="eastAsia"/>
          <w:color w:val="auto"/>
          <w:kern w:val="0"/>
        </w:rPr>
        <w:t>特别是周边水体环境</w:t>
      </w:r>
      <w:r>
        <w:rPr>
          <w:color w:val="auto"/>
          <w:kern w:val="0"/>
        </w:rPr>
        <w:t>造成污染</w:t>
      </w:r>
      <w:r>
        <w:rPr>
          <w:rFonts w:hint="eastAsia"/>
          <w:color w:val="auto"/>
          <w:kern w:val="0"/>
        </w:rPr>
        <w:t>，具有一定的风险性，此外，本项目厂区内废水管线的敷设出现泄露，也会对周边环境造成污染，具有一定的风险性</w:t>
      </w:r>
      <w:r>
        <w:rPr>
          <w:color w:val="auto"/>
          <w:kern w:val="0"/>
        </w:rPr>
        <w:t>。</w:t>
      </w:r>
    </w:p>
    <w:p>
      <w:pPr>
        <w:spacing w:line="360" w:lineRule="auto"/>
        <w:ind w:firstLine="480"/>
        <w:rPr>
          <w:color w:val="auto"/>
        </w:rPr>
      </w:pPr>
      <w:r>
        <w:rPr>
          <w:rFonts w:hint="eastAsia"/>
          <w:color w:val="auto"/>
        </w:rPr>
        <w:t>装运危险化学品（硫酸和氢氧化钠）的车辆的安全状也是况是引起事故的一个重要因素，车辆技术状况的好坏，是危险化学品安全运输的基础，如果状况不好会严重影响行车安全，导致事故发生。</w:t>
      </w:r>
    </w:p>
    <w:p>
      <w:pPr>
        <w:autoSpaceDE w:val="0"/>
        <w:autoSpaceDN w:val="0"/>
        <w:adjustRightInd w:val="0"/>
        <w:spacing w:line="360" w:lineRule="auto"/>
        <w:rPr>
          <w:color w:val="auto"/>
          <w:kern w:val="0"/>
        </w:rPr>
      </w:pPr>
      <w:r>
        <w:rPr>
          <w:color w:val="auto"/>
          <w:kern w:val="0"/>
        </w:rPr>
        <w:t>3、贮存系统风险</w:t>
      </w:r>
    </w:p>
    <w:p>
      <w:pPr>
        <w:autoSpaceDE w:val="0"/>
        <w:autoSpaceDN w:val="0"/>
        <w:adjustRightInd w:val="0"/>
        <w:spacing w:line="360" w:lineRule="auto"/>
        <w:ind w:firstLine="480" w:firstLineChars="200"/>
        <w:rPr>
          <w:color w:val="auto"/>
          <w:kern w:val="0"/>
        </w:rPr>
      </w:pPr>
      <w:r>
        <w:rPr>
          <w:color w:val="auto"/>
          <w:kern w:val="0"/>
        </w:rPr>
        <w:t>项目回收的</w:t>
      </w:r>
      <w:r>
        <w:rPr>
          <w:rFonts w:hint="eastAsia"/>
          <w:color w:val="auto"/>
          <w:kern w:val="0"/>
        </w:rPr>
        <w:t>餐厨垃圾</w:t>
      </w:r>
      <w:r>
        <w:rPr>
          <w:color w:val="auto"/>
          <w:kern w:val="0"/>
        </w:rPr>
        <w:t>贮存于相应的贮存</w:t>
      </w:r>
      <w:r>
        <w:rPr>
          <w:rFonts w:hint="eastAsia"/>
          <w:color w:val="auto"/>
          <w:kern w:val="0"/>
        </w:rPr>
        <w:t>设备</w:t>
      </w:r>
      <w:r>
        <w:rPr>
          <w:color w:val="auto"/>
          <w:kern w:val="0"/>
        </w:rPr>
        <w:t>内，并做</w:t>
      </w:r>
      <w:r>
        <w:rPr>
          <w:rFonts w:hint="eastAsia"/>
          <w:color w:val="auto"/>
          <w:kern w:val="0"/>
        </w:rPr>
        <w:t>防漏</w:t>
      </w:r>
      <w:r>
        <w:rPr>
          <w:color w:val="auto"/>
          <w:kern w:val="0"/>
        </w:rPr>
        <w:t>处置；但在事故状态下，若各种渗滤液发生泄漏时将对周边环境产生影响。</w:t>
      </w:r>
    </w:p>
    <w:p>
      <w:pPr>
        <w:spacing w:line="360" w:lineRule="auto"/>
        <w:ind w:firstLine="480"/>
        <w:rPr>
          <w:color w:val="auto"/>
        </w:rPr>
      </w:pPr>
      <w:r>
        <w:rPr>
          <w:rFonts w:hint="eastAsia"/>
          <w:color w:val="auto"/>
        </w:rPr>
        <w:t>此外，本</w:t>
      </w:r>
      <w:r>
        <w:rPr>
          <w:color w:val="auto"/>
        </w:rPr>
        <w:t>项目</w:t>
      </w:r>
      <w:r>
        <w:rPr>
          <w:rFonts w:hint="eastAsia"/>
          <w:color w:val="auto"/>
        </w:rPr>
        <w:t>危险化学品</w:t>
      </w:r>
      <w:r>
        <w:rPr>
          <w:color w:val="auto"/>
        </w:rPr>
        <w:t>用专用容器贮存于车间存储区，不同类型化学品分开贮存。由于上述危险</w:t>
      </w:r>
      <w:r>
        <w:rPr>
          <w:rFonts w:hint="eastAsia"/>
          <w:color w:val="auto"/>
        </w:rPr>
        <w:t>化学品具有腐蚀性、毒性等</w:t>
      </w:r>
      <w:r>
        <w:rPr>
          <w:color w:val="auto"/>
        </w:rPr>
        <w:t>特殊性质，贮存过程中若容器破裂、操作失误等导致物料泄漏，将会对环境产生一定毒害和破坏作用。</w:t>
      </w:r>
    </w:p>
    <w:p>
      <w:pPr>
        <w:autoSpaceDE w:val="0"/>
        <w:autoSpaceDN w:val="0"/>
        <w:adjustRightInd w:val="0"/>
        <w:spacing w:line="360" w:lineRule="auto"/>
        <w:rPr>
          <w:color w:val="auto"/>
          <w:kern w:val="0"/>
        </w:rPr>
      </w:pPr>
      <w:r>
        <w:rPr>
          <w:color w:val="auto"/>
          <w:kern w:val="0"/>
        </w:rPr>
        <w:t>4、污染治理设施出现故障时的风险分析</w:t>
      </w:r>
    </w:p>
    <w:p>
      <w:pPr>
        <w:autoSpaceDE w:val="0"/>
        <w:autoSpaceDN w:val="0"/>
        <w:adjustRightInd w:val="0"/>
        <w:spacing w:line="360" w:lineRule="auto"/>
        <w:ind w:firstLine="360" w:firstLineChars="150"/>
        <w:rPr>
          <w:color w:val="auto"/>
          <w:kern w:val="0"/>
        </w:rPr>
      </w:pPr>
      <w:r>
        <w:rPr>
          <w:color w:val="auto"/>
          <w:kern w:val="0"/>
        </w:rPr>
        <w:t>污染治理设施出现故障时存在以下的事故风险：生产设备的废气处理设施不能正常运转，造成处理效果降低。</w:t>
      </w:r>
    </w:p>
    <w:p>
      <w:pPr>
        <w:spacing w:line="360" w:lineRule="auto"/>
        <w:rPr>
          <w:color w:val="auto"/>
        </w:rPr>
      </w:pPr>
      <w:r>
        <w:rPr>
          <w:rFonts w:hint="eastAsia"/>
          <w:color w:val="auto"/>
        </w:rPr>
        <w:t>5、</w:t>
      </w:r>
      <w:r>
        <w:rPr>
          <w:rFonts w:hint="eastAsia"/>
          <w:color w:val="auto"/>
          <w:kern w:val="0"/>
        </w:rPr>
        <w:t>洪水的环境风险分析</w:t>
      </w:r>
    </w:p>
    <w:p>
      <w:pPr>
        <w:spacing w:line="360" w:lineRule="auto"/>
        <w:ind w:firstLine="480" w:firstLineChars="200"/>
        <w:rPr>
          <w:color w:val="auto"/>
        </w:rPr>
      </w:pPr>
      <w:r>
        <w:rPr>
          <w:rFonts w:hint="eastAsia"/>
          <w:color w:val="auto"/>
        </w:rPr>
        <w:t>由于淋溶液成份复杂，直接接触对于植被及人畜均存在较大的危害风险。因此，</w:t>
      </w:r>
    </w:p>
    <w:p>
      <w:pPr>
        <w:spacing w:line="360" w:lineRule="auto"/>
        <w:rPr>
          <w:color w:val="auto"/>
        </w:rPr>
      </w:pPr>
      <w:r>
        <w:rPr>
          <w:rFonts w:hint="eastAsia"/>
          <w:color w:val="auto"/>
        </w:rPr>
        <w:t>遇到特大洪水时，其潜在的污染影响很大，将严重影响到周围人群及环境安全。建设</w:t>
      </w:r>
    </w:p>
    <w:p>
      <w:pPr>
        <w:spacing w:line="360" w:lineRule="auto"/>
        <w:rPr>
          <w:color w:val="auto"/>
        </w:rPr>
      </w:pPr>
      <w:r>
        <w:rPr>
          <w:rFonts w:hint="eastAsia"/>
          <w:color w:val="auto"/>
        </w:rPr>
        <w:t>项目截洪沟过水能力按50年遇的降水设计，降雨时已封场区域及周围山坡汇集的雨水</w:t>
      </w:r>
    </w:p>
    <w:p>
      <w:pPr>
        <w:spacing w:line="360" w:lineRule="auto"/>
        <w:rPr>
          <w:color w:val="auto"/>
        </w:rPr>
      </w:pPr>
      <w:r>
        <w:rPr>
          <w:rFonts w:hint="eastAsia"/>
          <w:color w:val="auto"/>
        </w:rPr>
        <w:t>通过截洪沟排出沟外。根据梅州市最大降雨量和方案特点，调节池的容积2500m</w:t>
      </w:r>
      <w:r>
        <w:rPr>
          <w:rFonts w:hint="eastAsia"/>
          <w:color w:val="auto"/>
          <w:vertAlign w:val="superscript"/>
        </w:rPr>
        <w:t>3</w:t>
      </w:r>
      <w:r>
        <w:rPr>
          <w:rFonts w:hint="eastAsia"/>
          <w:color w:val="auto"/>
        </w:rPr>
        <w:t>。</w:t>
      </w:r>
    </w:p>
    <w:p>
      <w:pPr>
        <w:spacing w:line="360" w:lineRule="auto"/>
        <w:ind w:firstLine="480" w:firstLineChars="200"/>
        <w:rPr>
          <w:color w:val="auto"/>
        </w:rPr>
      </w:pPr>
      <w:r>
        <w:rPr>
          <w:rFonts w:hint="eastAsia"/>
          <w:color w:val="auto"/>
        </w:rPr>
        <w:t>当发生暴雨导致渗滤液量增加或者废水处理设施不能正常运行时，所有淋溶液全部进入调节池，不外运。本项目将加强雨水外排能力，每年雨季之前，完成截洪沟的淸理和整修，确保其畅通无阻，确保</w:t>
      </w:r>
      <w:r>
        <w:rPr>
          <w:rFonts w:hint="eastAsia"/>
          <w:color w:val="auto"/>
          <w:lang w:eastAsia="zh-CN"/>
        </w:rPr>
        <w:t>后期雨水与污水</w:t>
      </w:r>
      <w:r>
        <w:rPr>
          <w:rFonts w:hint="eastAsia"/>
          <w:color w:val="auto"/>
        </w:rPr>
        <w:t>分流；在有大雨、暴雨预报时，及时抽干排空收集系统内的积液；保护好现有植被，充分利用植被对雨水的滞留作用和蒸腾作用，减少渗滤液收集系统的负荷；制订包括监测、报警等措施在内的应急预案，另外，项目填埋库区的高程高于50年一遇洪水水位线以上，因此只有在极其特殊的情况下，洪水会对本工程造成冲击影响。</w:t>
      </w:r>
    </w:p>
    <w:p>
      <w:pPr>
        <w:spacing w:line="360" w:lineRule="auto"/>
        <w:rPr>
          <w:color w:val="auto"/>
        </w:rPr>
      </w:pPr>
      <w:r>
        <w:rPr>
          <w:rFonts w:hint="eastAsia"/>
          <w:color w:val="auto"/>
        </w:rPr>
        <w:t>6、地质灾害及拦渣坝溃坝风险分析</w:t>
      </w:r>
    </w:p>
    <w:p>
      <w:pPr>
        <w:spacing w:line="360" w:lineRule="auto"/>
        <w:ind w:firstLine="480" w:firstLineChars="200"/>
        <w:rPr>
          <w:color w:val="auto"/>
        </w:rPr>
      </w:pPr>
      <w:r>
        <w:rPr>
          <w:rFonts w:hint="eastAsia"/>
          <w:color w:val="auto"/>
        </w:rPr>
        <w:t>填埋库溃坝、滑坡是指填理土体在重力作用下，拦截坝体沿着一定的软弱面(或</w:t>
      </w:r>
    </w:p>
    <w:p>
      <w:pPr>
        <w:spacing w:line="360" w:lineRule="auto"/>
        <w:rPr>
          <w:color w:val="auto"/>
        </w:rPr>
      </w:pPr>
      <w:r>
        <w:rPr>
          <w:rFonts w:hint="eastAsia"/>
          <w:color w:val="auto"/>
        </w:rPr>
        <w:t>软弱带)整体向下滑动的现象。滑坡主要分布在地势高差大的地区、地质构造复杂、断裂发育的地区或有软弱的易滑地层分布的地区。大规模的滑坡会掩埋村镇、中断交</w:t>
      </w:r>
    </w:p>
    <w:p>
      <w:pPr>
        <w:spacing w:line="360" w:lineRule="auto"/>
        <w:rPr>
          <w:color w:val="auto"/>
        </w:rPr>
      </w:pPr>
      <w:r>
        <w:rPr>
          <w:rFonts w:hint="eastAsia"/>
          <w:color w:val="auto"/>
        </w:rPr>
        <w:t>通、堵塞江河、破坏农田和森林，危害极大。通常造成填埋坝溃坝的主要因素有：第一，是防洪抗洪能力不够，有很多溃坝事故出现在大雨的情况下；第二，是坝体本身不够稳定，或者堆积的填埋超过承受能力；第三，是因为填埋的性质等造成坝体容易受到渗流破坏；第四，坝体本身结构问题出现裂缝等；最后，就是人为管理水平、事故应急措施不善等等。</w:t>
      </w:r>
    </w:p>
    <w:p>
      <w:pPr>
        <w:spacing w:line="360" w:lineRule="auto"/>
        <w:ind w:firstLine="480" w:firstLineChars="200"/>
        <w:rPr>
          <w:color w:val="auto"/>
        </w:rPr>
      </w:pPr>
      <w:r>
        <w:rPr>
          <w:rFonts w:hint="eastAsia"/>
          <w:color w:val="auto"/>
        </w:rPr>
        <w:t>据资料统计，特大型灾害性滑坡，属于暴雨及冰雪消融型占60%，地震型占15%，</w:t>
      </w:r>
    </w:p>
    <w:p>
      <w:pPr>
        <w:spacing w:line="360" w:lineRule="auto"/>
        <w:rPr>
          <w:color w:val="auto"/>
        </w:rPr>
      </w:pPr>
      <w:r>
        <w:rPr>
          <w:rFonts w:hint="eastAsia"/>
          <w:color w:val="auto"/>
        </w:rPr>
        <w:t>地震暴雨型占10%，人为因素占10%，原因不明占5%。研究表明，在具备滑坡的地势、</w:t>
      </w:r>
    </w:p>
    <w:p>
      <w:pPr>
        <w:spacing w:line="360" w:lineRule="auto"/>
        <w:rPr>
          <w:color w:val="auto"/>
        </w:rPr>
      </w:pPr>
      <w:r>
        <w:rPr>
          <w:rFonts w:hint="eastAsia"/>
          <w:color w:val="auto"/>
        </w:rPr>
        <w:t>地质的客观条件下，降雨在很大程度上则是山地滑坡发生的激发条件，降雨类型的滑</w:t>
      </w:r>
    </w:p>
    <w:p>
      <w:pPr>
        <w:spacing w:line="360" w:lineRule="auto"/>
        <w:rPr>
          <w:color w:val="auto"/>
        </w:rPr>
      </w:pPr>
      <w:r>
        <w:rPr>
          <w:rFonts w:hint="eastAsia"/>
          <w:color w:val="auto"/>
        </w:rPr>
        <w:t>坡约占滑坡总数的70%。</w:t>
      </w:r>
    </w:p>
    <w:p>
      <w:pPr>
        <w:spacing w:line="360" w:lineRule="auto"/>
        <w:ind w:firstLine="360" w:firstLineChars="150"/>
        <w:rPr>
          <w:color w:val="auto"/>
        </w:rPr>
      </w:pPr>
      <w:r>
        <w:rPr>
          <w:rFonts w:hint="eastAsia"/>
          <w:color w:val="auto"/>
        </w:rPr>
        <w:t>滑坡的降雨激发条件，主要是指一定限度的降雨强度、降雨量和降雨的持续时间。</w:t>
      </w:r>
    </w:p>
    <w:p>
      <w:pPr>
        <w:spacing w:line="360" w:lineRule="auto"/>
        <w:rPr>
          <w:color w:val="auto"/>
        </w:rPr>
      </w:pPr>
      <w:r>
        <w:rPr>
          <w:rFonts w:hint="eastAsia"/>
          <w:color w:val="auto"/>
        </w:rPr>
        <w:t>在陡峭的山坡上，由于构造或重力的作用常形成一些裂缝，利于雨水下渗。山坡土石</w:t>
      </w:r>
    </w:p>
    <w:p>
      <w:pPr>
        <w:spacing w:line="360" w:lineRule="auto"/>
        <w:rPr>
          <w:color w:val="auto"/>
        </w:rPr>
      </w:pPr>
      <w:r>
        <w:rPr>
          <w:rFonts w:hint="eastAsia"/>
          <w:color w:val="auto"/>
        </w:rPr>
        <w:t>吸收了大量水分后，自身重量增加，裂缝中的土进一步膨胀、软化，抗滑力降低，滑</w:t>
      </w:r>
    </w:p>
    <w:p>
      <w:pPr>
        <w:spacing w:line="360" w:lineRule="auto"/>
        <w:rPr>
          <w:color w:val="auto"/>
        </w:rPr>
      </w:pPr>
      <w:r>
        <w:rPr>
          <w:rFonts w:hint="eastAsia"/>
          <w:color w:val="auto"/>
        </w:rPr>
        <w:t>坡、崩塌就可能发生。研究资料表明，进入雨季后，长期的连续降雨(十天以上)，即</w:t>
      </w:r>
    </w:p>
    <w:p>
      <w:pPr>
        <w:spacing w:line="360" w:lineRule="auto"/>
        <w:rPr>
          <w:color w:val="auto"/>
        </w:rPr>
      </w:pPr>
      <w:r>
        <w:rPr>
          <w:rFonts w:hint="eastAsia"/>
          <w:color w:val="auto"/>
        </w:rPr>
        <w:t>使是小雨、中雨，也可能诱发崩塌、滑坡；当连续降雨量达50mm至100mm，日降雨</w:t>
      </w:r>
    </w:p>
    <w:p>
      <w:pPr>
        <w:spacing w:line="360" w:lineRule="auto"/>
        <w:rPr>
          <w:color w:val="auto"/>
        </w:rPr>
      </w:pPr>
      <w:r>
        <w:rPr>
          <w:rFonts w:hint="eastAsia"/>
          <w:color w:val="auto"/>
        </w:rPr>
        <w:t>量超过50mm时，滑坡更易发生。雨季降雨时间愈长，降雨量愈大，滑坡灾害愈普遍、</w:t>
      </w:r>
    </w:p>
    <w:p>
      <w:pPr>
        <w:spacing w:line="360" w:lineRule="auto"/>
        <w:rPr>
          <w:color w:val="auto"/>
        </w:rPr>
      </w:pPr>
      <w:r>
        <w:rPr>
          <w:rFonts w:hint="eastAsia"/>
          <w:color w:val="auto"/>
        </w:rPr>
        <w:t>愈严重。滑坡多为突然发生，时间短暂，并多发生在夜间。当一地区出现暴雨时，滑</w:t>
      </w:r>
    </w:p>
    <w:p>
      <w:pPr>
        <w:spacing w:line="360" w:lineRule="auto"/>
        <w:rPr>
          <w:color w:val="auto"/>
        </w:rPr>
      </w:pPr>
      <w:r>
        <w:rPr>
          <w:rFonts w:hint="eastAsia"/>
          <w:color w:val="auto"/>
        </w:rPr>
        <w:t>坡又往往和水土流失、泥石流同时发生，因而造成的危害更大。</w:t>
      </w:r>
    </w:p>
    <w:p>
      <w:pPr>
        <w:autoSpaceDE w:val="0"/>
        <w:autoSpaceDN w:val="0"/>
        <w:adjustRightInd w:val="0"/>
        <w:spacing w:line="360" w:lineRule="auto"/>
        <w:ind w:firstLine="360" w:firstLineChars="150"/>
        <w:rPr>
          <w:color w:val="auto"/>
          <w:kern w:val="0"/>
        </w:rPr>
      </w:pPr>
      <w:r>
        <w:rPr>
          <w:color w:val="auto"/>
          <w:kern w:val="0"/>
        </w:rPr>
        <w:t>本项目风险识别见下表5.2-</w:t>
      </w:r>
      <w:r>
        <w:rPr>
          <w:rFonts w:hint="eastAsia"/>
          <w:color w:val="auto"/>
          <w:kern w:val="0"/>
        </w:rPr>
        <w:t>27</w:t>
      </w:r>
      <w:r>
        <w:rPr>
          <w:color w:val="auto"/>
          <w:kern w:val="0"/>
        </w:rPr>
        <w:t>。</w:t>
      </w:r>
    </w:p>
    <w:p>
      <w:pPr>
        <w:jc w:val="center"/>
        <w:rPr>
          <w:b/>
          <w:color w:val="auto"/>
        </w:rPr>
      </w:pPr>
      <w:r>
        <w:rPr>
          <w:b/>
          <w:color w:val="auto"/>
        </w:rPr>
        <w:t>表</w:t>
      </w:r>
      <w:r>
        <w:rPr>
          <w:rFonts w:hint="eastAsia"/>
          <w:b/>
          <w:color w:val="auto"/>
          <w:lang w:val="en-US" w:eastAsia="zh-CN"/>
        </w:rPr>
        <w:t>5.2</w:t>
      </w:r>
      <w:r>
        <w:rPr>
          <w:b/>
          <w:color w:val="auto"/>
        </w:rPr>
        <w:noBreakHyphen/>
      </w:r>
      <w:r>
        <w:rPr>
          <w:rFonts w:hint="eastAsia"/>
          <w:b/>
          <w:color w:val="auto"/>
        </w:rPr>
        <w:t xml:space="preserve">27 </w:t>
      </w:r>
      <w:r>
        <w:rPr>
          <w:b/>
          <w:bCs/>
          <w:color w:val="auto"/>
        </w:rPr>
        <w:t xml:space="preserve"> </w:t>
      </w:r>
      <w:r>
        <w:rPr>
          <w:b/>
          <w:color w:val="auto"/>
        </w:rPr>
        <w:t>建设项目环境风险识别表</w:t>
      </w:r>
    </w:p>
    <w:tbl>
      <w:tblPr>
        <w:tblStyle w:val="53"/>
        <w:tblW w:w="928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4"/>
        <w:gridCol w:w="1560"/>
        <w:gridCol w:w="2551"/>
        <w:gridCol w:w="1559"/>
        <w:gridCol w:w="1394"/>
        <w:gridCol w:w="15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74" w:type="dxa"/>
            <w:shd w:val="clear" w:color="auto" w:fill="auto"/>
            <w:vAlign w:val="center"/>
          </w:tcPr>
          <w:p>
            <w:pPr>
              <w:jc w:val="center"/>
              <w:rPr>
                <w:b/>
                <w:color w:val="auto"/>
                <w:sz w:val="21"/>
                <w:szCs w:val="21"/>
              </w:rPr>
            </w:pPr>
            <w:r>
              <w:rPr>
                <w:b/>
                <w:color w:val="auto"/>
                <w:sz w:val="21"/>
                <w:szCs w:val="21"/>
              </w:rPr>
              <w:t>序号</w:t>
            </w:r>
          </w:p>
        </w:tc>
        <w:tc>
          <w:tcPr>
            <w:tcW w:w="1560" w:type="dxa"/>
            <w:shd w:val="clear" w:color="auto" w:fill="auto"/>
            <w:vAlign w:val="center"/>
          </w:tcPr>
          <w:p>
            <w:pPr>
              <w:jc w:val="center"/>
              <w:rPr>
                <w:b/>
                <w:color w:val="auto"/>
                <w:sz w:val="21"/>
                <w:szCs w:val="21"/>
              </w:rPr>
            </w:pPr>
            <w:r>
              <w:rPr>
                <w:b/>
                <w:color w:val="auto"/>
                <w:sz w:val="21"/>
                <w:szCs w:val="21"/>
              </w:rPr>
              <w:t>危险单位</w:t>
            </w:r>
          </w:p>
        </w:tc>
        <w:tc>
          <w:tcPr>
            <w:tcW w:w="2551" w:type="dxa"/>
            <w:shd w:val="clear" w:color="auto" w:fill="auto"/>
            <w:vAlign w:val="center"/>
          </w:tcPr>
          <w:p>
            <w:pPr>
              <w:jc w:val="center"/>
              <w:rPr>
                <w:b/>
                <w:color w:val="auto"/>
                <w:sz w:val="21"/>
                <w:szCs w:val="21"/>
              </w:rPr>
            </w:pPr>
            <w:r>
              <w:rPr>
                <w:b/>
                <w:color w:val="auto"/>
                <w:sz w:val="21"/>
                <w:szCs w:val="21"/>
              </w:rPr>
              <w:t>风险源</w:t>
            </w:r>
          </w:p>
        </w:tc>
        <w:tc>
          <w:tcPr>
            <w:tcW w:w="1559" w:type="dxa"/>
            <w:shd w:val="clear" w:color="auto" w:fill="auto"/>
            <w:vAlign w:val="center"/>
          </w:tcPr>
          <w:p>
            <w:pPr>
              <w:jc w:val="center"/>
              <w:rPr>
                <w:b/>
                <w:color w:val="auto"/>
                <w:sz w:val="21"/>
                <w:szCs w:val="21"/>
              </w:rPr>
            </w:pPr>
            <w:r>
              <w:rPr>
                <w:b/>
                <w:color w:val="auto"/>
                <w:sz w:val="21"/>
                <w:szCs w:val="21"/>
              </w:rPr>
              <w:t>主要危险物质</w:t>
            </w:r>
          </w:p>
        </w:tc>
        <w:tc>
          <w:tcPr>
            <w:tcW w:w="1394" w:type="dxa"/>
            <w:shd w:val="clear" w:color="auto" w:fill="auto"/>
            <w:vAlign w:val="center"/>
          </w:tcPr>
          <w:p>
            <w:pPr>
              <w:jc w:val="center"/>
              <w:rPr>
                <w:b/>
                <w:color w:val="auto"/>
                <w:sz w:val="21"/>
                <w:szCs w:val="21"/>
              </w:rPr>
            </w:pPr>
            <w:r>
              <w:rPr>
                <w:b/>
                <w:color w:val="auto"/>
                <w:sz w:val="21"/>
                <w:szCs w:val="21"/>
              </w:rPr>
              <w:t>风险类型</w:t>
            </w:r>
          </w:p>
        </w:tc>
        <w:tc>
          <w:tcPr>
            <w:tcW w:w="1548" w:type="dxa"/>
            <w:shd w:val="clear" w:color="auto" w:fill="auto"/>
            <w:vAlign w:val="center"/>
          </w:tcPr>
          <w:p>
            <w:pPr>
              <w:jc w:val="center"/>
              <w:rPr>
                <w:b/>
                <w:color w:val="auto"/>
                <w:sz w:val="21"/>
                <w:szCs w:val="21"/>
              </w:rPr>
            </w:pPr>
            <w:r>
              <w:rPr>
                <w:b/>
                <w:color w:val="auto"/>
                <w:sz w:val="21"/>
                <w:szCs w:val="21"/>
              </w:rPr>
              <w:t>环境影响途径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74" w:type="dxa"/>
            <w:shd w:val="clear" w:color="auto" w:fill="auto"/>
            <w:vAlign w:val="center"/>
          </w:tcPr>
          <w:p>
            <w:pPr>
              <w:jc w:val="center"/>
              <w:rPr>
                <w:color w:val="auto"/>
                <w:sz w:val="21"/>
                <w:szCs w:val="21"/>
              </w:rPr>
            </w:pPr>
            <w:r>
              <w:rPr>
                <w:color w:val="auto"/>
                <w:sz w:val="21"/>
                <w:szCs w:val="21"/>
              </w:rPr>
              <w:t>1</w:t>
            </w:r>
          </w:p>
        </w:tc>
        <w:tc>
          <w:tcPr>
            <w:tcW w:w="1560" w:type="dxa"/>
            <w:shd w:val="clear" w:color="auto" w:fill="auto"/>
            <w:vAlign w:val="center"/>
          </w:tcPr>
          <w:p>
            <w:pPr>
              <w:jc w:val="center"/>
              <w:rPr>
                <w:color w:val="auto"/>
                <w:sz w:val="21"/>
                <w:szCs w:val="21"/>
              </w:rPr>
            </w:pPr>
            <w:r>
              <w:rPr>
                <w:color w:val="auto"/>
                <w:kern w:val="0"/>
                <w:sz w:val="21"/>
                <w:szCs w:val="21"/>
              </w:rPr>
              <w:t>废气处置</w:t>
            </w:r>
          </w:p>
        </w:tc>
        <w:tc>
          <w:tcPr>
            <w:tcW w:w="2551" w:type="dxa"/>
            <w:shd w:val="clear" w:color="auto" w:fill="auto"/>
            <w:vAlign w:val="center"/>
          </w:tcPr>
          <w:p>
            <w:pPr>
              <w:jc w:val="center"/>
              <w:rPr>
                <w:color w:val="auto"/>
                <w:kern w:val="0"/>
                <w:sz w:val="21"/>
                <w:szCs w:val="21"/>
              </w:rPr>
            </w:pPr>
            <w:r>
              <w:rPr>
                <w:rFonts w:hint="eastAsia"/>
                <w:color w:val="auto"/>
                <w:kern w:val="0"/>
                <w:sz w:val="21"/>
                <w:szCs w:val="21"/>
              </w:rPr>
              <w:t>餐厨</w:t>
            </w:r>
            <w:r>
              <w:rPr>
                <w:color w:val="auto"/>
                <w:kern w:val="0"/>
                <w:sz w:val="21"/>
                <w:szCs w:val="21"/>
              </w:rPr>
              <w:t>装置的配套废气处置措施出现故障</w:t>
            </w:r>
          </w:p>
        </w:tc>
        <w:tc>
          <w:tcPr>
            <w:tcW w:w="1559" w:type="dxa"/>
            <w:shd w:val="clear" w:color="auto" w:fill="auto"/>
            <w:vAlign w:val="center"/>
          </w:tcPr>
          <w:p>
            <w:pPr>
              <w:jc w:val="center"/>
              <w:rPr>
                <w:color w:val="auto"/>
                <w:sz w:val="21"/>
                <w:szCs w:val="21"/>
              </w:rPr>
            </w:pPr>
            <w:r>
              <w:rPr>
                <w:color w:val="auto"/>
                <w:kern w:val="0"/>
                <w:sz w:val="21"/>
                <w:szCs w:val="21"/>
              </w:rPr>
              <w:t>恶臭污染</w:t>
            </w:r>
          </w:p>
        </w:tc>
        <w:tc>
          <w:tcPr>
            <w:tcW w:w="1394" w:type="dxa"/>
            <w:shd w:val="clear" w:color="auto" w:fill="auto"/>
            <w:vAlign w:val="center"/>
          </w:tcPr>
          <w:p>
            <w:pPr>
              <w:jc w:val="center"/>
              <w:rPr>
                <w:color w:val="auto"/>
                <w:sz w:val="21"/>
                <w:szCs w:val="21"/>
              </w:rPr>
            </w:pPr>
            <w:r>
              <w:rPr>
                <w:color w:val="auto"/>
                <w:kern w:val="0"/>
                <w:sz w:val="21"/>
                <w:szCs w:val="21"/>
              </w:rPr>
              <w:t>事故排放</w:t>
            </w:r>
          </w:p>
        </w:tc>
        <w:tc>
          <w:tcPr>
            <w:tcW w:w="1548" w:type="dxa"/>
            <w:shd w:val="clear" w:color="auto" w:fill="auto"/>
            <w:vAlign w:val="center"/>
          </w:tcPr>
          <w:p>
            <w:pPr>
              <w:jc w:val="center"/>
              <w:rPr>
                <w:color w:val="auto"/>
                <w:sz w:val="21"/>
                <w:szCs w:val="21"/>
              </w:rPr>
            </w:pPr>
            <w:r>
              <w:rPr>
                <w:color w:val="auto"/>
                <w:kern w:val="0"/>
                <w:sz w:val="21"/>
                <w:szCs w:val="21"/>
              </w:rPr>
              <w:t>影响环境空气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74" w:type="dxa"/>
            <w:shd w:val="clear" w:color="auto" w:fill="auto"/>
            <w:vAlign w:val="center"/>
          </w:tcPr>
          <w:p>
            <w:pPr>
              <w:jc w:val="center"/>
              <w:rPr>
                <w:color w:val="auto"/>
                <w:sz w:val="21"/>
                <w:szCs w:val="21"/>
              </w:rPr>
            </w:pPr>
            <w:r>
              <w:rPr>
                <w:color w:val="auto"/>
                <w:sz w:val="21"/>
                <w:szCs w:val="21"/>
              </w:rPr>
              <w:t>2</w:t>
            </w:r>
          </w:p>
        </w:tc>
        <w:tc>
          <w:tcPr>
            <w:tcW w:w="1560" w:type="dxa"/>
            <w:shd w:val="clear" w:color="auto" w:fill="auto"/>
            <w:vAlign w:val="center"/>
          </w:tcPr>
          <w:p>
            <w:pPr>
              <w:jc w:val="center"/>
              <w:rPr>
                <w:color w:val="auto"/>
                <w:kern w:val="0"/>
                <w:sz w:val="21"/>
                <w:szCs w:val="21"/>
              </w:rPr>
            </w:pPr>
            <w:r>
              <w:rPr>
                <w:color w:val="auto"/>
                <w:kern w:val="0"/>
                <w:sz w:val="21"/>
                <w:szCs w:val="21"/>
              </w:rPr>
              <w:t>废气处置</w:t>
            </w:r>
          </w:p>
          <w:p>
            <w:pPr>
              <w:jc w:val="center"/>
              <w:rPr>
                <w:color w:val="auto"/>
                <w:kern w:val="0"/>
                <w:sz w:val="21"/>
                <w:szCs w:val="21"/>
              </w:rPr>
            </w:pPr>
            <w:r>
              <w:rPr>
                <w:color w:val="auto"/>
                <w:kern w:val="0"/>
                <w:sz w:val="21"/>
                <w:szCs w:val="21"/>
              </w:rPr>
              <w:t>（无组织）</w:t>
            </w:r>
          </w:p>
        </w:tc>
        <w:tc>
          <w:tcPr>
            <w:tcW w:w="2551" w:type="dxa"/>
            <w:shd w:val="clear" w:color="auto" w:fill="auto"/>
            <w:vAlign w:val="center"/>
          </w:tcPr>
          <w:p>
            <w:pPr>
              <w:jc w:val="center"/>
              <w:rPr>
                <w:color w:val="auto"/>
                <w:kern w:val="0"/>
                <w:sz w:val="21"/>
                <w:szCs w:val="21"/>
              </w:rPr>
            </w:pPr>
            <w:r>
              <w:rPr>
                <w:rFonts w:hint="eastAsia"/>
                <w:color w:val="auto"/>
                <w:kern w:val="0"/>
                <w:sz w:val="21"/>
                <w:szCs w:val="21"/>
              </w:rPr>
              <w:t>餐厨</w:t>
            </w:r>
            <w:r>
              <w:rPr>
                <w:color w:val="auto"/>
                <w:kern w:val="0"/>
                <w:sz w:val="21"/>
                <w:szCs w:val="21"/>
              </w:rPr>
              <w:t>装置的配套废气收集措施效率降低</w:t>
            </w:r>
          </w:p>
        </w:tc>
        <w:tc>
          <w:tcPr>
            <w:tcW w:w="1559" w:type="dxa"/>
            <w:shd w:val="clear" w:color="auto" w:fill="auto"/>
            <w:vAlign w:val="center"/>
          </w:tcPr>
          <w:p>
            <w:pPr>
              <w:jc w:val="center"/>
              <w:rPr>
                <w:color w:val="auto"/>
                <w:kern w:val="0"/>
                <w:sz w:val="21"/>
                <w:szCs w:val="21"/>
              </w:rPr>
            </w:pPr>
            <w:r>
              <w:rPr>
                <w:color w:val="auto"/>
                <w:kern w:val="0"/>
                <w:sz w:val="21"/>
                <w:szCs w:val="21"/>
              </w:rPr>
              <w:t>恶臭污染</w:t>
            </w:r>
          </w:p>
        </w:tc>
        <w:tc>
          <w:tcPr>
            <w:tcW w:w="1394" w:type="dxa"/>
            <w:shd w:val="clear" w:color="auto" w:fill="auto"/>
            <w:vAlign w:val="center"/>
          </w:tcPr>
          <w:p>
            <w:pPr>
              <w:jc w:val="center"/>
              <w:rPr>
                <w:color w:val="auto"/>
                <w:sz w:val="21"/>
                <w:szCs w:val="21"/>
              </w:rPr>
            </w:pPr>
            <w:r>
              <w:rPr>
                <w:color w:val="auto"/>
                <w:kern w:val="0"/>
                <w:sz w:val="21"/>
                <w:szCs w:val="21"/>
              </w:rPr>
              <w:t>事故排放</w:t>
            </w:r>
          </w:p>
        </w:tc>
        <w:tc>
          <w:tcPr>
            <w:tcW w:w="1548" w:type="dxa"/>
            <w:shd w:val="clear" w:color="auto" w:fill="auto"/>
            <w:vAlign w:val="center"/>
          </w:tcPr>
          <w:p>
            <w:pPr>
              <w:jc w:val="center"/>
              <w:rPr>
                <w:color w:val="auto"/>
                <w:sz w:val="21"/>
                <w:szCs w:val="21"/>
              </w:rPr>
            </w:pPr>
            <w:r>
              <w:rPr>
                <w:color w:val="auto"/>
                <w:kern w:val="0"/>
                <w:sz w:val="21"/>
                <w:szCs w:val="21"/>
              </w:rPr>
              <w:t>影响环境空气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74" w:type="dxa"/>
            <w:shd w:val="clear" w:color="auto" w:fill="auto"/>
            <w:vAlign w:val="center"/>
          </w:tcPr>
          <w:p>
            <w:pPr>
              <w:jc w:val="center"/>
              <w:rPr>
                <w:color w:val="auto"/>
                <w:sz w:val="21"/>
                <w:szCs w:val="21"/>
              </w:rPr>
            </w:pPr>
            <w:r>
              <w:rPr>
                <w:color w:val="auto"/>
                <w:sz w:val="21"/>
                <w:szCs w:val="21"/>
              </w:rPr>
              <w:t>5</w:t>
            </w:r>
          </w:p>
        </w:tc>
        <w:tc>
          <w:tcPr>
            <w:tcW w:w="1560" w:type="dxa"/>
            <w:shd w:val="clear" w:color="auto" w:fill="auto"/>
            <w:vAlign w:val="center"/>
          </w:tcPr>
          <w:p>
            <w:pPr>
              <w:jc w:val="center"/>
              <w:rPr>
                <w:color w:val="auto"/>
                <w:kern w:val="0"/>
                <w:sz w:val="21"/>
                <w:szCs w:val="21"/>
              </w:rPr>
            </w:pPr>
            <w:r>
              <w:rPr>
                <w:color w:val="auto"/>
                <w:kern w:val="0"/>
                <w:sz w:val="21"/>
                <w:szCs w:val="21"/>
              </w:rPr>
              <w:t>原料储运</w:t>
            </w:r>
          </w:p>
        </w:tc>
        <w:tc>
          <w:tcPr>
            <w:tcW w:w="2551" w:type="dxa"/>
            <w:shd w:val="clear" w:color="auto" w:fill="auto"/>
            <w:vAlign w:val="center"/>
          </w:tcPr>
          <w:p>
            <w:pPr>
              <w:jc w:val="center"/>
              <w:rPr>
                <w:color w:val="auto"/>
                <w:kern w:val="0"/>
                <w:sz w:val="21"/>
                <w:szCs w:val="21"/>
              </w:rPr>
            </w:pPr>
            <w:r>
              <w:rPr>
                <w:rFonts w:hint="eastAsia"/>
                <w:color w:val="auto"/>
                <w:kern w:val="0"/>
                <w:sz w:val="21"/>
                <w:szCs w:val="21"/>
              </w:rPr>
              <w:t>硫酸和氢氧化钠</w:t>
            </w:r>
            <w:r>
              <w:rPr>
                <w:color w:val="auto"/>
                <w:kern w:val="0"/>
                <w:sz w:val="21"/>
                <w:szCs w:val="21"/>
              </w:rPr>
              <w:t>发生破损</w:t>
            </w:r>
            <w:r>
              <w:rPr>
                <w:rFonts w:hint="eastAsia"/>
                <w:color w:val="auto"/>
                <w:kern w:val="0"/>
                <w:sz w:val="21"/>
                <w:szCs w:val="21"/>
              </w:rPr>
              <w:t>泄露</w:t>
            </w:r>
          </w:p>
        </w:tc>
        <w:tc>
          <w:tcPr>
            <w:tcW w:w="1559" w:type="dxa"/>
            <w:shd w:val="clear" w:color="auto" w:fill="auto"/>
            <w:vAlign w:val="center"/>
          </w:tcPr>
          <w:p>
            <w:pPr>
              <w:jc w:val="center"/>
              <w:rPr>
                <w:color w:val="auto"/>
                <w:kern w:val="0"/>
                <w:sz w:val="21"/>
                <w:szCs w:val="21"/>
              </w:rPr>
            </w:pPr>
            <w:r>
              <w:rPr>
                <w:rFonts w:hint="eastAsia"/>
                <w:color w:val="auto"/>
                <w:kern w:val="0"/>
                <w:sz w:val="21"/>
                <w:szCs w:val="21"/>
              </w:rPr>
              <w:t>强酸、强碱</w:t>
            </w:r>
          </w:p>
        </w:tc>
        <w:tc>
          <w:tcPr>
            <w:tcW w:w="1394" w:type="dxa"/>
            <w:shd w:val="clear" w:color="auto" w:fill="auto"/>
            <w:vAlign w:val="center"/>
          </w:tcPr>
          <w:p>
            <w:pPr>
              <w:jc w:val="center"/>
              <w:rPr>
                <w:color w:val="auto"/>
                <w:kern w:val="0"/>
                <w:sz w:val="21"/>
                <w:szCs w:val="21"/>
              </w:rPr>
            </w:pPr>
            <w:r>
              <w:rPr>
                <w:rFonts w:hint="eastAsia"/>
                <w:color w:val="auto"/>
                <w:kern w:val="0"/>
                <w:sz w:val="21"/>
                <w:szCs w:val="21"/>
              </w:rPr>
              <w:t>腐蚀</w:t>
            </w:r>
          </w:p>
        </w:tc>
        <w:tc>
          <w:tcPr>
            <w:tcW w:w="1548" w:type="dxa"/>
            <w:shd w:val="clear" w:color="auto" w:fill="auto"/>
            <w:vAlign w:val="center"/>
          </w:tcPr>
          <w:p>
            <w:pPr>
              <w:jc w:val="center"/>
              <w:rPr>
                <w:color w:val="auto"/>
                <w:kern w:val="0"/>
                <w:sz w:val="21"/>
                <w:szCs w:val="21"/>
              </w:rPr>
            </w:pPr>
            <w:r>
              <w:rPr>
                <w:color w:val="auto"/>
                <w:kern w:val="0"/>
                <w:sz w:val="21"/>
                <w:szCs w:val="21"/>
              </w:rPr>
              <w:t>影响环境空气、人体健康、周边水环境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74" w:type="dxa"/>
            <w:shd w:val="clear" w:color="auto" w:fill="auto"/>
            <w:vAlign w:val="center"/>
          </w:tcPr>
          <w:p>
            <w:pPr>
              <w:jc w:val="center"/>
              <w:rPr>
                <w:color w:val="auto"/>
                <w:sz w:val="21"/>
                <w:szCs w:val="21"/>
              </w:rPr>
            </w:pPr>
            <w:r>
              <w:rPr>
                <w:rFonts w:hint="eastAsia"/>
                <w:color w:val="auto"/>
                <w:sz w:val="21"/>
                <w:szCs w:val="21"/>
              </w:rPr>
              <w:t>6</w:t>
            </w:r>
          </w:p>
        </w:tc>
        <w:tc>
          <w:tcPr>
            <w:tcW w:w="1560" w:type="dxa"/>
            <w:shd w:val="clear" w:color="auto" w:fill="auto"/>
            <w:vAlign w:val="center"/>
          </w:tcPr>
          <w:p>
            <w:pPr>
              <w:jc w:val="center"/>
              <w:rPr>
                <w:color w:val="auto"/>
                <w:kern w:val="0"/>
                <w:sz w:val="21"/>
                <w:szCs w:val="21"/>
              </w:rPr>
            </w:pPr>
            <w:r>
              <w:rPr>
                <w:color w:val="auto"/>
                <w:kern w:val="0"/>
                <w:sz w:val="21"/>
                <w:szCs w:val="21"/>
              </w:rPr>
              <w:t>厂内垃圾车运输</w:t>
            </w:r>
          </w:p>
        </w:tc>
        <w:tc>
          <w:tcPr>
            <w:tcW w:w="2551" w:type="dxa"/>
            <w:shd w:val="clear" w:color="auto" w:fill="auto"/>
            <w:vAlign w:val="center"/>
          </w:tcPr>
          <w:p>
            <w:pPr>
              <w:jc w:val="center"/>
              <w:rPr>
                <w:color w:val="auto"/>
                <w:kern w:val="0"/>
                <w:sz w:val="21"/>
                <w:szCs w:val="21"/>
              </w:rPr>
            </w:pPr>
            <w:r>
              <w:rPr>
                <w:color w:val="auto"/>
                <w:kern w:val="0"/>
                <w:sz w:val="21"/>
                <w:szCs w:val="21"/>
              </w:rPr>
              <w:t>运输车密闭不严，出现渗滤液泄露</w:t>
            </w:r>
          </w:p>
        </w:tc>
        <w:tc>
          <w:tcPr>
            <w:tcW w:w="1559" w:type="dxa"/>
            <w:shd w:val="clear" w:color="auto" w:fill="auto"/>
            <w:vAlign w:val="center"/>
          </w:tcPr>
          <w:p>
            <w:pPr>
              <w:jc w:val="center"/>
              <w:rPr>
                <w:color w:val="auto"/>
                <w:kern w:val="0"/>
                <w:sz w:val="21"/>
                <w:szCs w:val="21"/>
              </w:rPr>
            </w:pPr>
            <w:r>
              <w:rPr>
                <w:color w:val="auto"/>
                <w:kern w:val="0"/>
                <w:sz w:val="21"/>
                <w:szCs w:val="21"/>
              </w:rPr>
              <w:t>垃圾渗滤液</w:t>
            </w:r>
          </w:p>
        </w:tc>
        <w:tc>
          <w:tcPr>
            <w:tcW w:w="1394" w:type="dxa"/>
            <w:shd w:val="clear" w:color="auto" w:fill="auto"/>
            <w:vAlign w:val="center"/>
          </w:tcPr>
          <w:p>
            <w:pPr>
              <w:jc w:val="center"/>
              <w:rPr>
                <w:color w:val="auto"/>
                <w:kern w:val="0"/>
                <w:sz w:val="21"/>
                <w:szCs w:val="21"/>
              </w:rPr>
            </w:pPr>
            <w:r>
              <w:rPr>
                <w:color w:val="auto"/>
                <w:kern w:val="0"/>
                <w:sz w:val="21"/>
                <w:szCs w:val="21"/>
              </w:rPr>
              <w:t>渗漏</w:t>
            </w:r>
          </w:p>
        </w:tc>
        <w:tc>
          <w:tcPr>
            <w:tcW w:w="1548" w:type="dxa"/>
            <w:shd w:val="clear" w:color="auto" w:fill="auto"/>
            <w:vAlign w:val="center"/>
          </w:tcPr>
          <w:p>
            <w:pPr>
              <w:jc w:val="center"/>
              <w:rPr>
                <w:color w:val="auto"/>
                <w:kern w:val="0"/>
                <w:sz w:val="21"/>
                <w:szCs w:val="21"/>
              </w:rPr>
            </w:pPr>
            <w:r>
              <w:rPr>
                <w:color w:val="auto"/>
                <w:kern w:val="0"/>
                <w:sz w:val="21"/>
                <w:szCs w:val="21"/>
              </w:rPr>
              <w:t>影响周边水环境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74" w:type="dxa"/>
            <w:shd w:val="clear" w:color="auto" w:fill="auto"/>
            <w:vAlign w:val="center"/>
          </w:tcPr>
          <w:p>
            <w:pPr>
              <w:jc w:val="center"/>
              <w:rPr>
                <w:color w:val="auto"/>
                <w:sz w:val="21"/>
                <w:szCs w:val="21"/>
              </w:rPr>
            </w:pPr>
            <w:r>
              <w:rPr>
                <w:rFonts w:hint="eastAsia"/>
                <w:color w:val="auto"/>
                <w:sz w:val="21"/>
                <w:szCs w:val="21"/>
              </w:rPr>
              <w:t>7</w:t>
            </w:r>
          </w:p>
        </w:tc>
        <w:tc>
          <w:tcPr>
            <w:tcW w:w="1560" w:type="dxa"/>
            <w:shd w:val="clear" w:color="auto" w:fill="auto"/>
            <w:vAlign w:val="center"/>
          </w:tcPr>
          <w:p>
            <w:pPr>
              <w:jc w:val="center"/>
              <w:rPr>
                <w:color w:val="auto"/>
                <w:kern w:val="0"/>
                <w:sz w:val="21"/>
                <w:szCs w:val="21"/>
              </w:rPr>
            </w:pPr>
            <w:r>
              <w:rPr>
                <w:color w:val="auto"/>
                <w:kern w:val="0"/>
                <w:sz w:val="21"/>
                <w:szCs w:val="21"/>
              </w:rPr>
              <w:t>废水管线</w:t>
            </w:r>
          </w:p>
        </w:tc>
        <w:tc>
          <w:tcPr>
            <w:tcW w:w="2551" w:type="dxa"/>
            <w:shd w:val="clear" w:color="auto" w:fill="auto"/>
            <w:vAlign w:val="center"/>
          </w:tcPr>
          <w:p>
            <w:pPr>
              <w:jc w:val="center"/>
              <w:rPr>
                <w:color w:val="auto"/>
                <w:kern w:val="0"/>
                <w:sz w:val="21"/>
                <w:szCs w:val="21"/>
              </w:rPr>
            </w:pPr>
            <w:r>
              <w:rPr>
                <w:color w:val="auto"/>
                <w:kern w:val="0"/>
                <w:sz w:val="21"/>
                <w:szCs w:val="21"/>
              </w:rPr>
              <w:t>管线老化或破损，出现废水泄露</w:t>
            </w:r>
          </w:p>
        </w:tc>
        <w:tc>
          <w:tcPr>
            <w:tcW w:w="1559" w:type="dxa"/>
            <w:shd w:val="clear" w:color="auto" w:fill="auto"/>
            <w:vAlign w:val="center"/>
          </w:tcPr>
          <w:p>
            <w:pPr>
              <w:jc w:val="center"/>
              <w:rPr>
                <w:color w:val="auto"/>
                <w:kern w:val="0"/>
                <w:sz w:val="21"/>
                <w:szCs w:val="21"/>
              </w:rPr>
            </w:pPr>
            <w:r>
              <w:rPr>
                <w:color w:val="auto"/>
                <w:kern w:val="0"/>
                <w:sz w:val="21"/>
                <w:szCs w:val="21"/>
              </w:rPr>
              <w:t>垃圾渗滤液</w:t>
            </w:r>
          </w:p>
        </w:tc>
        <w:tc>
          <w:tcPr>
            <w:tcW w:w="1394" w:type="dxa"/>
            <w:shd w:val="clear" w:color="auto" w:fill="auto"/>
            <w:vAlign w:val="center"/>
          </w:tcPr>
          <w:p>
            <w:pPr>
              <w:jc w:val="center"/>
              <w:rPr>
                <w:color w:val="auto"/>
                <w:kern w:val="0"/>
                <w:sz w:val="21"/>
                <w:szCs w:val="21"/>
              </w:rPr>
            </w:pPr>
            <w:r>
              <w:rPr>
                <w:color w:val="auto"/>
                <w:kern w:val="0"/>
                <w:sz w:val="21"/>
                <w:szCs w:val="21"/>
              </w:rPr>
              <w:t>渗漏</w:t>
            </w:r>
          </w:p>
        </w:tc>
        <w:tc>
          <w:tcPr>
            <w:tcW w:w="1548" w:type="dxa"/>
            <w:shd w:val="clear" w:color="auto" w:fill="auto"/>
            <w:vAlign w:val="center"/>
          </w:tcPr>
          <w:p>
            <w:pPr>
              <w:jc w:val="center"/>
              <w:rPr>
                <w:color w:val="auto"/>
                <w:kern w:val="0"/>
                <w:sz w:val="21"/>
                <w:szCs w:val="21"/>
              </w:rPr>
            </w:pPr>
            <w:r>
              <w:rPr>
                <w:color w:val="auto"/>
                <w:kern w:val="0"/>
                <w:sz w:val="21"/>
                <w:szCs w:val="21"/>
              </w:rPr>
              <w:t>影响周边水环境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74" w:type="dxa"/>
            <w:shd w:val="clear" w:color="auto" w:fill="auto"/>
            <w:vAlign w:val="center"/>
          </w:tcPr>
          <w:p>
            <w:pPr>
              <w:jc w:val="center"/>
              <w:rPr>
                <w:color w:val="auto"/>
                <w:sz w:val="21"/>
                <w:szCs w:val="21"/>
              </w:rPr>
            </w:pPr>
            <w:r>
              <w:rPr>
                <w:rFonts w:hint="eastAsia"/>
                <w:color w:val="auto"/>
                <w:sz w:val="21"/>
                <w:szCs w:val="21"/>
              </w:rPr>
              <w:t>8</w:t>
            </w:r>
          </w:p>
        </w:tc>
        <w:tc>
          <w:tcPr>
            <w:tcW w:w="1560" w:type="dxa"/>
            <w:shd w:val="clear" w:color="auto" w:fill="auto"/>
            <w:vAlign w:val="center"/>
          </w:tcPr>
          <w:p>
            <w:pPr>
              <w:jc w:val="center"/>
              <w:rPr>
                <w:color w:val="auto"/>
                <w:kern w:val="0"/>
                <w:sz w:val="21"/>
                <w:szCs w:val="21"/>
              </w:rPr>
            </w:pPr>
            <w:r>
              <w:rPr>
                <w:color w:val="auto"/>
                <w:kern w:val="0"/>
                <w:sz w:val="21"/>
                <w:szCs w:val="21"/>
              </w:rPr>
              <w:t>地下水渗漏</w:t>
            </w:r>
          </w:p>
        </w:tc>
        <w:tc>
          <w:tcPr>
            <w:tcW w:w="2551" w:type="dxa"/>
            <w:shd w:val="clear" w:color="auto" w:fill="auto"/>
            <w:vAlign w:val="center"/>
          </w:tcPr>
          <w:p>
            <w:pPr>
              <w:jc w:val="center"/>
              <w:rPr>
                <w:color w:val="auto"/>
                <w:kern w:val="0"/>
                <w:sz w:val="21"/>
                <w:szCs w:val="21"/>
              </w:rPr>
            </w:pPr>
            <w:r>
              <w:rPr>
                <w:rFonts w:hint="eastAsia"/>
                <w:color w:val="auto"/>
                <w:kern w:val="0"/>
                <w:sz w:val="21"/>
                <w:szCs w:val="21"/>
              </w:rPr>
              <w:t>淋溶液</w:t>
            </w:r>
            <w:r>
              <w:rPr>
                <w:color w:val="auto"/>
                <w:kern w:val="0"/>
                <w:sz w:val="21"/>
                <w:szCs w:val="21"/>
              </w:rPr>
              <w:t>处理站防渗层和</w:t>
            </w:r>
            <w:r>
              <w:rPr>
                <w:rFonts w:hint="eastAsia"/>
                <w:color w:val="auto"/>
                <w:kern w:val="0"/>
                <w:sz w:val="21"/>
                <w:szCs w:val="21"/>
              </w:rPr>
              <w:t>建筑垃圾消纳场</w:t>
            </w:r>
            <w:r>
              <w:rPr>
                <w:color w:val="auto"/>
                <w:kern w:val="0"/>
                <w:sz w:val="21"/>
                <w:szCs w:val="21"/>
              </w:rPr>
              <w:t>防渗层老化损坏</w:t>
            </w:r>
          </w:p>
        </w:tc>
        <w:tc>
          <w:tcPr>
            <w:tcW w:w="1559" w:type="dxa"/>
            <w:shd w:val="clear" w:color="auto" w:fill="auto"/>
            <w:vAlign w:val="center"/>
          </w:tcPr>
          <w:p>
            <w:pPr>
              <w:jc w:val="center"/>
              <w:rPr>
                <w:color w:val="auto"/>
                <w:kern w:val="0"/>
                <w:sz w:val="21"/>
                <w:szCs w:val="21"/>
              </w:rPr>
            </w:pPr>
            <w:r>
              <w:rPr>
                <w:rFonts w:hint="eastAsia"/>
                <w:color w:val="auto"/>
                <w:kern w:val="0"/>
                <w:sz w:val="21"/>
                <w:szCs w:val="21"/>
              </w:rPr>
              <w:t>建筑淋溶液</w:t>
            </w:r>
          </w:p>
        </w:tc>
        <w:tc>
          <w:tcPr>
            <w:tcW w:w="1394" w:type="dxa"/>
            <w:shd w:val="clear" w:color="auto" w:fill="auto"/>
            <w:vAlign w:val="center"/>
          </w:tcPr>
          <w:p>
            <w:pPr>
              <w:jc w:val="center"/>
              <w:rPr>
                <w:color w:val="auto"/>
                <w:kern w:val="0"/>
                <w:sz w:val="21"/>
                <w:szCs w:val="21"/>
              </w:rPr>
            </w:pPr>
            <w:r>
              <w:rPr>
                <w:color w:val="auto"/>
                <w:kern w:val="0"/>
                <w:sz w:val="21"/>
                <w:szCs w:val="21"/>
              </w:rPr>
              <w:t>渗漏</w:t>
            </w:r>
          </w:p>
        </w:tc>
        <w:tc>
          <w:tcPr>
            <w:tcW w:w="1548" w:type="dxa"/>
            <w:shd w:val="clear" w:color="auto" w:fill="auto"/>
            <w:vAlign w:val="center"/>
          </w:tcPr>
          <w:p>
            <w:pPr>
              <w:jc w:val="center"/>
              <w:rPr>
                <w:color w:val="auto"/>
                <w:kern w:val="0"/>
                <w:sz w:val="21"/>
                <w:szCs w:val="21"/>
              </w:rPr>
            </w:pPr>
            <w:r>
              <w:rPr>
                <w:color w:val="auto"/>
                <w:kern w:val="0"/>
                <w:sz w:val="21"/>
                <w:szCs w:val="21"/>
              </w:rPr>
              <w:t>影响地下水</w:t>
            </w:r>
            <w:r>
              <w:rPr>
                <w:rFonts w:hint="eastAsia"/>
                <w:color w:val="auto"/>
                <w:kern w:val="0"/>
                <w:sz w:val="21"/>
                <w:szCs w:val="21"/>
              </w:rPr>
              <w:t>和土壤</w:t>
            </w:r>
            <w:r>
              <w:rPr>
                <w:color w:val="auto"/>
                <w:kern w:val="0"/>
                <w:sz w:val="21"/>
                <w:szCs w:val="21"/>
              </w:rPr>
              <w:t>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74" w:type="dxa"/>
            <w:shd w:val="clear" w:color="auto" w:fill="auto"/>
            <w:vAlign w:val="center"/>
          </w:tcPr>
          <w:p>
            <w:pPr>
              <w:jc w:val="center"/>
              <w:rPr>
                <w:color w:val="auto"/>
                <w:sz w:val="21"/>
                <w:szCs w:val="21"/>
              </w:rPr>
            </w:pPr>
            <w:r>
              <w:rPr>
                <w:rFonts w:hint="eastAsia"/>
                <w:color w:val="auto"/>
                <w:sz w:val="21"/>
                <w:szCs w:val="21"/>
              </w:rPr>
              <w:t>9</w:t>
            </w:r>
          </w:p>
        </w:tc>
        <w:tc>
          <w:tcPr>
            <w:tcW w:w="1560" w:type="dxa"/>
            <w:shd w:val="clear" w:color="auto" w:fill="auto"/>
            <w:vAlign w:val="center"/>
          </w:tcPr>
          <w:p>
            <w:pPr>
              <w:jc w:val="center"/>
              <w:rPr>
                <w:color w:val="auto"/>
                <w:kern w:val="0"/>
                <w:sz w:val="21"/>
                <w:szCs w:val="21"/>
              </w:rPr>
            </w:pPr>
            <w:r>
              <w:rPr>
                <w:rFonts w:hint="eastAsia"/>
                <w:color w:val="auto"/>
                <w:kern w:val="0"/>
                <w:sz w:val="21"/>
                <w:szCs w:val="21"/>
              </w:rPr>
              <w:t>消纳场洪水</w:t>
            </w:r>
          </w:p>
        </w:tc>
        <w:tc>
          <w:tcPr>
            <w:tcW w:w="2551" w:type="dxa"/>
            <w:shd w:val="clear" w:color="auto" w:fill="auto"/>
            <w:vAlign w:val="center"/>
          </w:tcPr>
          <w:p>
            <w:pPr>
              <w:jc w:val="center"/>
              <w:rPr>
                <w:color w:val="auto"/>
                <w:kern w:val="0"/>
                <w:sz w:val="21"/>
                <w:szCs w:val="21"/>
              </w:rPr>
            </w:pPr>
            <w:r>
              <w:rPr>
                <w:rFonts w:hint="eastAsia"/>
                <w:color w:val="auto"/>
                <w:kern w:val="0"/>
                <w:sz w:val="21"/>
                <w:szCs w:val="21"/>
              </w:rPr>
              <w:t>遇到特大洪水的冲击</w:t>
            </w:r>
          </w:p>
        </w:tc>
        <w:tc>
          <w:tcPr>
            <w:tcW w:w="1559" w:type="dxa"/>
            <w:shd w:val="clear" w:color="auto" w:fill="auto"/>
            <w:vAlign w:val="center"/>
          </w:tcPr>
          <w:p>
            <w:pPr>
              <w:jc w:val="center"/>
              <w:rPr>
                <w:color w:val="auto"/>
                <w:kern w:val="0"/>
                <w:sz w:val="21"/>
                <w:szCs w:val="21"/>
              </w:rPr>
            </w:pPr>
            <w:r>
              <w:rPr>
                <w:rFonts w:hint="eastAsia"/>
                <w:color w:val="auto"/>
                <w:kern w:val="0"/>
                <w:sz w:val="21"/>
                <w:szCs w:val="21"/>
              </w:rPr>
              <w:t>建筑淋溶液</w:t>
            </w:r>
          </w:p>
        </w:tc>
        <w:tc>
          <w:tcPr>
            <w:tcW w:w="1394" w:type="dxa"/>
            <w:shd w:val="clear" w:color="auto" w:fill="auto"/>
            <w:vAlign w:val="center"/>
          </w:tcPr>
          <w:p>
            <w:pPr>
              <w:jc w:val="center"/>
              <w:rPr>
                <w:color w:val="auto"/>
                <w:kern w:val="0"/>
                <w:sz w:val="21"/>
                <w:szCs w:val="21"/>
              </w:rPr>
            </w:pPr>
            <w:r>
              <w:rPr>
                <w:color w:val="auto"/>
                <w:kern w:val="0"/>
                <w:sz w:val="21"/>
                <w:szCs w:val="21"/>
              </w:rPr>
              <w:t>渗漏</w:t>
            </w:r>
          </w:p>
        </w:tc>
        <w:tc>
          <w:tcPr>
            <w:tcW w:w="1548" w:type="dxa"/>
            <w:shd w:val="clear" w:color="auto" w:fill="auto"/>
            <w:vAlign w:val="center"/>
          </w:tcPr>
          <w:p>
            <w:pPr>
              <w:jc w:val="center"/>
              <w:rPr>
                <w:color w:val="auto"/>
                <w:kern w:val="0"/>
                <w:sz w:val="21"/>
                <w:szCs w:val="21"/>
              </w:rPr>
            </w:pPr>
            <w:r>
              <w:rPr>
                <w:color w:val="auto"/>
                <w:kern w:val="0"/>
                <w:sz w:val="21"/>
                <w:szCs w:val="21"/>
              </w:rPr>
              <w:t>影响地下水</w:t>
            </w:r>
            <w:r>
              <w:rPr>
                <w:rFonts w:hint="eastAsia"/>
                <w:color w:val="auto"/>
                <w:kern w:val="0"/>
                <w:sz w:val="21"/>
                <w:szCs w:val="21"/>
              </w:rPr>
              <w:t>和土壤</w:t>
            </w:r>
            <w:r>
              <w:rPr>
                <w:color w:val="auto"/>
                <w:kern w:val="0"/>
                <w:sz w:val="21"/>
                <w:szCs w:val="21"/>
              </w:rPr>
              <w:t>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74" w:type="dxa"/>
            <w:shd w:val="clear" w:color="auto" w:fill="auto"/>
            <w:vAlign w:val="center"/>
          </w:tcPr>
          <w:p>
            <w:pPr>
              <w:jc w:val="center"/>
              <w:rPr>
                <w:color w:val="auto"/>
                <w:sz w:val="21"/>
                <w:szCs w:val="21"/>
              </w:rPr>
            </w:pPr>
            <w:r>
              <w:rPr>
                <w:rFonts w:hint="eastAsia"/>
                <w:color w:val="auto"/>
                <w:sz w:val="21"/>
                <w:szCs w:val="21"/>
              </w:rPr>
              <w:t>10</w:t>
            </w:r>
          </w:p>
        </w:tc>
        <w:tc>
          <w:tcPr>
            <w:tcW w:w="1560" w:type="dxa"/>
            <w:shd w:val="clear" w:color="auto" w:fill="auto"/>
            <w:vAlign w:val="center"/>
          </w:tcPr>
          <w:p>
            <w:pPr>
              <w:jc w:val="center"/>
              <w:rPr>
                <w:color w:val="auto"/>
                <w:kern w:val="0"/>
                <w:sz w:val="21"/>
                <w:szCs w:val="21"/>
              </w:rPr>
            </w:pPr>
            <w:r>
              <w:rPr>
                <w:rFonts w:hint="eastAsia"/>
                <w:color w:val="auto"/>
                <w:kern w:val="0"/>
                <w:sz w:val="21"/>
                <w:szCs w:val="21"/>
              </w:rPr>
              <w:t>消纳场地质灾害</w:t>
            </w:r>
          </w:p>
        </w:tc>
        <w:tc>
          <w:tcPr>
            <w:tcW w:w="2551" w:type="dxa"/>
            <w:shd w:val="clear" w:color="auto" w:fill="auto"/>
            <w:vAlign w:val="center"/>
          </w:tcPr>
          <w:p>
            <w:pPr>
              <w:jc w:val="center"/>
              <w:rPr>
                <w:color w:val="auto"/>
                <w:kern w:val="0"/>
                <w:sz w:val="21"/>
                <w:szCs w:val="21"/>
              </w:rPr>
            </w:pPr>
            <w:r>
              <w:rPr>
                <w:rFonts w:hint="eastAsia"/>
                <w:color w:val="auto"/>
                <w:kern w:val="0"/>
                <w:sz w:val="21"/>
                <w:szCs w:val="21"/>
              </w:rPr>
              <w:t>地面塌陷、溃坝</w:t>
            </w:r>
          </w:p>
        </w:tc>
        <w:tc>
          <w:tcPr>
            <w:tcW w:w="1559" w:type="dxa"/>
            <w:shd w:val="clear" w:color="auto" w:fill="auto"/>
            <w:vAlign w:val="center"/>
          </w:tcPr>
          <w:p>
            <w:pPr>
              <w:jc w:val="center"/>
              <w:rPr>
                <w:color w:val="auto"/>
                <w:kern w:val="0"/>
                <w:sz w:val="21"/>
                <w:szCs w:val="21"/>
              </w:rPr>
            </w:pPr>
            <w:r>
              <w:rPr>
                <w:rFonts w:hint="eastAsia"/>
                <w:color w:val="auto"/>
                <w:kern w:val="0"/>
                <w:sz w:val="21"/>
                <w:szCs w:val="21"/>
              </w:rPr>
              <w:t>建筑淋溶液</w:t>
            </w:r>
          </w:p>
        </w:tc>
        <w:tc>
          <w:tcPr>
            <w:tcW w:w="1394" w:type="dxa"/>
            <w:shd w:val="clear" w:color="auto" w:fill="auto"/>
            <w:vAlign w:val="center"/>
          </w:tcPr>
          <w:p>
            <w:pPr>
              <w:jc w:val="center"/>
              <w:rPr>
                <w:color w:val="auto"/>
                <w:kern w:val="0"/>
                <w:sz w:val="21"/>
                <w:szCs w:val="21"/>
              </w:rPr>
            </w:pPr>
            <w:r>
              <w:rPr>
                <w:color w:val="auto"/>
                <w:kern w:val="0"/>
                <w:sz w:val="21"/>
                <w:szCs w:val="21"/>
              </w:rPr>
              <w:t>渗漏</w:t>
            </w:r>
          </w:p>
        </w:tc>
        <w:tc>
          <w:tcPr>
            <w:tcW w:w="1548" w:type="dxa"/>
            <w:shd w:val="clear" w:color="auto" w:fill="auto"/>
            <w:vAlign w:val="center"/>
          </w:tcPr>
          <w:p>
            <w:pPr>
              <w:jc w:val="center"/>
              <w:rPr>
                <w:color w:val="auto"/>
                <w:kern w:val="0"/>
                <w:sz w:val="21"/>
                <w:szCs w:val="21"/>
              </w:rPr>
            </w:pPr>
            <w:r>
              <w:rPr>
                <w:color w:val="auto"/>
                <w:kern w:val="0"/>
                <w:sz w:val="21"/>
                <w:szCs w:val="21"/>
              </w:rPr>
              <w:t>影响地下水</w:t>
            </w:r>
            <w:r>
              <w:rPr>
                <w:rFonts w:hint="eastAsia"/>
                <w:color w:val="auto"/>
                <w:kern w:val="0"/>
                <w:sz w:val="21"/>
                <w:szCs w:val="21"/>
              </w:rPr>
              <w:t>和土壤</w:t>
            </w:r>
            <w:r>
              <w:rPr>
                <w:color w:val="auto"/>
                <w:kern w:val="0"/>
                <w:sz w:val="21"/>
                <w:szCs w:val="21"/>
              </w:rPr>
              <w:t>环境</w:t>
            </w:r>
          </w:p>
        </w:tc>
      </w:tr>
    </w:tbl>
    <w:p>
      <w:pPr>
        <w:spacing w:line="360" w:lineRule="auto"/>
        <w:rPr>
          <w:b/>
          <w:color w:val="auto"/>
        </w:rPr>
      </w:pPr>
      <w:r>
        <w:rPr>
          <w:b/>
          <w:color w:val="auto"/>
        </w:rPr>
        <w:t>5.2.8.</w:t>
      </w:r>
      <w:r>
        <w:rPr>
          <w:rFonts w:hint="eastAsia"/>
          <w:b/>
          <w:color w:val="auto"/>
        </w:rPr>
        <w:t>2</w:t>
      </w:r>
      <w:r>
        <w:rPr>
          <w:b/>
          <w:color w:val="auto"/>
        </w:rPr>
        <w:t>风险潜势初判和评价等级</w:t>
      </w:r>
    </w:p>
    <w:p>
      <w:pPr>
        <w:autoSpaceDE w:val="0"/>
        <w:autoSpaceDN w:val="0"/>
        <w:adjustRightInd w:val="0"/>
        <w:spacing w:line="360" w:lineRule="auto"/>
        <w:ind w:firstLine="360" w:firstLineChars="150"/>
        <w:rPr>
          <w:color w:val="auto"/>
          <w:kern w:val="0"/>
        </w:rPr>
      </w:pPr>
      <w:r>
        <w:rPr>
          <w:color w:val="auto"/>
          <w:kern w:val="0"/>
        </w:rPr>
        <w:t>根据上述判定结果可知，本项目危险物质数量与临界量比值（Q）为</w:t>
      </w:r>
      <w:r>
        <w:rPr>
          <w:rFonts w:hint="eastAsia"/>
          <w:color w:val="auto"/>
          <w:kern w:val="0"/>
        </w:rPr>
        <w:t>0.1</w:t>
      </w:r>
      <w:r>
        <w:rPr>
          <w:color w:val="auto"/>
          <w:kern w:val="0"/>
        </w:rPr>
        <w:t>，</w:t>
      </w:r>
      <w:r>
        <w:rPr>
          <w:color w:val="auto"/>
        </w:rPr>
        <w:t>该项目环境风险潜势为I</w:t>
      </w:r>
      <w:r>
        <w:rPr>
          <w:rFonts w:hint="eastAsia"/>
          <w:color w:val="auto"/>
        </w:rPr>
        <w:t>，</w:t>
      </w:r>
      <w:r>
        <w:rPr>
          <w:color w:val="auto"/>
        </w:rPr>
        <w:t>本次环境风险评价等级</w:t>
      </w:r>
      <w:r>
        <w:rPr>
          <w:rFonts w:hint="eastAsia"/>
          <w:color w:val="auto"/>
        </w:rPr>
        <w:t>为简单分析</w:t>
      </w:r>
      <w:r>
        <w:rPr>
          <w:color w:val="auto"/>
          <w:kern w:val="0"/>
        </w:rPr>
        <w:t>。</w:t>
      </w:r>
    </w:p>
    <w:bookmarkEnd w:id="692"/>
    <w:bookmarkEnd w:id="693"/>
    <w:bookmarkEnd w:id="694"/>
    <w:p>
      <w:pPr>
        <w:spacing w:line="360" w:lineRule="auto"/>
        <w:rPr>
          <w:b/>
          <w:color w:val="auto"/>
        </w:rPr>
      </w:pPr>
      <w:bookmarkStart w:id="721" w:name="_Toc465172671"/>
      <w:r>
        <w:rPr>
          <w:b/>
          <w:color w:val="auto"/>
        </w:rPr>
        <w:t>5.2.8.</w:t>
      </w:r>
      <w:r>
        <w:rPr>
          <w:rFonts w:hint="eastAsia"/>
          <w:b/>
          <w:color w:val="auto"/>
        </w:rPr>
        <w:t>3</w:t>
      </w:r>
      <w:r>
        <w:rPr>
          <w:b/>
          <w:color w:val="auto"/>
        </w:rPr>
        <w:t>评价范围风险敏感点排查</w:t>
      </w:r>
      <w:bookmarkEnd w:id="721"/>
    </w:p>
    <w:p>
      <w:pPr>
        <w:autoSpaceDE w:val="0"/>
        <w:autoSpaceDN w:val="0"/>
        <w:adjustRightInd w:val="0"/>
        <w:spacing w:line="360" w:lineRule="auto"/>
        <w:ind w:firstLine="360" w:firstLineChars="150"/>
        <w:rPr>
          <w:color w:val="auto"/>
          <w:kern w:val="0"/>
        </w:rPr>
      </w:pPr>
      <w:r>
        <w:rPr>
          <w:color w:val="auto"/>
          <w:kern w:val="0"/>
        </w:rPr>
        <w:t>本项目涉及环境风险敏感目标分布情况见表5.2-</w:t>
      </w:r>
      <w:r>
        <w:rPr>
          <w:rFonts w:hint="eastAsia"/>
          <w:color w:val="auto"/>
          <w:kern w:val="0"/>
        </w:rPr>
        <w:t>28</w:t>
      </w:r>
      <w:r>
        <w:rPr>
          <w:color w:val="auto"/>
          <w:kern w:val="0"/>
        </w:rPr>
        <w:t>。</w:t>
      </w:r>
    </w:p>
    <w:p>
      <w:pPr>
        <w:autoSpaceDE w:val="0"/>
        <w:autoSpaceDN w:val="0"/>
        <w:adjustRightInd w:val="0"/>
        <w:jc w:val="center"/>
        <w:rPr>
          <w:b/>
          <w:color w:val="auto"/>
          <w:kern w:val="0"/>
        </w:rPr>
      </w:pPr>
      <w:r>
        <w:rPr>
          <w:b/>
          <w:color w:val="auto"/>
        </w:rPr>
        <w:t>表5.2-</w:t>
      </w:r>
      <w:r>
        <w:rPr>
          <w:rFonts w:hint="eastAsia"/>
          <w:b/>
          <w:color w:val="auto"/>
        </w:rPr>
        <w:t>28</w:t>
      </w:r>
      <w:r>
        <w:rPr>
          <w:b/>
          <w:color w:val="auto"/>
          <w:kern w:val="0"/>
        </w:rPr>
        <w:t xml:space="preserve">  本项目环境敏感特征表</w:t>
      </w:r>
    </w:p>
    <w:tbl>
      <w:tblPr>
        <w:tblStyle w:val="53"/>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6"/>
        <w:gridCol w:w="909"/>
        <w:gridCol w:w="1744"/>
        <w:gridCol w:w="1327"/>
        <w:gridCol w:w="1327"/>
        <w:gridCol w:w="1327"/>
        <w:gridCol w:w="13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1326" w:type="dxa"/>
            <w:vMerge w:val="restart"/>
            <w:shd w:val="clear" w:color="auto" w:fill="auto"/>
            <w:vAlign w:val="center"/>
          </w:tcPr>
          <w:p>
            <w:pPr>
              <w:autoSpaceDE w:val="0"/>
              <w:autoSpaceDN w:val="0"/>
              <w:adjustRightInd w:val="0"/>
              <w:jc w:val="center"/>
              <w:rPr>
                <w:b/>
                <w:color w:val="auto"/>
                <w:kern w:val="0"/>
                <w:sz w:val="21"/>
                <w:szCs w:val="21"/>
              </w:rPr>
            </w:pPr>
            <w:r>
              <w:rPr>
                <w:b/>
                <w:color w:val="auto"/>
                <w:kern w:val="0"/>
                <w:sz w:val="21"/>
                <w:szCs w:val="21"/>
              </w:rPr>
              <w:t>类别</w:t>
            </w:r>
          </w:p>
        </w:tc>
        <w:tc>
          <w:tcPr>
            <w:tcW w:w="7961" w:type="dxa"/>
            <w:gridSpan w:val="6"/>
            <w:shd w:val="clear" w:color="auto" w:fill="auto"/>
          </w:tcPr>
          <w:p>
            <w:pPr>
              <w:autoSpaceDE w:val="0"/>
              <w:autoSpaceDN w:val="0"/>
              <w:adjustRightInd w:val="0"/>
              <w:jc w:val="center"/>
              <w:rPr>
                <w:b/>
                <w:color w:val="auto"/>
                <w:kern w:val="0"/>
                <w:sz w:val="21"/>
                <w:szCs w:val="21"/>
              </w:rPr>
            </w:pPr>
            <w:r>
              <w:rPr>
                <w:b/>
                <w:color w:val="auto"/>
                <w:kern w:val="0"/>
                <w:sz w:val="21"/>
                <w:szCs w:val="21"/>
              </w:rPr>
              <w:t>环境敏感特征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1326" w:type="dxa"/>
            <w:vMerge w:val="continue"/>
            <w:shd w:val="clear" w:color="auto" w:fill="auto"/>
            <w:vAlign w:val="center"/>
          </w:tcPr>
          <w:p>
            <w:pPr>
              <w:autoSpaceDE w:val="0"/>
              <w:autoSpaceDN w:val="0"/>
              <w:adjustRightInd w:val="0"/>
              <w:jc w:val="center"/>
              <w:rPr>
                <w:b/>
                <w:color w:val="auto"/>
                <w:kern w:val="0"/>
                <w:sz w:val="21"/>
                <w:szCs w:val="21"/>
              </w:rPr>
            </w:pPr>
          </w:p>
        </w:tc>
        <w:tc>
          <w:tcPr>
            <w:tcW w:w="909" w:type="dxa"/>
            <w:shd w:val="clear" w:color="auto" w:fill="auto"/>
            <w:vAlign w:val="center"/>
          </w:tcPr>
          <w:p>
            <w:pPr>
              <w:autoSpaceDE w:val="0"/>
              <w:autoSpaceDN w:val="0"/>
              <w:adjustRightInd w:val="0"/>
              <w:jc w:val="center"/>
              <w:rPr>
                <w:b/>
                <w:color w:val="auto"/>
                <w:kern w:val="0"/>
                <w:sz w:val="21"/>
                <w:szCs w:val="21"/>
              </w:rPr>
            </w:pPr>
            <w:r>
              <w:rPr>
                <w:b/>
                <w:color w:val="auto"/>
                <w:kern w:val="0"/>
                <w:sz w:val="21"/>
                <w:szCs w:val="21"/>
              </w:rPr>
              <w:t>序号</w:t>
            </w:r>
          </w:p>
        </w:tc>
        <w:tc>
          <w:tcPr>
            <w:tcW w:w="1744" w:type="dxa"/>
            <w:shd w:val="clear" w:color="auto" w:fill="auto"/>
            <w:vAlign w:val="center"/>
          </w:tcPr>
          <w:p>
            <w:pPr>
              <w:autoSpaceDE w:val="0"/>
              <w:autoSpaceDN w:val="0"/>
              <w:adjustRightInd w:val="0"/>
              <w:jc w:val="center"/>
              <w:rPr>
                <w:b/>
                <w:color w:val="auto"/>
                <w:kern w:val="0"/>
                <w:sz w:val="21"/>
                <w:szCs w:val="21"/>
              </w:rPr>
            </w:pPr>
            <w:r>
              <w:rPr>
                <w:b/>
                <w:color w:val="auto"/>
                <w:kern w:val="0"/>
                <w:sz w:val="21"/>
                <w:szCs w:val="21"/>
              </w:rPr>
              <w:t>敏感目标名称</w:t>
            </w:r>
          </w:p>
        </w:tc>
        <w:tc>
          <w:tcPr>
            <w:tcW w:w="1327" w:type="dxa"/>
            <w:shd w:val="clear" w:color="auto" w:fill="auto"/>
            <w:vAlign w:val="center"/>
          </w:tcPr>
          <w:p>
            <w:pPr>
              <w:autoSpaceDE w:val="0"/>
              <w:autoSpaceDN w:val="0"/>
              <w:adjustRightInd w:val="0"/>
              <w:jc w:val="center"/>
              <w:rPr>
                <w:b/>
                <w:color w:val="auto"/>
                <w:kern w:val="0"/>
                <w:sz w:val="21"/>
                <w:szCs w:val="21"/>
              </w:rPr>
            </w:pPr>
            <w:r>
              <w:rPr>
                <w:b/>
                <w:color w:val="auto"/>
                <w:kern w:val="0"/>
                <w:sz w:val="21"/>
                <w:szCs w:val="21"/>
              </w:rPr>
              <w:t>相对方位</w:t>
            </w:r>
          </w:p>
        </w:tc>
        <w:tc>
          <w:tcPr>
            <w:tcW w:w="1327" w:type="dxa"/>
            <w:shd w:val="clear" w:color="auto" w:fill="auto"/>
            <w:vAlign w:val="center"/>
          </w:tcPr>
          <w:p>
            <w:pPr>
              <w:autoSpaceDE w:val="0"/>
              <w:autoSpaceDN w:val="0"/>
              <w:adjustRightInd w:val="0"/>
              <w:jc w:val="center"/>
              <w:rPr>
                <w:b/>
                <w:color w:val="auto"/>
                <w:kern w:val="0"/>
                <w:sz w:val="21"/>
                <w:szCs w:val="21"/>
              </w:rPr>
            </w:pPr>
            <w:r>
              <w:rPr>
                <w:b/>
                <w:color w:val="auto"/>
                <w:kern w:val="0"/>
                <w:sz w:val="21"/>
                <w:szCs w:val="21"/>
              </w:rPr>
              <w:t>距离/m</w:t>
            </w:r>
          </w:p>
        </w:tc>
        <w:tc>
          <w:tcPr>
            <w:tcW w:w="1327" w:type="dxa"/>
            <w:shd w:val="clear" w:color="auto" w:fill="auto"/>
            <w:vAlign w:val="center"/>
          </w:tcPr>
          <w:p>
            <w:pPr>
              <w:autoSpaceDE w:val="0"/>
              <w:autoSpaceDN w:val="0"/>
              <w:adjustRightInd w:val="0"/>
              <w:jc w:val="center"/>
              <w:rPr>
                <w:b/>
                <w:color w:val="auto"/>
                <w:kern w:val="0"/>
                <w:sz w:val="21"/>
                <w:szCs w:val="21"/>
              </w:rPr>
            </w:pPr>
            <w:r>
              <w:rPr>
                <w:b/>
                <w:color w:val="auto"/>
                <w:kern w:val="0"/>
                <w:sz w:val="21"/>
                <w:szCs w:val="21"/>
              </w:rPr>
              <w:t>属性</w:t>
            </w:r>
          </w:p>
        </w:tc>
        <w:tc>
          <w:tcPr>
            <w:tcW w:w="1327" w:type="dxa"/>
            <w:shd w:val="clear" w:color="auto" w:fill="auto"/>
            <w:vAlign w:val="center"/>
          </w:tcPr>
          <w:p>
            <w:pPr>
              <w:autoSpaceDE w:val="0"/>
              <w:autoSpaceDN w:val="0"/>
              <w:adjustRightInd w:val="0"/>
              <w:jc w:val="center"/>
              <w:rPr>
                <w:b/>
                <w:color w:val="auto"/>
                <w:kern w:val="0"/>
                <w:sz w:val="21"/>
                <w:szCs w:val="21"/>
              </w:rPr>
            </w:pPr>
            <w:r>
              <w:rPr>
                <w:rFonts w:hint="eastAsia"/>
                <w:b/>
                <w:color w:val="auto"/>
                <w:kern w:val="0"/>
                <w:sz w:val="21"/>
                <w:szCs w:val="21"/>
              </w:rPr>
              <w:t>规模（人）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26" w:type="dxa"/>
            <w:vMerge w:val="restart"/>
            <w:shd w:val="clear" w:color="auto" w:fill="auto"/>
            <w:vAlign w:val="center"/>
          </w:tcPr>
          <w:p>
            <w:pPr>
              <w:jc w:val="center"/>
              <w:rPr>
                <w:b/>
                <w:color w:val="auto"/>
                <w:kern w:val="0"/>
                <w:sz w:val="21"/>
                <w:szCs w:val="21"/>
              </w:rPr>
            </w:pPr>
            <w:r>
              <w:rPr>
                <w:b/>
                <w:color w:val="auto"/>
                <w:sz w:val="21"/>
                <w:szCs w:val="21"/>
              </w:rPr>
              <w:t>环境空气</w:t>
            </w:r>
          </w:p>
        </w:tc>
        <w:tc>
          <w:tcPr>
            <w:tcW w:w="909" w:type="dxa"/>
            <w:shd w:val="clear" w:color="auto" w:fill="auto"/>
            <w:vAlign w:val="center"/>
          </w:tcPr>
          <w:p>
            <w:pPr>
              <w:jc w:val="center"/>
              <w:rPr>
                <w:color w:val="auto"/>
                <w:sz w:val="21"/>
                <w:szCs w:val="21"/>
              </w:rPr>
            </w:pPr>
            <w:r>
              <w:rPr>
                <w:color w:val="auto"/>
                <w:sz w:val="21"/>
                <w:szCs w:val="21"/>
              </w:rPr>
              <w:t>1</w:t>
            </w:r>
          </w:p>
        </w:tc>
        <w:tc>
          <w:tcPr>
            <w:tcW w:w="1744" w:type="dxa"/>
            <w:shd w:val="clear" w:color="auto" w:fill="auto"/>
            <w:vAlign w:val="center"/>
          </w:tcPr>
          <w:p>
            <w:pPr>
              <w:widowControl/>
              <w:jc w:val="center"/>
              <w:rPr>
                <w:rFonts w:eastAsiaTheme="minorEastAsia"/>
                <w:color w:val="auto"/>
                <w:sz w:val="21"/>
                <w:szCs w:val="21"/>
              </w:rPr>
            </w:pPr>
            <w:r>
              <w:rPr>
                <w:rFonts w:hint="eastAsia" w:eastAsiaTheme="minorEastAsia"/>
                <w:color w:val="auto"/>
                <w:sz w:val="21"/>
                <w:szCs w:val="21"/>
              </w:rPr>
              <w:t>先声村</w:t>
            </w:r>
          </w:p>
        </w:tc>
        <w:tc>
          <w:tcPr>
            <w:tcW w:w="1327" w:type="dxa"/>
            <w:shd w:val="clear" w:color="auto" w:fill="auto"/>
            <w:vAlign w:val="center"/>
          </w:tcPr>
          <w:p>
            <w:pPr>
              <w:jc w:val="center"/>
              <w:rPr>
                <w:color w:val="auto"/>
                <w:kern w:val="0"/>
                <w:sz w:val="21"/>
                <w:szCs w:val="21"/>
              </w:rPr>
            </w:pPr>
            <w:r>
              <w:rPr>
                <w:color w:val="auto"/>
                <w:kern w:val="0"/>
                <w:sz w:val="21"/>
                <w:szCs w:val="21"/>
              </w:rPr>
              <w:t>W</w:t>
            </w:r>
          </w:p>
        </w:tc>
        <w:tc>
          <w:tcPr>
            <w:tcW w:w="1327" w:type="dxa"/>
            <w:shd w:val="clear" w:color="auto" w:fill="auto"/>
            <w:vAlign w:val="center"/>
          </w:tcPr>
          <w:p>
            <w:pPr>
              <w:widowControl/>
              <w:jc w:val="center"/>
              <w:rPr>
                <w:color w:val="auto"/>
                <w:sz w:val="21"/>
                <w:szCs w:val="21"/>
              </w:rPr>
            </w:pPr>
            <w:r>
              <w:rPr>
                <w:rFonts w:hint="eastAsia"/>
                <w:color w:val="auto"/>
                <w:sz w:val="21"/>
                <w:szCs w:val="21"/>
              </w:rPr>
              <w:t>911</w:t>
            </w:r>
          </w:p>
        </w:tc>
        <w:tc>
          <w:tcPr>
            <w:tcW w:w="1327" w:type="dxa"/>
            <w:shd w:val="clear" w:color="auto" w:fill="auto"/>
            <w:vAlign w:val="center"/>
          </w:tcPr>
          <w:p>
            <w:pPr>
              <w:widowControl/>
              <w:jc w:val="center"/>
              <w:rPr>
                <w:rFonts w:eastAsiaTheme="minorEastAsia"/>
                <w:color w:val="auto"/>
                <w:sz w:val="21"/>
                <w:szCs w:val="21"/>
              </w:rPr>
            </w:pPr>
            <w:r>
              <w:rPr>
                <w:rFonts w:eastAsiaTheme="minorEastAsia"/>
                <w:color w:val="auto"/>
                <w:sz w:val="21"/>
                <w:szCs w:val="21"/>
              </w:rPr>
              <w:t>行政村</w:t>
            </w:r>
          </w:p>
        </w:tc>
        <w:tc>
          <w:tcPr>
            <w:tcW w:w="1327" w:type="dxa"/>
            <w:shd w:val="clear" w:color="auto" w:fill="auto"/>
            <w:vAlign w:val="center"/>
          </w:tcPr>
          <w:p>
            <w:pPr>
              <w:widowControl/>
              <w:jc w:val="center"/>
              <w:rPr>
                <w:rFonts w:eastAsiaTheme="minorEastAsia"/>
                <w:color w:val="auto"/>
                <w:sz w:val="21"/>
                <w:szCs w:val="21"/>
              </w:rPr>
            </w:pPr>
            <w:r>
              <w:rPr>
                <w:rFonts w:hint="eastAsia" w:eastAsiaTheme="minorEastAsia"/>
                <w:color w:val="auto"/>
                <w:sz w:val="21"/>
                <w:szCs w:val="21"/>
              </w:rPr>
              <w:t>2</w:t>
            </w:r>
            <w:r>
              <w:rPr>
                <w:rFonts w:eastAsiaTheme="minorEastAsia"/>
                <w:color w:val="auto"/>
                <w:sz w:val="21"/>
                <w:szCs w:val="21"/>
              </w:rPr>
              <w:t>938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26" w:type="dxa"/>
            <w:vMerge w:val="continue"/>
            <w:shd w:val="clear" w:color="auto" w:fill="auto"/>
            <w:vAlign w:val="center"/>
          </w:tcPr>
          <w:p>
            <w:pPr>
              <w:jc w:val="center"/>
              <w:rPr>
                <w:color w:val="auto"/>
                <w:sz w:val="21"/>
                <w:szCs w:val="21"/>
              </w:rPr>
            </w:pPr>
          </w:p>
        </w:tc>
        <w:tc>
          <w:tcPr>
            <w:tcW w:w="909" w:type="dxa"/>
            <w:shd w:val="clear" w:color="auto" w:fill="auto"/>
            <w:vAlign w:val="center"/>
          </w:tcPr>
          <w:p>
            <w:pPr>
              <w:jc w:val="center"/>
              <w:rPr>
                <w:color w:val="auto"/>
                <w:sz w:val="21"/>
                <w:szCs w:val="21"/>
              </w:rPr>
            </w:pPr>
            <w:r>
              <w:rPr>
                <w:color w:val="auto"/>
                <w:sz w:val="21"/>
                <w:szCs w:val="21"/>
              </w:rPr>
              <w:t>2</w:t>
            </w:r>
          </w:p>
        </w:tc>
        <w:tc>
          <w:tcPr>
            <w:tcW w:w="1744" w:type="dxa"/>
            <w:shd w:val="clear" w:color="auto" w:fill="auto"/>
            <w:vAlign w:val="center"/>
          </w:tcPr>
          <w:p>
            <w:pPr>
              <w:widowControl/>
              <w:jc w:val="center"/>
              <w:rPr>
                <w:rFonts w:eastAsiaTheme="minorEastAsia"/>
                <w:color w:val="auto"/>
                <w:sz w:val="21"/>
                <w:szCs w:val="21"/>
              </w:rPr>
            </w:pPr>
            <w:r>
              <w:rPr>
                <w:rFonts w:hint="eastAsia" w:eastAsiaTheme="minorEastAsia"/>
                <w:color w:val="auto"/>
                <w:sz w:val="21"/>
                <w:szCs w:val="21"/>
              </w:rPr>
              <w:t>茅塘村</w:t>
            </w:r>
          </w:p>
        </w:tc>
        <w:tc>
          <w:tcPr>
            <w:tcW w:w="1327" w:type="dxa"/>
            <w:shd w:val="clear" w:color="auto" w:fill="auto"/>
            <w:vAlign w:val="center"/>
          </w:tcPr>
          <w:p>
            <w:pPr>
              <w:jc w:val="center"/>
              <w:rPr>
                <w:color w:val="auto"/>
                <w:kern w:val="0"/>
                <w:sz w:val="21"/>
                <w:szCs w:val="21"/>
              </w:rPr>
            </w:pPr>
            <w:r>
              <w:rPr>
                <w:rFonts w:hint="eastAsia"/>
                <w:color w:val="auto"/>
                <w:kern w:val="0"/>
                <w:sz w:val="21"/>
                <w:szCs w:val="21"/>
              </w:rPr>
              <w:t>N</w:t>
            </w:r>
            <w:r>
              <w:rPr>
                <w:color w:val="auto"/>
                <w:kern w:val="0"/>
                <w:sz w:val="21"/>
                <w:szCs w:val="21"/>
              </w:rPr>
              <w:t>E</w:t>
            </w:r>
          </w:p>
        </w:tc>
        <w:tc>
          <w:tcPr>
            <w:tcW w:w="1327" w:type="dxa"/>
            <w:shd w:val="clear" w:color="auto" w:fill="auto"/>
            <w:vAlign w:val="center"/>
          </w:tcPr>
          <w:p>
            <w:pPr>
              <w:widowControl/>
              <w:jc w:val="center"/>
              <w:rPr>
                <w:color w:val="auto"/>
                <w:sz w:val="21"/>
                <w:szCs w:val="21"/>
              </w:rPr>
            </w:pPr>
            <w:r>
              <w:rPr>
                <w:rFonts w:hint="eastAsia"/>
                <w:color w:val="auto"/>
                <w:sz w:val="21"/>
                <w:szCs w:val="21"/>
              </w:rPr>
              <w:t>1132</w:t>
            </w:r>
          </w:p>
        </w:tc>
        <w:tc>
          <w:tcPr>
            <w:tcW w:w="1327" w:type="dxa"/>
            <w:shd w:val="clear" w:color="auto" w:fill="auto"/>
            <w:vAlign w:val="center"/>
          </w:tcPr>
          <w:p>
            <w:pPr>
              <w:widowControl/>
              <w:jc w:val="center"/>
              <w:rPr>
                <w:rFonts w:eastAsiaTheme="minorEastAsia"/>
                <w:color w:val="auto"/>
                <w:sz w:val="21"/>
                <w:szCs w:val="21"/>
              </w:rPr>
            </w:pPr>
            <w:r>
              <w:rPr>
                <w:rFonts w:eastAsiaTheme="minorEastAsia"/>
                <w:color w:val="auto"/>
                <w:sz w:val="21"/>
                <w:szCs w:val="21"/>
              </w:rPr>
              <w:t>行政村</w:t>
            </w:r>
          </w:p>
        </w:tc>
        <w:tc>
          <w:tcPr>
            <w:tcW w:w="1327" w:type="dxa"/>
            <w:shd w:val="clear" w:color="auto" w:fill="auto"/>
            <w:vAlign w:val="center"/>
          </w:tcPr>
          <w:p>
            <w:pPr>
              <w:jc w:val="center"/>
              <w:rPr>
                <w:color w:val="auto"/>
                <w:kern w:val="0"/>
                <w:sz w:val="21"/>
                <w:szCs w:val="21"/>
              </w:rPr>
            </w:pPr>
            <w:r>
              <w:rPr>
                <w:rFonts w:hint="eastAsia"/>
                <w:color w:val="auto"/>
                <w:kern w:val="0"/>
                <w:sz w:val="21"/>
                <w:szCs w:val="21"/>
              </w:rPr>
              <w:t>1</w:t>
            </w:r>
            <w:r>
              <w:rPr>
                <w:color w:val="auto"/>
                <w:kern w:val="0"/>
                <w:sz w:val="21"/>
                <w:szCs w:val="21"/>
              </w:rPr>
              <w:t>072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26" w:type="dxa"/>
            <w:vMerge w:val="continue"/>
            <w:shd w:val="clear" w:color="auto" w:fill="auto"/>
          </w:tcPr>
          <w:p>
            <w:pPr>
              <w:autoSpaceDE w:val="0"/>
              <w:autoSpaceDN w:val="0"/>
              <w:adjustRightInd w:val="0"/>
              <w:jc w:val="center"/>
              <w:rPr>
                <w:b/>
                <w:color w:val="auto"/>
                <w:kern w:val="0"/>
                <w:sz w:val="21"/>
                <w:szCs w:val="21"/>
              </w:rPr>
            </w:pPr>
          </w:p>
        </w:tc>
        <w:tc>
          <w:tcPr>
            <w:tcW w:w="909" w:type="dxa"/>
            <w:shd w:val="clear" w:color="auto" w:fill="auto"/>
            <w:vAlign w:val="center"/>
          </w:tcPr>
          <w:p>
            <w:pPr>
              <w:jc w:val="center"/>
              <w:rPr>
                <w:color w:val="auto"/>
                <w:sz w:val="21"/>
                <w:szCs w:val="21"/>
              </w:rPr>
            </w:pPr>
            <w:r>
              <w:rPr>
                <w:color w:val="auto"/>
                <w:sz w:val="21"/>
                <w:szCs w:val="21"/>
              </w:rPr>
              <w:t>3</w:t>
            </w:r>
          </w:p>
        </w:tc>
        <w:tc>
          <w:tcPr>
            <w:tcW w:w="1744" w:type="dxa"/>
            <w:shd w:val="clear" w:color="auto" w:fill="auto"/>
            <w:vAlign w:val="center"/>
          </w:tcPr>
          <w:p>
            <w:pPr>
              <w:widowControl/>
              <w:jc w:val="center"/>
              <w:rPr>
                <w:rFonts w:eastAsiaTheme="minorEastAsia"/>
                <w:color w:val="auto"/>
                <w:sz w:val="21"/>
                <w:szCs w:val="21"/>
              </w:rPr>
            </w:pPr>
            <w:r>
              <w:rPr>
                <w:rFonts w:hint="eastAsia" w:eastAsiaTheme="minorEastAsia"/>
                <w:color w:val="auto"/>
                <w:sz w:val="21"/>
                <w:szCs w:val="21"/>
              </w:rPr>
              <w:t>福民村</w:t>
            </w:r>
          </w:p>
        </w:tc>
        <w:tc>
          <w:tcPr>
            <w:tcW w:w="1327" w:type="dxa"/>
            <w:shd w:val="clear" w:color="auto" w:fill="auto"/>
            <w:vAlign w:val="center"/>
          </w:tcPr>
          <w:p>
            <w:pPr>
              <w:jc w:val="center"/>
              <w:rPr>
                <w:color w:val="auto"/>
                <w:kern w:val="0"/>
                <w:sz w:val="21"/>
                <w:szCs w:val="21"/>
              </w:rPr>
            </w:pPr>
            <w:r>
              <w:rPr>
                <w:color w:val="auto"/>
                <w:kern w:val="0"/>
                <w:sz w:val="21"/>
                <w:szCs w:val="21"/>
              </w:rPr>
              <w:t>NE</w:t>
            </w:r>
          </w:p>
        </w:tc>
        <w:tc>
          <w:tcPr>
            <w:tcW w:w="1327" w:type="dxa"/>
            <w:shd w:val="clear" w:color="auto" w:fill="auto"/>
            <w:vAlign w:val="center"/>
          </w:tcPr>
          <w:p>
            <w:pPr>
              <w:widowControl/>
              <w:jc w:val="center"/>
              <w:rPr>
                <w:color w:val="auto"/>
                <w:sz w:val="21"/>
                <w:szCs w:val="21"/>
              </w:rPr>
            </w:pPr>
            <w:r>
              <w:rPr>
                <w:rFonts w:hint="eastAsia"/>
                <w:color w:val="auto"/>
                <w:sz w:val="21"/>
                <w:szCs w:val="21"/>
              </w:rPr>
              <w:t>2000</w:t>
            </w:r>
          </w:p>
        </w:tc>
        <w:tc>
          <w:tcPr>
            <w:tcW w:w="1327" w:type="dxa"/>
            <w:shd w:val="clear" w:color="auto" w:fill="auto"/>
            <w:vAlign w:val="center"/>
          </w:tcPr>
          <w:p>
            <w:pPr>
              <w:widowControl/>
              <w:jc w:val="center"/>
              <w:rPr>
                <w:rFonts w:eastAsiaTheme="minorEastAsia"/>
                <w:color w:val="auto"/>
                <w:sz w:val="21"/>
                <w:szCs w:val="21"/>
              </w:rPr>
            </w:pPr>
            <w:r>
              <w:rPr>
                <w:rFonts w:eastAsiaTheme="minorEastAsia"/>
                <w:color w:val="auto"/>
                <w:sz w:val="21"/>
                <w:szCs w:val="21"/>
              </w:rPr>
              <w:t>行政村</w:t>
            </w:r>
          </w:p>
        </w:tc>
        <w:tc>
          <w:tcPr>
            <w:tcW w:w="1327" w:type="dxa"/>
            <w:shd w:val="clear" w:color="auto" w:fill="auto"/>
            <w:vAlign w:val="center"/>
          </w:tcPr>
          <w:p>
            <w:pPr>
              <w:widowControl/>
              <w:jc w:val="center"/>
              <w:rPr>
                <w:rFonts w:eastAsiaTheme="minorEastAsia"/>
                <w:color w:val="auto"/>
                <w:sz w:val="21"/>
                <w:szCs w:val="21"/>
              </w:rPr>
            </w:pPr>
            <w:r>
              <w:rPr>
                <w:rFonts w:hint="eastAsia" w:eastAsiaTheme="minorEastAsia"/>
                <w:color w:val="auto"/>
                <w:sz w:val="21"/>
                <w:szCs w:val="21"/>
              </w:rPr>
              <w:t>2</w:t>
            </w:r>
            <w:r>
              <w:rPr>
                <w:rFonts w:eastAsiaTheme="minorEastAsia"/>
                <w:color w:val="auto"/>
                <w:sz w:val="21"/>
                <w:szCs w:val="21"/>
              </w:rPr>
              <w:t>375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26" w:type="dxa"/>
            <w:vMerge w:val="continue"/>
            <w:shd w:val="clear" w:color="auto" w:fill="auto"/>
          </w:tcPr>
          <w:p>
            <w:pPr>
              <w:autoSpaceDE w:val="0"/>
              <w:autoSpaceDN w:val="0"/>
              <w:adjustRightInd w:val="0"/>
              <w:jc w:val="center"/>
              <w:rPr>
                <w:b/>
                <w:color w:val="auto"/>
                <w:kern w:val="0"/>
                <w:sz w:val="21"/>
                <w:szCs w:val="21"/>
              </w:rPr>
            </w:pPr>
          </w:p>
        </w:tc>
        <w:tc>
          <w:tcPr>
            <w:tcW w:w="909" w:type="dxa"/>
            <w:shd w:val="clear" w:color="auto" w:fill="auto"/>
            <w:vAlign w:val="center"/>
          </w:tcPr>
          <w:p>
            <w:pPr>
              <w:jc w:val="center"/>
              <w:rPr>
                <w:color w:val="auto"/>
                <w:sz w:val="21"/>
                <w:szCs w:val="21"/>
              </w:rPr>
            </w:pPr>
            <w:r>
              <w:rPr>
                <w:color w:val="auto"/>
                <w:sz w:val="21"/>
                <w:szCs w:val="21"/>
              </w:rPr>
              <w:t>4</w:t>
            </w:r>
          </w:p>
        </w:tc>
        <w:tc>
          <w:tcPr>
            <w:tcW w:w="1744" w:type="dxa"/>
            <w:shd w:val="clear" w:color="auto" w:fill="auto"/>
            <w:vAlign w:val="center"/>
          </w:tcPr>
          <w:p>
            <w:pPr>
              <w:widowControl/>
              <w:jc w:val="center"/>
              <w:rPr>
                <w:rFonts w:eastAsiaTheme="minorEastAsia"/>
                <w:color w:val="auto"/>
                <w:sz w:val="21"/>
                <w:szCs w:val="21"/>
              </w:rPr>
            </w:pPr>
            <w:r>
              <w:rPr>
                <w:rFonts w:hint="eastAsia" w:eastAsiaTheme="minorEastAsia"/>
                <w:color w:val="auto"/>
                <w:sz w:val="21"/>
                <w:szCs w:val="21"/>
              </w:rPr>
              <w:t>福庆村</w:t>
            </w:r>
          </w:p>
        </w:tc>
        <w:tc>
          <w:tcPr>
            <w:tcW w:w="1327" w:type="dxa"/>
            <w:shd w:val="clear" w:color="auto" w:fill="auto"/>
            <w:vAlign w:val="center"/>
          </w:tcPr>
          <w:p>
            <w:pPr>
              <w:jc w:val="center"/>
              <w:rPr>
                <w:color w:val="auto"/>
                <w:kern w:val="0"/>
                <w:sz w:val="21"/>
                <w:szCs w:val="21"/>
              </w:rPr>
            </w:pPr>
            <w:r>
              <w:rPr>
                <w:color w:val="auto"/>
                <w:kern w:val="0"/>
                <w:sz w:val="21"/>
                <w:szCs w:val="21"/>
              </w:rPr>
              <w:t>NE</w:t>
            </w:r>
          </w:p>
        </w:tc>
        <w:tc>
          <w:tcPr>
            <w:tcW w:w="1327" w:type="dxa"/>
            <w:shd w:val="clear" w:color="auto" w:fill="auto"/>
            <w:vAlign w:val="center"/>
          </w:tcPr>
          <w:p>
            <w:pPr>
              <w:widowControl/>
              <w:jc w:val="center"/>
              <w:rPr>
                <w:color w:val="auto"/>
                <w:sz w:val="21"/>
                <w:szCs w:val="21"/>
              </w:rPr>
            </w:pPr>
            <w:r>
              <w:rPr>
                <w:rFonts w:hint="eastAsia"/>
                <w:color w:val="auto"/>
                <w:sz w:val="21"/>
                <w:szCs w:val="21"/>
              </w:rPr>
              <w:t>2442</w:t>
            </w:r>
          </w:p>
        </w:tc>
        <w:tc>
          <w:tcPr>
            <w:tcW w:w="1327" w:type="dxa"/>
            <w:shd w:val="clear" w:color="auto" w:fill="auto"/>
            <w:vAlign w:val="center"/>
          </w:tcPr>
          <w:p>
            <w:pPr>
              <w:widowControl/>
              <w:jc w:val="center"/>
              <w:rPr>
                <w:rFonts w:eastAsiaTheme="minorEastAsia"/>
                <w:color w:val="auto"/>
                <w:sz w:val="21"/>
                <w:szCs w:val="21"/>
              </w:rPr>
            </w:pPr>
            <w:r>
              <w:rPr>
                <w:rFonts w:eastAsiaTheme="minorEastAsia"/>
                <w:color w:val="auto"/>
                <w:sz w:val="21"/>
                <w:szCs w:val="21"/>
              </w:rPr>
              <w:t>行政村</w:t>
            </w:r>
          </w:p>
        </w:tc>
        <w:tc>
          <w:tcPr>
            <w:tcW w:w="1327" w:type="dxa"/>
            <w:shd w:val="clear" w:color="auto" w:fill="auto"/>
            <w:vAlign w:val="center"/>
          </w:tcPr>
          <w:p>
            <w:pPr>
              <w:widowControl/>
              <w:jc w:val="center"/>
              <w:rPr>
                <w:rFonts w:eastAsiaTheme="minorEastAsia"/>
                <w:color w:val="auto"/>
                <w:sz w:val="21"/>
                <w:szCs w:val="21"/>
              </w:rPr>
            </w:pPr>
            <w:r>
              <w:rPr>
                <w:rFonts w:hint="eastAsia" w:eastAsiaTheme="minorEastAsia"/>
                <w:color w:val="auto"/>
                <w:sz w:val="21"/>
                <w:szCs w:val="21"/>
              </w:rPr>
              <w:t>2</w:t>
            </w:r>
            <w:r>
              <w:rPr>
                <w:rFonts w:eastAsiaTheme="minorEastAsia"/>
                <w:color w:val="auto"/>
                <w:sz w:val="21"/>
                <w:szCs w:val="21"/>
              </w:rPr>
              <w:t>124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26" w:type="dxa"/>
            <w:vMerge w:val="continue"/>
            <w:shd w:val="clear" w:color="auto" w:fill="auto"/>
          </w:tcPr>
          <w:p>
            <w:pPr>
              <w:autoSpaceDE w:val="0"/>
              <w:autoSpaceDN w:val="0"/>
              <w:adjustRightInd w:val="0"/>
              <w:jc w:val="center"/>
              <w:rPr>
                <w:b/>
                <w:color w:val="auto"/>
                <w:kern w:val="0"/>
                <w:sz w:val="21"/>
                <w:szCs w:val="21"/>
              </w:rPr>
            </w:pPr>
          </w:p>
        </w:tc>
        <w:tc>
          <w:tcPr>
            <w:tcW w:w="909" w:type="dxa"/>
            <w:shd w:val="clear" w:color="auto" w:fill="auto"/>
            <w:vAlign w:val="center"/>
          </w:tcPr>
          <w:p>
            <w:pPr>
              <w:jc w:val="center"/>
              <w:rPr>
                <w:color w:val="auto"/>
                <w:sz w:val="21"/>
                <w:szCs w:val="21"/>
              </w:rPr>
            </w:pPr>
            <w:r>
              <w:rPr>
                <w:color w:val="auto"/>
                <w:sz w:val="21"/>
                <w:szCs w:val="21"/>
              </w:rPr>
              <w:t>5</w:t>
            </w:r>
          </w:p>
        </w:tc>
        <w:tc>
          <w:tcPr>
            <w:tcW w:w="1744" w:type="dxa"/>
            <w:shd w:val="clear" w:color="auto" w:fill="auto"/>
            <w:vAlign w:val="center"/>
          </w:tcPr>
          <w:p>
            <w:pPr>
              <w:widowControl/>
              <w:jc w:val="center"/>
              <w:rPr>
                <w:rFonts w:eastAsiaTheme="minorEastAsia"/>
                <w:color w:val="auto"/>
                <w:sz w:val="21"/>
                <w:szCs w:val="21"/>
              </w:rPr>
            </w:pPr>
            <w:r>
              <w:rPr>
                <w:rFonts w:hint="eastAsia" w:eastAsiaTheme="minorEastAsia"/>
                <w:color w:val="auto"/>
                <w:sz w:val="21"/>
                <w:szCs w:val="21"/>
              </w:rPr>
              <w:t>茶塘村</w:t>
            </w:r>
          </w:p>
        </w:tc>
        <w:tc>
          <w:tcPr>
            <w:tcW w:w="1327" w:type="dxa"/>
            <w:shd w:val="clear" w:color="auto" w:fill="auto"/>
            <w:vAlign w:val="center"/>
          </w:tcPr>
          <w:p>
            <w:pPr>
              <w:jc w:val="center"/>
              <w:rPr>
                <w:color w:val="auto"/>
                <w:kern w:val="0"/>
                <w:sz w:val="21"/>
                <w:szCs w:val="21"/>
              </w:rPr>
            </w:pPr>
            <w:r>
              <w:rPr>
                <w:color w:val="auto"/>
                <w:kern w:val="0"/>
                <w:sz w:val="21"/>
                <w:szCs w:val="21"/>
              </w:rPr>
              <w:t>NE</w:t>
            </w:r>
          </w:p>
        </w:tc>
        <w:tc>
          <w:tcPr>
            <w:tcW w:w="1327" w:type="dxa"/>
            <w:shd w:val="clear" w:color="auto" w:fill="auto"/>
            <w:vAlign w:val="center"/>
          </w:tcPr>
          <w:p>
            <w:pPr>
              <w:widowControl/>
              <w:jc w:val="center"/>
              <w:rPr>
                <w:color w:val="auto"/>
                <w:sz w:val="21"/>
                <w:szCs w:val="21"/>
              </w:rPr>
            </w:pPr>
            <w:r>
              <w:rPr>
                <w:rFonts w:hint="eastAsia"/>
                <w:color w:val="auto"/>
                <w:sz w:val="21"/>
                <w:szCs w:val="21"/>
              </w:rPr>
              <w:t>2376</w:t>
            </w:r>
          </w:p>
        </w:tc>
        <w:tc>
          <w:tcPr>
            <w:tcW w:w="1327" w:type="dxa"/>
            <w:shd w:val="clear" w:color="auto" w:fill="auto"/>
            <w:vAlign w:val="center"/>
          </w:tcPr>
          <w:p>
            <w:pPr>
              <w:widowControl/>
              <w:jc w:val="center"/>
              <w:rPr>
                <w:rFonts w:eastAsiaTheme="minorEastAsia"/>
                <w:color w:val="auto"/>
                <w:sz w:val="21"/>
                <w:szCs w:val="21"/>
              </w:rPr>
            </w:pPr>
            <w:r>
              <w:rPr>
                <w:rFonts w:eastAsiaTheme="minorEastAsia"/>
                <w:color w:val="auto"/>
                <w:sz w:val="21"/>
                <w:szCs w:val="21"/>
              </w:rPr>
              <w:t>行政村</w:t>
            </w:r>
          </w:p>
        </w:tc>
        <w:tc>
          <w:tcPr>
            <w:tcW w:w="1327" w:type="dxa"/>
            <w:shd w:val="clear" w:color="auto" w:fill="auto"/>
            <w:vAlign w:val="center"/>
          </w:tcPr>
          <w:p>
            <w:pPr>
              <w:widowControl/>
              <w:jc w:val="center"/>
              <w:rPr>
                <w:rFonts w:eastAsiaTheme="minorEastAsia"/>
                <w:color w:val="auto"/>
                <w:sz w:val="21"/>
                <w:szCs w:val="21"/>
              </w:rPr>
            </w:pPr>
            <w:r>
              <w:rPr>
                <w:rFonts w:hint="eastAsia" w:eastAsiaTheme="minorEastAsia"/>
                <w:color w:val="auto"/>
                <w:sz w:val="21"/>
                <w:szCs w:val="21"/>
              </w:rPr>
              <w:t>2</w:t>
            </w:r>
            <w:r>
              <w:rPr>
                <w:rFonts w:eastAsiaTheme="minorEastAsia"/>
                <w:color w:val="auto"/>
                <w:sz w:val="21"/>
                <w:szCs w:val="21"/>
              </w:rPr>
              <w:t>113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26" w:type="dxa"/>
            <w:vMerge w:val="continue"/>
            <w:shd w:val="clear" w:color="auto" w:fill="auto"/>
          </w:tcPr>
          <w:p>
            <w:pPr>
              <w:autoSpaceDE w:val="0"/>
              <w:autoSpaceDN w:val="0"/>
              <w:adjustRightInd w:val="0"/>
              <w:jc w:val="center"/>
              <w:rPr>
                <w:b/>
                <w:color w:val="auto"/>
                <w:kern w:val="0"/>
                <w:sz w:val="21"/>
                <w:szCs w:val="21"/>
              </w:rPr>
            </w:pPr>
          </w:p>
        </w:tc>
        <w:tc>
          <w:tcPr>
            <w:tcW w:w="909" w:type="dxa"/>
            <w:shd w:val="clear" w:color="auto" w:fill="auto"/>
            <w:vAlign w:val="center"/>
          </w:tcPr>
          <w:p>
            <w:pPr>
              <w:jc w:val="center"/>
              <w:rPr>
                <w:rFonts w:hint="eastAsia" w:eastAsia="宋体"/>
                <w:color w:val="auto"/>
                <w:sz w:val="21"/>
                <w:szCs w:val="21"/>
                <w:lang w:val="en-US" w:eastAsia="zh-CN"/>
              </w:rPr>
            </w:pPr>
            <w:r>
              <w:rPr>
                <w:rFonts w:hint="eastAsia"/>
                <w:color w:val="auto"/>
                <w:sz w:val="21"/>
                <w:szCs w:val="21"/>
                <w:lang w:val="en-US" w:eastAsia="zh-CN"/>
              </w:rPr>
              <w:t>6</w:t>
            </w:r>
          </w:p>
        </w:tc>
        <w:tc>
          <w:tcPr>
            <w:tcW w:w="1744" w:type="dxa"/>
            <w:shd w:val="clear" w:color="auto" w:fill="auto"/>
            <w:vAlign w:val="center"/>
          </w:tcPr>
          <w:p>
            <w:pPr>
              <w:widowControl/>
              <w:jc w:val="center"/>
              <w:rPr>
                <w:rFonts w:eastAsiaTheme="minorEastAsia"/>
                <w:color w:val="auto"/>
                <w:sz w:val="21"/>
                <w:szCs w:val="21"/>
              </w:rPr>
            </w:pPr>
            <w:r>
              <w:rPr>
                <w:rFonts w:eastAsiaTheme="minorEastAsia"/>
                <w:color w:val="auto"/>
                <w:sz w:val="21"/>
                <w:szCs w:val="21"/>
              </w:rPr>
              <w:t>洋岗村</w:t>
            </w:r>
          </w:p>
        </w:tc>
        <w:tc>
          <w:tcPr>
            <w:tcW w:w="1327" w:type="dxa"/>
            <w:shd w:val="clear" w:color="auto" w:fill="auto"/>
            <w:vAlign w:val="center"/>
          </w:tcPr>
          <w:p>
            <w:pPr>
              <w:jc w:val="center"/>
              <w:rPr>
                <w:color w:val="auto"/>
                <w:sz w:val="21"/>
                <w:szCs w:val="21"/>
              </w:rPr>
            </w:pPr>
            <w:r>
              <w:rPr>
                <w:color w:val="auto"/>
                <w:kern w:val="0"/>
                <w:sz w:val="21"/>
                <w:szCs w:val="21"/>
              </w:rPr>
              <w:t>NE</w:t>
            </w:r>
          </w:p>
        </w:tc>
        <w:tc>
          <w:tcPr>
            <w:tcW w:w="1327" w:type="dxa"/>
            <w:shd w:val="clear" w:color="auto" w:fill="auto"/>
            <w:vAlign w:val="center"/>
          </w:tcPr>
          <w:p>
            <w:pPr>
              <w:widowControl/>
              <w:jc w:val="center"/>
              <w:rPr>
                <w:color w:val="auto"/>
                <w:sz w:val="21"/>
                <w:szCs w:val="21"/>
              </w:rPr>
            </w:pPr>
            <w:r>
              <w:rPr>
                <w:rFonts w:hint="eastAsia"/>
                <w:color w:val="auto"/>
                <w:sz w:val="21"/>
                <w:szCs w:val="21"/>
              </w:rPr>
              <w:t>2341</w:t>
            </w:r>
          </w:p>
        </w:tc>
        <w:tc>
          <w:tcPr>
            <w:tcW w:w="1327" w:type="dxa"/>
            <w:shd w:val="clear" w:color="auto" w:fill="auto"/>
            <w:vAlign w:val="center"/>
          </w:tcPr>
          <w:p>
            <w:pPr>
              <w:widowControl/>
              <w:jc w:val="center"/>
              <w:rPr>
                <w:rFonts w:eastAsiaTheme="minorEastAsia"/>
                <w:color w:val="auto"/>
                <w:sz w:val="21"/>
                <w:szCs w:val="21"/>
              </w:rPr>
            </w:pPr>
            <w:r>
              <w:rPr>
                <w:rFonts w:eastAsiaTheme="minorEastAsia"/>
                <w:color w:val="auto"/>
                <w:sz w:val="21"/>
                <w:szCs w:val="21"/>
              </w:rPr>
              <w:t>行政村</w:t>
            </w:r>
          </w:p>
        </w:tc>
        <w:tc>
          <w:tcPr>
            <w:tcW w:w="1327" w:type="dxa"/>
            <w:shd w:val="clear" w:color="auto" w:fill="auto"/>
            <w:vAlign w:val="center"/>
          </w:tcPr>
          <w:p>
            <w:pPr>
              <w:widowControl/>
              <w:jc w:val="center"/>
              <w:rPr>
                <w:rFonts w:eastAsiaTheme="minorEastAsia"/>
                <w:color w:val="auto"/>
                <w:sz w:val="21"/>
                <w:szCs w:val="21"/>
              </w:rPr>
            </w:pPr>
            <w:r>
              <w:rPr>
                <w:rFonts w:hint="eastAsia" w:eastAsiaTheme="minorEastAsia"/>
                <w:color w:val="auto"/>
                <w:sz w:val="21"/>
                <w:szCs w:val="21"/>
              </w:rPr>
              <w:t>3</w:t>
            </w:r>
            <w:r>
              <w:rPr>
                <w:rFonts w:eastAsiaTheme="minorEastAsia"/>
                <w:color w:val="auto"/>
                <w:sz w:val="21"/>
                <w:szCs w:val="21"/>
              </w:rPr>
              <w:t>373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26" w:type="dxa"/>
            <w:vMerge w:val="continue"/>
            <w:shd w:val="clear" w:color="auto" w:fill="auto"/>
          </w:tcPr>
          <w:p>
            <w:pPr>
              <w:autoSpaceDE w:val="0"/>
              <w:autoSpaceDN w:val="0"/>
              <w:adjustRightInd w:val="0"/>
              <w:jc w:val="center"/>
              <w:rPr>
                <w:b/>
                <w:color w:val="auto"/>
                <w:kern w:val="0"/>
                <w:sz w:val="21"/>
                <w:szCs w:val="21"/>
              </w:rPr>
            </w:pPr>
          </w:p>
        </w:tc>
        <w:tc>
          <w:tcPr>
            <w:tcW w:w="909" w:type="dxa"/>
            <w:shd w:val="clear" w:color="auto" w:fill="auto"/>
            <w:textDirection w:val="lrTb"/>
            <w:vAlign w:val="center"/>
          </w:tcPr>
          <w:p>
            <w:pPr>
              <w:jc w:val="center"/>
              <w:rPr>
                <w:color w:val="auto"/>
                <w:sz w:val="21"/>
                <w:szCs w:val="21"/>
              </w:rPr>
            </w:pPr>
            <w:r>
              <w:rPr>
                <w:color w:val="auto"/>
                <w:sz w:val="21"/>
                <w:szCs w:val="21"/>
              </w:rPr>
              <w:t>7</w:t>
            </w:r>
          </w:p>
        </w:tc>
        <w:tc>
          <w:tcPr>
            <w:tcW w:w="1744" w:type="dxa"/>
            <w:shd w:val="clear" w:color="auto" w:fill="auto"/>
            <w:vAlign w:val="center"/>
          </w:tcPr>
          <w:p>
            <w:pPr>
              <w:widowControl/>
              <w:jc w:val="center"/>
              <w:rPr>
                <w:rFonts w:eastAsiaTheme="minorEastAsia"/>
                <w:color w:val="auto"/>
                <w:sz w:val="21"/>
                <w:szCs w:val="21"/>
              </w:rPr>
            </w:pPr>
            <w:r>
              <w:rPr>
                <w:rFonts w:eastAsiaTheme="minorEastAsia"/>
                <w:color w:val="auto"/>
                <w:sz w:val="21"/>
                <w:szCs w:val="21"/>
              </w:rPr>
              <w:t>大塘村</w:t>
            </w:r>
          </w:p>
        </w:tc>
        <w:tc>
          <w:tcPr>
            <w:tcW w:w="1327" w:type="dxa"/>
            <w:shd w:val="clear" w:color="auto" w:fill="auto"/>
            <w:vAlign w:val="center"/>
          </w:tcPr>
          <w:p>
            <w:pPr>
              <w:jc w:val="center"/>
              <w:rPr>
                <w:color w:val="auto"/>
                <w:kern w:val="0"/>
                <w:sz w:val="21"/>
                <w:szCs w:val="21"/>
              </w:rPr>
            </w:pPr>
            <w:r>
              <w:rPr>
                <w:rFonts w:hint="eastAsia"/>
                <w:color w:val="auto"/>
                <w:kern w:val="0"/>
                <w:sz w:val="21"/>
                <w:szCs w:val="21"/>
              </w:rPr>
              <w:t>S</w:t>
            </w:r>
          </w:p>
        </w:tc>
        <w:tc>
          <w:tcPr>
            <w:tcW w:w="1327" w:type="dxa"/>
            <w:shd w:val="clear" w:color="auto" w:fill="auto"/>
            <w:vAlign w:val="center"/>
          </w:tcPr>
          <w:p>
            <w:pPr>
              <w:widowControl/>
              <w:jc w:val="center"/>
              <w:rPr>
                <w:color w:val="auto"/>
                <w:sz w:val="21"/>
                <w:szCs w:val="21"/>
              </w:rPr>
            </w:pPr>
            <w:r>
              <w:rPr>
                <w:rFonts w:hint="eastAsia"/>
                <w:color w:val="auto"/>
                <w:sz w:val="21"/>
                <w:szCs w:val="21"/>
              </w:rPr>
              <w:t>1022</w:t>
            </w:r>
          </w:p>
        </w:tc>
        <w:tc>
          <w:tcPr>
            <w:tcW w:w="1327" w:type="dxa"/>
            <w:shd w:val="clear" w:color="auto" w:fill="auto"/>
            <w:vAlign w:val="center"/>
          </w:tcPr>
          <w:p>
            <w:pPr>
              <w:widowControl/>
              <w:jc w:val="center"/>
              <w:rPr>
                <w:rFonts w:eastAsiaTheme="minorEastAsia"/>
                <w:color w:val="auto"/>
                <w:sz w:val="21"/>
                <w:szCs w:val="21"/>
              </w:rPr>
            </w:pPr>
            <w:r>
              <w:rPr>
                <w:rFonts w:eastAsiaTheme="minorEastAsia"/>
                <w:color w:val="auto"/>
                <w:sz w:val="21"/>
                <w:szCs w:val="21"/>
              </w:rPr>
              <w:t>行政村</w:t>
            </w:r>
          </w:p>
        </w:tc>
        <w:tc>
          <w:tcPr>
            <w:tcW w:w="1327" w:type="dxa"/>
            <w:shd w:val="clear" w:color="auto" w:fill="auto"/>
            <w:vAlign w:val="center"/>
          </w:tcPr>
          <w:p>
            <w:pPr>
              <w:widowControl/>
              <w:jc w:val="center"/>
              <w:rPr>
                <w:rFonts w:eastAsiaTheme="minorEastAsia"/>
                <w:color w:val="auto"/>
                <w:sz w:val="21"/>
                <w:szCs w:val="21"/>
              </w:rPr>
            </w:pPr>
            <w:r>
              <w:rPr>
                <w:rFonts w:hint="eastAsia"/>
                <w:color w:val="auto"/>
                <w:kern w:val="0"/>
                <w:sz w:val="21"/>
                <w:szCs w:val="21"/>
              </w:rPr>
              <w:t>1</w:t>
            </w:r>
            <w:r>
              <w:rPr>
                <w:color w:val="auto"/>
                <w:kern w:val="0"/>
                <w:sz w:val="21"/>
                <w:szCs w:val="21"/>
              </w:rPr>
              <w:t>901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26" w:type="dxa"/>
            <w:vMerge w:val="continue"/>
            <w:shd w:val="clear" w:color="auto" w:fill="auto"/>
          </w:tcPr>
          <w:p>
            <w:pPr>
              <w:autoSpaceDE w:val="0"/>
              <w:autoSpaceDN w:val="0"/>
              <w:adjustRightInd w:val="0"/>
              <w:jc w:val="center"/>
              <w:rPr>
                <w:b/>
                <w:color w:val="auto"/>
                <w:kern w:val="0"/>
                <w:sz w:val="21"/>
                <w:szCs w:val="21"/>
              </w:rPr>
            </w:pPr>
          </w:p>
        </w:tc>
        <w:tc>
          <w:tcPr>
            <w:tcW w:w="909" w:type="dxa"/>
            <w:shd w:val="clear" w:color="auto" w:fill="auto"/>
            <w:textDirection w:val="lrTb"/>
            <w:vAlign w:val="center"/>
          </w:tcPr>
          <w:p>
            <w:pPr>
              <w:jc w:val="center"/>
              <w:rPr>
                <w:color w:val="auto"/>
                <w:sz w:val="21"/>
                <w:szCs w:val="21"/>
              </w:rPr>
            </w:pPr>
            <w:r>
              <w:rPr>
                <w:color w:val="auto"/>
                <w:sz w:val="21"/>
                <w:szCs w:val="21"/>
              </w:rPr>
              <w:t>8</w:t>
            </w:r>
          </w:p>
        </w:tc>
        <w:tc>
          <w:tcPr>
            <w:tcW w:w="1744" w:type="dxa"/>
            <w:shd w:val="clear" w:color="auto" w:fill="auto"/>
            <w:vAlign w:val="center"/>
          </w:tcPr>
          <w:p>
            <w:pPr>
              <w:widowControl/>
              <w:jc w:val="center"/>
              <w:rPr>
                <w:rFonts w:eastAsiaTheme="minorEastAsia"/>
                <w:color w:val="auto"/>
                <w:sz w:val="21"/>
                <w:szCs w:val="21"/>
              </w:rPr>
            </w:pPr>
            <w:r>
              <w:rPr>
                <w:rFonts w:eastAsiaTheme="minorEastAsia"/>
                <w:color w:val="auto"/>
                <w:sz w:val="21"/>
                <w:szCs w:val="21"/>
              </w:rPr>
              <w:t>新联村</w:t>
            </w:r>
          </w:p>
        </w:tc>
        <w:tc>
          <w:tcPr>
            <w:tcW w:w="1327" w:type="dxa"/>
            <w:shd w:val="clear" w:color="auto" w:fill="auto"/>
            <w:vAlign w:val="center"/>
          </w:tcPr>
          <w:p>
            <w:pPr>
              <w:jc w:val="center"/>
              <w:rPr>
                <w:color w:val="auto"/>
                <w:kern w:val="0"/>
                <w:sz w:val="21"/>
                <w:szCs w:val="21"/>
              </w:rPr>
            </w:pPr>
            <w:r>
              <w:rPr>
                <w:color w:val="auto"/>
                <w:kern w:val="0"/>
                <w:sz w:val="21"/>
                <w:szCs w:val="21"/>
              </w:rPr>
              <w:t>E</w:t>
            </w:r>
          </w:p>
        </w:tc>
        <w:tc>
          <w:tcPr>
            <w:tcW w:w="1327" w:type="dxa"/>
            <w:shd w:val="clear" w:color="auto" w:fill="auto"/>
            <w:vAlign w:val="center"/>
          </w:tcPr>
          <w:p>
            <w:pPr>
              <w:widowControl/>
              <w:jc w:val="center"/>
              <w:rPr>
                <w:color w:val="auto"/>
                <w:sz w:val="21"/>
                <w:szCs w:val="21"/>
              </w:rPr>
            </w:pPr>
            <w:r>
              <w:rPr>
                <w:rFonts w:hint="eastAsia"/>
                <w:color w:val="auto"/>
                <w:sz w:val="21"/>
                <w:szCs w:val="21"/>
              </w:rPr>
              <w:t>1</w:t>
            </w:r>
            <w:r>
              <w:rPr>
                <w:color w:val="auto"/>
                <w:sz w:val="21"/>
                <w:szCs w:val="21"/>
              </w:rPr>
              <w:t>846</w:t>
            </w:r>
          </w:p>
        </w:tc>
        <w:tc>
          <w:tcPr>
            <w:tcW w:w="1327" w:type="dxa"/>
            <w:shd w:val="clear" w:color="auto" w:fill="auto"/>
            <w:vAlign w:val="center"/>
          </w:tcPr>
          <w:p>
            <w:pPr>
              <w:widowControl/>
              <w:jc w:val="center"/>
              <w:rPr>
                <w:rFonts w:eastAsiaTheme="minorEastAsia"/>
                <w:color w:val="auto"/>
                <w:sz w:val="21"/>
                <w:szCs w:val="21"/>
              </w:rPr>
            </w:pPr>
            <w:r>
              <w:rPr>
                <w:rFonts w:eastAsiaTheme="minorEastAsia"/>
                <w:color w:val="auto"/>
                <w:sz w:val="21"/>
                <w:szCs w:val="21"/>
              </w:rPr>
              <w:t>行政村</w:t>
            </w:r>
          </w:p>
        </w:tc>
        <w:tc>
          <w:tcPr>
            <w:tcW w:w="1327" w:type="dxa"/>
            <w:shd w:val="clear" w:color="auto" w:fill="auto"/>
            <w:vAlign w:val="center"/>
          </w:tcPr>
          <w:p>
            <w:pPr>
              <w:widowControl/>
              <w:jc w:val="center"/>
              <w:rPr>
                <w:rFonts w:eastAsiaTheme="minorEastAsia"/>
                <w:color w:val="auto"/>
                <w:sz w:val="21"/>
                <w:szCs w:val="21"/>
              </w:rPr>
            </w:pPr>
            <w:r>
              <w:rPr>
                <w:rFonts w:hint="eastAsia"/>
                <w:color w:val="auto"/>
                <w:kern w:val="0"/>
                <w:sz w:val="21"/>
                <w:szCs w:val="21"/>
              </w:rPr>
              <w:t>4</w:t>
            </w:r>
            <w:r>
              <w:rPr>
                <w:color w:val="auto"/>
                <w:kern w:val="0"/>
                <w:sz w:val="21"/>
                <w:szCs w:val="21"/>
              </w:rPr>
              <w:t>325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26" w:type="dxa"/>
            <w:vMerge w:val="continue"/>
            <w:shd w:val="clear" w:color="auto" w:fill="auto"/>
          </w:tcPr>
          <w:p>
            <w:pPr>
              <w:autoSpaceDE w:val="0"/>
              <w:autoSpaceDN w:val="0"/>
              <w:adjustRightInd w:val="0"/>
              <w:jc w:val="center"/>
              <w:rPr>
                <w:b/>
                <w:color w:val="auto"/>
                <w:kern w:val="0"/>
                <w:sz w:val="21"/>
                <w:szCs w:val="21"/>
              </w:rPr>
            </w:pPr>
          </w:p>
        </w:tc>
        <w:tc>
          <w:tcPr>
            <w:tcW w:w="909" w:type="dxa"/>
            <w:shd w:val="clear" w:color="auto" w:fill="auto"/>
            <w:textDirection w:val="lrTb"/>
            <w:vAlign w:val="center"/>
          </w:tcPr>
          <w:p>
            <w:pPr>
              <w:jc w:val="center"/>
              <w:rPr>
                <w:color w:val="auto"/>
                <w:sz w:val="21"/>
                <w:szCs w:val="21"/>
              </w:rPr>
            </w:pPr>
            <w:r>
              <w:rPr>
                <w:color w:val="auto"/>
                <w:sz w:val="21"/>
                <w:szCs w:val="21"/>
              </w:rPr>
              <w:t>9</w:t>
            </w:r>
          </w:p>
        </w:tc>
        <w:tc>
          <w:tcPr>
            <w:tcW w:w="1744" w:type="dxa"/>
            <w:shd w:val="clear" w:color="auto" w:fill="auto"/>
            <w:vAlign w:val="center"/>
          </w:tcPr>
          <w:p>
            <w:pPr>
              <w:widowControl/>
              <w:jc w:val="center"/>
              <w:rPr>
                <w:rFonts w:eastAsiaTheme="minorEastAsia"/>
                <w:color w:val="auto"/>
                <w:sz w:val="21"/>
                <w:szCs w:val="21"/>
              </w:rPr>
            </w:pPr>
            <w:r>
              <w:rPr>
                <w:rFonts w:eastAsiaTheme="minorEastAsia"/>
                <w:color w:val="auto"/>
                <w:sz w:val="21"/>
                <w:szCs w:val="21"/>
              </w:rPr>
              <w:t>齐乐村</w:t>
            </w:r>
          </w:p>
        </w:tc>
        <w:tc>
          <w:tcPr>
            <w:tcW w:w="1327" w:type="dxa"/>
            <w:shd w:val="clear" w:color="auto" w:fill="auto"/>
            <w:vAlign w:val="center"/>
          </w:tcPr>
          <w:p>
            <w:pPr>
              <w:jc w:val="center"/>
              <w:rPr>
                <w:color w:val="auto"/>
                <w:kern w:val="0"/>
                <w:sz w:val="21"/>
                <w:szCs w:val="21"/>
              </w:rPr>
            </w:pPr>
            <w:r>
              <w:rPr>
                <w:color w:val="auto"/>
                <w:kern w:val="0"/>
                <w:sz w:val="21"/>
                <w:szCs w:val="21"/>
              </w:rPr>
              <w:t>SW</w:t>
            </w:r>
          </w:p>
        </w:tc>
        <w:tc>
          <w:tcPr>
            <w:tcW w:w="1327" w:type="dxa"/>
            <w:shd w:val="clear" w:color="auto" w:fill="auto"/>
            <w:vAlign w:val="center"/>
          </w:tcPr>
          <w:p>
            <w:pPr>
              <w:widowControl/>
              <w:jc w:val="center"/>
              <w:rPr>
                <w:color w:val="auto"/>
                <w:sz w:val="21"/>
                <w:szCs w:val="21"/>
              </w:rPr>
            </w:pPr>
            <w:r>
              <w:rPr>
                <w:rFonts w:hint="eastAsia"/>
                <w:color w:val="auto"/>
                <w:sz w:val="21"/>
                <w:szCs w:val="21"/>
              </w:rPr>
              <w:t>2904</w:t>
            </w:r>
          </w:p>
        </w:tc>
        <w:tc>
          <w:tcPr>
            <w:tcW w:w="1327" w:type="dxa"/>
            <w:shd w:val="clear" w:color="auto" w:fill="auto"/>
            <w:vAlign w:val="center"/>
          </w:tcPr>
          <w:p>
            <w:pPr>
              <w:widowControl/>
              <w:jc w:val="center"/>
              <w:rPr>
                <w:rFonts w:eastAsiaTheme="minorEastAsia"/>
                <w:color w:val="auto"/>
                <w:sz w:val="21"/>
                <w:szCs w:val="21"/>
              </w:rPr>
            </w:pPr>
            <w:r>
              <w:rPr>
                <w:rFonts w:eastAsiaTheme="minorEastAsia"/>
                <w:color w:val="auto"/>
                <w:sz w:val="21"/>
                <w:szCs w:val="21"/>
              </w:rPr>
              <w:t>行政村</w:t>
            </w:r>
          </w:p>
        </w:tc>
        <w:tc>
          <w:tcPr>
            <w:tcW w:w="1327" w:type="dxa"/>
            <w:shd w:val="clear" w:color="auto" w:fill="auto"/>
            <w:vAlign w:val="center"/>
          </w:tcPr>
          <w:p>
            <w:pPr>
              <w:widowControl/>
              <w:jc w:val="center"/>
              <w:rPr>
                <w:rFonts w:eastAsiaTheme="minorEastAsia"/>
                <w:color w:val="auto"/>
                <w:sz w:val="21"/>
                <w:szCs w:val="21"/>
              </w:rPr>
            </w:pPr>
            <w:r>
              <w:rPr>
                <w:rFonts w:hint="eastAsia"/>
                <w:color w:val="auto"/>
                <w:kern w:val="0"/>
                <w:sz w:val="21"/>
                <w:szCs w:val="21"/>
              </w:rPr>
              <w:t>3</w:t>
            </w:r>
            <w:r>
              <w:rPr>
                <w:color w:val="auto"/>
                <w:kern w:val="0"/>
                <w:sz w:val="21"/>
                <w:szCs w:val="21"/>
              </w:rPr>
              <w:t>042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326" w:type="dxa"/>
            <w:vMerge w:val="continue"/>
            <w:shd w:val="clear" w:color="auto" w:fill="auto"/>
          </w:tcPr>
          <w:p>
            <w:pPr>
              <w:autoSpaceDE w:val="0"/>
              <w:autoSpaceDN w:val="0"/>
              <w:adjustRightInd w:val="0"/>
              <w:jc w:val="center"/>
              <w:rPr>
                <w:b/>
                <w:color w:val="auto"/>
                <w:kern w:val="0"/>
                <w:sz w:val="21"/>
                <w:szCs w:val="21"/>
              </w:rPr>
            </w:pPr>
          </w:p>
        </w:tc>
        <w:tc>
          <w:tcPr>
            <w:tcW w:w="6634" w:type="dxa"/>
            <w:gridSpan w:val="5"/>
            <w:shd w:val="clear" w:color="auto" w:fill="auto"/>
            <w:vAlign w:val="center"/>
          </w:tcPr>
          <w:p>
            <w:pPr>
              <w:autoSpaceDE w:val="0"/>
              <w:autoSpaceDN w:val="0"/>
              <w:adjustRightInd w:val="0"/>
              <w:jc w:val="center"/>
              <w:rPr>
                <w:b/>
                <w:color w:val="auto"/>
                <w:kern w:val="0"/>
                <w:sz w:val="21"/>
                <w:szCs w:val="21"/>
              </w:rPr>
            </w:pPr>
            <w:r>
              <w:rPr>
                <w:color w:val="auto"/>
                <w:kern w:val="0"/>
                <w:sz w:val="21"/>
                <w:szCs w:val="21"/>
              </w:rPr>
              <w:t>厂址周边500m范围内人口数小计</w:t>
            </w:r>
          </w:p>
        </w:tc>
        <w:tc>
          <w:tcPr>
            <w:tcW w:w="1327" w:type="dxa"/>
            <w:shd w:val="clear" w:color="auto" w:fill="auto"/>
            <w:vAlign w:val="center"/>
          </w:tcPr>
          <w:p>
            <w:pPr>
              <w:jc w:val="center"/>
              <w:rPr>
                <w:color w:val="auto"/>
                <w:sz w:val="21"/>
                <w:szCs w:val="21"/>
              </w:rPr>
            </w:pPr>
            <w:r>
              <w:rPr>
                <w:rFonts w:hint="eastAsia"/>
                <w:color w:val="auto"/>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326" w:type="dxa"/>
            <w:vMerge w:val="continue"/>
            <w:shd w:val="clear" w:color="auto" w:fill="auto"/>
          </w:tcPr>
          <w:p>
            <w:pPr>
              <w:autoSpaceDE w:val="0"/>
              <w:autoSpaceDN w:val="0"/>
              <w:adjustRightInd w:val="0"/>
              <w:jc w:val="center"/>
              <w:rPr>
                <w:b/>
                <w:color w:val="auto"/>
                <w:kern w:val="0"/>
                <w:sz w:val="21"/>
                <w:szCs w:val="21"/>
              </w:rPr>
            </w:pPr>
          </w:p>
        </w:tc>
        <w:tc>
          <w:tcPr>
            <w:tcW w:w="6634" w:type="dxa"/>
            <w:gridSpan w:val="5"/>
            <w:shd w:val="clear" w:color="auto" w:fill="auto"/>
            <w:vAlign w:val="center"/>
          </w:tcPr>
          <w:p>
            <w:pPr>
              <w:autoSpaceDE w:val="0"/>
              <w:autoSpaceDN w:val="0"/>
              <w:adjustRightInd w:val="0"/>
              <w:jc w:val="center"/>
              <w:rPr>
                <w:b/>
                <w:color w:val="auto"/>
                <w:kern w:val="0"/>
                <w:sz w:val="21"/>
                <w:szCs w:val="21"/>
              </w:rPr>
            </w:pPr>
            <w:r>
              <w:rPr>
                <w:color w:val="auto"/>
                <w:kern w:val="0"/>
                <w:sz w:val="21"/>
                <w:szCs w:val="21"/>
              </w:rPr>
              <w:t>厂址周边5km范围内人口数小计</w:t>
            </w:r>
          </w:p>
        </w:tc>
        <w:tc>
          <w:tcPr>
            <w:tcW w:w="1327" w:type="dxa"/>
            <w:shd w:val="clear" w:color="auto" w:fill="auto"/>
            <w:vAlign w:val="center"/>
          </w:tcPr>
          <w:p>
            <w:pPr>
              <w:jc w:val="center"/>
              <w:rPr>
                <w:color w:val="auto"/>
                <w:sz w:val="21"/>
                <w:szCs w:val="21"/>
              </w:rPr>
            </w:pPr>
            <w:r>
              <w:rPr>
                <w:rFonts w:hint="eastAsia"/>
                <w:color w:val="auto"/>
                <w:sz w:val="21"/>
                <w:szCs w:val="21"/>
              </w:rPr>
              <w:t>1</w:t>
            </w:r>
            <w:r>
              <w:rPr>
                <w:color w:val="auto"/>
                <w:sz w:val="21"/>
                <w:szCs w:val="21"/>
              </w:rPr>
              <w:t>28762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326" w:type="dxa"/>
            <w:vMerge w:val="continue"/>
            <w:shd w:val="clear" w:color="auto" w:fill="auto"/>
          </w:tcPr>
          <w:p>
            <w:pPr>
              <w:autoSpaceDE w:val="0"/>
              <w:autoSpaceDN w:val="0"/>
              <w:adjustRightInd w:val="0"/>
              <w:jc w:val="center"/>
              <w:rPr>
                <w:b/>
                <w:color w:val="auto"/>
                <w:kern w:val="0"/>
                <w:sz w:val="21"/>
                <w:szCs w:val="21"/>
              </w:rPr>
            </w:pPr>
          </w:p>
        </w:tc>
        <w:tc>
          <w:tcPr>
            <w:tcW w:w="6634" w:type="dxa"/>
            <w:gridSpan w:val="5"/>
            <w:shd w:val="clear" w:color="auto" w:fill="auto"/>
            <w:vAlign w:val="center"/>
          </w:tcPr>
          <w:p>
            <w:pPr>
              <w:autoSpaceDE w:val="0"/>
              <w:autoSpaceDN w:val="0"/>
              <w:adjustRightInd w:val="0"/>
              <w:jc w:val="center"/>
              <w:rPr>
                <w:b/>
                <w:color w:val="auto"/>
                <w:kern w:val="0"/>
                <w:sz w:val="21"/>
                <w:szCs w:val="21"/>
              </w:rPr>
            </w:pPr>
            <w:r>
              <w:rPr>
                <w:color w:val="auto"/>
                <w:kern w:val="0"/>
                <w:sz w:val="21"/>
                <w:szCs w:val="21"/>
              </w:rPr>
              <w:t>大气环境敏感程度E值</w:t>
            </w:r>
          </w:p>
        </w:tc>
        <w:tc>
          <w:tcPr>
            <w:tcW w:w="1327" w:type="dxa"/>
            <w:shd w:val="clear" w:color="auto" w:fill="auto"/>
            <w:vAlign w:val="center"/>
          </w:tcPr>
          <w:p>
            <w:pPr>
              <w:autoSpaceDE w:val="0"/>
              <w:autoSpaceDN w:val="0"/>
              <w:adjustRightInd w:val="0"/>
              <w:jc w:val="center"/>
              <w:rPr>
                <w:b/>
                <w:color w:val="auto"/>
                <w:kern w:val="0"/>
                <w:sz w:val="21"/>
                <w:szCs w:val="21"/>
              </w:rPr>
            </w:pPr>
            <w:r>
              <w:rPr>
                <w:color w:val="auto"/>
                <w:kern w:val="0"/>
                <w:sz w:val="21"/>
                <w:szCs w:val="21"/>
              </w:rPr>
              <w:t>E1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326" w:type="dxa"/>
            <w:vMerge w:val="restart"/>
            <w:shd w:val="clear" w:color="auto" w:fill="auto"/>
            <w:vAlign w:val="center"/>
          </w:tcPr>
          <w:p>
            <w:pPr>
              <w:autoSpaceDE w:val="0"/>
              <w:autoSpaceDN w:val="0"/>
              <w:adjustRightInd w:val="0"/>
              <w:jc w:val="center"/>
              <w:rPr>
                <w:b/>
                <w:color w:val="auto"/>
                <w:kern w:val="0"/>
                <w:sz w:val="21"/>
                <w:szCs w:val="21"/>
              </w:rPr>
            </w:pPr>
            <w:r>
              <w:rPr>
                <w:b/>
                <w:color w:val="auto"/>
                <w:sz w:val="21"/>
                <w:szCs w:val="21"/>
              </w:rPr>
              <w:t>地表水</w:t>
            </w:r>
          </w:p>
        </w:tc>
        <w:tc>
          <w:tcPr>
            <w:tcW w:w="7961" w:type="dxa"/>
            <w:gridSpan w:val="6"/>
            <w:shd w:val="clear" w:color="auto" w:fill="auto"/>
          </w:tcPr>
          <w:p>
            <w:pPr>
              <w:autoSpaceDE w:val="0"/>
              <w:autoSpaceDN w:val="0"/>
              <w:adjustRightInd w:val="0"/>
              <w:jc w:val="center"/>
              <w:rPr>
                <w:b/>
                <w:color w:val="auto"/>
                <w:kern w:val="0"/>
                <w:sz w:val="21"/>
                <w:szCs w:val="21"/>
              </w:rPr>
            </w:pPr>
            <w:r>
              <w:rPr>
                <w:color w:val="auto"/>
                <w:kern w:val="0"/>
                <w:sz w:val="21"/>
                <w:szCs w:val="21"/>
              </w:rPr>
              <w:t>本项目废水经收集处理后全部回用不排放，不设置排口，因此不涉及受纳水体。雨水排口设置于</w:t>
            </w:r>
            <w:r>
              <w:rPr>
                <w:rFonts w:hint="eastAsia"/>
                <w:color w:val="auto"/>
                <w:kern w:val="0"/>
                <w:sz w:val="21"/>
                <w:szCs w:val="21"/>
              </w:rPr>
              <w:t>曾坑河附近</w:t>
            </w:r>
            <w:r>
              <w:rPr>
                <w:color w:val="auto"/>
                <w:kern w:val="0"/>
                <w:sz w:val="21"/>
                <w:szCs w:val="21"/>
              </w:rPr>
              <w:t>，仅考虑项目周边附近水域。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326" w:type="dxa"/>
            <w:vMerge w:val="continue"/>
            <w:shd w:val="clear" w:color="auto" w:fill="auto"/>
          </w:tcPr>
          <w:p>
            <w:pPr>
              <w:autoSpaceDE w:val="0"/>
              <w:autoSpaceDN w:val="0"/>
              <w:adjustRightInd w:val="0"/>
              <w:jc w:val="center"/>
              <w:rPr>
                <w:b/>
                <w:color w:val="auto"/>
                <w:kern w:val="0"/>
                <w:sz w:val="21"/>
                <w:szCs w:val="21"/>
              </w:rPr>
            </w:pPr>
          </w:p>
        </w:tc>
        <w:tc>
          <w:tcPr>
            <w:tcW w:w="6634" w:type="dxa"/>
            <w:gridSpan w:val="5"/>
            <w:shd w:val="clear" w:color="auto" w:fill="auto"/>
            <w:vAlign w:val="center"/>
          </w:tcPr>
          <w:p>
            <w:pPr>
              <w:autoSpaceDE w:val="0"/>
              <w:autoSpaceDN w:val="0"/>
              <w:adjustRightInd w:val="0"/>
              <w:jc w:val="center"/>
              <w:rPr>
                <w:b/>
                <w:color w:val="auto"/>
                <w:kern w:val="0"/>
                <w:sz w:val="21"/>
                <w:szCs w:val="21"/>
              </w:rPr>
            </w:pPr>
            <w:r>
              <w:rPr>
                <w:color w:val="auto"/>
                <w:kern w:val="0"/>
                <w:sz w:val="21"/>
                <w:szCs w:val="21"/>
              </w:rPr>
              <w:t>地表水环境敏感程度E值</w:t>
            </w:r>
          </w:p>
        </w:tc>
        <w:tc>
          <w:tcPr>
            <w:tcW w:w="1327" w:type="dxa"/>
            <w:shd w:val="clear" w:color="auto" w:fill="auto"/>
            <w:vAlign w:val="center"/>
          </w:tcPr>
          <w:p>
            <w:pPr>
              <w:autoSpaceDE w:val="0"/>
              <w:autoSpaceDN w:val="0"/>
              <w:adjustRightInd w:val="0"/>
              <w:jc w:val="center"/>
              <w:rPr>
                <w:b/>
                <w:color w:val="auto"/>
                <w:kern w:val="0"/>
                <w:sz w:val="21"/>
                <w:szCs w:val="21"/>
              </w:rPr>
            </w:pPr>
            <w:r>
              <w:rPr>
                <w:color w:val="auto"/>
                <w:kern w:val="0"/>
                <w:sz w:val="21"/>
                <w:szCs w:val="21"/>
              </w:rPr>
              <w:t>E3</w:t>
            </w:r>
          </w:p>
        </w:tc>
      </w:tr>
    </w:tbl>
    <w:p>
      <w:pPr>
        <w:spacing w:line="360" w:lineRule="auto"/>
        <w:rPr>
          <w:b/>
          <w:color w:val="auto"/>
        </w:rPr>
      </w:pPr>
      <w:r>
        <w:rPr>
          <w:b/>
          <w:color w:val="auto"/>
        </w:rPr>
        <w:t>5.2.8.</w:t>
      </w:r>
      <w:r>
        <w:rPr>
          <w:rFonts w:hint="eastAsia"/>
          <w:b/>
          <w:color w:val="auto"/>
        </w:rPr>
        <w:t>4</w:t>
      </w:r>
      <w:r>
        <w:rPr>
          <w:b/>
          <w:color w:val="auto"/>
        </w:rPr>
        <w:t>最大可信事故确认</w:t>
      </w:r>
    </w:p>
    <w:p>
      <w:pPr>
        <w:spacing w:line="360" w:lineRule="auto"/>
        <w:ind w:firstLine="480"/>
        <w:rPr>
          <w:color w:val="auto"/>
        </w:rPr>
      </w:pPr>
      <w:r>
        <w:rPr>
          <w:rFonts w:hint="eastAsia"/>
          <w:color w:val="auto"/>
        </w:rPr>
        <w:t>本</w:t>
      </w:r>
      <w:r>
        <w:rPr>
          <w:color w:val="auto"/>
        </w:rPr>
        <w:t>项目</w:t>
      </w:r>
      <w:r>
        <w:rPr>
          <w:rFonts w:hint="eastAsia"/>
          <w:color w:val="auto"/>
        </w:rPr>
        <w:t>运营期</w:t>
      </w:r>
      <w:r>
        <w:rPr>
          <w:color w:val="auto"/>
          <w:kern w:val="0"/>
        </w:rPr>
        <w:t>在</w:t>
      </w:r>
      <w:r>
        <w:rPr>
          <w:rFonts w:hint="eastAsia"/>
          <w:color w:val="auto"/>
          <w:kern w:val="0"/>
        </w:rPr>
        <w:t>餐厨垃圾处理厂</w:t>
      </w:r>
      <w:r>
        <w:rPr>
          <w:color w:val="auto"/>
          <w:kern w:val="0"/>
        </w:rPr>
        <w:t>正常运营中，</w:t>
      </w:r>
      <w:r>
        <w:rPr>
          <w:rFonts w:hint="eastAsia"/>
          <w:color w:val="auto"/>
          <w:kern w:val="0"/>
        </w:rPr>
        <w:t>恶臭</w:t>
      </w:r>
      <w:r>
        <w:rPr>
          <w:color w:val="auto"/>
          <w:kern w:val="0"/>
        </w:rPr>
        <w:t>配套处理设施发生事故导致处理效果达不到正常处理效率将造成废气超标排放进入大气，污染周边空气，对环境影响更为严重。</w:t>
      </w:r>
      <w:r>
        <w:rPr>
          <w:rFonts w:hint="eastAsia"/>
          <w:color w:val="auto"/>
          <w:kern w:val="0"/>
        </w:rPr>
        <w:t>淋溶液废水处理站</w:t>
      </w:r>
      <w:r>
        <w:rPr>
          <w:color w:val="auto"/>
          <w:kern w:val="0"/>
        </w:rPr>
        <w:t>防渗层老化损坏导致影响地下水环境。</w:t>
      </w:r>
      <w:r>
        <w:rPr>
          <w:rFonts w:hint="eastAsia"/>
          <w:color w:val="auto"/>
          <w:kern w:val="0"/>
        </w:rPr>
        <w:t>此外，本项目废气处理</w:t>
      </w:r>
      <w:r>
        <w:rPr>
          <w:color w:val="auto"/>
        </w:rPr>
        <w:t>使用</w:t>
      </w:r>
      <w:r>
        <w:rPr>
          <w:rFonts w:hint="eastAsia"/>
          <w:color w:val="auto"/>
        </w:rPr>
        <w:t>的硫酸和氢氧化钠</w:t>
      </w:r>
      <w:r>
        <w:rPr>
          <w:color w:val="auto"/>
        </w:rPr>
        <w:t>具有危险性，若管理及操作不当，可能发生风险事故。当然，风险评价不会把每个可能发生的事故逐一进行分析，而是筛选出系统中具有一定发生概率，其后果又是灾难性的，且其风险值为最大的事故，作为评价对象。如果这一风险值在可接受水平之内，则该系统的风险认为是可以接受的。如果这一风险值超过可以接受水平，则需要采取进一步降低风险值措施，达到可接受水平。</w:t>
      </w:r>
    </w:p>
    <w:p>
      <w:pPr>
        <w:pStyle w:val="377"/>
        <w:spacing w:line="360" w:lineRule="auto"/>
        <w:ind w:firstLine="480"/>
        <w:rPr>
          <w:color w:val="auto"/>
        </w:rPr>
      </w:pPr>
      <w:r>
        <w:rPr>
          <w:rFonts w:hAnsi="宋体"/>
          <w:color w:val="auto"/>
        </w:rPr>
        <w:t>在上述风险识别、分析和事故分析的基础上，</w:t>
      </w:r>
      <w:r>
        <w:rPr>
          <w:rFonts w:hint="eastAsia" w:hAnsi="宋体"/>
          <w:color w:val="auto"/>
        </w:rPr>
        <w:t>本项目</w:t>
      </w:r>
      <w:r>
        <w:rPr>
          <w:rFonts w:hAnsi="宋体"/>
          <w:color w:val="auto"/>
        </w:rPr>
        <w:t>风险评价的最大可信事故设定</w:t>
      </w:r>
      <w:r>
        <w:rPr>
          <w:rFonts w:hint="eastAsia" w:hAnsi="宋体"/>
          <w:color w:val="auto"/>
        </w:rPr>
        <w:t>见下表</w:t>
      </w:r>
      <w:r>
        <w:rPr>
          <w:rFonts w:hAnsi="宋体"/>
          <w:color w:val="auto"/>
        </w:rPr>
        <w:t>。</w:t>
      </w:r>
    </w:p>
    <w:p>
      <w:pPr>
        <w:pStyle w:val="290"/>
        <w:spacing w:line="360" w:lineRule="auto"/>
        <w:rPr>
          <w:color w:val="auto"/>
        </w:rPr>
      </w:pPr>
    </w:p>
    <w:p>
      <w:pPr>
        <w:pStyle w:val="290"/>
        <w:spacing w:line="360" w:lineRule="auto"/>
        <w:rPr>
          <w:color w:val="auto"/>
        </w:rPr>
      </w:pPr>
      <w:r>
        <w:rPr>
          <w:color w:val="auto"/>
        </w:rPr>
        <w:t>表</w:t>
      </w:r>
      <w:r>
        <w:rPr>
          <w:rFonts w:hint="eastAsia"/>
          <w:color w:val="auto"/>
        </w:rPr>
        <w:t xml:space="preserve">5.2-29 </w:t>
      </w:r>
      <w:r>
        <w:rPr>
          <w:color w:val="auto"/>
        </w:rPr>
        <w:t>最大可信事故设定</w:t>
      </w:r>
    </w:p>
    <w:tbl>
      <w:tblPr>
        <w:tblStyle w:val="53"/>
        <w:tblW w:w="8925"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379"/>
        <w:gridCol w:w="654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379" w:type="dxa"/>
            <w:vAlign w:val="center"/>
          </w:tcPr>
          <w:p>
            <w:pPr>
              <w:pStyle w:val="292"/>
              <w:rPr>
                <w:b/>
                <w:color w:val="auto"/>
                <w:szCs w:val="21"/>
              </w:rPr>
            </w:pPr>
            <w:r>
              <w:rPr>
                <w:b/>
                <w:color w:val="auto"/>
                <w:szCs w:val="21"/>
              </w:rPr>
              <w:t>主要危险因子</w:t>
            </w:r>
          </w:p>
        </w:tc>
        <w:tc>
          <w:tcPr>
            <w:tcW w:w="6546" w:type="dxa"/>
            <w:vAlign w:val="center"/>
          </w:tcPr>
          <w:p>
            <w:pPr>
              <w:pStyle w:val="292"/>
              <w:rPr>
                <w:b/>
                <w:color w:val="auto"/>
                <w:szCs w:val="21"/>
              </w:rPr>
            </w:pPr>
            <w:r>
              <w:rPr>
                <w:b/>
                <w:color w:val="auto"/>
                <w:szCs w:val="21"/>
              </w:rPr>
              <w:t>最大可信事故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379" w:type="dxa"/>
            <w:vAlign w:val="center"/>
          </w:tcPr>
          <w:p>
            <w:pPr>
              <w:pStyle w:val="292"/>
              <w:rPr>
                <w:color w:val="auto"/>
                <w:szCs w:val="21"/>
              </w:rPr>
            </w:pPr>
            <w:r>
              <w:rPr>
                <w:rFonts w:hint="eastAsia"/>
                <w:color w:val="auto"/>
                <w:szCs w:val="21"/>
              </w:rPr>
              <w:t>硫酸、氢氧化钠</w:t>
            </w:r>
          </w:p>
        </w:tc>
        <w:tc>
          <w:tcPr>
            <w:tcW w:w="6546" w:type="dxa"/>
            <w:vAlign w:val="center"/>
          </w:tcPr>
          <w:p>
            <w:pPr>
              <w:pStyle w:val="292"/>
              <w:rPr>
                <w:color w:val="auto"/>
                <w:szCs w:val="21"/>
              </w:rPr>
            </w:pPr>
            <w:r>
              <w:rPr>
                <w:rFonts w:hint="eastAsia"/>
                <w:color w:val="auto"/>
                <w:szCs w:val="21"/>
              </w:rPr>
              <w:t>硫酸、氢氧化钠桶等发生破裂而引发严重的泄漏事故</w:t>
            </w:r>
          </w:p>
        </w:tc>
      </w:tr>
    </w:tbl>
    <w:p>
      <w:pPr>
        <w:pStyle w:val="377"/>
        <w:spacing w:line="360" w:lineRule="auto"/>
        <w:ind w:firstLine="480"/>
        <w:rPr>
          <w:rFonts w:hAnsi="宋体"/>
          <w:color w:val="auto"/>
        </w:rPr>
      </w:pPr>
      <w:r>
        <w:rPr>
          <w:rFonts w:hAnsi="宋体"/>
          <w:color w:val="auto"/>
        </w:rPr>
        <w:t>根据《化工装备事故分析与预防》中对企业使用化工产品的事故频率的统计，槽、桶等发生严重</w:t>
      </w:r>
      <w:r>
        <w:rPr>
          <w:rFonts w:hint="eastAsia" w:hAnsi="宋体"/>
          <w:color w:val="auto"/>
        </w:rPr>
        <w:t>泄漏</w:t>
      </w:r>
      <w:r>
        <w:rPr>
          <w:rFonts w:hAnsi="宋体"/>
          <w:color w:val="auto"/>
        </w:rPr>
        <w:t>事故的频率为1.2×10</w:t>
      </w:r>
      <w:r>
        <w:rPr>
          <w:rFonts w:hAnsi="宋体"/>
          <w:color w:val="auto"/>
          <w:vertAlign w:val="superscript"/>
        </w:rPr>
        <w:t>-6</w:t>
      </w:r>
      <w:r>
        <w:rPr>
          <w:rFonts w:hAnsi="宋体"/>
          <w:color w:val="auto"/>
        </w:rPr>
        <w:t>，因此</w:t>
      </w:r>
      <w:r>
        <w:rPr>
          <w:rFonts w:hint="eastAsia" w:hAnsi="宋体"/>
          <w:color w:val="auto"/>
        </w:rPr>
        <w:t>本</w:t>
      </w:r>
      <w:r>
        <w:rPr>
          <w:rFonts w:hAnsi="宋体"/>
          <w:color w:val="auto"/>
        </w:rPr>
        <w:t>项目最大可信事故概率为1.2×10</w:t>
      </w:r>
      <w:r>
        <w:rPr>
          <w:rFonts w:hAnsi="宋体"/>
          <w:color w:val="auto"/>
          <w:vertAlign w:val="superscript"/>
        </w:rPr>
        <w:t>-6</w:t>
      </w:r>
      <w:r>
        <w:rPr>
          <w:rFonts w:hAnsi="宋体"/>
          <w:color w:val="auto"/>
        </w:rPr>
        <w:t>。</w:t>
      </w:r>
    </w:p>
    <w:p>
      <w:pPr>
        <w:pStyle w:val="377"/>
        <w:spacing w:line="360" w:lineRule="auto"/>
        <w:ind w:firstLine="480"/>
        <w:rPr>
          <w:color w:val="auto"/>
        </w:rPr>
      </w:pPr>
      <w:r>
        <w:rPr>
          <w:rFonts w:hAnsi="宋体"/>
          <w:color w:val="auto"/>
        </w:rPr>
        <w:t>据全国化工行业统计，可接受的事故风险率为8.33×10</w:t>
      </w:r>
      <w:r>
        <w:rPr>
          <w:rFonts w:hAnsi="宋体"/>
          <w:color w:val="auto"/>
          <w:vertAlign w:val="superscript"/>
        </w:rPr>
        <w:t>-5</w:t>
      </w:r>
      <w:r>
        <w:rPr>
          <w:rFonts w:hAnsi="宋体"/>
          <w:color w:val="auto"/>
        </w:rPr>
        <w:t>（参考环境影响评价项目负责人培训系列教材《化工、石化及医药行业建设项目环境影响评价》（试用版）国家环境保护总局监督管理司编，中国环境科学出版社）；</w:t>
      </w:r>
      <w:r>
        <w:rPr>
          <w:rFonts w:hint="eastAsia" w:hAnsi="宋体"/>
          <w:color w:val="auto"/>
        </w:rPr>
        <w:t>本</w:t>
      </w:r>
      <w:r>
        <w:rPr>
          <w:rFonts w:hAnsi="宋体"/>
          <w:color w:val="auto"/>
        </w:rPr>
        <w:t>项目最大可信事故概率为1.2×10</w:t>
      </w:r>
      <w:r>
        <w:rPr>
          <w:rFonts w:hAnsi="宋体"/>
          <w:color w:val="auto"/>
          <w:vertAlign w:val="superscript"/>
        </w:rPr>
        <w:t>-6</w:t>
      </w:r>
      <w:r>
        <w:rPr>
          <w:rFonts w:hAnsi="宋体"/>
          <w:color w:val="auto"/>
        </w:rPr>
        <w:t>，</w:t>
      </w:r>
      <w:r>
        <w:rPr>
          <w:rFonts w:hint="eastAsia" w:hAnsi="宋体"/>
          <w:color w:val="auto"/>
        </w:rPr>
        <w:t>本</w:t>
      </w:r>
      <w:r>
        <w:rPr>
          <w:rFonts w:hAnsi="宋体"/>
          <w:color w:val="auto"/>
        </w:rPr>
        <w:t>项目最大事故风险是可以接受的。企业一定要按照国家对危险化学品的使用和管理规定，提高警惕，时刻将人身安全和环境安全放在首位。</w:t>
      </w:r>
    </w:p>
    <w:p>
      <w:pPr>
        <w:spacing w:line="360" w:lineRule="auto"/>
        <w:rPr>
          <w:b/>
          <w:color w:val="auto"/>
        </w:rPr>
      </w:pPr>
      <w:r>
        <w:rPr>
          <w:b/>
          <w:color w:val="auto"/>
        </w:rPr>
        <w:t>5.2.8.</w:t>
      </w:r>
      <w:r>
        <w:rPr>
          <w:rFonts w:hint="eastAsia"/>
          <w:b/>
          <w:color w:val="auto"/>
        </w:rPr>
        <w:t>5</w:t>
      </w:r>
      <w:r>
        <w:rPr>
          <w:b/>
          <w:color w:val="auto"/>
        </w:rPr>
        <w:t>事故后果分析</w:t>
      </w:r>
    </w:p>
    <w:p>
      <w:pPr>
        <w:autoSpaceDE w:val="0"/>
        <w:autoSpaceDN w:val="0"/>
        <w:adjustRightInd w:val="0"/>
        <w:spacing w:line="360" w:lineRule="auto"/>
        <w:ind w:firstLine="120" w:firstLineChars="50"/>
        <w:rPr>
          <w:color w:val="auto"/>
        </w:rPr>
      </w:pPr>
      <w:r>
        <w:rPr>
          <w:color w:val="auto"/>
          <w:kern w:val="0"/>
        </w:rPr>
        <w:t>一、恶臭污染物</w:t>
      </w:r>
      <w:r>
        <w:rPr>
          <w:rFonts w:hint="eastAsia"/>
          <w:color w:val="auto"/>
          <w:kern w:val="0"/>
        </w:rPr>
        <w:t>事故排放对</w:t>
      </w:r>
      <w:r>
        <w:rPr>
          <w:color w:val="auto"/>
          <w:kern w:val="0"/>
        </w:rPr>
        <w:t>大气</w:t>
      </w:r>
      <w:r>
        <w:rPr>
          <w:rFonts w:hint="eastAsia"/>
          <w:color w:val="auto"/>
          <w:kern w:val="0"/>
        </w:rPr>
        <w:t>环境影响分析</w:t>
      </w:r>
    </w:p>
    <w:p>
      <w:pPr>
        <w:spacing w:line="360" w:lineRule="auto"/>
        <w:ind w:firstLine="480" w:firstLineChars="200"/>
        <w:rPr>
          <w:color w:val="auto"/>
        </w:rPr>
      </w:pPr>
      <w:r>
        <w:rPr>
          <w:color w:val="auto"/>
        </w:rPr>
        <w:t>废气处理设施即除臭系统发生故障时候会对周边环境带来一定影响</w:t>
      </w:r>
      <w:r>
        <w:rPr>
          <w:rFonts w:hint="eastAsia"/>
          <w:color w:val="auto"/>
        </w:rPr>
        <w:t>。废气处理设施发生故障时候，应立即停工，停止处理车间内所有生产工段，尤其是餐厨垃圾破碎和脱水处理等，对生产车间门窗施行关闭处理，避免臭气大量外溢，立即组织相关车间作业人员喷洒具有芳香气味的掩蔽剂，待废气处理设施恢复正常运行状况后，检测废气中排放的氨、硫化氢是否达标，达标后方可恢复正常排放作业。</w:t>
      </w:r>
    </w:p>
    <w:p>
      <w:pPr>
        <w:spacing w:line="360" w:lineRule="auto"/>
        <w:rPr>
          <w:color w:val="auto"/>
        </w:rPr>
      </w:pPr>
      <w:r>
        <w:rPr>
          <w:rFonts w:hint="eastAsia"/>
          <w:color w:val="auto"/>
        </w:rPr>
        <w:t>二、废水收集管线渗漏对周边水环境影响分析</w:t>
      </w:r>
    </w:p>
    <w:p>
      <w:pPr>
        <w:spacing w:line="360" w:lineRule="auto"/>
        <w:rPr>
          <w:color w:val="auto"/>
        </w:rPr>
      </w:pPr>
      <w:r>
        <w:rPr>
          <w:rFonts w:hint="eastAsia"/>
          <w:color w:val="auto"/>
        </w:rPr>
        <w:t xml:space="preserve">    餐厨垃圾废水的有机物含量很高，氮磷含量高，如风险防范措施不到位，发生收集管线渗漏，将会对地下水和土壤环境造成影响，主要表现在使地下水水质浑浊，有臭味，COD、氨氮污染严重等。</w:t>
      </w:r>
    </w:p>
    <w:p>
      <w:pPr>
        <w:spacing w:line="360" w:lineRule="auto"/>
        <w:rPr>
          <w:color w:val="auto"/>
          <w:spacing w:val="8"/>
          <w:szCs w:val="20"/>
        </w:rPr>
      </w:pPr>
      <w:r>
        <w:rPr>
          <w:rFonts w:hint="eastAsia"/>
          <w:color w:val="auto"/>
        </w:rPr>
        <w:t>三、</w:t>
      </w:r>
      <w:r>
        <w:rPr>
          <w:color w:val="auto"/>
        </w:rPr>
        <w:t>填埋场</w:t>
      </w:r>
      <w:r>
        <w:rPr>
          <w:rFonts w:hint="eastAsia"/>
          <w:color w:val="auto"/>
        </w:rPr>
        <w:t>淋溶液</w:t>
      </w:r>
      <w:r>
        <w:rPr>
          <w:color w:val="auto"/>
        </w:rPr>
        <w:t>渗漏</w:t>
      </w:r>
      <w:r>
        <w:rPr>
          <w:rFonts w:hint="eastAsia"/>
          <w:color w:val="auto"/>
          <w:spacing w:val="8"/>
          <w:szCs w:val="20"/>
        </w:rPr>
        <w:t>环境影响分析</w:t>
      </w:r>
    </w:p>
    <w:p>
      <w:pPr>
        <w:pStyle w:val="16"/>
        <w:kinsoku w:val="0"/>
        <w:overflowPunct w:val="0"/>
        <w:spacing w:before="0" w:beforeAutospacing="0" w:after="0" w:line="360" w:lineRule="auto"/>
        <w:ind w:right="147" w:firstLine="480" w:firstLineChars="200"/>
        <w:rPr>
          <w:color w:val="auto"/>
          <w:spacing w:val="2"/>
          <w:u w:val="single"/>
        </w:rPr>
      </w:pPr>
      <w:r>
        <w:rPr>
          <w:color w:val="auto"/>
          <w:kern w:val="0"/>
          <w:szCs w:val="24"/>
        </w:rPr>
        <w:t>本项目建筑垃圾受纳场在正常运行时，不会对周边产生较大的环境影响。项目产生的环境风险主要来自项目的建设和日后的填埋作业过程及日常的维护工作，具有不确定性的危害事故产生的可能性。本项目的各种选材应选用合理安全的材料，施工和运营期间严格管理，</w:t>
      </w:r>
      <w:r>
        <w:rPr>
          <w:rFonts w:hint="eastAsia"/>
          <w:color w:val="auto"/>
          <w:kern w:val="0"/>
          <w:szCs w:val="24"/>
        </w:rPr>
        <w:t>遵守</w:t>
      </w:r>
      <w:r>
        <w:rPr>
          <w:color w:val="auto"/>
          <w:kern w:val="0"/>
          <w:szCs w:val="24"/>
        </w:rPr>
        <w:t>有关规定和规范操作，则各种人为因素造成的事故率将大大降</w:t>
      </w:r>
      <w:r>
        <w:rPr>
          <w:color w:val="auto"/>
          <w:spacing w:val="2"/>
        </w:rPr>
        <w:t>低。</w:t>
      </w:r>
    </w:p>
    <w:p>
      <w:pPr>
        <w:pStyle w:val="16"/>
        <w:kinsoku w:val="0"/>
        <w:overflowPunct w:val="0"/>
        <w:spacing w:before="0" w:beforeAutospacing="0" w:after="0" w:line="360" w:lineRule="auto"/>
        <w:ind w:right="146" w:firstLine="488" w:firstLineChars="200"/>
        <w:rPr>
          <w:color w:val="auto"/>
          <w:spacing w:val="2"/>
        </w:rPr>
      </w:pPr>
      <w:r>
        <w:rPr>
          <w:color w:val="auto"/>
          <w:spacing w:val="2"/>
        </w:rPr>
        <w:t>1）强降雨风险分析</w:t>
      </w:r>
    </w:p>
    <w:p>
      <w:pPr>
        <w:pStyle w:val="16"/>
        <w:kinsoku w:val="0"/>
        <w:overflowPunct w:val="0"/>
        <w:spacing w:before="0" w:beforeAutospacing="0" w:after="0" w:line="360" w:lineRule="auto"/>
        <w:ind w:right="146" w:firstLine="488" w:firstLineChars="200"/>
        <w:rPr>
          <w:color w:val="auto"/>
          <w:spacing w:val="2"/>
          <w:szCs w:val="24"/>
        </w:rPr>
      </w:pPr>
      <w:r>
        <w:rPr>
          <w:rFonts w:hint="eastAsia"/>
          <w:color w:val="auto"/>
          <w:spacing w:val="2"/>
          <w:szCs w:val="24"/>
        </w:rPr>
        <w:t>兴宁市</w:t>
      </w:r>
      <w:r>
        <w:rPr>
          <w:color w:val="auto"/>
          <w:kern w:val="0"/>
          <w:szCs w:val="24"/>
        </w:rPr>
        <w:t>年平均降雨量为</w:t>
      </w:r>
      <w:r>
        <w:rPr>
          <w:color w:val="auto"/>
        </w:rPr>
        <w:t>1540.3mm</w:t>
      </w:r>
      <w:r>
        <w:rPr>
          <w:color w:val="auto"/>
          <w:kern w:val="0"/>
          <w:szCs w:val="24"/>
        </w:rPr>
        <w:t>，建筑垃圾</w:t>
      </w:r>
      <w:r>
        <w:rPr>
          <w:rFonts w:hint="eastAsia"/>
          <w:color w:val="auto"/>
          <w:kern w:val="0"/>
          <w:szCs w:val="24"/>
        </w:rPr>
        <w:t>淋溶液</w:t>
      </w:r>
      <w:r>
        <w:rPr>
          <w:color w:val="auto"/>
          <w:kern w:val="0"/>
          <w:szCs w:val="24"/>
        </w:rPr>
        <w:t>日产生量为</w:t>
      </w:r>
      <w:r>
        <w:rPr>
          <w:rFonts w:hint="eastAsia"/>
          <w:color w:val="auto"/>
          <w:kern w:val="0"/>
          <w:szCs w:val="24"/>
        </w:rPr>
        <w:t>80.04</w:t>
      </w:r>
      <w:r>
        <w:rPr>
          <w:color w:val="auto"/>
          <w:kern w:val="0"/>
          <w:szCs w:val="24"/>
        </w:rPr>
        <w:t>m³/d</w:t>
      </w:r>
      <w:r>
        <w:rPr>
          <w:rFonts w:hint="eastAsia"/>
          <w:color w:val="auto"/>
          <w:kern w:val="0"/>
          <w:szCs w:val="24"/>
        </w:rPr>
        <w:t>，</w:t>
      </w:r>
      <w:r>
        <w:rPr>
          <w:color w:val="auto"/>
          <w:kern w:val="0"/>
          <w:szCs w:val="24"/>
        </w:rPr>
        <w:t>年产生量为</w:t>
      </w:r>
      <w:r>
        <w:rPr>
          <w:rFonts w:hint="eastAsia"/>
          <w:color w:val="auto"/>
          <w:kern w:val="0"/>
          <w:szCs w:val="24"/>
        </w:rPr>
        <w:t>26413.2</w:t>
      </w:r>
      <w:r>
        <w:rPr>
          <w:color w:val="auto"/>
          <w:kern w:val="0"/>
          <w:szCs w:val="24"/>
        </w:rPr>
        <w:t>m³/a。本项目设立的建筑垃圾</w:t>
      </w:r>
      <w:r>
        <w:rPr>
          <w:rFonts w:hint="eastAsia"/>
          <w:color w:val="auto"/>
          <w:kern w:val="0"/>
          <w:szCs w:val="24"/>
        </w:rPr>
        <w:t>淋溶液调节池</w:t>
      </w:r>
      <w:r>
        <w:rPr>
          <w:color w:val="auto"/>
          <w:kern w:val="0"/>
          <w:szCs w:val="24"/>
        </w:rPr>
        <w:t>容量可以满足受纳场需要，但如果降暴雨时</w:t>
      </w:r>
      <w:r>
        <w:rPr>
          <w:rFonts w:hint="eastAsia"/>
          <w:color w:val="auto"/>
          <w:kern w:val="0"/>
          <w:szCs w:val="24"/>
        </w:rPr>
        <w:t>调节池</w:t>
      </w:r>
      <w:r>
        <w:rPr>
          <w:color w:val="auto"/>
          <w:kern w:val="0"/>
          <w:szCs w:val="24"/>
        </w:rPr>
        <w:t>剩余容积不够时，未经处理的</w:t>
      </w:r>
      <w:r>
        <w:rPr>
          <w:rFonts w:hint="eastAsia"/>
          <w:color w:val="auto"/>
          <w:kern w:val="0"/>
          <w:szCs w:val="24"/>
        </w:rPr>
        <w:t>淋溶液</w:t>
      </w:r>
      <w:r>
        <w:rPr>
          <w:color w:val="auto"/>
          <w:kern w:val="0"/>
          <w:szCs w:val="24"/>
        </w:rPr>
        <w:t>流入河沟，将污染</w:t>
      </w:r>
      <w:r>
        <w:rPr>
          <w:rFonts w:hint="eastAsia"/>
          <w:color w:val="auto"/>
          <w:kern w:val="0"/>
          <w:szCs w:val="24"/>
        </w:rPr>
        <w:t>其地表水和土壤</w:t>
      </w:r>
      <w:r>
        <w:rPr>
          <w:color w:val="auto"/>
          <w:spacing w:val="2"/>
          <w:szCs w:val="24"/>
        </w:rPr>
        <w:t>。</w:t>
      </w:r>
    </w:p>
    <w:p>
      <w:pPr>
        <w:pStyle w:val="16"/>
        <w:kinsoku w:val="0"/>
        <w:overflowPunct w:val="0"/>
        <w:spacing w:before="0" w:beforeAutospacing="0" w:after="0" w:line="360" w:lineRule="auto"/>
        <w:ind w:right="146" w:firstLine="488" w:firstLineChars="200"/>
        <w:rPr>
          <w:color w:val="auto"/>
          <w:spacing w:val="2"/>
        </w:rPr>
      </w:pPr>
      <w:r>
        <w:rPr>
          <w:color w:val="auto"/>
          <w:spacing w:val="2"/>
        </w:rPr>
        <w:t>2）</w:t>
      </w:r>
      <w:r>
        <w:rPr>
          <w:color w:val="auto"/>
          <w:kern w:val="0"/>
          <w:szCs w:val="24"/>
        </w:rPr>
        <w:t>防渗层渗漏对地下水的环</w:t>
      </w:r>
      <w:r>
        <w:rPr>
          <w:color w:val="auto"/>
          <w:spacing w:val="2"/>
        </w:rPr>
        <w:t>境风险</w:t>
      </w:r>
    </w:p>
    <w:p>
      <w:pPr>
        <w:pStyle w:val="16"/>
        <w:kinsoku w:val="0"/>
        <w:overflowPunct w:val="0"/>
        <w:spacing w:before="0" w:beforeAutospacing="0" w:after="0" w:line="360" w:lineRule="auto"/>
        <w:ind w:right="146" w:firstLine="488" w:firstLineChars="200"/>
        <w:rPr>
          <w:color w:val="auto"/>
          <w:kern w:val="0"/>
          <w:szCs w:val="24"/>
        </w:rPr>
      </w:pPr>
      <w:r>
        <w:rPr>
          <w:color w:val="auto"/>
          <w:spacing w:val="2"/>
        </w:rPr>
        <w:t>消纳场</w:t>
      </w:r>
      <w:r>
        <w:rPr>
          <w:color w:val="auto"/>
          <w:kern w:val="0"/>
          <w:szCs w:val="24"/>
        </w:rPr>
        <w:t>的防渗层如出现渗漏，对地下水和土壤将产生污染。渗透量的大小取决于防渗层破损程度大小，其关系见表5</w:t>
      </w:r>
      <w:r>
        <w:rPr>
          <w:rFonts w:hint="eastAsia"/>
          <w:color w:val="auto"/>
          <w:kern w:val="0"/>
          <w:szCs w:val="24"/>
        </w:rPr>
        <w:t>.2-30</w:t>
      </w:r>
      <w:r>
        <w:rPr>
          <w:color w:val="auto"/>
          <w:kern w:val="0"/>
          <w:szCs w:val="24"/>
        </w:rPr>
        <w:t>。</w:t>
      </w:r>
    </w:p>
    <w:p>
      <w:pPr>
        <w:widowControl/>
        <w:spacing w:line="360" w:lineRule="auto"/>
        <w:jc w:val="center"/>
        <w:rPr>
          <w:rFonts w:eastAsiaTheme="minorEastAsia"/>
          <w:b/>
          <w:color w:val="auto"/>
          <w:kern w:val="0"/>
        </w:rPr>
      </w:pPr>
      <w:r>
        <w:rPr>
          <w:rFonts w:eastAsiaTheme="minorEastAsia"/>
          <w:b/>
          <w:color w:val="auto"/>
          <w:kern w:val="0"/>
        </w:rPr>
        <w:t>表</w:t>
      </w:r>
      <w:r>
        <w:rPr>
          <w:rFonts w:eastAsiaTheme="minorEastAsia"/>
          <w:b/>
          <w:bCs/>
          <w:color w:val="auto"/>
          <w:kern w:val="0"/>
        </w:rPr>
        <w:t>5.2-</w:t>
      </w:r>
      <w:r>
        <w:rPr>
          <w:rFonts w:hint="eastAsia" w:eastAsiaTheme="minorEastAsia"/>
          <w:b/>
          <w:bCs/>
          <w:color w:val="auto"/>
          <w:kern w:val="0"/>
        </w:rPr>
        <w:t xml:space="preserve">30 </w:t>
      </w:r>
      <w:r>
        <w:rPr>
          <w:rFonts w:eastAsiaTheme="minorEastAsia"/>
          <w:b/>
          <w:color w:val="auto"/>
          <w:kern w:val="0"/>
        </w:rPr>
        <w:t>防渗层破损程度与渗透量的关系</w:t>
      </w:r>
    </w:p>
    <w:tbl>
      <w:tblPr>
        <w:tblStyle w:val="53"/>
        <w:tblW w:w="9287"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55"/>
        <w:gridCol w:w="1618"/>
        <w:gridCol w:w="1620"/>
        <w:gridCol w:w="1471"/>
        <w:gridCol w:w="15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55" w:type="dxa"/>
            <w:vAlign w:val="center"/>
          </w:tcPr>
          <w:p>
            <w:pPr>
              <w:widowControl/>
              <w:jc w:val="center"/>
              <w:rPr>
                <w:color w:val="auto"/>
                <w:kern w:val="0"/>
              </w:rPr>
            </w:pPr>
            <w:r>
              <w:rPr>
                <w:color w:val="auto"/>
                <w:kern w:val="0"/>
                <w:sz w:val="22"/>
              </w:rPr>
              <w:t>破损面积（%）</w:t>
            </w:r>
          </w:p>
        </w:tc>
        <w:tc>
          <w:tcPr>
            <w:tcW w:w="1618" w:type="dxa"/>
            <w:vAlign w:val="center"/>
          </w:tcPr>
          <w:p>
            <w:pPr>
              <w:widowControl/>
              <w:jc w:val="center"/>
              <w:rPr>
                <w:color w:val="auto"/>
                <w:kern w:val="0"/>
              </w:rPr>
            </w:pPr>
            <w:r>
              <w:rPr>
                <w:color w:val="auto"/>
                <w:kern w:val="0"/>
                <w:sz w:val="22"/>
              </w:rPr>
              <w:t>5</w:t>
            </w:r>
          </w:p>
        </w:tc>
        <w:tc>
          <w:tcPr>
            <w:tcW w:w="1620" w:type="dxa"/>
            <w:vAlign w:val="center"/>
          </w:tcPr>
          <w:p>
            <w:pPr>
              <w:widowControl/>
              <w:jc w:val="center"/>
              <w:rPr>
                <w:color w:val="auto"/>
                <w:kern w:val="0"/>
              </w:rPr>
            </w:pPr>
            <w:r>
              <w:rPr>
                <w:color w:val="auto"/>
                <w:kern w:val="0"/>
                <w:sz w:val="22"/>
              </w:rPr>
              <w:t>10</w:t>
            </w:r>
          </w:p>
        </w:tc>
        <w:tc>
          <w:tcPr>
            <w:tcW w:w="1471" w:type="dxa"/>
            <w:vAlign w:val="center"/>
          </w:tcPr>
          <w:p>
            <w:pPr>
              <w:widowControl/>
              <w:jc w:val="center"/>
              <w:rPr>
                <w:color w:val="auto"/>
                <w:kern w:val="0"/>
              </w:rPr>
            </w:pPr>
            <w:r>
              <w:rPr>
                <w:color w:val="auto"/>
                <w:kern w:val="0"/>
                <w:sz w:val="22"/>
              </w:rPr>
              <w:t>25</w:t>
            </w:r>
          </w:p>
        </w:tc>
        <w:tc>
          <w:tcPr>
            <w:tcW w:w="1523" w:type="dxa"/>
            <w:vAlign w:val="center"/>
          </w:tcPr>
          <w:p>
            <w:pPr>
              <w:widowControl/>
              <w:jc w:val="center"/>
              <w:rPr>
                <w:color w:val="auto"/>
                <w:kern w:val="0"/>
              </w:rPr>
            </w:pPr>
            <w:r>
              <w:rPr>
                <w:color w:val="auto"/>
                <w:kern w:val="0"/>
                <w:sz w:val="22"/>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55" w:type="dxa"/>
            <w:vAlign w:val="center"/>
          </w:tcPr>
          <w:p>
            <w:pPr>
              <w:widowControl/>
              <w:jc w:val="center"/>
              <w:rPr>
                <w:color w:val="auto"/>
                <w:kern w:val="0"/>
              </w:rPr>
            </w:pPr>
            <w:r>
              <w:rPr>
                <w:color w:val="auto"/>
                <w:kern w:val="0"/>
                <w:sz w:val="22"/>
              </w:rPr>
              <w:t>渗透量（m</w:t>
            </w:r>
            <w:r>
              <w:rPr>
                <w:color w:val="auto"/>
                <w:kern w:val="0"/>
                <w:sz w:val="14"/>
              </w:rPr>
              <w:t>3</w:t>
            </w:r>
            <w:r>
              <w:rPr>
                <w:color w:val="auto"/>
                <w:kern w:val="0"/>
                <w:sz w:val="22"/>
              </w:rPr>
              <w:t>/d）</w:t>
            </w:r>
          </w:p>
        </w:tc>
        <w:tc>
          <w:tcPr>
            <w:tcW w:w="1618" w:type="dxa"/>
            <w:vAlign w:val="center"/>
          </w:tcPr>
          <w:p>
            <w:pPr>
              <w:widowControl/>
              <w:jc w:val="center"/>
              <w:rPr>
                <w:color w:val="auto"/>
                <w:kern w:val="0"/>
              </w:rPr>
            </w:pPr>
            <w:r>
              <w:rPr>
                <w:color w:val="auto"/>
                <w:kern w:val="0"/>
                <w:sz w:val="22"/>
              </w:rPr>
              <w:t>15</w:t>
            </w:r>
          </w:p>
        </w:tc>
        <w:tc>
          <w:tcPr>
            <w:tcW w:w="1620" w:type="dxa"/>
            <w:vAlign w:val="center"/>
          </w:tcPr>
          <w:p>
            <w:pPr>
              <w:widowControl/>
              <w:jc w:val="center"/>
              <w:rPr>
                <w:color w:val="auto"/>
                <w:kern w:val="0"/>
              </w:rPr>
            </w:pPr>
            <w:r>
              <w:rPr>
                <w:color w:val="auto"/>
                <w:kern w:val="0"/>
                <w:sz w:val="22"/>
              </w:rPr>
              <w:t>30</w:t>
            </w:r>
          </w:p>
        </w:tc>
        <w:tc>
          <w:tcPr>
            <w:tcW w:w="1471" w:type="dxa"/>
            <w:vAlign w:val="center"/>
          </w:tcPr>
          <w:p>
            <w:pPr>
              <w:widowControl/>
              <w:jc w:val="center"/>
              <w:rPr>
                <w:color w:val="auto"/>
                <w:kern w:val="0"/>
              </w:rPr>
            </w:pPr>
            <w:r>
              <w:rPr>
                <w:color w:val="auto"/>
                <w:kern w:val="0"/>
                <w:sz w:val="22"/>
              </w:rPr>
              <w:t>75</w:t>
            </w:r>
          </w:p>
        </w:tc>
        <w:tc>
          <w:tcPr>
            <w:tcW w:w="1523" w:type="dxa"/>
            <w:vAlign w:val="center"/>
          </w:tcPr>
          <w:p>
            <w:pPr>
              <w:widowControl/>
              <w:jc w:val="center"/>
              <w:rPr>
                <w:color w:val="auto"/>
                <w:kern w:val="0"/>
              </w:rPr>
            </w:pPr>
            <w:r>
              <w:rPr>
                <w:color w:val="auto"/>
                <w:kern w:val="0"/>
                <w:sz w:val="22"/>
              </w:rPr>
              <w: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55" w:type="dxa"/>
            <w:vAlign w:val="center"/>
          </w:tcPr>
          <w:p>
            <w:pPr>
              <w:widowControl/>
              <w:jc w:val="center"/>
              <w:rPr>
                <w:color w:val="auto"/>
                <w:kern w:val="0"/>
              </w:rPr>
            </w:pPr>
            <w:r>
              <w:rPr>
                <w:color w:val="auto"/>
                <w:kern w:val="0"/>
                <w:sz w:val="22"/>
              </w:rPr>
              <w:t>占</w:t>
            </w:r>
            <w:r>
              <w:rPr>
                <w:rFonts w:hint="eastAsia"/>
                <w:color w:val="auto"/>
                <w:kern w:val="0"/>
                <w:sz w:val="22"/>
              </w:rPr>
              <w:t>淋溶液</w:t>
            </w:r>
            <w:r>
              <w:rPr>
                <w:color w:val="auto"/>
                <w:kern w:val="0"/>
                <w:sz w:val="22"/>
              </w:rPr>
              <w:t>的百分比（%）</w:t>
            </w:r>
          </w:p>
        </w:tc>
        <w:tc>
          <w:tcPr>
            <w:tcW w:w="1618" w:type="dxa"/>
            <w:vAlign w:val="center"/>
          </w:tcPr>
          <w:p>
            <w:pPr>
              <w:widowControl/>
              <w:jc w:val="center"/>
              <w:rPr>
                <w:color w:val="auto"/>
                <w:kern w:val="0"/>
              </w:rPr>
            </w:pPr>
            <w:r>
              <w:rPr>
                <w:color w:val="auto"/>
                <w:kern w:val="0"/>
                <w:sz w:val="22"/>
              </w:rPr>
              <w:t>5</w:t>
            </w:r>
          </w:p>
        </w:tc>
        <w:tc>
          <w:tcPr>
            <w:tcW w:w="1620" w:type="dxa"/>
            <w:vAlign w:val="center"/>
          </w:tcPr>
          <w:p>
            <w:pPr>
              <w:widowControl/>
              <w:jc w:val="center"/>
              <w:rPr>
                <w:color w:val="auto"/>
                <w:kern w:val="0"/>
              </w:rPr>
            </w:pPr>
            <w:r>
              <w:rPr>
                <w:color w:val="auto"/>
                <w:kern w:val="0"/>
                <w:sz w:val="22"/>
              </w:rPr>
              <w:t>10</w:t>
            </w:r>
          </w:p>
        </w:tc>
        <w:tc>
          <w:tcPr>
            <w:tcW w:w="1471" w:type="dxa"/>
            <w:vAlign w:val="center"/>
          </w:tcPr>
          <w:p>
            <w:pPr>
              <w:widowControl/>
              <w:jc w:val="center"/>
              <w:rPr>
                <w:color w:val="auto"/>
                <w:kern w:val="0"/>
              </w:rPr>
            </w:pPr>
            <w:r>
              <w:rPr>
                <w:color w:val="auto"/>
                <w:kern w:val="0"/>
                <w:sz w:val="22"/>
              </w:rPr>
              <w:t>25</w:t>
            </w:r>
          </w:p>
        </w:tc>
        <w:tc>
          <w:tcPr>
            <w:tcW w:w="1523" w:type="dxa"/>
            <w:vAlign w:val="center"/>
          </w:tcPr>
          <w:p>
            <w:pPr>
              <w:widowControl/>
              <w:jc w:val="center"/>
              <w:rPr>
                <w:color w:val="auto"/>
                <w:kern w:val="0"/>
              </w:rPr>
            </w:pPr>
            <w:r>
              <w:rPr>
                <w:color w:val="auto"/>
                <w:kern w:val="0"/>
                <w:sz w:val="22"/>
              </w:rPr>
              <w:t>50</w:t>
            </w:r>
          </w:p>
        </w:tc>
      </w:tr>
    </w:tbl>
    <w:p>
      <w:pPr>
        <w:spacing w:line="360" w:lineRule="auto"/>
        <w:ind w:firstLine="480" w:firstLineChars="200"/>
        <w:rPr>
          <w:color w:val="auto"/>
        </w:rPr>
      </w:pPr>
      <w:r>
        <w:rPr>
          <w:color w:val="auto"/>
        </w:rPr>
        <w:t>从表</w:t>
      </w:r>
      <w:r>
        <w:rPr>
          <w:rFonts w:hint="eastAsia"/>
          <w:color w:val="auto"/>
        </w:rPr>
        <w:t>5.2-27</w:t>
      </w:r>
      <w:r>
        <w:rPr>
          <w:color w:val="auto"/>
        </w:rPr>
        <w:t>可知，破损面积和渗透量占</w:t>
      </w:r>
      <w:r>
        <w:rPr>
          <w:rFonts w:hint="eastAsia"/>
          <w:color w:val="auto"/>
        </w:rPr>
        <w:t>淋溶液</w:t>
      </w:r>
      <w:r>
        <w:rPr>
          <w:color w:val="auto"/>
        </w:rPr>
        <w:t>的百分比成同比例关系，防渗层破损面积越大，渗透量越大，其所占</w:t>
      </w:r>
      <w:r>
        <w:rPr>
          <w:rFonts w:hint="eastAsia"/>
          <w:color w:val="auto"/>
        </w:rPr>
        <w:t>淋溶液</w:t>
      </w:r>
      <w:r>
        <w:rPr>
          <w:color w:val="auto"/>
        </w:rPr>
        <w:t>的百分比越大。</w:t>
      </w:r>
      <w:r>
        <w:rPr>
          <w:rFonts w:hint="eastAsia"/>
          <w:color w:val="auto"/>
        </w:rPr>
        <w:t>淋溶液</w:t>
      </w:r>
      <w:r>
        <w:rPr>
          <w:color w:val="auto"/>
        </w:rPr>
        <w:t>在地下迁移是一个缓慢的过程，防渗层损坏后，</w:t>
      </w:r>
      <w:r>
        <w:rPr>
          <w:rFonts w:hint="eastAsia"/>
          <w:color w:val="auto"/>
        </w:rPr>
        <w:t>淋溶液</w:t>
      </w:r>
      <w:r>
        <w:rPr>
          <w:color w:val="auto"/>
        </w:rPr>
        <w:t>将浸入地下水。</w:t>
      </w:r>
      <w:r>
        <w:rPr>
          <w:rFonts w:hint="eastAsia"/>
          <w:color w:val="auto"/>
        </w:rPr>
        <w:t>淋溶液</w:t>
      </w:r>
      <w:r>
        <w:rPr>
          <w:color w:val="auto"/>
        </w:rPr>
        <w:t>中的污染物将随地下水流迁移，经过包气带中和含水层中将发生机械过滤、溶解和沉淀、氧化和还原、吸附和解吸、对流和弥散等一系列物理、化学和生物过程。</w:t>
      </w:r>
      <w:r>
        <w:rPr>
          <w:rFonts w:hint="eastAsia"/>
          <w:color w:val="auto"/>
        </w:rPr>
        <w:t>淋溶液</w:t>
      </w:r>
      <w:r>
        <w:rPr>
          <w:color w:val="auto"/>
        </w:rPr>
        <w:t>中重金属在土壤中的滞留因子较大，向下迁移的速度缓慢，在100年后才有可能到达地下2m深处，且浓度较低，基本不对下部饱和地下水构成污染威胁。</w:t>
      </w:r>
      <w:r>
        <w:rPr>
          <w:rFonts w:hint="eastAsia"/>
          <w:color w:val="auto"/>
        </w:rPr>
        <w:t>淋溶液</w:t>
      </w:r>
      <w:r>
        <w:rPr>
          <w:color w:val="auto"/>
        </w:rPr>
        <w:t>的pH值对土壤的影响也随深度而减小，到达地下2m处</w:t>
      </w:r>
      <w:r>
        <w:rPr>
          <w:rFonts w:hint="eastAsia"/>
          <w:color w:val="auto"/>
        </w:rPr>
        <w:t>淋溶液</w:t>
      </w:r>
      <w:r>
        <w:rPr>
          <w:color w:val="auto"/>
        </w:rPr>
        <w:t>的酸度已基本恢复中性。</w:t>
      </w:r>
    </w:p>
    <w:p>
      <w:pPr>
        <w:spacing w:line="360" w:lineRule="auto"/>
        <w:ind w:firstLine="480" w:firstLineChars="200"/>
        <w:rPr>
          <w:color w:val="auto"/>
        </w:rPr>
      </w:pPr>
      <w:r>
        <w:rPr>
          <w:color w:val="auto"/>
        </w:rPr>
        <w:t>防渗层破损是局部的，本项目底部采用水平防渗方案为</w:t>
      </w:r>
      <w:r>
        <w:rPr>
          <w:color w:val="auto"/>
          <w:kern w:val="0"/>
        </w:rPr>
        <w:t>高密度聚乙烯（HDPE）</w:t>
      </w:r>
      <w:r>
        <w:rPr>
          <w:color w:val="auto"/>
        </w:rPr>
        <w:t>，</w:t>
      </w:r>
      <w:r>
        <w:rPr>
          <w:rFonts w:hint="eastAsia"/>
          <w:color w:val="auto"/>
        </w:rPr>
        <w:t>淋溶液</w:t>
      </w:r>
      <w:r>
        <w:rPr>
          <w:color w:val="auto"/>
        </w:rPr>
        <w:t>泄漏量很小，大幅度降低了</w:t>
      </w:r>
      <w:r>
        <w:rPr>
          <w:rFonts w:hint="eastAsia"/>
          <w:color w:val="auto"/>
        </w:rPr>
        <w:t>淋溶液</w:t>
      </w:r>
      <w:r>
        <w:rPr>
          <w:color w:val="auto"/>
        </w:rPr>
        <w:t>下渗量。</w:t>
      </w:r>
      <w:r>
        <w:rPr>
          <w:rFonts w:hint="eastAsia"/>
          <w:color w:val="auto"/>
        </w:rPr>
        <w:t>淋溶液</w:t>
      </w:r>
      <w:r>
        <w:rPr>
          <w:color w:val="auto"/>
        </w:rPr>
        <w:t>下渗对地下水风险总体较小，风险程度可以接受。</w:t>
      </w:r>
    </w:p>
    <w:p>
      <w:pPr>
        <w:spacing w:line="360" w:lineRule="auto"/>
        <w:rPr>
          <w:color w:val="auto"/>
        </w:rPr>
      </w:pPr>
      <w:r>
        <w:rPr>
          <w:rFonts w:hint="eastAsia"/>
          <w:color w:val="auto"/>
        </w:rPr>
        <w:t>四、运输过程的环境风险分析</w:t>
      </w:r>
    </w:p>
    <w:p>
      <w:pPr>
        <w:spacing w:line="360" w:lineRule="auto"/>
        <w:ind w:firstLine="480" w:firstLineChars="200"/>
        <w:rPr>
          <w:color w:val="auto"/>
        </w:rPr>
      </w:pPr>
      <w:r>
        <w:rPr>
          <w:rFonts w:hint="eastAsia"/>
          <w:color w:val="auto"/>
        </w:rPr>
        <w:t xml:space="preserve">餐厨垃圾收集后运输过程中，一旦发生交通事故致使餐厨垃圾和餐厨废水泄漏，将会对附近的水体及土壤造成不利的影响。该风险事故是较容易控制的，只要输送环节做到科学管理和操作，风险事故发生的概率可以降低到最小程度。具体防范措施如下： </w:t>
      </w:r>
    </w:p>
    <w:p>
      <w:pPr>
        <w:spacing w:line="360" w:lineRule="auto"/>
        <w:ind w:firstLine="480" w:firstLineChars="200"/>
        <w:rPr>
          <w:color w:val="auto"/>
        </w:rPr>
      </w:pPr>
      <w:r>
        <w:rPr>
          <w:rFonts w:hint="eastAsia"/>
          <w:color w:val="auto"/>
        </w:rPr>
        <w:t xml:space="preserve">（1）运输单位要加强车辆、人员日常管理。定期对运输车辆进行检修，确保车辆上路前正常行驶；对驾驶人员进行经常性的安全宣传和教育，增强风险意识。 </w:t>
      </w:r>
    </w:p>
    <w:p>
      <w:pPr>
        <w:spacing w:line="360" w:lineRule="auto"/>
        <w:ind w:firstLine="480" w:firstLineChars="200"/>
        <w:rPr>
          <w:color w:val="auto"/>
        </w:rPr>
      </w:pPr>
      <w:r>
        <w:rPr>
          <w:rFonts w:hint="eastAsia"/>
          <w:color w:val="auto"/>
        </w:rPr>
        <w:t xml:space="preserve">（2）垃圾的运输应尽量避开人流高峰期，运输路线绕避人口密集区。 </w:t>
      </w:r>
    </w:p>
    <w:p>
      <w:pPr>
        <w:spacing w:line="360" w:lineRule="auto"/>
        <w:ind w:firstLine="480" w:firstLineChars="200"/>
        <w:rPr>
          <w:color w:val="auto"/>
        </w:rPr>
      </w:pPr>
      <w:r>
        <w:rPr>
          <w:rFonts w:hint="eastAsia"/>
          <w:color w:val="auto"/>
        </w:rPr>
        <w:t>（3）制定垃圾接收检验制度，接收人员严格执行不接收禁止的危险废物等。</w:t>
      </w:r>
    </w:p>
    <w:p>
      <w:pPr>
        <w:spacing w:line="360" w:lineRule="auto"/>
        <w:ind w:firstLine="480" w:firstLineChars="200"/>
        <w:rPr>
          <w:color w:val="auto"/>
        </w:rPr>
      </w:pPr>
      <w:r>
        <w:rPr>
          <w:rFonts w:hint="eastAsia"/>
          <w:color w:val="auto"/>
        </w:rPr>
        <w:t>（4）采用带有垃圾渗出水储槽的垃圾密封运输车装运垃圾，对在用车加强维修</w:t>
      </w:r>
    </w:p>
    <w:p>
      <w:pPr>
        <w:spacing w:line="360" w:lineRule="auto"/>
        <w:rPr>
          <w:color w:val="auto"/>
        </w:rPr>
      </w:pPr>
      <w:r>
        <w:rPr>
          <w:rFonts w:hint="eastAsia"/>
          <w:color w:val="auto"/>
        </w:rPr>
        <w:t xml:space="preserve">保养，并及时更新垃圾运输车辆，确保垃圾运输车的密封性能良好。 </w:t>
      </w:r>
    </w:p>
    <w:p>
      <w:pPr>
        <w:spacing w:line="360" w:lineRule="auto"/>
        <w:ind w:firstLine="480" w:firstLineChars="200"/>
        <w:rPr>
          <w:color w:val="auto"/>
        </w:rPr>
      </w:pPr>
      <w:r>
        <w:rPr>
          <w:rFonts w:hint="eastAsia"/>
          <w:color w:val="auto"/>
        </w:rPr>
        <w:t>（5）定期清洗垃圾运输车，发生意外、交通事故，及时配合环卫部门做好道路及其两侧的清洁工作。</w:t>
      </w:r>
    </w:p>
    <w:p>
      <w:pPr>
        <w:spacing w:line="360" w:lineRule="auto"/>
        <w:ind w:firstLine="480" w:firstLineChars="200"/>
        <w:rPr>
          <w:color w:val="auto"/>
        </w:rPr>
      </w:pPr>
      <w:r>
        <w:rPr>
          <w:rFonts w:hint="eastAsia"/>
          <w:color w:val="auto"/>
        </w:rPr>
        <w:t>（6）一旦发生事故，出现餐厨垃圾泄露至运输路线附近水体（特别是宁江）时，需立即启动应急预案，与当地生态环境局、监测站做好联防联控措施，加强对污染水体的监测，确保污染风险最小化。</w:t>
      </w:r>
    </w:p>
    <w:p>
      <w:pPr>
        <w:autoSpaceDE w:val="0"/>
        <w:autoSpaceDN w:val="0"/>
        <w:adjustRightInd w:val="0"/>
        <w:spacing w:line="360" w:lineRule="auto"/>
        <w:rPr>
          <w:color w:val="auto"/>
          <w:kern w:val="0"/>
        </w:rPr>
      </w:pPr>
      <w:r>
        <w:rPr>
          <w:rFonts w:hint="eastAsia"/>
          <w:color w:val="auto"/>
          <w:kern w:val="0"/>
        </w:rPr>
        <w:t>五</w:t>
      </w:r>
      <w:r>
        <w:rPr>
          <w:color w:val="auto"/>
          <w:kern w:val="0"/>
        </w:rPr>
        <w:t>、</w:t>
      </w:r>
      <w:r>
        <w:rPr>
          <w:rFonts w:hint="eastAsia"/>
          <w:color w:val="auto"/>
          <w:kern w:val="0"/>
        </w:rPr>
        <w:t>地质灾害及拦渣坝溃坝风险分析</w:t>
      </w:r>
    </w:p>
    <w:p>
      <w:pPr>
        <w:autoSpaceDE w:val="0"/>
        <w:autoSpaceDN w:val="0"/>
        <w:adjustRightInd w:val="0"/>
        <w:spacing w:line="360" w:lineRule="auto"/>
        <w:ind w:firstLine="480"/>
        <w:rPr>
          <w:rFonts w:hint="eastAsia" w:ascii="宋体" w:cs="宋体"/>
          <w:color w:val="auto"/>
          <w:kern w:val="0"/>
        </w:rPr>
      </w:pPr>
      <w:r>
        <w:rPr>
          <w:rFonts w:hint="eastAsia" w:ascii="宋体" w:cs="宋体"/>
          <w:color w:val="auto"/>
          <w:kern w:val="0"/>
        </w:rPr>
        <w:t>根据区域及有关资料，项目拟建地地址状况稳定，岩性较为均匀，具有良好的地载力；</w:t>
      </w:r>
      <w:r>
        <w:rPr>
          <w:rFonts w:hint="eastAsia" w:ascii="宋体" w:cs="宋体"/>
          <w:color w:val="auto"/>
          <w:kern w:val="0"/>
          <w:lang w:eastAsia="zh-CN"/>
        </w:rPr>
        <w:t>根据</w:t>
      </w:r>
      <w:r>
        <w:rPr>
          <w:rFonts w:hint="eastAsia" w:ascii="宋体" w:cs="宋体"/>
          <w:color w:val="auto"/>
          <w:kern w:val="0"/>
        </w:rPr>
        <w:t>场地内无湿陷性土层及大量抽取地下水的项目，故本场地不具备产生崩塌、滑坡、泥石流、地面湿陷及地面沉降等地质灾害的地质条件。</w:t>
      </w:r>
    </w:p>
    <w:p>
      <w:pPr>
        <w:autoSpaceDE w:val="0"/>
        <w:autoSpaceDN w:val="0"/>
        <w:adjustRightInd w:val="0"/>
        <w:spacing w:line="360" w:lineRule="auto"/>
        <w:ind w:firstLine="480"/>
        <w:rPr>
          <w:rFonts w:hint="eastAsia" w:ascii="宋体" w:cs="宋体"/>
          <w:color w:val="auto"/>
          <w:kern w:val="0"/>
        </w:rPr>
      </w:pPr>
      <w:r>
        <w:rPr>
          <w:rFonts w:hint="eastAsia" w:ascii="宋体" w:cs="宋体"/>
          <w:color w:val="auto"/>
          <w:kern w:val="0"/>
          <w:lang w:eastAsia="zh-CN"/>
        </w:rPr>
        <w:t>根据汕头市潮汕水电勘察有限公司提供的《兴宁市静脉产业园项目（一期工程）详勘工程岩 土 工 程 勘 察 报 告（详细勘察阶段）》可知，</w:t>
      </w:r>
      <w:r>
        <w:rPr>
          <w:rFonts w:hint="eastAsia" w:ascii="宋体" w:cs="宋体"/>
          <w:color w:val="auto"/>
          <w:kern w:val="0"/>
        </w:rPr>
        <w:t>本拟建场地属低山坡地、山谷～丘陵地貌单元，场地范围内未发现地陷、泥石流、深大活动断裂、空洞、岩溶、揭露基岩内无洞穴、临空面等地质灾害现象，场地内钻孔揭露基岩风化较均匀，揭露岩体呈较完整-完整。</w:t>
      </w:r>
    </w:p>
    <w:p>
      <w:pPr>
        <w:autoSpaceDE w:val="0"/>
        <w:autoSpaceDN w:val="0"/>
        <w:adjustRightInd w:val="0"/>
        <w:spacing w:line="360" w:lineRule="auto"/>
        <w:ind w:firstLine="480"/>
        <w:rPr>
          <w:color w:val="auto"/>
          <w:kern w:val="0"/>
        </w:rPr>
      </w:pPr>
      <w:r>
        <w:rPr>
          <w:color w:val="auto"/>
          <w:kern w:val="0"/>
        </w:rPr>
        <w:t>填埋场进场填埋后，虽然采取铺匀后用压实机进行压实，然后逐层向上的填埋作业方式，但由于</w:t>
      </w:r>
      <w:r>
        <w:rPr>
          <w:rFonts w:hint="eastAsia"/>
          <w:color w:val="auto"/>
          <w:kern w:val="0"/>
        </w:rPr>
        <w:t>建筑垃圾</w:t>
      </w:r>
      <w:r>
        <w:rPr>
          <w:color w:val="auto"/>
          <w:kern w:val="0"/>
        </w:rPr>
        <w:t>堆总体高度较大，因而由此带来的堆场不稳定风险是必须予以重视的。</w:t>
      </w:r>
    </w:p>
    <w:p>
      <w:pPr>
        <w:autoSpaceDE w:val="0"/>
        <w:autoSpaceDN w:val="0"/>
        <w:adjustRightInd w:val="0"/>
        <w:spacing w:line="360" w:lineRule="auto"/>
        <w:ind w:firstLine="480"/>
        <w:rPr>
          <w:color w:val="auto"/>
          <w:kern w:val="0"/>
        </w:rPr>
      </w:pPr>
      <w:r>
        <w:rPr>
          <w:rFonts w:hint="eastAsia"/>
          <w:color w:val="auto"/>
          <w:kern w:val="0"/>
        </w:rPr>
        <w:t>关于填埋作业的运行管理，技术规范给出了相应的要求。例如，根据《生活垃圾填埋处理技术规范》（G</w:t>
      </w:r>
      <w:r>
        <w:rPr>
          <w:color w:val="auto"/>
          <w:kern w:val="0"/>
        </w:rPr>
        <w:t>B 50869-2013</w:t>
      </w:r>
      <w:r>
        <w:rPr>
          <w:rFonts w:hint="eastAsia"/>
          <w:color w:val="auto"/>
          <w:kern w:val="0"/>
        </w:rPr>
        <w:t>），垃圾进场填埋后，每层垃圾摊铺厚度应根据填埋作业设备的压实性能/压实次数及垃圾的可压缩性确定，厚度不宜超过60</w:t>
      </w:r>
      <w:r>
        <w:rPr>
          <w:color w:val="auto"/>
          <w:kern w:val="0"/>
        </w:rPr>
        <w:t>cm</w:t>
      </w:r>
      <w:r>
        <w:rPr>
          <w:rFonts w:hint="eastAsia"/>
          <w:color w:val="auto"/>
          <w:kern w:val="0"/>
        </w:rPr>
        <w:t>，且宜从作业单元的边坡底部到顶部摊铺，垃圾压实密度应大与600</w:t>
      </w:r>
      <w:r>
        <w:rPr>
          <w:color w:val="auto"/>
          <w:kern w:val="0"/>
        </w:rPr>
        <w:t>kg/m</w:t>
      </w:r>
      <w:r>
        <w:rPr>
          <w:color w:val="auto"/>
          <w:kern w:val="0"/>
          <w:vertAlign w:val="superscript"/>
        </w:rPr>
        <w:t>3</w:t>
      </w:r>
      <w:r>
        <w:rPr>
          <w:rFonts w:hint="eastAsia"/>
          <w:color w:val="auto"/>
          <w:kern w:val="0"/>
        </w:rPr>
        <w:t>。每一单元的垃圾高度宜为2-4</w:t>
      </w:r>
      <w:r>
        <w:rPr>
          <w:color w:val="auto"/>
          <w:kern w:val="0"/>
        </w:rPr>
        <w:t>m</w:t>
      </w:r>
      <w:r>
        <w:rPr>
          <w:rFonts w:hint="eastAsia"/>
          <w:color w:val="auto"/>
          <w:kern w:val="0"/>
        </w:rPr>
        <w:t>。单元作业宽度按填埋作业设备的宽度及高峰期同时进行作业的车辆数确定，最小作业宽度不宜小于6</w:t>
      </w:r>
      <w:r>
        <w:rPr>
          <w:color w:val="auto"/>
          <w:kern w:val="0"/>
        </w:rPr>
        <w:t>m</w:t>
      </w:r>
      <w:r>
        <w:rPr>
          <w:rFonts w:hint="eastAsia"/>
          <w:color w:val="auto"/>
          <w:kern w:val="0"/>
        </w:rPr>
        <w:t>，单元的坡度不宜大于1：3。根据《城市生活垃圾卫生填埋运行维护技术规程》（C</w:t>
      </w:r>
      <w:r>
        <w:rPr>
          <w:color w:val="auto"/>
          <w:kern w:val="0"/>
        </w:rPr>
        <w:t>JJ93-2003</w:t>
      </w:r>
      <w:r>
        <w:rPr>
          <w:rFonts w:hint="eastAsia"/>
          <w:color w:val="auto"/>
          <w:kern w:val="0"/>
        </w:rPr>
        <w:t>），应实行分区域单元逐层填埋作业，操作人员应及时摊铺垃圾，每层垃圾摊铺厚度应控制在1</w:t>
      </w:r>
      <w:r>
        <w:rPr>
          <w:color w:val="auto"/>
          <w:kern w:val="0"/>
        </w:rPr>
        <w:t>m</w:t>
      </w:r>
      <w:r>
        <w:rPr>
          <w:rFonts w:hint="eastAsia"/>
          <w:color w:val="auto"/>
          <w:kern w:val="0"/>
        </w:rPr>
        <w:t>内，单元厚度宜为2</w:t>
      </w:r>
      <w:r>
        <w:rPr>
          <w:color w:val="auto"/>
          <w:kern w:val="0"/>
        </w:rPr>
        <w:t>-3m</w:t>
      </w:r>
      <w:r>
        <w:rPr>
          <w:rFonts w:hint="eastAsia"/>
          <w:color w:val="auto"/>
          <w:kern w:val="0"/>
        </w:rPr>
        <w:t>，雨季等季节应备应急作业单元。严格按规范操作，垃圾堆体产生大范围滑动的风险较小。</w:t>
      </w:r>
    </w:p>
    <w:p>
      <w:pPr>
        <w:autoSpaceDE w:val="0"/>
        <w:autoSpaceDN w:val="0"/>
        <w:adjustRightInd w:val="0"/>
        <w:spacing w:line="360" w:lineRule="auto"/>
        <w:ind w:firstLine="480" w:firstLineChars="200"/>
        <w:rPr>
          <w:rFonts w:hint="eastAsia"/>
          <w:color w:val="auto"/>
          <w:kern w:val="0"/>
        </w:rPr>
      </w:pPr>
      <w:r>
        <w:rPr>
          <w:rFonts w:hint="eastAsia"/>
          <w:color w:val="auto"/>
          <w:kern w:val="0"/>
        </w:rPr>
        <w:t>环评要求，消纳场应严格按相应技术规范和技术规程进行运营与管理。在严格执行运营管理、填埋作业技术规程，做好垃圾体内排水工作和保证堆填工艺质量的情况下，垃圾堆体产生滑坡地质灾害的风险机率较小。</w:t>
      </w:r>
    </w:p>
    <w:p>
      <w:pPr>
        <w:autoSpaceDE w:val="0"/>
        <w:autoSpaceDN w:val="0"/>
        <w:adjustRightInd w:val="0"/>
        <w:spacing w:line="360" w:lineRule="auto"/>
        <w:rPr>
          <w:color w:val="auto"/>
          <w:kern w:val="0"/>
        </w:rPr>
      </w:pPr>
      <w:r>
        <w:rPr>
          <w:rFonts w:hint="eastAsia" w:ascii="宋体" w:cs="宋体"/>
          <w:color w:val="auto"/>
          <w:kern w:val="0"/>
          <w:lang w:val="en-US" w:eastAsia="zh-CN"/>
        </w:rPr>
        <w:t xml:space="preserve">   </w:t>
      </w:r>
      <w:r>
        <w:rPr>
          <w:rFonts w:hint="eastAsia"/>
          <w:color w:val="auto"/>
          <w:kern w:val="0"/>
        </w:rPr>
        <w:t>考虑到垃圾溃坝风险，环评提出以下防范要求和建议：</w:t>
      </w:r>
    </w:p>
    <w:p>
      <w:pPr>
        <w:autoSpaceDE w:val="0"/>
        <w:autoSpaceDN w:val="0"/>
        <w:adjustRightInd w:val="0"/>
        <w:spacing w:line="360" w:lineRule="auto"/>
        <w:ind w:firstLine="480"/>
        <w:rPr>
          <w:color w:val="auto"/>
          <w:kern w:val="0"/>
        </w:rPr>
      </w:pPr>
      <w:r>
        <w:rPr>
          <w:color w:val="auto"/>
          <w:kern w:val="0"/>
        </w:rPr>
        <w:fldChar w:fldCharType="begin"/>
      </w:r>
      <w:r>
        <w:rPr>
          <w:color w:val="auto"/>
          <w:kern w:val="0"/>
        </w:rPr>
        <w:instrText xml:space="preserve"> </w:instrText>
      </w:r>
      <w:r>
        <w:rPr>
          <w:rFonts w:hint="eastAsia"/>
          <w:color w:val="auto"/>
          <w:kern w:val="0"/>
        </w:rPr>
        <w:instrText xml:space="preserve">= 1 \* GB3</w:instrText>
      </w:r>
      <w:r>
        <w:rPr>
          <w:color w:val="auto"/>
          <w:kern w:val="0"/>
        </w:rPr>
        <w:instrText xml:space="preserve"> </w:instrText>
      </w:r>
      <w:r>
        <w:rPr>
          <w:color w:val="auto"/>
          <w:kern w:val="0"/>
        </w:rPr>
        <w:fldChar w:fldCharType="separate"/>
      </w:r>
      <w:r>
        <w:rPr>
          <w:rFonts w:hint="eastAsia"/>
          <w:color w:val="auto"/>
          <w:kern w:val="0"/>
        </w:rPr>
        <w:t>①</w:t>
      </w:r>
      <w:r>
        <w:rPr>
          <w:color w:val="auto"/>
          <w:kern w:val="0"/>
        </w:rPr>
        <w:fldChar w:fldCharType="end"/>
      </w:r>
      <w:r>
        <w:rPr>
          <w:rFonts w:hint="eastAsia"/>
          <w:color w:val="auto"/>
          <w:kern w:val="0"/>
        </w:rPr>
        <w:t>应结合场址工程地质条件，强化坝体维护、管理与检查，发现问题及时处理，确保垃圾坝工程质量，防患于未然；</w:t>
      </w:r>
    </w:p>
    <w:p>
      <w:pPr>
        <w:autoSpaceDE w:val="0"/>
        <w:autoSpaceDN w:val="0"/>
        <w:adjustRightInd w:val="0"/>
        <w:spacing w:line="360" w:lineRule="auto"/>
        <w:ind w:firstLine="480"/>
        <w:rPr>
          <w:color w:val="auto"/>
          <w:kern w:val="0"/>
        </w:rPr>
      </w:pPr>
      <w:r>
        <w:rPr>
          <w:color w:val="auto"/>
          <w:kern w:val="0"/>
        </w:rPr>
        <w:fldChar w:fldCharType="begin"/>
      </w:r>
      <w:r>
        <w:rPr>
          <w:color w:val="auto"/>
          <w:kern w:val="0"/>
        </w:rPr>
        <w:instrText xml:space="preserve"> </w:instrText>
      </w:r>
      <w:r>
        <w:rPr>
          <w:rFonts w:hint="eastAsia"/>
          <w:color w:val="auto"/>
          <w:kern w:val="0"/>
        </w:rPr>
        <w:instrText xml:space="preserve">= 2 \* GB3</w:instrText>
      </w:r>
      <w:r>
        <w:rPr>
          <w:color w:val="auto"/>
          <w:kern w:val="0"/>
        </w:rPr>
        <w:instrText xml:space="preserve"> </w:instrText>
      </w:r>
      <w:r>
        <w:rPr>
          <w:color w:val="auto"/>
          <w:kern w:val="0"/>
        </w:rPr>
        <w:fldChar w:fldCharType="separate"/>
      </w:r>
      <w:r>
        <w:rPr>
          <w:rFonts w:hint="eastAsia"/>
          <w:color w:val="auto"/>
          <w:kern w:val="0"/>
        </w:rPr>
        <w:t>②</w:t>
      </w:r>
      <w:r>
        <w:rPr>
          <w:color w:val="auto"/>
          <w:kern w:val="0"/>
        </w:rPr>
        <w:fldChar w:fldCharType="end"/>
      </w:r>
      <w:r>
        <w:rPr>
          <w:rFonts w:hint="eastAsia"/>
          <w:color w:val="auto"/>
          <w:kern w:val="0"/>
        </w:rPr>
        <w:t>汛期应增加巡视人员对坝体及其边坡检查频率，发现问题及时采取措施；</w:t>
      </w:r>
    </w:p>
    <w:p>
      <w:pPr>
        <w:autoSpaceDE w:val="0"/>
        <w:autoSpaceDN w:val="0"/>
        <w:adjustRightInd w:val="0"/>
        <w:spacing w:line="360" w:lineRule="auto"/>
        <w:ind w:firstLine="480"/>
        <w:rPr>
          <w:rFonts w:hint="eastAsia"/>
          <w:color w:val="auto"/>
          <w:kern w:val="0"/>
          <w:lang w:eastAsia="zh-CN"/>
        </w:rPr>
      </w:pPr>
      <w:r>
        <w:rPr>
          <w:color w:val="auto"/>
          <w:kern w:val="0"/>
        </w:rPr>
        <w:fldChar w:fldCharType="begin"/>
      </w:r>
      <w:r>
        <w:rPr>
          <w:color w:val="auto"/>
          <w:kern w:val="0"/>
        </w:rPr>
        <w:instrText xml:space="preserve"> </w:instrText>
      </w:r>
      <w:r>
        <w:rPr>
          <w:rFonts w:hint="eastAsia"/>
          <w:color w:val="auto"/>
          <w:kern w:val="0"/>
        </w:rPr>
        <w:instrText xml:space="preserve">= 3 \* GB3</w:instrText>
      </w:r>
      <w:r>
        <w:rPr>
          <w:color w:val="auto"/>
          <w:kern w:val="0"/>
        </w:rPr>
        <w:instrText xml:space="preserve"> </w:instrText>
      </w:r>
      <w:r>
        <w:rPr>
          <w:color w:val="auto"/>
          <w:kern w:val="0"/>
        </w:rPr>
        <w:fldChar w:fldCharType="separate"/>
      </w:r>
      <w:r>
        <w:rPr>
          <w:rFonts w:hint="eastAsia"/>
          <w:color w:val="auto"/>
          <w:kern w:val="0"/>
        </w:rPr>
        <w:t>③</w:t>
      </w:r>
      <w:r>
        <w:rPr>
          <w:color w:val="auto"/>
          <w:kern w:val="0"/>
        </w:rPr>
        <w:fldChar w:fldCharType="end"/>
      </w:r>
      <w:r>
        <w:rPr>
          <w:rFonts w:hint="eastAsia"/>
          <w:color w:val="auto"/>
          <w:kern w:val="0"/>
        </w:rPr>
        <w:t>工程设计阶段，</w:t>
      </w:r>
      <w:r>
        <w:rPr>
          <w:rFonts w:hint="eastAsia"/>
          <w:color w:val="auto"/>
          <w:kern w:val="0"/>
          <w:lang w:eastAsia="zh-CN"/>
        </w:rPr>
        <w:t>建设单位给与高度重视，对消纳场从选址设计、施工、工程验收到运营应层层把关，并派专人负责管理，在固废堆放过程中配备管理人员，随时观察、监测，发现各种可能发生或正在发生的危害，及时进行处理，确保排土工作安全可靠，避免事故发生、扩大。</w:t>
      </w:r>
    </w:p>
    <w:p>
      <w:pPr>
        <w:autoSpaceDE w:val="0"/>
        <w:autoSpaceDN w:val="0"/>
        <w:adjustRightInd w:val="0"/>
        <w:spacing w:line="360" w:lineRule="auto"/>
        <w:ind w:firstLine="480"/>
        <w:rPr>
          <w:color w:val="auto"/>
          <w:kern w:val="0"/>
        </w:rPr>
      </w:pPr>
      <w:r>
        <w:rPr>
          <w:color w:val="auto"/>
          <w:kern w:val="0"/>
        </w:rPr>
        <w:fldChar w:fldCharType="begin"/>
      </w:r>
      <w:r>
        <w:rPr>
          <w:color w:val="auto"/>
          <w:kern w:val="0"/>
        </w:rPr>
        <w:instrText xml:space="preserve"> </w:instrText>
      </w:r>
      <w:r>
        <w:rPr>
          <w:rFonts w:hint="eastAsia"/>
          <w:color w:val="auto"/>
          <w:kern w:val="0"/>
        </w:rPr>
        <w:instrText xml:space="preserve">= 4 \* GB3</w:instrText>
      </w:r>
      <w:r>
        <w:rPr>
          <w:color w:val="auto"/>
          <w:kern w:val="0"/>
        </w:rPr>
        <w:instrText xml:space="preserve"> </w:instrText>
      </w:r>
      <w:r>
        <w:rPr>
          <w:color w:val="auto"/>
          <w:kern w:val="0"/>
        </w:rPr>
        <w:fldChar w:fldCharType="separate"/>
      </w:r>
      <w:r>
        <w:rPr>
          <w:rFonts w:hint="eastAsia"/>
          <w:color w:val="auto"/>
          <w:kern w:val="0"/>
        </w:rPr>
        <w:t>④</w:t>
      </w:r>
      <w:r>
        <w:rPr>
          <w:color w:val="auto"/>
          <w:kern w:val="0"/>
        </w:rPr>
        <w:fldChar w:fldCharType="end"/>
      </w:r>
      <w:r>
        <w:rPr>
          <w:rFonts w:hint="eastAsia"/>
          <w:color w:val="auto"/>
          <w:kern w:val="0"/>
          <w:lang w:eastAsia="zh-CN"/>
        </w:rPr>
        <w:t>工程设计</w:t>
      </w:r>
      <w:r>
        <w:rPr>
          <w:rFonts w:hint="eastAsia"/>
          <w:color w:val="auto"/>
          <w:kern w:val="0"/>
        </w:rPr>
        <w:t>应结合消纳场工程地质条件，充分考虑边坡稳定性、坝体抗滑动和抗倾覆稳定性等因素，并委托具有相应资质单位开展垃圾坝安全评价，确保工程质量。</w:t>
      </w:r>
    </w:p>
    <w:p>
      <w:pPr>
        <w:autoSpaceDE w:val="0"/>
        <w:autoSpaceDN w:val="0"/>
        <w:adjustRightInd w:val="0"/>
        <w:spacing w:line="360" w:lineRule="auto"/>
        <w:ind w:firstLine="480"/>
        <w:rPr>
          <w:rFonts w:hint="eastAsia"/>
          <w:color w:val="auto"/>
          <w:kern w:val="0"/>
        </w:rPr>
      </w:pPr>
      <w:r>
        <w:rPr>
          <w:color w:val="auto"/>
          <w:kern w:val="0"/>
        </w:rPr>
        <w:fldChar w:fldCharType="begin"/>
      </w:r>
      <w:r>
        <w:rPr>
          <w:color w:val="auto"/>
          <w:kern w:val="0"/>
        </w:rPr>
        <w:instrText xml:space="preserve"> = 5 \* GB3 \* MERGEFORMAT </w:instrText>
      </w:r>
      <w:r>
        <w:rPr>
          <w:color w:val="auto"/>
          <w:kern w:val="0"/>
        </w:rPr>
        <w:fldChar w:fldCharType="separate"/>
      </w:r>
      <w:r>
        <w:rPr>
          <w:color w:val="auto"/>
        </w:rPr>
        <w:t>⑤</w:t>
      </w:r>
      <w:r>
        <w:rPr>
          <w:color w:val="auto"/>
          <w:kern w:val="0"/>
        </w:rPr>
        <w:fldChar w:fldCharType="end"/>
      </w:r>
      <w:r>
        <w:rPr>
          <w:rFonts w:hint="eastAsia"/>
          <w:color w:val="auto"/>
          <w:kern w:val="0"/>
        </w:rPr>
        <w:t>执行垃圾坝溃坝风险应急预案。</w:t>
      </w:r>
    </w:p>
    <w:p>
      <w:pPr>
        <w:autoSpaceDE w:val="0"/>
        <w:autoSpaceDN w:val="0"/>
        <w:adjustRightInd w:val="0"/>
        <w:spacing w:line="360" w:lineRule="auto"/>
        <w:ind w:firstLine="480"/>
        <w:rPr>
          <w:rFonts w:hint="eastAsia" w:eastAsia="宋体"/>
          <w:color w:val="auto"/>
          <w:kern w:val="0"/>
          <w:lang w:eastAsia="zh-CN"/>
        </w:rPr>
      </w:pPr>
      <w:r>
        <w:rPr>
          <w:rFonts w:hint="eastAsia"/>
          <w:color w:val="auto"/>
          <w:kern w:val="0"/>
          <w:lang w:eastAsia="zh-CN"/>
        </w:rPr>
        <w:fldChar w:fldCharType="begin"/>
      </w:r>
      <w:r>
        <w:rPr>
          <w:rFonts w:hint="eastAsia"/>
          <w:color w:val="auto"/>
          <w:kern w:val="0"/>
          <w:lang w:eastAsia="zh-CN"/>
        </w:rPr>
        <w:instrText xml:space="preserve"> = 6 \* GB3 \* MERGEFORMAT </w:instrText>
      </w:r>
      <w:r>
        <w:rPr>
          <w:rFonts w:hint="eastAsia"/>
          <w:color w:val="auto"/>
          <w:kern w:val="0"/>
          <w:lang w:eastAsia="zh-CN"/>
        </w:rPr>
        <w:fldChar w:fldCharType="separate"/>
      </w:r>
      <w:r>
        <w:rPr>
          <w:color w:val="auto"/>
        </w:rPr>
        <w:t>⑥</w:t>
      </w:r>
      <w:r>
        <w:rPr>
          <w:rFonts w:hint="eastAsia"/>
          <w:color w:val="auto"/>
          <w:kern w:val="0"/>
          <w:lang w:eastAsia="zh-CN"/>
        </w:rPr>
        <w:fldChar w:fldCharType="end"/>
      </w:r>
      <w:r>
        <w:rPr>
          <w:rFonts w:hint="eastAsia"/>
          <w:color w:val="auto"/>
          <w:kern w:val="0"/>
          <w:lang w:eastAsia="zh-CN"/>
        </w:rPr>
        <w:t>当区域出现超过百年一遇的强降雨时，则有可能出现坍塌，发生滑坡或泥石流，此时建设单位应全力以赴，组织有关人员在最短时间内进行填埋场修复、加固；滑坡后应及时组织人员对溃流土岩进行堵截，最大限度减少对外环境可能造成的影响，同时妥善解决有关事故的其他问题。</w:t>
      </w:r>
    </w:p>
    <w:p>
      <w:pPr>
        <w:autoSpaceDE w:val="0"/>
        <w:autoSpaceDN w:val="0"/>
        <w:adjustRightInd w:val="0"/>
        <w:spacing w:line="360" w:lineRule="auto"/>
        <w:rPr>
          <w:color w:val="auto"/>
          <w:kern w:val="0"/>
        </w:rPr>
      </w:pPr>
      <w:r>
        <w:rPr>
          <w:rFonts w:hint="eastAsia"/>
          <w:color w:val="auto"/>
          <w:kern w:val="0"/>
        </w:rPr>
        <w:t>六</w:t>
      </w:r>
      <w:r>
        <w:rPr>
          <w:color w:val="auto"/>
          <w:kern w:val="0"/>
        </w:rPr>
        <w:t>、</w:t>
      </w:r>
      <w:r>
        <w:rPr>
          <w:rFonts w:hint="eastAsia"/>
          <w:color w:val="auto"/>
          <w:kern w:val="0"/>
        </w:rPr>
        <w:t>淋溶液</w:t>
      </w:r>
      <w:r>
        <w:rPr>
          <w:color w:val="auto"/>
          <w:kern w:val="0"/>
        </w:rPr>
        <w:t>收集系统防堵措施</w:t>
      </w:r>
    </w:p>
    <w:p>
      <w:pPr>
        <w:autoSpaceDE w:val="0"/>
        <w:autoSpaceDN w:val="0"/>
        <w:adjustRightInd w:val="0"/>
        <w:spacing w:line="360" w:lineRule="auto"/>
        <w:rPr>
          <w:color w:val="auto"/>
          <w:kern w:val="0"/>
        </w:rPr>
      </w:pPr>
      <w:r>
        <w:rPr>
          <w:color w:val="auto"/>
          <w:kern w:val="0"/>
        </w:rPr>
        <w:t xml:space="preserve">   </w:t>
      </w:r>
      <w:r>
        <w:rPr>
          <w:rFonts w:hint="eastAsia"/>
          <w:color w:val="auto"/>
          <w:kern w:val="0"/>
        </w:rPr>
        <w:t>淋溶液</w:t>
      </w:r>
      <w:r>
        <w:rPr>
          <w:color w:val="auto"/>
          <w:kern w:val="0"/>
        </w:rPr>
        <w:t>收集系统由导流层、主副盲沟和导排井构成。盲沟内先铺一层细砂作为垫层，垫层厚度100mm，其上铺设DN300穿孔HDPE管，沟内用25-60mm的级配碎石填充，在HDPE穿孔管周围卵石铺设原则为大粒径在贴近管壁处，小粒径在外填充，形成反滤结构形式，以防淤堵。</w:t>
      </w:r>
    </w:p>
    <w:p>
      <w:pPr>
        <w:autoSpaceDE w:val="0"/>
        <w:autoSpaceDN w:val="0"/>
        <w:adjustRightInd w:val="0"/>
        <w:spacing w:line="360" w:lineRule="auto"/>
        <w:rPr>
          <w:color w:val="auto"/>
        </w:rPr>
      </w:pPr>
      <w:r>
        <w:rPr>
          <w:rFonts w:hint="eastAsia"/>
          <w:color w:val="auto"/>
        </w:rPr>
        <w:t>七</w:t>
      </w:r>
      <w:r>
        <w:rPr>
          <w:color w:val="auto"/>
        </w:rPr>
        <w:t>、洪水引发未处理污水溢流防范措施</w:t>
      </w:r>
    </w:p>
    <w:p>
      <w:pPr>
        <w:spacing w:line="360" w:lineRule="auto"/>
        <w:ind w:firstLine="360" w:firstLineChars="150"/>
        <w:rPr>
          <w:rFonts w:hint="eastAsia"/>
          <w:color w:val="auto"/>
        </w:rPr>
      </w:pPr>
      <w:r>
        <w:rPr>
          <w:color w:val="auto"/>
        </w:rPr>
        <w:t>本工程场外雨水采用在填埋场四周设置排水明沟，防止雨水直接排入</w:t>
      </w:r>
      <w:r>
        <w:rPr>
          <w:rFonts w:hint="eastAsia"/>
          <w:color w:val="auto"/>
        </w:rPr>
        <w:t>消纳场</w:t>
      </w:r>
      <w:r>
        <w:rPr>
          <w:color w:val="auto"/>
        </w:rPr>
        <w:t>库区。截洪沟的排水能力除考虑需要上游来水外还需于本工程自身区域排水需求相结合，排水标准按照50年一遇24h暴雨量、24h排出设计。本项目应加强雨水外排能力，每年雨季之前，完成截洪沟的清理和整修，确保其畅通无阻，确保</w:t>
      </w:r>
      <w:r>
        <w:rPr>
          <w:rFonts w:hint="eastAsia"/>
          <w:color w:val="auto"/>
          <w:lang w:eastAsia="zh-CN"/>
        </w:rPr>
        <w:t>后期雨水与污水</w:t>
      </w:r>
      <w:r>
        <w:rPr>
          <w:color w:val="auto"/>
        </w:rPr>
        <w:t>分流，在有大雨、暴雨预报时，及时抽干排空收集系统内的积液，保护好现有植被，充分利用植被对雨水的滞留作用和蒸腾作用，减少渗滤液收集系统的负荷，制定包括监测、报警等措施在内的应急预案等，确保暴雨天气的稳定运行。通过上述措施将有效防止洪水引发未处理的污水溢出的风险</w:t>
      </w:r>
      <w:r>
        <w:rPr>
          <w:rFonts w:hint="eastAsia"/>
          <w:color w:val="auto"/>
        </w:rPr>
        <w:t>。</w:t>
      </w:r>
    </w:p>
    <w:p>
      <w:pPr>
        <w:numPr>
          <w:ilvl w:val="0"/>
          <w:numId w:val="8"/>
        </w:numPr>
        <w:spacing w:line="360" w:lineRule="auto"/>
        <w:rPr>
          <w:rFonts w:hint="eastAsia"/>
          <w:color w:val="auto"/>
          <w:lang w:eastAsia="zh-CN"/>
        </w:rPr>
      </w:pPr>
      <w:r>
        <w:rPr>
          <w:rFonts w:hint="eastAsia"/>
          <w:color w:val="auto"/>
          <w:lang w:eastAsia="zh-CN"/>
        </w:rPr>
        <w:t>危险性废物混入风险</w:t>
      </w:r>
    </w:p>
    <w:p>
      <w:pPr>
        <w:numPr>
          <w:ilvl w:val="0"/>
          <w:numId w:val="0"/>
        </w:numPr>
        <w:tabs>
          <w:tab w:val="clear" w:pos="680"/>
        </w:tabs>
        <w:spacing w:line="360" w:lineRule="auto"/>
        <w:rPr>
          <w:rFonts w:hint="eastAsia"/>
          <w:color w:val="auto"/>
          <w:lang w:val="en-US" w:eastAsia="zh-CN"/>
        </w:rPr>
      </w:pPr>
      <w:r>
        <w:rPr>
          <w:rFonts w:hint="eastAsia"/>
          <w:color w:val="auto"/>
          <w:lang w:val="en-US" w:eastAsia="zh-CN"/>
        </w:rPr>
        <w:t xml:space="preserve">   （1）影响分析</w:t>
      </w:r>
    </w:p>
    <w:p>
      <w:pPr>
        <w:numPr>
          <w:ilvl w:val="0"/>
          <w:numId w:val="0"/>
        </w:numPr>
        <w:tabs>
          <w:tab w:val="clear" w:pos="680"/>
        </w:tabs>
        <w:spacing w:line="360" w:lineRule="auto"/>
        <w:rPr>
          <w:rFonts w:hint="eastAsia"/>
          <w:color w:val="auto"/>
          <w:lang w:val="en-US" w:eastAsia="zh-CN"/>
        </w:rPr>
      </w:pPr>
      <w:r>
        <w:rPr>
          <w:rFonts w:hint="eastAsia"/>
          <w:color w:val="auto"/>
          <w:lang w:val="en-US" w:eastAsia="zh-CN"/>
        </w:rPr>
        <w:t xml:space="preserve">   假如不慎混入危险废物，则对消纳场及其周边环境产生严重污染，其污染程度和范围视其混入的危险废物数量和种类的不同而不同。</w:t>
      </w:r>
    </w:p>
    <w:p>
      <w:pPr>
        <w:numPr>
          <w:ilvl w:val="0"/>
          <w:numId w:val="9"/>
        </w:numPr>
        <w:spacing w:line="360" w:lineRule="auto"/>
        <w:ind w:firstLine="360" w:firstLineChars="150"/>
        <w:rPr>
          <w:rFonts w:hint="eastAsia"/>
          <w:color w:val="auto"/>
          <w:lang w:eastAsia="zh-CN"/>
        </w:rPr>
      </w:pPr>
      <w:r>
        <w:rPr>
          <w:rFonts w:hint="eastAsia"/>
          <w:color w:val="auto"/>
          <w:lang w:eastAsia="zh-CN"/>
        </w:rPr>
        <w:t>防范措施</w:t>
      </w:r>
    </w:p>
    <w:p>
      <w:pPr>
        <w:numPr>
          <w:ilvl w:val="0"/>
          <w:numId w:val="0"/>
        </w:numPr>
        <w:tabs>
          <w:tab w:val="clear" w:pos="680"/>
        </w:tabs>
        <w:spacing w:line="360" w:lineRule="auto"/>
        <w:ind w:firstLine="480"/>
        <w:rPr>
          <w:rFonts w:hint="eastAsia"/>
          <w:color w:val="auto"/>
          <w:lang w:val="en-US" w:eastAsia="zh-CN"/>
        </w:rPr>
      </w:pPr>
      <w:r>
        <w:rPr>
          <w:rFonts w:hint="eastAsia"/>
          <w:color w:val="auto"/>
          <w:lang w:val="en-US" w:eastAsia="zh-CN"/>
        </w:rPr>
        <w:fldChar w:fldCharType="begin"/>
      </w:r>
      <w:r>
        <w:rPr>
          <w:rFonts w:hint="eastAsia"/>
          <w:color w:val="auto"/>
          <w:lang w:val="en-US" w:eastAsia="zh-CN"/>
        </w:rPr>
        <w:instrText xml:space="preserve"> = 1 \* GB3 \* MERGEFORMAT </w:instrText>
      </w:r>
      <w:r>
        <w:rPr>
          <w:rFonts w:hint="eastAsia"/>
          <w:color w:val="auto"/>
          <w:lang w:val="en-US" w:eastAsia="zh-CN"/>
        </w:rPr>
        <w:fldChar w:fldCharType="separate"/>
      </w:r>
      <w:r>
        <w:rPr>
          <w:color w:val="auto"/>
        </w:rPr>
        <w:t>①</w:t>
      </w:r>
      <w:r>
        <w:rPr>
          <w:rFonts w:hint="eastAsia"/>
          <w:color w:val="auto"/>
          <w:lang w:val="en-US" w:eastAsia="zh-CN"/>
        </w:rPr>
        <w:fldChar w:fldCharType="end"/>
      </w:r>
      <w:r>
        <w:rPr>
          <w:rFonts w:hint="eastAsia"/>
          <w:color w:val="auto"/>
          <w:lang w:val="en-US" w:eastAsia="zh-CN"/>
        </w:rPr>
        <w:t>建筑垃圾收集时，应认真识别，不能与工业垃圾特别是危险性废弃物混合在一起；</w:t>
      </w:r>
    </w:p>
    <w:p>
      <w:pPr>
        <w:numPr>
          <w:ilvl w:val="0"/>
          <w:numId w:val="0"/>
        </w:numPr>
        <w:tabs>
          <w:tab w:val="clear" w:pos="680"/>
        </w:tabs>
        <w:spacing w:line="360" w:lineRule="auto"/>
        <w:ind w:firstLine="480"/>
        <w:rPr>
          <w:rFonts w:hint="eastAsia"/>
          <w:color w:val="auto"/>
          <w:lang w:val="en-US" w:eastAsia="zh-CN"/>
        </w:rPr>
      </w:pPr>
      <w:r>
        <w:rPr>
          <w:rFonts w:hint="eastAsia"/>
          <w:color w:val="auto"/>
          <w:lang w:val="en-US" w:eastAsia="zh-CN"/>
        </w:rPr>
        <w:fldChar w:fldCharType="begin"/>
      </w:r>
      <w:r>
        <w:rPr>
          <w:rFonts w:hint="eastAsia"/>
          <w:color w:val="auto"/>
          <w:lang w:val="en-US" w:eastAsia="zh-CN"/>
        </w:rPr>
        <w:instrText xml:space="preserve"> = 2 \* GB3 \* MERGEFORMAT </w:instrText>
      </w:r>
      <w:r>
        <w:rPr>
          <w:rFonts w:hint="eastAsia"/>
          <w:color w:val="auto"/>
          <w:lang w:val="en-US" w:eastAsia="zh-CN"/>
        </w:rPr>
        <w:fldChar w:fldCharType="separate"/>
      </w:r>
      <w:r>
        <w:rPr>
          <w:color w:val="auto"/>
        </w:rPr>
        <w:t>②</w:t>
      </w:r>
      <w:r>
        <w:rPr>
          <w:rFonts w:hint="eastAsia"/>
          <w:color w:val="auto"/>
          <w:lang w:val="en-US" w:eastAsia="zh-CN"/>
        </w:rPr>
        <w:fldChar w:fldCharType="end"/>
      </w:r>
      <w:r>
        <w:rPr>
          <w:rFonts w:hint="eastAsia"/>
          <w:color w:val="auto"/>
          <w:lang w:val="en-US" w:eastAsia="zh-CN"/>
        </w:rPr>
        <w:t>严禁将其他有毒有害废弃物送至消纳场，如发现不按规定执行，应按有关法律法规予以经济处罚，直至追究法律责任；</w:t>
      </w:r>
    </w:p>
    <w:p>
      <w:pPr>
        <w:numPr>
          <w:ilvl w:val="0"/>
          <w:numId w:val="0"/>
        </w:numPr>
        <w:tabs>
          <w:tab w:val="clear" w:pos="680"/>
        </w:tabs>
        <w:spacing w:line="360" w:lineRule="auto"/>
        <w:ind w:firstLine="480"/>
        <w:rPr>
          <w:rFonts w:hint="eastAsia"/>
          <w:color w:val="auto"/>
          <w:lang w:val="en-US" w:eastAsia="zh-CN"/>
        </w:rPr>
      </w:pPr>
      <w:r>
        <w:rPr>
          <w:rFonts w:hint="eastAsia"/>
          <w:color w:val="auto"/>
          <w:lang w:val="en-US" w:eastAsia="zh-CN"/>
        </w:rPr>
        <w:fldChar w:fldCharType="begin"/>
      </w:r>
      <w:r>
        <w:rPr>
          <w:rFonts w:hint="eastAsia"/>
          <w:color w:val="auto"/>
          <w:lang w:val="en-US" w:eastAsia="zh-CN"/>
        </w:rPr>
        <w:instrText xml:space="preserve"> = 3 \* GB3 \* MERGEFORMAT </w:instrText>
      </w:r>
      <w:r>
        <w:rPr>
          <w:rFonts w:hint="eastAsia"/>
          <w:color w:val="auto"/>
          <w:lang w:val="en-US" w:eastAsia="zh-CN"/>
        </w:rPr>
        <w:fldChar w:fldCharType="separate"/>
      </w:r>
      <w:r>
        <w:rPr>
          <w:color w:val="auto"/>
        </w:rPr>
        <w:t>③</w:t>
      </w:r>
      <w:r>
        <w:rPr>
          <w:rFonts w:hint="eastAsia"/>
          <w:color w:val="auto"/>
          <w:lang w:val="en-US" w:eastAsia="zh-CN"/>
        </w:rPr>
        <w:fldChar w:fldCharType="end"/>
      </w:r>
      <w:r>
        <w:rPr>
          <w:rFonts w:hint="eastAsia"/>
          <w:color w:val="auto"/>
          <w:lang w:val="en-US" w:eastAsia="zh-CN"/>
        </w:rPr>
        <w:t>对消纳场服务范围内的单位和个人加强宣传，使公众分清生活垃圾、工业固废和危险性废物的本质区别，以及混合填埋的危害，使公众自觉遵守消纳场的垃圾入场规定。</w:t>
      </w:r>
    </w:p>
    <w:bookmarkEnd w:id="695"/>
    <w:bookmarkEnd w:id="696"/>
    <w:bookmarkEnd w:id="697"/>
    <w:bookmarkEnd w:id="698"/>
    <w:bookmarkEnd w:id="699"/>
    <w:bookmarkEnd w:id="700"/>
    <w:p>
      <w:pPr>
        <w:autoSpaceDE w:val="0"/>
        <w:autoSpaceDN w:val="0"/>
        <w:adjustRightInd w:val="0"/>
        <w:spacing w:line="360" w:lineRule="auto"/>
        <w:rPr>
          <w:b/>
          <w:color w:val="auto"/>
        </w:rPr>
      </w:pPr>
      <w:bookmarkStart w:id="722" w:name="_Toc212525049"/>
      <w:r>
        <w:rPr>
          <w:b/>
          <w:color w:val="auto"/>
        </w:rPr>
        <w:t>5.2.8.</w:t>
      </w:r>
      <w:r>
        <w:rPr>
          <w:rFonts w:hint="eastAsia"/>
          <w:b/>
          <w:color w:val="auto"/>
        </w:rPr>
        <w:t>6</w:t>
      </w:r>
      <w:r>
        <w:rPr>
          <w:b/>
          <w:color w:val="auto"/>
        </w:rPr>
        <w:t xml:space="preserve"> 环境风险评价结论</w:t>
      </w:r>
    </w:p>
    <w:p>
      <w:pPr>
        <w:autoSpaceDE w:val="0"/>
        <w:autoSpaceDN w:val="0"/>
        <w:adjustRightInd w:val="0"/>
        <w:spacing w:line="360" w:lineRule="auto"/>
        <w:ind w:firstLine="480" w:firstLineChars="200"/>
        <w:jc w:val="both"/>
        <w:rPr>
          <w:color w:val="auto"/>
          <w:kern w:val="0"/>
        </w:rPr>
      </w:pPr>
      <w:bookmarkStart w:id="723" w:name="_Hlk24555656"/>
      <w:r>
        <w:rPr>
          <w:color w:val="auto"/>
          <w:kern w:val="0"/>
        </w:rPr>
        <w:t>本项目涉及的危险物质主要包括</w:t>
      </w:r>
      <w:r>
        <w:rPr>
          <w:rFonts w:hint="eastAsia"/>
          <w:color w:val="auto"/>
          <w:kern w:val="0"/>
        </w:rPr>
        <w:t>硫酸</w:t>
      </w:r>
      <w:r>
        <w:rPr>
          <w:color w:val="auto"/>
          <w:kern w:val="0"/>
        </w:rPr>
        <w:t>、</w:t>
      </w:r>
      <w:r>
        <w:rPr>
          <w:rFonts w:hint="eastAsia"/>
          <w:color w:val="auto"/>
          <w:kern w:val="0"/>
        </w:rPr>
        <w:t>氢氧化钠</w:t>
      </w:r>
      <w:r>
        <w:rPr>
          <w:color w:val="auto"/>
          <w:kern w:val="0"/>
        </w:rPr>
        <w:t>、</w:t>
      </w:r>
      <w:r>
        <w:rPr>
          <w:rFonts w:hint="eastAsia"/>
          <w:color w:val="auto"/>
          <w:kern w:val="0"/>
        </w:rPr>
        <w:t>淋溶液</w:t>
      </w:r>
      <w:r>
        <w:rPr>
          <w:color w:val="auto"/>
          <w:kern w:val="0"/>
        </w:rPr>
        <w:t>及</w:t>
      </w:r>
      <w:r>
        <w:rPr>
          <w:rFonts w:hint="eastAsia"/>
          <w:color w:val="auto"/>
          <w:kern w:val="0"/>
        </w:rPr>
        <w:t>餐厨</w:t>
      </w:r>
      <w:r>
        <w:rPr>
          <w:color w:val="auto"/>
          <w:kern w:val="0"/>
        </w:rPr>
        <w:t>垃圾渗滤液</w:t>
      </w:r>
      <w:r>
        <w:rPr>
          <w:rFonts w:hint="eastAsia"/>
          <w:color w:val="auto"/>
          <w:kern w:val="0"/>
        </w:rPr>
        <w:t>等</w:t>
      </w:r>
      <w:r>
        <w:rPr>
          <w:color w:val="auto"/>
          <w:kern w:val="0"/>
        </w:rPr>
        <w:t>。主要危险单位包括</w:t>
      </w:r>
      <w:r>
        <w:rPr>
          <w:rFonts w:hint="eastAsia"/>
          <w:color w:val="auto"/>
          <w:kern w:val="0"/>
        </w:rPr>
        <w:t>生产</w:t>
      </w:r>
      <w:r>
        <w:rPr>
          <w:color w:val="auto"/>
          <w:kern w:val="0"/>
        </w:rPr>
        <w:t>单元、储运单元、废气配套处置单元</w:t>
      </w:r>
      <w:r>
        <w:rPr>
          <w:rFonts w:hint="eastAsia"/>
          <w:color w:val="auto"/>
          <w:kern w:val="0"/>
        </w:rPr>
        <w:t>、</w:t>
      </w:r>
      <w:r>
        <w:rPr>
          <w:color w:val="auto"/>
          <w:kern w:val="0"/>
        </w:rPr>
        <w:t>废水配套处置单位</w:t>
      </w:r>
      <w:r>
        <w:rPr>
          <w:rFonts w:hint="eastAsia"/>
          <w:color w:val="auto"/>
          <w:kern w:val="0"/>
        </w:rPr>
        <w:t>等</w:t>
      </w:r>
      <w:r>
        <w:rPr>
          <w:color w:val="auto"/>
          <w:kern w:val="0"/>
        </w:rPr>
        <w:t>。本项目</w:t>
      </w:r>
      <w:r>
        <w:rPr>
          <w:color w:val="auto"/>
        </w:rPr>
        <w:t>周边5km范围内居住区、医疗卫生、文化教育、科研、行政办公等机构人口总数</w:t>
      </w:r>
      <w:r>
        <w:rPr>
          <w:rFonts w:hint="eastAsia"/>
          <w:color w:val="auto"/>
        </w:rPr>
        <w:t>大</w:t>
      </w:r>
      <w:r>
        <w:rPr>
          <w:color w:val="auto"/>
        </w:rPr>
        <w:t>于5万人，</w:t>
      </w:r>
      <w:r>
        <w:rPr>
          <w:color w:val="auto"/>
          <w:kern w:val="0"/>
        </w:rPr>
        <w:t>周边无集中式饮用水源保护区和地下水饮用水源保护区。</w:t>
      </w:r>
    </w:p>
    <w:p>
      <w:pPr>
        <w:autoSpaceDE w:val="0"/>
        <w:autoSpaceDN w:val="0"/>
        <w:adjustRightInd w:val="0"/>
        <w:spacing w:line="360" w:lineRule="auto"/>
        <w:ind w:firstLine="480" w:firstLineChars="200"/>
        <w:jc w:val="both"/>
        <w:rPr>
          <w:color w:val="auto"/>
          <w:kern w:val="0"/>
        </w:rPr>
      </w:pPr>
      <w:r>
        <w:rPr>
          <w:color w:val="auto"/>
          <w:kern w:val="0"/>
        </w:rPr>
        <w:t>经论证本项目最大可信事故为</w:t>
      </w:r>
      <w:r>
        <w:rPr>
          <w:rFonts w:hint="eastAsia"/>
          <w:color w:val="auto"/>
          <w:szCs w:val="21"/>
        </w:rPr>
        <w:t>硫酸、氢氧化钠桶等发生破裂而引发严重的泄漏事故</w:t>
      </w:r>
      <w:r>
        <w:rPr>
          <w:rFonts w:hint="eastAsia"/>
          <w:color w:val="auto"/>
          <w:kern w:val="0"/>
        </w:rPr>
        <w:t>，只要</w:t>
      </w:r>
      <w:r>
        <w:rPr>
          <w:rFonts w:hAnsi="宋体"/>
          <w:color w:val="auto"/>
        </w:rPr>
        <w:t>企业</w:t>
      </w:r>
      <w:r>
        <w:rPr>
          <w:rFonts w:hint="eastAsia" w:hAnsi="宋体"/>
          <w:color w:val="auto"/>
        </w:rPr>
        <w:t>做到严格</w:t>
      </w:r>
      <w:r>
        <w:rPr>
          <w:rFonts w:hAnsi="宋体"/>
          <w:color w:val="auto"/>
        </w:rPr>
        <w:t>按照国家对危险化学品的使用和管理规定，提高警惕，时刻将人身安全和环境安全放在首位</w:t>
      </w:r>
      <w:r>
        <w:rPr>
          <w:rFonts w:hint="eastAsia" w:hAnsi="宋体"/>
          <w:color w:val="auto"/>
        </w:rPr>
        <w:t>，</w:t>
      </w:r>
      <w:r>
        <w:rPr>
          <w:rFonts w:hAnsi="宋体"/>
          <w:color w:val="auto"/>
        </w:rPr>
        <w:t>最大事故风险是可以接受的</w:t>
      </w:r>
      <w:r>
        <w:rPr>
          <w:rFonts w:hint="eastAsia" w:hAnsi="宋体"/>
          <w:color w:val="auto"/>
        </w:rPr>
        <w:t>。</w:t>
      </w:r>
    </w:p>
    <w:p>
      <w:pPr>
        <w:autoSpaceDE w:val="0"/>
        <w:autoSpaceDN w:val="0"/>
        <w:adjustRightInd w:val="0"/>
        <w:spacing w:line="360" w:lineRule="auto"/>
        <w:ind w:firstLine="480" w:firstLineChars="200"/>
        <w:jc w:val="both"/>
        <w:rPr>
          <w:color w:val="auto"/>
          <w:kern w:val="0"/>
        </w:rPr>
      </w:pPr>
      <w:r>
        <w:rPr>
          <w:color w:val="auto"/>
          <w:kern w:val="0"/>
        </w:rPr>
        <w:t>本项目正常生产时做到生产废水回用</w:t>
      </w:r>
      <w:r>
        <w:rPr>
          <w:rFonts w:hint="eastAsia"/>
          <w:color w:val="auto"/>
          <w:kern w:val="0"/>
        </w:rPr>
        <w:t>，不外排，在事故状态下，</w:t>
      </w:r>
      <w:r>
        <w:rPr>
          <w:color w:val="auto"/>
          <w:kern w:val="0"/>
        </w:rPr>
        <w:t>设置了</w:t>
      </w:r>
      <w:r>
        <w:rPr>
          <w:rFonts w:hint="eastAsia"/>
          <w:color w:val="auto"/>
          <w:kern w:val="0"/>
        </w:rPr>
        <w:t>淋溶液调节池</w:t>
      </w:r>
      <w:r>
        <w:rPr>
          <w:color w:val="auto"/>
          <w:kern w:val="0"/>
        </w:rPr>
        <w:t>及事故应急池，能够确保废水不排出厂外。垃圾接收、贮存和输送均在封闭的条件下完成，不设露天堆场和人工分拣场，恶臭影响较小。</w:t>
      </w:r>
    </w:p>
    <w:p>
      <w:pPr>
        <w:autoSpaceDE w:val="0"/>
        <w:autoSpaceDN w:val="0"/>
        <w:adjustRightInd w:val="0"/>
        <w:spacing w:line="360" w:lineRule="auto"/>
        <w:ind w:firstLine="480" w:firstLineChars="200"/>
        <w:jc w:val="both"/>
        <w:rPr>
          <w:color w:val="auto"/>
          <w:kern w:val="0"/>
        </w:rPr>
      </w:pPr>
      <w:r>
        <w:rPr>
          <w:color w:val="auto"/>
          <w:kern w:val="0"/>
        </w:rPr>
        <w:t>本项目自身建立完整的管理规程、防范措施，编制突发环境事件应急 预案并配备应急装置及应急物资，与</w:t>
      </w:r>
      <w:r>
        <w:rPr>
          <w:rFonts w:hint="eastAsia"/>
          <w:color w:val="auto"/>
          <w:kern w:val="0"/>
        </w:rPr>
        <w:t>新陂镇</w:t>
      </w:r>
      <w:r>
        <w:rPr>
          <w:color w:val="auto"/>
          <w:kern w:val="0"/>
        </w:rPr>
        <w:t>建立应急联动机制，最大限度地降低环境风险，减少对周边环境的影响。</w:t>
      </w:r>
    </w:p>
    <w:bookmarkEnd w:id="723"/>
    <w:p>
      <w:pPr>
        <w:pStyle w:val="99"/>
        <w:widowControl w:val="0"/>
        <w:ind w:firstLine="149" w:firstLineChars="62"/>
        <w:rPr>
          <w:b/>
          <w:color w:val="auto"/>
          <w:lang w:val="en-US" w:eastAsia="zh-CN"/>
        </w:rPr>
      </w:pPr>
      <w:r>
        <w:rPr>
          <w:b/>
          <w:color w:val="auto"/>
        </w:rPr>
        <w:t>5.2.8.</w:t>
      </w:r>
      <w:r>
        <w:rPr>
          <w:rFonts w:hint="eastAsia"/>
          <w:b/>
          <w:color w:val="auto"/>
          <w:lang w:eastAsia="zh-CN"/>
        </w:rPr>
        <w:t>7</w:t>
      </w:r>
      <w:r>
        <w:rPr>
          <w:b/>
          <w:color w:val="auto"/>
          <w:lang w:val="en-US" w:eastAsia="zh-CN"/>
        </w:rPr>
        <w:t>环境风险评价自查表</w:t>
      </w:r>
    </w:p>
    <w:p>
      <w:pPr>
        <w:pStyle w:val="99"/>
        <w:widowControl w:val="0"/>
        <w:ind w:firstLine="480"/>
        <w:rPr>
          <w:color w:val="auto"/>
          <w:kern w:val="0"/>
          <w:lang w:eastAsia="zh-CN"/>
        </w:rPr>
      </w:pPr>
      <w:r>
        <w:rPr>
          <w:color w:val="auto"/>
          <w:kern w:val="0"/>
        </w:rPr>
        <w:t>本项目环境风险评价自查情况见表5.2</w:t>
      </w:r>
      <w:r>
        <w:rPr>
          <w:color w:val="auto"/>
          <w:kern w:val="0"/>
          <w:lang w:eastAsia="zh-CN"/>
        </w:rPr>
        <w:t>-</w:t>
      </w:r>
      <w:r>
        <w:rPr>
          <w:rFonts w:hint="eastAsia"/>
          <w:color w:val="auto"/>
          <w:kern w:val="0"/>
          <w:lang w:eastAsia="zh-CN"/>
        </w:rPr>
        <w:t>31</w:t>
      </w:r>
      <w:r>
        <w:rPr>
          <w:color w:val="auto"/>
          <w:kern w:val="0"/>
        </w:rPr>
        <w:t>。</w:t>
      </w:r>
    </w:p>
    <w:p>
      <w:pPr>
        <w:ind w:firstLine="482"/>
        <w:jc w:val="center"/>
        <w:rPr>
          <w:b/>
          <w:color w:val="auto"/>
        </w:rPr>
      </w:pPr>
    </w:p>
    <w:p>
      <w:pPr>
        <w:ind w:firstLine="482"/>
        <w:jc w:val="center"/>
        <w:rPr>
          <w:b/>
          <w:color w:val="auto"/>
        </w:rPr>
      </w:pPr>
    </w:p>
    <w:p>
      <w:pPr>
        <w:ind w:firstLine="482"/>
        <w:jc w:val="center"/>
        <w:rPr>
          <w:b/>
          <w:color w:val="auto"/>
        </w:rPr>
      </w:pPr>
    </w:p>
    <w:p>
      <w:pPr>
        <w:ind w:firstLine="482"/>
        <w:jc w:val="center"/>
        <w:rPr>
          <w:b/>
          <w:color w:val="auto"/>
        </w:rPr>
      </w:pPr>
    </w:p>
    <w:p>
      <w:pPr>
        <w:ind w:firstLine="482"/>
        <w:jc w:val="center"/>
        <w:rPr>
          <w:b/>
          <w:color w:val="auto"/>
        </w:rPr>
      </w:pPr>
    </w:p>
    <w:p>
      <w:pPr>
        <w:ind w:firstLine="482"/>
        <w:jc w:val="center"/>
        <w:rPr>
          <w:b/>
          <w:color w:val="auto"/>
        </w:rPr>
      </w:pPr>
    </w:p>
    <w:p>
      <w:pPr>
        <w:ind w:firstLine="482"/>
        <w:jc w:val="center"/>
        <w:rPr>
          <w:b/>
          <w:color w:val="auto"/>
        </w:rPr>
      </w:pPr>
    </w:p>
    <w:p>
      <w:pPr>
        <w:ind w:firstLine="482"/>
        <w:jc w:val="center"/>
        <w:rPr>
          <w:b/>
          <w:color w:val="auto"/>
        </w:rPr>
      </w:pPr>
    </w:p>
    <w:p>
      <w:pPr>
        <w:ind w:firstLine="482"/>
        <w:jc w:val="center"/>
        <w:rPr>
          <w:b/>
          <w:color w:val="auto"/>
        </w:rPr>
      </w:pPr>
    </w:p>
    <w:p>
      <w:pPr>
        <w:ind w:firstLine="482"/>
        <w:jc w:val="center"/>
        <w:rPr>
          <w:b/>
          <w:color w:val="auto"/>
        </w:rPr>
      </w:pPr>
    </w:p>
    <w:p>
      <w:pPr>
        <w:ind w:firstLine="482"/>
        <w:jc w:val="center"/>
        <w:rPr>
          <w:b/>
          <w:color w:val="auto"/>
        </w:rPr>
      </w:pPr>
    </w:p>
    <w:p>
      <w:pPr>
        <w:ind w:firstLine="482"/>
        <w:jc w:val="center"/>
        <w:rPr>
          <w:b/>
          <w:color w:val="auto"/>
        </w:rPr>
      </w:pPr>
    </w:p>
    <w:p>
      <w:pPr>
        <w:ind w:firstLine="482"/>
        <w:jc w:val="center"/>
        <w:rPr>
          <w:b/>
          <w:color w:val="auto"/>
        </w:rPr>
      </w:pPr>
    </w:p>
    <w:p>
      <w:pPr>
        <w:ind w:firstLine="482"/>
        <w:jc w:val="center"/>
        <w:rPr>
          <w:b/>
          <w:color w:val="auto"/>
        </w:rPr>
      </w:pPr>
    </w:p>
    <w:p>
      <w:pPr>
        <w:ind w:firstLine="482"/>
        <w:jc w:val="center"/>
        <w:rPr>
          <w:b/>
          <w:color w:val="auto"/>
        </w:rPr>
      </w:pPr>
      <w:r>
        <w:rPr>
          <w:b/>
          <w:color w:val="auto"/>
        </w:rPr>
        <w:t>表5.2-</w:t>
      </w:r>
      <w:r>
        <w:rPr>
          <w:rFonts w:hint="eastAsia"/>
          <w:b/>
          <w:color w:val="auto"/>
        </w:rPr>
        <w:t>31</w:t>
      </w:r>
      <w:r>
        <w:rPr>
          <w:b/>
          <w:color w:val="auto"/>
        </w:rPr>
        <w:t xml:space="preserve"> 环境风险评价自查表</w:t>
      </w:r>
    </w:p>
    <w:tbl>
      <w:tblPr>
        <w:tblStyle w:val="53"/>
        <w:tblW w:w="924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0"/>
        <w:gridCol w:w="1518"/>
        <w:gridCol w:w="1039"/>
        <w:gridCol w:w="314"/>
        <w:gridCol w:w="342"/>
        <w:gridCol w:w="208"/>
        <w:gridCol w:w="354"/>
        <w:gridCol w:w="215"/>
        <w:gridCol w:w="140"/>
        <w:gridCol w:w="96"/>
        <w:gridCol w:w="243"/>
        <w:gridCol w:w="440"/>
        <w:gridCol w:w="71"/>
        <w:gridCol w:w="425"/>
        <w:gridCol w:w="19"/>
        <w:gridCol w:w="158"/>
        <w:gridCol w:w="452"/>
        <w:gridCol w:w="106"/>
        <w:gridCol w:w="241"/>
        <w:gridCol w:w="224"/>
        <w:gridCol w:w="253"/>
        <w:gridCol w:w="10"/>
        <w:gridCol w:w="69"/>
        <w:gridCol w:w="453"/>
        <w:gridCol w:w="9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2458" w:type="dxa"/>
            <w:gridSpan w:val="2"/>
            <w:shd w:val="clear" w:color="auto" w:fill="auto"/>
            <w:vAlign w:val="center"/>
          </w:tcPr>
          <w:p>
            <w:pPr>
              <w:ind w:firstLine="360"/>
              <w:jc w:val="center"/>
              <w:rPr>
                <w:b/>
                <w:color w:val="auto"/>
                <w:sz w:val="18"/>
                <w:szCs w:val="18"/>
              </w:rPr>
            </w:pPr>
            <w:r>
              <w:rPr>
                <w:b/>
                <w:color w:val="auto"/>
                <w:sz w:val="18"/>
                <w:szCs w:val="18"/>
              </w:rPr>
              <w:t>工作内容</w:t>
            </w:r>
          </w:p>
        </w:tc>
        <w:tc>
          <w:tcPr>
            <w:tcW w:w="6786" w:type="dxa"/>
            <w:gridSpan w:val="23"/>
            <w:shd w:val="clear" w:color="auto" w:fill="auto"/>
            <w:vAlign w:val="center"/>
          </w:tcPr>
          <w:p>
            <w:pPr>
              <w:ind w:firstLine="360"/>
              <w:jc w:val="center"/>
              <w:rPr>
                <w:b/>
                <w:color w:val="auto"/>
                <w:sz w:val="18"/>
                <w:szCs w:val="18"/>
              </w:rPr>
            </w:pPr>
            <w:r>
              <w:rPr>
                <w:b/>
                <w:color w:val="auto"/>
                <w:sz w:val="18"/>
                <w:szCs w:val="18"/>
              </w:rPr>
              <w:t>完成情况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restart"/>
            <w:shd w:val="clear" w:color="auto" w:fill="auto"/>
            <w:vAlign w:val="center"/>
          </w:tcPr>
          <w:p>
            <w:pPr>
              <w:jc w:val="center"/>
              <w:rPr>
                <w:color w:val="auto"/>
                <w:sz w:val="18"/>
                <w:szCs w:val="18"/>
              </w:rPr>
            </w:pPr>
            <w:r>
              <w:rPr>
                <w:color w:val="auto"/>
                <w:sz w:val="18"/>
                <w:szCs w:val="18"/>
              </w:rPr>
              <w:t>风</w:t>
            </w:r>
          </w:p>
          <w:p>
            <w:pPr>
              <w:jc w:val="center"/>
              <w:rPr>
                <w:color w:val="auto"/>
                <w:sz w:val="18"/>
                <w:szCs w:val="18"/>
              </w:rPr>
            </w:pPr>
            <w:r>
              <w:rPr>
                <w:color w:val="auto"/>
                <w:sz w:val="18"/>
                <w:szCs w:val="18"/>
              </w:rPr>
              <w:t>险</w:t>
            </w:r>
          </w:p>
          <w:p>
            <w:pPr>
              <w:jc w:val="center"/>
              <w:rPr>
                <w:color w:val="auto"/>
                <w:sz w:val="18"/>
                <w:szCs w:val="18"/>
              </w:rPr>
            </w:pPr>
            <w:r>
              <w:rPr>
                <w:color w:val="auto"/>
                <w:sz w:val="18"/>
                <w:szCs w:val="18"/>
              </w:rPr>
              <w:t>调</w:t>
            </w:r>
          </w:p>
          <w:p>
            <w:pPr>
              <w:jc w:val="center"/>
              <w:rPr>
                <w:color w:val="auto"/>
                <w:sz w:val="18"/>
                <w:szCs w:val="18"/>
              </w:rPr>
            </w:pPr>
            <w:r>
              <w:rPr>
                <w:color w:val="auto"/>
                <w:sz w:val="18"/>
                <w:szCs w:val="18"/>
              </w:rPr>
              <w:t>查</w:t>
            </w:r>
          </w:p>
        </w:tc>
        <w:tc>
          <w:tcPr>
            <w:tcW w:w="1518" w:type="dxa"/>
            <w:vMerge w:val="restart"/>
            <w:shd w:val="clear" w:color="auto" w:fill="auto"/>
            <w:vAlign w:val="center"/>
          </w:tcPr>
          <w:p>
            <w:pPr>
              <w:jc w:val="center"/>
              <w:rPr>
                <w:color w:val="auto"/>
                <w:sz w:val="18"/>
                <w:szCs w:val="18"/>
              </w:rPr>
            </w:pPr>
            <w:r>
              <w:rPr>
                <w:color w:val="auto"/>
                <w:sz w:val="18"/>
                <w:szCs w:val="18"/>
              </w:rPr>
              <w:t>危险物质</w:t>
            </w:r>
          </w:p>
        </w:tc>
        <w:tc>
          <w:tcPr>
            <w:tcW w:w="1039" w:type="dxa"/>
            <w:shd w:val="clear" w:color="auto" w:fill="auto"/>
            <w:vAlign w:val="center"/>
          </w:tcPr>
          <w:p>
            <w:pPr>
              <w:rPr>
                <w:color w:val="auto"/>
                <w:sz w:val="18"/>
                <w:szCs w:val="18"/>
              </w:rPr>
            </w:pPr>
            <w:r>
              <w:rPr>
                <w:color w:val="auto"/>
                <w:sz w:val="18"/>
                <w:szCs w:val="18"/>
              </w:rPr>
              <w:t>名称</w:t>
            </w:r>
          </w:p>
        </w:tc>
        <w:tc>
          <w:tcPr>
            <w:tcW w:w="864" w:type="dxa"/>
            <w:gridSpan w:val="3"/>
            <w:shd w:val="clear" w:color="auto" w:fill="auto"/>
            <w:vAlign w:val="center"/>
          </w:tcPr>
          <w:p>
            <w:pPr>
              <w:jc w:val="center"/>
              <w:rPr>
                <w:rFonts w:eastAsiaTheme="minorEastAsia"/>
                <w:color w:val="auto"/>
                <w:sz w:val="18"/>
                <w:szCs w:val="18"/>
              </w:rPr>
            </w:pPr>
            <w:r>
              <w:rPr>
                <w:rFonts w:hint="eastAsia" w:eastAsiaTheme="minorEastAsia"/>
                <w:color w:val="auto"/>
                <w:sz w:val="18"/>
                <w:szCs w:val="18"/>
              </w:rPr>
              <w:t>硫酸</w:t>
            </w:r>
          </w:p>
        </w:tc>
        <w:tc>
          <w:tcPr>
            <w:tcW w:w="709" w:type="dxa"/>
            <w:gridSpan w:val="3"/>
            <w:shd w:val="clear" w:color="auto" w:fill="auto"/>
            <w:vAlign w:val="center"/>
          </w:tcPr>
          <w:p>
            <w:pPr>
              <w:jc w:val="center"/>
              <w:rPr>
                <w:rFonts w:eastAsiaTheme="minorEastAsia"/>
                <w:color w:val="auto"/>
                <w:sz w:val="18"/>
                <w:szCs w:val="18"/>
              </w:rPr>
            </w:pPr>
          </w:p>
        </w:tc>
        <w:tc>
          <w:tcPr>
            <w:tcW w:w="850" w:type="dxa"/>
            <w:gridSpan w:val="4"/>
            <w:shd w:val="clear" w:color="auto" w:fill="auto"/>
            <w:vAlign w:val="center"/>
          </w:tcPr>
          <w:p>
            <w:pPr>
              <w:jc w:val="center"/>
              <w:rPr>
                <w:rFonts w:eastAsiaTheme="minorEastAsia"/>
                <w:color w:val="auto"/>
                <w:sz w:val="18"/>
                <w:szCs w:val="18"/>
              </w:rPr>
            </w:pPr>
          </w:p>
        </w:tc>
        <w:tc>
          <w:tcPr>
            <w:tcW w:w="1160" w:type="dxa"/>
            <w:gridSpan w:val="5"/>
            <w:shd w:val="clear" w:color="auto" w:fill="auto"/>
            <w:vAlign w:val="center"/>
          </w:tcPr>
          <w:p>
            <w:pPr>
              <w:jc w:val="center"/>
              <w:rPr>
                <w:color w:val="auto"/>
                <w:sz w:val="18"/>
                <w:szCs w:val="18"/>
              </w:rPr>
            </w:pPr>
          </w:p>
        </w:tc>
        <w:tc>
          <w:tcPr>
            <w:tcW w:w="1250" w:type="dxa"/>
            <w:gridSpan w:val="6"/>
            <w:shd w:val="clear" w:color="auto" w:fill="auto"/>
            <w:vAlign w:val="center"/>
          </w:tcPr>
          <w:p>
            <w:pPr>
              <w:ind w:firstLine="360"/>
              <w:rPr>
                <w:color w:val="auto"/>
                <w:sz w:val="18"/>
                <w:szCs w:val="18"/>
              </w:rPr>
            </w:pPr>
          </w:p>
        </w:tc>
        <w:tc>
          <w:tcPr>
            <w:tcW w:w="914" w:type="dxa"/>
            <w:shd w:val="clear" w:color="auto" w:fill="auto"/>
            <w:vAlign w:val="center"/>
          </w:tcPr>
          <w:p>
            <w:pPr>
              <w:jc w:val="center"/>
              <w:rPr>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continue"/>
            <w:shd w:val="clear" w:color="auto" w:fill="auto"/>
            <w:vAlign w:val="center"/>
          </w:tcPr>
          <w:p>
            <w:pPr>
              <w:ind w:firstLine="360"/>
              <w:jc w:val="center"/>
              <w:rPr>
                <w:color w:val="auto"/>
                <w:sz w:val="18"/>
                <w:szCs w:val="18"/>
              </w:rPr>
            </w:pPr>
          </w:p>
        </w:tc>
        <w:tc>
          <w:tcPr>
            <w:tcW w:w="1518" w:type="dxa"/>
            <w:vMerge w:val="continue"/>
            <w:shd w:val="clear" w:color="auto" w:fill="auto"/>
            <w:vAlign w:val="center"/>
          </w:tcPr>
          <w:p>
            <w:pPr>
              <w:ind w:firstLine="360"/>
              <w:jc w:val="center"/>
              <w:rPr>
                <w:color w:val="auto"/>
                <w:sz w:val="18"/>
                <w:szCs w:val="18"/>
              </w:rPr>
            </w:pPr>
          </w:p>
        </w:tc>
        <w:tc>
          <w:tcPr>
            <w:tcW w:w="1039" w:type="dxa"/>
            <w:shd w:val="clear" w:color="auto" w:fill="auto"/>
            <w:vAlign w:val="center"/>
          </w:tcPr>
          <w:p>
            <w:pPr>
              <w:rPr>
                <w:color w:val="auto"/>
                <w:sz w:val="18"/>
                <w:szCs w:val="18"/>
              </w:rPr>
            </w:pPr>
            <w:r>
              <w:rPr>
                <w:color w:val="auto"/>
                <w:sz w:val="18"/>
                <w:szCs w:val="18"/>
              </w:rPr>
              <w:t>存在总量/t</w:t>
            </w:r>
          </w:p>
        </w:tc>
        <w:tc>
          <w:tcPr>
            <w:tcW w:w="864" w:type="dxa"/>
            <w:gridSpan w:val="3"/>
            <w:shd w:val="clear" w:color="auto" w:fill="auto"/>
            <w:vAlign w:val="center"/>
          </w:tcPr>
          <w:p>
            <w:pPr>
              <w:jc w:val="center"/>
              <w:rPr>
                <w:rFonts w:hint="eastAsia" w:eastAsiaTheme="minorEastAsia"/>
                <w:color w:val="auto"/>
                <w:sz w:val="18"/>
                <w:szCs w:val="18"/>
                <w:lang w:eastAsia="zh-CN"/>
              </w:rPr>
            </w:pPr>
            <w:r>
              <w:rPr>
                <w:rFonts w:hint="eastAsia" w:eastAsiaTheme="minorEastAsia"/>
                <w:color w:val="auto"/>
                <w:kern w:val="0"/>
                <w:sz w:val="18"/>
                <w:szCs w:val="18"/>
                <w:lang w:val="en-US" w:eastAsia="zh-CN"/>
              </w:rPr>
              <w:t>0.56</w:t>
            </w:r>
          </w:p>
        </w:tc>
        <w:tc>
          <w:tcPr>
            <w:tcW w:w="709" w:type="dxa"/>
            <w:gridSpan w:val="3"/>
            <w:shd w:val="clear" w:color="auto" w:fill="auto"/>
            <w:vAlign w:val="center"/>
          </w:tcPr>
          <w:p>
            <w:pPr>
              <w:jc w:val="center"/>
              <w:rPr>
                <w:rFonts w:eastAsiaTheme="minorEastAsia"/>
                <w:color w:val="auto"/>
                <w:sz w:val="18"/>
                <w:szCs w:val="18"/>
              </w:rPr>
            </w:pPr>
          </w:p>
        </w:tc>
        <w:tc>
          <w:tcPr>
            <w:tcW w:w="850" w:type="dxa"/>
            <w:gridSpan w:val="4"/>
            <w:shd w:val="clear" w:color="auto" w:fill="auto"/>
            <w:vAlign w:val="center"/>
          </w:tcPr>
          <w:p>
            <w:pPr>
              <w:jc w:val="center"/>
              <w:rPr>
                <w:rFonts w:eastAsiaTheme="minorEastAsia"/>
                <w:color w:val="auto"/>
                <w:sz w:val="18"/>
                <w:szCs w:val="18"/>
              </w:rPr>
            </w:pPr>
          </w:p>
        </w:tc>
        <w:tc>
          <w:tcPr>
            <w:tcW w:w="1160" w:type="dxa"/>
            <w:gridSpan w:val="5"/>
            <w:shd w:val="clear" w:color="auto" w:fill="auto"/>
            <w:vAlign w:val="center"/>
          </w:tcPr>
          <w:p>
            <w:pPr>
              <w:jc w:val="center"/>
              <w:rPr>
                <w:color w:val="auto"/>
                <w:sz w:val="18"/>
                <w:szCs w:val="18"/>
              </w:rPr>
            </w:pPr>
          </w:p>
        </w:tc>
        <w:tc>
          <w:tcPr>
            <w:tcW w:w="1250" w:type="dxa"/>
            <w:gridSpan w:val="6"/>
            <w:shd w:val="clear" w:color="auto" w:fill="auto"/>
            <w:vAlign w:val="center"/>
          </w:tcPr>
          <w:p>
            <w:pPr>
              <w:jc w:val="center"/>
              <w:rPr>
                <w:color w:val="auto"/>
                <w:sz w:val="18"/>
                <w:szCs w:val="18"/>
              </w:rPr>
            </w:pPr>
          </w:p>
        </w:tc>
        <w:tc>
          <w:tcPr>
            <w:tcW w:w="914" w:type="dxa"/>
            <w:shd w:val="clear" w:color="auto" w:fill="auto"/>
            <w:vAlign w:val="center"/>
          </w:tcPr>
          <w:p>
            <w:pPr>
              <w:jc w:val="center"/>
              <w:rPr>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continue"/>
            <w:shd w:val="clear" w:color="auto" w:fill="auto"/>
            <w:vAlign w:val="center"/>
          </w:tcPr>
          <w:p>
            <w:pPr>
              <w:ind w:firstLine="360"/>
              <w:jc w:val="center"/>
              <w:rPr>
                <w:color w:val="auto"/>
                <w:sz w:val="18"/>
                <w:szCs w:val="18"/>
              </w:rPr>
            </w:pPr>
          </w:p>
        </w:tc>
        <w:tc>
          <w:tcPr>
            <w:tcW w:w="1518" w:type="dxa"/>
            <w:vMerge w:val="restart"/>
            <w:shd w:val="clear" w:color="auto" w:fill="auto"/>
            <w:vAlign w:val="center"/>
          </w:tcPr>
          <w:p>
            <w:pPr>
              <w:jc w:val="center"/>
              <w:rPr>
                <w:color w:val="auto"/>
                <w:sz w:val="18"/>
                <w:szCs w:val="18"/>
              </w:rPr>
            </w:pPr>
            <w:r>
              <w:rPr>
                <w:color w:val="auto"/>
                <w:sz w:val="18"/>
                <w:szCs w:val="18"/>
              </w:rPr>
              <w:t>环境敏感性</w:t>
            </w:r>
          </w:p>
        </w:tc>
        <w:tc>
          <w:tcPr>
            <w:tcW w:w="1039" w:type="dxa"/>
            <w:vMerge w:val="restart"/>
            <w:shd w:val="clear" w:color="auto" w:fill="auto"/>
            <w:vAlign w:val="center"/>
          </w:tcPr>
          <w:p>
            <w:pPr>
              <w:jc w:val="center"/>
              <w:rPr>
                <w:color w:val="auto"/>
                <w:sz w:val="18"/>
                <w:szCs w:val="18"/>
              </w:rPr>
            </w:pPr>
            <w:r>
              <w:rPr>
                <w:color w:val="auto"/>
                <w:sz w:val="18"/>
                <w:szCs w:val="18"/>
              </w:rPr>
              <w:t>大气</w:t>
            </w:r>
          </w:p>
        </w:tc>
        <w:tc>
          <w:tcPr>
            <w:tcW w:w="2848" w:type="dxa"/>
            <w:gridSpan w:val="11"/>
            <w:shd w:val="clear" w:color="auto" w:fill="auto"/>
            <w:vAlign w:val="center"/>
          </w:tcPr>
          <w:p>
            <w:pPr>
              <w:rPr>
                <w:color w:val="auto"/>
                <w:sz w:val="18"/>
                <w:szCs w:val="18"/>
              </w:rPr>
            </w:pPr>
            <w:r>
              <w:rPr>
                <w:color w:val="auto"/>
                <w:sz w:val="18"/>
                <w:szCs w:val="18"/>
              </w:rPr>
              <w:t>500m范围内人口数</w:t>
            </w:r>
            <w:r>
              <w:rPr>
                <w:color w:val="auto"/>
                <w:sz w:val="18"/>
                <w:szCs w:val="18"/>
                <w:u w:val="single"/>
              </w:rPr>
              <w:t xml:space="preserve">   </w:t>
            </w:r>
            <w:r>
              <w:rPr>
                <w:rFonts w:hint="eastAsia"/>
                <w:color w:val="auto"/>
                <w:sz w:val="18"/>
                <w:szCs w:val="18"/>
                <w:u w:val="single"/>
              </w:rPr>
              <w:t xml:space="preserve">0 </w:t>
            </w:r>
            <w:r>
              <w:rPr>
                <w:color w:val="auto"/>
                <w:sz w:val="18"/>
                <w:szCs w:val="18"/>
                <w:u w:val="single"/>
              </w:rPr>
              <w:t xml:space="preserve">  </w:t>
            </w:r>
            <w:r>
              <w:rPr>
                <w:color w:val="auto"/>
                <w:sz w:val="18"/>
                <w:szCs w:val="18"/>
              </w:rPr>
              <w:t>人</w:t>
            </w:r>
          </w:p>
        </w:tc>
        <w:tc>
          <w:tcPr>
            <w:tcW w:w="2899" w:type="dxa"/>
            <w:gridSpan w:val="11"/>
            <w:shd w:val="clear" w:color="auto" w:fill="auto"/>
            <w:vAlign w:val="center"/>
          </w:tcPr>
          <w:p>
            <w:pPr>
              <w:rPr>
                <w:color w:val="auto"/>
                <w:sz w:val="18"/>
                <w:szCs w:val="18"/>
              </w:rPr>
            </w:pPr>
            <w:r>
              <w:rPr>
                <w:color w:val="auto"/>
                <w:sz w:val="18"/>
                <w:szCs w:val="18"/>
              </w:rPr>
              <w:t>5km范围内人口数</w:t>
            </w:r>
            <w:r>
              <w:rPr>
                <w:color w:val="auto"/>
                <w:sz w:val="18"/>
                <w:szCs w:val="18"/>
                <w:u w:val="single"/>
              </w:rPr>
              <w:t xml:space="preserve"> 128762  </w:t>
            </w:r>
            <w:r>
              <w:rPr>
                <w:color w:val="auto"/>
                <w:sz w:val="18"/>
                <w:szCs w:val="18"/>
              </w:rPr>
              <w:t>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continue"/>
            <w:shd w:val="clear" w:color="auto" w:fill="auto"/>
            <w:vAlign w:val="center"/>
          </w:tcPr>
          <w:p>
            <w:pPr>
              <w:ind w:firstLine="360"/>
              <w:jc w:val="center"/>
              <w:rPr>
                <w:color w:val="auto"/>
                <w:sz w:val="18"/>
                <w:szCs w:val="18"/>
              </w:rPr>
            </w:pPr>
          </w:p>
        </w:tc>
        <w:tc>
          <w:tcPr>
            <w:tcW w:w="1518" w:type="dxa"/>
            <w:vMerge w:val="continue"/>
            <w:shd w:val="clear" w:color="auto" w:fill="auto"/>
            <w:vAlign w:val="center"/>
          </w:tcPr>
          <w:p>
            <w:pPr>
              <w:ind w:firstLine="360"/>
              <w:jc w:val="center"/>
              <w:rPr>
                <w:color w:val="auto"/>
                <w:sz w:val="18"/>
                <w:szCs w:val="18"/>
              </w:rPr>
            </w:pPr>
          </w:p>
        </w:tc>
        <w:tc>
          <w:tcPr>
            <w:tcW w:w="1039" w:type="dxa"/>
            <w:vMerge w:val="continue"/>
            <w:shd w:val="clear" w:color="auto" w:fill="auto"/>
            <w:vAlign w:val="center"/>
          </w:tcPr>
          <w:p>
            <w:pPr>
              <w:ind w:firstLine="360"/>
              <w:jc w:val="center"/>
              <w:rPr>
                <w:color w:val="auto"/>
                <w:sz w:val="18"/>
                <w:szCs w:val="18"/>
              </w:rPr>
            </w:pPr>
          </w:p>
        </w:tc>
        <w:tc>
          <w:tcPr>
            <w:tcW w:w="4311" w:type="dxa"/>
            <w:gridSpan w:val="19"/>
            <w:shd w:val="clear" w:color="auto" w:fill="auto"/>
            <w:vAlign w:val="center"/>
          </w:tcPr>
          <w:p>
            <w:pPr>
              <w:ind w:firstLine="360"/>
              <w:jc w:val="center"/>
              <w:rPr>
                <w:color w:val="auto"/>
                <w:sz w:val="18"/>
                <w:szCs w:val="18"/>
              </w:rPr>
            </w:pPr>
            <w:r>
              <w:rPr>
                <w:color w:val="auto"/>
                <w:sz w:val="18"/>
                <w:szCs w:val="18"/>
              </w:rPr>
              <w:t>每公里管段周边200m范围内人口数（最大）</w:t>
            </w:r>
          </w:p>
        </w:tc>
        <w:tc>
          <w:tcPr>
            <w:tcW w:w="1436" w:type="dxa"/>
            <w:gridSpan w:val="3"/>
            <w:shd w:val="clear" w:color="auto" w:fill="auto"/>
            <w:vAlign w:val="center"/>
          </w:tcPr>
          <w:p>
            <w:pPr>
              <w:ind w:firstLine="360"/>
              <w:jc w:val="center"/>
              <w:rPr>
                <w:color w:val="auto"/>
                <w:sz w:val="18"/>
                <w:szCs w:val="18"/>
              </w:rPr>
            </w:pPr>
            <w:r>
              <w:rPr>
                <w:color w:val="auto"/>
                <w:sz w:val="18"/>
                <w:szCs w:val="18"/>
                <w:u w:val="single"/>
              </w:rPr>
              <w:t xml:space="preserve">      </w:t>
            </w:r>
            <w:r>
              <w:rPr>
                <w:color w:val="auto"/>
                <w:sz w:val="18"/>
                <w:szCs w:val="18"/>
              </w:rPr>
              <w:t>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continue"/>
            <w:shd w:val="clear" w:color="auto" w:fill="auto"/>
            <w:vAlign w:val="center"/>
          </w:tcPr>
          <w:p>
            <w:pPr>
              <w:ind w:firstLine="360"/>
              <w:jc w:val="center"/>
              <w:rPr>
                <w:color w:val="auto"/>
                <w:sz w:val="18"/>
                <w:szCs w:val="18"/>
              </w:rPr>
            </w:pPr>
          </w:p>
        </w:tc>
        <w:tc>
          <w:tcPr>
            <w:tcW w:w="1518" w:type="dxa"/>
            <w:vMerge w:val="continue"/>
            <w:shd w:val="clear" w:color="auto" w:fill="auto"/>
            <w:vAlign w:val="center"/>
          </w:tcPr>
          <w:p>
            <w:pPr>
              <w:ind w:firstLine="360"/>
              <w:jc w:val="center"/>
              <w:rPr>
                <w:color w:val="auto"/>
                <w:sz w:val="18"/>
                <w:szCs w:val="18"/>
              </w:rPr>
            </w:pPr>
          </w:p>
        </w:tc>
        <w:tc>
          <w:tcPr>
            <w:tcW w:w="1039" w:type="dxa"/>
            <w:vMerge w:val="restart"/>
            <w:shd w:val="clear" w:color="auto" w:fill="auto"/>
            <w:vAlign w:val="center"/>
          </w:tcPr>
          <w:p>
            <w:pPr>
              <w:jc w:val="center"/>
              <w:rPr>
                <w:color w:val="auto"/>
                <w:sz w:val="18"/>
                <w:szCs w:val="18"/>
              </w:rPr>
            </w:pPr>
            <w:r>
              <w:rPr>
                <w:color w:val="auto"/>
                <w:sz w:val="18"/>
                <w:szCs w:val="18"/>
              </w:rPr>
              <w:t>地表水</w:t>
            </w:r>
          </w:p>
        </w:tc>
        <w:tc>
          <w:tcPr>
            <w:tcW w:w="1433" w:type="dxa"/>
            <w:gridSpan w:val="5"/>
            <w:shd w:val="clear" w:color="auto" w:fill="auto"/>
            <w:vAlign w:val="center"/>
          </w:tcPr>
          <w:p>
            <w:pPr>
              <w:rPr>
                <w:color w:val="auto"/>
                <w:sz w:val="18"/>
                <w:szCs w:val="18"/>
              </w:rPr>
            </w:pPr>
            <w:r>
              <w:rPr>
                <w:color w:val="auto"/>
                <w:sz w:val="18"/>
                <w:szCs w:val="18"/>
              </w:rPr>
              <w:t>地表水功能敏感性</w:t>
            </w:r>
          </w:p>
        </w:tc>
        <w:tc>
          <w:tcPr>
            <w:tcW w:w="1434" w:type="dxa"/>
            <w:gridSpan w:val="7"/>
            <w:shd w:val="clear" w:color="auto" w:fill="auto"/>
            <w:vAlign w:val="center"/>
          </w:tcPr>
          <w:p>
            <w:pPr>
              <w:jc w:val="center"/>
              <w:rPr>
                <w:color w:val="auto"/>
                <w:sz w:val="18"/>
                <w:szCs w:val="18"/>
              </w:rPr>
            </w:pPr>
            <w:r>
              <w:rPr>
                <w:color w:val="auto"/>
                <w:sz w:val="18"/>
                <w:szCs w:val="18"/>
              </w:rPr>
              <w:t>F1 □</w:t>
            </w:r>
          </w:p>
        </w:tc>
        <w:tc>
          <w:tcPr>
            <w:tcW w:w="1434" w:type="dxa"/>
            <w:gridSpan w:val="6"/>
            <w:shd w:val="clear" w:color="auto" w:fill="auto"/>
            <w:vAlign w:val="center"/>
          </w:tcPr>
          <w:p>
            <w:pPr>
              <w:jc w:val="center"/>
              <w:rPr>
                <w:color w:val="auto"/>
                <w:sz w:val="18"/>
                <w:szCs w:val="18"/>
              </w:rPr>
            </w:pPr>
            <w:r>
              <w:rPr>
                <w:color w:val="auto"/>
                <w:sz w:val="18"/>
                <w:szCs w:val="18"/>
              </w:rPr>
              <w:t>F2 □</w:t>
            </w:r>
          </w:p>
        </w:tc>
        <w:tc>
          <w:tcPr>
            <w:tcW w:w="1446" w:type="dxa"/>
            <w:gridSpan w:val="4"/>
            <w:shd w:val="clear" w:color="auto" w:fill="auto"/>
            <w:vAlign w:val="center"/>
          </w:tcPr>
          <w:p>
            <w:pPr>
              <w:jc w:val="center"/>
              <w:rPr>
                <w:color w:val="auto"/>
                <w:sz w:val="18"/>
                <w:szCs w:val="18"/>
              </w:rPr>
            </w:pPr>
            <w:r>
              <w:rPr>
                <w:color w:val="auto"/>
                <w:sz w:val="18"/>
                <w:szCs w:val="18"/>
              </w:rPr>
              <w:t xml:space="preserve">F3 </w:t>
            </w:r>
            <w:r>
              <w:rPr>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continue"/>
            <w:shd w:val="clear" w:color="auto" w:fill="auto"/>
            <w:vAlign w:val="center"/>
          </w:tcPr>
          <w:p>
            <w:pPr>
              <w:ind w:firstLine="360"/>
              <w:jc w:val="center"/>
              <w:rPr>
                <w:color w:val="auto"/>
                <w:sz w:val="18"/>
                <w:szCs w:val="18"/>
              </w:rPr>
            </w:pPr>
          </w:p>
        </w:tc>
        <w:tc>
          <w:tcPr>
            <w:tcW w:w="1518" w:type="dxa"/>
            <w:vMerge w:val="continue"/>
            <w:shd w:val="clear" w:color="auto" w:fill="auto"/>
            <w:vAlign w:val="center"/>
          </w:tcPr>
          <w:p>
            <w:pPr>
              <w:ind w:firstLine="360"/>
              <w:jc w:val="center"/>
              <w:rPr>
                <w:color w:val="auto"/>
                <w:sz w:val="18"/>
                <w:szCs w:val="18"/>
              </w:rPr>
            </w:pPr>
          </w:p>
        </w:tc>
        <w:tc>
          <w:tcPr>
            <w:tcW w:w="1039" w:type="dxa"/>
            <w:vMerge w:val="continue"/>
            <w:shd w:val="clear" w:color="auto" w:fill="auto"/>
            <w:vAlign w:val="center"/>
          </w:tcPr>
          <w:p>
            <w:pPr>
              <w:ind w:firstLine="360"/>
              <w:jc w:val="center"/>
              <w:rPr>
                <w:color w:val="auto"/>
                <w:sz w:val="18"/>
                <w:szCs w:val="18"/>
              </w:rPr>
            </w:pPr>
          </w:p>
        </w:tc>
        <w:tc>
          <w:tcPr>
            <w:tcW w:w="1433" w:type="dxa"/>
            <w:gridSpan w:val="5"/>
            <w:shd w:val="clear" w:color="auto" w:fill="auto"/>
            <w:vAlign w:val="center"/>
          </w:tcPr>
          <w:p>
            <w:pPr>
              <w:rPr>
                <w:color w:val="auto"/>
                <w:sz w:val="18"/>
                <w:szCs w:val="18"/>
              </w:rPr>
            </w:pPr>
            <w:r>
              <w:rPr>
                <w:color w:val="auto"/>
                <w:sz w:val="18"/>
                <w:szCs w:val="18"/>
              </w:rPr>
              <w:t>环境敏感目标分级</w:t>
            </w:r>
          </w:p>
        </w:tc>
        <w:tc>
          <w:tcPr>
            <w:tcW w:w="1434" w:type="dxa"/>
            <w:gridSpan w:val="7"/>
            <w:shd w:val="clear" w:color="auto" w:fill="auto"/>
            <w:vAlign w:val="center"/>
          </w:tcPr>
          <w:p>
            <w:pPr>
              <w:jc w:val="center"/>
              <w:rPr>
                <w:color w:val="auto"/>
                <w:sz w:val="18"/>
                <w:szCs w:val="18"/>
              </w:rPr>
            </w:pPr>
            <w:r>
              <w:rPr>
                <w:color w:val="auto"/>
                <w:sz w:val="18"/>
                <w:szCs w:val="18"/>
              </w:rPr>
              <w:t>S1 □</w:t>
            </w:r>
          </w:p>
        </w:tc>
        <w:tc>
          <w:tcPr>
            <w:tcW w:w="1434" w:type="dxa"/>
            <w:gridSpan w:val="6"/>
            <w:shd w:val="clear" w:color="auto" w:fill="auto"/>
            <w:vAlign w:val="center"/>
          </w:tcPr>
          <w:p>
            <w:pPr>
              <w:jc w:val="center"/>
              <w:rPr>
                <w:color w:val="auto"/>
                <w:sz w:val="18"/>
                <w:szCs w:val="18"/>
              </w:rPr>
            </w:pPr>
            <w:r>
              <w:rPr>
                <w:color w:val="auto"/>
                <w:sz w:val="18"/>
                <w:szCs w:val="18"/>
              </w:rPr>
              <w:t>S2 □</w:t>
            </w:r>
          </w:p>
        </w:tc>
        <w:tc>
          <w:tcPr>
            <w:tcW w:w="1446" w:type="dxa"/>
            <w:gridSpan w:val="4"/>
            <w:shd w:val="clear" w:color="auto" w:fill="auto"/>
            <w:vAlign w:val="center"/>
          </w:tcPr>
          <w:p>
            <w:pPr>
              <w:jc w:val="center"/>
              <w:rPr>
                <w:color w:val="auto"/>
                <w:sz w:val="18"/>
                <w:szCs w:val="18"/>
              </w:rPr>
            </w:pPr>
            <w:r>
              <w:rPr>
                <w:color w:val="auto"/>
                <w:sz w:val="18"/>
                <w:szCs w:val="18"/>
              </w:rPr>
              <w:t xml:space="preserve">S3 </w:t>
            </w:r>
            <w:r>
              <w:rPr>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continue"/>
            <w:shd w:val="clear" w:color="auto" w:fill="auto"/>
            <w:vAlign w:val="center"/>
          </w:tcPr>
          <w:p>
            <w:pPr>
              <w:ind w:firstLine="360"/>
              <w:jc w:val="center"/>
              <w:rPr>
                <w:color w:val="auto"/>
                <w:sz w:val="18"/>
                <w:szCs w:val="18"/>
              </w:rPr>
            </w:pPr>
          </w:p>
        </w:tc>
        <w:tc>
          <w:tcPr>
            <w:tcW w:w="1518" w:type="dxa"/>
            <w:vMerge w:val="continue"/>
            <w:shd w:val="clear" w:color="auto" w:fill="auto"/>
            <w:vAlign w:val="center"/>
          </w:tcPr>
          <w:p>
            <w:pPr>
              <w:ind w:firstLine="360"/>
              <w:jc w:val="center"/>
              <w:rPr>
                <w:color w:val="auto"/>
                <w:sz w:val="18"/>
                <w:szCs w:val="18"/>
              </w:rPr>
            </w:pPr>
          </w:p>
        </w:tc>
        <w:tc>
          <w:tcPr>
            <w:tcW w:w="1039" w:type="dxa"/>
            <w:vMerge w:val="restart"/>
            <w:shd w:val="clear" w:color="auto" w:fill="auto"/>
            <w:vAlign w:val="center"/>
          </w:tcPr>
          <w:p>
            <w:pPr>
              <w:jc w:val="center"/>
              <w:rPr>
                <w:color w:val="auto"/>
                <w:sz w:val="18"/>
                <w:szCs w:val="18"/>
              </w:rPr>
            </w:pPr>
            <w:r>
              <w:rPr>
                <w:color w:val="auto"/>
                <w:sz w:val="18"/>
                <w:szCs w:val="18"/>
              </w:rPr>
              <w:t>地下水</w:t>
            </w:r>
          </w:p>
        </w:tc>
        <w:tc>
          <w:tcPr>
            <w:tcW w:w="1433" w:type="dxa"/>
            <w:gridSpan w:val="5"/>
            <w:shd w:val="clear" w:color="auto" w:fill="auto"/>
            <w:vAlign w:val="center"/>
          </w:tcPr>
          <w:p>
            <w:pPr>
              <w:rPr>
                <w:color w:val="auto"/>
                <w:sz w:val="18"/>
                <w:szCs w:val="18"/>
              </w:rPr>
            </w:pPr>
            <w:r>
              <w:rPr>
                <w:color w:val="auto"/>
                <w:sz w:val="18"/>
                <w:szCs w:val="18"/>
              </w:rPr>
              <w:t>地下水功能敏感性</w:t>
            </w:r>
          </w:p>
        </w:tc>
        <w:tc>
          <w:tcPr>
            <w:tcW w:w="1434" w:type="dxa"/>
            <w:gridSpan w:val="7"/>
            <w:shd w:val="clear" w:color="auto" w:fill="auto"/>
            <w:vAlign w:val="center"/>
          </w:tcPr>
          <w:p>
            <w:pPr>
              <w:jc w:val="center"/>
              <w:rPr>
                <w:color w:val="auto"/>
                <w:sz w:val="18"/>
                <w:szCs w:val="18"/>
              </w:rPr>
            </w:pPr>
            <w:r>
              <w:rPr>
                <w:color w:val="auto"/>
                <w:sz w:val="18"/>
                <w:szCs w:val="18"/>
              </w:rPr>
              <w:t>G1 □</w:t>
            </w:r>
          </w:p>
        </w:tc>
        <w:tc>
          <w:tcPr>
            <w:tcW w:w="1434" w:type="dxa"/>
            <w:gridSpan w:val="6"/>
            <w:shd w:val="clear" w:color="auto" w:fill="auto"/>
            <w:vAlign w:val="center"/>
          </w:tcPr>
          <w:p>
            <w:pPr>
              <w:jc w:val="center"/>
              <w:rPr>
                <w:color w:val="auto"/>
                <w:sz w:val="18"/>
                <w:szCs w:val="18"/>
              </w:rPr>
            </w:pPr>
            <w:r>
              <w:rPr>
                <w:color w:val="auto"/>
                <w:sz w:val="18"/>
                <w:szCs w:val="18"/>
              </w:rPr>
              <w:t>G2 □</w:t>
            </w:r>
          </w:p>
        </w:tc>
        <w:tc>
          <w:tcPr>
            <w:tcW w:w="1446" w:type="dxa"/>
            <w:gridSpan w:val="4"/>
            <w:shd w:val="clear" w:color="auto" w:fill="auto"/>
            <w:vAlign w:val="center"/>
          </w:tcPr>
          <w:p>
            <w:pPr>
              <w:jc w:val="center"/>
              <w:rPr>
                <w:color w:val="auto"/>
                <w:sz w:val="18"/>
                <w:szCs w:val="18"/>
              </w:rPr>
            </w:pPr>
            <w:r>
              <w:rPr>
                <w:color w:val="auto"/>
                <w:sz w:val="18"/>
                <w:szCs w:val="18"/>
              </w:rPr>
              <w:t xml:space="preserve">G3 </w:t>
            </w:r>
            <w:r>
              <w:rPr>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continue"/>
            <w:shd w:val="clear" w:color="auto" w:fill="auto"/>
            <w:vAlign w:val="center"/>
          </w:tcPr>
          <w:p>
            <w:pPr>
              <w:ind w:firstLine="360"/>
              <w:jc w:val="center"/>
              <w:rPr>
                <w:color w:val="auto"/>
                <w:sz w:val="18"/>
                <w:szCs w:val="18"/>
              </w:rPr>
            </w:pPr>
          </w:p>
        </w:tc>
        <w:tc>
          <w:tcPr>
            <w:tcW w:w="1518" w:type="dxa"/>
            <w:vMerge w:val="continue"/>
            <w:shd w:val="clear" w:color="auto" w:fill="auto"/>
            <w:vAlign w:val="center"/>
          </w:tcPr>
          <w:p>
            <w:pPr>
              <w:ind w:firstLine="360"/>
              <w:jc w:val="center"/>
              <w:rPr>
                <w:color w:val="auto"/>
                <w:sz w:val="18"/>
                <w:szCs w:val="18"/>
              </w:rPr>
            </w:pPr>
          </w:p>
        </w:tc>
        <w:tc>
          <w:tcPr>
            <w:tcW w:w="1039" w:type="dxa"/>
            <w:vMerge w:val="continue"/>
            <w:shd w:val="clear" w:color="auto" w:fill="auto"/>
            <w:vAlign w:val="center"/>
          </w:tcPr>
          <w:p>
            <w:pPr>
              <w:ind w:firstLine="360"/>
              <w:jc w:val="center"/>
              <w:rPr>
                <w:color w:val="auto"/>
                <w:sz w:val="18"/>
                <w:szCs w:val="18"/>
              </w:rPr>
            </w:pPr>
          </w:p>
        </w:tc>
        <w:tc>
          <w:tcPr>
            <w:tcW w:w="1433" w:type="dxa"/>
            <w:gridSpan w:val="5"/>
            <w:shd w:val="clear" w:color="auto" w:fill="auto"/>
            <w:vAlign w:val="center"/>
          </w:tcPr>
          <w:p>
            <w:pPr>
              <w:rPr>
                <w:color w:val="auto"/>
                <w:sz w:val="18"/>
                <w:szCs w:val="18"/>
              </w:rPr>
            </w:pPr>
            <w:r>
              <w:rPr>
                <w:color w:val="auto"/>
                <w:sz w:val="18"/>
                <w:szCs w:val="18"/>
              </w:rPr>
              <w:t>包气带防污性能</w:t>
            </w:r>
          </w:p>
        </w:tc>
        <w:tc>
          <w:tcPr>
            <w:tcW w:w="1434" w:type="dxa"/>
            <w:gridSpan w:val="7"/>
            <w:shd w:val="clear" w:color="auto" w:fill="auto"/>
            <w:vAlign w:val="center"/>
          </w:tcPr>
          <w:p>
            <w:pPr>
              <w:jc w:val="center"/>
              <w:rPr>
                <w:color w:val="auto"/>
                <w:sz w:val="18"/>
                <w:szCs w:val="18"/>
              </w:rPr>
            </w:pPr>
            <w:r>
              <w:rPr>
                <w:color w:val="auto"/>
                <w:sz w:val="18"/>
                <w:szCs w:val="18"/>
              </w:rPr>
              <w:t xml:space="preserve">D1 </w:t>
            </w:r>
            <w:r>
              <w:rPr>
                <w:color w:val="auto"/>
                <w:szCs w:val="21"/>
              </w:rPr>
              <w:t>√</w:t>
            </w:r>
          </w:p>
        </w:tc>
        <w:tc>
          <w:tcPr>
            <w:tcW w:w="1434" w:type="dxa"/>
            <w:gridSpan w:val="6"/>
            <w:shd w:val="clear" w:color="auto" w:fill="auto"/>
            <w:vAlign w:val="center"/>
          </w:tcPr>
          <w:p>
            <w:pPr>
              <w:jc w:val="center"/>
              <w:rPr>
                <w:color w:val="auto"/>
                <w:sz w:val="18"/>
                <w:szCs w:val="18"/>
              </w:rPr>
            </w:pPr>
            <w:r>
              <w:rPr>
                <w:color w:val="auto"/>
                <w:sz w:val="18"/>
                <w:szCs w:val="18"/>
              </w:rPr>
              <w:t>D2 □</w:t>
            </w:r>
          </w:p>
        </w:tc>
        <w:tc>
          <w:tcPr>
            <w:tcW w:w="1446" w:type="dxa"/>
            <w:gridSpan w:val="4"/>
            <w:shd w:val="clear" w:color="auto" w:fill="auto"/>
            <w:vAlign w:val="center"/>
          </w:tcPr>
          <w:p>
            <w:pPr>
              <w:jc w:val="center"/>
              <w:rPr>
                <w:color w:val="auto"/>
                <w:sz w:val="18"/>
                <w:szCs w:val="18"/>
              </w:rPr>
            </w:pPr>
            <w:r>
              <w:rPr>
                <w:color w:val="auto"/>
                <w:sz w:val="18"/>
                <w:szCs w:val="18"/>
              </w:rPr>
              <w:t>D3□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458" w:type="dxa"/>
            <w:gridSpan w:val="2"/>
            <w:vMerge w:val="restart"/>
            <w:shd w:val="clear" w:color="auto" w:fill="auto"/>
            <w:vAlign w:val="center"/>
          </w:tcPr>
          <w:p>
            <w:pPr>
              <w:jc w:val="center"/>
              <w:rPr>
                <w:color w:val="auto"/>
                <w:sz w:val="18"/>
                <w:szCs w:val="18"/>
              </w:rPr>
            </w:pPr>
            <w:r>
              <w:rPr>
                <w:color w:val="auto"/>
                <w:sz w:val="18"/>
                <w:szCs w:val="18"/>
              </w:rPr>
              <w:t>物质及工艺系统危险性</w:t>
            </w:r>
          </w:p>
        </w:tc>
        <w:tc>
          <w:tcPr>
            <w:tcW w:w="1039" w:type="dxa"/>
            <w:shd w:val="clear" w:color="auto" w:fill="auto"/>
            <w:vAlign w:val="center"/>
          </w:tcPr>
          <w:p>
            <w:pPr>
              <w:jc w:val="center"/>
              <w:rPr>
                <w:color w:val="auto"/>
                <w:sz w:val="18"/>
                <w:szCs w:val="18"/>
              </w:rPr>
            </w:pPr>
            <w:r>
              <w:rPr>
                <w:color w:val="auto"/>
                <w:sz w:val="18"/>
                <w:szCs w:val="18"/>
              </w:rPr>
              <w:t>Q值</w:t>
            </w:r>
          </w:p>
        </w:tc>
        <w:tc>
          <w:tcPr>
            <w:tcW w:w="1433" w:type="dxa"/>
            <w:gridSpan w:val="5"/>
            <w:shd w:val="clear" w:color="auto" w:fill="auto"/>
            <w:vAlign w:val="center"/>
          </w:tcPr>
          <w:p>
            <w:pPr>
              <w:ind w:firstLine="360"/>
              <w:jc w:val="center"/>
              <w:rPr>
                <w:color w:val="auto"/>
                <w:sz w:val="18"/>
                <w:szCs w:val="18"/>
              </w:rPr>
            </w:pPr>
            <w:r>
              <w:rPr>
                <w:color w:val="auto"/>
                <w:sz w:val="18"/>
                <w:szCs w:val="18"/>
              </w:rPr>
              <w:t xml:space="preserve">Q＜1 </w:t>
            </w:r>
            <w:r>
              <w:rPr>
                <w:color w:val="auto"/>
                <w:szCs w:val="21"/>
              </w:rPr>
              <w:t>√</w:t>
            </w:r>
          </w:p>
        </w:tc>
        <w:tc>
          <w:tcPr>
            <w:tcW w:w="1434" w:type="dxa"/>
            <w:gridSpan w:val="7"/>
            <w:shd w:val="clear" w:color="auto" w:fill="auto"/>
            <w:vAlign w:val="center"/>
          </w:tcPr>
          <w:p>
            <w:pPr>
              <w:jc w:val="center"/>
              <w:rPr>
                <w:color w:val="auto"/>
                <w:sz w:val="18"/>
                <w:szCs w:val="18"/>
              </w:rPr>
            </w:pPr>
            <w:r>
              <w:rPr>
                <w:color w:val="auto"/>
                <w:sz w:val="18"/>
                <w:szCs w:val="18"/>
              </w:rPr>
              <w:t>1≤Q＜10 □</w:t>
            </w:r>
          </w:p>
        </w:tc>
        <w:tc>
          <w:tcPr>
            <w:tcW w:w="1434" w:type="dxa"/>
            <w:gridSpan w:val="6"/>
            <w:shd w:val="clear" w:color="auto" w:fill="auto"/>
            <w:vAlign w:val="center"/>
          </w:tcPr>
          <w:p>
            <w:pPr>
              <w:jc w:val="center"/>
              <w:rPr>
                <w:color w:val="auto"/>
                <w:sz w:val="18"/>
                <w:szCs w:val="18"/>
              </w:rPr>
            </w:pPr>
            <w:r>
              <w:rPr>
                <w:color w:val="auto"/>
                <w:sz w:val="18"/>
                <w:szCs w:val="18"/>
              </w:rPr>
              <w:t>10≤Q＜100 □</w:t>
            </w:r>
          </w:p>
        </w:tc>
        <w:tc>
          <w:tcPr>
            <w:tcW w:w="1446" w:type="dxa"/>
            <w:gridSpan w:val="4"/>
            <w:shd w:val="clear" w:color="auto" w:fill="auto"/>
            <w:vAlign w:val="center"/>
          </w:tcPr>
          <w:p>
            <w:pPr>
              <w:jc w:val="center"/>
              <w:rPr>
                <w:color w:val="auto"/>
                <w:sz w:val="18"/>
                <w:szCs w:val="18"/>
              </w:rPr>
            </w:pPr>
            <w:r>
              <w:rPr>
                <w:color w:val="auto"/>
                <w:sz w:val="18"/>
                <w:szCs w:val="18"/>
              </w:rPr>
              <w:t>Q＞100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458" w:type="dxa"/>
            <w:gridSpan w:val="2"/>
            <w:vMerge w:val="continue"/>
            <w:shd w:val="clear" w:color="auto" w:fill="auto"/>
            <w:vAlign w:val="center"/>
          </w:tcPr>
          <w:p>
            <w:pPr>
              <w:ind w:firstLine="360"/>
              <w:jc w:val="center"/>
              <w:rPr>
                <w:color w:val="auto"/>
                <w:sz w:val="18"/>
                <w:szCs w:val="18"/>
              </w:rPr>
            </w:pPr>
          </w:p>
        </w:tc>
        <w:tc>
          <w:tcPr>
            <w:tcW w:w="1039" w:type="dxa"/>
            <w:shd w:val="clear" w:color="auto" w:fill="auto"/>
            <w:vAlign w:val="center"/>
          </w:tcPr>
          <w:p>
            <w:pPr>
              <w:jc w:val="center"/>
              <w:rPr>
                <w:color w:val="auto"/>
                <w:sz w:val="18"/>
                <w:szCs w:val="18"/>
              </w:rPr>
            </w:pPr>
            <w:r>
              <w:rPr>
                <w:color w:val="auto"/>
                <w:sz w:val="18"/>
                <w:szCs w:val="18"/>
              </w:rPr>
              <w:t>M值</w:t>
            </w:r>
          </w:p>
        </w:tc>
        <w:tc>
          <w:tcPr>
            <w:tcW w:w="1433" w:type="dxa"/>
            <w:gridSpan w:val="5"/>
            <w:shd w:val="clear" w:color="auto" w:fill="auto"/>
            <w:vAlign w:val="center"/>
          </w:tcPr>
          <w:p>
            <w:pPr>
              <w:ind w:firstLine="360"/>
              <w:rPr>
                <w:color w:val="auto"/>
                <w:sz w:val="18"/>
                <w:szCs w:val="18"/>
              </w:rPr>
            </w:pPr>
            <w:r>
              <w:rPr>
                <w:color w:val="auto"/>
                <w:sz w:val="18"/>
                <w:szCs w:val="18"/>
              </w:rPr>
              <w:t>M1 □</w:t>
            </w:r>
          </w:p>
        </w:tc>
        <w:tc>
          <w:tcPr>
            <w:tcW w:w="1434" w:type="dxa"/>
            <w:gridSpan w:val="7"/>
            <w:shd w:val="clear" w:color="auto" w:fill="auto"/>
            <w:vAlign w:val="center"/>
          </w:tcPr>
          <w:p>
            <w:pPr>
              <w:jc w:val="center"/>
              <w:rPr>
                <w:color w:val="auto"/>
                <w:sz w:val="18"/>
                <w:szCs w:val="18"/>
              </w:rPr>
            </w:pPr>
            <w:r>
              <w:rPr>
                <w:color w:val="auto"/>
                <w:sz w:val="18"/>
                <w:szCs w:val="18"/>
              </w:rPr>
              <w:t>M2 □</w:t>
            </w:r>
          </w:p>
        </w:tc>
        <w:tc>
          <w:tcPr>
            <w:tcW w:w="1434" w:type="dxa"/>
            <w:gridSpan w:val="6"/>
            <w:shd w:val="clear" w:color="auto" w:fill="auto"/>
            <w:vAlign w:val="center"/>
          </w:tcPr>
          <w:p>
            <w:pPr>
              <w:ind w:firstLine="360"/>
              <w:jc w:val="center"/>
              <w:rPr>
                <w:color w:val="auto"/>
                <w:sz w:val="18"/>
                <w:szCs w:val="18"/>
              </w:rPr>
            </w:pPr>
            <w:r>
              <w:rPr>
                <w:color w:val="auto"/>
                <w:sz w:val="18"/>
                <w:szCs w:val="18"/>
              </w:rPr>
              <w:t>M3 □</w:t>
            </w:r>
          </w:p>
        </w:tc>
        <w:tc>
          <w:tcPr>
            <w:tcW w:w="1446" w:type="dxa"/>
            <w:gridSpan w:val="4"/>
            <w:shd w:val="clear" w:color="auto" w:fill="auto"/>
            <w:vAlign w:val="center"/>
          </w:tcPr>
          <w:p>
            <w:pPr>
              <w:ind w:firstLine="360"/>
              <w:jc w:val="center"/>
              <w:rPr>
                <w:color w:val="auto"/>
                <w:sz w:val="18"/>
                <w:szCs w:val="18"/>
              </w:rPr>
            </w:pPr>
            <w:r>
              <w:rPr>
                <w:color w:val="auto"/>
                <w:sz w:val="18"/>
                <w:szCs w:val="18"/>
              </w:rPr>
              <w:t xml:space="preserve">M4 </w:t>
            </w:r>
            <w:r>
              <w:rPr>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458" w:type="dxa"/>
            <w:gridSpan w:val="2"/>
            <w:vMerge w:val="continue"/>
            <w:shd w:val="clear" w:color="auto" w:fill="auto"/>
            <w:vAlign w:val="center"/>
          </w:tcPr>
          <w:p>
            <w:pPr>
              <w:ind w:firstLine="360"/>
              <w:jc w:val="center"/>
              <w:rPr>
                <w:color w:val="auto"/>
                <w:sz w:val="18"/>
                <w:szCs w:val="18"/>
              </w:rPr>
            </w:pPr>
          </w:p>
        </w:tc>
        <w:tc>
          <w:tcPr>
            <w:tcW w:w="1039" w:type="dxa"/>
            <w:shd w:val="clear" w:color="auto" w:fill="auto"/>
            <w:vAlign w:val="center"/>
          </w:tcPr>
          <w:p>
            <w:pPr>
              <w:jc w:val="center"/>
              <w:rPr>
                <w:color w:val="auto"/>
                <w:sz w:val="18"/>
                <w:szCs w:val="18"/>
              </w:rPr>
            </w:pPr>
            <w:r>
              <w:rPr>
                <w:color w:val="auto"/>
                <w:sz w:val="18"/>
                <w:szCs w:val="18"/>
              </w:rPr>
              <w:t>P值</w:t>
            </w:r>
          </w:p>
        </w:tc>
        <w:tc>
          <w:tcPr>
            <w:tcW w:w="1433" w:type="dxa"/>
            <w:gridSpan w:val="5"/>
            <w:shd w:val="clear" w:color="auto" w:fill="auto"/>
            <w:vAlign w:val="center"/>
          </w:tcPr>
          <w:p>
            <w:pPr>
              <w:ind w:firstLine="360"/>
              <w:rPr>
                <w:color w:val="auto"/>
                <w:sz w:val="18"/>
                <w:szCs w:val="18"/>
              </w:rPr>
            </w:pPr>
            <w:r>
              <w:rPr>
                <w:color w:val="auto"/>
                <w:sz w:val="18"/>
                <w:szCs w:val="18"/>
              </w:rPr>
              <w:t>P1 □</w:t>
            </w:r>
          </w:p>
        </w:tc>
        <w:tc>
          <w:tcPr>
            <w:tcW w:w="1434" w:type="dxa"/>
            <w:gridSpan w:val="7"/>
            <w:shd w:val="clear" w:color="auto" w:fill="auto"/>
            <w:vAlign w:val="center"/>
          </w:tcPr>
          <w:p>
            <w:pPr>
              <w:jc w:val="center"/>
              <w:rPr>
                <w:color w:val="auto"/>
                <w:sz w:val="18"/>
                <w:szCs w:val="18"/>
              </w:rPr>
            </w:pPr>
            <w:r>
              <w:rPr>
                <w:color w:val="auto"/>
                <w:sz w:val="18"/>
                <w:szCs w:val="18"/>
              </w:rPr>
              <w:t>P2 □</w:t>
            </w:r>
          </w:p>
        </w:tc>
        <w:tc>
          <w:tcPr>
            <w:tcW w:w="1434" w:type="dxa"/>
            <w:gridSpan w:val="6"/>
            <w:shd w:val="clear" w:color="auto" w:fill="auto"/>
            <w:vAlign w:val="center"/>
          </w:tcPr>
          <w:p>
            <w:pPr>
              <w:ind w:firstLine="360"/>
              <w:jc w:val="center"/>
              <w:rPr>
                <w:color w:val="auto"/>
                <w:sz w:val="18"/>
                <w:szCs w:val="18"/>
              </w:rPr>
            </w:pPr>
            <w:r>
              <w:rPr>
                <w:color w:val="auto"/>
                <w:sz w:val="18"/>
                <w:szCs w:val="18"/>
              </w:rPr>
              <w:t>P3 □</w:t>
            </w:r>
          </w:p>
        </w:tc>
        <w:tc>
          <w:tcPr>
            <w:tcW w:w="1446" w:type="dxa"/>
            <w:gridSpan w:val="4"/>
            <w:shd w:val="clear" w:color="auto" w:fill="auto"/>
            <w:vAlign w:val="center"/>
          </w:tcPr>
          <w:p>
            <w:pPr>
              <w:ind w:firstLine="360"/>
              <w:jc w:val="center"/>
              <w:rPr>
                <w:color w:val="auto"/>
                <w:sz w:val="18"/>
                <w:szCs w:val="18"/>
              </w:rPr>
            </w:pPr>
            <w:r>
              <w:rPr>
                <w:color w:val="auto"/>
                <w:sz w:val="18"/>
                <w:szCs w:val="18"/>
              </w:rPr>
              <w:t xml:space="preserve">P4 </w:t>
            </w:r>
            <w:r>
              <w:rPr>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458" w:type="dxa"/>
            <w:gridSpan w:val="2"/>
            <w:vMerge w:val="restart"/>
            <w:shd w:val="clear" w:color="auto" w:fill="auto"/>
            <w:vAlign w:val="center"/>
          </w:tcPr>
          <w:p>
            <w:pPr>
              <w:jc w:val="center"/>
              <w:rPr>
                <w:color w:val="auto"/>
                <w:sz w:val="18"/>
                <w:szCs w:val="18"/>
              </w:rPr>
            </w:pPr>
            <w:r>
              <w:rPr>
                <w:color w:val="auto"/>
                <w:sz w:val="18"/>
                <w:szCs w:val="18"/>
              </w:rPr>
              <w:t>环境敏感程度</w:t>
            </w:r>
          </w:p>
        </w:tc>
        <w:tc>
          <w:tcPr>
            <w:tcW w:w="1039" w:type="dxa"/>
            <w:shd w:val="clear" w:color="auto" w:fill="auto"/>
            <w:vAlign w:val="center"/>
          </w:tcPr>
          <w:p>
            <w:pPr>
              <w:jc w:val="center"/>
              <w:rPr>
                <w:color w:val="auto"/>
                <w:sz w:val="18"/>
                <w:szCs w:val="18"/>
              </w:rPr>
            </w:pPr>
            <w:r>
              <w:rPr>
                <w:color w:val="auto"/>
                <w:sz w:val="18"/>
                <w:szCs w:val="18"/>
              </w:rPr>
              <w:t>大气</w:t>
            </w:r>
          </w:p>
        </w:tc>
        <w:tc>
          <w:tcPr>
            <w:tcW w:w="1912" w:type="dxa"/>
            <w:gridSpan w:val="8"/>
            <w:shd w:val="clear" w:color="auto" w:fill="auto"/>
            <w:vAlign w:val="center"/>
          </w:tcPr>
          <w:p>
            <w:pPr>
              <w:jc w:val="center"/>
              <w:rPr>
                <w:color w:val="auto"/>
                <w:sz w:val="18"/>
                <w:szCs w:val="18"/>
              </w:rPr>
            </w:pPr>
            <w:r>
              <w:rPr>
                <w:color w:val="auto"/>
                <w:sz w:val="18"/>
                <w:szCs w:val="18"/>
              </w:rPr>
              <w:t xml:space="preserve">E1 </w:t>
            </w:r>
            <w:r>
              <w:rPr>
                <w:color w:val="auto"/>
                <w:szCs w:val="21"/>
              </w:rPr>
              <w:t>√</w:t>
            </w:r>
          </w:p>
        </w:tc>
        <w:tc>
          <w:tcPr>
            <w:tcW w:w="1912" w:type="dxa"/>
            <w:gridSpan w:val="8"/>
            <w:shd w:val="clear" w:color="auto" w:fill="auto"/>
            <w:vAlign w:val="center"/>
          </w:tcPr>
          <w:p>
            <w:pPr>
              <w:jc w:val="center"/>
              <w:rPr>
                <w:color w:val="auto"/>
                <w:sz w:val="18"/>
                <w:szCs w:val="18"/>
              </w:rPr>
            </w:pPr>
            <w:r>
              <w:rPr>
                <w:color w:val="auto"/>
                <w:sz w:val="18"/>
                <w:szCs w:val="18"/>
              </w:rPr>
              <w:t>E2□</w:t>
            </w:r>
          </w:p>
        </w:tc>
        <w:tc>
          <w:tcPr>
            <w:tcW w:w="1923" w:type="dxa"/>
            <w:gridSpan w:val="6"/>
            <w:shd w:val="clear" w:color="auto" w:fill="auto"/>
            <w:vAlign w:val="center"/>
          </w:tcPr>
          <w:p>
            <w:pPr>
              <w:jc w:val="center"/>
              <w:rPr>
                <w:color w:val="auto"/>
                <w:sz w:val="18"/>
                <w:szCs w:val="18"/>
              </w:rPr>
            </w:pPr>
            <w:r>
              <w:rPr>
                <w:color w:val="auto"/>
                <w:sz w:val="18"/>
                <w:szCs w:val="18"/>
              </w:rPr>
              <w:t>E3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458" w:type="dxa"/>
            <w:gridSpan w:val="2"/>
            <w:vMerge w:val="continue"/>
            <w:shd w:val="clear" w:color="auto" w:fill="auto"/>
            <w:vAlign w:val="center"/>
          </w:tcPr>
          <w:p>
            <w:pPr>
              <w:ind w:firstLine="360"/>
              <w:jc w:val="center"/>
              <w:rPr>
                <w:color w:val="auto"/>
                <w:sz w:val="18"/>
                <w:szCs w:val="18"/>
              </w:rPr>
            </w:pPr>
          </w:p>
        </w:tc>
        <w:tc>
          <w:tcPr>
            <w:tcW w:w="1039" w:type="dxa"/>
            <w:shd w:val="clear" w:color="auto" w:fill="auto"/>
            <w:vAlign w:val="center"/>
          </w:tcPr>
          <w:p>
            <w:pPr>
              <w:jc w:val="center"/>
              <w:rPr>
                <w:color w:val="auto"/>
                <w:sz w:val="18"/>
                <w:szCs w:val="18"/>
              </w:rPr>
            </w:pPr>
            <w:r>
              <w:rPr>
                <w:color w:val="auto"/>
                <w:sz w:val="18"/>
                <w:szCs w:val="18"/>
              </w:rPr>
              <w:t>地表水</w:t>
            </w:r>
          </w:p>
        </w:tc>
        <w:tc>
          <w:tcPr>
            <w:tcW w:w="1912" w:type="dxa"/>
            <w:gridSpan w:val="8"/>
            <w:shd w:val="clear" w:color="auto" w:fill="auto"/>
            <w:vAlign w:val="center"/>
          </w:tcPr>
          <w:p>
            <w:pPr>
              <w:jc w:val="center"/>
              <w:rPr>
                <w:color w:val="auto"/>
                <w:sz w:val="18"/>
                <w:szCs w:val="18"/>
              </w:rPr>
            </w:pPr>
            <w:r>
              <w:rPr>
                <w:color w:val="auto"/>
                <w:sz w:val="18"/>
                <w:szCs w:val="18"/>
              </w:rPr>
              <w:t>E1 □</w:t>
            </w:r>
          </w:p>
        </w:tc>
        <w:tc>
          <w:tcPr>
            <w:tcW w:w="1912" w:type="dxa"/>
            <w:gridSpan w:val="8"/>
            <w:shd w:val="clear" w:color="auto" w:fill="auto"/>
            <w:vAlign w:val="center"/>
          </w:tcPr>
          <w:p>
            <w:pPr>
              <w:jc w:val="center"/>
              <w:rPr>
                <w:color w:val="auto"/>
                <w:sz w:val="18"/>
                <w:szCs w:val="18"/>
              </w:rPr>
            </w:pPr>
            <w:r>
              <w:rPr>
                <w:color w:val="auto"/>
                <w:sz w:val="18"/>
                <w:szCs w:val="18"/>
              </w:rPr>
              <w:t>E2 □</w:t>
            </w:r>
          </w:p>
        </w:tc>
        <w:tc>
          <w:tcPr>
            <w:tcW w:w="1923" w:type="dxa"/>
            <w:gridSpan w:val="6"/>
            <w:shd w:val="clear" w:color="auto" w:fill="auto"/>
            <w:vAlign w:val="center"/>
          </w:tcPr>
          <w:p>
            <w:pPr>
              <w:jc w:val="center"/>
              <w:rPr>
                <w:color w:val="auto"/>
                <w:sz w:val="18"/>
                <w:szCs w:val="18"/>
              </w:rPr>
            </w:pPr>
            <w:r>
              <w:rPr>
                <w:color w:val="auto"/>
                <w:sz w:val="18"/>
                <w:szCs w:val="18"/>
              </w:rPr>
              <w:t xml:space="preserve">E3 </w:t>
            </w:r>
            <w:r>
              <w:rPr>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458" w:type="dxa"/>
            <w:gridSpan w:val="2"/>
            <w:vMerge w:val="continue"/>
            <w:shd w:val="clear" w:color="auto" w:fill="auto"/>
            <w:vAlign w:val="center"/>
          </w:tcPr>
          <w:p>
            <w:pPr>
              <w:ind w:firstLine="360"/>
              <w:jc w:val="center"/>
              <w:rPr>
                <w:color w:val="auto"/>
                <w:sz w:val="18"/>
                <w:szCs w:val="18"/>
              </w:rPr>
            </w:pPr>
          </w:p>
        </w:tc>
        <w:tc>
          <w:tcPr>
            <w:tcW w:w="1039" w:type="dxa"/>
            <w:shd w:val="clear" w:color="auto" w:fill="auto"/>
            <w:vAlign w:val="center"/>
          </w:tcPr>
          <w:p>
            <w:pPr>
              <w:jc w:val="center"/>
              <w:rPr>
                <w:color w:val="auto"/>
                <w:sz w:val="18"/>
                <w:szCs w:val="18"/>
              </w:rPr>
            </w:pPr>
            <w:r>
              <w:rPr>
                <w:color w:val="auto"/>
                <w:sz w:val="18"/>
                <w:szCs w:val="18"/>
              </w:rPr>
              <w:t>地下水</w:t>
            </w:r>
          </w:p>
        </w:tc>
        <w:tc>
          <w:tcPr>
            <w:tcW w:w="1912" w:type="dxa"/>
            <w:gridSpan w:val="8"/>
            <w:shd w:val="clear" w:color="auto" w:fill="auto"/>
            <w:vAlign w:val="center"/>
          </w:tcPr>
          <w:p>
            <w:pPr>
              <w:jc w:val="center"/>
              <w:rPr>
                <w:color w:val="auto"/>
                <w:sz w:val="18"/>
                <w:szCs w:val="18"/>
              </w:rPr>
            </w:pPr>
            <w:r>
              <w:rPr>
                <w:color w:val="auto"/>
                <w:sz w:val="18"/>
                <w:szCs w:val="18"/>
              </w:rPr>
              <w:t>E1 □</w:t>
            </w:r>
          </w:p>
        </w:tc>
        <w:tc>
          <w:tcPr>
            <w:tcW w:w="1912" w:type="dxa"/>
            <w:gridSpan w:val="8"/>
            <w:shd w:val="clear" w:color="auto" w:fill="auto"/>
            <w:vAlign w:val="center"/>
          </w:tcPr>
          <w:p>
            <w:pPr>
              <w:jc w:val="center"/>
              <w:rPr>
                <w:color w:val="auto"/>
                <w:sz w:val="18"/>
                <w:szCs w:val="18"/>
              </w:rPr>
            </w:pPr>
            <w:r>
              <w:rPr>
                <w:color w:val="auto"/>
                <w:sz w:val="18"/>
                <w:szCs w:val="18"/>
              </w:rPr>
              <w:t xml:space="preserve">E2 </w:t>
            </w:r>
            <w:r>
              <w:rPr>
                <w:color w:val="auto"/>
                <w:szCs w:val="21"/>
              </w:rPr>
              <w:t>√</w:t>
            </w:r>
          </w:p>
        </w:tc>
        <w:tc>
          <w:tcPr>
            <w:tcW w:w="1923" w:type="dxa"/>
            <w:gridSpan w:val="6"/>
            <w:shd w:val="clear" w:color="auto" w:fill="auto"/>
            <w:vAlign w:val="center"/>
          </w:tcPr>
          <w:p>
            <w:pPr>
              <w:jc w:val="center"/>
              <w:rPr>
                <w:color w:val="auto"/>
                <w:sz w:val="18"/>
                <w:szCs w:val="18"/>
              </w:rPr>
            </w:pPr>
            <w:r>
              <w:rPr>
                <w:color w:val="auto"/>
                <w:sz w:val="18"/>
                <w:szCs w:val="18"/>
              </w:rPr>
              <w:t>E3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458" w:type="dxa"/>
            <w:gridSpan w:val="2"/>
            <w:shd w:val="clear" w:color="auto" w:fill="auto"/>
            <w:vAlign w:val="center"/>
          </w:tcPr>
          <w:p>
            <w:pPr>
              <w:jc w:val="center"/>
              <w:rPr>
                <w:color w:val="auto"/>
                <w:sz w:val="18"/>
                <w:szCs w:val="18"/>
              </w:rPr>
            </w:pPr>
            <w:r>
              <w:rPr>
                <w:color w:val="auto"/>
                <w:sz w:val="18"/>
                <w:szCs w:val="18"/>
              </w:rPr>
              <w:t>环境风险潜势</w:t>
            </w:r>
          </w:p>
        </w:tc>
        <w:tc>
          <w:tcPr>
            <w:tcW w:w="1353" w:type="dxa"/>
            <w:gridSpan w:val="2"/>
            <w:shd w:val="clear" w:color="auto" w:fill="auto"/>
            <w:vAlign w:val="center"/>
          </w:tcPr>
          <w:p>
            <w:pPr>
              <w:ind w:firstLine="360"/>
              <w:jc w:val="center"/>
              <w:rPr>
                <w:color w:val="auto"/>
                <w:sz w:val="18"/>
                <w:szCs w:val="18"/>
              </w:rPr>
            </w:pPr>
            <w:r>
              <w:rPr>
                <w:rFonts w:hint="eastAsia" w:ascii="宋体" w:hAnsi="宋体" w:cs="宋体"/>
                <w:color w:val="auto"/>
                <w:sz w:val="18"/>
                <w:szCs w:val="18"/>
              </w:rPr>
              <w:t>Ⅳ</w:t>
            </w:r>
            <w:r>
              <w:rPr>
                <w:color w:val="auto"/>
                <w:sz w:val="18"/>
                <w:szCs w:val="18"/>
                <w:vertAlign w:val="superscript"/>
              </w:rPr>
              <w:t>+</w:t>
            </w:r>
            <w:r>
              <w:rPr>
                <w:color w:val="auto"/>
                <w:sz w:val="18"/>
                <w:szCs w:val="18"/>
              </w:rPr>
              <w:t xml:space="preserve"> □</w:t>
            </w:r>
          </w:p>
        </w:tc>
        <w:tc>
          <w:tcPr>
            <w:tcW w:w="1355" w:type="dxa"/>
            <w:gridSpan w:val="6"/>
            <w:shd w:val="clear" w:color="auto" w:fill="auto"/>
            <w:vAlign w:val="center"/>
          </w:tcPr>
          <w:p>
            <w:pPr>
              <w:ind w:firstLine="360"/>
              <w:jc w:val="center"/>
              <w:rPr>
                <w:color w:val="auto"/>
                <w:sz w:val="18"/>
                <w:szCs w:val="18"/>
              </w:rPr>
            </w:pPr>
            <w:r>
              <w:rPr>
                <w:rFonts w:hint="eastAsia" w:ascii="宋体" w:hAnsi="宋体" w:cs="宋体"/>
                <w:color w:val="auto"/>
                <w:sz w:val="18"/>
                <w:szCs w:val="18"/>
              </w:rPr>
              <w:t>Ⅳ</w:t>
            </w:r>
            <w:r>
              <w:rPr>
                <w:color w:val="auto"/>
                <w:sz w:val="18"/>
                <w:szCs w:val="18"/>
              </w:rPr>
              <w:t xml:space="preserve"> □</w:t>
            </w:r>
          </w:p>
        </w:tc>
        <w:tc>
          <w:tcPr>
            <w:tcW w:w="1356" w:type="dxa"/>
            <w:gridSpan w:val="6"/>
            <w:shd w:val="clear" w:color="auto" w:fill="auto"/>
            <w:vAlign w:val="center"/>
          </w:tcPr>
          <w:p>
            <w:pPr>
              <w:ind w:firstLine="360"/>
              <w:jc w:val="center"/>
              <w:rPr>
                <w:color w:val="auto"/>
                <w:sz w:val="18"/>
                <w:szCs w:val="18"/>
              </w:rPr>
            </w:pPr>
            <w:r>
              <w:rPr>
                <w:rFonts w:hint="eastAsia" w:ascii="宋体" w:hAnsi="宋体" w:cs="宋体"/>
                <w:color w:val="auto"/>
                <w:sz w:val="18"/>
                <w:szCs w:val="18"/>
              </w:rPr>
              <w:t>Ⅲ</w:t>
            </w:r>
            <w:r>
              <w:rPr>
                <w:color w:val="auto"/>
                <w:sz w:val="18"/>
                <w:szCs w:val="18"/>
              </w:rPr>
              <w:t xml:space="preserve"> □</w:t>
            </w:r>
          </w:p>
        </w:tc>
        <w:tc>
          <w:tcPr>
            <w:tcW w:w="1355" w:type="dxa"/>
            <w:gridSpan w:val="7"/>
            <w:shd w:val="clear" w:color="auto" w:fill="auto"/>
            <w:vAlign w:val="center"/>
          </w:tcPr>
          <w:p>
            <w:pPr>
              <w:ind w:firstLine="360"/>
              <w:jc w:val="center"/>
              <w:rPr>
                <w:color w:val="auto"/>
                <w:sz w:val="18"/>
                <w:szCs w:val="18"/>
              </w:rPr>
            </w:pPr>
            <w:r>
              <w:rPr>
                <w:rFonts w:hint="eastAsia" w:ascii="宋体" w:hAnsi="宋体" w:cs="宋体"/>
                <w:color w:val="auto"/>
                <w:sz w:val="18"/>
                <w:szCs w:val="18"/>
              </w:rPr>
              <w:t>Ⅱ</w:t>
            </w:r>
            <w:r>
              <w:rPr>
                <w:color w:val="auto"/>
                <w:sz w:val="18"/>
                <w:szCs w:val="18"/>
              </w:rPr>
              <w:t xml:space="preserve"> □</w:t>
            </w:r>
          </w:p>
        </w:tc>
        <w:tc>
          <w:tcPr>
            <w:tcW w:w="1367" w:type="dxa"/>
            <w:gridSpan w:val="2"/>
            <w:shd w:val="clear" w:color="auto" w:fill="auto"/>
            <w:vAlign w:val="center"/>
          </w:tcPr>
          <w:p>
            <w:pPr>
              <w:ind w:firstLine="360"/>
              <w:jc w:val="center"/>
              <w:rPr>
                <w:color w:val="auto"/>
                <w:sz w:val="18"/>
                <w:szCs w:val="18"/>
              </w:rPr>
            </w:pPr>
            <w:r>
              <w:rPr>
                <w:color w:val="auto"/>
                <w:sz w:val="18"/>
                <w:szCs w:val="18"/>
              </w:rPr>
              <w:t>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458" w:type="dxa"/>
            <w:gridSpan w:val="2"/>
            <w:shd w:val="clear" w:color="auto" w:fill="auto"/>
            <w:vAlign w:val="center"/>
          </w:tcPr>
          <w:p>
            <w:pPr>
              <w:jc w:val="center"/>
              <w:rPr>
                <w:color w:val="auto"/>
                <w:sz w:val="18"/>
                <w:szCs w:val="18"/>
              </w:rPr>
            </w:pPr>
            <w:r>
              <w:rPr>
                <w:color w:val="auto"/>
                <w:sz w:val="18"/>
                <w:szCs w:val="18"/>
              </w:rPr>
              <w:t>评价等级</w:t>
            </w:r>
          </w:p>
        </w:tc>
        <w:tc>
          <w:tcPr>
            <w:tcW w:w="1695" w:type="dxa"/>
            <w:gridSpan w:val="3"/>
            <w:shd w:val="clear" w:color="auto" w:fill="auto"/>
            <w:vAlign w:val="center"/>
          </w:tcPr>
          <w:p>
            <w:pPr>
              <w:jc w:val="center"/>
              <w:rPr>
                <w:color w:val="auto"/>
                <w:sz w:val="18"/>
                <w:szCs w:val="18"/>
              </w:rPr>
            </w:pPr>
            <w:r>
              <w:rPr>
                <w:color w:val="auto"/>
                <w:sz w:val="18"/>
                <w:szCs w:val="18"/>
              </w:rPr>
              <w:t>一级 □</w:t>
            </w:r>
          </w:p>
        </w:tc>
        <w:tc>
          <w:tcPr>
            <w:tcW w:w="1696" w:type="dxa"/>
            <w:gridSpan w:val="7"/>
            <w:shd w:val="clear" w:color="auto" w:fill="auto"/>
            <w:vAlign w:val="center"/>
          </w:tcPr>
          <w:p>
            <w:pPr>
              <w:jc w:val="center"/>
              <w:rPr>
                <w:color w:val="auto"/>
                <w:sz w:val="18"/>
                <w:szCs w:val="18"/>
              </w:rPr>
            </w:pPr>
            <w:r>
              <w:rPr>
                <w:color w:val="auto"/>
                <w:sz w:val="18"/>
                <w:szCs w:val="18"/>
              </w:rPr>
              <w:t>二级  □</w:t>
            </w:r>
          </w:p>
        </w:tc>
        <w:tc>
          <w:tcPr>
            <w:tcW w:w="1696" w:type="dxa"/>
            <w:gridSpan w:val="8"/>
            <w:shd w:val="clear" w:color="auto" w:fill="auto"/>
            <w:vAlign w:val="center"/>
          </w:tcPr>
          <w:p>
            <w:pPr>
              <w:ind w:firstLine="360"/>
              <w:jc w:val="center"/>
              <w:rPr>
                <w:color w:val="auto"/>
                <w:sz w:val="18"/>
                <w:szCs w:val="18"/>
              </w:rPr>
            </w:pPr>
            <w:r>
              <w:rPr>
                <w:color w:val="auto"/>
                <w:sz w:val="18"/>
                <w:szCs w:val="18"/>
              </w:rPr>
              <w:t>三级 □</w:t>
            </w:r>
          </w:p>
        </w:tc>
        <w:tc>
          <w:tcPr>
            <w:tcW w:w="1699" w:type="dxa"/>
            <w:gridSpan w:val="5"/>
            <w:shd w:val="clear" w:color="auto" w:fill="auto"/>
            <w:vAlign w:val="center"/>
          </w:tcPr>
          <w:p>
            <w:pPr>
              <w:ind w:firstLine="360"/>
              <w:jc w:val="center"/>
              <w:rPr>
                <w:color w:val="auto"/>
                <w:sz w:val="18"/>
                <w:szCs w:val="18"/>
              </w:rPr>
            </w:pPr>
            <w:r>
              <w:rPr>
                <w:color w:val="auto"/>
                <w:sz w:val="18"/>
                <w:szCs w:val="18"/>
              </w:rPr>
              <w:t>简单分析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restart"/>
            <w:shd w:val="clear" w:color="auto" w:fill="auto"/>
            <w:vAlign w:val="center"/>
          </w:tcPr>
          <w:p>
            <w:pPr>
              <w:jc w:val="center"/>
              <w:rPr>
                <w:color w:val="auto"/>
                <w:sz w:val="18"/>
                <w:szCs w:val="18"/>
              </w:rPr>
            </w:pPr>
            <w:r>
              <w:rPr>
                <w:color w:val="auto"/>
                <w:sz w:val="18"/>
                <w:szCs w:val="18"/>
              </w:rPr>
              <w:t>风</w:t>
            </w:r>
          </w:p>
          <w:p>
            <w:pPr>
              <w:jc w:val="center"/>
              <w:rPr>
                <w:color w:val="auto"/>
                <w:sz w:val="18"/>
                <w:szCs w:val="18"/>
              </w:rPr>
            </w:pPr>
            <w:r>
              <w:rPr>
                <w:color w:val="auto"/>
                <w:sz w:val="18"/>
                <w:szCs w:val="18"/>
              </w:rPr>
              <w:t>险</w:t>
            </w:r>
          </w:p>
          <w:p>
            <w:pPr>
              <w:jc w:val="center"/>
              <w:rPr>
                <w:color w:val="auto"/>
                <w:sz w:val="18"/>
                <w:szCs w:val="18"/>
              </w:rPr>
            </w:pPr>
            <w:r>
              <w:rPr>
                <w:color w:val="auto"/>
                <w:sz w:val="18"/>
                <w:szCs w:val="18"/>
              </w:rPr>
              <w:t>识</w:t>
            </w:r>
          </w:p>
          <w:p>
            <w:pPr>
              <w:jc w:val="center"/>
              <w:rPr>
                <w:color w:val="auto"/>
                <w:sz w:val="18"/>
                <w:szCs w:val="18"/>
              </w:rPr>
            </w:pPr>
            <w:r>
              <w:rPr>
                <w:color w:val="auto"/>
                <w:sz w:val="18"/>
                <w:szCs w:val="18"/>
              </w:rPr>
              <w:t>别</w:t>
            </w:r>
          </w:p>
        </w:tc>
        <w:tc>
          <w:tcPr>
            <w:tcW w:w="1518" w:type="dxa"/>
            <w:shd w:val="clear" w:color="auto" w:fill="auto"/>
            <w:vAlign w:val="center"/>
          </w:tcPr>
          <w:p>
            <w:pPr>
              <w:jc w:val="center"/>
              <w:rPr>
                <w:color w:val="auto"/>
                <w:sz w:val="18"/>
                <w:szCs w:val="18"/>
              </w:rPr>
            </w:pPr>
            <w:r>
              <w:rPr>
                <w:color w:val="auto"/>
                <w:sz w:val="18"/>
                <w:szCs w:val="18"/>
              </w:rPr>
              <w:t>物质危险性</w:t>
            </w:r>
          </w:p>
        </w:tc>
        <w:tc>
          <w:tcPr>
            <w:tcW w:w="3391" w:type="dxa"/>
            <w:gridSpan w:val="10"/>
            <w:shd w:val="clear" w:color="auto" w:fill="auto"/>
            <w:vAlign w:val="center"/>
          </w:tcPr>
          <w:p>
            <w:pPr>
              <w:jc w:val="center"/>
              <w:rPr>
                <w:color w:val="auto"/>
                <w:sz w:val="18"/>
                <w:szCs w:val="18"/>
              </w:rPr>
            </w:pPr>
            <w:r>
              <w:rPr>
                <w:color w:val="auto"/>
                <w:sz w:val="18"/>
                <w:szCs w:val="18"/>
              </w:rPr>
              <w:t xml:space="preserve">有毒有害 </w:t>
            </w:r>
            <w:r>
              <w:rPr>
                <w:color w:val="auto"/>
                <w:sz w:val="18"/>
                <w:szCs w:val="18"/>
              </w:rPr>
              <w:sym w:font="Wingdings 2" w:char="0052"/>
            </w:r>
          </w:p>
        </w:tc>
        <w:tc>
          <w:tcPr>
            <w:tcW w:w="3395" w:type="dxa"/>
            <w:gridSpan w:val="13"/>
            <w:shd w:val="clear" w:color="auto" w:fill="auto"/>
            <w:vAlign w:val="center"/>
          </w:tcPr>
          <w:p>
            <w:pPr>
              <w:jc w:val="center"/>
              <w:rPr>
                <w:color w:val="auto"/>
                <w:sz w:val="18"/>
                <w:szCs w:val="18"/>
              </w:rPr>
            </w:pPr>
            <w:r>
              <w:rPr>
                <w:color w:val="auto"/>
                <w:sz w:val="18"/>
                <w:szCs w:val="18"/>
              </w:rPr>
              <w:t>易燃易爆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continue"/>
            <w:shd w:val="clear" w:color="auto" w:fill="auto"/>
            <w:vAlign w:val="center"/>
          </w:tcPr>
          <w:p>
            <w:pPr>
              <w:ind w:firstLine="360"/>
              <w:jc w:val="center"/>
              <w:rPr>
                <w:color w:val="auto"/>
                <w:sz w:val="18"/>
                <w:szCs w:val="18"/>
              </w:rPr>
            </w:pPr>
          </w:p>
        </w:tc>
        <w:tc>
          <w:tcPr>
            <w:tcW w:w="1518" w:type="dxa"/>
            <w:shd w:val="clear" w:color="auto" w:fill="auto"/>
            <w:vAlign w:val="center"/>
          </w:tcPr>
          <w:p>
            <w:pPr>
              <w:jc w:val="center"/>
              <w:rPr>
                <w:color w:val="auto"/>
                <w:sz w:val="18"/>
                <w:szCs w:val="18"/>
              </w:rPr>
            </w:pPr>
            <w:r>
              <w:rPr>
                <w:color w:val="auto"/>
                <w:sz w:val="18"/>
                <w:szCs w:val="18"/>
              </w:rPr>
              <w:t>环境风险类型</w:t>
            </w:r>
          </w:p>
        </w:tc>
        <w:tc>
          <w:tcPr>
            <w:tcW w:w="3391" w:type="dxa"/>
            <w:gridSpan w:val="10"/>
            <w:shd w:val="clear" w:color="auto" w:fill="auto"/>
            <w:vAlign w:val="center"/>
          </w:tcPr>
          <w:p>
            <w:pPr>
              <w:jc w:val="center"/>
              <w:rPr>
                <w:color w:val="auto"/>
                <w:sz w:val="18"/>
                <w:szCs w:val="18"/>
              </w:rPr>
            </w:pPr>
            <w:r>
              <w:rPr>
                <w:color w:val="auto"/>
                <w:sz w:val="18"/>
                <w:szCs w:val="18"/>
              </w:rPr>
              <w:t>泄漏</w:t>
            </w:r>
            <w:r>
              <w:rPr>
                <w:color w:val="auto"/>
                <w:sz w:val="18"/>
                <w:szCs w:val="18"/>
              </w:rPr>
              <w:sym w:font="Wingdings 2" w:char="0052"/>
            </w:r>
          </w:p>
        </w:tc>
        <w:tc>
          <w:tcPr>
            <w:tcW w:w="3395" w:type="dxa"/>
            <w:gridSpan w:val="13"/>
            <w:shd w:val="clear" w:color="auto" w:fill="auto"/>
            <w:vAlign w:val="center"/>
          </w:tcPr>
          <w:p>
            <w:pPr>
              <w:rPr>
                <w:color w:val="auto"/>
                <w:sz w:val="18"/>
                <w:szCs w:val="18"/>
              </w:rPr>
            </w:pPr>
            <w:r>
              <w:rPr>
                <w:color w:val="auto"/>
                <w:sz w:val="18"/>
                <w:szCs w:val="18"/>
              </w:rPr>
              <w:t>火灾、爆炸引发伴生/次生污染物排放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continue"/>
            <w:shd w:val="clear" w:color="auto" w:fill="auto"/>
            <w:vAlign w:val="center"/>
          </w:tcPr>
          <w:p>
            <w:pPr>
              <w:ind w:firstLine="360"/>
              <w:jc w:val="center"/>
              <w:rPr>
                <w:color w:val="auto"/>
                <w:sz w:val="18"/>
                <w:szCs w:val="18"/>
              </w:rPr>
            </w:pPr>
          </w:p>
        </w:tc>
        <w:tc>
          <w:tcPr>
            <w:tcW w:w="1518" w:type="dxa"/>
            <w:shd w:val="clear" w:color="auto" w:fill="auto"/>
            <w:vAlign w:val="center"/>
          </w:tcPr>
          <w:p>
            <w:pPr>
              <w:jc w:val="center"/>
              <w:rPr>
                <w:color w:val="auto"/>
                <w:sz w:val="18"/>
                <w:szCs w:val="18"/>
              </w:rPr>
            </w:pPr>
            <w:r>
              <w:rPr>
                <w:color w:val="auto"/>
                <w:sz w:val="18"/>
                <w:szCs w:val="18"/>
              </w:rPr>
              <w:t>影响途径</w:t>
            </w:r>
          </w:p>
        </w:tc>
        <w:tc>
          <w:tcPr>
            <w:tcW w:w="2257" w:type="dxa"/>
            <w:gridSpan w:val="5"/>
            <w:shd w:val="clear" w:color="auto" w:fill="auto"/>
            <w:vAlign w:val="center"/>
          </w:tcPr>
          <w:p>
            <w:pPr>
              <w:jc w:val="center"/>
              <w:rPr>
                <w:color w:val="auto"/>
                <w:sz w:val="18"/>
                <w:szCs w:val="18"/>
              </w:rPr>
            </w:pPr>
            <w:r>
              <w:rPr>
                <w:color w:val="auto"/>
                <w:sz w:val="18"/>
                <w:szCs w:val="18"/>
              </w:rPr>
              <w:t xml:space="preserve">大气 </w:t>
            </w:r>
            <w:r>
              <w:rPr>
                <w:color w:val="auto"/>
                <w:sz w:val="18"/>
                <w:szCs w:val="18"/>
              </w:rPr>
              <w:sym w:font="Wingdings 2" w:char="0052"/>
            </w:r>
          </w:p>
        </w:tc>
        <w:tc>
          <w:tcPr>
            <w:tcW w:w="2259" w:type="dxa"/>
            <w:gridSpan w:val="10"/>
            <w:shd w:val="clear" w:color="auto" w:fill="auto"/>
            <w:vAlign w:val="center"/>
          </w:tcPr>
          <w:p>
            <w:pPr>
              <w:jc w:val="center"/>
              <w:rPr>
                <w:color w:val="auto"/>
                <w:sz w:val="18"/>
                <w:szCs w:val="18"/>
              </w:rPr>
            </w:pPr>
            <w:r>
              <w:rPr>
                <w:color w:val="auto"/>
                <w:sz w:val="18"/>
                <w:szCs w:val="18"/>
              </w:rPr>
              <w:t>地表水 □</w:t>
            </w:r>
          </w:p>
        </w:tc>
        <w:tc>
          <w:tcPr>
            <w:tcW w:w="2270" w:type="dxa"/>
            <w:gridSpan w:val="8"/>
            <w:shd w:val="clear" w:color="auto" w:fill="auto"/>
            <w:vAlign w:val="center"/>
          </w:tcPr>
          <w:p>
            <w:pPr>
              <w:jc w:val="center"/>
              <w:rPr>
                <w:color w:val="auto"/>
                <w:sz w:val="18"/>
                <w:szCs w:val="18"/>
              </w:rPr>
            </w:pPr>
            <w:r>
              <w:rPr>
                <w:color w:val="auto"/>
                <w:sz w:val="18"/>
                <w:szCs w:val="18"/>
              </w:rPr>
              <w:t xml:space="preserve">地下水 </w:t>
            </w:r>
            <w:r>
              <w:rPr>
                <w:color w:val="auto"/>
                <w:sz w:val="18"/>
                <w:szCs w:val="18"/>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458" w:type="dxa"/>
            <w:gridSpan w:val="2"/>
            <w:shd w:val="clear" w:color="auto" w:fill="auto"/>
            <w:vAlign w:val="center"/>
          </w:tcPr>
          <w:p>
            <w:pPr>
              <w:jc w:val="center"/>
              <w:rPr>
                <w:color w:val="auto"/>
                <w:sz w:val="18"/>
                <w:szCs w:val="18"/>
              </w:rPr>
            </w:pPr>
            <w:r>
              <w:rPr>
                <w:color w:val="auto"/>
                <w:sz w:val="18"/>
                <w:szCs w:val="18"/>
              </w:rPr>
              <w:t>事故情形分析</w:t>
            </w:r>
          </w:p>
        </w:tc>
        <w:tc>
          <w:tcPr>
            <w:tcW w:w="1695" w:type="dxa"/>
            <w:gridSpan w:val="3"/>
            <w:shd w:val="clear" w:color="auto" w:fill="auto"/>
            <w:vAlign w:val="center"/>
          </w:tcPr>
          <w:p>
            <w:pPr>
              <w:jc w:val="center"/>
              <w:rPr>
                <w:color w:val="auto"/>
                <w:sz w:val="18"/>
                <w:szCs w:val="18"/>
              </w:rPr>
            </w:pPr>
            <w:r>
              <w:rPr>
                <w:color w:val="auto"/>
                <w:sz w:val="18"/>
                <w:szCs w:val="18"/>
              </w:rPr>
              <w:t>源强设定方法</w:t>
            </w:r>
          </w:p>
        </w:tc>
        <w:tc>
          <w:tcPr>
            <w:tcW w:w="1696" w:type="dxa"/>
            <w:gridSpan w:val="7"/>
            <w:shd w:val="clear" w:color="auto" w:fill="auto"/>
            <w:vAlign w:val="center"/>
          </w:tcPr>
          <w:p>
            <w:pPr>
              <w:jc w:val="center"/>
              <w:rPr>
                <w:color w:val="auto"/>
                <w:sz w:val="18"/>
                <w:szCs w:val="18"/>
              </w:rPr>
            </w:pPr>
            <w:r>
              <w:rPr>
                <w:color w:val="auto"/>
                <w:sz w:val="18"/>
                <w:szCs w:val="18"/>
              </w:rPr>
              <w:t>计算法 □</w:t>
            </w:r>
          </w:p>
        </w:tc>
        <w:tc>
          <w:tcPr>
            <w:tcW w:w="1696" w:type="dxa"/>
            <w:gridSpan w:val="8"/>
            <w:shd w:val="clear" w:color="auto" w:fill="auto"/>
            <w:vAlign w:val="center"/>
          </w:tcPr>
          <w:p>
            <w:pPr>
              <w:jc w:val="center"/>
              <w:rPr>
                <w:color w:val="auto"/>
                <w:sz w:val="18"/>
                <w:szCs w:val="18"/>
              </w:rPr>
            </w:pPr>
            <w:r>
              <w:rPr>
                <w:color w:val="auto"/>
                <w:sz w:val="18"/>
                <w:szCs w:val="18"/>
              </w:rPr>
              <w:t>经验估算法 □</w:t>
            </w:r>
          </w:p>
        </w:tc>
        <w:tc>
          <w:tcPr>
            <w:tcW w:w="1699" w:type="dxa"/>
            <w:gridSpan w:val="5"/>
            <w:shd w:val="clear" w:color="auto" w:fill="auto"/>
            <w:vAlign w:val="center"/>
          </w:tcPr>
          <w:p>
            <w:pPr>
              <w:jc w:val="center"/>
              <w:rPr>
                <w:color w:val="auto"/>
                <w:sz w:val="18"/>
                <w:szCs w:val="18"/>
              </w:rPr>
            </w:pPr>
            <w:r>
              <w:rPr>
                <w:color w:val="auto"/>
                <w:sz w:val="18"/>
                <w:szCs w:val="18"/>
              </w:rPr>
              <w:t xml:space="preserve">其他估算法 </w:t>
            </w:r>
            <w:r>
              <w:rPr>
                <w:color w:val="auto"/>
                <w:sz w:val="18"/>
                <w:szCs w:val="18"/>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restart"/>
            <w:shd w:val="clear" w:color="auto" w:fill="auto"/>
            <w:vAlign w:val="center"/>
          </w:tcPr>
          <w:p>
            <w:pPr>
              <w:ind w:firstLine="199" w:firstLineChars="111"/>
              <w:rPr>
                <w:color w:val="auto"/>
                <w:sz w:val="18"/>
                <w:szCs w:val="18"/>
              </w:rPr>
            </w:pPr>
            <w:r>
              <w:rPr>
                <w:color w:val="auto"/>
                <w:sz w:val="18"/>
                <w:szCs w:val="18"/>
              </w:rPr>
              <w:t>风险</w:t>
            </w:r>
          </w:p>
          <w:p>
            <w:pPr>
              <w:ind w:firstLine="199" w:firstLineChars="111"/>
              <w:rPr>
                <w:color w:val="auto"/>
                <w:sz w:val="18"/>
                <w:szCs w:val="18"/>
              </w:rPr>
            </w:pPr>
            <w:r>
              <w:rPr>
                <w:color w:val="auto"/>
                <w:sz w:val="18"/>
                <w:szCs w:val="18"/>
              </w:rPr>
              <w:t>预测</w:t>
            </w:r>
          </w:p>
          <w:p>
            <w:pPr>
              <w:ind w:firstLine="199" w:firstLineChars="111"/>
              <w:rPr>
                <w:color w:val="auto"/>
                <w:sz w:val="18"/>
                <w:szCs w:val="18"/>
              </w:rPr>
            </w:pPr>
            <w:r>
              <w:rPr>
                <w:color w:val="auto"/>
                <w:sz w:val="18"/>
                <w:szCs w:val="18"/>
              </w:rPr>
              <w:t>评价</w:t>
            </w:r>
          </w:p>
        </w:tc>
        <w:tc>
          <w:tcPr>
            <w:tcW w:w="1518" w:type="dxa"/>
            <w:vMerge w:val="restart"/>
            <w:shd w:val="clear" w:color="auto" w:fill="auto"/>
            <w:vAlign w:val="center"/>
          </w:tcPr>
          <w:p>
            <w:pPr>
              <w:jc w:val="center"/>
              <w:rPr>
                <w:color w:val="auto"/>
                <w:sz w:val="18"/>
                <w:szCs w:val="18"/>
              </w:rPr>
            </w:pPr>
            <w:r>
              <w:rPr>
                <w:color w:val="auto"/>
                <w:sz w:val="18"/>
                <w:szCs w:val="18"/>
              </w:rPr>
              <w:t>大气</w:t>
            </w:r>
          </w:p>
        </w:tc>
        <w:tc>
          <w:tcPr>
            <w:tcW w:w="1695" w:type="dxa"/>
            <w:gridSpan w:val="3"/>
            <w:shd w:val="clear" w:color="auto" w:fill="auto"/>
            <w:vAlign w:val="center"/>
          </w:tcPr>
          <w:p>
            <w:pPr>
              <w:jc w:val="center"/>
              <w:rPr>
                <w:color w:val="auto"/>
                <w:sz w:val="18"/>
                <w:szCs w:val="18"/>
              </w:rPr>
            </w:pPr>
            <w:r>
              <w:rPr>
                <w:color w:val="auto"/>
                <w:sz w:val="18"/>
                <w:szCs w:val="18"/>
              </w:rPr>
              <w:t>预测模型</w:t>
            </w:r>
          </w:p>
        </w:tc>
        <w:tc>
          <w:tcPr>
            <w:tcW w:w="1696" w:type="dxa"/>
            <w:gridSpan w:val="7"/>
            <w:shd w:val="clear" w:color="auto" w:fill="auto"/>
            <w:vAlign w:val="center"/>
          </w:tcPr>
          <w:p>
            <w:pPr>
              <w:jc w:val="center"/>
              <w:rPr>
                <w:color w:val="auto"/>
                <w:sz w:val="18"/>
                <w:szCs w:val="18"/>
              </w:rPr>
            </w:pPr>
            <w:r>
              <w:rPr>
                <w:color w:val="auto"/>
                <w:sz w:val="18"/>
                <w:szCs w:val="18"/>
              </w:rPr>
              <w:t>SLAB □</w:t>
            </w:r>
          </w:p>
        </w:tc>
        <w:tc>
          <w:tcPr>
            <w:tcW w:w="1696" w:type="dxa"/>
            <w:gridSpan w:val="8"/>
            <w:shd w:val="clear" w:color="auto" w:fill="auto"/>
            <w:vAlign w:val="center"/>
          </w:tcPr>
          <w:p>
            <w:pPr>
              <w:jc w:val="center"/>
              <w:rPr>
                <w:color w:val="auto"/>
                <w:sz w:val="18"/>
                <w:szCs w:val="18"/>
              </w:rPr>
            </w:pPr>
            <w:r>
              <w:rPr>
                <w:color w:val="auto"/>
                <w:sz w:val="18"/>
                <w:szCs w:val="18"/>
              </w:rPr>
              <w:t>AFTOX □</w:t>
            </w:r>
          </w:p>
        </w:tc>
        <w:tc>
          <w:tcPr>
            <w:tcW w:w="1699" w:type="dxa"/>
            <w:gridSpan w:val="5"/>
            <w:shd w:val="clear" w:color="auto" w:fill="auto"/>
            <w:vAlign w:val="center"/>
          </w:tcPr>
          <w:p>
            <w:pPr>
              <w:jc w:val="center"/>
              <w:rPr>
                <w:color w:val="auto"/>
                <w:sz w:val="18"/>
                <w:szCs w:val="18"/>
              </w:rPr>
            </w:pPr>
            <w:r>
              <w:rPr>
                <w:color w:val="auto"/>
                <w:sz w:val="18"/>
                <w:szCs w:val="18"/>
              </w:rPr>
              <w:t>其他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continue"/>
            <w:shd w:val="clear" w:color="auto" w:fill="auto"/>
            <w:vAlign w:val="center"/>
          </w:tcPr>
          <w:p>
            <w:pPr>
              <w:ind w:firstLine="360"/>
              <w:jc w:val="center"/>
              <w:rPr>
                <w:color w:val="auto"/>
                <w:sz w:val="18"/>
                <w:szCs w:val="18"/>
              </w:rPr>
            </w:pPr>
          </w:p>
        </w:tc>
        <w:tc>
          <w:tcPr>
            <w:tcW w:w="1518" w:type="dxa"/>
            <w:vMerge w:val="continue"/>
            <w:shd w:val="clear" w:color="auto" w:fill="auto"/>
            <w:vAlign w:val="center"/>
          </w:tcPr>
          <w:p>
            <w:pPr>
              <w:ind w:firstLine="360"/>
              <w:jc w:val="center"/>
              <w:rPr>
                <w:color w:val="auto"/>
                <w:sz w:val="18"/>
                <w:szCs w:val="18"/>
              </w:rPr>
            </w:pPr>
          </w:p>
        </w:tc>
        <w:tc>
          <w:tcPr>
            <w:tcW w:w="1695" w:type="dxa"/>
            <w:gridSpan w:val="3"/>
            <w:vMerge w:val="restart"/>
            <w:shd w:val="clear" w:color="auto" w:fill="auto"/>
            <w:vAlign w:val="center"/>
          </w:tcPr>
          <w:p>
            <w:pPr>
              <w:jc w:val="center"/>
              <w:rPr>
                <w:color w:val="auto"/>
                <w:sz w:val="18"/>
                <w:szCs w:val="18"/>
              </w:rPr>
            </w:pPr>
            <w:r>
              <w:rPr>
                <w:color w:val="auto"/>
                <w:sz w:val="18"/>
                <w:szCs w:val="18"/>
              </w:rPr>
              <w:t>预测结果</w:t>
            </w:r>
          </w:p>
        </w:tc>
        <w:tc>
          <w:tcPr>
            <w:tcW w:w="5091" w:type="dxa"/>
            <w:gridSpan w:val="20"/>
            <w:shd w:val="clear" w:color="auto" w:fill="auto"/>
            <w:vAlign w:val="center"/>
          </w:tcPr>
          <w:p>
            <w:pPr>
              <w:jc w:val="center"/>
              <w:rPr>
                <w:color w:val="auto"/>
                <w:sz w:val="18"/>
                <w:szCs w:val="18"/>
              </w:rPr>
            </w:pPr>
            <w:r>
              <w:rPr>
                <w:color w:val="auto"/>
                <w:sz w:val="18"/>
                <w:szCs w:val="18"/>
              </w:rPr>
              <w:t>大气毒性终点浓度-1 最大影响范围</w:t>
            </w:r>
            <w:r>
              <w:rPr>
                <w:color w:val="auto"/>
                <w:sz w:val="18"/>
                <w:szCs w:val="18"/>
                <w:u w:val="single"/>
              </w:rPr>
              <w:t xml:space="preserve">   </w:t>
            </w:r>
            <w:r>
              <w:rPr>
                <w:color w:val="auto"/>
                <w:sz w:val="18"/>
                <w:szCs w:val="18"/>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continue"/>
            <w:shd w:val="clear" w:color="auto" w:fill="auto"/>
            <w:vAlign w:val="center"/>
          </w:tcPr>
          <w:p>
            <w:pPr>
              <w:ind w:firstLine="360"/>
              <w:jc w:val="center"/>
              <w:rPr>
                <w:color w:val="auto"/>
                <w:sz w:val="18"/>
                <w:szCs w:val="18"/>
              </w:rPr>
            </w:pPr>
          </w:p>
        </w:tc>
        <w:tc>
          <w:tcPr>
            <w:tcW w:w="1518" w:type="dxa"/>
            <w:vMerge w:val="continue"/>
            <w:shd w:val="clear" w:color="auto" w:fill="auto"/>
            <w:vAlign w:val="center"/>
          </w:tcPr>
          <w:p>
            <w:pPr>
              <w:ind w:firstLine="360"/>
              <w:jc w:val="center"/>
              <w:rPr>
                <w:color w:val="auto"/>
                <w:sz w:val="18"/>
                <w:szCs w:val="18"/>
              </w:rPr>
            </w:pPr>
          </w:p>
        </w:tc>
        <w:tc>
          <w:tcPr>
            <w:tcW w:w="1695" w:type="dxa"/>
            <w:gridSpan w:val="3"/>
            <w:vMerge w:val="continue"/>
            <w:shd w:val="clear" w:color="auto" w:fill="auto"/>
            <w:vAlign w:val="center"/>
          </w:tcPr>
          <w:p>
            <w:pPr>
              <w:ind w:firstLine="360"/>
              <w:jc w:val="center"/>
              <w:rPr>
                <w:color w:val="auto"/>
                <w:sz w:val="18"/>
                <w:szCs w:val="18"/>
              </w:rPr>
            </w:pPr>
          </w:p>
        </w:tc>
        <w:tc>
          <w:tcPr>
            <w:tcW w:w="5091" w:type="dxa"/>
            <w:gridSpan w:val="20"/>
            <w:shd w:val="clear" w:color="auto" w:fill="auto"/>
            <w:vAlign w:val="center"/>
          </w:tcPr>
          <w:p>
            <w:pPr>
              <w:jc w:val="center"/>
              <w:rPr>
                <w:color w:val="auto"/>
                <w:sz w:val="18"/>
                <w:szCs w:val="18"/>
              </w:rPr>
            </w:pPr>
            <w:r>
              <w:rPr>
                <w:color w:val="auto"/>
                <w:sz w:val="18"/>
                <w:szCs w:val="18"/>
              </w:rPr>
              <w:t>大气毒性终点浓度-2 最大影响范围</w:t>
            </w:r>
            <w:r>
              <w:rPr>
                <w:color w:val="auto"/>
                <w:sz w:val="18"/>
                <w:szCs w:val="18"/>
                <w:u w:val="single"/>
              </w:rPr>
              <w:t xml:space="preserve">    </w:t>
            </w:r>
            <w:r>
              <w:rPr>
                <w:color w:val="auto"/>
                <w:sz w:val="18"/>
                <w:szCs w:val="18"/>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continue"/>
            <w:shd w:val="clear" w:color="auto" w:fill="auto"/>
            <w:vAlign w:val="center"/>
          </w:tcPr>
          <w:p>
            <w:pPr>
              <w:ind w:firstLine="360"/>
              <w:jc w:val="center"/>
              <w:rPr>
                <w:color w:val="auto"/>
                <w:sz w:val="18"/>
                <w:szCs w:val="18"/>
              </w:rPr>
            </w:pPr>
          </w:p>
        </w:tc>
        <w:tc>
          <w:tcPr>
            <w:tcW w:w="1518" w:type="dxa"/>
            <w:shd w:val="clear" w:color="auto" w:fill="auto"/>
            <w:vAlign w:val="center"/>
          </w:tcPr>
          <w:p>
            <w:pPr>
              <w:ind w:firstLine="360"/>
              <w:rPr>
                <w:color w:val="auto"/>
                <w:sz w:val="18"/>
                <w:szCs w:val="18"/>
              </w:rPr>
            </w:pPr>
            <w:r>
              <w:rPr>
                <w:color w:val="auto"/>
                <w:sz w:val="18"/>
                <w:szCs w:val="18"/>
              </w:rPr>
              <w:t>地表水</w:t>
            </w:r>
          </w:p>
        </w:tc>
        <w:tc>
          <w:tcPr>
            <w:tcW w:w="6786" w:type="dxa"/>
            <w:gridSpan w:val="23"/>
            <w:shd w:val="clear" w:color="auto" w:fill="auto"/>
            <w:vAlign w:val="center"/>
          </w:tcPr>
          <w:p>
            <w:pPr>
              <w:ind w:firstLine="360"/>
              <w:jc w:val="center"/>
              <w:rPr>
                <w:color w:val="auto"/>
                <w:sz w:val="18"/>
                <w:szCs w:val="18"/>
              </w:rPr>
            </w:pPr>
            <w:r>
              <w:rPr>
                <w:color w:val="auto"/>
                <w:sz w:val="18"/>
                <w:szCs w:val="18"/>
              </w:rPr>
              <w:t>最近环境敏感目标</w:t>
            </w:r>
            <w:r>
              <w:rPr>
                <w:color w:val="auto"/>
                <w:sz w:val="18"/>
                <w:szCs w:val="18"/>
                <w:u w:val="single"/>
              </w:rPr>
              <w:t xml:space="preserve">  </w:t>
            </w:r>
            <w:r>
              <w:rPr>
                <w:color w:val="auto"/>
                <w:u w:val="single"/>
              </w:rPr>
              <w:t>/</w:t>
            </w:r>
            <w:r>
              <w:rPr>
                <w:color w:val="auto"/>
                <w:sz w:val="18"/>
                <w:szCs w:val="18"/>
                <w:u w:val="single"/>
              </w:rPr>
              <w:t xml:space="preserve">  </w:t>
            </w:r>
            <w:r>
              <w:rPr>
                <w:color w:val="auto"/>
                <w:sz w:val="18"/>
                <w:szCs w:val="18"/>
              </w:rPr>
              <w:t>，到达时间</w:t>
            </w:r>
            <w:r>
              <w:rPr>
                <w:color w:val="auto"/>
                <w:sz w:val="18"/>
                <w:szCs w:val="18"/>
                <w:u w:val="single"/>
              </w:rPr>
              <w:t xml:space="preserve">  </w:t>
            </w:r>
            <w:r>
              <w:rPr>
                <w:color w:val="auto"/>
                <w:u w:val="single"/>
              </w:rPr>
              <w:t>/</w:t>
            </w:r>
            <w:r>
              <w:rPr>
                <w:color w:val="auto"/>
                <w:sz w:val="18"/>
                <w:szCs w:val="18"/>
                <w:u w:val="single"/>
              </w:rPr>
              <w:t xml:space="preserve">  </w:t>
            </w:r>
            <w:r>
              <w:rPr>
                <w:color w:val="auto"/>
                <w:sz w:val="18"/>
                <w:szCs w:val="18"/>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continue"/>
            <w:shd w:val="clear" w:color="auto" w:fill="auto"/>
            <w:vAlign w:val="center"/>
          </w:tcPr>
          <w:p>
            <w:pPr>
              <w:ind w:firstLine="360"/>
              <w:jc w:val="center"/>
              <w:rPr>
                <w:color w:val="auto"/>
                <w:sz w:val="18"/>
                <w:szCs w:val="18"/>
              </w:rPr>
            </w:pPr>
          </w:p>
        </w:tc>
        <w:tc>
          <w:tcPr>
            <w:tcW w:w="1518" w:type="dxa"/>
            <w:vMerge w:val="restart"/>
            <w:shd w:val="clear" w:color="auto" w:fill="auto"/>
            <w:vAlign w:val="center"/>
          </w:tcPr>
          <w:p>
            <w:pPr>
              <w:ind w:firstLine="360"/>
              <w:rPr>
                <w:color w:val="auto"/>
                <w:sz w:val="18"/>
                <w:szCs w:val="18"/>
              </w:rPr>
            </w:pPr>
            <w:r>
              <w:rPr>
                <w:color w:val="auto"/>
                <w:sz w:val="18"/>
                <w:szCs w:val="18"/>
              </w:rPr>
              <w:t>地下水</w:t>
            </w:r>
          </w:p>
        </w:tc>
        <w:tc>
          <w:tcPr>
            <w:tcW w:w="6786" w:type="dxa"/>
            <w:gridSpan w:val="23"/>
            <w:shd w:val="clear" w:color="auto" w:fill="auto"/>
            <w:vAlign w:val="center"/>
          </w:tcPr>
          <w:p>
            <w:pPr>
              <w:ind w:firstLine="360"/>
              <w:jc w:val="center"/>
              <w:rPr>
                <w:color w:val="auto"/>
                <w:sz w:val="18"/>
                <w:szCs w:val="18"/>
              </w:rPr>
            </w:pPr>
            <w:r>
              <w:rPr>
                <w:color w:val="auto"/>
                <w:sz w:val="18"/>
                <w:szCs w:val="18"/>
              </w:rPr>
              <w:t>下游厂区边界到达时间</w:t>
            </w:r>
            <w:r>
              <w:rPr>
                <w:color w:val="auto"/>
                <w:sz w:val="18"/>
                <w:szCs w:val="18"/>
                <w:u w:val="single"/>
              </w:rPr>
              <w:t xml:space="preserve">  </w:t>
            </w:r>
            <w:r>
              <w:rPr>
                <w:color w:val="auto"/>
                <w:u w:val="single"/>
              </w:rPr>
              <w:t>/</w:t>
            </w:r>
            <w:r>
              <w:rPr>
                <w:color w:val="auto"/>
                <w:sz w:val="18"/>
                <w:szCs w:val="18"/>
                <w:u w:val="single"/>
              </w:rPr>
              <w:t xml:space="preserve">  </w:t>
            </w:r>
            <w:r>
              <w:rPr>
                <w:color w:val="auto"/>
                <w:sz w:val="18"/>
                <w:szCs w:val="18"/>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continue"/>
            <w:shd w:val="clear" w:color="auto" w:fill="auto"/>
            <w:vAlign w:val="center"/>
          </w:tcPr>
          <w:p>
            <w:pPr>
              <w:ind w:firstLine="360"/>
              <w:jc w:val="center"/>
              <w:rPr>
                <w:color w:val="auto"/>
                <w:sz w:val="18"/>
                <w:szCs w:val="18"/>
              </w:rPr>
            </w:pPr>
          </w:p>
        </w:tc>
        <w:tc>
          <w:tcPr>
            <w:tcW w:w="1518" w:type="dxa"/>
            <w:vMerge w:val="continue"/>
            <w:shd w:val="clear" w:color="auto" w:fill="auto"/>
            <w:vAlign w:val="center"/>
          </w:tcPr>
          <w:p>
            <w:pPr>
              <w:ind w:firstLine="360"/>
              <w:jc w:val="center"/>
              <w:rPr>
                <w:color w:val="auto"/>
                <w:sz w:val="18"/>
                <w:szCs w:val="18"/>
              </w:rPr>
            </w:pPr>
          </w:p>
        </w:tc>
        <w:tc>
          <w:tcPr>
            <w:tcW w:w="6786" w:type="dxa"/>
            <w:gridSpan w:val="23"/>
            <w:shd w:val="clear" w:color="auto" w:fill="auto"/>
            <w:vAlign w:val="center"/>
          </w:tcPr>
          <w:p>
            <w:pPr>
              <w:ind w:firstLine="360"/>
              <w:jc w:val="center"/>
              <w:rPr>
                <w:color w:val="auto"/>
                <w:sz w:val="18"/>
                <w:szCs w:val="18"/>
              </w:rPr>
            </w:pPr>
            <w:r>
              <w:rPr>
                <w:color w:val="auto"/>
                <w:sz w:val="18"/>
                <w:szCs w:val="18"/>
              </w:rPr>
              <w:t>最近环境敏感目标</w:t>
            </w:r>
            <w:r>
              <w:rPr>
                <w:color w:val="auto"/>
                <w:sz w:val="18"/>
                <w:szCs w:val="18"/>
                <w:u w:val="single"/>
              </w:rPr>
              <w:t xml:space="preserve">    </w:t>
            </w:r>
            <w:r>
              <w:rPr>
                <w:color w:val="auto"/>
                <w:u w:val="single"/>
              </w:rPr>
              <w:t>/</w:t>
            </w:r>
            <w:r>
              <w:rPr>
                <w:color w:val="auto"/>
                <w:sz w:val="18"/>
                <w:szCs w:val="18"/>
                <w:u w:val="single"/>
              </w:rPr>
              <w:t xml:space="preserve">   </w:t>
            </w:r>
            <w:r>
              <w:rPr>
                <w:color w:val="auto"/>
                <w:sz w:val="18"/>
                <w:szCs w:val="18"/>
              </w:rPr>
              <w:t>，到达时间</w:t>
            </w:r>
            <w:r>
              <w:rPr>
                <w:color w:val="auto"/>
                <w:sz w:val="18"/>
                <w:szCs w:val="18"/>
                <w:u w:val="single"/>
              </w:rPr>
              <w:t xml:space="preserve">   </w:t>
            </w:r>
            <w:r>
              <w:rPr>
                <w:color w:val="auto"/>
                <w:u w:val="single"/>
              </w:rPr>
              <w:t>/</w:t>
            </w:r>
            <w:r>
              <w:rPr>
                <w:color w:val="auto"/>
                <w:sz w:val="18"/>
                <w:szCs w:val="18"/>
                <w:u w:val="single"/>
              </w:rPr>
              <w:t xml:space="preserve">   </w:t>
            </w:r>
            <w:r>
              <w:rPr>
                <w:color w:val="auto"/>
                <w:sz w:val="18"/>
                <w:szCs w:val="18"/>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458" w:type="dxa"/>
            <w:gridSpan w:val="2"/>
            <w:shd w:val="clear" w:color="auto" w:fill="auto"/>
            <w:vAlign w:val="center"/>
          </w:tcPr>
          <w:p>
            <w:pPr>
              <w:jc w:val="center"/>
              <w:rPr>
                <w:color w:val="auto"/>
                <w:sz w:val="21"/>
                <w:szCs w:val="21"/>
              </w:rPr>
            </w:pPr>
            <w:r>
              <w:rPr>
                <w:color w:val="auto"/>
                <w:sz w:val="21"/>
                <w:szCs w:val="21"/>
              </w:rPr>
              <w:t>重点风险防范措施</w:t>
            </w:r>
          </w:p>
        </w:tc>
        <w:tc>
          <w:tcPr>
            <w:tcW w:w="6786" w:type="dxa"/>
            <w:gridSpan w:val="23"/>
            <w:shd w:val="clear" w:color="auto" w:fill="auto"/>
            <w:vAlign w:val="center"/>
          </w:tcPr>
          <w:p>
            <w:pPr>
              <w:autoSpaceDE w:val="0"/>
              <w:autoSpaceDN w:val="0"/>
              <w:adjustRightInd w:val="0"/>
              <w:rPr>
                <w:color w:val="auto"/>
                <w:kern w:val="0"/>
                <w:sz w:val="21"/>
                <w:szCs w:val="21"/>
              </w:rPr>
            </w:pPr>
            <w:r>
              <w:rPr>
                <w:color w:val="auto"/>
                <w:kern w:val="0"/>
                <w:sz w:val="21"/>
                <w:szCs w:val="21"/>
              </w:rPr>
              <w:t>具体见环境风险防范措施及应急要求章节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56" w:hRule="atLeast"/>
        </w:trPr>
        <w:tc>
          <w:tcPr>
            <w:tcW w:w="2458" w:type="dxa"/>
            <w:gridSpan w:val="2"/>
            <w:shd w:val="clear" w:color="auto" w:fill="auto"/>
            <w:vAlign w:val="center"/>
          </w:tcPr>
          <w:p>
            <w:pPr>
              <w:jc w:val="center"/>
              <w:rPr>
                <w:color w:val="auto"/>
                <w:sz w:val="21"/>
                <w:szCs w:val="21"/>
              </w:rPr>
            </w:pPr>
            <w:r>
              <w:rPr>
                <w:color w:val="auto"/>
                <w:sz w:val="21"/>
                <w:szCs w:val="21"/>
              </w:rPr>
              <w:t>评价结论与建议</w:t>
            </w:r>
          </w:p>
        </w:tc>
        <w:tc>
          <w:tcPr>
            <w:tcW w:w="6786" w:type="dxa"/>
            <w:gridSpan w:val="23"/>
            <w:shd w:val="clear" w:color="auto" w:fill="auto"/>
            <w:vAlign w:val="center"/>
          </w:tcPr>
          <w:p>
            <w:pPr>
              <w:autoSpaceDE w:val="0"/>
              <w:autoSpaceDN w:val="0"/>
              <w:adjustRightInd w:val="0"/>
              <w:rPr>
                <w:color w:val="auto"/>
                <w:kern w:val="0"/>
                <w:sz w:val="21"/>
                <w:szCs w:val="21"/>
              </w:rPr>
            </w:pPr>
            <w:r>
              <w:rPr>
                <w:color w:val="auto"/>
                <w:kern w:val="0"/>
                <w:sz w:val="21"/>
                <w:szCs w:val="21"/>
              </w:rPr>
              <w:t>根据环境风险评价可知：本项目环境风险潜势为</w:t>
            </w:r>
            <w:r>
              <w:rPr>
                <w:color w:val="auto"/>
              </w:rPr>
              <w:t>I</w:t>
            </w:r>
            <w:r>
              <w:rPr>
                <w:color w:val="auto"/>
                <w:kern w:val="0"/>
                <w:sz w:val="21"/>
                <w:szCs w:val="21"/>
              </w:rPr>
              <w:t>，</w:t>
            </w:r>
            <w:r>
              <w:rPr>
                <w:rFonts w:hint="eastAsia"/>
                <w:color w:val="auto"/>
                <w:kern w:val="0"/>
                <w:sz w:val="21"/>
                <w:szCs w:val="21"/>
              </w:rPr>
              <w:t>风险评价为简单分析</w:t>
            </w:r>
            <w:r>
              <w:rPr>
                <w:color w:val="auto"/>
                <w:kern w:val="0"/>
                <w:sz w:val="21"/>
                <w:szCs w:val="21"/>
              </w:rPr>
              <w:t>。项目运营期在采取相关环境风险防范措施及环境应急措施的基础上，本项目环境风险影响可接受。建议企业后续开展环境风险应急预案编制及备案工作。加强环境风险管理，设置合理的应急救援体系和管理制度，强化员工环境风险防范意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244" w:type="dxa"/>
            <w:gridSpan w:val="25"/>
            <w:shd w:val="clear" w:color="auto" w:fill="auto"/>
            <w:vAlign w:val="center"/>
          </w:tcPr>
          <w:p>
            <w:pPr>
              <w:ind w:firstLine="360"/>
              <w:rPr>
                <w:color w:val="auto"/>
                <w:sz w:val="18"/>
                <w:szCs w:val="18"/>
              </w:rPr>
            </w:pPr>
            <w:r>
              <w:rPr>
                <w:color w:val="auto"/>
                <w:sz w:val="18"/>
                <w:szCs w:val="18"/>
              </w:rPr>
              <w:t>注：“□”为勾选项，“ ”为填写项。</w:t>
            </w:r>
          </w:p>
        </w:tc>
      </w:tr>
      <w:bookmarkEnd w:id="722"/>
    </w:tbl>
    <w:p>
      <w:pPr>
        <w:pStyle w:val="4"/>
        <w:numPr>
          <w:ilvl w:val="0"/>
          <w:numId w:val="0"/>
        </w:numPr>
        <w:tabs>
          <w:tab w:val="clear" w:pos="680"/>
        </w:tabs>
        <w:adjustRightInd w:val="0"/>
        <w:snapToGrid w:val="0"/>
        <w:ind w:left="720" w:right="240" w:hanging="720"/>
        <w:rPr>
          <w:b/>
          <w:color w:val="auto"/>
          <w:szCs w:val="24"/>
        </w:rPr>
      </w:pPr>
      <w:bookmarkStart w:id="724" w:name="_Toc14946914"/>
      <w:bookmarkStart w:id="725" w:name="_Toc15912206"/>
      <w:bookmarkStart w:id="726" w:name="_Toc34234744"/>
      <w:bookmarkStart w:id="727" w:name="_Toc24136825"/>
      <w:bookmarkStart w:id="728" w:name="_Toc22318"/>
      <w:r>
        <w:rPr>
          <w:rFonts w:hint="eastAsia"/>
          <w:b/>
          <w:color w:val="auto"/>
          <w:szCs w:val="24"/>
        </w:rPr>
        <w:t>5</w:t>
      </w:r>
      <w:r>
        <w:rPr>
          <w:b/>
          <w:color w:val="auto"/>
          <w:szCs w:val="24"/>
        </w:rPr>
        <w:t>.2.9生态环境影响</w:t>
      </w:r>
      <w:bookmarkEnd w:id="724"/>
      <w:bookmarkEnd w:id="725"/>
      <w:r>
        <w:rPr>
          <w:rFonts w:hint="eastAsia"/>
          <w:b/>
          <w:color w:val="auto"/>
          <w:szCs w:val="24"/>
        </w:rPr>
        <w:t>分析</w:t>
      </w:r>
      <w:bookmarkEnd w:id="726"/>
      <w:bookmarkEnd w:id="727"/>
      <w:bookmarkEnd w:id="728"/>
    </w:p>
    <w:p>
      <w:pPr>
        <w:spacing w:line="360" w:lineRule="auto"/>
        <w:rPr>
          <w:b/>
          <w:color w:val="auto"/>
        </w:rPr>
      </w:pPr>
      <w:r>
        <w:rPr>
          <w:rFonts w:hint="eastAsia"/>
          <w:b/>
          <w:color w:val="auto"/>
        </w:rPr>
        <w:t>5.2.9.1对动物影响分析</w:t>
      </w:r>
    </w:p>
    <w:p>
      <w:pPr>
        <w:spacing w:line="360" w:lineRule="auto"/>
        <w:ind w:firstLine="480" w:firstLineChars="200"/>
        <w:jc w:val="both"/>
        <w:rPr>
          <w:color w:val="auto"/>
        </w:rPr>
      </w:pPr>
      <w:r>
        <w:rPr>
          <w:rFonts w:hint="eastAsia"/>
          <w:color w:val="auto"/>
        </w:rPr>
        <w:t>随着本项目的建设，原有林地、草丛地的生境为工厂区替代，原有的动物将会迁移到附近的林地和农田系统中，项目内的动物种类组成和数量均发生了较大的变化，由于受到影响的动物种类都不属于国家珍稀濒危野生动植物种类，均为区域广泛存在和常见的种类，因此本项目的建设不会对动物造成危害。</w:t>
      </w:r>
    </w:p>
    <w:p>
      <w:pPr>
        <w:spacing w:line="360" w:lineRule="auto"/>
        <w:rPr>
          <w:b/>
          <w:color w:val="auto"/>
        </w:rPr>
      </w:pPr>
      <w:r>
        <w:rPr>
          <w:rFonts w:hint="eastAsia"/>
          <w:b/>
          <w:color w:val="auto"/>
        </w:rPr>
        <w:t>5.2.9.2生态系统影响分析</w:t>
      </w:r>
    </w:p>
    <w:p>
      <w:pPr>
        <w:spacing w:line="360" w:lineRule="auto"/>
        <w:ind w:firstLine="480" w:firstLineChars="200"/>
        <w:rPr>
          <w:color w:val="auto"/>
        </w:rPr>
      </w:pPr>
      <w:r>
        <w:rPr>
          <w:rFonts w:hint="eastAsia"/>
          <w:color w:val="auto"/>
        </w:rPr>
        <w:t>本项目的建设将导致场址生态系统发生变化，由开发前林地、草丛地生态系统转变为工业厂区生态系统，生态系统在组成、结构和功能上均发生了变化，项目的建设会占用一定的林地并造成一定量的生物量损失，对局部林业生态系统有一定的影响。生态系统的变化主要体现在以下几个方面：</w:t>
      </w:r>
    </w:p>
    <w:p>
      <w:pPr>
        <w:spacing w:line="360" w:lineRule="auto"/>
        <w:ind w:firstLine="480" w:firstLineChars="200"/>
        <w:rPr>
          <w:color w:val="auto"/>
        </w:rPr>
      </w:pPr>
      <w:r>
        <w:rPr>
          <w:rFonts w:hint="eastAsia"/>
          <w:color w:val="auto"/>
        </w:rPr>
        <w:t xml:space="preserve">（1）林地、草丛地群落生态系统在厂区消失 </w:t>
      </w:r>
    </w:p>
    <w:p>
      <w:pPr>
        <w:spacing w:line="360" w:lineRule="auto"/>
        <w:ind w:firstLine="480" w:firstLineChars="200"/>
        <w:jc w:val="both"/>
        <w:rPr>
          <w:color w:val="auto"/>
        </w:rPr>
      </w:pPr>
      <w:r>
        <w:rPr>
          <w:rFonts w:hint="eastAsia"/>
          <w:color w:val="auto"/>
        </w:rPr>
        <w:t>本项目建设将在目前的林地、草丛地等进行开发和利用，林地、草丛地等农林生态系统将为工厂厂区生态系统取而代之。由于这类人工生态系统在所在区域大量存在，本项目的建设仅使其在区域总量上减少很小，不会致该类生态系统在区域范围内消失或大量减少。</w:t>
      </w:r>
    </w:p>
    <w:p>
      <w:pPr>
        <w:spacing w:line="360" w:lineRule="auto"/>
        <w:ind w:firstLine="480" w:firstLineChars="200"/>
        <w:rPr>
          <w:color w:val="auto"/>
        </w:rPr>
      </w:pPr>
      <w:r>
        <w:rPr>
          <w:rFonts w:hint="eastAsia"/>
          <w:color w:val="auto"/>
        </w:rPr>
        <w:t>消纳场投入运营后，消纳场内的原有植被完全被破坏，取而代之的是建筑垃圾的堆填、场内道路的路面及附属设施。项目区原有地表结构及植被完全遭到破坏，增加裸露地表面积，而且还会使受影响的地表表土抗蚀能力减弱，局部地段产生水土流失现象，带来不利的生态环境影响。</w:t>
      </w:r>
    </w:p>
    <w:p>
      <w:pPr>
        <w:spacing w:line="360" w:lineRule="auto"/>
        <w:ind w:firstLine="480" w:firstLineChars="200"/>
        <w:rPr>
          <w:color w:val="auto"/>
        </w:rPr>
      </w:pPr>
      <w:r>
        <w:rPr>
          <w:rFonts w:hint="eastAsia"/>
          <w:color w:val="auto"/>
        </w:rPr>
        <w:t>随着项目的建设运营后，消纳场对建筑垃圾进行分单位填埋，并层层压实覆土，对最终边坡进行覆土绿化，创建一个新的人工植物群落，人工生态系统的建设逐步取代原有的自然生态系统。项目设计消纳场服务年限为28年，封场后消纳场全部完成植被绿化，届时厂界范围内的植被破坏将得到恢复，从较长时间尺度来看，项目区域内植被的破坏是暂时的，可逆的。</w:t>
      </w:r>
    </w:p>
    <w:p>
      <w:pPr>
        <w:spacing w:line="360" w:lineRule="auto"/>
        <w:ind w:firstLine="480" w:firstLineChars="200"/>
        <w:rPr>
          <w:color w:val="auto"/>
        </w:rPr>
      </w:pPr>
      <w:r>
        <w:rPr>
          <w:rFonts w:hint="eastAsia"/>
          <w:color w:val="auto"/>
        </w:rPr>
        <w:t>（2）生态系统功能影响</w:t>
      </w:r>
    </w:p>
    <w:p>
      <w:pPr>
        <w:spacing w:line="360" w:lineRule="auto"/>
        <w:ind w:firstLine="480" w:firstLineChars="200"/>
        <w:jc w:val="both"/>
        <w:rPr>
          <w:color w:val="auto"/>
        </w:rPr>
      </w:pPr>
      <w:r>
        <w:rPr>
          <w:rFonts w:hint="eastAsia"/>
          <w:color w:val="auto"/>
        </w:rPr>
        <w:t>陆地生态系统的基础是植被，植被是地面上绿色植物的总称，它具有水土保持、涵养水源、光合作用、吸收废气、吸水滤水、消减噪声、增湿降温、栖息生物等生态功能。项目的建设将使项目开发用地上的林地、树下灌木、草本等生态系统消失，项目开发用地内植被覆盖率将减少，生态功能消弱了，厂区范围内的生态功能下降。为此项目应遵循生态规律进行园林绿化建设，项目园林绿化建设可部分补偿现有的生态功能和生态效应。</w:t>
      </w:r>
    </w:p>
    <w:p>
      <w:pPr>
        <w:spacing w:line="360" w:lineRule="auto"/>
        <w:ind w:firstLine="480" w:firstLineChars="200"/>
        <w:rPr>
          <w:color w:val="auto"/>
        </w:rPr>
      </w:pPr>
      <w:r>
        <w:rPr>
          <w:rFonts w:hint="eastAsia"/>
          <w:color w:val="auto"/>
        </w:rPr>
        <w:t>（3）生态效应的影响</w:t>
      </w:r>
    </w:p>
    <w:p>
      <w:pPr>
        <w:spacing w:line="360" w:lineRule="auto"/>
        <w:ind w:firstLine="480" w:firstLineChars="200"/>
        <w:rPr>
          <w:color w:val="auto"/>
        </w:rPr>
      </w:pPr>
      <w:r>
        <w:rPr>
          <w:rFonts w:hint="eastAsia"/>
          <w:color w:val="auto"/>
        </w:rPr>
        <w:t>项目场址目前为林地、草丛地等人工生态系统，生态系统的物流能量流总体上处于较低的水平，整个生态系统排放到外环境的污染物较少。本项目建设后，场址地块转变为工厂区生态系统，将以工业生产为中心，物流、能量流和信息流设对当地植物种和植物群落不会产生明显影响。</w:t>
      </w:r>
    </w:p>
    <w:p>
      <w:pPr>
        <w:spacing w:line="360" w:lineRule="auto"/>
        <w:ind w:firstLine="480" w:firstLineChars="200"/>
        <w:rPr>
          <w:color w:val="auto"/>
        </w:rPr>
      </w:pPr>
      <w:r>
        <w:rPr>
          <w:rFonts w:hint="eastAsia"/>
          <w:color w:val="auto"/>
        </w:rPr>
        <w:t>（4）土地利用影响</w:t>
      </w:r>
    </w:p>
    <w:p>
      <w:pPr>
        <w:spacing w:line="360" w:lineRule="auto"/>
        <w:ind w:firstLine="480" w:firstLineChars="200"/>
        <w:rPr>
          <w:color w:val="auto"/>
        </w:rPr>
      </w:pPr>
      <w:r>
        <w:rPr>
          <w:rFonts w:hint="eastAsia"/>
          <w:color w:val="auto"/>
        </w:rPr>
        <w:t>垃圾消纳场对土地利用的影响主要是项目永久占用土地的影响。由于垃圾消纳场对土地的永久性占用，改变了这些土地的利用形式，影响了这些土地的原有功能。但垃圾填埋项目对填埋封顶作业区不断进行绿化及配套的绿化工程将对改善区域环境和局地小气候、减小风力、提高土壤蓄水保肥能力具有一定的作用，也有利于自然植被的恢复和防止水土流失及土地沙漠化加剧，可以部分恢复原来的生产能力与生态功能，因此对区域生态环境可以产生一定有利的影响。</w:t>
      </w:r>
    </w:p>
    <w:p>
      <w:pPr>
        <w:spacing w:line="360" w:lineRule="auto"/>
        <w:ind w:firstLine="480" w:firstLineChars="200"/>
        <w:rPr>
          <w:color w:val="auto"/>
        </w:rPr>
      </w:pPr>
      <w:r>
        <w:rPr>
          <w:rFonts w:hint="eastAsia"/>
          <w:color w:val="auto"/>
        </w:rPr>
        <w:t>（5）水土流失影响分析</w:t>
      </w:r>
    </w:p>
    <w:p>
      <w:pPr>
        <w:spacing w:line="360" w:lineRule="auto"/>
        <w:ind w:firstLine="480" w:firstLineChars="200"/>
        <w:rPr>
          <w:color w:val="auto"/>
        </w:rPr>
      </w:pPr>
      <w:r>
        <w:rPr>
          <w:rFonts w:hint="eastAsia"/>
          <w:color w:val="auto"/>
        </w:rPr>
        <w:t>伴随着挖填方、消纳场平整、道路构筑、取弃土及建立临时设施等施工活动将占用一定面积的土地，破坏原有地貌、破坏植被，降低林草覆盖率，使本来就脆弱的生态体系遭到破坏；同时，大面积地面裸露后，势必会增加水土流失上午潜在危险性。</w:t>
      </w:r>
    </w:p>
    <w:p>
      <w:pPr>
        <w:spacing w:line="360" w:lineRule="auto"/>
        <w:ind w:firstLine="480"/>
        <w:rPr>
          <w:color w:val="auto"/>
        </w:rPr>
      </w:pPr>
      <w:r>
        <w:rPr>
          <w:rFonts w:hint="eastAsia"/>
          <w:color w:val="auto"/>
        </w:rPr>
        <w:t>在施工期的土石方作业应避开雨季，扰动后的地面及时平整压实，可在一定程度上防止水土流失的发生；缩短土石方的堆置时间，开挖的土石方必须严格限制在征地范围内堆置，并采取草包填埋土维护、开挖截水排水沟等临时性防护措施；石方运输要严格遵守作业制度，采用车况良好的斗车，避免过量装料，防止松散土石料的散落，尽可能减少水土流失。</w:t>
      </w:r>
    </w:p>
    <w:p>
      <w:pPr>
        <w:spacing w:line="360" w:lineRule="auto"/>
        <w:ind w:firstLine="480"/>
        <w:rPr>
          <w:color w:val="auto"/>
        </w:rPr>
      </w:pPr>
      <w:r>
        <w:rPr>
          <w:rFonts w:hint="eastAsia"/>
          <w:color w:val="auto"/>
        </w:rPr>
        <w:t>建筑垃圾消纳场为露天建筑垃圾填埋场，场区场地清理过程彻底破坏原有植被，堆积的建筑垃圾成为水土流失来源，建筑垃圾堆放的区域为水土流失主要区域；建筑垃圾的堆积对项目所在区域原有地形、地貌及自然景观均构成严重破坏，降低植被覆盖率，大面积地面裸露，势必增加水土流失的潜在危险性。</w:t>
      </w:r>
    </w:p>
    <w:p>
      <w:pPr>
        <w:spacing w:line="360" w:lineRule="auto"/>
        <w:ind w:firstLine="480"/>
        <w:rPr>
          <w:color w:val="auto"/>
        </w:rPr>
      </w:pPr>
      <w:r>
        <w:rPr>
          <w:rFonts w:hint="eastAsia"/>
          <w:color w:val="auto"/>
        </w:rPr>
        <w:t>本项目设计采取的水土流失防治工程措施主要有：在根据填埋阶段填埋区内设置导排管和雨水导排井，导排井的高度随着建筑垃圾填埋场高度增加而增加，在最终的垃圾堆体表面平台上设置表面排水沟，将雨水排到填埋场堆体外；在填埋场周边设置环库截洪沟，一方面用来导排填埋体表面雨水，一方面防治可能的洪水冲垮堆体。同时，在最终形成的堆体表面进行及时覆土绿化和植被恢复工作，有效防止水土流失。因此，在采取上述措施的前提下，可使水土流失发生的可能性大大减低。</w:t>
      </w:r>
    </w:p>
    <w:p>
      <w:pPr>
        <w:pStyle w:val="4"/>
        <w:numPr>
          <w:ilvl w:val="0"/>
          <w:numId w:val="0"/>
        </w:numPr>
        <w:tabs>
          <w:tab w:val="clear" w:pos="680"/>
        </w:tabs>
        <w:ind w:left="720" w:hanging="720"/>
        <w:rPr>
          <w:b/>
          <w:color w:val="auto"/>
        </w:rPr>
      </w:pPr>
      <w:bookmarkStart w:id="729" w:name="_Toc34234745"/>
      <w:bookmarkStart w:id="730" w:name="_Toc31804"/>
      <w:r>
        <w:rPr>
          <w:rFonts w:hint="eastAsia"/>
          <w:b/>
          <w:color w:val="auto"/>
        </w:rPr>
        <w:t>5.2.10 建筑垃圾消纳场封场期环境影响分析</w:t>
      </w:r>
      <w:bookmarkEnd w:id="729"/>
      <w:bookmarkEnd w:id="730"/>
    </w:p>
    <w:p>
      <w:pPr>
        <w:spacing w:line="360" w:lineRule="auto"/>
        <w:rPr>
          <w:color w:val="auto"/>
        </w:rPr>
      </w:pPr>
      <w:r>
        <w:rPr>
          <w:rFonts w:hint="eastAsia"/>
          <w:color w:val="auto"/>
        </w:rPr>
        <w:t xml:space="preserve">   （1）封场期环境空气影响预测与评价</w:t>
      </w:r>
    </w:p>
    <w:p>
      <w:pPr>
        <w:spacing w:line="360" w:lineRule="auto"/>
        <w:rPr>
          <w:color w:val="auto"/>
        </w:rPr>
      </w:pPr>
      <w:r>
        <w:rPr>
          <w:rFonts w:hint="eastAsia"/>
          <w:b/>
          <w:color w:val="auto"/>
        </w:rPr>
        <w:t xml:space="preserve">    </w:t>
      </w:r>
      <w:r>
        <w:rPr>
          <w:rFonts w:hint="eastAsia"/>
          <w:color w:val="auto"/>
        </w:rPr>
        <w:t xml:space="preserve"> 封场后填埋区最终将达到整体植被恢复，植被覆盖全部场地。</w:t>
      </w:r>
    </w:p>
    <w:p>
      <w:pPr>
        <w:spacing w:line="360" w:lineRule="auto"/>
        <w:rPr>
          <w:color w:val="auto"/>
        </w:rPr>
      </w:pPr>
      <w:r>
        <w:rPr>
          <w:rFonts w:hint="eastAsia"/>
          <w:color w:val="auto"/>
        </w:rPr>
        <w:t xml:space="preserve">     植被恢复前期由于植被盖度尚未达到较好的程度，如遇大风干旱天气，会产生一定的扬尘；本项目实施分单位分期填埋，在填埋过程对已经形成的堆体和边坡进行覆土压实，并在堆体表面和边坡进行植草绿化，封场后填埋区最终达到整体绿化，裸露地表面积大大减少，扬尘产生量将大大减少，且恢复的植被将会削弱风速，风速减少，起沉量也会减少，扬尘将会得到一定的治理，影响范围和影响程度较运营期将会更小。</w:t>
      </w:r>
    </w:p>
    <w:p>
      <w:pPr>
        <w:spacing w:line="360" w:lineRule="auto"/>
        <w:ind w:firstLine="360" w:firstLineChars="150"/>
        <w:rPr>
          <w:color w:val="auto"/>
        </w:rPr>
      </w:pPr>
      <w:r>
        <w:rPr>
          <w:rFonts w:hint="eastAsia"/>
          <w:color w:val="auto"/>
        </w:rPr>
        <w:t>（2）封场期水环境影响预测与评价</w:t>
      </w:r>
    </w:p>
    <w:p>
      <w:pPr>
        <w:spacing w:line="360" w:lineRule="auto"/>
        <w:rPr>
          <w:color w:val="auto"/>
        </w:rPr>
      </w:pPr>
      <w:r>
        <w:rPr>
          <w:rFonts w:hint="eastAsia"/>
          <w:color w:val="auto"/>
        </w:rPr>
        <w:t xml:space="preserve">    项目服务期满后不再产生生产废水；封场后，填埋场建筑垃圾经层层压实后底层已形成硬化层，在最终的垃圾堆体表面平台上设置表面排水沟，经环库截洪沟将雨水排至场外。因此不会对周围水环境产生影响。</w:t>
      </w:r>
    </w:p>
    <w:p>
      <w:pPr>
        <w:spacing w:line="360" w:lineRule="auto"/>
        <w:ind w:firstLine="360" w:firstLineChars="150"/>
        <w:rPr>
          <w:color w:val="auto"/>
        </w:rPr>
      </w:pPr>
      <w:r>
        <w:rPr>
          <w:rFonts w:hint="eastAsia"/>
          <w:color w:val="auto"/>
        </w:rPr>
        <w:t>（3）封场期生态环境影响</w:t>
      </w:r>
    </w:p>
    <w:p>
      <w:pPr>
        <w:spacing w:line="360" w:lineRule="auto"/>
        <w:rPr>
          <w:color w:val="auto"/>
        </w:rPr>
      </w:pPr>
      <w:r>
        <w:rPr>
          <w:rFonts w:hint="eastAsia"/>
          <w:color w:val="auto"/>
        </w:rPr>
        <w:t xml:space="preserve">     封场期填埋区全部覆土恢复植被，采用乔灌草结合的方式实施，施工期和运营期造成的生态环境影响得到治理和恢复，最终要达到工程建设前该区域的生物量和覆盖度。植被恢复后区域植被覆盖将对区域水土流失的治理起到积极的作用；但是填埋区植被恢复时需先覆土，覆土时如遇大风、多雨天气将会发生水土流失，所以覆土要尽量避开大风、多雨季节，覆土后应及时恢复植被，避免土壤长期裸露带来的水土流失发生。植被恢复后，由于区域生境的改善，野生动物将会逐渐进入，重新占据该区域，区域生物多样性逐渐恢复。</w:t>
      </w:r>
    </w:p>
    <w:p>
      <w:pPr>
        <w:spacing w:line="360" w:lineRule="auto"/>
        <w:rPr>
          <w:color w:val="auto"/>
        </w:rPr>
      </w:pPr>
      <w:r>
        <w:rPr>
          <w:rFonts w:hint="eastAsia"/>
          <w:color w:val="auto"/>
        </w:rPr>
        <w:t xml:space="preserve">    综上所述，在合理安排覆土和植被恢复时间的前提下，终场期生态影响主要为有利的影响，增加了区域植被覆盖率，提高了水土保持能力，生物多样性得以恢复。</w:t>
      </w:r>
    </w:p>
    <w:p>
      <w:pPr>
        <w:pStyle w:val="4"/>
        <w:numPr>
          <w:ilvl w:val="0"/>
          <w:numId w:val="0"/>
        </w:numPr>
        <w:tabs>
          <w:tab w:val="clear" w:pos="680"/>
        </w:tabs>
        <w:adjustRightInd w:val="0"/>
        <w:snapToGrid w:val="0"/>
        <w:ind w:left="720" w:right="240" w:hanging="720"/>
        <w:rPr>
          <w:b/>
          <w:color w:val="auto"/>
          <w:szCs w:val="24"/>
        </w:rPr>
      </w:pPr>
      <w:bookmarkStart w:id="731" w:name="_Toc15912208"/>
      <w:bookmarkStart w:id="732" w:name="_Toc14946916"/>
      <w:bookmarkStart w:id="733" w:name="_Toc24136826"/>
      <w:bookmarkStart w:id="734" w:name="_Toc24190045"/>
      <w:r>
        <w:rPr>
          <w:rFonts w:hint="eastAsia"/>
          <w:b/>
          <w:color w:val="auto"/>
          <w:szCs w:val="24"/>
        </w:rPr>
        <w:t>5</w:t>
      </w:r>
      <w:r>
        <w:rPr>
          <w:b/>
          <w:color w:val="auto"/>
          <w:szCs w:val="24"/>
        </w:rPr>
        <w:t>.2.1</w:t>
      </w:r>
      <w:r>
        <w:rPr>
          <w:rFonts w:hint="eastAsia"/>
          <w:b/>
          <w:color w:val="auto"/>
          <w:szCs w:val="24"/>
          <w:lang w:val="en-US" w:eastAsia="zh-CN"/>
        </w:rPr>
        <w:t>1</w:t>
      </w:r>
      <w:r>
        <w:rPr>
          <w:b/>
          <w:color w:val="auto"/>
          <w:szCs w:val="24"/>
        </w:rPr>
        <w:t>项目取水及使用对水生生态环境影响</w:t>
      </w:r>
      <w:bookmarkEnd w:id="731"/>
      <w:bookmarkEnd w:id="732"/>
      <w:r>
        <w:rPr>
          <w:rFonts w:hint="eastAsia"/>
          <w:b/>
          <w:color w:val="auto"/>
          <w:szCs w:val="24"/>
        </w:rPr>
        <w:t>分析</w:t>
      </w:r>
      <w:bookmarkEnd w:id="733"/>
      <w:bookmarkEnd w:id="734"/>
    </w:p>
    <w:p>
      <w:pPr>
        <w:autoSpaceDE w:val="0"/>
        <w:autoSpaceDN w:val="0"/>
        <w:adjustRightInd w:val="0"/>
        <w:spacing w:line="360" w:lineRule="auto"/>
        <w:ind w:firstLine="480" w:firstLineChars="200"/>
        <w:jc w:val="both"/>
        <w:rPr>
          <w:bCs/>
          <w:color w:val="auto"/>
          <w:kern w:val="0"/>
        </w:rPr>
      </w:pPr>
      <w:r>
        <w:rPr>
          <w:rFonts w:hint="eastAsia"/>
          <w:color w:val="auto"/>
          <w:kern w:val="0"/>
        </w:rPr>
        <w:t>本项目排水系统分为污水系统和雨水系统，实行</w:t>
      </w:r>
      <w:r>
        <w:rPr>
          <w:rFonts w:hint="eastAsia"/>
          <w:color w:val="auto"/>
          <w:kern w:val="0"/>
          <w:lang w:eastAsia="zh-CN"/>
        </w:rPr>
        <w:t>后期雨水与污水</w:t>
      </w:r>
      <w:r>
        <w:rPr>
          <w:rFonts w:hint="eastAsia"/>
          <w:color w:val="auto"/>
          <w:kern w:val="0"/>
        </w:rPr>
        <w:t>分流制。初期雨水经收集后送至园区污水厂</w:t>
      </w:r>
      <w:r>
        <w:rPr>
          <w:rFonts w:hint="eastAsia"/>
          <w:color w:val="auto"/>
          <w:kern w:val="0"/>
          <w:lang w:eastAsia="zh-CN"/>
        </w:rPr>
        <w:t>，后期</w:t>
      </w:r>
      <w:r>
        <w:rPr>
          <w:rFonts w:hint="eastAsia"/>
          <w:color w:val="auto"/>
          <w:kern w:val="0"/>
        </w:rPr>
        <w:t>雨水最终经园区雨水管网排入至园区外市政雨水管道或自然水体。</w:t>
      </w:r>
      <w:r>
        <w:rPr>
          <w:rFonts w:hint="eastAsia"/>
          <w:bCs/>
          <w:color w:val="auto"/>
          <w:kern w:val="0"/>
        </w:rPr>
        <w:t>本项目</w:t>
      </w:r>
      <w:r>
        <w:rPr>
          <w:rFonts w:hint="eastAsia"/>
          <w:bCs/>
          <w:color w:val="auto"/>
          <w:kern w:val="0"/>
          <w:lang w:eastAsia="zh-CN"/>
        </w:rPr>
        <w:t>依托园区内在建的取水工程，</w:t>
      </w:r>
      <w:r>
        <w:rPr>
          <w:rFonts w:hint="eastAsia"/>
          <w:bCs/>
          <w:color w:val="auto"/>
          <w:kern w:val="0"/>
        </w:rPr>
        <w:t>在取水时，合理对曾坑水库水资源配置，避免对下游环境不用造成影响。</w:t>
      </w:r>
    </w:p>
    <w:p>
      <w:pPr>
        <w:autoSpaceDE w:val="0"/>
        <w:autoSpaceDN w:val="0"/>
        <w:adjustRightInd w:val="0"/>
        <w:spacing w:line="360" w:lineRule="auto"/>
        <w:ind w:firstLine="480" w:firstLineChars="200"/>
        <w:jc w:val="both"/>
        <w:rPr>
          <w:bCs/>
          <w:color w:val="auto"/>
          <w:kern w:val="0"/>
        </w:rPr>
      </w:pPr>
      <w:r>
        <w:rPr>
          <w:rFonts w:hint="eastAsia"/>
          <w:bCs/>
          <w:color w:val="auto"/>
          <w:kern w:val="0"/>
        </w:rPr>
        <w:t>曾坑水库位于新陂福庆福民两村的交界处，是1956年兴建的小（1）型水库。集雨面积9.44平方公里，总库容207.2万立方米，兴利库容121万立方米，最大灌溉面积5500亩，属均质土坝，最大坝高21米，坝顶长85米，坝面宽5米，对下游影响人口为50000人、耕地13800亩。本项目水源为地表水资源，取水点以上多年平均径流总量762万m</w:t>
      </w:r>
      <w:r>
        <w:rPr>
          <w:rFonts w:hint="eastAsia"/>
          <w:bCs/>
          <w:color w:val="auto"/>
          <w:kern w:val="0"/>
          <w:vertAlign w:val="superscript"/>
        </w:rPr>
        <w:t>3</w:t>
      </w:r>
      <w:r>
        <w:rPr>
          <w:rFonts w:hint="eastAsia"/>
          <w:bCs/>
          <w:color w:val="auto"/>
          <w:kern w:val="0"/>
        </w:rPr>
        <w:t>，</w:t>
      </w:r>
      <w:r>
        <w:rPr>
          <w:rFonts w:hint="eastAsia"/>
          <w:bCs/>
          <w:color w:val="auto"/>
          <w:kern w:val="0"/>
          <w:lang w:eastAsia="zh-CN"/>
        </w:rPr>
        <w:t>园区内在建取水工程</w:t>
      </w:r>
      <w:r>
        <w:rPr>
          <w:rFonts w:hint="eastAsia"/>
          <w:bCs/>
          <w:color w:val="auto"/>
          <w:kern w:val="0"/>
        </w:rPr>
        <w:t>取水量4</w:t>
      </w:r>
      <w:r>
        <w:rPr>
          <w:bCs/>
          <w:color w:val="auto"/>
          <w:kern w:val="0"/>
        </w:rPr>
        <w:t>7.5</w:t>
      </w:r>
      <w:r>
        <w:rPr>
          <w:rFonts w:hint="eastAsia"/>
          <w:bCs/>
          <w:color w:val="auto"/>
          <w:kern w:val="0"/>
        </w:rPr>
        <w:t>万m</w:t>
      </w:r>
      <w:r>
        <w:rPr>
          <w:bCs/>
          <w:color w:val="auto"/>
          <w:kern w:val="0"/>
          <w:vertAlign w:val="superscript"/>
        </w:rPr>
        <w:t>3</w:t>
      </w:r>
      <w:r>
        <w:rPr>
          <w:bCs/>
          <w:color w:val="auto"/>
          <w:kern w:val="0"/>
        </w:rPr>
        <w:t>/</w:t>
      </w:r>
      <w:r>
        <w:rPr>
          <w:rFonts w:hint="eastAsia"/>
          <w:bCs/>
          <w:color w:val="auto"/>
          <w:kern w:val="0"/>
        </w:rPr>
        <w:t>a，仅占取水点以上多年平均径流量的</w:t>
      </w:r>
      <w:r>
        <w:rPr>
          <w:bCs/>
          <w:color w:val="auto"/>
          <w:kern w:val="0"/>
        </w:rPr>
        <w:t>6.2</w:t>
      </w:r>
      <w:r>
        <w:rPr>
          <w:rFonts w:hint="eastAsia"/>
          <w:bCs/>
          <w:color w:val="auto"/>
          <w:kern w:val="0"/>
        </w:rPr>
        <w:t>%，因此本项目取水水源水量较为充足。在枯水季节为保证下游水环境不受破坏，需保证曾坑水库下游的曾坑水河道不小于</w:t>
      </w:r>
      <w:r>
        <w:rPr>
          <w:bCs/>
          <w:color w:val="auto"/>
          <w:kern w:val="0"/>
        </w:rPr>
        <w:t>0.02m</w:t>
      </w:r>
      <w:r>
        <w:rPr>
          <w:rFonts w:hint="eastAsia"/>
          <w:bCs/>
          <w:color w:val="auto"/>
          <w:kern w:val="0"/>
          <w:vertAlign w:val="superscript"/>
        </w:rPr>
        <w:t>3</w:t>
      </w:r>
      <w:r>
        <w:rPr>
          <w:bCs/>
          <w:color w:val="auto"/>
          <w:kern w:val="0"/>
        </w:rPr>
        <w:t>/s</w:t>
      </w:r>
      <w:r>
        <w:rPr>
          <w:rFonts w:hint="eastAsia"/>
          <w:bCs/>
          <w:color w:val="auto"/>
          <w:kern w:val="0"/>
        </w:rPr>
        <w:t>的生态环境用水。根据项目水资源论证报告，工程涉及区内无珍稀动植物种，河中亦无特殊水生物种类，无文物古迹等特殊保护设施。本项目取水对水环境无不利影响。</w:t>
      </w:r>
    </w:p>
    <w:p>
      <w:pPr>
        <w:autoSpaceDE w:val="0"/>
        <w:autoSpaceDN w:val="0"/>
        <w:adjustRightInd w:val="0"/>
        <w:spacing w:line="360" w:lineRule="auto"/>
        <w:ind w:firstLine="480" w:firstLineChars="200"/>
        <w:jc w:val="both"/>
        <w:rPr>
          <w:color w:val="auto"/>
          <w:kern w:val="0"/>
        </w:rPr>
      </w:pPr>
      <w:r>
        <w:rPr>
          <w:color w:val="auto"/>
          <w:kern w:val="1"/>
        </w:rPr>
        <w:t>此外，本项目所产生的生产废水经处理后全部回用，不排入外环境。</w:t>
      </w:r>
      <w:r>
        <w:rPr>
          <w:color w:val="auto"/>
          <w:kern w:val="0"/>
        </w:rPr>
        <w:t>项目生产取水是在保障下游生态用水前提下进行取水，因此项目生产取水对</w:t>
      </w:r>
      <w:r>
        <w:rPr>
          <w:rFonts w:hint="eastAsia"/>
          <w:color w:val="auto"/>
          <w:kern w:val="0"/>
        </w:rPr>
        <w:t>曾坑水库</w:t>
      </w:r>
      <w:r>
        <w:rPr>
          <w:color w:val="auto"/>
          <w:kern w:val="0"/>
        </w:rPr>
        <w:t>取水口以下河段的生态影响轻微。</w:t>
      </w:r>
    </w:p>
    <w:p>
      <w:pPr>
        <w:spacing w:line="360" w:lineRule="auto"/>
        <w:rPr>
          <w:color w:val="auto"/>
        </w:rPr>
        <w:sectPr>
          <w:footerReference r:id="rId23" w:type="first"/>
          <w:footerReference r:id="rId21" w:type="default"/>
          <w:footerReference r:id="rId22" w:type="even"/>
          <w:pgSz w:w="11906" w:h="16838"/>
          <w:pgMar w:top="1360" w:right="1134" w:bottom="1134" w:left="1701" w:header="851" w:footer="992" w:gutter="0"/>
          <w:pgNumType w:fmt="decimal"/>
          <w:cols w:space="720" w:num="1"/>
          <w:docGrid w:linePitch="312" w:charSpace="0"/>
        </w:sectPr>
      </w:pPr>
    </w:p>
    <w:p>
      <w:pPr>
        <w:pStyle w:val="2"/>
        <w:numPr>
          <w:ilvl w:val="0"/>
          <w:numId w:val="10"/>
        </w:numPr>
        <w:spacing w:line="360" w:lineRule="auto"/>
        <w:rPr>
          <w:color w:val="auto"/>
          <w:sz w:val="36"/>
          <w:szCs w:val="36"/>
        </w:rPr>
      </w:pPr>
      <w:bookmarkStart w:id="735" w:name="_Toc483263384"/>
      <w:bookmarkStart w:id="736" w:name="_Toc23263174"/>
      <w:bookmarkStart w:id="737" w:name="_Toc24136828"/>
      <w:bookmarkStart w:id="738" w:name="_Toc14943331"/>
      <w:r>
        <w:rPr>
          <w:rFonts w:hint="eastAsia"/>
          <w:color w:val="auto"/>
          <w:sz w:val="36"/>
          <w:szCs w:val="36"/>
        </w:rPr>
        <w:t xml:space="preserve"> </w:t>
      </w:r>
      <w:bookmarkStart w:id="739" w:name="_Toc11492"/>
      <w:r>
        <w:rPr>
          <w:color w:val="auto"/>
          <w:sz w:val="36"/>
          <w:szCs w:val="36"/>
        </w:rPr>
        <w:t>污染防治措施及技术经济可行性论证</w:t>
      </w:r>
      <w:bookmarkEnd w:id="735"/>
      <w:bookmarkEnd w:id="736"/>
      <w:bookmarkEnd w:id="737"/>
      <w:bookmarkEnd w:id="738"/>
      <w:bookmarkEnd w:id="739"/>
    </w:p>
    <w:p>
      <w:pPr>
        <w:pStyle w:val="3"/>
        <w:rPr>
          <w:rFonts w:ascii="Times New Roman"/>
          <w:bCs/>
          <w:color w:val="auto"/>
        </w:rPr>
      </w:pPr>
      <w:bookmarkStart w:id="740" w:name="_Toc1570"/>
      <w:bookmarkStart w:id="741" w:name="_Toc24136829"/>
      <w:bookmarkStart w:id="742" w:name="_Toc14943332"/>
      <w:bookmarkStart w:id="743" w:name="_Toc23263175"/>
      <w:bookmarkStart w:id="744" w:name="_Toc483263385"/>
      <w:r>
        <w:rPr>
          <w:rFonts w:ascii="Times New Roman"/>
          <w:bCs/>
          <w:color w:val="auto"/>
        </w:rPr>
        <w:t>施工期污染防治措施</w:t>
      </w:r>
      <w:bookmarkEnd w:id="740"/>
      <w:bookmarkEnd w:id="741"/>
      <w:bookmarkEnd w:id="742"/>
      <w:bookmarkEnd w:id="743"/>
      <w:bookmarkEnd w:id="744"/>
    </w:p>
    <w:p>
      <w:pPr>
        <w:pStyle w:val="4"/>
        <w:rPr>
          <w:color w:val="auto"/>
        </w:rPr>
      </w:pPr>
      <w:bookmarkStart w:id="745" w:name="_Toc15912212"/>
      <w:bookmarkStart w:id="746" w:name="_Toc24136830"/>
      <w:bookmarkStart w:id="747" w:name="_Toc14946920"/>
      <w:bookmarkStart w:id="748" w:name="_Toc34234748"/>
      <w:bookmarkStart w:id="749" w:name="_Toc6324"/>
      <w:r>
        <w:rPr>
          <w:b/>
          <w:color w:val="auto"/>
        </w:rPr>
        <w:t>施工扬尘污染防治措施</w:t>
      </w:r>
      <w:bookmarkEnd w:id="745"/>
      <w:bookmarkEnd w:id="746"/>
      <w:bookmarkEnd w:id="747"/>
      <w:bookmarkEnd w:id="748"/>
      <w:bookmarkEnd w:id="749"/>
    </w:p>
    <w:p>
      <w:pPr>
        <w:spacing w:line="360" w:lineRule="auto"/>
        <w:ind w:firstLine="480" w:firstLineChars="200"/>
        <w:jc w:val="both"/>
        <w:rPr>
          <w:color w:val="auto"/>
        </w:rPr>
      </w:pPr>
      <w:bookmarkStart w:id="750" w:name="_Hlk24554868"/>
      <w:r>
        <w:rPr>
          <w:color w:val="auto"/>
        </w:rPr>
        <w:t>施工扬尘污染是施工期间重要的污染因素，项目挖掘过程以及施工建设期间，不可避免地会产生一些地面扬尘，这些扬尘尽管是短期行为，但会对附近区域带来不利的影响，所以在施工期间，应采取积极的措施来尽量减少扬尘的产生，如喷水，保持湿润，及时外运等。施工过程应严格遵守《防治城市扬尘污染技术规范》（HJ/T 393-2007）；在风力大于4级的情况下应停止土方作业，同时作业处应覆以防尘网。</w:t>
      </w:r>
      <w:bookmarkEnd w:id="750"/>
      <w:r>
        <w:rPr>
          <w:color w:val="auto"/>
        </w:rPr>
        <w:t>施工单位应负责实施下列减缓措施以防止施工扬尘污染：</w:t>
      </w:r>
    </w:p>
    <w:p>
      <w:pPr>
        <w:spacing w:line="360" w:lineRule="auto"/>
        <w:ind w:firstLine="480" w:firstLineChars="200"/>
        <w:rPr>
          <w:color w:val="auto"/>
        </w:rPr>
      </w:pPr>
      <w:r>
        <w:rPr>
          <w:color w:val="auto"/>
        </w:rPr>
        <w:t>（1）施工标志牌的规格和内容</w:t>
      </w:r>
    </w:p>
    <w:p>
      <w:pPr>
        <w:spacing w:line="360" w:lineRule="auto"/>
        <w:ind w:firstLine="480" w:firstLineChars="200"/>
        <w:rPr>
          <w:color w:val="auto"/>
        </w:rPr>
      </w:pPr>
      <w:r>
        <w:rPr>
          <w:color w:val="auto"/>
        </w:rPr>
        <w:t>施工期间，施工单位应根据《建设工程施工现场管理规定》的规定设置现场平面布置图、工程概况牌、安全生产牌、消防保卫牌、文明施工牌、环境保护牌、管理人员名单及监督电话牌等。</w:t>
      </w:r>
    </w:p>
    <w:p>
      <w:pPr>
        <w:spacing w:line="360" w:lineRule="auto"/>
        <w:ind w:firstLine="480" w:firstLineChars="200"/>
        <w:rPr>
          <w:color w:val="auto"/>
        </w:rPr>
      </w:pPr>
      <w:r>
        <w:rPr>
          <w:color w:val="auto"/>
        </w:rPr>
        <w:t>（2）围挡、围栏及防溢座的设置</w:t>
      </w:r>
    </w:p>
    <w:p>
      <w:pPr>
        <w:spacing w:line="360" w:lineRule="auto"/>
        <w:ind w:firstLine="480" w:firstLineChars="200"/>
        <w:rPr>
          <w:color w:val="auto"/>
        </w:rPr>
      </w:pPr>
      <w:r>
        <w:rPr>
          <w:color w:val="auto"/>
        </w:rPr>
        <w:t>施工期间，施工单位必须实行封闭式施工，边界应设置高度2.5米以上的围挡；设置围挡底端应设置防溢座，围挡之间以及围挡与防溢座之间无缝隙。</w:t>
      </w:r>
    </w:p>
    <w:p>
      <w:pPr>
        <w:spacing w:line="360" w:lineRule="auto"/>
        <w:ind w:firstLine="480" w:firstLineChars="200"/>
        <w:rPr>
          <w:color w:val="auto"/>
        </w:rPr>
      </w:pPr>
      <w:r>
        <w:rPr>
          <w:color w:val="auto"/>
        </w:rPr>
        <w:t>（3）土方工程防尘措施</w:t>
      </w:r>
    </w:p>
    <w:p>
      <w:pPr>
        <w:spacing w:line="360" w:lineRule="auto"/>
        <w:ind w:firstLine="480" w:firstLineChars="200"/>
        <w:rPr>
          <w:color w:val="auto"/>
        </w:rPr>
      </w:pPr>
      <w:r>
        <w:rPr>
          <w:color w:val="auto"/>
        </w:rPr>
        <mc:AlternateContent>
          <mc:Choice Requires="wpg">
            <w:drawing>
              <wp:anchor distT="0" distB="0" distL="114300" distR="114300" simplePos="0" relativeHeight="251597824" behindDoc="0" locked="0" layoutInCell="1" allowOverlap="1">
                <wp:simplePos x="0" y="0"/>
                <wp:positionH relativeFrom="column">
                  <wp:posOffset>-108585</wp:posOffset>
                </wp:positionH>
                <wp:positionV relativeFrom="paragraph">
                  <wp:posOffset>833120</wp:posOffset>
                </wp:positionV>
                <wp:extent cx="6009005" cy="2118360"/>
                <wp:effectExtent l="0" t="0" r="0" b="0"/>
                <wp:wrapNone/>
                <wp:docPr id="1272" name="Group 622"/>
                <wp:cNvGraphicFramePr/>
                <a:graphic xmlns:a="http://schemas.openxmlformats.org/drawingml/2006/main">
                  <a:graphicData uri="http://schemas.microsoft.com/office/word/2010/wordprocessingGroup">
                    <wpg:wgp>
                      <wpg:cNvGrpSpPr/>
                      <wpg:grpSpPr>
                        <a:xfrm>
                          <a:off x="0" y="0"/>
                          <a:ext cx="6009005" cy="2118360"/>
                          <a:chOff x="1418" y="10593"/>
                          <a:chExt cx="9463" cy="3336"/>
                        </a:xfrm>
                      </wpg:grpSpPr>
                      <pic:pic xmlns:pic="http://schemas.openxmlformats.org/drawingml/2006/picture">
                        <pic:nvPicPr>
                          <pic:cNvPr id="1273" name="图片 3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6278" y="10593"/>
                            <a:ext cx="4603" cy="3251"/>
                          </a:xfrm>
                          <a:prstGeom prst="rect">
                            <a:avLst/>
                          </a:prstGeom>
                          <a:noFill/>
                          <a:ln>
                            <a:noFill/>
                          </a:ln>
                        </pic:spPr>
                      </pic:pic>
                      <pic:pic xmlns:pic="http://schemas.openxmlformats.org/drawingml/2006/picture">
                        <pic:nvPicPr>
                          <pic:cNvPr id="1274" name="图片 3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1418" y="10749"/>
                            <a:ext cx="4797" cy="3180"/>
                          </a:xfrm>
                          <a:prstGeom prst="rect">
                            <a:avLst/>
                          </a:prstGeom>
                          <a:noFill/>
                          <a:ln>
                            <a:noFill/>
                          </a:ln>
                        </pic:spPr>
                      </pic:pic>
                    </wpg:wgp>
                  </a:graphicData>
                </a:graphic>
              </wp:anchor>
            </w:drawing>
          </mc:Choice>
          <mc:Fallback>
            <w:pict>
              <v:group id="Group 622" o:spid="_x0000_s1026" o:spt="203" style="position:absolute;left:0pt;margin-left:-8.55pt;margin-top:65.6pt;height:166.8pt;width:473.15pt;z-index:251597824;mso-width-relative:page;mso-height-relative:page;" coordorigin="1418,10593" coordsize="9463,3336" o:gfxdata="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">
                <o:lock v:ext="edit" aspectratio="f"/>
                <v:shape id="图片 36" o:spid="_x0000_s1026" o:spt="75" type="#_x0000_t75" style="position:absolute;left:6278;top:10593;height:3251;width:4603;" filled="f" o:preferrelative="t" stroked="f" coordsize="21600,21600" o:gfxdata="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fQiJe8AAAA&#10;3QAAAA8AAAAAAAAAAQAgAAAAIgAAAGRycy9kb3ducmV2LnhtbFBLAQIUABQAAAAIAIdO4kAzLwWe&#10;OwAAADkAAAAQAAAAAAAAAAEAIAAAAAsBAABkcnMvc2hhcGV4bWwueG1sUEsFBgAAAAAGAAYAWwEA&#10;ALUDAAAAAA==&#10;">
                  <v:fill on="f" focussize="0,0"/>
                  <v:stroke on="f"/>
                  <v:imagedata r:id="rId119" o:title=""/>
                  <o:lock v:ext="edit" aspectratio="t"/>
                </v:shape>
                <v:shape id="图片 37" o:spid="_x0000_s1026" o:spt="75" type="#_x0000_t75" style="position:absolute;left:1418;top:10749;height:3180;width:4797;" filled="f" o:preferrelative="t" stroked="f" coordsize="21600,21600" o:gfxdata="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uQlzvQAA&#10;AN0AAAAPAAAAAAAAAAEAIAAAACIAAABkcnMvZG93bnJldi54bWxQSwECFAAUAAAACACHTuJAMy8F&#10;njsAAAA5AAAAEAAAAAAAAAABACAAAAAMAQAAZHJzL3NoYXBleG1sLnhtbFBLBQYAAAAABgAGAFsB&#10;AAC2AwAAAAA=&#10;">
                  <v:fill on="f" focussize="0,0"/>
                  <v:stroke on="f"/>
                  <v:imagedata r:id="rId120" o:title=""/>
                  <o:lock v:ext="edit" aspectratio="t"/>
                </v:shape>
              </v:group>
            </w:pict>
          </mc:Fallback>
        </mc:AlternateContent>
      </w:r>
      <w:r>
        <w:rPr>
          <w:color w:val="auto"/>
        </w:rPr>
        <w:t>土方工程包括土的开挖、运输和填筑等施工过程，有时还需进行排水、降水、土壁支撑等准备工作。遇到干燥、易起尘的土方工程作业时，应辅以洒水压尘，尽量缩短起尘操作时间。遇到四级或四级以上大风天气，应停止土方作业，同时作业处覆以防尘网。</w:t>
      </w: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spacing w:line="360" w:lineRule="auto"/>
        <w:ind w:firstLine="482" w:firstLineChars="200"/>
        <w:jc w:val="center"/>
        <w:rPr>
          <w:color w:val="auto"/>
        </w:rPr>
      </w:pPr>
      <w:r>
        <w:rPr>
          <w:b/>
          <w:color w:val="auto"/>
        </w:rPr>
        <w:t xml:space="preserve">图 </w:t>
      </w:r>
      <w:r>
        <w:rPr>
          <w:b/>
          <w:color w:val="auto"/>
        </w:rPr>
        <w:fldChar w:fldCharType="begin"/>
      </w:r>
      <w:r>
        <w:rPr>
          <w:b/>
          <w:color w:val="auto"/>
        </w:rPr>
        <w:instrText xml:space="preserve"> STYLEREF 2 \s </w:instrText>
      </w:r>
      <w:r>
        <w:rPr>
          <w:b/>
          <w:color w:val="auto"/>
        </w:rPr>
        <w:fldChar w:fldCharType="separate"/>
      </w:r>
      <w:r>
        <w:rPr>
          <w:b/>
          <w:color w:val="auto"/>
        </w:rPr>
        <w:t>6.1</w:t>
      </w:r>
      <w:r>
        <w:rPr>
          <w:b/>
          <w:color w:val="auto"/>
        </w:rPr>
        <w:fldChar w:fldCharType="end"/>
      </w:r>
      <w:r>
        <w:rPr>
          <w:b/>
          <w:color w:val="auto"/>
        </w:rPr>
        <w:noBreakHyphen/>
      </w:r>
      <w:r>
        <w:rPr>
          <w:b/>
          <w:color w:val="auto"/>
        </w:rPr>
        <w:fldChar w:fldCharType="begin"/>
      </w:r>
      <w:r>
        <w:rPr>
          <w:b/>
          <w:color w:val="auto"/>
        </w:rPr>
        <w:instrText xml:space="preserve"> SEQ 图 \* ARABIC \s 2 </w:instrText>
      </w:r>
      <w:r>
        <w:rPr>
          <w:b/>
          <w:color w:val="auto"/>
        </w:rPr>
        <w:fldChar w:fldCharType="separate"/>
      </w:r>
      <w:r>
        <w:rPr>
          <w:b/>
          <w:color w:val="auto"/>
        </w:rPr>
        <w:t>1</w:t>
      </w:r>
      <w:r>
        <w:rPr>
          <w:b/>
          <w:color w:val="auto"/>
        </w:rPr>
        <w:fldChar w:fldCharType="end"/>
      </w:r>
      <w:r>
        <w:rPr>
          <w:b/>
          <w:color w:val="auto"/>
        </w:rPr>
        <w:t xml:space="preserve">  防尘网示意图</w:t>
      </w:r>
    </w:p>
    <w:p>
      <w:pPr>
        <w:spacing w:line="360" w:lineRule="auto"/>
        <w:ind w:firstLine="480" w:firstLineChars="200"/>
        <w:rPr>
          <w:color w:val="auto"/>
        </w:rPr>
      </w:pPr>
      <w:r>
        <w:rPr>
          <w:color w:val="auto"/>
        </w:rPr>
        <w:t>（4）建筑材料的防尘管理措施</w:t>
      </w:r>
    </w:p>
    <w:p>
      <w:pPr>
        <w:spacing w:line="360" w:lineRule="auto"/>
        <w:ind w:firstLine="480" w:firstLineChars="200"/>
        <w:rPr>
          <w:color w:val="auto"/>
        </w:rPr>
      </w:pPr>
      <w:r>
        <w:rPr>
          <w:color w:val="auto"/>
        </w:rPr>
        <w:t>施工过程中使用水泥、石灰、砂石、涂料、铺装材料等易产生扬尘的建筑材料，应采取下列措施之一：</w:t>
      </w:r>
    </w:p>
    <w:p>
      <w:pPr>
        <w:spacing w:line="360" w:lineRule="auto"/>
        <w:ind w:firstLine="480" w:firstLineChars="200"/>
        <w:rPr>
          <w:color w:val="auto"/>
        </w:rPr>
      </w:pPr>
      <w:r>
        <w:rPr>
          <w:color w:val="auto"/>
        </w:rPr>
        <w:fldChar w:fldCharType="begin"/>
      </w:r>
      <w:r>
        <w:rPr>
          <w:color w:val="auto"/>
        </w:rPr>
        <w:instrText xml:space="preserve"> = 1 \* GB3 </w:instrText>
      </w:r>
      <w:r>
        <w:rPr>
          <w:color w:val="auto"/>
        </w:rPr>
        <w:fldChar w:fldCharType="separate"/>
      </w:r>
      <w:r>
        <w:rPr>
          <w:rFonts w:hint="eastAsia"/>
          <w:color w:val="auto"/>
        </w:rPr>
        <w:t>①</w:t>
      </w:r>
      <w:r>
        <w:rPr>
          <w:color w:val="auto"/>
        </w:rPr>
        <w:fldChar w:fldCharType="end"/>
      </w:r>
      <w:r>
        <w:rPr>
          <w:color w:val="auto"/>
        </w:rPr>
        <w:t xml:space="preserve"> 密闭存储；</w:t>
      </w:r>
      <w:r>
        <w:rPr>
          <w:color w:val="auto"/>
        </w:rPr>
        <w:fldChar w:fldCharType="begin"/>
      </w:r>
      <w:r>
        <w:rPr>
          <w:color w:val="auto"/>
        </w:rPr>
        <w:instrText xml:space="preserve"> = 2 \* GB3 </w:instrText>
      </w:r>
      <w:r>
        <w:rPr>
          <w:color w:val="auto"/>
        </w:rPr>
        <w:fldChar w:fldCharType="separate"/>
      </w:r>
      <w:r>
        <w:rPr>
          <w:rFonts w:hint="eastAsia"/>
          <w:color w:val="auto"/>
        </w:rPr>
        <w:t>②</w:t>
      </w:r>
      <w:r>
        <w:rPr>
          <w:color w:val="auto"/>
        </w:rPr>
        <w:fldChar w:fldCharType="end"/>
      </w:r>
      <w:r>
        <w:rPr>
          <w:color w:val="auto"/>
        </w:rPr>
        <w:t>设置围挡或堆砌围墙；</w:t>
      </w:r>
      <w:r>
        <w:rPr>
          <w:color w:val="auto"/>
        </w:rPr>
        <w:fldChar w:fldCharType="begin"/>
      </w:r>
      <w:r>
        <w:rPr>
          <w:color w:val="auto"/>
        </w:rPr>
        <w:instrText xml:space="preserve"> = 3 \* GB3 </w:instrText>
      </w:r>
      <w:r>
        <w:rPr>
          <w:color w:val="auto"/>
        </w:rPr>
        <w:fldChar w:fldCharType="separate"/>
      </w:r>
      <w:r>
        <w:rPr>
          <w:rFonts w:hint="eastAsia"/>
          <w:color w:val="auto"/>
        </w:rPr>
        <w:t>③</w:t>
      </w:r>
      <w:r>
        <w:rPr>
          <w:color w:val="auto"/>
        </w:rPr>
        <w:fldChar w:fldCharType="end"/>
      </w:r>
      <w:r>
        <w:rPr>
          <w:color w:val="auto"/>
        </w:rPr>
        <w:t>采用防尘布苫盖；</w:t>
      </w:r>
      <w:r>
        <w:rPr>
          <w:color w:val="auto"/>
        </w:rPr>
        <w:fldChar w:fldCharType="begin"/>
      </w:r>
      <w:r>
        <w:rPr>
          <w:color w:val="auto"/>
        </w:rPr>
        <w:instrText xml:space="preserve"> = 4 \* GB3 </w:instrText>
      </w:r>
      <w:r>
        <w:rPr>
          <w:color w:val="auto"/>
        </w:rPr>
        <w:fldChar w:fldCharType="separate"/>
      </w:r>
      <w:r>
        <w:rPr>
          <w:rFonts w:hint="eastAsia"/>
          <w:color w:val="auto"/>
        </w:rPr>
        <w:t>④</w:t>
      </w:r>
      <w:r>
        <w:rPr>
          <w:color w:val="auto"/>
        </w:rPr>
        <w:fldChar w:fldCharType="end"/>
      </w:r>
      <w:r>
        <w:rPr>
          <w:color w:val="auto"/>
        </w:rPr>
        <w:t xml:space="preserve"> 其他有效的防尘措施。</w:t>
      </w:r>
    </w:p>
    <w:p>
      <w:pPr>
        <w:spacing w:line="360" w:lineRule="auto"/>
        <w:ind w:firstLine="480" w:firstLineChars="200"/>
        <w:rPr>
          <w:color w:val="auto"/>
        </w:rPr>
      </w:pPr>
      <w:r>
        <w:rPr>
          <w:color w:val="auto"/>
        </w:rPr>
        <w:t>（5）建筑垃圾的防尘管理措施</w:t>
      </w:r>
    </w:p>
    <w:p>
      <w:pPr>
        <w:spacing w:line="360" w:lineRule="auto"/>
        <w:ind w:firstLine="480" w:firstLineChars="200"/>
        <w:rPr>
          <w:color w:val="auto"/>
        </w:rPr>
      </w:pPr>
      <w:r>
        <w:rPr>
          <w:color w:val="auto"/>
        </w:rPr>
        <w:t>施工工程中产生的弃土、弃料及其他建筑垃圾，应及时清运。若在工地内堆置超过一周的，则应采取下列措施之一，防止风蚀起尘及水蚀迁移：</w:t>
      </w:r>
    </w:p>
    <w:p>
      <w:pPr>
        <w:spacing w:line="360" w:lineRule="auto"/>
        <w:ind w:firstLine="480" w:firstLineChars="200"/>
        <w:rPr>
          <w:color w:val="auto"/>
        </w:rPr>
      </w:pPr>
      <w:r>
        <w:rPr>
          <w:color w:val="auto"/>
        </w:rPr>
        <w:fldChar w:fldCharType="begin"/>
      </w:r>
      <w:r>
        <w:rPr>
          <w:color w:val="auto"/>
        </w:rPr>
        <w:instrText xml:space="preserve"> = 1 \* GB3 </w:instrText>
      </w:r>
      <w:r>
        <w:rPr>
          <w:color w:val="auto"/>
        </w:rPr>
        <w:fldChar w:fldCharType="separate"/>
      </w:r>
      <w:r>
        <w:rPr>
          <w:rFonts w:hint="eastAsia"/>
          <w:color w:val="auto"/>
        </w:rPr>
        <w:t>①</w:t>
      </w:r>
      <w:r>
        <w:rPr>
          <w:color w:val="auto"/>
        </w:rPr>
        <w:fldChar w:fldCharType="end"/>
      </w:r>
      <w:r>
        <w:rPr>
          <w:color w:val="auto"/>
        </w:rPr>
        <w:t>覆盖防尘布、防尘网；</w:t>
      </w:r>
      <w:r>
        <w:rPr>
          <w:color w:val="auto"/>
        </w:rPr>
        <w:fldChar w:fldCharType="begin"/>
      </w:r>
      <w:r>
        <w:rPr>
          <w:color w:val="auto"/>
        </w:rPr>
        <w:instrText xml:space="preserve"> = 2 \* GB3 </w:instrText>
      </w:r>
      <w:r>
        <w:rPr>
          <w:color w:val="auto"/>
        </w:rPr>
        <w:fldChar w:fldCharType="separate"/>
      </w:r>
      <w:r>
        <w:rPr>
          <w:rFonts w:hint="eastAsia"/>
          <w:color w:val="auto"/>
        </w:rPr>
        <w:t>②</w:t>
      </w:r>
      <w:r>
        <w:rPr>
          <w:color w:val="auto"/>
        </w:rPr>
        <w:fldChar w:fldCharType="end"/>
      </w:r>
      <w:r>
        <w:rPr>
          <w:color w:val="auto"/>
        </w:rPr>
        <w:t>定期喷洒抑尘剂；</w:t>
      </w:r>
      <w:r>
        <w:rPr>
          <w:color w:val="auto"/>
        </w:rPr>
        <w:fldChar w:fldCharType="begin"/>
      </w:r>
      <w:r>
        <w:rPr>
          <w:color w:val="auto"/>
        </w:rPr>
        <w:instrText xml:space="preserve"> = 3 \* GB3 </w:instrText>
      </w:r>
      <w:r>
        <w:rPr>
          <w:color w:val="auto"/>
        </w:rPr>
        <w:fldChar w:fldCharType="separate"/>
      </w:r>
      <w:r>
        <w:rPr>
          <w:rFonts w:hint="eastAsia"/>
          <w:color w:val="auto"/>
        </w:rPr>
        <w:t>③</w:t>
      </w:r>
      <w:r>
        <w:rPr>
          <w:color w:val="auto"/>
        </w:rPr>
        <w:fldChar w:fldCharType="end"/>
      </w:r>
      <w:r>
        <w:rPr>
          <w:color w:val="auto"/>
        </w:rPr>
        <w:t>定期喷水压尘；</w:t>
      </w:r>
      <w:r>
        <w:rPr>
          <w:color w:val="auto"/>
        </w:rPr>
        <w:fldChar w:fldCharType="begin"/>
      </w:r>
      <w:r>
        <w:rPr>
          <w:color w:val="auto"/>
        </w:rPr>
        <w:instrText xml:space="preserve"> = 4 \* GB3 </w:instrText>
      </w:r>
      <w:r>
        <w:rPr>
          <w:color w:val="auto"/>
        </w:rPr>
        <w:fldChar w:fldCharType="separate"/>
      </w:r>
      <w:r>
        <w:rPr>
          <w:rFonts w:hint="eastAsia"/>
          <w:color w:val="auto"/>
        </w:rPr>
        <w:t>④</w:t>
      </w:r>
      <w:r>
        <w:rPr>
          <w:color w:val="auto"/>
        </w:rPr>
        <w:fldChar w:fldCharType="end"/>
      </w:r>
      <w:r>
        <w:rPr>
          <w:color w:val="auto"/>
        </w:rPr>
        <w:t>其他有效的防尘措施。</w:t>
      </w:r>
    </w:p>
    <w:p>
      <w:pPr>
        <w:spacing w:line="360" w:lineRule="auto"/>
        <w:ind w:firstLine="480" w:firstLineChars="200"/>
        <w:rPr>
          <w:color w:val="auto"/>
        </w:rPr>
      </w:pPr>
      <w:r>
        <w:rPr>
          <w:color w:val="auto"/>
        </w:rPr>
        <w:t>（6）设置洗车平台，完善排水设施，防止泥土粘带</w:t>
      </w:r>
    </w:p>
    <w:p>
      <w:pPr>
        <w:spacing w:line="360" w:lineRule="auto"/>
        <w:ind w:firstLine="480" w:firstLineChars="200"/>
        <w:rPr>
          <w:color w:val="auto"/>
        </w:rPr>
      </w:pPr>
      <w:r>
        <w:rPr>
          <w:color w:val="auto"/>
        </w:rPr>
        <w:t>施工期间，应在物料、渣土、垃圾运输车辆的出口内侧设置洗车平台，车辆驶离工地前，应在洗车平台清洗轮胎及车身，不得带泥上路。洗车平台四周应设置防溢座、废水导流渠、废水收集池、沉砂池及其它防治设施，收集洗车、施工以及降水过程中产生的废水和泥浆。工地出口处铺装道路上可见粘带泥土不得超过10m，并应及时清扫冲洗。</w:t>
      </w:r>
    </w:p>
    <w:p>
      <w:pPr>
        <w:spacing w:line="360" w:lineRule="auto"/>
        <w:ind w:firstLine="480" w:firstLineChars="200"/>
        <w:rPr>
          <w:color w:val="auto"/>
        </w:rPr>
      </w:pPr>
      <w:r>
        <w:rPr>
          <w:color w:val="auto"/>
        </w:rPr>
        <w:t>（7）进出工地的物料、渣土、垃圾运输车辆的防尘措施、运输路线和时间。</w:t>
      </w:r>
    </w:p>
    <w:p>
      <w:pPr>
        <w:spacing w:line="360" w:lineRule="auto"/>
        <w:ind w:firstLine="480" w:firstLineChars="200"/>
        <w:rPr>
          <w:color w:val="auto"/>
        </w:rPr>
      </w:pPr>
      <w:r>
        <w:rPr>
          <w:color w:val="auto"/>
        </w:rPr>
        <w:t>进出工地的物料、渣土、垃圾运输车辆，应尽可能采用密闭车斗，并保证物料不遗撒外漏。若无密闭车斗，物料、垃圾、渣土的装载高度不得超过车辆槽帮上沿，车斗应用苫布遮盖严实。苫布边缘至少要遮住槽帮上沿以下15cm，保证物料、渣土、垃圾等不露出。</w:t>
      </w:r>
    </w:p>
    <w:p>
      <w:pPr>
        <w:rPr>
          <w:color w:val="auto"/>
        </w:rPr>
      </w:pPr>
      <w:r>
        <w:rPr>
          <w:color w:val="auto"/>
        </w:rPr>
        <w:drawing>
          <wp:anchor distT="0" distB="0" distL="114300" distR="114300" simplePos="0" relativeHeight="251599872" behindDoc="0" locked="0" layoutInCell="1" allowOverlap="1">
            <wp:simplePos x="0" y="0"/>
            <wp:positionH relativeFrom="column">
              <wp:posOffset>570865</wp:posOffset>
            </wp:positionH>
            <wp:positionV relativeFrom="paragraph">
              <wp:posOffset>6350</wp:posOffset>
            </wp:positionV>
            <wp:extent cx="5043170" cy="2423160"/>
            <wp:effectExtent l="0" t="0" r="5080" b="0"/>
            <wp:wrapNone/>
            <wp:docPr id="126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图片 3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5043170" cy="2423160"/>
                    </a:xfrm>
                    <a:prstGeom prst="rect">
                      <a:avLst/>
                    </a:prstGeom>
                    <a:noFill/>
                    <a:ln>
                      <a:noFill/>
                    </a:ln>
                  </pic:spPr>
                </pic:pic>
              </a:graphicData>
            </a:graphic>
          </wp:anchor>
        </w:drawing>
      </w: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jc w:val="center"/>
        <w:rPr>
          <w:color w:val="auto"/>
        </w:rPr>
      </w:pPr>
      <w:r>
        <w:rPr>
          <w:b/>
          <w:color w:val="auto"/>
        </w:rPr>
        <w:t xml:space="preserve">图 </w:t>
      </w:r>
      <w:r>
        <w:rPr>
          <w:b/>
          <w:color w:val="auto"/>
        </w:rPr>
        <w:fldChar w:fldCharType="begin"/>
      </w:r>
      <w:r>
        <w:rPr>
          <w:b/>
          <w:color w:val="auto"/>
        </w:rPr>
        <w:instrText xml:space="preserve"> STYLEREF 2 \s </w:instrText>
      </w:r>
      <w:r>
        <w:rPr>
          <w:b/>
          <w:color w:val="auto"/>
        </w:rPr>
        <w:fldChar w:fldCharType="separate"/>
      </w:r>
      <w:r>
        <w:rPr>
          <w:b/>
          <w:color w:val="auto"/>
        </w:rPr>
        <w:t>6.1</w:t>
      </w:r>
      <w:r>
        <w:rPr>
          <w:b/>
          <w:color w:val="auto"/>
        </w:rPr>
        <w:fldChar w:fldCharType="end"/>
      </w:r>
      <w:r>
        <w:rPr>
          <w:b/>
          <w:color w:val="auto"/>
        </w:rPr>
        <w:noBreakHyphen/>
      </w:r>
      <w:r>
        <w:rPr>
          <w:b/>
          <w:color w:val="auto"/>
        </w:rPr>
        <w:fldChar w:fldCharType="begin"/>
      </w:r>
      <w:r>
        <w:rPr>
          <w:b/>
          <w:color w:val="auto"/>
        </w:rPr>
        <w:instrText xml:space="preserve"> SEQ 图 \* ARABIC \s 2 </w:instrText>
      </w:r>
      <w:r>
        <w:rPr>
          <w:b/>
          <w:color w:val="auto"/>
        </w:rPr>
        <w:fldChar w:fldCharType="separate"/>
      </w:r>
      <w:r>
        <w:rPr>
          <w:b/>
          <w:color w:val="auto"/>
        </w:rPr>
        <w:t>2</w:t>
      </w:r>
      <w:r>
        <w:rPr>
          <w:b/>
          <w:color w:val="auto"/>
        </w:rPr>
        <w:fldChar w:fldCharType="end"/>
      </w:r>
      <w:r>
        <w:rPr>
          <w:b/>
          <w:color w:val="auto"/>
        </w:rPr>
        <w:t xml:space="preserve">  车斗防尘示意图</w:t>
      </w:r>
    </w:p>
    <w:p>
      <w:pPr>
        <w:rPr>
          <w:color w:val="auto"/>
        </w:rPr>
      </w:pPr>
    </w:p>
    <w:p>
      <w:pPr>
        <w:spacing w:line="360" w:lineRule="auto"/>
        <w:ind w:firstLine="480" w:firstLineChars="200"/>
        <w:rPr>
          <w:color w:val="auto"/>
        </w:rPr>
      </w:pPr>
      <w:r>
        <w:rPr>
          <w:color w:val="auto"/>
        </w:rPr>
        <w:t>车辆路线应避开居民区等敏感区域，时间应避开上下班的高峰时期。</w:t>
      </w:r>
    </w:p>
    <w:p>
      <w:pPr>
        <w:spacing w:line="360" w:lineRule="auto"/>
        <w:ind w:firstLine="480" w:firstLineChars="200"/>
        <w:rPr>
          <w:color w:val="auto"/>
        </w:rPr>
      </w:pPr>
      <w:r>
        <w:rPr>
          <w:color w:val="auto"/>
        </w:rPr>
        <w:t>（8）施工工地道路防尘措施</w:t>
      </w:r>
    </w:p>
    <w:p>
      <w:pPr>
        <w:spacing w:line="360" w:lineRule="auto"/>
        <w:ind w:firstLine="480" w:firstLineChars="200"/>
        <w:rPr>
          <w:color w:val="auto"/>
        </w:rPr>
      </w:pPr>
      <w:r>
        <w:rPr>
          <w:color w:val="auto"/>
        </w:rPr>
        <w:t>施工期间，施工工地内及工地出口至铺装道路间的车行道路，应采取下列措施之一，并保持路面清洁，防止机动车扬尘：</w:t>
      </w:r>
    </w:p>
    <w:p>
      <w:pPr>
        <w:spacing w:line="360" w:lineRule="auto"/>
        <w:ind w:firstLine="480" w:firstLineChars="200"/>
        <w:rPr>
          <w:color w:val="auto"/>
        </w:rPr>
      </w:pPr>
      <w:r>
        <w:rPr>
          <w:color w:val="auto"/>
        </w:rPr>
        <w:fldChar w:fldCharType="begin"/>
      </w:r>
      <w:r>
        <w:rPr>
          <w:color w:val="auto"/>
        </w:rPr>
        <w:instrText xml:space="preserve"> = 1 \* GB3 </w:instrText>
      </w:r>
      <w:r>
        <w:rPr>
          <w:color w:val="auto"/>
        </w:rPr>
        <w:fldChar w:fldCharType="separate"/>
      </w:r>
      <w:r>
        <w:rPr>
          <w:rFonts w:hint="eastAsia"/>
          <w:color w:val="auto"/>
        </w:rPr>
        <w:t>①</w:t>
      </w:r>
      <w:r>
        <w:rPr>
          <w:color w:val="auto"/>
        </w:rPr>
        <w:fldChar w:fldCharType="end"/>
      </w:r>
      <w:r>
        <w:rPr>
          <w:color w:val="auto"/>
        </w:rPr>
        <w:t>铺设钢板；</w:t>
      </w:r>
      <w:r>
        <w:rPr>
          <w:color w:val="auto"/>
        </w:rPr>
        <w:fldChar w:fldCharType="begin"/>
      </w:r>
      <w:r>
        <w:rPr>
          <w:color w:val="auto"/>
        </w:rPr>
        <w:instrText xml:space="preserve"> = 2 \* GB3 </w:instrText>
      </w:r>
      <w:r>
        <w:rPr>
          <w:color w:val="auto"/>
        </w:rPr>
        <w:fldChar w:fldCharType="separate"/>
      </w:r>
      <w:r>
        <w:rPr>
          <w:rFonts w:hint="eastAsia"/>
          <w:color w:val="auto"/>
        </w:rPr>
        <w:t>②</w:t>
      </w:r>
      <w:r>
        <w:rPr>
          <w:color w:val="auto"/>
        </w:rPr>
        <w:fldChar w:fldCharType="end"/>
      </w:r>
      <w:r>
        <w:rPr>
          <w:color w:val="auto"/>
        </w:rPr>
        <w:t>铺设水泥混凝土；</w:t>
      </w:r>
      <w:r>
        <w:rPr>
          <w:color w:val="auto"/>
        </w:rPr>
        <w:fldChar w:fldCharType="begin"/>
      </w:r>
      <w:r>
        <w:rPr>
          <w:color w:val="auto"/>
        </w:rPr>
        <w:instrText xml:space="preserve"> = 3 \* GB3 </w:instrText>
      </w:r>
      <w:r>
        <w:rPr>
          <w:color w:val="auto"/>
        </w:rPr>
        <w:fldChar w:fldCharType="separate"/>
      </w:r>
      <w:r>
        <w:rPr>
          <w:rFonts w:hint="eastAsia"/>
          <w:color w:val="auto"/>
        </w:rPr>
        <w:t>③</w:t>
      </w:r>
      <w:r>
        <w:rPr>
          <w:color w:val="auto"/>
        </w:rPr>
        <w:fldChar w:fldCharType="end"/>
      </w:r>
      <w:r>
        <w:rPr>
          <w:color w:val="auto"/>
        </w:rPr>
        <w:t>铺设沥青混凝土；</w:t>
      </w:r>
      <w:r>
        <w:rPr>
          <w:color w:val="auto"/>
        </w:rPr>
        <w:fldChar w:fldCharType="begin"/>
      </w:r>
      <w:r>
        <w:rPr>
          <w:color w:val="auto"/>
        </w:rPr>
        <w:instrText xml:space="preserve"> = 4 \* GB3 </w:instrText>
      </w:r>
      <w:r>
        <w:rPr>
          <w:color w:val="auto"/>
        </w:rPr>
        <w:fldChar w:fldCharType="separate"/>
      </w:r>
      <w:r>
        <w:rPr>
          <w:rFonts w:hint="eastAsia"/>
          <w:color w:val="auto"/>
        </w:rPr>
        <w:t>④</w:t>
      </w:r>
      <w:r>
        <w:rPr>
          <w:color w:val="auto"/>
        </w:rPr>
        <w:fldChar w:fldCharType="end"/>
      </w:r>
      <w:r>
        <w:rPr>
          <w:color w:val="auto"/>
        </w:rPr>
        <w:t>铺设细石或其它功能相当的材料等，并辅以洒水、喷洒抑尘剂等措施。</w:t>
      </w:r>
      <w:r>
        <w:rPr>
          <w:color w:val="auto"/>
        </w:rPr>
        <w:fldChar w:fldCharType="begin"/>
      </w:r>
      <w:r>
        <w:rPr>
          <w:color w:val="auto"/>
        </w:rPr>
        <w:instrText xml:space="preserve"> = 5 \* GB3 </w:instrText>
      </w:r>
      <w:r>
        <w:rPr>
          <w:color w:val="auto"/>
        </w:rPr>
        <w:fldChar w:fldCharType="separate"/>
      </w:r>
      <w:r>
        <w:rPr>
          <w:rFonts w:hint="eastAsia"/>
          <w:color w:val="auto"/>
        </w:rPr>
        <w:t>⑤</w:t>
      </w:r>
      <w:r>
        <w:rPr>
          <w:color w:val="auto"/>
        </w:rPr>
        <w:fldChar w:fldCharType="end"/>
      </w:r>
      <w:r>
        <w:rPr>
          <w:color w:val="auto"/>
        </w:rPr>
        <w:t>其他有效的防尘措施。</w:t>
      </w:r>
    </w:p>
    <w:p>
      <w:pPr>
        <w:spacing w:line="360" w:lineRule="auto"/>
        <w:ind w:firstLine="480" w:firstLineChars="200"/>
        <w:rPr>
          <w:color w:val="auto"/>
        </w:rPr>
      </w:pPr>
      <w:r>
        <w:rPr>
          <w:color w:val="auto"/>
        </w:rPr>
        <w:t>（9）施工工地道路积尘清洁措施</w:t>
      </w:r>
    </w:p>
    <w:p>
      <w:pPr>
        <w:spacing w:line="360" w:lineRule="auto"/>
        <w:ind w:firstLine="480" w:firstLineChars="200"/>
        <w:rPr>
          <w:color w:val="auto"/>
        </w:rPr>
      </w:pPr>
      <w:r>
        <w:rPr>
          <w:color w:val="auto"/>
        </w:rPr>
        <w:t>采用吸尘或水冲洗的方法清洁施工工地道路积尘，不得在未实施洒水等抑尘措施情况下进行直接清扫。</w:t>
      </w:r>
    </w:p>
    <w:p>
      <w:pPr>
        <w:spacing w:line="360" w:lineRule="auto"/>
        <w:ind w:firstLine="480" w:firstLineChars="200"/>
        <w:rPr>
          <w:color w:val="auto"/>
        </w:rPr>
      </w:pPr>
      <w:r>
        <w:rPr>
          <w:color w:val="auto"/>
        </w:rPr>
        <w:t>（10）施工工地内部裸地防尘措施。施工期间，对于工地内裸露地面，应采取下列防尘措施之一：</w:t>
      </w:r>
    </w:p>
    <w:p>
      <w:pPr>
        <w:spacing w:line="360" w:lineRule="auto"/>
        <w:ind w:firstLine="480" w:firstLineChars="200"/>
        <w:jc w:val="both"/>
        <w:rPr>
          <w:color w:val="auto"/>
        </w:rPr>
      </w:pPr>
      <w:r>
        <w:rPr>
          <w:color w:val="auto"/>
        </w:rPr>
        <w:fldChar w:fldCharType="begin"/>
      </w:r>
      <w:r>
        <w:rPr>
          <w:color w:val="auto"/>
        </w:rPr>
        <w:instrText xml:space="preserve"> = 1 \* GB3 </w:instrText>
      </w:r>
      <w:r>
        <w:rPr>
          <w:color w:val="auto"/>
        </w:rPr>
        <w:fldChar w:fldCharType="separate"/>
      </w:r>
      <w:r>
        <w:rPr>
          <w:rFonts w:hint="eastAsia"/>
          <w:color w:val="auto"/>
        </w:rPr>
        <w:t>①</w:t>
      </w:r>
      <w:r>
        <w:rPr>
          <w:color w:val="auto"/>
        </w:rPr>
        <w:fldChar w:fldCharType="end"/>
      </w:r>
      <w:r>
        <w:rPr>
          <w:color w:val="auto"/>
        </w:rPr>
        <w:t xml:space="preserve"> 覆盖防尘布或防尘网；</w:t>
      </w:r>
      <w:r>
        <w:rPr>
          <w:color w:val="auto"/>
        </w:rPr>
        <w:fldChar w:fldCharType="begin"/>
      </w:r>
      <w:r>
        <w:rPr>
          <w:color w:val="auto"/>
        </w:rPr>
        <w:instrText xml:space="preserve"> = 2 \* GB3 </w:instrText>
      </w:r>
      <w:r>
        <w:rPr>
          <w:color w:val="auto"/>
        </w:rPr>
        <w:fldChar w:fldCharType="separate"/>
      </w:r>
      <w:r>
        <w:rPr>
          <w:rFonts w:hint="eastAsia"/>
          <w:color w:val="auto"/>
        </w:rPr>
        <w:t>②</w:t>
      </w:r>
      <w:r>
        <w:rPr>
          <w:color w:val="auto"/>
        </w:rPr>
        <w:fldChar w:fldCharType="end"/>
      </w:r>
      <w:r>
        <w:rPr>
          <w:color w:val="auto"/>
        </w:rPr>
        <w:t xml:space="preserve"> 铺设礁渣、细石或其他功能相当的材料；</w:t>
      </w:r>
      <w:r>
        <w:rPr>
          <w:color w:val="auto"/>
        </w:rPr>
        <w:fldChar w:fldCharType="begin"/>
      </w:r>
      <w:r>
        <w:rPr>
          <w:color w:val="auto"/>
        </w:rPr>
        <w:instrText xml:space="preserve"> = 3 \* GB3 </w:instrText>
      </w:r>
      <w:r>
        <w:rPr>
          <w:color w:val="auto"/>
        </w:rPr>
        <w:fldChar w:fldCharType="separate"/>
      </w:r>
      <w:r>
        <w:rPr>
          <w:rFonts w:hint="eastAsia"/>
          <w:color w:val="auto"/>
        </w:rPr>
        <w:t>③</w:t>
      </w:r>
      <w:r>
        <w:rPr>
          <w:color w:val="auto"/>
        </w:rPr>
        <w:fldChar w:fldCharType="end"/>
      </w:r>
      <w:r>
        <w:rPr>
          <w:color w:val="auto"/>
        </w:rPr>
        <w:t>植被绿化；</w:t>
      </w:r>
      <w:r>
        <w:rPr>
          <w:color w:val="auto"/>
        </w:rPr>
        <w:fldChar w:fldCharType="begin"/>
      </w:r>
      <w:r>
        <w:rPr>
          <w:color w:val="auto"/>
        </w:rPr>
        <w:instrText xml:space="preserve"> = 4 \* GB3 </w:instrText>
      </w:r>
      <w:r>
        <w:rPr>
          <w:color w:val="auto"/>
        </w:rPr>
        <w:fldChar w:fldCharType="separate"/>
      </w:r>
      <w:r>
        <w:rPr>
          <w:rFonts w:hint="eastAsia"/>
          <w:color w:val="auto"/>
        </w:rPr>
        <w:t>④</w:t>
      </w:r>
      <w:r>
        <w:rPr>
          <w:color w:val="auto"/>
        </w:rPr>
        <w:fldChar w:fldCharType="end"/>
      </w:r>
      <w:r>
        <w:rPr>
          <w:color w:val="auto"/>
        </w:rPr>
        <w:t>晴朗天气时，视情况每周等时间隔洒水二至七次，扬尘严重时应加大洒水频率；</w:t>
      </w:r>
      <w:r>
        <w:rPr>
          <w:color w:val="auto"/>
        </w:rPr>
        <w:fldChar w:fldCharType="begin"/>
      </w:r>
      <w:r>
        <w:rPr>
          <w:color w:val="auto"/>
        </w:rPr>
        <w:instrText xml:space="preserve"> = 5 \* GB3 </w:instrText>
      </w:r>
      <w:r>
        <w:rPr>
          <w:color w:val="auto"/>
        </w:rPr>
        <w:fldChar w:fldCharType="separate"/>
      </w:r>
      <w:r>
        <w:rPr>
          <w:rFonts w:hint="eastAsia"/>
          <w:color w:val="auto"/>
        </w:rPr>
        <w:t>⑤</w:t>
      </w:r>
      <w:r>
        <w:rPr>
          <w:color w:val="auto"/>
        </w:rPr>
        <w:fldChar w:fldCharType="end"/>
      </w:r>
      <w:r>
        <w:rPr>
          <w:color w:val="auto"/>
        </w:rPr>
        <w:t>其他有效的防尘措施。</w:t>
      </w:r>
    </w:p>
    <w:p>
      <w:pPr>
        <w:spacing w:line="360" w:lineRule="auto"/>
        <w:ind w:firstLine="480" w:firstLineChars="200"/>
        <w:rPr>
          <w:color w:val="auto"/>
        </w:rPr>
      </w:pPr>
      <w:r>
        <w:rPr>
          <w:color w:val="auto"/>
        </w:rPr>
        <w:t>（11）施工期间，应在工地建筑结构脚手架外侧设置有效抑尘的密目防尘网（不低于2000目/100cm</w:t>
      </w:r>
      <w:r>
        <w:rPr>
          <w:color w:val="auto"/>
          <w:vertAlign w:val="superscript"/>
        </w:rPr>
        <w:t>2</w:t>
      </w:r>
      <w:r>
        <w:rPr>
          <w:color w:val="auto"/>
        </w:rPr>
        <w:t>）或防尘布。</w:t>
      </w:r>
    </w:p>
    <w:p>
      <w:pPr>
        <w:spacing w:line="360" w:lineRule="auto"/>
        <w:ind w:firstLine="480" w:firstLineChars="200"/>
        <w:rPr>
          <w:color w:val="auto"/>
        </w:rPr>
      </w:pPr>
      <w:r>
        <w:rPr>
          <w:color w:val="auto"/>
        </w:rPr>
        <w:t>（12）混凝土的防尘措施。采用预拌商品混凝土，现场不设置混凝土搅拌站；采用石材、木制等成品或半成品，实施装配式施工，减少因石材、木制品切割所造成的扬尘污染。</w:t>
      </w:r>
    </w:p>
    <w:p>
      <w:pPr>
        <w:spacing w:line="360" w:lineRule="auto"/>
        <w:ind w:firstLine="480" w:firstLineChars="200"/>
        <w:rPr>
          <w:color w:val="auto"/>
        </w:rPr>
      </w:pPr>
      <w:r>
        <w:rPr>
          <w:color w:val="auto"/>
        </w:rPr>
        <w:t>（13）物料、渣土、垃圾等纵向输送作业的防尘措施</w:t>
      </w:r>
    </w:p>
    <w:p>
      <w:pPr>
        <w:spacing w:line="360" w:lineRule="auto"/>
        <w:ind w:firstLine="480" w:firstLineChars="200"/>
        <w:rPr>
          <w:color w:val="auto"/>
        </w:rPr>
      </w:pPr>
      <w:r>
        <w:rPr>
          <w:color w:val="auto"/>
        </w:rPr>
        <w:t>施工期间，工地内从建筑上层将具有粉尘逸散性的物料、渣土或废弃物输送至地面或地下楼层时，可从电梯孔道、建筑内部管道或密闭输送管道输送，或者打包装框搬运，不得凌空抛撒。</w:t>
      </w:r>
    </w:p>
    <w:p>
      <w:pPr>
        <w:spacing w:line="360" w:lineRule="auto"/>
        <w:ind w:firstLine="480" w:firstLineChars="200"/>
        <w:rPr>
          <w:color w:val="auto"/>
        </w:rPr>
      </w:pPr>
      <w:r>
        <w:rPr>
          <w:color w:val="auto"/>
        </w:rPr>
        <w:t>（14）设专职人员负责扬尘控制措施的实施和监督。工地应有专人负责逸散性材料、垃圾、渣土、裸地等密闭、覆盖、洒水作业以及车辆清洗作业等，并记录扬尘控制措施的实施情况。</w:t>
      </w:r>
    </w:p>
    <w:p>
      <w:pPr>
        <w:spacing w:line="360" w:lineRule="auto"/>
        <w:ind w:firstLine="480" w:firstLineChars="200"/>
        <w:rPr>
          <w:color w:val="auto"/>
        </w:rPr>
      </w:pPr>
      <w:r>
        <w:rPr>
          <w:color w:val="auto"/>
        </w:rPr>
        <w:t>（15）工地周围环境的保洁</w:t>
      </w:r>
    </w:p>
    <w:p>
      <w:pPr>
        <w:spacing w:line="360" w:lineRule="auto"/>
        <w:ind w:firstLine="480" w:firstLineChars="200"/>
        <w:rPr>
          <w:color w:val="auto"/>
        </w:rPr>
      </w:pPr>
      <w:r>
        <w:rPr>
          <w:color w:val="auto"/>
        </w:rPr>
        <w:t>施工单位保洁责任区的范围应根据施工扬尘影响情况确定，一般设在施工工地周围20 m范围内。</w:t>
      </w:r>
    </w:p>
    <w:p>
      <w:pPr>
        <w:pStyle w:val="4"/>
        <w:rPr>
          <w:b/>
          <w:color w:val="auto"/>
        </w:rPr>
      </w:pPr>
      <w:bookmarkStart w:id="751" w:name="_Toc34234749"/>
      <w:bookmarkStart w:id="752" w:name="_Toc9808"/>
      <w:bookmarkStart w:id="753" w:name="_Toc15912213"/>
      <w:bookmarkStart w:id="754" w:name="_Toc24136831"/>
      <w:bookmarkStart w:id="755" w:name="_Toc14946921"/>
      <w:r>
        <w:rPr>
          <w:rFonts w:hint="eastAsia"/>
          <w:b/>
          <w:color w:val="auto"/>
        </w:rPr>
        <w:t>施工</w:t>
      </w:r>
      <w:r>
        <w:rPr>
          <w:b/>
          <w:color w:val="auto"/>
        </w:rPr>
        <w:t>噪声和振动防治措施</w:t>
      </w:r>
      <w:bookmarkEnd w:id="751"/>
      <w:bookmarkEnd w:id="752"/>
      <w:bookmarkEnd w:id="753"/>
      <w:bookmarkEnd w:id="754"/>
      <w:bookmarkEnd w:id="755"/>
    </w:p>
    <w:p>
      <w:pPr>
        <w:spacing w:line="360" w:lineRule="auto"/>
        <w:ind w:firstLine="480" w:firstLineChars="200"/>
        <w:jc w:val="both"/>
        <w:rPr>
          <w:color w:val="auto"/>
        </w:rPr>
      </w:pPr>
      <w:bookmarkStart w:id="756" w:name="_Hlk24555342"/>
      <w:r>
        <w:rPr>
          <w:color w:val="auto"/>
        </w:rPr>
        <w:t>本项目在工程建设期间建筑施工噪声对周围声环境质量有一定影响，根据《中华人民共和国环境噪声污染防治法》第27条</w:t>
      </w:r>
      <w:r>
        <w:rPr>
          <w:rFonts w:asciiTheme="minorEastAsia" w:hAnsiTheme="minorEastAsia" w:eastAsiaTheme="minorEastAsia"/>
          <w:color w:val="auto"/>
        </w:rPr>
        <w:t>规定“在城市市区内向周围生活环境排放建筑施工噪声时，应当符合国家规定的建筑施工场界环境噪声排放标准”，尽管施工期产生噪声干扰无法完全避免，但还是可以使周围环境受到的噪声影响降低</w:t>
      </w:r>
      <w:r>
        <w:rPr>
          <w:color w:val="auto"/>
        </w:rPr>
        <w:t>到一定程度。</w:t>
      </w:r>
    </w:p>
    <w:p>
      <w:pPr>
        <w:spacing w:line="360" w:lineRule="auto"/>
        <w:ind w:firstLine="480" w:firstLineChars="200"/>
        <w:rPr>
          <w:color w:val="auto"/>
        </w:rPr>
      </w:pPr>
      <w:r>
        <w:rPr>
          <w:color w:val="auto"/>
        </w:rPr>
        <w:t>建筑施工由于各阶段使用的机械设备组合情况不同，所以噪声辐射影响的程度也不尽相同。在主体施工阶段，噪声特点是持续时间长，强度高。相比之下，装饰期间的噪声相对较弱，主要是一些噪声较强的木工机械可搬入已建成的主体建筑内进行操作。由于建筑施工是在露天作业，流动性和间歇性较强，对各生产环节中的噪声治理具有一定难度，下面结合施工特点，对一些重点噪声设备和声源，提出一些治理措施：</w:t>
      </w:r>
    </w:p>
    <w:bookmarkEnd w:id="756"/>
    <w:p>
      <w:pPr>
        <w:spacing w:line="360" w:lineRule="auto"/>
        <w:ind w:firstLine="480" w:firstLineChars="200"/>
        <w:rPr>
          <w:color w:val="auto"/>
        </w:rPr>
      </w:pPr>
      <w:r>
        <w:rPr>
          <w:color w:val="auto"/>
        </w:rPr>
        <w:t>（1）选用低噪声设备及施工工艺：采用低噪声施工机械设备和先进的施工技术是控制施工期噪声有效手段之一，如本工程拟采用静压、喷注式打桩机进行桩基工程，相对于冲击式打桩机，其噪声值可降低10~20dB（A）。其他施工机械进场应得到环保或有关部门的批准，对落后的施工设备进行淘汰。</w:t>
      </w:r>
    </w:p>
    <w:p>
      <w:pPr>
        <w:spacing w:line="360" w:lineRule="auto"/>
        <w:ind w:firstLine="480" w:firstLineChars="200"/>
        <w:rPr>
          <w:color w:val="auto"/>
        </w:rPr>
      </w:pPr>
      <w:r>
        <w:rPr>
          <w:color w:val="auto"/>
        </w:rPr>
        <w:t>（2）合理安排施工时间：施工单位合理安排好施工时间，除工程必须，并取得环保部门批准外，严禁在22：00~6：00期间施工。</w:t>
      </w:r>
    </w:p>
    <w:p>
      <w:pPr>
        <w:spacing w:line="360" w:lineRule="auto"/>
        <w:ind w:firstLine="480" w:firstLineChars="200"/>
        <w:rPr>
          <w:color w:val="auto"/>
        </w:rPr>
      </w:pPr>
      <w:r>
        <w:rPr>
          <w:color w:val="auto"/>
        </w:rPr>
        <w:t>（3）合理布置噪声源设备，对固定的机械设备尽量入棚操作。</w:t>
      </w:r>
    </w:p>
    <w:p>
      <w:pPr>
        <w:spacing w:line="360" w:lineRule="auto"/>
        <w:ind w:firstLine="480" w:firstLineChars="200"/>
        <w:rPr>
          <w:color w:val="auto"/>
        </w:rPr>
      </w:pPr>
      <w:r>
        <w:rPr>
          <w:color w:val="auto"/>
        </w:rPr>
        <w:t>（4）在施工过程中，采用商品混凝土和成品窗；大型建筑构件，应在施工现场外预制，然后运到施工现场再行安装。</w:t>
      </w:r>
    </w:p>
    <w:p>
      <w:pPr>
        <w:spacing w:line="360" w:lineRule="auto"/>
        <w:ind w:firstLine="480" w:firstLineChars="200"/>
        <w:rPr>
          <w:color w:val="auto"/>
        </w:rPr>
      </w:pPr>
      <w:r>
        <w:rPr>
          <w:color w:val="auto"/>
        </w:rPr>
        <w:t>（5）对于确需夜间施工的施工活动，施工单位必须事前报经相关部门批准。</w:t>
      </w:r>
    </w:p>
    <w:p>
      <w:pPr>
        <w:spacing w:line="360" w:lineRule="auto"/>
        <w:ind w:firstLine="480" w:firstLineChars="200"/>
        <w:rPr>
          <w:color w:val="auto"/>
        </w:rPr>
      </w:pPr>
      <w:r>
        <w:rPr>
          <w:color w:val="auto"/>
        </w:rPr>
        <w:t>（6）运输车辆进出施工现场控制或禁止鸣喇叭，减少交通噪声。</w:t>
      </w:r>
    </w:p>
    <w:p>
      <w:pPr>
        <w:spacing w:line="360" w:lineRule="auto"/>
        <w:ind w:firstLine="480" w:firstLineChars="200"/>
        <w:rPr>
          <w:color w:val="auto"/>
        </w:rPr>
      </w:pPr>
      <w:r>
        <w:rPr>
          <w:color w:val="auto"/>
        </w:rPr>
        <w:t>（7）制定施工噪声控制备用应急方案，重视噪声源头的治理工作。当常规噪声控制措施不能满足要求，出现噪声扰民情况，应及时对产生噪声的设备和施工工艺停止施工，并检查噪声防治措施的可靠性。</w:t>
      </w:r>
    </w:p>
    <w:p>
      <w:pPr>
        <w:spacing w:line="360" w:lineRule="auto"/>
        <w:ind w:firstLine="480" w:firstLineChars="200"/>
        <w:rPr>
          <w:color w:val="auto"/>
        </w:rPr>
      </w:pPr>
      <w:r>
        <w:rPr>
          <w:color w:val="auto"/>
        </w:rPr>
        <w:t>总之，建设单位必须全面落实上述要求，施工各阶段的场界噪声符合GB12523-2011《建筑施工场界环境噪声排放标准》中的规定。</w:t>
      </w:r>
    </w:p>
    <w:p>
      <w:pPr>
        <w:pStyle w:val="4"/>
        <w:rPr>
          <w:b/>
          <w:color w:val="auto"/>
        </w:rPr>
      </w:pPr>
      <w:bookmarkStart w:id="757" w:name="_Toc3319"/>
      <w:bookmarkStart w:id="758" w:name="_Toc34234750"/>
      <w:bookmarkStart w:id="759" w:name="_Toc24136832"/>
      <w:bookmarkStart w:id="760" w:name="_Toc14946922"/>
      <w:bookmarkStart w:id="761" w:name="_Toc15912214"/>
      <w:r>
        <w:rPr>
          <w:rFonts w:hint="eastAsia"/>
          <w:b/>
          <w:color w:val="auto"/>
        </w:rPr>
        <w:t>施工</w:t>
      </w:r>
      <w:r>
        <w:rPr>
          <w:b/>
          <w:color w:val="auto"/>
        </w:rPr>
        <w:t>污水防治措施</w:t>
      </w:r>
      <w:bookmarkEnd w:id="757"/>
      <w:bookmarkEnd w:id="758"/>
      <w:bookmarkEnd w:id="759"/>
      <w:bookmarkEnd w:id="760"/>
      <w:bookmarkEnd w:id="761"/>
    </w:p>
    <w:p>
      <w:pPr>
        <w:spacing w:line="360" w:lineRule="auto"/>
        <w:ind w:firstLine="480" w:firstLineChars="200"/>
        <w:rPr>
          <w:color w:val="auto"/>
        </w:rPr>
      </w:pPr>
      <w:r>
        <w:rPr>
          <w:color w:val="auto"/>
        </w:rPr>
        <w:t>施工期废水主要有施工废水和生活污水，施工单位将采取下列减缓措施，以使施工活动对水环境的影响减少到最小限度。</w:t>
      </w:r>
    </w:p>
    <w:p>
      <w:pPr>
        <w:spacing w:line="360" w:lineRule="auto"/>
        <w:ind w:firstLine="480" w:firstLineChars="200"/>
        <w:rPr>
          <w:color w:val="auto"/>
        </w:rPr>
      </w:pPr>
      <w:r>
        <w:rPr>
          <w:color w:val="auto"/>
        </w:rPr>
        <w:t>（1）严禁施工废水乱排、乱流。</w:t>
      </w:r>
    </w:p>
    <w:p>
      <w:pPr>
        <w:spacing w:line="360" w:lineRule="auto"/>
        <w:ind w:firstLine="480" w:firstLineChars="200"/>
        <w:rPr>
          <w:color w:val="auto"/>
        </w:rPr>
      </w:pPr>
      <w:r>
        <w:rPr>
          <w:color w:val="auto"/>
        </w:rPr>
        <w:t>（2）施工场地应及时清理，施工废水由于SS含量较高，必须经临时沉砂池处理后进行回用，主要用于场地周边道路及绿化洒水。</w:t>
      </w:r>
    </w:p>
    <w:p>
      <w:pPr>
        <w:spacing w:line="360" w:lineRule="auto"/>
        <w:ind w:firstLine="480" w:firstLineChars="200"/>
        <w:rPr>
          <w:color w:val="auto"/>
        </w:rPr>
      </w:pPr>
      <w:r>
        <w:rPr>
          <w:color w:val="auto"/>
        </w:rPr>
        <w:t>（3）对于地基开挖后汇集的雨水，采用离心泵抽排，也可作为施工期道路浇洒、车辆清洗以及抑尘用水。</w:t>
      </w:r>
    </w:p>
    <w:p>
      <w:pPr>
        <w:spacing w:line="360" w:lineRule="auto"/>
        <w:ind w:firstLine="480" w:firstLineChars="200"/>
        <w:rPr>
          <w:color w:val="auto"/>
        </w:rPr>
      </w:pPr>
      <w:r>
        <w:rPr>
          <w:color w:val="auto"/>
        </w:rPr>
        <w:t>（4）施工期间产生的溢流泥水，可修建临时导流渠进行收集，作为配料用水回用。</w:t>
      </w:r>
    </w:p>
    <w:p>
      <w:pPr>
        <w:spacing w:line="360" w:lineRule="auto"/>
        <w:ind w:firstLine="480" w:firstLineChars="200"/>
        <w:rPr>
          <w:color w:val="auto"/>
        </w:rPr>
      </w:pPr>
      <w:r>
        <w:rPr>
          <w:color w:val="auto"/>
        </w:rPr>
        <w:t>（5）施工期生活废水经临时旱厕收集，粪渣由当地环卫部门清掏。</w:t>
      </w:r>
    </w:p>
    <w:p>
      <w:pPr>
        <w:spacing w:line="360" w:lineRule="auto"/>
        <w:ind w:firstLine="480" w:firstLineChars="200"/>
        <w:rPr>
          <w:color w:val="auto"/>
        </w:rPr>
      </w:pPr>
      <w:r>
        <w:rPr>
          <w:color w:val="auto"/>
        </w:rPr>
        <w:t>（6）施工单位除加强对生产废水和生活污水的排放管理外，应对员工进行基本环保知识培训，提高环保意识和责任。</w:t>
      </w:r>
    </w:p>
    <w:p>
      <w:pPr>
        <w:pStyle w:val="4"/>
        <w:rPr>
          <w:b/>
          <w:color w:val="auto"/>
        </w:rPr>
      </w:pPr>
      <w:bookmarkStart w:id="762" w:name="_Toc34234751"/>
      <w:bookmarkStart w:id="763" w:name="_Toc24136833"/>
      <w:bookmarkStart w:id="764" w:name="_Toc19516"/>
      <w:bookmarkStart w:id="765" w:name="_Toc15912215"/>
      <w:bookmarkStart w:id="766" w:name="_Toc14946923"/>
      <w:r>
        <w:rPr>
          <w:b/>
          <w:color w:val="auto"/>
        </w:rPr>
        <w:t>施工垃圾防治措施</w:t>
      </w:r>
      <w:bookmarkEnd w:id="762"/>
      <w:bookmarkEnd w:id="763"/>
      <w:bookmarkEnd w:id="764"/>
      <w:bookmarkEnd w:id="765"/>
      <w:bookmarkEnd w:id="766"/>
    </w:p>
    <w:p>
      <w:pPr>
        <w:spacing w:line="360" w:lineRule="auto"/>
        <w:ind w:firstLine="480" w:firstLineChars="200"/>
        <w:rPr>
          <w:color w:val="auto"/>
        </w:rPr>
      </w:pPr>
      <w:r>
        <w:rPr>
          <w:color w:val="auto"/>
        </w:rPr>
        <w:t>（1）建设单位应与环卫部门签定卫生责任状，共同核定清渣土数量，领取施工渣土清运许可证。清运渣土单位应严格按环卫和公安部门确定的路线行驶。</w:t>
      </w:r>
    </w:p>
    <w:p>
      <w:pPr>
        <w:spacing w:line="360" w:lineRule="auto"/>
        <w:ind w:firstLine="480" w:firstLineChars="200"/>
        <w:rPr>
          <w:color w:val="auto"/>
        </w:rPr>
      </w:pPr>
      <w:r>
        <w:rPr>
          <w:color w:val="auto"/>
        </w:rPr>
        <w:t>（2）运送弃土应使用不漏水的翻斗车，渣土不得沿途漏散、飞扬，清运车辆进出施工现场不得带泥污染路面。主体结构的施工垃圾，主要为碎砖瓦砾、建筑材料的废边角作料、各种废涂料等。对这部分施工垃圾应集中收集后由市政环卫部门统一处理，分类进行综合利用和妥善处置，不得造成二次污染。</w:t>
      </w:r>
    </w:p>
    <w:p>
      <w:pPr>
        <w:pStyle w:val="4"/>
        <w:rPr>
          <w:b/>
          <w:color w:val="auto"/>
        </w:rPr>
      </w:pPr>
      <w:bookmarkStart w:id="767" w:name="_Toc24136834"/>
      <w:bookmarkStart w:id="768" w:name="_Toc4016"/>
      <w:bookmarkStart w:id="769" w:name="_Toc34234752"/>
      <w:r>
        <w:rPr>
          <w:b/>
          <w:color w:val="auto"/>
        </w:rPr>
        <w:t>施工</w:t>
      </w:r>
      <w:r>
        <w:rPr>
          <w:rFonts w:hint="eastAsia"/>
          <w:b/>
          <w:color w:val="auto"/>
        </w:rPr>
        <w:t>生态</w:t>
      </w:r>
      <w:r>
        <w:rPr>
          <w:b/>
          <w:color w:val="auto"/>
        </w:rPr>
        <w:t>防治措施</w:t>
      </w:r>
      <w:bookmarkEnd w:id="767"/>
      <w:bookmarkEnd w:id="768"/>
      <w:bookmarkEnd w:id="769"/>
    </w:p>
    <w:p>
      <w:pPr>
        <w:spacing w:line="360" w:lineRule="auto"/>
        <w:ind w:right="29" w:rightChars="12" w:firstLine="464" w:firstLineChars="200"/>
        <w:jc w:val="both"/>
        <w:rPr>
          <w:color w:val="auto"/>
          <w:lang w:val="en-GB"/>
        </w:rPr>
      </w:pPr>
      <w:bookmarkStart w:id="770" w:name="_Hlk24555550"/>
      <w:r>
        <w:rPr>
          <w:rFonts w:hint="eastAsia"/>
          <w:color w:val="auto"/>
          <w:spacing w:val="-4"/>
          <w:szCs w:val="20"/>
          <w:lang w:val="en-GB"/>
        </w:rPr>
        <w:t>项目拟建地现状主要为林地，建成后势必会对区域生态环境产生一定影响，</w:t>
      </w:r>
      <w:r>
        <w:rPr>
          <w:rFonts w:hint="eastAsia"/>
          <w:color w:val="auto"/>
          <w:lang w:val="en-GB"/>
        </w:rPr>
        <w:t>但总体影响较小</w:t>
      </w:r>
      <w:r>
        <w:rPr>
          <w:rFonts w:hint="eastAsia"/>
          <w:color w:val="auto"/>
          <w:szCs w:val="28"/>
        </w:rPr>
        <w:t>。</w:t>
      </w:r>
      <w:r>
        <w:rPr>
          <w:rFonts w:hint="eastAsia"/>
          <w:color w:val="auto"/>
        </w:rPr>
        <w:t>施工期引起水土流失的因素主要是人为因素，工程扰动地貌、裸露地表、开挖、堆放等势必增大土壤侵蚀模数，易引起水力侵蚀，水土流失会有所增加，经采取适当措施后可有效防治水土流失。</w:t>
      </w:r>
    </w:p>
    <w:bookmarkEnd w:id="770"/>
    <w:p>
      <w:pPr>
        <w:spacing w:line="360" w:lineRule="auto"/>
        <w:ind w:firstLine="480" w:firstLineChars="200"/>
        <w:jc w:val="both"/>
        <w:rPr>
          <w:color w:val="auto"/>
        </w:rPr>
      </w:pPr>
      <w:r>
        <w:rPr>
          <w:rFonts w:hint="eastAsia"/>
          <w:color w:val="auto"/>
        </w:rPr>
        <w:t>综上所述，施工期对环境的影响是多方面的，防治和减缓影响的主要手段是加强管理，因此，建设单位及施工单位要从管理入手，文明施工，按照国家有关法律法规制定相应的施工规范、作业制度，并严格执行，加强对施工人员进行环境保护法律法规的宣传教育。可通过以下措施，减少施工期对周围生态环境的不利影响：</w:t>
      </w:r>
    </w:p>
    <w:p>
      <w:pPr>
        <w:spacing w:line="360" w:lineRule="auto"/>
        <w:ind w:firstLine="480" w:firstLineChars="200"/>
        <w:jc w:val="both"/>
        <w:rPr>
          <w:color w:val="auto"/>
        </w:rPr>
      </w:pPr>
      <w:r>
        <w:rPr>
          <w:rFonts w:hint="eastAsia"/>
          <w:color w:val="auto"/>
        </w:rPr>
        <w:t>（1）</w:t>
      </w:r>
      <w:r>
        <w:rPr>
          <w:color w:val="auto"/>
        </w:rPr>
        <w:t>加强施工管理，严格控制施工范围，对临时堆放的土石方进行覆盖，减少降水对其冲刷，减少水土流失；</w:t>
      </w:r>
    </w:p>
    <w:p>
      <w:pPr>
        <w:spacing w:line="360" w:lineRule="auto"/>
        <w:ind w:firstLine="480" w:firstLineChars="200"/>
        <w:jc w:val="both"/>
        <w:rPr>
          <w:color w:val="auto"/>
        </w:rPr>
      </w:pPr>
      <w:bookmarkStart w:id="771" w:name="_Toc406498650"/>
      <w:bookmarkStart w:id="772" w:name="_Toc406508870"/>
      <w:r>
        <w:rPr>
          <w:rFonts w:hint="eastAsia"/>
          <w:color w:val="auto"/>
        </w:rPr>
        <w:t>（2）</w:t>
      </w:r>
      <w:r>
        <w:rPr>
          <w:color w:val="auto"/>
        </w:rPr>
        <w:t>规范施工人员的行为，爱护花草树木；</w:t>
      </w:r>
      <w:bookmarkEnd w:id="771"/>
      <w:bookmarkEnd w:id="772"/>
    </w:p>
    <w:p>
      <w:pPr>
        <w:spacing w:line="360" w:lineRule="auto"/>
        <w:ind w:firstLine="480" w:firstLineChars="200"/>
        <w:jc w:val="both"/>
        <w:rPr>
          <w:color w:val="auto"/>
        </w:rPr>
      </w:pPr>
      <w:r>
        <w:rPr>
          <w:rFonts w:hint="eastAsia"/>
          <w:color w:val="auto"/>
        </w:rPr>
        <w:t>（3）工程</w:t>
      </w:r>
      <w:r>
        <w:rPr>
          <w:color w:val="auto"/>
        </w:rPr>
        <w:t>施工完成后，立即对</w:t>
      </w:r>
      <w:r>
        <w:rPr>
          <w:rFonts w:hint="eastAsia"/>
          <w:color w:val="auto"/>
        </w:rPr>
        <w:t>项目</w:t>
      </w:r>
      <w:r>
        <w:rPr>
          <w:color w:val="auto"/>
        </w:rPr>
        <w:t>区进行</w:t>
      </w:r>
      <w:r>
        <w:rPr>
          <w:rFonts w:hint="eastAsia"/>
          <w:color w:val="auto"/>
        </w:rPr>
        <w:t>硬化、</w:t>
      </w:r>
      <w:r>
        <w:rPr>
          <w:color w:val="auto"/>
        </w:rPr>
        <w:t>绿化覆盖</w:t>
      </w:r>
      <w:r>
        <w:rPr>
          <w:rFonts w:hint="eastAsia"/>
          <w:color w:val="auto"/>
        </w:rPr>
        <w:t>。</w:t>
      </w:r>
    </w:p>
    <w:p>
      <w:pPr>
        <w:spacing w:line="360" w:lineRule="auto"/>
        <w:ind w:firstLine="480" w:firstLineChars="200"/>
        <w:rPr>
          <w:color w:val="auto"/>
        </w:rPr>
      </w:pPr>
    </w:p>
    <w:p>
      <w:pPr>
        <w:spacing w:line="360" w:lineRule="auto"/>
        <w:ind w:firstLine="480" w:firstLineChars="200"/>
        <w:rPr>
          <w:color w:val="auto"/>
        </w:rPr>
      </w:pPr>
    </w:p>
    <w:p>
      <w:pPr>
        <w:pStyle w:val="4"/>
        <w:rPr>
          <w:b/>
          <w:color w:val="auto"/>
        </w:rPr>
      </w:pPr>
      <w:bookmarkStart w:id="773" w:name="_Toc28860"/>
      <w:bookmarkStart w:id="774" w:name="_Toc24136835"/>
      <w:bookmarkStart w:id="775" w:name="_Toc15912216"/>
      <w:bookmarkStart w:id="776" w:name="_Toc14946924"/>
      <w:bookmarkStart w:id="777" w:name="_Toc34234753"/>
      <w:r>
        <w:rPr>
          <w:b/>
          <w:color w:val="auto"/>
        </w:rPr>
        <w:t>施工监理</w:t>
      </w:r>
      <w:bookmarkEnd w:id="773"/>
      <w:bookmarkEnd w:id="774"/>
      <w:bookmarkEnd w:id="775"/>
      <w:bookmarkEnd w:id="776"/>
      <w:bookmarkEnd w:id="777"/>
    </w:p>
    <w:p>
      <w:pPr>
        <w:spacing w:line="360" w:lineRule="auto"/>
        <w:rPr>
          <w:b/>
          <w:color w:val="auto"/>
        </w:rPr>
      </w:pPr>
      <w:r>
        <w:rPr>
          <w:b/>
          <w:color w:val="auto"/>
        </w:rPr>
        <w:t>6.1.5.1 环境监理的内容</w:t>
      </w:r>
    </w:p>
    <w:p>
      <w:pPr>
        <w:spacing w:line="360" w:lineRule="auto"/>
        <w:ind w:firstLine="480" w:firstLineChars="200"/>
        <w:rPr>
          <w:color w:val="auto"/>
        </w:rPr>
      </w:pPr>
      <w:r>
        <w:rPr>
          <w:color w:val="auto"/>
        </w:rPr>
        <w:t>实施环境监理前，项目建设单位应与环境监理机构签订书面监理合同。合同中应包括全面实施施工期环境保护达标监理、生态保护措施监理和环保设施监理的条款。应明确项目建设单位和环境监理机构的环境保护责任和目标任务，并作为环境保护行政主管部门考核、验收等管理工作的内容。在申请建设项目竣工环境保护验收时，项目建设单位应提交建设项目环境监理报告。</w:t>
      </w:r>
    </w:p>
    <w:p>
      <w:pPr>
        <w:spacing w:line="360" w:lineRule="auto"/>
        <w:rPr>
          <w:b/>
          <w:color w:val="auto"/>
        </w:rPr>
      </w:pPr>
      <w:r>
        <w:rPr>
          <w:b/>
          <w:color w:val="auto"/>
        </w:rPr>
        <w:t>6.1.5.2 环境监理的一般程序</w:t>
      </w:r>
    </w:p>
    <w:p>
      <w:pPr>
        <w:spacing w:line="360" w:lineRule="auto"/>
        <w:ind w:firstLine="480" w:firstLineChars="200"/>
        <w:rPr>
          <w:color w:val="auto"/>
        </w:rPr>
      </w:pPr>
      <w:r>
        <w:rPr>
          <w:color w:val="auto"/>
        </w:rPr>
        <w:t>环境监理一般应按下列程序进行：</w:t>
      </w:r>
    </w:p>
    <w:p>
      <w:pPr>
        <w:spacing w:line="360" w:lineRule="auto"/>
        <w:ind w:firstLine="480" w:firstLineChars="200"/>
        <w:rPr>
          <w:color w:val="auto"/>
        </w:rPr>
      </w:pPr>
      <w:r>
        <w:rPr>
          <w:color w:val="auto"/>
        </w:rPr>
        <w:t>（1）编制环境监理方案。根据所承担的环境监理工作，按照环境影响评价文件及环境保护行政主管部门批复的要求编制环境监理方案。</w:t>
      </w:r>
    </w:p>
    <w:p>
      <w:pPr>
        <w:spacing w:line="360" w:lineRule="auto"/>
        <w:ind w:firstLine="480" w:firstLineChars="200"/>
        <w:rPr>
          <w:color w:val="auto"/>
        </w:rPr>
      </w:pPr>
      <w:r>
        <w:rPr>
          <w:color w:val="auto"/>
        </w:rPr>
        <w:t>（2）依据项目建设进度，按单项措施编制环境监理实施细则。</w:t>
      </w:r>
    </w:p>
    <w:p>
      <w:pPr>
        <w:spacing w:line="360" w:lineRule="auto"/>
        <w:ind w:firstLine="480" w:firstLineChars="200"/>
        <w:rPr>
          <w:color w:val="auto"/>
        </w:rPr>
      </w:pPr>
      <w:r>
        <w:rPr>
          <w:color w:val="auto"/>
        </w:rPr>
        <w:t>（3）按照监理实施细则实施监理，定期向项目建设单位提交监理报告和专题报告；</w:t>
      </w:r>
    </w:p>
    <w:p>
      <w:pPr>
        <w:spacing w:line="360" w:lineRule="auto"/>
        <w:ind w:firstLine="480" w:firstLineChars="200"/>
        <w:rPr>
          <w:color w:val="auto"/>
        </w:rPr>
      </w:pPr>
      <w:r>
        <w:rPr>
          <w:color w:val="auto"/>
        </w:rPr>
        <w:t>（4）环境监理单位应每季向审批建设项目的环保部门报送季度监理报告；</w:t>
      </w:r>
    </w:p>
    <w:p>
      <w:pPr>
        <w:spacing w:line="360" w:lineRule="auto"/>
        <w:ind w:firstLine="480" w:firstLineChars="200"/>
        <w:rPr>
          <w:color w:val="auto"/>
        </w:rPr>
      </w:pPr>
      <w:r>
        <w:rPr>
          <w:color w:val="auto"/>
        </w:rPr>
        <w:t>（5）建设项目环境监理业务完成后，向项目建设单位提交工程监理报告，移交档案资料。</w:t>
      </w:r>
    </w:p>
    <w:p>
      <w:pPr>
        <w:spacing w:line="360" w:lineRule="auto"/>
        <w:rPr>
          <w:b/>
          <w:color w:val="auto"/>
        </w:rPr>
      </w:pPr>
      <w:r>
        <w:rPr>
          <w:b/>
          <w:color w:val="auto"/>
        </w:rPr>
        <w:t>6.1.5.3监理人员的义务</w:t>
      </w:r>
    </w:p>
    <w:p>
      <w:pPr>
        <w:spacing w:line="360" w:lineRule="auto"/>
        <w:ind w:firstLine="480" w:firstLineChars="200"/>
        <w:rPr>
          <w:color w:val="auto"/>
        </w:rPr>
      </w:pPr>
      <w:r>
        <w:rPr>
          <w:color w:val="auto"/>
        </w:rPr>
        <w:t>环境监理人员发现建设项目施工中存在如下问题时，应及时报告项目建设单位和环境行政主管部门：</w:t>
      </w:r>
    </w:p>
    <w:p>
      <w:pPr>
        <w:spacing w:line="360" w:lineRule="auto"/>
        <w:ind w:firstLine="480" w:firstLineChars="200"/>
        <w:rPr>
          <w:color w:val="auto"/>
        </w:rPr>
      </w:pPr>
      <w:r>
        <w:rPr>
          <w:color w:val="auto"/>
        </w:rPr>
        <w:t>（1）项目施工过程中存在超出国家或地方环境标准排放污染物的环境违法行为；</w:t>
      </w:r>
    </w:p>
    <w:p>
      <w:pPr>
        <w:spacing w:line="360" w:lineRule="auto"/>
        <w:ind w:firstLine="480" w:firstLineChars="200"/>
        <w:rPr>
          <w:color w:val="auto"/>
        </w:rPr>
      </w:pPr>
      <w:r>
        <w:rPr>
          <w:color w:val="auto"/>
        </w:rPr>
        <w:t>（2）项目施工过程中存在污染扰民的情况；</w:t>
      </w:r>
    </w:p>
    <w:p>
      <w:pPr>
        <w:spacing w:line="360" w:lineRule="auto"/>
        <w:ind w:firstLine="480" w:firstLineChars="200"/>
        <w:rPr>
          <w:color w:val="auto"/>
        </w:rPr>
      </w:pPr>
      <w:r>
        <w:rPr>
          <w:color w:val="auto"/>
        </w:rPr>
        <w:t>（3）项目施工过程中存在生态破坏，或未按照环境影响评价及批复要求实施生态恢复的；</w:t>
      </w:r>
    </w:p>
    <w:p>
      <w:pPr>
        <w:spacing w:line="360" w:lineRule="auto"/>
        <w:ind w:firstLine="480" w:firstLineChars="200"/>
        <w:rPr>
          <w:color w:val="auto"/>
        </w:rPr>
      </w:pPr>
      <w:r>
        <w:rPr>
          <w:color w:val="auto"/>
        </w:rPr>
        <w:t>（4）环境污染治理设施、环境风险防范设施未按照环境影响评价文件批复的要求建设的；</w:t>
      </w:r>
    </w:p>
    <w:p>
      <w:pPr>
        <w:spacing w:line="360" w:lineRule="auto"/>
        <w:ind w:firstLine="480" w:firstLineChars="200"/>
        <w:rPr>
          <w:color w:val="auto"/>
        </w:rPr>
      </w:pPr>
      <w:r>
        <w:rPr>
          <w:color w:val="auto"/>
        </w:rPr>
        <w:t>（5）环境污染治理设施、环境风险防范设施施工进度与主体工程施工进度不符合建设项目环境保护“三同时”要求的；</w:t>
      </w:r>
    </w:p>
    <w:p>
      <w:pPr>
        <w:spacing w:line="360" w:lineRule="auto"/>
        <w:ind w:firstLine="480" w:firstLineChars="200"/>
        <w:rPr>
          <w:color w:val="auto"/>
        </w:rPr>
      </w:pPr>
      <w:r>
        <w:rPr>
          <w:color w:val="auto"/>
        </w:rPr>
        <w:t>（6）项目施工过程中存在其他环境违法行为的。</w:t>
      </w:r>
    </w:p>
    <w:p>
      <w:pPr>
        <w:spacing w:line="360" w:lineRule="auto"/>
        <w:rPr>
          <w:b/>
          <w:color w:val="auto"/>
        </w:rPr>
      </w:pPr>
      <w:r>
        <w:rPr>
          <w:b/>
          <w:color w:val="auto"/>
        </w:rPr>
        <w:t>6.1.5.4 环境监理工作</w:t>
      </w:r>
    </w:p>
    <w:p>
      <w:pPr>
        <w:spacing w:line="360" w:lineRule="auto"/>
        <w:ind w:firstLine="480" w:firstLineChars="200"/>
        <w:rPr>
          <w:color w:val="auto"/>
        </w:rPr>
      </w:pPr>
      <w:r>
        <w:rPr>
          <w:rFonts w:hint="eastAsia" w:ascii="宋体" w:hAnsi="宋体" w:cs="宋体"/>
          <w:color w:val="auto"/>
        </w:rPr>
        <w:t>⑴</w:t>
      </w:r>
      <w:r>
        <w:rPr>
          <w:color w:val="auto"/>
        </w:rPr>
        <w:t xml:space="preserve"> 监理内容</w:t>
      </w:r>
    </w:p>
    <w:p>
      <w:pPr>
        <w:spacing w:line="360" w:lineRule="auto"/>
        <w:ind w:firstLine="480" w:firstLineChars="200"/>
        <w:rPr>
          <w:color w:val="auto"/>
        </w:rPr>
      </w:pPr>
      <w:r>
        <w:rPr>
          <w:color w:val="auto"/>
        </w:rPr>
        <w:t>主要包括环保达标监理和环保工程监理。环保达标监理是使主体工程的施工符合环境保护的要求，如噪声、废气、污水等排放应达到有关的标准等。环保工程监理包括生态环境保护，水土保持等，包括废气处理设施、污水处理设施、绿化等在内的环保设施建设的监理。应根据国家和地方有关的环境保护法律、法规和文件及本项目的环评文件对建设项目进行环保达标监理和环保工程监理。</w:t>
      </w:r>
    </w:p>
    <w:p>
      <w:pPr>
        <w:spacing w:line="360" w:lineRule="auto"/>
        <w:ind w:firstLine="480" w:firstLineChars="200"/>
        <w:rPr>
          <w:color w:val="auto"/>
        </w:rPr>
      </w:pPr>
      <w:r>
        <w:rPr>
          <w:rFonts w:hint="eastAsia" w:ascii="宋体" w:hAnsi="宋体" w:cs="宋体"/>
          <w:color w:val="auto"/>
        </w:rPr>
        <w:t>⑵</w:t>
      </w:r>
      <w:r>
        <w:rPr>
          <w:color w:val="auto"/>
        </w:rPr>
        <w:t xml:space="preserve"> 时间及频率</w:t>
      </w:r>
    </w:p>
    <w:p>
      <w:pPr>
        <w:spacing w:line="360" w:lineRule="auto"/>
        <w:ind w:firstLine="480" w:firstLineChars="200"/>
        <w:rPr>
          <w:color w:val="auto"/>
        </w:rPr>
      </w:pPr>
      <w:r>
        <w:rPr>
          <w:color w:val="auto"/>
        </w:rPr>
        <w:t>在建设项目施工期内连续的进行环境监理工作。</w:t>
      </w:r>
    </w:p>
    <w:p>
      <w:pPr>
        <w:spacing w:line="360" w:lineRule="auto"/>
        <w:ind w:firstLine="480" w:firstLineChars="200"/>
        <w:rPr>
          <w:color w:val="auto"/>
        </w:rPr>
      </w:pPr>
      <w:r>
        <w:rPr>
          <w:rFonts w:hint="eastAsia" w:ascii="宋体" w:hAnsi="宋体" w:cs="宋体"/>
          <w:color w:val="auto"/>
        </w:rPr>
        <w:t>⑶</w:t>
      </w:r>
      <w:r>
        <w:rPr>
          <w:color w:val="auto"/>
        </w:rPr>
        <w:t xml:space="preserve"> 监理机构</w:t>
      </w:r>
    </w:p>
    <w:p>
      <w:pPr>
        <w:spacing w:line="360" w:lineRule="auto"/>
        <w:ind w:firstLine="480" w:firstLineChars="200"/>
        <w:rPr>
          <w:color w:val="auto"/>
        </w:rPr>
      </w:pPr>
      <w:r>
        <w:rPr>
          <w:color w:val="auto"/>
        </w:rPr>
        <w:t>在工程监理队伍中，配备一定的环境监理工程技术人员，负责工程建设环境监理工作，监理单位可通过社会招标签定监理合同并实施监理工作。</w:t>
      </w:r>
    </w:p>
    <w:p>
      <w:pPr>
        <w:spacing w:line="360" w:lineRule="auto"/>
        <w:ind w:firstLine="480" w:firstLineChars="200"/>
        <w:rPr>
          <w:color w:val="auto"/>
        </w:rPr>
      </w:pPr>
      <w:r>
        <w:rPr>
          <w:rFonts w:hint="eastAsia" w:ascii="宋体" w:hAnsi="宋体" w:cs="宋体"/>
          <w:color w:val="auto"/>
        </w:rPr>
        <w:t>⑷</w:t>
      </w:r>
      <w:r>
        <w:rPr>
          <w:color w:val="auto"/>
        </w:rPr>
        <w:t>监理成果</w:t>
      </w:r>
    </w:p>
    <w:p>
      <w:pPr>
        <w:spacing w:line="360" w:lineRule="auto"/>
        <w:ind w:firstLine="480" w:firstLineChars="200"/>
        <w:rPr>
          <w:color w:val="auto"/>
        </w:rPr>
      </w:pPr>
      <w:r>
        <w:rPr>
          <w:color w:val="auto"/>
        </w:rPr>
        <w:t>工程环境监理成果：日常工作记录，内容包括监理日志中记录当天环境监理的工作内容，监理日报中记录发生环境影响时采取的措施以及执行情况；环境监理月报，在监理月报中增加环境监理内容，主要描述施工中土地占用的影响，对空气、水、噪声的影响、主要固体废物（工程、生活）的处置等情况，本月环境监理工作的重点，施工中发生环境影响时采取的措施以及执行情况；施工结束后应提交环境监理专题报告。</w:t>
      </w:r>
    </w:p>
    <w:p>
      <w:pPr>
        <w:spacing w:line="360" w:lineRule="auto"/>
        <w:ind w:firstLine="480" w:firstLineChars="200"/>
        <w:rPr>
          <w:color w:val="auto"/>
        </w:rPr>
      </w:pPr>
      <w:r>
        <w:rPr>
          <w:rFonts w:hint="eastAsia" w:ascii="宋体" w:hAnsi="宋体" w:cs="宋体"/>
          <w:color w:val="auto"/>
        </w:rPr>
        <w:t>⑸</w:t>
      </w:r>
      <w:r>
        <w:rPr>
          <w:color w:val="auto"/>
        </w:rPr>
        <w:t>监理体制</w:t>
      </w:r>
    </w:p>
    <w:p>
      <w:pPr>
        <w:spacing w:line="360" w:lineRule="auto"/>
        <w:ind w:firstLine="480" w:firstLineChars="200"/>
        <w:rPr>
          <w:color w:val="auto"/>
        </w:rPr>
      </w:pPr>
      <w:r>
        <w:rPr>
          <w:color w:val="auto"/>
        </w:rPr>
        <w:t>环保监理应在施工前完成组建，在施工中有职有权地发挥作用。其一般体制详见图6.1-3。</w:t>
      </w:r>
    </w:p>
    <w:p>
      <w:pPr>
        <w:spacing w:line="360" w:lineRule="auto"/>
        <w:ind w:firstLine="480" w:firstLineChars="200"/>
        <w:rPr>
          <w:color w:val="auto"/>
        </w:rPr>
      </w:pPr>
    </w:p>
    <w:p>
      <w:pPr>
        <w:spacing w:line="360" w:lineRule="auto"/>
        <w:ind w:firstLine="480" w:firstLineChars="200"/>
        <w:rPr>
          <w:color w:val="auto"/>
        </w:rPr>
      </w:pPr>
    </w:p>
    <w:p>
      <w:pPr>
        <w:spacing w:line="360" w:lineRule="auto"/>
        <w:ind w:firstLine="480" w:firstLineChars="200"/>
        <w:rPr>
          <w:color w:val="auto"/>
        </w:rPr>
      </w:pPr>
    </w:p>
    <w:p>
      <w:pPr>
        <w:spacing w:line="360" w:lineRule="auto"/>
        <w:ind w:firstLine="480" w:firstLineChars="200"/>
        <w:rPr>
          <w:color w:val="auto"/>
        </w:rPr>
      </w:pPr>
    </w:p>
    <w:p>
      <w:pPr>
        <w:spacing w:line="360" w:lineRule="auto"/>
        <w:ind w:firstLine="480" w:firstLineChars="200"/>
        <w:rPr>
          <w:color w:val="auto"/>
        </w:rPr>
      </w:pPr>
    </w:p>
    <w:p>
      <w:pPr>
        <w:spacing w:line="360" w:lineRule="auto"/>
        <w:ind w:firstLine="480" w:firstLineChars="200"/>
        <w:rPr>
          <w:color w:val="auto"/>
        </w:rPr>
      </w:pPr>
    </w:p>
    <w:p>
      <w:pPr>
        <w:spacing w:line="360" w:lineRule="auto"/>
        <w:ind w:firstLine="480" w:firstLineChars="200"/>
        <w:rPr>
          <w:color w:val="auto"/>
        </w:rPr>
      </w:pPr>
    </w:p>
    <w:p>
      <w:pPr>
        <w:rPr>
          <w:color w:val="auto"/>
        </w:rPr>
      </w:pPr>
      <w:r>
        <w:rPr>
          <w:color w:val="auto"/>
        </w:rPr>
        <mc:AlternateContent>
          <mc:Choice Requires="wpg">
            <w:drawing>
              <wp:anchor distT="0" distB="0" distL="114300" distR="114300" simplePos="0" relativeHeight="251595776" behindDoc="0" locked="0" layoutInCell="1" allowOverlap="1">
                <wp:simplePos x="0" y="0"/>
                <wp:positionH relativeFrom="column">
                  <wp:posOffset>565785</wp:posOffset>
                </wp:positionH>
                <wp:positionV relativeFrom="paragraph">
                  <wp:posOffset>-1615440</wp:posOffset>
                </wp:positionV>
                <wp:extent cx="4715510" cy="1918335"/>
                <wp:effectExtent l="0" t="0" r="27940" b="24765"/>
                <wp:wrapSquare wrapText="bothSides"/>
                <wp:docPr id="1249" name="Group 128"/>
                <wp:cNvGraphicFramePr/>
                <a:graphic xmlns:a="http://schemas.openxmlformats.org/drawingml/2006/main">
                  <a:graphicData uri="http://schemas.microsoft.com/office/word/2010/wordprocessingGroup">
                    <wpg:wgp>
                      <wpg:cNvGrpSpPr/>
                      <wpg:grpSpPr>
                        <a:xfrm>
                          <a:off x="0" y="0"/>
                          <a:ext cx="4715510" cy="1918335"/>
                          <a:chOff x="0" y="0"/>
                          <a:chExt cx="7426" cy="3021"/>
                        </a:xfrm>
                      </wpg:grpSpPr>
                      <wps:wsp>
                        <wps:cNvPr id="1250" name="Line 129"/>
                        <wps:cNvCnPr/>
                        <wps:spPr bwMode="auto">
                          <a:xfrm>
                            <a:off x="1786" y="177"/>
                            <a:ext cx="1260" cy="0"/>
                          </a:xfrm>
                          <a:prstGeom prst="line">
                            <a:avLst/>
                          </a:prstGeom>
                          <a:noFill/>
                          <a:ln w="9525">
                            <a:solidFill>
                              <a:srgbClr val="000000"/>
                            </a:solidFill>
                            <a:round/>
                            <a:tailEnd type="triangle" w="med" len="med"/>
                          </a:ln>
                        </wps:spPr>
                        <wps:bodyPr/>
                      </wps:wsp>
                      <wps:wsp>
                        <wps:cNvPr id="1251" name="Line 130"/>
                        <wps:cNvCnPr/>
                        <wps:spPr bwMode="auto">
                          <a:xfrm>
                            <a:off x="4140" y="384"/>
                            <a:ext cx="4" cy="430"/>
                          </a:xfrm>
                          <a:prstGeom prst="line">
                            <a:avLst/>
                          </a:prstGeom>
                          <a:noFill/>
                          <a:ln w="9525">
                            <a:solidFill>
                              <a:srgbClr val="000000"/>
                            </a:solidFill>
                            <a:round/>
                            <a:tailEnd type="triangle" w="med" len="med"/>
                          </a:ln>
                        </wps:spPr>
                        <wps:bodyPr/>
                      </wps:wsp>
                      <wps:wsp>
                        <wps:cNvPr id="1252" name="Line 131"/>
                        <wps:cNvCnPr/>
                        <wps:spPr bwMode="auto">
                          <a:xfrm>
                            <a:off x="2340" y="846"/>
                            <a:ext cx="4" cy="274"/>
                          </a:xfrm>
                          <a:prstGeom prst="line">
                            <a:avLst/>
                          </a:prstGeom>
                          <a:noFill/>
                          <a:ln w="9525">
                            <a:solidFill>
                              <a:srgbClr val="000000"/>
                            </a:solidFill>
                            <a:round/>
                            <a:tailEnd type="triangle" w="med" len="med"/>
                          </a:ln>
                        </wps:spPr>
                        <wps:bodyPr/>
                      </wps:wsp>
                      <wps:wsp>
                        <wps:cNvPr id="1253" name="Line 132"/>
                        <wps:cNvCnPr/>
                        <wps:spPr bwMode="auto">
                          <a:xfrm>
                            <a:off x="6300" y="858"/>
                            <a:ext cx="4" cy="274"/>
                          </a:xfrm>
                          <a:prstGeom prst="line">
                            <a:avLst/>
                          </a:prstGeom>
                          <a:noFill/>
                          <a:ln w="9525">
                            <a:solidFill>
                              <a:srgbClr val="000000"/>
                            </a:solidFill>
                            <a:round/>
                            <a:tailEnd type="triangle" w="med" len="med"/>
                          </a:ln>
                        </wps:spPr>
                        <wps:bodyPr/>
                      </wps:wsp>
                      <wps:wsp>
                        <wps:cNvPr id="1254" name="Line 133"/>
                        <wps:cNvCnPr/>
                        <wps:spPr bwMode="auto">
                          <a:xfrm>
                            <a:off x="2324" y="831"/>
                            <a:ext cx="3960" cy="0"/>
                          </a:xfrm>
                          <a:prstGeom prst="line">
                            <a:avLst/>
                          </a:prstGeom>
                          <a:noFill/>
                          <a:ln w="9525">
                            <a:solidFill>
                              <a:srgbClr val="000000"/>
                            </a:solidFill>
                            <a:round/>
                          </a:ln>
                        </wps:spPr>
                        <wps:bodyPr/>
                      </wps:wsp>
                      <wps:wsp>
                        <wps:cNvPr id="1255" name="Line 134"/>
                        <wps:cNvCnPr/>
                        <wps:spPr bwMode="auto">
                          <a:xfrm>
                            <a:off x="1080" y="1890"/>
                            <a:ext cx="4" cy="312"/>
                          </a:xfrm>
                          <a:prstGeom prst="line">
                            <a:avLst/>
                          </a:prstGeom>
                          <a:noFill/>
                          <a:ln w="9525">
                            <a:solidFill>
                              <a:srgbClr val="000000"/>
                            </a:solidFill>
                            <a:round/>
                            <a:tailEnd type="triangle" w="med" len="med"/>
                          </a:ln>
                        </wps:spPr>
                        <wps:bodyPr/>
                      </wps:wsp>
                      <wps:wsp>
                        <wps:cNvPr id="1256" name="Line 135"/>
                        <wps:cNvCnPr/>
                        <wps:spPr bwMode="auto">
                          <a:xfrm>
                            <a:off x="3600" y="1890"/>
                            <a:ext cx="0" cy="312"/>
                          </a:xfrm>
                          <a:prstGeom prst="line">
                            <a:avLst/>
                          </a:prstGeom>
                          <a:noFill/>
                          <a:ln w="9525">
                            <a:solidFill>
                              <a:srgbClr val="000000"/>
                            </a:solidFill>
                            <a:round/>
                            <a:tailEnd type="triangle" w="med" len="med"/>
                          </a:ln>
                        </wps:spPr>
                        <wps:bodyPr/>
                      </wps:wsp>
                      <wps:wsp>
                        <wps:cNvPr id="1257" name="Line 136"/>
                        <wps:cNvCnPr/>
                        <wps:spPr bwMode="auto">
                          <a:xfrm>
                            <a:off x="2310" y="1461"/>
                            <a:ext cx="0" cy="430"/>
                          </a:xfrm>
                          <a:prstGeom prst="line">
                            <a:avLst/>
                          </a:prstGeom>
                          <a:noFill/>
                          <a:ln w="9525">
                            <a:solidFill>
                              <a:srgbClr val="000000"/>
                            </a:solidFill>
                            <a:round/>
                            <a:tailEnd type="triangle" w="med" len="med"/>
                          </a:ln>
                        </wps:spPr>
                        <wps:bodyPr/>
                      </wps:wsp>
                      <wps:wsp>
                        <wps:cNvPr id="1258" name="Line 137"/>
                        <wps:cNvCnPr/>
                        <wps:spPr bwMode="auto">
                          <a:xfrm>
                            <a:off x="1094" y="1902"/>
                            <a:ext cx="2520" cy="0"/>
                          </a:xfrm>
                          <a:prstGeom prst="line">
                            <a:avLst/>
                          </a:prstGeom>
                          <a:noFill/>
                          <a:ln w="9525">
                            <a:solidFill>
                              <a:srgbClr val="000000"/>
                            </a:solidFill>
                            <a:round/>
                          </a:ln>
                        </wps:spPr>
                        <wps:bodyPr/>
                      </wps:wsp>
                      <wps:wsp>
                        <wps:cNvPr id="1259" name="Line 138"/>
                        <wps:cNvCnPr/>
                        <wps:spPr bwMode="auto">
                          <a:xfrm>
                            <a:off x="6270" y="1563"/>
                            <a:ext cx="4" cy="412"/>
                          </a:xfrm>
                          <a:prstGeom prst="line">
                            <a:avLst/>
                          </a:prstGeom>
                          <a:noFill/>
                          <a:ln w="9525">
                            <a:solidFill>
                              <a:srgbClr val="000000"/>
                            </a:solidFill>
                            <a:round/>
                            <a:tailEnd type="triangle" w="med" len="med"/>
                          </a:ln>
                        </wps:spPr>
                        <wps:bodyPr/>
                      </wps:wsp>
                      <wps:wsp>
                        <wps:cNvPr id="1260" name="Line 139"/>
                        <wps:cNvCnPr/>
                        <wps:spPr bwMode="auto">
                          <a:xfrm>
                            <a:off x="6270" y="2328"/>
                            <a:ext cx="4" cy="397"/>
                          </a:xfrm>
                          <a:prstGeom prst="line">
                            <a:avLst/>
                          </a:prstGeom>
                          <a:noFill/>
                          <a:ln w="9525">
                            <a:solidFill>
                              <a:srgbClr val="000000"/>
                            </a:solidFill>
                            <a:round/>
                            <a:tailEnd type="triangle" w="med" len="med"/>
                          </a:ln>
                        </wps:spPr>
                        <wps:bodyPr/>
                      </wps:wsp>
                      <wps:wsp>
                        <wps:cNvPr id="1261" name="Text Box 140"/>
                        <wps:cNvSpPr txBox="1">
                          <a:spLocks noChangeArrowheads="1"/>
                        </wps:cNvSpPr>
                        <wps:spPr bwMode="auto">
                          <a:xfrm>
                            <a:off x="346" y="21"/>
                            <a:ext cx="1440" cy="312"/>
                          </a:xfrm>
                          <a:prstGeom prst="rect">
                            <a:avLst/>
                          </a:prstGeom>
                          <a:solidFill>
                            <a:srgbClr val="FFFFFF"/>
                          </a:solidFill>
                          <a:ln w="9525">
                            <a:solidFill>
                              <a:srgbClr val="000000"/>
                            </a:solidFill>
                            <a:miter lim="800000"/>
                          </a:ln>
                        </wps:spPr>
                        <wps:txbx>
                          <w:txbxContent>
                            <w:p>
                              <w:pPr>
                                <w:jc w:val="center"/>
                              </w:pPr>
                              <w:r>
                                <w:t>建设指挥部</w:t>
                              </w:r>
                            </w:p>
                          </w:txbxContent>
                        </wps:txbx>
                        <wps:bodyPr rot="0" vert="horz" wrap="square" lIns="0" tIns="0" rIns="0" bIns="0" anchor="t" anchorCtr="0" upright="1">
                          <a:noAutofit/>
                        </wps:bodyPr>
                      </wps:wsp>
                      <wps:wsp>
                        <wps:cNvPr id="1262" name="Text Box 141"/>
                        <wps:cNvSpPr txBox="1">
                          <a:spLocks noChangeArrowheads="1"/>
                        </wps:cNvSpPr>
                        <wps:spPr bwMode="auto">
                          <a:xfrm>
                            <a:off x="3060" y="0"/>
                            <a:ext cx="2160" cy="384"/>
                          </a:xfrm>
                          <a:prstGeom prst="rect">
                            <a:avLst/>
                          </a:prstGeom>
                          <a:solidFill>
                            <a:srgbClr val="FFFFFF"/>
                          </a:solidFill>
                          <a:ln w="9525">
                            <a:solidFill>
                              <a:srgbClr val="000000"/>
                            </a:solidFill>
                            <a:miter lim="800000"/>
                          </a:ln>
                        </wps:spPr>
                        <wps:txbx>
                          <w:txbxContent>
                            <w:p>
                              <w:pPr>
                                <w:jc w:val="center"/>
                              </w:pPr>
                              <w:r>
                                <w:t>项目总监办</w:t>
                              </w:r>
                            </w:p>
                          </w:txbxContent>
                        </wps:txbx>
                        <wps:bodyPr rot="0" vert="horz" wrap="square" lIns="0" tIns="0" rIns="0" bIns="0" anchor="t" anchorCtr="0" upright="1">
                          <a:noAutofit/>
                        </wps:bodyPr>
                      </wps:wsp>
                      <wps:wsp>
                        <wps:cNvPr id="1263" name="Text Box 142"/>
                        <wps:cNvSpPr txBox="1">
                          <a:spLocks noChangeArrowheads="1"/>
                        </wps:cNvSpPr>
                        <wps:spPr bwMode="auto">
                          <a:xfrm>
                            <a:off x="5580" y="1164"/>
                            <a:ext cx="1440" cy="399"/>
                          </a:xfrm>
                          <a:prstGeom prst="rect">
                            <a:avLst/>
                          </a:prstGeom>
                          <a:solidFill>
                            <a:srgbClr val="FFFFFF"/>
                          </a:solidFill>
                          <a:ln w="9525">
                            <a:solidFill>
                              <a:srgbClr val="000000"/>
                            </a:solidFill>
                            <a:miter lim="800000"/>
                          </a:ln>
                        </wps:spPr>
                        <wps:txbx>
                          <w:txbxContent>
                            <w:p>
                              <w:pPr>
                                <w:jc w:val="center"/>
                              </w:pPr>
                              <w:r>
                                <w:t>环保达标组</w:t>
                              </w:r>
                            </w:p>
                          </w:txbxContent>
                        </wps:txbx>
                        <wps:bodyPr rot="0" vert="horz" wrap="square" lIns="0" tIns="0" rIns="0" bIns="0" anchor="t" anchorCtr="0" upright="1">
                          <a:noAutofit/>
                        </wps:bodyPr>
                      </wps:wsp>
                      <wps:wsp>
                        <wps:cNvPr id="1264" name="Text Box 143"/>
                        <wps:cNvSpPr txBox="1">
                          <a:spLocks noChangeArrowheads="1"/>
                        </wps:cNvSpPr>
                        <wps:spPr bwMode="auto">
                          <a:xfrm>
                            <a:off x="0" y="2240"/>
                            <a:ext cx="1980" cy="369"/>
                          </a:xfrm>
                          <a:prstGeom prst="rect">
                            <a:avLst/>
                          </a:prstGeom>
                          <a:solidFill>
                            <a:srgbClr val="FFFFFF"/>
                          </a:solidFill>
                          <a:ln w="9525">
                            <a:solidFill>
                              <a:srgbClr val="000000"/>
                            </a:solidFill>
                            <a:miter lim="800000"/>
                          </a:ln>
                        </wps:spPr>
                        <wps:txbx>
                          <w:txbxContent>
                            <w:p>
                              <w:pPr>
                                <w:jc w:val="center"/>
                              </w:pPr>
                              <w:r>
                                <w:t>绿化工程</w:t>
                              </w:r>
                            </w:p>
                          </w:txbxContent>
                        </wps:txbx>
                        <wps:bodyPr rot="0" vert="horz" wrap="square" lIns="0" tIns="0" rIns="0" bIns="0" anchor="t" anchorCtr="0" upright="1">
                          <a:noAutofit/>
                        </wps:bodyPr>
                      </wps:wsp>
                      <wps:wsp>
                        <wps:cNvPr id="1265" name="Text Box 144"/>
                        <wps:cNvSpPr txBox="1">
                          <a:spLocks noChangeArrowheads="1"/>
                        </wps:cNvSpPr>
                        <wps:spPr bwMode="auto">
                          <a:xfrm>
                            <a:off x="2700" y="2240"/>
                            <a:ext cx="1980" cy="384"/>
                          </a:xfrm>
                          <a:prstGeom prst="rect">
                            <a:avLst/>
                          </a:prstGeom>
                          <a:solidFill>
                            <a:srgbClr val="FFFFFF"/>
                          </a:solidFill>
                          <a:ln w="9525">
                            <a:solidFill>
                              <a:srgbClr val="000000"/>
                            </a:solidFill>
                            <a:miter lim="800000"/>
                          </a:ln>
                        </wps:spPr>
                        <wps:txbx>
                          <w:txbxContent>
                            <w:p>
                              <w:pPr>
                                <w:jc w:val="center"/>
                              </w:pPr>
                              <w:r>
                                <w:rPr>
                                  <w:rFonts w:hint="eastAsia"/>
                                </w:rPr>
                                <w:t>噪声防治</w:t>
                              </w:r>
                            </w:p>
                          </w:txbxContent>
                        </wps:txbx>
                        <wps:bodyPr rot="0" vert="horz" wrap="square" lIns="0" tIns="0" rIns="0" bIns="0" anchor="t" anchorCtr="0" upright="1">
                          <a:noAutofit/>
                        </wps:bodyPr>
                      </wps:wsp>
                      <wps:wsp>
                        <wps:cNvPr id="1266" name="Text Box 145"/>
                        <wps:cNvSpPr txBox="1">
                          <a:spLocks noChangeArrowheads="1"/>
                        </wps:cNvSpPr>
                        <wps:spPr bwMode="auto">
                          <a:xfrm>
                            <a:off x="5566" y="1983"/>
                            <a:ext cx="1440" cy="339"/>
                          </a:xfrm>
                          <a:prstGeom prst="rect">
                            <a:avLst/>
                          </a:prstGeom>
                          <a:solidFill>
                            <a:srgbClr val="FFFFFF"/>
                          </a:solidFill>
                          <a:ln w="9525">
                            <a:solidFill>
                              <a:srgbClr val="000000"/>
                            </a:solidFill>
                            <a:miter lim="800000"/>
                          </a:ln>
                        </wps:spPr>
                        <wps:txbx>
                          <w:txbxContent>
                            <w:p>
                              <w:pPr>
                                <w:jc w:val="center"/>
                              </w:pPr>
                              <w:r>
                                <w:t>驻地办</w:t>
                              </w:r>
                            </w:p>
                          </w:txbxContent>
                        </wps:txbx>
                        <wps:bodyPr rot="0" vert="horz" wrap="square" lIns="0" tIns="0" rIns="0" bIns="0" anchor="t" anchorCtr="0" upright="1">
                          <a:noAutofit/>
                        </wps:bodyPr>
                      </wps:wsp>
                      <wps:wsp>
                        <wps:cNvPr id="1267" name="Text Box 146"/>
                        <wps:cNvSpPr txBox="1">
                          <a:spLocks noChangeArrowheads="1"/>
                        </wps:cNvSpPr>
                        <wps:spPr bwMode="auto">
                          <a:xfrm>
                            <a:off x="5266" y="2727"/>
                            <a:ext cx="2160" cy="294"/>
                          </a:xfrm>
                          <a:prstGeom prst="rect">
                            <a:avLst/>
                          </a:prstGeom>
                          <a:solidFill>
                            <a:srgbClr val="FFFFFF"/>
                          </a:solidFill>
                          <a:ln w="9525">
                            <a:solidFill>
                              <a:srgbClr val="000000"/>
                            </a:solidFill>
                            <a:miter lim="800000"/>
                          </a:ln>
                        </wps:spPr>
                        <wps:txbx>
                          <w:txbxContent>
                            <w:p>
                              <w:pPr>
                                <w:jc w:val="center"/>
                              </w:pPr>
                              <w:r>
                                <w:t>标段监理组组长（兼）</w:t>
                              </w:r>
                            </w:p>
                          </w:txbxContent>
                        </wps:txbx>
                        <wps:bodyPr rot="0" vert="horz" wrap="square" lIns="0" tIns="0" rIns="0" bIns="0" anchor="t" anchorCtr="0" upright="1">
                          <a:noAutofit/>
                        </wps:bodyPr>
                      </wps:wsp>
                    </wpg:wgp>
                  </a:graphicData>
                </a:graphic>
              </wp:anchor>
            </w:drawing>
          </mc:Choice>
          <mc:Fallback>
            <w:pict>
              <v:group id="Group 128" o:spid="_x0000_s1026" o:spt="203" style="position:absolute;left:0pt;margin-left:44.55pt;margin-top:-127.2pt;height:151.05pt;width:371.3pt;mso-wrap-distance-bottom:0pt;mso-wrap-distance-left:9pt;mso-wrap-distance-right:9pt;mso-wrap-distance-top:0pt;z-index:251595776;mso-width-relative:page;mso-height-relative:page;" coordsize="7426,3021" o:gfxdata="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">
                <o:lock v:ext="edit" aspectratio="f"/>
                <v:line id="Line 129" o:spid="_x0000_s1026" o:spt="20" style="position:absolute;left:1786;top:177;height:0;width:1260;" filled="f" stroked="t" coordsize="21600,21600" o:gfxdata="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al&#10;N8EAAADdAAAADwAAAAAAAAABACAAAAAiAAAAZHJzL2Rvd25yZXYueG1sUEsBAhQAFAAAAAgAh07i&#10;QDMvBZ47AAAAOQAAABAAAAAAAAAAAQAgAAAAEAEAAGRycy9zaGFwZXhtbC54bWxQSwUGAAAAAAYA&#10;BgBbAQAAugMAAAAA&#10;">
                  <v:fill on="f" focussize="0,0"/>
                  <v:stroke color="#000000" joinstyle="round" endarrow="block"/>
                  <v:imagedata o:title=""/>
                  <o:lock v:ext="edit" aspectratio="f"/>
                </v:line>
                <v:line id="Line 130" o:spid="_x0000_s1026" o:spt="20" style="position:absolute;left:4140;top:384;height:430;width:4;" filled="f" stroked="t" coordsize="21600,21600" o:gfxdata="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hoArL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Line 131" o:spid="_x0000_s1026" o:spt="20" style="position:absolute;left:2340;top:846;height:274;width:4;" filled="f" stroked="t" coordsize="21600,21600" o:gfxdata="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sie27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Line 132" o:spid="_x0000_s1026" o:spt="20" style="position:absolute;left:6300;top:858;height:274;width:4;" filled="f" stroked="t" coordsize="21600,21600" o:gfxdata="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YQ7QL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Line 133" o:spid="_x0000_s1026" o:spt="20" style="position:absolute;left:2324;top:831;height:0;width:3960;" filled="f" stroked="t" coordsize="21600,21600" o:gfxdata="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ms82r4A&#10;AADd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Line 134" o:spid="_x0000_s1026" o:spt="20" style="position:absolute;left:1080;top:1890;height:312;width:4;" filled="f" stroked="t" coordsize="21600,21600" o:gfxdata="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SEGr7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Line 135" o:spid="_x0000_s1026" o:spt="20" style="position:absolute;left:3600;top:1890;height:312;width:0;" filled="f" stroked="t" coordsize="21600,21600" o:gfxdata="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fOY2L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Line 136" o:spid="_x0000_s1026" o:spt="20" style="position:absolute;left:2310;top:1461;height:430;width:0;" filled="f" stroked="t" coordsize="21600,21600" o:gfxdata="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r89Q7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Line 137" o:spid="_x0000_s1026" o:spt="20" style="position:absolute;left:1094;top:1902;height:0;width:2520;" filled="f" stroked="t" coordsize="21600,21600" o:gfxdata="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vJjbf&#10;wAAAAN0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138" o:spid="_x0000_s1026" o:spt="20" style="position:absolute;left:6270;top:1563;height:412;width:4;" filled="f" stroked="t" coordsize="21600,21600" o:gfxdata="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GwMqr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Line 139" o:spid="_x0000_s1026" o:spt="20" style="position:absolute;left:6270;top:2328;height:397;width:4;" filled="f" stroked="t" coordsize="21600,21600" o:gfxdata="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zpv&#10;isEAAADdAAAADwAAAAAAAAABACAAAAAiAAAAZHJzL2Rvd25yZXYueG1sUEsBAhQAFAAAAAgAh07i&#10;QDMvBZ47AAAAOQAAABAAAAAAAAAAAQAgAAAAEAEAAGRycy9zaGFwZXhtbC54bWxQSwUGAAAAAAYA&#10;BgBbAQAAugMAAAAA&#10;">
                  <v:fill on="f" focussize="0,0"/>
                  <v:stroke color="#000000" joinstyle="round" endarrow="block"/>
                  <v:imagedata o:title=""/>
                  <o:lock v:ext="edit" aspectratio="f"/>
                </v:line>
                <v:shape id="Text Box 140" o:spid="_x0000_s1026" o:spt="202" type="#_x0000_t202" style="position:absolute;left:346;top:21;height:312;width:1440;" fillcolor="#FFFFFF" filled="t" stroked="t" coordsize="21600,21600" o:gfxdata="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nj9BbsAAADd&#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inset="0mm,0mm,0mm,0mm">
                    <w:txbxContent>
                      <w:p>
                        <w:pPr>
                          <w:jc w:val="center"/>
                        </w:pPr>
                        <w:r>
                          <w:t>建设指挥部</w:t>
                        </w:r>
                      </w:p>
                    </w:txbxContent>
                  </v:textbox>
                </v:shape>
                <v:shape id="Text Box 141" o:spid="_x0000_s1026" o:spt="202" type="#_x0000_t202" style="position:absolute;left:3060;top:0;height:384;width:2160;" fillcolor="#FFFFFF" filled="t" stroked="t" coordsize="21600,21600" o:gfxdata="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qpjcrsAAADd&#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inset="0mm,0mm,0mm,0mm">
                    <w:txbxContent>
                      <w:p>
                        <w:pPr>
                          <w:jc w:val="center"/>
                        </w:pPr>
                        <w:r>
                          <w:t>项目总监办</w:t>
                        </w:r>
                      </w:p>
                    </w:txbxContent>
                  </v:textbox>
                </v:shape>
                <v:shape id="Text Box 142" o:spid="_x0000_s1026" o:spt="202" type="#_x0000_t202" style="position:absolute;left:5580;top:1164;height:399;width:1440;" fillcolor="#FFFFFF" filled="t" stroked="t" coordsize="21600,21600" o:gfxdata="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5sbpvQAA&#10;AN0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inset="0mm,0mm,0mm,0mm">
                    <w:txbxContent>
                      <w:p>
                        <w:pPr>
                          <w:jc w:val="center"/>
                        </w:pPr>
                        <w:r>
                          <w:t>环保达标组</w:t>
                        </w:r>
                      </w:p>
                    </w:txbxContent>
                  </v:textbox>
                </v:shape>
                <v:shape id="Text Box 143" o:spid="_x0000_s1026" o:spt="202" type="#_x0000_t202" style="position:absolute;left:0;top:2240;height:369;width:1980;" fillcolor="#FFFFFF" filled="t" stroked="t" coordsize="21600,21600" o:gfxdata="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D16dvQAA&#10;AN0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inset="0mm,0mm,0mm,0mm">
                    <w:txbxContent>
                      <w:p>
                        <w:pPr>
                          <w:jc w:val="center"/>
                        </w:pPr>
                        <w:r>
                          <w:t>绿化工程</w:t>
                        </w:r>
                      </w:p>
                    </w:txbxContent>
                  </v:textbox>
                </v:shape>
                <v:shape id="Text Box 144" o:spid="_x0000_s1026" o:spt="202" type="#_x0000_t202" style="position:absolute;left:2700;top:2240;height:384;width:1980;" fillcolor="#FFFFFF" filled="t" stroked="t" coordsize="21600,21600" o:gfxdata="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Q/sGvQAA&#10;AN0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inset="0mm,0mm,0mm,0mm">
                    <w:txbxContent>
                      <w:p>
                        <w:pPr>
                          <w:jc w:val="center"/>
                        </w:pPr>
                        <w:r>
                          <w:rPr>
                            <w:rFonts w:hint="eastAsia"/>
                          </w:rPr>
                          <w:t>噪声防治</w:t>
                        </w:r>
                      </w:p>
                    </w:txbxContent>
                  </v:textbox>
                </v:shape>
                <v:shape id="Text Box 145" o:spid="_x0000_s1026" o:spt="202" type="#_x0000_t202" style="position:absolute;left:5566;top:1983;height:339;width:1440;" fillcolor="#FFFFFF" filled="t" stroked="t" coordsize="21600,21600" o:gfxdata="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ZFlcbsAAADd&#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inset="0mm,0mm,0mm,0mm">
                    <w:txbxContent>
                      <w:p>
                        <w:pPr>
                          <w:jc w:val="center"/>
                        </w:pPr>
                        <w:r>
                          <w:t>驻地办</w:t>
                        </w:r>
                      </w:p>
                    </w:txbxContent>
                  </v:textbox>
                </v:shape>
                <v:shape id="Text Box 146" o:spid="_x0000_s1026" o:spt="202" type="#_x0000_t202" style="position:absolute;left:5266;top:2727;height:294;width:2160;" fillcolor="#FFFFFF" filled="t" stroked="t" coordsize="21600,21600" o:gfxdata="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23cDqvQAA&#10;AN0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inset="0mm,0mm,0mm,0mm">
                    <w:txbxContent>
                      <w:p>
                        <w:pPr>
                          <w:jc w:val="center"/>
                        </w:pPr>
                        <w:r>
                          <w:t>标段监理组组长（兼）</w:t>
                        </w:r>
                      </w:p>
                    </w:txbxContent>
                  </v:textbox>
                </v:shape>
                <w10:wrap type="square"/>
              </v:group>
            </w:pict>
          </mc:Fallback>
        </mc:AlternateContent>
      </w:r>
    </w:p>
    <w:p>
      <w:pPr>
        <w:rPr>
          <w:color w:val="auto"/>
        </w:rPr>
      </w:pPr>
    </w:p>
    <w:p>
      <w:pPr>
        <w:rPr>
          <w:color w:val="auto"/>
        </w:rPr>
      </w:pPr>
      <w:r>
        <w:rPr>
          <w:color w:val="auto"/>
        </w:rPr>
        <mc:AlternateContent>
          <mc:Choice Requires="wps">
            <w:drawing>
              <wp:anchor distT="0" distB="0" distL="114300" distR="114300" simplePos="0" relativeHeight="251593728" behindDoc="0" locked="0" layoutInCell="1" allowOverlap="1">
                <wp:simplePos x="0" y="0"/>
                <wp:positionH relativeFrom="column">
                  <wp:posOffset>1486535</wp:posOffset>
                </wp:positionH>
                <wp:positionV relativeFrom="paragraph">
                  <wp:posOffset>113030</wp:posOffset>
                </wp:positionV>
                <wp:extent cx="1257300" cy="205740"/>
                <wp:effectExtent l="0" t="0" r="19050" b="22860"/>
                <wp:wrapNone/>
                <wp:docPr id="1248" name="Text Box 127"/>
                <wp:cNvGraphicFramePr/>
                <a:graphic xmlns:a="http://schemas.openxmlformats.org/drawingml/2006/main">
                  <a:graphicData uri="http://schemas.microsoft.com/office/word/2010/wordprocessingShape">
                    <wps:wsp>
                      <wps:cNvSpPr txBox="1">
                        <a:spLocks noChangeArrowheads="1"/>
                      </wps:cNvSpPr>
                      <wps:spPr bwMode="auto">
                        <a:xfrm>
                          <a:off x="0" y="0"/>
                          <a:ext cx="1257300" cy="205740"/>
                        </a:xfrm>
                        <a:prstGeom prst="rect">
                          <a:avLst/>
                        </a:prstGeom>
                        <a:solidFill>
                          <a:srgbClr val="FFFFFF"/>
                        </a:solidFill>
                        <a:ln w="9525">
                          <a:solidFill>
                            <a:srgbClr val="000000"/>
                          </a:solidFill>
                          <a:miter lim="800000"/>
                        </a:ln>
                      </wps:spPr>
                      <wps:txbx>
                        <w:txbxContent>
                          <w:p>
                            <w:pPr/>
                            <w:r>
                              <w:t>专项的环保监理组</w:t>
                            </w:r>
                          </w:p>
                        </w:txbxContent>
                      </wps:txbx>
                      <wps:bodyPr rot="0" vert="horz" wrap="square" lIns="0" tIns="0" rIns="0" bIns="0" anchor="t" anchorCtr="0" upright="1">
                        <a:noAutofit/>
                      </wps:bodyPr>
                    </wps:wsp>
                  </a:graphicData>
                </a:graphic>
              </wp:anchor>
            </w:drawing>
          </mc:Choice>
          <mc:Fallback>
            <w:pict>
              <v:shape id="Text Box 127" o:spid="_x0000_s1026" o:spt="202" type="#_x0000_t202" style="position:absolute;left:0pt;margin-left:117.05pt;margin-top:8.9pt;height:16.2pt;width:99pt;z-index:251593728;mso-width-relative:page;mso-height-relative:page;" fillcolor="#FFFFFF" filled="t" stroked="t" coordsize="21600,21600" o:gfxdata="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o1z3QdcAAAAJAQAADwAAAAAAAAABACAA&#10;AAAiAAAAZHJzL2Rvd25yZXYueG1sUEsBAhQAFAAAAAgAh07iQCZQiukOAgAALQQAAA4AAAAAAAAA&#10;AQAgAAAAJgEAAGRycy9lMm9Eb2MueG1sUEsFBgAAAAAGAAYAWQEAAKYFAAAAAA==&#10;">
                <v:fill on="t" focussize="0,0"/>
                <v:stroke color="#000000" miterlimit="8" joinstyle="miter"/>
                <v:imagedata o:title=""/>
                <o:lock v:ext="edit" aspectratio="f"/>
                <v:textbox inset="0mm,0mm,0mm,0mm">
                  <w:txbxContent>
                    <w:p>
                      <w:pPr/>
                      <w:r>
                        <w:t>专项的环保监理组</w:t>
                      </w:r>
                    </w:p>
                  </w:txbxContent>
                </v:textbox>
              </v:shape>
            </w:pict>
          </mc:Fallback>
        </mc:AlternateContent>
      </w:r>
    </w:p>
    <w:p>
      <w:pPr>
        <w:rPr>
          <w:color w:val="auto"/>
        </w:rPr>
      </w:pPr>
    </w:p>
    <w:p>
      <w:pPr>
        <w:rPr>
          <w:color w:val="auto"/>
        </w:rPr>
      </w:pPr>
    </w:p>
    <w:p>
      <w:pPr>
        <w:rPr>
          <w:color w:val="auto"/>
        </w:rPr>
      </w:pPr>
    </w:p>
    <w:p>
      <w:pPr>
        <w:rPr>
          <w:color w:val="auto"/>
        </w:rPr>
      </w:pPr>
    </w:p>
    <w:p>
      <w:pPr>
        <w:jc w:val="center"/>
        <w:rPr>
          <w:color w:val="auto"/>
        </w:rPr>
      </w:pPr>
      <w:r>
        <w:rPr>
          <w:b/>
          <w:color w:val="auto"/>
        </w:rPr>
        <w:t xml:space="preserve">图 </w:t>
      </w:r>
      <w:r>
        <w:rPr>
          <w:b/>
          <w:color w:val="auto"/>
        </w:rPr>
        <w:fldChar w:fldCharType="begin"/>
      </w:r>
      <w:r>
        <w:rPr>
          <w:b/>
          <w:color w:val="auto"/>
        </w:rPr>
        <w:instrText xml:space="preserve"> STYLEREF 2 \s </w:instrText>
      </w:r>
      <w:r>
        <w:rPr>
          <w:b/>
          <w:color w:val="auto"/>
        </w:rPr>
        <w:fldChar w:fldCharType="separate"/>
      </w:r>
      <w:r>
        <w:rPr>
          <w:b/>
          <w:color w:val="auto"/>
        </w:rPr>
        <w:t>6.1</w:t>
      </w:r>
      <w:r>
        <w:rPr>
          <w:b/>
          <w:color w:val="auto"/>
        </w:rPr>
        <w:fldChar w:fldCharType="end"/>
      </w:r>
      <w:r>
        <w:rPr>
          <w:b/>
          <w:color w:val="auto"/>
        </w:rPr>
        <w:noBreakHyphen/>
      </w:r>
      <w:r>
        <w:rPr>
          <w:b/>
          <w:color w:val="auto"/>
        </w:rPr>
        <w:fldChar w:fldCharType="begin"/>
      </w:r>
      <w:r>
        <w:rPr>
          <w:b/>
          <w:color w:val="auto"/>
        </w:rPr>
        <w:instrText xml:space="preserve"> SEQ 图 \* ARABIC \s 2 </w:instrText>
      </w:r>
      <w:r>
        <w:rPr>
          <w:b/>
          <w:color w:val="auto"/>
        </w:rPr>
        <w:fldChar w:fldCharType="separate"/>
      </w:r>
      <w:r>
        <w:rPr>
          <w:b/>
          <w:color w:val="auto"/>
        </w:rPr>
        <w:t>3</w:t>
      </w:r>
      <w:r>
        <w:rPr>
          <w:b/>
          <w:color w:val="auto"/>
        </w:rPr>
        <w:fldChar w:fldCharType="end"/>
      </w:r>
      <w:r>
        <w:rPr>
          <w:b/>
          <w:color w:val="auto"/>
        </w:rPr>
        <w:t xml:space="preserve"> 环保监理组成</w:t>
      </w:r>
    </w:p>
    <w:p>
      <w:pPr>
        <w:spacing w:line="360" w:lineRule="auto"/>
        <w:outlineLvl w:val="1"/>
        <w:rPr>
          <w:b/>
          <w:color w:val="auto"/>
          <w:sz w:val="28"/>
          <w:szCs w:val="28"/>
        </w:rPr>
        <w:sectPr>
          <w:pgSz w:w="11906" w:h="16838"/>
          <w:pgMar w:top="1360" w:right="1134" w:bottom="1134" w:left="1701" w:header="851" w:footer="992" w:gutter="0"/>
          <w:pgNumType w:fmt="decimal"/>
          <w:cols w:space="720" w:num="1"/>
          <w:docGrid w:linePitch="312" w:charSpace="0"/>
        </w:sectPr>
      </w:pPr>
      <w:bookmarkStart w:id="778" w:name="_Toc483263386"/>
    </w:p>
    <w:p>
      <w:pPr>
        <w:pStyle w:val="3"/>
        <w:ind w:left="578" w:hanging="578"/>
        <w:rPr>
          <w:rFonts w:ascii="Times New Roman"/>
          <w:bCs/>
          <w:color w:val="auto"/>
          <w:lang w:eastAsia="zh-CN"/>
        </w:rPr>
      </w:pPr>
      <w:bookmarkStart w:id="779" w:name="_Toc14943333"/>
      <w:bookmarkStart w:id="780" w:name="_Toc32203"/>
      <w:bookmarkStart w:id="781" w:name="_Toc23263176"/>
      <w:bookmarkStart w:id="782" w:name="_Toc24136836"/>
      <w:r>
        <w:rPr>
          <w:rFonts w:ascii="Times New Roman"/>
          <w:bCs/>
          <w:color w:val="auto"/>
        </w:rPr>
        <w:t>营运期污染防治措施</w:t>
      </w:r>
      <w:bookmarkEnd w:id="778"/>
      <w:bookmarkEnd w:id="779"/>
      <w:bookmarkEnd w:id="780"/>
      <w:bookmarkEnd w:id="781"/>
      <w:bookmarkEnd w:id="782"/>
    </w:p>
    <w:p>
      <w:pPr>
        <w:pStyle w:val="4"/>
        <w:rPr>
          <w:b/>
          <w:color w:val="auto"/>
        </w:rPr>
      </w:pPr>
      <w:bookmarkStart w:id="783" w:name="_Toc34234755"/>
      <w:bookmarkStart w:id="784" w:name="_Toc24136837"/>
      <w:bookmarkStart w:id="785" w:name="_Toc28342"/>
      <w:bookmarkStart w:id="786" w:name="_Toc14946926"/>
      <w:bookmarkStart w:id="787" w:name="_Toc15912218"/>
      <w:r>
        <w:rPr>
          <w:b/>
          <w:color w:val="auto"/>
        </w:rPr>
        <w:t>废气治理措施</w:t>
      </w:r>
      <w:bookmarkEnd w:id="783"/>
      <w:bookmarkEnd w:id="784"/>
      <w:bookmarkEnd w:id="785"/>
      <w:bookmarkEnd w:id="786"/>
      <w:bookmarkEnd w:id="787"/>
    </w:p>
    <w:p>
      <w:pPr>
        <w:pStyle w:val="376"/>
        <w:spacing w:line="360" w:lineRule="auto"/>
        <w:ind w:firstLine="480"/>
        <w:rPr>
          <w:color w:val="auto"/>
        </w:rPr>
      </w:pPr>
      <w:r>
        <w:rPr>
          <w:color w:val="auto"/>
        </w:rPr>
        <w:t>本项目生产过程中废气污染源包括：餐厨废弃物处理过程产生的恶臭气体以及</w:t>
      </w:r>
      <w:r>
        <w:rPr>
          <w:rFonts w:hint="eastAsia"/>
          <w:color w:val="auto"/>
        </w:rPr>
        <w:t>建筑垃圾填埋产生的扬尘</w:t>
      </w:r>
      <w:r>
        <w:rPr>
          <w:color w:val="auto"/>
        </w:rPr>
        <w:t>。</w:t>
      </w:r>
    </w:p>
    <w:p>
      <w:pPr>
        <w:pStyle w:val="375"/>
        <w:rPr>
          <w:color w:val="auto"/>
        </w:rPr>
      </w:pPr>
      <w:r>
        <w:rPr>
          <w:color w:val="auto"/>
        </w:rPr>
        <w:t>建设单位对建设项目中会产生的废气采取了技术可行、经济合理、可操作性较强的治理方案，废气处理工艺具体分析如下：</w:t>
      </w:r>
    </w:p>
    <w:p>
      <w:pPr>
        <w:spacing w:line="360" w:lineRule="auto"/>
        <w:rPr>
          <w:b/>
          <w:color w:val="auto"/>
        </w:rPr>
      </w:pPr>
      <w:bookmarkStart w:id="788" w:name="_Toc25509240"/>
      <w:r>
        <w:rPr>
          <w:rFonts w:hint="eastAsia"/>
          <w:b/>
          <w:color w:val="auto"/>
        </w:rPr>
        <w:t>6.2.1.1生产过程的</w:t>
      </w:r>
      <w:r>
        <w:rPr>
          <w:b/>
          <w:color w:val="auto"/>
        </w:rPr>
        <w:t>恶臭气体</w:t>
      </w:r>
      <w:bookmarkEnd w:id="788"/>
    </w:p>
    <w:p>
      <w:pPr>
        <w:spacing w:line="360" w:lineRule="auto"/>
        <w:ind w:firstLine="482" w:firstLineChars="200"/>
        <w:rPr>
          <w:b/>
          <w:color w:val="auto"/>
          <w:kern w:val="0"/>
          <w:szCs w:val="20"/>
          <w:lang w:bidi="en-US"/>
        </w:rPr>
      </w:pPr>
      <w:r>
        <w:rPr>
          <w:rFonts w:hint="eastAsia"/>
          <w:b/>
          <w:color w:val="auto"/>
          <w:kern w:val="0"/>
          <w:szCs w:val="20"/>
          <w:lang w:bidi="en-US"/>
        </w:rPr>
        <w:t>一、</w:t>
      </w:r>
      <w:r>
        <w:rPr>
          <w:b/>
          <w:color w:val="auto"/>
          <w:kern w:val="0"/>
          <w:szCs w:val="20"/>
          <w:lang w:bidi="en-US"/>
        </w:rPr>
        <w:t>臭气收集措施</w:t>
      </w:r>
    </w:p>
    <w:p>
      <w:pPr>
        <w:pStyle w:val="366"/>
        <w:spacing w:line="360" w:lineRule="auto"/>
        <w:ind w:firstLine="480"/>
        <w:rPr>
          <w:rFonts w:cs="Times New Roman"/>
          <w:color w:val="auto"/>
          <w:lang w:eastAsia="zh-CN"/>
        </w:rPr>
      </w:pPr>
      <w:r>
        <w:rPr>
          <w:rFonts w:cs="Times New Roman"/>
          <w:color w:val="auto"/>
          <w:lang w:eastAsia="zh-CN"/>
        </w:rPr>
        <w:t>本项目餐厨废弃物处理工程厂区内产生的臭气主要来自综合处理房。</w:t>
      </w:r>
    </w:p>
    <w:p>
      <w:pPr>
        <w:pStyle w:val="366"/>
        <w:spacing w:line="360" w:lineRule="auto"/>
        <w:ind w:firstLine="480"/>
        <w:rPr>
          <w:rFonts w:hint="eastAsia" w:eastAsia="宋体" w:cs="Times New Roman"/>
          <w:color w:val="auto"/>
          <w:lang w:eastAsia="zh-CN"/>
        </w:rPr>
      </w:pPr>
      <w:r>
        <w:rPr>
          <w:rFonts w:cs="Times New Roman"/>
          <w:color w:val="auto"/>
          <w:lang w:eastAsia="zh-CN"/>
        </w:rPr>
        <w:t>为了防止车间内恶臭气体的泄漏，整个综合处理房内的处理车间密闭</w:t>
      </w:r>
      <w:r>
        <w:rPr>
          <w:rFonts w:hint="eastAsia" w:cs="Times New Roman"/>
          <w:color w:val="auto"/>
          <w:lang w:eastAsia="zh-CN"/>
        </w:rPr>
        <w:t>。</w:t>
      </w:r>
      <w:r>
        <w:rPr>
          <w:color w:val="auto"/>
        </w:rPr>
        <w:t>餐厨废弃物收运车入厂后进入预处理车间卸料区进行卸料，卸料区为双道门设计，收运车到达时，外门打开，内门关闭；进入卸料间后，外门关闭，内门打开，收运车进行卸料作业；作业完毕后，逆向操作；外门打开时，卸料间通过除臭系统保持负压。卸料间与预处理车间其他区域通过隔离墙物理分隔，卸料仓顶部设置液压顶盖和除臭吸气口，不卸料时可以关闭并进行局部引风。卸料仓顶盖关闭时，卸料仓内部可维持微负压以进一步防止臭气外溢。</w:t>
      </w:r>
      <w:r>
        <w:rPr>
          <w:rFonts w:hint="eastAsia"/>
          <w:color w:val="auto"/>
          <w:lang w:val="en-US" w:eastAsia="zh-CN"/>
        </w:rPr>
        <w:t>在卸料口、清杂平台、螺旋输送器、脱水系统等主要产污节点上方设置集气装置，整个预</w:t>
      </w:r>
      <w:r>
        <w:rPr>
          <w:color w:val="auto"/>
        </w:rPr>
        <w:t>处理工序及其配套的物料输送均在密闭环境下完成，设备预留除臭管道接入的法兰接口，实现</w:t>
      </w:r>
      <w:r>
        <w:rPr>
          <w:rFonts w:hint="eastAsia"/>
          <w:color w:val="auto"/>
          <w:lang w:val="en-US" w:eastAsia="zh-CN"/>
        </w:rPr>
        <w:t>对主要产污节点</w:t>
      </w:r>
      <w:r>
        <w:rPr>
          <w:color w:val="auto"/>
        </w:rPr>
        <w:t>恶臭废气的对接精准收集；出渣间安装快速启闭门，保持常闭；预处理车间正常生产时段内整体密闭</w:t>
      </w:r>
      <w:r>
        <w:rPr>
          <w:rFonts w:hint="eastAsia"/>
          <w:color w:val="auto"/>
          <w:lang w:eastAsia="zh-CN"/>
        </w:rPr>
        <w:t>，</w:t>
      </w:r>
      <w:r>
        <w:rPr>
          <w:rFonts w:hint="eastAsia"/>
          <w:color w:val="auto"/>
          <w:lang w:val="en-US" w:eastAsia="zh-CN"/>
        </w:rPr>
        <w:t>车间内控制微负压，换气量3次/小时，同时控制车间内环境温度在25℃以下</w:t>
      </w:r>
      <w:r>
        <w:rPr>
          <w:color w:val="auto"/>
        </w:rPr>
        <w:t>。</w:t>
      </w:r>
      <w:r>
        <w:rPr>
          <w:rFonts w:hint="eastAsia"/>
          <w:color w:val="auto"/>
          <w:lang w:val="en-US" w:eastAsia="zh-CN"/>
        </w:rPr>
        <w:t>采取上述措施后，</w:t>
      </w:r>
      <w:r>
        <w:rPr>
          <w:color w:val="auto"/>
        </w:rPr>
        <w:t>预处理生产线的恶臭污染物绝大部分（95%）经负压集气系统收集后送除臭系统净化处理</w:t>
      </w:r>
      <w:r>
        <w:rPr>
          <w:rFonts w:hint="eastAsia"/>
          <w:color w:val="auto"/>
          <w:lang w:val="en-US" w:eastAsia="zh-CN"/>
        </w:rPr>
        <w:t>后通过一根不低于15m排气筒</w:t>
      </w:r>
      <w:r>
        <w:rPr>
          <w:color w:val="auto"/>
        </w:rPr>
        <w:t>，剩余5%通过无组织形式逸散</w:t>
      </w:r>
      <w:r>
        <w:rPr>
          <w:rFonts w:hint="eastAsia"/>
          <w:color w:val="auto"/>
          <w:lang w:eastAsia="zh-CN"/>
        </w:rPr>
        <w:t>。</w:t>
      </w:r>
    </w:p>
    <w:tbl>
      <w:tblPr>
        <w:tblStyle w:val="54"/>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03"/>
        <w:gridCol w:w="4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503" w:type="dxa"/>
            <w:vAlign w:val="center"/>
          </w:tcPr>
          <w:p>
            <w:pPr>
              <w:autoSpaceDE w:val="0"/>
              <w:autoSpaceDN w:val="0"/>
              <w:adjustRightInd w:val="0"/>
              <w:spacing w:line="360" w:lineRule="auto"/>
              <w:jc w:val="center"/>
              <w:rPr>
                <w:b/>
                <w:color w:val="auto"/>
                <w:kern w:val="0"/>
              </w:rPr>
            </w:pPr>
            <w:r>
              <w:rPr>
                <w:color w:val="auto"/>
              </w:rPr>
              <w:drawing>
                <wp:inline distT="0" distB="0" distL="0" distR="0">
                  <wp:extent cx="2713990" cy="194437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122"/>
                          <a:stretch>
                            <a:fillRect/>
                          </a:stretch>
                        </pic:blipFill>
                        <pic:spPr>
                          <a:xfrm>
                            <a:off x="0" y="0"/>
                            <a:ext cx="2714890" cy="1945174"/>
                          </a:xfrm>
                          <a:prstGeom prst="rect">
                            <a:avLst/>
                          </a:prstGeom>
                        </pic:spPr>
                      </pic:pic>
                    </a:graphicData>
                  </a:graphic>
                </wp:inline>
              </w:drawing>
            </w:r>
          </w:p>
        </w:tc>
        <w:tc>
          <w:tcPr>
            <w:tcW w:w="4783" w:type="dxa"/>
            <w:vAlign w:val="center"/>
          </w:tcPr>
          <w:p>
            <w:pPr>
              <w:autoSpaceDE w:val="0"/>
              <w:autoSpaceDN w:val="0"/>
              <w:adjustRightInd w:val="0"/>
              <w:spacing w:line="360" w:lineRule="auto"/>
              <w:jc w:val="center"/>
              <w:rPr>
                <w:b/>
                <w:color w:val="auto"/>
                <w:kern w:val="0"/>
              </w:rPr>
            </w:pPr>
            <w:r>
              <w:rPr>
                <w:color w:val="auto"/>
              </w:rPr>
              <w:drawing>
                <wp:inline distT="0" distB="0" distL="0" distR="0">
                  <wp:extent cx="2408555" cy="2033905"/>
                  <wp:effectExtent l="0" t="0" r="0" b="444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23"/>
                          <a:stretch>
                            <a:fillRect/>
                          </a:stretch>
                        </pic:blipFill>
                        <pic:spPr>
                          <a:xfrm>
                            <a:off x="0" y="0"/>
                            <a:ext cx="2408655" cy="2033839"/>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86" w:type="dxa"/>
            <w:gridSpan w:val="2"/>
          </w:tcPr>
          <w:p>
            <w:pPr>
              <w:autoSpaceDE w:val="0"/>
              <w:autoSpaceDN w:val="0"/>
              <w:adjustRightInd w:val="0"/>
              <w:spacing w:line="360" w:lineRule="auto"/>
              <w:jc w:val="center"/>
              <w:rPr>
                <w:b/>
                <w:color w:val="auto"/>
                <w:kern w:val="0"/>
              </w:rPr>
            </w:pPr>
            <w:r>
              <w:rPr>
                <w:rFonts w:hint="eastAsia"/>
                <w:b/>
                <w:color w:val="auto"/>
                <w:kern w:val="0"/>
              </w:rPr>
              <w:t>预处理车间空间换气收集参考实例</w:t>
            </w:r>
          </w:p>
        </w:tc>
      </w:tr>
    </w:tbl>
    <w:p>
      <w:pPr>
        <w:autoSpaceDE w:val="0"/>
        <w:autoSpaceDN w:val="0"/>
        <w:adjustRightInd w:val="0"/>
        <w:spacing w:line="360" w:lineRule="auto"/>
        <w:jc w:val="center"/>
        <w:rPr>
          <w:b/>
          <w:color w:val="auto"/>
          <w:kern w:val="0"/>
        </w:rPr>
      </w:pPr>
      <w:r>
        <w:rPr>
          <w:rFonts w:hint="eastAsia"/>
          <w:b/>
          <w:color w:val="auto"/>
          <w:kern w:val="0"/>
        </w:rPr>
        <w:t>图 6.1-3  项目废气收集参考实例图</w:t>
      </w:r>
    </w:p>
    <w:p>
      <w:pPr>
        <w:pStyle w:val="366"/>
        <w:spacing w:line="360" w:lineRule="auto"/>
        <w:ind w:firstLine="482"/>
        <w:rPr>
          <w:rFonts w:cs="Times New Roman"/>
          <w:b/>
          <w:color w:val="auto"/>
          <w:lang w:eastAsia="zh-CN"/>
        </w:rPr>
      </w:pPr>
      <w:r>
        <w:rPr>
          <w:rFonts w:hint="eastAsia" w:cs="Times New Roman"/>
          <w:b/>
          <w:color w:val="auto"/>
          <w:lang w:eastAsia="zh-CN"/>
        </w:rPr>
        <w:t>二、废气处理方案比选</w:t>
      </w:r>
    </w:p>
    <w:p>
      <w:pPr>
        <w:spacing w:line="360" w:lineRule="auto"/>
        <w:ind w:firstLine="480" w:firstLineChars="200"/>
        <w:rPr>
          <w:bCs/>
          <w:color w:val="auto"/>
          <w:vertAlign w:val="superscript"/>
        </w:rPr>
      </w:pPr>
      <w:r>
        <w:rPr>
          <w:rFonts w:hint="eastAsia"/>
          <w:bCs/>
          <w:color w:val="auto"/>
        </w:rPr>
        <w:t>城市餐厨废弃物成分复杂，是油、水、果皮、蔬菜、米面，鱼、肉、骨头以及废餐具、塑料、纸巾等多种物质的混合物。餐厨废弃物中的有机物一般以蛋白质、脂肪与多糖类（淀粉、纤维素等）有机物形式存在，这些有机物在好氧、厌氧细菌的作用下发酵、腐烂、分解的过程中，会逐渐产生多种恶臭气体污染物。垃圾放置的初期，在好氧菌作用下发生好氧生化反应，使大分子有机物分解，将有机物中的氮和硫转化成硝酸盐（NO</w:t>
      </w:r>
      <w:r>
        <w:rPr>
          <w:rFonts w:hint="eastAsia"/>
          <w:bCs/>
          <w:color w:val="auto"/>
          <w:vertAlign w:val="superscript"/>
        </w:rPr>
        <w:t>3-</w:t>
      </w:r>
      <w:r>
        <w:rPr>
          <w:rFonts w:hint="eastAsia"/>
          <w:bCs/>
          <w:color w:val="auto"/>
        </w:rPr>
        <w:t>）、硫酸盐（SO</w:t>
      </w:r>
      <w:r>
        <w:rPr>
          <w:rFonts w:hint="eastAsia"/>
          <w:bCs/>
          <w:color w:val="auto"/>
          <w:vertAlign w:val="superscript"/>
        </w:rPr>
        <w:t>2-</w:t>
      </w:r>
      <w:r>
        <w:rPr>
          <w:rFonts w:hint="eastAsia"/>
          <w:bCs/>
          <w:color w:val="auto"/>
        </w:rPr>
        <w:t>），并有 CO</w:t>
      </w:r>
      <w:r>
        <w:rPr>
          <w:rFonts w:hint="eastAsia"/>
          <w:bCs/>
          <w:color w:val="auto"/>
          <w:vertAlign w:val="subscript"/>
        </w:rPr>
        <w:t>2</w:t>
      </w:r>
      <w:r>
        <w:rPr>
          <w:rFonts w:hint="eastAsia"/>
          <w:bCs/>
          <w:color w:val="auto"/>
        </w:rPr>
        <w:t>放出。然后，由于放置过程中垃圾压实，孔隙减小，含氧量降低，在第一阶段生成的 NO</w:t>
      </w:r>
      <w:r>
        <w:rPr>
          <w:rFonts w:hint="eastAsia"/>
          <w:bCs/>
          <w:color w:val="auto"/>
          <w:vertAlign w:val="superscript"/>
        </w:rPr>
        <w:t>-</w:t>
      </w:r>
      <w:r>
        <w:rPr>
          <w:rFonts w:hint="eastAsia"/>
          <w:bCs/>
          <w:color w:val="auto"/>
        </w:rPr>
        <w:t>和 SO</w:t>
      </w:r>
      <w:r>
        <w:rPr>
          <w:rFonts w:hint="eastAsia"/>
          <w:bCs/>
          <w:color w:val="auto"/>
          <w:vertAlign w:val="superscript"/>
        </w:rPr>
        <w:t>2-</w:t>
      </w:r>
      <w:r>
        <w:rPr>
          <w:rFonts w:hint="eastAsia"/>
          <w:bCs/>
          <w:color w:val="auto"/>
        </w:rPr>
        <w:t>在厌氧菌的作用下，发生第二阶段的厌氧生化反应，最终生成 NH</w:t>
      </w:r>
      <w:r>
        <w:rPr>
          <w:rFonts w:hint="eastAsia"/>
          <w:bCs/>
          <w:color w:val="auto"/>
          <w:vertAlign w:val="subscript"/>
        </w:rPr>
        <w:t>3</w:t>
      </w:r>
      <w:r>
        <w:rPr>
          <w:rFonts w:hint="eastAsia"/>
          <w:bCs/>
          <w:color w:val="auto"/>
        </w:rPr>
        <w:t>、CH</w:t>
      </w:r>
      <w:r>
        <w:rPr>
          <w:rFonts w:hint="eastAsia"/>
          <w:bCs/>
          <w:color w:val="auto"/>
          <w:vertAlign w:val="subscript"/>
        </w:rPr>
        <w:t>3</w:t>
      </w:r>
      <w:r>
        <w:rPr>
          <w:rFonts w:hint="eastAsia"/>
          <w:bCs/>
          <w:color w:val="auto"/>
        </w:rPr>
        <w:t>SH、H</w:t>
      </w:r>
      <w:r>
        <w:rPr>
          <w:rFonts w:hint="eastAsia"/>
          <w:bCs/>
          <w:color w:val="auto"/>
          <w:vertAlign w:val="subscript"/>
        </w:rPr>
        <w:t>2</w:t>
      </w:r>
      <w:r>
        <w:rPr>
          <w:rFonts w:hint="eastAsia"/>
          <w:bCs/>
          <w:color w:val="auto"/>
        </w:rPr>
        <w:t>S 和(CH</w:t>
      </w:r>
      <w:r>
        <w:rPr>
          <w:rFonts w:hint="eastAsia"/>
          <w:bCs/>
          <w:color w:val="auto"/>
          <w:vertAlign w:val="subscript"/>
        </w:rPr>
        <w:t>3</w:t>
      </w:r>
      <w:r>
        <w:rPr>
          <w:rFonts w:hint="eastAsia"/>
          <w:bCs/>
          <w:color w:val="auto"/>
        </w:rPr>
        <w:t>)</w:t>
      </w:r>
      <w:r>
        <w:rPr>
          <w:rFonts w:hint="eastAsia"/>
          <w:bCs/>
          <w:color w:val="auto"/>
          <w:vertAlign w:val="subscript"/>
        </w:rPr>
        <w:t>2</w:t>
      </w:r>
      <w:r>
        <w:rPr>
          <w:rFonts w:hint="eastAsia"/>
          <w:bCs/>
          <w:color w:val="auto"/>
        </w:rPr>
        <w:t>S 等恶臭气体，散发到周围环境中，使人们感到臭味。</w:t>
      </w:r>
    </w:p>
    <w:p>
      <w:pPr>
        <w:spacing w:line="360" w:lineRule="auto"/>
        <w:ind w:firstLine="480" w:firstLineChars="200"/>
        <w:rPr>
          <w:bCs/>
          <w:color w:val="auto"/>
        </w:rPr>
      </w:pPr>
      <w:r>
        <w:rPr>
          <w:rFonts w:hint="eastAsia"/>
          <w:bCs/>
          <w:color w:val="auto"/>
        </w:rPr>
        <w:t>因而，需对餐厨废弃物处理过程中产生恶臭污染物较重的臭源，局部区域隔离、负压收集避免臭气外溢，并对收集的臭气作适当除臭处理，以降低厂区及厂区周边环境恶臭污染物浓度。</w:t>
      </w:r>
    </w:p>
    <w:p>
      <w:pPr>
        <w:spacing w:line="360" w:lineRule="auto"/>
        <w:ind w:firstLine="480" w:firstLineChars="200"/>
        <w:rPr>
          <w:bCs/>
          <w:color w:val="auto"/>
        </w:rPr>
      </w:pPr>
      <w:r>
        <w:rPr>
          <w:rFonts w:hint="eastAsia"/>
          <w:bCs/>
          <w:color w:val="auto"/>
        </w:rPr>
        <w:t>本项目产生的废气主要来源于预处理车间，生产过程会产生氨、硫化氢等。根据工程经验，对于臭气的治理工艺目前常见的主要包括燃烧除臭、化学氧化除臭、洗涤除臭、吸附除臭、生物除臭等。</w:t>
      </w:r>
    </w:p>
    <w:p>
      <w:pPr>
        <w:spacing w:line="360" w:lineRule="auto"/>
        <w:ind w:firstLine="480" w:firstLineChars="200"/>
        <w:rPr>
          <w:bCs/>
          <w:color w:val="auto"/>
        </w:rPr>
      </w:pPr>
      <w:r>
        <w:rPr>
          <w:rFonts w:hint="eastAsia"/>
          <w:bCs/>
          <w:color w:val="auto"/>
        </w:rPr>
        <w:t>1、燃烧法除臭</w:t>
      </w:r>
    </w:p>
    <w:p>
      <w:pPr>
        <w:spacing w:line="360" w:lineRule="auto"/>
        <w:ind w:firstLine="480" w:firstLineChars="200"/>
        <w:rPr>
          <w:bCs/>
          <w:color w:val="auto"/>
        </w:rPr>
      </w:pPr>
      <w:r>
        <w:rPr>
          <w:rFonts w:hint="eastAsia"/>
          <w:bCs/>
          <w:color w:val="auto"/>
        </w:rPr>
        <w:t>燃烧除臭有直接燃烧法和催化燃烧法两种。</w:t>
      </w:r>
    </w:p>
    <w:p>
      <w:pPr>
        <w:spacing w:line="360" w:lineRule="auto"/>
        <w:ind w:firstLine="480" w:firstLineChars="200"/>
        <w:rPr>
          <w:bCs/>
          <w:color w:val="auto"/>
        </w:rPr>
      </w:pPr>
      <w:r>
        <w:rPr>
          <w:rFonts w:hint="eastAsia"/>
          <w:bCs/>
          <w:color w:val="auto"/>
        </w:rPr>
        <w:t xml:space="preserve">（1）直接燃烧法一般将燃料气与恶臭气体充分混合，在 600～1000℃下，实现完全燃烧，使最终产物均为 CO2 和水蒸汽，使用本法时要保证完全燃烧，部分氧化可能会增加臭味。 </w:t>
      </w:r>
    </w:p>
    <w:p>
      <w:pPr>
        <w:spacing w:line="360" w:lineRule="auto"/>
        <w:ind w:firstLine="480" w:firstLineChars="200"/>
        <w:rPr>
          <w:bCs/>
          <w:color w:val="auto"/>
        </w:rPr>
      </w:pPr>
      <w:r>
        <w:rPr>
          <w:rFonts w:hint="eastAsia"/>
          <w:bCs/>
          <w:color w:val="auto"/>
        </w:rPr>
        <w:t>直接燃烧法适于处理气量不太大、浓度高、温度高的恶臭气体，其处理效果比较理想的，同时燃烧时产生的大量热还可通过热交换器进行废热的有效利用。但是它的不足就是消耗一定的燃料。</w:t>
      </w:r>
    </w:p>
    <w:p>
      <w:pPr>
        <w:spacing w:line="360" w:lineRule="auto"/>
        <w:ind w:firstLine="480" w:firstLineChars="200"/>
        <w:rPr>
          <w:bCs/>
          <w:color w:val="auto"/>
        </w:rPr>
      </w:pPr>
      <w:r>
        <w:rPr>
          <w:rFonts w:hint="eastAsia"/>
          <w:bCs/>
          <w:color w:val="auto"/>
        </w:rPr>
        <w:t>（2）催化燃烧法</w:t>
      </w:r>
    </w:p>
    <w:p>
      <w:pPr>
        <w:spacing w:line="360" w:lineRule="auto"/>
        <w:ind w:firstLine="480" w:firstLineChars="200"/>
        <w:rPr>
          <w:bCs/>
          <w:color w:val="auto"/>
        </w:rPr>
      </w:pPr>
      <w:r>
        <w:rPr>
          <w:rFonts w:hint="eastAsia"/>
          <w:bCs/>
          <w:color w:val="auto"/>
        </w:rPr>
        <w:t>使用催化剂，恶臭气体与燃烧气的混合气体在 200～400℃发生氧化反应以去除恶臭气体，催化燃烧法的特点是装置容积小，装置材料和热膨胀问题容易解决，操作温度低，节约燃料，不会引起二次污染等。缺点是只能处理低浓度恶臭气体，催化剂易中毒和老化等。</w:t>
      </w:r>
    </w:p>
    <w:p>
      <w:pPr>
        <w:spacing w:line="360" w:lineRule="auto"/>
        <w:ind w:firstLine="480" w:firstLineChars="200"/>
        <w:rPr>
          <w:bCs/>
          <w:color w:val="auto"/>
        </w:rPr>
      </w:pPr>
      <w:r>
        <w:rPr>
          <w:rFonts w:hint="eastAsia"/>
          <w:bCs/>
          <w:color w:val="auto"/>
        </w:rPr>
        <w:t>2、化学氧化法除臭</w:t>
      </w:r>
    </w:p>
    <w:p>
      <w:pPr>
        <w:spacing w:line="360" w:lineRule="auto"/>
        <w:ind w:firstLine="480" w:firstLineChars="200"/>
        <w:rPr>
          <w:bCs/>
          <w:color w:val="auto"/>
        </w:rPr>
      </w:pPr>
      <w:r>
        <w:rPr>
          <w:rFonts w:hint="eastAsia"/>
          <w:bCs/>
          <w:color w:val="auto"/>
        </w:rPr>
        <w:t>直接燃烧法和催化燃烧法均属于空气氧化法，而化学氧化法则是利用氧化剂如臭氧、高锰酸钾、次氯酸盐、氯气等物质氧化恶臭物质，使之变成无臭或少臭的物质。</w:t>
      </w:r>
    </w:p>
    <w:p>
      <w:pPr>
        <w:spacing w:line="360" w:lineRule="auto"/>
        <w:ind w:firstLine="480" w:firstLineChars="200"/>
        <w:rPr>
          <w:bCs/>
          <w:color w:val="auto"/>
        </w:rPr>
      </w:pPr>
      <w:r>
        <w:rPr>
          <w:rFonts w:hint="eastAsia"/>
          <w:bCs/>
          <w:color w:val="auto"/>
        </w:rPr>
        <w:t>恶臭物质氮、三甲胺、硫化氢等采用臭氧处理和水洗处理可除去恶臭气体 85%，但氨只能去除 50%左右，因此仅用臭氧处理还不够，还必须进行水洗处理方能达到良好的效果。</w:t>
      </w:r>
    </w:p>
    <w:p>
      <w:pPr>
        <w:spacing w:line="360" w:lineRule="auto"/>
        <w:ind w:firstLine="480" w:firstLineChars="200"/>
        <w:rPr>
          <w:bCs/>
          <w:color w:val="auto"/>
        </w:rPr>
      </w:pPr>
      <w:r>
        <w:rPr>
          <w:rFonts w:hint="eastAsia"/>
          <w:bCs/>
          <w:color w:val="auto"/>
        </w:rPr>
        <w:t>3、化学洗涤法除臭</w:t>
      </w:r>
    </w:p>
    <w:p>
      <w:pPr>
        <w:spacing w:line="360" w:lineRule="auto"/>
        <w:ind w:firstLine="480" w:firstLineChars="200"/>
        <w:rPr>
          <w:bCs/>
          <w:color w:val="auto"/>
        </w:rPr>
      </w:pPr>
      <w:r>
        <w:rPr>
          <w:rFonts w:hint="eastAsia"/>
          <w:bCs/>
          <w:color w:val="auto"/>
        </w:rPr>
        <w:t>洗涤法的原理是通过气液接触，使气相中的污染物成分转移到液相中，传质效率主要由气液两相之间的亨利常数和两者间的接触时间而定，使用洗涤法去除气体中的含硫污染物（如 H</w:t>
      </w:r>
      <w:r>
        <w:rPr>
          <w:rFonts w:hint="eastAsia"/>
          <w:bCs/>
          <w:color w:val="auto"/>
          <w:vertAlign w:val="subscript"/>
        </w:rPr>
        <w:t>2</w:t>
      </w:r>
      <w:r>
        <w:rPr>
          <w:rFonts w:hint="eastAsia"/>
          <w:bCs/>
          <w:color w:val="auto"/>
        </w:rPr>
        <w:t>S、CH</w:t>
      </w:r>
      <w:r>
        <w:rPr>
          <w:rFonts w:hint="eastAsia"/>
          <w:bCs/>
          <w:color w:val="auto"/>
          <w:vertAlign w:val="subscript"/>
        </w:rPr>
        <w:t>3</w:t>
      </w:r>
      <w:r>
        <w:rPr>
          <w:rFonts w:hint="eastAsia"/>
          <w:bCs/>
          <w:color w:val="auto"/>
        </w:rPr>
        <w:t>SH）时，可在水中加入碱性物质以提高洗涤液的pH值或加入氧化剂以增加污染物在液相中的溶解度，洗涤过程通常在填充塔中进行，以增加气液接触机会，化学洗涤器的主要设计是通过气、水和化学物（视需要）的接触对恶臭气体物质进行氧化或截获。主要的形式由单级反向流填料塔、反向流喷射吸收器、交叉流洗脱器。</w:t>
      </w:r>
    </w:p>
    <w:p>
      <w:pPr>
        <w:spacing w:line="360" w:lineRule="auto"/>
        <w:ind w:left="480"/>
        <w:rPr>
          <w:bCs/>
          <w:color w:val="auto"/>
        </w:rPr>
      </w:pPr>
      <w:r>
        <w:rPr>
          <w:rFonts w:hint="eastAsia"/>
          <w:bCs/>
          <w:color w:val="auto"/>
        </w:rPr>
        <w:t>4、活性炭吸附法除臭</w:t>
      </w:r>
    </w:p>
    <w:p>
      <w:pPr>
        <w:spacing w:line="360" w:lineRule="auto"/>
        <w:ind w:firstLine="480" w:firstLineChars="200"/>
        <w:rPr>
          <w:bCs/>
          <w:color w:val="auto"/>
        </w:rPr>
      </w:pPr>
      <w:r>
        <w:rPr>
          <w:rFonts w:hint="eastAsia"/>
          <w:bCs/>
          <w:color w:val="auto"/>
        </w:rPr>
        <w:t>吸附除臭法就是依据多孔固体吸附剂的化学特性和物理特性，使恶臭物质积聚或凝缩在其表面上而达到分离目的的一种除臭方法。吸附除臭在环境工程领域的应用非常广泛，其技术关键在于吸附剂应具有较大的吸附容量，较快的吸附速率。吸附除臭法可以分为物理吸附和化学吸附。</w:t>
      </w:r>
    </w:p>
    <w:p>
      <w:pPr>
        <w:spacing w:line="360" w:lineRule="auto"/>
        <w:ind w:firstLine="480" w:firstLineChars="200"/>
        <w:rPr>
          <w:bCs/>
          <w:color w:val="auto"/>
        </w:rPr>
      </w:pPr>
      <w:r>
        <w:rPr>
          <w:rFonts w:hint="eastAsia"/>
          <w:bCs/>
          <w:color w:val="auto"/>
        </w:rPr>
        <w:t>目前国内外最广泛应用的吸附剂是活性炭。因为活性炭有很高的比表面积， 对恶臭物质有较大的平衡吸附量， 但当处理气体的相对湿度超过 50%时，气体中的水分将大大降低活性炭对恶臭气体的吸附能力，而且由于有竞争性吸附现象，对混合恶臭气体的吸附效果不能彻底。</w:t>
      </w:r>
    </w:p>
    <w:p>
      <w:pPr>
        <w:spacing w:line="360" w:lineRule="auto"/>
        <w:ind w:firstLine="480" w:firstLineChars="200"/>
        <w:rPr>
          <w:bCs/>
          <w:color w:val="auto"/>
        </w:rPr>
      </w:pPr>
      <w:r>
        <w:rPr>
          <w:rFonts w:hint="eastAsia"/>
          <w:bCs/>
          <w:color w:val="auto"/>
        </w:rPr>
        <w:t>5、生物法除臭</w:t>
      </w:r>
    </w:p>
    <w:p>
      <w:pPr>
        <w:spacing w:line="360" w:lineRule="auto"/>
        <w:ind w:firstLine="480" w:firstLineChars="200"/>
        <w:rPr>
          <w:bCs/>
          <w:color w:val="auto"/>
        </w:rPr>
      </w:pPr>
      <w:r>
        <w:rPr>
          <w:rFonts w:hint="eastAsia"/>
          <w:bCs/>
          <w:color w:val="auto"/>
        </w:rPr>
        <w:t>生物除臭是利用固相和固液相反应器中微生物的生命活动降解气流中所携带的恶臭成分， 将其转化为臭气浓度比较低或无臭的简单无机物质 （如二氧化碳、水和无机盐等）和生物质。生物除臭系统与自然过程较为相似，通常在常温常压下进行，运行时仅需消耗使恶臭物质和微生物相接触的动力费用和少量的调整营养环境的药剂费用，属于资源节约和环境友好型净化技术，总体能耗较低、运行维护费用较少，较少出现二次污染和跨介质污染转移的问题</w:t>
      </w:r>
    </w:p>
    <w:p>
      <w:pPr>
        <w:spacing w:line="360" w:lineRule="auto"/>
        <w:ind w:firstLine="480" w:firstLineChars="200"/>
        <w:rPr>
          <w:bCs/>
          <w:color w:val="auto"/>
        </w:rPr>
      </w:pPr>
      <w:r>
        <w:rPr>
          <w:rFonts w:hint="eastAsia"/>
          <w:bCs/>
          <w:color w:val="auto"/>
        </w:rPr>
        <w:t>6、离子法除臭</w:t>
      </w:r>
    </w:p>
    <w:p>
      <w:pPr>
        <w:spacing w:line="360" w:lineRule="auto"/>
        <w:ind w:firstLine="480" w:firstLineChars="200"/>
        <w:rPr>
          <w:bCs/>
          <w:color w:val="auto"/>
        </w:rPr>
      </w:pPr>
      <w:r>
        <w:rPr>
          <w:rFonts w:hint="eastAsia"/>
          <w:bCs/>
          <w:color w:val="auto"/>
        </w:rPr>
        <w:t>离子除臭技术实际上属于前述化学氧化除臭技术中以臭氧为氧化剂的一种变型技术。由于臭氧是一种必须现场生成的氧化剂，它的浓度取决于恶臭物质的种类和浓度。在恶臭物质浓度很高时，臭氧不能完全氧化这些污染物。另外，过量的残余臭氧本身会产生二次污染。</w:t>
      </w:r>
    </w:p>
    <w:p>
      <w:pPr>
        <w:spacing w:line="360" w:lineRule="auto"/>
        <w:ind w:firstLine="480" w:firstLineChars="200"/>
        <w:rPr>
          <w:bCs/>
          <w:color w:val="auto"/>
        </w:rPr>
      </w:pPr>
      <w:r>
        <w:rPr>
          <w:rFonts w:hint="eastAsia"/>
          <w:bCs/>
          <w:color w:val="auto"/>
        </w:rPr>
        <w:t>其技术原理是利用高压静电的特殊脉冲放电方式，发射管每秒钟发射上千亿个高能离子，形成非平衡态低温等离子体、新生态氢、活性氧和羟基氧等活性基团，这些基团迅速与有机分子碰撞，激活有机分子，并直接将其破坏；或者高能基团激活空气中的氧分子产生二次活性氧，与有机分子发生一系列链式反应，并利用自身反应产生的能量维系氧化反应，而进一步氧化有机物质，生成二氧化碳和水及其他小分子，从而达到除臭的目的。</w:t>
      </w:r>
    </w:p>
    <w:p>
      <w:pPr>
        <w:spacing w:line="360" w:lineRule="auto"/>
        <w:ind w:firstLine="480" w:firstLineChars="200"/>
        <w:rPr>
          <w:bCs/>
          <w:color w:val="auto"/>
        </w:rPr>
      </w:pPr>
      <w:r>
        <w:rPr>
          <w:rFonts w:hint="eastAsia"/>
          <w:bCs/>
          <w:color w:val="auto"/>
        </w:rPr>
        <w:t>与其它除臭技术相比，该装置具有体积小、操作方便、处理效果好、运行费用低及兼具有广谱杀菌等特点。该装置已形成室内、公共卫生场所、污（雨）水泵站、大楼地下室、家禽饲养场等场所的恶臭处理系列化产品。</w:t>
      </w:r>
    </w:p>
    <w:p>
      <w:pPr>
        <w:spacing w:line="360" w:lineRule="auto"/>
        <w:ind w:firstLine="480" w:firstLineChars="200"/>
        <w:rPr>
          <w:bCs/>
          <w:color w:val="auto"/>
        </w:rPr>
      </w:pPr>
      <w:r>
        <w:rPr>
          <w:rFonts w:hint="eastAsia"/>
          <w:bCs/>
          <w:color w:val="auto"/>
        </w:rPr>
        <w:t>7、光催化氧化法除臭</w:t>
      </w:r>
    </w:p>
    <w:p>
      <w:pPr>
        <w:spacing w:line="360" w:lineRule="auto"/>
        <w:ind w:firstLine="480" w:firstLineChars="200"/>
        <w:rPr>
          <w:bCs/>
          <w:color w:val="auto"/>
        </w:rPr>
      </w:pPr>
      <w:r>
        <w:rPr>
          <w:rFonts w:hint="eastAsia"/>
          <w:bCs/>
          <w:color w:val="auto"/>
        </w:rPr>
        <w:t>光催化氧化采用高能紫外线破坏、分解大分子链为小分子链，再利用臭氧和羟基自由基氧化、催化剂进行催化氧化，使有机物变为水和二氧化碳，以达到去除有机物的目的。</w:t>
      </w:r>
    </w:p>
    <w:p>
      <w:pPr>
        <w:spacing w:line="360" w:lineRule="auto"/>
        <w:ind w:firstLine="480" w:firstLineChars="200"/>
        <w:rPr>
          <w:bCs/>
          <w:color w:val="auto"/>
        </w:rPr>
      </w:pPr>
      <w:r>
        <w:rPr>
          <w:rFonts w:hint="eastAsia"/>
          <w:bCs/>
          <w:color w:val="auto"/>
        </w:rPr>
        <w:t>破坏裂解采用微波超强电磁辐射和穿透力、微波催化燃烧功能对废气进行微波辐射和破坏，使所有有机物废气的分子链完全打断，裂解、改变物质结构，将高分子污染物质，裂解、分解成为低分子无害物质，如水和二氧化碳等。</w:t>
      </w:r>
    </w:p>
    <w:p>
      <w:pPr>
        <w:spacing w:line="360" w:lineRule="auto"/>
        <w:ind w:firstLine="480" w:firstLineChars="200"/>
        <w:rPr>
          <w:bCs/>
          <w:color w:val="auto"/>
        </w:rPr>
      </w:pPr>
      <w:r>
        <w:rPr>
          <w:rFonts w:hint="eastAsia"/>
          <w:bCs/>
          <w:color w:val="auto"/>
        </w:rPr>
        <w:t>8、天然植物提取液除臭</w:t>
      </w:r>
    </w:p>
    <w:p>
      <w:pPr>
        <w:spacing w:line="360" w:lineRule="auto"/>
        <w:ind w:firstLine="480" w:firstLineChars="200"/>
        <w:rPr>
          <w:bCs/>
          <w:color w:val="auto"/>
        </w:rPr>
      </w:pPr>
      <w:r>
        <w:rPr>
          <w:rFonts w:hint="eastAsia"/>
          <w:bCs/>
          <w:color w:val="auto"/>
        </w:rPr>
        <w:t>天然植物提取液的原材料是天然植物提取液，经过先进的微乳化技术乳化，使得它可以与水相溶，形成透明的水溶液。天然植物提取液具有无毒性、无爆炸性、无燃烧性、无刺激性等特点。</w:t>
      </w:r>
    </w:p>
    <w:p>
      <w:pPr>
        <w:spacing w:line="360" w:lineRule="auto"/>
        <w:ind w:firstLine="480" w:firstLineChars="200"/>
        <w:rPr>
          <w:bCs/>
          <w:color w:val="auto"/>
        </w:rPr>
      </w:pPr>
      <w:r>
        <w:rPr>
          <w:rFonts w:hint="eastAsia"/>
          <w:bCs/>
          <w:color w:val="auto"/>
        </w:rPr>
        <w:t>天然植物提取液分解臭气分子的机理可以表述如下：</w:t>
      </w:r>
    </w:p>
    <w:p>
      <w:pPr>
        <w:spacing w:line="360" w:lineRule="auto"/>
        <w:ind w:firstLine="480" w:firstLineChars="200"/>
        <w:rPr>
          <w:bCs/>
          <w:color w:val="auto"/>
        </w:rPr>
      </w:pPr>
      <w:r>
        <w:rPr>
          <w:rFonts w:hint="eastAsia"/>
          <w:bCs/>
          <w:color w:val="auto"/>
        </w:rPr>
        <w:t>（1）经过天然植物提取液除臭设备雾化，天然植物提取液形成雾状，</w:t>
      </w:r>
    </w:p>
    <w:p>
      <w:pPr>
        <w:spacing w:line="360" w:lineRule="auto"/>
        <w:ind w:firstLine="480" w:firstLineChars="200"/>
        <w:rPr>
          <w:bCs/>
          <w:color w:val="auto"/>
        </w:rPr>
      </w:pPr>
      <w:r>
        <w:rPr>
          <w:rFonts w:hint="eastAsia"/>
          <w:bCs/>
          <w:color w:val="auto"/>
        </w:rPr>
        <w:t>在空间扩散液滴的半径≤0.04mm。液滴具有很大的比表面积，具有很大的表面能。平均每摩尔约为几十千卡。这个数量级的能量已是许多元素中键能的 1/3-1/2。溶液的表面不仅能有效地吸咐在空气中的异味分子，同时也能使被吸附的异味分子的立体构型发生改变，削弱了异味分子中的化合键，使得异味分子的不稳定性增加，容易与其他分子进行化学反应。</w:t>
      </w:r>
    </w:p>
    <w:p>
      <w:pPr>
        <w:numPr>
          <w:ilvl w:val="0"/>
          <w:numId w:val="11"/>
        </w:numPr>
        <w:spacing w:line="360" w:lineRule="auto"/>
        <w:ind w:firstLine="480" w:firstLineChars="200"/>
        <w:rPr>
          <w:rFonts w:hint="eastAsia"/>
          <w:bCs/>
          <w:color w:val="auto"/>
        </w:rPr>
      </w:pPr>
      <w:r>
        <w:rPr>
          <w:rFonts w:hint="eastAsia"/>
          <w:bCs/>
          <w:color w:val="auto"/>
        </w:rPr>
        <w:t>在天然植物提取液中所含的有效分子是来自于植物的提取液，它们大多含有多个共轭双键体系，具有较强的提供电子对的能力，这样又增加了异味分子的反应活性。空气中异味分子被分散在空间的天然植物提取液液滴吸附，在常温常压下发生催化氧化反应生成无味无毒的分子，如氮气、水、无机盐等。需要特别指出的是，天然植物提取液除臭技术属于掩蔽法除臭技术的一种，不宜作为单独的除臭技术使用。</w:t>
      </w:r>
    </w:p>
    <w:p>
      <w:pPr>
        <w:spacing w:line="360" w:lineRule="auto"/>
        <w:ind w:firstLine="480" w:firstLineChars="200"/>
        <w:rPr>
          <w:bCs/>
          <w:color w:val="auto"/>
        </w:rPr>
      </w:pPr>
      <w:r>
        <w:rPr>
          <w:rFonts w:hint="eastAsia"/>
          <w:bCs/>
          <w:color w:val="auto"/>
        </w:rPr>
        <w:t>9、联合净化法除臭</w:t>
      </w:r>
    </w:p>
    <w:p>
      <w:pPr>
        <w:spacing w:line="360" w:lineRule="auto"/>
        <w:ind w:firstLine="480" w:firstLineChars="200"/>
        <w:rPr>
          <w:bCs/>
          <w:color w:val="auto"/>
        </w:rPr>
        <w:sectPr>
          <w:pgSz w:w="11906" w:h="16838"/>
          <w:pgMar w:top="1361" w:right="1418" w:bottom="1134" w:left="1418" w:header="851" w:footer="992" w:gutter="0"/>
          <w:pgNumType w:fmt="decimal"/>
          <w:cols w:space="720" w:num="1"/>
          <w:docGrid w:linePitch="312" w:charSpace="0"/>
        </w:sectPr>
      </w:pPr>
      <w:r>
        <w:rPr>
          <w:rFonts w:hint="eastAsia"/>
          <w:bCs/>
          <w:color w:val="auto"/>
        </w:rPr>
        <w:t>所谓联合净化法，是指同时将以上二种或数种不同除臭工艺相结合，以满足较高除臭要求的除臭工艺，恶臭废气的主要处理工艺比较情况见表6.2-1。</w:t>
      </w:r>
    </w:p>
    <w:p>
      <w:pPr>
        <w:spacing w:line="360" w:lineRule="auto"/>
        <w:ind w:firstLine="482" w:firstLineChars="200"/>
        <w:jc w:val="center"/>
        <w:rPr>
          <w:b/>
          <w:bCs/>
          <w:color w:val="auto"/>
        </w:rPr>
      </w:pPr>
      <w:r>
        <w:rPr>
          <w:rFonts w:hint="eastAsia"/>
          <w:b/>
          <w:bCs/>
          <w:color w:val="auto"/>
        </w:rPr>
        <w:t>表 6.2-1   臭气的主要废气处理工艺比较</w:t>
      </w:r>
    </w:p>
    <w:tbl>
      <w:tblPr>
        <w:tblStyle w:val="54"/>
        <w:tblW w:w="1455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17"/>
        <w:gridCol w:w="1617"/>
        <w:gridCol w:w="1617"/>
        <w:gridCol w:w="1618"/>
        <w:gridCol w:w="1618"/>
        <w:gridCol w:w="1618"/>
        <w:gridCol w:w="1618"/>
        <w:gridCol w:w="1618"/>
        <w:gridCol w:w="16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617" w:type="dxa"/>
            <w:vAlign w:val="center"/>
          </w:tcPr>
          <w:p>
            <w:pPr>
              <w:spacing w:line="360" w:lineRule="auto"/>
              <w:jc w:val="center"/>
              <w:rPr>
                <w:b/>
                <w:bCs/>
                <w:color w:val="auto"/>
                <w:sz w:val="21"/>
                <w:szCs w:val="21"/>
              </w:rPr>
            </w:pPr>
            <w:r>
              <w:rPr>
                <w:rFonts w:hint="eastAsia"/>
                <w:b/>
                <w:bCs/>
                <w:color w:val="auto"/>
                <w:sz w:val="21"/>
                <w:szCs w:val="21"/>
              </w:rPr>
              <w:t>净化方法</w:t>
            </w:r>
          </w:p>
        </w:tc>
        <w:tc>
          <w:tcPr>
            <w:tcW w:w="1617" w:type="dxa"/>
            <w:vAlign w:val="center"/>
          </w:tcPr>
          <w:p>
            <w:pPr>
              <w:spacing w:line="360" w:lineRule="auto"/>
              <w:jc w:val="center"/>
              <w:rPr>
                <w:b/>
                <w:bCs/>
                <w:color w:val="auto"/>
                <w:sz w:val="21"/>
                <w:szCs w:val="21"/>
              </w:rPr>
            </w:pPr>
            <w:r>
              <w:rPr>
                <w:rFonts w:hint="eastAsia"/>
                <w:b/>
                <w:bCs/>
                <w:color w:val="auto"/>
                <w:sz w:val="21"/>
                <w:szCs w:val="21"/>
              </w:rPr>
              <w:t>生物法</w:t>
            </w:r>
          </w:p>
        </w:tc>
        <w:tc>
          <w:tcPr>
            <w:tcW w:w="1617" w:type="dxa"/>
            <w:vAlign w:val="center"/>
          </w:tcPr>
          <w:p>
            <w:pPr>
              <w:spacing w:line="360" w:lineRule="auto"/>
              <w:jc w:val="center"/>
              <w:rPr>
                <w:b/>
                <w:bCs/>
                <w:color w:val="auto"/>
                <w:sz w:val="21"/>
                <w:szCs w:val="21"/>
              </w:rPr>
            </w:pPr>
            <w:r>
              <w:rPr>
                <w:rFonts w:hint="eastAsia"/>
                <w:b/>
                <w:bCs/>
                <w:color w:val="auto"/>
                <w:sz w:val="21"/>
                <w:szCs w:val="21"/>
              </w:rPr>
              <w:t>离子法</w:t>
            </w:r>
          </w:p>
        </w:tc>
        <w:tc>
          <w:tcPr>
            <w:tcW w:w="1618" w:type="dxa"/>
            <w:vAlign w:val="center"/>
          </w:tcPr>
          <w:p>
            <w:pPr>
              <w:spacing w:line="360" w:lineRule="auto"/>
              <w:jc w:val="center"/>
              <w:rPr>
                <w:b/>
                <w:bCs/>
                <w:color w:val="auto"/>
                <w:sz w:val="21"/>
                <w:szCs w:val="21"/>
              </w:rPr>
            </w:pPr>
            <w:r>
              <w:rPr>
                <w:rFonts w:hint="eastAsia"/>
                <w:b/>
                <w:bCs/>
                <w:color w:val="auto"/>
                <w:sz w:val="21"/>
                <w:szCs w:val="21"/>
              </w:rPr>
              <w:t>活性炭吸附法</w:t>
            </w:r>
          </w:p>
        </w:tc>
        <w:tc>
          <w:tcPr>
            <w:tcW w:w="1618" w:type="dxa"/>
            <w:vAlign w:val="center"/>
          </w:tcPr>
          <w:p>
            <w:pPr>
              <w:spacing w:line="360" w:lineRule="auto"/>
              <w:jc w:val="center"/>
              <w:rPr>
                <w:b/>
                <w:bCs/>
                <w:color w:val="auto"/>
                <w:sz w:val="21"/>
                <w:szCs w:val="21"/>
              </w:rPr>
            </w:pPr>
            <w:r>
              <w:rPr>
                <w:rFonts w:hint="eastAsia"/>
                <w:b/>
                <w:bCs/>
                <w:color w:val="auto"/>
                <w:sz w:val="21"/>
                <w:szCs w:val="21"/>
              </w:rPr>
              <w:t>化学氧化法</w:t>
            </w:r>
          </w:p>
        </w:tc>
        <w:tc>
          <w:tcPr>
            <w:tcW w:w="1618" w:type="dxa"/>
            <w:vAlign w:val="center"/>
          </w:tcPr>
          <w:p>
            <w:pPr>
              <w:spacing w:line="360" w:lineRule="auto"/>
              <w:jc w:val="center"/>
              <w:rPr>
                <w:b/>
                <w:bCs/>
                <w:color w:val="auto"/>
                <w:sz w:val="21"/>
                <w:szCs w:val="21"/>
              </w:rPr>
            </w:pPr>
            <w:r>
              <w:rPr>
                <w:rFonts w:hint="eastAsia"/>
                <w:b/>
                <w:bCs/>
                <w:color w:val="auto"/>
                <w:sz w:val="21"/>
                <w:szCs w:val="21"/>
              </w:rPr>
              <w:t>燃烧法</w:t>
            </w:r>
          </w:p>
        </w:tc>
        <w:tc>
          <w:tcPr>
            <w:tcW w:w="1618" w:type="dxa"/>
            <w:vAlign w:val="center"/>
          </w:tcPr>
          <w:p>
            <w:pPr>
              <w:spacing w:line="360" w:lineRule="auto"/>
              <w:jc w:val="center"/>
              <w:rPr>
                <w:b/>
                <w:bCs/>
                <w:color w:val="auto"/>
                <w:sz w:val="21"/>
                <w:szCs w:val="21"/>
              </w:rPr>
            </w:pPr>
            <w:r>
              <w:rPr>
                <w:rFonts w:hint="eastAsia"/>
                <w:b/>
                <w:bCs/>
                <w:color w:val="auto"/>
                <w:sz w:val="21"/>
                <w:szCs w:val="21"/>
              </w:rPr>
              <w:t>植物提取液喷淋法</w:t>
            </w:r>
          </w:p>
        </w:tc>
        <w:tc>
          <w:tcPr>
            <w:tcW w:w="1618" w:type="dxa"/>
            <w:vAlign w:val="center"/>
          </w:tcPr>
          <w:p>
            <w:pPr>
              <w:spacing w:line="360" w:lineRule="auto"/>
              <w:jc w:val="center"/>
              <w:rPr>
                <w:b/>
                <w:bCs/>
                <w:color w:val="auto"/>
                <w:sz w:val="21"/>
                <w:szCs w:val="21"/>
              </w:rPr>
            </w:pPr>
            <w:r>
              <w:rPr>
                <w:rFonts w:hint="eastAsia"/>
                <w:b/>
                <w:bCs/>
                <w:color w:val="auto"/>
                <w:sz w:val="21"/>
                <w:szCs w:val="21"/>
              </w:rPr>
              <w:t>联合净化法</w:t>
            </w:r>
          </w:p>
        </w:tc>
        <w:tc>
          <w:tcPr>
            <w:tcW w:w="1618" w:type="dxa"/>
            <w:vAlign w:val="center"/>
          </w:tcPr>
          <w:p>
            <w:pPr>
              <w:spacing w:line="360" w:lineRule="auto"/>
              <w:jc w:val="center"/>
              <w:rPr>
                <w:b/>
                <w:bCs/>
                <w:color w:val="auto"/>
                <w:sz w:val="21"/>
                <w:szCs w:val="21"/>
              </w:rPr>
            </w:pPr>
            <w:r>
              <w:rPr>
                <w:rFonts w:hint="eastAsia"/>
                <w:b/>
                <w:bCs/>
                <w:color w:val="auto"/>
                <w:sz w:val="21"/>
                <w:szCs w:val="21"/>
              </w:rPr>
              <w:t>化学洗涤法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617" w:type="dxa"/>
            <w:vAlign w:val="center"/>
          </w:tcPr>
          <w:p>
            <w:pPr>
              <w:spacing w:line="360" w:lineRule="auto"/>
              <w:jc w:val="center"/>
              <w:rPr>
                <w:bCs/>
                <w:color w:val="auto"/>
                <w:sz w:val="21"/>
                <w:szCs w:val="21"/>
              </w:rPr>
            </w:pPr>
            <w:r>
              <w:rPr>
                <w:rFonts w:hint="eastAsia"/>
                <w:bCs/>
                <w:color w:val="auto"/>
                <w:sz w:val="21"/>
                <w:szCs w:val="21"/>
              </w:rPr>
              <w:t>适用</w:t>
            </w:r>
          </w:p>
          <w:p>
            <w:pPr>
              <w:spacing w:line="360" w:lineRule="auto"/>
              <w:jc w:val="center"/>
              <w:rPr>
                <w:bCs/>
                <w:color w:val="auto"/>
                <w:sz w:val="21"/>
                <w:szCs w:val="21"/>
              </w:rPr>
            </w:pPr>
            <w:r>
              <w:rPr>
                <w:rFonts w:hint="eastAsia"/>
                <w:bCs/>
                <w:color w:val="auto"/>
                <w:sz w:val="21"/>
                <w:szCs w:val="21"/>
              </w:rPr>
              <w:t>范围</w:t>
            </w:r>
          </w:p>
        </w:tc>
        <w:tc>
          <w:tcPr>
            <w:tcW w:w="1617" w:type="dxa"/>
            <w:vAlign w:val="center"/>
          </w:tcPr>
          <w:p>
            <w:pPr>
              <w:spacing w:line="360" w:lineRule="auto"/>
              <w:jc w:val="center"/>
              <w:rPr>
                <w:bCs/>
                <w:color w:val="auto"/>
                <w:sz w:val="21"/>
                <w:szCs w:val="21"/>
              </w:rPr>
            </w:pPr>
            <w:r>
              <w:rPr>
                <w:rFonts w:hint="eastAsia"/>
                <w:bCs/>
                <w:color w:val="auto"/>
                <w:sz w:val="21"/>
                <w:szCs w:val="21"/>
              </w:rPr>
              <w:t>各种气体</w:t>
            </w:r>
          </w:p>
        </w:tc>
        <w:tc>
          <w:tcPr>
            <w:tcW w:w="1617" w:type="dxa"/>
            <w:vAlign w:val="center"/>
          </w:tcPr>
          <w:p>
            <w:pPr>
              <w:spacing w:line="360" w:lineRule="auto"/>
              <w:jc w:val="center"/>
              <w:rPr>
                <w:bCs/>
                <w:color w:val="auto"/>
                <w:sz w:val="21"/>
                <w:szCs w:val="21"/>
              </w:rPr>
            </w:pPr>
            <w:r>
              <w:rPr>
                <w:rFonts w:hint="eastAsia"/>
                <w:bCs/>
                <w:color w:val="auto"/>
                <w:sz w:val="21"/>
                <w:szCs w:val="21"/>
              </w:rPr>
              <w:t>中、低浓度各种气体</w:t>
            </w:r>
          </w:p>
        </w:tc>
        <w:tc>
          <w:tcPr>
            <w:tcW w:w="1618" w:type="dxa"/>
            <w:vAlign w:val="center"/>
          </w:tcPr>
          <w:p>
            <w:pPr>
              <w:spacing w:line="360" w:lineRule="auto"/>
              <w:jc w:val="center"/>
              <w:rPr>
                <w:bCs/>
                <w:color w:val="auto"/>
                <w:sz w:val="21"/>
                <w:szCs w:val="21"/>
              </w:rPr>
            </w:pPr>
            <w:r>
              <w:rPr>
                <w:rFonts w:hint="eastAsia"/>
                <w:bCs/>
                <w:color w:val="auto"/>
                <w:sz w:val="21"/>
                <w:szCs w:val="21"/>
              </w:rPr>
              <w:t>低浓度臭气</w:t>
            </w:r>
          </w:p>
          <w:p>
            <w:pPr>
              <w:spacing w:line="360" w:lineRule="auto"/>
              <w:jc w:val="center"/>
              <w:rPr>
                <w:bCs/>
                <w:color w:val="auto"/>
                <w:sz w:val="21"/>
                <w:szCs w:val="21"/>
              </w:rPr>
            </w:pPr>
            <w:r>
              <w:rPr>
                <w:rFonts w:hint="eastAsia"/>
                <w:bCs/>
                <w:color w:val="auto"/>
                <w:sz w:val="21"/>
                <w:szCs w:val="21"/>
              </w:rPr>
              <w:t>或用于其他</w:t>
            </w:r>
          </w:p>
          <w:p>
            <w:pPr>
              <w:spacing w:line="360" w:lineRule="auto"/>
              <w:jc w:val="center"/>
              <w:rPr>
                <w:bCs/>
                <w:color w:val="auto"/>
                <w:sz w:val="21"/>
                <w:szCs w:val="21"/>
              </w:rPr>
            </w:pPr>
            <w:r>
              <w:rPr>
                <w:rFonts w:hint="eastAsia"/>
                <w:bCs/>
                <w:color w:val="auto"/>
                <w:sz w:val="21"/>
                <w:szCs w:val="21"/>
              </w:rPr>
              <w:t>除臭工艺的后</w:t>
            </w:r>
          </w:p>
          <w:p>
            <w:pPr>
              <w:spacing w:line="360" w:lineRule="auto"/>
              <w:jc w:val="center"/>
              <w:rPr>
                <w:bCs/>
                <w:color w:val="auto"/>
                <w:sz w:val="21"/>
                <w:szCs w:val="21"/>
              </w:rPr>
            </w:pPr>
            <w:r>
              <w:rPr>
                <w:rFonts w:hint="eastAsia"/>
                <w:bCs/>
                <w:color w:val="auto"/>
                <w:sz w:val="21"/>
                <w:szCs w:val="21"/>
              </w:rPr>
              <w:t>序处理</w:t>
            </w:r>
          </w:p>
        </w:tc>
        <w:tc>
          <w:tcPr>
            <w:tcW w:w="1618" w:type="dxa"/>
            <w:vAlign w:val="center"/>
          </w:tcPr>
          <w:p>
            <w:pPr>
              <w:spacing w:line="360" w:lineRule="auto"/>
              <w:jc w:val="center"/>
              <w:rPr>
                <w:bCs/>
                <w:color w:val="auto"/>
                <w:sz w:val="21"/>
                <w:szCs w:val="21"/>
              </w:rPr>
            </w:pPr>
            <w:r>
              <w:rPr>
                <w:rFonts w:hint="eastAsia"/>
                <w:bCs/>
                <w:color w:val="auto"/>
                <w:sz w:val="21"/>
                <w:szCs w:val="21"/>
              </w:rPr>
              <w:t>低浓度、大风</w:t>
            </w:r>
          </w:p>
          <w:p>
            <w:pPr>
              <w:spacing w:line="360" w:lineRule="auto"/>
              <w:jc w:val="center"/>
              <w:rPr>
                <w:bCs/>
                <w:color w:val="auto"/>
                <w:sz w:val="21"/>
                <w:szCs w:val="21"/>
              </w:rPr>
            </w:pPr>
            <w:r>
              <w:rPr>
                <w:rFonts w:hint="eastAsia"/>
                <w:bCs/>
                <w:color w:val="auto"/>
                <w:sz w:val="21"/>
                <w:szCs w:val="21"/>
              </w:rPr>
              <w:t>量臭气</w:t>
            </w:r>
          </w:p>
        </w:tc>
        <w:tc>
          <w:tcPr>
            <w:tcW w:w="1618" w:type="dxa"/>
            <w:vAlign w:val="center"/>
          </w:tcPr>
          <w:p>
            <w:pPr>
              <w:spacing w:line="360" w:lineRule="auto"/>
              <w:jc w:val="center"/>
              <w:rPr>
                <w:bCs/>
                <w:color w:val="auto"/>
                <w:sz w:val="21"/>
                <w:szCs w:val="21"/>
              </w:rPr>
            </w:pPr>
            <w:r>
              <w:rPr>
                <w:rFonts w:hint="eastAsia"/>
                <w:bCs/>
                <w:color w:val="auto"/>
                <w:sz w:val="21"/>
                <w:szCs w:val="21"/>
              </w:rPr>
              <w:t>爆炸浓度极限</w:t>
            </w:r>
          </w:p>
          <w:p>
            <w:pPr>
              <w:spacing w:line="360" w:lineRule="auto"/>
              <w:jc w:val="center"/>
              <w:rPr>
                <w:bCs/>
                <w:color w:val="auto"/>
                <w:sz w:val="21"/>
                <w:szCs w:val="21"/>
              </w:rPr>
            </w:pPr>
            <w:r>
              <w:rPr>
                <w:rFonts w:hint="eastAsia"/>
                <w:bCs/>
                <w:color w:val="auto"/>
                <w:sz w:val="21"/>
                <w:szCs w:val="21"/>
              </w:rPr>
              <w:t>以下的气体</w:t>
            </w:r>
          </w:p>
        </w:tc>
        <w:tc>
          <w:tcPr>
            <w:tcW w:w="1618" w:type="dxa"/>
            <w:vAlign w:val="center"/>
          </w:tcPr>
          <w:p>
            <w:pPr>
              <w:spacing w:line="360" w:lineRule="auto"/>
              <w:jc w:val="center"/>
              <w:rPr>
                <w:bCs/>
                <w:color w:val="auto"/>
                <w:sz w:val="21"/>
                <w:szCs w:val="21"/>
              </w:rPr>
            </w:pPr>
            <w:r>
              <w:rPr>
                <w:rFonts w:hint="eastAsia"/>
                <w:bCs/>
                <w:color w:val="auto"/>
                <w:sz w:val="21"/>
                <w:szCs w:val="21"/>
              </w:rPr>
              <w:t>中、低浓度各</w:t>
            </w:r>
          </w:p>
          <w:p>
            <w:pPr>
              <w:spacing w:line="360" w:lineRule="auto"/>
              <w:jc w:val="center"/>
              <w:rPr>
                <w:bCs/>
                <w:color w:val="auto"/>
                <w:sz w:val="21"/>
                <w:szCs w:val="21"/>
              </w:rPr>
            </w:pPr>
            <w:r>
              <w:rPr>
                <w:rFonts w:hint="eastAsia"/>
                <w:bCs/>
                <w:color w:val="auto"/>
                <w:sz w:val="21"/>
                <w:szCs w:val="21"/>
              </w:rPr>
              <w:t>种气体</w:t>
            </w:r>
          </w:p>
        </w:tc>
        <w:tc>
          <w:tcPr>
            <w:tcW w:w="1618" w:type="dxa"/>
            <w:vAlign w:val="center"/>
          </w:tcPr>
          <w:p>
            <w:pPr>
              <w:spacing w:line="360" w:lineRule="auto"/>
              <w:jc w:val="center"/>
              <w:rPr>
                <w:bCs/>
                <w:color w:val="auto"/>
                <w:sz w:val="21"/>
                <w:szCs w:val="21"/>
              </w:rPr>
            </w:pPr>
            <w:r>
              <w:rPr>
                <w:rFonts w:hint="eastAsia"/>
                <w:bCs/>
                <w:color w:val="auto"/>
                <w:sz w:val="21"/>
                <w:szCs w:val="21"/>
              </w:rPr>
              <w:t>中、高浓度臭</w:t>
            </w:r>
          </w:p>
          <w:p>
            <w:pPr>
              <w:spacing w:line="360" w:lineRule="auto"/>
              <w:jc w:val="center"/>
              <w:rPr>
                <w:bCs/>
                <w:color w:val="auto"/>
                <w:sz w:val="21"/>
                <w:szCs w:val="21"/>
              </w:rPr>
            </w:pPr>
            <w:r>
              <w:rPr>
                <w:rFonts w:hint="eastAsia"/>
                <w:bCs/>
                <w:color w:val="auto"/>
                <w:sz w:val="21"/>
                <w:szCs w:val="21"/>
              </w:rPr>
              <w:t>气及气量波动</w:t>
            </w:r>
          </w:p>
          <w:p>
            <w:pPr>
              <w:spacing w:line="360" w:lineRule="auto"/>
              <w:jc w:val="center"/>
              <w:rPr>
                <w:bCs/>
                <w:color w:val="auto"/>
                <w:sz w:val="21"/>
                <w:szCs w:val="21"/>
              </w:rPr>
            </w:pPr>
            <w:r>
              <w:rPr>
                <w:rFonts w:hint="eastAsia"/>
                <w:bCs/>
                <w:color w:val="auto"/>
                <w:sz w:val="21"/>
                <w:szCs w:val="21"/>
              </w:rPr>
              <w:t>较大的气体</w:t>
            </w:r>
          </w:p>
        </w:tc>
        <w:tc>
          <w:tcPr>
            <w:tcW w:w="1618" w:type="dxa"/>
            <w:vAlign w:val="center"/>
          </w:tcPr>
          <w:p>
            <w:pPr>
              <w:spacing w:line="360" w:lineRule="auto"/>
              <w:jc w:val="center"/>
              <w:rPr>
                <w:bCs/>
                <w:color w:val="auto"/>
                <w:sz w:val="21"/>
                <w:szCs w:val="21"/>
              </w:rPr>
            </w:pPr>
            <w:r>
              <w:rPr>
                <w:rFonts w:hint="eastAsia"/>
                <w:bCs/>
                <w:color w:val="auto"/>
                <w:sz w:val="21"/>
                <w:szCs w:val="21"/>
              </w:rPr>
              <w:t>风量高、中高浓</w:t>
            </w:r>
          </w:p>
          <w:p>
            <w:pPr>
              <w:spacing w:line="360" w:lineRule="auto"/>
              <w:jc w:val="center"/>
              <w:rPr>
                <w:bCs/>
                <w:color w:val="auto"/>
                <w:sz w:val="21"/>
                <w:szCs w:val="21"/>
              </w:rPr>
            </w:pPr>
            <w:r>
              <w:rPr>
                <w:rFonts w:hint="eastAsia"/>
                <w:bCs/>
                <w:color w:val="auto"/>
                <w:sz w:val="21"/>
                <w:szCs w:val="21"/>
              </w:rPr>
              <w:t>度的臭气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617" w:type="dxa"/>
            <w:vAlign w:val="center"/>
          </w:tcPr>
          <w:p>
            <w:pPr>
              <w:spacing w:line="360" w:lineRule="auto"/>
              <w:jc w:val="center"/>
              <w:rPr>
                <w:bCs/>
                <w:color w:val="auto"/>
                <w:sz w:val="21"/>
                <w:szCs w:val="21"/>
              </w:rPr>
            </w:pPr>
            <w:r>
              <w:rPr>
                <w:rFonts w:hint="eastAsia"/>
                <w:bCs/>
                <w:color w:val="auto"/>
                <w:sz w:val="21"/>
                <w:szCs w:val="21"/>
              </w:rPr>
              <w:t>运行</w:t>
            </w:r>
          </w:p>
          <w:p>
            <w:pPr>
              <w:spacing w:line="360" w:lineRule="auto"/>
              <w:jc w:val="center"/>
              <w:rPr>
                <w:bCs/>
                <w:color w:val="auto"/>
                <w:sz w:val="21"/>
                <w:szCs w:val="21"/>
              </w:rPr>
            </w:pPr>
            <w:r>
              <w:rPr>
                <w:rFonts w:hint="eastAsia"/>
                <w:bCs/>
                <w:color w:val="auto"/>
                <w:sz w:val="21"/>
                <w:szCs w:val="21"/>
              </w:rPr>
              <w:t>管理</w:t>
            </w:r>
          </w:p>
          <w:p>
            <w:pPr>
              <w:spacing w:line="360" w:lineRule="auto"/>
              <w:jc w:val="center"/>
              <w:rPr>
                <w:bCs/>
                <w:color w:val="auto"/>
                <w:sz w:val="21"/>
                <w:szCs w:val="21"/>
              </w:rPr>
            </w:pPr>
            <w:r>
              <w:rPr>
                <w:rFonts w:hint="eastAsia"/>
                <w:bCs/>
                <w:color w:val="auto"/>
                <w:sz w:val="21"/>
                <w:szCs w:val="21"/>
              </w:rPr>
              <w:t>要点</w:t>
            </w:r>
          </w:p>
        </w:tc>
        <w:tc>
          <w:tcPr>
            <w:tcW w:w="1617" w:type="dxa"/>
            <w:vAlign w:val="center"/>
          </w:tcPr>
          <w:p>
            <w:pPr>
              <w:spacing w:line="360" w:lineRule="auto"/>
              <w:jc w:val="center"/>
              <w:rPr>
                <w:bCs/>
                <w:color w:val="auto"/>
                <w:sz w:val="21"/>
                <w:szCs w:val="21"/>
              </w:rPr>
            </w:pPr>
            <w:r>
              <w:rPr>
                <w:rFonts w:hint="eastAsia"/>
                <w:bCs/>
                <w:color w:val="auto"/>
                <w:sz w:val="21"/>
                <w:szCs w:val="21"/>
              </w:rPr>
              <w:t>1、保持适合微生物生长的pH、温度等条件；2、除臭风机和喷淋水避免长期停止运行； 3、</w:t>
            </w:r>
          </w:p>
          <w:p>
            <w:pPr>
              <w:spacing w:line="360" w:lineRule="auto"/>
              <w:jc w:val="center"/>
              <w:rPr>
                <w:bCs/>
                <w:color w:val="auto"/>
                <w:sz w:val="21"/>
                <w:szCs w:val="21"/>
              </w:rPr>
            </w:pPr>
            <w:r>
              <w:rPr>
                <w:rFonts w:hint="eastAsia"/>
                <w:bCs/>
                <w:color w:val="auto"/>
                <w:sz w:val="21"/>
                <w:szCs w:val="21"/>
              </w:rPr>
              <w:t>喷淋水需去除杂质</w:t>
            </w:r>
          </w:p>
        </w:tc>
        <w:tc>
          <w:tcPr>
            <w:tcW w:w="1617" w:type="dxa"/>
            <w:vAlign w:val="center"/>
          </w:tcPr>
          <w:p>
            <w:pPr>
              <w:spacing w:line="360" w:lineRule="auto"/>
              <w:jc w:val="center"/>
              <w:rPr>
                <w:bCs/>
                <w:color w:val="auto"/>
                <w:sz w:val="21"/>
                <w:szCs w:val="21"/>
              </w:rPr>
            </w:pPr>
            <w:r>
              <w:rPr>
                <w:rFonts w:hint="eastAsia"/>
                <w:bCs/>
                <w:color w:val="auto"/>
                <w:sz w:val="21"/>
                <w:szCs w:val="21"/>
              </w:rPr>
              <w:t>运行管理方便，无特殊要求</w:t>
            </w:r>
          </w:p>
        </w:tc>
        <w:tc>
          <w:tcPr>
            <w:tcW w:w="1618" w:type="dxa"/>
            <w:vAlign w:val="center"/>
          </w:tcPr>
          <w:p>
            <w:pPr>
              <w:spacing w:line="360" w:lineRule="auto"/>
              <w:jc w:val="center"/>
              <w:rPr>
                <w:bCs/>
                <w:color w:val="auto"/>
                <w:sz w:val="21"/>
                <w:szCs w:val="21"/>
              </w:rPr>
            </w:pPr>
            <w:r>
              <w:rPr>
                <w:rFonts w:hint="eastAsia"/>
                <w:bCs/>
                <w:color w:val="auto"/>
                <w:sz w:val="21"/>
                <w:szCs w:val="21"/>
              </w:rPr>
              <w:t>1、臭气参数改</w:t>
            </w:r>
          </w:p>
          <w:p>
            <w:pPr>
              <w:spacing w:line="360" w:lineRule="auto"/>
              <w:jc w:val="center"/>
              <w:rPr>
                <w:bCs/>
                <w:color w:val="auto"/>
                <w:sz w:val="21"/>
                <w:szCs w:val="21"/>
              </w:rPr>
            </w:pPr>
            <w:r>
              <w:rPr>
                <w:rFonts w:hint="eastAsia"/>
                <w:bCs/>
                <w:color w:val="auto"/>
                <w:sz w:val="21"/>
                <w:szCs w:val="21"/>
              </w:rPr>
              <w:t>变时需相应改</w:t>
            </w:r>
          </w:p>
          <w:p>
            <w:pPr>
              <w:spacing w:line="360" w:lineRule="auto"/>
              <w:jc w:val="center"/>
              <w:rPr>
                <w:bCs/>
                <w:color w:val="auto"/>
                <w:sz w:val="21"/>
                <w:szCs w:val="21"/>
              </w:rPr>
            </w:pPr>
            <w:r>
              <w:rPr>
                <w:rFonts w:hint="eastAsia"/>
                <w:bCs/>
                <w:color w:val="auto"/>
                <w:sz w:val="21"/>
                <w:szCs w:val="21"/>
              </w:rPr>
              <w:t>变设备参数设</w:t>
            </w:r>
          </w:p>
          <w:p>
            <w:pPr>
              <w:spacing w:line="360" w:lineRule="auto"/>
              <w:jc w:val="center"/>
              <w:rPr>
                <w:bCs/>
                <w:color w:val="auto"/>
                <w:sz w:val="21"/>
                <w:szCs w:val="21"/>
              </w:rPr>
            </w:pPr>
            <w:r>
              <w:rPr>
                <w:rFonts w:hint="eastAsia"/>
                <w:bCs/>
                <w:color w:val="auto"/>
                <w:sz w:val="21"/>
                <w:szCs w:val="21"/>
              </w:rPr>
              <w:t>定；2、为减少</w:t>
            </w:r>
          </w:p>
          <w:p>
            <w:pPr>
              <w:spacing w:line="360" w:lineRule="auto"/>
              <w:jc w:val="center"/>
              <w:rPr>
                <w:bCs/>
                <w:color w:val="auto"/>
                <w:sz w:val="21"/>
                <w:szCs w:val="21"/>
              </w:rPr>
            </w:pPr>
            <w:r>
              <w:rPr>
                <w:rFonts w:hint="eastAsia"/>
                <w:bCs/>
                <w:color w:val="auto"/>
                <w:sz w:val="21"/>
                <w:szCs w:val="21"/>
              </w:rPr>
              <w:t>臭气中粉尘等</w:t>
            </w:r>
          </w:p>
          <w:p>
            <w:pPr>
              <w:spacing w:line="360" w:lineRule="auto"/>
              <w:jc w:val="center"/>
              <w:rPr>
                <w:bCs/>
                <w:color w:val="auto"/>
                <w:sz w:val="21"/>
                <w:szCs w:val="21"/>
              </w:rPr>
            </w:pPr>
            <w:r>
              <w:rPr>
                <w:rFonts w:hint="eastAsia"/>
                <w:bCs/>
                <w:color w:val="auto"/>
                <w:sz w:val="21"/>
                <w:szCs w:val="21"/>
              </w:rPr>
              <w:t>杂质降低吸</w:t>
            </w:r>
          </w:p>
          <w:p>
            <w:pPr>
              <w:spacing w:line="360" w:lineRule="auto"/>
              <w:jc w:val="center"/>
              <w:rPr>
                <w:bCs/>
                <w:color w:val="auto"/>
                <w:sz w:val="21"/>
                <w:szCs w:val="21"/>
              </w:rPr>
            </w:pPr>
            <w:r>
              <w:rPr>
                <w:rFonts w:hint="eastAsia"/>
                <w:bCs/>
                <w:color w:val="auto"/>
                <w:sz w:val="21"/>
                <w:szCs w:val="21"/>
              </w:rPr>
              <w:t>附剂的吸附</w:t>
            </w:r>
          </w:p>
          <w:p>
            <w:pPr>
              <w:spacing w:line="360" w:lineRule="auto"/>
              <w:jc w:val="center"/>
              <w:rPr>
                <w:bCs/>
                <w:color w:val="auto"/>
                <w:sz w:val="21"/>
                <w:szCs w:val="21"/>
              </w:rPr>
            </w:pPr>
            <w:r>
              <w:rPr>
                <w:rFonts w:hint="eastAsia"/>
                <w:bCs/>
                <w:color w:val="auto"/>
                <w:sz w:val="21"/>
                <w:szCs w:val="21"/>
              </w:rPr>
              <w:t>能 力，需设置设置预处理装置</w:t>
            </w:r>
          </w:p>
        </w:tc>
        <w:tc>
          <w:tcPr>
            <w:tcW w:w="1618" w:type="dxa"/>
            <w:vAlign w:val="center"/>
          </w:tcPr>
          <w:p>
            <w:pPr>
              <w:spacing w:line="360" w:lineRule="auto"/>
              <w:jc w:val="center"/>
              <w:rPr>
                <w:bCs/>
                <w:color w:val="auto"/>
                <w:sz w:val="21"/>
                <w:szCs w:val="21"/>
              </w:rPr>
            </w:pPr>
            <w:r>
              <w:rPr>
                <w:rFonts w:hint="eastAsia"/>
                <w:bCs/>
                <w:color w:val="auto"/>
                <w:sz w:val="21"/>
                <w:szCs w:val="21"/>
              </w:rPr>
              <w:t>1、 除臭效果逐渐降低，需注意</w:t>
            </w:r>
          </w:p>
          <w:p>
            <w:pPr>
              <w:spacing w:line="360" w:lineRule="auto"/>
              <w:jc w:val="center"/>
              <w:rPr>
                <w:bCs/>
                <w:color w:val="auto"/>
                <w:sz w:val="21"/>
                <w:szCs w:val="21"/>
              </w:rPr>
            </w:pPr>
            <w:r>
              <w:rPr>
                <w:rFonts w:hint="eastAsia"/>
                <w:bCs/>
                <w:color w:val="auto"/>
                <w:sz w:val="21"/>
                <w:szCs w:val="21"/>
              </w:rPr>
              <w:t>观测；2、为处</w:t>
            </w:r>
          </w:p>
          <w:p>
            <w:pPr>
              <w:spacing w:line="360" w:lineRule="auto"/>
              <w:jc w:val="center"/>
              <w:rPr>
                <w:bCs/>
                <w:color w:val="auto"/>
                <w:sz w:val="21"/>
                <w:szCs w:val="21"/>
              </w:rPr>
            </w:pPr>
            <w:r>
              <w:rPr>
                <w:rFonts w:hint="eastAsia"/>
                <w:bCs/>
                <w:color w:val="auto"/>
                <w:sz w:val="21"/>
                <w:szCs w:val="21"/>
              </w:rPr>
              <w:t>理未反应得臭</w:t>
            </w:r>
          </w:p>
          <w:p>
            <w:pPr>
              <w:spacing w:line="360" w:lineRule="auto"/>
              <w:jc w:val="center"/>
              <w:rPr>
                <w:bCs/>
                <w:color w:val="auto"/>
                <w:sz w:val="21"/>
                <w:szCs w:val="21"/>
              </w:rPr>
            </w:pPr>
            <w:r>
              <w:rPr>
                <w:rFonts w:hint="eastAsia"/>
                <w:bCs/>
                <w:color w:val="auto"/>
                <w:sz w:val="21"/>
                <w:szCs w:val="21"/>
              </w:rPr>
              <w:t>氧，需装置臭</w:t>
            </w:r>
          </w:p>
          <w:p>
            <w:pPr>
              <w:spacing w:line="360" w:lineRule="auto"/>
              <w:jc w:val="center"/>
              <w:rPr>
                <w:bCs/>
                <w:color w:val="auto"/>
                <w:sz w:val="21"/>
                <w:szCs w:val="21"/>
              </w:rPr>
            </w:pPr>
            <w:r>
              <w:rPr>
                <w:rFonts w:hint="eastAsia"/>
                <w:bCs/>
                <w:color w:val="auto"/>
                <w:sz w:val="21"/>
                <w:szCs w:val="21"/>
              </w:rPr>
              <w:t>氧分解器</w:t>
            </w:r>
          </w:p>
        </w:tc>
        <w:tc>
          <w:tcPr>
            <w:tcW w:w="1618" w:type="dxa"/>
            <w:vAlign w:val="center"/>
          </w:tcPr>
          <w:p>
            <w:pPr>
              <w:spacing w:line="360" w:lineRule="auto"/>
              <w:jc w:val="center"/>
              <w:rPr>
                <w:bCs/>
                <w:color w:val="auto"/>
                <w:sz w:val="21"/>
                <w:szCs w:val="21"/>
              </w:rPr>
            </w:pPr>
            <w:r>
              <w:rPr>
                <w:rFonts w:hint="eastAsia"/>
                <w:bCs/>
                <w:color w:val="auto"/>
                <w:sz w:val="21"/>
                <w:szCs w:val="21"/>
              </w:rPr>
              <w:t>1、 运行操作的专业性很强；2、</w:t>
            </w:r>
          </w:p>
          <w:p>
            <w:pPr>
              <w:spacing w:line="360" w:lineRule="auto"/>
              <w:jc w:val="center"/>
              <w:rPr>
                <w:bCs/>
                <w:color w:val="auto"/>
                <w:sz w:val="21"/>
                <w:szCs w:val="21"/>
              </w:rPr>
            </w:pPr>
            <w:r>
              <w:rPr>
                <w:rFonts w:hint="eastAsia"/>
                <w:bCs/>
                <w:color w:val="auto"/>
                <w:sz w:val="21"/>
                <w:szCs w:val="21"/>
              </w:rPr>
              <w:t>燃烧后虽然臭味消失，但二氧</w:t>
            </w:r>
          </w:p>
          <w:p>
            <w:pPr>
              <w:spacing w:line="360" w:lineRule="auto"/>
              <w:jc w:val="center"/>
              <w:rPr>
                <w:bCs/>
                <w:color w:val="auto"/>
                <w:sz w:val="21"/>
                <w:szCs w:val="21"/>
              </w:rPr>
            </w:pPr>
            <w:r>
              <w:rPr>
                <w:rFonts w:hint="eastAsia"/>
                <w:bCs/>
                <w:color w:val="auto"/>
                <w:sz w:val="21"/>
                <w:szCs w:val="21"/>
              </w:rPr>
              <w:t>化硫会产生二</w:t>
            </w:r>
          </w:p>
          <w:p>
            <w:pPr>
              <w:spacing w:line="360" w:lineRule="auto"/>
              <w:jc w:val="center"/>
              <w:rPr>
                <w:bCs/>
                <w:color w:val="auto"/>
                <w:sz w:val="21"/>
                <w:szCs w:val="21"/>
              </w:rPr>
            </w:pPr>
            <w:r>
              <w:rPr>
                <w:rFonts w:hint="eastAsia"/>
                <w:bCs/>
                <w:color w:val="auto"/>
                <w:sz w:val="21"/>
                <w:szCs w:val="21"/>
              </w:rPr>
              <w:t>次污染</w:t>
            </w:r>
          </w:p>
        </w:tc>
        <w:tc>
          <w:tcPr>
            <w:tcW w:w="1618" w:type="dxa"/>
            <w:vAlign w:val="center"/>
          </w:tcPr>
          <w:p>
            <w:pPr>
              <w:spacing w:line="360" w:lineRule="auto"/>
              <w:jc w:val="center"/>
              <w:rPr>
                <w:bCs/>
                <w:color w:val="auto"/>
                <w:sz w:val="21"/>
                <w:szCs w:val="21"/>
              </w:rPr>
            </w:pPr>
            <w:r>
              <w:rPr>
                <w:rFonts w:hint="eastAsia"/>
                <w:bCs/>
                <w:color w:val="auto"/>
                <w:sz w:val="21"/>
                <w:szCs w:val="21"/>
              </w:rPr>
              <w:t>运行管理方</w:t>
            </w:r>
          </w:p>
          <w:p>
            <w:pPr>
              <w:spacing w:line="360" w:lineRule="auto"/>
              <w:jc w:val="center"/>
              <w:rPr>
                <w:bCs/>
                <w:color w:val="auto"/>
                <w:sz w:val="21"/>
                <w:szCs w:val="21"/>
              </w:rPr>
            </w:pPr>
            <w:r>
              <w:rPr>
                <w:rFonts w:hint="eastAsia"/>
                <w:bCs/>
                <w:color w:val="auto"/>
                <w:sz w:val="21"/>
                <w:szCs w:val="21"/>
              </w:rPr>
              <w:t>便，无特殊要</w:t>
            </w:r>
          </w:p>
          <w:p>
            <w:pPr>
              <w:spacing w:line="360" w:lineRule="auto"/>
              <w:jc w:val="center"/>
              <w:rPr>
                <w:bCs/>
                <w:color w:val="auto"/>
                <w:sz w:val="21"/>
                <w:szCs w:val="21"/>
              </w:rPr>
            </w:pPr>
            <w:r>
              <w:rPr>
                <w:rFonts w:hint="eastAsia"/>
                <w:bCs/>
                <w:color w:val="auto"/>
                <w:sz w:val="21"/>
                <w:szCs w:val="21"/>
              </w:rPr>
              <w:t>求</w:t>
            </w:r>
          </w:p>
        </w:tc>
        <w:tc>
          <w:tcPr>
            <w:tcW w:w="1618" w:type="dxa"/>
            <w:vAlign w:val="center"/>
          </w:tcPr>
          <w:p>
            <w:pPr>
              <w:spacing w:line="360" w:lineRule="auto"/>
              <w:jc w:val="center"/>
              <w:rPr>
                <w:bCs/>
                <w:color w:val="auto"/>
                <w:sz w:val="21"/>
                <w:szCs w:val="21"/>
              </w:rPr>
            </w:pPr>
            <w:r>
              <w:rPr>
                <w:rFonts w:hint="eastAsia"/>
                <w:bCs/>
                <w:color w:val="auto"/>
                <w:sz w:val="21"/>
                <w:szCs w:val="21"/>
              </w:rPr>
              <w:t>1、 需合理配置药剂，控制好各</w:t>
            </w:r>
          </w:p>
          <w:p>
            <w:pPr>
              <w:spacing w:line="360" w:lineRule="auto"/>
              <w:jc w:val="center"/>
              <w:rPr>
                <w:bCs/>
                <w:color w:val="auto"/>
                <w:sz w:val="21"/>
                <w:szCs w:val="21"/>
              </w:rPr>
            </w:pPr>
            <w:r>
              <w:rPr>
                <w:rFonts w:hint="eastAsia"/>
                <w:bCs/>
                <w:color w:val="auto"/>
                <w:sz w:val="21"/>
                <w:szCs w:val="21"/>
              </w:rPr>
              <w:t>段除臭分配；</w:t>
            </w:r>
          </w:p>
        </w:tc>
        <w:tc>
          <w:tcPr>
            <w:tcW w:w="1618" w:type="dxa"/>
            <w:vAlign w:val="center"/>
          </w:tcPr>
          <w:p>
            <w:pPr>
              <w:spacing w:line="360" w:lineRule="auto"/>
              <w:jc w:val="center"/>
              <w:rPr>
                <w:bCs/>
                <w:color w:val="auto"/>
                <w:sz w:val="21"/>
                <w:szCs w:val="21"/>
              </w:rPr>
            </w:pPr>
            <w:r>
              <w:rPr>
                <w:rFonts w:hint="eastAsia"/>
                <w:bCs/>
                <w:color w:val="auto"/>
                <w:sz w:val="21"/>
                <w:szCs w:val="21"/>
              </w:rPr>
              <w:t>1、操作时需戴上防护工具；2、操作管理人员须有相关资质及管理知识；3、需准备好泄漏时的中和药品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617" w:type="dxa"/>
            <w:vAlign w:val="center"/>
          </w:tcPr>
          <w:p>
            <w:pPr>
              <w:spacing w:line="360" w:lineRule="auto"/>
              <w:jc w:val="center"/>
              <w:rPr>
                <w:bCs/>
                <w:color w:val="auto"/>
                <w:sz w:val="21"/>
                <w:szCs w:val="21"/>
              </w:rPr>
            </w:pPr>
            <w:r>
              <w:rPr>
                <w:rFonts w:hint="eastAsia"/>
                <w:bCs/>
                <w:color w:val="auto"/>
                <w:sz w:val="21"/>
                <w:szCs w:val="21"/>
              </w:rPr>
              <w:t>总耗</w:t>
            </w:r>
          </w:p>
          <w:p>
            <w:pPr>
              <w:spacing w:line="360" w:lineRule="auto"/>
              <w:jc w:val="center"/>
              <w:rPr>
                <w:bCs/>
                <w:color w:val="auto"/>
                <w:sz w:val="21"/>
                <w:szCs w:val="21"/>
              </w:rPr>
            </w:pPr>
            <w:r>
              <w:rPr>
                <w:rFonts w:hint="eastAsia"/>
                <w:bCs/>
                <w:color w:val="auto"/>
                <w:sz w:val="21"/>
                <w:szCs w:val="21"/>
              </w:rPr>
              <w:t>电量</w:t>
            </w:r>
          </w:p>
        </w:tc>
        <w:tc>
          <w:tcPr>
            <w:tcW w:w="1617" w:type="dxa"/>
            <w:vAlign w:val="center"/>
          </w:tcPr>
          <w:p>
            <w:pPr>
              <w:spacing w:line="360" w:lineRule="auto"/>
              <w:jc w:val="center"/>
              <w:rPr>
                <w:bCs/>
                <w:color w:val="auto"/>
                <w:sz w:val="21"/>
                <w:szCs w:val="21"/>
              </w:rPr>
            </w:pPr>
            <w:r>
              <w:rPr>
                <w:rFonts w:hint="eastAsia"/>
                <w:bCs/>
                <w:color w:val="auto"/>
                <w:sz w:val="21"/>
                <w:szCs w:val="21"/>
              </w:rPr>
              <w:t>高</w:t>
            </w:r>
          </w:p>
        </w:tc>
        <w:tc>
          <w:tcPr>
            <w:tcW w:w="1617" w:type="dxa"/>
            <w:vAlign w:val="center"/>
          </w:tcPr>
          <w:p>
            <w:pPr>
              <w:spacing w:line="360" w:lineRule="auto"/>
              <w:jc w:val="center"/>
              <w:rPr>
                <w:bCs/>
                <w:color w:val="auto"/>
                <w:sz w:val="21"/>
                <w:szCs w:val="21"/>
              </w:rPr>
            </w:pPr>
            <w:r>
              <w:rPr>
                <w:rFonts w:hint="eastAsia"/>
                <w:bCs/>
                <w:color w:val="auto"/>
                <w:sz w:val="21"/>
                <w:szCs w:val="21"/>
              </w:rPr>
              <w:t>较高</w:t>
            </w:r>
          </w:p>
        </w:tc>
        <w:tc>
          <w:tcPr>
            <w:tcW w:w="1618" w:type="dxa"/>
            <w:vAlign w:val="center"/>
          </w:tcPr>
          <w:p>
            <w:pPr>
              <w:spacing w:line="360" w:lineRule="auto"/>
              <w:jc w:val="center"/>
              <w:rPr>
                <w:bCs/>
                <w:color w:val="auto"/>
                <w:sz w:val="21"/>
                <w:szCs w:val="21"/>
              </w:rPr>
            </w:pPr>
            <w:r>
              <w:rPr>
                <w:rFonts w:hint="eastAsia"/>
                <w:bCs/>
                <w:color w:val="auto"/>
                <w:sz w:val="21"/>
                <w:szCs w:val="21"/>
              </w:rPr>
              <w:t>较高</w:t>
            </w:r>
          </w:p>
        </w:tc>
        <w:tc>
          <w:tcPr>
            <w:tcW w:w="1618" w:type="dxa"/>
            <w:vAlign w:val="center"/>
          </w:tcPr>
          <w:p>
            <w:pPr>
              <w:spacing w:line="360" w:lineRule="auto"/>
              <w:jc w:val="center"/>
              <w:rPr>
                <w:bCs/>
                <w:color w:val="auto"/>
                <w:sz w:val="21"/>
                <w:szCs w:val="21"/>
              </w:rPr>
            </w:pPr>
            <w:r>
              <w:rPr>
                <w:rFonts w:hint="eastAsia"/>
                <w:bCs/>
                <w:color w:val="auto"/>
                <w:sz w:val="21"/>
                <w:szCs w:val="21"/>
              </w:rPr>
              <w:t>较高</w:t>
            </w:r>
          </w:p>
        </w:tc>
        <w:tc>
          <w:tcPr>
            <w:tcW w:w="1618" w:type="dxa"/>
            <w:vAlign w:val="center"/>
          </w:tcPr>
          <w:p>
            <w:pPr>
              <w:spacing w:line="360" w:lineRule="auto"/>
              <w:jc w:val="center"/>
              <w:rPr>
                <w:bCs/>
                <w:color w:val="auto"/>
                <w:sz w:val="21"/>
                <w:szCs w:val="21"/>
              </w:rPr>
            </w:pPr>
            <w:r>
              <w:rPr>
                <w:rFonts w:hint="eastAsia"/>
                <w:bCs/>
                <w:color w:val="auto"/>
                <w:sz w:val="21"/>
                <w:szCs w:val="21"/>
              </w:rPr>
              <w:t>高</w:t>
            </w:r>
          </w:p>
        </w:tc>
        <w:tc>
          <w:tcPr>
            <w:tcW w:w="1618" w:type="dxa"/>
            <w:vAlign w:val="center"/>
          </w:tcPr>
          <w:p>
            <w:pPr>
              <w:spacing w:line="360" w:lineRule="auto"/>
              <w:jc w:val="center"/>
              <w:rPr>
                <w:bCs/>
                <w:color w:val="auto"/>
                <w:sz w:val="21"/>
                <w:szCs w:val="21"/>
              </w:rPr>
            </w:pPr>
            <w:r>
              <w:rPr>
                <w:rFonts w:hint="eastAsia"/>
                <w:bCs/>
                <w:color w:val="auto"/>
                <w:sz w:val="21"/>
                <w:szCs w:val="21"/>
              </w:rPr>
              <w:t>低</w:t>
            </w:r>
          </w:p>
        </w:tc>
        <w:tc>
          <w:tcPr>
            <w:tcW w:w="1618" w:type="dxa"/>
            <w:vAlign w:val="center"/>
          </w:tcPr>
          <w:p>
            <w:pPr>
              <w:spacing w:line="360" w:lineRule="auto"/>
              <w:jc w:val="center"/>
              <w:rPr>
                <w:bCs/>
                <w:color w:val="auto"/>
                <w:sz w:val="21"/>
                <w:szCs w:val="21"/>
              </w:rPr>
            </w:pPr>
            <w:r>
              <w:rPr>
                <w:rFonts w:hint="eastAsia"/>
                <w:bCs/>
                <w:color w:val="auto"/>
                <w:sz w:val="21"/>
                <w:szCs w:val="21"/>
              </w:rPr>
              <w:t>较高</w:t>
            </w:r>
          </w:p>
        </w:tc>
        <w:tc>
          <w:tcPr>
            <w:tcW w:w="1618" w:type="dxa"/>
            <w:vAlign w:val="center"/>
          </w:tcPr>
          <w:p>
            <w:pPr>
              <w:spacing w:line="360" w:lineRule="auto"/>
              <w:jc w:val="center"/>
              <w:rPr>
                <w:bCs/>
                <w:color w:val="auto"/>
                <w:sz w:val="21"/>
                <w:szCs w:val="21"/>
              </w:rPr>
            </w:pPr>
            <w:r>
              <w:rPr>
                <w:rFonts w:hint="eastAsia"/>
                <w:bCs/>
                <w:color w:val="auto"/>
                <w:sz w:val="21"/>
                <w:szCs w:val="21"/>
              </w:rPr>
              <w:t>较高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617" w:type="dxa"/>
            <w:vAlign w:val="center"/>
          </w:tcPr>
          <w:p>
            <w:pPr>
              <w:spacing w:line="360" w:lineRule="auto"/>
              <w:jc w:val="center"/>
              <w:rPr>
                <w:bCs/>
                <w:color w:val="auto"/>
                <w:sz w:val="21"/>
                <w:szCs w:val="21"/>
              </w:rPr>
            </w:pPr>
            <w:r>
              <w:rPr>
                <w:rFonts w:hint="eastAsia"/>
                <w:bCs/>
                <w:color w:val="auto"/>
                <w:sz w:val="21"/>
                <w:szCs w:val="21"/>
              </w:rPr>
              <w:t>除臭</w:t>
            </w:r>
          </w:p>
          <w:p>
            <w:pPr>
              <w:spacing w:line="360" w:lineRule="auto"/>
              <w:jc w:val="center"/>
              <w:rPr>
                <w:bCs/>
                <w:color w:val="auto"/>
                <w:sz w:val="21"/>
                <w:szCs w:val="21"/>
              </w:rPr>
            </w:pPr>
            <w:r>
              <w:rPr>
                <w:rFonts w:hint="eastAsia"/>
                <w:bCs/>
                <w:color w:val="auto"/>
                <w:sz w:val="21"/>
                <w:szCs w:val="21"/>
              </w:rPr>
              <w:t>原理</w:t>
            </w:r>
          </w:p>
        </w:tc>
        <w:tc>
          <w:tcPr>
            <w:tcW w:w="1617" w:type="dxa"/>
            <w:vAlign w:val="center"/>
          </w:tcPr>
          <w:p>
            <w:pPr>
              <w:spacing w:line="360" w:lineRule="auto"/>
              <w:jc w:val="center"/>
              <w:rPr>
                <w:bCs/>
                <w:color w:val="auto"/>
                <w:sz w:val="21"/>
                <w:szCs w:val="21"/>
              </w:rPr>
            </w:pPr>
            <w:r>
              <w:rPr>
                <w:rFonts w:hint="eastAsia"/>
                <w:bCs/>
                <w:color w:val="auto"/>
                <w:sz w:val="21"/>
                <w:szCs w:val="21"/>
              </w:rPr>
              <w:t>将所有污染</w:t>
            </w:r>
          </w:p>
          <w:p>
            <w:pPr>
              <w:spacing w:line="360" w:lineRule="auto"/>
              <w:jc w:val="center"/>
              <w:rPr>
                <w:bCs/>
                <w:color w:val="auto"/>
                <w:sz w:val="21"/>
                <w:szCs w:val="21"/>
              </w:rPr>
            </w:pPr>
            <w:r>
              <w:rPr>
                <w:rFonts w:hint="eastAsia"/>
                <w:bCs/>
                <w:color w:val="auto"/>
                <w:sz w:val="21"/>
                <w:szCs w:val="21"/>
              </w:rPr>
              <w:t>场所的气体</w:t>
            </w:r>
          </w:p>
          <w:p>
            <w:pPr>
              <w:spacing w:line="360" w:lineRule="auto"/>
              <w:jc w:val="center"/>
              <w:rPr>
                <w:bCs/>
                <w:color w:val="auto"/>
                <w:sz w:val="21"/>
                <w:szCs w:val="21"/>
              </w:rPr>
            </w:pPr>
            <w:r>
              <w:rPr>
                <w:rFonts w:hint="eastAsia"/>
                <w:bCs/>
                <w:color w:val="auto"/>
                <w:sz w:val="21"/>
                <w:szCs w:val="21"/>
              </w:rPr>
              <w:t>转移出来集中</w:t>
            </w:r>
          </w:p>
          <w:p>
            <w:pPr>
              <w:spacing w:line="360" w:lineRule="auto"/>
              <w:jc w:val="center"/>
              <w:rPr>
                <w:bCs/>
                <w:color w:val="auto"/>
                <w:sz w:val="21"/>
                <w:szCs w:val="21"/>
              </w:rPr>
            </w:pPr>
            <w:r>
              <w:rPr>
                <w:rFonts w:hint="eastAsia"/>
                <w:bCs/>
                <w:color w:val="auto"/>
                <w:sz w:val="21"/>
                <w:szCs w:val="21"/>
              </w:rPr>
              <w:t>处理， 依靠稀释</w:t>
            </w:r>
          </w:p>
          <w:p>
            <w:pPr>
              <w:spacing w:line="360" w:lineRule="auto"/>
              <w:jc w:val="center"/>
              <w:rPr>
                <w:bCs/>
                <w:color w:val="auto"/>
                <w:sz w:val="21"/>
                <w:szCs w:val="21"/>
              </w:rPr>
            </w:pPr>
            <w:r>
              <w:rPr>
                <w:rFonts w:hint="eastAsia"/>
                <w:bCs/>
                <w:color w:val="auto"/>
                <w:sz w:val="21"/>
                <w:szCs w:val="21"/>
              </w:rPr>
              <w:t>降低室内臭</w:t>
            </w:r>
          </w:p>
          <w:p>
            <w:pPr>
              <w:spacing w:line="360" w:lineRule="auto"/>
              <w:jc w:val="center"/>
              <w:rPr>
                <w:bCs/>
                <w:color w:val="auto"/>
                <w:sz w:val="21"/>
                <w:szCs w:val="21"/>
              </w:rPr>
            </w:pPr>
            <w:r>
              <w:rPr>
                <w:rFonts w:hint="eastAsia"/>
                <w:bCs/>
                <w:color w:val="auto"/>
                <w:sz w:val="21"/>
                <w:szCs w:val="21"/>
              </w:rPr>
              <w:t>气浓度仅仅</w:t>
            </w:r>
          </w:p>
          <w:p>
            <w:pPr>
              <w:spacing w:line="360" w:lineRule="auto"/>
              <w:jc w:val="center"/>
              <w:rPr>
                <w:bCs/>
                <w:color w:val="auto"/>
                <w:sz w:val="21"/>
                <w:szCs w:val="21"/>
              </w:rPr>
            </w:pPr>
            <w:r>
              <w:rPr>
                <w:rFonts w:hint="eastAsia"/>
                <w:bCs/>
                <w:color w:val="auto"/>
                <w:sz w:val="21"/>
                <w:szCs w:val="21"/>
              </w:rPr>
              <w:t>能够解决室</w:t>
            </w:r>
          </w:p>
          <w:p>
            <w:pPr>
              <w:spacing w:line="360" w:lineRule="auto"/>
              <w:jc w:val="center"/>
              <w:rPr>
                <w:bCs/>
                <w:color w:val="auto"/>
                <w:sz w:val="21"/>
                <w:szCs w:val="21"/>
              </w:rPr>
            </w:pPr>
            <w:r>
              <w:rPr>
                <w:rFonts w:hint="eastAsia"/>
                <w:bCs/>
                <w:color w:val="auto"/>
                <w:sz w:val="21"/>
                <w:szCs w:val="21"/>
              </w:rPr>
              <w:t>内空气污染问</w:t>
            </w:r>
          </w:p>
          <w:p>
            <w:pPr>
              <w:spacing w:line="360" w:lineRule="auto"/>
              <w:jc w:val="center"/>
              <w:rPr>
                <w:bCs/>
                <w:color w:val="auto"/>
                <w:sz w:val="21"/>
                <w:szCs w:val="21"/>
              </w:rPr>
            </w:pPr>
            <w:r>
              <w:rPr>
                <w:rFonts w:hint="eastAsia"/>
                <w:bCs/>
                <w:color w:val="auto"/>
                <w:sz w:val="21"/>
                <w:szCs w:val="21"/>
              </w:rPr>
              <w:t>题。</w:t>
            </w:r>
          </w:p>
        </w:tc>
        <w:tc>
          <w:tcPr>
            <w:tcW w:w="1617" w:type="dxa"/>
            <w:vAlign w:val="center"/>
          </w:tcPr>
          <w:p>
            <w:pPr>
              <w:spacing w:line="360" w:lineRule="auto"/>
              <w:jc w:val="center"/>
              <w:rPr>
                <w:bCs/>
                <w:color w:val="auto"/>
                <w:sz w:val="21"/>
                <w:szCs w:val="21"/>
              </w:rPr>
            </w:pPr>
            <w:r>
              <w:rPr>
                <w:rFonts w:hint="eastAsia"/>
                <w:bCs/>
                <w:color w:val="auto"/>
                <w:sz w:val="21"/>
                <w:szCs w:val="21"/>
              </w:rPr>
              <w:t>依靠反应</w:t>
            </w:r>
          </w:p>
          <w:p>
            <w:pPr>
              <w:spacing w:line="360" w:lineRule="auto"/>
              <w:jc w:val="center"/>
              <w:rPr>
                <w:bCs/>
                <w:color w:val="auto"/>
                <w:sz w:val="21"/>
                <w:szCs w:val="21"/>
              </w:rPr>
            </w:pPr>
            <w:r>
              <w:rPr>
                <w:rFonts w:hint="eastAsia"/>
                <w:bCs/>
                <w:color w:val="auto"/>
                <w:sz w:val="21"/>
                <w:szCs w:val="21"/>
              </w:rPr>
              <w:t>在污染源</w:t>
            </w:r>
          </w:p>
          <w:p>
            <w:pPr>
              <w:spacing w:line="360" w:lineRule="auto"/>
              <w:jc w:val="center"/>
              <w:rPr>
                <w:bCs/>
                <w:color w:val="auto"/>
                <w:sz w:val="21"/>
                <w:szCs w:val="21"/>
              </w:rPr>
            </w:pPr>
            <w:r>
              <w:rPr>
                <w:rFonts w:hint="eastAsia"/>
                <w:bCs/>
                <w:color w:val="auto"/>
                <w:sz w:val="21"/>
                <w:szCs w:val="21"/>
              </w:rPr>
              <w:t>处消除污</w:t>
            </w:r>
          </w:p>
          <w:p>
            <w:pPr>
              <w:spacing w:line="360" w:lineRule="auto"/>
              <w:jc w:val="center"/>
              <w:rPr>
                <w:bCs/>
                <w:color w:val="auto"/>
                <w:sz w:val="21"/>
                <w:szCs w:val="21"/>
              </w:rPr>
            </w:pPr>
            <w:r>
              <w:rPr>
                <w:rFonts w:hint="eastAsia"/>
                <w:bCs/>
                <w:color w:val="auto"/>
                <w:sz w:val="21"/>
                <w:szCs w:val="21"/>
              </w:rPr>
              <w:t>染，扼制</w:t>
            </w:r>
          </w:p>
          <w:p>
            <w:pPr>
              <w:spacing w:line="360" w:lineRule="auto"/>
              <w:jc w:val="center"/>
              <w:rPr>
                <w:bCs/>
                <w:color w:val="auto"/>
                <w:sz w:val="21"/>
                <w:szCs w:val="21"/>
              </w:rPr>
            </w:pPr>
            <w:r>
              <w:rPr>
                <w:rFonts w:hint="eastAsia"/>
                <w:bCs/>
                <w:color w:val="auto"/>
                <w:sz w:val="21"/>
                <w:szCs w:val="21"/>
              </w:rPr>
              <w:t>其扩散，</w:t>
            </w:r>
          </w:p>
          <w:p>
            <w:pPr>
              <w:spacing w:line="360" w:lineRule="auto"/>
              <w:jc w:val="center"/>
              <w:rPr>
                <w:bCs/>
                <w:color w:val="auto"/>
                <w:sz w:val="21"/>
                <w:szCs w:val="21"/>
              </w:rPr>
            </w:pPr>
            <w:r>
              <w:rPr>
                <w:rFonts w:hint="eastAsia"/>
                <w:bCs/>
                <w:color w:val="auto"/>
                <w:sz w:val="21"/>
                <w:szCs w:val="21"/>
              </w:rPr>
              <w:t>同时能够</w:t>
            </w:r>
          </w:p>
          <w:p>
            <w:pPr>
              <w:spacing w:line="360" w:lineRule="auto"/>
              <w:jc w:val="center"/>
              <w:rPr>
                <w:bCs/>
                <w:color w:val="auto"/>
                <w:sz w:val="21"/>
                <w:szCs w:val="21"/>
              </w:rPr>
            </w:pPr>
            <w:r>
              <w:rPr>
                <w:rFonts w:hint="eastAsia"/>
                <w:bCs/>
                <w:color w:val="auto"/>
                <w:sz w:val="21"/>
                <w:szCs w:val="21"/>
              </w:rPr>
              <w:t>满足人们</w:t>
            </w:r>
          </w:p>
          <w:p>
            <w:pPr>
              <w:spacing w:line="360" w:lineRule="auto"/>
              <w:jc w:val="center"/>
              <w:rPr>
                <w:bCs/>
                <w:color w:val="auto"/>
                <w:sz w:val="21"/>
                <w:szCs w:val="21"/>
              </w:rPr>
            </w:pPr>
            <w:r>
              <w:rPr>
                <w:rFonts w:hint="eastAsia"/>
                <w:bCs/>
                <w:color w:val="auto"/>
                <w:sz w:val="21"/>
                <w:szCs w:val="21"/>
              </w:rPr>
              <w:t>感觉舒适</w:t>
            </w:r>
          </w:p>
          <w:p>
            <w:pPr>
              <w:spacing w:line="360" w:lineRule="auto"/>
              <w:jc w:val="center"/>
              <w:rPr>
                <w:bCs/>
                <w:color w:val="auto"/>
                <w:sz w:val="21"/>
                <w:szCs w:val="21"/>
              </w:rPr>
            </w:pPr>
            <w:r>
              <w:rPr>
                <w:rFonts w:hint="eastAsia"/>
                <w:bCs/>
                <w:color w:val="auto"/>
                <w:sz w:val="21"/>
                <w:szCs w:val="21"/>
              </w:rPr>
              <w:t>时所需的</w:t>
            </w:r>
          </w:p>
          <w:p>
            <w:pPr>
              <w:spacing w:line="360" w:lineRule="auto"/>
              <w:jc w:val="center"/>
              <w:rPr>
                <w:bCs/>
                <w:color w:val="auto"/>
                <w:sz w:val="21"/>
                <w:szCs w:val="21"/>
              </w:rPr>
            </w:pPr>
            <w:r>
              <w:rPr>
                <w:rFonts w:hint="eastAsia"/>
                <w:bCs/>
                <w:color w:val="auto"/>
                <w:sz w:val="21"/>
                <w:szCs w:val="21"/>
              </w:rPr>
              <w:t>活性氧离</w:t>
            </w:r>
          </w:p>
          <w:p>
            <w:pPr>
              <w:spacing w:line="360" w:lineRule="auto"/>
              <w:jc w:val="center"/>
              <w:rPr>
                <w:bCs/>
                <w:color w:val="auto"/>
                <w:sz w:val="21"/>
                <w:szCs w:val="21"/>
              </w:rPr>
            </w:pPr>
            <w:r>
              <w:rPr>
                <w:rFonts w:hint="eastAsia"/>
                <w:bCs/>
                <w:color w:val="auto"/>
                <w:sz w:val="21"/>
                <w:szCs w:val="21"/>
              </w:rPr>
              <w:t>子量</w:t>
            </w:r>
          </w:p>
        </w:tc>
        <w:tc>
          <w:tcPr>
            <w:tcW w:w="1618" w:type="dxa"/>
            <w:vAlign w:val="center"/>
          </w:tcPr>
          <w:p>
            <w:pPr>
              <w:spacing w:line="360" w:lineRule="auto"/>
              <w:jc w:val="center"/>
              <w:rPr>
                <w:bCs/>
                <w:color w:val="auto"/>
                <w:sz w:val="21"/>
                <w:szCs w:val="21"/>
              </w:rPr>
            </w:pPr>
            <w:r>
              <w:rPr>
                <w:rFonts w:hint="eastAsia"/>
                <w:bCs/>
                <w:color w:val="auto"/>
                <w:sz w:val="21"/>
                <w:szCs w:val="21"/>
              </w:rPr>
              <w:t>利用各种不</w:t>
            </w:r>
          </w:p>
          <w:p>
            <w:pPr>
              <w:spacing w:line="360" w:lineRule="auto"/>
              <w:jc w:val="center"/>
              <w:rPr>
                <w:bCs/>
                <w:color w:val="auto"/>
                <w:sz w:val="21"/>
                <w:szCs w:val="21"/>
              </w:rPr>
            </w:pPr>
            <w:r>
              <w:rPr>
                <w:rFonts w:hint="eastAsia"/>
                <w:bCs/>
                <w:color w:val="auto"/>
                <w:sz w:val="21"/>
                <w:szCs w:val="21"/>
              </w:rPr>
              <w:t>同 性 质的活性</w:t>
            </w:r>
          </w:p>
          <w:p>
            <w:pPr>
              <w:spacing w:line="360" w:lineRule="auto"/>
              <w:jc w:val="center"/>
              <w:rPr>
                <w:bCs/>
                <w:color w:val="auto"/>
                <w:sz w:val="21"/>
                <w:szCs w:val="21"/>
              </w:rPr>
            </w:pPr>
            <w:r>
              <w:rPr>
                <w:rFonts w:hint="eastAsia"/>
                <w:bCs/>
                <w:color w:val="auto"/>
                <w:sz w:val="21"/>
                <w:szCs w:val="21"/>
              </w:rPr>
              <w:t>炭，吸附不同性</w:t>
            </w:r>
          </w:p>
          <w:p>
            <w:pPr>
              <w:spacing w:line="360" w:lineRule="auto"/>
              <w:jc w:val="center"/>
              <w:rPr>
                <w:bCs/>
                <w:color w:val="auto"/>
                <w:sz w:val="21"/>
                <w:szCs w:val="21"/>
              </w:rPr>
            </w:pPr>
            <w:r>
              <w:rPr>
                <w:rFonts w:hint="eastAsia"/>
                <w:bCs/>
                <w:color w:val="auto"/>
                <w:sz w:val="21"/>
                <w:szCs w:val="21"/>
              </w:rPr>
              <w:t>质的臭气</w:t>
            </w:r>
          </w:p>
        </w:tc>
        <w:tc>
          <w:tcPr>
            <w:tcW w:w="1618" w:type="dxa"/>
            <w:vAlign w:val="center"/>
          </w:tcPr>
          <w:p>
            <w:pPr>
              <w:spacing w:line="360" w:lineRule="auto"/>
              <w:jc w:val="center"/>
              <w:rPr>
                <w:bCs/>
                <w:color w:val="auto"/>
                <w:sz w:val="21"/>
                <w:szCs w:val="21"/>
              </w:rPr>
            </w:pPr>
            <w:r>
              <w:rPr>
                <w:rFonts w:hint="eastAsia"/>
                <w:bCs/>
                <w:color w:val="auto"/>
                <w:sz w:val="21"/>
                <w:szCs w:val="21"/>
              </w:rPr>
              <w:t>利用臭氧强氧</w:t>
            </w:r>
          </w:p>
          <w:p>
            <w:pPr>
              <w:spacing w:line="360" w:lineRule="auto"/>
              <w:jc w:val="center"/>
              <w:rPr>
                <w:bCs/>
                <w:color w:val="auto"/>
                <w:sz w:val="21"/>
                <w:szCs w:val="21"/>
              </w:rPr>
            </w:pPr>
            <w:r>
              <w:rPr>
                <w:rFonts w:hint="eastAsia"/>
                <w:bCs/>
                <w:color w:val="auto"/>
                <w:sz w:val="21"/>
                <w:szCs w:val="21"/>
              </w:rPr>
              <w:t>化剂，使臭气</w:t>
            </w:r>
          </w:p>
          <w:p>
            <w:pPr>
              <w:spacing w:line="360" w:lineRule="auto"/>
              <w:jc w:val="center"/>
              <w:rPr>
                <w:bCs/>
                <w:color w:val="auto"/>
                <w:sz w:val="21"/>
                <w:szCs w:val="21"/>
              </w:rPr>
            </w:pPr>
            <w:r>
              <w:rPr>
                <w:rFonts w:hint="eastAsia"/>
                <w:bCs/>
                <w:color w:val="auto"/>
                <w:sz w:val="21"/>
                <w:szCs w:val="21"/>
              </w:rPr>
              <w:t>中的化学成份</w:t>
            </w:r>
          </w:p>
          <w:p>
            <w:pPr>
              <w:spacing w:line="360" w:lineRule="auto"/>
              <w:jc w:val="center"/>
              <w:rPr>
                <w:bCs/>
                <w:color w:val="auto"/>
                <w:sz w:val="21"/>
                <w:szCs w:val="21"/>
              </w:rPr>
            </w:pPr>
            <w:r>
              <w:rPr>
                <w:rFonts w:hint="eastAsia"/>
                <w:bCs/>
                <w:color w:val="auto"/>
                <w:sz w:val="21"/>
                <w:szCs w:val="21"/>
              </w:rPr>
              <w:t>氧化。由于臭</w:t>
            </w:r>
          </w:p>
          <w:p>
            <w:pPr>
              <w:spacing w:line="360" w:lineRule="auto"/>
              <w:jc w:val="center"/>
              <w:rPr>
                <w:bCs/>
                <w:color w:val="auto"/>
                <w:sz w:val="21"/>
                <w:szCs w:val="21"/>
              </w:rPr>
            </w:pPr>
            <w:r>
              <w:rPr>
                <w:rFonts w:hint="eastAsia"/>
                <w:bCs/>
                <w:color w:val="auto"/>
                <w:sz w:val="21"/>
                <w:szCs w:val="21"/>
              </w:rPr>
              <w:t>氧发生的化学</w:t>
            </w:r>
          </w:p>
          <w:p>
            <w:pPr>
              <w:spacing w:line="360" w:lineRule="auto"/>
              <w:jc w:val="center"/>
              <w:rPr>
                <w:bCs/>
                <w:color w:val="auto"/>
                <w:sz w:val="21"/>
                <w:szCs w:val="21"/>
              </w:rPr>
            </w:pPr>
            <w:r>
              <w:rPr>
                <w:rFonts w:hint="eastAsia"/>
                <w:bCs/>
                <w:color w:val="auto"/>
                <w:sz w:val="21"/>
                <w:szCs w:val="21"/>
              </w:rPr>
              <w:t>反应较慢，一</w:t>
            </w:r>
          </w:p>
          <w:p>
            <w:pPr>
              <w:spacing w:line="360" w:lineRule="auto"/>
              <w:jc w:val="center"/>
              <w:rPr>
                <w:bCs/>
                <w:color w:val="auto"/>
                <w:sz w:val="21"/>
                <w:szCs w:val="21"/>
              </w:rPr>
            </w:pPr>
            <w:r>
              <w:rPr>
                <w:rFonts w:hint="eastAsia"/>
                <w:bCs/>
                <w:color w:val="auto"/>
                <w:sz w:val="21"/>
                <w:szCs w:val="21"/>
              </w:rPr>
              <w:t>般先通过药液</w:t>
            </w:r>
          </w:p>
          <w:p>
            <w:pPr>
              <w:spacing w:line="360" w:lineRule="auto"/>
              <w:jc w:val="center"/>
              <w:rPr>
                <w:bCs/>
                <w:color w:val="auto"/>
                <w:sz w:val="21"/>
                <w:szCs w:val="21"/>
              </w:rPr>
            </w:pPr>
            <w:r>
              <w:rPr>
                <w:rFonts w:hint="eastAsia"/>
                <w:bCs/>
                <w:color w:val="auto"/>
                <w:sz w:val="21"/>
                <w:szCs w:val="21"/>
              </w:rPr>
              <w:t>清洗法，去除</w:t>
            </w:r>
          </w:p>
          <w:p>
            <w:pPr>
              <w:spacing w:line="360" w:lineRule="auto"/>
              <w:jc w:val="center"/>
              <w:rPr>
                <w:bCs/>
                <w:color w:val="auto"/>
                <w:sz w:val="21"/>
                <w:szCs w:val="21"/>
              </w:rPr>
            </w:pPr>
            <w:r>
              <w:rPr>
                <w:rFonts w:hint="eastAsia"/>
                <w:bCs/>
                <w:color w:val="auto"/>
                <w:sz w:val="21"/>
                <w:szCs w:val="21"/>
              </w:rPr>
              <w:t>大部分致臭物</w:t>
            </w:r>
          </w:p>
          <w:p>
            <w:pPr>
              <w:spacing w:line="360" w:lineRule="auto"/>
              <w:jc w:val="center"/>
              <w:rPr>
                <w:bCs/>
                <w:color w:val="auto"/>
                <w:sz w:val="21"/>
                <w:szCs w:val="21"/>
              </w:rPr>
            </w:pPr>
            <w:r>
              <w:rPr>
                <w:rFonts w:hint="eastAsia"/>
                <w:bCs/>
                <w:color w:val="auto"/>
                <w:sz w:val="21"/>
                <w:szCs w:val="21"/>
              </w:rPr>
              <w:t>质，再进行臭</w:t>
            </w:r>
          </w:p>
          <w:p>
            <w:pPr>
              <w:spacing w:line="360" w:lineRule="auto"/>
              <w:jc w:val="center"/>
              <w:rPr>
                <w:bCs/>
                <w:color w:val="auto"/>
                <w:sz w:val="21"/>
                <w:szCs w:val="21"/>
              </w:rPr>
            </w:pPr>
            <w:r>
              <w:rPr>
                <w:rFonts w:hint="eastAsia"/>
                <w:bCs/>
                <w:color w:val="auto"/>
                <w:sz w:val="21"/>
                <w:szCs w:val="21"/>
              </w:rPr>
              <w:t>氧氧化</w:t>
            </w:r>
          </w:p>
        </w:tc>
        <w:tc>
          <w:tcPr>
            <w:tcW w:w="1618" w:type="dxa"/>
            <w:vAlign w:val="center"/>
          </w:tcPr>
          <w:p>
            <w:pPr>
              <w:spacing w:line="360" w:lineRule="auto"/>
              <w:jc w:val="center"/>
              <w:rPr>
                <w:bCs/>
                <w:color w:val="auto"/>
                <w:sz w:val="21"/>
                <w:szCs w:val="21"/>
              </w:rPr>
            </w:pPr>
            <w:r>
              <w:rPr>
                <w:rFonts w:hint="eastAsia"/>
                <w:bCs/>
                <w:color w:val="auto"/>
                <w:sz w:val="21"/>
                <w:szCs w:val="21"/>
              </w:rPr>
              <w:t>有直接燃烧法</w:t>
            </w:r>
          </w:p>
          <w:p>
            <w:pPr>
              <w:spacing w:line="360" w:lineRule="auto"/>
              <w:jc w:val="center"/>
              <w:rPr>
                <w:bCs/>
                <w:color w:val="auto"/>
                <w:sz w:val="21"/>
                <w:szCs w:val="21"/>
              </w:rPr>
            </w:pPr>
            <w:r>
              <w:rPr>
                <w:rFonts w:hint="eastAsia"/>
                <w:bCs/>
                <w:color w:val="auto"/>
                <w:sz w:val="21"/>
                <w:szCs w:val="21"/>
              </w:rPr>
              <w:t>和触煤燃烧</w:t>
            </w:r>
          </w:p>
          <w:p>
            <w:pPr>
              <w:spacing w:line="360" w:lineRule="auto"/>
              <w:jc w:val="center"/>
              <w:rPr>
                <w:bCs/>
                <w:color w:val="auto"/>
                <w:sz w:val="21"/>
                <w:szCs w:val="21"/>
              </w:rPr>
            </w:pPr>
            <w:r>
              <w:rPr>
                <w:rFonts w:hint="eastAsia"/>
                <w:bCs/>
                <w:color w:val="auto"/>
                <w:sz w:val="21"/>
                <w:szCs w:val="21"/>
              </w:rPr>
              <w:t>法。根据臭气</w:t>
            </w:r>
          </w:p>
          <w:p>
            <w:pPr>
              <w:spacing w:line="360" w:lineRule="auto"/>
              <w:jc w:val="center"/>
              <w:rPr>
                <w:bCs/>
                <w:color w:val="auto"/>
                <w:sz w:val="21"/>
                <w:szCs w:val="21"/>
              </w:rPr>
            </w:pPr>
            <w:r>
              <w:rPr>
                <w:rFonts w:hint="eastAsia"/>
                <w:bCs/>
                <w:color w:val="auto"/>
                <w:sz w:val="21"/>
                <w:szCs w:val="21"/>
              </w:rPr>
              <w:t>的特点，但温</w:t>
            </w:r>
          </w:p>
          <w:p>
            <w:pPr>
              <w:spacing w:line="360" w:lineRule="auto"/>
              <w:jc w:val="center"/>
              <w:rPr>
                <w:bCs/>
                <w:color w:val="auto"/>
                <w:sz w:val="21"/>
                <w:szCs w:val="21"/>
              </w:rPr>
            </w:pPr>
            <w:r>
              <w:rPr>
                <w:rFonts w:hint="eastAsia"/>
                <w:bCs/>
                <w:color w:val="auto"/>
                <w:sz w:val="21"/>
                <w:szCs w:val="21"/>
              </w:rPr>
              <w:t>度达到 648摄</w:t>
            </w:r>
          </w:p>
          <w:p>
            <w:pPr>
              <w:spacing w:line="360" w:lineRule="auto"/>
              <w:jc w:val="center"/>
              <w:rPr>
                <w:bCs/>
                <w:color w:val="auto"/>
                <w:sz w:val="21"/>
                <w:szCs w:val="21"/>
              </w:rPr>
            </w:pPr>
            <w:r>
              <w:rPr>
                <w:rFonts w:hint="eastAsia"/>
                <w:bCs/>
                <w:color w:val="auto"/>
                <w:sz w:val="21"/>
                <w:szCs w:val="21"/>
              </w:rPr>
              <w:t>氏度，接触时</w:t>
            </w:r>
          </w:p>
          <w:p>
            <w:pPr>
              <w:spacing w:line="360" w:lineRule="auto"/>
              <w:jc w:val="center"/>
              <w:rPr>
                <w:bCs/>
                <w:color w:val="auto"/>
                <w:sz w:val="21"/>
                <w:szCs w:val="21"/>
              </w:rPr>
            </w:pPr>
            <w:r>
              <w:rPr>
                <w:rFonts w:hint="eastAsia"/>
                <w:bCs/>
                <w:color w:val="auto"/>
                <w:sz w:val="21"/>
                <w:szCs w:val="21"/>
              </w:rPr>
              <w:t>间 0.3秒以上</w:t>
            </w:r>
          </w:p>
          <w:p>
            <w:pPr>
              <w:spacing w:line="360" w:lineRule="auto"/>
              <w:jc w:val="center"/>
              <w:rPr>
                <w:bCs/>
                <w:color w:val="auto"/>
                <w:sz w:val="21"/>
                <w:szCs w:val="21"/>
              </w:rPr>
            </w:pPr>
            <w:r>
              <w:rPr>
                <w:rFonts w:hint="eastAsia"/>
                <w:bCs/>
                <w:color w:val="auto"/>
                <w:sz w:val="21"/>
                <w:szCs w:val="21"/>
              </w:rPr>
              <w:t>时， 臭气会直接</w:t>
            </w:r>
          </w:p>
          <w:p>
            <w:pPr>
              <w:spacing w:line="360" w:lineRule="auto"/>
              <w:jc w:val="center"/>
              <w:rPr>
                <w:bCs/>
                <w:color w:val="auto"/>
                <w:sz w:val="21"/>
                <w:szCs w:val="21"/>
              </w:rPr>
            </w:pPr>
            <w:r>
              <w:rPr>
                <w:rFonts w:hint="eastAsia"/>
                <w:bCs/>
                <w:color w:val="auto"/>
                <w:sz w:val="21"/>
                <w:szCs w:val="21"/>
              </w:rPr>
              <w:t>燃烧，达到除</w:t>
            </w:r>
          </w:p>
          <w:p>
            <w:pPr>
              <w:spacing w:line="360" w:lineRule="auto"/>
              <w:jc w:val="center"/>
              <w:rPr>
                <w:bCs/>
                <w:color w:val="auto"/>
                <w:sz w:val="21"/>
                <w:szCs w:val="21"/>
              </w:rPr>
            </w:pPr>
            <w:r>
              <w:rPr>
                <w:rFonts w:hint="eastAsia"/>
                <w:bCs/>
                <w:color w:val="auto"/>
                <w:sz w:val="21"/>
                <w:szCs w:val="21"/>
              </w:rPr>
              <w:t>臭的目的</w:t>
            </w:r>
          </w:p>
        </w:tc>
        <w:tc>
          <w:tcPr>
            <w:tcW w:w="1618" w:type="dxa"/>
            <w:vAlign w:val="center"/>
          </w:tcPr>
          <w:p>
            <w:pPr>
              <w:spacing w:line="360" w:lineRule="auto"/>
              <w:jc w:val="center"/>
              <w:rPr>
                <w:bCs/>
                <w:color w:val="auto"/>
                <w:sz w:val="21"/>
                <w:szCs w:val="21"/>
              </w:rPr>
            </w:pPr>
            <w:r>
              <w:rPr>
                <w:rFonts w:hint="eastAsia"/>
                <w:bCs/>
                <w:color w:val="auto"/>
                <w:sz w:val="21"/>
                <w:szCs w:val="21"/>
              </w:rPr>
              <w:t>采用雾化设备</w:t>
            </w:r>
          </w:p>
          <w:p>
            <w:pPr>
              <w:spacing w:line="360" w:lineRule="auto"/>
              <w:jc w:val="center"/>
              <w:rPr>
                <w:bCs/>
                <w:color w:val="auto"/>
                <w:sz w:val="21"/>
                <w:szCs w:val="21"/>
              </w:rPr>
            </w:pPr>
            <w:r>
              <w:rPr>
                <w:rFonts w:hint="eastAsia"/>
                <w:bCs/>
                <w:color w:val="auto"/>
                <w:sz w:val="21"/>
                <w:szCs w:val="21"/>
              </w:rPr>
              <w:t>将纯天然植物</w:t>
            </w:r>
          </w:p>
          <w:p>
            <w:pPr>
              <w:spacing w:line="360" w:lineRule="auto"/>
              <w:jc w:val="center"/>
              <w:rPr>
                <w:bCs/>
                <w:color w:val="auto"/>
                <w:sz w:val="21"/>
                <w:szCs w:val="21"/>
              </w:rPr>
            </w:pPr>
            <w:r>
              <w:rPr>
                <w:rFonts w:hint="eastAsia"/>
                <w:bCs/>
                <w:color w:val="auto"/>
                <w:sz w:val="21"/>
                <w:szCs w:val="21"/>
              </w:rPr>
              <w:t>提取液喷洒形</w:t>
            </w:r>
          </w:p>
          <w:p>
            <w:pPr>
              <w:spacing w:line="360" w:lineRule="auto"/>
              <w:jc w:val="center"/>
              <w:rPr>
                <w:bCs/>
                <w:color w:val="auto"/>
                <w:sz w:val="21"/>
                <w:szCs w:val="21"/>
              </w:rPr>
            </w:pPr>
            <w:r>
              <w:rPr>
                <w:rFonts w:hint="eastAsia"/>
                <w:bCs/>
                <w:color w:val="auto"/>
                <w:sz w:val="21"/>
                <w:szCs w:val="21"/>
              </w:rPr>
              <w:t>成具有很大比</w:t>
            </w:r>
          </w:p>
          <w:p>
            <w:pPr>
              <w:spacing w:line="360" w:lineRule="auto"/>
              <w:jc w:val="center"/>
              <w:rPr>
                <w:bCs/>
                <w:color w:val="auto"/>
                <w:sz w:val="21"/>
                <w:szCs w:val="21"/>
              </w:rPr>
            </w:pPr>
            <w:r>
              <w:rPr>
                <w:rFonts w:hint="eastAsia"/>
                <w:bCs/>
                <w:color w:val="auto"/>
                <w:sz w:val="21"/>
                <w:szCs w:val="21"/>
              </w:rPr>
              <w:t>表面积的小雾</w:t>
            </w:r>
          </w:p>
          <w:p>
            <w:pPr>
              <w:spacing w:line="360" w:lineRule="auto"/>
              <w:jc w:val="center"/>
              <w:rPr>
                <w:bCs/>
                <w:color w:val="auto"/>
                <w:sz w:val="21"/>
                <w:szCs w:val="21"/>
              </w:rPr>
            </w:pPr>
            <w:r>
              <w:rPr>
                <w:rFonts w:hint="eastAsia"/>
                <w:bCs/>
                <w:color w:val="auto"/>
                <w:sz w:val="21"/>
                <w:szCs w:val="21"/>
              </w:rPr>
              <w:t>粒，吸附空气</w:t>
            </w:r>
          </w:p>
          <w:p>
            <w:pPr>
              <w:spacing w:line="360" w:lineRule="auto"/>
              <w:jc w:val="center"/>
              <w:rPr>
                <w:bCs/>
                <w:color w:val="auto"/>
                <w:sz w:val="21"/>
                <w:szCs w:val="21"/>
              </w:rPr>
            </w:pPr>
            <w:r>
              <w:rPr>
                <w:rFonts w:hint="eastAsia"/>
                <w:bCs/>
                <w:color w:val="auto"/>
                <w:sz w:val="21"/>
                <w:szCs w:val="21"/>
              </w:rPr>
              <w:t>中的臭气分子</w:t>
            </w:r>
          </w:p>
          <w:p>
            <w:pPr>
              <w:spacing w:line="360" w:lineRule="auto"/>
              <w:jc w:val="center"/>
              <w:rPr>
                <w:bCs/>
                <w:color w:val="auto"/>
                <w:sz w:val="21"/>
                <w:szCs w:val="21"/>
              </w:rPr>
            </w:pPr>
            <w:r>
              <w:rPr>
                <w:rFonts w:hint="eastAsia"/>
                <w:bCs/>
                <w:color w:val="auto"/>
                <w:sz w:val="21"/>
                <w:szCs w:val="21"/>
              </w:rPr>
              <w:t>进行反应或催</w:t>
            </w:r>
          </w:p>
          <w:p>
            <w:pPr>
              <w:spacing w:line="360" w:lineRule="auto"/>
              <w:jc w:val="center"/>
              <w:rPr>
                <w:bCs/>
                <w:color w:val="auto"/>
                <w:sz w:val="21"/>
                <w:szCs w:val="21"/>
              </w:rPr>
            </w:pPr>
            <w:r>
              <w:rPr>
                <w:rFonts w:hint="eastAsia"/>
                <w:bCs/>
                <w:color w:val="auto"/>
                <w:sz w:val="21"/>
                <w:szCs w:val="21"/>
              </w:rPr>
              <w:t>化与空气中的</w:t>
            </w:r>
          </w:p>
          <w:p>
            <w:pPr>
              <w:spacing w:line="360" w:lineRule="auto"/>
              <w:jc w:val="center"/>
              <w:rPr>
                <w:bCs/>
                <w:color w:val="auto"/>
                <w:sz w:val="21"/>
                <w:szCs w:val="21"/>
              </w:rPr>
            </w:pPr>
            <w:r>
              <w:rPr>
                <w:rFonts w:hint="eastAsia"/>
                <w:bCs/>
                <w:color w:val="auto"/>
                <w:sz w:val="21"/>
                <w:szCs w:val="21"/>
              </w:rPr>
              <w:t>氧气反应，生成</w:t>
            </w:r>
          </w:p>
          <w:p>
            <w:pPr>
              <w:spacing w:line="360" w:lineRule="auto"/>
              <w:jc w:val="center"/>
              <w:rPr>
                <w:bCs/>
                <w:color w:val="auto"/>
                <w:sz w:val="21"/>
                <w:szCs w:val="21"/>
              </w:rPr>
            </w:pPr>
            <w:r>
              <w:rPr>
                <w:rFonts w:hint="eastAsia"/>
                <w:bCs/>
                <w:color w:val="auto"/>
                <w:sz w:val="21"/>
                <w:szCs w:val="21"/>
              </w:rPr>
              <w:t>无味、 无二次污</w:t>
            </w:r>
          </w:p>
          <w:p>
            <w:pPr>
              <w:spacing w:line="360" w:lineRule="auto"/>
              <w:jc w:val="center"/>
              <w:rPr>
                <w:bCs/>
                <w:color w:val="auto"/>
                <w:sz w:val="21"/>
                <w:szCs w:val="21"/>
              </w:rPr>
            </w:pPr>
            <w:r>
              <w:rPr>
                <w:rFonts w:hint="eastAsia"/>
                <w:bCs/>
                <w:color w:val="auto"/>
                <w:sz w:val="21"/>
                <w:szCs w:val="21"/>
              </w:rPr>
              <w:t>染的产物</w:t>
            </w:r>
          </w:p>
        </w:tc>
        <w:tc>
          <w:tcPr>
            <w:tcW w:w="1618" w:type="dxa"/>
            <w:vAlign w:val="center"/>
          </w:tcPr>
          <w:p>
            <w:pPr>
              <w:spacing w:line="360" w:lineRule="auto"/>
              <w:jc w:val="center"/>
              <w:rPr>
                <w:bCs/>
                <w:color w:val="auto"/>
                <w:sz w:val="21"/>
                <w:szCs w:val="21"/>
              </w:rPr>
            </w:pPr>
            <w:r>
              <w:rPr>
                <w:rFonts w:hint="eastAsia"/>
                <w:bCs/>
                <w:color w:val="auto"/>
                <w:sz w:val="21"/>
                <w:szCs w:val="21"/>
              </w:rPr>
              <w:t>利用各除臭工</w:t>
            </w:r>
          </w:p>
          <w:p>
            <w:pPr>
              <w:spacing w:line="360" w:lineRule="auto"/>
              <w:jc w:val="center"/>
              <w:rPr>
                <w:bCs/>
                <w:color w:val="auto"/>
                <w:sz w:val="21"/>
                <w:szCs w:val="21"/>
              </w:rPr>
            </w:pPr>
            <w:r>
              <w:rPr>
                <w:rFonts w:hint="eastAsia"/>
                <w:bCs/>
                <w:color w:val="auto"/>
                <w:sz w:val="21"/>
                <w:szCs w:val="21"/>
              </w:rPr>
              <w:t>艺特点，有机组</w:t>
            </w:r>
          </w:p>
          <w:p>
            <w:pPr>
              <w:spacing w:line="360" w:lineRule="auto"/>
              <w:jc w:val="center"/>
              <w:rPr>
                <w:bCs/>
                <w:color w:val="auto"/>
                <w:sz w:val="21"/>
                <w:szCs w:val="21"/>
              </w:rPr>
            </w:pPr>
            <w:r>
              <w:rPr>
                <w:rFonts w:hint="eastAsia"/>
                <w:bCs/>
                <w:color w:val="auto"/>
                <w:sz w:val="21"/>
                <w:szCs w:val="21"/>
              </w:rPr>
              <w:t>合，以满足较</w:t>
            </w:r>
          </w:p>
          <w:p>
            <w:pPr>
              <w:spacing w:line="360" w:lineRule="auto"/>
              <w:jc w:val="center"/>
              <w:rPr>
                <w:bCs/>
                <w:color w:val="auto"/>
                <w:sz w:val="21"/>
                <w:szCs w:val="21"/>
              </w:rPr>
            </w:pPr>
            <w:r>
              <w:rPr>
                <w:rFonts w:hint="eastAsia"/>
                <w:bCs/>
                <w:color w:val="auto"/>
                <w:sz w:val="21"/>
                <w:szCs w:val="21"/>
              </w:rPr>
              <w:t>高除臭要求的</w:t>
            </w:r>
          </w:p>
          <w:p>
            <w:pPr>
              <w:spacing w:line="360" w:lineRule="auto"/>
              <w:jc w:val="center"/>
              <w:rPr>
                <w:bCs/>
                <w:color w:val="auto"/>
                <w:sz w:val="21"/>
                <w:szCs w:val="21"/>
              </w:rPr>
            </w:pPr>
            <w:r>
              <w:rPr>
                <w:rFonts w:hint="eastAsia"/>
                <w:bCs/>
                <w:color w:val="auto"/>
                <w:sz w:val="21"/>
                <w:szCs w:val="21"/>
              </w:rPr>
              <w:t>除臭工艺。</w:t>
            </w:r>
          </w:p>
        </w:tc>
        <w:tc>
          <w:tcPr>
            <w:tcW w:w="1618" w:type="dxa"/>
            <w:vAlign w:val="center"/>
          </w:tcPr>
          <w:p>
            <w:pPr>
              <w:spacing w:line="360" w:lineRule="auto"/>
              <w:jc w:val="center"/>
              <w:rPr>
                <w:bCs/>
                <w:color w:val="auto"/>
                <w:sz w:val="21"/>
                <w:szCs w:val="21"/>
              </w:rPr>
            </w:pPr>
            <w:r>
              <w:rPr>
                <w:rFonts w:hint="eastAsia"/>
                <w:bCs/>
                <w:color w:val="auto"/>
                <w:sz w:val="21"/>
                <w:szCs w:val="21"/>
              </w:rPr>
              <w:t>利用臭气中的</w:t>
            </w:r>
          </w:p>
          <w:p>
            <w:pPr>
              <w:spacing w:line="360" w:lineRule="auto"/>
              <w:jc w:val="center"/>
              <w:rPr>
                <w:bCs/>
                <w:color w:val="auto"/>
                <w:sz w:val="21"/>
                <w:szCs w:val="21"/>
              </w:rPr>
            </w:pPr>
            <w:r>
              <w:rPr>
                <w:rFonts w:hint="eastAsia"/>
                <w:bCs/>
                <w:color w:val="auto"/>
                <w:sz w:val="21"/>
                <w:szCs w:val="21"/>
              </w:rPr>
              <w:t>某些物质和药</w:t>
            </w:r>
          </w:p>
          <w:p>
            <w:pPr>
              <w:spacing w:line="360" w:lineRule="auto"/>
              <w:jc w:val="center"/>
              <w:rPr>
                <w:bCs/>
                <w:color w:val="auto"/>
                <w:sz w:val="21"/>
                <w:szCs w:val="21"/>
              </w:rPr>
            </w:pPr>
            <w:r>
              <w:rPr>
                <w:rFonts w:hint="eastAsia"/>
                <w:bCs/>
                <w:color w:val="auto"/>
                <w:sz w:val="21"/>
                <w:szCs w:val="21"/>
              </w:rPr>
              <w:t>液产生中和反</w:t>
            </w:r>
          </w:p>
          <w:p>
            <w:pPr>
              <w:spacing w:line="360" w:lineRule="auto"/>
              <w:jc w:val="center"/>
              <w:rPr>
                <w:bCs/>
                <w:color w:val="auto"/>
                <w:sz w:val="21"/>
                <w:szCs w:val="21"/>
              </w:rPr>
            </w:pPr>
            <w:r>
              <w:rPr>
                <w:rFonts w:hint="eastAsia"/>
                <w:bCs/>
                <w:color w:val="auto"/>
                <w:sz w:val="21"/>
                <w:szCs w:val="21"/>
              </w:rPr>
              <w:t>应的特性，去除</w:t>
            </w:r>
          </w:p>
          <w:p>
            <w:pPr>
              <w:spacing w:line="360" w:lineRule="auto"/>
              <w:jc w:val="center"/>
              <w:rPr>
                <w:bCs/>
                <w:color w:val="auto"/>
                <w:sz w:val="21"/>
                <w:szCs w:val="21"/>
              </w:rPr>
            </w:pPr>
            <w:r>
              <w:rPr>
                <w:rFonts w:hint="eastAsia"/>
                <w:bCs/>
                <w:color w:val="auto"/>
                <w:sz w:val="21"/>
                <w:szCs w:val="21"/>
              </w:rPr>
              <w:t>臭气中的酸性</w:t>
            </w:r>
          </w:p>
          <w:p>
            <w:pPr>
              <w:spacing w:line="360" w:lineRule="auto"/>
              <w:jc w:val="center"/>
              <w:rPr>
                <w:bCs/>
                <w:color w:val="auto"/>
                <w:sz w:val="21"/>
                <w:szCs w:val="21"/>
              </w:rPr>
            </w:pPr>
            <w:r>
              <w:rPr>
                <w:rFonts w:hint="eastAsia"/>
                <w:bCs/>
                <w:color w:val="auto"/>
                <w:sz w:val="21"/>
                <w:szCs w:val="21"/>
              </w:rPr>
              <w:t>或碱性物质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617" w:type="dxa"/>
            <w:vAlign w:val="center"/>
          </w:tcPr>
          <w:p>
            <w:pPr>
              <w:spacing w:line="360" w:lineRule="auto"/>
              <w:jc w:val="center"/>
              <w:rPr>
                <w:bCs/>
                <w:color w:val="auto"/>
                <w:sz w:val="21"/>
                <w:szCs w:val="21"/>
              </w:rPr>
            </w:pPr>
            <w:r>
              <w:rPr>
                <w:rFonts w:hint="eastAsia"/>
                <w:bCs/>
                <w:color w:val="auto"/>
                <w:sz w:val="21"/>
                <w:szCs w:val="21"/>
              </w:rPr>
              <w:t>设备</w:t>
            </w:r>
          </w:p>
          <w:p>
            <w:pPr>
              <w:spacing w:line="360" w:lineRule="auto"/>
              <w:jc w:val="center"/>
              <w:rPr>
                <w:bCs/>
                <w:color w:val="auto"/>
                <w:sz w:val="21"/>
                <w:szCs w:val="21"/>
              </w:rPr>
            </w:pPr>
            <w:r>
              <w:rPr>
                <w:rFonts w:hint="eastAsia"/>
                <w:bCs/>
                <w:color w:val="auto"/>
                <w:sz w:val="21"/>
                <w:szCs w:val="21"/>
              </w:rPr>
              <w:t>初期投资</w:t>
            </w:r>
          </w:p>
          <w:p>
            <w:pPr>
              <w:spacing w:line="360" w:lineRule="auto"/>
              <w:jc w:val="center"/>
              <w:rPr>
                <w:bCs/>
                <w:color w:val="auto"/>
                <w:sz w:val="21"/>
                <w:szCs w:val="21"/>
              </w:rPr>
            </w:pPr>
            <w:r>
              <w:rPr>
                <w:rFonts w:hint="eastAsia"/>
                <w:bCs/>
                <w:color w:val="auto"/>
                <w:sz w:val="21"/>
                <w:szCs w:val="21"/>
              </w:rPr>
              <w:t>费用</w:t>
            </w:r>
          </w:p>
        </w:tc>
        <w:tc>
          <w:tcPr>
            <w:tcW w:w="1617" w:type="dxa"/>
            <w:vAlign w:val="center"/>
          </w:tcPr>
          <w:p>
            <w:pPr>
              <w:spacing w:line="360" w:lineRule="auto"/>
              <w:jc w:val="center"/>
              <w:rPr>
                <w:bCs/>
                <w:color w:val="auto"/>
                <w:sz w:val="21"/>
                <w:szCs w:val="21"/>
              </w:rPr>
            </w:pPr>
            <w:r>
              <w:rPr>
                <w:rFonts w:hint="eastAsia"/>
                <w:bCs/>
                <w:color w:val="auto"/>
                <w:sz w:val="21"/>
                <w:szCs w:val="21"/>
              </w:rPr>
              <w:t>高</w:t>
            </w:r>
          </w:p>
        </w:tc>
        <w:tc>
          <w:tcPr>
            <w:tcW w:w="1617" w:type="dxa"/>
            <w:vAlign w:val="center"/>
          </w:tcPr>
          <w:p>
            <w:pPr>
              <w:spacing w:line="360" w:lineRule="auto"/>
              <w:jc w:val="center"/>
              <w:rPr>
                <w:bCs/>
                <w:color w:val="auto"/>
                <w:sz w:val="21"/>
                <w:szCs w:val="21"/>
              </w:rPr>
            </w:pPr>
            <w:r>
              <w:rPr>
                <w:rFonts w:hint="eastAsia"/>
                <w:bCs/>
                <w:color w:val="auto"/>
                <w:sz w:val="21"/>
                <w:szCs w:val="21"/>
              </w:rPr>
              <w:t>较高</w:t>
            </w:r>
          </w:p>
        </w:tc>
        <w:tc>
          <w:tcPr>
            <w:tcW w:w="1618" w:type="dxa"/>
            <w:vAlign w:val="center"/>
          </w:tcPr>
          <w:p>
            <w:pPr>
              <w:spacing w:line="360" w:lineRule="auto"/>
              <w:jc w:val="center"/>
              <w:rPr>
                <w:bCs/>
                <w:color w:val="auto"/>
                <w:sz w:val="21"/>
                <w:szCs w:val="21"/>
              </w:rPr>
            </w:pPr>
            <w:r>
              <w:rPr>
                <w:rFonts w:hint="eastAsia"/>
                <w:bCs/>
                <w:color w:val="auto"/>
                <w:sz w:val="21"/>
                <w:szCs w:val="21"/>
              </w:rPr>
              <w:t>较高</w:t>
            </w:r>
          </w:p>
        </w:tc>
        <w:tc>
          <w:tcPr>
            <w:tcW w:w="1618" w:type="dxa"/>
            <w:vAlign w:val="center"/>
          </w:tcPr>
          <w:p>
            <w:pPr>
              <w:spacing w:line="360" w:lineRule="auto"/>
              <w:jc w:val="center"/>
              <w:rPr>
                <w:bCs/>
                <w:color w:val="auto"/>
                <w:sz w:val="21"/>
                <w:szCs w:val="21"/>
              </w:rPr>
            </w:pPr>
            <w:r>
              <w:rPr>
                <w:rFonts w:hint="eastAsia"/>
                <w:bCs/>
                <w:color w:val="auto"/>
                <w:sz w:val="21"/>
                <w:szCs w:val="21"/>
              </w:rPr>
              <w:t>较高</w:t>
            </w:r>
          </w:p>
        </w:tc>
        <w:tc>
          <w:tcPr>
            <w:tcW w:w="1618" w:type="dxa"/>
            <w:vAlign w:val="center"/>
          </w:tcPr>
          <w:p>
            <w:pPr>
              <w:spacing w:line="360" w:lineRule="auto"/>
              <w:jc w:val="center"/>
              <w:rPr>
                <w:bCs/>
                <w:color w:val="auto"/>
                <w:sz w:val="21"/>
                <w:szCs w:val="21"/>
              </w:rPr>
            </w:pPr>
            <w:r>
              <w:rPr>
                <w:rFonts w:hint="eastAsia"/>
                <w:bCs/>
                <w:color w:val="auto"/>
                <w:sz w:val="21"/>
                <w:szCs w:val="21"/>
              </w:rPr>
              <w:t>高</w:t>
            </w:r>
          </w:p>
        </w:tc>
        <w:tc>
          <w:tcPr>
            <w:tcW w:w="1618" w:type="dxa"/>
            <w:vAlign w:val="center"/>
          </w:tcPr>
          <w:p>
            <w:pPr>
              <w:spacing w:line="360" w:lineRule="auto"/>
              <w:jc w:val="center"/>
              <w:rPr>
                <w:bCs/>
                <w:color w:val="auto"/>
                <w:sz w:val="21"/>
                <w:szCs w:val="21"/>
              </w:rPr>
            </w:pPr>
            <w:r>
              <w:rPr>
                <w:rFonts w:hint="eastAsia"/>
                <w:bCs/>
                <w:color w:val="auto"/>
                <w:sz w:val="21"/>
                <w:szCs w:val="21"/>
              </w:rPr>
              <w:t>低</w:t>
            </w:r>
          </w:p>
        </w:tc>
        <w:tc>
          <w:tcPr>
            <w:tcW w:w="1618" w:type="dxa"/>
            <w:vAlign w:val="center"/>
          </w:tcPr>
          <w:p>
            <w:pPr>
              <w:spacing w:line="360" w:lineRule="auto"/>
              <w:jc w:val="center"/>
              <w:rPr>
                <w:bCs/>
                <w:color w:val="auto"/>
                <w:sz w:val="21"/>
                <w:szCs w:val="21"/>
              </w:rPr>
            </w:pPr>
            <w:r>
              <w:rPr>
                <w:rFonts w:hint="eastAsia"/>
                <w:bCs/>
                <w:color w:val="auto"/>
                <w:sz w:val="21"/>
                <w:szCs w:val="21"/>
              </w:rPr>
              <w:t>高</w:t>
            </w:r>
          </w:p>
        </w:tc>
        <w:tc>
          <w:tcPr>
            <w:tcW w:w="1618" w:type="dxa"/>
            <w:vAlign w:val="center"/>
          </w:tcPr>
          <w:p>
            <w:pPr>
              <w:spacing w:line="360" w:lineRule="auto"/>
              <w:jc w:val="center"/>
              <w:rPr>
                <w:bCs/>
                <w:color w:val="auto"/>
                <w:sz w:val="21"/>
                <w:szCs w:val="21"/>
              </w:rPr>
            </w:pPr>
            <w:r>
              <w:rPr>
                <w:rFonts w:hint="eastAsia"/>
                <w:bCs/>
                <w:color w:val="auto"/>
                <w:sz w:val="21"/>
                <w:szCs w:val="21"/>
              </w:rPr>
              <w:t>中等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617" w:type="dxa"/>
            <w:vAlign w:val="center"/>
          </w:tcPr>
          <w:p>
            <w:pPr>
              <w:spacing w:line="360" w:lineRule="auto"/>
              <w:jc w:val="center"/>
              <w:rPr>
                <w:bCs/>
                <w:color w:val="auto"/>
                <w:sz w:val="21"/>
                <w:szCs w:val="21"/>
              </w:rPr>
            </w:pPr>
            <w:r>
              <w:rPr>
                <w:rFonts w:hint="eastAsia"/>
                <w:bCs/>
                <w:color w:val="auto"/>
                <w:sz w:val="21"/>
                <w:szCs w:val="21"/>
              </w:rPr>
              <w:t>运行</w:t>
            </w:r>
          </w:p>
          <w:p>
            <w:pPr>
              <w:spacing w:line="360" w:lineRule="auto"/>
              <w:jc w:val="center"/>
              <w:rPr>
                <w:bCs/>
                <w:color w:val="auto"/>
                <w:sz w:val="21"/>
                <w:szCs w:val="21"/>
              </w:rPr>
            </w:pPr>
            <w:r>
              <w:rPr>
                <w:rFonts w:hint="eastAsia"/>
                <w:bCs/>
                <w:color w:val="auto"/>
                <w:sz w:val="21"/>
                <w:szCs w:val="21"/>
              </w:rPr>
              <w:t>管理</w:t>
            </w:r>
          </w:p>
          <w:p>
            <w:pPr>
              <w:spacing w:line="360" w:lineRule="auto"/>
              <w:jc w:val="center"/>
              <w:rPr>
                <w:bCs/>
                <w:color w:val="auto"/>
                <w:sz w:val="21"/>
                <w:szCs w:val="21"/>
              </w:rPr>
            </w:pPr>
            <w:r>
              <w:rPr>
                <w:rFonts w:hint="eastAsia"/>
                <w:bCs/>
                <w:color w:val="auto"/>
                <w:sz w:val="21"/>
                <w:szCs w:val="21"/>
              </w:rPr>
              <w:t>成本</w:t>
            </w:r>
          </w:p>
        </w:tc>
        <w:tc>
          <w:tcPr>
            <w:tcW w:w="1617" w:type="dxa"/>
            <w:vAlign w:val="center"/>
          </w:tcPr>
          <w:p>
            <w:pPr>
              <w:spacing w:line="360" w:lineRule="auto"/>
              <w:jc w:val="center"/>
              <w:rPr>
                <w:bCs/>
                <w:color w:val="auto"/>
                <w:sz w:val="21"/>
                <w:szCs w:val="21"/>
              </w:rPr>
            </w:pPr>
            <w:r>
              <w:rPr>
                <w:rFonts w:hint="eastAsia"/>
                <w:bCs/>
                <w:color w:val="auto"/>
                <w:sz w:val="21"/>
                <w:szCs w:val="21"/>
              </w:rPr>
              <w:t>较高</w:t>
            </w:r>
          </w:p>
        </w:tc>
        <w:tc>
          <w:tcPr>
            <w:tcW w:w="1617" w:type="dxa"/>
            <w:vAlign w:val="center"/>
          </w:tcPr>
          <w:p>
            <w:pPr>
              <w:spacing w:line="360" w:lineRule="auto"/>
              <w:jc w:val="center"/>
              <w:rPr>
                <w:bCs/>
                <w:color w:val="auto"/>
                <w:sz w:val="21"/>
                <w:szCs w:val="21"/>
              </w:rPr>
            </w:pPr>
            <w:r>
              <w:rPr>
                <w:rFonts w:hint="eastAsia"/>
                <w:bCs/>
                <w:color w:val="auto"/>
                <w:sz w:val="21"/>
                <w:szCs w:val="21"/>
              </w:rPr>
              <w:t>低</w:t>
            </w:r>
          </w:p>
        </w:tc>
        <w:tc>
          <w:tcPr>
            <w:tcW w:w="1618" w:type="dxa"/>
            <w:vAlign w:val="center"/>
          </w:tcPr>
          <w:p>
            <w:pPr>
              <w:spacing w:line="360" w:lineRule="auto"/>
              <w:jc w:val="center"/>
              <w:rPr>
                <w:bCs/>
                <w:color w:val="auto"/>
                <w:sz w:val="21"/>
                <w:szCs w:val="21"/>
              </w:rPr>
            </w:pPr>
            <w:r>
              <w:rPr>
                <w:rFonts w:hint="eastAsia"/>
                <w:bCs/>
                <w:color w:val="auto"/>
                <w:sz w:val="21"/>
                <w:szCs w:val="21"/>
              </w:rPr>
              <w:t>高</w:t>
            </w:r>
          </w:p>
        </w:tc>
        <w:tc>
          <w:tcPr>
            <w:tcW w:w="1618" w:type="dxa"/>
            <w:vAlign w:val="center"/>
          </w:tcPr>
          <w:p>
            <w:pPr>
              <w:spacing w:line="360" w:lineRule="auto"/>
              <w:jc w:val="center"/>
              <w:rPr>
                <w:bCs/>
                <w:color w:val="auto"/>
                <w:sz w:val="21"/>
                <w:szCs w:val="21"/>
              </w:rPr>
            </w:pPr>
            <w:r>
              <w:rPr>
                <w:rFonts w:hint="eastAsia"/>
                <w:bCs/>
                <w:color w:val="auto"/>
                <w:sz w:val="21"/>
                <w:szCs w:val="21"/>
              </w:rPr>
              <w:t>较高</w:t>
            </w:r>
          </w:p>
        </w:tc>
        <w:tc>
          <w:tcPr>
            <w:tcW w:w="1618" w:type="dxa"/>
            <w:vAlign w:val="center"/>
          </w:tcPr>
          <w:p>
            <w:pPr>
              <w:spacing w:line="360" w:lineRule="auto"/>
              <w:jc w:val="center"/>
              <w:rPr>
                <w:bCs/>
                <w:color w:val="auto"/>
                <w:sz w:val="21"/>
                <w:szCs w:val="21"/>
              </w:rPr>
            </w:pPr>
            <w:r>
              <w:rPr>
                <w:rFonts w:hint="eastAsia"/>
                <w:bCs/>
                <w:color w:val="auto"/>
                <w:sz w:val="21"/>
                <w:szCs w:val="21"/>
              </w:rPr>
              <w:t>高</w:t>
            </w:r>
          </w:p>
        </w:tc>
        <w:tc>
          <w:tcPr>
            <w:tcW w:w="1618" w:type="dxa"/>
            <w:vAlign w:val="center"/>
          </w:tcPr>
          <w:p>
            <w:pPr>
              <w:spacing w:line="360" w:lineRule="auto"/>
              <w:jc w:val="center"/>
              <w:rPr>
                <w:bCs/>
                <w:color w:val="auto"/>
                <w:sz w:val="21"/>
                <w:szCs w:val="21"/>
              </w:rPr>
            </w:pPr>
            <w:r>
              <w:rPr>
                <w:rFonts w:hint="eastAsia"/>
                <w:bCs/>
                <w:color w:val="auto"/>
                <w:sz w:val="21"/>
                <w:szCs w:val="21"/>
              </w:rPr>
              <w:t>高</w:t>
            </w:r>
          </w:p>
        </w:tc>
        <w:tc>
          <w:tcPr>
            <w:tcW w:w="1618" w:type="dxa"/>
            <w:vAlign w:val="center"/>
          </w:tcPr>
          <w:p>
            <w:pPr>
              <w:spacing w:line="360" w:lineRule="auto"/>
              <w:jc w:val="center"/>
              <w:rPr>
                <w:bCs/>
                <w:color w:val="auto"/>
                <w:sz w:val="21"/>
                <w:szCs w:val="21"/>
              </w:rPr>
            </w:pPr>
            <w:r>
              <w:rPr>
                <w:rFonts w:hint="eastAsia"/>
                <w:bCs/>
                <w:color w:val="auto"/>
                <w:sz w:val="21"/>
                <w:szCs w:val="21"/>
              </w:rPr>
              <w:t>较高</w:t>
            </w:r>
          </w:p>
        </w:tc>
        <w:tc>
          <w:tcPr>
            <w:tcW w:w="1618" w:type="dxa"/>
            <w:vAlign w:val="center"/>
          </w:tcPr>
          <w:p>
            <w:pPr>
              <w:spacing w:line="360" w:lineRule="auto"/>
              <w:jc w:val="center"/>
              <w:rPr>
                <w:bCs/>
                <w:color w:val="auto"/>
                <w:sz w:val="21"/>
                <w:szCs w:val="21"/>
              </w:rPr>
            </w:pPr>
            <w:r>
              <w:rPr>
                <w:rFonts w:hint="eastAsia"/>
                <w:bCs/>
                <w:color w:val="auto"/>
                <w:sz w:val="21"/>
                <w:szCs w:val="21"/>
              </w:rPr>
              <w:t>较高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617" w:type="dxa"/>
            <w:vAlign w:val="center"/>
          </w:tcPr>
          <w:p>
            <w:pPr>
              <w:spacing w:line="360" w:lineRule="auto"/>
              <w:jc w:val="center"/>
              <w:rPr>
                <w:bCs/>
                <w:color w:val="auto"/>
                <w:sz w:val="21"/>
                <w:szCs w:val="21"/>
              </w:rPr>
            </w:pPr>
            <w:r>
              <w:rPr>
                <w:rFonts w:hint="eastAsia"/>
                <w:bCs/>
                <w:color w:val="auto"/>
                <w:sz w:val="21"/>
                <w:szCs w:val="21"/>
              </w:rPr>
              <w:t>占地</w:t>
            </w:r>
          </w:p>
          <w:p>
            <w:pPr>
              <w:spacing w:line="360" w:lineRule="auto"/>
              <w:jc w:val="center"/>
              <w:rPr>
                <w:bCs/>
                <w:color w:val="auto"/>
                <w:sz w:val="21"/>
                <w:szCs w:val="21"/>
              </w:rPr>
            </w:pPr>
            <w:r>
              <w:rPr>
                <w:rFonts w:hint="eastAsia"/>
                <w:bCs/>
                <w:color w:val="auto"/>
                <w:sz w:val="21"/>
                <w:szCs w:val="21"/>
              </w:rPr>
              <w:t>面积</w:t>
            </w:r>
          </w:p>
        </w:tc>
        <w:tc>
          <w:tcPr>
            <w:tcW w:w="1617" w:type="dxa"/>
            <w:vAlign w:val="center"/>
          </w:tcPr>
          <w:p>
            <w:pPr>
              <w:spacing w:line="360" w:lineRule="auto"/>
              <w:jc w:val="center"/>
              <w:rPr>
                <w:bCs/>
                <w:color w:val="auto"/>
                <w:sz w:val="21"/>
                <w:szCs w:val="21"/>
              </w:rPr>
            </w:pPr>
            <w:r>
              <w:rPr>
                <w:rFonts w:hint="eastAsia"/>
                <w:bCs/>
                <w:color w:val="auto"/>
                <w:sz w:val="21"/>
                <w:szCs w:val="21"/>
              </w:rPr>
              <w:t>较大</w:t>
            </w:r>
          </w:p>
        </w:tc>
        <w:tc>
          <w:tcPr>
            <w:tcW w:w="1617" w:type="dxa"/>
            <w:vAlign w:val="center"/>
          </w:tcPr>
          <w:p>
            <w:pPr>
              <w:spacing w:line="360" w:lineRule="auto"/>
              <w:jc w:val="center"/>
              <w:rPr>
                <w:bCs/>
                <w:color w:val="auto"/>
                <w:sz w:val="21"/>
                <w:szCs w:val="21"/>
              </w:rPr>
            </w:pPr>
            <w:r>
              <w:rPr>
                <w:rFonts w:hint="eastAsia"/>
                <w:bCs/>
                <w:color w:val="auto"/>
                <w:sz w:val="21"/>
                <w:szCs w:val="21"/>
              </w:rPr>
              <w:t>较小</w:t>
            </w:r>
          </w:p>
        </w:tc>
        <w:tc>
          <w:tcPr>
            <w:tcW w:w="1618" w:type="dxa"/>
            <w:vAlign w:val="center"/>
          </w:tcPr>
          <w:p>
            <w:pPr>
              <w:spacing w:line="360" w:lineRule="auto"/>
              <w:jc w:val="center"/>
              <w:rPr>
                <w:bCs/>
                <w:color w:val="auto"/>
                <w:sz w:val="21"/>
                <w:szCs w:val="21"/>
              </w:rPr>
            </w:pPr>
            <w:r>
              <w:rPr>
                <w:rFonts w:hint="eastAsia"/>
                <w:bCs/>
                <w:color w:val="auto"/>
                <w:sz w:val="21"/>
                <w:szCs w:val="21"/>
              </w:rPr>
              <w:t>较小</w:t>
            </w:r>
          </w:p>
        </w:tc>
        <w:tc>
          <w:tcPr>
            <w:tcW w:w="1618" w:type="dxa"/>
            <w:vAlign w:val="center"/>
          </w:tcPr>
          <w:p>
            <w:pPr>
              <w:spacing w:line="360" w:lineRule="auto"/>
              <w:jc w:val="center"/>
              <w:rPr>
                <w:bCs/>
                <w:color w:val="auto"/>
                <w:sz w:val="21"/>
                <w:szCs w:val="21"/>
              </w:rPr>
            </w:pPr>
            <w:r>
              <w:rPr>
                <w:rFonts w:hint="eastAsia"/>
                <w:bCs/>
                <w:color w:val="auto"/>
                <w:sz w:val="21"/>
                <w:szCs w:val="21"/>
              </w:rPr>
              <w:t>较大</w:t>
            </w:r>
          </w:p>
        </w:tc>
        <w:tc>
          <w:tcPr>
            <w:tcW w:w="1618" w:type="dxa"/>
            <w:vAlign w:val="center"/>
          </w:tcPr>
          <w:p>
            <w:pPr>
              <w:spacing w:line="360" w:lineRule="auto"/>
              <w:jc w:val="center"/>
              <w:rPr>
                <w:bCs/>
                <w:color w:val="auto"/>
                <w:sz w:val="21"/>
                <w:szCs w:val="21"/>
              </w:rPr>
            </w:pPr>
            <w:r>
              <w:rPr>
                <w:rFonts w:hint="eastAsia"/>
                <w:bCs/>
                <w:color w:val="auto"/>
                <w:sz w:val="21"/>
                <w:szCs w:val="21"/>
              </w:rPr>
              <w:t>较大</w:t>
            </w:r>
          </w:p>
        </w:tc>
        <w:tc>
          <w:tcPr>
            <w:tcW w:w="1618" w:type="dxa"/>
            <w:vAlign w:val="center"/>
          </w:tcPr>
          <w:p>
            <w:pPr>
              <w:spacing w:line="360" w:lineRule="auto"/>
              <w:jc w:val="center"/>
              <w:rPr>
                <w:bCs/>
                <w:color w:val="auto"/>
                <w:sz w:val="21"/>
                <w:szCs w:val="21"/>
              </w:rPr>
            </w:pPr>
            <w:r>
              <w:rPr>
                <w:rFonts w:hint="eastAsia"/>
                <w:bCs/>
                <w:color w:val="auto"/>
                <w:sz w:val="21"/>
                <w:szCs w:val="21"/>
              </w:rPr>
              <w:t>很小</w:t>
            </w:r>
          </w:p>
        </w:tc>
        <w:tc>
          <w:tcPr>
            <w:tcW w:w="1618" w:type="dxa"/>
            <w:vAlign w:val="center"/>
          </w:tcPr>
          <w:p>
            <w:pPr>
              <w:spacing w:line="360" w:lineRule="auto"/>
              <w:jc w:val="center"/>
              <w:rPr>
                <w:bCs/>
                <w:color w:val="auto"/>
                <w:sz w:val="21"/>
                <w:szCs w:val="21"/>
              </w:rPr>
            </w:pPr>
            <w:r>
              <w:rPr>
                <w:rFonts w:hint="eastAsia"/>
                <w:bCs/>
                <w:color w:val="auto"/>
                <w:sz w:val="21"/>
                <w:szCs w:val="21"/>
              </w:rPr>
              <w:t>较大</w:t>
            </w:r>
          </w:p>
        </w:tc>
        <w:tc>
          <w:tcPr>
            <w:tcW w:w="1618" w:type="dxa"/>
            <w:vAlign w:val="center"/>
          </w:tcPr>
          <w:p>
            <w:pPr>
              <w:spacing w:line="360" w:lineRule="auto"/>
              <w:jc w:val="center"/>
              <w:rPr>
                <w:bCs/>
                <w:color w:val="auto"/>
                <w:sz w:val="21"/>
                <w:szCs w:val="21"/>
              </w:rPr>
            </w:pPr>
            <w:r>
              <w:rPr>
                <w:rFonts w:hint="eastAsia"/>
                <w:bCs/>
                <w:color w:val="auto"/>
                <w:sz w:val="21"/>
                <w:szCs w:val="21"/>
              </w:rPr>
              <w:t>较大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617" w:type="dxa"/>
            <w:vAlign w:val="center"/>
          </w:tcPr>
          <w:p>
            <w:pPr>
              <w:spacing w:line="360" w:lineRule="auto"/>
              <w:jc w:val="center"/>
              <w:rPr>
                <w:bCs/>
                <w:color w:val="auto"/>
                <w:sz w:val="21"/>
                <w:szCs w:val="21"/>
              </w:rPr>
            </w:pPr>
            <w:r>
              <w:rPr>
                <w:rFonts w:hint="eastAsia"/>
                <w:bCs/>
                <w:color w:val="auto"/>
                <w:sz w:val="21"/>
                <w:szCs w:val="21"/>
              </w:rPr>
              <w:t>维护</w:t>
            </w:r>
          </w:p>
        </w:tc>
        <w:tc>
          <w:tcPr>
            <w:tcW w:w="1617" w:type="dxa"/>
            <w:vAlign w:val="center"/>
          </w:tcPr>
          <w:p>
            <w:pPr>
              <w:spacing w:line="360" w:lineRule="auto"/>
              <w:jc w:val="center"/>
              <w:rPr>
                <w:bCs/>
                <w:color w:val="auto"/>
                <w:sz w:val="21"/>
                <w:szCs w:val="21"/>
              </w:rPr>
            </w:pPr>
            <w:r>
              <w:rPr>
                <w:rFonts w:hint="eastAsia"/>
                <w:bCs/>
                <w:color w:val="auto"/>
                <w:sz w:val="21"/>
                <w:szCs w:val="21"/>
              </w:rPr>
              <w:t>系统设备维</w:t>
            </w:r>
          </w:p>
          <w:p>
            <w:pPr>
              <w:spacing w:line="360" w:lineRule="auto"/>
              <w:jc w:val="center"/>
              <w:rPr>
                <w:bCs/>
                <w:color w:val="auto"/>
                <w:sz w:val="21"/>
                <w:szCs w:val="21"/>
              </w:rPr>
            </w:pPr>
            <w:r>
              <w:rPr>
                <w:rFonts w:hint="eastAsia"/>
                <w:bCs/>
                <w:color w:val="auto"/>
                <w:sz w:val="21"/>
                <w:szCs w:val="21"/>
              </w:rPr>
              <w:t>护 复 杂，仪器仪</w:t>
            </w:r>
          </w:p>
          <w:p>
            <w:pPr>
              <w:spacing w:line="360" w:lineRule="auto"/>
              <w:jc w:val="center"/>
              <w:rPr>
                <w:bCs/>
                <w:color w:val="auto"/>
                <w:sz w:val="21"/>
                <w:szCs w:val="21"/>
              </w:rPr>
            </w:pPr>
            <w:r>
              <w:rPr>
                <w:rFonts w:hint="eastAsia"/>
                <w:bCs/>
                <w:color w:val="auto"/>
                <w:sz w:val="21"/>
                <w:szCs w:val="21"/>
              </w:rPr>
              <w:t>表维修量大</w:t>
            </w:r>
          </w:p>
        </w:tc>
        <w:tc>
          <w:tcPr>
            <w:tcW w:w="1617" w:type="dxa"/>
            <w:vAlign w:val="center"/>
          </w:tcPr>
          <w:p>
            <w:pPr>
              <w:spacing w:line="360" w:lineRule="auto"/>
              <w:jc w:val="center"/>
              <w:rPr>
                <w:bCs/>
                <w:color w:val="auto"/>
                <w:sz w:val="21"/>
                <w:szCs w:val="21"/>
              </w:rPr>
            </w:pPr>
            <w:r>
              <w:rPr>
                <w:rFonts w:hint="eastAsia"/>
                <w:bCs/>
                <w:color w:val="auto"/>
                <w:sz w:val="21"/>
                <w:szCs w:val="21"/>
              </w:rPr>
              <w:t>系统设备</w:t>
            </w:r>
          </w:p>
          <w:p>
            <w:pPr>
              <w:spacing w:line="360" w:lineRule="auto"/>
              <w:jc w:val="center"/>
              <w:rPr>
                <w:bCs/>
                <w:color w:val="auto"/>
                <w:sz w:val="21"/>
                <w:szCs w:val="21"/>
              </w:rPr>
            </w:pPr>
            <w:r>
              <w:rPr>
                <w:rFonts w:hint="eastAsia"/>
                <w:bCs/>
                <w:color w:val="auto"/>
                <w:sz w:val="21"/>
                <w:szCs w:val="21"/>
              </w:rPr>
              <w:t>维护简</w:t>
            </w:r>
          </w:p>
          <w:p>
            <w:pPr>
              <w:spacing w:line="360" w:lineRule="auto"/>
              <w:jc w:val="center"/>
              <w:rPr>
                <w:bCs/>
                <w:color w:val="auto"/>
                <w:sz w:val="21"/>
                <w:szCs w:val="21"/>
              </w:rPr>
            </w:pPr>
            <w:r>
              <w:rPr>
                <w:rFonts w:hint="eastAsia"/>
                <w:bCs/>
                <w:color w:val="auto"/>
                <w:sz w:val="21"/>
                <w:szCs w:val="21"/>
              </w:rPr>
              <w:t>单，维修</w:t>
            </w:r>
          </w:p>
          <w:p>
            <w:pPr>
              <w:spacing w:line="360" w:lineRule="auto"/>
              <w:jc w:val="center"/>
              <w:rPr>
                <w:bCs/>
                <w:color w:val="auto"/>
                <w:sz w:val="21"/>
                <w:szCs w:val="21"/>
              </w:rPr>
            </w:pPr>
            <w:r>
              <w:rPr>
                <w:rFonts w:hint="eastAsia"/>
                <w:bCs/>
                <w:color w:val="auto"/>
                <w:sz w:val="21"/>
                <w:szCs w:val="21"/>
              </w:rPr>
              <w:t>量小。</w:t>
            </w:r>
          </w:p>
        </w:tc>
        <w:tc>
          <w:tcPr>
            <w:tcW w:w="1618" w:type="dxa"/>
            <w:vAlign w:val="center"/>
          </w:tcPr>
          <w:p>
            <w:pPr>
              <w:spacing w:line="360" w:lineRule="auto"/>
              <w:jc w:val="center"/>
              <w:rPr>
                <w:bCs/>
                <w:color w:val="auto"/>
                <w:sz w:val="21"/>
                <w:szCs w:val="21"/>
              </w:rPr>
            </w:pPr>
            <w:r>
              <w:rPr>
                <w:rFonts w:hint="eastAsia"/>
                <w:bCs/>
                <w:color w:val="auto"/>
                <w:sz w:val="21"/>
                <w:szCs w:val="21"/>
              </w:rPr>
              <w:t>系统维护复杂， 需</w:t>
            </w:r>
          </w:p>
          <w:p>
            <w:pPr>
              <w:spacing w:line="360" w:lineRule="auto"/>
              <w:jc w:val="center"/>
              <w:rPr>
                <w:bCs/>
                <w:color w:val="auto"/>
                <w:sz w:val="21"/>
                <w:szCs w:val="21"/>
              </w:rPr>
            </w:pPr>
            <w:r>
              <w:rPr>
                <w:rFonts w:hint="eastAsia"/>
                <w:bCs/>
                <w:color w:val="auto"/>
                <w:sz w:val="21"/>
                <w:szCs w:val="21"/>
              </w:rPr>
              <w:t>定期更换或</w:t>
            </w:r>
          </w:p>
          <w:p>
            <w:pPr>
              <w:spacing w:line="360" w:lineRule="auto"/>
              <w:jc w:val="center"/>
              <w:rPr>
                <w:bCs/>
                <w:color w:val="auto"/>
                <w:sz w:val="21"/>
                <w:szCs w:val="21"/>
              </w:rPr>
            </w:pPr>
            <w:r>
              <w:rPr>
                <w:rFonts w:hint="eastAsia"/>
                <w:bCs/>
                <w:color w:val="auto"/>
                <w:sz w:val="21"/>
                <w:szCs w:val="21"/>
              </w:rPr>
              <w:t>再生活性炭</w:t>
            </w:r>
          </w:p>
        </w:tc>
        <w:tc>
          <w:tcPr>
            <w:tcW w:w="1618" w:type="dxa"/>
            <w:vAlign w:val="center"/>
          </w:tcPr>
          <w:p>
            <w:pPr>
              <w:spacing w:line="360" w:lineRule="auto"/>
              <w:jc w:val="center"/>
              <w:rPr>
                <w:bCs/>
                <w:color w:val="auto"/>
                <w:sz w:val="21"/>
                <w:szCs w:val="21"/>
              </w:rPr>
            </w:pPr>
            <w:r>
              <w:rPr>
                <w:rFonts w:hint="eastAsia"/>
                <w:bCs/>
                <w:color w:val="auto"/>
                <w:sz w:val="21"/>
                <w:szCs w:val="21"/>
              </w:rPr>
              <w:t>维护复杂，费</w:t>
            </w:r>
          </w:p>
          <w:p>
            <w:pPr>
              <w:spacing w:line="360" w:lineRule="auto"/>
              <w:jc w:val="center"/>
              <w:rPr>
                <w:bCs/>
                <w:color w:val="auto"/>
                <w:sz w:val="21"/>
                <w:szCs w:val="21"/>
              </w:rPr>
            </w:pPr>
            <w:r>
              <w:rPr>
                <w:rFonts w:hint="eastAsia"/>
                <w:bCs/>
                <w:color w:val="auto"/>
                <w:sz w:val="21"/>
                <w:szCs w:val="21"/>
              </w:rPr>
              <w:t>用高</w:t>
            </w:r>
          </w:p>
        </w:tc>
        <w:tc>
          <w:tcPr>
            <w:tcW w:w="1618" w:type="dxa"/>
            <w:vAlign w:val="center"/>
          </w:tcPr>
          <w:p>
            <w:pPr>
              <w:spacing w:line="360" w:lineRule="auto"/>
              <w:jc w:val="center"/>
              <w:rPr>
                <w:bCs/>
                <w:color w:val="auto"/>
                <w:sz w:val="21"/>
                <w:szCs w:val="21"/>
              </w:rPr>
            </w:pPr>
            <w:r>
              <w:rPr>
                <w:rFonts w:hint="eastAsia"/>
                <w:bCs/>
                <w:color w:val="auto"/>
                <w:sz w:val="21"/>
                <w:szCs w:val="21"/>
              </w:rPr>
              <w:t>系统维护复</w:t>
            </w:r>
          </w:p>
          <w:p>
            <w:pPr>
              <w:spacing w:line="360" w:lineRule="auto"/>
              <w:jc w:val="center"/>
              <w:rPr>
                <w:bCs/>
                <w:color w:val="auto"/>
                <w:sz w:val="21"/>
                <w:szCs w:val="21"/>
              </w:rPr>
            </w:pPr>
            <w:r>
              <w:rPr>
                <w:rFonts w:hint="eastAsia"/>
                <w:bCs/>
                <w:color w:val="auto"/>
                <w:sz w:val="21"/>
                <w:szCs w:val="21"/>
              </w:rPr>
              <w:t>杂，精密仪器</w:t>
            </w:r>
          </w:p>
          <w:p>
            <w:pPr>
              <w:spacing w:line="360" w:lineRule="auto"/>
              <w:jc w:val="center"/>
              <w:rPr>
                <w:bCs/>
                <w:color w:val="auto"/>
                <w:sz w:val="21"/>
                <w:szCs w:val="21"/>
              </w:rPr>
            </w:pPr>
            <w:r>
              <w:rPr>
                <w:rFonts w:hint="eastAsia"/>
                <w:bCs/>
                <w:color w:val="auto"/>
                <w:sz w:val="21"/>
                <w:szCs w:val="21"/>
              </w:rPr>
              <w:t>仪表维修费用</w:t>
            </w:r>
          </w:p>
          <w:p>
            <w:pPr>
              <w:spacing w:line="360" w:lineRule="auto"/>
              <w:jc w:val="center"/>
              <w:rPr>
                <w:bCs/>
                <w:color w:val="auto"/>
                <w:sz w:val="21"/>
                <w:szCs w:val="21"/>
              </w:rPr>
            </w:pPr>
            <w:r>
              <w:rPr>
                <w:rFonts w:hint="eastAsia"/>
                <w:bCs/>
                <w:color w:val="auto"/>
                <w:sz w:val="21"/>
                <w:szCs w:val="21"/>
              </w:rPr>
              <w:t>高</w:t>
            </w:r>
          </w:p>
        </w:tc>
        <w:tc>
          <w:tcPr>
            <w:tcW w:w="1618" w:type="dxa"/>
            <w:vAlign w:val="center"/>
          </w:tcPr>
          <w:p>
            <w:pPr>
              <w:spacing w:line="360" w:lineRule="auto"/>
              <w:jc w:val="center"/>
              <w:rPr>
                <w:bCs/>
                <w:color w:val="auto"/>
                <w:sz w:val="21"/>
                <w:szCs w:val="21"/>
              </w:rPr>
            </w:pPr>
            <w:r>
              <w:rPr>
                <w:rFonts w:hint="eastAsia"/>
                <w:bCs/>
                <w:color w:val="auto"/>
                <w:sz w:val="21"/>
                <w:szCs w:val="21"/>
              </w:rPr>
              <w:t>系统设备维护</w:t>
            </w:r>
          </w:p>
          <w:p>
            <w:pPr>
              <w:spacing w:line="360" w:lineRule="auto"/>
              <w:jc w:val="center"/>
              <w:rPr>
                <w:bCs/>
                <w:color w:val="auto"/>
                <w:sz w:val="21"/>
                <w:szCs w:val="21"/>
              </w:rPr>
            </w:pPr>
            <w:r>
              <w:rPr>
                <w:rFonts w:hint="eastAsia"/>
                <w:bCs/>
                <w:color w:val="auto"/>
                <w:sz w:val="21"/>
                <w:szCs w:val="21"/>
              </w:rPr>
              <w:t>简单，由供应</w:t>
            </w:r>
          </w:p>
          <w:p>
            <w:pPr>
              <w:spacing w:line="360" w:lineRule="auto"/>
              <w:jc w:val="center"/>
              <w:rPr>
                <w:bCs/>
                <w:color w:val="auto"/>
                <w:sz w:val="21"/>
                <w:szCs w:val="21"/>
              </w:rPr>
            </w:pPr>
            <w:r>
              <w:rPr>
                <w:rFonts w:hint="eastAsia"/>
                <w:bCs/>
                <w:color w:val="auto"/>
                <w:sz w:val="21"/>
                <w:szCs w:val="21"/>
              </w:rPr>
              <w:t>商定期维护</w:t>
            </w:r>
          </w:p>
        </w:tc>
        <w:tc>
          <w:tcPr>
            <w:tcW w:w="1618" w:type="dxa"/>
            <w:vAlign w:val="center"/>
          </w:tcPr>
          <w:p>
            <w:pPr>
              <w:spacing w:line="360" w:lineRule="auto"/>
              <w:jc w:val="center"/>
              <w:rPr>
                <w:bCs/>
                <w:color w:val="auto"/>
                <w:sz w:val="21"/>
                <w:szCs w:val="21"/>
              </w:rPr>
            </w:pPr>
            <w:r>
              <w:rPr>
                <w:rFonts w:hint="eastAsia"/>
                <w:bCs/>
                <w:color w:val="auto"/>
                <w:sz w:val="21"/>
                <w:szCs w:val="21"/>
              </w:rPr>
              <w:t>由供应商定期</w:t>
            </w:r>
          </w:p>
          <w:p>
            <w:pPr>
              <w:spacing w:line="360" w:lineRule="auto"/>
              <w:jc w:val="center"/>
              <w:rPr>
                <w:bCs/>
                <w:color w:val="auto"/>
                <w:sz w:val="21"/>
                <w:szCs w:val="21"/>
              </w:rPr>
            </w:pPr>
            <w:r>
              <w:rPr>
                <w:rFonts w:hint="eastAsia"/>
                <w:bCs/>
                <w:color w:val="auto"/>
                <w:sz w:val="21"/>
                <w:szCs w:val="21"/>
              </w:rPr>
              <w:t>维护</w:t>
            </w:r>
          </w:p>
        </w:tc>
        <w:tc>
          <w:tcPr>
            <w:tcW w:w="1618" w:type="dxa"/>
            <w:vAlign w:val="center"/>
          </w:tcPr>
          <w:p>
            <w:pPr>
              <w:spacing w:line="360" w:lineRule="auto"/>
              <w:jc w:val="center"/>
              <w:rPr>
                <w:bCs/>
                <w:color w:val="auto"/>
                <w:sz w:val="21"/>
                <w:szCs w:val="21"/>
              </w:rPr>
            </w:pPr>
            <w:r>
              <w:rPr>
                <w:rFonts w:hint="eastAsia"/>
                <w:bCs/>
                <w:color w:val="auto"/>
                <w:sz w:val="21"/>
                <w:szCs w:val="21"/>
              </w:rPr>
              <w:t>系统设备较多，</w:t>
            </w:r>
          </w:p>
          <w:p>
            <w:pPr>
              <w:spacing w:line="360" w:lineRule="auto"/>
              <w:jc w:val="center"/>
              <w:rPr>
                <w:bCs/>
                <w:color w:val="auto"/>
                <w:sz w:val="21"/>
                <w:szCs w:val="21"/>
              </w:rPr>
            </w:pPr>
            <w:r>
              <w:rPr>
                <w:rFonts w:hint="eastAsia"/>
                <w:bCs/>
                <w:color w:val="auto"/>
                <w:sz w:val="21"/>
                <w:szCs w:val="21"/>
              </w:rPr>
              <w:t>维护复杂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617" w:type="dxa"/>
            <w:vAlign w:val="center"/>
          </w:tcPr>
          <w:p>
            <w:pPr>
              <w:spacing w:line="360" w:lineRule="auto"/>
              <w:jc w:val="center"/>
              <w:rPr>
                <w:bCs/>
                <w:color w:val="auto"/>
                <w:sz w:val="21"/>
                <w:szCs w:val="21"/>
              </w:rPr>
            </w:pPr>
            <w:r>
              <w:rPr>
                <w:rFonts w:hint="eastAsia"/>
                <w:bCs/>
                <w:color w:val="auto"/>
                <w:sz w:val="21"/>
                <w:szCs w:val="21"/>
              </w:rPr>
              <w:t>处理</w:t>
            </w:r>
          </w:p>
          <w:p>
            <w:pPr>
              <w:spacing w:line="360" w:lineRule="auto"/>
              <w:jc w:val="center"/>
              <w:rPr>
                <w:bCs/>
                <w:color w:val="auto"/>
                <w:sz w:val="21"/>
                <w:szCs w:val="21"/>
              </w:rPr>
            </w:pPr>
            <w:r>
              <w:rPr>
                <w:rFonts w:hint="eastAsia"/>
                <w:bCs/>
                <w:color w:val="auto"/>
                <w:sz w:val="21"/>
                <w:szCs w:val="21"/>
              </w:rPr>
              <w:t>效果</w:t>
            </w:r>
          </w:p>
        </w:tc>
        <w:tc>
          <w:tcPr>
            <w:tcW w:w="1617" w:type="dxa"/>
            <w:vAlign w:val="center"/>
          </w:tcPr>
          <w:p>
            <w:pPr>
              <w:spacing w:line="360" w:lineRule="auto"/>
              <w:jc w:val="center"/>
              <w:rPr>
                <w:bCs/>
                <w:color w:val="auto"/>
                <w:sz w:val="21"/>
                <w:szCs w:val="21"/>
              </w:rPr>
            </w:pPr>
            <w:r>
              <w:rPr>
                <w:rFonts w:hint="eastAsia"/>
                <w:bCs/>
                <w:color w:val="auto"/>
                <w:sz w:val="21"/>
                <w:szCs w:val="21"/>
              </w:rPr>
              <w:t>较好，达国标排放</w:t>
            </w:r>
          </w:p>
        </w:tc>
        <w:tc>
          <w:tcPr>
            <w:tcW w:w="1617" w:type="dxa"/>
            <w:vAlign w:val="center"/>
          </w:tcPr>
          <w:p>
            <w:pPr>
              <w:spacing w:line="360" w:lineRule="auto"/>
              <w:jc w:val="center"/>
              <w:rPr>
                <w:bCs/>
                <w:color w:val="auto"/>
                <w:sz w:val="21"/>
                <w:szCs w:val="21"/>
              </w:rPr>
            </w:pPr>
            <w:r>
              <w:rPr>
                <w:rFonts w:hint="eastAsia"/>
                <w:bCs/>
                <w:color w:val="auto"/>
                <w:sz w:val="21"/>
                <w:szCs w:val="21"/>
              </w:rPr>
              <w:t>对于臭气</w:t>
            </w:r>
          </w:p>
          <w:p>
            <w:pPr>
              <w:spacing w:line="360" w:lineRule="auto"/>
              <w:jc w:val="center"/>
              <w:rPr>
                <w:bCs/>
                <w:color w:val="auto"/>
                <w:sz w:val="21"/>
                <w:szCs w:val="21"/>
              </w:rPr>
            </w:pPr>
            <w:r>
              <w:rPr>
                <w:rFonts w:hint="eastAsia"/>
                <w:bCs/>
                <w:color w:val="auto"/>
                <w:sz w:val="21"/>
                <w:szCs w:val="21"/>
              </w:rPr>
              <w:t>中成分较</w:t>
            </w:r>
          </w:p>
          <w:p>
            <w:pPr>
              <w:spacing w:line="360" w:lineRule="auto"/>
              <w:jc w:val="center"/>
              <w:rPr>
                <w:bCs/>
                <w:color w:val="auto"/>
                <w:sz w:val="21"/>
                <w:szCs w:val="21"/>
              </w:rPr>
            </w:pPr>
            <w:r>
              <w:rPr>
                <w:rFonts w:hint="eastAsia"/>
                <w:bCs/>
                <w:color w:val="auto"/>
                <w:sz w:val="21"/>
                <w:szCs w:val="21"/>
              </w:rPr>
              <w:t>复杂的臭</w:t>
            </w:r>
          </w:p>
          <w:p>
            <w:pPr>
              <w:spacing w:line="360" w:lineRule="auto"/>
              <w:jc w:val="center"/>
              <w:rPr>
                <w:bCs/>
                <w:color w:val="auto"/>
                <w:sz w:val="21"/>
                <w:szCs w:val="21"/>
              </w:rPr>
            </w:pPr>
            <w:r>
              <w:rPr>
                <w:rFonts w:hint="eastAsia"/>
                <w:bCs/>
                <w:color w:val="auto"/>
                <w:sz w:val="21"/>
                <w:szCs w:val="21"/>
              </w:rPr>
              <w:t>气处理效</w:t>
            </w:r>
          </w:p>
          <w:p>
            <w:pPr>
              <w:spacing w:line="360" w:lineRule="auto"/>
              <w:jc w:val="center"/>
              <w:rPr>
                <w:bCs/>
                <w:color w:val="auto"/>
                <w:sz w:val="21"/>
                <w:szCs w:val="21"/>
              </w:rPr>
            </w:pPr>
            <w:r>
              <w:rPr>
                <w:rFonts w:hint="eastAsia"/>
                <w:bCs/>
                <w:color w:val="auto"/>
                <w:sz w:val="21"/>
                <w:szCs w:val="21"/>
              </w:rPr>
              <w:t>率有限</w:t>
            </w:r>
          </w:p>
        </w:tc>
        <w:tc>
          <w:tcPr>
            <w:tcW w:w="1618" w:type="dxa"/>
            <w:vAlign w:val="center"/>
          </w:tcPr>
          <w:p>
            <w:pPr>
              <w:spacing w:line="360" w:lineRule="auto"/>
              <w:jc w:val="center"/>
              <w:rPr>
                <w:bCs/>
                <w:color w:val="auto"/>
                <w:sz w:val="21"/>
                <w:szCs w:val="21"/>
              </w:rPr>
            </w:pPr>
            <w:r>
              <w:rPr>
                <w:rFonts w:hint="eastAsia"/>
                <w:bCs/>
                <w:color w:val="auto"/>
                <w:sz w:val="21"/>
                <w:szCs w:val="21"/>
              </w:rPr>
              <w:t>较好， 达国标排放</w:t>
            </w:r>
          </w:p>
        </w:tc>
        <w:tc>
          <w:tcPr>
            <w:tcW w:w="1618" w:type="dxa"/>
            <w:vAlign w:val="center"/>
          </w:tcPr>
          <w:p>
            <w:pPr>
              <w:spacing w:line="360" w:lineRule="auto"/>
              <w:jc w:val="center"/>
              <w:rPr>
                <w:bCs/>
                <w:color w:val="auto"/>
                <w:sz w:val="21"/>
                <w:szCs w:val="21"/>
              </w:rPr>
            </w:pPr>
            <w:r>
              <w:rPr>
                <w:rFonts w:hint="eastAsia"/>
                <w:bCs/>
                <w:color w:val="auto"/>
                <w:sz w:val="21"/>
                <w:szCs w:val="21"/>
              </w:rPr>
              <w:t>较好，达国标</w:t>
            </w:r>
          </w:p>
          <w:p>
            <w:pPr>
              <w:spacing w:line="360" w:lineRule="auto"/>
              <w:jc w:val="center"/>
              <w:rPr>
                <w:bCs/>
                <w:color w:val="auto"/>
                <w:sz w:val="21"/>
                <w:szCs w:val="21"/>
              </w:rPr>
            </w:pPr>
            <w:r>
              <w:rPr>
                <w:rFonts w:hint="eastAsia"/>
                <w:bCs/>
                <w:color w:val="auto"/>
                <w:sz w:val="21"/>
                <w:szCs w:val="21"/>
              </w:rPr>
              <w:t>排放</w:t>
            </w:r>
          </w:p>
        </w:tc>
        <w:tc>
          <w:tcPr>
            <w:tcW w:w="1618" w:type="dxa"/>
            <w:vAlign w:val="center"/>
          </w:tcPr>
          <w:p>
            <w:pPr>
              <w:spacing w:line="360" w:lineRule="auto"/>
              <w:jc w:val="center"/>
              <w:rPr>
                <w:bCs/>
                <w:color w:val="auto"/>
                <w:sz w:val="21"/>
                <w:szCs w:val="21"/>
              </w:rPr>
            </w:pPr>
            <w:r>
              <w:rPr>
                <w:rFonts w:hint="eastAsia"/>
                <w:bCs/>
                <w:color w:val="auto"/>
                <w:sz w:val="21"/>
                <w:szCs w:val="21"/>
              </w:rPr>
              <w:t>若温度没有控</w:t>
            </w:r>
          </w:p>
          <w:p>
            <w:pPr>
              <w:spacing w:line="360" w:lineRule="auto"/>
              <w:jc w:val="center"/>
              <w:rPr>
                <w:bCs/>
                <w:color w:val="auto"/>
                <w:sz w:val="21"/>
                <w:szCs w:val="21"/>
              </w:rPr>
            </w:pPr>
            <w:r>
              <w:rPr>
                <w:rFonts w:hint="eastAsia"/>
                <w:bCs/>
                <w:color w:val="auto"/>
                <w:sz w:val="21"/>
                <w:szCs w:val="21"/>
              </w:rPr>
              <w:t>制好，则不能</w:t>
            </w:r>
          </w:p>
          <w:p>
            <w:pPr>
              <w:spacing w:line="360" w:lineRule="auto"/>
              <w:jc w:val="center"/>
              <w:rPr>
                <w:bCs/>
                <w:color w:val="auto"/>
                <w:sz w:val="21"/>
                <w:szCs w:val="21"/>
              </w:rPr>
            </w:pPr>
            <w:r>
              <w:rPr>
                <w:rFonts w:hint="eastAsia"/>
                <w:bCs/>
                <w:color w:val="auto"/>
                <w:sz w:val="21"/>
                <w:szCs w:val="21"/>
              </w:rPr>
              <w:t>满足国家标准</w:t>
            </w:r>
          </w:p>
        </w:tc>
        <w:tc>
          <w:tcPr>
            <w:tcW w:w="1618" w:type="dxa"/>
            <w:vAlign w:val="center"/>
          </w:tcPr>
          <w:p>
            <w:pPr>
              <w:spacing w:line="360" w:lineRule="auto"/>
              <w:jc w:val="center"/>
              <w:rPr>
                <w:bCs/>
                <w:color w:val="auto"/>
                <w:sz w:val="21"/>
                <w:szCs w:val="21"/>
              </w:rPr>
            </w:pPr>
            <w:r>
              <w:rPr>
                <w:rFonts w:hint="eastAsia"/>
                <w:bCs/>
                <w:color w:val="auto"/>
                <w:sz w:val="21"/>
                <w:szCs w:val="21"/>
              </w:rPr>
              <w:t>处理能力有限</w:t>
            </w:r>
          </w:p>
        </w:tc>
        <w:tc>
          <w:tcPr>
            <w:tcW w:w="1618" w:type="dxa"/>
            <w:vAlign w:val="center"/>
          </w:tcPr>
          <w:p>
            <w:pPr>
              <w:spacing w:line="360" w:lineRule="auto"/>
              <w:jc w:val="center"/>
              <w:rPr>
                <w:bCs/>
                <w:color w:val="auto"/>
                <w:sz w:val="21"/>
                <w:szCs w:val="21"/>
              </w:rPr>
            </w:pPr>
            <w:r>
              <w:rPr>
                <w:rFonts w:hint="eastAsia"/>
                <w:bCs/>
                <w:color w:val="auto"/>
                <w:sz w:val="21"/>
                <w:szCs w:val="21"/>
              </w:rPr>
              <w:t>好， 达国标排放</w:t>
            </w:r>
          </w:p>
        </w:tc>
        <w:tc>
          <w:tcPr>
            <w:tcW w:w="1618" w:type="dxa"/>
            <w:vAlign w:val="center"/>
          </w:tcPr>
          <w:p>
            <w:pPr>
              <w:spacing w:line="360" w:lineRule="auto"/>
              <w:jc w:val="center"/>
              <w:rPr>
                <w:bCs/>
                <w:color w:val="auto"/>
                <w:sz w:val="21"/>
                <w:szCs w:val="21"/>
              </w:rPr>
            </w:pPr>
            <w:r>
              <w:rPr>
                <w:rFonts w:hint="eastAsia"/>
                <w:bCs/>
                <w:color w:val="auto"/>
                <w:sz w:val="21"/>
                <w:szCs w:val="21"/>
              </w:rPr>
              <w:t>与药液不反应</w:t>
            </w:r>
          </w:p>
          <w:p>
            <w:pPr>
              <w:spacing w:line="360" w:lineRule="auto"/>
              <w:jc w:val="center"/>
              <w:rPr>
                <w:bCs/>
                <w:color w:val="auto"/>
                <w:sz w:val="21"/>
                <w:szCs w:val="21"/>
              </w:rPr>
            </w:pPr>
            <w:r>
              <w:rPr>
                <w:rFonts w:hint="eastAsia"/>
                <w:bCs/>
                <w:color w:val="auto"/>
                <w:sz w:val="21"/>
                <w:szCs w:val="21"/>
              </w:rPr>
              <w:t>的臭气较难去除</w:t>
            </w:r>
          </w:p>
        </w:tc>
      </w:tr>
    </w:tbl>
    <w:p>
      <w:pPr>
        <w:tabs>
          <w:tab w:val="left" w:pos="1152"/>
        </w:tabs>
        <w:spacing w:line="360" w:lineRule="auto"/>
        <w:rPr>
          <w:color w:val="auto"/>
        </w:rPr>
      </w:pPr>
      <w:r>
        <w:rPr>
          <w:rFonts w:hint="eastAsia"/>
          <w:color w:val="auto"/>
        </w:rPr>
        <w:t xml:space="preserve">根据“常用除臭工艺比较表”，并结合本工程实际情况作如下分析： </w:t>
      </w:r>
    </w:p>
    <w:p>
      <w:pPr>
        <w:tabs>
          <w:tab w:val="left" w:pos="1152"/>
        </w:tabs>
        <w:spacing w:line="360" w:lineRule="auto"/>
        <w:rPr>
          <w:color w:val="auto"/>
        </w:rPr>
      </w:pPr>
      <w:r>
        <w:rPr>
          <w:rFonts w:hint="eastAsia"/>
          <w:color w:val="auto"/>
        </w:rPr>
        <w:t xml:space="preserve">①生物除臭法除臭效果好，对成分复杂的臭气亦可有较高的处理效率，但占地面积大； </w:t>
      </w:r>
    </w:p>
    <w:p>
      <w:pPr>
        <w:tabs>
          <w:tab w:val="left" w:pos="1152"/>
        </w:tabs>
        <w:spacing w:line="360" w:lineRule="auto"/>
        <w:rPr>
          <w:color w:val="auto"/>
        </w:rPr>
      </w:pPr>
      <w:r>
        <w:rPr>
          <w:rFonts w:hint="eastAsia"/>
          <w:color w:val="auto"/>
        </w:rPr>
        <w:t>②本工程臭气成分复杂，如采用化学洗涤法，需选择不同药液进行处理，运行维护过程复杂，并需定期</w:t>
      </w:r>
    </w:p>
    <w:p>
      <w:pPr>
        <w:tabs>
          <w:tab w:val="left" w:pos="1152"/>
        </w:tabs>
        <w:spacing w:line="360" w:lineRule="auto"/>
        <w:rPr>
          <w:color w:val="auto"/>
        </w:rPr>
      </w:pPr>
      <w:r>
        <w:rPr>
          <w:rFonts w:hint="eastAsia"/>
          <w:color w:val="auto"/>
        </w:rPr>
        <w:t xml:space="preserve">补充药品，处理臭气后所产生的废液仍需处理，否则将造成二次污染； </w:t>
      </w:r>
    </w:p>
    <w:p>
      <w:pPr>
        <w:tabs>
          <w:tab w:val="left" w:pos="1152"/>
        </w:tabs>
        <w:spacing w:line="360" w:lineRule="auto"/>
        <w:rPr>
          <w:color w:val="auto"/>
        </w:rPr>
      </w:pPr>
      <w:r>
        <w:rPr>
          <w:rFonts w:hint="eastAsia"/>
          <w:color w:val="auto"/>
        </w:rPr>
        <w:t>③采用活性碳吸附法除臭对低浓度臭气处理效果好，但为保证系统有效运行需定期更换活性炭及对活性</w:t>
      </w:r>
    </w:p>
    <w:p>
      <w:pPr>
        <w:tabs>
          <w:tab w:val="left" w:pos="1152"/>
        </w:tabs>
        <w:spacing w:line="360" w:lineRule="auto"/>
        <w:rPr>
          <w:color w:val="auto"/>
        </w:rPr>
      </w:pPr>
      <w:r>
        <w:rPr>
          <w:rFonts w:hint="eastAsia"/>
          <w:color w:val="auto"/>
        </w:rPr>
        <w:t xml:space="preserve">炭进行再生处理，此方法不仅成本较高且会产生二次污染； </w:t>
      </w:r>
    </w:p>
    <w:p>
      <w:pPr>
        <w:tabs>
          <w:tab w:val="left" w:pos="1152"/>
        </w:tabs>
        <w:spacing w:line="360" w:lineRule="auto"/>
        <w:rPr>
          <w:color w:val="auto"/>
        </w:rPr>
      </w:pPr>
      <w:r>
        <w:rPr>
          <w:color w:val="auto"/>
        </w:rPr>
        <w:fldChar w:fldCharType="begin"/>
      </w:r>
      <w:r>
        <w:rPr>
          <w:color w:val="auto"/>
        </w:rPr>
        <w:instrText xml:space="preserve"> </w:instrText>
      </w:r>
      <w:r>
        <w:rPr>
          <w:rFonts w:hint="eastAsia"/>
          <w:color w:val="auto"/>
        </w:rPr>
        <w:instrText xml:space="preserve">= 4 \* GB3</w:instrText>
      </w:r>
      <w:r>
        <w:rPr>
          <w:color w:val="auto"/>
        </w:rPr>
        <w:instrText xml:space="preserve"> </w:instrText>
      </w:r>
      <w:r>
        <w:rPr>
          <w:color w:val="auto"/>
        </w:rPr>
        <w:fldChar w:fldCharType="separate"/>
      </w:r>
      <w:r>
        <w:rPr>
          <w:rFonts w:hint="eastAsia"/>
          <w:color w:val="auto"/>
        </w:rPr>
        <w:t>④</w:t>
      </w:r>
      <w:r>
        <w:rPr>
          <w:color w:val="auto"/>
        </w:rPr>
        <w:fldChar w:fldCharType="end"/>
      </w:r>
      <w:r>
        <w:rPr>
          <w:rFonts w:hint="eastAsia"/>
          <w:color w:val="auto"/>
        </w:rPr>
        <w:t xml:space="preserve">催化氧化法、离子氧法和植物提取液喷淋法占地较小，运行管理较方便； </w:t>
      </w:r>
    </w:p>
    <w:p>
      <w:pPr>
        <w:tabs>
          <w:tab w:val="left" w:pos="1152"/>
        </w:tabs>
        <w:spacing w:line="360" w:lineRule="auto"/>
        <w:rPr>
          <w:color w:val="auto"/>
        </w:rPr>
      </w:pPr>
      <w:r>
        <w:rPr>
          <w:color w:val="auto"/>
        </w:rPr>
        <w:fldChar w:fldCharType="begin"/>
      </w:r>
      <w:r>
        <w:rPr>
          <w:color w:val="auto"/>
        </w:rPr>
        <w:instrText xml:space="preserve"> </w:instrText>
      </w:r>
      <w:r>
        <w:rPr>
          <w:rFonts w:hint="eastAsia"/>
          <w:color w:val="auto"/>
        </w:rPr>
        <w:instrText xml:space="preserve">= 5 \* GB3</w:instrText>
      </w:r>
      <w:r>
        <w:rPr>
          <w:color w:val="auto"/>
        </w:rPr>
        <w:instrText xml:space="preserve"> </w:instrText>
      </w:r>
      <w:r>
        <w:rPr>
          <w:color w:val="auto"/>
        </w:rPr>
        <w:fldChar w:fldCharType="separate"/>
      </w:r>
      <w:r>
        <w:rPr>
          <w:rFonts w:hint="eastAsia"/>
          <w:color w:val="auto"/>
        </w:rPr>
        <w:t>⑤</w:t>
      </w:r>
      <w:r>
        <w:rPr>
          <w:color w:val="auto"/>
        </w:rPr>
        <w:fldChar w:fldCharType="end"/>
      </w:r>
      <w:r>
        <w:rPr>
          <w:rFonts w:hint="eastAsia"/>
          <w:color w:val="auto"/>
        </w:rPr>
        <w:t>土壤法有利于环境景观布置，但处理能力有限，占地面积很大；</w:t>
      </w:r>
    </w:p>
    <w:p>
      <w:pPr>
        <w:spacing w:line="360" w:lineRule="auto"/>
        <w:rPr>
          <w:color w:val="auto"/>
        </w:rPr>
      </w:pPr>
      <w:r>
        <w:rPr>
          <w:rFonts w:hint="eastAsia"/>
          <w:color w:val="auto"/>
        </w:rPr>
        <w:t xml:space="preserve">⑥燃烧法对燃烧温度控制要求较高，对操作人员要求较高，不适用于本工程。 </w:t>
      </w:r>
    </w:p>
    <w:p>
      <w:pPr>
        <w:spacing w:line="360" w:lineRule="auto"/>
        <w:rPr>
          <w:color w:val="auto"/>
        </w:rPr>
        <w:sectPr>
          <w:pgSz w:w="16838" w:h="11906" w:orient="landscape"/>
          <w:pgMar w:top="1418" w:right="1361" w:bottom="1418" w:left="1134" w:header="851" w:footer="992" w:gutter="0"/>
          <w:pgNumType w:fmt="decimal"/>
          <w:cols w:space="720" w:num="1"/>
          <w:docGrid w:linePitch="326" w:charSpace="0"/>
        </w:sectPr>
      </w:pPr>
      <w:r>
        <w:rPr>
          <w:rFonts w:hint="eastAsia"/>
          <w:color w:val="auto"/>
        </w:rPr>
        <w:t>综上所述，本项目预处理车间选用“化学洗涤+光催化氧化+植物液喷淋”的组合工艺来处理餐厨废弃物预处理车间产生的臭气。</w:t>
      </w:r>
    </w:p>
    <w:p>
      <w:pPr>
        <w:spacing w:line="360" w:lineRule="auto"/>
        <w:ind w:firstLine="482" w:firstLineChars="200"/>
        <w:rPr>
          <w:b/>
          <w:color w:val="auto"/>
        </w:rPr>
      </w:pPr>
      <w:r>
        <w:rPr>
          <w:rFonts w:hint="eastAsia"/>
          <w:b/>
          <w:color w:val="auto"/>
        </w:rPr>
        <w:t>三、处理工艺技术</w:t>
      </w:r>
      <w:r>
        <w:rPr>
          <w:b/>
          <w:color w:val="auto"/>
        </w:rPr>
        <w:t>可行性分析</w:t>
      </w:r>
    </w:p>
    <w:p>
      <w:pPr>
        <w:spacing w:line="360" w:lineRule="auto"/>
        <w:ind w:firstLine="480" w:firstLineChars="200"/>
        <w:rPr>
          <w:color w:val="auto"/>
        </w:rPr>
      </w:pPr>
      <w:r>
        <w:rPr>
          <w:rFonts w:hint="eastAsia"/>
          <w:color w:val="auto"/>
        </w:rPr>
        <w:t>建设项目预处理车间恶臭废气经管道收集，并经“化学洗涤+光催化氧化+植物液喷淋”装置处理后，尾气经 15m排气筒排放。</w:t>
      </w:r>
    </w:p>
    <w:p>
      <w:pPr>
        <w:jc w:val="center"/>
        <w:rPr>
          <w:color w:val="auto"/>
        </w:rPr>
      </w:pPr>
      <w:r>
        <w:rPr>
          <w:color w:val="auto"/>
        </w:rPr>
        <w:object>
          <v:shape id="_x0000_i1039" o:spt="75" type="#_x0000_t75" style="height:98.95pt;width:411.2pt;" o:ole="t" filled="f" o:preferrelative="t" stroked="f" coordsize="21600,21600">
            <v:path/>
            <v:fill on="f" focussize="0,0"/>
            <v:stroke on="f" joinstyle="miter"/>
            <v:imagedata r:id="rId124" o:title=""/>
            <o:lock v:ext="edit" aspectratio="t"/>
            <w10:wrap type="none"/>
            <w10:anchorlock/>
          </v:shape>
          <o:OLEObject Type="Embed" ProgID="Visio.Drawing.15" ShapeID="_x0000_i1039" DrawAspect="Content" ObjectID="_1468075739">
            <o:LockedField>false</o:LockedField>
          </o:OLEObject>
        </w:object>
      </w:r>
    </w:p>
    <w:p>
      <w:pPr>
        <w:autoSpaceDE w:val="0"/>
        <w:autoSpaceDN w:val="0"/>
        <w:adjustRightInd w:val="0"/>
        <w:spacing w:line="360" w:lineRule="auto"/>
        <w:jc w:val="center"/>
        <w:rPr>
          <w:b/>
          <w:color w:val="auto"/>
          <w:kern w:val="0"/>
        </w:rPr>
      </w:pPr>
      <w:r>
        <w:rPr>
          <w:rFonts w:hint="eastAsia"/>
          <w:b/>
          <w:color w:val="auto"/>
          <w:kern w:val="0"/>
        </w:rPr>
        <w:t>图6</w:t>
      </w:r>
      <w:r>
        <w:rPr>
          <w:b/>
          <w:color w:val="auto"/>
          <w:kern w:val="0"/>
        </w:rPr>
        <w:t>.2-</w:t>
      </w:r>
      <w:r>
        <w:rPr>
          <w:rFonts w:hint="eastAsia"/>
          <w:b/>
          <w:color w:val="auto"/>
          <w:kern w:val="0"/>
        </w:rPr>
        <w:t>4</w:t>
      </w:r>
      <w:r>
        <w:rPr>
          <w:b/>
          <w:color w:val="auto"/>
          <w:kern w:val="0"/>
        </w:rPr>
        <w:t xml:space="preserve">  </w:t>
      </w:r>
      <w:r>
        <w:rPr>
          <w:rFonts w:hint="eastAsia"/>
          <w:b/>
          <w:color w:val="auto"/>
          <w:kern w:val="0"/>
        </w:rPr>
        <w:t>餐厨处理车间有组织废气治理措施</w:t>
      </w:r>
    </w:p>
    <w:p>
      <w:pPr>
        <w:spacing w:line="360" w:lineRule="auto"/>
        <w:ind w:firstLine="480" w:firstLineChars="200"/>
        <w:rPr>
          <w:color w:val="auto"/>
        </w:rPr>
      </w:pPr>
      <w:r>
        <w:rPr>
          <w:rFonts w:hint="eastAsia"/>
          <w:color w:val="auto"/>
        </w:rPr>
        <w:t xml:space="preserve">（1）工艺系统组成 </w:t>
      </w:r>
    </w:p>
    <w:p>
      <w:pPr>
        <w:spacing w:line="360" w:lineRule="auto"/>
        <w:ind w:firstLine="480" w:firstLineChars="200"/>
        <w:rPr>
          <w:color w:val="auto"/>
        </w:rPr>
      </w:pPr>
      <w:r>
        <w:rPr>
          <w:rFonts w:hint="eastAsia"/>
          <w:color w:val="auto"/>
        </w:rPr>
        <w:t>工艺系统由化学洗涤塔、植物液洗涤塔、光催化氧化设备等组成</w:t>
      </w:r>
    </w:p>
    <w:p>
      <w:pPr>
        <w:spacing w:line="360" w:lineRule="auto"/>
        <w:ind w:firstLine="480" w:firstLineChars="200"/>
        <w:rPr>
          <w:color w:val="auto"/>
        </w:rPr>
      </w:pPr>
      <w:r>
        <w:rPr>
          <w:rFonts w:hint="eastAsia"/>
          <w:color w:val="auto"/>
        </w:rPr>
        <w:t>（2）工艺描述</w:t>
      </w:r>
    </w:p>
    <w:p>
      <w:pPr>
        <w:spacing w:line="360" w:lineRule="auto"/>
        <w:ind w:firstLine="480" w:firstLineChars="200"/>
        <w:rPr>
          <w:color w:val="auto"/>
        </w:rPr>
      </w:pPr>
      <w:r>
        <w:rPr>
          <w:rFonts w:hint="eastAsia"/>
          <w:color w:val="auto"/>
        </w:rPr>
        <w:t>①化学洗涤（酸碱洗涤塔）</w:t>
      </w:r>
    </w:p>
    <w:p>
      <w:pPr>
        <w:spacing w:line="360" w:lineRule="auto"/>
        <w:ind w:firstLine="480" w:firstLineChars="200"/>
        <w:rPr>
          <w:color w:val="auto"/>
        </w:rPr>
      </w:pPr>
      <w:r>
        <w:rPr>
          <w:rFonts w:hint="eastAsia"/>
          <w:color w:val="auto"/>
          <w:lang w:val="en-US" w:eastAsia="zh-CN"/>
        </w:rPr>
        <w:t>废气经负压收集后进入化学喷淋塔，化学喷淋塔为酸喷淋+碱喷淋，其原理主要是根据臭气的成分利用强酸（硫酸）、强碱（氢氧化钠）、 强氧化剂（次氯酸钠）作为洗涤喷淋溶液与气体中的臭气分子发生气</w:t>
      </w:r>
      <w:r>
        <w:rPr>
          <w:rFonts w:hint="default"/>
          <w:color w:val="auto"/>
          <w:lang w:val="en-US" w:eastAsia="zh-CN"/>
        </w:rPr>
        <w:t>-</w:t>
      </w:r>
      <w:r>
        <w:rPr>
          <w:rFonts w:hint="eastAsia"/>
          <w:color w:val="auto"/>
          <w:lang w:val="en-US" w:eastAsia="zh-CN"/>
        </w:rPr>
        <w:t>液接触，使气相中之臭味成分转移至液相，并藉化学药剂与臭味成分之中和、氧化或其它化学反应去除臭味物质。</w:t>
      </w:r>
      <w:r>
        <w:rPr>
          <w:rFonts w:hint="eastAsia"/>
          <w:color w:val="auto"/>
        </w:rPr>
        <w:t>洗涤塔采用逆流式填料塔，具有气液接触充分、传质效率高、占地面积小等特点。塔体采用玻璃钢材料制作，从下至上分别为集水槽、布气室、两级填料层和喷淋层、除雾层和排气口。臭气首先经过第一级洗涤塔，进入洗涤塔后，流经填充层时，洗涤液自喷嘴均匀洒于填充层表面以保持湿润；同时臭气与洗涤液在充分湿润的填料层相互接触，由于物理与化学的吸收作用，将臭气中污染物吸收于洗涤液中，达成祛除污染物的目的。然后此饱含水分的气体必须经过除雾器以移除多余的水分，经过洗涤塔洗净并移除水分后的洁净气体即可排至下一级进行处理，而所移除的水分同经过两级洗涤后的臭气，最后进入光催化装置。</w:t>
      </w:r>
    </w:p>
    <w:p>
      <w:pPr>
        <w:spacing w:line="360" w:lineRule="auto"/>
        <w:ind w:firstLine="480" w:firstLineChars="200"/>
        <w:rPr>
          <w:color w:val="auto"/>
        </w:rPr>
      </w:pPr>
      <w:r>
        <w:rPr>
          <w:color w:val="auto"/>
        </w:rPr>
        <w:drawing>
          <wp:inline distT="0" distB="0" distL="0" distR="0">
            <wp:extent cx="5486400" cy="351028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25"/>
                    <a:stretch>
                      <a:fillRect/>
                    </a:stretch>
                  </pic:blipFill>
                  <pic:spPr>
                    <a:xfrm>
                      <a:off x="0" y="0"/>
                      <a:ext cx="5486400" cy="3510280"/>
                    </a:xfrm>
                    <a:prstGeom prst="rect">
                      <a:avLst/>
                    </a:prstGeom>
                  </pic:spPr>
                </pic:pic>
              </a:graphicData>
            </a:graphic>
          </wp:inline>
        </w:drawing>
      </w:r>
    </w:p>
    <w:p>
      <w:pPr>
        <w:spacing w:line="360" w:lineRule="auto"/>
        <w:ind w:firstLine="482" w:firstLineChars="200"/>
        <w:jc w:val="center"/>
        <w:rPr>
          <w:b/>
          <w:color w:val="auto"/>
        </w:rPr>
      </w:pPr>
      <w:r>
        <w:rPr>
          <w:rFonts w:hint="eastAsia"/>
          <w:b/>
          <w:color w:val="auto"/>
        </w:rPr>
        <w:t>图 6.2-5    洗涤塔实物</w:t>
      </w:r>
    </w:p>
    <w:p>
      <w:pPr>
        <w:spacing w:line="360" w:lineRule="auto"/>
        <w:ind w:firstLine="480" w:firstLineChars="200"/>
        <w:rPr>
          <w:color w:val="auto"/>
        </w:rPr>
      </w:pPr>
      <w:r>
        <w:rPr>
          <w:rFonts w:hint="eastAsia"/>
          <w:color w:val="auto"/>
        </w:rPr>
        <w:t>②光催化氧化</w:t>
      </w:r>
    </w:p>
    <w:p>
      <w:pPr>
        <w:spacing w:line="360" w:lineRule="auto"/>
        <w:ind w:firstLine="480" w:firstLineChars="200"/>
        <w:rPr>
          <w:color w:val="auto"/>
        </w:rPr>
      </w:pPr>
      <w:r>
        <w:rPr>
          <w:rFonts w:hint="eastAsia"/>
          <w:color w:val="auto"/>
        </w:rPr>
        <w:t>光催化氧化是利用特制的高能高臭氧 UV 紫外线光束照射恶臭气体，裂解恶臭气体如：甲硫醇、甲硫醚、二甲二硫、和苯乙烯，硫化物H</w:t>
      </w:r>
      <w:r>
        <w:rPr>
          <w:rFonts w:hint="eastAsia"/>
          <w:color w:val="auto"/>
          <w:vertAlign w:val="subscript"/>
        </w:rPr>
        <w:t>2</w:t>
      </w:r>
      <w:r>
        <w:rPr>
          <w:rFonts w:hint="eastAsia"/>
          <w:color w:val="auto"/>
        </w:rPr>
        <w:t>S、VOC 类，苯、甲苯的分子键，使呈游离状态的污染物分子与臭氧氧化结合成小分子无害或低害的化合物，如 CO</w:t>
      </w:r>
      <w:r>
        <w:rPr>
          <w:rFonts w:hint="eastAsia"/>
          <w:color w:val="auto"/>
          <w:vertAlign w:val="subscript"/>
        </w:rPr>
        <w:t>2</w:t>
      </w:r>
      <w:r>
        <w:rPr>
          <w:rFonts w:hint="eastAsia"/>
          <w:color w:val="auto"/>
        </w:rPr>
        <w:t>、H</w:t>
      </w:r>
      <w:r>
        <w:rPr>
          <w:rFonts w:hint="eastAsia"/>
          <w:color w:val="auto"/>
          <w:vertAlign w:val="subscript"/>
        </w:rPr>
        <w:t>2</w:t>
      </w:r>
      <w:r>
        <w:rPr>
          <w:rFonts w:hint="eastAsia"/>
          <w:color w:val="auto"/>
        </w:rPr>
        <w:t>O 等。它具有适应性强、运行成本低、设备占在面积小等特点，应该应用于炼油厂、橡胶厂、化工厂、制药厂、污水处理厂、垃圾转运站、餐厨垃圾处理厂、饲料厂、印染厂、喷涂厂等各种有污染源恶臭气体的脱臭净化。</w:t>
      </w:r>
    </w:p>
    <w:p>
      <w:pPr>
        <w:spacing w:line="360" w:lineRule="auto"/>
        <w:ind w:firstLine="480" w:firstLineChars="200"/>
        <w:rPr>
          <w:color w:val="auto"/>
        </w:rPr>
      </w:pPr>
      <w:r>
        <w:rPr>
          <w:rFonts w:hint="eastAsia"/>
          <w:color w:val="auto"/>
        </w:rPr>
        <w:t>该装置采用波长为254nm 紫外灯对废气进行光解除臭和灭菌，灯管使用寿命≥9000小时。 采用 2纳米级铝基蜂窝光触媒板， 具有重量轻、 压损小、附着力好不易脱落、净化效率高等特点。</w:t>
      </w:r>
    </w:p>
    <w:p>
      <w:pPr>
        <w:spacing w:line="360" w:lineRule="auto"/>
        <w:ind w:firstLine="480" w:firstLineChars="200"/>
        <w:rPr>
          <w:color w:val="auto"/>
        </w:rPr>
      </w:pPr>
      <w:r>
        <w:rPr>
          <w:color w:val="auto"/>
        </w:rPr>
        <w:drawing>
          <wp:inline distT="0" distB="0" distL="0" distR="0">
            <wp:extent cx="5476875" cy="5000625"/>
            <wp:effectExtent l="0" t="0" r="9525" b="952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26"/>
                    <a:stretch>
                      <a:fillRect/>
                    </a:stretch>
                  </pic:blipFill>
                  <pic:spPr>
                    <a:xfrm>
                      <a:off x="0" y="0"/>
                      <a:ext cx="5476875" cy="5000625"/>
                    </a:xfrm>
                    <a:prstGeom prst="rect">
                      <a:avLst/>
                    </a:prstGeom>
                  </pic:spPr>
                </pic:pic>
              </a:graphicData>
            </a:graphic>
          </wp:inline>
        </w:drawing>
      </w:r>
    </w:p>
    <w:p>
      <w:pPr>
        <w:spacing w:line="360" w:lineRule="auto"/>
        <w:ind w:firstLine="482" w:firstLineChars="200"/>
        <w:jc w:val="center"/>
        <w:rPr>
          <w:b/>
          <w:color w:val="auto"/>
        </w:rPr>
      </w:pPr>
      <w:r>
        <w:rPr>
          <w:rFonts w:hint="eastAsia"/>
          <w:b/>
          <w:color w:val="auto"/>
        </w:rPr>
        <w:t>图 6.2-6    光催化氧化实物</w:t>
      </w:r>
    </w:p>
    <w:p>
      <w:pPr>
        <w:spacing w:line="360" w:lineRule="auto"/>
        <w:ind w:firstLine="482" w:firstLineChars="200"/>
        <w:rPr>
          <w:b/>
          <w:color w:val="auto"/>
        </w:rPr>
      </w:pPr>
      <w:r>
        <w:rPr>
          <w:rFonts w:hint="eastAsia"/>
          <w:b/>
          <w:color w:val="auto"/>
        </w:rPr>
        <w:t>③植物液喷淋</w:t>
      </w:r>
    </w:p>
    <w:p>
      <w:pPr>
        <w:keepNext w:val="0"/>
        <w:keepLines w:val="0"/>
        <w:pageBreakBefore w:val="0"/>
        <w:widowControl w:val="0"/>
        <w:tabs>
          <w:tab w:val="left" w:pos="1155"/>
        </w:tabs>
        <w:kinsoku/>
        <w:wordWrap/>
        <w:overflowPunct/>
        <w:topLinePunct w:val="0"/>
        <w:autoSpaceDE/>
        <w:autoSpaceDN/>
        <w:bidi w:val="0"/>
        <w:adjustRightInd/>
        <w:snapToGrid/>
        <w:spacing w:line="360" w:lineRule="auto"/>
        <w:ind w:firstLine="480"/>
        <w:jc w:val="left"/>
        <w:textAlignment w:val="auto"/>
        <w:rPr>
          <w:rFonts w:hint="default" w:ascii="Times New Roman" w:hAnsi="Times New Roman" w:cs="Times New Roman"/>
          <w:color w:val="auto"/>
          <w:sz w:val="24"/>
          <w:szCs w:val="32"/>
          <w:lang w:val="en-US" w:eastAsia="zh-CN"/>
        </w:rPr>
      </w:pPr>
      <w:r>
        <w:rPr>
          <w:rFonts w:hint="eastAsia" w:ascii="仿宋_GB2312" w:hAnsi="仿宋_GB2312" w:cs="仿宋_GB2312"/>
          <w:color w:val="auto"/>
          <w:szCs w:val="32"/>
          <w:lang w:val="en-US" w:eastAsia="zh-CN"/>
        </w:rPr>
        <w:t>项目</w:t>
      </w:r>
      <w:r>
        <w:rPr>
          <w:color w:val="auto"/>
        </w:rPr>
        <w:t>“正压输送</w:t>
      </w:r>
      <w:r>
        <w:rPr>
          <w:rFonts w:hint="eastAsia"/>
          <w:color w:val="auto"/>
        </w:rPr>
        <w:t>汽</w:t>
      </w:r>
      <w:r>
        <w:rPr>
          <w:color w:val="auto"/>
        </w:rPr>
        <w:t>化天然植物液除臭”</w:t>
      </w:r>
      <w:r>
        <w:rPr>
          <w:rFonts w:hint="eastAsia"/>
          <w:color w:val="auto"/>
          <w:lang w:val="en-US" w:eastAsia="zh-CN"/>
        </w:rPr>
        <w:t>系统</w:t>
      </w:r>
      <w:r>
        <w:rPr>
          <w:rFonts w:hint="default" w:ascii="Times New Roman" w:hAnsi="Times New Roman" w:cs="Times New Roman"/>
          <w:color w:val="auto"/>
          <w:sz w:val="24"/>
          <w:szCs w:val="32"/>
          <w:lang w:val="en-US" w:eastAsia="zh-CN"/>
        </w:rPr>
        <w:t>为整车间喷雾系统</w:t>
      </w:r>
      <w:r>
        <w:rPr>
          <w:rFonts w:hint="eastAsia" w:cs="Times New Roman"/>
          <w:color w:val="auto"/>
          <w:sz w:val="24"/>
          <w:szCs w:val="32"/>
          <w:lang w:val="en-US" w:eastAsia="zh-CN"/>
        </w:rPr>
        <w:t>，</w:t>
      </w:r>
      <w:r>
        <w:rPr>
          <w:rFonts w:hint="default" w:ascii="Times New Roman" w:hAnsi="Times New Roman" w:cs="Times New Roman"/>
          <w:color w:val="auto"/>
          <w:sz w:val="24"/>
          <w:szCs w:val="32"/>
          <w:lang w:val="en-US" w:eastAsia="zh-CN"/>
        </w:rPr>
        <w:t>作用于</w:t>
      </w:r>
      <w:r>
        <w:rPr>
          <w:rFonts w:hint="eastAsia" w:ascii="Times New Roman" w:hAnsi="Times New Roman" w:cs="Times New Roman"/>
          <w:color w:val="auto"/>
          <w:sz w:val="24"/>
          <w:szCs w:val="32"/>
          <w:lang w:val="en-US" w:eastAsia="zh-CN"/>
        </w:rPr>
        <w:t>综合</w:t>
      </w:r>
      <w:r>
        <w:rPr>
          <w:rFonts w:hint="default" w:ascii="Times New Roman" w:hAnsi="Times New Roman" w:cs="Times New Roman"/>
          <w:color w:val="auto"/>
          <w:sz w:val="24"/>
          <w:szCs w:val="32"/>
          <w:lang w:val="en-US" w:eastAsia="zh-CN"/>
        </w:rPr>
        <w:t>处理车间</w:t>
      </w:r>
      <w:r>
        <w:rPr>
          <w:rFonts w:hint="eastAsia" w:ascii="Times New Roman" w:hAnsi="Times New Roman" w:cs="Times New Roman"/>
          <w:color w:val="auto"/>
          <w:sz w:val="24"/>
          <w:szCs w:val="32"/>
          <w:lang w:val="en-US" w:eastAsia="zh-CN"/>
        </w:rPr>
        <w:t>（包括卸料间）</w:t>
      </w:r>
      <w:r>
        <w:rPr>
          <w:rFonts w:hint="default" w:ascii="Times New Roman" w:hAnsi="Times New Roman" w:cs="Times New Roman"/>
          <w:color w:val="auto"/>
          <w:sz w:val="24"/>
          <w:szCs w:val="32"/>
          <w:lang w:val="en-US" w:eastAsia="zh-CN"/>
        </w:rPr>
        <w:t>。</w:t>
      </w:r>
      <w:r>
        <w:rPr>
          <w:rFonts w:hint="eastAsia" w:ascii="Times New Roman" w:hAnsi="Times New Roman" w:cs="Times New Roman"/>
          <w:color w:val="auto"/>
          <w:sz w:val="24"/>
          <w:szCs w:val="32"/>
          <w:lang w:val="en-US" w:eastAsia="zh-CN"/>
        </w:rPr>
        <w:t>项目设置正压除臭工艺的</w:t>
      </w:r>
      <w:r>
        <w:rPr>
          <w:rFonts w:hint="default" w:ascii="Times New Roman" w:hAnsi="Times New Roman" w:cs="Times New Roman"/>
          <w:color w:val="auto"/>
          <w:sz w:val="24"/>
          <w:szCs w:val="32"/>
          <w:lang w:eastAsia="zh-CN"/>
        </w:rPr>
        <w:t>主要目的是降低</w:t>
      </w:r>
      <w:r>
        <w:rPr>
          <w:rFonts w:hint="eastAsia" w:ascii="Times New Roman" w:hAnsi="Times New Roman" w:cs="Times New Roman"/>
          <w:color w:val="auto"/>
          <w:sz w:val="24"/>
          <w:szCs w:val="32"/>
          <w:lang w:val="en-US" w:eastAsia="zh-CN"/>
        </w:rPr>
        <w:t>上述</w:t>
      </w:r>
      <w:r>
        <w:rPr>
          <w:rFonts w:hint="default" w:ascii="Times New Roman" w:hAnsi="Times New Roman" w:cs="Times New Roman"/>
          <w:color w:val="auto"/>
          <w:sz w:val="24"/>
          <w:szCs w:val="32"/>
          <w:lang w:val="en-US" w:eastAsia="zh-CN"/>
        </w:rPr>
        <w:t>车间</w:t>
      </w:r>
      <w:r>
        <w:rPr>
          <w:rFonts w:hint="eastAsia" w:ascii="Times New Roman" w:hAnsi="Times New Roman" w:cs="Times New Roman"/>
          <w:color w:val="auto"/>
          <w:sz w:val="24"/>
          <w:szCs w:val="32"/>
          <w:lang w:val="en-US" w:eastAsia="zh-CN"/>
        </w:rPr>
        <w:t>内</w:t>
      </w:r>
      <w:r>
        <w:rPr>
          <w:rFonts w:hint="default" w:ascii="Times New Roman" w:hAnsi="Times New Roman" w:cs="Times New Roman"/>
          <w:color w:val="auto"/>
          <w:sz w:val="24"/>
          <w:szCs w:val="32"/>
          <w:lang w:val="en-US" w:eastAsia="zh-CN"/>
        </w:rPr>
        <w:t>恶臭气体浓度，</w:t>
      </w:r>
      <w:r>
        <w:rPr>
          <w:rFonts w:hint="eastAsia" w:ascii="Times New Roman" w:hAnsi="Times New Roman" w:cs="Times New Roman"/>
          <w:color w:val="auto"/>
          <w:sz w:val="24"/>
          <w:szCs w:val="32"/>
          <w:lang w:val="en-US" w:eastAsia="zh-CN"/>
        </w:rPr>
        <w:t>同时</w:t>
      </w:r>
      <w:r>
        <w:rPr>
          <w:rFonts w:hint="default" w:ascii="Times New Roman" w:hAnsi="Times New Roman" w:cs="Times New Roman"/>
          <w:color w:val="auto"/>
          <w:sz w:val="24"/>
          <w:szCs w:val="32"/>
          <w:lang w:val="en-US" w:eastAsia="zh-CN"/>
        </w:rPr>
        <w:t>方便工作人员1~2小时进车间巡检一次。</w:t>
      </w:r>
    </w:p>
    <w:p>
      <w:pPr>
        <w:keepNext w:val="0"/>
        <w:keepLines w:val="0"/>
        <w:pageBreakBefore w:val="0"/>
        <w:widowControl w:val="0"/>
        <w:tabs>
          <w:tab w:val="left" w:pos="1155"/>
        </w:tabs>
        <w:kinsoku/>
        <w:wordWrap/>
        <w:overflowPunct/>
        <w:topLinePunct w:val="0"/>
        <w:autoSpaceDE/>
        <w:autoSpaceDN/>
        <w:bidi w:val="0"/>
        <w:adjustRightInd/>
        <w:snapToGrid/>
        <w:spacing w:line="360" w:lineRule="auto"/>
        <w:ind w:firstLine="480"/>
        <w:jc w:val="left"/>
        <w:textAlignment w:val="auto"/>
        <w:rPr>
          <w:rFonts w:hint="eastAsia" w:ascii="Times New Roman" w:hAnsi="Times New Roman" w:cs="Times New Roman"/>
          <w:color w:val="auto"/>
          <w:sz w:val="24"/>
          <w:szCs w:val="32"/>
          <w:lang w:val="en-US" w:eastAsia="zh-CN"/>
        </w:rPr>
      </w:pPr>
      <w:r>
        <w:rPr>
          <w:rFonts w:hint="eastAsia" w:ascii="Times New Roman" w:hAnsi="Times New Roman" w:cs="Times New Roman"/>
          <w:color w:val="auto"/>
          <w:sz w:val="24"/>
          <w:szCs w:val="32"/>
          <w:lang w:val="en-US" w:eastAsia="zh-CN"/>
        </w:rPr>
        <w:t>天然植物液可使空气中的恶臭分子迅速分解，且分解后的产物均为水、氧、氮等无害物质，特别适用于封闭的室内空间。天然植物液中所含的有效分子来自于植物提取液，其中含有多个共轭双键体系，具有较强的提供电子对的能力，有利于增加恶臭分子的反应活性。天然植物液经除臭设备雾化，在空间扩散液滴的半径≤0.04mm。液滴具有很大的比表面积和表面能，平均每摩尔表面能约为几十千卡，这个数量级的能量已是许多元素中键能的1/3~1/2。雾化液滴表面不仅能有效吸附在空气中的恶臭分子，同时也能使被吸附的恶臭分子的立体构型发生改变，削弱了恶臭分子的化合键，使得恶臭分子的不稳定性增加，易与其他分子发生化学反应，在天然植物液的作用下，最后生成无味、无毒的有机盐。如H</w:t>
      </w:r>
      <w:r>
        <w:rPr>
          <w:rFonts w:hint="eastAsia" w:ascii="Times New Roman" w:hAnsi="Times New Roman" w:cs="Times New Roman"/>
          <w:color w:val="auto"/>
          <w:sz w:val="24"/>
          <w:szCs w:val="32"/>
          <w:vertAlign w:val="subscript"/>
          <w:lang w:val="en-US" w:eastAsia="zh-CN"/>
        </w:rPr>
        <w:t>2</w:t>
      </w:r>
      <w:r>
        <w:rPr>
          <w:rFonts w:hint="eastAsia" w:ascii="Times New Roman" w:hAnsi="Times New Roman" w:cs="Times New Roman"/>
          <w:color w:val="auto"/>
          <w:sz w:val="24"/>
          <w:szCs w:val="32"/>
          <w:lang w:val="en-US" w:eastAsia="zh-CN"/>
        </w:rPr>
        <w:t>S在天然植物液作用下反应生成硫酸根离子和水，NH</w:t>
      </w:r>
      <w:r>
        <w:rPr>
          <w:rFonts w:hint="eastAsia" w:ascii="Times New Roman" w:hAnsi="Times New Roman" w:cs="Times New Roman"/>
          <w:color w:val="auto"/>
          <w:sz w:val="24"/>
          <w:szCs w:val="32"/>
          <w:vertAlign w:val="subscript"/>
          <w:lang w:val="en-US" w:eastAsia="zh-CN"/>
        </w:rPr>
        <w:t>3</w:t>
      </w:r>
      <w:r>
        <w:rPr>
          <w:rFonts w:hint="eastAsia" w:ascii="Times New Roman" w:hAnsi="Times New Roman" w:cs="Times New Roman"/>
          <w:color w:val="auto"/>
          <w:sz w:val="24"/>
          <w:szCs w:val="32"/>
          <w:lang w:val="en-US" w:eastAsia="zh-CN"/>
        </w:rPr>
        <w:t>则反应生成氮气和水。</w:t>
      </w:r>
    </w:p>
    <w:p>
      <w:pPr>
        <w:keepNext w:val="0"/>
        <w:keepLines w:val="0"/>
        <w:pageBreakBefore w:val="0"/>
        <w:widowControl w:val="0"/>
        <w:tabs>
          <w:tab w:val="left" w:pos="1155"/>
        </w:tabs>
        <w:kinsoku/>
        <w:wordWrap/>
        <w:overflowPunct/>
        <w:topLinePunct w:val="0"/>
        <w:autoSpaceDE/>
        <w:autoSpaceDN/>
        <w:bidi w:val="0"/>
        <w:adjustRightInd/>
        <w:snapToGrid/>
        <w:spacing w:line="360" w:lineRule="auto"/>
        <w:ind w:firstLine="480"/>
        <w:jc w:val="left"/>
        <w:textAlignment w:val="auto"/>
        <w:rPr>
          <w:rFonts w:hint="eastAsia" w:ascii="Times New Roman" w:hAnsi="Times New Roman" w:cs="Times New Roman"/>
          <w:color w:val="auto"/>
          <w:sz w:val="24"/>
          <w:szCs w:val="32"/>
          <w:lang w:val="en-US" w:eastAsia="zh-CN"/>
        </w:rPr>
      </w:pPr>
      <w:r>
        <w:rPr>
          <w:rFonts w:hint="eastAsia" w:ascii="Times New Roman" w:hAnsi="Times New Roman" w:cs="Times New Roman"/>
          <w:color w:val="auto"/>
          <w:sz w:val="24"/>
          <w:szCs w:val="32"/>
          <w:lang w:val="en-US" w:eastAsia="zh-CN"/>
        </w:rPr>
        <w:t>在天然植物液催化作用下，H</w:t>
      </w:r>
      <w:r>
        <w:rPr>
          <w:rFonts w:hint="eastAsia" w:ascii="Times New Roman" w:hAnsi="Times New Roman" w:cs="Times New Roman"/>
          <w:color w:val="auto"/>
          <w:sz w:val="24"/>
          <w:szCs w:val="32"/>
          <w:vertAlign w:val="subscript"/>
          <w:lang w:val="en-US" w:eastAsia="zh-CN"/>
        </w:rPr>
        <w:t>2</w:t>
      </w:r>
      <w:r>
        <w:rPr>
          <w:rFonts w:hint="eastAsia" w:ascii="Times New Roman" w:hAnsi="Times New Roman" w:cs="Times New Roman"/>
          <w:color w:val="auto"/>
          <w:sz w:val="24"/>
          <w:szCs w:val="32"/>
          <w:lang w:val="en-US" w:eastAsia="zh-CN"/>
        </w:rPr>
        <w:t>S可与氧气发生催化氧化反应：</w:t>
      </w:r>
    </w:p>
    <w:p>
      <w:pPr>
        <w:keepNext w:val="0"/>
        <w:keepLines w:val="0"/>
        <w:pageBreakBefore w:val="0"/>
        <w:widowControl w:val="0"/>
        <w:tabs>
          <w:tab w:val="left" w:pos="1155"/>
        </w:tabs>
        <w:kinsoku/>
        <w:wordWrap/>
        <w:overflowPunct/>
        <w:topLinePunct w:val="0"/>
        <w:autoSpaceDE/>
        <w:autoSpaceDN/>
        <w:bidi w:val="0"/>
        <w:adjustRightInd/>
        <w:snapToGrid/>
        <w:spacing w:line="360" w:lineRule="auto"/>
        <w:ind w:firstLine="480"/>
        <w:jc w:val="center"/>
        <w:textAlignment w:val="auto"/>
        <w:rPr>
          <w:rFonts w:hint="eastAsia" w:ascii="Times New Roman" w:hAnsi="Times New Roman" w:cs="Times New Roman"/>
          <w:color w:val="auto"/>
          <w:sz w:val="24"/>
          <w:szCs w:val="32"/>
          <w:lang w:val="en-US" w:eastAsia="zh-CN"/>
        </w:rPr>
      </w:pPr>
      <w:r>
        <w:rPr>
          <w:color w:val="auto"/>
          <w:sz w:val="24"/>
        </w:rPr>
        <mc:AlternateContent>
          <mc:Choice Requires="wps">
            <w:drawing>
              <wp:anchor distT="0" distB="0" distL="114300" distR="114300" simplePos="0" relativeHeight="252087296" behindDoc="0" locked="0" layoutInCell="1" allowOverlap="1">
                <wp:simplePos x="0" y="0"/>
                <wp:positionH relativeFrom="column">
                  <wp:posOffset>2841625</wp:posOffset>
                </wp:positionH>
                <wp:positionV relativeFrom="paragraph">
                  <wp:posOffset>154305</wp:posOffset>
                </wp:positionV>
                <wp:extent cx="346710" cy="635"/>
                <wp:effectExtent l="0" t="48895" r="15240" b="64770"/>
                <wp:wrapNone/>
                <wp:docPr id="96" name="直接连接符 96"/>
                <wp:cNvGraphicFramePr/>
                <a:graphic xmlns:a="http://schemas.openxmlformats.org/drawingml/2006/main">
                  <a:graphicData uri="http://schemas.microsoft.com/office/word/2010/wordprocessingShape">
                    <wps:wsp>
                      <wps:cNvCnPr/>
                      <wps:spPr>
                        <a:xfrm>
                          <a:off x="0" y="0"/>
                          <a:ext cx="346710" cy="63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223.75pt;margin-top:12.15pt;height:0.05pt;width:27.3pt;z-index:252087296;mso-width-relative:page;mso-height-relative:page;" filled="f" stroked="t" coordsize="21600,21600" o:gfxdata="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B50/0fZAAAACQEA&#10;AA8AAAAAAAAAAQAgAAAAIgAAAGRycy9kb3ducmV2LnhtbFBLAQIUABQAAAAIAIdO4kASYojY4AEA&#10;AJoDAAAOAAAAAAAAAAEAIAAAACgBAABkcnMvZTJvRG9jLnhtbFBLBQYAAAAABgAGAFkBAAB6BQAA&#10;AAA=&#10;">
                <v:fill on="f" focussize="0,0"/>
                <v:stroke color="#000000" joinstyle="round" endarrow="open"/>
                <v:imagedata o:title=""/>
                <o:lock v:ext="edit" aspectratio="f"/>
              </v:line>
            </w:pict>
          </mc:Fallback>
        </mc:AlternateContent>
      </w:r>
      <w:r>
        <w:rPr>
          <w:rFonts w:hint="eastAsia" w:ascii="Times New Roman" w:hAnsi="Times New Roman" w:cs="Times New Roman"/>
          <w:color w:val="auto"/>
          <w:sz w:val="24"/>
          <w:szCs w:val="32"/>
          <w:lang w:val="en-US" w:eastAsia="zh-CN"/>
        </w:rPr>
        <w:t>R-NH</w:t>
      </w:r>
      <w:r>
        <w:rPr>
          <w:rFonts w:hint="eastAsia" w:ascii="Times New Roman" w:hAnsi="Times New Roman" w:cs="Times New Roman"/>
          <w:color w:val="auto"/>
          <w:sz w:val="24"/>
          <w:szCs w:val="32"/>
          <w:vertAlign w:val="subscript"/>
          <w:lang w:val="en-US" w:eastAsia="zh-CN"/>
        </w:rPr>
        <w:t>2</w:t>
      </w:r>
      <w:r>
        <w:rPr>
          <w:rFonts w:hint="eastAsia" w:ascii="Times New Roman" w:hAnsi="Times New Roman" w:cs="Times New Roman"/>
          <w:color w:val="auto"/>
          <w:sz w:val="24"/>
          <w:szCs w:val="32"/>
          <w:lang w:val="en-US" w:eastAsia="zh-CN"/>
        </w:rPr>
        <w:t>+H</w:t>
      </w:r>
      <w:r>
        <w:rPr>
          <w:rFonts w:hint="eastAsia" w:ascii="Times New Roman" w:hAnsi="Times New Roman" w:cs="Times New Roman"/>
          <w:color w:val="auto"/>
          <w:sz w:val="24"/>
          <w:szCs w:val="32"/>
          <w:vertAlign w:val="subscript"/>
          <w:lang w:val="en-US" w:eastAsia="zh-CN"/>
        </w:rPr>
        <w:t>2</w:t>
      </w:r>
      <w:r>
        <w:rPr>
          <w:rFonts w:hint="eastAsia" w:ascii="Times New Roman" w:hAnsi="Times New Roman" w:cs="Times New Roman"/>
          <w:color w:val="auto"/>
          <w:sz w:val="24"/>
          <w:szCs w:val="32"/>
          <w:lang w:val="en-US" w:eastAsia="zh-CN"/>
        </w:rPr>
        <w:t>S        R-NH</w:t>
      </w:r>
      <w:r>
        <w:rPr>
          <w:rFonts w:hint="eastAsia" w:ascii="Times New Roman" w:hAnsi="Times New Roman" w:cs="Times New Roman"/>
          <w:color w:val="auto"/>
          <w:sz w:val="24"/>
          <w:szCs w:val="32"/>
          <w:vertAlign w:val="subscript"/>
          <w:lang w:val="en-US" w:eastAsia="zh-CN"/>
        </w:rPr>
        <w:t>3</w:t>
      </w:r>
      <w:r>
        <w:rPr>
          <w:rFonts w:hint="eastAsia" w:ascii="Times New Roman" w:hAnsi="Times New Roman" w:cs="Times New Roman"/>
          <w:color w:val="auto"/>
          <w:sz w:val="24"/>
          <w:szCs w:val="32"/>
          <w:vertAlign w:val="superscript"/>
          <w:lang w:val="en-US" w:eastAsia="zh-CN"/>
        </w:rPr>
        <w:t>+</w:t>
      </w:r>
      <w:r>
        <w:rPr>
          <w:rFonts w:hint="eastAsia" w:ascii="Times New Roman" w:hAnsi="Times New Roman" w:cs="Times New Roman"/>
          <w:color w:val="auto"/>
          <w:sz w:val="24"/>
          <w:szCs w:val="32"/>
          <w:lang w:val="en-US" w:eastAsia="zh-CN"/>
        </w:rPr>
        <w:t>+SH</w:t>
      </w:r>
      <w:r>
        <w:rPr>
          <w:rFonts w:hint="eastAsia" w:ascii="Times New Roman" w:hAnsi="Times New Roman" w:cs="Times New Roman"/>
          <w:color w:val="auto"/>
          <w:sz w:val="24"/>
          <w:szCs w:val="32"/>
          <w:vertAlign w:val="superscript"/>
          <w:lang w:val="en-US" w:eastAsia="zh-CN"/>
        </w:rPr>
        <w:t>-</w:t>
      </w:r>
    </w:p>
    <w:p>
      <w:pPr>
        <w:keepNext w:val="0"/>
        <w:keepLines w:val="0"/>
        <w:pageBreakBefore w:val="0"/>
        <w:widowControl w:val="0"/>
        <w:tabs>
          <w:tab w:val="left" w:pos="1155"/>
        </w:tabs>
        <w:kinsoku/>
        <w:wordWrap/>
        <w:overflowPunct/>
        <w:topLinePunct w:val="0"/>
        <w:autoSpaceDE/>
        <w:autoSpaceDN/>
        <w:bidi w:val="0"/>
        <w:adjustRightInd/>
        <w:snapToGrid/>
        <w:spacing w:line="360" w:lineRule="auto"/>
        <w:ind w:firstLine="480"/>
        <w:jc w:val="center"/>
        <w:textAlignment w:val="auto"/>
        <w:rPr>
          <w:rFonts w:hint="eastAsia" w:ascii="Times New Roman" w:hAnsi="Times New Roman" w:cs="Times New Roman"/>
          <w:color w:val="auto"/>
          <w:sz w:val="24"/>
          <w:szCs w:val="32"/>
          <w:lang w:val="en-US" w:eastAsia="zh-CN"/>
        </w:rPr>
      </w:pPr>
      <w:r>
        <w:rPr>
          <w:color w:val="auto"/>
          <w:sz w:val="24"/>
        </w:rPr>
        <mc:AlternateContent>
          <mc:Choice Requires="wps">
            <w:drawing>
              <wp:anchor distT="0" distB="0" distL="114300" distR="114300" simplePos="0" relativeHeight="252072960" behindDoc="0" locked="0" layoutInCell="1" allowOverlap="1">
                <wp:simplePos x="0" y="0"/>
                <wp:positionH relativeFrom="column">
                  <wp:posOffset>2916555</wp:posOffset>
                </wp:positionH>
                <wp:positionV relativeFrom="paragraph">
                  <wp:posOffset>163830</wp:posOffset>
                </wp:positionV>
                <wp:extent cx="346710" cy="635"/>
                <wp:effectExtent l="0" t="48895" r="15240" b="64770"/>
                <wp:wrapNone/>
                <wp:docPr id="98" name="直接连接符 98"/>
                <wp:cNvGraphicFramePr/>
                <a:graphic xmlns:a="http://schemas.openxmlformats.org/drawingml/2006/main">
                  <a:graphicData uri="http://schemas.microsoft.com/office/word/2010/wordprocessingShape">
                    <wps:wsp>
                      <wps:cNvCnPr/>
                      <wps:spPr>
                        <a:xfrm>
                          <a:off x="0" y="0"/>
                          <a:ext cx="346710" cy="63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229.65pt;margin-top:12.9pt;height:0.05pt;width:27.3pt;z-index:252072960;mso-width-relative:page;mso-height-relative:page;" filled="f" stroked="t" coordsize="21600,21600" o:gfxdata="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ElWesHZAAAACQEA&#10;AA8AAAAAAAAAAQAgAAAAIgAAAGRycy9kb3ducmV2LnhtbFBLAQIUABQAAAAIAIdO4kD0LmnI4AEA&#10;AJoDAAAOAAAAAAAAAAEAIAAAACgBAABkcnMvZTJvRG9jLnhtbFBLBQYAAAAABgAGAFkBAAB6BQAA&#10;AAA=&#10;">
                <v:fill on="f" focussize="0,0"/>
                <v:stroke color="#000000" joinstyle="round" endarrow="open"/>
                <v:imagedata o:title=""/>
                <o:lock v:ext="edit" aspectratio="f"/>
              </v:line>
            </w:pict>
          </mc:Fallback>
        </mc:AlternateContent>
      </w:r>
      <w:r>
        <w:rPr>
          <w:rFonts w:hint="eastAsia" w:ascii="Times New Roman" w:hAnsi="Times New Roman" w:cs="Times New Roman"/>
          <w:color w:val="auto"/>
          <w:sz w:val="24"/>
          <w:szCs w:val="32"/>
          <w:lang w:val="en-US" w:eastAsia="zh-CN"/>
        </w:rPr>
        <w:t>2R-NH</w:t>
      </w:r>
      <w:r>
        <w:rPr>
          <w:rFonts w:hint="eastAsia" w:ascii="Times New Roman" w:hAnsi="Times New Roman" w:cs="Times New Roman"/>
          <w:color w:val="auto"/>
          <w:sz w:val="24"/>
          <w:szCs w:val="32"/>
          <w:vertAlign w:val="subscript"/>
          <w:lang w:val="en-US" w:eastAsia="zh-CN"/>
        </w:rPr>
        <w:t>2</w:t>
      </w:r>
      <w:r>
        <w:rPr>
          <w:rFonts w:hint="eastAsia" w:ascii="Times New Roman" w:hAnsi="Times New Roman" w:cs="Times New Roman"/>
          <w:color w:val="auto"/>
          <w:sz w:val="24"/>
          <w:szCs w:val="32"/>
          <w:lang w:val="en-US" w:eastAsia="zh-CN"/>
        </w:rPr>
        <w:t>+SH</w:t>
      </w:r>
      <w:r>
        <w:rPr>
          <w:rFonts w:hint="eastAsia" w:ascii="Times New Roman" w:hAnsi="Times New Roman" w:cs="Times New Roman"/>
          <w:color w:val="auto"/>
          <w:sz w:val="24"/>
          <w:szCs w:val="32"/>
          <w:vertAlign w:val="superscript"/>
          <w:lang w:val="en-US" w:eastAsia="zh-CN"/>
        </w:rPr>
        <w:t>-</w:t>
      </w:r>
      <w:r>
        <w:rPr>
          <w:rFonts w:hint="eastAsia" w:ascii="Times New Roman" w:hAnsi="Times New Roman" w:cs="Times New Roman"/>
          <w:color w:val="auto"/>
          <w:sz w:val="24"/>
          <w:szCs w:val="32"/>
          <w:lang w:val="en-US" w:eastAsia="zh-CN"/>
        </w:rPr>
        <w:t>+2O</w:t>
      </w:r>
      <w:r>
        <w:rPr>
          <w:rFonts w:hint="eastAsia" w:ascii="Times New Roman" w:hAnsi="Times New Roman" w:cs="Times New Roman"/>
          <w:color w:val="auto"/>
          <w:sz w:val="24"/>
          <w:szCs w:val="32"/>
          <w:vertAlign w:val="subscript"/>
          <w:lang w:val="en-US" w:eastAsia="zh-CN"/>
        </w:rPr>
        <w:t>2</w:t>
      </w:r>
      <w:r>
        <w:rPr>
          <w:rFonts w:hint="eastAsia" w:ascii="Times New Roman" w:hAnsi="Times New Roman" w:cs="Times New Roman"/>
          <w:color w:val="auto"/>
          <w:sz w:val="24"/>
          <w:szCs w:val="32"/>
          <w:lang w:val="en-US" w:eastAsia="zh-CN"/>
        </w:rPr>
        <w:t>+H</w:t>
      </w:r>
      <w:r>
        <w:rPr>
          <w:rFonts w:hint="eastAsia" w:ascii="Times New Roman" w:hAnsi="Times New Roman" w:cs="Times New Roman"/>
          <w:color w:val="auto"/>
          <w:sz w:val="24"/>
          <w:szCs w:val="32"/>
          <w:vertAlign w:val="subscript"/>
          <w:lang w:val="en-US" w:eastAsia="zh-CN"/>
        </w:rPr>
        <w:t>2</w:t>
      </w:r>
      <w:r>
        <w:rPr>
          <w:rFonts w:hint="eastAsia" w:ascii="Times New Roman" w:hAnsi="Times New Roman" w:cs="Times New Roman"/>
          <w:color w:val="auto"/>
          <w:sz w:val="24"/>
          <w:szCs w:val="32"/>
          <w:lang w:val="en-US" w:eastAsia="zh-CN"/>
        </w:rPr>
        <w:t>O         (R-NH</w:t>
      </w:r>
      <w:r>
        <w:rPr>
          <w:rFonts w:hint="eastAsia" w:ascii="Times New Roman" w:hAnsi="Times New Roman" w:cs="Times New Roman"/>
          <w:color w:val="auto"/>
          <w:sz w:val="24"/>
          <w:szCs w:val="32"/>
          <w:vertAlign w:val="subscript"/>
          <w:lang w:val="en-US" w:eastAsia="zh-CN"/>
        </w:rPr>
        <w:t>3</w:t>
      </w:r>
      <w:r>
        <w:rPr>
          <w:rFonts w:hint="eastAsia" w:ascii="Times New Roman" w:hAnsi="Times New Roman" w:cs="Times New Roman"/>
          <w:color w:val="auto"/>
          <w:sz w:val="24"/>
          <w:szCs w:val="32"/>
          <w:vertAlign w:val="superscript"/>
          <w:lang w:val="en-US" w:eastAsia="zh-CN"/>
        </w:rPr>
        <w:t>+</w:t>
      </w:r>
      <w:r>
        <w:rPr>
          <w:rFonts w:hint="eastAsia" w:ascii="Times New Roman" w:hAnsi="Times New Roman" w:cs="Times New Roman"/>
          <w:color w:val="auto"/>
          <w:sz w:val="24"/>
          <w:szCs w:val="32"/>
          <w:vertAlign w:val="baseline"/>
          <w:lang w:val="en-US" w:eastAsia="zh-CN"/>
        </w:rPr>
        <w:t>)</w:t>
      </w:r>
      <w:r>
        <w:rPr>
          <w:rFonts w:hint="eastAsia" w:ascii="Times New Roman" w:hAnsi="Times New Roman" w:cs="Times New Roman"/>
          <w:color w:val="auto"/>
          <w:sz w:val="24"/>
          <w:szCs w:val="32"/>
          <w:vertAlign w:val="subscript"/>
          <w:lang w:val="en-US" w:eastAsia="zh-CN"/>
        </w:rPr>
        <w:t>2</w:t>
      </w:r>
      <w:r>
        <w:rPr>
          <w:rFonts w:hint="eastAsia" w:ascii="Times New Roman" w:hAnsi="Times New Roman" w:cs="Times New Roman"/>
          <w:color w:val="auto"/>
          <w:sz w:val="24"/>
          <w:szCs w:val="32"/>
          <w:lang w:val="en-US" w:eastAsia="zh-CN"/>
        </w:rPr>
        <w:t>SO</w:t>
      </w:r>
      <w:r>
        <w:rPr>
          <w:rFonts w:hint="eastAsia" w:ascii="Times New Roman" w:hAnsi="Times New Roman" w:cs="Times New Roman"/>
          <w:color w:val="auto"/>
          <w:sz w:val="24"/>
          <w:szCs w:val="32"/>
          <w:vertAlign w:val="subscript"/>
          <w:lang w:val="en-US" w:eastAsia="zh-CN"/>
        </w:rPr>
        <w:t>4</w:t>
      </w:r>
      <w:r>
        <w:rPr>
          <w:rFonts w:hint="eastAsia" w:ascii="Times New Roman" w:hAnsi="Times New Roman" w:cs="Times New Roman"/>
          <w:color w:val="auto"/>
          <w:sz w:val="24"/>
          <w:szCs w:val="32"/>
          <w:vertAlign w:val="superscript"/>
          <w:lang w:val="en-US" w:eastAsia="zh-CN"/>
        </w:rPr>
        <w:t>2-</w:t>
      </w:r>
      <w:r>
        <w:rPr>
          <w:rFonts w:hint="eastAsia" w:ascii="Times New Roman" w:hAnsi="Times New Roman" w:cs="Times New Roman"/>
          <w:color w:val="auto"/>
          <w:sz w:val="24"/>
          <w:szCs w:val="32"/>
          <w:lang w:val="en-US" w:eastAsia="zh-CN"/>
        </w:rPr>
        <w:t>+OH</w:t>
      </w:r>
      <w:r>
        <w:rPr>
          <w:rFonts w:hint="eastAsia" w:ascii="Times New Roman" w:hAnsi="Times New Roman" w:cs="Times New Roman"/>
          <w:color w:val="auto"/>
          <w:sz w:val="24"/>
          <w:szCs w:val="32"/>
          <w:vertAlign w:val="superscript"/>
          <w:lang w:val="en-US" w:eastAsia="zh-CN"/>
        </w:rPr>
        <w:t>-</w:t>
      </w:r>
    </w:p>
    <w:p>
      <w:pPr>
        <w:keepNext w:val="0"/>
        <w:keepLines w:val="0"/>
        <w:pageBreakBefore w:val="0"/>
        <w:widowControl w:val="0"/>
        <w:tabs>
          <w:tab w:val="left" w:pos="1155"/>
        </w:tabs>
        <w:kinsoku/>
        <w:wordWrap/>
        <w:overflowPunct/>
        <w:topLinePunct w:val="0"/>
        <w:autoSpaceDE/>
        <w:autoSpaceDN/>
        <w:bidi w:val="0"/>
        <w:adjustRightInd/>
        <w:snapToGrid/>
        <w:spacing w:line="360" w:lineRule="auto"/>
        <w:ind w:firstLine="480"/>
        <w:jc w:val="center"/>
        <w:textAlignment w:val="auto"/>
        <w:rPr>
          <w:rFonts w:hint="eastAsia" w:ascii="Times New Roman" w:hAnsi="Times New Roman" w:cs="Times New Roman"/>
          <w:color w:val="auto"/>
          <w:sz w:val="24"/>
          <w:szCs w:val="32"/>
          <w:lang w:val="en-US" w:eastAsia="zh-CN"/>
        </w:rPr>
      </w:pPr>
      <w:r>
        <w:rPr>
          <w:color w:val="auto"/>
          <w:sz w:val="24"/>
        </w:rPr>
        <mc:AlternateContent>
          <mc:Choice Requires="wps">
            <w:drawing>
              <wp:anchor distT="0" distB="0" distL="114300" distR="114300" simplePos="0" relativeHeight="252071936" behindDoc="0" locked="0" layoutInCell="1" allowOverlap="1">
                <wp:simplePos x="0" y="0"/>
                <wp:positionH relativeFrom="column">
                  <wp:posOffset>2896235</wp:posOffset>
                </wp:positionH>
                <wp:positionV relativeFrom="paragraph">
                  <wp:posOffset>146050</wp:posOffset>
                </wp:positionV>
                <wp:extent cx="346710" cy="635"/>
                <wp:effectExtent l="0" t="48895" r="15240" b="64770"/>
                <wp:wrapNone/>
                <wp:docPr id="99" name="直接连接符 99"/>
                <wp:cNvGraphicFramePr/>
                <a:graphic xmlns:a="http://schemas.openxmlformats.org/drawingml/2006/main">
                  <a:graphicData uri="http://schemas.microsoft.com/office/word/2010/wordprocessingShape">
                    <wps:wsp>
                      <wps:cNvCnPr/>
                      <wps:spPr>
                        <a:xfrm>
                          <a:off x="0" y="0"/>
                          <a:ext cx="346710" cy="63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228.05pt;margin-top:11.5pt;height:0.05pt;width:27.3pt;z-index:252071936;mso-width-relative:page;mso-height-relative:page;" filled="f" stroked="t" coordsize="21600,21600" o:gfxdata="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JhhKWDZAAAACQEA&#10;AA8AAAAAAAAAAQAgAAAAIgAAAGRycy9kb3ducmV2LnhtbFBLAQIUABQAAAAIAIdO4kC/ezRB4AEA&#10;AJoDAAAOAAAAAAAAAAEAIAAAACgBAABkcnMvZTJvRG9jLnhtbFBLBQYAAAAABgAGAFkBAAB6BQAA&#10;AAA=&#10;">
                <v:fill on="f" focussize="0,0"/>
                <v:stroke color="#000000" joinstyle="round" endarrow="open"/>
                <v:imagedata o:title=""/>
                <o:lock v:ext="edit" aspectratio="f"/>
              </v:line>
            </w:pict>
          </mc:Fallback>
        </mc:AlternateContent>
      </w:r>
      <w:r>
        <w:rPr>
          <w:rFonts w:hint="eastAsia" w:ascii="Times New Roman" w:hAnsi="Times New Roman" w:cs="Times New Roman"/>
          <w:color w:val="auto"/>
          <w:sz w:val="24"/>
          <w:szCs w:val="32"/>
          <w:lang w:val="en-US" w:eastAsia="zh-CN"/>
        </w:rPr>
        <w:t>R-NH</w:t>
      </w:r>
      <w:r>
        <w:rPr>
          <w:rFonts w:hint="eastAsia" w:ascii="Times New Roman" w:hAnsi="Times New Roman" w:cs="Times New Roman"/>
          <w:color w:val="auto"/>
          <w:sz w:val="24"/>
          <w:szCs w:val="32"/>
          <w:vertAlign w:val="subscript"/>
          <w:lang w:val="en-US" w:eastAsia="zh-CN"/>
        </w:rPr>
        <w:t>3</w:t>
      </w:r>
      <w:r>
        <w:rPr>
          <w:rFonts w:hint="eastAsia" w:ascii="Times New Roman" w:hAnsi="Times New Roman" w:cs="Times New Roman"/>
          <w:color w:val="auto"/>
          <w:sz w:val="24"/>
          <w:szCs w:val="32"/>
          <w:vertAlign w:val="superscript"/>
          <w:lang w:val="en-US" w:eastAsia="zh-CN"/>
        </w:rPr>
        <w:t>+</w:t>
      </w:r>
      <w:r>
        <w:rPr>
          <w:rFonts w:hint="eastAsia" w:ascii="Times New Roman" w:hAnsi="Times New Roman" w:cs="Times New Roman"/>
          <w:color w:val="auto"/>
          <w:sz w:val="24"/>
          <w:szCs w:val="32"/>
          <w:lang w:val="en-US" w:eastAsia="zh-CN"/>
        </w:rPr>
        <w:t>+OH</w:t>
      </w:r>
      <w:r>
        <w:rPr>
          <w:rFonts w:hint="eastAsia" w:ascii="Times New Roman" w:hAnsi="Times New Roman" w:cs="Times New Roman"/>
          <w:color w:val="auto"/>
          <w:sz w:val="24"/>
          <w:szCs w:val="32"/>
          <w:vertAlign w:val="superscript"/>
          <w:lang w:val="en-US" w:eastAsia="zh-CN"/>
        </w:rPr>
        <w:t>-</w:t>
      </w:r>
      <w:r>
        <w:rPr>
          <w:rFonts w:hint="eastAsia" w:ascii="Times New Roman" w:hAnsi="Times New Roman" w:cs="Times New Roman"/>
          <w:color w:val="auto"/>
          <w:sz w:val="24"/>
          <w:szCs w:val="32"/>
          <w:lang w:val="en-US" w:eastAsia="zh-CN"/>
        </w:rPr>
        <w:t xml:space="preserve">          R-NH</w:t>
      </w:r>
      <w:r>
        <w:rPr>
          <w:rFonts w:hint="eastAsia" w:ascii="Times New Roman" w:hAnsi="Times New Roman" w:cs="Times New Roman"/>
          <w:color w:val="auto"/>
          <w:sz w:val="24"/>
          <w:szCs w:val="32"/>
          <w:vertAlign w:val="subscript"/>
          <w:lang w:val="en-US" w:eastAsia="zh-CN"/>
        </w:rPr>
        <w:t>2</w:t>
      </w:r>
      <w:r>
        <w:rPr>
          <w:rFonts w:hint="eastAsia" w:ascii="Times New Roman" w:hAnsi="Times New Roman" w:cs="Times New Roman"/>
          <w:color w:val="auto"/>
          <w:sz w:val="24"/>
          <w:szCs w:val="32"/>
          <w:lang w:val="en-US" w:eastAsia="zh-CN"/>
        </w:rPr>
        <w:t>+H</w:t>
      </w:r>
      <w:r>
        <w:rPr>
          <w:rFonts w:hint="eastAsia" w:ascii="Times New Roman" w:hAnsi="Times New Roman" w:cs="Times New Roman"/>
          <w:color w:val="auto"/>
          <w:sz w:val="24"/>
          <w:szCs w:val="32"/>
          <w:vertAlign w:val="subscript"/>
          <w:lang w:val="en-US" w:eastAsia="zh-CN"/>
        </w:rPr>
        <w:t>2</w:t>
      </w:r>
      <w:r>
        <w:rPr>
          <w:rFonts w:hint="eastAsia" w:ascii="Times New Roman" w:hAnsi="Times New Roman" w:cs="Times New Roman"/>
          <w:color w:val="auto"/>
          <w:sz w:val="24"/>
          <w:szCs w:val="32"/>
          <w:lang w:val="en-US" w:eastAsia="zh-CN"/>
        </w:rPr>
        <w:t>O</w:t>
      </w:r>
    </w:p>
    <w:p>
      <w:pPr>
        <w:keepNext w:val="0"/>
        <w:keepLines w:val="0"/>
        <w:pageBreakBefore w:val="0"/>
        <w:widowControl w:val="0"/>
        <w:tabs>
          <w:tab w:val="left" w:pos="1155"/>
        </w:tabs>
        <w:kinsoku/>
        <w:wordWrap/>
        <w:overflowPunct/>
        <w:topLinePunct w:val="0"/>
        <w:autoSpaceDE/>
        <w:autoSpaceDN/>
        <w:bidi w:val="0"/>
        <w:adjustRightInd/>
        <w:snapToGrid/>
        <w:spacing w:line="360" w:lineRule="auto"/>
        <w:ind w:firstLine="480"/>
        <w:jc w:val="left"/>
        <w:textAlignment w:val="auto"/>
        <w:rPr>
          <w:rFonts w:hint="eastAsia" w:cs="Times New Roman"/>
          <w:color w:val="auto"/>
          <w:sz w:val="24"/>
          <w:szCs w:val="32"/>
          <w:lang w:val="en-US" w:eastAsia="zh-CN"/>
        </w:rPr>
      </w:pPr>
      <w:r>
        <w:rPr>
          <w:rFonts w:hint="eastAsia" w:ascii="Times New Roman" w:hAnsi="Times New Roman" w:cs="Times New Roman"/>
          <w:color w:val="auto"/>
          <w:sz w:val="24"/>
          <w:szCs w:val="32"/>
          <w:lang w:val="en-US" w:eastAsia="zh-CN"/>
        </w:rPr>
        <w:t>在天然植物液催化作用下，</w:t>
      </w:r>
      <w:r>
        <w:rPr>
          <w:rFonts w:hint="eastAsia" w:cs="Times New Roman"/>
          <w:color w:val="auto"/>
          <w:sz w:val="24"/>
          <w:szCs w:val="32"/>
          <w:lang w:val="en-US" w:eastAsia="zh-CN"/>
        </w:rPr>
        <w:t>硫醇在空气中可快速发生氧化反应：</w:t>
      </w:r>
    </w:p>
    <w:p>
      <w:pPr>
        <w:keepNext w:val="0"/>
        <w:keepLines w:val="0"/>
        <w:pageBreakBefore w:val="0"/>
        <w:widowControl w:val="0"/>
        <w:tabs>
          <w:tab w:val="left" w:pos="1155"/>
        </w:tabs>
        <w:kinsoku/>
        <w:wordWrap/>
        <w:overflowPunct/>
        <w:topLinePunct w:val="0"/>
        <w:autoSpaceDE/>
        <w:autoSpaceDN/>
        <w:bidi w:val="0"/>
        <w:adjustRightInd/>
        <w:snapToGrid/>
        <w:spacing w:line="360" w:lineRule="auto"/>
        <w:ind w:firstLine="480"/>
        <w:jc w:val="center"/>
        <w:textAlignment w:val="auto"/>
        <w:rPr>
          <w:rFonts w:hint="default" w:cs="Times New Roman"/>
          <w:color w:val="auto"/>
          <w:sz w:val="24"/>
          <w:szCs w:val="32"/>
          <w:lang w:val="en-US" w:eastAsia="zh-CN"/>
        </w:rPr>
      </w:pPr>
      <w:r>
        <w:rPr>
          <w:rFonts w:hint="default"/>
          <w:color w:val="auto"/>
          <w:sz w:val="24"/>
          <w:lang w:val="en-US"/>
        </w:rPr>
        <mc:AlternateContent>
          <mc:Choice Requires="wps">
            <w:drawing>
              <wp:anchor distT="0" distB="0" distL="114300" distR="114300" simplePos="0" relativeHeight="252070912" behindDoc="0" locked="0" layoutInCell="1" allowOverlap="1">
                <wp:simplePos x="0" y="0"/>
                <wp:positionH relativeFrom="column">
                  <wp:posOffset>2713355</wp:posOffset>
                </wp:positionH>
                <wp:positionV relativeFrom="paragraph">
                  <wp:posOffset>161290</wp:posOffset>
                </wp:positionV>
                <wp:extent cx="360680" cy="635"/>
                <wp:effectExtent l="0" t="48895" r="1270" b="64770"/>
                <wp:wrapNone/>
                <wp:docPr id="97" name="直接连接符 97"/>
                <wp:cNvGraphicFramePr/>
                <a:graphic xmlns:a="http://schemas.openxmlformats.org/drawingml/2006/main">
                  <a:graphicData uri="http://schemas.microsoft.com/office/word/2010/wordprocessingShape">
                    <wps:wsp>
                      <wps:cNvCnPr/>
                      <wps:spPr>
                        <a:xfrm>
                          <a:off x="0" y="0"/>
                          <a:ext cx="360680" cy="63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213.65pt;margin-top:12.7pt;height:0.05pt;width:28.4pt;z-index:252070912;mso-width-relative:page;mso-height-relative:page;" filled="f" stroked="t" coordsize="21600,21600" o:gfxdata="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PUdDpnZAAAACQEA&#10;AA8AAAAAAAAAAQAgAAAAIgAAAGRycy9kb3ducmV2LnhtbFBLAQIUABQAAAAIAIdO4kDp2bBb4AEA&#10;AJoDAAAOAAAAAAAAAAEAIAAAACgBAABkcnMvZTJvRG9jLnhtbFBLBQYAAAAABgAGAFkBAAB6BQAA&#10;AAA=&#10;">
                <v:fill on="f" focussize="0,0"/>
                <v:stroke color="#000000" joinstyle="round" endarrow="open"/>
                <v:imagedata o:title=""/>
                <o:lock v:ext="edit" aspectratio="f"/>
              </v:line>
            </w:pict>
          </mc:Fallback>
        </mc:AlternateContent>
      </w:r>
      <w:r>
        <w:rPr>
          <w:rFonts w:hint="eastAsia"/>
          <w:color w:val="auto"/>
          <w:sz w:val="24"/>
          <w:lang w:val="en-US" w:eastAsia="zh-CN"/>
        </w:rPr>
        <w:t>4</w:t>
      </w:r>
      <w:r>
        <w:rPr>
          <w:rFonts w:hint="eastAsia" w:cs="Times New Roman"/>
          <w:color w:val="auto"/>
          <w:sz w:val="24"/>
          <w:szCs w:val="32"/>
          <w:lang w:val="en-US" w:eastAsia="zh-CN"/>
        </w:rPr>
        <w:t>R-SH+O</w:t>
      </w:r>
      <w:r>
        <w:rPr>
          <w:rFonts w:hint="eastAsia" w:cs="Times New Roman"/>
          <w:color w:val="auto"/>
          <w:sz w:val="24"/>
          <w:szCs w:val="32"/>
          <w:vertAlign w:val="subscript"/>
          <w:lang w:val="en-US" w:eastAsia="zh-CN"/>
        </w:rPr>
        <w:t>2</w:t>
      </w:r>
      <w:r>
        <w:rPr>
          <w:rFonts w:hint="eastAsia" w:cs="Times New Roman"/>
          <w:color w:val="auto"/>
          <w:sz w:val="24"/>
          <w:szCs w:val="32"/>
          <w:lang w:val="en-US" w:eastAsia="zh-CN"/>
        </w:rPr>
        <w:t xml:space="preserve">        2R-SS-R+2H</w:t>
      </w:r>
      <w:r>
        <w:rPr>
          <w:rFonts w:hint="eastAsia" w:cs="Times New Roman"/>
          <w:color w:val="auto"/>
          <w:sz w:val="24"/>
          <w:szCs w:val="32"/>
          <w:vertAlign w:val="subscript"/>
          <w:lang w:val="en-US" w:eastAsia="zh-CN"/>
        </w:rPr>
        <w:t>2</w:t>
      </w:r>
      <w:r>
        <w:rPr>
          <w:rFonts w:hint="eastAsia" w:cs="Times New Roman"/>
          <w:color w:val="auto"/>
          <w:sz w:val="24"/>
          <w:szCs w:val="32"/>
          <w:lang w:val="en-US" w:eastAsia="zh-CN"/>
        </w:rPr>
        <w:t>O</w:t>
      </w:r>
    </w:p>
    <w:p>
      <w:pPr>
        <w:keepNext w:val="0"/>
        <w:keepLines w:val="0"/>
        <w:pageBreakBefore w:val="0"/>
        <w:widowControl w:val="0"/>
        <w:tabs>
          <w:tab w:val="left" w:pos="1155"/>
        </w:tabs>
        <w:kinsoku/>
        <w:wordWrap/>
        <w:overflowPunct/>
        <w:topLinePunct w:val="0"/>
        <w:autoSpaceDE/>
        <w:autoSpaceDN/>
        <w:bidi w:val="0"/>
        <w:adjustRightInd/>
        <w:snapToGrid/>
        <w:spacing w:line="360" w:lineRule="auto"/>
        <w:ind w:firstLine="480"/>
        <w:jc w:val="left"/>
        <w:textAlignment w:val="auto"/>
        <w:rPr>
          <w:rFonts w:hint="eastAsia" w:cs="Times New Roman"/>
          <w:color w:val="auto"/>
          <w:sz w:val="24"/>
          <w:szCs w:val="32"/>
          <w:lang w:val="en-US" w:eastAsia="zh-CN"/>
        </w:rPr>
      </w:pPr>
      <w:r>
        <w:rPr>
          <w:rFonts w:hint="eastAsia" w:ascii="Times New Roman" w:hAnsi="Times New Roman" w:cs="Times New Roman"/>
          <w:color w:val="auto"/>
          <w:sz w:val="24"/>
          <w:szCs w:val="32"/>
          <w:lang w:val="en-US" w:eastAsia="zh-CN"/>
        </w:rPr>
        <w:t>在天然植物液作用下，</w:t>
      </w:r>
      <w:r>
        <w:rPr>
          <w:rFonts w:hint="eastAsia" w:cs="Times New Roman"/>
          <w:color w:val="auto"/>
          <w:sz w:val="24"/>
          <w:szCs w:val="32"/>
          <w:lang w:val="en-US" w:eastAsia="zh-CN"/>
        </w:rPr>
        <w:t>氮可与氧气发生氧化反应：</w:t>
      </w:r>
    </w:p>
    <w:p>
      <w:pPr>
        <w:keepNext w:val="0"/>
        <w:keepLines w:val="0"/>
        <w:pageBreakBefore w:val="0"/>
        <w:widowControl w:val="0"/>
        <w:tabs>
          <w:tab w:val="left" w:pos="1155"/>
        </w:tabs>
        <w:kinsoku/>
        <w:wordWrap/>
        <w:overflowPunct/>
        <w:topLinePunct w:val="0"/>
        <w:autoSpaceDE/>
        <w:autoSpaceDN/>
        <w:bidi w:val="0"/>
        <w:adjustRightInd/>
        <w:snapToGrid/>
        <w:spacing w:line="360" w:lineRule="auto"/>
        <w:ind w:firstLine="480"/>
        <w:jc w:val="center"/>
        <w:textAlignment w:val="auto"/>
        <w:rPr>
          <w:rFonts w:hint="default" w:ascii="Times New Roman" w:hAnsi="Times New Roman" w:cs="Times New Roman"/>
          <w:color w:val="auto"/>
          <w:sz w:val="24"/>
          <w:szCs w:val="32"/>
          <w:lang w:val="en-US" w:eastAsia="zh-CN"/>
        </w:rPr>
      </w:pPr>
      <w:r>
        <w:rPr>
          <w:rFonts w:hint="default"/>
          <w:color w:val="auto"/>
          <w:sz w:val="24"/>
          <w:lang w:val="en-US"/>
        </w:rPr>
        <mc:AlternateContent>
          <mc:Choice Requires="wps">
            <w:drawing>
              <wp:anchor distT="0" distB="0" distL="114300" distR="114300" simplePos="0" relativeHeight="252088320" behindDoc="0" locked="0" layoutInCell="1" allowOverlap="1">
                <wp:simplePos x="0" y="0"/>
                <wp:positionH relativeFrom="column">
                  <wp:posOffset>2849245</wp:posOffset>
                </wp:positionH>
                <wp:positionV relativeFrom="paragraph">
                  <wp:posOffset>152400</wp:posOffset>
                </wp:positionV>
                <wp:extent cx="360680" cy="635"/>
                <wp:effectExtent l="0" t="48895" r="1270" b="64770"/>
                <wp:wrapNone/>
                <wp:docPr id="100" name="直接连接符 100"/>
                <wp:cNvGraphicFramePr/>
                <a:graphic xmlns:a="http://schemas.openxmlformats.org/drawingml/2006/main">
                  <a:graphicData uri="http://schemas.microsoft.com/office/word/2010/wordprocessingShape">
                    <wps:wsp>
                      <wps:cNvCnPr/>
                      <wps:spPr>
                        <a:xfrm>
                          <a:off x="0" y="0"/>
                          <a:ext cx="360680" cy="63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224.35pt;margin-top:12pt;height:0.05pt;width:28.4pt;z-index:252088320;mso-width-relative:page;mso-height-relative:page;" filled="f" stroked="t" coordsize="21600,21600" o:gfxdata="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Enua+zZAAAACQEA&#10;AA8AAAAAAAAAAQAgAAAAIgAAAGRycy9kb3ducmV2LnhtbFBLAQIUABQAAAAIAIdO4kBTQFWB4AEA&#10;AJwDAAAOAAAAAAAAAAEAIAAAACgBAABkcnMvZTJvRG9jLnhtbFBLBQYAAAAABgAGAFkBAAB6BQAA&#10;AAA=&#10;">
                <v:fill on="f" focussize="0,0"/>
                <v:stroke color="#000000" joinstyle="round" endarrow="open"/>
                <v:imagedata o:title=""/>
                <o:lock v:ext="edit" aspectratio="f"/>
              </v:line>
            </w:pict>
          </mc:Fallback>
        </mc:AlternateContent>
      </w:r>
      <w:r>
        <w:rPr>
          <w:rFonts w:hint="eastAsia" w:cs="Times New Roman"/>
          <w:color w:val="auto"/>
          <w:sz w:val="24"/>
          <w:szCs w:val="32"/>
          <w:lang w:val="en-US" w:eastAsia="zh-CN"/>
        </w:rPr>
        <w:t>R-NH</w:t>
      </w:r>
      <w:r>
        <w:rPr>
          <w:rFonts w:hint="eastAsia" w:cs="Times New Roman"/>
          <w:color w:val="auto"/>
          <w:sz w:val="24"/>
          <w:szCs w:val="32"/>
          <w:vertAlign w:val="subscript"/>
          <w:lang w:val="en-US" w:eastAsia="zh-CN"/>
        </w:rPr>
        <w:t>2</w:t>
      </w:r>
      <w:r>
        <w:rPr>
          <w:rFonts w:hint="eastAsia" w:cs="Times New Roman"/>
          <w:color w:val="auto"/>
          <w:sz w:val="24"/>
          <w:szCs w:val="32"/>
          <w:lang w:val="en-US" w:eastAsia="zh-CN"/>
        </w:rPr>
        <w:t>+4NH</w:t>
      </w:r>
      <w:r>
        <w:rPr>
          <w:rFonts w:hint="eastAsia" w:cs="Times New Roman"/>
          <w:color w:val="auto"/>
          <w:sz w:val="24"/>
          <w:szCs w:val="32"/>
          <w:vertAlign w:val="subscript"/>
          <w:lang w:val="en-US" w:eastAsia="zh-CN"/>
        </w:rPr>
        <w:t>3</w:t>
      </w:r>
      <w:r>
        <w:rPr>
          <w:rFonts w:hint="eastAsia" w:cs="Times New Roman"/>
          <w:color w:val="auto"/>
          <w:sz w:val="24"/>
          <w:szCs w:val="32"/>
          <w:lang w:val="en-US" w:eastAsia="zh-CN"/>
        </w:rPr>
        <w:t xml:space="preserve"> +3O</w:t>
      </w:r>
      <w:r>
        <w:rPr>
          <w:rFonts w:hint="eastAsia" w:cs="Times New Roman"/>
          <w:color w:val="auto"/>
          <w:sz w:val="24"/>
          <w:szCs w:val="32"/>
          <w:vertAlign w:val="subscript"/>
          <w:lang w:val="en-US" w:eastAsia="zh-CN"/>
        </w:rPr>
        <w:t>2</w:t>
      </w:r>
      <w:r>
        <w:rPr>
          <w:rFonts w:hint="eastAsia" w:cs="Times New Roman"/>
          <w:color w:val="auto"/>
          <w:sz w:val="24"/>
          <w:szCs w:val="32"/>
          <w:lang w:val="en-US" w:eastAsia="zh-CN"/>
        </w:rPr>
        <w:t xml:space="preserve">        R-NH</w:t>
      </w:r>
      <w:r>
        <w:rPr>
          <w:rFonts w:hint="eastAsia" w:cs="Times New Roman"/>
          <w:color w:val="auto"/>
          <w:sz w:val="24"/>
          <w:szCs w:val="32"/>
          <w:vertAlign w:val="subscript"/>
          <w:lang w:val="en-US" w:eastAsia="zh-CN"/>
        </w:rPr>
        <w:t>2</w:t>
      </w:r>
      <w:r>
        <w:rPr>
          <w:rFonts w:hint="eastAsia" w:cs="Times New Roman"/>
          <w:color w:val="auto"/>
          <w:sz w:val="24"/>
          <w:szCs w:val="32"/>
          <w:lang w:val="en-US" w:eastAsia="zh-CN"/>
        </w:rPr>
        <w:t>+2N</w:t>
      </w:r>
      <w:r>
        <w:rPr>
          <w:rFonts w:hint="eastAsia" w:cs="Times New Roman"/>
          <w:color w:val="auto"/>
          <w:sz w:val="24"/>
          <w:szCs w:val="32"/>
          <w:vertAlign w:val="subscript"/>
          <w:lang w:val="en-US" w:eastAsia="zh-CN"/>
        </w:rPr>
        <w:t>2</w:t>
      </w:r>
      <w:r>
        <w:rPr>
          <w:rFonts w:hint="eastAsia" w:cs="Times New Roman"/>
          <w:color w:val="auto"/>
          <w:sz w:val="24"/>
          <w:szCs w:val="32"/>
          <w:lang w:val="en-US" w:eastAsia="zh-CN"/>
        </w:rPr>
        <w:t>+6H</w:t>
      </w:r>
      <w:r>
        <w:rPr>
          <w:rFonts w:hint="eastAsia" w:cs="Times New Roman"/>
          <w:color w:val="auto"/>
          <w:sz w:val="24"/>
          <w:szCs w:val="32"/>
          <w:vertAlign w:val="subscript"/>
          <w:lang w:val="en-US" w:eastAsia="zh-CN"/>
        </w:rPr>
        <w:t>2</w:t>
      </w:r>
      <w:r>
        <w:rPr>
          <w:rFonts w:hint="eastAsia" w:cs="Times New Roman"/>
          <w:color w:val="auto"/>
          <w:sz w:val="24"/>
          <w:szCs w:val="32"/>
          <w:lang w:val="en-US" w:eastAsia="zh-CN"/>
        </w:rPr>
        <w:t>O</w:t>
      </w:r>
    </w:p>
    <w:p>
      <w:pPr>
        <w:keepNext w:val="0"/>
        <w:keepLines w:val="0"/>
        <w:pageBreakBefore w:val="0"/>
        <w:widowControl w:val="0"/>
        <w:tabs>
          <w:tab w:val="left" w:pos="1155"/>
        </w:tabs>
        <w:kinsoku/>
        <w:wordWrap/>
        <w:overflowPunct/>
        <w:topLinePunct w:val="0"/>
        <w:autoSpaceDE/>
        <w:autoSpaceDN/>
        <w:bidi w:val="0"/>
        <w:adjustRightInd/>
        <w:snapToGrid/>
        <w:spacing w:line="360" w:lineRule="auto"/>
        <w:ind w:firstLine="480"/>
        <w:jc w:val="left"/>
        <w:textAlignment w:val="auto"/>
        <w:rPr>
          <w:rFonts w:hint="default" w:ascii="仿宋_GB2312" w:hAnsi="仿宋_GB2312" w:cs="仿宋_GB2312"/>
          <w:color w:val="auto"/>
          <w:szCs w:val="32"/>
          <w:lang w:val="en-US" w:eastAsia="zh-CN"/>
        </w:rPr>
      </w:pPr>
      <w:r>
        <w:rPr>
          <w:rFonts w:hint="eastAsia" w:ascii="Times New Roman" w:hAnsi="Times New Roman" w:cs="Times New Roman"/>
          <w:color w:val="auto"/>
          <w:sz w:val="24"/>
          <w:szCs w:val="32"/>
          <w:lang w:val="en-US" w:eastAsia="zh-CN"/>
        </w:rPr>
        <w:t>天然植物液已在多个领域开展试验研究，如食品加工行业（</w:t>
      </w:r>
      <w:r>
        <w:rPr>
          <w:rFonts w:hint="eastAsia"/>
          <w:color w:val="auto"/>
          <w:lang w:val="en-US" w:eastAsia="zh-CN"/>
        </w:rPr>
        <w:t>陆光立，侯玲娟，郭广寨等，天然植物除臭剂的应用试验，上海应用技术学院学报（自然科学版），2004，4（1）</w:t>
      </w:r>
      <w:r>
        <w:rPr>
          <w:rFonts w:hint="eastAsia" w:ascii="Times New Roman" w:hAnsi="Times New Roman" w:cs="Times New Roman"/>
          <w:color w:val="auto"/>
          <w:sz w:val="24"/>
          <w:szCs w:val="32"/>
          <w:lang w:val="en-US" w:eastAsia="zh-CN"/>
        </w:rPr>
        <w:t>），以及污水厂恶臭气体治理（</w:t>
      </w:r>
      <w:r>
        <w:rPr>
          <w:rFonts w:hint="eastAsia"/>
          <w:color w:val="auto"/>
          <w:lang w:val="en-US" w:eastAsia="zh-CN"/>
        </w:rPr>
        <w:t>卢义程，徐灿华，李天琪等，竹园第一污水处理厂除臭工程设计，中国给水排水，2007，23（16）</w:t>
      </w:r>
      <w:r>
        <w:rPr>
          <w:rFonts w:hint="eastAsia" w:ascii="Times New Roman" w:hAnsi="Times New Roman" w:cs="Times New Roman"/>
          <w:color w:val="auto"/>
          <w:sz w:val="24"/>
          <w:szCs w:val="32"/>
          <w:lang w:val="en-US" w:eastAsia="zh-CN"/>
        </w:rPr>
        <w:t>）等。综合</w:t>
      </w:r>
      <w:r>
        <w:rPr>
          <w:rFonts w:hint="default" w:ascii="Times New Roman" w:hAnsi="Times New Roman" w:cs="Times New Roman"/>
          <w:color w:val="auto"/>
          <w:sz w:val="24"/>
          <w:szCs w:val="32"/>
          <w:lang w:val="en-US" w:eastAsia="zh-CN"/>
        </w:rPr>
        <w:t>处理车间主要为局部集气，因此不考虑天然植物液喷淋（正压）系统对</w:t>
      </w:r>
      <w:r>
        <w:rPr>
          <w:rFonts w:hint="eastAsia" w:ascii="Times New Roman" w:hAnsi="Times New Roman" w:cs="Times New Roman"/>
          <w:color w:val="auto"/>
          <w:sz w:val="24"/>
          <w:szCs w:val="32"/>
          <w:lang w:val="en-US" w:eastAsia="zh-CN"/>
        </w:rPr>
        <w:t>综合</w:t>
      </w:r>
      <w:r>
        <w:rPr>
          <w:rFonts w:hint="default" w:ascii="Times New Roman" w:hAnsi="Times New Roman" w:cs="Times New Roman"/>
          <w:color w:val="auto"/>
          <w:sz w:val="24"/>
          <w:szCs w:val="32"/>
          <w:lang w:val="en-US" w:eastAsia="zh-CN"/>
        </w:rPr>
        <w:t>处理车间的处理效率。</w:t>
      </w:r>
    </w:p>
    <w:p>
      <w:pPr>
        <w:spacing w:line="360" w:lineRule="auto"/>
        <w:ind w:firstLine="480" w:firstLineChars="200"/>
        <w:rPr>
          <w:color w:val="auto"/>
        </w:rPr>
      </w:pPr>
      <w:r>
        <w:rPr>
          <w:rFonts w:hint="eastAsia"/>
          <w:color w:val="auto"/>
        </w:rPr>
        <w:t>主要技术参数如下：</w:t>
      </w:r>
    </w:p>
    <w:p>
      <w:pPr>
        <w:spacing w:line="360" w:lineRule="auto"/>
        <w:ind w:firstLine="482" w:firstLineChars="200"/>
        <w:jc w:val="center"/>
        <w:rPr>
          <w:b/>
          <w:color w:val="auto"/>
        </w:rPr>
      </w:pPr>
      <w:r>
        <w:rPr>
          <w:rFonts w:hint="eastAsia"/>
          <w:b/>
          <w:color w:val="auto"/>
        </w:rPr>
        <w:t>表 6.2-2  预处理车间化学洗涤塔、植物液洗涤塔技术参数</w:t>
      </w:r>
    </w:p>
    <w:tbl>
      <w:tblPr>
        <w:tblStyle w:val="54"/>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42"/>
        <w:gridCol w:w="2127"/>
        <w:gridCol w:w="1701"/>
        <w:gridCol w:w="1417"/>
        <w:gridCol w:w="27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242" w:type="dxa"/>
            <w:vAlign w:val="center"/>
          </w:tcPr>
          <w:p>
            <w:pPr>
              <w:spacing w:line="360" w:lineRule="auto"/>
              <w:jc w:val="center"/>
              <w:rPr>
                <w:b/>
                <w:color w:val="auto"/>
                <w:sz w:val="21"/>
                <w:szCs w:val="21"/>
              </w:rPr>
            </w:pPr>
            <w:r>
              <w:rPr>
                <w:rFonts w:hint="eastAsia"/>
                <w:b/>
                <w:color w:val="auto"/>
                <w:sz w:val="21"/>
                <w:szCs w:val="21"/>
              </w:rPr>
              <w:t>序号</w:t>
            </w:r>
          </w:p>
        </w:tc>
        <w:tc>
          <w:tcPr>
            <w:tcW w:w="2127" w:type="dxa"/>
            <w:vAlign w:val="center"/>
          </w:tcPr>
          <w:p>
            <w:pPr>
              <w:spacing w:line="360" w:lineRule="auto"/>
              <w:jc w:val="center"/>
              <w:rPr>
                <w:b/>
                <w:color w:val="auto"/>
                <w:sz w:val="21"/>
                <w:szCs w:val="21"/>
              </w:rPr>
            </w:pPr>
            <w:r>
              <w:rPr>
                <w:rFonts w:hint="eastAsia"/>
                <w:b/>
                <w:color w:val="auto"/>
                <w:sz w:val="21"/>
                <w:szCs w:val="21"/>
              </w:rPr>
              <w:t>名称</w:t>
            </w:r>
          </w:p>
        </w:tc>
        <w:tc>
          <w:tcPr>
            <w:tcW w:w="1701" w:type="dxa"/>
            <w:vAlign w:val="center"/>
          </w:tcPr>
          <w:p>
            <w:pPr>
              <w:spacing w:line="360" w:lineRule="auto"/>
              <w:jc w:val="center"/>
              <w:rPr>
                <w:b/>
                <w:color w:val="auto"/>
                <w:sz w:val="21"/>
                <w:szCs w:val="21"/>
              </w:rPr>
            </w:pPr>
            <w:r>
              <w:rPr>
                <w:rFonts w:hint="eastAsia"/>
                <w:b/>
                <w:color w:val="auto"/>
                <w:sz w:val="21"/>
                <w:szCs w:val="21"/>
              </w:rPr>
              <w:t>参数</w:t>
            </w:r>
          </w:p>
        </w:tc>
        <w:tc>
          <w:tcPr>
            <w:tcW w:w="1417" w:type="dxa"/>
            <w:vAlign w:val="center"/>
          </w:tcPr>
          <w:p>
            <w:pPr>
              <w:spacing w:line="360" w:lineRule="auto"/>
              <w:jc w:val="center"/>
              <w:rPr>
                <w:b/>
                <w:color w:val="auto"/>
                <w:sz w:val="21"/>
                <w:szCs w:val="21"/>
              </w:rPr>
            </w:pPr>
            <w:r>
              <w:rPr>
                <w:rFonts w:hint="eastAsia"/>
                <w:b/>
                <w:color w:val="auto"/>
                <w:sz w:val="21"/>
                <w:szCs w:val="21"/>
              </w:rPr>
              <w:t>单位</w:t>
            </w:r>
          </w:p>
        </w:tc>
        <w:tc>
          <w:tcPr>
            <w:tcW w:w="2799" w:type="dxa"/>
            <w:vAlign w:val="center"/>
          </w:tcPr>
          <w:p>
            <w:pPr>
              <w:spacing w:line="360" w:lineRule="auto"/>
              <w:jc w:val="center"/>
              <w:rPr>
                <w:b/>
                <w:color w:val="auto"/>
                <w:sz w:val="21"/>
                <w:szCs w:val="21"/>
              </w:rPr>
            </w:pPr>
            <w:r>
              <w:rPr>
                <w:rFonts w:hint="eastAsia"/>
                <w:b/>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242" w:type="dxa"/>
            <w:vAlign w:val="center"/>
          </w:tcPr>
          <w:p>
            <w:pPr>
              <w:spacing w:line="360" w:lineRule="auto"/>
              <w:jc w:val="center"/>
              <w:rPr>
                <w:color w:val="auto"/>
                <w:sz w:val="21"/>
                <w:szCs w:val="21"/>
              </w:rPr>
            </w:pPr>
            <w:r>
              <w:rPr>
                <w:rFonts w:hint="eastAsia"/>
                <w:color w:val="auto"/>
                <w:sz w:val="21"/>
                <w:szCs w:val="21"/>
              </w:rPr>
              <w:t>1</w:t>
            </w:r>
          </w:p>
        </w:tc>
        <w:tc>
          <w:tcPr>
            <w:tcW w:w="2127" w:type="dxa"/>
            <w:vAlign w:val="center"/>
          </w:tcPr>
          <w:p>
            <w:pPr>
              <w:spacing w:line="360" w:lineRule="auto"/>
              <w:jc w:val="center"/>
              <w:rPr>
                <w:color w:val="auto"/>
                <w:sz w:val="21"/>
                <w:szCs w:val="21"/>
              </w:rPr>
            </w:pPr>
            <w:r>
              <w:rPr>
                <w:rFonts w:hint="eastAsia"/>
                <w:color w:val="auto"/>
                <w:sz w:val="21"/>
                <w:szCs w:val="21"/>
              </w:rPr>
              <w:t>臭气风量</w:t>
            </w:r>
          </w:p>
        </w:tc>
        <w:tc>
          <w:tcPr>
            <w:tcW w:w="1701" w:type="dxa"/>
            <w:vAlign w:val="center"/>
          </w:tcPr>
          <w:p>
            <w:pPr>
              <w:spacing w:line="360" w:lineRule="auto"/>
              <w:jc w:val="center"/>
              <w:rPr>
                <w:color w:val="auto"/>
                <w:sz w:val="21"/>
                <w:szCs w:val="21"/>
              </w:rPr>
            </w:pPr>
            <w:r>
              <w:rPr>
                <w:rFonts w:hint="eastAsia"/>
                <w:color w:val="auto"/>
                <w:sz w:val="21"/>
                <w:szCs w:val="21"/>
              </w:rPr>
              <w:t>7</w:t>
            </w:r>
            <w:r>
              <w:rPr>
                <w:color w:val="auto"/>
                <w:sz w:val="21"/>
                <w:szCs w:val="21"/>
              </w:rPr>
              <w:t>0000</w:t>
            </w:r>
          </w:p>
        </w:tc>
        <w:tc>
          <w:tcPr>
            <w:tcW w:w="1417" w:type="dxa"/>
            <w:vAlign w:val="center"/>
          </w:tcPr>
          <w:p>
            <w:pPr>
              <w:spacing w:line="360" w:lineRule="auto"/>
              <w:jc w:val="center"/>
              <w:rPr>
                <w:color w:val="auto"/>
                <w:sz w:val="21"/>
                <w:szCs w:val="21"/>
              </w:rPr>
            </w:pPr>
            <w:r>
              <w:rPr>
                <w:color w:val="auto"/>
                <w:sz w:val="21"/>
                <w:szCs w:val="21"/>
              </w:rPr>
              <w:t>m³/h</w:t>
            </w:r>
          </w:p>
        </w:tc>
        <w:tc>
          <w:tcPr>
            <w:tcW w:w="2799" w:type="dxa"/>
          </w:tcPr>
          <w:p>
            <w:pPr>
              <w:spacing w:line="360" w:lineRule="auto"/>
              <w:jc w:val="center"/>
              <w:rPr>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242" w:type="dxa"/>
            <w:vAlign w:val="center"/>
          </w:tcPr>
          <w:p>
            <w:pPr>
              <w:spacing w:line="360" w:lineRule="auto"/>
              <w:jc w:val="center"/>
              <w:rPr>
                <w:color w:val="auto"/>
                <w:sz w:val="21"/>
                <w:szCs w:val="21"/>
              </w:rPr>
            </w:pPr>
            <w:r>
              <w:rPr>
                <w:rFonts w:hint="eastAsia"/>
                <w:color w:val="auto"/>
                <w:sz w:val="21"/>
                <w:szCs w:val="21"/>
              </w:rPr>
              <w:t>2</w:t>
            </w:r>
          </w:p>
        </w:tc>
        <w:tc>
          <w:tcPr>
            <w:tcW w:w="2127" w:type="dxa"/>
            <w:vAlign w:val="center"/>
          </w:tcPr>
          <w:p>
            <w:pPr>
              <w:spacing w:line="360" w:lineRule="auto"/>
              <w:jc w:val="center"/>
              <w:rPr>
                <w:color w:val="auto"/>
                <w:sz w:val="21"/>
                <w:szCs w:val="21"/>
              </w:rPr>
            </w:pPr>
            <w:r>
              <w:rPr>
                <w:rFonts w:hint="eastAsia"/>
                <w:color w:val="auto"/>
                <w:sz w:val="21"/>
                <w:szCs w:val="21"/>
              </w:rPr>
              <w:t>臭气密度</w:t>
            </w:r>
          </w:p>
        </w:tc>
        <w:tc>
          <w:tcPr>
            <w:tcW w:w="1701" w:type="dxa"/>
            <w:vAlign w:val="center"/>
          </w:tcPr>
          <w:p>
            <w:pPr>
              <w:spacing w:line="360" w:lineRule="auto"/>
              <w:jc w:val="center"/>
              <w:rPr>
                <w:color w:val="auto"/>
                <w:sz w:val="21"/>
                <w:szCs w:val="21"/>
              </w:rPr>
            </w:pPr>
            <w:r>
              <w:rPr>
                <w:color w:val="auto"/>
                <w:sz w:val="21"/>
                <w:szCs w:val="21"/>
              </w:rPr>
              <w:t>1.29</w:t>
            </w:r>
          </w:p>
        </w:tc>
        <w:tc>
          <w:tcPr>
            <w:tcW w:w="1417" w:type="dxa"/>
            <w:vAlign w:val="center"/>
          </w:tcPr>
          <w:p>
            <w:pPr>
              <w:spacing w:line="360" w:lineRule="auto"/>
              <w:jc w:val="center"/>
              <w:rPr>
                <w:color w:val="auto"/>
                <w:sz w:val="21"/>
                <w:szCs w:val="21"/>
              </w:rPr>
            </w:pPr>
            <w:r>
              <w:rPr>
                <w:color w:val="auto"/>
                <w:sz w:val="21"/>
                <w:szCs w:val="21"/>
              </w:rPr>
              <w:t>kg/m³</w:t>
            </w:r>
          </w:p>
        </w:tc>
        <w:tc>
          <w:tcPr>
            <w:tcW w:w="2799" w:type="dxa"/>
          </w:tcPr>
          <w:p>
            <w:pPr>
              <w:spacing w:line="360" w:lineRule="auto"/>
              <w:jc w:val="center"/>
              <w:rPr>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242" w:type="dxa"/>
            <w:vAlign w:val="center"/>
          </w:tcPr>
          <w:p>
            <w:pPr>
              <w:spacing w:line="360" w:lineRule="auto"/>
              <w:jc w:val="center"/>
              <w:rPr>
                <w:color w:val="auto"/>
                <w:sz w:val="21"/>
                <w:szCs w:val="21"/>
              </w:rPr>
            </w:pPr>
            <w:r>
              <w:rPr>
                <w:rFonts w:hint="eastAsia"/>
                <w:color w:val="auto"/>
                <w:sz w:val="21"/>
                <w:szCs w:val="21"/>
              </w:rPr>
              <w:t>3</w:t>
            </w:r>
          </w:p>
        </w:tc>
        <w:tc>
          <w:tcPr>
            <w:tcW w:w="2127" w:type="dxa"/>
            <w:vAlign w:val="center"/>
          </w:tcPr>
          <w:p>
            <w:pPr>
              <w:spacing w:line="360" w:lineRule="auto"/>
              <w:jc w:val="center"/>
              <w:rPr>
                <w:color w:val="auto"/>
                <w:sz w:val="21"/>
                <w:szCs w:val="21"/>
              </w:rPr>
            </w:pPr>
            <w:r>
              <w:rPr>
                <w:rFonts w:hint="eastAsia"/>
                <w:color w:val="auto"/>
                <w:sz w:val="21"/>
                <w:szCs w:val="21"/>
              </w:rPr>
              <w:t>臭气气量</w:t>
            </w:r>
          </w:p>
        </w:tc>
        <w:tc>
          <w:tcPr>
            <w:tcW w:w="1701" w:type="dxa"/>
            <w:vAlign w:val="center"/>
          </w:tcPr>
          <w:p>
            <w:pPr>
              <w:spacing w:line="360" w:lineRule="auto"/>
              <w:jc w:val="center"/>
              <w:rPr>
                <w:color w:val="auto"/>
                <w:sz w:val="21"/>
                <w:szCs w:val="21"/>
              </w:rPr>
            </w:pPr>
            <w:r>
              <w:rPr>
                <w:rFonts w:hint="eastAsia"/>
                <w:color w:val="auto"/>
                <w:sz w:val="21"/>
                <w:szCs w:val="21"/>
              </w:rPr>
              <w:t>25.08</w:t>
            </w:r>
          </w:p>
        </w:tc>
        <w:tc>
          <w:tcPr>
            <w:tcW w:w="1417" w:type="dxa"/>
            <w:vAlign w:val="center"/>
          </w:tcPr>
          <w:p>
            <w:pPr>
              <w:spacing w:line="360" w:lineRule="auto"/>
              <w:jc w:val="center"/>
              <w:rPr>
                <w:color w:val="auto"/>
                <w:sz w:val="21"/>
                <w:szCs w:val="21"/>
              </w:rPr>
            </w:pPr>
            <w:r>
              <w:rPr>
                <w:color w:val="auto"/>
                <w:sz w:val="21"/>
                <w:szCs w:val="21"/>
              </w:rPr>
              <w:t>kg/s</w:t>
            </w:r>
          </w:p>
        </w:tc>
        <w:tc>
          <w:tcPr>
            <w:tcW w:w="2799" w:type="dxa"/>
          </w:tcPr>
          <w:p>
            <w:pPr>
              <w:spacing w:line="360" w:lineRule="auto"/>
              <w:jc w:val="center"/>
              <w:rPr>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242" w:type="dxa"/>
            <w:vAlign w:val="center"/>
          </w:tcPr>
          <w:p>
            <w:pPr>
              <w:spacing w:line="360" w:lineRule="auto"/>
              <w:jc w:val="center"/>
              <w:rPr>
                <w:color w:val="auto"/>
                <w:sz w:val="21"/>
                <w:szCs w:val="21"/>
              </w:rPr>
            </w:pPr>
            <w:r>
              <w:rPr>
                <w:rFonts w:hint="eastAsia"/>
                <w:color w:val="auto"/>
                <w:sz w:val="21"/>
                <w:szCs w:val="21"/>
              </w:rPr>
              <w:t>4</w:t>
            </w:r>
          </w:p>
        </w:tc>
        <w:tc>
          <w:tcPr>
            <w:tcW w:w="2127" w:type="dxa"/>
            <w:vAlign w:val="center"/>
          </w:tcPr>
          <w:p>
            <w:pPr>
              <w:spacing w:line="360" w:lineRule="auto"/>
              <w:jc w:val="center"/>
              <w:rPr>
                <w:color w:val="auto"/>
                <w:sz w:val="21"/>
                <w:szCs w:val="21"/>
              </w:rPr>
            </w:pPr>
            <w:r>
              <w:rPr>
                <w:rFonts w:hint="eastAsia"/>
                <w:color w:val="auto"/>
                <w:sz w:val="21"/>
                <w:szCs w:val="21"/>
              </w:rPr>
              <w:t>液气比</w:t>
            </w:r>
          </w:p>
        </w:tc>
        <w:tc>
          <w:tcPr>
            <w:tcW w:w="1701" w:type="dxa"/>
            <w:vAlign w:val="center"/>
          </w:tcPr>
          <w:p>
            <w:pPr>
              <w:spacing w:line="360" w:lineRule="auto"/>
              <w:jc w:val="center"/>
              <w:rPr>
                <w:color w:val="auto"/>
                <w:sz w:val="21"/>
                <w:szCs w:val="21"/>
              </w:rPr>
            </w:pPr>
            <w:r>
              <w:rPr>
                <w:color w:val="auto"/>
                <w:sz w:val="21"/>
                <w:szCs w:val="21"/>
              </w:rPr>
              <w:t>5</w:t>
            </w:r>
          </w:p>
        </w:tc>
        <w:tc>
          <w:tcPr>
            <w:tcW w:w="1417" w:type="dxa"/>
            <w:vAlign w:val="center"/>
          </w:tcPr>
          <w:p>
            <w:pPr>
              <w:spacing w:line="360" w:lineRule="auto"/>
              <w:jc w:val="center"/>
              <w:rPr>
                <w:color w:val="auto"/>
                <w:sz w:val="21"/>
                <w:szCs w:val="21"/>
              </w:rPr>
            </w:pPr>
            <w:r>
              <w:rPr>
                <w:color w:val="auto"/>
                <w:sz w:val="21"/>
                <w:szCs w:val="21"/>
              </w:rPr>
              <w:t>L/m³</w:t>
            </w:r>
          </w:p>
        </w:tc>
        <w:tc>
          <w:tcPr>
            <w:tcW w:w="2799" w:type="dxa"/>
          </w:tcPr>
          <w:p>
            <w:pPr>
              <w:spacing w:line="360" w:lineRule="auto"/>
              <w:jc w:val="center"/>
              <w:rPr>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242" w:type="dxa"/>
            <w:vAlign w:val="center"/>
          </w:tcPr>
          <w:p>
            <w:pPr>
              <w:spacing w:line="360" w:lineRule="auto"/>
              <w:jc w:val="center"/>
              <w:rPr>
                <w:color w:val="auto"/>
                <w:sz w:val="21"/>
                <w:szCs w:val="21"/>
              </w:rPr>
            </w:pPr>
            <w:r>
              <w:rPr>
                <w:rFonts w:hint="eastAsia"/>
                <w:color w:val="auto"/>
                <w:sz w:val="21"/>
                <w:szCs w:val="21"/>
              </w:rPr>
              <w:t>5</w:t>
            </w:r>
          </w:p>
        </w:tc>
        <w:tc>
          <w:tcPr>
            <w:tcW w:w="2127" w:type="dxa"/>
            <w:vAlign w:val="center"/>
          </w:tcPr>
          <w:p>
            <w:pPr>
              <w:spacing w:line="360" w:lineRule="auto"/>
              <w:jc w:val="center"/>
              <w:rPr>
                <w:color w:val="auto"/>
                <w:sz w:val="21"/>
                <w:szCs w:val="21"/>
              </w:rPr>
            </w:pPr>
            <w:r>
              <w:rPr>
                <w:rFonts w:hint="eastAsia"/>
                <w:color w:val="auto"/>
                <w:sz w:val="21"/>
                <w:szCs w:val="21"/>
              </w:rPr>
              <w:t>水循环量</w:t>
            </w:r>
          </w:p>
        </w:tc>
        <w:tc>
          <w:tcPr>
            <w:tcW w:w="1701" w:type="dxa"/>
            <w:vAlign w:val="center"/>
          </w:tcPr>
          <w:p>
            <w:pPr>
              <w:spacing w:line="360" w:lineRule="auto"/>
              <w:jc w:val="center"/>
              <w:rPr>
                <w:color w:val="auto"/>
                <w:sz w:val="21"/>
                <w:szCs w:val="21"/>
              </w:rPr>
            </w:pPr>
            <w:r>
              <w:rPr>
                <w:color w:val="auto"/>
                <w:sz w:val="21"/>
                <w:szCs w:val="21"/>
              </w:rPr>
              <w:t>250</w:t>
            </w:r>
          </w:p>
        </w:tc>
        <w:tc>
          <w:tcPr>
            <w:tcW w:w="1417" w:type="dxa"/>
            <w:vAlign w:val="center"/>
          </w:tcPr>
          <w:p>
            <w:pPr>
              <w:spacing w:line="360" w:lineRule="auto"/>
              <w:jc w:val="center"/>
              <w:rPr>
                <w:color w:val="auto"/>
                <w:sz w:val="21"/>
                <w:szCs w:val="21"/>
              </w:rPr>
            </w:pPr>
            <w:r>
              <w:rPr>
                <w:color w:val="auto"/>
                <w:sz w:val="21"/>
                <w:szCs w:val="21"/>
              </w:rPr>
              <w:t>m³/h</w:t>
            </w:r>
          </w:p>
        </w:tc>
        <w:tc>
          <w:tcPr>
            <w:tcW w:w="2799" w:type="dxa"/>
          </w:tcPr>
          <w:p>
            <w:pPr>
              <w:spacing w:line="360" w:lineRule="auto"/>
              <w:jc w:val="center"/>
              <w:rPr>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242" w:type="dxa"/>
            <w:vAlign w:val="center"/>
          </w:tcPr>
          <w:p>
            <w:pPr>
              <w:spacing w:line="360" w:lineRule="auto"/>
              <w:jc w:val="center"/>
              <w:rPr>
                <w:color w:val="auto"/>
                <w:sz w:val="21"/>
                <w:szCs w:val="21"/>
              </w:rPr>
            </w:pPr>
            <w:r>
              <w:rPr>
                <w:rFonts w:hint="eastAsia"/>
                <w:color w:val="auto"/>
                <w:sz w:val="21"/>
                <w:szCs w:val="21"/>
              </w:rPr>
              <w:t>6</w:t>
            </w:r>
          </w:p>
        </w:tc>
        <w:tc>
          <w:tcPr>
            <w:tcW w:w="2127" w:type="dxa"/>
            <w:vAlign w:val="center"/>
          </w:tcPr>
          <w:p>
            <w:pPr>
              <w:spacing w:line="360" w:lineRule="auto"/>
              <w:jc w:val="center"/>
              <w:rPr>
                <w:color w:val="auto"/>
                <w:sz w:val="21"/>
                <w:szCs w:val="21"/>
              </w:rPr>
            </w:pPr>
            <w:r>
              <w:rPr>
                <w:rFonts w:hint="eastAsia"/>
                <w:color w:val="auto"/>
                <w:sz w:val="21"/>
                <w:szCs w:val="21"/>
              </w:rPr>
              <w:t>水密度</w:t>
            </w:r>
          </w:p>
        </w:tc>
        <w:tc>
          <w:tcPr>
            <w:tcW w:w="1701" w:type="dxa"/>
            <w:vAlign w:val="center"/>
          </w:tcPr>
          <w:p>
            <w:pPr>
              <w:spacing w:line="360" w:lineRule="auto"/>
              <w:jc w:val="center"/>
              <w:rPr>
                <w:color w:val="auto"/>
                <w:sz w:val="21"/>
                <w:szCs w:val="21"/>
              </w:rPr>
            </w:pPr>
            <w:r>
              <w:rPr>
                <w:color w:val="auto"/>
                <w:sz w:val="21"/>
                <w:szCs w:val="21"/>
              </w:rPr>
              <w:t>1000</w:t>
            </w:r>
          </w:p>
        </w:tc>
        <w:tc>
          <w:tcPr>
            <w:tcW w:w="1417" w:type="dxa"/>
            <w:vAlign w:val="center"/>
          </w:tcPr>
          <w:p>
            <w:pPr>
              <w:spacing w:line="360" w:lineRule="auto"/>
              <w:jc w:val="center"/>
              <w:rPr>
                <w:color w:val="auto"/>
                <w:sz w:val="21"/>
                <w:szCs w:val="21"/>
              </w:rPr>
            </w:pPr>
            <w:r>
              <w:rPr>
                <w:color w:val="auto"/>
                <w:sz w:val="21"/>
                <w:szCs w:val="21"/>
              </w:rPr>
              <w:t>kg/m³</w:t>
            </w:r>
          </w:p>
        </w:tc>
        <w:tc>
          <w:tcPr>
            <w:tcW w:w="2799" w:type="dxa"/>
          </w:tcPr>
          <w:p>
            <w:pPr>
              <w:spacing w:line="360" w:lineRule="auto"/>
              <w:jc w:val="center"/>
              <w:rPr>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242" w:type="dxa"/>
            <w:vAlign w:val="center"/>
          </w:tcPr>
          <w:p>
            <w:pPr>
              <w:spacing w:line="360" w:lineRule="auto"/>
              <w:jc w:val="center"/>
              <w:rPr>
                <w:color w:val="auto"/>
                <w:sz w:val="21"/>
                <w:szCs w:val="21"/>
              </w:rPr>
            </w:pPr>
            <w:r>
              <w:rPr>
                <w:rFonts w:hint="eastAsia"/>
                <w:color w:val="auto"/>
                <w:sz w:val="21"/>
                <w:szCs w:val="21"/>
              </w:rPr>
              <w:t>7</w:t>
            </w:r>
          </w:p>
        </w:tc>
        <w:tc>
          <w:tcPr>
            <w:tcW w:w="2127" w:type="dxa"/>
            <w:vAlign w:val="center"/>
          </w:tcPr>
          <w:p>
            <w:pPr>
              <w:spacing w:line="360" w:lineRule="auto"/>
              <w:jc w:val="center"/>
              <w:rPr>
                <w:color w:val="auto"/>
                <w:sz w:val="21"/>
                <w:szCs w:val="21"/>
              </w:rPr>
            </w:pPr>
            <w:r>
              <w:rPr>
                <w:rFonts w:hint="eastAsia"/>
                <w:color w:val="auto"/>
                <w:sz w:val="21"/>
                <w:szCs w:val="21"/>
              </w:rPr>
              <w:t>水喷淋量</w:t>
            </w:r>
          </w:p>
        </w:tc>
        <w:tc>
          <w:tcPr>
            <w:tcW w:w="1701" w:type="dxa"/>
            <w:vAlign w:val="center"/>
          </w:tcPr>
          <w:p>
            <w:pPr>
              <w:spacing w:line="360" w:lineRule="auto"/>
              <w:jc w:val="center"/>
              <w:rPr>
                <w:color w:val="auto"/>
                <w:sz w:val="21"/>
                <w:szCs w:val="21"/>
              </w:rPr>
            </w:pPr>
            <w:r>
              <w:rPr>
                <w:rFonts w:hint="eastAsia"/>
                <w:color w:val="auto"/>
                <w:sz w:val="21"/>
                <w:szCs w:val="21"/>
              </w:rPr>
              <w:t>97.22</w:t>
            </w:r>
          </w:p>
        </w:tc>
        <w:tc>
          <w:tcPr>
            <w:tcW w:w="1417" w:type="dxa"/>
            <w:vAlign w:val="center"/>
          </w:tcPr>
          <w:p>
            <w:pPr>
              <w:spacing w:line="360" w:lineRule="auto"/>
              <w:jc w:val="center"/>
              <w:rPr>
                <w:color w:val="auto"/>
                <w:sz w:val="21"/>
                <w:szCs w:val="21"/>
              </w:rPr>
            </w:pPr>
            <w:r>
              <w:rPr>
                <w:color w:val="auto"/>
                <w:sz w:val="21"/>
                <w:szCs w:val="21"/>
              </w:rPr>
              <w:t>kg/s</w:t>
            </w:r>
          </w:p>
        </w:tc>
        <w:tc>
          <w:tcPr>
            <w:tcW w:w="2799" w:type="dxa"/>
          </w:tcPr>
          <w:p>
            <w:pPr>
              <w:spacing w:line="360" w:lineRule="auto"/>
              <w:jc w:val="center"/>
              <w:rPr>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242" w:type="dxa"/>
            <w:vAlign w:val="center"/>
          </w:tcPr>
          <w:p>
            <w:pPr>
              <w:spacing w:line="360" w:lineRule="auto"/>
              <w:jc w:val="center"/>
              <w:rPr>
                <w:color w:val="auto"/>
                <w:sz w:val="21"/>
                <w:szCs w:val="21"/>
              </w:rPr>
            </w:pPr>
            <w:r>
              <w:rPr>
                <w:rFonts w:hint="eastAsia"/>
                <w:color w:val="auto"/>
                <w:sz w:val="21"/>
                <w:szCs w:val="21"/>
              </w:rPr>
              <w:t>8</w:t>
            </w:r>
          </w:p>
        </w:tc>
        <w:tc>
          <w:tcPr>
            <w:tcW w:w="2127" w:type="dxa"/>
            <w:vAlign w:val="center"/>
          </w:tcPr>
          <w:p>
            <w:pPr>
              <w:spacing w:line="360" w:lineRule="auto"/>
              <w:jc w:val="center"/>
              <w:rPr>
                <w:color w:val="auto"/>
                <w:sz w:val="21"/>
                <w:szCs w:val="21"/>
              </w:rPr>
            </w:pPr>
            <w:r>
              <w:rPr>
                <w:rFonts w:hint="eastAsia"/>
                <w:color w:val="auto"/>
                <w:sz w:val="21"/>
                <w:szCs w:val="21"/>
              </w:rPr>
              <w:t>填料直径</w:t>
            </w:r>
          </w:p>
        </w:tc>
        <w:tc>
          <w:tcPr>
            <w:tcW w:w="1701" w:type="dxa"/>
            <w:vAlign w:val="center"/>
          </w:tcPr>
          <w:p>
            <w:pPr>
              <w:spacing w:line="360" w:lineRule="auto"/>
              <w:jc w:val="center"/>
              <w:rPr>
                <w:color w:val="auto"/>
                <w:sz w:val="21"/>
                <w:szCs w:val="21"/>
              </w:rPr>
            </w:pPr>
            <w:r>
              <w:rPr>
                <w:color w:val="auto"/>
                <w:sz w:val="21"/>
                <w:szCs w:val="21"/>
              </w:rPr>
              <w:t>50</w:t>
            </w:r>
          </w:p>
        </w:tc>
        <w:tc>
          <w:tcPr>
            <w:tcW w:w="1417" w:type="dxa"/>
            <w:vAlign w:val="center"/>
          </w:tcPr>
          <w:p>
            <w:pPr>
              <w:spacing w:line="360" w:lineRule="auto"/>
              <w:jc w:val="center"/>
              <w:rPr>
                <w:color w:val="auto"/>
                <w:sz w:val="21"/>
                <w:szCs w:val="21"/>
              </w:rPr>
            </w:pPr>
            <w:r>
              <w:rPr>
                <w:color w:val="auto"/>
                <w:sz w:val="21"/>
                <w:szCs w:val="21"/>
              </w:rPr>
              <w:t>mm</w:t>
            </w:r>
          </w:p>
        </w:tc>
        <w:tc>
          <w:tcPr>
            <w:tcW w:w="2799" w:type="dxa"/>
            <w:vAlign w:val="center"/>
          </w:tcPr>
          <w:p>
            <w:pPr>
              <w:spacing w:line="360" w:lineRule="auto"/>
              <w:jc w:val="center"/>
              <w:rPr>
                <w:color w:val="auto"/>
                <w:sz w:val="21"/>
                <w:szCs w:val="21"/>
              </w:rPr>
            </w:pPr>
            <w:r>
              <w:rPr>
                <w:rFonts w:hint="eastAsia"/>
                <w:color w:val="auto"/>
                <w:sz w:val="21"/>
                <w:szCs w:val="21"/>
              </w:rPr>
              <w:t>φ50多面空心球填料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242" w:type="dxa"/>
            <w:vAlign w:val="center"/>
          </w:tcPr>
          <w:p>
            <w:pPr>
              <w:spacing w:line="360" w:lineRule="auto"/>
              <w:jc w:val="center"/>
              <w:rPr>
                <w:color w:val="auto"/>
                <w:sz w:val="21"/>
                <w:szCs w:val="21"/>
              </w:rPr>
            </w:pPr>
            <w:r>
              <w:rPr>
                <w:rFonts w:hint="eastAsia"/>
                <w:color w:val="auto"/>
                <w:sz w:val="21"/>
                <w:szCs w:val="21"/>
              </w:rPr>
              <w:t>9</w:t>
            </w:r>
          </w:p>
        </w:tc>
        <w:tc>
          <w:tcPr>
            <w:tcW w:w="2127" w:type="dxa"/>
            <w:vAlign w:val="center"/>
          </w:tcPr>
          <w:p>
            <w:pPr>
              <w:spacing w:line="360" w:lineRule="auto"/>
              <w:jc w:val="center"/>
              <w:rPr>
                <w:color w:val="auto"/>
                <w:sz w:val="21"/>
                <w:szCs w:val="21"/>
              </w:rPr>
            </w:pPr>
            <w:r>
              <w:rPr>
                <w:rFonts w:hint="eastAsia"/>
                <w:color w:val="auto"/>
                <w:sz w:val="21"/>
                <w:szCs w:val="21"/>
              </w:rPr>
              <w:t>实际空塔气速</w:t>
            </w:r>
          </w:p>
        </w:tc>
        <w:tc>
          <w:tcPr>
            <w:tcW w:w="1701" w:type="dxa"/>
            <w:vAlign w:val="center"/>
          </w:tcPr>
          <w:p>
            <w:pPr>
              <w:spacing w:line="360" w:lineRule="auto"/>
              <w:jc w:val="center"/>
              <w:rPr>
                <w:color w:val="auto"/>
                <w:sz w:val="21"/>
                <w:szCs w:val="21"/>
              </w:rPr>
            </w:pPr>
            <w:r>
              <w:rPr>
                <w:color w:val="auto"/>
                <w:sz w:val="21"/>
                <w:szCs w:val="21"/>
              </w:rPr>
              <w:t>1.23</w:t>
            </w:r>
          </w:p>
        </w:tc>
        <w:tc>
          <w:tcPr>
            <w:tcW w:w="1417" w:type="dxa"/>
            <w:vAlign w:val="center"/>
          </w:tcPr>
          <w:p>
            <w:pPr>
              <w:spacing w:line="360" w:lineRule="auto"/>
              <w:jc w:val="center"/>
              <w:rPr>
                <w:color w:val="auto"/>
                <w:sz w:val="21"/>
                <w:szCs w:val="21"/>
              </w:rPr>
            </w:pPr>
            <w:r>
              <w:rPr>
                <w:color w:val="auto"/>
                <w:sz w:val="21"/>
                <w:szCs w:val="21"/>
              </w:rPr>
              <w:t>m/s</w:t>
            </w:r>
          </w:p>
        </w:tc>
        <w:tc>
          <w:tcPr>
            <w:tcW w:w="2799" w:type="dxa"/>
          </w:tcPr>
          <w:p>
            <w:pPr>
              <w:spacing w:line="360" w:lineRule="auto"/>
              <w:jc w:val="center"/>
              <w:rPr>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242" w:type="dxa"/>
            <w:vAlign w:val="center"/>
          </w:tcPr>
          <w:p>
            <w:pPr>
              <w:spacing w:line="360" w:lineRule="auto"/>
              <w:jc w:val="center"/>
              <w:rPr>
                <w:color w:val="auto"/>
                <w:sz w:val="21"/>
                <w:szCs w:val="21"/>
              </w:rPr>
            </w:pPr>
            <w:r>
              <w:rPr>
                <w:rFonts w:hint="eastAsia"/>
                <w:color w:val="auto"/>
                <w:sz w:val="21"/>
                <w:szCs w:val="21"/>
              </w:rPr>
              <w:t>10</w:t>
            </w:r>
          </w:p>
        </w:tc>
        <w:tc>
          <w:tcPr>
            <w:tcW w:w="2127" w:type="dxa"/>
            <w:vAlign w:val="center"/>
          </w:tcPr>
          <w:p>
            <w:pPr>
              <w:spacing w:line="360" w:lineRule="auto"/>
              <w:jc w:val="center"/>
              <w:rPr>
                <w:color w:val="auto"/>
                <w:sz w:val="21"/>
                <w:szCs w:val="21"/>
              </w:rPr>
            </w:pPr>
            <w:r>
              <w:rPr>
                <w:rFonts w:hint="eastAsia"/>
                <w:color w:val="auto"/>
                <w:sz w:val="21"/>
                <w:szCs w:val="21"/>
              </w:rPr>
              <w:t>除臭塔径</w:t>
            </w:r>
          </w:p>
        </w:tc>
        <w:tc>
          <w:tcPr>
            <w:tcW w:w="1701" w:type="dxa"/>
            <w:vAlign w:val="center"/>
          </w:tcPr>
          <w:p>
            <w:pPr>
              <w:spacing w:line="360" w:lineRule="auto"/>
              <w:jc w:val="center"/>
              <w:rPr>
                <w:color w:val="auto"/>
                <w:sz w:val="21"/>
                <w:szCs w:val="21"/>
              </w:rPr>
            </w:pPr>
            <w:r>
              <w:rPr>
                <w:color w:val="auto"/>
                <w:sz w:val="21"/>
                <w:szCs w:val="21"/>
              </w:rPr>
              <w:t>3.8</w:t>
            </w:r>
          </w:p>
        </w:tc>
        <w:tc>
          <w:tcPr>
            <w:tcW w:w="1417" w:type="dxa"/>
            <w:vAlign w:val="center"/>
          </w:tcPr>
          <w:p>
            <w:pPr>
              <w:spacing w:line="360" w:lineRule="auto"/>
              <w:jc w:val="center"/>
              <w:rPr>
                <w:color w:val="auto"/>
                <w:sz w:val="21"/>
                <w:szCs w:val="21"/>
              </w:rPr>
            </w:pPr>
            <w:r>
              <w:rPr>
                <w:color w:val="auto"/>
                <w:sz w:val="21"/>
                <w:szCs w:val="21"/>
              </w:rPr>
              <w:t>m</w:t>
            </w:r>
          </w:p>
        </w:tc>
        <w:tc>
          <w:tcPr>
            <w:tcW w:w="2799" w:type="dxa"/>
          </w:tcPr>
          <w:p>
            <w:pPr>
              <w:spacing w:line="360" w:lineRule="auto"/>
              <w:jc w:val="center"/>
              <w:rPr>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242" w:type="dxa"/>
            <w:vAlign w:val="center"/>
          </w:tcPr>
          <w:p>
            <w:pPr>
              <w:spacing w:line="360" w:lineRule="auto"/>
              <w:jc w:val="center"/>
              <w:rPr>
                <w:color w:val="auto"/>
                <w:sz w:val="21"/>
                <w:szCs w:val="21"/>
              </w:rPr>
            </w:pPr>
            <w:r>
              <w:rPr>
                <w:rFonts w:hint="eastAsia"/>
                <w:color w:val="auto"/>
                <w:sz w:val="21"/>
                <w:szCs w:val="21"/>
              </w:rPr>
              <w:t>11</w:t>
            </w:r>
          </w:p>
        </w:tc>
        <w:tc>
          <w:tcPr>
            <w:tcW w:w="2127" w:type="dxa"/>
            <w:vAlign w:val="center"/>
          </w:tcPr>
          <w:p>
            <w:pPr>
              <w:spacing w:line="360" w:lineRule="auto"/>
              <w:jc w:val="center"/>
              <w:rPr>
                <w:color w:val="auto"/>
                <w:sz w:val="21"/>
                <w:szCs w:val="21"/>
              </w:rPr>
            </w:pPr>
            <w:r>
              <w:rPr>
                <w:rFonts w:hint="eastAsia"/>
                <w:color w:val="auto"/>
                <w:sz w:val="21"/>
                <w:szCs w:val="21"/>
              </w:rPr>
              <w:t>水泵流量</w:t>
            </w:r>
          </w:p>
        </w:tc>
        <w:tc>
          <w:tcPr>
            <w:tcW w:w="1701" w:type="dxa"/>
            <w:vAlign w:val="center"/>
          </w:tcPr>
          <w:p>
            <w:pPr>
              <w:spacing w:line="360" w:lineRule="auto"/>
              <w:jc w:val="center"/>
              <w:rPr>
                <w:color w:val="auto"/>
                <w:sz w:val="21"/>
                <w:szCs w:val="21"/>
              </w:rPr>
            </w:pPr>
            <w:r>
              <w:rPr>
                <w:rFonts w:hint="eastAsia"/>
                <w:color w:val="auto"/>
                <w:sz w:val="21"/>
                <w:szCs w:val="21"/>
              </w:rPr>
              <w:t>300</w:t>
            </w:r>
          </w:p>
        </w:tc>
        <w:tc>
          <w:tcPr>
            <w:tcW w:w="1417" w:type="dxa"/>
            <w:vAlign w:val="center"/>
          </w:tcPr>
          <w:p>
            <w:pPr>
              <w:spacing w:line="360" w:lineRule="auto"/>
              <w:jc w:val="center"/>
              <w:rPr>
                <w:color w:val="auto"/>
                <w:sz w:val="21"/>
                <w:szCs w:val="21"/>
              </w:rPr>
            </w:pPr>
            <w:r>
              <w:rPr>
                <w:color w:val="auto"/>
                <w:sz w:val="21"/>
                <w:szCs w:val="21"/>
              </w:rPr>
              <w:t>m³/h</w:t>
            </w:r>
          </w:p>
        </w:tc>
        <w:tc>
          <w:tcPr>
            <w:tcW w:w="2799" w:type="dxa"/>
            <w:vAlign w:val="center"/>
          </w:tcPr>
          <w:p>
            <w:pPr>
              <w:spacing w:line="360" w:lineRule="auto"/>
              <w:jc w:val="center"/>
              <w:rPr>
                <w:color w:val="auto"/>
                <w:sz w:val="21"/>
                <w:szCs w:val="21"/>
              </w:rPr>
            </w:pPr>
            <w:r>
              <w:rPr>
                <w:rFonts w:hint="eastAsia"/>
                <w:color w:val="auto"/>
                <w:sz w:val="21"/>
                <w:szCs w:val="21"/>
              </w:rPr>
              <w:t>扬程 30m</w:t>
            </w:r>
          </w:p>
        </w:tc>
      </w:tr>
    </w:tbl>
    <w:p>
      <w:pPr>
        <w:spacing w:line="360" w:lineRule="auto"/>
        <w:ind w:firstLine="482" w:firstLineChars="200"/>
        <w:jc w:val="center"/>
        <w:rPr>
          <w:b/>
          <w:color w:val="auto"/>
        </w:rPr>
      </w:pPr>
      <w:r>
        <w:rPr>
          <w:rFonts w:hint="eastAsia"/>
          <w:b/>
          <w:color w:val="auto"/>
        </w:rPr>
        <w:t>表 6.2-3  光催化氧化装置主要技术参数</w:t>
      </w:r>
    </w:p>
    <w:tbl>
      <w:tblPr>
        <w:tblStyle w:val="54"/>
        <w:tblW w:w="918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58"/>
        <w:gridCol w:w="3010"/>
        <w:gridCol w:w="2407"/>
        <w:gridCol w:w="20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14" w:hRule="atLeast"/>
        </w:trPr>
        <w:tc>
          <w:tcPr>
            <w:tcW w:w="1758" w:type="dxa"/>
            <w:vAlign w:val="center"/>
          </w:tcPr>
          <w:p>
            <w:pPr>
              <w:spacing w:line="360" w:lineRule="auto"/>
              <w:jc w:val="center"/>
              <w:rPr>
                <w:color w:val="auto"/>
                <w:sz w:val="21"/>
                <w:szCs w:val="21"/>
              </w:rPr>
            </w:pPr>
            <w:r>
              <w:rPr>
                <w:rFonts w:hint="eastAsia"/>
                <w:color w:val="auto"/>
                <w:sz w:val="21"/>
                <w:szCs w:val="21"/>
              </w:rPr>
              <w:t>序号</w:t>
            </w:r>
          </w:p>
        </w:tc>
        <w:tc>
          <w:tcPr>
            <w:tcW w:w="3010" w:type="dxa"/>
            <w:vAlign w:val="center"/>
          </w:tcPr>
          <w:p>
            <w:pPr>
              <w:spacing w:line="360" w:lineRule="auto"/>
              <w:jc w:val="center"/>
              <w:rPr>
                <w:color w:val="auto"/>
                <w:sz w:val="21"/>
                <w:szCs w:val="21"/>
              </w:rPr>
            </w:pPr>
            <w:r>
              <w:rPr>
                <w:rFonts w:hint="eastAsia"/>
                <w:color w:val="auto"/>
                <w:sz w:val="21"/>
                <w:szCs w:val="21"/>
              </w:rPr>
              <w:t>名称</w:t>
            </w:r>
          </w:p>
        </w:tc>
        <w:tc>
          <w:tcPr>
            <w:tcW w:w="2407" w:type="dxa"/>
            <w:vAlign w:val="center"/>
          </w:tcPr>
          <w:p>
            <w:pPr>
              <w:spacing w:line="360" w:lineRule="auto"/>
              <w:jc w:val="center"/>
              <w:rPr>
                <w:color w:val="auto"/>
                <w:sz w:val="21"/>
                <w:szCs w:val="21"/>
              </w:rPr>
            </w:pPr>
            <w:r>
              <w:rPr>
                <w:rFonts w:hint="eastAsia"/>
                <w:color w:val="auto"/>
                <w:sz w:val="21"/>
                <w:szCs w:val="21"/>
              </w:rPr>
              <w:t>参数</w:t>
            </w:r>
          </w:p>
        </w:tc>
        <w:tc>
          <w:tcPr>
            <w:tcW w:w="2005" w:type="dxa"/>
            <w:vAlign w:val="center"/>
          </w:tcPr>
          <w:p>
            <w:pPr>
              <w:spacing w:line="360" w:lineRule="auto"/>
              <w:jc w:val="center"/>
              <w:rPr>
                <w:color w:val="auto"/>
                <w:sz w:val="21"/>
                <w:szCs w:val="21"/>
              </w:rPr>
            </w:pPr>
            <w:r>
              <w:rPr>
                <w:rFonts w:hint="eastAsia"/>
                <w:color w:val="auto"/>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14" w:hRule="atLeast"/>
        </w:trPr>
        <w:tc>
          <w:tcPr>
            <w:tcW w:w="1758" w:type="dxa"/>
            <w:vAlign w:val="center"/>
          </w:tcPr>
          <w:p>
            <w:pPr>
              <w:spacing w:line="360" w:lineRule="auto"/>
              <w:jc w:val="center"/>
              <w:rPr>
                <w:color w:val="auto"/>
                <w:sz w:val="21"/>
                <w:szCs w:val="21"/>
              </w:rPr>
            </w:pPr>
            <w:r>
              <w:rPr>
                <w:rFonts w:hint="eastAsia"/>
                <w:color w:val="auto"/>
                <w:sz w:val="21"/>
                <w:szCs w:val="21"/>
              </w:rPr>
              <w:t>1</w:t>
            </w:r>
          </w:p>
        </w:tc>
        <w:tc>
          <w:tcPr>
            <w:tcW w:w="3010" w:type="dxa"/>
            <w:vAlign w:val="center"/>
          </w:tcPr>
          <w:p>
            <w:pPr>
              <w:spacing w:line="360" w:lineRule="auto"/>
              <w:jc w:val="center"/>
              <w:rPr>
                <w:color w:val="auto"/>
                <w:sz w:val="21"/>
                <w:szCs w:val="21"/>
              </w:rPr>
            </w:pPr>
            <w:r>
              <w:rPr>
                <w:rFonts w:hint="eastAsia"/>
                <w:color w:val="auto"/>
                <w:sz w:val="21"/>
                <w:szCs w:val="21"/>
              </w:rPr>
              <w:t>风量</w:t>
            </w:r>
          </w:p>
        </w:tc>
        <w:tc>
          <w:tcPr>
            <w:tcW w:w="2407" w:type="dxa"/>
            <w:vAlign w:val="center"/>
          </w:tcPr>
          <w:p>
            <w:pPr>
              <w:spacing w:line="360" w:lineRule="auto"/>
              <w:jc w:val="center"/>
              <w:rPr>
                <w:color w:val="auto"/>
                <w:sz w:val="21"/>
                <w:szCs w:val="21"/>
              </w:rPr>
            </w:pPr>
            <w:r>
              <w:rPr>
                <w:rFonts w:hint="eastAsia"/>
                <w:color w:val="auto"/>
                <w:sz w:val="21"/>
                <w:szCs w:val="21"/>
              </w:rPr>
              <w:t>70000</w:t>
            </w:r>
            <w:r>
              <w:rPr>
                <w:color w:val="auto"/>
                <w:sz w:val="21"/>
                <w:szCs w:val="21"/>
              </w:rPr>
              <w:t>m³/h</w:t>
            </w:r>
          </w:p>
        </w:tc>
        <w:tc>
          <w:tcPr>
            <w:tcW w:w="2005" w:type="dxa"/>
            <w:vAlign w:val="center"/>
          </w:tcPr>
          <w:p>
            <w:pPr>
              <w:spacing w:line="360" w:lineRule="auto"/>
              <w:jc w:val="center"/>
              <w:rPr>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14" w:hRule="atLeast"/>
        </w:trPr>
        <w:tc>
          <w:tcPr>
            <w:tcW w:w="1758" w:type="dxa"/>
            <w:vAlign w:val="center"/>
          </w:tcPr>
          <w:p>
            <w:pPr>
              <w:spacing w:line="360" w:lineRule="auto"/>
              <w:jc w:val="center"/>
              <w:rPr>
                <w:color w:val="auto"/>
                <w:sz w:val="21"/>
                <w:szCs w:val="21"/>
              </w:rPr>
            </w:pPr>
            <w:r>
              <w:rPr>
                <w:rFonts w:hint="eastAsia"/>
                <w:color w:val="auto"/>
                <w:sz w:val="21"/>
                <w:szCs w:val="21"/>
              </w:rPr>
              <w:t>2</w:t>
            </w:r>
          </w:p>
        </w:tc>
        <w:tc>
          <w:tcPr>
            <w:tcW w:w="3010" w:type="dxa"/>
            <w:vAlign w:val="center"/>
          </w:tcPr>
          <w:p>
            <w:pPr>
              <w:spacing w:line="360" w:lineRule="auto"/>
              <w:jc w:val="center"/>
              <w:rPr>
                <w:color w:val="auto"/>
                <w:sz w:val="21"/>
                <w:szCs w:val="21"/>
              </w:rPr>
            </w:pPr>
            <w:r>
              <w:rPr>
                <w:rFonts w:hint="eastAsia"/>
                <w:color w:val="auto"/>
                <w:sz w:val="21"/>
                <w:szCs w:val="21"/>
              </w:rPr>
              <w:t>设备外壳材质</w:t>
            </w:r>
          </w:p>
        </w:tc>
        <w:tc>
          <w:tcPr>
            <w:tcW w:w="2407" w:type="dxa"/>
            <w:vAlign w:val="center"/>
          </w:tcPr>
          <w:p>
            <w:pPr>
              <w:spacing w:line="360" w:lineRule="auto"/>
              <w:jc w:val="center"/>
              <w:rPr>
                <w:color w:val="auto"/>
                <w:sz w:val="21"/>
                <w:szCs w:val="21"/>
              </w:rPr>
            </w:pPr>
            <w:r>
              <w:rPr>
                <w:color w:val="auto"/>
                <w:sz w:val="21"/>
                <w:szCs w:val="21"/>
              </w:rPr>
              <w:t>304</w:t>
            </w:r>
          </w:p>
        </w:tc>
        <w:tc>
          <w:tcPr>
            <w:tcW w:w="2005" w:type="dxa"/>
          </w:tcPr>
          <w:p>
            <w:pPr>
              <w:spacing w:line="360" w:lineRule="auto"/>
              <w:jc w:val="center"/>
              <w:rPr>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1" w:hRule="atLeast"/>
        </w:trPr>
        <w:tc>
          <w:tcPr>
            <w:tcW w:w="1758" w:type="dxa"/>
            <w:vAlign w:val="center"/>
          </w:tcPr>
          <w:p>
            <w:pPr>
              <w:spacing w:line="360" w:lineRule="auto"/>
              <w:jc w:val="center"/>
              <w:rPr>
                <w:color w:val="auto"/>
                <w:sz w:val="21"/>
                <w:szCs w:val="21"/>
              </w:rPr>
            </w:pPr>
            <w:r>
              <w:rPr>
                <w:rFonts w:hint="eastAsia"/>
                <w:color w:val="auto"/>
                <w:sz w:val="21"/>
                <w:szCs w:val="21"/>
              </w:rPr>
              <w:t>3</w:t>
            </w:r>
          </w:p>
        </w:tc>
        <w:tc>
          <w:tcPr>
            <w:tcW w:w="3010" w:type="dxa"/>
            <w:vAlign w:val="center"/>
          </w:tcPr>
          <w:p>
            <w:pPr>
              <w:spacing w:line="360" w:lineRule="auto"/>
              <w:jc w:val="center"/>
              <w:rPr>
                <w:color w:val="auto"/>
                <w:sz w:val="21"/>
                <w:szCs w:val="21"/>
              </w:rPr>
            </w:pPr>
            <w:r>
              <w:rPr>
                <w:rFonts w:hint="eastAsia"/>
                <w:color w:val="auto"/>
                <w:sz w:val="21"/>
                <w:szCs w:val="21"/>
              </w:rPr>
              <w:t>设备占地</w:t>
            </w:r>
          </w:p>
        </w:tc>
        <w:tc>
          <w:tcPr>
            <w:tcW w:w="2407" w:type="dxa"/>
            <w:vAlign w:val="center"/>
          </w:tcPr>
          <w:p>
            <w:pPr>
              <w:spacing w:line="360" w:lineRule="auto"/>
              <w:jc w:val="center"/>
              <w:rPr>
                <w:color w:val="auto"/>
                <w:sz w:val="21"/>
                <w:szCs w:val="21"/>
              </w:rPr>
            </w:pPr>
            <w:r>
              <w:rPr>
                <w:color w:val="auto"/>
                <w:sz w:val="21"/>
                <w:szCs w:val="21"/>
              </w:rPr>
              <w:t>4*3*3m</w:t>
            </w:r>
          </w:p>
        </w:tc>
        <w:tc>
          <w:tcPr>
            <w:tcW w:w="2005" w:type="dxa"/>
          </w:tcPr>
          <w:p>
            <w:pPr>
              <w:spacing w:line="360" w:lineRule="auto"/>
              <w:jc w:val="center"/>
              <w:rPr>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14" w:hRule="atLeast"/>
        </w:trPr>
        <w:tc>
          <w:tcPr>
            <w:tcW w:w="1758" w:type="dxa"/>
            <w:vAlign w:val="center"/>
          </w:tcPr>
          <w:p>
            <w:pPr>
              <w:spacing w:line="360" w:lineRule="auto"/>
              <w:jc w:val="center"/>
              <w:rPr>
                <w:color w:val="auto"/>
                <w:sz w:val="21"/>
                <w:szCs w:val="21"/>
              </w:rPr>
            </w:pPr>
            <w:r>
              <w:rPr>
                <w:rFonts w:hint="eastAsia"/>
                <w:color w:val="auto"/>
                <w:sz w:val="21"/>
                <w:szCs w:val="21"/>
              </w:rPr>
              <w:t>4</w:t>
            </w:r>
          </w:p>
        </w:tc>
        <w:tc>
          <w:tcPr>
            <w:tcW w:w="3010" w:type="dxa"/>
            <w:vAlign w:val="center"/>
          </w:tcPr>
          <w:p>
            <w:pPr>
              <w:spacing w:line="360" w:lineRule="auto"/>
              <w:jc w:val="center"/>
              <w:rPr>
                <w:color w:val="auto"/>
                <w:sz w:val="21"/>
                <w:szCs w:val="21"/>
              </w:rPr>
            </w:pPr>
            <w:r>
              <w:rPr>
                <w:rFonts w:hint="eastAsia"/>
                <w:color w:val="auto"/>
                <w:sz w:val="21"/>
                <w:szCs w:val="21"/>
              </w:rPr>
              <w:t>设备功率</w:t>
            </w:r>
          </w:p>
        </w:tc>
        <w:tc>
          <w:tcPr>
            <w:tcW w:w="2407" w:type="dxa"/>
            <w:vAlign w:val="center"/>
          </w:tcPr>
          <w:p>
            <w:pPr>
              <w:spacing w:line="360" w:lineRule="auto"/>
              <w:jc w:val="center"/>
              <w:rPr>
                <w:color w:val="auto"/>
                <w:sz w:val="21"/>
                <w:szCs w:val="21"/>
              </w:rPr>
            </w:pPr>
            <w:r>
              <w:rPr>
                <w:color w:val="auto"/>
                <w:sz w:val="21"/>
                <w:szCs w:val="21"/>
              </w:rPr>
              <w:t>33kW</w:t>
            </w:r>
          </w:p>
        </w:tc>
        <w:tc>
          <w:tcPr>
            <w:tcW w:w="2005" w:type="dxa"/>
          </w:tcPr>
          <w:p>
            <w:pPr>
              <w:spacing w:line="360" w:lineRule="auto"/>
              <w:jc w:val="center"/>
              <w:rPr>
                <w:color w:val="auto"/>
                <w:sz w:val="21"/>
                <w:szCs w:val="21"/>
              </w:rPr>
            </w:pPr>
            <w:r>
              <w:rPr>
                <w:rFonts w:hint="eastAsia"/>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7" w:hRule="atLeast"/>
        </w:trPr>
        <w:tc>
          <w:tcPr>
            <w:tcW w:w="1758" w:type="dxa"/>
            <w:vAlign w:val="center"/>
          </w:tcPr>
          <w:p>
            <w:pPr>
              <w:spacing w:line="360" w:lineRule="auto"/>
              <w:jc w:val="center"/>
              <w:rPr>
                <w:color w:val="auto"/>
                <w:sz w:val="21"/>
                <w:szCs w:val="21"/>
              </w:rPr>
            </w:pPr>
            <w:r>
              <w:rPr>
                <w:rFonts w:hint="eastAsia"/>
                <w:color w:val="auto"/>
                <w:sz w:val="21"/>
                <w:szCs w:val="21"/>
              </w:rPr>
              <w:t>5</w:t>
            </w:r>
          </w:p>
        </w:tc>
        <w:tc>
          <w:tcPr>
            <w:tcW w:w="3010" w:type="dxa"/>
            <w:vAlign w:val="center"/>
          </w:tcPr>
          <w:p>
            <w:pPr>
              <w:spacing w:line="360" w:lineRule="auto"/>
              <w:jc w:val="center"/>
              <w:rPr>
                <w:color w:val="auto"/>
                <w:sz w:val="21"/>
                <w:szCs w:val="21"/>
              </w:rPr>
            </w:pPr>
            <w:r>
              <w:rPr>
                <w:rFonts w:hint="eastAsia"/>
                <w:color w:val="auto"/>
                <w:sz w:val="21"/>
                <w:szCs w:val="21"/>
              </w:rPr>
              <w:t>催化剂</w:t>
            </w:r>
          </w:p>
        </w:tc>
        <w:tc>
          <w:tcPr>
            <w:tcW w:w="2407" w:type="dxa"/>
            <w:vAlign w:val="center"/>
          </w:tcPr>
          <w:p>
            <w:pPr>
              <w:spacing w:line="360" w:lineRule="auto"/>
              <w:jc w:val="center"/>
              <w:rPr>
                <w:color w:val="auto"/>
                <w:sz w:val="21"/>
                <w:szCs w:val="21"/>
              </w:rPr>
            </w:pPr>
            <w:r>
              <w:rPr>
                <w:rFonts w:hint="eastAsia"/>
                <w:color w:val="auto"/>
                <w:sz w:val="21"/>
                <w:szCs w:val="21"/>
              </w:rPr>
              <w:t>TIO</w:t>
            </w:r>
            <w:r>
              <w:rPr>
                <w:rFonts w:hint="eastAsia"/>
                <w:color w:val="auto"/>
                <w:sz w:val="21"/>
                <w:szCs w:val="21"/>
                <w:vertAlign w:val="subscript"/>
              </w:rPr>
              <w:t>2</w:t>
            </w:r>
            <w:r>
              <w:rPr>
                <w:rFonts w:hint="eastAsia"/>
                <w:color w:val="auto"/>
                <w:sz w:val="21"/>
                <w:szCs w:val="21"/>
              </w:rPr>
              <w:t>光触媒</w:t>
            </w:r>
          </w:p>
        </w:tc>
        <w:tc>
          <w:tcPr>
            <w:tcW w:w="2005" w:type="dxa"/>
          </w:tcPr>
          <w:p>
            <w:pPr>
              <w:spacing w:line="360" w:lineRule="auto"/>
              <w:jc w:val="center"/>
              <w:rPr>
                <w:color w:val="auto"/>
                <w:sz w:val="21"/>
                <w:szCs w:val="21"/>
              </w:rPr>
            </w:pPr>
            <w:r>
              <w:rPr>
                <w:rFonts w:hint="eastAsia"/>
                <w:color w:val="auto"/>
                <w:sz w:val="21"/>
                <w:szCs w:val="21"/>
              </w:rPr>
              <w:t>/</w:t>
            </w:r>
          </w:p>
        </w:tc>
      </w:tr>
    </w:tbl>
    <w:p>
      <w:pPr>
        <w:spacing w:line="360" w:lineRule="auto"/>
        <w:ind w:firstLine="480" w:firstLineChars="200"/>
        <w:rPr>
          <w:color w:val="auto"/>
        </w:rPr>
      </w:pPr>
      <w:r>
        <w:rPr>
          <w:rFonts w:hint="eastAsia"/>
          <w:color w:val="auto"/>
        </w:rPr>
        <w:t>臭气处理效果预期如下：</w:t>
      </w:r>
    </w:p>
    <w:p>
      <w:pPr>
        <w:spacing w:line="360" w:lineRule="auto"/>
        <w:ind w:firstLine="482" w:firstLineChars="200"/>
        <w:jc w:val="center"/>
        <w:rPr>
          <w:b/>
          <w:color w:val="auto"/>
        </w:rPr>
      </w:pPr>
      <w:r>
        <w:rPr>
          <w:rFonts w:hint="eastAsia"/>
          <w:b/>
          <w:color w:val="auto"/>
        </w:rPr>
        <w:t>表 6.2-4  臭气处理效果预测表</w:t>
      </w:r>
    </w:p>
    <w:tbl>
      <w:tblPr>
        <w:tblStyle w:val="54"/>
        <w:tblW w:w="921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73"/>
        <w:gridCol w:w="2111"/>
        <w:gridCol w:w="2029"/>
        <w:gridCol w:w="23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8" w:hRule="atLeast"/>
        </w:trPr>
        <w:tc>
          <w:tcPr>
            <w:tcW w:w="2773" w:type="dxa"/>
            <w:vAlign w:val="center"/>
          </w:tcPr>
          <w:p>
            <w:pPr>
              <w:spacing w:line="360" w:lineRule="auto"/>
              <w:jc w:val="center"/>
              <w:rPr>
                <w:b/>
                <w:color w:val="auto"/>
                <w:sz w:val="21"/>
                <w:szCs w:val="21"/>
              </w:rPr>
            </w:pPr>
            <w:r>
              <w:rPr>
                <w:rFonts w:hint="eastAsia"/>
                <w:b/>
                <w:color w:val="auto"/>
                <w:sz w:val="21"/>
                <w:szCs w:val="21"/>
              </w:rPr>
              <w:t>臭气污染物指标</w:t>
            </w:r>
          </w:p>
        </w:tc>
        <w:tc>
          <w:tcPr>
            <w:tcW w:w="2111" w:type="dxa"/>
            <w:vAlign w:val="center"/>
          </w:tcPr>
          <w:p>
            <w:pPr>
              <w:spacing w:line="360" w:lineRule="auto"/>
              <w:jc w:val="center"/>
              <w:rPr>
                <w:b/>
                <w:color w:val="auto"/>
                <w:sz w:val="21"/>
                <w:szCs w:val="21"/>
              </w:rPr>
            </w:pPr>
            <w:r>
              <w:rPr>
                <w:b/>
                <w:color w:val="auto"/>
                <w:sz w:val="21"/>
                <w:szCs w:val="21"/>
              </w:rPr>
              <w:t>NH</w:t>
            </w:r>
            <w:r>
              <w:rPr>
                <w:b/>
                <w:color w:val="auto"/>
                <w:sz w:val="21"/>
                <w:szCs w:val="21"/>
                <w:vertAlign w:val="subscript"/>
              </w:rPr>
              <w:t>3</w:t>
            </w:r>
            <w:r>
              <w:rPr>
                <w:rFonts w:hint="eastAsia"/>
                <w:b/>
                <w:color w:val="auto"/>
                <w:sz w:val="21"/>
                <w:szCs w:val="21"/>
              </w:rPr>
              <w:t>（</w:t>
            </w:r>
            <w:r>
              <w:rPr>
                <w:b/>
                <w:color w:val="auto"/>
                <w:sz w:val="21"/>
                <w:szCs w:val="21"/>
              </w:rPr>
              <w:t>mg/m</w:t>
            </w:r>
            <w:r>
              <w:rPr>
                <w:b/>
                <w:color w:val="auto"/>
                <w:sz w:val="21"/>
                <w:szCs w:val="21"/>
                <w:vertAlign w:val="superscript"/>
              </w:rPr>
              <w:t>3</w:t>
            </w:r>
            <w:r>
              <w:rPr>
                <w:rFonts w:hint="eastAsia"/>
                <w:b/>
                <w:color w:val="auto"/>
                <w:sz w:val="21"/>
                <w:szCs w:val="21"/>
              </w:rPr>
              <w:t>）</w:t>
            </w:r>
          </w:p>
        </w:tc>
        <w:tc>
          <w:tcPr>
            <w:tcW w:w="2029" w:type="dxa"/>
            <w:vAlign w:val="center"/>
          </w:tcPr>
          <w:p>
            <w:pPr>
              <w:spacing w:line="360" w:lineRule="auto"/>
              <w:jc w:val="center"/>
              <w:rPr>
                <w:b/>
                <w:color w:val="auto"/>
                <w:sz w:val="21"/>
                <w:szCs w:val="21"/>
              </w:rPr>
            </w:pPr>
            <w:r>
              <w:rPr>
                <w:b/>
                <w:color w:val="auto"/>
                <w:sz w:val="21"/>
                <w:szCs w:val="21"/>
              </w:rPr>
              <w:t>H</w:t>
            </w:r>
            <w:r>
              <w:rPr>
                <w:b/>
                <w:color w:val="auto"/>
                <w:sz w:val="21"/>
                <w:szCs w:val="21"/>
                <w:vertAlign w:val="subscript"/>
              </w:rPr>
              <w:t>2</w:t>
            </w:r>
            <w:r>
              <w:rPr>
                <w:b/>
                <w:color w:val="auto"/>
                <w:sz w:val="21"/>
                <w:szCs w:val="21"/>
              </w:rPr>
              <w:t>S</w:t>
            </w:r>
            <w:r>
              <w:rPr>
                <w:rFonts w:hint="eastAsia"/>
                <w:b/>
                <w:color w:val="auto"/>
                <w:sz w:val="21"/>
                <w:szCs w:val="21"/>
              </w:rPr>
              <w:t>（</w:t>
            </w:r>
            <w:r>
              <w:rPr>
                <w:b/>
                <w:color w:val="auto"/>
                <w:sz w:val="21"/>
                <w:szCs w:val="21"/>
              </w:rPr>
              <w:t>mg/m</w:t>
            </w:r>
            <w:r>
              <w:rPr>
                <w:b/>
                <w:color w:val="auto"/>
                <w:sz w:val="21"/>
                <w:szCs w:val="21"/>
                <w:vertAlign w:val="superscript"/>
              </w:rPr>
              <w:t>3</w:t>
            </w:r>
            <w:r>
              <w:rPr>
                <w:rFonts w:hint="eastAsia"/>
                <w:b/>
                <w:color w:val="auto"/>
                <w:sz w:val="21"/>
                <w:szCs w:val="21"/>
              </w:rPr>
              <w:t>）</w:t>
            </w:r>
          </w:p>
        </w:tc>
        <w:tc>
          <w:tcPr>
            <w:tcW w:w="2304" w:type="dxa"/>
            <w:vAlign w:val="center"/>
          </w:tcPr>
          <w:p>
            <w:pPr>
              <w:spacing w:line="360" w:lineRule="auto"/>
              <w:jc w:val="center"/>
              <w:rPr>
                <w:b/>
                <w:color w:val="auto"/>
                <w:sz w:val="21"/>
                <w:szCs w:val="21"/>
              </w:rPr>
            </w:pPr>
            <w:r>
              <w:rPr>
                <w:rFonts w:hint="eastAsia"/>
                <w:b/>
                <w:color w:val="auto"/>
                <w:sz w:val="21"/>
                <w:szCs w:val="21"/>
              </w:rPr>
              <w:t>臭气（无量纲）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23" w:hRule="atLeast"/>
        </w:trPr>
        <w:tc>
          <w:tcPr>
            <w:tcW w:w="2773" w:type="dxa"/>
            <w:vAlign w:val="center"/>
          </w:tcPr>
          <w:p>
            <w:pPr>
              <w:spacing w:line="360" w:lineRule="auto"/>
              <w:jc w:val="center"/>
              <w:rPr>
                <w:color w:val="auto"/>
                <w:sz w:val="21"/>
                <w:szCs w:val="21"/>
              </w:rPr>
            </w:pPr>
            <w:r>
              <w:rPr>
                <w:rFonts w:hint="eastAsia"/>
                <w:color w:val="auto"/>
                <w:sz w:val="21"/>
                <w:szCs w:val="21"/>
              </w:rPr>
              <w:t>两级化学洗涤塔效率</w:t>
            </w:r>
          </w:p>
        </w:tc>
        <w:tc>
          <w:tcPr>
            <w:tcW w:w="2111" w:type="dxa"/>
            <w:vAlign w:val="center"/>
          </w:tcPr>
          <w:p>
            <w:pPr>
              <w:spacing w:line="360" w:lineRule="auto"/>
              <w:jc w:val="center"/>
              <w:rPr>
                <w:color w:val="auto"/>
                <w:sz w:val="21"/>
                <w:szCs w:val="21"/>
              </w:rPr>
            </w:pPr>
            <w:r>
              <w:rPr>
                <w:rFonts w:hint="eastAsia"/>
                <w:color w:val="auto"/>
                <w:sz w:val="21"/>
                <w:szCs w:val="21"/>
              </w:rPr>
              <w:t>≥37.5%</w:t>
            </w:r>
          </w:p>
        </w:tc>
        <w:tc>
          <w:tcPr>
            <w:tcW w:w="2029" w:type="dxa"/>
            <w:vAlign w:val="center"/>
          </w:tcPr>
          <w:p>
            <w:pPr>
              <w:spacing w:line="360" w:lineRule="auto"/>
              <w:jc w:val="center"/>
              <w:rPr>
                <w:color w:val="auto"/>
                <w:sz w:val="21"/>
                <w:szCs w:val="21"/>
              </w:rPr>
            </w:pPr>
            <w:r>
              <w:rPr>
                <w:rFonts w:hint="eastAsia"/>
                <w:color w:val="auto"/>
                <w:sz w:val="21"/>
                <w:szCs w:val="21"/>
              </w:rPr>
              <w:t>≥12.5%</w:t>
            </w:r>
          </w:p>
        </w:tc>
        <w:tc>
          <w:tcPr>
            <w:tcW w:w="2304" w:type="dxa"/>
            <w:vAlign w:val="center"/>
          </w:tcPr>
          <w:p>
            <w:pPr>
              <w:spacing w:line="360" w:lineRule="auto"/>
              <w:jc w:val="center"/>
              <w:rPr>
                <w:color w:val="auto"/>
                <w:sz w:val="21"/>
                <w:szCs w:val="21"/>
              </w:rPr>
            </w:pPr>
            <w:r>
              <w:rPr>
                <w:rFonts w:hint="eastAsia"/>
                <w:color w:val="auto"/>
                <w:sz w:val="21"/>
                <w:szCs w:val="21"/>
              </w:rPr>
              <w:t>≥37.5%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3" w:hRule="atLeast"/>
        </w:trPr>
        <w:tc>
          <w:tcPr>
            <w:tcW w:w="2773" w:type="dxa"/>
            <w:vAlign w:val="center"/>
          </w:tcPr>
          <w:p>
            <w:pPr>
              <w:spacing w:line="360" w:lineRule="auto"/>
              <w:jc w:val="center"/>
              <w:rPr>
                <w:color w:val="auto"/>
                <w:sz w:val="21"/>
                <w:szCs w:val="21"/>
              </w:rPr>
            </w:pPr>
            <w:r>
              <w:rPr>
                <w:rFonts w:hint="eastAsia"/>
                <w:color w:val="auto"/>
                <w:sz w:val="21"/>
                <w:szCs w:val="21"/>
              </w:rPr>
              <w:t>光催化氧化效率</w:t>
            </w:r>
          </w:p>
        </w:tc>
        <w:tc>
          <w:tcPr>
            <w:tcW w:w="2111" w:type="dxa"/>
            <w:vAlign w:val="center"/>
          </w:tcPr>
          <w:p>
            <w:pPr>
              <w:spacing w:line="360" w:lineRule="auto"/>
              <w:jc w:val="center"/>
              <w:rPr>
                <w:color w:val="auto"/>
                <w:sz w:val="21"/>
                <w:szCs w:val="21"/>
              </w:rPr>
            </w:pPr>
            <w:r>
              <w:rPr>
                <w:rFonts w:hint="eastAsia"/>
                <w:color w:val="auto"/>
                <w:sz w:val="21"/>
                <w:szCs w:val="21"/>
              </w:rPr>
              <w:t>≥50%</w:t>
            </w:r>
          </w:p>
        </w:tc>
        <w:tc>
          <w:tcPr>
            <w:tcW w:w="2029" w:type="dxa"/>
            <w:vAlign w:val="center"/>
          </w:tcPr>
          <w:p>
            <w:pPr>
              <w:spacing w:line="360" w:lineRule="auto"/>
              <w:jc w:val="center"/>
              <w:rPr>
                <w:color w:val="auto"/>
                <w:sz w:val="21"/>
                <w:szCs w:val="21"/>
              </w:rPr>
            </w:pPr>
            <w:r>
              <w:rPr>
                <w:rFonts w:hint="eastAsia"/>
                <w:color w:val="auto"/>
                <w:sz w:val="21"/>
                <w:szCs w:val="21"/>
              </w:rPr>
              <w:t>≥50%</w:t>
            </w:r>
          </w:p>
        </w:tc>
        <w:tc>
          <w:tcPr>
            <w:tcW w:w="2304" w:type="dxa"/>
            <w:vAlign w:val="center"/>
          </w:tcPr>
          <w:p>
            <w:pPr>
              <w:spacing w:line="360" w:lineRule="auto"/>
              <w:jc w:val="center"/>
              <w:rPr>
                <w:color w:val="auto"/>
                <w:sz w:val="21"/>
                <w:szCs w:val="21"/>
              </w:rPr>
            </w:pPr>
            <w:r>
              <w:rPr>
                <w:rFonts w:hint="eastAsia"/>
                <w:color w:val="auto"/>
                <w:sz w:val="21"/>
                <w:szCs w:val="21"/>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8" w:hRule="atLeast"/>
        </w:trPr>
        <w:tc>
          <w:tcPr>
            <w:tcW w:w="2773" w:type="dxa"/>
            <w:vAlign w:val="center"/>
          </w:tcPr>
          <w:p>
            <w:pPr>
              <w:spacing w:line="360" w:lineRule="auto"/>
              <w:jc w:val="center"/>
              <w:rPr>
                <w:color w:val="auto"/>
                <w:sz w:val="21"/>
                <w:szCs w:val="21"/>
              </w:rPr>
            </w:pPr>
            <w:r>
              <w:rPr>
                <w:rFonts w:hint="eastAsia"/>
                <w:color w:val="auto"/>
                <w:sz w:val="21"/>
                <w:szCs w:val="21"/>
              </w:rPr>
              <w:t>植物液喷淋效率</w:t>
            </w:r>
          </w:p>
        </w:tc>
        <w:tc>
          <w:tcPr>
            <w:tcW w:w="2111" w:type="dxa"/>
            <w:vAlign w:val="center"/>
          </w:tcPr>
          <w:p>
            <w:pPr>
              <w:spacing w:line="360" w:lineRule="auto"/>
              <w:jc w:val="center"/>
              <w:rPr>
                <w:color w:val="auto"/>
                <w:sz w:val="21"/>
                <w:szCs w:val="21"/>
              </w:rPr>
            </w:pPr>
            <w:r>
              <w:rPr>
                <w:rFonts w:hint="eastAsia"/>
                <w:color w:val="auto"/>
                <w:sz w:val="21"/>
                <w:szCs w:val="21"/>
              </w:rPr>
              <w:t>≥20%</w:t>
            </w:r>
          </w:p>
        </w:tc>
        <w:tc>
          <w:tcPr>
            <w:tcW w:w="2029" w:type="dxa"/>
            <w:vAlign w:val="center"/>
          </w:tcPr>
          <w:p>
            <w:pPr>
              <w:spacing w:line="360" w:lineRule="auto"/>
              <w:jc w:val="center"/>
              <w:rPr>
                <w:color w:val="auto"/>
                <w:sz w:val="21"/>
                <w:szCs w:val="21"/>
              </w:rPr>
            </w:pPr>
            <w:r>
              <w:rPr>
                <w:rFonts w:hint="eastAsia"/>
                <w:color w:val="auto"/>
                <w:sz w:val="21"/>
                <w:szCs w:val="21"/>
              </w:rPr>
              <w:t>≥20%</w:t>
            </w:r>
          </w:p>
        </w:tc>
        <w:tc>
          <w:tcPr>
            <w:tcW w:w="2304" w:type="dxa"/>
            <w:vAlign w:val="center"/>
          </w:tcPr>
          <w:p>
            <w:pPr>
              <w:spacing w:line="360" w:lineRule="auto"/>
              <w:jc w:val="center"/>
              <w:rPr>
                <w:color w:val="auto"/>
                <w:sz w:val="21"/>
                <w:szCs w:val="21"/>
              </w:rPr>
            </w:pPr>
            <w:r>
              <w:rPr>
                <w:rFonts w:hint="eastAsia"/>
                <w:color w:val="auto"/>
                <w:sz w:val="21"/>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62" w:hRule="atLeast"/>
        </w:trPr>
        <w:tc>
          <w:tcPr>
            <w:tcW w:w="2773" w:type="dxa"/>
            <w:vAlign w:val="center"/>
          </w:tcPr>
          <w:p>
            <w:pPr>
              <w:spacing w:line="360" w:lineRule="auto"/>
              <w:jc w:val="center"/>
              <w:rPr>
                <w:color w:val="auto"/>
                <w:sz w:val="21"/>
                <w:szCs w:val="21"/>
              </w:rPr>
            </w:pPr>
            <w:r>
              <w:rPr>
                <w:rFonts w:hint="eastAsia"/>
                <w:color w:val="auto"/>
                <w:sz w:val="21"/>
                <w:szCs w:val="21"/>
              </w:rPr>
              <w:t>综合效率</w:t>
            </w:r>
          </w:p>
        </w:tc>
        <w:tc>
          <w:tcPr>
            <w:tcW w:w="2111" w:type="dxa"/>
            <w:vAlign w:val="center"/>
          </w:tcPr>
          <w:p>
            <w:pPr>
              <w:spacing w:line="360" w:lineRule="auto"/>
              <w:jc w:val="center"/>
              <w:rPr>
                <w:color w:val="auto"/>
                <w:sz w:val="21"/>
                <w:szCs w:val="21"/>
              </w:rPr>
            </w:pPr>
            <w:r>
              <w:rPr>
                <w:rFonts w:hint="eastAsia"/>
                <w:color w:val="auto"/>
                <w:sz w:val="21"/>
                <w:szCs w:val="21"/>
              </w:rPr>
              <w:t>≥75%</w:t>
            </w:r>
          </w:p>
        </w:tc>
        <w:tc>
          <w:tcPr>
            <w:tcW w:w="2029" w:type="dxa"/>
            <w:vAlign w:val="center"/>
          </w:tcPr>
          <w:p>
            <w:pPr>
              <w:spacing w:line="360" w:lineRule="auto"/>
              <w:jc w:val="center"/>
              <w:rPr>
                <w:color w:val="auto"/>
                <w:sz w:val="21"/>
                <w:szCs w:val="21"/>
              </w:rPr>
            </w:pPr>
            <w:r>
              <w:rPr>
                <w:rFonts w:hint="eastAsia"/>
                <w:color w:val="auto"/>
                <w:sz w:val="21"/>
                <w:szCs w:val="21"/>
              </w:rPr>
              <w:t>≥65%</w:t>
            </w:r>
          </w:p>
        </w:tc>
        <w:tc>
          <w:tcPr>
            <w:tcW w:w="2304" w:type="dxa"/>
            <w:vAlign w:val="center"/>
          </w:tcPr>
          <w:p>
            <w:pPr>
              <w:spacing w:line="360" w:lineRule="auto"/>
              <w:jc w:val="center"/>
              <w:rPr>
                <w:color w:val="auto"/>
                <w:sz w:val="21"/>
                <w:szCs w:val="21"/>
              </w:rPr>
            </w:pPr>
            <w:r>
              <w:rPr>
                <w:rFonts w:hint="eastAsia"/>
                <w:color w:val="auto"/>
                <w:sz w:val="21"/>
                <w:szCs w:val="21"/>
              </w:rPr>
              <w:t>≥75%</w:t>
            </w:r>
          </w:p>
        </w:tc>
      </w:tr>
    </w:tbl>
    <w:p>
      <w:pPr>
        <w:spacing w:line="360" w:lineRule="auto"/>
        <w:ind w:firstLine="480" w:firstLineChars="200"/>
        <w:rPr>
          <w:color w:val="auto"/>
        </w:rPr>
      </w:pPr>
      <w:r>
        <w:rPr>
          <w:rFonts w:hint="eastAsia"/>
          <w:color w:val="auto"/>
        </w:rPr>
        <w:t>综上分析，预处理车间恶臭废气经“化学洗涤+光催化氧化+植物液喷淋”装置处理后，通过15m高排气筒排放，满足《恶臭污染物排放标准》（GB14554-93）中的相关要求。</w:t>
      </w:r>
    </w:p>
    <w:p>
      <w:pPr>
        <w:spacing w:line="360" w:lineRule="auto"/>
        <w:ind w:firstLine="482" w:firstLineChars="200"/>
        <w:rPr>
          <w:b/>
          <w:color w:val="auto"/>
        </w:rPr>
      </w:pPr>
      <w:r>
        <w:rPr>
          <w:rFonts w:hint="eastAsia"/>
          <w:b/>
          <w:color w:val="auto"/>
        </w:rPr>
        <w:t>四、防治措施成功案例介绍</w:t>
      </w:r>
    </w:p>
    <w:p>
      <w:pPr>
        <w:spacing w:line="360" w:lineRule="auto"/>
        <w:ind w:firstLine="480" w:firstLineChars="200"/>
        <w:rPr>
          <w:color w:val="auto"/>
        </w:rPr>
      </w:pPr>
      <w:r>
        <w:rPr>
          <w:rFonts w:hint="eastAsia"/>
          <w:color w:val="auto"/>
        </w:rPr>
        <w:t xml:space="preserve">1、达标可行性分析 </w:t>
      </w:r>
    </w:p>
    <w:p>
      <w:pPr>
        <w:spacing w:line="360" w:lineRule="auto"/>
        <w:ind w:firstLine="480" w:firstLineChars="200"/>
        <w:rPr>
          <w:color w:val="auto"/>
        </w:rPr>
      </w:pPr>
      <w:r>
        <w:rPr>
          <w:rFonts w:hint="eastAsia"/>
          <w:color w:val="auto"/>
        </w:rPr>
        <w:t>无锡惠联资源再生科技有限公司于2018年取得无锡惠山经济开发区环保局关于《无锡惠联资源再生科技有限公司无锡惠联餐厨废弃物处理工程项目环境影响报告书批复的函》 ，2019 年通过环保验收，该公司设计餐厨废弃物处理工程规模为 440t/d（其中餐饮垃圾 250t/d、易腐垃圾 150t/d、废油脂 40t/d） ，主要生产工艺包括：预处理系统、发酵系统、沼气系统。该项目生产过程中废气主要为氨、硫化、恶臭等，经“化学洗涤塔+光催化氧化+植物液喷淋”处理后通过 15m高排气筒达标排放。</w:t>
      </w:r>
    </w:p>
    <w:p>
      <w:pPr>
        <w:spacing w:line="360" w:lineRule="auto"/>
        <w:ind w:firstLine="480" w:firstLineChars="200"/>
        <w:rPr>
          <w:color w:val="auto"/>
        </w:rPr>
      </w:pPr>
      <w:r>
        <w:rPr>
          <w:rFonts w:hint="eastAsia"/>
          <w:color w:val="auto"/>
        </w:rPr>
        <w:t>无锡惠联资源再生科技有限公司废气处理工艺与本项目相同， 根据 《无锡惠联资源再生科技有限公司无锡惠联餐厨废弃物处理工程项目竣工环境保护验收监测报告》，该公司废气处理设施监测结果如下表所示：</w:t>
      </w:r>
    </w:p>
    <w:p>
      <w:pPr>
        <w:spacing w:line="360" w:lineRule="auto"/>
        <w:ind w:firstLine="482" w:firstLineChars="200"/>
        <w:jc w:val="center"/>
        <w:rPr>
          <w:b/>
          <w:color w:val="auto"/>
        </w:rPr>
      </w:pPr>
      <w:r>
        <w:rPr>
          <w:rFonts w:hint="eastAsia"/>
          <w:b/>
          <w:color w:val="auto"/>
        </w:rPr>
        <w:t>表 6.2-5  废气处理装置进出口排放速率</w:t>
      </w:r>
    </w:p>
    <w:tbl>
      <w:tblPr>
        <w:tblStyle w:val="54"/>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6"/>
        <w:gridCol w:w="1326"/>
        <w:gridCol w:w="1326"/>
        <w:gridCol w:w="1327"/>
        <w:gridCol w:w="1327"/>
        <w:gridCol w:w="1327"/>
        <w:gridCol w:w="13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326" w:type="dxa"/>
            <w:vMerge w:val="restart"/>
            <w:vAlign w:val="center"/>
          </w:tcPr>
          <w:p>
            <w:pPr>
              <w:spacing w:line="360" w:lineRule="auto"/>
              <w:jc w:val="center"/>
              <w:rPr>
                <w:b/>
                <w:color w:val="auto"/>
                <w:sz w:val="21"/>
                <w:szCs w:val="21"/>
              </w:rPr>
            </w:pPr>
            <w:r>
              <w:rPr>
                <w:rFonts w:hint="eastAsia"/>
                <w:b/>
                <w:color w:val="auto"/>
                <w:sz w:val="21"/>
                <w:szCs w:val="21"/>
              </w:rPr>
              <w:t>监测频次</w:t>
            </w:r>
          </w:p>
        </w:tc>
        <w:tc>
          <w:tcPr>
            <w:tcW w:w="3979" w:type="dxa"/>
            <w:gridSpan w:val="3"/>
            <w:vAlign w:val="center"/>
          </w:tcPr>
          <w:p>
            <w:pPr>
              <w:spacing w:line="360" w:lineRule="auto"/>
              <w:jc w:val="center"/>
              <w:rPr>
                <w:b/>
                <w:color w:val="auto"/>
                <w:sz w:val="21"/>
                <w:szCs w:val="21"/>
              </w:rPr>
            </w:pPr>
            <w:r>
              <w:rPr>
                <w:rFonts w:hint="eastAsia"/>
                <w:b/>
                <w:color w:val="auto"/>
                <w:sz w:val="21"/>
                <w:szCs w:val="21"/>
              </w:rPr>
              <w:t>硫化氢</w:t>
            </w:r>
          </w:p>
        </w:tc>
        <w:tc>
          <w:tcPr>
            <w:tcW w:w="3981" w:type="dxa"/>
            <w:gridSpan w:val="3"/>
            <w:vAlign w:val="center"/>
          </w:tcPr>
          <w:p>
            <w:pPr>
              <w:spacing w:line="360" w:lineRule="auto"/>
              <w:jc w:val="center"/>
              <w:rPr>
                <w:b/>
                <w:color w:val="auto"/>
                <w:sz w:val="21"/>
                <w:szCs w:val="21"/>
              </w:rPr>
            </w:pPr>
            <w:r>
              <w:rPr>
                <w:rFonts w:hint="eastAsia"/>
                <w:b/>
                <w:color w:val="auto"/>
                <w:sz w:val="21"/>
                <w:szCs w:val="21"/>
              </w:rPr>
              <w:t>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326" w:type="dxa"/>
            <w:vMerge w:val="continue"/>
            <w:vAlign w:val="center"/>
          </w:tcPr>
          <w:p>
            <w:pPr>
              <w:spacing w:line="360" w:lineRule="auto"/>
              <w:jc w:val="center"/>
              <w:rPr>
                <w:b/>
                <w:color w:val="auto"/>
                <w:sz w:val="21"/>
                <w:szCs w:val="21"/>
              </w:rPr>
            </w:pPr>
          </w:p>
        </w:tc>
        <w:tc>
          <w:tcPr>
            <w:tcW w:w="1326" w:type="dxa"/>
            <w:vAlign w:val="center"/>
          </w:tcPr>
          <w:p>
            <w:pPr>
              <w:spacing w:line="360" w:lineRule="auto"/>
              <w:jc w:val="center"/>
              <w:rPr>
                <w:b/>
                <w:color w:val="auto"/>
                <w:sz w:val="21"/>
                <w:szCs w:val="21"/>
              </w:rPr>
            </w:pPr>
            <w:r>
              <w:rPr>
                <w:rFonts w:hint="eastAsia"/>
                <w:b/>
                <w:color w:val="auto"/>
                <w:sz w:val="21"/>
                <w:szCs w:val="21"/>
              </w:rPr>
              <w:t>进口</w:t>
            </w:r>
          </w:p>
          <w:p>
            <w:pPr>
              <w:spacing w:line="360" w:lineRule="auto"/>
              <w:jc w:val="center"/>
              <w:rPr>
                <w:b/>
                <w:color w:val="auto"/>
                <w:sz w:val="21"/>
                <w:szCs w:val="21"/>
              </w:rPr>
            </w:pPr>
            <w:r>
              <w:rPr>
                <w:rFonts w:hint="eastAsia"/>
                <w:b/>
                <w:color w:val="auto"/>
                <w:sz w:val="21"/>
                <w:szCs w:val="21"/>
              </w:rPr>
              <w:t>（kg/h）</w:t>
            </w:r>
          </w:p>
        </w:tc>
        <w:tc>
          <w:tcPr>
            <w:tcW w:w="1326" w:type="dxa"/>
            <w:vAlign w:val="center"/>
          </w:tcPr>
          <w:p>
            <w:pPr>
              <w:spacing w:line="360" w:lineRule="auto"/>
              <w:jc w:val="center"/>
              <w:rPr>
                <w:b/>
                <w:color w:val="auto"/>
                <w:sz w:val="21"/>
                <w:szCs w:val="21"/>
              </w:rPr>
            </w:pPr>
            <w:r>
              <w:rPr>
                <w:rFonts w:hint="eastAsia"/>
                <w:b/>
                <w:color w:val="auto"/>
                <w:sz w:val="21"/>
                <w:szCs w:val="21"/>
              </w:rPr>
              <w:t>出口</w:t>
            </w:r>
          </w:p>
          <w:p>
            <w:pPr>
              <w:spacing w:line="360" w:lineRule="auto"/>
              <w:jc w:val="center"/>
              <w:rPr>
                <w:b/>
                <w:color w:val="auto"/>
                <w:sz w:val="21"/>
                <w:szCs w:val="21"/>
              </w:rPr>
            </w:pPr>
            <w:r>
              <w:rPr>
                <w:rFonts w:hint="eastAsia"/>
                <w:b/>
                <w:color w:val="auto"/>
                <w:sz w:val="21"/>
                <w:szCs w:val="21"/>
              </w:rPr>
              <w:t>（kg/h）</w:t>
            </w:r>
          </w:p>
        </w:tc>
        <w:tc>
          <w:tcPr>
            <w:tcW w:w="1327" w:type="dxa"/>
            <w:vAlign w:val="center"/>
          </w:tcPr>
          <w:p>
            <w:pPr>
              <w:spacing w:line="360" w:lineRule="auto"/>
              <w:jc w:val="center"/>
              <w:rPr>
                <w:b/>
                <w:color w:val="auto"/>
                <w:sz w:val="21"/>
                <w:szCs w:val="21"/>
              </w:rPr>
            </w:pPr>
            <w:r>
              <w:rPr>
                <w:rFonts w:hint="eastAsia"/>
                <w:b/>
                <w:color w:val="auto"/>
                <w:sz w:val="21"/>
                <w:szCs w:val="21"/>
              </w:rPr>
              <w:t>去除效率</w:t>
            </w:r>
          </w:p>
          <w:p>
            <w:pPr>
              <w:spacing w:line="360" w:lineRule="auto"/>
              <w:jc w:val="center"/>
              <w:rPr>
                <w:b/>
                <w:color w:val="auto"/>
                <w:sz w:val="21"/>
                <w:szCs w:val="21"/>
              </w:rPr>
            </w:pPr>
            <w:r>
              <w:rPr>
                <w:rFonts w:hint="eastAsia"/>
                <w:b/>
                <w:color w:val="auto"/>
                <w:sz w:val="21"/>
                <w:szCs w:val="21"/>
              </w:rPr>
              <w:t>（%）</w:t>
            </w:r>
          </w:p>
        </w:tc>
        <w:tc>
          <w:tcPr>
            <w:tcW w:w="1327" w:type="dxa"/>
            <w:vAlign w:val="center"/>
          </w:tcPr>
          <w:p>
            <w:pPr>
              <w:spacing w:line="360" w:lineRule="auto"/>
              <w:jc w:val="center"/>
              <w:rPr>
                <w:b/>
                <w:color w:val="auto"/>
                <w:sz w:val="21"/>
                <w:szCs w:val="21"/>
              </w:rPr>
            </w:pPr>
            <w:r>
              <w:rPr>
                <w:rFonts w:hint="eastAsia"/>
                <w:b/>
                <w:color w:val="auto"/>
                <w:sz w:val="21"/>
                <w:szCs w:val="21"/>
              </w:rPr>
              <w:t>进口</w:t>
            </w:r>
          </w:p>
          <w:p>
            <w:pPr>
              <w:spacing w:line="360" w:lineRule="auto"/>
              <w:jc w:val="center"/>
              <w:rPr>
                <w:b/>
                <w:color w:val="auto"/>
                <w:sz w:val="21"/>
                <w:szCs w:val="21"/>
              </w:rPr>
            </w:pPr>
            <w:r>
              <w:rPr>
                <w:rFonts w:hint="eastAsia"/>
                <w:b/>
                <w:color w:val="auto"/>
                <w:sz w:val="21"/>
                <w:szCs w:val="21"/>
              </w:rPr>
              <w:t>（kg/h）</w:t>
            </w:r>
          </w:p>
        </w:tc>
        <w:tc>
          <w:tcPr>
            <w:tcW w:w="1327" w:type="dxa"/>
            <w:vAlign w:val="center"/>
          </w:tcPr>
          <w:p>
            <w:pPr>
              <w:spacing w:line="360" w:lineRule="auto"/>
              <w:jc w:val="center"/>
              <w:rPr>
                <w:b/>
                <w:color w:val="auto"/>
                <w:sz w:val="21"/>
                <w:szCs w:val="21"/>
              </w:rPr>
            </w:pPr>
            <w:r>
              <w:rPr>
                <w:rFonts w:hint="eastAsia"/>
                <w:b/>
                <w:color w:val="auto"/>
                <w:sz w:val="21"/>
                <w:szCs w:val="21"/>
              </w:rPr>
              <w:t>出口</w:t>
            </w:r>
          </w:p>
          <w:p>
            <w:pPr>
              <w:spacing w:line="360" w:lineRule="auto"/>
              <w:jc w:val="center"/>
              <w:rPr>
                <w:b/>
                <w:color w:val="auto"/>
                <w:sz w:val="21"/>
                <w:szCs w:val="21"/>
              </w:rPr>
            </w:pPr>
            <w:r>
              <w:rPr>
                <w:rFonts w:hint="eastAsia"/>
                <w:b/>
                <w:color w:val="auto"/>
                <w:sz w:val="21"/>
                <w:szCs w:val="21"/>
              </w:rPr>
              <w:t>（kg/h）</w:t>
            </w:r>
          </w:p>
        </w:tc>
        <w:tc>
          <w:tcPr>
            <w:tcW w:w="1327" w:type="dxa"/>
            <w:vAlign w:val="center"/>
          </w:tcPr>
          <w:p>
            <w:pPr>
              <w:spacing w:line="360" w:lineRule="auto"/>
              <w:jc w:val="center"/>
              <w:rPr>
                <w:b/>
                <w:color w:val="auto"/>
                <w:sz w:val="21"/>
                <w:szCs w:val="21"/>
              </w:rPr>
            </w:pPr>
            <w:r>
              <w:rPr>
                <w:rFonts w:hint="eastAsia"/>
                <w:b/>
                <w:color w:val="auto"/>
                <w:sz w:val="21"/>
                <w:szCs w:val="21"/>
              </w:rPr>
              <w:t>去除效率</w:t>
            </w:r>
          </w:p>
          <w:p>
            <w:pPr>
              <w:spacing w:line="360" w:lineRule="auto"/>
              <w:jc w:val="center"/>
              <w:rPr>
                <w:b/>
                <w:color w:val="auto"/>
                <w:sz w:val="21"/>
                <w:szCs w:val="21"/>
              </w:rPr>
            </w:pPr>
            <w:r>
              <w:rPr>
                <w:rFonts w:hint="eastAsia"/>
                <w:b/>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326" w:type="dxa"/>
            <w:vAlign w:val="center"/>
          </w:tcPr>
          <w:p>
            <w:pPr>
              <w:spacing w:line="360" w:lineRule="auto"/>
              <w:jc w:val="center"/>
              <w:rPr>
                <w:color w:val="auto"/>
                <w:sz w:val="21"/>
                <w:szCs w:val="21"/>
              </w:rPr>
            </w:pPr>
            <w:r>
              <w:rPr>
                <w:rFonts w:hint="eastAsia"/>
                <w:color w:val="auto"/>
                <w:sz w:val="21"/>
                <w:szCs w:val="21"/>
              </w:rPr>
              <w:t>第一次</w:t>
            </w:r>
          </w:p>
        </w:tc>
        <w:tc>
          <w:tcPr>
            <w:tcW w:w="1326" w:type="dxa"/>
            <w:vAlign w:val="center"/>
          </w:tcPr>
          <w:p>
            <w:pPr>
              <w:spacing w:line="360" w:lineRule="auto"/>
              <w:jc w:val="center"/>
              <w:rPr>
                <w:color w:val="auto"/>
                <w:sz w:val="21"/>
                <w:szCs w:val="21"/>
              </w:rPr>
            </w:pPr>
            <w:r>
              <w:rPr>
                <w:color w:val="auto"/>
                <w:sz w:val="21"/>
                <w:szCs w:val="21"/>
              </w:rPr>
              <w:t>0.401</w:t>
            </w:r>
          </w:p>
        </w:tc>
        <w:tc>
          <w:tcPr>
            <w:tcW w:w="1326" w:type="dxa"/>
            <w:vAlign w:val="center"/>
          </w:tcPr>
          <w:p>
            <w:pPr>
              <w:spacing w:line="360" w:lineRule="auto"/>
              <w:jc w:val="center"/>
              <w:rPr>
                <w:color w:val="auto"/>
                <w:sz w:val="21"/>
                <w:szCs w:val="21"/>
              </w:rPr>
            </w:pPr>
            <w:r>
              <w:rPr>
                <w:color w:val="auto"/>
                <w:sz w:val="21"/>
                <w:szCs w:val="21"/>
              </w:rPr>
              <w:t>0.120</w:t>
            </w:r>
          </w:p>
        </w:tc>
        <w:tc>
          <w:tcPr>
            <w:tcW w:w="1327" w:type="dxa"/>
            <w:vAlign w:val="center"/>
          </w:tcPr>
          <w:p>
            <w:pPr>
              <w:spacing w:line="360" w:lineRule="auto"/>
              <w:jc w:val="center"/>
              <w:rPr>
                <w:color w:val="auto"/>
                <w:sz w:val="21"/>
                <w:szCs w:val="21"/>
              </w:rPr>
            </w:pPr>
            <w:r>
              <w:rPr>
                <w:color w:val="auto"/>
                <w:sz w:val="21"/>
                <w:szCs w:val="21"/>
              </w:rPr>
              <w:t>70.1</w:t>
            </w:r>
          </w:p>
        </w:tc>
        <w:tc>
          <w:tcPr>
            <w:tcW w:w="1327" w:type="dxa"/>
            <w:vAlign w:val="center"/>
          </w:tcPr>
          <w:p>
            <w:pPr>
              <w:spacing w:line="360" w:lineRule="auto"/>
              <w:jc w:val="center"/>
              <w:rPr>
                <w:color w:val="auto"/>
                <w:sz w:val="21"/>
                <w:szCs w:val="21"/>
              </w:rPr>
            </w:pPr>
            <w:r>
              <w:rPr>
                <w:color w:val="auto"/>
                <w:sz w:val="21"/>
                <w:szCs w:val="21"/>
              </w:rPr>
              <w:t>1.909</w:t>
            </w:r>
          </w:p>
        </w:tc>
        <w:tc>
          <w:tcPr>
            <w:tcW w:w="1327" w:type="dxa"/>
            <w:vAlign w:val="center"/>
          </w:tcPr>
          <w:p>
            <w:pPr>
              <w:spacing w:line="360" w:lineRule="auto"/>
              <w:jc w:val="center"/>
              <w:rPr>
                <w:color w:val="auto"/>
                <w:sz w:val="21"/>
                <w:szCs w:val="21"/>
              </w:rPr>
            </w:pPr>
            <w:r>
              <w:rPr>
                <w:color w:val="auto"/>
                <w:sz w:val="21"/>
                <w:szCs w:val="21"/>
              </w:rPr>
              <w:t>0.365</w:t>
            </w:r>
          </w:p>
        </w:tc>
        <w:tc>
          <w:tcPr>
            <w:tcW w:w="1327" w:type="dxa"/>
            <w:vAlign w:val="center"/>
          </w:tcPr>
          <w:p>
            <w:pPr>
              <w:spacing w:line="360" w:lineRule="auto"/>
              <w:jc w:val="center"/>
              <w:rPr>
                <w:color w:val="auto"/>
                <w:sz w:val="21"/>
                <w:szCs w:val="21"/>
              </w:rPr>
            </w:pPr>
            <w:r>
              <w:rPr>
                <w:rFonts w:hint="eastAsia"/>
                <w:color w:val="auto"/>
                <w:sz w:val="21"/>
                <w:szCs w:val="21"/>
              </w:rPr>
              <w:t>80.9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326" w:type="dxa"/>
            <w:vAlign w:val="center"/>
          </w:tcPr>
          <w:p>
            <w:pPr>
              <w:spacing w:line="360" w:lineRule="auto"/>
              <w:jc w:val="center"/>
              <w:rPr>
                <w:color w:val="auto"/>
                <w:sz w:val="21"/>
                <w:szCs w:val="21"/>
              </w:rPr>
            </w:pPr>
            <w:r>
              <w:rPr>
                <w:rFonts w:hint="eastAsia"/>
                <w:color w:val="auto"/>
                <w:sz w:val="21"/>
                <w:szCs w:val="21"/>
              </w:rPr>
              <w:t>第二次</w:t>
            </w:r>
          </w:p>
        </w:tc>
        <w:tc>
          <w:tcPr>
            <w:tcW w:w="1326" w:type="dxa"/>
            <w:vAlign w:val="center"/>
          </w:tcPr>
          <w:p>
            <w:pPr>
              <w:spacing w:line="360" w:lineRule="auto"/>
              <w:jc w:val="center"/>
              <w:rPr>
                <w:color w:val="auto"/>
                <w:sz w:val="21"/>
                <w:szCs w:val="21"/>
              </w:rPr>
            </w:pPr>
            <w:r>
              <w:rPr>
                <w:color w:val="auto"/>
                <w:sz w:val="21"/>
                <w:szCs w:val="21"/>
              </w:rPr>
              <w:t>0.525</w:t>
            </w:r>
          </w:p>
        </w:tc>
        <w:tc>
          <w:tcPr>
            <w:tcW w:w="1326" w:type="dxa"/>
            <w:vAlign w:val="center"/>
          </w:tcPr>
          <w:p>
            <w:pPr>
              <w:spacing w:line="360" w:lineRule="auto"/>
              <w:jc w:val="center"/>
              <w:rPr>
                <w:color w:val="auto"/>
                <w:sz w:val="21"/>
                <w:szCs w:val="21"/>
              </w:rPr>
            </w:pPr>
            <w:r>
              <w:rPr>
                <w:color w:val="auto"/>
                <w:sz w:val="21"/>
                <w:szCs w:val="21"/>
              </w:rPr>
              <w:t>0.154</w:t>
            </w:r>
          </w:p>
        </w:tc>
        <w:tc>
          <w:tcPr>
            <w:tcW w:w="1327" w:type="dxa"/>
            <w:vAlign w:val="center"/>
          </w:tcPr>
          <w:p>
            <w:pPr>
              <w:spacing w:line="360" w:lineRule="auto"/>
              <w:jc w:val="center"/>
              <w:rPr>
                <w:color w:val="auto"/>
                <w:sz w:val="21"/>
                <w:szCs w:val="21"/>
              </w:rPr>
            </w:pPr>
            <w:r>
              <w:rPr>
                <w:color w:val="auto"/>
                <w:sz w:val="21"/>
                <w:szCs w:val="21"/>
              </w:rPr>
              <w:t>70.6</w:t>
            </w:r>
          </w:p>
        </w:tc>
        <w:tc>
          <w:tcPr>
            <w:tcW w:w="1327" w:type="dxa"/>
            <w:vAlign w:val="center"/>
          </w:tcPr>
          <w:p>
            <w:pPr>
              <w:spacing w:line="360" w:lineRule="auto"/>
              <w:jc w:val="center"/>
              <w:rPr>
                <w:color w:val="auto"/>
                <w:sz w:val="21"/>
                <w:szCs w:val="21"/>
              </w:rPr>
            </w:pPr>
            <w:r>
              <w:rPr>
                <w:color w:val="auto"/>
                <w:sz w:val="21"/>
                <w:szCs w:val="21"/>
              </w:rPr>
              <w:t>1.072</w:t>
            </w:r>
          </w:p>
        </w:tc>
        <w:tc>
          <w:tcPr>
            <w:tcW w:w="1327" w:type="dxa"/>
            <w:vAlign w:val="center"/>
          </w:tcPr>
          <w:p>
            <w:pPr>
              <w:spacing w:line="360" w:lineRule="auto"/>
              <w:jc w:val="center"/>
              <w:rPr>
                <w:color w:val="auto"/>
                <w:sz w:val="21"/>
                <w:szCs w:val="21"/>
              </w:rPr>
            </w:pPr>
            <w:r>
              <w:rPr>
                <w:color w:val="auto"/>
                <w:sz w:val="21"/>
                <w:szCs w:val="21"/>
              </w:rPr>
              <w:t>0.212</w:t>
            </w:r>
          </w:p>
        </w:tc>
        <w:tc>
          <w:tcPr>
            <w:tcW w:w="1327" w:type="dxa"/>
            <w:vAlign w:val="center"/>
          </w:tcPr>
          <w:p>
            <w:pPr>
              <w:spacing w:line="360" w:lineRule="auto"/>
              <w:jc w:val="center"/>
              <w:rPr>
                <w:color w:val="auto"/>
                <w:sz w:val="21"/>
                <w:szCs w:val="21"/>
              </w:rPr>
            </w:pPr>
            <w:r>
              <w:rPr>
                <w:rFonts w:hint="eastAsia"/>
                <w:color w:val="auto"/>
                <w:sz w:val="21"/>
                <w:szCs w:val="21"/>
              </w:rPr>
              <w:t>80.2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326" w:type="dxa"/>
            <w:vAlign w:val="center"/>
          </w:tcPr>
          <w:p>
            <w:pPr>
              <w:spacing w:line="360" w:lineRule="auto"/>
              <w:jc w:val="center"/>
              <w:rPr>
                <w:color w:val="auto"/>
                <w:sz w:val="21"/>
                <w:szCs w:val="21"/>
              </w:rPr>
            </w:pPr>
            <w:r>
              <w:rPr>
                <w:rFonts w:hint="eastAsia"/>
                <w:color w:val="auto"/>
                <w:sz w:val="21"/>
                <w:szCs w:val="21"/>
              </w:rPr>
              <w:t>第三次</w:t>
            </w:r>
          </w:p>
        </w:tc>
        <w:tc>
          <w:tcPr>
            <w:tcW w:w="1326" w:type="dxa"/>
            <w:vAlign w:val="center"/>
          </w:tcPr>
          <w:p>
            <w:pPr>
              <w:spacing w:line="360" w:lineRule="auto"/>
              <w:jc w:val="center"/>
              <w:rPr>
                <w:color w:val="auto"/>
                <w:sz w:val="21"/>
                <w:szCs w:val="21"/>
              </w:rPr>
            </w:pPr>
            <w:r>
              <w:rPr>
                <w:color w:val="auto"/>
                <w:sz w:val="21"/>
                <w:szCs w:val="21"/>
              </w:rPr>
              <w:t>0.479</w:t>
            </w:r>
          </w:p>
        </w:tc>
        <w:tc>
          <w:tcPr>
            <w:tcW w:w="1326" w:type="dxa"/>
            <w:vAlign w:val="center"/>
          </w:tcPr>
          <w:p>
            <w:pPr>
              <w:spacing w:line="360" w:lineRule="auto"/>
              <w:jc w:val="center"/>
              <w:rPr>
                <w:color w:val="auto"/>
                <w:sz w:val="21"/>
                <w:szCs w:val="21"/>
              </w:rPr>
            </w:pPr>
            <w:r>
              <w:rPr>
                <w:color w:val="auto"/>
                <w:sz w:val="21"/>
                <w:szCs w:val="21"/>
              </w:rPr>
              <w:t>0.143</w:t>
            </w:r>
          </w:p>
        </w:tc>
        <w:tc>
          <w:tcPr>
            <w:tcW w:w="1327" w:type="dxa"/>
            <w:vAlign w:val="center"/>
          </w:tcPr>
          <w:p>
            <w:pPr>
              <w:spacing w:line="360" w:lineRule="auto"/>
              <w:jc w:val="center"/>
              <w:rPr>
                <w:color w:val="auto"/>
                <w:sz w:val="21"/>
                <w:szCs w:val="21"/>
              </w:rPr>
            </w:pPr>
            <w:r>
              <w:rPr>
                <w:color w:val="auto"/>
                <w:sz w:val="21"/>
                <w:szCs w:val="21"/>
              </w:rPr>
              <w:t>70.2</w:t>
            </w:r>
          </w:p>
        </w:tc>
        <w:tc>
          <w:tcPr>
            <w:tcW w:w="1327" w:type="dxa"/>
            <w:vAlign w:val="center"/>
          </w:tcPr>
          <w:p>
            <w:pPr>
              <w:spacing w:line="360" w:lineRule="auto"/>
              <w:jc w:val="center"/>
              <w:rPr>
                <w:color w:val="auto"/>
                <w:sz w:val="21"/>
                <w:szCs w:val="21"/>
              </w:rPr>
            </w:pPr>
            <w:r>
              <w:rPr>
                <w:color w:val="auto"/>
                <w:sz w:val="21"/>
                <w:szCs w:val="21"/>
              </w:rPr>
              <w:t>1.005</w:t>
            </w:r>
          </w:p>
        </w:tc>
        <w:tc>
          <w:tcPr>
            <w:tcW w:w="1327" w:type="dxa"/>
            <w:vAlign w:val="center"/>
          </w:tcPr>
          <w:p>
            <w:pPr>
              <w:spacing w:line="360" w:lineRule="auto"/>
              <w:jc w:val="center"/>
              <w:rPr>
                <w:color w:val="auto"/>
                <w:sz w:val="21"/>
                <w:szCs w:val="21"/>
              </w:rPr>
            </w:pPr>
            <w:r>
              <w:rPr>
                <w:color w:val="auto"/>
                <w:sz w:val="21"/>
                <w:szCs w:val="21"/>
              </w:rPr>
              <w:t>0.201</w:t>
            </w:r>
          </w:p>
        </w:tc>
        <w:tc>
          <w:tcPr>
            <w:tcW w:w="1327" w:type="dxa"/>
            <w:vAlign w:val="center"/>
          </w:tcPr>
          <w:p>
            <w:pPr>
              <w:spacing w:line="360" w:lineRule="auto"/>
              <w:jc w:val="center"/>
              <w:rPr>
                <w:color w:val="auto"/>
                <w:sz w:val="21"/>
                <w:szCs w:val="21"/>
              </w:rPr>
            </w:pPr>
            <w:r>
              <w:rPr>
                <w:rFonts w:hint="eastAsia"/>
                <w:color w:val="auto"/>
                <w:sz w:val="21"/>
                <w:szCs w:val="21"/>
              </w:rPr>
              <w:t>80.0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326" w:type="dxa"/>
            <w:vAlign w:val="center"/>
          </w:tcPr>
          <w:p>
            <w:pPr>
              <w:spacing w:line="360" w:lineRule="auto"/>
              <w:jc w:val="center"/>
              <w:rPr>
                <w:color w:val="auto"/>
                <w:sz w:val="21"/>
                <w:szCs w:val="21"/>
              </w:rPr>
            </w:pPr>
            <w:r>
              <w:rPr>
                <w:rFonts w:hint="eastAsia"/>
                <w:color w:val="auto"/>
                <w:sz w:val="21"/>
                <w:szCs w:val="21"/>
              </w:rPr>
              <w:t>第四次</w:t>
            </w:r>
          </w:p>
        </w:tc>
        <w:tc>
          <w:tcPr>
            <w:tcW w:w="1326" w:type="dxa"/>
            <w:vAlign w:val="center"/>
          </w:tcPr>
          <w:p>
            <w:pPr>
              <w:spacing w:line="360" w:lineRule="auto"/>
              <w:jc w:val="center"/>
              <w:rPr>
                <w:color w:val="auto"/>
                <w:sz w:val="21"/>
                <w:szCs w:val="21"/>
              </w:rPr>
            </w:pPr>
            <w:r>
              <w:rPr>
                <w:color w:val="auto"/>
                <w:sz w:val="21"/>
                <w:szCs w:val="21"/>
              </w:rPr>
              <w:t>0.441</w:t>
            </w:r>
          </w:p>
        </w:tc>
        <w:tc>
          <w:tcPr>
            <w:tcW w:w="1326" w:type="dxa"/>
            <w:vAlign w:val="center"/>
          </w:tcPr>
          <w:p>
            <w:pPr>
              <w:spacing w:line="360" w:lineRule="auto"/>
              <w:jc w:val="center"/>
              <w:rPr>
                <w:color w:val="auto"/>
                <w:sz w:val="21"/>
                <w:szCs w:val="21"/>
              </w:rPr>
            </w:pPr>
            <w:r>
              <w:rPr>
                <w:color w:val="auto"/>
                <w:sz w:val="21"/>
                <w:szCs w:val="21"/>
              </w:rPr>
              <w:t>0.131</w:t>
            </w:r>
          </w:p>
        </w:tc>
        <w:tc>
          <w:tcPr>
            <w:tcW w:w="1327" w:type="dxa"/>
            <w:vAlign w:val="center"/>
          </w:tcPr>
          <w:p>
            <w:pPr>
              <w:spacing w:line="360" w:lineRule="auto"/>
              <w:jc w:val="center"/>
              <w:rPr>
                <w:color w:val="auto"/>
                <w:sz w:val="21"/>
                <w:szCs w:val="21"/>
              </w:rPr>
            </w:pPr>
            <w:r>
              <w:rPr>
                <w:color w:val="auto"/>
                <w:sz w:val="21"/>
                <w:szCs w:val="21"/>
              </w:rPr>
              <w:t>70.3</w:t>
            </w:r>
          </w:p>
        </w:tc>
        <w:tc>
          <w:tcPr>
            <w:tcW w:w="1327" w:type="dxa"/>
            <w:vAlign w:val="center"/>
          </w:tcPr>
          <w:p>
            <w:pPr>
              <w:spacing w:line="360" w:lineRule="auto"/>
              <w:jc w:val="center"/>
              <w:rPr>
                <w:color w:val="auto"/>
                <w:sz w:val="21"/>
                <w:szCs w:val="21"/>
              </w:rPr>
            </w:pPr>
            <w:r>
              <w:rPr>
                <w:color w:val="auto"/>
                <w:sz w:val="21"/>
                <w:szCs w:val="21"/>
              </w:rPr>
              <w:t>1.135</w:t>
            </w:r>
          </w:p>
        </w:tc>
        <w:tc>
          <w:tcPr>
            <w:tcW w:w="1327" w:type="dxa"/>
            <w:vAlign w:val="center"/>
          </w:tcPr>
          <w:p>
            <w:pPr>
              <w:spacing w:line="360" w:lineRule="auto"/>
              <w:jc w:val="center"/>
              <w:rPr>
                <w:color w:val="auto"/>
                <w:sz w:val="21"/>
                <w:szCs w:val="21"/>
              </w:rPr>
            </w:pPr>
            <w:r>
              <w:rPr>
                <w:color w:val="auto"/>
                <w:sz w:val="21"/>
                <w:szCs w:val="21"/>
              </w:rPr>
              <w:t>0.224</w:t>
            </w:r>
          </w:p>
        </w:tc>
        <w:tc>
          <w:tcPr>
            <w:tcW w:w="1327" w:type="dxa"/>
            <w:vAlign w:val="center"/>
          </w:tcPr>
          <w:p>
            <w:pPr>
              <w:spacing w:line="360" w:lineRule="auto"/>
              <w:jc w:val="center"/>
              <w:rPr>
                <w:color w:val="auto"/>
                <w:sz w:val="21"/>
                <w:szCs w:val="21"/>
              </w:rPr>
            </w:pPr>
            <w:r>
              <w:rPr>
                <w:rFonts w:hint="eastAsia"/>
                <w:color w:val="auto"/>
                <w:sz w:val="21"/>
                <w:szCs w:val="21"/>
              </w:rPr>
              <w:t>80.3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326" w:type="dxa"/>
            <w:vAlign w:val="center"/>
          </w:tcPr>
          <w:p>
            <w:pPr>
              <w:spacing w:line="360" w:lineRule="auto"/>
              <w:jc w:val="center"/>
              <w:rPr>
                <w:color w:val="auto"/>
                <w:sz w:val="21"/>
                <w:szCs w:val="21"/>
              </w:rPr>
            </w:pPr>
            <w:r>
              <w:rPr>
                <w:rFonts w:hint="eastAsia"/>
                <w:color w:val="auto"/>
                <w:sz w:val="21"/>
                <w:szCs w:val="21"/>
              </w:rPr>
              <w:t>第五次</w:t>
            </w:r>
          </w:p>
        </w:tc>
        <w:tc>
          <w:tcPr>
            <w:tcW w:w="1326" w:type="dxa"/>
            <w:vAlign w:val="center"/>
          </w:tcPr>
          <w:p>
            <w:pPr>
              <w:spacing w:line="360" w:lineRule="auto"/>
              <w:jc w:val="center"/>
              <w:rPr>
                <w:color w:val="auto"/>
                <w:sz w:val="21"/>
                <w:szCs w:val="21"/>
              </w:rPr>
            </w:pPr>
            <w:r>
              <w:rPr>
                <w:color w:val="auto"/>
                <w:sz w:val="21"/>
                <w:szCs w:val="21"/>
              </w:rPr>
              <w:t>0.605</w:t>
            </w:r>
          </w:p>
        </w:tc>
        <w:tc>
          <w:tcPr>
            <w:tcW w:w="1326" w:type="dxa"/>
            <w:vAlign w:val="center"/>
          </w:tcPr>
          <w:p>
            <w:pPr>
              <w:spacing w:line="360" w:lineRule="auto"/>
              <w:jc w:val="center"/>
              <w:rPr>
                <w:color w:val="auto"/>
                <w:sz w:val="21"/>
                <w:szCs w:val="21"/>
              </w:rPr>
            </w:pPr>
            <w:r>
              <w:rPr>
                <w:color w:val="auto"/>
                <w:sz w:val="21"/>
                <w:szCs w:val="21"/>
              </w:rPr>
              <w:t>0.177</w:t>
            </w:r>
          </w:p>
        </w:tc>
        <w:tc>
          <w:tcPr>
            <w:tcW w:w="1327" w:type="dxa"/>
            <w:vAlign w:val="center"/>
          </w:tcPr>
          <w:p>
            <w:pPr>
              <w:spacing w:line="360" w:lineRule="auto"/>
              <w:jc w:val="center"/>
              <w:rPr>
                <w:color w:val="auto"/>
                <w:sz w:val="21"/>
                <w:szCs w:val="21"/>
              </w:rPr>
            </w:pPr>
            <w:r>
              <w:rPr>
                <w:color w:val="auto"/>
                <w:sz w:val="21"/>
                <w:szCs w:val="21"/>
              </w:rPr>
              <w:t>70.7</w:t>
            </w:r>
          </w:p>
        </w:tc>
        <w:tc>
          <w:tcPr>
            <w:tcW w:w="1327" w:type="dxa"/>
            <w:vAlign w:val="center"/>
          </w:tcPr>
          <w:p>
            <w:pPr>
              <w:spacing w:line="360" w:lineRule="auto"/>
              <w:jc w:val="center"/>
              <w:rPr>
                <w:color w:val="auto"/>
                <w:sz w:val="21"/>
                <w:szCs w:val="21"/>
              </w:rPr>
            </w:pPr>
            <w:r>
              <w:rPr>
                <w:color w:val="auto"/>
                <w:sz w:val="21"/>
                <w:szCs w:val="21"/>
              </w:rPr>
              <w:t>1.044</w:t>
            </w:r>
          </w:p>
        </w:tc>
        <w:tc>
          <w:tcPr>
            <w:tcW w:w="1327" w:type="dxa"/>
            <w:vAlign w:val="center"/>
          </w:tcPr>
          <w:p>
            <w:pPr>
              <w:spacing w:line="360" w:lineRule="auto"/>
              <w:jc w:val="center"/>
              <w:rPr>
                <w:color w:val="auto"/>
                <w:sz w:val="21"/>
                <w:szCs w:val="21"/>
              </w:rPr>
            </w:pPr>
            <w:r>
              <w:rPr>
                <w:color w:val="auto"/>
                <w:sz w:val="21"/>
                <w:szCs w:val="21"/>
              </w:rPr>
              <w:t>0.207</w:t>
            </w:r>
          </w:p>
        </w:tc>
        <w:tc>
          <w:tcPr>
            <w:tcW w:w="1327" w:type="dxa"/>
            <w:vAlign w:val="center"/>
          </w:tcPr>
          <w:p>
            <w:pPr>
              <w:spacing w:line="360" w:lineRule="auto"/>
              <w:jc w:val="center"/>
              <w:rPr>
                <w:color w:val="auto"/>
                <w:sz w:val="21"/>
                <w:szCs w:val="21"/>
              </w:rPr>
            </w:pPr>
            <w:r>
              <w:rPr>
                <w:rFonts w:hint="eastAsia"/>
                <w:color w:val="auto"/>
                <w:sz w:val="21"/>
                <w:szCs w:val="21"/>
              </w:rPr>
              <w:t>80.2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326" w:type="dxa"/>
            <w:vAlign w:val="center"/>
          </w:tcPr>
          <w:p>
            <w:pPr>
              <w:spacing w:line="360" w:lineRule="auto"/>
              <w:jc w:val="center"/>
              <w:rPr>
                <w:color w:val="auto"/>
                <w:sz w:val="21"/>
                <w:szCs w:val="21"/>
              </w:rPr>
            </w:pPr>
            <w:r>
              <w:rPr>
                <w:rFonts w:hint="eastAsia"/>
                <w:color w:val="auto"/>
                <w:sz w:val="21"/>
                <w:szCs w:val="21"/>
              </w:rPr>
              <w:t>第六次</w:t>
            </w:r>
          </w:p>
        </w:tc>
        <w:tc>
          <w:tcPr>
            <w:tcW w:w="1326" w:type="dxa"/>
            <w:vAlign w:val="center"/>
          </w:tcPr>
          <w:p>
            <w:pPr>
              <w:spacing w:line="360" w:lineRule="auto"/>
              <w:jc w:val="center"/>
              <w:rPr>
                <w:color w:val="auto"/>
                <w:sz w:val="21"/>
                <w:szCs w:val="21"/>
              </w:rPr>
            </w:pPr>
            <w:r>
              <w:rPr>
                <w:color w:val="auto"/>
                <w:sz w:val="21"/>
                <w:szCs w:val="21"/>
              </w:rPr>
              <w:t>0.411</w:t>
            </w:r>
          </w:p>
        </w:tc>
        <w:tc>
          <w:tcPr>
            <w:tcW w:w="1326" w:type="dxa"/>
            <w:vAlign w:val="center"/>
          </w:tcPr>
          <w:p>
            <w:pPr>
              <w:spacing w:line="360" w:lineRule="auto"/>
              <w:jc w:val="center"/>
              <w:rPr>
                <w:color w:val="auto"/>
                <w:sz w:val="21"/>
                <w:szCs w:val="21"/>
              </w:rPr>
            </w:pPr>
            <w:r>
              <w:rPr>
                <w:color w:val="auto"/>
                <w:sz w:val="21"/>
                <w:szCs w:val="21"/>
              </w:rPr>
              <w:t>0.123</w:t>
            </w:r>
          </w:p>
        </w:tc>
        <w:tc>
          <w:tcPr>
            <w:tcW w:w="1327" w:type="dxa"/>
            <w:vAlign w:val="center"/>
          </w:tcPr>
          <w:p>
            <w:pPr>
              <w:spacing w:line="360" w:lineRule="auto"/>
              <w:jc w:val="center"/>
              <w:rPr>
                <w:color w:val="auto"/>
                <w:sz w:val="21"/>
                <w:szCs w:val="21"/>
              </w:rPr>
            </w:pPr>
            <w:r>
              <w:rPr>
                <w:color w:val="auto"/>
                <w:sz w:val="21"/>
                <w:szCs w:val="21"/>
              </w:rPr>
              <w:t>70.1</w:t>
            </w:r>
          </w:p>
        </w:tc>
        <w:tc>
          <w:tcPr>
            <w:tcW w:w="1327" w:type="dxa"/>
            <w:vAlign w:val="center"/>
          </w:tcPr>
          <w:p>
            <w:pPr>
              <w:spacing w:line="360" w:lineRule="auto"/>
              <w:jc w:val="center"/>
              <w:rPr>
                <w:color w:val="auto"/>
                <w:sz w:val="21"/>
                <w:szCs w:val="21"/>
              </w:rPr>
            </w:pPr>
            <w:r>
              <w:rPr>
                <w:color w:val="auto"/>
                <w:sz w:val="21"/>
                <w:szCs w:val="21"/>
              </w:rPr>
              <w:t>1.253</w:t>
            </w:r>
          </w:p>
        </w:tc>
        <w:tc>
          <w:tcPr>
            <w:tcW w:w="1327" w:type="dxa"/>
            <w:vAlign w:val="center"/>
          </w:tcPr>
          <w:p>
            <w:pPr>
              <w:spacing w:line="360" w:lineRule="auto"/>
              <w:jc w:val="center"/>
              <w:rPr>
                <w:color w:val="auto"/>
                <w:sz w:val="21"/>
                <w:szCs w:val="21"/>
              </w:rPr>
            </w:pPr>
            <w:r>
              <w:rPr>
                <w:color w:val="auto"/>
                <w:sz w:val="21"/>
                <w:szCs w:val="21"/>
              </w:rPr>
              <w:t>0.244</w:t>
            </w:r>
          </w:p>
        </w:tc>
        <w:tc>
          <w:tcPr>
            <w:tcW w:w="1327" w:type="dxa"/>
            <w:vAlign w:val="center"/>
          </w:tcPr>
          <w:p>
            <w:pPr>
              <w:spacing w:line="360" w:lineRule="auto"/>
              <w:jc w:val="center"/>
              <w:rPr>
                <w:color w:val="auto"/>
                <w:sz w:val="21"/>
                <w:szCs w:val="21"/>
              </w:rPr>
            </w:pPr>
            <w:r>
              <w:rPr>
                <w:rFonts w:hint="eastAsia"/>
                <w:color w:val="auto"/>
                <w:sz w:val="21"/>
                <w:szCs w:val="21"/>
              </w:rPr>
              <w:t>80.5</w:t>
            </w:r>
          </w:p>
        </w:tc>
      </w:tr>
    </w:tbl>
    <w:p>
      <w:pPr>
        <w:spacing w:line="360" w:lineRule="auto"/>
        <w:ind w:firstLine="480" w:firstLineChars="200"/>
        <w:rPr>
          <w:color w:val="auto"/>
        </w:rPr>
      </w:pPr>
      <w:r>
        <w:rPr>
          <w:rFonts w:hint="eastAsia"/>
          <w:color w:val="auto"/>
        </w:rPr>
        <w:t>由上表可知，废气处理装置对硫化氢、氨的去除效果≥70%、80%，所以本项目废气处理工艺及去除效果可行。</w:t>
      </w:r>
    </w:p>
    <w:p>
      <w:pPr>
        <w:spacing w:line="360" w:lineRule="auto"/>
        <w:rPr>
          <w:b/>
          <w:color w:val="auto"/>
        </w:rPr>
      </w:pPr>
      <w:r>
        <w:rPr>
          <w:rFonts w:hint="eastAsia"/>
          <w:b/>
          <w:color w:val="auto"/>
        </w:rPr>
        <w:t>6.2.1.2无组织废气污染防治措施可行性分析</w:t>
      </w:r>
    </w:p>
    <w:p>
      <w:pPr>
        <w:spacing w:line="360" w:lineRule="auto"/>
        <w:ind w:firstLine="480" w:firstLineChars="200"/>
        <w:rPr>
          <w:color w:val="auto"/>
        </w:rPr>
      </w:pPr>
      <w:r>
        <w:rPr>
          <w:rFonts w:hint="eastAsia"/>
          <w:color w:val="auto"/>
        </w:rPr>
        <w:t>本项目由于收集效率、生产操作、设备密闭性等原因产生少量的以无组织形式排放的投料废气，其主要污染物为氨、硫化氢。针对本项目无组织排放的工艺废气的特点，拟采取以下防治措施：</w:t>
      </w:r>
    </w:p>
    <w:p>
      <w:pPr>
        <w:spacing w:line="360" w:lineRule="auto"/>
        <w:ind w:firstLine="480" w:firstLineChars="200"/>
        <w:rPr>
          <w:color w:val="auto"/>
        </w:rPr>
      </w:pPr>
      <w:r>
        <w:rPr>
          <w:rFonts w:hint="eastAsia"/>
          <w:color w:val="auto"/>
        </w:rPr>
        <w:t xml:space="preserve">（1）企业加强管理，在条件允许的情况下采取必要措施对无组织废气进行收集处理，加强生产管理和车间通风，加强车间外的绿化等措施减少无组织排放有机废气对周边环境的影响。 </w:t>
      </w:r>
    </w:p>
    <w:p>
      <w:pPr>
        <w:spacing w:line="360" w:lineRule="auto"/>
        <w:ind w:firstLine="480" w:firstLineChars="200"/>
        <w:rPr>
          <w:color w:val="auto"/>
        </w:rPr>
      </w:pPr>
      <w:r>
        <w:rPr>
          <w:rFonts w:hint="eastAsia"/>
          <w:color w:val="auto"/>
        </w:rPr>
        <w:t xml:space="preserve">（2）对生产设备、管道、阀门经常检查、检修，保持装置气密性良好。  </w:t>
      </w:r>
    </w:p>
    <w:p>
      <w:pPr>
        <w:spacing w:line="360" w:lineRule="auto"/>
        <w:ind w:firstLine="480" w:firstLineChars="200"/>
        <w:rPr>
          <w:color w:val="auto"/>
        </w:rPr>
      </w:pPr>
      <w:r>
        <w:rPr>
          <w:rFonts w:hint="eastAsia"/>
          <w:color w:val="auto"/>
        </w:rPr>
        <w:t>（3） 加强对工程技术人员及操作工的培训， 熟悉各类物品的物化性质，熟练掌握操作规程。</w:t>
      </w:r>
    </w:p>
    <w:p>
      <w:pPr>
        <w:spacing w:line="360" w:lineRule="auto"/>
        <w:ind w:firstLine="480" w:firstLineChars="200"/>
        <w:rPr>
          <w:color w:val="auto"/>
        </w:rPr>
      </w:pPr>
      <w:r>
        <w:rPr>
          <w:rFonts w:hint="eastAsia"/>
          <w:color w:val="auto"/>
        </w:rPr>
        <w:t>通过上述防治措施后，可有效减少车间内无组织废气的排放量。根据本项目无组织废气排放预测结果表明，本项目各工场以无组织形式排放的大气污染物排放浓度较小，且最大占标率均小于 10%，对周围环境空气质量影响较小。</w:t>
      </w:r>
    </w:p>
    <w:p>
      <w:pPr>
        <w:spacing w:line="360" w:lineRule="auto"/>
        <w:rPr>
          <w:b/>
          <w:color w:val="auto"/>
        </w:rPr>
      </w:pPr>
      <w:r>
        <w:rPr>
          <w:rFonts w:hint="eastAsia"/>
          <w:b/>
          <w:color w:val="auto"/>
        </w:rPr>
        <w:t>6.2.1.3非正常排放污染控制措施可行性分析</w:t>
      </w:r>
    </w:p>
    <w:p>
      <w:pPr>
        <w:pStyle w:val="99"/>
        <w:ind w:firstLine="480"/>
        <w:rPr>
          <w:color w:val="auto"/>
        </w:rPr>
      </w:pPr>
      <w:r>
        <w:rPr>
          <w:rFonts w:hint="eastAsia"/>
          <w:color w:val="auto"/>
        </w:rPr>
        <w:t xml:space="preserve">   本项目非正常排放情况主要是废气处理装置出现故障或处理效率降低时废气排放量突然增大的情况，本项目拟采取以下处理措施进行处理： </w:t>
      </w:r>
    </w:p>
    <w:p>
      <w:pPr>
        <w:pStyle w:val="99"/>
        <w:ind w:firstLine="480"/>
        <w:rPr>
          <w:color w:val="auto"/>
        </w:rPr>
      </w:pPr>
      <w:r>
        <w:rPr>
          <w:rFonts w:hint="eastAsia"/>
          <w:color w:val="auto"/>
        </w:rPr>
        <w:t xml:space="preserve">（1）提高设备自动控制水平，生产线上尽量采用自动监控、报警装置；并加强废气处理装置的管理，防止废气处理装置饱和而造成非正常排放的情况； </w:t>
      </w:r>
    </w:p>
    <w:p>
      <w:pPr>
        <w:pStyle w:val="99"/>
        <w:ind w:firstLine="480"/>
        <w:rPr>
          <w:color w:val="auto"/>
        </w:rPr>
      </w:pPr>
      <w:r>
        <w:rPr>
          <w:rFonts w:hint="eastAsia"/>
          <w:color w:val="auto"/>
        </w:rPr>
        <w:t xml:space="preserve">（2）加强生产的监督和管理，对可能出现的非正常排放情况制定预案或应急措施，出现非正常排放时及时妥善处理； </w:t>
      </w:r>
    </w:p>
    <w:p>
      <w:pPr>
        <w:pStyle w:val="99"/>
        <w:ind w:firstLine="480"/>
        <w:rPr>
          <w:color w:val="auto"/>
        </w:rPr>
      </w:pPr>
      <w:r>
        <w:rPr>
          <w:rFonts w:hint="eastAsia"/>
          <w:color w:val="auto"/>
        </w:rPr>
        <w:t xml:space="preserve">（3）开车过程中应先运行废气处理装置、后运行生产装置； </w:t>
      </w:r>
    </w:p>
    <w:p>
      <w:pPr>
        <w:pStyle w:val="99"/>
        <w:ind w:firstLine="480"/>
        <w:rPr>
          <w:color w:val="auto"/>
          <w:lang w:eastAsia="zh-CN"/>
        </w:rPr>
      </w:pPr>
      <w:r>
        <w:rPr>
          <w:rFonts w:hint="eastAsia"/>
          <w:color w:val="auto"/>
        </w:rPr>
        <w:t>（4）停车过程中应先停止生产装置、后停止废气处理装置，在确保废气有效处理后再停止废气处理装置；</w:t>
      </w:r>
    </w:p>
    <w:p>
      <w:pPr>
        <w:pStyle w:val="99"/>
        <w:ind w:firstLine="480"/>
        <w:rPr>
          <w:color w:val="auto"/>
          <w:lang w:eastAsia="zh-CN"/>
        </w:rPr>
      </w:pPr>
      <w:r>
        <w:rPr>
          <w:rFonts w:hint="eastAsia"/>
          <w:color w:val="auto"/>
          <w:lang w:eastAsia="zh-CN"/>
        </w:rPr>
        <w:t xml:space="preserve">（5）检修过程中应与停车的操作规程一致，先停止生产装置，后停止废气处理装置，确保废气通过送至废气处理装置处理后排放； </w:t>
      </w:r>
    </w:p>
    <w:p>
      <w:pPr>
        <w:pStyle w:val="99"/>
        <w:ind w:firstLine="480"/>
        <w:rPr>
          <w:color w:val="auto"/>
          <w:lang w:eastAsia="zh-CN"/>
        </w:rPr>
      </w:pPr>
      <w:r>
        <w:rPr>
          <w:rFonts w:hint="eastAsia"/>
          <w:color w:val="auto"/>
          <w:lang w:eastAsia="zh-CN"/>
        </w:rPr>
        <w:t xml:space="preserve">（6）停电过程中应立即手动关闭原料的进料阀，停止向反应釜中供应原料；立即启用备用电源，在备用电源启用后，应先将废气送至废气处理装置处理后排放，然后再运行反应装置； </w:t>
      </w:r>
    </w:p>
    <w:p>
      <w:pPr>
        <w:pStyle w:val="99"/>
        <w:ind w:firstLine="480"/>
        <w:rPr>
          <w:color w:val="auto"/>
          <w:lang w:eastAsia="zh-CN"/>
        </w:rPr>
      </w:pPr>
      <w:r>
        <w:rPr>
          <w:rFonts w:hint="eastAsia"/>
          <w:color w:val="auto"/>
          <w:lang w:eastAsia="zh-CN"/>
        </w:rPr>
        <w:t xml:space="preserve">（7）加强废气处理装置的管理和维修，确保废气处理装置的正常运行。 </w:t>
      </w:r>
    </w:p>
    <w:p>
      <w:pPr>
        <w:pStyle w:val="99"/>
        <w:ind w:firstLine="480"/>
        <w:rPr>
          <w:color w:val="auto"/>
          <w:lang w:eastAsia="zh-CN"/>
        </w:rPr>
      </w:pPr>
      <w:r>
        <w:rPr>
          <w:rFonts w:hint="eastAsia"/>
          <w:color w:val="auto"/>
          <w:lang w:eastAsia="zh-CN"/>
        </w:rPr>
        <w:t>通过以上处理措施处理后，本项目的非正常排放废气可得到有效的控制。</w:t>
      </w:r>
    </w:p>
    <w:p>
      <w:pPr>
        <w:spacing w:line="360" w:lineRule="auto"/>
        <w:rPr>
          <w:b/>
          <w:color w:val="auto"/>
        </w:rPr>
      </w:pPr>
      <w:bookmarkStart w:id="789" w:name="_Toc25509244"/>
      <w:bookmarkStart w:id="790" w:name="_Hlk25508456"/>
      <w:r>
        <w:rPr>
          <w:rFonts w:hint="eastAsia"/>
          <w:b/>
          <w:color w:val="auto"/>
        </w:rPr>
        <w:t>6.2.1.4</w:t>
      </w:r>
      <w:r>
        <w:rPr>
          <w:b/>
          <w:color w:val="auto"/>
        </w:rPr>
        <w:t>收运过程恶臭污染防治</w:t>
      </w:r>
      <w:bookmarkEnd w:id="789"/>
      <w:bookmarkEnd w:id="790"/>
    </w:p>
    <w:p>
      <w:pPr>
        <w:spacing w:line="360" w:lineRule="auto"/>
        <w:ind w:firstLine="480" w:firstLineChars="200"/>
        <w:rPr>
          <w:color w:val="auto"/>
          <w:kern w:val="18"/>
        </w:rPr>
      </w:pPr>
      <w:r>
        <w:rPr>
          <w:color w:val="auto"/>
          <w:kern w:val="18"/>
        </w:rPr>
        <w:t>（1）运输过程</w:t>
      </w:r>
    </w:p>
    <w:p>
      <w:pPr>
        <w:spacing w:line="360" w:lineRule="auto"/>
        <w:ind w:firstLine="480" w:firstLineChars="200"/>
        <w:rPr>
          <w:color w:val="auto"/>
          <w:kern w:val="18"/>
        </w:rPr>
      </w:pPr>
      <w:r>
        <w:rPr>
          <w:color w:val="auto"/>
          <w:kern w:val="18"/>
        </w:rPr>
        <w:t>项目运输过程中的防治恶臭污染的主要措施有：</w:t>
      </w:r>
    </w:p>
    <w:p>
      <w:pPr>
        <w:spacing w:line="360" w:lineRule="auto"/>
        <w:ind w:firstLine="480" w:firstLineChars="200"/>
        <w:rPr>
          <w:color w:val="auto"/>
          <w:kern w:val="18"/>
        </w:rPr>
      </w:pPr>
      <w:r>
        <w:rPr>
          <w:color w:val="auto"/>
          <w:kern w:val="18"/>
        </w:rPr>
        <w:fldChar w:fldCharType="begin"/>
      </w:r>
      <w:r>
        <w:rPr>
          <w:color w:val="auto"/>
          <w:kern w:val="18"/>
        </w:rPr>
        <w:instrText xml:space="preserve"> = 1 \* GB3 </w:instrText>
      </w:r>
      <w:r>
        <w:rPr>
          <w:color w:val="auto"/>
          <w:kern w:val="18"/>
        </w:rPr>
        <w:fldChar w:fldCharType="separate"/>
      </w:r>
      <w:r>
        <w:rPr>
          <w:rFonts w:hint="eastAsia" w:ascii="宋体" w:hAnsi="宋体" w:cs="宋体"/>
          <w:color w:val="auto"/>
          <w:kern w:val="18"/>
        </w:rPr>
        <w:t>①</w:t>
      </w:r>
      <w:r>
        <w:rPr>
          <w:color w:val="auto"/>
          <w:kern w:val="18"/>
        </w:rPr>
        <w:fldChar w:fldCharType="end"/>
      </w:r>
      <w:r>
        <w:rPr>
          <w:color w:val="auto"/>
          <w:kern w:val="18"/>
        </w:rPr>
        <w:t>合理规划运输路线，对项目收运区域内的餐厨垃圾产生源进行调查，摸清收运规律，合理设计收运车辆行驶路线，按照“从大到小，以点带面”的车辆行驶原则进行收运。</w:t>
      </w:r>
    </w:p>
    <w:p>
      <w:pPr>
        <w:spacing w:line="360" w:lineRule="auto"/>
        <w:ind w:firstLine="480" w:firstLineChars="200"/>
        <w:rPr>
          <w:color w:val="auto"/>
          <w:kern w:val="18"/>
        </w:rPr>
      </w:pPr>
      <w:r>
        <w:rPr>
          <w:color w:val="auto"/>
          <w:kern w:val="18"/>
        </w:rPr>
        <w:fldChar w:fldCharType="begin"/>
      </w:r>
      <w:r>
        <w:rPr>
          <w:color w:val="auto"/>
          <w:kern w:val="18"/>
        </w:rPr>
        <w:instrText xml:space="preserve"> = 2 \* GB3 </w:instrText>
      </w:r>
      <w:r>
        <w:rPr>
          <w:color w:val="auto"/>
          <w:kern w:val="18"/>
        </w:rPr>
        <w:fldChar w:fldCharType="separate"/>
      </w:r>
      <w:r>
        <w:rPr>
          <w:rFonts w:hint="eastAsia" w:ascii="宋体" w:hAnsi="宋体" w:cs="宋体"/>
          <w:color w:val="auto"/>
          <w:kern w:val="18"/>
        </w:rPr>
        <w:t>②</w:t>
      </w:r>
      <w:r>
        <w:rPr>
          <w:color w:val="auto"/>
          <w:kern w:val="18"/>
        </w:rPr>
        <w:fldChar w:fldCharType="end"/>
      </w:r>
      <w:r>
        <w:rPr>
          <w:color w:val="auto"/>
          <w:kern w:val="18"/>
        </w:rPr>
        <w:t>餐厨垃圾的收运工作应独立成立餐厨垃圾收运车队，车队统一涂刷企业标示，专门进行餐厨垃圾的收运工作，不得混装、代运其他类型垃圾。</w:t>
      </w:r>
    </w:p>
    <w:p>
      <w:pPr>
        <w:spacing w:line="360" w:lineRule="auto"/>
        <w:ind w:firstLine="480" w:firstLineChars="200"/>
        <w:rPr>
          <w:color w:val="auto"/>
          <w:kern w:val="18"/>
        </w:rPr>
      </w:pPr>
      <w:r>
        <w:rPr>
          <w:color w:val="auto"/>
          <w:kern w:val="18"/>
        </w:rPr>
        <w:fldChar w:fldCharType="begin"/>
      </w:r>
      <w:r>
        <w:rPr>
          <w:color w:val="auto"/>
          <w:kern w:val="18"/>
        </w:rPr>
        <w:instrText xml:space="preserve"> = 3 \* GB3 </w:instrText>
      </w:r>
      <w:r>
        <w:rPr>
          <w:color w:val="auto"/>
          <w:kern w:val="18"/>
        </w:rPr>
        <w:fldChar w:fldCharType="separate"/>
      </w:r>
      <w:r>
        <w:rPr>
          <w:rFonts w:hint="eastAsia" w:ascii="宋体" w:hAnsi="宋体" w:cs="宋体"/>
          <w:color w:val="auto"/>
          <w:kern w:val="18"/>
        </w:rPr>
        <w:t>③</w:t>
      </w:r>
      <w:r>
        <w:rPr>
          <w:color w:val="auto"/>
          <w:kern w:val="18"/>
        </w:rPr>
        <w:fldChar w:fldCharType="end"/>
      </w:r>
      <w:r>
        <w:rPr>
          <w:color w:val="auto"/>
          <w:kern w:val="18"/>
        </w:rPr>
        <w:t>所购置的收运车辆、设备等应符合国家有关法律、规范的规定和餐厨垃圾管理过程中的有关的要求，餐厨垃圾收集车需要如下专属配置。</w:t>
      </w:r>
    </w:p>
    <w:p>
      <w:pPr>
        <w:spacing w:line="360" w:lineRule="auto"/>
        <w:ind w:firstLine="480" w:firstLineChars="200"/>
        <w:rPr>
          <w:color w:val="auto"/>
          <w:kern w:val="18"/>
        </w:rPr>
      </w:pPr>
      <w:r>
        <w:rPr>
          <w:color w:val="auto"/>
          <w:kern w:val="18"/>
        </w:rPr>
        <w:t>a、密闭系统：车辆在装料口及罐体卸料口均需配置高品质密封装置，确保车辆在收集和运输过程中密闭，杜绝洒漏而造成对气体和路面的二次污染问题。</w:t>
      </w:r>
    </w:p>
    <w:p>
      <w:pPr>
        <w:spacing w:line="360" w:lineRule="auto"/>
        <w:ind w:firstLine="480" w:firstLineChars="200"/>
        <w:rPr>
          <w:color w:val="auto"/>
          <w:kern w:val="18"/>
        </w:rPr>
      </w:pPr>
      <w:r>
        <w:rPr>
          <w:color w:val="auto"/>
          <w:kern w:val="18"/>
        </w:rPr>
        <w:t>b、自动控制系统：物料提升、卸料均配置自动控制系统装置，减少设备故障率，提高效率。同时，设置物料满载报警及自动终止程序装置，避免人工操作易造成的物料过多外溢。</w:t>
      </w:r>
    </w:p>
    <w:p>
      <w:pPr>
        <w:spacing w:line="360" w:lineRule="auto"/>
        <w:ind w:firstLine="480" w:firstLineChars="200"/>
        <w:rPr>
          <w:color w:val="auto"/>
          <w:kern w:val="18"/>
        </w:rPr>
      </w:pPr>
      <w:r>
        <w:rPr>
          <w:color w:val="auto"/>
          <w:kern w:val="18"/>
        </w:rPr>
        <w:t>c、双卸料装置：包括车厢底部螺旋卸料机构及车体后端大开门推板卸料装置。卸料过程中分步卸料，其中，螺旋卸料机构主要卸载液体部分，推板卸料机构主要卸载固体部分，提高卸料效率，同时解决一次卸料中的液体飞溅问题。</w:t>
      </w:r>
    </w:p>
    <w:p>
      <w:pPr>
        <w:spacing w:line="360" w:lineRule="auto"/>
        <w:ind w:firstLine="480" w:firstLineChars="200"/>
        <w:rPr>
          <w:color w:val="auto"/>
          <w:kern w:val="18"/>
        </w:rPr>
      </w:pPr>
      <w:r>
        <w:rPr>
          <w:color w:val="auto"/>
          <w:kern w:val="18"/>
        </w:rPr>
        <w:t>d、计量与监控信息系统：车辆将统一加装该系统，对餐厨收集数据进行实时监督管控和调度指挥。</w:t>
      </w:r>
    </w:p>
    <w:p>
      <w:pPr>
        <w:spacing w:line="360" w:lineRule="auto"/>
        <w:ind w:firstLine="480" w:firstLineChars="200"/>
        <w:rPr>
          <w:color w:val="auto"/>
          <w:kern w:val="18"/>
        </w:rPr>
      </w:pPr>
      <w:r>
        <w:rPr>
          <w:color w:val="auto"/>
          <w:kern w:val="18"/>
        </w:rPr>
        <w:t>（2）收集过程</w:t>
      </w:r>
    </w:p>
    <w:p>
      <w:pPr>
        <w:spacing w:line="360" w:lineRule="auto"/>
        <w:ind w:firstLine="480" w:firstLineChars="200"/>
        <w:rPr>
          <w:color w:val="auto"/>
        </w:rPr>
      </w:pPr>
      <w:r>
        <w:rPr>
          <w:color w:val="auto"/>
          <w:kern w:val="18"/>
        </w:rPr>
        <w:t>a、</w:t>
      </w:r>
      <w:r>
        <w:rPr>
          <w:color w:val="auto"/>
        </w:rPr>
        <w:t>各餐厨废弃物产生源应将餐厨废弃物装入规定的容器按规定的时间和地点放置，将每天产生的餐厨废弃物分别倾倒在标准收集桶内。</w:t>
      </w:r>
    </w:p>
    <w:p>
      <w:pPr>
        <w:spacing w:line="360" w:lineRule="auto"/>
        <w:ind w:firstLine="480" w:firstLineChars="200"/>
        <w:rPr>
          <w:color w:val="auto"/>
        </w:rPr>
      </w:pPr>
      <w:r>
        <w:rPr>
          <w:color w:val="auto"/>
          <w:kern w:val="18"/>
        </w:rPr>
        <w:t>b、</w:t>
      </w:r>
      <w:r>
        <w:rPr>
          <w:color w:val="auto"/>
        </w:rPr>
        <w:t>每天按照规定的时间，项目建设单位的专用运输车及时将各餐饮单位所产生的餐厨废弃物及时清运回餐厨废弃物处理厂。</w:t>
      </w:r>
    </w:p>
    <w:p>
      <w:pPr>
        <w:spacing w:line="360" w:lineRule="auto"/>
        <w:ind w:firstLine="480" w:firstLineChars="200"/>
        <w:rPr>
          <w:color w:val="auto"/>
        </w:rPr>
      </w:pPr>
      <w:r>
        <w:rPr>
          <w:color w:val="auto"/>
          <w:kern w:val="18"/>
        </w:rPr>
        <w:t>c、每天收</w:t>
      </w:r>
      <w:r>
        <w:rPr>
          <w:color w:val="auto"/>
        </w:rPr>
        <w:t>集车沿途进行餐厨废弃物收集过程中需保持收集车清洁，尽可能缩短收集车在敏感点附件滞留的时间。</w:t>
      </w:r>
    </w:p>
    <w:p>
      <w:pPr>
        <w:spacing w:line="360" w:lineRule="auto"/>
        <w:ind w:firstLine="480" w:firstLineChars="200"/>
        <w:rPr>
          <w:color w:val="auto"/>
        </w:rPr>
      </w:pPr>
      <w:r>
        <w:rPr>
          <w:color w:val="auto"/>
        </w:rPr>
        <w:t>本项目餐厨废弃物收运处理工程是根据餐厨废弃物总体处置方案，</w:t>
      </w:r>
      <w:bookmarkStart w:id="791" w:name="_Hlk25508532"/>
      <w:r>
        <w:rPr>
          <w:color w:val="auto"/>
        </w:rPr>
        <w:t>配备足够数量的收运车辆，并对每辆收运车辆指定负责人，对餐厨废弃物进行集中收集、集中运输、集中处理。</w:t>
      </w:r>
    </w:p>
    <w:p>
      <w:pPr>
        <w:spacing w:line="360" w:lineRule="auto"/>
        <w:ind w:firstLine="480" w:firstLineChars="200"/>
        <w:rPr>
          <w:color w:val="auto"/>
        </w:rPr>
      </w:pPr>
      <w:r>
        <w:rPr>
          <w:color w:val="auto"/>
        </w:rPr>
        <w:t>项目采取以上措施后，可最大限度减少餐厨废弃物收运过程对环境产生的影响。</w:t>
      </w:r>
      <w:bookmarkEnd w:id="791"/>
    </w:p>
    <w:p>
      <w:pPr>
        <w:spacing w:line="360" w:lineRule="auto"/>
        <w:rPr>
          <w:b/>
          <w:color w:val="auto"/>
        </w:rPr>
      </w:pPr>
      <w:r>
        <w:rPr>
          <w:rFonts w:hint="eastAsia"/>
          <w:b/>
          <w:color w:val="auto"/>
        </w:rPr>
        <w:t>6.2.1.4</w:t>
      </w:r>
      <w:r>
        <w:rPr>
          <w:rFonts w:hint="eastAsia"/>
          <w:b/>
          <w:bCs/>
          <w:color w:val="auto"/>
          <w:kern w:val="0"/>
        </w:rPr>
        <w:t>消纳场扬尘</w:t>
      </w:r>
      <w:r>
        <w:rPr>
          <w:b/>
          <w:bCs/>
          <w:color w:val="auto"/>
          <w:kern w:val="0"/>
        </w:rPr>
        <w:t>污染防治措施</w:t>
      </w:r>
    </w:p>
    <w:p>
      <w:pPr>
        <w:pStyle w:val="97"/>
        <w:spacing w:line="360" w:lineRule="auto"/>
        <w:ind w:firstLine="480" w:firstLineChars="200"/>
        <w:rPr>
          <w:rFonts w:ascii="Times New Roman"/>
          <w:color w:val="auto"/>
        </w:rPr>
      </w:pPr>
      <w:r>
        <w:rPr>
          <w:rFonts w:ascii="Times New Roman"/>
          <w:color w:val="auto"/>
        </w:rPr>
        <w:t>1、</w:t>
      </w:r>
      <w:r>
        <w:rPr>
          <w:rFonts w:hint="eastAsia" w:ascii="Times New Roman"/>
          <w:color w:val="auto"/>
        </w:rPr>
        <w:t>消纳</w:t>
      </w:r>
      <w:r>
        <w:rPr>
          <w:rFonts w:ascii="Times New Roman"/>
          <w:color w:val="auto"/>
        </w:rPr>
        <w:t>场区风力扬尘</w:t>
      </w:r>
    </w:p>
    <w:p>
      <w:pPr>
        <w:pStyle w:val="97"/>
        <w:spacing w:line="360" w:lineRule="auto"/>
        <w:ind w:firstLine="480"/>
        <w:rPr>
          <w:rFonts w:ascii="Times New Roman"/>
          <w:color w:val="auto"/>
        </w:rPr>
      </w:pPr>
      <w:r>
        <w:rPr>
          <w:rFonts w:ascii="Times New Roman"/>
          <w:color w:val="auto"/>
        </w:rPr>
        <w:t>本项目针对</w:t>
      </w:r>
      <w:r>
        <w:rPr>
          <w:rFonts w:hint="eastAsia" w:ascii="Times New Roman"/>
          <w:color w:val="auto"/>
        </w:rPr>
        <w:t>消纳</w:t>
      </w:r>
      <w:r>
        <w:rPr>
          <w:rFonts w:ascii="Times New Roman"/>
          <w:color w:val="auto"/>
        </w:rPr>
        <w:t>场区风力扬尘采取以下措施：</w:t>
      </w:r>
    </w:p>
    <w:p>
      <w:pPr>
        <w:pStyle w:val="97"/>
        <w:spacing w:line="360" w:lineRule="auto"/>
        <w:ind w:firstLine="480" w:firstLineChars="200"/>
        <w:rPr>
          <w:rFonts w:ascii="Times New Roman"/>
          <w:color w:val="auto"/>
        </w:rPr>
      </w:pPr>
      <w:r>
        <w:rPr>
          <w:rFonts w:hint="eastAsia" w:ascii="Times New Roman"/>
          <w:color w:val="auto"/>
        </w:rPr>
        <w:t>（1）消纳</w:t>
      </w:r>
      <w:r>
        <w:rPr>
          <w:rFonts w:ascii="Times New Roman"/>
          <w:color w:val="auto"/>
        </w:rPr>
        <w:t>场碾压运行阶段，严格执行</w:t>
      </w:r>
      <w:r>
        <w:rPr>
          <w:rFonts w:hint="eastAsia" w:ascii="Times New Roman"/>
          <w:color w:val="auto"/>
        </w:rPr>
        <w:t>消纳</w:t>
      </w:r>
      <w:r>
        <w:rPr>
          <w:rFonts w:ascii="Times New Roman"/>
          <w:color w:val="auto"/>
        </w:rPr>
        <w:t>场管理制度，进入</w:t>
      </w:r>
      <w:r>
        <w:rPr>
          <w:rFonts w:hint="eastAsia" w:ascii="Times New Roman"/>
          <w:color w:val="auto"/>
        </w:rPr>
        <w:t>消纳</w:t>
      </w:r>
      <w:r>
        <w:rPr>
          <w:rFonts w:ascii="Times New Roman"/>
          <w:color w:val="auto"/>
        </w:rPr>
        <w:t>场的砖瓦、石块、混凝土等及时碾碎、摊铺，分层压实平整，并对表面进行喷洒，使堆面保持适当的含水量。填埋场周围设置2m高的防护铁丝网，网眼为30</w:t>
      </w:r>
      <w:r>
        <w:rPr>
          <w:rFonts w:ascii="Times New Roman"/>
          <w:color w:val="auto"/>
          <w:shd w:val="clear" w:color="auto" w:fill="FFFFFF"/>
        </w:rPr>
        <w:t>×30mm，可起到防风抑尘的作</w:t>
      </w:r>
      <w:r>
        <w:rPr>
          <w:rFonts w:ascii="Times New Roman"/>
          <w:color w:val="auto"/>
        </w:rPr>
        <w:t>用。同时使用喷水雾炮对平台垃圾及时洒水并尽快碾压，减少粉尘的排放。</w:t>
      </w:r>
      <w:r>
        <w:rPr>
          <w:rFonts w:hint="eastAsia" w:ascii="Times New Roman"/>
          <w:color w:val="auto"/>
        </w:rPr>
        <w:t>其中</w:t>
      </w:r>
      <w:r>
        <w:rPr>
          <w:rFonts w:ascii="Times New Roman"/>
          <w:color w:val="auto"/>
        </w:rPr>
        <w:t>喷水雾炮</w:t>
      </w:r>
      <w:r>
        <w:rPr>
          <w:rFonts w:hint="eastAsia" w:ascii="Times New Roman"/>
          <w:color w:val="auto"/>
        </w:rPr>
        <w:t>的工作原理是采用国际先进的喷雾重力降尘技术，通过高压将水雾化成与粉尘大小相当的颗粒，在风机作用下，将水雾抛射到远方，在尘源处的上方或周边进行喷雾覆盖。尘埃颗粒与水珠颗粒产生接触而变得湿润，被湿润的粉尘颗粒继续吸附其它粉尘颗粒，逐渐凝结成颗粒团，并在自身的重力作用下而沉降，双而达到快速将粉尘抑制降沉的目的。</w:t>
      </w:r>
    </w:p>
    <w:p>
      <w:pPr>
        <w:pStyle w:val="97"/>
        <w:spacing w:line="360" w:lineRule="auto"/>
        <w:ind w:firstLine="480"/>
        <w:rPr>
          <w:rFonts w:ascii="Times New Roman"/>
          <w:color w:val="auto"/>
        </w:rPr>
      </w:pPr>
      <w:r>
        <w:rPr>
          <w:rFonts w:ascii="Times New Roman"/>
          <w:color w:val="auto"/>
        </w:rPr>
        <w:t>（2）建筑垃圾在运输时保持一定的湿度，采用密闭式专用车辆运输至</w:t>
      </w:r>
      <w:r>
        <w:rPr>
          <w:rFonts w:hint="eastAsia" w:ascii="Times New Roman"/>
          <w:color w:val="auto"/>
        </w:rPr>
        <w:t>消纳场</w:t>
      </w:r>
      <w:r>
        <w:rPr>
          <w:rFonts w:ascii="Times New Roman"/>
          <w:color w:val="auto"/>
        </w:rPr>
        <w:t>，途中确保无撒漏现象。</w:t>
      </w:r>
    </w:p>
    <w:p>
      <w:pPr>
        <w:pStyle w:val="97"/>
        <w:spacing w:line="360" w:lineRule="auto"/>
        <w:ind w:firstLine="480"/>
        <w:rPr>
          <w:rFonts w:ascii="Times New Roman"/>
          <w:color w:val="auto"/>
        </w:rPr>
      </w:pPr>
      <w:r>
        <w:rPr>
          <w:rFonts w:ascii="Times New Roman"/>
          <w:color w:val="auto"/>
        </w:rPr>
        <w:t>（3）</w:t>
      </w:r>
      <w:r>
        <w:rPr>
          <w:rFonts w:hint="eastAsia" w:ascii="Times New Roman"/>
          <w:color w:val="auto"/>
        </w:rPr>
        <w:t>消纳场</w:t>
      </w:r>
      <w:r>
        <w:rPr>
          <w:rFonts w:ascii="Times New Roman"/>
          <w:color w:val="auto"/>
        </w:rPr>
        <w:t>运行过程中，当达到设计堆高时，要及时对最终堆场表面进行覆土，堆体表面覆盖压实粘土作为阻隔层，在压实粘土上方铺设表土做覆盖层，并及时种植适合当地气候条件的草种。</w:t>
      </w:r>
    </w:p>
    <w:p>
      <w:pPr>
        <w:pStyle w:val="97"/>
        <w:spacing w:line="360" w:lineRule="auto"/>
        <w:ind w:firstLine="480"/>
        <w:rPr>
          <w:rFonts w:ascii="Times New Roman"/>
          <w:color w:val="auto"/>
        </w:rPr>
      </w:pPr>
      <w:r>
        <w:rPr>
          <w:rFonts w:ascii="Times New Roman"/>
          <w:color w:val="auto"/>
        </w:rPr>
        <w:t>（4）</w:t>
      </w:r>
      <w:r>
        <w:rPr>
          <w:rFonts w:hint="eastAsia" w:ascii="Times New Roman"/>
          <w:color w:val="auto"/>
        </w:rPr>
        <w:t>消纳场</w:t>
      </w:r>
      <w:r>
        <w:rPr>
          <w:rFonts w:ascii="Times New Roman"/>
          <w:color w:val="auto"/>
        </w:rPr>
        <w:t>运行完毕，应严格按照《一般工业固体废物贮存、处置场污染控制标准》（GB18599-2001）的要求进行封场。</w:t>
      </w:r>
    </w:p>
    <w:p>
      <w:pPr>
        <w:pStyle w:val="97"/>
        <w:spacing w:line="360" w:lineRule="auto"/>
        <w:ind w:firstLine="480" w:firstLineChars="200"/>
        <w:rPr>
          <w:rFonts w:ascii="Times New Roman"/>
          <w:color w:val="auto"/>
        </w:rPr>
      </w:pPr>
      <w:r>
        <w:rPr>
          <w:rFonts w:ascii="Times New Roman"/>
          <w:color w:val="auto"/>
        </w:rPr>
        <w:t>2、运输车辆倾倒垃圾粉尘</w:t>
      </w:r>
    </w:p>
    <w:p>
      <w:pPr>
        <w:pStyle w:val="97"/>
        <w:spacing w:line="360" w:lineRule="auto"/>
        <w:ind w:firstLine="480" w:firstLineChars="200"/>
        <w:rPr>
          <w:rFonts w:ascii="Times New Roman"/>
          <w:color w:val="auto"/>
        </w:rPr>
      </w:pPr>
      <w:r>
        <w:rPr>
          <w:rFonts w:ascii="Times New Roman"/>
          <w:color w:val="auto"/>
        </w:rPr>
        <w:t>针对运输车辆倾倒垃圾时产生的扬尘采取以下措施：</w:t>
      </w:r>
    </w:p>
    <w:p>
      <w:pPr>
        <w:pStyle w:val="97"/>
        <w:spacing w:line="360" w:lineRule="auto"/>
        <w:ind w:firstLine="480" w:firstLineChars="200"/>
        <w:rPr>
          <w:rFonts w:ascii="Times New Roman"/>
          <w:color w:val="auto"/>
        </w:rPr>
      </w:pPr>
      <w:r>
        <w:rPr>
          <w:rFonts w:ascii="Times New Roman"/>
          <w:color w:val="auto"/>
        </w:rPr>
        <w:t>（1）降低倾倒时的高度；</w:t>
      </w:r>
    </w:p>
    <w:p>
      <w:pPr>
        <w:pStyle w:val="97"/>
        <w:spacing w:line="360" w:lineRule="auto"/>
        <w:ind w:firstLine="480" w:firstLineChars="200"/>
        <w:rPr>
          <w:rFonts w:ascii="Times New Roman"/>
          <w:color w:val="auto"/>
        </w:rPr>
      </w:pPr>
      <w:r>
        <w:rPr>
          <w:rFonts w:ascii="Times New Roman"/>
          <w:color w:val="auto"/>
        </w:rPr>
        <w:t>（2）倾倒时进行洒水抑尘。</w:t>
      </w:r>
    </w:p>
    <w:p>
      <w:pPr>
        <w:pStyle w:val="97"/>
        <w:spacing w:line="360" w:lineRule="auto"/>
        <w:ind w:firstLine="480" w:firstLineChars="200"/>
        <w:rPr>
          <w:rFonts w:ascii="Times New Roman"/>
          <w:color w:val="auto"/>
        </w:rPr>
      </w:pPr>
      <w:r>
        <w:rPr>
          <w:rFonts w:ascii="Times New Roman"/>
          <w:color w:val="auto"/>
        </w:rPr>
        <w:t>3、车辆运输扬尘</w:t>
      </w:r>
    </w:p>
    <w:p>
      <w:pPr>
        <w:pStyle w:val="97"/>
        <w:spacing w:line="360" w:lineRule="auto"/>
        <w:ind w:firstLine="480" w:firstLineChars="200"/>
        <w:rPr>
          <w:rFonts w:ascii="Times New Roman"/>
          <w:color w:val="auto"/>
        </w:rPr>
      </w:pPr>
      <w:r>
        <w:rPr>
          <w:rFonts w:ascii="Times New Roman"/>
          <w:color w:val="auto"/>
        </w:rPr>
        <w:t>本项目针对车辆运输扬尘产生的扬尘采取以下措施：</w:t>
      </w:r>
    </w:p>
    <w:p>
      <w:pPr>
        <w:pStyle w:val="97"/>
        <w:spacing w:line="360" w:lineRule="auto"/>
        <w:ind w:firstLine="480" w:firstLineChars="200"/>
        <w:rPr>
          <w:rFonts w:ascii="Times New Roman"/>
          <w:color w:val="auto"/>
        </w:rPr>
      </w:pPr>
      <w:r>
        <w:rPr>
          <w:rFonts w:ascii="Times New Roman"/>
          <w:color w:val="auto"/>
        </w:rPr>
        <w:t>（1）在厂区出入口设置车辆清洗水池，对进出车辆清洗，不带尘出厂；</w:t>
      </w:r>
    </w:p>
    <w:p>
      <w:pPr>
        <w:pStyle w:val="97"/>
        <w:spacing w:line="360" w:lineRule="auto"/>
        <w:ind w:firstLine="480" w:firstLineChars="200"/>
        <w:rPr>
          <w:rFonts w:ascii="Times New Roman"/>
          <w:color w:val="auto"/>
        </w:rPr>
      </w:pPr>
      <w:r>
        <w:rPr>
          <w:rFonts w:ascii="Times New Roman"/>
          <w:color w:val="auto"/>
        </w:rPr>
        <w:t>（2）场区道路进行硬化；</w:t>
      </w:r>
    </w:p>
    <w:p>
      <w:pPr>
        <w:pStyle w:val="97"/>
        <w:spacing w:line="360" w:lineRule="auto"/>
        <w:ind w:firstLine="480" w:firstLineChars="200"/>
        <w:rPr>
          <w:rFonts w:ascii="Times New Roman"/>
          <w:color w:val="auto"/>
        </w:rPr>
      </w:pPr>
      <w:r>
        <w:rPr>
          <w:rFonts w:ascii="Times New Roman"/>
          <w:color w:val="auto"/>
        </w:rPr>
        <w:t>（3）保持厂区道路清洁和洒水抑尘；</w:t>
      </w:r>
    </w:p>
    <w:p>
      <w:pPr>
        <w:pStyle w:val="97"/>
        <w:spacing w:line="360" w:lineRule="auto"/>
        <w:ind w:firstLine="480" w:firstLineChars="200"/>
        <w:rPr>
          <w:rFonts w:ascii="Times New Roman"/>
          <w:color w:val="auto"/>
        </w:rPr>
      </w:pPr>
      <w:r>
        <w:rPr>
          <w:rFonts w:ascii="Times New Roman"/>
          <w:color w:val="auto"/>
        </w:rPr>
        <w:t>（4）对进出车辆进行限速。</w:t>
      </w:r>
    </w:p>
    <w:p>
      <w:pPr>
        <w:autoSpaceDE w:val="0"/>
        <w:autoSpaceDN w:val="0"/>
        <w:adjustRightInd w:val="0"/>
        <w:spacing w:line="360" w:lineRule="auto"/>
        <w:ind w:firstLine="480" w:firstLineChars="200"/>
        <w:jc w:val="both"/>
        <w:rPr>
          <w:bCs/>
          <w:color w:val="auto"/>
          <w:kern w:val="0"/>
        </w:rPr>
      </w:pPr>
      <w:r>
        <w:rPr>
          <w:rFonts w:hAnsi="宋体"/>
          <w:color w:val="auto"/>
          <w:kern w:val="0"/>
        </w:rPr>
        <w:t>本项目粉尘经采取述措施后营运期</w:t>
      </w:r>
      <w:r>
        <w:rPr>
          <w:rFonts w:hint="eastAsia"/>
          <w:color w:val="auto"/>
        </w:rPr>
        <w:t>消纳场</w:t>
      </w:r>
      <w:r>
        <w:rPr>
          <w:rFonts w:hAnsi="宋体"/>
          <w:color w:val="auto"/>
          <w:kern w:val="0"/>
        </w:rPr>
        <w:t>无组织颗粒物至厂界处均可以满足</w:t>
      </w:r>
      <w:r>
        <w:rPr>
          <w:color w:val="auto"/>
        </w:rPr>
        <w:t>广东省《大气污染物排放限值》（DB44/T27-2001）第二时段</w:t>
      </w:r>
      <w:r>
        <w:rPr>
          <w:rFonts w:hint="eastAsia"/>
          <w:color w:val="auto"/>
        </w:rPr>
        <w:t>无组织排放监控浓度限值</w:t>
      </w:r>
      <w:r>
        <w:rPr>
          <w:rFonts w:hAnsi="宋体"/>
          <w:color w:val="auto"/>
          <w:kern w:val="0"/>
        </w:rPr>
        <w:t>，对周围环境影响较小</w:t>
      </w:r>
      <w:r>
        <w:rPr>
          <w:rFonts w:hint="eastAsia" w:hAnsi="宋体"/>
          <w:color w:val="auto"/>
          <w:kern w:val="0"/>
        </w:rPr>
        <w:t>。</w:t>
      </w:r>
    </w:p>
    <w:p>
      <w:pPr>
        <w:autoSpaceDE w:val="0"/>
        <w:autoSpaceDN w:val="0"/>
        <w:adjustRightInd w:val="0"/>
        <w:spacing w:line="360" w:lineRule="auto"/>
        <w:rPr>
          <w:bCs/>
          <w:color w:val="auto"/>
          <w:kern w:val="0"/>
        </w:rPr>
      </w:pPr>
      <w:r>
        <w:rPr>
          <w:rFonts w:hint="eastAsia"/>
          <w:b/>
          <w:color w:val="auto"/>
        </w:rPr>
        <w:t>6.2.1.5</w:t>
      </w:r>
      <w:r>
        <w:rPr>
          <w:b/>
          <w:bCs/>
          <w:color w:val="auto"/>
          <w:kern w:val="0"/>
        </w:rPr>
        <w:t>小结</w:t>
      </w:r>
    </w:p>
    <w:p>
      <w:pPr>
        <w:autoSpaceDE w:val="0"/>
        <w:autoSpaceDN w:val="0"/>
        <w:adjustRightInd w:val="0"/>
        <w:spacing w:line="360" w:lineRule="auto"/>
        <w:ind w:firstLine="480" w:firstLineChars="200"/>
        <w:jc w:val="both"/>
        <w:rPr>
          <w:color w:val="auto"/>
          <w:kern w:val="0"/>
        </w:rPr>
      </w:pPr>
      <w:r>
        <w:rPr>
          <w:color w:val="auto"/>
          <w:kern w:val="0"/>
        </w:rPr>
        <w:t>本项目建成运行后，针对各类工艺废气均采取了有效的废气污染治理措施，排气筒高度设置合理；通过恶臭控制措施可以减轻恶臭对周围环境的影响；同时项目设置了</w:t>
      </w:r>
      <w:r>
        <w:rPr>
          <w:rFonts w:hint="eastAsia"/>
          <w:color w:val="auto"/>
          <w:kern w:val="0"/>
        </w:rPr>
        <w:t>餐厨</w:t>
      </w:r>
      <w:r>
        <w:rPr>
          <w:color w:val="auto"/>
          <w:kern w:val="0"/>
        </w:rPr>
        <w:t>项目厂界外</w:t>
      </w:r>
      <w:r>
        <w:rPr>
          <w:rFonts w:hint="eastAsia"/>
          <w:color w:val="auto"/>
          <w:kern w:val="0"/>
        </w:rPr>
        <w:t>1</w:t>
      </w:r>
      <w:r>
        <w:rPr>
          <w:color w:val="auto"/>
          <w:kern w:val="0"/>
        </w:rPr>
        <w:t>00m</w:t>
      </w:r>
      <w:r>
        <w:rPr>
          <w:rFonts w:hint="eastAsia"/>
          <w:color w:val="auto"/>
          <w:kern w:val="0"/>
        </w:rPr>
        <w:t>、建筑垃圾填埋场外5</w:t>
      </w:r>
      <w:r>
        <w:rPr>
          <w:color w:val="auto"/>
          <w:kern w:val="0"/>
        </w:rPr>
        <w:t>0m的环境防护距离，对卫生防护距离内的规划建设提出了具体要求。</w:t>
      </w:r>
      <w:r>
        <w:rPr>
          <w:rFonts w:hint="eastAsia"/>
          <w:color w:val="auto"/>
          <w:kern w:val="0"/>
        </w:rPr>
        <w:t>因此</w:t>
      </w:r>
      <w:r>
        <w:rPr>
          <w:color w:val="auto"/>
          <w:kern w:val="0"/>
        </w:rPr>
        <w:t>，拟建项目采取的废气污染防治措施是可行的。</w:t>
      </w:r>
    </w:p>
    <w:p>
      <w:pPr>
        <w:pStyle w:val="4"/>
        <w:rPr>
          <w:b/>
          <w:color w:val="auto"/>
        </w:rPr>
      </w:pPr>
      <w:bookmarkStart w:id="792" w:name="_Toc6556"/>
      <w:bookmarkStart w:id="793" w:name="_Toc14946927"/>
      <w:bookmarkStart w:id="794" w:name="_Toc24136838"/>
      <w:bookmarkStart w:id="795" w:name="_Toc34234756"/>
      <w:bookmarkStart w:id="796" w:name="_Toc15912219"/>
      <w:r>
        <w:rPr>
          <w:b/>
          <w:color w:val="auto"/>
        </w:rPr>
        <w:t>废水治理措施</w:t>
      </w:r>
      <w:bookmarkEnd w:id="792"/>
      <w:bookmarkEnd w:id="793"/>
      <w:bookmarkEnd w:id="794"/>
      <w:bookmarkEnd w:id="795"/>
      <w:bookmarkEnd w:id="796"/>
    </w:p>
    <w:p>
      <w:pPr>
        <w:spacing w:line="360" w:lineRule="auto"/>
        <w:rPr>
          <w:b/>
          <w:color w:val="auto"/>
        </w:rPr>
      </w:pPr>
      <w:r>
        <w:rPr>
          <w:b/>
          <w:color w:val="auto"/>
        </w:rPr>
        <w:t xml:space="preserve">6.2.2.1 </w:t>
      </w:r>
      <w:r>
        <w:rPr>
          <w:rFonts w:hint="eastAsia"/>
          <w:b/>
          <w:color w:val="auto"/>
        </w:rPr>
        <w:t>餐厨垃圾废水</w:t>
      </w:r>
      <w:r>
        <w:rPr>
          <w:b/>
          <w:color w:val="auto"/>
        </w:rPr>
        <w:t>处理措施概述</w:t>
      </w:r>
    </w:p>
    <w:p>
      <w:pPr>
        <w:pStyle w:val="79"/>
        <w:ind w:firstLine="480"/>
        <w:jc w:val="both"/>
        <w:rPr>
          <w:bCs/>
          <w:color w:val="auto"/>
          <w:kern w:val="0"/>
        </w:rPr>
      </w:pPr>
      <w:r>
        <w:rPr>
          <w:rFonts w:hint="eastAsia"/>
          <w:bCs/>
          <w:color w:val="auto"/>
          <w:kern w:val="0"/>
        </w:rPr>
        <w:t>（一）餐厨项目生产废水处理措施</w:t>
      </w:r>
    </w:p>
    <w:p>
      <w:pPr>
        <w:pStyle w:val="79"/>
        <w:ind w:firstLine="480"/>
        <w:jc w:val="both"/>
        <w:rPr>
          <w:color w:val="auto"/>
        </w:rPr>
      </w:pPr>
      <w:r>
        <w:rPr>
          <w:rFonts w:hint="eastAsia"/>
          <w:color w:val="auto"/>
        </w:rPr>
        <w:t>本项目餐厨垃圾处理过程中产生的生产废水（</w:t>
      </w:r>
      <w:r>
        <w:rPr>
          <w:rFonts w:hint="eastAsia"/>
          <w:color w:val="auto"/>
          <w:kern w:val="0"/>
        </w:rPr>
        <w:t>餐厨废水</w:t>
      </w:r>
      <w:r>
        <w:rPr>
          <w:color w:val="auto"/>
          <w:spacing w:val="2"/>
          <w:kern w:val="0"/>
        </w:rPr>
        <w:t>、</w:t>
      </w:r>
      <w:r>
        <w:rPr>
          <w:rFonts w:hint="eastAsia"/>
          <w:color w:val="auto"/>
          <w:spacing w:val="2"/>
          <w:kern w:val="0"/>
        </w:rPr>
        <w:t>除臭系统废水、车间车辆和地面冲洗废水</w:t>
      </w:r>
      <w:r>
        <w:rPr>
          <w:rFonts w:hint="eastAsia"/>
          <w:color w:val="auto"/>
          <w:spacing w:val="2"/>
          <w:kern w:val="0"/>
          <w:lang w:eastAsia="zh-CN"/>
        </w:rPr>
        <w:t>、初期雨水</w:t>
      </w:r>
      <w:r>
        <w:rPr>
          <w:rFonts w:hint="eastAsia"/>
          <w:color w:val="auto"/>
        </w:rPr>
        <w:t>）为</w:t>
      </w:r>
      <w:r>
        <w:rPr>
          <w:rFonts w:hint="eastAsia"/>
          <w:color w:val="auto"/>
          <w:lang w:val="en-US" w:eastAsia="zh-CN"/>
        </w:rPr>
        <w:t>18.84</w:t>
      </w:r>
      <w:r>
        <w:rPr>
          <w:rFonts w:hint="eastAsia"/>
          <w:color w:val="auto"/>
        </w:rPr>
        <w:t>t/d（</w:t>
      </w:r>
      <w:r>
        <w:rPr>
          <w:rFonts w:hint="eastAsia"/>
          <w:color w:val="auto"/>
          <w:lang w:val="en-US" w:eastAsia="zh-CN"/>
        </w:rPr>
        <w:t>6217.2</w:t>
      </w:r>
      <w:r>
        <w:rPr>
          <w:rFonts w:hint="eastAsia"/>
          <w:color w:val="auto"/>
        </w:rPr>
        <w:t>t/a），依托园区内在建的渗滤液处理系统处理达到</w:t>
      </w:r>
      <w:r>
        <w:rPr>
          <w:color w:val="auto"/>
        </w:rPr>
        <w:t>《城市污水再生利用-工业用水水质》</w:t>
      </w:r>
      <w:r>
        <w:rPr>
          <w:rFonts w:hint="eastAsia"/>
          <w:color w:val="auto"/>
        </w:rPr>
        <w:t>（</w:t>
      </w:r>
      <w:r>
        <w:rPr>
          <w:color w:val="auto"/>
        </w:rPr>
        <w:t>GB19923-2005</w:t>
      </w:r>
      <w:r>
        <w:rPr>
          <w:rFonts w:hint="eastAsia"/>
          <w:color w:val="auto"/>
        </w:rPr>
        <w:t>）中敞开式循环冷却水标准</w:t>
      </w:r>
      <w:r>
        <w:rPr>
          <w:color w:val="auto"/>
        </w:rPr>
        <w:t>后</w:t>
      </w:r>
      <w:r>
        <w:rPr>
          <w:rFonts w:hint="eastAsia"/>
          <w:color w:val="auto"/>
        </w:rPr>
        <w:t>，</w:t>
      </w:r>
      <w:r>
        <w:rPr>
          <w:color w:val="auto"/>
        </w:rPr>
        <w:t>回用作为</w:t>
      </w:r>
      <w:r>
        <w:rPr>
          <w:rFonts w:hint="eastAsia"/>
          <w:color w:val="auto"/>
        </w:rPr>
        <w:t>园区内在建的垃圾焚烧发电厂的汽轮</w:t>
      </w:r>
      <w:r>
        <w:rPr>
          <w:color w:val="auto"/>
        </w:rPr>
        <w:t>机循环冷却水补充水及绿化用水、道路洒水</w:t>
      </w:r>
      <w:r>
        <w:rPr>
          <w:rFonts w:hint="eastAsia"/>
          <w:color w:val="auto"/>
        </w:rPr>
        <w:t>。根据</w:t>
      </w:r>
      <w:r>
        <w:rPr>
          <w:color w:val="auto"/>
        </w:rPr>
        <w:t>《</w:t>
      </w:r>
      <w:r>
        <w:rPr>
          <w:rFonts w:hint="eastAsia"/>
          <w:color w:val="auto"/>
        </w:rPr>
        <w:t>兴宁市静脉产业园</w:t>
      </w:r>
      <w:r>
        <w:rPr>
          <w:color w:val="auto"/>
        </w:rPr>
        <w:t>PPP项目环境影响报告书》</w:t>
      </w:r>
      <w:r>
        <w:rPr>
          <w:rFonts w:hint="eastAsia"/>
          <w:color w:val="auto"/>
        </w:rPr>
        <w:t>的内容，渗滤液处理系统主要</w:t>
      </w:r>
      <w:r>
        <w:rPr>
          <w:color w:val="auto"/>
        </w:rPr>
        <w:t>采用</w:t>
      </w:r>
      <w:r>
        <w:rPr>
          <w:rFonts w:asciiTheme="minorEastAsia" w:hAnsiTheme="minorEastAsia" w:eastAsiaTheme="minorEastAsia"/>
          <w:color w:val="auto"/>
        </w:rPr>
        <w:t>“</w:t>
      </w:r>
      <w:r>
        <w:rPr>
          <w:rFonts w:asciiTheme="minorEastAsia" w:hAnsiTheme="minorEastAsia" w:eastAsiaTheme="minorEastAsia"/>
          <w:color w:val="auto"/>
          <w:spacing w:val="-13"/>
        </w:rPr>
        <w:t>预处</w:t>
      </w:r>
      <w:r>
        <w:rPr>
          <w:color w:val="auto"/>
          <w:spacing w:val="-13"/>
        </w:rPr>
        <w:t>理+UASB厌氧反应器+MBR生化处理系统+NF纳滤膜系统+RO反渗透系统+DTRO</w:t>
      </w:r>
      <w:r>
        <w:rPr>
          <w:rFonts w:asciiTheme="minorEastAsia" w:hAnsiTheme="minorEastAsia" w:eastAsiaTheme="minorEastAsia"/>
          <w:color w:val="auto"/>
        </w:rPr>
        <w:t>”处理</w:t>
      </w:r>
      <w:r>
        <w:rPr>
          <w:color w:val="auto"/>
        </w:rPr>
        <w:t>工艺</w:t>
      </w:r>
      <w:r>
        <w:rPr>
          <w:rFonts w:hint="eastAsia"/>
          <w:color w:val="auto"/>
        </w:rPr>
        <w:t>，具体工艺流程如下图：</w:t>
      </w:r>
    </w:p>
    <w:p>
      <w:pPr>
        <w:spacing w:line="360" w:lineRule="auto"/>
        <w:jc w:val="center"/>
        <w:rPr>
          <w:b/>
          <w:color w:val="auto"/>
        </w:rPr>
      </w:pPr>
      <w:r>
        <w:rPr>
          <w:color w:val="auto"/>
        </w:rPr>
        <w:drawing>
          <wp:inline distT="0" distB="0" distL="0" distR="0">
            <wp:extent cx="3933825" cy="5339715"/>
            <wp:effectExtent l="0" t="0" r="0" b="0"/>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pic:cNvPicPr>
                      <a:picLocks noChangeAspect="1"/>
                    </pic:cNvPicPr>
                  </pic:nvPicPr>
                  <pic:blipFill>
                    <a:blip r:embed="rId127"/>
                    <a:stretch>
                      <a:fillRect/>
                    </a:stretch>
                  </pic:blipFill>
                  <pic:spPr>
                    <a:xfrm>
                      <a:off x="0" y="0"/>
                      <a:ext cx="3939464" cy="5347928"/>
                    </a:xfrm>
                    <a:prstGeom prst="rect">
                      <a:avLst/>
                    </a:prstGeom>
                  </pic:spPr>
                </pic:pic>
              </a:graphicData>
            </a:graphic>
          </wp:inline>
        </w:drawing>
      </w:r>
    </w:p>
    <w:p>
      <w:pPr>
        <w:jc w:val="center"/>
        <w:rPr>
          <w:b/>
          <w:color w:val="auto"/>
        </w:rPr>
      </w:pPr>
      <w:r>
        <w:rPr>
          <w:b/>
          <w:color w:val="auto"/>
        </w:rPr>
        <w:t xml:space="preserve">图 </w:t>
      </w:r>
      <w:r>
        <w:rPr>
          <w:b/>
          <w:color w:val="auto"/>
        </w:rPr>
        <w:fldChar w:fldCharType="begin"/>
      </w:r>
      <w:r>
        <w:rPr>
          <w:b/>
          <w:color w:val="auto"/>
        </w:rPr>
        <w:instrText xml:space="preserve"> STYLEREF 2 \s </w:instrText>
      </w:r>
      <w:r>
        <w:rPr>
          <w:b/>
          <w:color w:val="auto"/>
        </w:rPr>
        <w:fldChar w:fldCharType="separate"/>
      </w:r>
      <w:r>
        <w:rPr>
          <w:b/>
          <w:color w:val="auto"/>
        </w:rPr>
        <w:t>6.2</w:t>
      </w:r>
      <w:r>
        <w:rPr>
          <w:b/>
          <w:color w:val="auto"/>
        </w:rPr>
        <w:fldChar w:fldCharType="end"/>
      </w:r>
      <w:r>
        <w:rPr>
          <w:b/>
          <w:color w:val="auto"/>
        </w:rPr>
        <w:noBreakHyphen/>
      </w:r>
      <w:r>
        <w:rPr>
          <w:rFonts w:hint="eastAsia"/>
          <w:b/>
          <w:color w:val="auto"/>
        </w:rPr>
        <w:t>7</w:t>
      </w:r>
      <w:r>
        <w:rPr>
          <w:b/>
          <w:color w:val="auto"/>
        </w:rPr>
        <w:t xml:space="preserve">  </w:t>
      </w:r>
      <w:r>
        <w:rPr>
          <w:rFonts w:eastAsia="Times New Roman"/>
          <w:b/>
          <w:color w:val="auto"/>
        </w:rPr>
        <w:t xml:space="preserve"> </w:t>
      </w:r>
      <w:r>
        <w:rPr>
          <w:b/>
          <w:color w:val="auto"/>
        </w:rPr>
        <w:t>垃圾</w:t>
      </w:r>
      <w:r>
        <w:rPr>
          <w:rFonts w:hint="eastAsia"/>
          <w:b/>
          <w:color w:val="auto"/>
        </w:rPr>
        <w:t>渗滤</w:t>
      </w:r>
      <w:r>
        <w:rPr>
          <w:b/>
          <w:color w:val="auto"/>
        </w:rPr>
        <w:t>液处理工艺流程图</w:t>
      </w:r>
    </w:p>
    <w:p>
      <w:pPr>
        <w:spacing w:line="360" w:lineRule="auto"/>
        <w:ind w:firstLine="480" w:firstLineChars="200"/>
        <w:rPr>
          <w:color w:val="auto"/>
        </w:rPr>
      </w:pPr>
      <w:r>
        <w:rPr>
          <w:color w:val="auto"/>
        </w:rPr>
        <w:t>1、</w:t>
      </w:r>
      <w:r>
        <w:rPr>
          <w:rFonts w:hint="eastAsia"/>
          <w:color w:val="auto"/>
        </w:rPr>
        <w:t>渗滤液</w:t>
      </w:r>
      <w:r>
        <w:rPr>
          <w:color w:val="auto"/>
        </w:rPr>
        <w:t>处理工艺</w:t>
      </w:r>
    </w:p>
    <w:p>
      <w:pPr>
        <w:autoSpaceDE w:val="0"/>
        <w:autoSpaceDN w:val="0"/>
        <w:adjustRightInd w:val="0"/>
        <w:spacing w:line="360" w:lineRule="auto"/>
        <w:ind w:firstLine="439" w:firstLineChars="183"/>
        <w:jc w:val="both"/>
        <w:rPr>
          <w:rFonts w:ascii="宋体" w:hAnsi="宋体" w:cs="宋体"/>
          <w:color w:val="auto"/>
          <w:kern w:val="0"/>
        </w:rPr>
      </w:pPr>
      <w:r>
        <w:rPr>
          <w:rFonts w:hint="eastAsia" w:ascii="宋体" w:hAnsi="宋体" w:cs="宋体"/>
          <w:color w:val="auto"/>
          <w:kern w:val="0"/>
        </w:rPr>
        <w:t>①预处理系统设计</w:t>
      </w:r>
      <w:r>
        <w:rPr>
          <w:rFonts w:ascii="宋体" w:hAnsi="宋体" w:cs="宋体"/>
          <w:color w:val="auto"/>
          <w:kern w:val="0"/>
        </w:rPr>
        <w:t xml:space="preserve"> </w:t>
      </w:r>
    </w:p>
    <w:p>
      <w:pPr>
        <w:autoSpaceDE w:val="0"/>
        <w:autoSpaceDN w:val="0"/>
        <w:adjustRightInd w:val="0"/>
        <w:spacing w:line="360" w:lineRule="auto"/>
        <w:ind w:firstLine="439" w:firstLineChars="183"/>
        <w:jc w:val="both"/>
        <w:rPr>
          <w:rFonts w:ascii="宋体" w:hAnsi="宋体" w:cs="宋体"/>
          <w:color w:val="auto"/>
          <w:kern w:val="0"/>
        </w:rPr>
      </w:pPr>
      <w:r>
        <w:rPr>
          <w:rFonts w:hint="eastAsia" w:ascii="宋体" w:hAnsi="宋体" w:cs="宋体"/>
          <w:color w:val="auto"/>
          <w:kern w:val="0"/>
        </w:rPr>
        <w:t>渗滤液自料坑进入格栅，经格栅过滤后固相落入垃圾桶，送至焚烧厂焚烧处理，液相由中心导流筒进入沉淀区，较大颗粒的有机物沉入泥斗中，渗滤液上清液由沉淀池四周的集水系统收集后排入调节池中。泥斗中的污泥定期由沉淀池排泥泵排入污泥浓缩池中。</w:t>
      </w:r>
      <w:r>
        <w:rPr>
          <w:rFonts w:ascii="宋体" w:hAnsi="宋体" w:cs="宋体"/>
          <w:color w:val="auto"/>
          <w:kern w:val="0"/>
        </w:rPr>
        <w:t xml:space="preserve"> </w:t>
      </w:r>
    </w:p>
    <w:p>
      <w:pPr>
        <w:autoSpaceDE w:val="0"/>
        <w:autoSpaceDN w:val="0"/>
        <w:adjustRightInd w:val="0"/>
        <w:spacing w:line="360" w:lineRule="auto"/>
        <w:ind w:firstLine="439" w:firstLineChars="183"/>
        <w:jc w:val="both"/>
        <w:rPr>
          <w:rFonts w:ascii="宋体" w:hAnsi="宋体" w:cs="宋体"/>
          <w:color w:val="auto"/>
          <w:kern w:val="0"/>
        </w:rPr>
      </w:pPr>
      <w:r>
        <w:rPr>
          <w:rFonts w:hint="eastAsia" w:ascii="宋体" w:hAnsi="宋体" w:cs="宋体"/>
          <w:color w:val="auto"/>
          <w:kern w:val="0"/>
        </w:rPr>
        <w:t>调节池为地下式钢筋混凝土水池，主要功能是调节渗滤液的水质水量，避免水质水量的突然变化对系统的冲击。调节池内设调节池提升泵，提升后进入自清洗过滤器，自清洗过滤器滤除大颗粒硬质杂质保护后续系统的正常运行，出水去后续系统处理。</w:t>
      </w:r>
      <w:r>
        <w:rPr>
          <w:rFonts w:ascii="宋体" w:hAnsi="宋体" w:cs="宋体"/>
          <w:color w:val="auto"/>
          <w:kern w:val="0"/>
        </w:rPr>
        <w:t xml:space="preserve"> </w:t>
      </w:r>
    </w:p>
    <w:p>
      <w:pPr>
        <w:autoSpaceDE w:val="0"/>
        <w:autoSpaceDN w:val="0"/>
        <w:adjustRightInd w:val="0"/>
        <w:spacing w:line="360" w:lineRule="auto"/>
        <w:ind w:firstLine="439" w:firstLineChars="183"/>
        <w:jc w:val="both"/>
        <w:rPr>
          <w:rFonts w:eastAsiaTheme="minorEastAsia"/>
          <w:color w:val="auto"/>
          <w:kern w:val="0"/>
        </w:rPr>
      </w:pPr>
      <w:r>
        <w:rPr>
          <w:rFonts w:hint="eastAsia" w:ascii="宋体" w:hAnsi="宋体" w:cs="宋体"/>
          <w:color w:val="auto"/>
          <w:kern w:val="0"/>
        </w:rPr>
        <w:t>②</w:t>
      </w:r>
      <w:r>
        <w:rPr>
          <w:rFonts w:eastAsiaTheme="minorEastAsia"/>
          <w:color w:val="auto"/>
          <w:kern w:val="0"/>
        </w:rPr>
        <w:t>UASB系统设计</w:t>
      </w:r>
    </w:p>
    <w:p>
      <w:pPr>
        <w:autoSpaceDE w:val="0"/>
        <w:autoSpaceDN w:val="0"/>
        <w:adjustRightInd w:val="0"/>
        <w:spacing w:line="360" w:lineRule="auto"/>
        <w:ind w:firstLine="439" w:firstLineChars="183"/>
        <w:jc w:val="both"/>
        <w:rPr>
          <w:rFonts w:ascii="宋体" w:hAnsi="宋体" w:cs="宋体"/>
          <w:color w:val="auto"/>
          <w:kern w:val="0"/>
        </w:rPr>
      </w:pPr>
      <w:r>
        <w:rPr>
          <w:rFonts w:hint="eastAsia" w:ascii="宋体" w:hAnsi="宋体" w:cs="宋体"/>
          <w:color w:val="auto"/>
          <w:kern w:val="0"/>
        </w:rPr>
        <w:t>调节池提升泵提升污水进入自清洗过滤器，经过滤器去除小颗粒的硬质颗粒后进入厌氧反应器，厌氧罐底部设布水系统，通过布水系统将进入的渗滤液均匀的分配在罐底，渗滤液从罐底依次经过布水区、悬浮污泥床和厌氧滤床到达集水区，通过集水系统排出反应器。在上流的过程中，渗滤液充分与悬浮床和固定床中的厌氧污泥相接触，通过厌氧污泥中的水解酸化细菌和产甲烷菌的生化作用，将水中的难溶性大分子污染物水解后分解为小分子有机酸和无机物等物质，进而分解为二氧化碳、水和甲烷。二氧化碳和甲烷以及硫化氢等杂质气体形成沼气，夹带着悬浮污泥随水一同上流，在厌氧滤床处进行三相分离，固相沉降回悬浮区，液相通过集水系统排出，气相收集后从顶部排出，形成沼气，沼气依次经过水封隔离排出后通过火炬燃烧（远期送至焚烧厂焚烧处理）。</w:t>
      </w:r>
    </w:p>
    <w:p>
      <w:pPr>
        <w:autoSpaceDE w:val="0"/>
        <w:autoSpaceDN w:val="0"/>
        <w:adjustRightInd w:val="0"/>
        <w:spacing w:line="360" w:lineRule="auto"/>
        <w:ind w:firstLine="439" w:firstLineChars="183"/>
        <w:jc w:val="both"/>
        <w:rPr>
          <w:rFonts w:eastAsiaTheme="minorEastAsia"/>
          <w:color w:val="auto"/>
          <w:kern w:val="0"/>
        </w:rPr>
      </w:pPr>
      <w:r>
        <w:rPr>
          <w:rFonts w:hint="eastAsia" w:ascii="宋体" w:hAnsi="宋体" w:cs="宋体"/>
          <w:color w:val="auto"/>
          <w:kern w:val="0"/>
        </w:rPr>
        <w:t>厌氧反应器温度控制在</w:t>
      </w:r>
      <w:r>
        <w:rPr>
          <w:color w:val="auto"/>
          <w:kern w:val="0"/>
        </w:rPr>
        <w:t>22</w:t>
      </w:r>
      <w:r>
        <w:rPr>
          <w:rFonts w:hint="eastAsia" w:ascii="宋体" w:hAnsi="宋体" w:cs="宋体"/>
          <w:color w:val="auto"/>
          <w:kern w:val="0"/>
        </w:rPr>
        <w:t>℃左右，属于中温厌氧范畴，由于厌氧反应是发热反应，反应器外</w:t>
      </w:r>
      <w:r>
        <w:rPr>
          <w:rFonts w:eastAsiaTheme="minorEastAsia"/>
          <w:color w:val="auto"/>
          <w:kern w:val="0"/>
        </w:rPr>
        <w:t>侧又设了保温层，故外界温度对厌氧反应器内温度影响不大，夏季无需加温便可满足温度要求，冬季可采用间接热交换的形式对回流水进行加温，使反应器内满足厌氧菌所需的最低温度，热源可以采用焚烧电厂的热源，无需单独设置。</w:t>
      </w:r>
    </w:p>
    <w:p>
      <w:pPr>
        <w:autoSpaceDE w:val="0"/>
        <w:autoSpaceDN w:val="0"/>
        <w:adjustRightInd w:val="0"/>
        <w:spacing w:line="360" w:lineRule="auto"/>
        <w:ind w:firstLine="439" w:firstLineChars="183"/>
        <w:jc w:val="both"/>
        <w:rPr>
          <w:rFonts w:eastAsiaTheme="minorEastAsia"/>
          <w:color w:val="auto"/>
          <w:kern w:val="0"/>
        </w:rPr>
      </w:pPr>
      <w:r>
        <w:rPr>
          <w:rFonts w:eastAsiaTheme="minorEastAsia"/>
          <w:color w:val="auto"/>
          <w:kern w:val="0"/>
        </w:rPr>
        <w:t>UASB做为MBR前处理工艺，对COD有较强的去除能力。其去除率主要取决于厌氧微生物的活动能力，影响因素主要有：温度、填料的性能，以及流速、布水和循环量等。</w:t>
      </w:r>
    </w:p>
    <w:p>
      <w:pPr>
        <w:autoSpaceDE w:val="0"/>
        <w:autoSpaceDN w:val="0"/>
        <w:adjustRightInd w:val="0"/>
        <w:spacing w:line="360" w:lineRule="auto"/>
        <w:ind w:firstLine="439" w:firstLineChars="183"/>
        <w:jc w:val="both"/>
        <w:rPr>
          <w:rFonts w:eastAsiaTheme="minorEastAsia"/>
          <w:color w:val="auto"/>
          <w:kern w:val="0"/>
        </w:rPr>
      </w:pPr>
      <w:r>
        <w:rPr>
          <w:rFonts w:eastAsiaTheme="minorEastAsia"/>
          <w:color w:val="auto"/>
          <w:kern w:val="0"/>
        </w:rPr>
        <w:t>为此UASB系统设计上采用如下几个措施确保系统运行尽量达到最优化：</w:t>
      </w:r>
    </w:p>
    <w:p>
      <w:pPr>
        <w:autoSpaceDE w:val="0"/>
        <w:autoSpaceDN w:val="0"/>
        <w:adjustRightInd w:val="0"/>
        <w:spacing w:line="360" w:lineRule="auto"/>
        <w:ind w:firstLine="480" w:firstLineChars="200"/>
        <w:jc w:val="both"/>
        <w:rPr>
          <w:rFonts w:eastAsiaTheme="minorEastAsia"/>
          <w:color w:val="auto"/>
          <w:kern w:val="0"/>
        </w:rPr>
      </w:pPr>
      <w:r>
        <w:rPr>
          <w:rFonts w:eastAsiaTheme="minorEastAsia"/>
          <w:color w:val="auto"/>
          <w:kern w:val="0"/>
        </w:rPr>
        <w:t>Ⅰ.考虑温度的影响 废水的厌氧消化反应常在常温条件（20℃～25℃）下进行，设计上将水池池壁进行保温处理，池顶加双层保温板，一方面可以起保温作用，</w:t>
      </w:r>
      <w:r>
        <w:rPr>
          <w:rFonts w:hint="eastAsia" w:eastAsiaTheme="minorEastAsia"/>
          <w:color w:val="auto"/>
          <w:kern w:val="0"/>
        </w:rPr>
        <w:t>另</w:t>
      </w:r>
      <w:r>
        <w:rPr>
          <w:rFonts w:eastAsiaTheme="minorEastAsia"/>
          <w:color w:val="auto"/>
          <w:kern w:val="0"/>
        </w:rPr>
        <w:t>一方面也可以防止臭气扩散。参考国内类似地区的经验，采取保温措施后，冬季</w:t>
      </w:r>
      <w:r>
        <w:rPr>
          <w:rFonts w:hint="eastAsia" w:eastAsiaTheme="minorEastAsia"/>
          <w:color w:val="auto"/>
          <w:kern w:val="0"/>
        </w:rPr>
        <w:t>渗滤液</w:t>
      </w:r>
      <w:r>
        <w:rPr>
          <w:rFonts w:eastAsiaTheme="minorEastAsia"/>
          <w:color w:val="auto"/>
          <w:kern w:val="0"/>
        </w:rPr>
        <w:t>水温不低于20℃，基本可以保证厌氧系统正常运行。</w:t>
      </w:r>
    </w:p>
    <w:p>
      <w:pPr>
        <w:autoSpaceDE w:val="0"/>
        <w:autoSpaceDN w:val="0"/>
        <w:adjustRightInd w:val="0"/>
        <w:spacing w:line="360" w:lineRule="auto"/>
        <w:ind w:firstLine="480" w:firstLineChars="200"/>
        <w:jc w:val="both"/>
        <w:rPr>
          <w:rFonts w:eastAsiaTheme="minorEastAsia"/>
          <w:color w:val="auto"/>
          <w:kern w:val="0"/>
        </w:rPr>
      </w:pPr>
      <w:r>
        <w:rPr>
          <w:rFonts w:eastAsiaTheme="minorEastAsia"/>
          <w:color w:val="auto"/>
          <w:kern w:val="0"/>
        </w:rPr>
        <w:t xml:space="preserve">Ⅱ.采用较大比表面积的填料 厌氧填料有较大的比表面积，使得厌氧微生物极易在填料上附着生长，不会随水流失，同时厌氧还可起到过滤的作用，水中附着气泡的污泥颗粒与厌氧填料相互碰撞实现气泡与污泥的分离。 </w:t>
      </w:r>
    </w:p>
    <w:p>
      <w:pPr>
        <w:autoSpaceDE w:val="0"/>
        <w:autoSpaceDN w:val="0"/>
        <w:adjustRightInd w:val="0"/>
        <w:spacing w:line="360" w:lineRule="auto"/>
        <w:ind w:firstLine="480" w:firstLineChars="200"/>
        <w:jc w:val="both"/>
        <w:rPr>
          <w:rFonts w:ascii="宋体" w:hAnsi="宋体" w:cs="宋体"/>
          <w:color w:val="auto"/>
          <w:kern w:val="0"/>
        </w:rPr>
      </w:pPr>
      <w:r>
        <w:rPr>
          <w:rFonts w:eastAsiaTheme="minorEastAsia"/>
          <w:color w:val="auto"/>
          <w:kern w:val="0"/>
        </w:rPr>
        <w:t>Ⅲ.增加布水和排水系统 布水采用穿孔管布水，使系统进水更均匀，排水系统采用三角堰集水槽排水，出水经三角堰阻挡后出水水质更好。</w:t>
      </w:r>
    </w:p>
    <w:p>
      <w:pPr>
        <w:spacing w:line="360" w:lineRule="auto"/>
        <w:ind w:firstLine="480" w:firstLineChars="200"/>
        <w:rPr>
          <w:color w:val="auto"/>
        </w:rPr>
      </w:pPr>
      <w:r>
        <w:rPr>
          <w:rFonts w:hint="eastAsia" w:ascii="宋体" w:hAnsi="宋体"/>
          <w:color w:val="auto"/>
        </w:rPr>
        <w:t>③</w:t>
      </w:r>
      <w:r>
        <w:rPr>
          <w:rFonts w:hint="eastAsia"/>
          <w:color w:val="auto"/>
        </w:rPr>
        <w:t>生化系统</w:t>
      </w:r>
    </w:p>
    <w:p>
      <w:pPr>
        <w:autoSpaceDE w:val="0"/>
        <w:autoSpaceDN w:val="0"/>
        <w:adjustRightInd w:val="0"/>
        <w:spacing w:line="360" w:lineRule="auto"/>
        <w:ind w:firstLine="480" w:firstLineChars="200"/>
        <w:jc w:val="both"/>
        <w:rPr>
          <w:color w:val="auto"/>
          <w:kern w:val="0"/>
        </w:rPr>
      </w:pPr>
      <w:r>
        <w:rPr>
          <w:color w:val="auto"/>
          <w:kern w:val="0"/>
        </w:rPr>
        <w:t>首先，废水由中间水池自流进入反硝化池和硝化池，硝化池内的好氧微生物对水中的有机物进行分解利用，合成细胞组织，放出水和二氧化碳。水中的氨氮 一部分用于除碳反应中细胞合成，一部分被硝化细菌利用，生成硝酸盐、亚硝酸盐。硝酸盐、亚硝酸盐随硝化液回流至反硝化池，在缺氧环境下发生反硝化，硝酸盐和亚硝酸盐被还原，生成氮气逸出，实现脱氮。</w:t>
      </w:r>
    </w:p>
    <w:p>
      <w:pPr>
        <w:autoSpaceDE w:val="0"/>
        <w:autoSpaceDN w:val="0"/>
        <w:adjustRightInd w:val="0"/>
        <w:spacing w:line="360" w:lineRule="auto"/>
        <w:ind w:firstLine="480" w:firstLineChars="200"/>
        <w:jc w:val="both"/>
        <w:rPr>
          <w:color w:val="auto"/>
          <w:kern w:val="0"/>
        </w:rPr>
      </w:pPr>
      <w:r>
        <w:rPr>
          <w:color w:val="auto"/>
          <w:kern w:val="0"/>
        </w:rPr>
        <w:t>硝化池内设射流曝气系统，具有传氧效率高的特点，在好氧条件下，异养型微生物可以利用水中的有机物，将其转化为二氧化碳和水去除。同时发生硝化作用，硝化作用指NH</w:t>
      </w:r>
      <w:r>
        <w:rPr>
          <w:color w:val="auto"/>
          <w:kern w:val="0"/>
          <w:vertAlign w:val="subscript"/>
        </w:rPr>
        <w:t>3</w:t>
      </w:r>
      <w:r>
        <w:rPr>
          <w:color w:val="auto"/>
          <w:kern w:val="0"/>
        </w:rPr>
        <w:t>氧化成NO</w:t>
      </w:r>
      <w:r>
        <w:rPr>
          <w:color w:val="auto"/>
          <w:kern w:val="0"/>
          <w:vertAlign w:val="subscript"/>
        </w:rPr>
        <w:t>3</w:t>
      </w:r>
      <w:r>
        <w:rPr>
          <w:color w:val="auto"/>
          <w:kern w:val="0"/>
          <w:vertAlign w:val="superscript"/>
        </w:rPr>
        <w:t>－</w:t>
      </w:r>
      <w:r>
        <w:rPr>
          <w:color w:val="auto"/>
          <w:kern w:val="0"/>
        </w:rPr>
        <w:t>的过程，硝化作用由两类细菌参与，亚硝化菌将NH</w:t>
      </w:r>
      <w:r>
        <w:rPr>
          <w:color w:val="auto"/>
          <w:kern w:val="0"/>
          <w:vertAlign w:val="subscript"/>
        </w:rPr>
        <w:t>3</w:t>
      </w:r>
      <w:r>
        <w:rPr>
          <w:color w:val="auto"/>
          <w:kern w:val="0"/>
        </w:rPr>
        <w:t>氧化成NO</w:t>
      </w:r>
      <w:r>
        <w:rPr>
          <w:color w:val="auto"/>
          <w:kern w:val="0"/>
          <w:vertAlign w:val="subscript"/>
        </w:rPr>
        <w:t>2</w:t>
      </w:r>
      <w:r>
        <w:rPr>
          <w:color w:val="auto"/>
          <w:kern w:val="0"/>
          <w:vertAlign w:val="superscript"/>
        </w:rPr>
        <w:t>－</w:t>
      </w:r>
      <w:r>
        <w:rPr>
          <w:color w:val="auto"/>
          <w:kern w:val="0"/>
        </w:rPr>
        <w:t>；硝化杆菌将NO</w:t>
      </w:r>
      <w:r>
        <w:rPr>
          <w:color w:val="auto"/>
          <w:kern w:val="0"/>
          <w:vertAlign w:val="subscript"/>
        </w:rPr>
        <w:t>2</w:t>
      </w:r>
      <w:r>
        <w:rPr>
          <w:color w:val="auto"/>
          <w:kern w:val="0"/>
          <w:vertAlign w:val="superscript"/>
        </w:rPr>
        <w:t>－</w:t>
      </w:r>
      <w:r>
        <w:rPr>
          <w:color w:val="auto"/>
          <w:kern w:val="0"/>
        </w:rPr>
        <w:t>氧化为NO</w:t>
      </w:r>
      <w:r>
        <w:rPr>
          <w:color w:val="auto"/>
          <w:kern w:val="0"/>
          <w:vertAlign w:val="subscript"/>
        </w:rPr>
        <w:t>3</w:t>
      </w:r>
      <w:r>
        <w:rPr>
          <w:color w:val="auto"/>
          <w:kern w:val="0"/>
          <w:vertAlign w:val="superscript"/>
        </w:rPr>
        <w:t>－</w:t>
      </w:r>
      <w:r>
        <w:rPr>
          <w:color w:val="auto"/>
          <w:kern w:val="0"/>
        </w:rPr>
        <w:t>。它们都利用氧化过程释放的能量，使CO</w:t>
      </w:r>
      <w:r>
        <w:rPr>
          <w:color w:val="auto"/>
          <w:kern w:val="0"/>
          <w:vertAlign w:val="subscript"/>
        </w:rPr>
        <w:t>2</w:t>
      </w:r>
      <w:r>
        <w:rPr>
          <w:color w:val="auto"/>
          <w:kern w:val="0"/>
        </w:rPr>
        <w:t>合成为细胞的有机物质，因其为一类自养型细菌，在运行管理时，应创造适合自养性的硝化细菌生长繁殖的环境，是硝化过程生物脱氮的关键。</w:t>
      </w:r>
    </w:p>
    <w:p>
      <w:pPr>
        <w:autoSpaceDE w:val="0"/>
        <w:autoSpaceDN w:val="0"/>
        <w:adjustRightInd w:val="0"/>
        <w:spacing w:line="360" w:lineRule="auto"/>
        <w:jc w:val="center"/>
        <w:rPr>
          <w:color w:val="auto"/>
          <w:kern w:val="0"/>
        </w:rPr>
      </w:pPr>
      <w:r>
        <w:rPr>
          <w:rFonts w:eastAsia="Microsoft JhengHei Light"/>
          <w:color w:val="auto"/>
          <w:kern w:val="0"/>
          <w:position w:val="-5"/>
          <w:sz w:val="16"/>
          <w:szCs w:val="16"/>
        </w:rPr>
        <mc:AlternateContent>
          <mc:Choice Requires="wps">
            <w:drawing>
              <wp:anchor distT="0" distB="0" distL="114300" distR="114300" simplePos="0" relativeHeight="251585536" behindDoc="0" locked="0" layoutInCell="1" allowOverlap="1">
                <wp:simplePos x="0" y="0"/>
                <wp:positionH relativeFrom="column">
                  <wp:posOffset>1644015</wp:posOffset>
                </wp:positionH>
                <wp:positionV relativeFrom="paragraph">
                  <wp:posOffset>97790</wp:posOffset>
                </wp:positionV>
                <wp:extent cx="457200" cy="0"/>
                <wp:effectExtent l="0" t="76200" r="19050" b="95250"/>
                <wp:wrapNone/>
                <wp:docPr id="1245" name="Line 629"/>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tailEnd type="triangle" w="med" len="med"/>
                        </a:ln>
                      </wps:spPr>
                      <wps:bodyPr/>
                    </wps:wsp>
                  </a:graphicData>
                </a:graphic>
              </wp:anchor>
            </w:drawing>
          </mc:Choice>
          <mc:Fallback>
            <w:pict>
              <v:line id="Line 629" o:spid="_x0000_s1026" o:spt="20" style="position:absolute;left:0pt;margin-left:129.45pt;margin-top:7.7pt;height:0pt;width:36pt;z-index:251585536;mso-width-relative:page;mso-height-relative:page;" filled="f" stroked="t" coordsize="21600,21600" o:gfxdata="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&#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Av/p03YAAAACQEAAA8AAAAAAAAAAQAgAAAAIgAAAGRy&#10;cy9kb3ducmV2LnhtbFBLAQIUABQAAAAIAIdO4kArpt5mzAEAAIMDAAAOAAAAAAAAAAEAIAAAACcB&#10;AABkcnMvZTJvRG9jLnhtbFBLBQYAAAAABgAGAFkBAABlBQAAAAA=&#10;">
                <v:fill on="f" focussize="0,0"/>
                <v:stroke color="#000000" joinstyle="round" endarrow="block"/>
                <v:imagedata o:title=""/>
                <o:lock v:ext="edit" aspectratio="f"/>
              </v:line>
            </w:pict>
          </mc:Fallback>
        </mc:AlternateContent>
      </w:r>
      <w:r>
        <w:rPr>
          <w:color w:val="auto"/>
          <w:kern w:val="0"/>
        </w:rPr>
        <w:t>NH</w:t>
      </w:r>
      <w:r>
        <w:rPr>
          <w:color w:val="auto"/>
          <w:kern w:val="0"/>
          <w:vertAlign w:val="subscript"/>
        </w:rPr>
        <w:t>4</w:t>
      </w:r>
      <w:r>
        <w:rPr>
          <w:color w:val="auto"/>
          <w:kern w:val="0"/>
          <w:vertAlign w:val="superscript"/>
        </w:rPr>
        <w:t>＋</w:t>
      </w:r>
      <w:r>
        <w:rPr>
          <w:color w:val="auto"/>
          <w:kern w:val="0"/>
        </w:rPr>
        <w:t>＋2O</w:t>
      </w:r>
      <w:r>
        <w:rPr>
          <w:color w:val="auto"/>
          <w:kern w:val="0"/>
          <w:vertAlign w:val="subscript"/>
        </w:rPr>
        <w:t xml:space="preserve">2  </w:t>
      </w:r>
      <w:r>
        <w:rPr>
          <w:rFonts w:eastAsia="Microsoft JhengHei Light"/>
          <w:color w:val="auto"/>
          <w:kern w:val="0"/>
          <w:position w:val="-5"/>
          <w:sz w:val="16"/>
          <w:szCs w:val="16"/>
        </w:rPr>
        <w:tab/>
      </w:r>
      <w:r>
        <w:rPr>
          <w:color w:val="auto"/>
          <w:kern w:val="0"/>
          <w:vertAlign w:val="subscript"/>
        </w:rPr>
        <w:t xml:space="preserve">  </w:t>
      </w:r>
      <w:r>
        <w:rPr>
          <w:color w:val="auto"/>
          <w:kern w:val="0"/>
        </w:rPr>
        <w:t xml:space="preserve"> NO</w:t>
      </w:r>
      <w:r>
        <w:rPr>
          <w:color w:val="auto"/>
          <w:kern w:val="0"/>
          <w:vertAlign w:val="subscript"/>
        </w:rPr>
        <w:t>3</w:t>
      </w:r>
      <w:r>
        <w:rPr>
          <w:color w:val="auto"/>
          <w:kern w:val="0"/>
          <w:vertAlign w:val="superscript"/>
        </w:rPr>
        <w:t>－</w:t>
      </w:r>
      <w:r>
        <w:rPr>
          <w:color w:val="auto"/>
          <w:kern w:val="0"/>
        </w:rPr>
        <w:t>＋2H</w:t>
      </w:r>
      <w:r>
        <w:rPr>
          <w:color w:val="auto"/>
          <w:kern w:val="0"/>
          <w:vertAlign w:val="superscript"/>
        </w:rPr>
        <w:t>＋</w:t>
      </w:r>
      <w:r>
        <w:rPr>
          <w:color w:val="auto"/>
          <w:kern w:val="0"/>
        </w:rPr>
        <w:t>＋H</w:t>
      </w:r>
      <w:r>
        <w:rPr>
          <w:color w:val="auto"/>
          <w:kern w:val="0"/>
          <w:vertAlign w:val="subscript"/>
        </w:rPr>
        <w:t>2</w:t>
      </w:r>
      <w:r>
        <w:rPr>
          <w:color w:val="auto"/>
          <w:kern w:val="0"/>
        </w:rPr>
        <w:t>O＋（307.1～438.9）×10</w:t>
      </w:r>
      <w:r>
        <w:rPr>
          <w:color w:val="auto"/>
          <w:kern w:val="0"/>
          <w:vertAlign w:val="superscript"/>
        </w:rPr>
        <w:t>3</w:t>
      </w:r>
      <w:r>
        <w:rPr>
          <w:color w:val="auto"/>
          <w:kern w:val="0"/>
        </w:rPr>
        <w:t>J</w:t>
      </w:r>
    </w:p>
    <w:p>
      <w:pPr>
        <w:pStyle w:val="97"/>
        <w:spacing w:line="360" w:lineRule="auto"/>
        <w:ind w:firstLine="480" w:firstLineChars="200"/>
        <w:rPr>
          <w:rFonts w:ascii="Times New Roman" w:cs="Times New Roman"/>
          <w:color w:val="auto"/>
          <w:sz w:val="18"/>
          <w:szCs w:val="18"/>
        </w:rPr>
      </w:pPr>
      <w:r>
        <w:rPr>
          <w:rFonts w:ascii="Times New Roman" w:cs="Times New Roman"/>
          <w:color w:val="auto"/>
        </w:rPr>
        <w:t>硝化作用过程要耗去大量的氧，使一分子NH</w:t>
      </w:r>
      <w:r>
        <w:rPr>
          <w:rFonts w:ascii="Times New Roman" w:cs="Times New Roman"/>
          <w:color w:val="auto"/>
          <w:sz w:val="16"/>
          <w:szCs w:val="16"/>
        </w:rPr>
        <w:t>4</w:t>
      </w:r>
      <w:r>
        <w:rPr>
          <w:rFonts w:ascii="Times New Roman" w:cs="Times New Roman"/>
          <w:color w:val="auto"/>
        </w:rPr>
        <w:t>—N完全氧化成NO</w:t>
      </w:r>
      <w:r>
        <w:rPr>
          <w:rFonts w:ascii="Times New Roman" w:cs="Times New Roman"/>
          <w:color w:val="auto"/>
          <w:vertAlign w:val="subscript"/>
        </w:rPr>
        <w:t>3</w:t>
      </w:r>
      <w:r>
        <w:rPr>
          <w:color w:val="auto"/>
          <w:vertAlign w:val="superscript"/>
        </w:rPr>
        <w:t>－</w:t>
      </w:r>
      <w:r>
        <w:rPr>
          <w:rFonts w:ascii="Times New Roman" w:cs="Times New Roman"/>
          <w:color w:val="auto"/>
        </w:rPr>
        <w:t>需要耗去2分子的氧。硝化过程使环境酸性增强，并放出热量。</w:t>
      </w:r>
    </w:p>
    <w:p>
      <w:pPr>
        <w:autoSpaceDE w:val="0"/>
        <w:autoSpaceDN w:val="0"/>
        <w:adjustRightInd w:val="0"/>
        <w:spacing w:line="360" w:lineRule="auto"/>
        <w:ind w:firstLine="480" w:firstLineChars="200"/>
        <w:rPr>
          <w:color w:val="auto"/>
          <w:kern w:val="0"/>
        </w:rPr>
      </w:pPr>
      <w:r>
        <w:rPr>
          <w:color w:val="auto"/>
          <w:kern w:val="0"/>
        </w:rPr>
        <w:t>在硝化反应中，通过控制较低的负荷，延长污泥停留时间确保硝化作用的顺利进行。</w:t>
      </w:r>
    </w:p>
    <w:p>
      <w:pPr>
        <w:autoSpaceDE w:val="0"/>
        <w:autoSpaceDN w:val="0"/>
        <w:adjustRightInd w:val="0"/>
        <w:spacing w:line="360" w:lineRule="auto"/>
        <w:ind w:firstLine="480" w:firstLineChars="200"/>
        <w:rPr>
          <w:color w:val="auto"/>
          <w:kern w:val="0"/>
        </w:rPr>
      </w:pPr>
      <w:r>
        <w:rPr>
          <w:color w:val="auto"/>
          <w:kern w:val="0"/>
        </w:rPr>
        <w:t>反硝化池通过反硝化作用去除硝化池内回流混合液中的硝态氮，在反硝化的过程中利用消耗污水中的有机物作为碳源，因此反硝化池同样起着去除污水中有机物的功能。反硝化作用是通过反硝化菌将硝酸盐和亚硝酸盐还原成气态氮和氧化亚氮的过程。反硝化菌多为异养的兼性厌氧细菌，它利用各种各样的有机物作为反硝化过程中的电子供体（碳源），在反硝化过程中，有机物的氧化为：</w:t>
      </w:r>
    </w:p>
    <w:p>
      <w:pPr>
        <w:autoSpaceDE w:val="0"/>
        <w:autoSpaceDN w:val="0"/>
        <w:adjustRightInd w:val="0"/>
        <w:spacing w:line="360" w:lineRule="auto"/>
        <w:jc w:val="center"/>
        <w:rPr>
          <w:color w:val="auto"/>
          <w:kern w:val="0"/>
          <w:vertAlign w:val="subscript"/>
        </w:rPr>
      </w:pPr>
      <w:r>
        <w:rPr>
          <w:color w:val="auto"/>
          <w:kern w:val="0"/>
        </w:rPr>
        <mc:AlternateContent>
          <mc:Choice Requires="wps">
            <w:drawing>
              <wp:anchor distT="0" distB="0" distL="114300" distR="114300" simplePos="0" relativeHeight="251587584" behindDoc="0" locked="0" layoutInCell="1" allowOverlap="1">
                <wp:simplePos x="0" y="0"/>
                <wp:positionH relativeFrom="column">
                  <wp:posOffset>3088005</wp:posOffset>
                </wp:positionH>
                <wp:positionV relativeFrom="paragraph">
                  <wp:posOffset>99060</wp:posOffset>
                </wp:positionV>
                <wp:extent cx="228600" cy="0"/>
                <wp:effectExtent l="0" t="76200" r="19050" b="95250"/>
                <wp:wrapNone/>
                <wp:docPr id="1244" name="Line 630"/>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tailEnd type="triangle" w="med" len="med"/>
                        </a:ln>
                      </wps:spPr>
                      <wps:bodyPr/>
                    </wps:wsp>
                  </a:graphicData>
                </a:graphic>
              </wp:anchor>
            </w:drawing>
          </mc:Choice>
          <mc:Fallback>
            <w:pict>
              <v:line id="Line 630" o:spid="_x0000_s1026" o:spt="20" style="position:absolute;left:0pt;margin-left:243.15pt;margin-top:7.8pt;height:0pt;width:18pt;z-index:251587584;mso-width-relative:page;mso-height-relative:page;" filled="f" stroked="t" coordsize="21600,21600" o:gfxdata="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&#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DTYcDzYAAAACQEAAA8AAAAAAAAAAQAgAAAAIgAAAGRy&#10;cy9kb3ducmV2LnhtbFBLAQIUABQAAAAIAIdO4kAGvtD+zAEAAIMDAAAOAAAAAAAAAAEAIAAAACcB&#10;AABkcnMvZTJvRG9jLnhtbFBLBQYAAAAABgAGAFkBAABlBQAAAAA=&#10;">
                <v:fill on="f" focussize="0,0"/>
                <v:stroke color="#000000" joinstyle="round" endarrow="block"/>
                <v:imagedata o:title=""/>
                <o:lock v:ext="edit" aspectratio="f"/>
              </v:line>
            </w:pict>
          </mc:Fallback>
        </mc:AlternateContent>
      </w:r>
      <w:r>
        <w:rPr>
          <w:color w:val="auto"/>
          <w:kern w:val="0"/>
        </w:rPr>
        <w:t>5C（有机C）＋H</w:t>
      </w:r>
      <w:r>
        <w:rPr>
          <w:color w:val="auto"/>
          <w:kern w:val="0"/>
          <w:vertAlign w:val="subscript"/>
        </w:rPr>
        <w:t>2</w:t>
      </w:r>
      <w:r>
        <w:rPr>
          <w:color w:val="auto"/>
          <w:kern w:val="0"/>
        </w:rPr>
        <w:t>O＋4 NO</w:t>
      </w:r>
      <w:r>
        <w:rPr>
          <w:color w:val="auto"/>
          <w:kern w:val="0"/>
          <w:vertAlign w:val="subscript"/>
        </w:rPr>
        <w:t>3</w:t>
      </w:r>
      <w:r>
        <w:rPr>
          <w:color w:val="auto"/>
          <w:kern w:val="0"/>
          <w:vertAlign w:val="superscript"/>
        </w:rPr>
        <w:t xml:space="preserve">－       </w:t>
      </w:r>
      <w:r>
        <w:rPr>
          <w:color w:val="auto"/>
          <w:kern w:val="0"/>
        </w:rPr>
        <w:t>2N</w:t>
      </w:r>
      <w:r>
        <w:rPr>
          <w:color w:val="auto"/>
          <w:kern w:val="0"/>
          <w:vertAlign w:val="subscript"/>
        </w:rPr>
        <w:t>2</w:t>
      </w:r>
      <w:r>
        <w:rPr>
          <w:color w:val="auto"/>
          <w:kern w:val="0"/>
        </w:rPr>
        <w:t>＋4OH</w:t>
      </w:r>
      <w:r>
        <w:rPr>
          <w:color w:val="auto"/>
          <w:kern w:val="0"/>
          <w:vertAlign w:val="superscript"/>
        </w:rPr>
        <w:t>－</w:t>
      </w:r>
      <w:r>
        <w:rPr>
          <w:color w:val="auto"/>
          <w:kern w:val="0"/>
        </w:rPr>
        <w:t>＋5CO</w:t>
      </w:r>
      <w:r>
        <w:rPr>
          <w:color w:val="auto"/>
          <w:kern w:val="0"/>
          <w:vertAlign w:val="subscript"/>
        </w:rPr>
        <w:t>2</w:t>
      </w:r>
    </w:p>
    <w:p>
      <w:pPr>
        <w:autoSpaceDE w:val="0"/>
        <w:autoSpaceDN w:val="0"/>
        <w:adjustRightInd w:val="0"/>
        <w:spacing w:line="360" w:lineRule="auto"/>
        <w:ind w:firstLine="480" w:firstLineChars="200"/>
        <w:jc w:val="both"/>
        <w:rPr>
          <w:color w:val="auto"/>
          <w:kern w:val="0"/>
        </w:rPr>
      </w:pPr>
      <w:r>
        <w:rPr>
          <w:color w:val="auto"/>
          <w:kern w:val="0"/>
        </w:rPr>
        <w:t>在硝化作用过程中耗去的氧能被重复用到反硝化过程中，使有机物氧化。由于在调试期初或活性污泥营养失衡的情况下，好氧曝气会产生大量的泡沫，因此在两个硝化池设置消泡系统用于泡沫消除。针对夏季高温，设计方案配备了完善的冷却系统来应对高温天气，保证生化系统所需要的适宜温度。在一级硝化池设置冷却系统，通过冷却塔换热降低水温至合适温度。冷却系统兼具生化池热交换及部分硝化液回流的功能，出水可部分回流至一级反硝化池。冬季低温时冷却系统功能调整为加热系统，通过外部热交换加温。</w:t>
      </w:r>
    </w:p>
    <w:p>
      <w:pPr>
        <w:spacing w:line="360" w:lineRule="auto"/>
        <w:ind w:firstLine="480" w:firstLineChars="200"/>
        <w:jc w:val="both"/>
        <w:rPr>
          <w:color w:val="auto"/>
        </w:rPr>
      </w:pPr>
      <w:r>
        <w:rPr>
          <w:color w:val="auto"/>
        </w:rPr>
        <w:t>在工艺流程中，A/O系统是有机污染物去除及去除氨氮的主要场所。相较于市政水厂设计中的参数选取，运用于垃圾渗滤液处理的A/O系统参数选取的 特点是，更高的硝化液回流比（可达20Q以上）及较小的 COD（一般小于0.3kgCOD/kgMLSS.d）、氨氮负荷（一般不高于0.04kgNH</w:t>
      </w:r>
      <w:r>
        <w:rPr>
          <w:color w:val="auto"/>
          <w:vertAlign w:val="subscript"/>
        </w:rPr>
        <w:t>3</w:t>
      </w:r>
      <w:r>
        <w:rPr>
          <w:color w:val="auto"/>
        </w:rPr>
        <w:t>-N/kgMLSS.d）；该设计参数经若干渗滤液处理项目的验证，在实际运行过程中，处理效果基达到设计要求。</w:t>
      </w:r>
    </w:p>
    <w:p>
      <w:pPr>
        <w:autoSpaceDE w:val="0"/>
        <w:autoSpaceDN w:val="0"/>
        <w:adjustRightInd w:val="0"/>
        <w:spacing w:line="360" w:lineRule="auto"/>
        <w:ind w:firstLine="480" w:firstLineChars="200"/>
        <w:rPr>
          <w:color w:val="auto"/>
          <w:kern w:val="0"/>
        </w:rPr>
      </w:pPr>
      <w:r>
        <w:rPr>
          <w:rFonts w:hint="eastAsia" w:ascii="宋体" w:hAnsi="宋体" w:cs="宋体"/>
          <w:color w:val="auto"/>
          <w:kern w:val="0"/>
        </w:rPr>
        <w:t>④</w:t>
      </w:r>
      <w:r>
        <w:rPr>
          <w:color w:val="auto"/>
          <w:kern w:val="0"/>
        </w:rPr>
        <w:t>UF超滤系统</w:t>
      </w:r>
    </w:p>
    <w:p>
      <w:pPr>
        <w:autoSpaceDE w:val="0"/>
        <w:autoSpaceDN w:val="0"/>
        <w:adjustRightInd w:val="0"/>
        <w:spacing w:line="360" w:lineRule="auto"/>
        <w:ind w:firstLine="480" w:firstLineChars="200"/>
        <w:jc w:val="both"/>
        <w:rPr>
          <w:color w:val="auto"/>
          <w:kern w:val="0"/>
        </w:rPr>
      </w:pPr>
      <w:r>
        <w:rPr>
          <w:color w:val="auto"/>
          <w:kern w:val="0"/>
        </w:rPr>
        <w:t>外置式超滤系统是分体式MBR系统的一部份，本项目中采用管式超滤膜。UF进水泵将生化池污泥提升至篮式过滤器，过滤器过滤孔径800μm，用以防止颗粒进入超滤膜对膜造成损坏。过滤器进出水口设置压力传感器，监测过滤器压差，当压差达到设定值时须清洗。硝化池泥水混合物经预过滤器后进入超滤系统，本设计超滤系统设一台循环泵维持错流过滤流速度，将泥水混合物在超滤膜组件中不断循环，在循环过程中清液不断排出至清液罐，污泥被膜截留并回流至生化系统，从而完成泥水分离过滤过程。</w:t>
      </w:r>
    </w:p>
    <w:p>
      <w:pPr>
        <w:autoSpaceDE w:val="0"/>
        <w:autoSpaceDN w:val="0"/>
        <w:adjustRightInd w:val="0"/>
        <w:spacing w:line="360" w:lineRule="auto"/>
        <w:ind w:firstLine="480" w:firstLineChars="200"/>
        <w:jc w:val="both"/>
        <w:rPr>
          <w:color w:val="auto"/>
          <w:kern w:val="0"/>
        </w:rPr>
      </w:pPr>
      <w:r>
        <w:rPr>
          <w:color w:val="auto"/>
          <w:kern w:val="0"/>
        </w:rPr>
        <w:t>清液排放至UF清水池，浓缩液回流至反硝化池，清液管路上设置电磁流量计，监测清液产量；循环管路上设置电磁流量计监测循环流量；回流量由上述进出水量运算得出；MBR系统剩余污泥由回流管路支管上排出，支管上设置电磁流量计，监测和控制剩余污泥排出量；超滤循环管路上设置压力传感器，监测过膜压差。</w:t>
      </w:r>
    </w:p>
    <w:p>
      <w:pPr>
        <w:autoSpaceDE w:val="0"/>
        <w:autoSpaceDN w:val="0"/>
        <w:adjustRightInd w:val="0"/>
        <w:spacing w:line="360" w:lineRule="auto"/>
        <w:ind w:firstLine="480" w:firstLineChars="200"/>
        <w:jc w:val="both"/>
        <w:rPr>
          <w:color w:val="auto"/>
          <w:kern w:val="0"/>
        </w:rPr>
      </w:pPr>
      <w:r>
        <w:rPr>
          <w:color w:val="auto"/>
          <w:kern w:val="0"/>
        </w:rPr>
        <w:t>超滤系统采用集成化装置设备，即所有超滤相关的水泵、膜壳等设备以及自控系统均集成在集成架上，所有系统管路和设备（包括电气）在出厂前已经完成设备运转测试、管路压力测试以及电气测试，运至现场后只需连接进出口管线、动力电源以及自控电缆即可投入使用，可以大大节省现场施工和调试时间。</w:t>
      </w:r>
    </w:p>
    <w:p>
      <w:pPr>
        <w:autoSpaceDE w:val="0"/>
        <w:autoSpaceDN w:val="0"/>
        <w:adjustRightInd w:val="0"/>
        <w:spacing w:line="360" w:lineRule="auto"/>
        <w:ind w:firstLine="480" w:firstLineChars="200"/>
        <w:jc w:val="both"/>
        <w:rPr>
          <w:color w:val="auto"/>
          <w:kern w:val="0"/>
        </w:rPr>
      </w:pPr>
      <w:r>
        <w:rPr>
          <w:rFonts w:hint="eastAsia" w:ascii="宋体" w:hAnsi="宋体" w:cs="宋体"/>
          <w:color w:val="auto"/>
          <w:kern w:val="0"/>
        </w:rPr>
        <w:t>⑤</w:t>
      </w:r>
      <w:r>
        <w:rPr>
          <w:color w:val="auto"/>
          <w:kern w:val="0"/>
        </w:rPr>
        <w:t>膜深度处理系</w:t>
      </w:r>
      <w:r>
        <w:rPr>
          <w:rFonts w:hint="eastAsia"/>
          <w:color w:val="auto"/>
          <w:kern w:val="0"/>
        </w:rPr>
        <w:t>统</w:t>
      </w:r>
      <w:r>
        <w:rPr>
          <w:color w:val="auto"/>
          <w:kern w:val="0"/>
        </w:rPr>
        <w:t>和浓缩液处理膜</w:t>
      </w:r>
    </w:p>
    <w:p>
      <w:pPr>
        <w:autoSpaceDE w:val="0"/>
        <w:autoSpaceDN w:val="0"/>
        <w:adjustRightInd w:val="0"/>
        <w:spacing w:line="360" w:lineRule="auto"/>
        <w:ind w:firstLine="480" w:firstLineChars="200"/>
        <w:jc w:val="both"/>
        <w:rPr>
          <w:color w:val="auto"/>
          <w:kern w:val="0"/>
        </w:rPr>
      </w:pPr>
      <w:r>
        <w:rPr>
          <w:rFonts w:hint="eastAsia"/>
          <w:color w:val="auto"/>
          <w:kern w:val="0"/>
        </w:rPr>
        <w:t>超滤系统出水进入纳滤系统，通过纳滤对有机物及高价态盐分的高选择性截留能力，去除水中绝大部分有机物及高价盐分。纳滤系统设置一套，纳滤系统采用抗污染纳滤膜元件，按一级两段式运行，设备设计回收率达到</w:t>
      </w:r>
      <w:r>
        <w:rPr>
          <w:color w:val="auto"/>
          <w:kern w:val="0"/>
        </w:rPr>
        <w:t>80%</w:t>
      </w:r>
      <w:r>
        <w:rPr>
          <w:rFonts w:hint="eastAsia"/>
          <w:color w:val="auto"/>
          <w:kern w:val="0"/>
        </w:rPr>
        <w:t>，</w:t>
      </w:r>
      <w:r>
        <w:rPr>
          <w:color w:val="auto"/>
          <w:kern w:val="0"/>
        </w:rPr>
        <w:t>NF</w:t>
      </w:r>
      <w:r>
        <w:rPr>
          <w:rFonts w:hint="eastAsia"/>
          <w:color w:val="auto"/>
          <w:kern w:val="0"/>
        </w:rPr>
        <w:t>系统运行压力为</w:t>
      </w:r>
      <w:r>
        <w:rPr>
          <w:color w:val="auto"/>
          <w:kern w:val="0"/>
        </w:rPr>
        <w:t>6</w:t>
      </w:r>
      <w:r>
        <w:rPr>
          <w:rFonts w:hint="eastAsia"/>
          <w:color w:val="auto"/>
          <w:kern w:val="0"/>
        </w:rPr>
        <w:t>～</w:t>
      </w:r>
      <w:r>
        <w:rPr>
          <w:color w:val="auto"/>
          <w:kern w:val="0"/>
        </w:rPr>
        <w:t>15bar。</w:t>
      </w:r>
    </w:p>
    <w:p>
      <w:pPr>
        <w:autoSpaceDE w:val="0"/>
        <w:autoSpaceDN w:val="0"/>
        <w:adjustRightInd w:val="0"/>
        <w:spacing w:line="360" w:lineRule="auto"/>
        <w:ind w:firstLine="480" w:firstLineChars="200"/>
        <w:jc w:val="both"/>
        <w:rPr>
          <w:color w:val="auto"/>
          <w:kern w:val="0"/>
        </w:rPr>
      </w:pPr>
      <w:r>
        <w:rPr>
          <w:rFonts w:hint="eastAsia"/>
          <w:color w:val="auto"/>
          <w:kern w:val="0"/>
        </w:rPr>
        <w:t>纳滤清液经泵升压后进入反渗透系统，通过反渗透对有机物及盐分的高截留能力，进一步去除水中的有机物及盐分。反渗透系统设置一套，反渗透设备设计回收率达到</w:t>
      </w:r>
      <w:r>
        <w:rPr>
          <w:color w:val="auto"/>
          <w:kern w:val="0"/>
        </w:rPr>
        <w:t>80%</w:t>
      </w:r>
      <w:r>
        <w:rPr>
          <w:rFonts w:hint="eastAsia"/>
          <w:color w:val="auto"/>
          <w:kern w:val="0"/>
        </w:rPr>
        <w:t>，反渗透系统按照一级两段式运行，运行压力为</w:t>
      </w:r>
      <w:r>
        <w:rPr>
          <w:color w:val="auto"/>
          <w:kern w:val="0"/>
        </w:rPr>
        <w:t>20</w:t>
      </w:r>
      <w:r>
        <w:rPr>
          <w:rFonts w:hint="eastAsia"/>
          <w:color w:val="auto"/>
          <w:kern w:val="0"/>
        </w:rPr>
        <w:t>～</w:t>
      </w:r>
      <w:r>
        <w:rPr>
          <w:color w:val="auto"/>
          <w:kern w:val="0"/>
        </w:rPr>
        <w:t>40bar</w:t>
      </w:r>
      <w:r>
        <w:rPr>
          <w:rFonts w:hint="eastAsia"/>
          <w:color w:val="auto"/>
          <w:kern w:val="0"/>
        </w:rPr>
        <w:t>，出水可稳定达到本项目的出水水质要求。反渗透清液至反渗透产水箱达标回用，进一步提升回收率，从而实现资源化和减量化。</w:t>
      </w:r>
    </w:p>
    <w:p>
      <w:pPr>
        <w:autoSpaceDE w:val="0"/>
        <w:autoSpaceDN w:val="0"/>
        <w:adjustRightInd w:val="0"/>
        <w:spacing w:line="360" w:lineRule="auto"/>
        <w:ind w:firstLine="480" w:firstLineChars="200"/>
        <w:jc w:val="both"/>
        <w:rPr>
          <w:color w:val="auto"/>
          <w:kern w:val="0"/>
        </w:rPr>
      </w:pPr>
      <w:r>
        <w:rPr>
          <w:rFonts w:hint="eastAsia"/>
          <w:color w:val="auto"/>
          <w:kern w:val="0"/>
        </w:rPr>
        <w:t>浓液深度处理系统：纳滤及反渗透产生的浓液采用“化学软化</w:t>
      </w:r>
      <w:r>
        <w:rPr>
          <w:color w:val="auto"/>
          <w:kern w:val="0"/>
        </w:rPr>
        <w:t>+DTRO</w:t>
      </w:r>
      <w:r>
        <w:rPr>
          <w:rFonts w:asciiTheme="minorEastAsia" w:hAnsiTheme="minorEastAsia" w:eastAsiaTheme="minorEastAsia"/>
          <w:color w:val="auto"/>
          <w:kern w:val="0"/>
        </w:rPr>
        <w:t>”</w:t>
      </w:r>
      <w:r>
        <w:rPr>
          <w:rFonts w:hint="eastAsia" w:asciiTheme="minorEastAsia" w:hAnsiTheme="minorEastAsia" w:eastAsiaTheme="minorEastAsia"/>
          <w:color w:val="auto"/>
          <w:kern w:val="0"/>
        </w:rPr>
        <w:t>工</w:t>
      </w:r>
      <w:r>
        <w:rPr>
          <w:rFonts w:hint="eastAsia"/>
          <w:color w:val="auto"/>
          <w:kern w:val="0"/>
        </w:rPr>
        <w:t>艺进行深度处理，达到减量化的目的。</w:t>
      </w:r>
    </w:p>
    <w:p>
      <w:pPr>
        <w:autoSpaceDE w:val="0"/>
        <w:autoSpaceDN w:val="0"/>
        <w:adjustRightInd w:val="0"/>
        <w:spacing w:line="360" w:lineRule="auto"/>
        <w:ind w:firstLine="480" w:firstLineChars="200"/>
        <w:jc w:val="both"/>
        <w:rPr>
          <w:color w:val="auto"/>
          <w:kern w:val="0"/>
        </w:rPr>
      </w:pPr>
      <w:r>
        <w:rPr>
          <w:rFonts w:hint="eastAsia" w:ascii="宋体" w:hAnsi="宋体" w:cs="宋体"/>
          <w:color w:val="auto"/>
          <w:kern w:val="0"/>
        </w:rPr>
        <w:t>⑥</w:t>
      </w:r>
      <w:r>
        <w:rPr>
          <w:color w:val="auto"/>
          <w:kern w:val="0"/>
        </w:rPr>
        <w:t xml:space="preserve">污泥处理系统设计 </w:t>
      </w:r>
    </w:p>
    <w:p>
      <w:pPr>
        <w:autoSpaceDE w:val="0"/>
        <w:autoSpaceDN w:val="0"/>
        <w:adjustRightInd w:val="0"/>
        <w:spacing w:line="360" w:lineRule="auto"/>
        <w:ind w:firstLine="480" w:firstLineChars="200"/>
        <w:jc w:val="both"/>
        <w:rPr>
          <w:color w:val="auto"/>
          <w:kern w:val="0"/>
        </w:rPr>
      </w:pPr>
      <w:r>
        <w:rPr>
          <w:color w:val="auto"/>
          <w:kern w:val="0"/>
        </w:rPr>
        <w:t>污泥处理系统主要由污泥浓缩池及污泥脱水系统组成，初沉池和厌氧池排泥及AO系统产生的剩余污泥排入污泥浓缩池。本项目可选用离心脱水机，污泥脱水系统一次建设。污泥经污泥泵提升进入离心脱水机，高分子絮凝剂进入管道混合器充分混合，然后进入离心脱水机离心脱水，降低污泥含水率，使泥饼含水率低于80％，脱水后的脱水污泥落入螺旋输送机料斗，经倾斜式的无轴螺旋输送机输送至泥斗内，送焚烧处理，压滤后的液相流入集水井，与污泥浓缩池排出的上清液一同泵回生化系统继续处理。</w:t>
      </w:r>
    </w:p>
    <w:p>
      <w:pPr>
        <w:autoSpaceDE w:val="0"/>
        <w:autoSpaceDN w:val="0"/>
        <w:adjustRightInd w:val="0"/>
        <w:spacing w:line="360" w:lineRule="auto"/>
        <w:ind w:firstLine="480" w:firstLineChars="200"/>
        <w:jc w:val="both"/>
        <w:rPr>
          <w:color w:val="auto"/>
          <w:kern w:val="0"/>
        </w:rPr>
      </w:pPr>
      <w:r>
        <w:rPr>
          <w:rFonts w:hint="eastAsia" w:ascii="宋体" w:hAnsi="宋体" w:cs="宋体"/>
          <w:color w:val="auto"/>
          <w:kern w:val="0"/>
        </w:rPr>
        <w:t>⑦</w:t>
      </w:r>
      <w:r>
        <w:rPr>
          <w:color w:val="auto"/>
          <w:kern w:val="0"/>
        </w:rPr>
        <w:t>生物除臭系统本项目中臭气源主要有：调节池和反硝化池、污泥浓缩池及污泥脱水车间，臭气由PE管道送至负压区焚烧炉焚烧处理。另外，可采用辅助除臭方式，净化区域的空气，如通过喷洒除臭剂到污染源的空间内，让雾化的工作液分解空间内的异味分子，从而消除异味。</w:t>
      </w:r>
    </w:p>
    <w:p>
      <w:pPr>
        <w:pStyle w:val="79"/>
        <w:ind w:firstLine="480"/>
        <w:rPr>
          <w:color w:val="auto"/>
        </w:rPr>
      </w:pPr>
      <w:r>
        <w:rPr>
          <w:rFonts w:hint="eastAsia"/>
          <w:color w:val="auto"/>
        </w:rPr>
        <w:t>2、渗滤液处理系统处理效果的可达性分析</w:t>
      </w:r>
    </w:p>
    <w:p>
      <w:pPr>
        <w:autoSpaceDE w:val="0"/>
        <w:autoSpaceDN w:val="0"/>
        <w:adjustRightInd w:val="0"/>
        <w:spacing w:line="360" w:lineRule="auto"/>
        <w:ind w:firstLine="480" w:firstLineChars="200"/>
        <w:jc w:val="both"/>
        <w:rPr>
          <w:color w:val="auto"/>
          <w:kern w:val="0"/>
        </w:rPr>
      </w:pPr>
      <w:r>
        <w:rPr>
          <w:rFonts w:hint="eastAsia"/>
          <w:color w:val="auto"/>
          <w:kern w:val="0"/>
        </w:rPr>
        <w:t>综上所述</w:t>
      </w:r>
      <w:r>
        <w:rPr>
          <w:color w:val="auto"/>
          <w:kern w:val="0"/>
        </w:rPr>
        <w:t>，</w:t>
      </w:r>
      <w:r>
        <w:rPr>
          <w:rFonts w:hint="eastAsia"/>
          <w:color w:val="auto"/>
          <w:kern w:val="0"/>
        </w:rPr>
        <w:t>在建</w:t>
      </w:r>
      <w:r>
        <w:rPr>
          <w:color w:val="auto"/>
          <w:kern w:val="0"/>
        </w:rPr>
        <w:t>项目</w:t>
      </w:r>
      <w:r>
        <w:rPr>
          <w:rFonts w:hint="eastAsia"/>
          <w:color w:val="auto"/>
          <w:kern w:val="0"/>
        </w:rPr>
        <w:t>渗滤液处理系统采用</w:t>
      </w:r>
      <w:r>
        <w:rPr>
          <w:rFonts w:asciiTheme="minorEastAsia" w:hAnsiTheme="minorEastAsia" w:eastAsiaTheme="minorEastAsia"/>
          <w:color w:val="auto"/>
          <w:kern w:val="0"/>
        </w:rPr>
        <w:t>“预</w:t>
      </w:r>
      <w:r>
        <w:rPr>
          <w:color w:val="auto"/>
          <w:kern w:val="0"/>
        </w:rPr>
        <w:t>处理+UASB厌氧反应器+MBR生化处理系统+NF纳滤膜系统+RO反渗透系统+DTRO</w:t>
      </w:r>
      <w:r>
        <w:rPr>
          <w:rFonts w:asciiTheme="minorEastAsia" w:hAnsiTheme="minorEastAsia" w:eastAsiaTheme="minorEastAsia"/>
          <w:color w:val="auto"/>
          <w:kern w:val="0"/>
        </w:rPr>
        <w:t>”处</w:t>
      </w:r>
      <w:r>
        <w:rPr>
          <w:color w:val="auto"/>
          <w:kern w:val="0"/>
        </w:rPr>
        <w:t>理工艺，</w:t>
      </w:r>
      <w:r>
        <w:rPr>
          <w:rFonts w:hint="eastAsia"/>
          <w:color w:val="auto"/>
          <w:kern w:val="0"/>
        </w:rPr>
        <w:t>确保</w:t>
      </w:r>
      <w:r>
        <w:rPr>
          <w:rFonts w:hint="eastAsia"/>
          <w:color w:val="auto"/>
        </w:rPr>
        <w:t>废水综合利用不外排，不对周围水环境造成影响</w:t>
      </w:r>
      <w:r>
        <w:rPr>
          <w:color w:val="auto"/>
          <w:kern w:val="0"/>
        </w:rPr>
        <w:t>。为分析该</w:t>
      </w:r>
      <w:r>
        <w:rPr>
          <w:rFonts w:hint="eastAsia"/>
          <w:color w:val="auto"/>
          <w:kern w:val="0"/>
        </w:rPr>
        <w:t>处理</w:t>
      </w:r>
      <w:r>
        <w:rPr>
          <w:color w:val="auto"/>
          <w:kern w:val="0"/>
        </w:rPr>
        <w:t>系统的实际运行效果，本评价收集了</w:t>
      </w:r>
      <w:r>
        <w:rPr>
          <w:rFonts w:hint="eastAsia"/>
          <w:color w:val="auto"/>
          <w:kern w:val="0"/>
        </w:rPr>
        <w:t>珠三角</w:t>
      </w:r>
      <w:r>
        <w:rPr>
          <w:color w:val="auto"/>
          <w:kern w:val="0"/>
        </w:rPr>
        <w:t>采用</w:t>
      </w:r>
      <w:r>
        <w:rPr>
          <w:rFonts w:hint="eastAsia"/>
          <w:color w:val="auto"/>
          <w:kern w:val="0"/>
        </w:rPr>
        <w:t>相同渗滤液处理</w:t>
      </w:r>
      <w:r>
        <w:rPr>
          <w:color w:val="auto"/>
          <w:kern w:val="0"/>
        </w:rPr>
        <w:t>系统的同类厂家—</w:t>
      </w:r>
      <w:r>
        <w:rPr>
          <w:rFonts w:hint="eastAsia"/>
          <w:color w:val="auto"/>
          <w:kern w:val="0"/>
        </w:rPr>
        <w:t>珠海市环保生物质热电工程</w:t>
      </w:r>
      <w:r>
        <w:rPr>
          <w:color w:val="auto"/>
          <w:kern w:val="0"/>
        </w:rPr>
        <w:t>的</w:t>
      </w:r>
      <w:r>
        <w:rPr>
          <w:rFonts w:hint="eastAsia"/>
          <w:color w:val="auto"/>
          <w:kern w:val="0"/>
        </w:rPr>
        <w:t>废水监测</w:t>
      </w:r>
      <w:r>
        <w:rPr>
          <w:color w:val="auto"/>
          <w:kern w:val="0"/>
        </w:rPr>
        <w:t>数据进行</w:t>
      </w:r>
      <w:r>
        <w:rPr>
          <w:rFonts w:hint="eastAsia"/>
          <w:color w:val="auto"/>
          <w:kern w:val="0"/>
        </w:rPr>
        <w:t>类比</w:t>
      </w:r>
      <w:r>
        <w:rPr>
          <w:color w:val="auto"/>
          <w:kern w:val="0"/>
        </w:rPr>
        <w:t>说明。</w:t>
      </w:r>
    </w:p>
    <w:p>
      <w:pPr>
        <w:autoSpaceDE w:val="0"/>
        <w:autoSpaceDN w:val="0"/>
        <w:adjustRightInd w:val="0"/>
        <w:spacing w:line="360" w:lineRule="auto"/>
        <w:ind w:firstLine="480" w:firstLineChars="200"/>
        <w:jc w:val="both"/>
        <w:rPr>
          <w:color w:val="auto"/>
          <w:kern w:val="0"/>
        </w:rPr>
      </w:pPr>
      <w:r>
        <w:rPr>
          <w:color w:val="auto"/>
          <w:kern w:val="0"/>
        </w:rPr>
        <w:t>该工程由</w:t>
      </w:r>
      <w:r>
        <w:rPr>
          <w:rFonts w:hint="eastAsia"/>
          <w:color w:val="auto"/>
          <w:kern w:val="0"/>
        </w:rPr>
        <w:t>珠海市富山工业园管理委员会环境保护局</w:t>
      </w:r>
      <w:r>
        <w:rPr>
          <w:color w:val="auto"/>
          <w:kern w:val="0"/>
        </w:rPr>
        <w:t>批复同意建设，2017年申请竣工</w:t>
      </w:r>
      <w:r>
        <w:rPr>
          <w:rFonts w:hint="eastAsia"/>
          <w:color w:val="auto"/>
          <w:kern w:val="0"/>
        </w:rPr>
        <w:t>环保</w:t>
      </w:r>
      <w:r>
        <w:rPr>
          <w:color w:val="auto"/>
          <w:kern w:val="0"/>
        </w:rPr>
        <w:t>验收。本评价收集了该厂的竣工环保验收监测资料进行分析，具体结果见表</w:t>
      </w:r>
      <w:r>
        <w:rPr>
          <w:bCs/>
          <w:color w:val="auto"/>
          <w:kern w:val="0"/>
        </w:rPr>
        <w:t>6.2-2</w:t>
      </w:r>
      <w:r>
        <w:rPr>
          <w:color w:val="auto"/>
          <w:kern w:val="0"/>
        </w:rPr>
        <w:t>。</w:t>
      </w:r>
    </w:p>
    <w:p>
      <w:pPr>
        <w:autoSpaceDE w:val="0"/>
        <w:autoSpaceDN w:val="0"/>
        <w:adjustRightInd w:val="0"/>
        <w:spacing w:line="360" w:lineRule="auto"/>
        <w:ind w:firstLine="480" w:firstLineChars="200"/>
        <w:jc w:val="both"/>
        <w:rPr>
          <w:color w:val="auto"/>
          <w:kern w:val="0"/>
        </w:rPr>
      </w:pPr>
      <w:r>
        <w:rPr>
          <w:color w:val="auto"/>
          <w:kern w:val="0"/>
        </w:rPr>
        <w:t>从表</w:t>
      </w:r>
      <w:r>
        <w:rPr>
          <w:bCs/>
          <w:color w:val="auto"/>
          <w:kern w:val="0"/>
        </w:rPr>
        <w:t>6.2-</w:t>
      </w:r>
      <w:r>
        <w:rPr>
          <w:rFonts w:hint="eastAsia"/>
          <w:bCs/>
          <w:color w:val="auto"/>
          <w:kern w:val="0"/>
        </w:rPr>
        <w:t>6</w:t>
      </w:r>
      <w:r>
        <w:rPr>
          <w:color w:val="auto"/>
          <w:kern w:val="0"/>
        </w:rPr>
        <w:t>的数据中可以看出，在采用</w:t>
      </w:r>
      <w:r>
        <w:rPr>
          <w:rFonts w:asciiTheme="minorEastAsia" w:hAnsiTheme="minorEastAsia" w:eastAsiaTheme="minorEastAsia"/>
          <w:color w:val="auto"/>
          <w:kern w:val="0"/>
        </w:rPr>
        <w:t>“预</w:t>
      </w:r>
      <w:r>
        <w:rPr>
          <w:color w:val="auto"/>
          <w:kern w:val="0"/>
        </w:rPr>
        <w:t>处理+UASB厌氧反应器+MBR生化处理系统+NF纳滤膜系统+RO反渗透系统+DTRO</w:t>
      </w:r>
      <w:r>
        <w:rPr>
          <w:rFonts w:asciiTheme="minorEastAsia" w:hAnsiTheme="minorEastAsia" w:eastAsiaTheme="minorEastAsia"/>
          <w:color w:val="auto"/>
          <w:kern w:val="0"/>
        </w:rPr>
        <w:t>”处</w:t>
      </w:r>
      <w:r>
        <w:rPr>
          <w:color w:val="auto"/>
          <w:kern w:val="0"/>
        </w:rPr>
        <w:t>理工艺后，</w:t>
      </w:r>
      <w:r>
        <w:rPr>
          <w:rFonts w:hint="eastAsia"/>
          <w:color w:val="auto"/>
          <w:kern w:val="0"/>
        </w:rPr>
        <w:t>渗滤液处理系统出水水质</w:t>
      </w:r>
      <w:r>
        <w:rPr>
          <w:color w:val="auto"/>
          <w:kern w:val="0"/>
        </w:rPr>
        <w:t>均</w:t>
      </w:r>
      <w:r>
        <w:rPr>
          <w:rFonts w:hint="eastAsia"/>
          <w:color w:val="auto"/>
          <w:kern w:val="0"/>
        </w:rPr>
        <w:t>能够达到</w:t>
      </w:r>
      <w:r>
        <w:rPr>
          <w:color w:val="auto"/>
          <w:kern w:val="0"/>
        </w:rPr>
        <w:t>标准</w:t>
      </w:r>
      <w:r>
        <w:rPr>
          <w:rFonts w:hint="eastAsia"/>
          <w:color w:val="auto"/>
          <w:kern w:val="0"/>
        </w:rPr>
        <w:t>。</w:t>
      </w:r>
    </w:p>
    <w:p>
      <w:pPr>
        <w:autoSpaceDE w:val="0"/>
        <w:autoSpaceDN w:val="0"/>
        <w:adjustRightInd w:val="0"/>
        <w:spacing w:line="360" w:lineRule="auto"/>
        <w:ind w:firstLine="480" w:firstLineChars="200"/>
        <w:jc w:val="both"/>
        <w:rPr>
          <w:color w:val="auto"/>
          <w:kern w:val="0"/>
        </w:rPr>
      </w:pPr>
      <w:r>
        <w:rPr>
          <w:rFonts w:hint="eastAsia"/>
          <w:color w:val="auto"/>
          <w:kern w:val="0"/>
        </w:rPr>
        <w:t>综上所述</w:t>
      </w:r>
      <w:r>
        <w:rPr>
          <w:color w:val="auto"/>
          <w:kern w:val="0"/>
        </w:rPr>
        <w:t>，本评价认为</w:t>
      </w:r>
      <w:r>
        <w:rPr>
          <w:rFonts w:hint="eastAsia"/>
          <w:color w:val="auto"/>
          <w:kern w:val="0"/>
        </w:rPr>
        <w:t>在建</w:t>
      </w:r>
      <w:r>
        <w:rPr>
          <w:color w:val="auto"/>
          <w:kern w:val="0"/>
        </w:rPr>
        <w:t>项目设计采用</w:t>
      </w:r>
      <w:r>
        <w:rPr>
          <w:rFonts w:asciiTheme="minorEastAsia" w:hAnsiTheme="minorEastAsia" w:eastAsiaTheme="minorEastAsia"/>
          <w:color w:val="auto"/>
          <w:kern w:val="0"/>
        </w:rPr>
        <w:t>“预</w:t>
      </w:r>
      <w:r>
        <w:rPr>
          <w:color w:val="auto"/>
          <w:kern w:val="0"/>
        </w:rPr>
        <w:t>处理+UASB厌氧反应器+MBR生化处理系统+NF纳滤膜系统+RO反渗透系统+DTRO</w:t>
      </w:r>
      <w:r>
        <w:rPr>
          <w:rFonts w:asciiTheme="minorEastAsia" w:hAnsiTheme="minorEastAsia" w:eastAsiaTheme="minorEastAsia"/>
          <w:color w:val="auto"/>
          <w:kern w:val="0"/>
        </w:rPr>
        <w:t>”</w:t>
      </w:r>
      <w:r>
        <w:rPr>
          <w:rFonts w:hint="eastAsia" w:asciiTheme="minorEastAsia" w:hAnsiTheme="minorEastAsia" w:eastAsiaTheme="minorEastAsia"/>
          <w:color w:val="auto"/>
          <w:kern w:val="0"/>
        </w:rPr>
        <w:t>的处理工艺后</w:t>
      </w:r>
      <w:r>
        <w:rPr>
          <w:color w:val="auto"/>
          <w:kern w:val="0"/>
        </w:rPr>
        <w:t>，</w:t>
      </w:r>
      <w:r>
        <w:rPr>
          <w:rFonts w:hint="eastAsia"/>
          <w:color w:val="auto"/>
          <w:kern w:val="0"/>
        </w:rPr>
        <w:t>渗滤液处理系统出水水质</w:t>
      </w:r>
      <w:r>
        <w:rPr>
          <w:color w:val="auto"/>
          <w:kern w:val="0"/>
        </w:rPr>
        <w:t>达到标准的保障率极高。</w:t>
      </w:r>
    </w:p>
    <w:p>
      <w:pPr>
        <w:autoSpaceDE w:val="0"/>
        <w:autoSpaceDN w:val="0"/>
        <w:adjustRightInd w:val="0"/>
        <w:spacing w:line="360" w:lineRule="auto"/>
        <w:ind w:firstLine="480" w:firstLineChars="200"/>
        <w:jc w:val="both"/>
        <w:rPr>
          <w:color w:val="auto"/>
          <w:kern w:val="0"/>
        </w:rPr>
      </w:pPr>
    </w:p>
    <w:p>
      <w:pPr>
        <w:autoSpaceDE w:val="0"/>
        <w:autoSpaceDN w:val="0"/>
        <w:adjustRightInd w:val="0"/>
        <w:spacing w:before="93" w:line="388" w:lineRule="exact"/>
        <w:ind w:left="571" w:right="571" w:hanging="413"/>
        <w:jc w:val="center"/>
        <w:rPr>
          <w:b/>
          <w:color w:val="auto"/>
        </w:rPr>
      </w:pPr>
    </w:p>
    <w:p>
      <w:pPr>
        <w:autoSpaceDE w:val="0"/>
        <w:autoSpaceDN w:val="0"/>
        <w:adjustRightInd w:val="0"/>
        <w:spacing w:before="93" w:line="388" w:lineRule="exact"/>
        <w:ind w:left="571" w:right="571" w:hanging="413"/>
        <w:jc w:val="center"/>
        <w:rPr>
          <w:b/>
          <w:color w:val="auto"/>
        </w:rPr>
      </w:pPr>
    </w:p>
    <w:p>
      <w:pPr>
        <w:autoSpaceDE w:val="0"/>
        <w:autoSpaceDN w:val="0"/>
        <w:adjustRightInd w:val="0"/>
        <w:spacing w:before="93" w:line="388" w:lineRule="exact"/>
        <w:ind w:left="571" w:right="571" w:hanging="413"/>
        <w:jc w:val="center"/>
        <w:rPr>
          <w:b/>
          <w:color w:val="auto"/>
        </w:rPr>
      </w:pPr>
    </w:p>
    <w:p>
      <w:pPr>
        <w:autoSpaceDE w:val="0"/>
        <w:autoSpaceDN w:val="0"/>
        <w:adjustRightInd w:val="0"/>
        <w:spacing w:before="93" w:line="388" w:lineRule="exact"/>
        <w:ind w:left="571" w:right="571" w:hanging="413"/>
        <w:jc w:val="center"/>
        <w:rPr>
          <w:b/>
          <w:color w:val="auto"/>
        </w:rPr>
      </w:pPr>
    </w:p>
    <w:p>
      <w:pPr>
        <w:autoSpaceDE w:val="0"/>
        <w:autoSpaceDN w:val="0"/>
        <w:adjustRightInd w:val="0"/>
        <w:spacing w:before="93" w:line="388" w:lineRule="exact"/>
        <w:ind w:left="571" w:right="571" w:hanging="413"/>
        <w:jc w:val="center"/>
        <w:rPr>
          <w:b/>
          <w:color w:val="auto"/>
        </w:rPr>
      </w:pPr>
    </w:p>
    <w:p>
      <w:pPr>
        <w:autoSpaceDE w:val="0"/>
        <w:autoSpaceDN w:val="0"/>
        <w:adjustRightInd w:val="0"/>
        <w:spacing w:before="93" w:line="388" w:lineRule="exact"/>
        <w:ind w:left="571" w:right="571" w:hanging="413"/>
        <w:jc w:val="center"/>
        <w:rPr>
          <w:b/>
          <w:color w:val="auto"/>
        </w:rPr>
      </w:pPr>
    </w:p>
    <w:p>
      <w:pPr>
        <w:autoSpaceDE w:val="0"/>
        <w:autoSpaceDN w:val="0"/>
        <w:adjustRightInd w:val="0"/>
        <w:spacing w:before="93" w:line="388" w:lineRule="exact"/>
        <w:ind w:left="571" w:right="571" w:hanging="413"/>
        <w:jc w:val="center"/>
        <w:rPr>
          <w:b/>
          <w:color w:val="auto"/>
        </w:rPr>
      </w:pPr>
    </w:p>
    <w:p>
      <w:pPr>
        <w:autoSpaceDE w:val="0"/>
        <w:autoSpaceDN w:val="0"/>
        <w:adjustRightInd w:val="0"/>
        <w:spacing w:before="93" w:line="388" w:lineRule="exact"/>
        <w:ind w:left="571" w:right="571" w:hanging="413"/>
        <w:jc w:val="center"/>
        <w:rPr>
          <w:b/>
          <w:color w:val="auto"/>
        </w:rPr>
      </w:pPr>
    </w:p>
    <w:p>
      <w:pPr>
        <w:autoSpaceDE w:val="0"/>
        <w:autoSpaceDN w:val="0"/>
        <w:adjustRightInd w:val="0"/>
        <w:spacing w:before="93" w:line="388" w:lineRule="exact"/>
        <w:ind w:left="571" w:right="571" w:hanging="413"/>
        <w:jc w:val="center"/>
        <w:rPr>
          <w:b/>
          <w:color w:val="auto"/>
        </w:rPr>
      </w:pPr>
    </w:p>
    <w:p>
      <w:pPr>
        <w:autoSpaceDE w:val="0"/>
        <w:autoSpaceDN w:val="0"/>
        <w:adjustRightInd w:val="0"/>
        <w:spacing w:before="93" w:line="388" w:lineRule="exact"/>
        <w:ind w:left="571" w:right="571" w:hanging="413"/>
        <w:jc w:val="center"/>
        <w:rPr>
          <w:b/>
          <w:color w:val="auto"/>
        </w:rPr>
      </w:pPr>
    </w:p>
    <w:p>
      <w:pPr>
        <w:autoSpaceDE w:val="0"/>
        <w:autoSpaceDN w:val="0"/>
        <w:adjustRightInd w:val="0"/>
        <w:spacing w:before="93" w:line="388" w:lineRule="exact"/>
        <w:ind w:left="571" w:right="571" w:hanging="413"/>
        <w:jc w:val="center"/>
        <w:rPr>
          <w:b/>
          <w:color w:val="auto"/>
          <w:kern w:val="0"/>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6.2</w:t>
      </w:r>
      <w:r>
        <w:rPr>
          <w:b/>
          <w:color w:val="auto"/>
        </w:rPr>
        <w:fldChar w:fldCharType="end"/>
      </w:r>
      <w:r>
        <w:rPr>
          <w:b/>
          <w:color w:val="auto"/>
        </w:rPr>
        <w:noBreakHyphen/>
      </w:r>
      <w:r>
        <w:rPr>
          <w:rFonts w:hint="eastAsia"/>
          <w:b/>
          <w:color w:val="auto"/>
        </w:rPr>
        <w:t>6</w:t>
      </w:r>
      <w:r>
        <w:rPr>
          <w:b/>
          <w:color w:val="auto"/>
          <w:kern w:val="0"/>
        </w:rPr>
        <w:t xml:space="preserve">  </w:t>
      </w:r>
      <w:r>
        <w:rPr>
          <w:rFonts w:hint="eastAsia"/>
          <w:b/>
          <w:color w:val="auto"/>
          <w:spacing w:val="2"/>
          <w:kern w:val="0"/>
        </w:rPr>
        <w:t>珠海</w:t>
      </w:r>
      <w:r>
        <w:rPr>
          <w:b/>
          <w:color w:val="auto"/>
          <w:spacing w:val="2"/>
          <w:kern w:val="0"/>
        </w:rPr>
        <w:t>市</w:t>
      </w:r>
      <w:r>
        <w:rPr>
          <w:rFonts w:hint="eastAsia"/>
          <w:b/>
          <w:color w:val="auto"/>
          <w:spacing w:val="2"/>
          <w:kern w:val="0"/>
        </w:rPr>
        <w:t>环保生物质热电工程</w:t>
      </w:r>
      <w:r>
        <w:rPr>
          <w:rFonts w:hint="eastAsia"/>
          <w:b/>
          <w:color w:val="auto"/>
          <w:kern w:val="0"/>
        </w:rPr>
        <w:t>废水监测结果</w:t>
      </w:r>
      <w:r>
        <w:rPr>
          <w:b/>
          <w:color w:val="auto"/>
          <w:kern w:val="0"/>
        </w:rPr>
        <w:t>一览表</w:t>
      </w:r>
    </w:p>
    <w:p>
      <w:pPr>
        <w:autoSpaceDE w:val="0"/>
        <w:autoSpaceDN w:val="0"/>
        <w:adjustRightInd w:val="0"/>
        <w:spacing w:line="360" w:lineRule="auto"/>
        <w:jc w:val="center"/>
        <w:rPr>
          <w:color w:val="auto"/>
          <w:kern w:val="0"/>
        </w:rPr>
      </w:pPr>
      <w:r>
        <w:rPr>
          <w:color w:val="auto"/>
        </w:rPr>
        <w:drawing>
          <wp:inline distT="0" distB="0" distL="0" distR="0">
            <wp:extent cx="4305935" cy="4162425"/>
            <wp:effectExtent l="0" t="0" r="0" b="0"/>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pic:cNvPicPr>
                      <a:picLocks noChangeAspect="1"/>
                    </pic:cNvPicPr>
                  </pic:nvPicPr>
                  <pic:blipFill>
                    <a:blip r:embed="rId128"/>
                    <a:srcRect b="12178"/>
                    <a:stretch>
                      <a:fillRect/>
                    </a:stretch>
                  </pic:blipFill>
                  <pic:spPr>
                    <a:xfrm>
                      <a:off x="0" y="0"/>
                      <a:ext cx="4313626" cy="4169517"/>
                    </a:xfrm>
                    <a:prstGeom prst="rect">
                      <a:avLst/>
                    </a:prstGeom>
                    <a:ln>
                      <a:noFill/>
                    </a:ln>
                  </pic:spPr>
                </pic:pic>
              </a:graphicData>
            </a:graphic>
          </wp:inline>
        </w:drawing>
      </w:r>
    </w:p>
    <w:p>
      <w:pPr>
        <w:autoSpaceDE w:val="0"/>
        <w:autoSpaceDN w:val="0"/>
        <w:adjustRightInd w:val="0"/>
        <w:spacing w:line="360" w:lineRule="auto"/>
        <w:jc w:val="center"/>
        <w:rPr>
          <w:color w:val="auto"/>
          <w:kern w:val="0"/>
        </w:rPr>
      </w:pPr>
      <w:r>
        <w:rPr>
          <w:color w:val="auto"/>
        </w:rPr>
        <w:drawing>
          <wp:inline distT="0" distB="0" distL="0" distR="0">
            <wp:extent cx="4295775" cy="4213860"/>
            <wp:effectExtent l="0" t="0" r="0" b="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pic:cNvPicPr>
                  </pic:nvPicPr>
                  <pic:blipFill>
                    <a:blip r:embed="rId129"/>
                    <a:stretch>
                      <a:fillRect/>
                    </a:stretch>
                  </pic:blipFill>
                  <pic:spPr>
                    <a:xfrm>
                      <a:off x="0" y="0"/>
                      <a:ext cx="4304517" cy="4222613"/>
                    </a:xfrm>
                    <a:prstGeom prst="rect">
                      <a:avLst/>
                    </a:prstGeom>
                  </pic:spPr>
                </pic:pic>
              </a:graphicData>
            </a:graphic>
          </wp:inline>
        </w:drawing>
      </w:r>
    </w:p>
    <w:p>
      <w:pPr>
        <w:autoSpaceDE w:val="0"/>
        <w:autoSpaceDN w:val="0"/>
        <w:adjustRightInd w:val="0"/>
        <w:spacing w:line="360" w:lineRule="auto"/>
        <w:ind w:firstLine="480" w:firstLineChars="200"/>
        <w:jc w:val="both"/>
        <w:rPr>
          <w:color w:val="auto"/>
          <w:kern w:val="0"/>
        </w:rPr>
      </w:pPr>
    </w:p>
    <w:p>
      <w:pPr>
        <w:pStyle w:val="79"/>
        <w:ind w:firstLine="480"/>
        <w:jc w:val="both"/>
        <w:rPr>
          <w:bCs/>
          <w:color w:val="auto"/>
          <w:kern w:val="0"/>
        </w:rPr>
      </w:pPr>
      <w:r>
        <w:rPr>
          <w:rFonts w:hint="eastAsia"/>
          <w:bCs/>
          <w:color w:val="auto"/>
          <w:kern w:val="0"/>
        </w:rPr>
        <w:t>同时该废水处理工艺在</w:t>
      </w:r>
      <w:r>
        <w:rPr>
          <w:color w:val="auto"/>
        </w:rPr>
        <w:t>《</w:t>
      </w:r>
      <w:r>
        <w:rPr>
          <w:rFonts w:hint="eastAsia"/>
          <w:color w:val="auto"/>
        </w:rPr>
        <w:t>兴宁市静脉产业园</w:t>
      </w:r>
      <w:r>
        <w:rPr>
          <w:color w:val="auto"/>
        </w:rPr>
        <w:t>PPP项目环境影响报告书》</w:t>
      </w:r>
      <w:r>
        <w:rPr>
          <w:rFonts w:hint="eastAsia"/>
          <w:color w:val="auto"/>
        </w:rPr>
        <w:t>已经过充分论证，该论证结果已通过兴宁市静脉产业园</w:t>
      </w:r>
      <w:r>
        <w:rPr>
          <w:color w:val="auto"/>
        </w:rPr>
        <w:t>PPP项目环境影响报告书</w:t>
      </w:r>
      <w:r>
        <w:rPr>
          <w:rFonts w:hint="eastAsia"/>
          <w:color w:val="auto"/>
        </w:rPr>
        <w:t>专家评审会并已取得梅州市生态环境局审批批复，审批文号：梅市环审[2019]22号。</w:t>
      </w:r>
    </w:p>
    <w:p>
      <w:pPr>
        <w:pStyle w:val="79"/>
        <w:ind w:firstLine="480"/>
        <w:jc w:val="both"/>
        <w:rPr>
          <w:bCs/>
          <w:color w:val="auto"/>
          <w:kern w:val="0"/>
        </w:rPr>
      </w:pPr>
      <w:r>
        <w:rPr>
          <w:rFonts w:hint="eastAsia"/>
          <w:bCs/>
          <w:color w:val="auto"/>
          <w:kern w:val="0"/>
        </w:rPr>
        <w:t>（二）餐厨废水处理依托可行性</w:t>
      </w:r>
    </w:p>
    <w:p>
      <w:pPr>
        <w:spacing w:line="360" w:lineRule="auto"/>
        <w:ind w:firstLine="480" w:firstLineChars="200"/>
        <w:rPr>
          <w:color w:val="auto"/>
        </w:rPr>
      </w:pPr>
      <w:r>
        <w:rPr>
          <w:rFonts w:hint="eastAsia"/>
          <w:color w:val="auto"/>
        </w:rPr>
        <w:t>根据</w:t>
      </w:r>
      <w:r>
        <w:rPr>
          <w:color w:val="auto"/>
        </w:rPr>
        <w:t>《</w:t>
      </w:r>
      <w:r>
        <w:rPr>
          <w:rFonts w:hint="eastAsia"/>
          <w:color w:val="auto"/>
        </w:rPr>
        <w:t>兴宁市静脉产业园</w:t>
      </w:r>
      <w:r>
        <w:rPr>
          <w:color w:val="auto"/>
        </w:rPr>
        <w:t>PPP项目环境影响报告书》</w:t>
      </w:r>
      <w:r>
        <w:rPr>
          <w:rFonts w:hint="eastAsia"/>
          <w:color w:val="auto"/>
        </w:rPr>
        <w:t>的内容，可知渗滤液处理站</w:t>
      </w:r>
      <w:r>
        <w:rPr>
          <w:color w:val="auto"/>
        </w:rPr>
        <w:t>各环节污水污染因子处理工艺及各部分处理效率见表6.2-</w:t>
      </w:r>
      <w:r>
        <w:rPr>
          <w:rFonts w:hint="eastAsia"/>
          <w:color w:val="auto"/>
        </w:rPr>
        <w:t>7和</w:t>
      </w:r>
      <w:r>
        <w:rPr>
          <w:color w:val="auto"/>
        </w:rPr>
        <w:t>表6.2-</w:t>
      </w:r>
      <w:r>
        <w:rPr>
          <w:rFonts w:hint="eastAsia"/>
          <w:color w:val="auto"/>
        </w:rPr>
        <w:t>8</w:t>
      </w:r>
      <w:r>
        <w:rPr>
          <w:color w:val="auto"/>
          <w:sz w:val="21"/>
          <w:szCs w:val="21"/>
        </w:rPr>
        <w:t>。</w:t>
      </w:r>
    </w:p>
    <w:p>
      <w:pPr>
        <w:ind w:firstLine="482" w:firstLineChars="200"/>
        <w:jc w:val="center"/>
        <w:rPr>
          <w:rFonts w:eastAsiaTheme="minorEastAsia"/>
          <w:color w:val="auto"/>
        </w:rPr>
      </w:pPr>
      <w:r>
        <w:rPr>
          <w:rFonts w:eastAsiaTheme="minorEastAsia"/>
          <w:b/>
          <w:color w:val="auto"/>
        </w:rPr>
        <w:t xml:space="preserve">表 </w:t>
      </w:r>
      <w:r>
        <w:rPr>
          <w:rFonts w:eastAsiaTheme="minorEastAsia"/>
          <w:b/>
          <w:color w:val="auto"/>
        </w:rPr>
        <w:fldChar w:fldCharType="begin"/>
      </w:r>
      <w:r>
        <w:rPr>
          <w:rFonts w:eastAsiaTheme="minorEastAsia"/>
          <w:b/>
          <w:color w:val="auto"/>
        </w:rPr>
        <w:instrText xml:space="preserve"> STYLEREF 2 \s </w:instrText>
      </w:r>
      <w:r>
        <w:rPr>
          <w:rFonts w:eastAsiaTheme="minorEastAsia"/>
          <w:b/>
          <w:color w:val="auto"/>
        </w:rPr>
        <w:fldChar w:fldCharType="separate"/>
      </w:r>
      <w:r>
        <w:rPr>
          <w:rFonts w:eastAsiaTheme="minorEastAsia"/>
          <w:b/>
          <w:color w:val="auto"/>
        </w:rPr>
        <w:t>6.2</w:t>
      </w:r>
      <w:r>
        <w:rPr>
          <w:rFonts w:eastAsiaTheme="minorEastAsia"/>
          <w:b/>
          <w:color w:val="auto"/>
        </w:rPr>
        <w:fldChar w:fldCharType="end"/>
      </w:r>
      <w:r>
        <w:rPr>
          <w:rFonts w:eastAsiaTheme="minorEastAsia"/>
          <w:b/>
          <w:color w:val="auto"/>
        </w:rPr>
        <w:noBreakHyphen/>
      </w:r>
      <w:r>
        <w:rPr>
          <w:rFonts w:hint="eastAsia" w:eastAsiaTheme="minorEastAsia"/>
          <w:b/>
          <w:color w:val="auto"/>
        </w:rPr>
        <w:t>7</w:t>
      </w:r>
      <w:r>
        <w:rPr>
          <w:rFonts w:eastAsiaTheme="minorEastAsia"/>
          <w:b/>
          <w:bCs/>
          <w:color w:val="auto"/>
        </w:rPr>
        <w:t xml:space="preserve"> 垃圾渗滤液进、出水主要污染物控制指标一览表</w:t>
      </w:r>
    </w:p>
    <w:tbl>
      <w:tblPr>
        <w:tblStyle w:val="53"/>
        <w:tblW w:w="920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10"/>
        <w:gridCol w:w="1311"/>
        <w:gridCol w:w="1309"/>
        <w:gridCol w:w="1366"/>
        <w:gridCol w:w="1377"/>
        <w:gridCol w:w="1346"/>
        <w:gridCol w:w="13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9" w:hRule="atLeast"/>
          <w:jc w:val="center"/>
        </w:trPr>
        <w:tc>
          <w:tcPr>
            <w:tcW w:w="1110" w:type="dxa"/>
            <w:vAlign w:val="center"/>
          </w:tcPr>
          <w:p>
            <w:pPr>
              <w:jc w:val="center"/>
              <w:rPr>
                <w:b/>
                <w:bCs/>
                <w:color w:val="auto"/>
                <w:sz w:val="21"/>
                <w:szCs w:val="21"/>
              </w:rPr>
            </w:pPr>
            <w:r>
              <w:rPr>
                <w:b/>
                <w:bCs/>
                <w:color w:val="auto"/>
                <w:sz w:val="21"/>
                <w:szCs w:val="21"/>
              </w:rPr>
              <w:t>项目</w:t>
            </w:r>
          </w:p>
        </w:tc>
        <w:tc>
          <w:tcPr>
            <w:tcW w:w="1311" w:type="dxa"/>
            <w:vAlign w:val="center"/>
          </w:tcPr>
          <w:p>
            <w:pPr>
              <w:jc w:val="center"/>
              <w:rPr>
                <w:b/>
                <w:bCs/>
                <w:color w:val="auto"/>
                <w:sz w:val="21"/>
                <w:szCs w:val="21"/>
              </w:rPr>
            </w:pPr>
            <w:r>
              <w:rPr>
                <w:b/>
                <w:bCs/>
                <w:color w:val="auto"/>
                <w:sz w:val="21"/>
                <w:szCs w:val="21"/>
              </w:rPr>
              <w:t>BOD</w:t>
            </w:r>
            <w:r>
              <w:rPr>
                <w:b/>
                <w:bCs/>
                <w:color w:val="auto"/>
                <w:sz w:val="21"/>
                <w:szCs w:val="21"/>
                <w:vertAlign w:val="subscript"/>
              </w:rPr>
              <w:t>5</w:t>
            </w:r>
          </w:p>
          <w:p>
            <w:pPr>
              <w:jc w:val="center"/>
              <w:rPr>
                <w:b/>
                <w:bCs/>
                <w:color w:val="auto"/>
                <w:sz w:val="21"/>
                <w:szCs w:val="21"/>
              </w:rPr>
            </w:pPr>
            <w:r>
              <w:rPr>
                <w:b/>
                <w:bCs/>
                <w:color w:val="auto"/>
                <w:sz w:val="21"/>
                <w:szCs w:val="21"/>
              </w:rPr>
              <w:t>(mg/L)</w:t>
            </w:r>
          </w:p>
        </w:tc>
        <w:tc>
          <w:tcPr>
            <w:tcW w:w="1309" w:type="dxa"/>
            <w:vAlign w:val="center"/>
          </w:tcPr>
          <w:p>
            <w:pPr>
              <w:jc w:val="center"/>
              <w:rPr>
                <w:b/>
                <w:bCs/>
                <w:color w:val="auto"/>
                <w:sz w:val="21"/>
                <w:szCs w:val="21"/>
              </w:rPr>
            </w:pPr>
            <w:r>
              <w:rPr>
                <w:b/>
                <w:bCs/>
                <w:color w:val="auto"/>
                <w:sz w:val="21"/>
                <w:szCs w:val="21"/>
              </w:rPr>
              <w:t>COD</w:t>
            </w:r>
            <w:r>
              <w:rPr>
                <w:b/>
                <w:bCs/>
                <w:color w:val="auto"/>
                <w:sz w:val="21"/>
                <w:szCs w:val="21"/>
                <w:vertAlign w:val="subscript"/>
              </w:rPr>
              <w:t>Cr</w:t>
            </w:r>
          </w:p>
          <w:p>
            <w:pPr>
              <w:jc w:val="center"/>
              <w:rPr>
                <w:b/>
                <w:bCs/>
                <w:color w:val="auto"/>
                <w:sz w:val="21"/>
                <w:szCs w:val="21"/>
              </w:rPr>
            </w:pPr>
            <w:r>
              <w:rPr>
                <w:b/>
                <w:bCs/>
                <w:color w:val="auto"/>
                <w:sz w:val="21"/>
                <w:szCs w:val="21"/>
              </w:rPr>
              <w:t>(mg/L)</w:t>
            </w:r>
          </w:p>
        </w:tc>
        <w:tc>
          <w:tcPr>
            <w:tcW w:w="1366" w:type="dxa"/>
            <w:vAlign w:val="center"/>
          </w:tcPr>
          <w:p>
            <w:pPr>
              <w:jc w:val="center"/>
              <w:rPr>
                <w:b/>
                <w:bCs/>
                <w:color w:val="auto"/>
                <w:sz w:val="21"/>
                <w:szCs w:val="21"/>
              </w:rPr>
            </w:pPr>
            <w:r>
              <w:rPr>
                <w:b/>
                <w:bCs/>
                <w:color w:val="auto"/>
                <w:sz w:val="21"/>
                <w:szCs w:val="21"/>
              </w:rPr>
              <w:t>SS</w:t>
            </w:r>
          </w:p>
          <w:p>
            <w:pPr>
              <w:jc w:val="center"/>
              <w:rPr>
                <w:b/>
                <w:bCs/>
                <w:color w:val="auto"/>
                <w:sz w:val="21"/>
                <w:szCs w:val="21"/>
              </w:rPr>
            </w:pPr>
            <w:r>
              <w:rPr>
                <w:b/>
                <w:bCs/>
                <w:color w:val="auto"/>
                <w:sz w:val="21"/>
                <w:szCs w:val="21"/>
              </w:rPr>
              <w:t>(mg/L)</w:t>
            </w:r>
          </w:p>
        </w:tc>
        <w:tc>
          <w:tcPr>
            <w:tcW w:w="1377" w:type="dxa"/>
            <w:tcMar>
              <w:left w:w="28" w:type="dxa"/>
              <w:right w:w="28" w:type="dxa"/>
            </w:tcMar>
            <w:vAlign w:val="center"/>
          </w:tcPr>
          <w:p>
            <w:pPr>
              <w:jc w:val="center"/>
              <w:rPr>
                <w:b/>
                <w:bCs/>
                <w:color w:val="auto"/>
                <w:sz w:val="21"/>
                <w:szCs w:val="21"/>
              </w:rPr>
            </w:pPr>
            <w:r>
              <w:rPr>
                <w:b/>
                <w:bCs/>
                <w:color w:val="auto"/>
                <w:sz w:val="21"/>
                <w:szCs w:val="21"/>
              </w:rPr>
              <w:t>NH</w:t>
            </w:r>
            <w:r>
              <w:rPr>
                <w:b/>
                <w:bCs/>
                <w:color w:val="auto"/>
                <w:sz w:val="21"/>
                <w:szCs w:val="21"/>
                <w:vertAlign w:val="subscript"/>
              </w:rPr>
              <w:t>4</w:t>
            </w:r>
            <w:r>
              <w:rPr>
                <w:b/>
                <w:bCs/>
                <w:color w:val="auto"/>
                <w:position w:val="7"/>
                <w:sz w:val="21"/>
                <w:szCs w:val="21"/>
              </w:rPr>
              <w:t>+</w:t>
            </w:r>
            <w:r>
              <w:rPr>
                <w:b/>
                <w:bCs/>
                <w:color w:val="auto"/>
                <w:sz w:val="21"/>
                <w:szCs w:val="21"/>
              </w:rPr>
              <w:t>-N</w:t>
            </w:r>
          </w:p>
          <w:p>
            <w:pPr>
              <w:jc w:val="center"/>
              <w:rPr>
                <w:b/>
                <w:bCs/>
                <w:color w:val="auto"/>
                <w:sz w:val="21"/>
                <w:szCs w:val="21"/>
              </w:rPr>
            </w:pPr>
            <w:r>
              <w:rPr>
                <w:b/>
                <w:bCs/>
                <w:color w:val="auto"/>
                <w:sz w:val="21"/>
                <w:szCs w:val="21"/>
              </w:rPr>
              <w:t>(mg/L)</w:t>
            </w:r>
          </w:p>
        </w:tc>
        <w:tc>
          <w:tcPr>
            <w:tcW w:w="1346" w:type="dxa"/>
            <w:tcMar>
              <w:left w:w="28" w:type="dxa"/>
              <w:right w:w="28" w:type="dxa"/>
            </w:tcMar>
            <w:vAlign w:val="center"/>
          </w:tcPr>
          <w:p>
            <w:pPr>
              <w:jc w:val="center"/>
              <w:rPr>
                <w:b/>
                <w:bCs/>
                <w:color w:val="auto"/>
                <w:sz w:val="21"/>
                <w:szCs w:val="21"/>
              </w:rPr>
            </w:pPr>
            <w:r>
              <w:rPr>
                <w:b/>
                <w:bCs/>
                <w:color w:val="auto"/>
                <w:sz w:val="21"/>
                <w:szCs w:val="21"/>
              </w:rPr>
              <w:t>TN</w:t>
            </w:r>
          </w:p>
          <w:p>
            <w:pPr>
              <w:jc w:val="center"/>
              <w:rPr>
                <w:b/>
                <w:bCs/>
                <w:color w:val="auto"/>
                <w:sz w:val="21"/>
                <w:szCs w:val="21"/>
              </w:rPr>
            </w:pPr>
            <w:r>
              <w:rPr>
                <w:b/>
                <w:bCs/>
                <w:color w:val="auto"/>
                <w:sz w:val="21"/>
                <w:szCs w:val="21"/>
              </w:rPr>
              <w:t>(mg/L)</w:t>
            </w:r>
          </w:p>
        </w:tc>
        <w:tc>
          <w:tcPr>
            <w:tcW w:w="1387" w:type="dxa"/>
            <w:tcMar>
              <w:left w:w="28" w:type="dxa"/>
              <w:right w:w="28" w:type="dxa"/>
            </w:tcMar>
            <w:vAlign w:val="center"/>
          </w:tcPr>
          <w:p>
            <w:pPr>
              <w:jc w:val="center"/>
              <w:rPr>
                <w:b/>
                <w:bCs/>
                <w:color w:val="auto"/>
                <w:sz w:val="21"/>
                <w:szCs w:val="21"/>
              </w:rPr>
            </w:pPr>
            <w:r>
              <w:rPr>
                <w:b/>
                <w:bCs/>
                <w:color w:val="auto"/>
                <w:sz w:val="21"/>
                <w:szCs w:val="21"/>
              </w:rPr>
              <w:t>色度</w:t>
            </w:r>
          </w:p>
          <w:p>
            <w:pPr>
              <w:jc w:val="center"/>
              <w:rPr>
                <w:b/>
                <w:bCs/>
                <w:color w:val="auto"/>
                <w:sz w:val="21"/>
                <w:szCs w:val="21"/>
              </w:rPr>
            </w:pPr>
            <w:r>
              <w:rPr>
                <w:b/>
                <w:bCs/>
                <w:color w:val="auto"/>
                <w:sz w:val="21"/>
                <w:szCs w:val="21"/>
              </w:rPr>
              <w:t>（倍）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06" w:hRule="atLeast"/>
          <w:jc w:val="center"/>
        </w:trPr>
        <w:tc>
          <w:tcPr>
            <w:tcW w:w="1110" w:type="dxa"/>
            <w:vAlign w:val="center"/>
          </w:tcPr>
          <w:p>
            <w:pPr>
              <w:jc w:val="center"/>
              <w:rPr>
                <w:color w:val="auto"/>
                <w:sz w:val="21"/>
                <w:szCs w:val="21"/>
              </w:rPr>
            </w:pPr>
            <w:r>
              <w:rPr>
                <w:color w:val="auto"/>
                <w:sz w:val="21"/>
                <w:szCs w:val="21"/>
              </w:rPr>
              <w:t>进水水质</w:t>
            </w:r>
          </w:p>
        </w:tc>
        <w:tc>
          <w:tcPr>
            <w:tcW w:w="1311" w:type="dxa"/>
            <w:tcMar>
              <w:left w:w="28" w:type="dxa"/>
              <w:right w:w="28" w:type="dxa"/>
            </w:tcMar>
            <w:vAlign w:val="center"/>
          </w:tcPr>
          <w:p>
            <w:pPr>
              <w:jc w:val="center"/>
              <w:rPr>
                <w:color w:val="auto"/>
                <w:sz w:val="21"/>
                <w:szCs w:val="21"/>
              </w:rPr>
            </w:pPr>
            <w:r>
              <w:rPr>
                <w:rFonts w:hint="eastAsia"/>
                <w:color w:val="auto"/>
                <w:sz w:val="21"/>
                <w:szCs w:val="21"/>
              </w:rPr>
              <w:t>1</w:t>
            </w:r>
            <w:r>
              <w:rPr>
                <w:color w:val="auto"/>
                <w:sz w:val="21"/>
                <w:szCs w:val="21"/>
              </w:rPr>
              <w:t>0000</w:t>
            </w:r>
          </w:p>
        </w:tc>
        <w:tc>
          <w:tcPr>
            <w:tcW w:w="1309" w:type="dxa"/>
            <w:tcMar>
              <w:left w:w="28" w:type="dxa"/>
              <w:right w:w="28" w:type="dxa"/>
            </w:tcMar>
            <w:vAlign w:val="center"/>
          </w:tcPr>
          <w:p>
            <w:pPr>
              <w:jc w:val="center"/>
              <w:rPr>
                <w:color w:val="auto"/>
                <w:sz w:val="21"/>
                <w:szCs w:val="21"/>
              </w:rPr>
            </w:pPr>
            <w:r>
              <w:rPr>
                <w:color w:val="auto"/>
                <w:sz w:val="21"/>
                <w:szCs w:val="21"/>
              </w:rPr>
              <w:t>60000</w:t>
            </w:r>
          </w:p>
        </w:tc>
        <w:tc>
          <w:tcPr>
            <w:tcW w:w="1366" w:type="dxa"/>
            <w:tcMar>
              <w:left w:w="28" w:type="dxa"/>
              <w:right w:w="28" w:type="dxa"/>
            </w:tcMar>
            <w:vAlign w:val="center"/>
          </w:tcPr>
          <w:p>
            <w:pPr>
              <w:jc w:val="center"/>
              <w:rPr>
                <w:color w:val="auto"/>
                <w:sz w:val="21"/>
                <w:szCs w:val="21"/>
              </w:rPr>
            </w:pPr>
            <w:r>
              <w:rPr>
                <w:rFonts w:hint="eastAsia"/>
                <w:color w:val="auto"/>
                <w:sz w:val="21"/>
                <w:szCs w:val="21"/>
              </w:rPr>
              <w:t>150</w:t>
            </w:r>
          </w:p>
        </w:tc>
        <w:tc>
          <w:tcPr>
            <w:tcW w:w="1377" w:type="dxa"/>
            <w:tcMar>
              <w:left w:w="28" w:type="dxa"/>
              <w:right w:w="28" w:type="dxa"/>
            </w:tcMar>
            <w:vAlign w:val="center"/>
          </w:tcPr>
          <w:p>
            <w:pPr>
              <w:jc w:val="center"/>
              <w:rPr>
                <w:color w:val="auto"/>
                <w:sz w:val="21"/>
                <w:szCs w:val="21"/>
              </w:rPr>
            </w:pPr>
            <w:r>
              <w:rPr>
                <w:rFonts w:hint="eastAsia"/>
                <w:color w:val="auto"/>
                <w:sz w:val="21"/>
                <w:szCs w:val="21"/>
              </w:rPr>
              <w:t>1</w:t>
            </w:r>
            <w:r>
              <w:rPr>
                <w:color w:val="auto"/>
                <w:sz w:val="21"/>
                <w:szCs w:val="21"/>
              </w:rPr>
              <w:t>000</w:t>
            </w:r>
          </w:p>
        </w:tc>
        <w:tc>
          <w:tcPr>
            <w:tcW w:w="1346" w:type="dxa"/>
            <w:tcMar>
              <w:left w:w="28" w:type="dxa"/>
              <w:right w:w="28" w:type="dxa"/>
            </w:tcMar>
            <w:vAlign w:val="center"/>
          </w:tcPr>
          <w:p>
            <w:pPr>
              <w:jc w:val="center"/>
              <w:rPr>
                <w:color w:val="auto"/>
                <w:sz w:val="21"/>
                <w:szCs w:val="21"/>
              </w:rPr>
            </w:pPr>
            <w:r>
              <w:rPr>
                <w:color w:val="auto"/>
                <w:sz w:val="21"/>
                <w:szCs w:val="21"/>
              </w:rPr>
              <w:t>2100</w:t>
            </w:r>
          </w:p>
        </w:tc>
        <w:tc>
          <w:tcPr>
            <w:tcW w:w="1387" w:type="dxa"/>
            <w:tcMar>
              <w:left w:w="28" w:type="dxa"/>
              <w:right w:w="28" w:type="dxa"/>
            </w:tcMar>
            <w:vAlign w:val="center"/>
          </w:tcPr>
          <w:p>
            <w:pPr>
              <w:jc w:val="center"/>
              <w:rPr>
                <w:color w:val="auto"/>
                <w:sz w:val="21"/>
                <w:szCs w:val="21"/>
              </w:rPr>
            </w:pPr>
            <w:r>
              <w:rPr>
                <w:color w:val="auto"/>
                <w:sz w:val="21"/>
                <w:szCs w:val="21"/>
              </w:rPr>
              <w:t>10000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06" w:hRule="atLeast"/>
          <w:jc w:val="center"/>
        </w:trPr>
        <w:tc>
          <w:tcPr>
            <w:tcW w:w="1110" w:type="dxa"/>
            <w:vAlign w:val="center"/>
          </w:tcPr>
          <w:p>
            <w:pPr>
              <w:jc w:val="center"/>
              <w:rPr>
                <w:color w:val="auto"/>
                <w:sz w:val="21"/>
                <w:szCs w:val="21"/>
              </w:rPr>
            </w:pPr>
            <w:r>
              <w:rPr>
                <w:color w:val="auto"/>
                <w:sz w:val="21"/>
                <w:szCs w:val="21"/>
              </w:rPr>
              <w:t>出水水质</w:t>
            </w:r>
          </w:p>
        </w:tc>
        <w:tc>
          <w:tcPr>
            <w:tcW w:w="1311" w:type="dxa"/>
            <w:vAlign w:val="center"/>
          </w:tcPr>
          <w:p>
            <w:pPr>
              <w:jc w:val="center"/>
              <w:rPr>
                <w:color w:val="auto"/>
                <w:sz w:val="21"/>
                <w:szCs w:val="21"/>
              </w:rPr>
            </w:pPr>
            <w:r>
              <w:rPr>
                <w:color w:val="auto"/>
                <w:sz w:val="21"/>
                <w:szCs w:val="21"/>
              </w:rPr>
              <w:t>≤10</w:t>
            </w:r>
          </w:p>
        </w:tc>
        <w:tc>
          <w:tcPr>
            <w:tcW w:w="1309" w:type="dxa"/>
            <w:vAlign w:val="center"/>
          </w:tcPr>
          <w:p>
            <w:pPr>
              <w:jc w:val="center"/>
              <w:rPr>
                <w:color w:val="auto"/>
                <w:sz w:val="21"/>
                <w:szCs w:val="21"/>
              </w:rPr>
            </w:pPr>
            <w:r>
              <w:rPr>
                <w:color w:val="auto"/>
                <w:sz w:val="21"/>
                <w:szCs w:val="21"/>
              </w:rPr>
              <w:t>≤60</w:t>
            </w:r>
          </w:p>
        </w:tc>
        <w:tc>
          <w:tcPr>
            <w:tcW w:w="1366" w:type="dxa"/>
            <w:vAlign w:val="center"/>
          </w:tcPr>
          <w:p>
            <w:pPr>
              <w:jc w:val="center"/>
              <w:rPr>
                <w:color w:val="auto"/>
                <w:sz w:val="21"/>
                <w:szCs w:val="21"/>
              </w:rPr>
            </w:pPr>
            <w:r>
              <w:rPr>
                <w:color w:val="auto"/>
                <w:sz w:val="21"/>
                <w:szCs w:val="21"/>
              </w:rPr>
              <w:t>≤10</w:t>
            </w:r>
          </w:p>
        </w:tc>
        <w:tc>
          <w:tcPr>
            <w:tcW w:w="1377" w:type="dxa"/>
            <w:tcMar>
              <w:left w:w="28" w:type="dxa"/>
              <w:right w:w="28" w:type="dxa"/>
            </w:tcMar>
            <w:vAlign w:val="center"/>
          </w:tcPr>
          <w:p>
            <w:pPr>
              <w:jc w:val="center"/>
              <w:rPr>
                <w:color w:val="auto"/>
                <w:sz w:val="21"/>
                <w:szCs w:val="21"/>
              </w:rPr>
            </w:pPr>
            <w:r>
              <w:rPr>
                <w:color w:val="auto"/>
                <w:sz w:val="21"/>
                <w:szCs w:val="21"/>
              </w:rPr>
              <w:t>≤10</w:t>
            </w:r>
          </w:p>
        </w:tc>
        <w:tc>
          <w:tcPr>
            <w:tcW w:w="1346" w:type="dxa"/>
            <w:tcMar>
              <w:left w:w="28" w:type="dxa"/>
              <w:right w:w="28" w:type="dxa"/>
            </w:tcMar>
            <w:vAlign w:val="center"/>
          </w:tcPr>
          <w:p>
            <w:pPr>
              <w:jc w:val="center"/>
              <w:rPr>
                <w:color w:val="auto"/>
                <w:sz w:val="21"/>
                <w:szCs w:val="21"/>
              </w:rPr>
            </w:pPr>
            <w:r>
              <w:rPr>
                <w:color w:val="auto"/>
                <w:sz w:val="21"/>
                <w:szCs w:val="21"/>
              </w:rPr>
              <w:t>≤40</w:t>
            </w:r>
          </w:p>
        </w:tc>
        <w:tc>
          <w:tcPr>
            <w:tcW w:w="1387" w:type="dxa"/>
            <w:tcMar>
              <w:left w:w="28" w:type="dxa"/>
              <w:right w:w="28" w:type="dxa"/>
            </w:tcMar>
            <w:vAlign w:val="center"/>
          </w:tcPr>
          <w:p>
            <w:pPr>
              <w:jc w:val="center"/>
              <w:rPr>
                <w:color w:val="auto"/>
                <w:sz w:val="21"/>
                <w:szCs w:val="21"/>
              </w:rPr>
            </w:pPr>
            <w:r>
              <w:rPr>
                <w:color w:val="auto"/>
                <w:sz w:val="21"/>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68" w:hRule="atLeast"/>
          <w:jc w:val="center"/>
        </w:trPr>
        <w:tc>
          <w:tcPr>
            <w:tcW w:w="1110" w:type="dxa"/>
            <w:vAlign w:val="center"/>
          </w:tcPr>
          <w:p>
            <w:pPr>
              <w:jc w:val="center"/>
              <w:rPr>
                <w:color w:val="auto"/>
                <w:sz w:val="21"/>
                <w:szCs w:val="21"/>
              </w:rPr>
            </w:pPr>
            <w:r>
              <w:rPr>
                <w:color w:val="auto"/>
                <w:sz w:val="21"/>
                <w:szCs w:val="21"/>
              </w:rPr>
              <w:t>去除率</w:t>
            </w:r>
          </w:p>
        </w:tc>
        <w:tc>
          <w:tcPr>
            <w:tcW w:w="1311" w:type="dxa"/>
            <w:vAlign w:val="center"/>
          </w:tcPr>
          <w:p>
            <w:pPr>
              <w:jc w:val="center"/>
              <w:rPr>
                <w:color w:val="auto"/>
                <w:sz w:val="21"/>
                <w:szCs w:val="21"/>
              </w:rPr>
            </w:pPr>
            <w:r>
              <w:rPr>
                <w:color w:val="auto"/>
                <w:sz w:val="21"/>
                <w:szCs w:val="21"/>
              </w:rPr>
              <w:t>≥99.9%</w:t>
            </w:r>
          </w:p>
        </w:tc>
        <w:tc>
          <w:tcPr>
            <w:tcW w:w="1309" w:type="dxa"/>
            <w:vAlign w:val="center"/>
          </w:tcPr>
          <w:p>
            <w:pPr>
              <w:jc w:val="center"/>
              <w:rPr>
                <w:color w:val="auto"/>
                <w:sz w:val="21"/>
                <w:szCs w:val="21"/>
              </w:rPr>
            </w:pPr>
            <w:r>
              <w:rPr>
                <w:color w:val="auto"/>
                <w:sz w:val="21"/>
                <w:szCs w:val="21"/>
              </w:rPr>
              <w:t>≥99.88%</w:t>
            </w:r>
          </w:p>
        </w:tc>
        <w:tc>
          <w:tcPr>
            <w:tcW w:w="1366" w:type="dxa"/>
            <w:vAlign w:val="center"/>
          </w:tcPr>
          <w:p>
            <w:pPr>
              <w:jc w:val="center"/>
              <w:rPr>
                <w:color w:val="auto"/>
                <w:sz w:val="21"/>
                <w:szCs w:val="21"/>
              </w:rPr>
            </w:pPr>
            <w:r>
              <w:rPr>
                <w:color w:val="auto"/>
                <w:sz w:val="21"/>
                <w:szCs w:val="21"/>
              </w:rPr>
              <w:t>≥9</w:t>
            </w:r>
            <w:r>
              <w:rPr>
                <w:rFonts w:hint="eastAsia"/>
                <w:color w:val="auto"/>
                <w:sz w:val="21"/>
                <w:szCs w:val="21"/>
              </w:rPr>
              <w:t>3</w:t>
            </w:r>
            <w:r>
              <w:rPr>
                <w:color w:val="auto"/>
                <w:sz w:val="21"/>
                <w:szCs w:val="21"/>
              </w:rPr>
              <w:t>%</w:t>
            </w:r>
          </w:p>
        </w:tc>
        <w:tc>
          <w:tcPr>
            <w:tcW w:w="1377" w:type="dxa"/>
            <w:tcMar>
              <w:left w:w="28" w:type="dxa"/>
              <w:right w:w="28" w:type="dxa"/>
            </w:tcMar>
            <w:vAlign w:val="center"/>
          </w:tcPr>
          <w:p>
            <w:pPr>
              <w:jc w:val="center"/>
              <w:rPr>
                <w:color w:val="auto"/>
                <w:sz w:val="21"/>
                <w:szCs w:val="21"/>
              </w:rPr>
            </w:pPr>
            <w:r>
              <w:rPr>
                <w:color w:val="auto"/>
                <w:sz w:val="21"/>
                <w:szCs w:val="21"/>
              </w:rPr>
              <w:t>≥99%</w:t>
            </w:r>
          </w:p>
        </w:tc>
        <w:tc>
          <w:tcPr>
            <w:tcW w:w="1346" w:type="dxa"/>
            <w:tcMar>
              <w:left w:w="28" w:type="dxa"/>
              <w:right w:w="28" w:type="dxa"/>
            </w:tcMar>
            <w:vAlign w:val="center"/>
          </w:tcPr>
          <w:p>
            <w:pPr>
              <w:jc w:val="center"/>
              <w:rPr>
                <w:color w:val="auto"/>
                <w:sz w:val="21"/>
                <w:szCs w:val="21"/>
              </w:rPr>
            </w:pPr>
            <w:r>
              <w:rPr>
                <w:color w:val="auto"/>
                <w:sz w:val="21"/>
                <w:szCs w:val="21"/>
              </w:rPr>
              <w:t>≥</w:t>
            </w:r>
            <w:r>
              <w:rPr>
                <w:rFonts w:hint="eastAsia"/>
                <w:color w:val="auto"/>
                <w:sz w:val="21"/>
                <w:szCs w:val="21"/>
              </w:rPr>
              <w:t>9</w:t>
            </w:r>
            <w:r>
              <w:rPr>
                <w:color w:val="auto"/>
                <w:sz w:val="21"/>
                <w:szCs w:val="21"/>
              </w:rPr>
              <w:t>8.1%</w:t>
            </w:r>
          </w:p>
        </w:tc>
        <w:tc>
          <w:tcPr>
            <w:tcW w:w="1387" w:type="dxa"/>
            <w:tcMar>
              <w:left w:w="28" w:type="dxa"/>
              <w:right w:w="28" w:type="dxa"/>
            </w:tcMar>
            <w:vAlign w:val="center"/>
          </w:tcPr>
          <w:p>
            <w:pPr>
              <w:jc w:val="center"/>
              <w:rPr>
                <w:color w:val="auto"/>
                <w:sz w:val="21"/>
                <w:szCs w:val="21"/>
              </w:rPr>
            </w:pPr>
            <w:r>
              <w:rPr>
                <w:color w:val="auto"/>
                <w:sz w:val="21"/>
                <w:szCs w:val="21"/>
              </w:rPr>
              <w:t>≥99.7%</w:t>
            </w:r>
          </w:p>
        </w:tc>
      </w:tr>
    </w:tbl>
    <w:p>
      <w:pPr>
        <w:adjustRightInd w:val="0"/>
        <w:snapToGrid w:val="0"/>
        <w:jc w:val="center"/>
        <w:rPr>
          <w:b/>
          <w:bCs/>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6.2</w:t>
      </w:r>
      <w:r>
        <w:rPr>
          <w:b/>
          <w:color w:val="auto"/>
        </w:rPr>
        <w:fldChar w:fldCharType="end"/>
      </w:r>
      <w:r>
        <w:rPr>
          <w:b/>
          <w:color w:val="auto"/>
        </w:rPr>
        <w:noBreakHyphen/>
      </w:r>
      <w:r>
        <w:rPr>
          <w:rFonts w:hint="eastAsia"/>
          <w:b/>
          <w:color w:val="auto"/>
        </w:rPr>
        <w:t>8</w:t>
      </w:r>
      <w:r>
        <w:rPr>
          <w:b/>
          <w:bCs/>
          <w:color w:val="auto"/>
        </w:rPr>
        <w:t xml:space="preserve">  垃圾渗滤液主要处理单元处理效果去除率</w:t>
      </w:r>
    </w:p>
    <w:tbl>
      <w:tblPr>
        <w:tblStyle w:val="53"/>
        <w:tblW w:w="9070"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853"/>
        <w:gridCol w:w="1277"/>
        <w:gridCol w:w="1415"/>
        <w:gridCol w:w="1520"/>
        <w:gridCol w:w="1658"/>
        <w:gridCol w:w="1197"/>
        <w:gridCol w:w="115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16" w:hRule="atLeast"/>
        </w:trPr>
        <w:tc>
          <w:tcPr>
            <w:tcW w:w="2130" w:type="dxa"/>
            <w:gridSpan w:val="2"/>
            <w:shd w:val="clear" w:color="auto" w:fill="auto"/>
            <w:vAlign w:val="center"/>
          </w:tcPr>
          <w:p>
            <w:pPr>
              <w:pStyle w:val="286"/>
              <w:autoSpaceDE w:val="0"/>
              <w:autoSpaceDN w:val="0"/>
              <w:spacing w:before="41" w:line="255" w:lineRule="exact"/>
              <w:ind w:left="756" w:right="743"/>
              <w:jc w:val="center"/>
              <w:rPr>
                <w:rFonts w:ascii="Times New Roman" w:hAnsi="Times New Roman" w:cs="Times New Roman"/>
                <w:b/>
                <w:color w:val="auto"/>
                <w:sz w:val="21"/>
              </w:rPr>
            </w:pPr>
            <w:r>
              <w:rPr>
                <w:rFonts w:ascii="Times New Roman" w:hAnsi="Times New Roman" w:cs="Times New Roman"/>
                <w:b/>
                <w:color w:val="auto"/>
                <w:sz w:val="21"/>
              </w:rPr>
              <w:t>名称</w:t>
            </w:r>
          </w:p>
        </w:tc>
        <w:tc>
          <w:tcPr>
            <w:tcW w:w="1415" w:type="dxa"/>
            <w:shd w:val="clear" w:color="auto" w:fill="auto"/>
            <w:vAlign w:val="center"/>
          </w:tcPr>
          <w:p>
            <w:pPr>
              <w:pStyle w:val="286"/>
              <w:autoSpaceDE w:val="0"/>
              <w:autoSpaceDN w:val="0"/>
              <w:spacing w:before="71" w:line="225" w:lineRule="exact"/>
              <w:ind w:left="135" w:right="121"/>
              <w:jc w:val="center"/>
              <w:rPr>
                <w:rFonts w:ascii="Times New Roman" w:hAnsi="Times New Roman" w:eastAsia="Times New Roman" w:cs="Times New Roman"/>
                <w:b/>
                <w:color w:val="auto"/>
                <w:sz w:val="21"/>
              </w:rPr>
            </w:pPr>
            <w:r>
              <w:rPr>
                <w:rFonts w:ascii="Times New Roman" w:hAnsi="Times New Roman" w:eastAsia="Times New Roman" w:cs="Times New Roman"/>
                <w:b/>
                <w:color w:val="auto"/>
                <w:sz w:val="21"/>
              </w:rPr>
              <w:t>COD(mg/L)</w:t>
            </w:r>
          </w:p>
        </w:tc>
        <w:tc>
          <w:tcPr>
            <w:tcW w:w="1520" w:type="dxa"/>
            <w:shd w:val="clear" w:color="auto" w:fill="auto"/>
            <w:vAlign w:val="center"/>
          </w:tcPr>
          <w:p>
            <w:pPr>
              <w:pStyle w:val="286"/>
              <w:autoSpaceDE w:val="0"/>
              <w:autoSpaceDN w:val="0"/>
              <w:spacing w:before="71" w:line="225" w:lineRule="exact"/>
              <w:ind w:left="219" w:right="200"/>
              <w:jc w:val="center"/>
              <w:rPr>
                <w:rFonts w:ascii="Times New Roman" w:hAnsi="Times New Roman" w:eastAsia="Times New Roman" w:cs="Times New Roman"/>
                <w:b/>
                <w:color w:val="auto"/>
                <w:sz w:val="21"/>
              </w:rPr>
            </w:pPr>
            <w:r>
              <w:rPr>
                <w:rFonts w:ascii="Times New Roman" w:hAnsi="Times New Roman" w:eastAsia="Times New Roman" w:cs="Times New Roman"/>
                <w:b/>
                <w:color w:val="auto"/>
                <w:sz w:val="21"/>
              </w:rPr>
              <w:t>BOD(mg/L)</w:t>
            </w:r>
          </w:p>
        </w:tc>
        <w:tc>
          <w:tcPr>
            <w:tcW w:w="1658" w:type="dxa"/>
            <w:shd w:val="clear" w:color="auto" w:fill="auto"/>
            <w:vAlign w:val="center"/>
          </w:tcPr>
          <w:p>
            <w:pPr>
              <w:pStyle w:val="286"/>
              <w:autoSpaceDE w:val="0"/>
              <w:autoSpaceDN w:val="0"/>
              <w:spacing w:before="71" w:line="225" w:lineRule="exact"/>
              <w:ind w:left="202" w:right="186"/>
              <w:jc w:val="center"/>
              <w:rPr>
                <w:rFonts w:ascii="Times New Roman" w:hAnsi="Times New Roman" w:eastAsia="Times New Roman" w:cs="Times New Roman"/>
                <w:b/>
                <w:color w:val="auto"/>
                <w:sz w:val="21"/>
              </w:rPr>
            </w:pPr>
            <w:r>
              <w:rPr>
                <w:rFonts w:ascii="Times New Roman" w:hAnsi="Times New Roman" w:eastAsia="Times New Roman" w:cs="Times New Roman"/>
                <w:b/>
                <w:color w:val="auto"/>
                <w:sz w:val="21"/>
              </w:rPr>
              <w:t>NH</w:t>
            </w:r>
            <w:r>
              <w:rPr>
                <w:rFonts w:ascii="Times New Roman" w:hAnsi="Times New Roman" w:eastAsia="Times New Roman" w:cs="Times New Roman"/>
                <w:b/>
                <w:color w:val="auto"/>
                <w:sz w:val="21"/>
                <w:vertAlign w:val="subscript"/>
              </w:rPr>
              <w:t>3</w:t>
            </w:r>
            <w:r>
              <w:rPr>
                <w:rFonts w:ascii="Times New Roman" w:hAnsi="Times New Roman" w:eastAsia="Times New Roman" w:cs="Times New Roman"/>
                <w:b/>
                <w:color w:val="auto"/>
                <w:sz w:val="21"/>
              </w:rPr>
              <w:t>-N(mg/L)</w:t>
            </w:r>
          </w:p>
        </w:tc>
        <w:tc>
          <w:tcPr>
            <w:tcW w:w="1197" w:type="dxa"/>
            <w:shd w:val="clear" w:color="auto" w:fill="auto"/>
            <w:vAlign w:val="center"/>
          </w:tcPr>
          <w:p>
            <w:pPr>
              <w:pStyle w:val="286"/>
              <w:autoSpaceDE w:val="0"/>
              <w:autoSpaceDN w:val="0"/>
              <w:spacing w:before="71" w:line="225" w:lineRule="exact"/>
              <w:ind w:left="148" w:right="129"/>
              <w:jc w:val="center"/>
              <w:rPr>
                <w:rFonts w:ascii="Times New Roman" w:hAnsi="Times New Roman" w:eastAsia="Times New Roman" w:cs="Times New Roman"/>
                <w:b/>
                <w:color w:val="auto"/>
                <w:sz w:val="21"/>
              </w:rPr>
            </w:pPr>
            <w:r>
              <w:rPr>
                <w:rFonts w:ascii="Times New Roman" w:hAnsi="Times New Roman" w:eastAsia="Times New Roman" w:cs="Times New Roman"/>
                <w:b/>
                <w:color w:val="auto"/>
                <w:sz w:val="21"/>
              </w:rPr>
              <w:t>TN(mg/L)</w:t>
            </w:r>
          </w:p>
        </w:tc>
        <w:tc>
          <w:tcPr>
            <w:tcW w:w="1150" w:type="dxa"/>
            <w:shd w:val="clear" w:color="auto" w:fill="auto"/>
            <w:vAlign w:val="center"/>
          </w:tcPr>
          <w:p>
            <w:pPr>
              <w:pStyle w:val="286"/>
              <w:autoSpaceDE w:val="0"/>
              <w:autoSpaceDN w:val="0"/>
              <w:spacing w:before="41" w:line="255" w:lineRule="exact"/>
              <w:ind w:left="136" w:right="112"/>
              <w:jc w:val="center"/>
              <w:rPr>
                <w:rFonts w:ascii="Times New Roman" w:hAnsi="Times New Roman" w:cs="Times New Roman"/>
                <w:b/>
                <w:color w:val="auto"/>
                <w:sz w:val="21"/>
              </w:rPr>
            </w:pPr>
            <w:r>
              <w:rPr>
                <w:rFonts w:ascii="Times New Roman" w:hAnsi="Times New Roman" w:eastAsia="Times New Roman" w:cs="Times New Roman"/>
                <w:b/>
                <w:color w:val="auto"/>
                <w:sz w:val="21"/>
              </w:rPr>
              <w:t>SS</w:t>
            </w:r>
            <w:r>
              <w:rPr>
                <w:rFonts w:ascii="Times New Roman" w:hAnsi="Times New Roman" w:cs="Times New Roman"/>
                <w:b/>
                <w:color w:val="auto"/>
                <w:sz w:val="21"/>
              </w:rPr>
              <w:t>（</w:t>
            </w:r>
            <w:r>
              <w:rPr>
                <w:rFonts w:ascii="Times New Roman" w:hAnsi="Times New Roman" w:eastAsia="Times New Roman" w:cs="Times New Roman"/>
                <w:b/>
                <w:color w:val="auto"/>
                <w:sz w:val="21"/>
              </w:rPr>
              <w:t>mg/L</w:t>
            </w:r>
            <w:r>
              <w:rPr>
                <w:rFonts w:ascii="Times New Roman" w:hAnsi="Times New Roman" w:cs="Times New Roman"/>
                <w:b/>
                <w:color w:val="auto"/>
                <w:sz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14" w:hRule="atLeast"/>
        </w:trPr>
        <w:tc>
          <w:tcPr>
            <w:tcW w:w="853" w:type="dxa"/>
            <w:vMerge w:val="restart"/>
            <w:shd w:val="clear" w:color="auto" w:fill="auto"/>
            <w:vAlign w:val="center"/>
          </w:tcPr>
          <w:p>
            <w:pPr>
              <w:pStyle w:val="286"/>
              <w:autoSpaceDE w:val="0"/>
              <w:autoSpaceDN w:val="0"/>
              <w:spacing w:line="242" w:lineRule="auto"/>
              <w:ind w:left="268" w:right="148" w:hanging="106"/>
              <w:jc w:val="center"/>
              <w:rPr>
                <w:rFonts w:ascii="Times New Roman" w:hAnsi="Times New Roman" w:cs="Times New Roman"/>
                <w:color w:val="auto"/>
                <w:sz w:val="21"/>
              </w:rPr>
            </w:pPr>
            <w:r>
              <w:rPr>
                <w:rFonts w:ascii="Times New Roman" w:hAnsi="Times New Roman" w:cs="Times New Roman"/>
                <w:color w:val="auto"/>
                <w:sz w:val="21"/>
              </w:rPr>
              <w:t>预处理</w:t>
            </w:r>
          </w:p>
        </w:tc>
        <w:tc>
          <w:tcPr>
            <w:tcW w:w="1277" w:type="dxa"/>
            <w:shd w:val="clear" w:color="auto" w:fill="auto"/>
            <w:vAlign w:val="center"/>
          </w:tcPr>
          <w:p>
            <w:pPr>
              <w:pStyle w:val="286"/>
              <w:autoSpaceDE w:val="0"/>
              <w:autoSpaceDN w:val="0"/>
              <w:spacing w:before="40" w:line="254" w:lineRule="exact"/>
              <w:ind w:right="179"/>
              <w:jc w:val="center"/>
              <w:rPr>
                <w:rFonts w:ascii="Times New Roman" w:hAnsi="Times New Roman" w:cs="Times New Roman"/>
                <w:color w:val="auto"/>
                <w:sz w:val="21"/>
              </w:rPr>
            </w:pPr>
            <w:r>
              <w:rPr>
                <w:rFonts w:ascii="Times New Roman" w:hAnsi="Times New Roman" w:cs="Times New Roman"/>
                <w:color w:val="auto"/>
                <w:sz w:val="21"/>
              </w:rPr>
              <w:t>进水水质</w:t>
            </w:r>
          </w:p>
        </w:tc>
        <w:tc>
          <w:tcPr>
            <w:tcW w:w="1415"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60000</w:t>
            </w:r>
          </w:p>
        </w:tc>
        <w:tc>
          <w:tcPr>
            <w:tcW w:w="1520" w:type="dxa"/>
            <w:shd w:val="clear" w:color="auto" w:fill="auto"/>
            <w:vAlign w:val="center"/>
          </w:tcPr>
          <w:p>
            <w:pPr>
              <w:pStyle w:val="79"/>
              <w:autoSpaceDE w:val="0"/>
              <w:autoSpaceDN w:val="0"/>
              <w:spacing w:line="260" w:lineRule="exact"/>
              <w:ind w:firstLine="0" w:firstLineChars="0"/>
              <w:jc w:val="center"/>
              <w:rPr>
                <w:color w:val="auto"/>
                <w:sz w:val="21"/>
                <w:szCs w:val="21"/>
              </w:rPr>
            </w:pPr>
            <w:r>
              <w:rPr>
                <w:rFonts w:hint="eastAsia"/>
                <w:color w:val="auto"/>
                <w:sz w:val="21"/>
                <w:szCs w:val="21"/>
              </w:rPr>
              <w:t>1</w:t>
            </w:r>
            <w:r>
              <w:rPr>
                <w:color w:val="auto"/>
                <w:sz w:val="21"/>
                <w:szCs w:val="21"/>
              </w:rPr>
              <w:t>0000</w:t>
            </w:r>
          </w:p>
        </w:tc>
        <w:tc>
          <w:tcPr>
            <w:tcW w:w="1658" w:type="dxa"/>
            <w:shd w:val="clear" w:color="auto" w:fill="auto"/>
            <w:vAlign w:val="center"/>
          </w:tcPr>
          <w:p>
            <w:pPr>
              <w:pStyle w:val="79"/>
              <w:autoSpaceDE w:val="0"/>
              <w:autoSpaceDN w:val="0"/>
              <w:spacing w:line="260" w:lineRule="exact"/>
              <w:ind w:firstLine="0" w:firstLineChars="0"/>
              <w:jc w:val="center"/>
              <w:rPr>
                <w:color w:val="auto"/>
                <w:sz w:val="21"/>
                <w:szCs w:val="21"/>
              </w:rPr>
            </w:pPr>
            <w:r>
              <w:rPr>
                <w:rFonts w:hint="eastAsia"/>
                <w:color w:val="auto"/>
                <w:sz w:val="21"/>
                <w:szCs w:val="21"/>
              </w:rPr>
              <w:t>1</w:t>
            </w:r>
            <w:r>
              <w:rPr>
                <w:color w:val="auto"/>
                <w:sz w:val="21"/>
                <w:szCs w:val="21"/>
              </w:rPr>
              <w:t>000</w:t>
            </w:r>
          </w:p>
        </w:tc>
        <w:tc>
          <w:tcPr>
            <w:tcW w:w="1197"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2100</w:t>
            </w:r>
          </w:p>
        </w:tc>
        <w:tc>
          <w:tcPr>
            <w:tcW w:w="1150" w:type="dxa"/>
            <w:shd w:val="clear" w:color="auto" w:fill="auto"/>
            <w:vAlign w:val="center"/>
          </w:tcPr>
          <w:p>
            <w:pPr>
              <w:pStyle w:val="79"/>
              <w:autoSpaceDE w:val="0"/>
              <w:autoSpaceDN w:val="0"/>
              <w:spacing w:line="260" w:lineRule="exact"/>
              <w:ind w:firstLine="0" w:firstLineChars="0"/>
              <w:jc w:val="center"/>
              <w:rPr>
                <w:color w:val="auto"/>
                <w:sz w:val="21"/>
                <w:szCs w:val="21"/>
              </w:rPr>
            </w:pPr>
            <w:r>
              <w:rPr>
                <w:rFonts w:hint="eastAsia"/>
                <w:color w:val="auto"/>
                <w:sz w:val="21"/>
                <w:szCs w:val="21"/>
              </w:rPr>
              <w:t>150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545" w:hRule="atLeast"/>
        </w:trPr>
        <w:tc>
          <w:tcPr>
            <w:tcW w:w="853" w:type="dxa"/>
            <w:vMerge w:val="continue"/>
            <w:shd w:val="clear" w:color="auto" w:fill="auto"/>
            <w:vAlign w:val="center"/>
          </w:tcPr>
          <w:p>
            <w:pPr>
              <w:autoSpaceDE w:val="0"/>
              <w:autoSpaceDN w:val="0"/>
              <w:jc w:val="center"/>
              <w:rPr>
                <w:rFonts w:eastAsia="Times New Roman"/>
                <w:color w:val="auto"/>
                <w:sz w:val="2"/>
                <w:szCs w:val="2"/>
              </w:rPr>
            </w:pPr>
          </w:p>
        </w:tc>
        <w:tc>
          <w:tcPr>
            <w:tcW w:w="1277" w:type="dxa"/>
            <w:shd w:val="clear" w:color="auto" w:fill="auto"/>
            <w:vAlign w:val="center"/>
          </w:tcPr>
          <w:p>
            <w:pPr>
              <w:pStyle w:val="286"/>
              <w:autoSpaceDE w:val="0"/>
              <w:autoSpaceDN w:val="0"/>
              <w:spacing w:line="268" w:lineRule="exact"/>
              <w:ind w:left="176" w:right="162"/>
              <w:jc w:val="center"/>
              <w:rPr>
                <w:rFonts w:ascii="Times New Roman" w:hAnsi="Times New Roman" w:cs="Times New Roman"/>
                <w:color w:val="auto"/>
                <w:sz w:val="21"/>
              </w:rPr>
            </w:pPr>
            <w:r>
              <w:rPr>
                <w:rFonts w:ascii="Times New Roman" w:hAnsi="Times New Roman" w:cs="Times New Roman"/>
                <w:color w:val="auto"/>
                <w:sz w:val="21"/>
              </w:rPr>
              <w:t>预计出水水质</w:t>
            </w:r>
          </w:p>
        </w:tc>
        <w:tc>
          <w:tcPr>
            <w:tcW w:w="1415"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44000</w:t>
            </w:r>
          </w:p>
        </w:tc>
        <w:tc>
          <w:tcPr>
            <w:tcW w:w="1520" w:type="dxa"/>
            <w:shd w:val="clear" w:color="auto" w:fill="auto"/>
            <w:vAlign w:val="center"/>
          </w:tcPr>
          <w:p>
            <w:pPr>
              <w:pStyle w:val="79"/>
              <w:autoSpaceDE w:val="0"/>
              <w:autoSpaceDN w:val="0"/>
              <w:spacing w:line="260" w:lineRule="exact"/>
              <w:ind w:firstLine="0" w:firstLineChars="0"/>
              <w:jc w:val="center"/>
              <w:rPr>
                <w:color w:val="auto"/>
                <w:sz w:val="21"/>
                <w:szCs w:val="21"/>
              </w:rPr>
            </w:pPr>
            <w:r>
              <w:rPr>
                <w:rFonts w:hint="eastAsia"/>
                <w:color w:val="auto"/>
                <w:sz w:val="21"/>
                <w:szCs w:val="21"/>
              </w:rPr>
              <w:t>9</w:t>
            </w:r>
            <w:r>
              <w:rPr>
                <w:color w:val="auto"/>
                <w:sz w:val="21"/>
                <w:szCs w:val="21"/>
              </w:rPr>
              <w:t>500</w:t>
            </w:r>
          </w:p>
        </w:tc>
        <w:tc>
          <w:tcPr>
            <w:tcW w:w="1658" w:type="dxa"/>
            <w:shd w:val="clear" w:color="auto" w:fill="auto"/>
            <w:vAlign w:val="center"/>
          </w:tcPr>
          <w:p>
            <w:pPr>
              <w:pStyle w:val="79"/>
              <w:autoSpaceDE w:val="0"/>
              <w:autoSpaceDN w:val="0"/>
              <w:spacing w:line="260" w:lineRule="exact"/>
              <w:ind w:firstLine="0" w:firstLineChars="0"/>
              <w:jc w:val="center"/>
              <w:rPr>
                <w:color w:val="auto"/>
                <w:sz w:val="21"/>
                <w:szCs w:val="21"/>
              </w:rPr>
            </w:pPr>
            <w:r>
              <w:rPr>
                <w:rFonts w:hint="eastAsia"/>
                <w:color w:val="auto"/>
                <w:sz w:val="21"/>
                <w:szCs w:val="21"/>
              </w:rPr>
              <w:t>1</w:t>
            </w:r>
            <w:r>
              <w:rPr>
                <w:color w:val="auto"/>
                <w:sz w:val="21"/>
                <w:szCs w:val="21"/>
              </w:rPr>
              <w:t>000</w:t>
            </w:r>
          </w:p>
        </w:tc>
        <w:tc>
          <w:tcPr>
            <w:tcW w:w="1197"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2100</w:t>
            </w:r>
          </w:p>
        </w:tc>
        <w:tc>
          <w:tcPr>
            <w:tcW w:w="1150" w:type="dxa"/>
            <w:shd w:val="clear" w:color="auto" w:fill="auto"/>
            <w:vAlign w:val="center"/>
          </w:tcPr>
          <w:p>
            <w:pPr>
              <w:pStyle w:val="79"/>
              <w:autoSpaceDE w:val="0"/>
              <w:autoSpaceDN w:val="0"/>
              <w:spacing w:line="260" w:lineRule="exact"/>
              <w:ind w:firstLine="0" w:firstLineChars="0"/>
              <w:jc w:val="center"/>
              <w:rPr>
                <w:color w:val="auto"/>
                <w:sz w:val="21"/>
                <w:szCs w:val="21"/>
              </w:rPr>
            </w:pPr>
            <w:r>
              <w:rPr>
                <w:rFonts w:hint="eastAsia"/>
                <w:color w:val="auto"/>
                <w:sz w:val="21"/>
                <w:szCs w:val="21"/>
              </w:rPr>
              <w:t>120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15" w:hRule="atLeast"/>
        </w:trPr>
        <w:tc>
          <w:tcPr>
            <w:tcW w:w="853" w:type="dxa"/>
            <w:vMerge w:val="continue"/>
            <w:shd w:val="clear" w:color="auto" w:fill="auto"/>
            <w:vAlign w:val="center"/>
          </w:tcPr>
          <w:p>
            <w:pPr>
              <w:autoSpaceDE w:val="0"/>
              <w:autoSpaceDN w:val="0"/>
              <w:jc w:val="center"/>
              <w:rPr>
                <w:rFonts w:eastAsia="Times New Roman"/>
                <w:color w:val="auto"/>
                <w:sz w:val="2"/>
                <w:szCs w:val="2"/>
              </w:rPr>
            </w:pPr>
          </w:p>
        </w:tc>
        <w:tc>
          <w:tcPr>
            <w:tcW w:w="1277" w:type="dxa"/>
            <w:shd w:val="clear" w:color="auto" w:fill="auto"/>
            <w:vAlign w:val="center"/>
          </w:tcPr>
          <w:p>
            <w:pPr>
              <w:pStyle w:val="286"/>
              <w:autoSpaceDE w:val="0"/>
              <w:autoSpaceDN w:val="0"/>
              <w:spacing w:before="40" w:line="255" w:lineRule="exact"/>
              <w:ind w:right="127"/>
              <w:jc w:val="center"/>
              <w:rPr>
                <w:rFonts w:ascii="Times New Roman" w:hAnsi="Times New Roman" w:eastAsia="Times New Roman" w:cs="Times New Roman"/>
                <w:color w:val="auto"/>
                <w:sz w:val="21"/>
              </w:rPr>
            </w:pPr>
            <w:r>
              <w:rPr>
                <w:rFonts w:ascii="Times New Roman" w:hAnsi="Times New Roman" w:cs="Times New Roman"/>
                <w:color w:val="auto"/>
                <w:sz w:val="21"/>
              </w:rPr>
              <w:t>去除率</w:t>
            </w:r>
            <w:r>
              <w:rPr>
                <w:rFonts w:ascii="Times New Roman" w:hAnsi="Times New Roman" w:eastAsia="Times New Roman" w:cs="Times New Roman"/>
                <w:color w:val="auto"/>
                <w:sz w:val="21"/>
              </w:rPr>
              <w:t>(%)</w:t>
            </w:r>
          </w:p>
        </w:tc>
        <w:tc>
          <w:tcPr>
            <w:tcW w:w="1415"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26.7</w:t>
            </w:r>
          </w:p>
        </w:tc>
        <w:tc>
          <w:tcPr>
            <w:tcW w:w="1520"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5</w:t>
            </w:r>
          </w:p>
        </w:tc>
        <w:tc>
          <w:tcPr>
            <w:tcW w:w="1658"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0</w:t>
            </w:r>
          </w:p>
        </w:tc>
        <w:tc>
          <w:tcPr>
            <w:tcW w:w="1197"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0</w:t>
            </w:r>
          </w:p>
        </w:tc>
        <w:tc>
          <w:tcPr>
            <w:tcW w:w="1150" w:type="dxa"/>
            <w:shd w:val="clear" w:color="auto" w:fill="auto"/>
            <w:vAlign w:val="center"/>
          </w:tcPr>
          <w:p>
            <w:pPr>
              <w:pStyle w:val="79"/>
              <w:autoSpaceDE w:val="0"/>
              <w:autoSpaceDN w:val="0"/>
              <w:spacing w:line="260" w:lineRule="exact"/>
              <w:ind w:firstLine="0" w:firstLineChars="0"/>
              <w:jc w:val="center"/>
              <w:rPr>
                <w:color w:val="auto"/>
                <w:sz w:val="21"/>
                <w:szCs w:val="21"/>
              </w:rPr>
            </w:pPr>
            <w:r>
              <w:rPr>
                <w:rFonts w:hint="eastAsia"/>
                <w:color w:val="auto"/>
                <w:sz w:val="21"/>
                <w:szCs w:val="21"/>
              </w:rPr>
              <w:t>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13" w:hRule="atLeast"/>
        </w:trPr>
        <w:tc>
          <w:tcPr>
            <w:tcW w:w="853" w:type="dxa"/>
            <w:vMerge w:val="restart"/>
            <w:shd w:val="clear" w:color="auto" w:fill="auto"/>
            <w:vAlign w:val="center"/>
          </w:tcPr>
          <w:p>
            <w:pPr>
              <w:pStyle w:val="286"/>
              <w:autoSpaceDE w:val="0"/>
              <w:autoSpaceDN w:val="0"/>
              <w:spacing w:before="50" w:line="242" w:lineRule="auto"/>
              <w:ind w:left="162" w:right="148"/>
              <w:jc w:val="center"/>
              <w:rPr>
                <w:rFonts w:ascii="Times New Roman" w:hAnsi="Times New Roman" w:cs="Times New Roman"/>
                <w:color w:val="auto"/>
                <w:sz w:val="21"/>
              </w:rPr>
            </w:pPr>
            <w:r>
              <w:rPr>
                <w:rFonts w:ascii="Times New Roman" w:hAnsi="Times New Roman" w:cs="Times New Roman"/>
                <w:color w:val="auto"/>
                <w:sz w:val="21"/>
              </w:rPr>
              <w:t>厌氧反应器</w:t>
            </w:r>
          </w:p>
        </w:tc>
        <w:tc>
          <w:tcPr>
            <w:tcW w:w="1277" w:type="dxa"/>
            <w:shd w:val="clear" w:color="auto" w:fill="auto"/>
            <w:vAlign w:val="center"/>
          </w:tcPr>
          <w:p>
            <w:pPr>
              <w:pStyle w:val="286"/>
              <w:autoSpaceDE w:val="0"/>
              <w:autoSpaceDN w:val="0"/>
              <w:spacing w:before="39" w:line="255" w:lineRule="exact"/>
              <w:ind w:right="179"/>
              <w:jc w:val="center"/>
              <w:rPr>
                <w:rFonts w:ascii="Times New Roman" w:hAnsi="Times New Roman" w:cs="Times New Roman"/>
                <w:color w:val="auto"/>
                <w:sz w:val="21"/>
              </w:rPr>
            </w:pPr>
            <w:r>
              <w:rPr>
                <w:rFonts w:ascii="Times New Roman" w:hAnsi="Times New Roman" w:cs="Times New Roman"/>
                <w:color w:val="auto"/>
                <w:sz w:val="21"/>
              </w:rPr>
              <w:t>进水水质</w:t>
            </w:r>
          </w:p>
        </w:tc>
        <w:tc>
          <w:tcPr>
            <w:tcW w:w="1415"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44000</w:t>
            </w:r>
          </w:p>
        </w:tc>
        <w:tc>
          <w:tcPr>
            <w:tcW w:w="1520" w:type="dxa"/>
            <w:shd w:val="clear" w:color="auto" w:fill="auto"/>
            <w:vAlign w:val="center"/>
          </w:tcPr>
          <w:p>
            <w:pPr>
              <w:pStyle w:val="79"/>
              <w:autoSpaceDE w:val="0"/>
              <w:autoSpaceDN w:val="0"/>
              <w:spacing w:line="260" w:lineRule="exact"/>
              <w:ind w:firstLine="0" w:firstLineChars="0"/>
              <w:jc w:val="center"/>
              <w:rPr>
                <w:color w:val="auto"/>
                <w:sz w:val="21"/>
                <w:szCs w:val="21"/>
              </w:rPr>
            </w:pPr>
            <w:r>
              <w:rPr>
                <w:rFonts w:hint="eastAsia"/>
                <w:color w:val="auto"/>
                <w:sz w:val="21"/>
                <w:szCs w:val="21"/>
              </w:rPr>
              <w:t>9</w:t>
            </w:r>
            <w:r>
              <w:rPr>
                <w:color w:val="auto"/>
                <w:sz w:val="21"/>
                <w:szCs w:val="21"/>
              </w:rPr>
              <w:t>500</w:t>
            </w:r>
          </w:p>
        </w:tc>
        <w:tc>
          <w:tcPr>
            <w:tcW w:w="1658" w:type="dxa"/>
            <w:shd w:val="clear" w:color="auto" w:fill="auto"/>
            <w:vAlign w:val="center"/>
          </w:tcPr>
          <w:p>
            <w:pPr>
              <w:pStyle w:val="79"/>
              <w:autoSpaceDE w:val="0"/>
              <w:autoSpaceDN w:val="0"/>
              <w:spacing w:line="260" w:lineRule="exact"/>
              <w:ind w:firstLine="0" w:firstLineChars="0"/>
              <w:jc w:val="center"/>
              <w:rPr>
                <w:color w:val="auto"/>
                <w:sz w:val="21"/>
                <w:szCs w:val="21"/>
              </w:rPr>
            </w:pPr>
            <w:r>
              <w:rPr>
                <w:rFonts w:hint="eastAsia"/>
                <w:color w:val="auto"/>
                <w:sz w:val="21"/>
                <w:szCs w:val="21"/>
              </w:rPr>
              <w:t>1</w:t>
            </w:r>
            <w:r>
              <w:rPr>
                <w:color w:val="auto"/>
                <w:sz w:val="21"/>
                <w:szCs w:val="21"/>
              </w:rPr>
              <w:t>000</w:t>
            </w:r>
          </w:p>
        </w:tc>
        <w:tc>
          <w:tcPr>
            <w:tcW w:w="1197"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2100</w:t>
            </w:r>
          </w:p>
        </w:tc>
        <w:tc>
          <w:tcPr>
            <w:tcW w:w="1150" w:type="dxa"/>
            <w:shd w:val="clear" w:color="auto" w:fill="auto"/>
            <w:vAlign w:val="center"/>
          </w:tcPr>
          <w:p>
            <w:pPr>
              <w:pStyle w:val="79"/>
              <w:autoSpaceDE w:val="0"/>
              <w:autoSpaceDN w:val="0"/>
              <w:spacing w:line="260" w:lineRule="exact"/>
              <w:ind w:firstLine="0" w:firstLineChars="0"/>
              <w:jc w:val="center"/>
              <w:rPr>
                <w:color w:val="auto"/>
                <w:sz w:val="21"/>
                <w:szCs w:val="21"/>
              </w:rPr>
            </w:pPr>
            <w:r>
              <w:rPr>
                <w:rFonts w:hint="eastAsia"/>
                <w:color w:val="auto"/>
                <w:sz w:val="21"/>
                <w:szCs w:val="21"/>
              </w:rPr>
              <w:t>120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545" w:hRule="atLeast"/>
        </w:trPr>
        <w:tc>
          <w:tcPr>
            <w:tcW w:w="853" w:type="dxa"/>
            <w:vMerge w:val="continue"/>
            <w:shd w:val="clear" w:color="auto" w:fill="auto"/>
            <w:vAlign w:val="center"/>
          </w:tcPr>
          <w:p>
            <w:pPr>
              <w:autoSpaceDE w:val="0"/>
              <w:autoSpaceDN w:val="0"/>
              <w:jc w:val="center"/>
              <w:rPr>
                <w:rFonts w:eastAsia="Times New Roman"/>
                <w:color w:val="auto"/>
                <w:sz w:val="2"/>
                <w:szCs w:val="2"/>
              </w:rPr>
            </w:pPr>
          </w:p>
        </w:tc>
        <w:tc>
          <w:tcPr>
            <w:tcW w:w="1277" w:type="dxa"/>
            <w:shd w:val="clear" w:color="auto" w:fill="auto"/>
            <w:vAlign w:val="center"/>
          </w:tcPr>
          <w:p>
            <w:pPr>
              <w:pStyle w:val="286"/>
              <w:autoSpaceDE w:val="0"/>
              <w:autoSpaceDN w:val="0"/>
              <w:spacing w:line="268" w:lineRule="exact"/>
              <w:ind w:left="176" w:right="162"/>
              <w:jc w:val="center"/>
              <w:rPr>
                <w:rFonts w:ascii="Times New Roman" w:hAnsi="Times New Roman" w:cs="Times New Roman"/>
                <w:color w:val="auto"/>
                <w:sz w:val="21"/>
              </w:rPr>
            </w:pPr>
            <w:r>
              <w:rPr>
                <w:rFonts w:ascii="Times New Roman" w:hAnsi="Times New Roman" w:cs="Times New Roman"/>
                <w:color w:val="auto"/>
                <w:sz w:val="21"/>
              </w:rPr>
              <w:t>预计出水</w:t>
            </w:r>
          </w:p>
          <w:p>
            <w:pPr>
              <w:pStyle w:val="286"/>
              <w:autoSpaceDE w:val="0"/>
              <w:autoSpaceDN w:val="0"/>
              <w:spacing w:before="3" w:line="255" w:lineRule="exact"/>
              <w:ind w:left="176" w:right="162"/>
              <w:jc w:val="center"/>
              <w:rPr>
                <w:rFonts w:ascii="Times New Roman" w:hAnsi="Times New Roman" w:cs="Times New Roman"/>
                <w:color w:val="auto"/>
                <w:sz w:val="21"/>
              </w:rPr>
            </w:pPr>
            <w:r>
              <w:rPr>
                <w:rFonts w:ascii="Times New Roman" w:hAnsi="Times New Roman" w:cs="Times New Roman"/>
                <w:color w:val="auto"/>
                <w:sz w:val="21"/>
              </w:rPr>
              <w:t>水质</w:t>
            </w:r>
          </w:p>
        </w:tc>
        <w:tc>
          <w:tcPr>
            <w:tcW w:w="1415"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7000</w:t>
            </w:r>
          </w:p>
        </w:tc>
        <w:tc>
          <w:tcPr>
            <w:tcW w:w="1520"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1425</w:t>
            </w:r>
          </w:p>
        </w:tc>
        <w:tc>
          <w:tcPr>
            <w:tcW w:w="1658" w:type="dxa"/>
            <w:shd w:val="clear" w:color="auto" w:fill="auto"/>
            <w:vAlign w:val="center"/>
          </w:tcPr>
          <w:p>
            <w:pPr>
              <w:pStyle w:val="79"/>
              <w:autoSpaceDE w:val="0"/>
              <w:autoSpaceDN w:val="0"/>
              <w:spacing w:line="260" w:lineRule="exact"/>
              <w:ind w:firstLine="0" w:firstLineChars="0"/>
              <w:jc w:val="center"/>
              <w:rPr>
                <w:color w:val="auto"/>
                <w:sz w:val="21"/>
                <w:szCs w:val="21"/>
              </w:rPr>
            </w:pPr>
            <w:r>
              <w:rPr>
                <w:rFonts w:hint="eastAsia"/>
                <w:color w:val="auto"/>
                <w:sz w:val="21"/>
                <w:szCs w:val="21"/>
              </w:rPr>
              <w:t>1</w:t>
            </w:r>
            <w:r>
              <w:rPr>
                <w:color w:val="auto"/>
                <w:sz w:val="21"/>
                <w:szCs w:val="21"/>
              </w:rPr>
              <w:t>000</w:t>
            </w:r>
          </w:p>
        </w:tc>
        <w:tc>
          <w:tcPr>
            <w:tcW w:w="1197"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2100</w:t>
            </w:r>
          </w:p>
        </w:tc>
        <w:tc>
          <w:tcPr>
            <w:tcW w:w="1150" w:type="dxa"/>
            <w:shd w:val="clear" w:color="auto" w:fill="auto"/>
            <w:vAlign w:val="center"/>
          </w:tcPr>
          <w:p>
            <w:pPr>
              <w:pStyle w:val="79"/>
              <w:autoSpaceDE w:val="0"/>
              <w:autoSpaceDN w:val="0"/>
              <w:spacing w:line="260" w:lineRule="exact"/>
              <w:ind w:firstLine="0" w:firstLineChars="0"/>
              <w:jc w:val="center"/>
              <w:rPr>
                <w:color w:val="auto"/>
                <w:sz w:val="21"/>
                <w:szCs w:val="21"/>
              </w:rPr>
            </w:pPr>
            <w:r>
              <w:rPr>
                <w:rFonts w:hint="eastAsia"/>
                <w:color w:val="auto"/>
                <w:sz w:val="21"/>
                <w:szCs w:val="21"/>
              </w:rPr>
              <w:t>80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14" w:hRule="atLeast"/>
        </w:trPr>
        <w:tc>
          <w:tcPr>
            <w:tcW w:w="853" w:type="dxa"/>
            <w:vMerge w:val="continue"/>
            <w:shd w:val="clear" w:color="auto" w:fill="auto"/>
            <w:vAlign w:val="center"/>
          </w:tcPr>
          <w:p>
            <w:pPr>
              <w:autoSpaceDE w:val="0"/>
              <w:autoSpaceDN w:val="0"/>
              <w:jc w:val="center"/>
              <w:rPr>
                <w:rFonts w:eastAsia="Times New Roman"/>
                <w:color w:val="auto"/>
                <w:sz w:val="2"/>
                <w:szCs w:val="2"/>
              </w:rPr>
            </w:pPr>
          </w:p>
        </w:tc>
        <w:tc>
          <w:tcPr>
            <w:tcW w:w="1277" w:type="dxa"/>
            <w:shd w:val="clear" w:color="auto" w:fill="auto"/>
            <w:vAlign w:val="center"/>
          </w:tcPr>
          <w:p>
            <w:pPr>
              <w:pStyle w:val="286"/>
              <w:autoSpaceDE w:val="0"/>
              <w:autoSpaceDN w:val="0"/>
              <w:spacing w:before="40" w:line="254" w:lineRule="exact"/>
              <w:ind w:right="127"/>
              <w:jc w:val="center"/>
              <w:rPr>
                <w:rFonts w:ascii="Times New Roman" w:hAnsi="Times New Roman" w:eastAsia="Times New Roman" w:cs="Times New Roman"/>
                <w:color w:val="auto"/>
                <w:sz w:val="21"/>
              </w:rPr>
            </w:pPr>
            <w:r>
              <w:rPr>
                <w:rFonts w:ascii="Times New Roman" w:hAnsi="Times New Roman" w:cs="Times New Roman"/>
                <w:color w:val="auto"/>
                <w:sz w:val="21"/>
              </w:rPr>
              <w:t>去除率</w:t>
            </w:r>
            <w:r>
              <w:rPr>
                <w:rFonts w:ascii="Times New Roman" w:hAnsi="Times New Roman" w:eastAsia="Times New Roman" w:cs="Times New Roman"/>
                <w:color w:val="auto"/>
                <w:sz w:val="21"/>
              </w:rPr>
              <w:t>(%)</w:t>
            </w:r>
          </w:p>
        </w:tc>
        <w:tc>
          <w:tcPr>
            <w:tcW w:w="1415"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84</w:t>
            </w:r>
          </w:p>
        </w:tc>
        <w:tc>
          <w:tcPr>
            <w:tcW w:w="1520" w:type="dxa"/>
            <w:shd w:val="clear" w:color="auto" w:fill="auto"/>
            <w:vAlign w:val="center"/>
          </w:tcPr>
          <w:p>
            <w:pPr>
              <w:pStyle w:val="79"/>
              <w:autoSpaceDE w:val="0"/>
              <w:autoSpaceDN w:val="0"/>
              <w:spacing w:line="260" w:lineRule="exact"/>
              <w:ind w:firstLine="0" w:firstLineChars="0"/>
              <w:jc w:val="center"/>
              <w:rPr>
                <w:color w:val="auto"/>
                <w:sz w:val="21"/>
                <w:szCs w:val="21"/>
              </w:rPr>
            </w:pPr>
            <w:r>
              <w:rPr>
                <w:rFonts w:hint="eastAsia"/>
                <w:color w:val="auto"/>
                <w:sz w:val="21"/>
                <w:szCs w:val="21"/>
              </w:rPr>
              <w:t>85</w:t>
            </w:r>
          </w:p>
        </w:tc>
        <w:tc>
          <w:tcPr>
            <w:tcW w:w="1658"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0</w:t>
            </w:r>
          </w:p>
        </w:tc>
        <w:tc>
          <w:tcPr>
            <w:tcW w:w="1197"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0</w:t>
            </w:r>
          </w:p>
        </w:tc>
        <w:tc>
          <w:tcPr>
            <w:tcW w:w="1150" w:type="dxa"/>
            <w:shd w:val="clear" w:color="auto" w:fill="auto"/>
            <w:vAlign w:val="center"/>
          </w:tcPr>
          <w:p>
            <w:pPr>
              <w:pStyle w:val="79"/>
              <w:autoSpaceDE w:val="0"/>
              <w:autoSpaceDN w:val="0"/>
              <w:spacing w:line="260" w:lineRule="exact"/>
              <w:ind w:firstLine="0" w:firstLineChars="0"/>
              <w:jc w:val="center"/>
              <w:rPr>
                <w:color w:val="auto"/>
                <w:sz w:val="21"/>
                <w:szCs w:val="21"/>
              </w:rPr>
            </w:pPr>
            <w:r>
              <w:rPr>
                <w:rFonts w:hint="eastAsia"/>
                <w:color w:val="auto"/>
                <w:sz w:val="21"/>
                <w:szCs w:val="21"/>
              </w:rPr>
              <w:t>33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15" w:hRule="atLeast"/>
        </w:trPr>
        <w:tc>
          <w:tcPr>
            <w:tcW w:w="853" w:type="dxa"/>
            <w:vMerge w:val="restart"/>
            <w:shd w:val="clear" w:color="auto" w:fill="auto"/>
            <w:vAlign w:val="center"/>
          </w:tcPr>
          <w:p>
            <w:pPr>
              <w:jc w:val="center"/>
              <w:rPr>
                <w:color w:val="auto"/>
                <w:sz w:val="21"/>
                <w:szCs w:val="21"/>
              </w:rPr>
            </w:pPr>
            <w:r>
              <w:rPr>
                <w:color w:val="auto"/>
                <w:kern w:val="0"/>
                <w:sz w:val="21"/>
                <w:szCs w:val="21"/>
              </w:rPr>
              <w:t>MBR(A/O+NF)</w:t>
            </w:r>
          </w:p>
        </w:tc>
        <w:tc>
          <w:tcPr>
            <w:tcW w:w="1277" w:type="dxa"/>
            <w:shd w:val="clear" w:color="auto" w:fill="auto"/>
            <w:vAlign w:val="center"/>
          </w:tcPr>
          <w:p>
            <w:pPr>
              <w:pStyle w:val="286"/>
              <w:autoSpaceDE w:val="0"/>
              <w:autoSpaceDN w:val="0"/>
              <w:spacing w:before="40" w:line="255" w:lineRule="exact"/>
              <w:ind w:right="179"/>
              <w:jc w:val="center"/>
              <w:rPr>
                <w:rFonts w:ascii="Times New Roman" w:hAnsi="Times New Roman" w:cs="Times New Roman"/>
                <w:color w:val="auto"/>
                <w:sz w:val="21"/>
              </w:rPr>
            </w:pPr>
            <w:r>
              <w:rPr>
                <w:rFonts w:ascii="Times New Roman" w:hAnsi="Times New Roman" w:cs="Times New Roman"/>
                <w:color w:val="auto"/>
                <w:sz w:val="21"/>
              </w:rPr>
              <w:t>进水水质</w:t>
            </w:r>
          </w:p>
        </w:tc>
        <w:tc>
          <w:tcPr>
            <w:tcW w:w="1415"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7000</w:t>
            </w:r>
          </w:p>
        </w:tc>
        <w:tc>
          <w:tcPr>
            <w:tcW w:w="1520"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1425</w:t>
            </w:r>
          </w:p>
        </w:tc>
        <w:tc>
          <w:tcPr>
            <w:tcW w:w="1658" w:type="dxa"/>
            <w:shd w:val="clear" w:color="auto" w:fill="auto"/>
            <w:vAlign w:val="center"/>
          </w:tcPr>
          <w:p>
            <w:pPr>
              <w:pStyle w:val="79"/>
              <w:autoSpaceDE w:val="0"/>
              <w:autoSpaceDN w:val="0"/>
              <w:spacing w:line="260" w:lineRule="exact"/>
              <w:ind w:firstLine="0" w:firstLineChars="0"/>
              <w:jc w:val="center"/>
              <w:rPr>
                <w:color w:val="auto"/>
                <w:sz w:val="21"/>
                <w:szCs w:val="21"/>
              </w:rPr>
            </w:pPr>
            <w:r>
              <w:rPr>
                <w:rFonts w:hint="eastAsia"/>
                <w:color w:val="auto"/>
                <w:sz w:val="21"/>
                <w:szCs w:val="21"/>
              </w:rPr>
              <w:t>1</w:t>
            </w:r>
            <w:r>
              <w:rPr>
                <w:color w:val="auto"/>
                <w:sz w:val="21"/>
                <w:szCs w:val="21"/>
              </w:rPr>
              <w:t>000</w:t>
            </w:r>
          </w:p>
        </w:tc>
        <w:tc>
          <w:tcPr>
            <w:tcW w:w="1197"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2100</w:t>
            </w:r>
          </w:p>
        </w:tc>
        <w:tc>
          <w:tcPr>
            <w:tcW w:w="1150" w:type="dxa"/>
            <w:shd w:val="clear" w:color="auto" w:fill="auto"/>
            <w:vAlign w:val="center"/>
          </w:tcPr>
          <w:p>
            <w:pPr>
              <w:pStyle w:val="79"/>
              <w:autoSpaceDE w:val="0"/>
              <w:autoSpaceDN w:val="0"/>
              <w:spacing w:line="260" w:lineRule="exact"/>
              <w:ind w:firstLine="0" w:firstLineChars="0"/>
              <w:jc w:val="center"/>
              <w:rPr>
                <w:color w:val="auto"/>
                <w:sz w:val="21"/>
                <w:szCs w:val="21"/>
              </w:rPr>
            </w:pPr>
            <w:r>
              <w:rPr>
                <w:rFonts w:hint="eastAsia"/>
                <w:color w:val="auto"/>
                <w:sz w:val="21"/>
                <w:szCs w:val="21"/>
              </w:rPr>
              <w:t>80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545" w:hRule="atLeast"/>
        </w:trPr>
        <w:tc>
          <w:tcPr>
            <w:tcW w:w="853" w:type="dxa"/>
            <w:vMerge w:val="continue"/>
            <w:shd w:val="clear" w:color="auto" w:fill="auto"/>
            <w:vAlign w:val="center"/>
          </w:tcPr>
          <w:p>
            <w:pPr>
              <w:jc w:val="center"/>
              <w:rPr>
                <w:color w:val="auto"/>
                <w:sz w:val="21"/>
                <w:szCs w:val="21"/>
              </w:rPr>
            </w:pPr>
          </w:p>
        </w:tc>
        <w:tc>
          <w:tcPr>
            <w:tcW w:w="1277" w:type="dxa"/>
            <w:shd w:val="clear" w:color="auto" w:fill="auto"/>
            <w:vAlign w:val="center"/>
          </w:tcPr>
          <w:p>
            <w:pPr>
              <w:pStyle w:val="286"/>
              <w:autoSpaceDE w:val="0"/>
              <w:autoSpaceDN w:val="0"/>
              <w:spacing w:line="268" w:lineRule="exact"/>
              <w:ind w:left="176" w:right="162"/>
              <w:jc w:val="center"/>
              <w:rPr>
                <w:rFonts w:ascii="Times New Roman" w:hAnsi="Times New Roman" w:cs="Times New Roman"/>
                <w:color w:val="auto"/>
                <w:sz w:val="21"/>
              </w:rPr>
            </w:pPr>
            <w:r>
              <w:rPr>
                <w:rFonts w:ascii="Times New Roman" w:hAnsi="Times New Roman" w:cs="Times New Roman"/>
                <w:color w:val="auto"/>
                <w:sz w:val="21"/>
              </w:rPr>
              <w:t>预计出水</w:t>
            </w:r>
          </w:p>
          <w:p>
            <w:pPr>
              <w:pStyle w:val="286"/>
              <w:autoSpaceDE w:val="0"/>
              <w:autoSpaceDN w:val="0"/>
              <w:spacing w:before="3" w:line="255" w:lineRule="exact"/>
              <w:ind w:left="176" w:right="162"/>
              <w:jc w:val="center"/>
              <w:rPr>
                <w:rFonts w:ascii="Times New Roman" w:hAnsi="Times New Roman" w:cs="Times New Roman"/>
                <w:color w:val="auto"/>
                <w:sz w:val="21"/>
              </w:rPr>
            </w:pPr>
            <w:r>
              <w:rPr>
                <w:rFonts w:ascii="Times New Roman" w:hAnsi="Times New Roman" w:cs="Times New Roman"/>
                <w:color w:val="auto"/>
                <w:sz w:val="21"/>
              </w:rPr>
              <w:t>水质</w:t>
            </w:r>
          </w:p>
        </w:tc>
        <w:tc>
          <w:tcPr>
            <w:tcW w:w="1415"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500</w:t>
            </w:r>
          </w:p>
        </w:tc>
        <w:tc>
          <w:tcPr>
            <w:tcW w:w="1520"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20</w:t>
            </w:r>
          </w:p>
        </w:tc>
        <w:tc>
          <w:tcPr>
            <w:tcW w:w="1658"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20</w:t>
            </w:r>
          </w:p>
        </w:tc>
        <w:tc>
          <w:tcPr>
            <w:tcW w:w="1197"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100</w:t>
            </w:r>
          </w:p>
        </w:tc>
        <w:tc>
          <w:tcPr>
            <w:tcW w:w="1150"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13" w:hRule="atLeast"/>
        </w:trPr>
        <w:tc>
          <w:tcPr>
            <w:tcW w:w="853" w:type="dxa"/>
            <w:vMerge w:val="continue"/>
            <w:shd w:val="clear" w:color="auto" w:fill="auto"/>
            <w:vAlign w:val="center"/>
          </w:tcPr>
          <w:p>
            <w:pPr>
              <w:jc w:val="center"/>
              <w:rPr>
                <w:color w:val="auto"/>
                <w:sz w:val="21"/>
                <w:szCs w:val="21"/>
              </w:rPr>
            </w:pPr>
          </w:p>
        </w:tc>
        <w:tc>
          <w:tcPr>
            <w:tcW w:w="1277" w:type="dxa"/>
            <w:shd w:val="clear" w:color="auto" w:fill="auto"/>
            <w:vAlign w:val="center"/>
          </w:tcPr>
          <w:p>
            <w:pPr>
              <w:pStyle w:val="286"/>
              <w:autoSpaceDE w:val="0"/>
              <w:autoSpaceDN w:val="0"/>
              <w:spacing w:before="39" w:line="255" w:lineRule="exact"/>
              <w:ind w:right="127"/>
              <w:jc w:val="center"/>
              <w:rPr>
                <w:rFonts w:ascii="Times New Roman" w:hAnsi="Times New Roman" w:eastAsia="Times New Roman" w:cs="Times New Roman"/>
                <w:color w:val="auto"/>
                <w:sz w:val="21"/>
              </w:rPr>
            </w:pPr>
            <w:r>
              <w:rPr>
                <w:rFonts w:ascii="Times New Roman" w:hAnsi="Times New Roman" w:cs="Times New Roman"/>
                <w:color w:val="auto"/>
                <w:sz w:val="21"/>
              </w:rPr>
              <w:t>去除率</w:t>
            </w:r>
            <w:r>
              <w:rPr>
                <w:rFonts w:ascii="Times New Roman" w:hAnsi="Times New Roman" w:eastAsia="Times New Roman" w:cs="Times New Roman"/>
                <w:color w:val="auto"/>
                <w:sz w:val="21"/>
              </w:rPr>
              <w:t>(%)</w:t>
            </w:r>
          </w:p>
        </w:tc>
        <w:tc>
          <w:tcPr>
            <w:tcW w:w="1415"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92.8</w:t>
            </w:r>
          </w:p>
        </w:tc>
        <w:tc>
          <w:tcPr>
            <w:tcW w:w="1520"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99</w:t>
            </w:r>
          </w:p>
        </w:tc>
        <w:tc>
          <w:tcPr>
            <w:tcW w:w="1658" w:type="dxa"/>
            <w:shd w:val="clear" w:color="auto" w:fill="auto"/>
            <w:vAlign w:val="center"/>
          </w:tcPr>
          <w:p>
            <w:pPr>
              <w:pStyle w:val="79"/>
              <w:autoSpaceDE w:val="0"/>
              <w:autoSpaceDN w:val="0"/>
              <w:spacing w:line="260" w:lineRule="exact"/>
              <w:ind w:firstLine="0" w:firstLineChars="0"/>
              <w:jc w:val="center"/>
              <w:rPr>
                <w:color w:val="auto"/>
                <w:sz w:val="21"/>
                <w:szCs w:val="21"/>
              </w:rPr>
            </w:pPr>
            <w:r>
              <w:rPr>
                <w:rFonts w:hint="eastAsia"/>
                <w:color w:val="auto"/>
                <w:sz w:val="21"/>
                <w:szCs w:val="21"/>
              </w:rPr>
              <w:t>98</w:t>
            </w:r>
          </w:p>
        </w:tc>
        <w:tc>
          <w:tcPr>
            <w:tcW w:w="1197"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95.2</w:t>
            </w:r>
          </w:p>
        </w:tc>
        <w:tc>
          <w:tcPr>
            <w:tcW w:w="1150" w:type="dxa"/>
            <w:shd w:val="clear" w:color="auto" w:fill="auto"/>
            <w:vAlign w:val="center"/>
          </w:tcPr>
          <w:p>
            <w:pPr>
              <w:pStyle w:val="79"/>
              <w:autoSpaceDE w:val="0"/>
              <w:autoSpaceDN w:val="0"/>
              <w:spacing w:line="260" w:lineRule="exact"/>
              <w:ind w:firstLine="0" w:firstLineChars="0"/>
              <w:jc w:val="center"/>
              <w:rPr>
                <w:color w:val="auto"/>
                <w:sz w:val="21"/>
                <w:szCs w:val="21"/>
              </w:rPr>
            </w:pPr>
            <w:r>
              <w:rPr>
                <w:rFonts w:hint="eastAsia"/>
                <w:color w:val="auto"/>
                <w:sz w:val="21"/>
                <w:szCs w:val="21"/>
              </w:rPr>
              <w:t>93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15" w:hRule="atLeast"/>
        </w:trPr>
        <w:tc>
          <w:tcPr>
            <w:tcW w:w="853" w:type="dxa"/>
            <w:vMerge w:val="restart"/>
            <w:shd w:val="clear" w:color="auto" w:fill="auto"/>
            <w:vAlign w:val="center"/>
          </w:tcPr>
          <w:p>
            <w:pPr>
              <w:jc w:val="center"/>
              <w:rPr>
                <w:color w:val="auto"/>
                <w:sz w:val="21"/>
                <w:szCs w:val="21"/>
              </w:rPr>
            </w:pPr>
            <w:r>
              <w:rPr>
                <w:rFonts w:hint="eastAsia"/>
                <w:color w:val="auto"/>
                <w:kern w:val="0"/>
                <w:sz w:val="21"/>
                <w:szCs w:val="21"/>
              </w:rPr>
              <w:t>R</w:t>
            </w:r>
            <w:r>
              <w:rPr>
                <w:color w:val="auto"/>
                <w:kern w:val="0"/>
                <w:sz w:val="21"/>
                <w:szCs w:val="21"/>
              </w:rPr>
              <w:t>O</w:t>
            </w:r>
          </w:p>
        </w:tc>
        <w:tc>
          <w:tcPr>
            <w:tcW w:w="1277" w:type="dxa"/>
            <w:shd w:val="clear" w:color="auto" w:fill="auto"/>
            <w:vAlign w:val="center"/>
          </w:tcPr>
          <w:p>
            <w:pPr>
              <w:pStyle w:val="286"/>
              <w:autoSpaceDE w:val="0"/>
              <w:autoSpaceDN w:val="0"/>
              <w:spacing w:before="40" w:line="255" w:lineRule="exact"/>
              <w:ind w:right="179"/>
              <w:jc w:val="center"/>
              <w:rPr>
                <w:rFonts w:ascii="Times New Roman" w:hAnsi="Times New Roman" w:cs="Times New Roman"/>
                <w:color w:val="auto"/>
                <w:sz w:val="21"/>
              </w:rPr>
            </w:pPr>
            <w:r>
              <w:rPr>
                <w:rFonts w:ascii="Times New Roman" w:hAnsi="Times New Roman" w:cs="Times New Roman"/>
                <w:color w:val="auto"/>
                <w:sz w:val="21"/>
              </w:rPr>
              <w:t>进水水质</w:t>
            </w:r>
          </w:p>
        </w:tc>
        <w:tc>
          <w:tcPr>
            <w:tcW w:w="1415"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500</w:t>
            </w:r>
          </w:p>
        </w:tc>
        <w:tc>
          <w:tcPr>
            <w:tcW w:w="1520"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20</w:t>
            </w:r>
          </w:p>
        </w:tc>
        <w:tc>
          <w:tcPr>
            <w:tcW w:w="1658"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20</w:t>
            </w:r>
          </w:p>
        </w:tc>
        <w:tc>
          <w:tcPr>
            <w:tcW w:w="1197"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100</w:t>
            </w:r>
          </w:p>
        </w:tc>
        <w:tc>
          <w:tcPr>
            <w:tcW w:w="1150"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544" w:hRule="atLeast"/>
        </w:trPr>
        <w:tc>
          <w:tcPr>
            <w:tcW w:w="853" w:type="dxa"/>
            <w:vMerge w:val="continue"/>
            <w:shd w:val="clear" w:color="auto" w:fill="auto"/>
            <w:vAlign w:val="center"/>
          </w:tcPr>
          <w:p>
            <w:pPr>
              <w:autoSpaceDE w:val="0"/>
              <w:autoSpaceDN w:val="0"/>
              <w:jc w:val="center"/>
              <w:rPr>
                <w:rFonts w:eastAsia="Times New Roman"/>
                <w:color w:val="auto"/>
                <w:sz w:val="2"/>
                <w:szCs w:val="2"/>
              </w:rPr>
            </w:pPr>
          </w:p>
        </w:tc>
        <w:tc>
          <w:tcPr>
            <w:tcW w:w="1277" w:type="dxa"/>
            <w:shd w:val="clear" w:color="auto" w:fill="auto"/>
            <w:vAlign w:val="center"/>
          </w:tcPr>
          <w:p>
            <w:pPr>
              <w:pStyle w:val="286"/>
              <w:autoSpaceDE w:val="0"/>
              <w:autoSpaceDN w:val="0"/>
              <w:spacing w:line="268" w:lineRule="exact"/>
              <w:ind w:left="176" w:right="162"/>
              <w:jc w:val="center"/>
              <w:rPr>
                <w:rFonts w:ascii="Times New Roman" w:hAnsi="Times New Roman" w:cs="Times New Roman"/>
                <w:color w:val="auto"/>
                <w:sz w:val="21"/>
              </w:rPr>
            </w:pPr>
            <w:r>
              <w:rPr>
                <w:rFonts w:ascii="Times New Roman" w:hAnsi="Times New Roman" w:cs="Times New Roman"/>
                <w:color w:val="auto"/>
                <w:sz w:val="21"/>
              </w:rPr>
              <w:t>预计出水</w:t>
            </w:r>
          </w:p>
          <w:p>
            <w:pPr>
              <w:pStyle w:val="286"/>
              <w:autoSpaceDE w:val="0"/>
              <w:autoSpaceDN w:val="0"/>
              <w:spacing w:before="3" w:line="254" w:lineRule="exact"/>
              <w:ind w:left="176" w:right="162"/>
              <w:jc w:val="center"/>
              <w:rPr>
                <w:rFonts w:ascii="Times New Roman" w:hAnsi="Times New Roman" w:cs="Times New Roman"/>
                <w:color w:val="auto"/>
                <w:sz w:val="21"/>
              </w:rPr>
            </w:pPr>
            <w:r>
              <w:rPr>
                <w:rFonts w:ascii="Times New Roman" w:hAnsi="Times New Roman" w:cs="Times New Roman"/>
                <w:color w:val="auto"/>
                <w:sz w:val="21"/>
              </w:rPr>
              <w:t>水质</w:t>
            </w:r>
          </w:p>
        </w:tc>
        <w:tc>
          <w:tcPr>
            <w:tcW w:w="1415"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350</w:t>
            </w:r>
          </w:p>
        </w:tc>
        <w:tc>
          <w:tcPr>
            <w:tcW w:w="1520"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15</w:t>
            </w:r>
          </w:p>
        </w:tc>
        <w:tc>
          <w:tcPr>
            <w:tcW w:w="1658"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18</w:t>
            </w:r>
          </w:p>
        </w:tc>
        <w:tc>
          <w:tcPr>
            <w:tcW w:w="1197"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50</w:t>
            </w:r>
          </w:p>
        </w:tc>
        <w:tc>
          <w:tcPr>
            <w:tcW w:w="1150"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15" w:hRule="atLeast"/>
        </w:trPr>
        <w:tc>
          <w:tcPr>
            <w:tcW w:w="853" w:type="dxa"/>
            <w:vMerge w:val="continue"/>
            <w:shd w:val="clear" w:color="auto" w:fill="auto"/>
            <w:vAlign w:val="center"/>
          </w:tcPr>
          <w:p>
            <w:pPr>
              <w:autoSpaceDE w:val="0"/>
              <w:autoSpaceDN w:val="0"/>
              <w:jc w:val="center"/>
              <w:rPr>
                <w:rFonts w:eastAsia="Times New Roman"/>
                <w:color w:val="auto"/>
                <w:sz w:val="2"/>
                <w:szCs w:val="2"/>
              </w:rPr>
            </w:pPr>
          </w:p>
        </w:tc>
        <w:tc>
          <w:tcPr>
            <w:tcW w:w="1277" w:type="dxa"/>
            <w:shd w:val="clear" w:color="auto" w:fill="auto"/>
            <w:vAlign w:val="center"/>
          </w:tcPr>
          <w:p>
            <w:pPr>
              <w:pStyle w:val="286"/>
              <w:autoSpaceDE w:val="0"/>
              <w:autoSpaceDN w:val="0"/>
              <w:spacing w:before="40" w:line="255" w:lineRule="exact"/>
              <w:ind w:right="127"/>
              <w:jc w:val="center"/>
              <w:rPr>
                <w:rFonts w:ascii="Times New Roman" w:hAnsi="Times New Roman" w:eastAsia="Times New Roman" w:cs="Times New Roman"/>
                <w:color w:val="auto"/>
                <w:sz w:val="21"/>
              </w:rPr>
            </w:pPr>
            <w:r>
              <w:rPr>
                <w:rFonts w:ascii="Times New Roman" w:hAnsi="Times New Roman" w:cs="Times New Roman"/>
                <w:color w:val="auto"/>
                <w:sz w:val="21"/>
              </w:rPr>
              <w:t>去除率</w:t>
            </w:r>
            <w:r>
              <w:rPr>
                <w:rFonts w:ascii="Times New Roman" w:hAnsi="Times New Roman" w:eastAsia="Times New Roman" w:cs="Times New Roman"/>
                <w:color w:val="auto"/>
                <w:sz w:val="21"/>
              </w:rPr>
              <w:t>(%)</w:t>
            </w:r>
          </w:p>
        </w:tc>
        <w:tc>
          <w:tcPr>
            <w:tcW w:w="1415"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30</w:t>
            </w:r>
          </w:p>
        </w:tc>
        <w:tc>
          <w:tcPr>
            <w:tcW w:w="1520"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25</w:t>
            </w:r>
          </w:p>
        </w:tc>
        <w:tc>
          <w:tcPr>
            <w:tcW w:w="1658"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10</w:t>
            </w:r>
          </w:p>
        </w:tc>
        <w:tc>
          <w:tcPr>
            <w:tcW w:w="1197"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50</w:t>
            </w:r>
          </w:p>
        </w:tc>
        <w:tc>
          <w:tcPr>
            <w:tcW w:w="1150"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15" w:hRule="atLeast"/>
        </w:trPr>
        <w:tc>
          <w:tcPr>
            <w:tcW w:w="853" w:type="dxa"/>
            <w:vMerge w:val="restart"/>
            <w:shd w:val="clear" w:color="auto" w:fill="auto"/>
            <w:vAlign w:val="center"/>
          </w:tcPr>
          <w:p>
            <w:pPr>
              <w:pStyle w:val="286"/>
              <w:autoSpaceDE w:val="0"/>
              <w:autoSpaceDN w:val="0"/>
              <w:spacing w:before="25" w:line="242" w:lineRule="auto"/>
              <w:ind w:left="162" w:right="148"/>
              <w:jc w:val="center"/>
              <w:rPr>
                <w:rFonts w:ascii="Times New Roman" w:hAnsi="Times New Roman" w:cs="Times New Roman"/>
                <w:color w:val="auto"/>
                <w:sz w:val="21"/>
              </w:rPr>
            </w:pPr>
            <w:r>
              <w:rPr>
                <w:rFonts w:ascii="Times New Roman" w:hAnsi="Times New Roman" w:cs="Times New Roman"/>
                <w:color w:val="auto"/>
                <w:sz w:val="21"/>
              </w:rPr>
              <w:t>反渗透系统</w:t>
            </w:r>
          </w:p>
        </w:tc>
        <w:tc>
          <w:tcPr>
            <w:tcW w:w="1277" w:type="dxa"/>
            <w:shd w:val="clear" w:color="auto" w:fill="auto"/>
            <w:vAlign w:val="center"/>
          </w:tcPr>
          <w:p>
            <w:pPr>
              <w:pStyle w:val="286"/>
              <w:autoSpaceDE w:val="0"/>
              <w:autoSpaceDN w:val="0"/>
              <w:spacing w:before="40" w:line="255" w:lineRule="exact"/>
              <w:ind w:right="179"/>
              <w:jc w:val="center"/>
              <w:rPr>
                <w:rFonts w:ascii="Times New Roman" w:hAnsi="Times New Roman" w:cs="Times New Roman"/>
                <w:color w:val="auto"/>
                <w:sz w:val="21"/>
              </w:rPr>
            </w:pPr>
            <w:r>
              <w:rPr>
                <w:rFonts w:ascii="Times New Roman" w:hAnsi="Times New Roman" w:cs="Times New Roman"/>
                <w:color w:val="auto"/>
                <w:sz w:val="21"/>
              </w:rPr>
              <w:t>进水水质</w:t>
            </w:r>
          </w:p>
        </w:tc>
        <w:tc>
          <w:tcPr>
            <w:tcW w:w="1415"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350</w:t>
            </w:r>
          </w:p>
        </w:tc>
        <w:tc>
          <w:tcPr>
            <w:tcW w:w="1520"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15</w:t>
            </w:r>
          </w:p>
        </w:tc>
        <w:tc>
          <w:tcPr>
            <w:tcW w:w="1658"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18</w:t>
            </w:r>
          </w:p>
        </w:tc>
        <w:tc>
          <w:tcPr>
            <w:tcW w:w="1197"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50</w:t>
            </w:r>
          </w:p>
        </w:tc>
        <w:tc>
          <w:tcPr>
            <w:tcW w:w="1150"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545" w:hRule="atLeast"/>
        </w:trPr>
        <w:tc>
          <w:tcPr>
            <w:tcW w:w="853" w:type="dxa"/>
            <w:vMerge w:val="continue"/>
            <w:shd w:val="clear" w:color="auto" w:fill="auto"/>
            <w:vAlign w:val="center"/>
          </w:tcPr>
          <w:p>
            <w:pPr>
              <w:autoSpaceDE w:val="0"/>
              <w:autoSpaceDN w:val="0"/>
              <w:jc w:val="center"/>
              <w:rPr>
                <w:rFonts w:eastAsia="Times New Roman"/>
                <w:color w:val="auto"/>
                <w:sz w:val="2"/>
                <w:szCs w:val="2"/>
              </w:rPr>
            </w:pPr>
          </w:p>
        </w:tc>
        <w:tc>
          <w:tcPr>
            <w:tcW w:w="1277" w:type="dxa"/>
            <w:shd w:val="clear" w:color="auto" w:fill="auto"/>
            <w:vAlign w:val="center"/>
          </w:tcPr>
          <w:p>
            <w:pPr>
              <w:pStyle w:val="286"/>
              <w:autoSpaceDE w:val="0"/>
              <w:autoSpaceDN w:val="0"/>
              <w:spacing w:line="266" w:lineRule="exact"/>
              <w:ind w:left="176" w:right="162"/>
              <w:jc w:val="center"/>
              <w:rPr>
                <w:rFonts w:ascii="Times New Roman" w:hAnsi="Times New Roman" w:cs="Times New Roman"/>
                <w:color w:val="auto"/>
                <w:sz w:val="21"/>
              </w:rPr>
            </w:pPr>
            <w:r>
              <w:rPr>
                <w:rFonts w:ascii="Times New Roman" w:hAnsi="Times New Roman" w:cs="Times New Roman"/>
                <w:color w:val="auto"/>
                <w:sz w:val="21"/>
              </w:rPr>
              <w:t>预计出水</w:t>
            </w:r>
          </w:p>
          <w:p>
            <w:pPr>
              <w:pStyle w:val="286"/>
              <w:autoSpaceDE w:val="0"/>
              <w:autoSpaceDN w:val="0"/>
              <w:spacing w:before="3" w:line="256" w:lineRule="exact"/>
              <w:ind w:left="176" w:right="162"/>
              <w:jc w:val="center"/>
              <w:rPr>
                <w:rFonts w:ascii="Times New Roman" w:hAnsi="Times New Roman" w:cs="Times New Roman"/>
                <w:color w:val="auto"/>
                <w:sz w:val="21"/>
              </w:rPr>
            </w:pPr>
            <w:r>
              <w:rPr>
                <w:rFonts w:ascii="Times New Roman" w:hAnsi="Times New Roman" w:cs="Times New Roman"/>
                <w:color w:val="auto"/>
                <w:sz w:val="21"/>
              </w:rPr>
              <w:t>水质</w:t>
            </w:r>
          </w:p>
        </w:tc>
        <w:tc>
          <w:tcPr>
            <w:tcW w:w="1415"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50</w:t>
            </w:r>
          </w:p>
        </w:tc>
        <w:tc>
          <w:tcPr>
            <w:tcW w:w="1520"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5</w:t>
            </w:r>
          </w:p>
        </w:tc>
        <w:tc>
          <w:tcPr>
            <w:tcW w:w="1658"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5</w:t>
            </w:r>
          </w:p>
        </w:tc>
        <w:tc>
          <w:tcPr>
            <w:tcW w:w="1197"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25</w:t>
            </w:r>
          </w:p>
        </w:tc>
        <w:tc>
          <w:tcPr>
            <w:tcW w:w="1150"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545" w:hRule="atLeast"/>
        </w:trPr>
        <w:tc>
          <w:tcPr>
            <w:tcW w:w="853" w:type="dxa"/>
            <w:vMerge w:val="continue"/>
            <w:shd w:val="clear" w:color="auto" w:fill="auto"/>
            <w:vAlign w:val="center"/>
          </w:tcPr>
          <w:p>
            <w:pPr>
              <w:autoSpaceDE w:val="0"/>
              <w:autoSpaceDN w:val="0"/>
              <w:jc w:val="center"/>
              <w:rPr>
                <w:rFonts w:eastAsia="Times New Roman"/>
                <w:color w:val="auto"/>
                <w:sz w:val="2"/>
                <w:szCs w:val="2"/>
              </w:rPr>
            </w:pPr>
          </w:p>
        </w:tc>
        <w:tc>
          <w:tcPr>
            <w:tcW w:w="1277" w:type="dxa"/>
            <w:shd w:val="clear" w:color="auto" w:fill="auto"/>
            <w:vAlign w:val="center"/>
          </w:tcPr>
          <w:p>
            <w:pPr>
              <w:pStyle w:val="286"/>
              <w:autoSpaceDE w:val="0"/>
              <w:autoSpaceDN w:val="0"/>
              <w:spacing w:before="43" w:line="251" w:lineRule="exact"/>
              <w:ind w:left="144"/>
              <w:jc w:val="center"/>
              <w:rPr>
                <w:rFonts w:ascii="Times New Roman" w:hAnsi="Times New Roman" w:eastAsia="Times New Roman" w:cs="Times New Roman"/>
                <w:color w:val="auto"/>
                <w:sz w:val="21"/>
              </w:rPr>
            </w:pPr>
            <w:r>
              <w:rPr>
                <w:rFonts w:ascii="Times New Roman" w:hAnsi="Times New Roman" w:cs="Times New Roman"/>
                <w:color w:val="auto"/>
                <w:sz w:val="21"/>
              </w:rPr>
              <w:t>去除率</w:t>
            </w:r>
            <w:r>
              <w:rPr>
                <w:rFonts w:ascii="Times New Roman" w:hAnsi="Times New Roman" w:eastAsia="Times New Roman" w:cs="Times New Roman"/>
                <w:color w:val="auto"/>
                <w:sz w:val="21"/>
              </w:rPr>
              <w:t>(%)</w:t>
            </w:r>
          </w:p>
        </w:tc>
        <w:tc>
          <w:tcPr>
            <w:tcW w:w="1415"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86</w:t>
            </w:r>
          </w:p>
        </w:tc>
        <w:tc>
          <w:tcPr>
            <w:tcW w:w="1520"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67</w:t>
            </w:r>
          </w:p>
        </w:tc>
        <w:tc>
          <w:tcPr>
            <w:tcW w:w="1658"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72</w:t>
            </w:r>
          </w:p>
        </w:tc>
        <w:tc>
          <w:tcPr>
            <w:tcW w:w="1197"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50</w:t>
            </w:r>
          </w:p>
        </w:tc>
        <w:tc>
          <w:tcPr>
            <w:tcW w:w="1150"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100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545" w:hRule="atLeast"/>
        </w:trPr>
        <w:tc>
          <w:tcPr>
            <w:tcW w:w="2130" w:type="dxa"/>
            <w:gridSpan w:val="2"/>
            <w:shd w:val="clear" w:color="auto" w:fill="auto"/>
            <w:vAlign w:val="center"/>
          </w:tcPr>
          <w:p>
            <w:pPr>
              <w:pStyle w:val="286"/>
              <w:autoSpaceDE w:val="0"/>
              <w:autoSpaceDN w:val="0"/>
              <w:spacing w:before="43" w:line="251" w:lineRule="exact"/>
              <w:ind w:left="144"/>
              <w:jc w:val="center"/>
              <w:rPr>
                <w:rFonts w:ascii="Times New Roman" w:hAnsi="Times New Roman" w:eastAsia="Times New Roman" w:cs="Times New Roman"/>
                <w:color w:val="auto"/>
                <w:sz w:val="21"/>
              </w:rPr>
            </w:pPr>
            <w:r>
              <w:rPr>
                <w:rFonts w:ascii="Times New Roman" w:hAnsi="Times New Roman" w:cs="Times New Roman"/>
                <w:color w:val="auto"/>
                <w:sz w:val="21"/>
              </w:rPr>
              <w:t>回用标准</w:t>
            </w:r>
          </w:p>
        </w:tc>
        <w:tc>
          <w:tcPr>
            <w:tcW w:w="1415"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≤60</w:t>
            </w:r>
          </w:p>
        </w:tc>
        <w:tc>
          <w:tcPr>
            <w:tcW w:w="1520"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≤10</w:t>
            </w:r>
          </w:p>
        </w:tc>
        <w:tc>
          <w:tcPr>
            <w:tcW w:w="1658"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≤10</w:t>
            </w:r>
          </w:p>
        </w:tc>
        <w:tc>
          <w:tcPr>
            <w:tcW w:w="1197" w:type="dxa"/>
            <w:shd w:val="clear" w:color="auto" w:fill="auto"/>
            <w:vAlign w:val="center"/>
          </w:tcPr>
          <w:p>
            <w:pPr>
              <w:pStyle w:val="79"/>
              <w:autoSpaceDE w:val="0"/>
              <w:autoSpaceDN w:val="0"/>
              <w:spacing w:line="260" w:lineRule="exact"/>
              <w:ind w:firstLine="0" w:firstLineChars="0"/>
              <w:jc w:val="center"/>
              <w:rPr>
                <w:color w:val="auto"/>
                <w:sz w:val="21"/>
                <w:szCs w:val="21"/>
              </w:rPr>
            </w:pPr>
            <w:r>
              <w:rPr>
                <w:color w:val="auto"/>
                <w:sz w:val="21"/>
                <w:szCs w:val="21"/>
              </w:rPr>
              <w:t>≤40</w:t>
            </w:r>
          </w:p>
        </w:tc>
        <w:tc>
          <w:tcPr>
            <w:tcW w:w="1150" w:type="dxa"/>
            <w:shd w:val="clear" w:color="auto" w:fill="auto"/>
            <w:vAlign w:val="center"/>
          </w:tcPr>
          <w:p>
            <w:pPr>
              <w:pStyle w:val="79"/>
              <w:autoSpaceDE w:val="0"/>
              <w:autoSpaceDN w:val="0"/>
              <w:spacing w:line="260" w:lineRule="exact"/>
              <w:ind w:firstLine="0" w:firstLineChars="0"/>
              <w:jc w:val="center"/>
              <w:rPr>
                <w:color w:val="auto"/>
                <w:sz w:val="21"/>
                <w:szCs w:val="21"/>
              </w:rPr>
            </w:pPr>
            <w:r>
              <w:rPr>
                <w:rFonts w:hint="eastAsia"/>
                <w:color w:val="auto"/>
                <w:sz w:val="21"/>
                <w:szCs w:val="21"/>
              </w:rPr>
              <w:t>——</w:t>
            </w:r>
          </w:p>
        </w:tc>
      </w:tr>
    </w:tbl>
    <w:p>
      <w:pPr>
        <w:spacing w:line="360" w:lineRule="auto"/>
        <w:ind w:firstLine="480"/>
        <w:rPr>
          <w:color w:val="auto"/>
        </w:rPr>
      </w:pPr>
      <w:r>
        <w:rPr>
          <w:rFonts w:hint="eastAsia"/>
          <w:color w:val="auto"/>
        </w:rPr>
        <w:t>由上表可知，渗滤液经过采用上述工艺处理后能达到</w:t>
      </w:r>
      <w:r>
        <w:rPr>
          <w:color w:val="auto"/>
        </w:rPr>
        <w:t>《城市污水再生利用-工业用水水质》</w:t>
      </w:r>
      <w:r>
        <w:rPr>
          <w:rFonts w:hint="eastAsia"/>
          <w:color w:val="auto"/>
        </w:rPr>
        <w:t>（</w:t>
      </w:r>
      <w:r>
        <w:rPr>
          <w:color w:val="auto"/>
        </w:rPr>
        <w:t>GB19923-2005</w:t>
      </w:r>
      <w:r>
        <w:rPr>
          <w:rFonts w:hint="eastAsia"/>
          <w:color w:val="auto"/>
        </w:rPr>
        <w:t>）中敞开式循环冷却水标准回用，同时，由参考报告书可知，在建园区内渗滤液处理站处理规模为600t/d（二期完成后），其中在建项目加上二期项目建设完成后渗滤液产生量为550m</w:t>
      </w:r>
      <w:r>
        <w:rPr>
          <w:rFonts w:hint="eastAsia"/>
          <w:color w:val="auto"/>
          <w:vertAlign w:val="superscript"/>
        </w:rPr>
        <w:t>3</w:t>
      </w:r>
      <w:r>
        <w:rPr>
          <w:rFonts w:hint="eastAsia"/>
          <w:color w:val="auto"/>
        </w:rPr>
        <w:t>/d，还剩下50 m</w:t>
      </w:r>
      <w:r>
        <w:rPr>
          <w:rFonts w:hint="eastAsia"/>
          <w:color w:val="auto"/>
          <w:vertAlign w:val="superscript"/>
        </w:rPr>
        <w:t>3</w:t>
      </w:r>
      <w:r>
        <w:rPr>
          <w:rFonts w:hint="eastAsia"/>
          <w:color w:val="auto"/>
        </w:rPr>
        <w:t>/d处理余量。本餐厨项目生产废水产生量为</w:t>
      </w:r>
      <w:r>
        <w:rPr>
          <w:rFonts w:hint="eastAsia"/>
          <w:color w:val="auto"/>
          <w:lang w:val="en-US" w:eastAsia="zh-CN"/>
        </w:rPr>
        <w:t>18.84</w:t>
      </w:r>
      <w:r>
        <w:rPr>
          <w:rFonts w:hint="eastAsia"/>
          <w:color w:val="auto"/>
        </w:rPr>
        <w:t>t/d，剩余的渗滤液处理能力可以满足本项目废水产生量。</w:t>
      </w:r>
    </w:p>
    <w:p>
      <w:pPr>
        <w:spacing w:line="360" w:lineRule="auto"/>
        <w:ind w:firstLine="480"/>
        <w:rPr>
          <w:color w:val="auto"/>
        </w:rPr>
      </w:pPr>
      <w:r>
        <w:rPr>
          <w:rFonts w:hint="eastAsia"/>
          <w:color w:val="auto"/>
        </w:rPr>
        <w:t>此外，由前面工程分析可知，餐厨垃圾的生产废水的产生浓度与在建的渗滤液处理站的进水浓度对比表如下：</w:t>
      </w:r>
    </w:p>
    <w:p>
      <w:pPr>
        <w:ind w:firstLine="482" w:firstLineChars="200"/>
        <w:jc w:val="center"/>
        <w:rPr>
          <w:rFonts w:eastAsiaTheme="minorEastAsia"/>
          <w:color w:val="auto"/>
        </w:rPr>
      </w:pPr>
      <w:r>
        <w:rPr>
          <w:rFonts w:eastAsiaTheme="minorEastAsia"/>
          <w:b/>
          <w:color w:val="auto"/>
        </w:rPr>
        <w:t xml:space="preserve">表 </w:t>
      </w:r>
      <w:r>
        <w:rPr>
          <w:rFonts w:eastAsiaTheme="minorEastAsia"/>
          <w:b/>
          <w:color w:val="auto"/>
        </w:rPr>
        <w:fldChar w:fldCharType="begin"/>
      </w:r>
      <w:r>
        <w:rPr>
          <w:rFonts w:eastAsiaTheme="minorEastAsia"/>
          <w:b/>
          <w:color w:val="auto"/>
        </w:rPr>
        <w:instrText xml:space="preserve"> STYLEREF 2 \s </w:instrText>
      </w:r>
      <w:r>
        <w:rPr>
          <w:rFonts w:eastAsiaTheme="minorEastAsia"/>
          <w:b/>
          <w:color w:val="auto"/>
        </w:rPr>
        <w:fldChar w:fldCharType="separate"/>
      </w:r>
      <w:r>
        <w:rPr>
          <w:rFonts w:eastAsiaTheme="minorEastAsia"/>
          <w:b/>
          <w:color w:val="auto"/>
        </w:rPr>
        <w:t>6.2</w:t>
      </w:r>
      <w:r>
        <w:rPr>
          <w:rFonts w:eastAsiaTheme="minorEastAsia"/>
          <w:b/>
          <w:color w:val="auto"/>
        </w:rPr>
        <w:fldChar w:fldCharType="end"/>
      </w:r>
      <w:r>
        <w:rPr>
          <w:rFonts w:eastAsiaTheme="minorEastAsia"/>
          <w:b/>
          <w:color w:val="auto"/>
        </w:rPr>
        <w:noBreakHyphen/>
      </w:r>
      <w:r>
        <w:rPr>
          <w:rFonts w:hint="eastAsia" w:eastAsiaTheme="minorEastAsia"/>
          <w:b/>
          <w:color w:val="auto"/>
        </w:rPr>
        <w:t>9</w:t>
      </w:r>
      <w:r>
        <w:rPr>
          <w:rFonts w:eastAsiaTheme="minorEastAsia"/>
          <w:b/>
          <w:bCs/>
          <w:color w:val="auto"/>
        </w:rPr>
        <w:t xml:space="preserve">  </w:t>
      </w:r>
      <w:r>
        <w:rPr>
          <w:rFonts w:hint="eastAsia" w:eastAsiaTheme="minorEastAsia"/>
          <w:b/>
          <w:bCs/>
          <w:color w:val="auto"/>
        </w:rPr>
        <w:t>餐厨垃圾生产废水与渗滤液处理站进水指标对比一览表</w:t>
      </w:r>
    </w:p>
    <w:tbl>
      <w:tblPr>
        <w:tblStyle w:val="53"/>
        <w:tblW w:w="893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93"/>
        <w:gridCol w:w="1701"/>
        <w:gridCol w:w="1701"/>
        <w:gridCol w:w="1701"/>
        <w:gridCol w:w="14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8" w:hRule="atLeast"/>
          <w:jc w:val="center"/>
        </w:trPr>
        <w:tc>
          <w:tcPr>
            <w:tcW w:w="2393" w:type="dxa"/>
            <w:vAlign w:val="center"/>
          </w:tcPr>
          <w:p>
            <w:pPr>
              <w:jc w:val="center"/>
              <w:rPr>
                <w:b/>
                <w:bCs/>
                <w:color w:val="auto"/>
                <w:sz w:val="21"/>
                <w:szCs w:val="21"/>
              </w:rPr>
            </w:pPr>
            <w:r>
              <w:rPr>
                <w:b/>
                <w:bCs/>
                <w:color w:val="auto"/>
                <w:sz w:val="21"/>
                <w:szCs w:val="21"/>
              </w:rPr>
              <w:t>项目</w:t>
            </w:r>
          </w:p>
        </w:tc>
        <w:tc>
          <w:tcPr>
            <w:tcW w:w="1701" w:type="dxa"/>
            <w:vAlign w:val="center"/>
          </w:tcPr>
          <w:p>
            <w:pPr>
              <w:jc w:val="center"/>
              <w:rPr>
                <w:b/>
                <w:bCs/>
                <w:color w:val="auto"/>
                <w:sz w:val="21"/>
                <w:szCs w:val="21"/>
              </w:rPr>
            </w:pPr>
            <w:r>
              <w:rPr>
                <w:b/>
                <w:bCs/>
                <w:color w:val="auto"/>
                <w:sz w:val="21"/>
                <w:szCs w:val="21"/>
              </w:rPr>
              <w:t>BOD</w:t>
            </w:r>
            <w:r>
              <w:rPr>
                <w:b/>
                <w:bCs/>
                <w:color w:val="auto"/>
                <w:sz w:val="21"/>
                <w:szCs w:val="21"/>
                <w:vertAlign w:val="subscript"/>
              </w:rPr>
              <w:t>5</w:t>
            </w:r>
          </w:p>
          <w:p>
            <w:pPr>
              <w:jc w:val="center"/>
              <w:rPr>
                <w:b/>
                <w:bCs/>
                <w:color w:val="auto"/>
                <w:sz w:val="21"/>
                <w:szCs w:val="21"/>
              </w:rPr>
            </w:pPr>
            <w:r>
              <w:rPr>
                <w:b/>
                <w:bCs/>
                <w:color w:val="auto"/>
                <w:sz w:val="21"/>
                <w:szCs w:val="21"/>
              </w:rPr>
              <w:t>(mg/L)</w:t>
            </w:r>
          </w:p>
        </w:tc>
        <w:tc>
          <w:tcPr>
            <w:tcW w:w="1701" w:type="dxa"/>
            <w:vAlign w:val="center"/>
          </w:tcPr>
          <w:p>
            <w:pPr>
              <w:jc w:val="center"/>
              <w:rPr>
                <w:b/>
                <w:bCs/>
                <w:color w:val="auto"/>
                <w:sz w:val="21"/>
                <w:szCs w:val="21"/>
              </w:rPr>
            </w:pPr>
            <w:r>
              <w:rPr>
                <w:b/>
                <w:bCs/>
                <w:color w:val="auto"/>
                <w:sz w:val="21"/>
                <w:szCs w:val="21"/>
              </w:rPr>
              <w:t>COD</w:t>
            </w:r>
            <w:r>
              <w:rPr>
                <w:b/>
                <w:bCs/>
                <w:color w:val="auto"/>
                <w:sz w:val="21"/>
                <w:szCs w:val="21"/>
                <w:vertAlign w:val="subscript"/>
              </w:rPr>
              <w:t>Cr</w:t>
            </w:r>
          </w:p>
          <w:p>
            <w:pPr>
              <w:jc w:val="center"/>
              <w:rPr>
                <w:b/>
                <w:bCs/>
                <w:color w:val="auto"/>
                <w:sz w:val="21"/>
                <w:szCs w:val="21"/>
              </w:rPr>
            </w:pPr>
            <w:r>
              <w:rPr>
                <w:b/>
                <w:bCs/>
                <w:color w:val="auto"/>
                <w:sz w:val="21"/>
                <w:szCs w:val="21"/>
              </w:rPr>
              <w:t>(mg/L)</w:t>
            </w:r>
          </w:p>
        </w:tc>
        <w:tc>
          <w:tcPr>
            <w:tcW w:w="1701" w:type="dxa"/>
            <w:vAlign w:val="center"/>
          </w:tcPr>
          <w:p>
            <w:pPr>
              <w:jc w:val="center"/>
              <w:rPr>
                <w:b/>
                <w:bCs/>
                <w:color w:val="auto"/>
                <w:sz w:val="21"/>
                <w:szCs w:val="21"/>
              </w:rPr>
            </w:pPr>
            <w:r>
              <w:rPr>
                <w:b/>
                <w:bCs/>
                <w:color w:val="auto"/>
                <w:sz w:val="21"/>
                <w:szCs w:val="21"/>
              </w:rPr>
              <w:t>SS</w:t>
            </w:r>
          </w:p>
          <w:p>
            <w:pPr>
              <w:jc w:val="center"/>
              <w:rPr>
                <w:b/>
                <w:bCs/>
                <w:color w:val="auto"/>
                <w:sz w:val="21"/>
                <w:szCs w:val="21"/>
              </w:rPr>
            </w:pPr>
            <w:r>
              <w:rPr>
                <w:b/>
                <w:bCs/>
                <w:color w:val="auto"/>
                <w:sz w:val="21"/>
                <w:szCs w:val="21"/>
              </w:rPr>
              <w:t>(mg/L)</w:t>
            </w:r>
          </w:p>
        </w:tc>
        <w:tc>
          <w:tcPr>
            <w:tcW w:w="1438" w:type="dxa"/>
            <w:tcMar>
              <w:left w:w="28" w:type="dxa"/>
              <w:right w:w="28" w:type="dxa"/>
            </w:tcMar>
            <w:vAlign w:val="center"/>
          </w:tcPr>
          <w:p>
            <w:pPr>
              <w:jc w:val="center"/>
              <w:rPr>
                <w:b/>
                <w:bCs/>
                <w:color w:val="auto"/>
                <w:sz w:val="21"/>
                <w:szCs w:val="21"/>
              </w:rPr>
            </w:pPr>
            <w:r>
              <w:rPr>
                <w:b/>
                <w:bCs/>
                <w:color w:val="auto"/>
                <w:sz w:val="21"/>
                <w:szCs w:val="21"/>
              </w:rPr>
              <w:t>NH</w:t>
            </w:r>
            <w:r>
              <w:rPr>
                <w:b/>
                <w:bCs/>
                <w:color w:val="auto"/>
                <w:sz w:val="21"/>
                <w:szCs w:val="21"/>
                <w:vertAlign w:val="subscript"/>
              </w:rPr>
              <w:t>4</w:t>
            </w:r>
            <w:r>
              <w:rPr>
                <w:b/>
                <w:bCs/>
                <w:color w:val="auto"/>
                <w:position w:val="7"/>
                <w:sz w:val="21"/>
                <w:szCs w:val="21"/>
              </w:rPr>
              <w:t>+</w:t>
            </w:r>
            <w:r>
              <w:rPr>
                <w:b/>
                <w:bCs/>
                <w:color w:val="auto"/>
                <w:sz w:val="21"/>
                <w:szCs w:val="21"/>
              </w:rPr>
              <w:t>-N</w:t>
            </w:r>
          </w:p>
          <w:p>
            <w:pPr>
              <w:jc w:val="center"/>
              <w:rPr>
                <w:b/>
                <w:bCs/>
                <w:color w:val="auto"/>
                <w:sz w:val="21"/>
                <w:szCs w:val="21"/>
              </w:rPr>
            </w:pPr>
            <w:r>
              <w:rPr>
                <w:b/>
                <w:bCs/>
                <w:color w:val="auto"/>
                <w:sz w:val="21"/>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57" w:hRule="atLeast"/>
          <w:jc w:val="center"/>
        </w:trPr>
        <w:tc>
          <w:tcPr>
            <w:tcW w:w="2393" w:type="dxa"/>
            <w:vAlign w:val="center"/>
          </w:tcPr>
          <w:p>
            <w:pPr>
              <w:jc w:val="center"/>
              <w:rPr>
                <w:color w:val="auto"/>
                <w:sz w:val="21"/>
                <w:szCs w:val="21"/>
              </w:rPr>
            </w:pPr>
            <w:r>
              <w:rPr>
                <w:color w:val="auto"/>
                <w:sz w:val="21"/>
                <w:szCs w:val="21"/>
              </w:rPr>
              <w:t>渗滤液处理站进水水质</w:t>
            </w:r>
          </w:p>
        </w:tc>
        <w:tc>
          <w:tcPr>
            <w:tcW w:w="1701" w:type="dxa"/>
            <w:tcMar>
              <w:left w:w="28" w:type="dxa"/>
              <w:right w:w="28" w:type="dxa"/>
            </w:tcMar>
            <w:vAlign w:val="center"/>
          </w:tcPr>
          <w:p>
            <w:pPr>
              <w:jc w:val="center"/>
              <w:rPr>
                <w:color w:val="auto"/>
                <w:sz w:val="21"/>
                <w:szCs w:val="21"/>
              </w:rPr>
            </w:pPr>
            <w:r>
              <w:rPr>
                <w:color w:val="auto"/>
                <w:sz w:val="21"/>
                <w:szCs w:val="21"/>
              </w:rPr>
              <w:t>10000</w:t>
            </w:r>
          </w:p>
        </w:tc>
        <w:tc>
          <w:tcPr>
            <w:tcW w:w="1701" w:type="dxa"/>
            <w:tcMar>
              <w:left w:w="28" w:type="dxa"/>
              <w:right w:w="28" w:type="dxa"/>
            </w:tcMar>
            <w:vAlign w:val="center"/>
          </w:tcPr>
          <w:p>
            <w:pPr>
              <w:jc w:val="center"/>
              <w:rPr>
                <w:color w:val="auto"/>
                <w:sz w:val="21"/>
                <w:szCs w:val="21"/>
              </w:rPr>
            </w:pPr>
            <w:r>
              <w:rPr>
                <w:color w:val="auto"/>
                <w:sz w:val="21"/>
                <w:szCs w:val="21"/>
              </w:rPr>
              <w:t>60000</w:t>
            </w:r>
          </w:p>
        </w:tc>
        <w:tc>
          <w:tcPr>
            <w:tcW w:w="1701" w:type="dxa"/>
            <w:tcMar>
              <w:left w:w="28" w:type="dxa"/>
              <w:right w:w="28" w:type="dxa"/>
            </w:tcMar>
            <w:vAlign w:val="center"/>
          </w:tcPr>
          <w:p>
            <w:pPr>
              <w:jc w:val="center"/>
              <w:rPr>
                <w:color w:val="auto"/>
                <w:sz w:val="21"/>
                <w:szCs w:val="21"/>
              </w:rPr>
            </w:pPr>
            <w:r>
              <w:rPr>
                <w:color w:val="auto"/>
                <w:sz w:val="21"/>
                <w:szCs w:val="21"/>
              </w:rPr>
              <w:t>150</w:t>
            </w:r>
          </w:p>
        </w:tc>
        <w:tc>
          <w:tcPr>
            <w:tcW w:w="1438" w:type="dxa"/>
            <w:tcMar>
              <w:left w:w="28" w:type="dxa"/>
              <w:right w:w="28" w:type="dxa"/>
            </w:tcMar>
            <w:vAlign w:val="center"/>
          </w:tcPr>
          <w:p>
            <w:pPr>
              <w:jc w:val="center"/>
              <w:rPr>
                <w:color w:val="auto"/>
                <w:sz w:val="21"/>
                <w:szCs w:val="21"/>
              </w:rPr>
            </w:pPr>
            <w:r>
              <w:rPr>
                <w:color w:val="auto"/>
                <w:sz w:val="21"/>
                <w:szCs w:val="21"/>
              </w:rPr>
              <w:t>1000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57" w:hRule="atLeast"/>
          <w:jc w:val="center"/>
        </w:trPr>
        <w:tc>
          <w:tcPr>
            <w:tcW w:w="2393" w:type="dxa"/>
            <w:vAlign w:val="center"/>
          </w:tcPr>
          <w:p>
            <w:pPr>
              <w:jc w:val="center"/>
              <w:rPr>
                <w:color w:val="auto"/>
                <w:sz w:val="21"/>
                <w:szCs w:val="21"/>
              </w:rPr>
            </w:pPr>
            <w:r>
              <w:rPr>
                <w:color w:val="auto"/>
                <w:sz w:val="21"/>
                <w:szCs w:val="21"/>
              </w:rPr>
              <w:t>餐厨垃圾生产废水</w:t>
            </w:r>
          </w:p>
        </w:tc>
        <w:tc>
          <w:tcPr>
            <w:tcW w:w="1701" w:type="dxa"/>
            <w:tcMar>
              <w:left w:w="28" w:type="dxa"/>
              <w:right w:w="28" w:type="dxa"/>
            </w:tcMar>
            <w:vAlign w:val="center"/>
          </w:tcPr>
          <w:p>
            <w:pPr>
              <w:jc w:val="center"/>
              <w:rPr>
                <w:color w:val="auto"/>
                <w:sz w:val="21"/>
                <w:szCs w:val="21"/>
              </w:rPr>
            </w:pPr>
            <w:r>
              <w:rPr>
                <w:rFonts w:hint="eastAsia"/>
                <w:color w:val="auto"/>
                <w:sz w:val="21"/>
                <w:szCs w:val="21"/>
                <w:lang w:val="en-US" w:eastAsia="zh-CN"/>
              </w:rPr>
              <w:t>1</w:t>
            </w:r>
            <w:r>
              <w:rPr>
                <w:color w:val="auto"/>
                <w:sz w:val="21"/>
                <w:szCs w:val="21"/>
              </w:rPr>
              <w:t>500</w:t>
            </w:r>
          </w:p>
        </w:tc>
        <w:tc>
          <w:tcPr>
            <w:tcW w:w="1701" w:type="dxa"/>
            <w:tcMar>
              <w:left w:w="28" w:type="dxa"/>
              <w:right w:w="28" w:type="dxa"/>
            </w:tcMar>
            <w:vAlign w:val="center"/>
          </w:tcPr>
          <w:p>
            <w:pPr>
              <w:jc w:val="center"/>
              <w:rPr>
                <w:color w:val="auto"/>
                <w:sz w:val="21"/>
                <w:szCs w:val="21"/>
              </w:rPr>
            </w:pPr>
            <w:r>
              <w:rPr>
                <w:rFonts w:hint="eastAsia"/>
                <w:color w:val="auto"/>
                <w:sz w:val="21"/>
                <w:szCs w:val="21"/>
                <w:lang w:val="en-US" w:eastAsia="zh-CN"/>
              </w:rPr>
              <w:t>6</w:t>
            </w:r>
            <w:r>
              <w:rPr>
                <w:color w:val="auto"/>
                <w:sz w:val="21"/>
                <w:szCs w:val="21"/>
              </w:rPr>
              <w:t>000</w:t>
            </w:r>
          </w:p>
        </w:tc>
        <w:tc>
          <w:tcPr>
            <w:tcW w:w="1701" w:type="dxa"/>
            <w:tcMar>
              <w:left w:w="28" w:type="dxa"/>
              <w:right w:w="28" w:type="dxa"/>
            </w:tcMar>
            <w:vAlign w:val="center"/>
          </w:tcPr>
          <w:p>
            <w:pPr>
              <w:jc w:val="center"/>
              <w:rPr>
                <w:rFonts w:hint="eastAsia" w:eastAsia="宋体"/>
                <w:color w:val="auto"/>
                <w:sz w:val="21"/>
                <w:szCs w:val="21"/>
                <w:lang w:eastAsia="zh-CN"/>
              </w:rPr>
            </w:pPr>
            <w:r>
              <w:rPr>
                <w:rFonts w:hint="eastAsia"/>
                <w:color w:val="auto"/>
                <w:sz w:val="21"/>
                <w:szCs w:val="21"/>
                <w:lang w:val="en-US" w:eastAsia="zh-CN"/>
              </w:rPr>
              <w:t>150</w:t>
            </w:r>
          </w:p>
        </w:tc>
        <w:tc>
          <w:tcPr>
            <w:tcW w:w="1438" w:type="dxa"/>
            <w:tcMar>
              <w:left w:w="28" w:type="dxa"/>
              <w:right w:w="28" w:type="dxa"/>
            </w:tcMar>
            <w:vAlign w:val="center"/>
          </w:tcPr>
          <w:p>
            <w:pPr>
              <w:jc w:val="center"/>
              <w:rPr>
                <w:color w:val="auto"/>
                <w:sz w:val="21"/>
                <w:szCs w:val="21"/>
              </w:rPr>
            </w:pPr>
            <w:r>
              <w:rPr>
                <w:rFonts w:hint="eastAsia"/>
                <w:color w:val="auto"/>
                <w:sz w:val="21"/>
                <w:szCs w:val="21"/>
                <w:lang w:val="en-US" w:eastAsia="zh-CN"/>
              </w:rPr>
              <w:t>10</w:t>
            </w:r>
            <w:r>
              <w:rPr>
                <w:color w:val="auto"/>
                <w:sz w:val="21"/>
                <w:szCs w:val="21"/>
              </w:rPr>
              <w:t>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57" w:hRule="atLeast"/>
          <w:jc w:val="center"/>
        </w:trPr>
        <w:tc>
          <w:tcPr>
            <w:tcW w:w="2393" w:type="dxa"/>
            <w:vAlign w:val="center"/>
          </w:tcPr>
          <w:p>
            <w:pPr>
              <w:jc w:val="center"/>
              <w:rPr>
                <w:rFonts w:hint="eastAsia" w:eastAsia="宋体"/>
                <w:color w:val="auto"/>
                <w:sz w:val="21"/>
                <w:szCs w:val="21"/>
                <w:lang w:val="en-US" w:eastAsia="zh-CN"/>
              </w:rPr>
            </w:pPr>
            <w:r>
              <w:rPr>
                <w:rFonts w:hint="eastAsia"/>
                <w:color w:val="auto"/>
                <w:sz w:val="21"/>
                <w:szCs w:val="21"/>
                <w:lang w:val="en-US" w:eastAsia="zh-CN"/>
              </w:rPr>
              <w:t>餐厨生产废水与在建项目生产废水混合后的水质情况</w:t>
            </w:r>
          </w:p>
        </w:tc>
        <w:tc>
          <w:tcPr>
            <w:tcW w:w="1701" w:type="dxa"/>
            <w:tcMar>
              <w:left w:w="28" w:type="dxa"/>
              <w:right w:w="28" w:type="dxa"/>
            </w:tcMar>
            <w:vAlign w:val="center"/>
          </w:tcPr>
          <w:p>
            <w:pPr>
              <w:jc w:val="center"/>
              <w:rPr>
                <w:rFonts w:hint="eastAsia"/>
                <w:color w:val="auto"/>
                <w:sz w:val="21"/>
                <w:szCs w:val="21"/>
                <w:lang w:val="en-US" w:eastAsia="zh-CN"/>
              </w:rPr>
            </w:pPr>
            <w:r>
              <w:rPr>
                <w:rFonts w:hint="eastAsia"/>
                <w:color w:val="auto"/>
                <w:sz w:val="21"/>
                <w:szCs w:val="21"/>
                <w:lang w:val="en-US" w:eastAsia="zh-CN"/>
              </w:rPr>
              <w:t>9717.6</w:t>
            </w:r>
          </w:p>
        </w:tc>
        <w:tc>
          <w:tcPr>
            <w:tcW w:w="1701" w:type="dxa"/>
            <w:tcMar>
              <w:left w:w="28" w:type="dxa"/>
              <w:right w:w="28" w:type="dxa"/>
            </w:tcMar>
            <w:vAlign w:val="center"/>
          </w:tcPr>
          <w:p>
            <w:pPr>
              <w:jc w:val="center"/>
              <w:rPr>
                <w:rFonts w:hint="eastAsia"/>
                <w:color w:val="auto"/>
                <w:sz w:val="21"/>
                <w:szCs w:val="21"/>
                <w:lang w:val="en-US" w:eastAsia="zh-CN"/>
              </w:rPr>
            </w:pPr>
            <w:r>
              <w:rPr>
                <w:rFonts w:hint="eastAsia"/>
                <w:color w:val="auto"/>
                <w:sz w:val="21"/>
                <w:szCs w:val="21"/>
                <w:lang w:val="en-US" w:eastAsia="zh-CN"/>
              </w:rPr>
              <w:t>58206.0</w:t>
            </w:r>
          </w:p>
        </w:tc>
        <w:tc>
          <w:tcPr>
            <w:tcW w:w="1701" w:type="dxa"/>
            <w:tcMar>
              <w:left w:w="28" w:type="dxa"/>
              <w:right w:w="28" w:type="dxa"/>
            </w:tcMar>
            <w:vAlign w:val="center"/>
          </w:tcPr>
          <w:p>
            <w:pPr>
              <w:jc w:val="center"/>
              <w:rPr>
                <w:rFonts w:hint="eastAsia" w:eastAsia="宋体"/>
                <w:color w:val="auto"/>
                <w:sz w:val="21"/>
                <w:szCs w:val="21"/>
                <w:lang w:val="en-US" w:eastAsia="zh-CN"/>
              </w:rPr>
            </w:pPr>
            <w:r>
              <w:rPr>
                <w:rFonts w:hint="eastAsia"/>
                <w:color w:val="auto"/>
                <w:sz w:val="21"/>
                <w:szCs w:val="21"/>
                <w:lang w:val="en-US" w:eastAsia="zh-CN"/>
              </w:rPr>
              <w:t>150</w:t>
            </w:r>
          </w:p>
        </w:tc>
        <w:tc>
          <w:tcPr>
            <w:tcW w:w="1438" w:type="dxa"/>
            <w:tcMar>
              <w:left w:w="28" w:type="dxa"/>
              <w:right w:w="28" w:type="dxa"/>
            </w:tcMar>
            <w:vAlign w:val="center"/>
          </w:tcPr>
          <w:p>
            <w:pPr>
              <w:jc w:val="center"/>
              <w:rPr>
                <w:rFonts w:hint="eastAsia"/>
                <w:color w:val="auto"/>
                <w:sz w:val="21"/>
                <w:szCs w:val="21"/>
                <w:lang w:val="en-US" w:eastAsia="zh-CN"/>
              </w:rPr>
            </w:pPr>
            <w:r>
              <w:rPr>
                <w:rFonts w:hint="eastAsia"/>
                <w:color w:val="auto"/>
                <w:sz w:val="21"/>
                <w:szCs w:val="21"/>
                <w:lang w:val="en-US" w:eastAsia="zh-CN"/>
              </w:rPr>
              <w:t>1000</w:t>
            </w:r>
          </w:p>
        </w:tc>
      </w:tr>
    </w:tbl>
    <w:p>
      <w:pPr>
        <w:spacing w:line="360" w:lineRule="auto"/>
        <w:ind w:firstLine="480"/>
        <w:rPr>
          <w:color w:val="auto"/>
        </w:rPr>
      </w:pPr>
      <w:r>
        <w:rPr>
          <w:rFonts w:hint="eastAsia"/>
          <w:color w:val="auto"/>
          <w:sz w:val="24"/>
          <w:szCs w:val="24"/>
        </w:rPr>
        <w:t>由上表可知，餐厨垃圾产生的生产浓度较渗滤液处理站进水水质小，</w:t>
      </w:r>
      <w:r>
        <w:rPr>
          <w:rFonts w:hint="eastAsia"/>
          <w:color w:val="auto"/>
          <w:sz w:val="24"/>
          <w:szCs w:val="24"/>
          <w:lang w:eastAsia="zh-CN"/>
        </w:rPr>
        <w:t>餐厨生产废水与在建项目生产废水混合后BOD</w:t>
      </w:r>
      <w:r>
        <w:rPr>
          <w:rFonts w:hint="eastAsia"/>
          <w:color w:val="auto"/>
          <w:sz w:val="24"/>
          <w:szCs w:val="24"/>
          <w:vertAlign w:val="subscript"/>
          <w:lang w:eastAsia="zh-CN"/>
        </w:rPr>
        <w:t>5</w:t>
      </w:r>
      <w:r>
        <w:rPr>
          <w:rFonts w:hint="eastAsia"/>
          <w:color w:val="auto"/>
          <w:sz w:val="24"/>
          <w:szCs w:val="24"/>
          <w:vertAlign w:val="baseline"/>
          <w:lang w:eastAsia="zh-CN"/>
        </w:rPr>
        <w:t>、</w:t>
      </w:r>
      <w:r>
        <w:rPr>
          <w:b w:val="0"/>
          <w:bCs w:val="0"/>
          <w:color w:val="auto"/>
          <w:sz w:val="24"/>
          <w:szCs w:val="24"/>
        </w:rPr>
        <w:t>COD</w:t>
      </w:r>
      <w:r>
        <w:rPr>
          <w:b w:val="0"/>
          <w:bCs w:val="0"/>
          <w:color w:val="auto"/>
          <w:sz w:val="24"/>
          <w:szCs w:val="24"/>
          <w:vertAlign w:val="subscript"/>
        </w:rPr>
        <w:t>Cr</w:t>
      </w:r>
      <w:r>
        <w:rPr>
          <w:rFonts w:hint="eastAsia"/>
          <w:b w:val="0"/>
          <w:bCs w:val="0"/>
          <w:color w:val="auto"/>
          <w:sz w:val="24"/>
          <w:szCs w:val="24"/>
          <w:vertAlign w:val="baseline"/>
          <w:lang w:eastAsia="zh-CN"/>
        </w:rPr>
        <w:t>污染浓度有所减少，</w:t>
      </w:r>
      <w:r>
        <w:rPr>
          <w:rFonts w:hint="eastAsia"/>
          <w:b w:val="0"/>
          <w:bCs w:val="0"/>
          <w:color w:val="auto"/>
          <w:sz w:val="24"/>
          <w:szCs w:val="24"/>
          <w:vertAlign w:val="baseline"/>
          <w:lang w:val="en-US" w:eastAsia="zh-CN"/>
        </w:rPr>
        <w:t>SS和氨氮维持不变，由此可见餐厨废水</w:t>
      </w:r>
      <w:r>
        <w:rPr>
          <w:rFonts w:hint="eastAsia"/>
          <w:color w:val="auto"/>
          <w:sz w:val="24"/>
          <w:szCs w:val="24"/>
          <w:lang w:eastAsia="zh-CN"/>
        </w:rPr>
        <w:t>对渗</w:t>
      </w:r>
      <w:r>
        <w:rPr>
          <w:rFonts w:hint="eastAsia"/>
          <w:color w:val="auto"/>
          <w:lang w:eastAsia="zh-CN"/>
        </w:rPr>
        <w:t>滤液处理站的污染负荷影响可以忽略，</w:t>
      </w:r>
      <w:r>
        <w:rPr>
          <w:rFonts w:hint="eastAsia"/>
          <w:color w:val="auto"/>
        </w:rPr>
        <w:t>且餐厨垃圾生产废水产生量较少，仅占渗滤液处理站剩余处理规模的</w:t>
      </w:r>
      <w:r>
        <w:rPr>
          <w:rFonts w:hint="eastAsia"/>
          <w:color w:val="auto"/>
          <w:lang w:val="en-US" w:eastAsia="zh-CN"/>
        </w:rPr>
        <w:t>37.68</w:t>
      </w:r>
      <w:r>
        <w:rPr>
          <w:rFonts w:hint="eastAsia"/>
          <w:color w:val="auto"/>
        </w:rPr>
        <w:t>%，综上所述，餐厨垃圾生产废水无论从废水产生量还是进水水质要求，都能满足渗滤液处理站要求，餐厨垃圾生产废水依托在建的渗滤液处理站处理是可行的。</w:t>
      </w:r>
    </w:p>
    <w:p>
      <w:pPr>
        <w:spacing w:line="360" w:lineRule="auto"/>
        <w:rPr>
          <w:b/>
          <w:color w:val="auto"/>
        </w:rPr>
      </w:pPr>
      <w:r>
        <w:rPr>
          <w:b/>
          <w:color w:val="auto"/>
        </w:rPr>
        <w:t>6.2.2.</w:t>
      </w:r>
      <w:r>
        <w:rPr>
          <w:rFonts w:hint="eastAsia"/>
          <w:b/>
          <w:color w:val="auto"/>
        </w:rPr>
        <w:t>2建筑垃圾消纳场废水</w:t>
      </w:r>
      <w:r>
        <w:rPr>
          <w:b/>
          <w:color w:val="auto"/>
        </w:rPr>
        <w:t>处理措施概述</w:t>
      </w:r>
    </w:p>
    <w:p>
      <w:pPr>
        <w:spacing w:line="360" w:lineRule="auto"/>
        <w:ind w:firstLine="480"/>
        <w:rPr>
          <w:b/>
          <w:color w:val="auto"/>
        </w:rPr>
      </w:pPr>
      <w:r>
        <w:rPr>
          <w:rFonts w:hint="eastAsia"/>
          <w:b/>
          <w:color w:val="auto"/>
        </w:rPr>
        <w:t>1、建筑垃圾渗滤液成分分析</w:t>
      </w:r>
    </w:p>
    <w:p>
      <w:pPr>
        <w:spacing w:line="360" w:lineRule="auto"/>
        <w:ind w:firstLine="480"/>
        <w:rPr>
          <w:color w:val="auto"/>
        </w:rPr>
      </w:pPr>
      <w:r>
        <w:rPr>
          <w:rFonts w:hint="eastAsia"/>
          <w:color w:val="auto"/>
        </w:rPr>
        <w:t>根据</w:t>
      </w:r>
      <w:r>
        <w:rPr>
          <w:rFonts w:hint="eastAsia"/>
          <w:color w:val="auto"/>
          <w:shd w:val="clear" w:color="auto" w:fill="FFFFFF"/>
        </w:rPr>
        <w:t>《建筑垃圾填埋场的环境效应》（环境卫生工程第14卷第1期，同济大学 污染控制与资源化研究国家重点实验室 上海 200092 袁玉玉、王罗春、赵由才）</w:t>
      </w:r>
      <w:r>
        <w:rPr>
          <w:rFonts w:hint="eastAsia"/>
          <w:color w:val="auto"/>
        </w:rPr>
        <w:t>中的研究结论：美国曾对21个建筑垃圾填埋场淋溶液的305项指标（242有机组分、26项无机组分、37项常规组分）进行了监测，其中212项未检出。典型的建筑垃圾填埋场与生活垃圾填埋场渗滤液水质常见指标的对比分析情况详见下表：</w:t>
      </w:r>
    </w:p>
    <w:p>
      <w:pPr>
        <w:spacing w:line="360" w:lineRule="auto"/>
        <w:ind w:firstLine="480"/>
        <w:rPr>
          <w:b/>
          <w:color w:val="auto"/>
        </w:rPr>
      </w:pPr>
      <w:r>
        <w:rPr>
          <w:rFonts w:hint="eastAsia"/>
          <w:b/>
          <w:color w:val="auto"/>
        </w:rPr>
        <w:t>表6.2-</w:t>
      </w:r>
      <w:r>
        <w:rPr>
          <w:rFonts w:hint="eastAsia"/>
          <w:b/>
          <w:color w:val="auto"/>
          <w:lang w:val="en-US" w:eastAsia="zh-CN"/>
        </w:rPr>
        <w:t>10</w:t>
      </w:r>
      <w:r>
        <w:rPr>
          <w:rFonts w:hint="eastAsia"/>
          <w:b/>
          <w:color w:val="auto"/>
        </w:rPr>
        <w:t xml:space="preserve"> 建筑垃圾填埋场与生活垃圾填埋场渗滤液水质指标对比分析情况 </w:t>
      </w:r>
    </w:p>
    <w:p>
      <w:pPr>
        <w:spacing w:line="360" w:lineRule="auto"/>
        <w:ind w:firstLine="480"/>
        <w:jc w:val="right"/>
        <w:rPr>
          <w:b/>
          <w:color w:val="auto"/>
        </w:rPr>
      </w:pPr>
      <w:r>
        <w:rPr>
          <w:rFonts w:hint="eastAsia"/>
          <w:b/>
          <w:color w:val="auto"/>
        </w:rPr>
        <w:t>单位：mg/L、pH无量纲</w:t>
      </w:r>
    </w:p>
    <w:tbl>
      <w:tblPr>
        <w:tblStyle w:val="54"/>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95"/>
        <w:gridCol w:w="3095"/>
        <w:gridCol w:w="30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095" w:type="dxa"/>
            <w:vAlign w:val="center"/>
          </w:tcPr>
          <w:p>
            <w:pPr>
              <w:spacing w:line="360" w:lineRule="auto"/>
              <w:jc w:val="center"/>
              <w:rPr>
                <w:b/>
                <w:color w:val="auto"/>
                <w:sz w:val="21"/>
                <w:szCs w:val="21"/>
              </w:rPr>
            </w:pPr>
            <w:r>
              <w:rPr>
                <w:rFonts w:hint="eastAsia"/>
                <w:b/>
                <w:color w:val="auto"/>
                <w:sz w:val="21"/>
                <w:szCs w:val="21"/>
              </w:rPr>
              <w:t>水质指标</w:t>
            </w:r>
          </w:p>
        </w:tc>
        <w:tc>
          <w:tcPr>
            <w:tcW w:w="3095" w:type="dxa"/>
            <w:vAlign w:val="center"/>
          </w:tcPr>
          <w:p>
            <w:pPr>
              <w:spacing w:line="360" w:lineRule="auto"/>
              <w:jc w:val="center"/>
              <w:rPr>
                <w:b/>
                <w:color w:val="auto"/>
                <w:sz w:val="21"/>
                <w:szCs w:val="21"/>
              </w:rPr>
            </w:pPr>
            <w:r>
              <w:rPr>
                <w:rFonts w:hint="eastAsia"/>
                <w:b/>
                <w:color w:val="auto"/>
                <w:sz w:val="21"/>
                <w:szCs w:val="21"/>
              </w:rPr>
              <w:t>建筑垃圾填埋场</w:t>
            </w:r>
          </w:p>
        </w:tc>
        <w:tc>
          <w:tcPr>
            <w:tcW w:w="3096" w:type="dxa"/>
            <w:vAlign w:val="center"/>
          </w:tcPr>
          <w:p>
            <w:pPr>
              <w:spacing w:line="360" w:lineRule="auto"/>
              <w:jc w:val="center"/>
              <w:rPr>
                <w:b/>
                <w:color w:val="auto"/>
                <w:sz w:val="21"/>
                <w:szCs w:val="21"/>
              </w:rPr>
            </w:pPr>
            <w:r>
              <w:rPr>
                <w:rFonts w:hint="eastAsia"/>
                <w:b/>
                <w:color w:val="auto"/>
                <w:sz w:val="21"/>
                <w:szCs w:val="21"/>
              </w:rPr>
              <w:t>生活垃圾填埋场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095" w:type="dxa"/>
            <w:vAlign w:val="center"/>
          </w:tcPr>
          <w:p>
            <w:pPr>
              <w:spacing w:line="360" w:lineRule="auto"/>
              <w:jc w:val="center"/>
              <w:rPr>
                <w:color w:val="auto"/>
                <w:sz w:val="21"/>
                <w:szCs w:val="21"/>
              </w:rPr>
            </w:pPr>
            <w:r>
              <w:rPr>
                <w:rFonts w:hint="eastAsia"/>
                <w:color w:val="auto"/>
                <w:sz w:val="21"/>
                <w:szCs w:val="21"/>
              </w:rPr>
              <w:t>碱度</w:t>
            </w:r>
          </w:p>
        </w:tc>
        <w:tc>
          <w:tcPr>
            <w:tcW w:w="3095" w:type="dxa"/>
            <w:vAlign w:val="center"/>
          </w:tcPr>
          <w:p>
            <w:pPr>
              <w:spacing w:line="360" w:lineRule="auto"/>
              <w:jc w:val="center"/>
              <w:rPr>
                <w:color w:val="auto"/>
                <w:sz w:val="21"/>
                <w:szCs w:val="21"/>
              </w:rPr>
            </w:pPr>
            <w:r>
              <w:rPr>
                <w:rFonts w:hint="eastAsia"/>
                <w:color w:val="auto"/>
                <w:sz w:val="21"/>
                <w:szCs w:val="21"/>
              </w:rPr>
              <w:t>965</w:t>
            </w:r>
          </w:p>
        </w:tc>
        <w:tc>
          <w:tcPr>
            <w:tcW w:w="3096" w:type="dxa"/>
            <w:vAlign w:val="center"/>
          </w:tcPr>
          <w:p>
            <w:pPr>
              <w:spacing w:line="360" w:lineRule="auto"/>
              <w:jc w:val="center"/>
              <w:rPr>
                <w:color w:val="auto"/>
                <w:sz w:val="21"/>
                <w:szCs w:val="21"/>
              </w:rPr>
            </w:pPr>
            <w:r>
              <w:rPr>
                <w:rFonts w:hint="eastAsia"/>
                <w:color w:val="auto"/>
                <w:sz w:val="21"/>
                <w:szCs w:val="21"/>
              </w:rPr>
              <w:t>3000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095" w:type="dxa"/>
            <w:vAlign w:val="center"/>
          </w:tcPr>
          <w:p>
            <w:pPr>
              <w:spacing w:line="360" w:lineRule="auto"/>
              <w:jc w:val="center"/>
              <w:rPr>
                <w:color w:val="auto"/>
                <w:sz w:val="21"/>
                <w:szCs w:val="21"/>
              </w:rPr>
            </w:pPr>
            <w:r>
              <w:rPr>
                <w:rFonts w:hint="eastAsia"/>
                <w:color w:val="auto"/>
                <w:sz w:val="21"/>
                <w:szCs w:val="21"/>
              </w:rPr>
              <w:t>氨氮</w:t>
            </w:r>
          </w:p>
        </w:tc>
        <w:tc>
          <w:tcPr>
            <w:tcW w:w="3095" w:type="dxa"/>
            <w:vAlign w:val="center"/>
          </w:tcPr>
          <w:p>
            <w:pPr>
              <w:spacing w:line="360" w:lineRule="auto"/>
              <w:jc w:val="center"/>
              <w:rPr>
                <w:color w:val="auto"/>
                <w:sz w:val="21"/>
                <w:szCs w:val="21"/>
              </w:rPr>
            </w:pPr>
            <w:r>
              <w:rPr>
                <w:rFonts w:hint="eastAsia"/>
                <w:color w:val="auto"/>
                <w:sz w:val="21"/>
                <w:szCs w:val="21"/>
              </w:rPr>
              <w:t>20.4</w:t>
            </w:r>
          </w:p>
        </w:tc>
        <w:tc>
          <w:tcPr>
            <w:tcW w:w="3096" w:type="dxa"/>
            <w:vAlign w:val="center"/>
          </w:tcPr>
          <w:p>
            <w:pPr>
              <w:spacing w:line="360" w:lineRule="auto"/>
              <w:jc w:val="center"/>
              <w:rPr>
                <w:color w:val="auto"/>
                <w:sz w:val="21"/>
                <w:szCs w:val="21"/>
              </w:rPr>
            </w:pPr>
            <w:r>
              <w:rPr>
                <w:rFonts w:hint="eastAsia"/>
                <w:color w:val="auto"/>
                <w:sz w:val="21"/>
                <w:szCs w:val="21"/>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095" w:type="dxa"/>
            <w:vAlign w:val="center"/>
          </w:tcPr>
          <w:p>
            <w:pPr>
              <w:spacing w:line="360" w:lineRule="auto"/>
              <w:jc w:val="center"/>
              <w:rPr>
                <w:color w:val="auto"/>
                <w:sz w:val="21"/>
                <w:szCs w:val="21"/>
              </w:rPr>
            </w:pPr>
            <w:r>
              <w:rPr>
                <w:rFonts w:hint="eastAsia"/>
                <w:color w:val="auto"/>
                <w:sz w:val="21"/>
                <w:szCs w:val="21"/>
              </w:rPr>
              <w:t>Ca2+</w:t>
            </w:r>
          </w:p>
        </w:tc>
        <w:tc>
          <w:tcPr>
            <w:tcW w:w="3095" w:type="dxa"/>
            <w:vAlign w:val="center"/>
          </w:tcPr>
          <w:p>
            <w:pPr>
              <w:spacing w:line="360" w:lineRule="auto"/>
              <w:jc w:val="center"/>
              <w:rPr>
                <w:color w:val="auto"/>
                <w:sz w:val="21"/>
                <w:szCs w:val="21"/>
              </w:rPr>
            </w:pPr>
            <w:r>
              <w:rPr>
                <w:rFonts w:hint="eastAsia"/>
                <w:color w:val="auto"/>
                <w:sz w:val="21"/>
                <w:szCs w:val="21"/>
              </w:rPr>
              <w:t>274</w:t>
            </w:r>
          </w:p>
        </w:tc>
        <w:tc>
          <w:tcPr>
            <w:tcW w:w="3096" w:type="dxa"/>
            <w:vAlign w:val="center"/>
          </w:tcPr>
          <w:p>
            <w:pPr>
              <w:spacing w:line="360" w:lineRule="auto"/>
              <w:jc w:val="center"/>
              <w:rPr>
                <w:color w:val="auto"/>
                <w:sz w:val="21"/>
                <w:szCs w:val="21"/>
              </w:rPr>
            </w:pPr>
            <w:r>
              <w:rPr>
                <w:rFonts w:hint="eastAsia"/>
                <w:color w:val="auto"/>
                <w:sz w:val="21"/>
                <w:szCs w:val="21"/>
              </w:rPr>
              <w:t>1000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095" w:type="dxa"/>
            <w:vAlign w:val="center"/>
          </w:tcPr>
          <w:p>
            <w:pPr>
              <w:spacing w:line="360" w:lineRule="auto"/>
              <w:jc w:val="center"/>
              <w:rPr>
                <w:color w:val="auto"/>
                <w:sz w:val="21"/>
                <w:szCs w:val="21"/>
              </w:rPr>
            </w:pPr>
            <w:r>
              <w:rPr>
                <w:rFonts w:hint="eastAsia"/>
                <w:color w:val="auto"/>
                <w:sz w:val="21"/>
                <w:szCs w:val="21"/>
              </w:rPr>
              <w:t>COD</w:t>
            </w:r>
          </w:p>
        </w:tc>
        <w:tc>
          <w:tcPr>
            <w:tcW w:w="3095" w:type="dxa"/>
            <w:vAlign w:val="center"/>
          </w:tcPr>
          <w:p>
            <w:pPr>
              <w:spacing w:line="360" w:lineRule="auto"/>
              <w:jc w:val="center"/>
              <w:rPr>
                <w:color w:val="auto"/>
                <w:sz w:val="21"/>
                <w:szCs w:val="21"/>
              </w:rPr>
            </w:pPr>
            <w:r>
              <w:rPr>
                <w:rFonts w:hint="eastAsia"/>
                <w:color w:val="auto"/>
                <w:sz w:val="21"/>
                <w:szCs w:val="21"/>
              </w:rPr>
              <w:t>755</w:t>
            </w:r>
          </w:p>
        </w:tc>
        <w:tc>
          <w:tcPr>
            <w:tcW w:w="3096" w:type="dxa"/>
            <w:vAlign w:val="center"/>
          </w:tcPr>
          <w:p>
            <w:pPr>
              <w:spacing w:line="360" w:lineRule="auto"/>
              <w:jc w:val="center"/>
              <w:rPr>
                <w:color w:val="auto"/>
                <w:sz w:val="21"/>
                <w:szCs w:val="21"/>
              </w:rPr>
            </w:pPr>
            <w:r>
              <w:rPr>
                <w:rFonts w:hint="eastAsia"/>
                <w:color w:val="auto"/>
                <w:sz w:val="21"/>
                <w:szCs w:val="21"/>
              </w:rPr>
              <w:t>1800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095" w:type="dxa"/>
            <w:vAlign w:val="center"/>
          </w:tcPr>
          <w:p>
            <w:pPr>
              <w:spacing w:line="360" w:lineRule="auto"/>
              <w:jc w:val="center"/>
              <w:rPr>
                <w:color w:val="auto"/>
                <w:sz w:val="21"/>
                <w:szCs w:val="21"/>
              </w:rPr>
            </w:pPr>
            <w:r>
              <w:rPr>
                <w:rFonts w:hint="eastAsia"/>
                <w:color w:val="auto"/>
                <w:sz w:val="21"/>
                <w:szCs w:val="21"/>
              </w:rPr>
              <w:t>Cl-</w:t>
            </w:r>
          </w:p>
        </w:tc>
        <w:tc>
          <w:tcPr>
            <w:tcW w:w="3095" w:type="dxa"/>
            <w:vAlign w:val="center"/>
          </w:tcPr>
          <w:p>
            <w:pPr>
              <w:spacing w:line="360" w:lineRule="auto"/>
              <w:jc w:val="center"/>
              <w:rPr>
                <w:color w:val="auto"/>
                <w:sz w:val="21"/>
                <w:szCs w:val="21"/>
              </w:rPr>
            </w:pPr>
            <w:r>
              <w:rPr>
                <w:rFonts w:hint="eastAsia"/>
                <w:color w:val="auto"/>
                <w:sz w:val="21"/>
                <w:szCs w:val="21"/>
              </w:rPr>
              <w:t>158</w:t>
            </w:r>
          </w:p>
        </w:tc>
        <w:tc>
          <w:tcPr>
            <w:tcW w:w="3096" w:type="dxa"/>
            <w:vAlign w:val="center"/>
          </w:tcPr>
          <w:p>
            <w:pPr>
              <w:spacing w:line="360" w:lineRule="auto"/>
              <w:jc w:val="center"/>
              <w:rPr>
                <w:color w:val="auto"/>
                <w:sz w:val="21"/>
                <w:szCs w:val="21"/>
              </w:rPr>
            </w:pPr>
            <w:r>
              <w:rPr>
                <w:rFonts w:hint="eastAsia"/>
                <w:color w:val="auto"/>
                <w:sz w:val="21"/>
                <w:szCs w:val="21"/>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095" w:type="dxa"/>
            <w:vAlign w:val="center"/>
          </w:tcPr>
          <w:p>
            <w:pPr>
              <w:spacing w:line="360" w:lineRule="auto"/>
              <w:jc w:val="center"/>
              <w:rPr>
                <w:color w:val="auto"/>
                <w:sz w:val="21"/>
                <w:szCs w:val="21"/>
              </w:rPr>
            </w:pPr>
            <w:r>
              <w:rPr>
                <w:rFonts w:hint="eastAsia"/>
                <w:color w:val="auto"/>
                <w:sz w:val="21"/>
                <w:szCs w:val="21"/>
              </w:rPr>
              <w:t>硬度（碳酸钙）</w:t>
            </w:r>
          </w:p>
        </w:tc>
        <w:tc>
          <w:tcPr>
            <w:tcW w:w="3095" w:type="dxa"/>
            <w:vAlign w:val="center"/>
          </w:tcPr>
          <w:p>
            <w:pPr>
              <w:spacing w:line="360" w:lineRule="auto"/>
              <w:jc w:val="center"/>
              <w:rPr>
                <w:color w:val="auto"/>
                <w:sz w:val="21"/>
                <w:szCs w:val="21"/>
              </w:rPr>
            </w:pPr>
            <w:r>
              <w:rPr>
                <w:rFonts w:hint="eastAsia"/>
                <w:color w:val="auto"/>
                <w:sz w:val="21"/>
                <w:szCs w:val="21"/>
              </w:rPr>
              <w:t>274</w:t>
            </w:r>
          </w:p>
        </w:tc>
        <w:tc>
          <w:tcPr>
            <w:tcW w:w="3096" w:type="dxa"/>
            <w:vAlign w:val="center"/>
          </w:tcPr>
          <w:p>
            <w:pPr>
              <w:spacing w:line="360" w:lineRule="auto"/>
              <w:jc w:val="center"/>
              <w:rPr>
                <w:color w:val="auto"/>
                <w:sz w:val="21"/>
                <w:szCs w:val="21"/>
              </w:rPr>
            </w:pPr>
            <w:r>
              <w:rPr>
                <w:rFonts w:hint="eastAsia"/>
                <w:color w:val="auto"/>
                <w:sz w:val="21"/>
                <w:szCs w:val="21"/>
              </w:rPr>
              <w:t>3500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095" w:type="dxa"/>
            <w:vAlign w:val="center"/>
          </w:tcPr>
          <w:p>
            <w:pPr>
              <w:spacing w:line="360" w:lineRule="auto"/>
              <w:jc w:val="center"/>
              <w:rPr>
                <w:color w:val="auto"/>
                <w:sz w:val="21"/>
                <w:szCs w:val="21"/>
              </w:rPr>
            </w:pPr>
            <w:r>
              <w:rPr>
                <w:rFonts w:hint="eastAsia"/>
                <w:color w:val="auto"/>
                <w:sz w:val="21"/>
                <w:szCs w:val="21"/>
              </w:rPr>
              <w:t>镁离子</w:t>
            </w:r>
          </w:p>
        </w:tc>
        <w:tc>
          <w:tcPr>
            <w:tcW w:w="3095" w:type="dxa"/>
            <w:vAlign w:val="center"/>
          </w:tcPr>
          <w:p>
            <w:pPr>
              <w:spacing w:line="360" w:lineRule="auto"/>
              <w:jc w:val="center"/>
              <w:rPr>
                <w:color w:val="auto"/>
                <w:sz w:val="21"/>
                <w:szCs w:val="21"/>
              </w:rPr>
            </w:pPr>
            <w:r>
              <w:rPr>
                <w:rFonts w:hint="eastAsia"/>
                <w:color w:val="auto"/>
                <w:sz w:val="21"/>
                <w:szCs w:val="21"/>
              </w:rPr>
              <w:t>118</w:t>
            </w:r>
          </w:p>
        </w:tc>
        <w:tc>
          <w:tcPr>
            <w:tcW w:w="3096" w:type="dxa"/>
            <w:vAlign w:val="center"/>
          </w:tcPr>
          <w:p>
            <w:pPr>
              <w:spacing w:line="360" w:lineRule="auto"/>
              <w:jc w:val="center"/>
              <w:rPr>
                <w:color w:val="auto"/>
                <w:sz w:val="21"/>
                <w:szCs w:val="21"/>
              </w:rPr>
            </w:pPr>
            <w:r>
              <w:rPr>
                <w:rFonts w:hint="eastAsia"/>
                <w:color w:val="auto"/>
                <w:sz w:val="21"/>
                <w:szCs w:val="21"/>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095" w:type="dxa"/>
            <w:vAlign w:val="center"/>
          </w:tcPr>
          <w:p>
            <w:pPr>
              <w:spacing w:line="360" w:lineRule="auto"/>
              <w:jc w:val="center"/>
              <w:rPr>
                <w:color w:val="auto"/>
                <w:sz w:val="21"/>
                <w:szCs w:val="21"/>
              </w:rPr>
            </w:pPr>
            <w:r>
              <w:rPr>
                <w:rFonts w:hint="eastAsia"/>
                <w:color w:val="auto"/>
                <w:sz w:val="21"/>
                <w:szCs w:val="21"/>
              </w:rPr>
              <w:t>pH</w:t>
            </w:r>
          </w:p>
        </w:tc>
        <w:tc>
          <w:tcPr>
            <w:tcW w:w="3095" w:type="dxa"/>
            <w:vAlign w:val="center"/>
          </w:tcPr>
          <w:p>
            <w:pPr>
              <w:spacing w:line="360" w:lineRule="auto"/>
              <w:jc w:val="center"/>
              <w:rPr>
                <w:color w:val="auto"/>
                <w:sz w:val="21"/>
                <w:szCs w:val="21"/>
              </w:rPr>
            </w:pPr>
            <w:r>
              <w:rPr>
                <w:rFonts w:hint="eastAsia"/>
                <w:color w:val="auto"/>
                <w:sz w:val="21"/>
                <w:szCs w:val="21"/>
              </w:rPr>
              <w:t>6.95</w:t>
            </w:r>
          </w:p>
        </w:tc>
        <w:tc>
          <w:tcPr>
            <w:tcW w:w="3096" w:type="dxa"/>
            <w:vAlign w:val="center"/>
          </w:tcPr>
          <w:p>
            <w:pPr>
              <w:spacing w:line="360" w:lineRule="auto"/>
              <w:jc w:val="center"/>
              <w:rPr>
                <w:color w:val="auto"/>
                <w:sz w:val="21"/>
                <w:szCs w:val="21"/>
              </w:rPr>
            </w:pPr>
            <w:r>
              <w:rPr>
                <w:rFonts w:hint="eastAsia"/>
                <w:color w:val="auto"/>
                <w:sz w:val="21"/>
                <w:szCs w:val="21"/>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095" w:type="dxa"/>
            <w:vAlign w:val="center"/>
          </w:tcPr>
          <w:p>
            <w:pPr>
              <w:spacing w:line="360" w:lineRule="auto"/>
              <w:jc w:val="center"/>
              <w:rPr>
                <w:color w:val="auto"/>
                <w:sz w:val="21"/>
                <w:szCs w:val="21"/>
              </w:rPr>
            </w:pPr>
            <w:r>
              <w:rPr>
                <w:rFonts w:hint="eastAsia"/>
                <w:color w:val="auto"/>
                <w:sz w:val="21"/>
                <w:szCs w:val="21"/>
              </w:rPr>
              <w:t>K+</w:t>
            </w:r>
          </w:p>
        </w:tc>
        <w:tc>
          <w:tcPr>
            <w:tcW w:w="3095" w:type="dxa"/>
            <w:vAlign w:val="center"/>
          </w:tcPr>
          <w:p>
            <w:pPr>
              <w:spacing w:line="360" w:lineRule="auto"/>
              <w:jc w:val="center"/>
              <w:rPr>
                <w:color w:val="auto"/>
                <w:sz w:val="21"/>
                <w:szCs w:val="21"/>
              </w:rPr>
            </w:pPr>
            <w:r>
              <w:rPr>
                <w:rFonts w:hint="eastAsia"/>
                <w:color w:val="auto"/>
                <w:sz w:val="21"/>
                <w:szCs w:val="21"/>
              </w:rPr>
              <w:t>101</w:t>
            </w:r>
          </w:p>
        </w:tc>
        <w:tc>
          <w:tcPr>
            <w:tcW w:w="3096" w:type="dxa"/>
            <w:vAlign w:val="center"/>
          </w:tcPr>
          <w:p>
            <w:pPr>
              <w:spacing w:line="360" w:lineRule="auto"/>
              <w:jc w:val="center"/>
              <w:rPr>
                <w:color w:val="auto"/>
                <w:sz w:val="21"/>
                <w:szCs w:val="21"/>
              </w:rPr>
            </w:pPr>
            <w:r>
              <w:rPr>
                <w:rFonts w:hint="eastAsia"/>
                <w:color w:val="auto"/>
                <w:sz w:val="21"/>
                <w:szCs w:val="21"/>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095" w:type="dxa"/>
            <w:vAlign w:val="center"/>
          </w:tcPr>
          <w:p>
            <w:pPr>
              <w:spacing w:line="360" w:lineRule="auto"/>
              <w:jc w:val="center"/>
              <w:rPr>
                <w:color w:val="auto"/>
                <w:sz w:val="21"/>
                <w:szCs w:val="21"/>
              </w:rPr>
            </w:pPr>
            <w:r>
              <w:rPr>
                <w:rFonts w:hint="eastAsia"/>
                <w:color w:val="auto"/>
                <w:sz w:val="21"/>
                <w:szCs w:val="21"/>
              </w:rPr>
              <w:t>Na+</w:t>
            </w:r>
          </w:p>
        </w:tc>
        <w:tc>
          <w:tcPr>
            <w:tcW w:w="3095" w:type="dxa"/>
            <w:vAlign w:val="center"/>
          </w:tcPr>
          <w:p>
            <w:pPr>
              <w:spacing w:line="360" w:lineRule="auto"/>
              <w:jc w:val="center"/>
              <w:rPr>
                <w:color w:val="auto"/>
                <w:sz w:val="21"/>
                <w:szCs w:val="21"/>
              </w:rPr>
            </w:pPr>
            <w:r>
              <w:rPr>
                <w:rFonts w:hint="eastAsia"/>
                <w:color w:val="auto"/>
                <w:sz w:val="21"/>
                <w:szCs w:val="21"/>
              </w:rPr>
              <w:t>163</w:t>
            </w:r>
          </w:p>
        </w:tc>
        <w:tc>
          <w:tcPr>
            <w:tcW w:w="3096" w:type="dxa"/>
            <w:vAlign w:val="center"/>
          </w:tcPr>
          <w:p>
            <w:pPr>
              <w:spacing w:line="360" w:lineRule="auto"/>
              <w:jc w:val="center"/>
              <w:rPr>
                <w:color w:val="auto"/>
                <w:sz w:val="21"/>
                <w:szCs w:val="21"/>
              </w:rPr>
            </w:pPr>
            <w:r>
              <w:rPr>
                <w:rFonts w:hint="eastAsia"/>
                <w:color w:val="auto"/>
                <w:sz w:val="21"/>
                <w:szCs w:val="21"/>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095" w:type="dxa"/>
            <w:vAlign w:val="center"/>
          </w:tcPr>
          <w:p>
            <w:pPr>
              <w:spacing w:line="360" w:lineRule="auto"/>
              <w:jc w:val="center"/>
              <w:rPr>
                <w:color w:val="auto"/>
                <w:sz w:val="21"/>
                <w:szCs w:val="21"/>
              </w:rPr>
            </w:pPr>
            <w:r>
              <w:rPr>
                <w:rFonts w:hint="eastAsia"/>
                <w:color w:val="auto"/>
                <w:sz w:val="21"/>
                <w:szCs w:val="21"/>
              </w:rPr>
              <w:t>SO42-</w:t>
            </w:r>
          </w:p>
        </w:tc>
        <w:tc>
          <w:tcPr>
            <w:tcW w:w="3095" w:type="dxa"/>
            <w:vAlign w:val="center"/>
          </w:tcPr>
          <w:p>
            <w:pPr>
              <w:spacing w:line="360" w:lineRule="auto"/>
              <w:jc w:val="center"/>
              <w:rPr>
                <w:color w:val="auto"/>
                <w:sz w:val="21"/>
                <w:szCs w:val="21"/>
              </w:rPr>
            </w:pPr>
            <w:r>
              <w:rPr>
                <w:rFonts w:hint="eastAsia"/>
                <w:color w:val="auto"/>
                <w:sz w:val="21"/>
                <w:szCs w:val="21"/>
              </w:rPr>
              <w:t>254</w:t>
            </w:r>
          </w:p>
        </w:tc>
        <w:tc>
          <w:tcPr>
            <w:tcW w:w="3096" w:type="dxa"/>
            <w:vAlign w:val="center"/>
          </w:tcPr>
          <w:p>
            <w:pPr>
              <w:spacing w:line="360" w:lineRule="auto"/>
              <w:jc w:val="center"/>
              <w:rPr>
                <w:color w:val="auto"/>
                <w:sz w:val="21"/>
                <w:szCs w:val="21"/>
              </w:rPr>
            </w:pPr>
            <w:r>
              <w:rPr>
                <w:rFonts w:hint="eastAsia"/>
                <w:color w:val="auto"/>
                <w:sz w:val="21"/>
                <w:szCs w:val="21"/>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3095" w:type="dxa"/>
            <w:vAlign w:val="center"/>
          </w:tcPr>
          <w:p>
            <w:pPr>
              <w:spacing w:line="360" w:lineRule="auto"/>
              <w:jc w:val="center"/>
              <w:rPr>
                <w:color w:val="auto"/>
                <w:sz w:val="21"/>
                <w:szCs w:val="21"/>
              </w:rPr>
            </w:pPr>
            <w:r>
              <w:rPr>
                <w:rFonts w:hint="eastAsia"/>
                <w:color w:val="auto"/>
                <w:sz w:val="21"/>
                <w:szCs w:val="21"/>
              </w:rPr>
              <w:t>TOC</w:t>
            </w:r>
          </w:p>
        </w:tc>
        <w:tc>
          <w:tcPr>
            <w:tcW w:w="3095" w:type="dxa"/>
            <w:vAlign w:val="center"/>
          </w:tcPr>
          <w:p>
            <w:pPr>
              <w:spacing w:line="360" w:lineRule="auto"/>
              <w:jc w:val="center"/>
              <w:rPr>
                <w:color w:val="auto"/>
                <w:sz w:val="21"/>
                <w:szCs w:val="21"/>
              </w:rPr>
            </w:pPr>
            <w:r>
              <w:rPr>
                <w:rFonts w:hint="eastAsia"/>
                <w:color w:val="auto"/>
                <w:sz w:val="21"/>
                <w:szCs w:val="21"/>
              </w:rPr>
              <w:t>307</w:t>
            </w:r>
          </w:p>
        </w:tc>
        <w:tc>
          <w:tcPr>
            <w:tcW w:w="3096" w:type="dxa"/>
            <w:vAlign w:val="center"/>
          </w:tcPr>
          <w:p>
            <w:pPr>
              <w:spacing w:line="360" w:lineRule="auto"/>
              <w:jc w:val="center"/>
              <w:rPr>
                <w:color w:val="auto"/>
                <w:sz w:val="21"/>
                <w:szCs w:val="21"/>
              </w:rPr>
            </w:pPr>
            <w:r>
              <w:rPr>
                <w:rFonts w:hint="eastAsia"/>
                <w:color w:val="auto"/>
                <w:sz w:val="21"/>
                <w:szCs w:val="21"/>
              </w:rPr>
              <w:t>6000</w:t>
            </w:r>
          </w:p>
        </w:tc>
      </w:tr>
    </w:tbl>
    <w:p>
      <w:pPr>
        <w:spacing w:line="360" w:lineRule="auto"/>
        <w:ind w:firstLine="480"/>
        <w:rPr>
          <w:color w:val="auto"/>
        </w:rPr>
      </w:pPr>
      <w:r>
        <w:rPr>
          <w:rFonts w:hint="eastAsia"/>
          <w:color w:val="auto"/>
        </w:rPr>
        <w:t>由上表可知，建筑垃圾填埋场渗滤液的氨氮、COD及TOC等含量要远远低于生活垃圾填埋场渗滤液，因而其危害性要远小于生活垃圾填埋场渗滤液。</w:t>
      </w:r>
    </w:p>
    <w:p>
      <w:pPr>
        <w:spacing w:line="360" w:lineRule="auto"/>
        <w:ind w:firstLine="480"/>
        <w:rPr>
          <w:b/>
          <w:color w:val="auto"/>
        </w:rPr>
      </w:pPr>
      <w:r>
        <w:rPr>
          <w:rFonts w:hint="eastAsia"/>
          <w:b/>
          <w:color w:val="auto"/>
        </w:rPr>
        <w:t>2、废水处理措施可行性</w:t>
      </w:r>
    </w:p>
    <w:p>
      <w:pPr>
        <w:spacing w:line="360" w:lineRule="auto"/>
        <w:ind w:firstLine="480" w:firstLineChars="200"/>
        <w:rPr>
          <w:color w:val="auto"/>
          <w:kern w:val="0"/>
        </w:rPr>
      </w:pPr>
      <w:r>
        <w:rPr>
          <w:rFonts w:hint="eastAsia"/>
          <w:color w:val="auto"/>
        </w:rPr>
        <w:t>根据工程分析，建筑垃圾填埋区</w:t>
      </w:r>
      <w:r>
        <w:rPr>
          <w:rFonts w:hint="eastAsia"/>
          <w:bCs/>
          <w:color w:val="auto"/>
          <w:spacing w:val="2"/>
        </w:rPr>
        <w:t>淋溶液</w:t>
      </w:r>
      <w:r>
        <w:rPr>
          <w:color w:val="auto"/>
          <w:kern w:val="0"/>
        </w:rPr>
        <w:t>产生量为</w:t>
      </w:r>
      <w:r>
        <w:rPr>
          <w:rFonts w:hint="eastAsia" w:eastAsiaTheme="minorEastAsia"/>
          <w:color w:val="auto"/>
        </w:rPr>
        <w:t>80.04</w:t>
      </w:r>
      <w:r>
        <w:rPr>
          <w:color w:val="auto"/>
        </w:rPr>
        <w:t>m</w:t>
      </w:r>
      <w:r>
        <w:rPr>
          <w:color w:val="auto"/>
          <w:vertAlign w:val="superscript"/>
        </w:rPr>
        <w:t>3</w:t>
      </w:r>
      <w:r>
        <w:rPr>
          <w:rFonts w:eastAsia="Times New Roman"/>
          <w:color w:val="auto"/>
        </w:rPr>
        <w:t>/d</w:t>
      </w:r>
      <w:r>
        <w:rPr>
          <w:rFonts w:hint="eastAsia" w:eastAsiaTheme="minorEastAsia"/>
          <w:color w:val="auto"/>
        </w:rPr>
        <w:t>（26413.2</w:t>
      </w:r>
      <w:r>
        <w:rPr>
          <w:bCs/>
          <w:color w:val="auto"/>
          <w:spacing w:val="2"/>
        </w:rPr>
        <w:t xml:space="preserve"> m³/a</w:t>
      </w:r>
      <w:r>
        <w:rPr>
          <w:rFonts w:hint="eastAsia" w:eastAsiaTheme="minorEastAsia"/>
          <w:color w:val="auto"/>
        </w:rPr>
        <w:t>）</w:t>
      </w:r>
      <w:r>
        <w:rPr>
          <w:color w:val="auto"/>
          <w:kern w:val="0"/>
        </w:rPr>
        <w:t>，</w:t>
      </w:r>
      <w:r>
        <w:rPr>
          <w:bCs/>
          <w:color w:val="auto"/>
          <w:spacing w:val="2"/>
        </w:rPr>
        <w:t>洗车废水产生量为5.4m³/d(</w:t>
      </w:r>
      <w:r>
        <w:rPr>
          <w:rFonts w:hint="eastAsia"/>
          <w:bCs/>
          <w:color w:val="auto"/>
          <w:spacing w:val="2"/>
        </w:rPr>
        <w:t>1782</w:t>
      </w:r>
      <w:r>
        <w:rPr>
          <w:bCs/>
          <w:color w:val="auto"/>
          <w:spacing w:val="2"/>
        </w:rPr>
        <w:t>m³/a)</w:t>
      </w:r>
      <w:r>
        <w:rPr>
          <w:rFonts w:hint="eastAsia"/>
          <w:color w:val="auto"/>
          <w:kern w:val="0"/>
        </w:rPr>
        <w:t>，则建筑垃圾消纳场生产废水产生量为85.44</w:t>
      </w:r>
      <w:r>
        <w:rPr>
          <w:color w:val="auto"/>
        </w:rPr>
        <w:t xml:space="preserve"> m</w:t>
      </w:r>
      <w:r>
        <w:rPr>
          <w:color w:val="auto"/>
          <w:vertAlign w:val="superscript"/>
        </w:rPr>
        <w:t>3</w:t>
      </w:r>
      <w:r>
        <w:rPr>
          <w:rFonts w:eastAsia="Times New Roman"/>
          <w:color w:val="auto"/>
        </w:rPr>
        <w:t>/d</w:t>
      </w:r>
      <w:r>
        <w:rPr>
          <w:rFonts w:hint="eastAsia" w:eastAsiaTheme="minorEastAsia"/>
          <w:color w:val="auto"/>
        </w:rPr>
        <w:t>（28195.2</w:t>
      </w:r>
      <w:r>
        <w:rPr>
          <w:bCs/>
          <w:color w:val="auto"/>
          <w:spacing w:val="2"/>
        </w:rPr>
        <w:t>m³/a</w:t>
      </w:r>
      <w:r>
        <w:rPr>
          <w:rFonts w:hint="eastAsia" w:eastAsiaTheme="minorEastAsia"/>
          <w:color w:val="auto"/>
        </w:rPr>
        <w:t>），</w:t>
      </w:r>
      <w:r>
        <w:rPr>
          <w:rFonts w:hint="eastAsia"/>
          <w:color w:val="auto"/>
          <w:kern w:val="0"/>
        </w:rPr>
        <w:t>消纳场配套设有2500</w:t>
      </w:r>
      <w:r>
        <w:rPr>
          <w:color w:val="auto"/>
          <w:kern w:val="0"/>
        </w:rPr>
        <w:t xml:space="preserve"> m</w:t>
      </w:r>
      <w:r>
        <w:rPr>
          <w:rFonts w:hint="eastAsia"/>
          <w:color w:val="auto"/>
          <w:kern w:val="0"/>
          <w:vertAlign w:val="superscript"/>
        </w:rPr>
        <w:t>3</w:t>
      </w:r>
      <w:r>
        <w:rPr>
          <w:rFonts w:hint="eastAsia"/>
          <w:color w:val="auto"/>
          <w:kern w:val="0"/>
        </w:rPr>
        <w:t>的调节池，经盲沟和管道收集进入调节池后，再经机械加速澄清池沉淀过滤后回用于场内洒水抑尘，沉沙经板框压滤机压滤脱水后填于建筑垃圾消纳场。</w:t>
      </w:r>
    </w:p>
    <w:p>
      <w:pPr>
        <w:spacing w:line="360" w:lineRule="auto"/>
        <w:ind w:firstLine="480" w:firstLineChars="200"/>
        <w:rPr>
          <w:color w:val="auto"/>
          <w:kern w:val="0"/>
        </w:rPr>
      </w:pPr>
      <w:r>
        <w:rPr>
          <w:rFonts w:hint="eastAsia"/>
          <w:color w:val="auto"/>
          <w:kern w:val="0"/>
        </w:rPr>
        <w:t>1）废水处理工艺</w:t>
      </w:r>
      <w:r>
        <w:rPr>
          <w:color w:val="auto"/>
          <w:kern w:val="0"/>
        </w:rPr>
        <w:t>的</w:t>
      </w:r>
      <w:r>
        <w:rPr>
          <w:rFonts w:hint="eastAsia"/>
          <w:color w:val="auto"/>
          <w:kern w:val="0"/>
        </w:rPr>
        <w:t>可行性</w:t>
      </w:r>
    </w:p>
    <w:p>
      <w:pPr>
        <w:spacing w:line="360" w:lineRule="auto"/>
        <w:ind w:firstLine="480" w:firstLineChars="200"/>
        <w:rPr>
          <w:color w:val="auto"/>
          <w:shd w:val="clear" w:color="auto" w:fill="FFFFFF"/>
        </w:rPr>
      </w:pPr>
      <w:r>
        <w:rPr>
          <w:rFonts w:hint="eastAsia"/>
          <w:color w:val="auto"/>
          <w:kern w:val="0"/>
        </w:rPr>
        <w:t>本项目选址区域降雨量适中，一般只有在降雨量较大并有一定持续时间时，才会产渗滤液，消纳场四周设置了截水沟等工程，可有效截留雨水的渗入；</w:t>
      </w:r>
      <w:r>
        <w:rPr>
          <w:rFonts w:hint="eastAsia"/>
          <w:color w:val="auto"/>
          <w:shd w:val="clear" w:color="auto" w:fill="FFFFFF"/>
        </w:rPr>
        <w:t>根据《建筑垃圾填埋场的环境效应》（环境卫生工程第14卷第1期，同济大学 污染控制与资源化研究国家重点实验室 上海 200092 袁玉玉、王罗春、赵由才）中的关于渗滤液的水质介绍可知，建筑垃圾可分解有机物含量极少，因此</w:t>
      </w:r>
      <w:r>
        <w:rPr>
          <w:rFonts w:hint="eastAsia"/>
          <w:color w:val="auto"/>
        </w:rPr>
        <w:t>淋溶液</w:t>
      </w:r>
      <w:r>
        <w:rPr>
          <w:rFonts w:hint="eastAsia"/>
          <w:color w:val="auto"/>
          <w:shd w:val="clear" w:color="auto" w:fill="FFFFFF"/>
        </w:rPr>
        <w:t>中COD含量较低。本次环评时未获得该填埋场所填埋的建筑垃圾浸出液成分检测结果，故评价类比《建筑垃圾填埋场的环境效应》（环境卫生工程第14卷第1期，同济大学 污染控制与资源化研究国家重点实验室 上海 200092 袁玉玉、王罗春、赵由才）中建筑垃圾填埋场渗滤液检测结果，见下表：</w:t>
      </w:r>
    </w:p>
    <w:p>
      <w:pPr>
        <w:pStyle w:val="16"/>
        <w:kinsoku w:val="0"/>
        <w:overflowPunct w:val="0"/>
        <w:spacing w:before="0" w:beforeAutospacing="0" w:after="0" w:line="360" w:lineRule="auto"/>
        <w:ind w:firstLine="480"/>
        <w:jc w:val="center"/>
        <w:rPr>
          <w:rFonts w:hint="eastAsia"/>
          <w:b/>
          <w:color w:val="auto"/>
          <w:shd w:val="clear" w:color="auto" w:fill="FFFFFF"/>
        </w:rPr>
      </w:pPr>
    </w:p>
    <w:p>
      <w:pPr>
        <w:pStyle w:val="16"/>
        <w:kinsoku w:val="0"/>
        <w:overflowPunct w:val="0"/>
        <w:spacing w:before="0" w:beforeAutospacing="0" w:after="0" w:line="360" w:lineRule="auto"/>
        <w:ind w:firstLine="480"/>
        <w:jc w:val="center"/>
        <w:rPr>
          <w:rFonts w:hint="eastAsia"/>
          <w:b/>
          <w:color w:val="auto"/>
          <w:shd w:val="clear" w:color="auto" w:fill="FFFFFF"/>
        </w:rPr>
      </w:pPr>
    </w:p>
    <w:p>
      <w:pPr>
        <w:pStyle w:val="16"/>
        <w:kinsoku w:val="0"/>
        <w:overflowPunct w:val="0"/>
        <w:spacing w:before="0" w:beforeAutospacing="0" w:after="0" w:line="360" w:lineRule="auto"/>
        <w:ind w:firstLine="480"/>
        <w:jc w:val="center"/>
        <w:rPr>
          <w:rFonts w:hint="eastAsia"/>
          <w:b/>
          <w:color w:val="auto"/>
          <w:shd w:val="clear" w:color="auto" w:fill="FFFFFF"/>
        </w:rPr>
      </w:pPr>
    </w:p>
    <w:p>
      <w:pPr>
        <w:pStyle w:val="16"/>
        <w:kinsoku w:val="0"/>
        <w:overflowPunct w:val="0"/>
        <w:spacing w:before="0" w:beforeAutospacing="0" w:after="0" w:line="360" w:lineRule="auto"/>
        <w:ind w:firstLine="480"/>
        <w:jc w:val="center"/>
        <w:rPr>
          <w:rFonts w:hint="eastAsia"/>
          <w:b/>
          <w:color w:val="auto"/>
          <w:shd w:val="clear" w:color="auto" w:fill="FFFFFF"/>
        </w:rPr>
      </w:pPr>
    </w:p>
    <w:p>
      <w:pPr>
        <w:pStyle w:val="16"/>
        <w:kinsoku w:val="0"/>
        <w:overflowPunct w:val="0"/>
        <w:spacing w:before="0" w:beforeAutospacing="0" w:after="0" w:line="360" w:lineRule="auto"/>
        <w:ind w:firstLine="480"/>
        <w:jc w:val="center"/>
        <w:rPr>
          <w:rFonts w:hint="eastAsia"/>
          <w:b/>
          <w:color w:val="auto"/>
          <w:shd w:val="clear" w:color="auto" w:fill="FFFFFF"/>
        </w:rPr>
      </w:pPr>
    </w:p>
    <w:p>
      <w:pPr>
        <w:pStyle w:val="16"/>
        <w:kinsoku w:val="0"/>
        <w:overflowPunct w:val="0"/>
        <w:spacing w:before="0" w:beforeAutospacing="0" w:after="0" w:line="360" w:lineRule="auto"/>
        <w:ind w:firstLine="480"/>
        <w:jc w:val="center"/>
        <w:rPr>
          <w:b/>
          <w:color w:val="auto"/>
          <w:shd w:val="clear" w:color="auto" w:fill="FFFFFF"/>
        </w:rPr>
      </w:pPr>
      <w:r>
        <w:rPr>
          <w:rFonts w:hint="eastAsia"/>
          <w:b/>
          <w:color w:val="auto"/>
          <w:shd w:val="clear" w:color="auto" w:fill="FFFFFF"/>
        </w:rPr>
        <w:t>表6.2-1</w:t>
      </w:r>
      <w:r>
        <w:rPr>
          <w:rFonts w:hint="eastAsia"/>
          <w:b/>
          <w:color w:val="auto"/>
          <w:shd w:val="clear" w:color="auto" w:fill="FFFFFF"/>
          <w:lang w:val="en-US" w:eastAsia="zh-CN"/>
        </w:rPr>
        <w:t>1</w:t>
      </w:r>
      <w:r>
        <w:rPr>
          <w:rFonts w:hint="eastAsia"/>
          <w:b/>
          <w:color w:val="auto"/>
          <w:shd w:val="clear" w:color="auto" w:fill="FFFFFF"/>
        </w:rPr>
        <w:t xml:space="preserve">  建筑垃圾浸出液成分检测结果</w:t>
      </w:r>
      <w:r>
        <w:rPr>
          <w:rFonts w:hint="eastAsia"/>
          <w:b/>
          <w:color w:val="auto"/>
          <w:shd w:val="clear" w:color="auto" w:fill="FFFFFF"/>
          <w:lang w:val="en-US" w:eastAsia="zh-CN"/>
        </w:rPr>
        <w:t xml:space="preserve">  单位：mg/L</w:t>
      </w:r>
    </w:p>
    <w:tbl>
      <w:tblPr>
        <w:tblStyle w:val="54"/>
        <w:tblW w:w="988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43"/>
        <w:gridCol w:w="813"/>
        <w:gridCol w:w="811"/>
        <w:gridCol w:w="797"/>
        <w:gridCol w:w="792"/>
        <w:gridCol w:w="833"/>
        <w:gridCol w:w="772"/>
        <w:gridCol w:w="791"/>
        <w:gridCol w:w="794"/>
        <w:gridCol w:w="785"/>
        <w:gridCol w:w="7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2" w:hRule="atLeast"/>
        </w:trPr>
        <w:tc>
          <w:tcPr>
            <w:tcW w:w="1943" w:type="dxa"/>
            <w:vMerge w:val="restart"/>
            <w:vAlign w:val="center"/>
          </w:tcPr>
          <w:p>
            <w:pPr>
              <w:pStyle w:val="16"/>
              <w:kinsoku w:val="0"/>
              <w:overflowPunct w:val="0"/>
              <w:spacing w:before="0" w:beforeAutospacing="0" w:after="0" w:line="360" w:lineRule="auto"/>
              <w:jc w:val="center"/>
              <w:rPr>
                <w:b/>
                <w:color w:val="auto"/>
                <w:sz w:val="21"/>
                <w:shd w:val="clear" w:color="auto" w:fill="FFFFFF"/>
              </w:rPr>
            </w:pPr>
            <w:r>
              <w:rPr>
                <w:rFonts w:hint="eastAsia"/>
                <w:b/>
                <w:color w:val="auto"/>
                <w:sz w:val="21"/>
                <w:shd w:val="clear" w:color="auto" w:fill="FFFFFF"/>
              </w:rPr>
              <w:t>名称</w:t>
            </w:r>
          </w:p>
        </w:tc>
        <w:tc>
          <w:tcPr>
            <w:tcW w:w="7945" w:type="dxa"/>
            <w:gridSpan w:val="10"/>
            <w:vAlign w:val="center"/>
          </w:tcPr>
          <w:p>
            <w:pPr>
              <w:pStyle w:val="16"/>
              <w:kinsoku w:val="0"/>
              <w:overflowPunct w:val="0"/>
              <w:spacing w:before="0" w:beforeAutospacing="0" w:after="0" w:line="360" w:lineRule="auto"/>
              <w:jc w:val="center"/>
              <w:rPr>
                <w:b/>
                <w:color w:val="auto"/>
                <w:sz w:val="21"/>
                <w:shd w:val="clear" w:color="auto" w:fill="FFFFFF"/>
              </w:rPr>
            </w:pPr>
            <w:r>
              <w:rPr>
                <w:rFonts w:hint="eastAsia"/>
                <w:b/>
                <w:color w:val="auto"/>
                <w:sz w:val="21"/>
                <w:shd w:val="clear" w:color="auto" w:fill="FFFFFF"/>
              </w:rPr>
              <w:t>监测项目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6" w:hRule="atLeast"/>
        </w:trPr>
        <w:tc>
          <w:tcPr>
            <w:tcW w:w="1943" w:type="dxa"/>
            <w:vMerge w:val="continue"/>
          </w:tcPr>
          <w:p>
            <w:pPr>
              <w:pStyle w:val="16"/>
              <w:kinsoku w:val="0"/>
              <w:overflowPunct w:val="0"/>
              <w:spacing w:before="0" w:beforeAutospacing="0" w:after="0" w:line="360" w:lineRule="auto"/>
              <w:jc w:val="both"/>
              <w:rPr>
                <w:color w:val="auto"/>
                <w:sz w:val="21"/>
                <w:shd w:val="clear" w:color="auto" w:fill="FFFFFF"/>
              </w:rPr>
            </w:pPr>
          </w:p>
        </w:tc>
        <w:tc>
          <w:tcPr>
            <w:tcW w:w="813"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pH</w:t>
            </w:r>
          </w:p>
        </w:tc>
        <w:tc>
          <w:tcPr>
            <w:tcW w:w="811"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Zn</w:t>
            </w:r>
          </w:p>
        </w:tc>
        <w:tc>
          <w:tcPr>
            <w:tcW w:w="797"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Pb</w:t>
            </w:r>
          </w:p>
        </w:tc>
        <w:tc>
          <w:tcPr>
            <w:tcW w:w="792"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Cr</w:t>
            </w:r>
          </w:p>
        </w:tc>
        <w:tc>
          <w:tcPr>
            <w:tcW w:w="833"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Hg</w:t>
            </w:r>
          </w:p>
        </w:tc>
        <w:tc>
          <w:tcPr>
            <w:tcW w:w="772"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Ba</w:t>
            </w:r>
          </w:p>
        </w:tc>
        <w:tc>
          <w:tcPr>
            <w:tcW w:w="791"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Ni</w:t>
            </w:r>
          </w:p>
        </w:tc>
        <w:tc>
          <w:tcPr>
            <w:tcW w:w="794"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As</w:t>
            </w:r>
          </w:p>
        </w:tc>
        <w:tc>
          <w:tcPr>
            <w:tcW w:w="785"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CN</w:t>
            </w:r>
            <w:r>
              <w:rPr>
                <w:rFonts w:hint="eastAsia"/>
                <w:color w:val="auto"/>
                <w:sz w:val="21"/>
                <w:shd w:val="clear" w:color="auto" w:fill="FFFFFF"/>
                <w:vertAlign w:val="superscript"/>
              </w:rPr>
              <w:t>-</w:t>
            </w:r>
          </w:p>
        </w:tc>
        <w:tc>
          <w:tcPr>
            <w:tcW w:w="757"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F</w:t>
            </w:r>
            <w:r>
              <w:rPr>
                <w:rFonts w:hint="eastAsia"/>
                <w:color w:val="auto"/>
                <w:sz w:val="21"/>
                <w:shd w:val="clear" w:color="auto" w:fill="FFFFFF"/>
                <w:vertAlign w:val="superscript"/>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18" w:hRule="atLeast"/>
        </w:trPr>
        <w:tc>
          <w:tcPr>
            <w:tcW w:w="1943"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建筑垃圾填埋场浸出液</w:t>
            </w:r>
          </w:p>
        </w:tc>
        <w:tc>
          <w:tcPr>
            <w:tcW w:w="813"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6.95</w:t>
            </w:r>
          </w:p>
        </w:tc>
        <w:tc>
          <w:tcPr>
            <w:tcW w:w="811"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8.63</w:t>
            </w:r>
          </w:p>
        </w:tc>
        <w:tc>
          <w:tcPr>
            <w:tcW w:w="797"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2.13</w:t>
            </w:r>
          </w:p>
        </w:tc>
        <w:tc>
          <w:tcPr>
            <w:tcW w:w="792"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0.25</w:t>
            </w:r>
          </w:p>
        </w:tc>
        <w:tc>
          <w:tcPr>
            <w:tcW w:w="833"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0.009</w:t>
            </w:r>
          </w:p>
        </w:tc>
        <w:tc>
          <w:tcPr>
            <w:tcW w:w="772"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8</w:t>
            </w:r>
          </w:p>
        </w:tc>
        <w:tc>
          <w:tcPr>
            <w:tcW w:w="791"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0.17</w:t>
            </w:r>
          </w:p>
        </w:tc>
        <w:tc>
          <w:tcPr>
            <w:tcW w:w="794"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0.12</w:t>
            </w:r>
          </w:p>
        </w:tc>
        <w:tc>
          <w:tcPr>
            <w:tcW w:w="785"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0.34</w:t>
            </w:r>
          </w:p>
        </w:tc>
        <w:tc>
          <w:tcPr>
            <w:tcW w:w="757"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30" w:hRule="atLeast"/>
        </w:trPr>
        <w:tc>
          <w:tcPr>
            <w:tcW w:w="1943"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《危险废物鉴别浸出液毒性鉴别》（GB5085.3-2</w:t>
            </w:r>
            <w:r>
              <w:rPr>
                <w:rFonts w:hint="eastAsia"/>
                <w:color w:val="auto"/>
                <w:sz w:val="21"/>
                <w:shd w:val="clear" w:color="auto" w:fill="FFFFFF"/>
                <w:lang w:val="en-US" w:eastAsia="zh-CN"/>
              </w:rPr>
              <w:t>00</w:t>
            </w:r>
            <w:r>
              <w:rPr>
                <w:rFonts w:hint="eastAsia"/>
                <w:color w:val="auto"/>
                <w:sz w:val="21"/>
                <w:shd w:val="clear" w:color="auto" w:fill="FFFFFF"/>
              </w:rPr>
              <w:t>7）</w:t>
            </w:r>
          </w:p>
        </w:tc>
        <w:tc>
          <w:tcPr>
            <w:tcW w:w="813"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≥12或≤2</w:t>
            </w:r>
          </w:p>
        </w:tc>
        <w:tc>
          <w:tcPr>
            <w:tcW w:w="811"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100</w:t>
            </w:r>
          </w:p>
        </w:tc>
        <w:tc>
          <w:tcPr>
            <w:tcW w:w="797"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5</w:t>
            </w:r>
          </w:p>
        </w:tc>
        <w:tc>
          <w:tcPr>
            <w:tcW w:w="792"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15</w:t>
            </w:r>
          </w:p>
        </w:tc>
        <w:tc>
          <w:tcPr>
            <w:tcW w:w="833"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0.1</w:t>
            </w:r>
          </w:p>
        </w:tc>
        <w:tc>
          <w:tcPr>
            <w:tcW w:w="772"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100</w:t>
            </w:r>
          </w:p>
        </w:tc>
        <w:tc>
          <w:tcPr>
            <w:tcW w:w="791"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5</w:t>
            </w:r>
          </w:p>
        </w:tc>
        <w:tc>
          <w:tcPr>
            <w:tcW w:w="794"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5</w:t>
            </w:r>
          </w:p>
        </w:tc>
        <w:tc>
          <w:tcPr>
            <w:tcW w:w="785"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5</w:t>
            </w:r>
          </w:p>
        </w:tc>
        <w:tc>
          <w:tcPr>
            <w:tcW w:w="757" w:type="dxa"/>
            <w:vAlign w:val="center"/>
          </w:tcPr>
          <w:p>
            <w:pPr>
              <w:pStyle w:val="16"/>
              <w:kinsoku w:val="0"/>
              <w:overflowPunct w:val="0"/>
              <w:spacing w:before="0" w:beforeAutospacing="0" w:after="0" w:line="360" w:lineRule="auto"/>
              <w:jc w:val="center"/>
              <w:rPr>
                <w:color w:val="auto"/>
                <w:sz w:val="21"/>
                <w:shd w:val="clear" w:color="auto" w:fill="FFFFFF"/>
              </w:rPr>
            </w:pPr>
            <w:r>
              <w:rPr>
                <w:rFonts w:hint="eastAsia"/>
                <w:color w:val="auto"/>
                <w:sz w:val="21"/>
                <w:shd w:val="clear" w:color="auto" w:fill="FFFFFF"/>
              </w:rPr>
              <w:t>100</w:t>
            </w:r>
          </w:p>
        </w:tc>
      </w:tr>
    </w:tbl>
    <w:p>
      <w:pPr>
        <w:pStyle w:val="16"/>
        <w:kinsoku w:val="0"/>
        <w:overflowPunct w:val="0"/>
        <w:spacing w:before="0" w:beforeAutospacing="0" w:after="0" w:line="360" w:lineRule="auto"/>
        <w:ind w:firstLine="480"/>
        <w:rPr>
          <w:color w:val="auto"/>
          <w:shd w:val="clear" w:color="auto" w:fill="FFFFFF"/>
        </w:rPr>
      </w:pPr>
      <w:r>
        <w:rPr>
          <w:rFonts w:hint="eastAsia"/>
          <w:color w:val="auto"/>
          <w:shd w:val="clear" w:color="auto" w:fill="FFFFFF"/>
        </w:rPr>
        <w:t>由上表可知，建筑垃圾的浸出液的重金属含量均低</w:t>
      </w:r>
      <w:r>
        <w:rPr>
          <w:rFonts w:hint="eastAsia"/>
          <w:color w:val="auto"/>
          <w:szCs w:val="24"/>
          <w:shd w:val="clear" w:color="auto" w:fill="FFFFFF"/>
        </w:rPr>
        <w:t>于《危险废物鉴别浸出液毒性鉴别》（GB5085.3-2.17）中的规定浓度，但考虑本项目淋溶液的含有微量重金属，因此，本项目采取沉淀反应处理去除金属离子后（处理工艺如下），用于消纳场填埋作业时洒水抑尘，不外排。</w:t>
      </w:r>
    </w:p>
    <w:p>
      <w:pPr>
        <w:spacing w:line="360" w:lineRule="auto"/>
        <w:ind w:firstLine="480" w:firstLineChars="200"/>
        <w:rPr>
          <w:color w:val="auto"/>
          <w:kern w:val="0"/>
        </w:rPr>
      </w:pPr>
      <w:r>
        <w:rPr>
          <w:rFonts w:hint="eastAsia"/>
          <w:color w:val="auto"/>
          <w:kern w:val="0"/>
        </w:rPr>
        <w:t>淋溶液废水处理工艺流程如下：</w:t>
      </w:r>
    </w:p>
    <w:p>
      <w:pPr>
        <w:spacing w:line="360" w:lineRule="auto"/>
        <w:rPr>
          <w:color w:val="auto"/>
        </w:rPr>
      </w:pPr>
      <w:r>
        <w:rPr>
          <w:color w:val="auto"/>
        </w:rPr>
        <w:drawing>
          <wp:inline distT="0" distB="0" distL="0" distR="0">
            <wp:extent cx="5486400" cy="1915795"/>
            <wp:effectExtent l="0" t="0" r="0"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30"/>
                    <a:stretch>
                      <a:fillRect/>
                    </a:stretch>
                  </pic:blipFill>
                  <pic:spPr>
                    <a:xfrm>
                      <a:off x="0" y="0"/>
                      <a:ext cx="5486400" cy="1915795"/>
                    </a:xfrm>
                    <a:prstGeom prst="rect">
                      <a:avLst/>
                    </a:prstGeom>
                  </pic:spPr>
                </pic:pic>
              </a:graphicData>
            </a:graphic>
          </wp:inline>
        </w:drawing>
      </w:r>
    </w:p>
    <w:p>
      <w:pPr>
        <w:jc w:val="center"/>
        <w:rPr>
          <w:b/>
          <w:color w:val="auto"/>
        </w:rPr>
      </w:pPr>
      <w:r>
        <w:rPr>
          <w:b/>
          <w:color w:val="auto"/>
        </w:rPr>
        <w:t xml:space="preserve">图 </w:t>
      </w:r>
      <w:r>
        <w:rPr>
          <w:b/>
          <w:color w:val="auto"/>
        </w:rPr>
        <w:fldChar w:fldCharType="begin"/>
      </w:r>
      <w:r>
        <w:rPr>
          <w:b/>
          <w:color w:val="auto"/>
        </w:rPr>
        <w:instrText xml:space="preserve"> STYLEREF 2 \s </w:instrText>
      </w:r>
      <w:r>
        <w:rPr>
          <w:b/>
          <w:color w:val="auto"/>
        </w:rPr>
        <w:fldChar w:fldCharType="separate"/>
      </w:r>
      <w:r>
        <w:rPr>
          <w:b/>
          <w:color w:val="auto"/>
        </w:rPr>
        <w:t>6.2</w:t>
      </w:r>
      <w:r>
        <w:rPr>
          <w:b/>
          <w:color w:val="auto"/>
        </w:rPr>
        <w:fldChar w:fldCharType="end"/>
      </w:r>
      <w:r>
        <w:rPr>
          <w:b/>
          <w:color w:val="auto"/>
        </w:rPr>
        <w:noBreakHyphen/>
      </w:r>
      <w:r>
        <w:rPr>
          <w:rFonts w:hint="eastAsia"/>
          <w:b/>
          <w:color w:val="auto"/>
        </w:rPr>
        <w:t>8</w:t>
      </w:r>
      <w:r>
        <w:rPr>
          <w:rFonts w:eastAsia="Times New Roman"/>
          <w:b/>
          <w:color w:val="auto"/>
        </w:rPr>
        <w:t xml:space="preserve"> </w:t>
      </w:r>
      <w:r>
        <w:rPr>
          <w:rFonts w:hint="eastAsia"/>
          <w:b/>
          <w:color w:val="auto"/>
        </w:rPr>
        <w:t>建筑垃圾消纳场废水</w:t>
      </w:r>
      <w:r>
        <w:rPr>
          <w:b/>
          <w:color w:val="auto"/>
        </w:rPr>
        <w:t>处理工艺流程图</w:t>
      </w:r>
    </w:p>
    <w:p>
      <w:pPr>
        <w:spacing w:line="360" w:lineRule="auto"/>
        <w:ind w:firstLine="482" w:firstLineChars="200"/>
        <w:rPr>
          <w:b/>
          <w:color w:val="auto"/>
        </w:rPr>
      </w:pPr>
      <w:r>
        <w:rPr>
          <w:rFonts w:hint="eastAsia"/>
          <w:b/>
          <w:color w:val="auto"/>
        </w:rPr>
        <w:t>处理工艺介绍：</w:t>
      </w:r>
    </w:p>
    <w:p>
      <w:pPr>
        <w:spacing w:line="360" w:lineRule="auto"/>
        <w:ind w:firstLine="480" w:firstLineChars="200"/>
        <w:rPr>
          <w:color w:val="auto"/>
        </w:rPr>
      </w:pPr>
      <w:r>
        <w:rPr>
          <w:rFonts w:hint="eastAsia"/>
          <w:color w:val="auto"/>
        </w:rPr>
        <w:t>混凝沉淀法去除水中悬浮颗粒的工艺包括水和药剂的混合，反应以及絮凝体与水的分离三个阶段，澄清池是将这三个过程集于一个构筑物中完成的一种非凡形成的设施。澄清池的工作原理是：原水在澄清池中由下而上流动，澄清池中由一层呈悬浮状态的泥渣，泥渣层由于重力作用在上升水流中处于动态平衡状态；当原水中的悬浮颗粒与混凝剂作用而形成的微小絮凝体随水流通过泥渣层时，在运动中与泥渣层相对较大的泥渣接触碰撞就被吸附在泥渣颗粒表面而迅速除去，使水获得澄清；清水经由澄清池上部的清水槽被收集排出，使水获得澄清；清水经由澄清池上部的清水槽被收集排出。因此，保持悬浮状态的、浓度稳定且均匀分布的泥渣区是保证澄清池处理效果的要害，也是所有澄清池的共同特点。</w:t>
      </w:r>
    </w:p>
    <w:p>
      <w:pPr>
        <w:spacing w:line="360" w:lineRule="auto"/>
        <w:ind w:firstLine="480" w:firstLineChars="200"/>
        <w:rPr>
          <w:color w:val="auto"/>
        </w:rPr>
      </w:pPr>
      <w:r>
        <w:rPr>
          <w:rFonts w:hint="eastAsia"/>
          <w:color w:val="auto"/>
        </w:rPr>
        <w:t>机械加速澄清池主要是由第一反应室、第二反应室及分离室所组成。此外，还有进出水系统、加药系统、排泥系统以及机械搅拌提升系统，大的加速澄清池还有刮泥装置。</w:t>
      </w:r>
    </w:p>
    <w:p>
      <w:pPr>
        <w:spacing w:line="360" w:lineRule="auto"/>
        <w:ind w:firstLine="480" w:firstLineChars="200"/>
        <w:rPr>
          <w:color w:val="auto"/>
        </w:rPr>
      </w:pPr>
      <w:r>
        <w:rPr>
          <w:rFonts w:hint="eastAsia"/>
          <w:color w:val="auto"/>
        </w:rPr>
        <w:t>原水由进水管进入环形三角配水槽后，由槽底配水孔进入第一反应室中，在此与分离室回流泥渣混合并完成药剂与水的混合和反应过程；混合后的夹带泥渣的水被搅拌装置上的叶轮提升到第二反应室。在第一反应室和第二反应室完成接触絮凝作用。第二反应室内设置有导流板，以消除因叶轮提升作用所造成的水流旋转，使水流平稳地经导流室流入分离室，导流室也设有导流板。在这里水与药剂完成了混凝过程，并进行了整流。分离室的上部为清水区，清水向上流入集水槽和出水管。分离室的下部为悬浮泥渣层，下沉的泥渣大部分沿锥底的回流缝再次流入第一反应室重新与原水进行接触絮凝反应，少部分排入泥渣浓缩器，浓缩至一定浓度后排出池外，以便节少耗水量。环形三角配水槽上设置有排水管，以排除进水中带入的空气。药剂可加入第一反应室，也可加至环形三角配水槽或进水管中。</w:t>
      </w:r>
    </w:p>
    <w:p>
      <w:pPr>
        <w:spacing w:line="360" w:lineRule="auto"/>
        <w:ind w:firstLine="480"/>
        <w:rPr>
          <w:color w:val="auto"/>
        </w:rPr>
      </w:pPr>
      <w:r>
        <w:rPr>
          <w:color w:val="auto"/>
        </w:rPr>
        <w:drawing>
          <wp:inline distT="0" distB="0" distL="0" distR="0">
            <wp:extent cx="5276850" cy="2962275"/>
            <wp:effectExtent l="0" t="0" r="0" b="952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31"/>
                    <a:stretch>
                      <a:fillRect/>
                    </a:stretch>
                  </pic:blipFill>
                  <pic:spPr>
                    <a:xfrm>
                      <a:off x="0" y="0"/>
                      <a:ext cx="5276850" cy="2962275"/>
                    </a:xfrm>
                    <a:prstGeom prst="rect">
                      <a:avLst/>
                    </a:prstGeom>
                  </pic:spPr>
                </pic:pic>
              </a:graphicData>
            </a:graphic>
          </wp:inline>
        </w:drawing>
      </w:r>
    </w:p>
    <w:p>
      <w:pPr>
        <w:jc w:val="center"/>
        <w:rPr>
          <w:b/>
          <w:color w:val="auto"/>
        </w:rPr>
      </w:pPr>
      <w:r>
        <w:rPr>
          <w:b/>
          <w:color w:val="auto"/>
        </w:rPr>
        <w:t xml:space="preserve">图 </w:t>
      </w:r>
      <w:r>
        <w:rPr>
          <w:b/>
          <w:color w:val="auto"/>
        </w:rPr>
        <w:fldChar w:fldCharType="begin"/>
      </w:r>
      <w:r>
        <w:rPr>
          <w:b/>
          <w:color w:val="auto"/>
        </w:rPr>
        <w:instrText xml:space="preserve"> STYLEREF 2 \s </w:instrText>
      </w:r>
      <w:r>
        <w:rPr>
          <w:b/>
          <w:color w:val="auto"/>
        </w:rPr>
        <w:fldChar w:fldCharType="separate"/>
      </w:r>
      <w:r>
        <w:rPr>
          <w:b/>
          <w:color w:val="auto"/>
        </w:rPr>
        <w:t>6.2</w:t>
      </w:r>
      <w:r>
        <w:rPr>
          <w:b/>
          <w:color w:val="auto"/>
        </w:rPr>
        <w:fldChar w:fldCharType="end"/>
      </w:r>
      <w:r>
        <w:rPr>
          <w:b/>
          <w:color w:val="auto"/>
        </w:rPr>
        <w:noBreakHyphen/>
      </w:r>
      <w:r>
        <w:rPr>
          <w:rFonts w:hint="eastAsia"/>
          <w:b/>
          <w:color w:val="auto"/>
        </w:rPr>
        <w:t>9</w:t>
      </w:r>
      <w:r>
        <w:rPr>
          <w:rFonts w:eastAsia="Times New Roman"/>
          <w:b/>
          <w:color w:val="auto"/>
        </w:rPr>
        <w:t xml:space="preserve"> </w:t>
      </w:r>
      <w:r>
        <w:rPr>
          <w:rFonts w:hint="eastAsia"/>
          <w:b/>
          <w:color w:val="auto"/>
        </w:rPr>
        <w:t>机械加速澄清池结构示意</w:t>
      </w:r>
      <w:r>
        <w:rPr>
          <w:b/>
          <w:color w:val="auto"/>
        </w:rPr>
        <w:t>图</w:t>
      </w:r>
    </w:p>
    <w:p>
      <w:pPr>
        <w:spacing w:line="360" w:lineRule="auto"/>
        <w:ind w:firstLine="480"/>
        <w:rPr>
          <w:color w:val="auto"/>
        </w:rPr>
      </w:pPr>
    </w:p>
    <w:p>
      <w:pPr>
        <w:spacing w:line="360" w:lineRule="auto"/>
        <w:ind w:firstLine="480"/>
        <w:rPr>
          <w:color w:val="auto"/>
        </w:rPr>
      </w:pPr>
      <w:r>
        <w:rPr>
          <w:rFonts w:hint="eastAsia"/>
          <w:color w:val="auto"/>
        </w:rPr>
        <w:t>机械加速澄清池的设计参数如下：</w:t>
      </w:r>
    </w:p>
    <w:p>
      <w:pPr>
        <w:spacing w:line="360" w:lineRule="auto"/>
        <w:ind w:firstLine="480"/>
        <w:rPr>
          <w:color w:val="auto"/>
        </w:rPr>
      </w:pPr>
      <w:r>
        <w:rPr>
          <w:rFonts w:hint="eastAsia"/>
          <w:color w:val="auto"/>
        </w:rPr>
        <w:t>（1）池数设置两个；</w:t>
      </w:r>
    </w:p>
    <w:p>
      <w:pPr>
        <w:spacing w:line="360" w:lineRule="auto"/>
        <w:ind w:firstLine="480"/>
        <w:rPr>
          <w:color w:val="auto"/>
        </w:rPr>
      </w:pPr>
      <w:r>
        <w:rPr>
          <w:rFonts w:hint="eastAsia"/>
          <w:color w:val="auto"/>
        </w:rPr>
        <w:t>（2）回流量与设计水量的比为（3:1）-（5:1），即第二絮凝室提升水量为进水流量的3-5倍。</w:t>
      </w:r>
    </w:p>
    <w:p>
      <w:pPr>
        <w:spacing w:line="360" w:lineRule="auto"/>
        <w:ind w:firstLine="480"/>
        <w:rPr>
          <w:color w:val="auto"/>
        </w:rPr>
      </w:pPr>
      <w:r>
        <w:rPr>
          <w:rFonts w:hint="eastAsia"/>
          <w:color w:val="auto"/>
        </w:rPr>
        <w:t>（3）水在池中的总停留时间为1.2-1.5h，第二絮凝室停留时间为0.5-1.0min，导流室停留时间为2.5-5.0min</w:t>
      </w:r>
    </w:p>
    <w:p>
      <w:pPr>
        <w:spacing w:line="360" w:lineRule="auto"/>
        <w:ind w:firstLine="480"/>
        <w:rPr>
          <w:color w:val="auto"/>
        </w:rPr>
      </w:pPr>
      <w:r>
        <w:rPr>
          <w:rFonts w:hint="eastAsia"/>
          <w:color w:val="auto"/>
        </w:rPr>
        <w:t>（4）第二絮凝室、第一絮凝室、分离室的容积比=1:2:7。</w:t>
      </w:r>
    </w:p>
    <w:p>
      <w:pPr>
        <w:spacing w:line="360" w:lineRule="auto"/>
        <w:ind w:firstLine="480"/>
        <w:rPr>
          <w:rFonts w:hint="eastAsia" w:eastAsia="宋体"/>
          <w:color w:val="auto"/>
          <w:lang w:eastAsia="zh-CN"/>
        </w:rPr>
      </w:pPr>
      <w:r>
        <w:rPr>
          <w:color w:val="auto"/>
        </w:rPr>
        <w:t>经计算</w:t>
      </w:r>
      <w:r>
        <w:rPr>
          <w:rFonts w:hint="eastAsia"/>
          <w:color w:val="auto"/>
          <w:lang w:eastAsia="zh-CN"/>
        </w:rPr>
        <w:t>本项目</w:t>
      </w:r>
      <w:r>
        <w:rPr>
          <w:rFonts w:hint="eastAsia"/>
          <w:color w:val="auto"/>
        </w:rPr>
        <w:t>淋溶液</w:t>
      </w:r>
      <w:r>
        <w:rPr>
          <w:color w:val="auto"/>
        </w:rPr>
        <w:t>平均日产生量为</w:t>
      </w:r>
      <w:r>
        <w:rPr>
          <w:rFonts w:hint="eastAsia" w:eastAsiaTheme="minorEastAsia"/>
          <w:color w:val="auto"/>
        </w:rPr>
        <w:t>80.04</w:t>
      </w:r>
      <w:r>
        <w:rPr>
          <w:color w:val="auto"/>
        </w:rPr>
        <w:t>m</w:t>
      </w:r>
      <w:r>
        <w:rPr>
          <w:color w:val="auto"/>
          <w:vertAlign w:val="superscript"/>
        </w:rPr>
        <w:t>3</w:t>
      </w:r>
      <w:r>
        <w:rPr>
          <w:rFonts w:eastAsia="Times New Roman"/>
          <w:color w:val="auto"/>
        </w:rPr>
        <w:t>/d</w:t>
      </w:r>
      <w:r>
        <w:rPr>
          <w:color w:val="auto"/>
        </w:rPr>
        <w:t>，填埋场</w:t>
      </w:r>
      <w:r>
        <w:rPr>
          <w:rFonts w:hint="eastAsia"/>
          <w:color w:val="auto"/>
        </w:rPr>
        <w:t>淋溶液</w:t>
      </w:r>
      <w:r>
        <w:rPr>
          <w:color w:val="auto"/>
        </w:rPr>
        <w:t>平均日处理规模</w:t>
      </w:r>
      <w:r>
        <w:rPr>
          <w:rFonts w:hint="eastAsia"/>
          <w:color w:val="auto"/>
          <w:lang w:eastAsia="zh-CN"/>
        </w:rPr>
        <w:t>为</w:t>
      </w:r>
      <w:r>
        <w:rPr>
          <w:rFonts w:hint="eastAsia" w:eastAsiaTheme="minorEastAsia"/>
          <w:color w:val="auto"/>
          <w:lang w:val="en-US" w:eastAsia="zh-CN"/>
        </w:rPr>
        <w:t>200</w:t>
      </w:r>
      <w:r>
        <w:rPr>
          <w:rFonts w:eastAsia="TimesNewRomanPSMT"/>
          <w:color w:val="auto"/>
          <w:kern w:val="0"/>
        </w:rPr>
        <w:t>m</w:t>
      </w:r>
      <w:r>
        <w:rPr>
          <w:rFonts w:eastAsia="TimesNewRomanPSMT"/>
          <w:color w:val="auto"/>
          <w:kern w:val="0"/>
          <w:vertAlign w:val="superscript"/>
        </w:rPr>
        <w:t>3</w:t>
      </w:r>
      <w:r>
        <w:rPr>
          <w:rFonts w:eastAsia="Times New Roman"/>
          <w:color w:val="auto"/>
        </w:rPr>
        <w:t>/d</w:t>
      </w:r>
      <w:r>
        <w:rPr>
          <w:rFonts w:hint="eastAsia" w:eastAsia="宋体"/>
          <w:color w:val="auto"/>
          <w:lang w:eastAsia="zh-CN"/>
        </w:rPr>
        <w:t>，日处理规模远大于日产生量，淋溶液可在池内进行充分沉淀，同时，本次沉淀采用机械强制性澄清，相比普通平流或垂直沉淀池，机械加速澄清池对悬浮物的处理效果更好。</w:t>
      </w:r>
    </w:p>
    <w:p>
      <w:pPr>
        <w:spacing w:line="360" w:lineRule="auto"/>
        <w:ind w:firstLine="480"/>
        <w:rPr>
          <w:color w:val="auto"/>
        </w:rPr>
      </w:pPr>
      <w:r>
        <w:rPr>
          <w:rFonts w:hint="eastAsia"/>
          <w:color w:val="auto"/>
        </w:rPr>
        <w:t>根据《机械加速澄清池在矿山废水处理中的应用》（鞍山冶金设计院总院 王世超  矿山环保 总第38期 2002年 第1期）可知，机械加速澄清池的对悬浮物的处理效率达到95%以上，本项目的淋溶液废水进水浓度为1300mg/L，经机械加速澄清池处理后，保守估计可达到65 mg/L，</w:t>
      </w:r>
      <w:r>
        <w:rPr>
          <w:rFonts w:hint="eastAsia"/>
          <w:color w:val="auto"/>
          <w:kern w:val="0"/>
          <w:lang w:eastAsia="zh-CN"/>
        </w:rPr>
        <w:t>可</w:t>
      </w:r>
      <w:r>
        <w:rPr>
          <w:rFonts w:hint="eastAsia"/>
          <w:color w:val="auto"/>
          <w:kern w:val="0"/>
        </w:rPr>
        <w:t>达到</w:t>
      </w:r>
      <w:r>
        <w:rPr>
          <w:color w:val="auto"/>
          <w:kern w:val="0"/>
        </w:rPr>
        <w:t>《城市污水再生利用—城市杂用水水质标准》（GB/T18920-2002）中绿化、道路冲洗用水水质标准</w:t>
      </w:r>
      <w:r>
        <w:rPr>
          <w:rFonts w:hint="eastAsia"/>
          <w:color w:val="auto"/>
          <w:kern w:val="0"/>
        </w:rPr>
        <w:t>较严者后</w:t>
      </w:r>
      <w:r>
        <w:rPr>
          <w:rFonts w:hint="eastAsia"/>
          <w:color w:val="auto"/>
          <w:lang w:eastAsia="zh-CN"/>
        </w:rPr>
        <w:t>回用</w:t>
      </w:r>
      <w:r>
        <w:rPr>
          <w:rFonts w:hint="eastAsia"/>
          <w:color w:val="auto"/>
        </w:rPr>
        <w:t>厂区洒水抑沉，</w:t>
      </w:r>
      <w:r>
        <w:rPr>
          <w:rFonts w:hint="eastAsia"/>
          <w:color w:val="auto"/>
          <w:lang w:eastAsia="zh-CN"/>
        </w:rPr>
        <w:t>同时，本项目洒水抑沉主要是对建筑消纳场填埋过程产生的扬尘进行抑制，此工序用水对水质要求不高，回用水可满足项目用水要求，因此，</w:t>
      </w:r>
      <w:r>
        <w:rPr>
          <w:rFonts w:hint="eastAsia"/>
          <w:color w:val="auto"/>
        </w:rPr>
        <w:t>本项目使用的废水处理工艺可行。</w:t>
      </w:r>
    </w:p>
    <w:p>
      <w:pPr>
        <w:spacing w:line="360" w:lineRule="auto"/>
        <w:ind w:firstLine="480"/>
        <w:rPr>
          <w:color w:val="auto"/>
        </w:rPr>
      </w:pPr>
      <w:r>
        <w:rPr>
          <w:rFonts w:hint="eastAsia"/>
          <w:color w:val="auto"/>
        </w:rPr>
        <w:t>2）废水回用的可行性</w:t>
      </w:r>
    </w:p>
    <w:p>
      <w:pPr>
        <w:spacing w:line="360" w:lineRule="auto"/>
        <w:ind w:firstLine="480"/>
        <w:rPr>
          <w:color w:val="auto"/>
          <w:spacing w:val="-4"/>
        </w:rPr>
      </w:pPr>
      <w:r>
        <w:rPr>
          <w:rFonts w:hint="eastAsia"/>
          <w:color w:val="auto"/>
          <w:kern w:val="0"/>
        </w:rPr>
        <w:t>建筑垃圾消纳场生产废水产生量为85.44</w:t>
      </w:r>
      <w:r>
        <w:rPr>
          <w:color w:val="auto"/>
        </w:rPr>
        <w:t xml:space="preserve"> m</w:t>
      </w:r>
      <w:r>
        <w:rPr>
          <w:color w:val="auto"/>
          <w:vertAlign w:val="superscript"/>
        </w:rPr>
        <w:t>3</w:t>
      </w:r>
      <w:r>
        <w:rPr>
          <w:rFonts w:eastAsia="Times New Roman"/>
          <w:color w:val="auto"/>
        </w:rPr>
        <w:t>/d</w:t>
      </w:r>
      <w:r>
        <w:rPr>
          <w:rFonts w:hint="eastAsia" w:eastAsiaTheme="minorEastAsia"/>
          <w:color w:val="auto"/>
        </w:rPr>
        <w:t>，</w:t>
      </w:r>
      <w:r>
        <w:rPr>
          <w:rFonts w:hint="eastAsia"/>
          <w:color w:val="auto"/>
          <w:kern w:val="0"/>
        </w:rPr>
        <w:t>消纳场配套设有2500</w:t>
      </w:r>
      <w:r>
        <w:rPr>
          <w:color w:val="auto"/>
          <w:kern w:val="0"/>
        </w:rPr>
        <w:t xml:space="preserve"> m</w:t>
      </w:r>
      <w:r>
        <w:rPr>
          <w:rFonts w:hint="eastAsia"/>
          <w:color w:val="auto"/>
          <w:kern w:val="0"/>
          <w:vertAlign w:val="superscript"/>
        </w:rPr>
        <w:t>3</w:t>
      </w:r>
      <w:r>
        <w:rPr>
          <w:rFonts w:hint="eastAsia"/>
          <w:color w:val="auto"/>
          <w:kern w:val="0"/>
        </w:rPr>
        <w:t>的调节池，经盲沟和管道收集进入调节池后，再经机械加速澄清池沉淀过滤后回用于场内洒水抑尘、绿化用水和洗车用水</w:t>
      </w:r>
      <w:r>
        <w:rPr>
          <w:rFonts w:hint="eastAsia"/>
          <w:color w:val="auto"/>
          <w:spacing w:val="-4"/>
        </w:rPr>
        <w:t>。</w:t>
      </w:r>
      <w:r>
        <w:rPr>
          <w:color w:val="auto"/>
          <w:spacing w:val="-4"/>
        </w:rPr>
        <w:t>其中洗车</w:t>
      </w:r>
      <w:r>
        <w:rPr>
          <w:rFonts w:hint="eastAsia"/>
          <w:color w:val="auto"/>
          <w:spacing w:val="-4"/>
        </w:rPr>
        <w:t>用水类比同类型项目每天用水量约6</w:t>
      </w:r>
      <w:r>
        <w:rPr>
          <w:color w:val="auto"/>
          <w:spacing w:val="-4"/>
        </w:rPr>
        <w:t xml:space="preserve"> m</w:t>
      </w:r>
      <w:r>
        <w:rPr>
          <w:color w:val="auto"/>
          <w:spacing w:val="-4"/>
          <w:vertAlign w:val="superscript"/>
        </w:rPr>
        <w:t>3</w:t>
      </w:r>
      <w:r>
        <w:rPr>
          <w:rFonts w:hint="eastAsia"/>
          <w:color w:val="auto"/>
          <w:spacing w:val="-4"/>
        </w:rPr>
        <w:t>/d；</w:t>
      </w:r>
      <w:r>
        <w:rPr>
          <w:color w:val="auto"/>
          <w:spacing w:val="-4"/>
        </w:rPr>
        <w:t>填埋场周围设置绿化隔离带，绿化带面积为2930m</w:t>
      </w:r>
      <w:r>
        <w:rPr>
          <w:color w:val="auto"/>
          <w:spacing w:val="-4"/>
          <w:vertAlign w:val="superscript"/>
        </w:rPr>
        <w:t>2</w:t>
      </w:r>
      <w:r>
        <w:rPr>
          <w:color w:val="auto"/>
          <w:spacing w:val="-4"/>
        </w:rPr>
        <w:t>，用水按2.0L(m</w:t>
      </w:r>
      <w:r>
        <w:rPr>
          <w:color w:val="auto"/>
          <w:spacing w:val="-4"/>
          <w:vertAlign w:val="superscript"/>
        </w:rPr>
        <w:t>2</w:t>
      </w:r>
      <w:r>
        <w:rPr>
          <w:color w:val="auto"/>
          <w:spacing w:val="-4"/>
        </w:rPr>
        <w:t>.d)计算，全年按1</w:t>
      </w:r>
      <w:r>
        <w:rPr>
          <w:rFonts w:hint="eastAsia"/>
          <w:color w:val="auto"/>
          <w:spacing w:val="-4"/>
        </w:rPr>
        <w:t>2</w:t>
      </w:r>
      <w:r>
        <w:rPr>
          <w:color w:val="auto"/>
          <w:spacing w:val="-4"/>
        </w:rPr>
        <w:t>0d计，则本项目绿化用水量为</w:t>
      </w:r>
      <w:r>
        <w:rPr>
          <w:rFonts w:hint="eastAsia"/>
          <w:color w:val="auto"/>
          <w:spacing w:val="-4"/>
        </w:rPr>
        <w:t>7</w:t>
      </w:r>
      <w:r>
        <w:rPr>
          <w:rFonts w:hint="eastAsia"/>
          <w:color w:val="auto"/>
          <w:spacing w:val="-4"/>
          <w:lang w:val="en-US" w:eastAsia="zh-CN"/>
        </w:rPr>
        <w:t>03.2</w:t>
      </w:r>
      <w:r>
        <w:rPr>
          <w:color w:val="auto"/>
          <w:spacing w:val="-4"/>
        </w:rPr>
        <w:t>m</w:t>
      </w:r>
      <w:r>
        <w:rPr>
          <w:color w:val="auto"/>
          <w:spacing w:val="-4"/>
          <w:vertAlign w:val="superscript"/>
        </w:rPr>
        <w:t>3</w:t>
      </w:r>
      <w:r>
        <w:rPr>
          <w:rFonts w:hint="eastAsia"/>
          <w:color w:val="auto"/>
          <w:spacing w:val="-4"/>
        </w:rPr>
        <w:t>/a，平均每天绿化用水量为1.9</w:t>
      </w:r>
      <w:r>
        <w:rPr>
          <w:color w:val="auto"/>
          <w:spacing w:val="-4"/>
        </w:rPr>
        <w:t xml:space="preserve"> m</w:t>
      </w:r>
      <w:r>
        <w:rPr>
          <w:color w:val="auto"/>
          <w:spacing w:val="-4"/>
          <w:vertAlign w:val="superscript"/>
        </w:rPr>
        <w:t>3</w:t>
      </w:r>
      <w:r>
        <w:rPr>
          <w:rFonts w:hint="eastAsia"/>
          <w:color w:val="auto"/>
          <w:spacing w:val="-4"/>
        </w:rPr>
        <w:t>/a；消纳场</w:t>
      </w:r>
      <w:r>
        <w:rPr>
          <w:rFonts w:hint="eastAsia" w:hAnsi="宋体"/>
          <w:color w:val="auto"/>
        </w:rPr>
        <w:t>内作业卸载、推平等机械会产生一定</w:t>
      </w:r>
      <w:r>
        <w:rPr>
          <w:rFonts w:hAnsi="宋体"/>
          <w:color w:val="auto"/>
        </w:rPr>
        <w:t>的</w:t>
      </w:r>
      <w:r>
        <w:rPr>
          <w:rFonts w:hint="eastAsia" w:hAnsi="宋体"/>
          <w:color w:val="auto"/>
        </w:rPr>
        <w:t>扬尘，项目配</w:t>
      </w:r>
      <w:r>
        <w:rPr>
          <w:rFonts w:hAnsi="宋体"/>
          <w:color w:val="auto"/>
        </w:rPr>
        <w:t>22</w:t>
      </w:r>
      <w:r>
        <w:rPr>
          <w:rFonts w:hint="eastAsia" w:hAnsi="宋体"/>
          <w:color w:val="auto"/>
        </w:rPr>
        <w:t>台喷水雾炮进行洒水</w:t>
      </w:r>
      <w:r>
        <w:rPr>
          <w:rFonts w:hint="eastAsia"/>
          <w:color w:val="auto"/>
          <w:spacing w:val="-4"/>
        </w:rPr>
        <w:t>抑尘，每台</w:t>
      </w:r>
      <w:r>
        <w:rPr>
          <w:rFonts w:hint="eastAsia" w:hAnsi="宋体"/>
          <w:color w:val="auto"/>
        </w:rPr>
        <w:t>喷水雾炮每天用水约</w:t>
      </w:r>
      <w:r>
        <w:rPr>
          <w:rFonts w:hAnsi="宋体"/>
          <w:color w:val="auto"/>
        </w:rPr>
        <w:t>3.5-4.0</w:t>
      </w:r>
      <w:r>
        <w:rPr>
          <w:color w:val="auto"/>
          <w:spacing w:val="-4"/>
        </w:rPr>
        <w:t>m</w:t>
      </w:r>
      <w:r>
        <w:rPr>
          <w:color w:val="auto"/>
          <w:spacing w:val="-4"/>
          <w:vertAlign w:val="superscript"/>
        </w:rPr>
        <w:t>3</w:t>
      </w:r>
      <w:r>
        <w:rPr>
          <w:rFonts w:hint="eastAsia"/>
          <w:color w:val="auto"/>
          <w:spacing w:val="-4"/>
        </w:rPr>
        <w:t>，则</w:t>
      </w:r>
      <w:r>
        <w:rPr>
          <w:rFonts w:hint="eastAsia" w:hAnsi="宋体"/>
          <w:color w:val="auto"/>
        </w:rPr>
        <w:t>喷水雾炮每天需用水约77</w:t>
      </w:r>
      <w:r>
        <w:rPr>
          <w:rFonts w:hAnsi="宋体"/>
          <w:color w:val="auto"/>
        </w:rPr>
        <w:t>-88</w:t>
      </w:r>
      <w:r>
        <w:rPr>
          <w:color w:val="auto"/>
          <w:spacing w:val="-4"/>
        </w:rPr>
        <w:t xml:space="preserve"> m</w:t>
      </w:r>
      <w:r>
        <w:rPr>
          <w:color w:val="auto"/>
          <w:spacing w:val="-4"/>
          <w:vertAlign w:val="superscript"/>
        </w:rPr>
        <w:t>3</w:t>
      </w:r>
      <w:r>
        <w:rPr>
          <w:rFonts w:hint="eastAsia"/>
          <w:color w:val="auto"/>
          <w:spacing w:val="-4"/>
        </w:rPr>
        <w:t>/d。</w:t>
      </w:r>
    </w:p>
    <w:p>
      <w:pPr>
        <w:spacing w:line="360" w:lineRule="auto"/>
        <w:ind w:firstLine="480"/>
        <w:rPr>
          <w:color w:val="auto"/>
        </w:rPr>
      </w:pPr>
      <w:r>
        <w:rPr>
          <w:rFonts w:hint="eastAsia"/>
          <w:color w:val="auto"/>
          <w:spacing w:val="-4"/>
        </w:rPr>
        <w:t>因此，整个消纳场内需用水为</w:t>
      </w:r>
      <w:r>
        <w:rPr>
          <w:color w:val="auto"/>
          <w:spacing w:val="-4"/>
        </w:rPr>
        <w:t>84.9 -</w:t>
      </w:r>
      <w:r>
        <w:rPr>
          <w:rFonts w:hint="eastAsia"/>
          <w:color w:val="auto"/>
          <w:spacing w:val="-4"/>
        </w:rPr>
        <w:t>9</w:t>
      </w:r>
      <w:r>
        <w:rPr>
          <w:color w:val="auto"/>
          <w:spacing w:val="-4"/>
        </w:rPr>
        <w:t>5.9 m</w:t>
      </w:r>
      <w:r>
        <w:rPr>
          <w:color w:val="auto"/>
          <w:spacing w:val="-4"/>
          <w:vertAlign w:val="superscript"/>
        </w:rPr>
        <w:t>3</w:t>
      </w:r>
      <w:r>
        <w:rPr>
          <w:rFonts w:hint="eastAsia"/>
          <w:color w:val="auto"/>
          <w:spacing w:val="-4"/>
        </w:rPr>
        <w:t>/d，建筑垃圾消纳场废水经处理后产生</w:t>
      </w:r>
      <w:r>
        <w:rPr>
          <w:color w:val="auto"/>
          <w:spacing w:val="-4"/>
        </w:rPr>
        <w:t>中水</w:t>
      </w:r>
      <w:r>
        <w:rPr>
          <w:rFonts w:hint="eastAsia"/>
          <w:color w:val="auto"/>
          <w:kern w:val="0"/>
        </w:rPr>
        <w:t>85.44</w:t>
      </w:r>
      <w:r>
        <w:rPr>
          <w:color w:val="auto"/>
        </w:rPr>
        <w:t xml:space="preserve"> m</w:t>
      </w:r>
      <w:r>
        <w:rPr>
          <w:color w:val="auto"/>
          <w:vertAlign w:val="superscript"/>
        </w:rPr>
        <w:t>3</w:t>
      </w:r>
      <w:r>
        <w:rPr>
          <w:rFonts w:eastAsia="Times New Roman"/>
          <w:color w:val="auto"/>
        </w:rPr>
        <w:t>/d</w:t>
      </w:r>
      <w:r>
        <w:rPr>
          <w:rFonts w:hint="eastAsia" w:eastAsiaTheme="minorEastAsia"/>
          <w:color w:val="auto"/>
        </w:rPr>
        <w:t>，从</w:t>
      </w:r>
      <w:r>
        <w:rPr>
          <w:rFonts w:eastAsiaTheme="minorEastAsia"/>
          <w:color w:val="auto"/>
        </w:rPr>
        <w:t>水量的角度上看，</w:t>
      </w:r>
      <w:r>
        <w:rPr>
          <w:rFonts w:hint="eastAsia" w:eastAsiaTheme="minorEastAsia"/>
          <w:color w:val="auto"/>
        </w:rPr>
        <w:t>产生</w:t>
      </w:r>
      <w:r>
        <w:rPr>
          <w:rFonts w:eastAsiaTheme="minorEastAsia"/>
          <w:color w:val="auto"/>
        </w:rPr>
        <w:t>的</w:t>
      </w:r>
      <w:r>
        <w:rPr>
          <w:rFonts w:hint="eastAsia" w:eastAsiaTheme="minorEastAsia"/>
          <w:color w:val="auto"/>
        </w:rPr>
        <w:t>中水量</w:t>
      </w:r>
      <w:r>
        <w:rPr>
          <w:rFonts w:eastAsiaTheme="minorEastAsia"/>
          <w:color w:val="auto"/>
        </w:rPr>
        <w:t>可</w:t>
      </w:r>
      <w:r>
        <w:rPr>
          <w:rFonts w:hint="eastAsia" w:eastAsiaTheme="minorEastAsia"/>
          <w:color w:val="auto"/>
        </w:rPr>
        <w:t>满足</w:t>
      </w:r>
      <w:r>
        <w:rPr>
          <w:rFonts w:hint="eastAsia" w:hAnsi="宋体"/>
          <w:color w:val="auto"/>
        </w:rPr>
        <w:t>喷水雾炮</w:t>
      </w:r>
      <w:r>
        <w:rPr>
          <w:rFonts w:hint="eastAsia"/>
          <w:color w:val="auto"/>
          <w:spacing w:val="-4"/>
        </w:rPr>
        <w:t>的用水量</w:t>
      </w:r>
      <w:r>
        <w:rPr>
          <w:color w:val="auto"/>
          <w:spacing w:val="-4"/>
        </w:rPr>
        <w:t>，</w:t>
      </w:r>
      <w:r>
        <w:rPr>
          <w:rFonts w:hint="eastAsia"/>
          <w:color w:val="auto"/>
          <w:spacing w:val="-4"/>
        </w:rPr>
        <w:t>废水回用</w:t>
      </w:r>
      <w:r>
        <w:rPr>
          <w:rFonts w:hint="eastAsia"/>
          <w:color w:val="auto"/>
          <w:kern w:val="0"/>
        </w:rPr>
        <w:t>是可行的。</w:t>
      </w:r>
    </w:p>
    <w:p>
      <w:pPr>
        <w:spacing w:line="360" w:lineRule="auto"/>
        <w:rPr>
          <w:b/>
          <w:color w:val="auto"/>
        </w:rPr>
      </w:pPr>
      <w:r>
        <w:rPr>
          <w:b/>
          <w:color w:val="auto"/>
        </w:rPr>
        <w:t>6.2.2.</w:t>
      </w:r>
      <w:r>
        <w:rPr>
          <w:rFonts w:hint="eastAsia"/>
          <w:b/>
          <w:color w:val="auto"/>
        </w:rPr>
        <w:t>3</w:t>
      </w:r>
      <w:r>
        <w:rPr>
          <w:b/>
          <w:color w:val="auto"/>
        </w:rPr>
        <w:t>雨水处理方案</w:t>
      </w:r>
    </w:p>
    <w:p>
      <w:pPr>
        <w:autoSpaceDE w:val="0"/>
        <w:autoSpaceDN w:val="0"/>
        <w:adjustRightInd w:val="0"/>
        <w:spacing w:line="360" w:lineRule="auto"/>
        <w:ind w:firstLine="480" w:firstLineChars="200"/>
        <w:jc w:val="both"/>
        <w:rPr>
          <w:color w:val="auto"/>
          <w:kern w:val="0"/>
        </w:rPr>
      </w:pPr>
      <w:r>
        <w:rPr>
          <w:rFonts w:hint="eastAsia"/>
          <w:color w:val="auto"/>
          <w:kern w:val="0"/>
        </w:rPr>
        <w:t>餐厨垃圾处理厂</w:t>
      </w:r>
      <w:r>
        <w:rPr>
          <w:color w:val="auto"/>
          <w:kern w:val="0"/>
        </w:rPr>
        <w:t>雨水排放采用</w:t>
      </w:r>
      <w:r>
        <w:rPr>
          <w:rFonts w:hint="eastAsia"/>
          <w:color w:val="auto"/>
          <w:kern w:val="0"/>
          <w:lang w:eastAsia="zh-CN"/>
        </w:rPr>
        <w:t>园区</w:t>
      </w:r>
      <w:r>
        <w:rPr>
          <w:color w:val="auto"/>
          <w:kern w:val="0"/>
        </w:rPr>
        <w:t>雨水口、雨水检查井、雨水管道相结合的雨水排放方式，屋面雨水经雨水斗收集后，通过雨水立管、排出管排入室外雨水井、雨水口或雨水沟；室外及道路雨水经雨水口或雨水沟收集，经雨水管道排入雨水井；雨水最终经厂区雨水管网</w:t>
      </w:r>
      <w:r>
        <w:rPr>
          <w:rFonts w:hint="eastAsia"/>
          <w:color w:val="auto"/>
          <w:kern w:val="0"/>
        </w:rPr>
        <w:t>排至厂外</w:t>
      </w:r>
      <w:r>
        <w:rPr>
          <w:color w:val="auto"/>
          <w:kern w:val="0"/>
        </w:rPr>
        <w:t>。</w:t>
      </w:r>
    </w:p>
    <w:p>
      <w:pPr>
        <w:autoSpaceDE w:val="0"/>
        <w:autoSpaceDN w:val="0"/>
        <w:adjustRightInd w:val="0"/>
        <w:spacing w:line="360" w:lineRule="auto"/>
        <w:ind w:firstLine="480" w:firstLineChars="200"/>
        <w:jc w:val="both"/>
        <w:rPr>
          <w:color w:val="auto"/>
          <w:kern w:val="0"/>
        </w:rPr>
      </w:pPr>
      <w:r>
        <w:rPr>
          <w:rFonts w:hint="eastAsia"/>
          <w:color w:val="auto"/>
          <w:kern w:val="0"/>
        </w:rPr>
        <w:t>建筑垃圾消纳场设置场外径流截排设施和场内径流截排设施，其中场外径流截排设施即沿库区垃圾最终填埋边界线设置的环库截洪沟和在库区HDPE 土工膜各锚固平台上设置的排水边沟，可将垃圾填埋体以外区域的地表径流截排至场外天然水沟。</w:t>
      </w:r>
    </w:p>
    <w:p>
      <w:pPr>
        <w:autoSpaceDE w:val="0"/>
        <w:autoSpaceDN w:val="0"/>
        <w:adjustRightInd w:val="0"/>
        <w:spacing w:line="360" w:lineRule="auto"/>
        <w:ind w:firstLine="480" w:firstLineChars="200"/>
        <w:jc w:val="both"/>
        <w:rPr>
          <w:color w:val="auto"/>
          <w:kern w:val="0"/>
        </w:rPr>
      </w:pPr>
      <w:r>
        <w:rPr>
          <w:rFonts w:hint="eastAsia"/>
          <w:color w:val="auto"/>
          <w:kern w:val="0"/>
        </w:rPr>
        <w:t>场内径流截排设施即填埋平台面排水设施。其作用是减少雨水对覆盖膜的冲刷和向垃圾堆体的渗漏。已完成填埋作业坡面上的径流由各分层平台内侧的半圆形排水沟分别接入环库截洪沟，再经消力池沉砂后排入场外天然水沟。</w:t>
      </w:r>
    </w:p>
    <w:p>
      <w:pPr>
        <w:autoSpaceDE w:val="0"/>
        <w:autoSpaceDN w:val="0"/>
        <w:adjustRightInd w:val="0"/>
        <w:spacing w:line="360" w:lineRule="auto"/>
        <w:ind w:firstLine="480" w:firstLineChars="200"/>
        <w:jc w:val="both"/>
        <w:rPr>
          <w:color w:val="auto"/>
          <w:kern w:val="0"/>
        </w:rPr>
      </w:pPr>
      <w:r>
        <w:rPr>
          <w:rFonts w:hint="eastAsia"/>
          <w:color w:val="auto"/>
          <w:kern w:val="0"/>
        </w:rPr>
        <w:t>建筑垃圾填埋作业区采用160g 防渗纤维膜覆盖，其他非作业区采用190g 防渗纤维膜覆盖，覆盖表面的雨水排到雨水收集管网。但同时，也有一定的雨水会渗透到地下形成淋溶液，淋溶液经收集经机械沉淀过滤后回用于填埋场洒水抑尘。</w:t>
      </w:r>
      <w:r>
        <w:rPr>
          <w:color w:val="auto"/>
          <w:kern w:val="0"/>
        </w:rPr>
        <w:t xml:space="preserve"> </w:t>
      </w:r>
    </w:p>
    <w:p>
      <w:pPr>
        <w:pStyle w:val="4"/>
        <w:rPr>
          <w:b/>
          <w:color w:val="auto"/>
        </w:rPr>
      </w:pPr>
      <w:bookmarkStart w:id="797" w:name="_Toc24136839"/>
      <w:bookmarkStart w:id="798" w:name="_Toc3625"/>
      <w:bookmarkStart w:id="799" w:name="_Toc14946928"/>
      <w:bookmarkStart w:id="800" w:name="_Toc34234757"/>
      <w:bookmarkStart w:id="801" w:name="_Toc15912221"/>
      <w:r>
        <w:rPr>
          <w:b/>
          <w:color w:val="auto"/>
        </w:rPr>
        <w:t>噪声治理措施</w:t>
      </w:r>
      <w:bookmarkEnd w:id="797"/>
      <w:bookmarkEnd w:id="798"/>
      <w:bookmarkEnd w:id="799"/>
      <w:bookmarkEnd w:id="800"/>
      <w:bookmarkEnd w:id="801"/>
    </w:p>
    <w:p>
      <w:pPr>
        <w:spacing w:line="360" w:lineRule="auto"/>
        <w:rPr>
          <w:b/>
          <w:color w:val="auto"/>
        </w:rPr>
      </w:pPr>
      <w:r>
        <w:rPr>
          <w:b/>
          <w:color w:val="auto"/>
        </w:rPr>
        <w:t>6.2.</w:t>
      </w:r>
      <w:r>
        <w:rPr>
          <w:rFonts w:hint="eastAsia"/>
          <w:b/>
          <w:color w:val="auto"/>
        </w:rPr>
        <w:t>3</w:t>
      </w:r>
      <w:r>
        <w:rPr>
          <w:b/>
          <w:color w:val="auto"/>
        </w:rPr>
        <w:t>.1总体防治措施</w:t>
      </w:r>
    </w:p>
    <w:p>
      <w:pPr>
        <w:spacing w:line="360" w:lineRule="auto"/>
        <w:ind w:firstLine="480" w:firstLineChars="200"/>
        <w:jc w:val="both"/>
        <w:rPr>
          <w:color w:val="auto"/>
        </w:rPr>
      </w:pPr>
      <w:r>
        <w:rPr>
          <w:color w:val="auto"/>
        </w:rPr>
        <w:t>（1）厂区总体设计布置时，将主机尽可能布置在远离办公室的地方，以防噪声对工作环境的影响</w:t>
      </w:r>
      <w:r>
        <w:rPr>
          <w:rFonts w:hint="eastAsia"/>
          <w:color w:val="auto"/>
        </w:rPr>
        <w:t>；</w:t>
      </w:r>
    </w:p>
    <w:p>
      <w:pPr>
        <w:spacing w:line="360" w:lineRule="auto"/>
        <w:ind w:firstLine="480" w:firstLineChars="200"/>
        <w:jc w:val="both"/>
        <w:rPr>
          <w:color w:val="auto"/>
        </w:rPr>
      </w:pPr>
      <w:r>
        <w:rPr>
          <w:color w:val="auto"/>
        </w:rPr>
        <w:t>（2）在运行管理人员集中的控制室内，门窗处设置吸声装置（如密封门窗等），室内设置吸声吊顶，以减少噪声对运行人员的影响，使其工作环境达到允许噪声标准</w:t>
      </w:r>
      <w:r>
        <w:rPr>
          <w:rFonts w:hint="eastAsia"/>
          <w:color w:val="auto"/>
        </w:rPr>
        <w:t>；</w:t>
      </w:r>
    </w:p>
    <w:p>
      <w:pPr>
        <w:spacing w:line="360" w:lineRule="auto"/>
        <w:ind w:firstLine="480" w:firstLineChars="200"/>
        <w:jc w:val="both"/>
        <w:rPr>
          <w:color w:val="auto"/>
        </w:rPr>
      </w:pPr>
      <w:r>
        <w:rPr>
          <w:color w:val="auto"/>
        </w:rPr>
        <w:t>（3）采用低噪声的设备，在鼓风机和引风机风道中加设消音器，以达到允许的噪声标准</w:t>
      </w:r>
      <w:r>
        <w:rPr>
          <w:rFonts w:hint="eastAsia"/>
          <w:color w:val="auto"/>
        </w:rPr>
        <w:t>，</w:t>
      </w:r>
      <w:r>
        <w:rPr>
          <w:color w:val="auto"/>
        </w:rPr>
        <w:t>并对发声设备采取减振、隔声等措施</w:t>
      </w:r>
      <w:r>
        <w:rPr>
          <w:rFonts w:hint="eastAsia"/>
          <w:color w:val="auto"/>
        </w:rPr>
        <w:t>，进入场区的餐厨垃圾和建筑垃圾运输车辆应限速缓行，并且禁鸣喇叭；</w:t>
      </w:r>
    </w:p>
    <w:p>
      <w:pPr>
        <w:spacing w:line="360" w:lineRule="auto"/>
        <w:ind w:firstLine="480" w:firstLineChars="200"/>
        <w:jc w:val="both"/>
        <w:rPr>
          <w:color w:val="auto"/>
        </w:rPr>
      </w:pPr>
      <w:r>
        <w:rPr>
          <w:color w:val="auto"/>
        </w:rPr>
        <w:t>（4）减振措施</w:t>
      </w:r>
      <w:r>
        <w:rPr>
          <w:rFonts w:hint="eastAsia"/>
          <w:color w:val="auto"/>
        </w:rPr>
        <w:t>：</w:t>
      </w:r>
      <w:r>
        <w:rPr>
          <w:color w:val="auto"/>
        </w:rPr>
        <w:t>建议对靠近办公或操作区域、振动大的设备加装弹簧减振垫，与之连接的管道加装柔性接头，所有支架改用减振支架</w:t>
      </w:r>
      <w:r>
        <w:rPr>
          <w:rFonts w:hint="eastAsia"/>
          <w:color w:val="auto"/>
        </w:rPr>
        <w:t>；</w:t>
      </w:r>
    </w:p>
    <w:p>
      <w:pPr>
        <w:spacing w:line="360" w:lineRule="auto"/>
        <w:ind w:firstLine="480" w:firstLineChars="200"/>
        <w:jc w:val="both"/>
        <w:rPr>
          <w:color w:val="auto"/>
        </w:rPr>
      </w:pPr>
      <w:r>
        <w:rPr>
          <w:color w:val="auto"/>
        </w:rPr>
        <w:t>（5）工作间噪声控制</w:t>
      </w:r>
      <w:r>
        <w:rPr>
          <w:rFonts w:hint="eastAsia"/>
          <w:color w:val="auto"/>
        </w:rPr>
        <w:t>：</w:t>
      </w:r>
      <w:r>
        <w:rPr>
          <w:color w:val="auto"/>
        </w:rPr>
        <w:t>所有门窗均采用隔声门窗，改善工作间通风系统并进行消声设计。每台轴流风机均附有消声器</w:t>
      </w:r>
      <w:r>
        <w:rPr>
          <w:rFonts w:hint="eastAsia"/>
          <w:color w:val="auto"/>
        </w:rPr>
        <w:t>；</w:t>
      </w:r>
    </w:p>
    <w:p>
      <w:pPr>
        <w:spacing w:line="360" w:lineRule="auto"/>
        <w:ind w:firstLine="480" w:firstLineChars="200"/>
        <w:jc w:val="both"/>
        <w:rPr>
          <w:color w:val="auto"/>
        </w:rPr>
      </w:pPr>
      <w:r>
        <w:rPr>
          <w:rFonts w:hint="eastAsia"/>
          <w:color w:val="auto"/>
        </w:rPr>
        <w:t>（6）</w:t>
      </w:r>
      <w:r>
        <w:rPr>
          <w:color w:val="auto"/>
        </w:rPr>
        <w:t>在项目厂界四周种植树木，对噪声进行阻隔</w:t>
      </w:r>
      <w:r>
        <w:rPr>
          <w:rFonts w:hint="eastAsia"/>
          <w:color w:val="auto"/>
        </w:rPr>
        <w:t>。</w:t>
      </w:r>
    </w:p>
    <w:p>
      <w:pPr>
        <w:spacing w:line="360" w:lineRule="auto"/>
        <w:rPr>
          <w:b/>
          <w:color w:val="auto"/>
        </w:rPr>
      </w:pPr>
      <w:r>
        <w:rPr>
          <w:b/>
          <w:color w:val="auto"/>
        </w:rPr>
        <w:t>6.2.</w:t>
      </w:r>
      <w:r>
        <w:rPr>
          <w:rFonts w:hint="eastAsia"/>
          <w:b/>
          <w:color w:val="auto"/>
        </w:rPr>
        <w:t>3</w:t>
      </w:r>
      <w:r>
        <w:rPr>
          <w:b/>
          <w:color w:val="auto"/>
        </w:rPr>
        <w:t>.2具体的防治措施</w:t>
      </w:r>
    </w:p>
    <w:p>
      <w:pPr>
        <w:spacing w:line="360" w:lineRule="auto"/>
        <w:ind w:firstLine="480" w:firstLineChars="200"/>
        <w:jc w:val="both"/>
        <w:rPr>
          <w:color w:val="auto"/>
        </w:rPr>
      </w:pPr>
      <w:r>
        <w:rPr>
          <w:color w:val="auto"/>
        </w:rPr>
        <w:t>（1）</w:t>
      </w:r>
      <w:r>
        <w:rPr>
          <w:rFonts w:hint="eastAsia"/>
          <w:color w:val="auto"/>
        </w:rPr>
        <w:t>餐厨垃圾处理的</w:t>
      </w:r>
      <w:r>
        <w:rPr>
          <w:color w:val="auto"/>
        </w:rPr>
        <w:t>的鼓、引风机进、出口等辐射的空气动力性噪声和机壳、管壁、电动机轴承的机械性噪声以及水泵、风机等设备振动产生的机械噪声。在这部分噪声中，尤以引风机出气口部位辐射的空气动力性噪声为最强，一般风机的空气动力性噪声往往比其它部位辐射的噪声要高10dB（A）左右。安装消声器：在进气和排气管道上安装适当的消声器，消声器类型可选择阻性片式、折板式、蜂窝式以及阻抗复合式等。合适的消声器可使整个风机噪声降低8~10dB(A)。软连接、管道包扎：为减弱从风机风管辐射出来的噪声，可以用矿渣棉等材料对管道进行包扎，隔绝噪声由此传播的途径，外部噪声可减少3~5dB(A)</w:t>
      </w:r>
      <w:r>
        <w:rPr>
          <w:rFonts w:hint="eastAsia"/>
          <w:color w:val="auto"/>
        </w:rPr>
        <w:t>；</w:t>
      </w:r>
    </w:p>
    <w:p>
      <w:pPr>
        <w:spacing w:line="360" w:lineRule="auto"/>
        <w:ind w:firstLine="480" w:firstLineChars="200"/>
        <w:jc w:val="both"/>
        <w:rPr>
          <w:color w:val="auto"/>
        </w:rPr>
      </w:pPr>
      <w:r>
        <w:rPr>
          <w:color w:val="auto"/>
        </w:rPr>
        <w:t>（3）泵类设备噪声主要来自液力系统和机械部件。液力噪声是由液体中的空穴和液体排出时的压力、流量的周期性脉动而产生的，机械噪声是由转动部件不平衡、轴承不良和部件共振产生的。一般情况下，液力噪声是泵噪声的主要成份。泵噪声一般呈宽带性质，且含有离散的音调。如有必要可在通风口加装消声器，这样可避免泵类噪声对外环境产生的影响</w:t>
      </w:r>
      <w:r>
        <w:rPr>
          <w:rFonts w:hint="eastAsia"/>
          <w:color w:val="auto"/>
        </w:rPr>
        <w:t>；</w:t>
      </w:r>
    </w:p>
    <w:p>
      <w:pPr>
        <w:spacing w:line="360" w:lineRule="auto"/>
        <w:ind w:firstLine="480" w:firstLineChars="200"/>
        <w:jc w:val="both"/>
        <w:rPr>
          <w:color w:val="auto"/>
        </w:rPr>
      </w:pPr>
      <w:r>
        <w:rPr>
          <w:color w:val="auto"/>
        </w:rPr>
        <w:t>（3）建筑采用钢结构厂房，其墙面和顶面均采用两面钢板加中间离心玻璃棉隔热层，为此，噪声控制拟将建筑内层钢板采用穿孔板结构，利用中间离心玻璃棉隔热层同样具有消声作用，使车间内壁具有吸声效果，以降低室内混响声。另外，厂房的窗户采用双层玻璃，并加上密封压条的钢窗隔声，车间配以低噪声风机做全室换气通风。采取上诉措施后，平均可降噪20dB(A)左右</w:t>
      </w:r>
      <w:r>
        <w:rPr>
          <w:rFonts w:hint="eastAsia"/>
          <w:color w:val="auto"/>
        </w:rPr>
        <w:t>；</w:t>
      </w:r>
    </w:p>
    <w:p>
      <w:pPr>
        <w:spacing w:line="360" w:lineRule="auto"/>
        <w:ind w:firstLine="480" w:firstLineChars="200"/>
        <w:jc w:val="both"/>
        <w:rPr>
          <w:color w:val="auto"/>
        </w:rPr>
      </w:pPr>
      <w:r>
        <w:rPr>
          <w:rFonts w:hint="eastAsia"/>
          <w:color w:val="auto"/>
        </w:rPr>
        <w:t>（5）</w:t>
      </w:r>
      <w:r>
        <w:rPr>
          <w:color w:val="auto"/>
        </w:rPr>
        <w:t>厂房的吸声一般是在顶棚和内墙面加一层吸声层，材料一般包括如下几种：</w:t>
      </w:r>
    </w:p>
    <w:p>
      <w:pPr>
        <w:spacing w:line="360" w:lineRule="auto"/>
        <w:ind w:firstLine="480" w:firstLineChars="200"/>
        <w:jc w:val="both"/>
        <w:rPr>
          <w:color w:val="auto"/>
        </w:rPr>
      </w:pPr>
      <w:r>
        <w:rPr>
          <w:rFonts w:hint="eastAsia" w:ascii="宋体" w:hAnsi="宋体" w:cs="宋体"/>
          <w:color w:val="auto"/>
        </w:rPr>
        <w:t>①</w:t>
      </w:r>
      <w:r>
        <w:rPr>
          <w:color w:val="auto"/>
        </w:rPr>
        <w:t>多孔吸声材料：该材料一般用超细玻璃棉毡，当顶棚或内墙面嵌一层多孔材料时，由于声波进入此材料，在其中进出受到阻滞，使声能量消耗而产生吸声作用，故这层超细玻璃棉毡只有达到一定厚度，对低频消声才会有较好的效果。在玻璃棉毡外罩一层多孔</w:t>
      </w:r>
      <w:r>
        <w:rPr>
          <w:rFonts w:asciiTheme="minorEastAsia" w:hAnsiTheme="minorEastAsia" w:eastAsiaTheme="minorEastAsia"/>
          <w:color w:val="auto"/>
        </w:rPr>
        <w:t>(透气)砂布或玻璃布，增加声波运动阻滞作用,则吸声作用会更大。但若罩一层不透气材料，如透明塑料薄膜，则由于声波无法穿透(不透气的)塑料薄</w:t>
      </w:r>
      <w:r>
        <w:rPr>
          <w:color w:val="auto"/>
        </w:rPr>
        <w:t>膜，使吸声系数降低。一般来说，超细玻璃棉厚增加一倍，吸声频率特曲峰值向低频移动一倍频程。罩面材料则必须是透气的。</w:t>
      </w:r>
    </w:p>
    <w:p>
      <w:pPr>
        <w:spacing w:line="360" w:lineRule="auto"/>
        <w:ind w:firstLine="480" w:firstLineChars="200"/>
        <w:jc w:val="both"/>
        <w:rPr>
          <w:color w:val="auto"/>
        </w:rPr>
      </w:pPr>
      <w:r>
        <w:rPr>
          <w:rFonts w:hint="eastAsia" w:ascii="宋体" w:hAnsi="宋体" w:cs="宋体"/>
          <w:color w:val="auto"/>
        </w:rPr>
        <w:t>②</w:t>
      </w:r>
      <w:r>
        <w:rPr>
          <w:color w:val="auto"/>
        </w:rPr>
        <w:t>薄板吸声结构：薄板在声波作用下将发生振动。板振动时由于板内部和木龙骨之间出现摩擦吸收消耗一部分能量。此时有一个能量转换的过程，也是薄板吸声原理。由于低频声波比中高频声波之波长更长，易激起薄板振动，所以这种吸声结构一般用以低频带噪声吸声。</w:t>
      </w:r>
    </w:p>
    <w:p>
      <w:pPr>
        <w:spacing w:line="360" w:lineRule="auto"/>
        <w:ind w:firstLine="480" w:firstLineChars="200"/>
        <w:jc w:val="both"/>
        <w:rPr>
          <w:color w:val="auto"/>
        </w:rPr>
      </w:pPr>
      <w:r>
        <w:rPr>
          <w:rFonts w:hint="eastAsia" w:ascii="宋体" w:hAnsi="宋体" w:cs="宋体"/>
          <w:color w:val="auto"/>
        </w:rPr>
        <w:t>③</w:t>
      </w:r>
      <w:r>
        <w:rPr>
          <w:color w:val="auto"/>
        </w:rPr>
        <w:t>空间吸声体：空间吸声体悬吊在空中。由于声波和吸声材料的两个或更多的面都有接触，在投影面积相同的情况下，相当于增加了一倍有效吸声面积“边缘效应”实际也增加了一倍。所以大大提高了实际吸声效果，其高频吸声系数可达1.40。空间吸声体的应用，还可以解决有天窗厂房顶棚吸声不好处理的问题。空间吸声体可以设计成灯型、船型、伞型板型。</w:t>
      </w:r>
    </w:p>
    <w:p>
      <w:pPr>
        <w:spacing w:line="360" w:lineRule="auto"/>
        <w:ind w:firstLine="480" w:firstLineChars="200"/>
        <w:jc w:val="both"/>
        <w:rPr>
          <w:color w:val="auto"/>
        </w:rPr>
      </w:pPr>
      <w:r>
        <w:rPr>
          <w:color w:val="auto"/>
        </w:rPr>
        <w:t>（6）空压机组</w:t>
      </w:r>
      <w:r>
        <w:rPr>
          <w:color w:val="auto"/>
        </w:rPr>
        <w:tab/>
      </w:r>
    </w:p>
    <w:p>
      <w:pPr>
        <w:spacing w:line="360" w:lineRule="auto"/>
        <w:ind w:firstLine="480" w:firstLineChars="200"/>
        <w:jc w:val="both"/>
        <w:rPr>
          <w:color w:val="auto"/>
        </w:rPr>
      </w:pPr>
      <w:r>
        <w:rPr>
          <w:color w:val="auto"/>
        </w:rPr>
        <w:t>空气压缩机噪声主要由进、出气口辐射的空气动力性噪声、结构件机械噪声和驱动机机械及电磁噪声组成。空压机在安装时已将进气口、储气罐设置在车间内，车间内噪声是由结构件机械噪声和驱动机噪声组成的。根据同国内空压机机站的噪声监测数据表明，车间噪声为90dB(A)左右，频谱以500～4000Hz为主，噪声性质为中高频，频程声压级高达83～90dB。目前国内空压站多采取整体隔声、</w:t>
      </w:r>
      <w:r>
        <w:rPr>
          <w:rFonts w:hint="eastAsia"/>
          <w:color w:val="auto"/>
        </w:rPr>
        <w:t>减振</w:t>
      </w:r>
      <w:r>
        <w:rPr>
          <w:color w:val="auto"/>
        </w:rPr>
        <w:t>的方式进行治理。</w:t>
      </w:r>
    </w:p>
    <w:p>
      <w:pPr>
        <w:spacing w:line="360" w:lineRule="auto"/>
        <w:ind w:firstLine="480" w:firstLineChars="200"/>
        <w:jc w:val="both"/>
        <w:rPr>
          <w:color w:val="auto"/>
        </w:rPr>
      </w:pPr>
      <w:r>
        <w:rPr>
          <w:color w:val="auto"/>
        </w:rPr>
        <w:t>整体隔声罩：隔声罩在设计上充分考虑了与生产工艺相结合。为了通风、降温，在隔声罩左右两罩壁部留有进气口，在进气口上安装风机进行机械送风，并在进气口处安装消声道。在罩顶中部留有排气口，并在排气口处安装消声道。隔声构件均采用螺栓扣连接，在搭接部位进行密封处理。</w:t>
      </w:r>
    </w:p>
    <w:p>
      <w:pPr>
        <w:spacing w:line="360" w:lineRule="auto"/>
        <w:ind w:firstLine="480" w:firstLineChars="200"/>
        <w:jc w:val="both"/>
        <w:rPr>
          <w:color w:val="auto"/>
        </w:rPr>
      </w:pPr>
      <w:r>
        <w:rPr>
          <w:color w:val="auto"/>
        </w:rPr>
        <w:t>根据空压机噪声的特点，隔声罩内表面吸声材料可选择采用平均吸声系数为0.72的超细玻璃棉，其厚度为5cm，容重为20kg/m</w:t>
      </w:r>
      <w:r>
        <w:rPr>
          <w:color w:val="auto"/>
          <w:vertAlign w:val="superscript"/>
        </w:rPr>
        <w:t>3</w:t>
      </w:r>
      <w:r>
        <w:rPr>
          <w:color w:val="auto"/>
        </w:rPr>
        <w:t>。玻璃棉用玻璃布和钢网作保护面。同时,在玻璃棉与隔声罩内壁之间留有5cm空气层，以解决对低频噪声的吸收，玻璃棉构造及隔声罩构造如图6.2-12所示。</w:t>
      </w:r>
    </w:p>
    <w:p>
      <w:pPr>
        <w:rPr>
          <w:color w:val="auto"/>
        </w:rPr>
      </w:pPr>
      <w:r>
        <w:rPr>
          <w:color w:val="auto"/>
        </w:rPr>
        <mc:AlternateContent>
          <mc:Choice Requires="wpg">
            <w:drawing>
              <wp:anchor distT="0" distB="0" distL="114300" distR="114300" simplePos="0" relativeHeight="251589632" behindDoc="0" locked="0" layoutInCell="1" allowOverlap="1">
                <wp:simplePos x="0" y="0"/>
                <wp:positionH relativeFrom="character">
                  <wp:posOffset>228600</wp:posOffset>
                </wp:positionH>
                <wp:positionV relativeFrom="line">
                  <wp:posOffset>0</wp:posOffset>
                </wp:positionV>
                <wp:extent cx="5143500" cy="1323340"/>
                <wp:effectExtent l="19050" t="19050" r="19050" b="19685"/>
                <wp:wrapNone/>
                <wp:docPr id="120" name="画布 85"/>
                <wp:cNvGraphicFramePr/>
                <a:graphic xmlns:a="http://schemas.openxmlformats.org/drawingml/2006/main">
                  <a:graphicData uri="http://schemas.microsoft.com/office/word/2010/wordprocessingGroup">
                    <wpg:wgp>
                      <wpg:cNvGrpSpPr/>
                      <wpg:grpSpPr>
                        <a:xfrm>
                          <a:off x="0" y="0"/>
                          <a:ext cx="5143500" cy="1323340"/>
                          <a:chOff x="0" y="0"/>
                          <a:chExt cx="5433695" cy="1323340"/>
                        </a:xfrm>
                      </wpg:grpSpPr>
                      <wps:wsp>
                        <wps:cNvPr id="121" name="Picture 166"/>
                        <wps:cNvSpPr>
                          <a:spLocks noChangeAspect="1" noChangeArrowheads="1"/>
                        </wps:cNvSpPr>
                        <wps:spPr bwMode="auto">
                          <a:xfrm>
                            <a:off x="0" y="0"/>
                            <a:ext cx="5433695" cy="1323340"/>
                          </a:xfrm>
                          <a:prstGeom prst="rect">
                            <a:avLst/>
                          </a:prstGeom>
                          <a:noFill/>
                          <a:ln w="19050">
                            <a:solidFill>
                              <a:srgbClr val="000000"/>
                            </a:solidFill>
                            <a:miter lim="800000"/>
                          </a:ln>
                        </wps:spPr>
                        <wps:bodyPr rot="0" vert="horz" wrap="square" lIns="91440" tIns="45720" rIns="91440" bIns="45720" anchor="t" anchorCtr="0" upright="1">
                          <a:noAutofit/>
                        </wps:bodyPr>
                      </wps:wsp>
                      <wps:wsp>
                        <wps:cNvPr id="122" name="Text Box 4"/>
                        <wps:cNvSpPr txBox="1">
                          <a:spLocks noChangeArrowheads="1"/>
                        </wps:cNvSpPr>
                        <wps:spPr bwMode="auto">
                          <a:xfrm>
                            <a:off x="1431306" y="366320"/>
                            <a:ext cx="458970" cy="309374"/>
                          </a:xfrm>
                          <a:prstGeom prst="rect">
                            <a:avLst/>
                          </a:prstGeom>
                          <a:solidFill>
                            <a:srgbClr val="FFFFFF"/>
                          </a:solidFill>
                          <a:ln w="6350">
                            <a:solidFill>
                              <a:srgbClr val="000000"/>
                            </a:solidFill>
                            <a:miter lim="800000"/>
                          </a:ln>
                        </wps:spPr>
                        <wps:txbx>
                          <w:txbxContent>
                            <w:p>
                              <w:pPr/>
                            </w:p>
                          </w:txbxContent>
                        </wps:txbx>
                        <wps:bodyPr rot="0" vert="horz" wrap="square" lIns="0" tIns="0" rIns="0" bIns="0" anchor="t" anchorCtr="0" upright="1">
                          <a:noAutofit/>
                        </wps:bodyPr>
                      </wps:wsp>
                      <wps:wsp>
                        <wps:cNvPr id="123" name="Rectangle 5"/>
                        <wps:cNvSpPr>
                          <a:spLocks noChangeArrowheads="1"/>
                        </wps:cNvSpPr>
                        <wps:spPr bwMode="auto">
                          <a:xfrm>
                            <a:off x="101993" y="27198"/>
                            <a:ext cx="677406" cy="197184"/>
                          </a:xfrm>
                          <a:prstGeom prst="rect">
                            <a:avLst/>
                          </a:prstGeom>
                          <a:solidFill>
                            <a:srgbClr val="FFFFFF"/>
                          </a:solidFill>
                          <a:ln>
                            <a:noFill/>
                          </a:ln>
                        </wps:spPr>
                        <wps:txbx>
                          <w:txbxContent>
                            <w:p>
                              <w:pPr/>
                              <w:r>
                                <w:rPr>
                                  <w:rFonts w:hint="eastAsia"/>
                                </w:rPr>
                                <w:t>整体隔声罩</w:t>
                              </w:r>
                            </w:p>
                          </w:txbxContent>
                        </wps:txbx>
                        <wps:bodyPr rot="0" vert="horz" wrap="square" lIns="0" tIns="0" rIns="0" bIns="0" anchor="t" anchorCtr="0" upright="1">
                          <a:noAutofit/>
                        </wps:bodyPr>
                      </wps:wsp>
                      <wps:wsp>
                        <wps:cNvPr id="124" name="AutoShape 6"/>
                        <wps:cNvCnPr>
                          <a:cxnSpLocks noChangeShapeType="1"/>
                          <a:stCxn id="123" idx="2"/>
                          <a:endCxn id="126" idx="1"/>
                        </wps:cNvCnPr>
                        <wps:spPr bwMode="auto">
                          <a:xfrm>
                            <a:off x="440690" y="224155"/>
                            <a:ext cx="431800" cy="349250"/>
                          </a:xfrm>
                          <a:prstGeom prst="straightConnector1">
                            <a:avLst/>
                          </a:prstGeom>
                          <a:noFill/>
                          <a:ln w="6350">
                            <a:solidFill>
                              <a:srgbClr val="000000"/>
                            </a:solidFill>
                            <a:prstDash val="dash"/>
                            <a:round/>
                            <a:tailEnd type="triangle" w="sm" len="med"/>
                          </a:ln>
                        </wps:spPr>
                        <wps:bodyPr/>
                      </wps:wsp>
                      <wpg:grpSp>
                        <wpg:cNvPr id="125" name="Group 7"/>
                        <wpg:cNvGrpSpPr/>
                        <wpg:grpSpPr>
                          <a:xfrm>
                            <a:off x="758150" y="86693"/>
                            <a:ext cx="1739836" cy="973169"/>
                            <a:chOff x="0" y="0"/>
                            <a:chExt cx="2046" cy="1145"/>
                          </a:xfrm>
                        </wpg:grpSpPr>
                        <wps:wsp>
                          <wps:cNvPr id="126" name="Text Box 8"/>
                          <wps:cNvSpPr txBox="1">
                            <a:spLocks noChangeArrowheads="1"/>
                          </wps:cNvSpPr>
                          <wps:spPr bwMode="auto">
                            <a:xfrm>
                              <a:off x="179" y="0"/>
                              <a:ext cx="1695" cy="1145"/>
                            </a:xfrm>
                            <a:prstGeom prst="rect">
                              <a:avLst/>
                            </a:prstGeom>
                            <a:noFill/>
                            <a:ln w="76200" cmpd="tri">
                              <a:solidFill>
                                <a:srgbClr val="000000"/>
                              </a:solidFill>
                              <a:miter lim="800000"/>
                            </a:ln>
                          </wps:spPr>
                          <wps:txbx>
                            <w:txbxContent>
                              <w:p>
                                <w:pPr/>
                              </w:p>
                            </w:txbxContent>
                          </wps:txbx>
                          <wps:bodyPr rot="0" vert="horz" wrap="square" lIns="0" tIns="0" rIns="0" bIns="0" anchor="t" anchorCtr="0" upright="1">
                            <a:noAutofit/>
                          </wps:bodyPr>
                        </wps:wsp>
                        <wpg:grpSp>
                          <wpg:cNvPr id="127" name="Group 9"/>
                          <wpg:cNvGrpSpPr/>
                          <wpg:grpSpPr>
                            <a:xfrm>
                              <a:off x="0" y="759"/>
                              <a:ext cx="910" cy="296"/>
                              <a:chOff x="0" y="0"/>
                              <a:chExt cx="910" cy="296"/>
                            </a:xfrm>
                          </wpg:grpSpPr>
                          <wps:wsp>
                            <wps:cNvPr id="1216" name="Rectangle 10"/>
                            <wps:cNvSpPr>
                              <a:spLocks noChangeArrowheads="1"/>
                            </wps:cNvSpPr>
                            <wps:spPr bwMode="auto">
                              <a:xfrm>
                                <a:off x="0" y="147"/>
                                <a:ext cx="237" cy="149"/>
                              </a:xfrm>
                              <a:prstGeom prst="rect">
                                <a:avLst/>
                              </a:prstGeom>
                              <a:solidFill>
                                <a:srgbClr val="FFFFFF"/>
                              </a:solidFill>
                              <a:ln>
                                <a:noFill/>
                              </a:ln>
                            </wps:spPr>
                            <wps:bodyPr rot="0" vert="horz" wrap="square" lIns="0" tIns="0" rIns="0" bIns="0" anchor="t" anchorCtr="0" upright="1">
                              <a:noAutofit/>
                            </wps:bodyPr>
                          </wps:wsp>
                          <wpg:grpSp>
                            <wpg:cNvPr id="1217" name="Group 11"/>
                            <wpg:cNvGrpSpPr/>
                            <wpg:grpSpPr>
                              <a:xfrm>
                                <a:off x="237" y="191"/>
                                <a:ext cx="102" cy="98"/>
                                <a:chOff x="0" y="0"/>
                                <a:chExt cx="254" cy="194"/>
                              </a:xfrm>
                            </wpg:grpSpPr>
                            <wps:wsp>
                              <wps:cNvPr id="1218" name="Line 12"/>
                              <wps:cNvCnPr>
                                <a:cxnSpLocks noChangeShapeType="1"/>
                              </wps:cNvCnPr>
                              <wps:spPr bwMode="auto">
                                <a:xfrm flipV="1">
                                  <a:off x="0" y="0"/>
                                  <a:ext cx="254" cy="1"/>
                                </a:xfrm>
                                <a:prstGeom prst="line">
                                  <a:avLst/>
                                </a:prstGeom>
                                <a:noFill/>
                                <a:ln w="57150" cmpd="thickThin">
                                  <a:solidFill>
                                    <a:srgbClr val="000000"/>
                                  </a:solidFill>
                                  <a:round/>
                                </a:ln>
                              </wps:spPr>
                              <wps:bodyPr/>
                            </wps:wsp>
                            <wps:wsp>
                              <wps:cNvPr id="1219" name="Line 13"/>
                              <wps:cNvCnPr>
                                <a:cxnSpLocks noChangeShapeType="1"/>
                              </wps:cNvCnPr>
                              <wps:spPr bwMode="auto">
                                <a:xfrm>
                                  <a:off x="233" y="1"/>
                                  <a:ext cx="0" cy="193"/>
                                </a:xfrm>
                                <a:prstGeom prst="line">
                                  <a:avLst/>
                                </a:prstGeom>
                                <a:noFill/>
                                <a:ln w="57150" cmpd="thickThin">
                                  <a:solidFill>
                                    <a:srgbClr val="000000"/>
                                  </a:solidFill>
                                  <a:round/>
                                </a:ln>
                              </wps:spPr>
                              <wps:bodyPr/>
                            </wps:wsp>
                          </wpg:grpSp>
                          <wps:wsp>
                            <wps:cNvPr id="1220" name="Rectangle 14"/>
                            <wps:cNvSpPr>
                              <a:spLocks noChangeArrowheads="1"/>
                            </wps:cNvSpPr>
                            <wps:spPr bwMode="auto">
                              <a:xfrm>
                                <a:off x="344" y="0"/>
                                <a:ext cx="566" cy="204"/>
                              </a:xfrm>
                              <a:prstGeom prst="rect">
                                <a:avLst/>
                              </a:prstGeom>
                              <a:noFill/>
                              <a:ln>
                                <a:noFill/>
                              </a:ln>
                            </wps:spPr>
                            <wps:txbx>
                              <w:txbxContent>
                                <w:p>
                                  <w:pPr/>
                                  <w:r>
                                    <w:rPr>
                                      <w:rFonts w:hint="eastAsia"/>
                                    </w:rPr>
                                    <w:t>消声道</w:t>
                                  </w:r>
                                </w:p>
                              </w:txbxContent>
                            </wps:txbx>
                            <wps:bodyPr rot="0" vert="horz" wrap="square" lIns="0" tIns="0" rIns="0" bIns="0" anchor="t" anchorCtr="0" upright="1">
                              <a:noAutofit/>
                            </wps:bodyPr>
                          </wps:wsp>
                        </wpg:grpSp>
                        <wps:wsp>
                          <wps:cNvPr id="1221" name="Rectangle 15"/>
                          <wps:cNvSpPr>
                            <a:spLocks noChangeArrowheads="1"/>
                          </wps:cNvSpPr>
                          <wps:spPr bwMode="auto">
                            <a:xfrm>
                              <a:off x="1783" y="881"/>
                              <a:ext cx="263" cy="146"/>
                            </a:xfrm>
                            <a:prstGeom prst="rect">
                              <a:avLst/>
                            </a:prstGeom>
                            <a:solidFill>
                              <a:srgbClr val="FFFFFF"/>
                            </a:solidFill>
                            <a:ln>
                              <a:noFill/>
                            </a:ln>
                          </wps:spPr>
                          <wps:bodyPr rot="0" vert="horz" wrap="square" lIns="0" tIns="0" rIns="0" bIns="0" anchor="t" anchorCtr="0" upright="1">
                            <a:noAutofit/>
                          </wps:bodyPr>
                        </wps:wsp>
                        <wpg:grpSp>
                          <wpg:cNvPr id="1222" name="Group 16"/>
                          <wpg:cNvGrpSpPr/>
                          <wpg:grpSpPr>
                            <a:xfrm rot="-5400000">
                              <a:off x="1659" y="908"/>
                              <a:ext cx="130" cy="115"/>
                              <a:chOff x="0" y="0"/>
                              <a:chExt cx="254" cy="194"/>
                            </a:xfrm>
                          </wpg:grpSpPr>
                          <wps:wsp>
                            <wps:cNvPr id="1223" name="Line 17"/>
                            <wps:cNvCnPr>
                              <a:cxnSpLocks noChangeShapeType="1"/>
                            </wps:cNvCnPr>
                            <wps:spPr bwMode="auto">
                              <a:xfrm flipV="1">
                                <a:off x="0" y="0"/>
                                <a:ext cx="254" cy="1"/>
                              </a:xfrm>
                              <a:prstGeom prst="line">
                                <a:avLst/>
                              </a:prstGeom>
                              <a:noFill/>
                              <a:ln w="57150" cmpd="thickThin">
                                <a:solidFill>
                                  <a:srgbClr val="000000"/>
                                </a:solidFill>
                                <a:round/>
                              </a:ln>
                            </wps:spPr>
                            <wps:bodyPr/>
                          </wps:wsp>
                          <wps:wsp>
                            <wps:cNvPr id="1224" name="Line 18"/>
                            <wps:cNvCnPr>
                              <a:cxnSpLocks noChangeShapeType="1"/>
                            </wps:cNvCnPr>
                            <wps:spPr bwMode="auto">
                              <a:xfrm>
                                <a:off x="233" y="1"/>
                                <a:ext cx="0" cy="193"/>
                              </a:xfrm>
                              <a:prstGeom prst="line">
                                <a:avLst/>
                              </a:prstGeom>
                              <a:noFill/>
                              <a:ln w="57150" cmpd="thickThin">
                                <a:solidFill>
                                  <a:srgbClr val="000000"/>
                                </a:solidFill>
                                <a:round/>
                              </a:ln>
                            </wps:spPr>
                            <wps:bodyPr/>
                          </wps:wsp>
                        </wpg:grpSp>
                        <wps:wsp>
                          <wps:cNvPr id="1225" name="Rectangle 19"/>
                          <wps:cNvSpPr>
                            <a:spLocks noChangeArrowheads="1"/>
                          </wps:cNvSpPr>
                          <wps:spPr bwMode="auto">
                            <a:xfrm>
                              <a:off x="1191" y="716"/>
                              <a:ext cx="629" cy="231"/>
                            </a:xfrm>
                            <a:prstGeom prst="rect">
                              <a:avLst/>
                            </a:prstGeom>
                            <a:noFill/>
                            <a:ln>
                              <a:noFill/>
                            </a:ln>
                          </wps:spPr>
                          <wps:txbx>
                            <w:txbxContent>
                              <w:p>
                                <w:pPr/>
                                <w:r>
                                  <w:rPr>
                                    <w:rFonts w:hint="eastAsia"/>
                                  </w:rPr>
                                  <w:t>消声道</w:t>
                                </w:r>
                              </w:p>
                            </w:txbxContent>
                          </wps:txbx>
                          <wps:bodyPr rot="0" vert="horz" wrap="square" lIns="0" tIns="0" rIns="0" bIns="0" anchor="t" anchorCtr="0" upright="1">
                            <a:noAutofit/>
                          </wps:bodyPr>
                        </wps:wsp>
                      </wpg:grpSp>
                      <wps:wsp>
                        <wps:cNvPr id="1226" name="Rectangle 20" descr="浅色下对角线"/>
                        <wps:cNvSpPr>
                          <a:spLocks noChangeArrowheads="1"/>
                        </wps:cNvSpPr>
                        <wps:spPr bwMode="auto">
                          <a:xfrm>
                            <a:off x="2974806" y="238830"/>
                            <a:ext cx="1656542" cy="67994"/>
                          </a:xfrm>
                          <a:prstGeom prst="rect">
                            <a:avLst/>
                          </a:prstGeom>
                          <a:pattFill prst="ltDnDiag">
                            <a:fgClr>
                              <a:srgbClr val="000000"/>
                            </a:fgClr>
                            <a:bgClr>
                              <a:srgbClr val="FFFFFF"/>
                            </a:bgClr>
                          </a:pattFill>
                          <a:ln w="6350">
                            <a:solidFill>
                              <a:srgbClr val="000000"/>
                            </a:solidFill>
                            <a:miter lim="800000"/>
                          </a:ln>
                        </wps:spPr>
                        <wps:bodyPr rot="0" vert="horz" wrap="square" lIns="0" tIns="0" rIns="0" bIns="0" anchor="t" anchorCtr="0" upright="1">
                          <a:noAutofit/>
                        </wps:bodyPr>
                      </wps:wsp>
                      <wps:wsp>
                        <wps:cNvPr id="1227" name="Rectangle 21" descr="瓦形"/>
                        <wps:cNvSpPr>
                          <a:spLocks noChangeArrowheads="1"/>
                        </wps:cNvSpPr>
                        <wps:spPr bwMode="auto">
                          <a:xfrm>
                            <a:off x="2975656" y="311924"/>
                            <a:ext cx="1656542" cy="208233"/>
                          </a:xfrm>
                          <a:prstGeom prst="rect">
                            <a:avLst/>
                          </a:prstGeom>
                          <a:pattFill prst="shingle">
                            <a:fgClr>
                              <a:srgbClr val="000000"/>
                            </a:fgClr>
                            <a:bgClr>
                              <a:srgbClr val="FFFFFF"/>
                            </a:bgClr>
                          </a:pattFill>
                          <a:ln w="6350">
                            <a:solidFill>
                              <a:srgbClr val="000000"/>
                            </a:solidFill>
                            <a:miter lim="800000"/>
                          </a:ln>
                        </wps:spPr>
                        <wps:bodyPr rot="0" vert="horz" wrap="square" lIns="0" tIns="0" rIns="0" bIns="0" anchor="t" anchorCtr="0" upright="1">
                          <a:noAutofit/>
                        </wps:bodyPr>
                      </wps:wsp>
                      <wps:wsp>
                        <wps:cNvPr id="1228" name="Rectangle 22"/>
                        <wps:cNvSpPr>
                          <a:spLocks noChangeArrowheads="1"/>
                        </wps:cNvSpPr>
                        <wps:spPr bwMode="auto">
                          <a:xfrm>
                            <a:off x="2975656" y="521857"/>
                            <a:ext cx="1656542" cy="208233"/>
                          </a:xfrm>
                          <a:prstGeom prst="rect">
                            <a:avLst/>
                          </a:prstGeom>
                          <a:solidFill>
                            <a:srgbClr val="FFFFFF"/>
                          </a:solidFill>
                          <a:ln w="6350">
                            <a:solidFill>
                              <a:srgbClr val="000000"/>
                            </a:solidFill>
                            <a:miter lim="800000"/>
                          </a:ln>
                        </wps:spPr>
                        <wps:txbx>
                          <w:txbxContent>
                            <w:p>
                              <w:pPr/>
                            </w:p>
                          </w:txbxContent>
                        </wps:txbx>
                        <wps:bodyPr rot="0" vert="horz" wrap="square" lIns="0" tIns="0" rIns="0" bIns="0" anchor="t" anchorCtr="0" upright="1">
                          <a:noAutofit/>
                        </wps:bodyPr>
                      </wps:wsp>
                      <wps:wsp>
                        <wps:cNvPr id="1229" name="Rectangle 23" descr="小网格"/>
                        <wps:cNvSpPr>
                          <a:spLocks noChangeArrowheads="1"/>
                        </wps:cNvSpPr>
                        <wps:spPr bwMode="auto">
                          <a:xfrm>
                            <a:off x="2974806" y="732639"/>
                            <a:ext cx="1656542" cy="105391"/>
                          </a:xfrm>
                          <a:prstGeom prst="rect">
                            <a:avLst/>
                          </a:prstGeom>
                          <a:pattFill prst="smGrid">
                            <a:fgClr>
                              <a:srgbClr val="000000"/>
                            </a:fgClr>
                            <a:bgClr>
                              <a:srgbClr val="FFFFFF"/>
                            </a:bgClr>
                          </a:pattFill>
                          <a:ln w="6350">
                            <a:solidFill>
                              <a:srgbClr val="000000"/>
                            </a:solidFill>
                            <a:miter lim="800000"/>
                          </a:ln>
                        </wps:spPr>
                        <wps:bodyPr rot="0" vert="horz" wrap="square" lIns="0" tIns="0" rIns="0" bIns="0" anchor="t" anchorCtr="0" upright="1">
                          <a:noAutofit/>
                        </wps:bodyPr>
                      </wps:wsp>
                      <wps:wsp>
                        <wps:cNvPr id="1230" name="Rectangle 24" descr="50%"/>
                        <wps:cNvSpPr>
                          <a:spLocks noChangeArrowheads="1"/>
                        </wps:cNvSpPr>
                        <wps:spPr bwMode="auto">
                          <a:xfrm>
                            <a:off x="2974806" y="841430"/>
                            <a:ext cx="1657392" cy="73944"/>
                          </a:xfrm>
                          <a:prstGeom prst="rect">
                            <a:avLst/>
                          </a:prstGeom>
                          <a:pattFill prst="pct50">
                            <a:fgClr>
                              <a:srgbClr val="000000"/>
                            </a:fgClr>
                            <a:bgClr>
                              <a:srgbClr val="FFFFFF"/>
                            </a:bgClr>
                          </a:pattFill>
                          <a:ln w="6350">
                            <a:solidFill>
                              <a:srgbClr val="000000"/>
                            </a:solidFill>
                            <a:miter lim="800000"/>
                          </a:ln>
                        </wps:spPr>
                        <wps:bodyPr rot="0" vert="horz" wrap="square" lIns="0" tIns="0" rIns="0" bIns="0" anchor="t" anchorCtr="0" upright="1">
                          <a:noAutofit/>
                        </wps:bodyPr>
                      </wps:wsp>
                      <wps:wsp>
                        <wps:cNvPr id="1231" name="Rectangle 25"/>
                        <wps:cNvSpPr>
                          <a:spLocks noChangeArrowheads="1"/>
                        </wps:cNvSpPr>
                        <wps:spPr bwMode="auto">
                          <a:xfrm>
                            <a:off x="4958576" y="547355"/>
                            <a:ext cx="431772" cy="188684"/>
                          </a:xfrm>
                          <a:prstGeom prst="rect">
                            <a:avLst/>
                          </a:prstGeom>
                          <a:noFill/>
                          <a:ln>
                            <a:noFill/>
                          </a:ln>
                        </wps:spPr>
                        <wps:txbx>
                          <w:txbxContent>
                            <w:p>
                              <w:pPr/>
                              <w:r>
                                <w:rPr>
                                  <w:rFonts w:hint="eastAsia"/>
                                </w:rPr>
                                <w:t>空气层</w:t>
                              </w:r>
                            </w:p>
                          </w:txbxContent>
                        </wps:txbx>
                        <wps:bodyPr rot="0" vert="horz" wrap="square" lIns="0" tIns="0" rIns="0" bIns="0" anchor="t" anchorCtr="0" upright="1">
                          <a:noAutofit/>
                        </wps:bodyPr>
                      </wps:wsp>
                      <wps:wsp>
                        <wps:cNvPr id="1232" name="Line 26"/>
                        <wps:cNvCnPr>
                          <a:cxnSpLocks noChangeShapeType="1"/>
                        </wps:cNvCnPr>
                        <wps:spPr bwMode="auto">
                          <a:xfrm flipH="1">
                            <a:off x="4489407" y="640847"/>
                            <a:ext cx="475969" cy="850"/>
                          </a:xfrm>
                          <a:prstGeom prst="line">
                            <a:avLst/>
                          </a:prstGeom>
                          <a:noFill/>
                          <a:ln w="6350">
                            <a:solidFill>
                              <a:srgbClr val="000000"/>
                            </a:solidFill>
                            <a:prstDash val="dash"/>
                            <a:round/>
                            <a:tailEnd type="triangle" w="sm" len="sm"/>
                          </a:ln>
                        </wps:spPr>
                        <wps:bodyPr/>
                      </wps:wsp>
                      <wps:wsp>
                        <wps:cNvPr id="1233" name="Rectangle 27"/>
                        <wps:cNvSpPr>
                          <a:spLocks noChangeArrowheads="1"/>
                        </wps:cNvSpPr>
                        <wps:spPr bwMode="auto">
                          <a:xfrm>
                            <a:off x="4951776" y="324673"/>
                            <a:ext cx="431772" cy="190384"/>
                          </a:xfrm>
                          <a:prstGeom prst="rect">
                            <a:avLst/>
                          </a:prstGeom>
                          <a:noFill/>
                          <a:ln>
                            <a:noFill/>
                          </a:ln>
                        </wps:spPr>
                        <wps:txbx>
                          <w:txbxContent>
                            <w:p>
                              <w:pPr/>
                              <w:r>
                                <w:rPr>
                                  <w:rFonts w:hint="eastAsia"/>
                                </w:rPr>
                                <w:t>玻璃棉</w:t>
                              </w:r>
                            </w:p>
                          </w:txbxContent>
                        </wps:txbx>
                        <wps:bodyPr rot="0" vert="horz" wrap="square" lIns="0" tIns="0" rIns="0" bIns="0" anchor="t" anchorCtr="0" upright="1">
                          <a:noAutofit/>
                        </wps:bodyPr>
                      </wps:wsp>
                      <wps:wsp>
                        <wps:cNvPr id="1234" name="Rectangle 28"/>
                        <wps:cNvSpPr>
                          <a:spLocks noChangeArrowheads="1"/>
                        </wps:cNvSpPr>
                        <wps:spPr bwMode="auto">
                          <a:xfrm>
                            <a:off x="4963676" y="128339"/>
                            <a:ext cx="431772" cy="189534"/>
                          </a:xfrm>
                          <a:prstGeom prst="rect">
                            <a:avLst/>
                          </a:prstGeom>
                          <a:noFill/>
                          <a:ln>
                            <a:noFill/>
                          </a:ln>
                        </wps:spPr>
                        <wps:txbx>
                          <w:txbxContent>
                            <w:p>
                              <w:pPr/>
                              <w:r>
                                <w:rPr>
                                  <w:rFonts w:hint="eastAsia"/>
                                </w:rPr>
                                <w:t>钢网</w:t>
                              </w:r>
                            </w:p>
                          </w:txbxContent>
                        </wps:txbx>
                        <wps:bodyPr rot="0" vert="horz" wrap="square" lIns="0" tIns="0" rIns="0" bIns="0" anchor="t" anchorCtr="0" upright="1">
                          <a:noAutofit/>
                        </wps:bodyPr>
                      </wps:wsp>
                      <wps:wsp>
                        <wps:cNvPr id="1235" name="Rectangle 29"/>
                        <wps:cNvSpPr>
                          <a:spLocks noChangeArrowheads="1"/>
                        </wps:cNvSpPr>
                        <wps:spPr bwMode="auto">
                          <a:xfrm>
                            <a:off x="4983224" y="705441"/>
                            <a:ext cx="431772" cy="190384"/>
                          </a:xfrm>
                          <a:prstGeom prst="rect">
                            <a:avLst/>
                          </a:prstGeom>
                          <a:noFill/>
                          <a:ln>
                            <a:noFill/>
                          </a:ln>
                        </wps:spPr>
                        <wps:txbx>
                          <w:txbxContent>
                            <w:p>
                              <w:pPr/>
                              <w:r>
                                <w:rPr>
                                  <w:rFonts w:hint="eastAsia"/>
                                </w:rPr>
                                <w:t>阻尼</w:t>
                              </w:r>
                            </w:p>
                          </w:txbxContent>
                        </wps:txbx>
                        <wps:bodyPr rot="0" vert="horz" wrap="square" lIns="0" tIns="0" rIns="0" bIns="0" anchor="t" anchorCtr="0" upright="1">
                          <a:noAutofit/>
                        </wps:bodyPr>
                      </wps:wsp>
                      <wps:wsp>
                        <wps:cNvPr id="1236" name="Rectangle 30"/>
                        <wps:cNvSpPr>
                          <a:spLocks noChangeArrowheads="1"/>
                        </wps:cNvSpPr>
                        <wps:spPr bwMode="auto">
                          <a:xfrm>
                            <a:off x="5001923" y="901775"/>
                            <a:ext cx="431772" cy="190384"/>
                          </a:xfrm>
                          <a:prstGeom prst="rect">
                            <a:avLst/>
                          </a:prstGeom>
                          <a:noFill/>
                          <a:ln>
                            <a:noFill/>
                          </a:ln>
                        </wps:spPr>
                        <wps:txbx>
                          <w:txbxContent>
                            <w:p>
                              <w:pPr/>
                              <w:r>
                                <w:rPr>
                                  <w:rFonts w:hint="eastAsia"/>
                                </w:rPr>
                                <w:t>钢板</w:t>
                              </w:r>
                            </w:p>
                          </w:txbxContent>
                        </wps:txbx>
                        <wps:bodyPr rot="0" vert="horz" wrap="square" lIns="0" tIns="0" rIns="0" bIns="0" anchor="t" anchorCtr="0" upright="1">
                          <a:noAutofit/>
                        </wps:bodyPr>
                      </wps:wsp>
                      <wps:wsp>
                        <wps:cNvPr id="1237" name="Line 31"/>
                        <wps:cNvCnPr>
                          <a:cxnSpLocks noChangeShapeType="1"/>
                        </wps:cNvCnPr>
                        <wps:spPr bwMode="auto">
                          <a:xfrm flipH="1" flipV="1">
                            <a:off x="4520855" y="889026"/>
                            <a:ext cx="501467" cy="113891"/>
                          </a:xfrm>
                          <a:prstGeom prst="line">
                            <a:avLst/>
                          </a:prstGeom>
                          <a:noFill/>
                          <a:ln w="6350">
                            <a:solidFill>
                              <a:srgbClr val="000000"/>
                            </a:solidFill>
                            <a:prstDash val="dash"/>
                            <a:round/>
                            <a:tailEnd type="triangle" w="sm" len="sm"/>
                          </a:ln>
                        </wps:spPr>
                        <wps:bodyPr/>
                      </wps:wsp>
                      <wps:wsp>
                        <wps:cNvPr id="1238" name="Line 32"/>
                        <wps:cNvCnPr>
                          <a:cxnSpLocks noChangeShapeType="1"/>
                        </wps:cNvCnPr>
                        <wps:spPr bwMode="auto">
                          <a:xfrm flipH="1" flipV="1">
                            <a:off x="4514055" y="787885"/>
                            <a:ext cx="475969" cy="12749"/>
                          </a:xfrm>
                          <a:prstGeom prst="line">
                            <a:avLst/>
                          </a:prstGeom>
                          <a:noFill/>
                          <a:ln w="6350">
                            <a:solidFill>
                              <a:srgbClr val="000000"/>
                            </a:solidFill>
                            <a:prstDash val="dash"/>
                            <a:round/>
                            <a:tailEnd type="triangle" w="sm" len="sm"/>
                          </a:ln>
                        </wps:spPr>
                        <wps:bodyPr/>
                      </wps:wsp>
                      <wps:wsp>
                        <wps:cNvPr id="1239" name="Line 33"/>
                        <wps:cNvCnPr>
                          <a:cxnSpLocks noChangeShapeType="1"/>
                        </wps:cNvCnPr>
                        <wps:spPr bwMode="auto">
                          <a:xfrm flipH="1">
                            <a:off x="4488557" y="432614"/>
                            <a:ext cx="482768" cy="19548"/>
                          </a:xfrm>
                          <a:prstGeom prst="line">
                            <a:avLst/>
                          </a:prstGeom>
                          <a:noFill/>
                          <a:ln w="6350">
                            <a:solidFill>
                              <a:srgbClr val="000000"/>
                            </a:solidFill>
                            <a:prstDash val="dash"/>
                            <a:round/>
                            <a:tailEnd type="triangle" w="sm" len="sm"/>
                          </a:ln>
                        </wps:spPr>
                        <wps:bodyPr/>
                      </wps:wsp>
                      <wps:wsp>
                        <wps:cNvPr id="1240" name="Line 34"/>
                        <wps:cNvCnPr>
                          <a:cxnSpLocks noChangeShapeType="1"/>
                        </wps:cNvCnPr>
                        <wps:spPr bwMode="auto">
                          <a:xfrm flipH="1">
                            <a:off x="4437560" y="249029"/>
                            <a:ext cx="483618" cy="18698"/>
                          </a:xfrm>
                          <a:prstGeom prst="line">
                            <a:avLst/>
                          </a:prstGeom>
                          <a:noFill/>
                          <a:ln w="6350">
                            <a:solidFill>
                              <a:srgbClr val="000000"/>
                            </a:solidFill>
                            <a:prstDash val="dash"/>
                            <a:round/>
                            <a:tailEnd type="triangle" w="sm" len="sm"/>
                          </a:ln>
                        </wps:spPr>
                        <wps:bodyPr/>
                      </wps:wsp>
                      <wps:wsp>
                        <wps:cNvPr id="1241" name="Rectangle 35"/>
                        <wps:cNvSpPr>
                          <a:spLocks noChangeArrowheads="1"/>
                        </wps:cNvSpPr>
                        <wps:spPr bwMode="auto">
                          <a:xfrm>
                            <a:off x="3535769" y="1086210"/>
                            <a:ext cx="468319" cy="200583"/>
                          </a:xfrm>
                          <a:prstGeom prst="rect">
                            <a:avLst/>
                          </a:prstGeom>
                          <a:noFill/>
                          <a:ln>
                            <a:noFill/>
                          </a:ln>
                        </wps:spPr>
                        <wps:txbx>
                          <w:txbxContent>
                            <w:p>
                              <w:pPr/>
                              <w:r>
                                <w:rPr>
                                  <w:rFonts w:hint="eastAsia"/>
                                </w:rPr>
                                <w:t>玻璃棉</w:t>
                              </w:r>
                            </w:p>
                          </w:txbxContent>
                        </wps:txbx>
                        <wps:bodyPr rot="0" vert="horz" wrap="square" lIns="0" tIns="0" rIns="0" bIns="0" anchor="t" anchorCtr="0" upright="1">
                          <a:noAutofit/>
                        </wps:bodyPr>
                      </wps:wsp>
                      <wps:wsp>
                        <wps:cNvPr id="1242" name="Rectangle 36"/>
                        <wps:cNvSpPr>
                          <a:spLocks noChangeArrowheads="1"/>
                        </wps:cNvSpPr>
                        <wps:spPr bwMode="auto">
                          <a:xfrm>
                            <a:off x="1155075" y="1132106"/>
                            <a:ext cx="849944" cy="191234"/>
                          </a:xfrm>
                          <a:prstGeom prst="rect">
                            <a:avLst/>
                          </a:prstGeom>
                          <a:noFill/>
                          <a:ln>
                            <a:noFill/>
                          </a:ln>
                        </wps:spPr>
                        <wps:txbx>
                          <w:txbxContent>
                            <w:p>
                              <w:pPr/>
                              <w:r>
                                <w:rPr>
                                  <w:rFonts w:hint="eastAsia"/>
                                </w:rPr>
                                <w:t>整体隔声罩</w:t>
                              </w:r>
                            </w:p>
                          </w:txbxContent>
                        </wps:txbx>
                        <wps:bodyPr rot="0" vert="horz" wrap="square" lIns="0" tIns="0" rIns="0" bIns="0" anchor="t" anchorCtr="0" upright="1">
                          <a:noAutofit/>
                        </wps:bodyPr>
                      </wps:wsp>
                      <wps:wsp>
                        <wps:cNvPr id="1243" name="Line 37"/>
                        <wps:cNvCnPr>
                          <a:cxnSpLocks noChangeShapeType="1"/>
                        </wps:cNvCnPr>
                        <wps:spPr bwMode="auto">
                          <a:xfrm flipH="1">
                            <a:off x="2294000" y="526106"/>
                            <a:ext cx="625559" cy="65445"/>
                          </a:xfrm>
                          <a:prstGeom prst="line">
                            <a:avLst/>
                          </a:prstGeom>
                          <a:noFill/>
                          <a:ln w="6350">
                            <a:solidFill>
                              <a:srgbClr val="000000"/>
                            </a:solidFill>
                            <a:prstDash val="dash"/>
                            <a:round/>
                            <a:tailEnd type="triangle" w="sm" len="sm"/>
                          </a:ln>
                        </wps:spPr>
                        <wps:bodyPr/>
                      </wps:wsp>
                    </wpg:wgp>
                  </a:graphicData>
                </a:graphic>
              </wp:anchor>
            </w:drawing>
          </mc:Choice>
          <mc:Fallback>
            <w:pict>
              <v:group id="画布 85" o:spid="_x0000_s1026" o:spt="203" style="position:absolute;left:0pt;margin-left:18pt;margin-top:0pt;height:104.2pt;width:405pt;mso-position-horizontal-relative:char;mso-position-vertical-relative:line;z-index:251589632;mso-width-relative:page;mso-height-relative:page;" coordsize="5433695,1323340" o:gfxdata="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">
                <o:lock v:ext="edit" aspectratio="f"/>
                <v:rect id="Picture 166" o:spid="_x0000_s1026" o:spt="1" style="position:absolute;left:0;top:0;height:1323340;width:5433695;" filled="f" stroked="t" coordsize="21600,21600" o:gfxdata="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7yjhvQAA&#10;ANwAAAAPAAAAAAAAAAEAIAAAACIAAABkcnMvZG93bnJldi54bWxQSwECFAAUAAAACACHTuJAMy8F&#10;njsAAAA5AAAAEAAAAAAAAAABACAAAAAMAQAAZHJzL3NoYXBleG1sLnhtbFBLBQYAAAAABgAGAFsB&#10;AAC2AwAAAAA=&#10;">
                  <v:fill on="f" focussize="0,0"/>
                  <v:stroke weight="1.5pt" color="#000000" miterlimit="8" joinstyle="miter"/>
                  <v:imagedata o:title=""/>
                  <o:lock v:ext="edit" aspectratio="t"/>
                </v:rect>
                <v:shape id="Text Box 4" o:spid="_x0000_s1026" o:spt="202" type="#_x0000_t202" style="position:absolute;left:1431306;top:366320;height:309374;width:458970;" fillcolor="#FFFFFF" filled="t" stroked="t" coordsize="21600,21600" o:gfxdata="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yZ1dFugAAANwA&#10;AAAPAAAAAAAAAAEAIAAAACIAAABkcnMvZG93bnJldi54bWxQSwECFAAUAAAACACHTuJAMy8FnjsA&#10;AAA5AAAAEAAAAAAAAAABACAAAAAJAQAAZHJzL3NoYXBleG1sLnhtbFBLBQYAAAAABgAGAFsBAACz&#10;AwAAAAA=&#10;">
                  <v:fill on="t" focussize="0,0"/>
                  <v:stroke weight="0.5pt" color="#000000" miterlimit="8" joinstyle="miter"/>
                  <v:imagedata o:title=""/>
                  <o:lock v:ext="edit" aspectratio="f"/>
                  <v:textbox inset="0mm,0mm,0mm,0mm">
                    <w:txbxContent>
                      <w:p>
                        <w:pPr/>
                      </w:p>
                    </w:txbxContent>
                  </v:textbox>
                </v:shape>
                <v:rect id="Rectangle 5" o:spid="_x0000_s1026" o:spt="1" style="position:absolute;left:101993;top:27198;height:197184;width:677406;" fillcolor="#FFFFFF" filled="t" stroked="f" coordsize="21600,21600" o:gfxdata="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IQeUBugAAANwA&#10;AAAPAAAAAAAAAAEAIAAAACIAAABkcnMvZG93bnJldi54bWxQSwECFAAUAAAACACHTuJAMy8FnjsA&#10;AAA5AAAAEAAAAAAAAAABACAAAAAJAQAAZHJzL3NoYXBleG1sLnhtbFBLBQYAAAAABgAGAFsBAACz&#10;AwAAAAA=&#10;">
                  <v:fill on="t" focussize="0,0"/>
                  <v:stroke on="f"/>
                  <v:imagedata o:title=""/>
                  <o:lock v:ext="edit" aspectratio="f"/>
                  <v:textbox inset="0mm,0mm,0mm,0mm">
                    <w:txbxContent>
                      <w:p>
                        <w:pPr/>
                        <w:r>
                          <w:rPr>
                            <w:rFonts w:hint="eastAsia"/>
                          </w:rPr>
                          <w:t>整体隔声罩</w:t>
                        </w:r>
                      </w:p>
                    </w:txbxContent>
                  </v:textbox>
                </v:rect>
                <v:shape id="AutoShape 6" o:spid="_x0000_s1026" o:spt="32" type="#_x0000_t32" style="position:absolute;left:440690;top:224155;height:349250;width:431800;" filled="f" stroked="t" coordsize="21600,21600" o:gfxdata="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S8VnvQAA&#10;ANwAAAAPAAAAAAAAAAEAIAAAACIAAABkcnMvZG93bnJldi54bWxQSwECFAAUAAAACACHTuJAMy8F&#10;njsAAAA5AAAAEAAAAAAAAAABACAAAAAMAQAAZHJzL3NoYXBleG1sLnhtbFBLBQYAAAAABgAGAFsB&#10;AAC2AwAAAAA=&#10;">
                  <v:fill on="f" focussize="0,0"/>
                  <v:stroke weight="0.5pt" color="#000000" joinstyle="round" dashstyle="dash" endarrow="block" endarrowwidth="narrow"/>
                  <v:imagedata o:title=""/>
                  <o:lock v:ext="edit" aspectratio="f"/>
                </v:shape>
                <v:group id="Group 7" o:spid="_x0000_s1026" o:spt="203" style="position:absolute;left:758150;top:86693;height:973169;width:1739836;" coordsize="2046,1145" o:gfxdata="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WWGIpvAAAANwAAAAPAAAAAAAAAAEAIAAAACIAAABkcnMvZG93bnJldi54bWxQ&#10;SwECFAAUAAAACACHTuJAMy8FnjsAAAA5AAAAFQAAAAAAAAABACAAAAALAQAAZHJzL2dyb3Vwc2hh&#10;cGV4bWwueG1sUEsFBgAAAAAGAAYAYAEAAMgDAAAAAA==&#10;">
                  <o:lock v:ext="edit" aspectratio="f"/>
                  <v:shape id="Text Box 8" o:spid="_x0000_s1026" o:spt="202" type="#_x0000_t202" style="position:absolute;left:179;top:0;height:1145;width:1695;" filled="f" stroked="t" coordsize="21600,21600" o:gfxdata="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htvQAA&#10;ANwAAAAPAAAAAAAAAAEAIAAAACIAAABkcnMvZG93bnJldi54bWxQSwECFAAUAAAACACHTuJAMy8F&#10;njsAAAA5AAAAEAAAAAAAAAABACAAAAAMAQAAZHJzL3NoYXBleG1sLnhtbFBLBQYAAAAABgAGAFsB&#10;AAC2AwAAAAA=&#10;">
                    <v:fill on="f" focussize="0,0"/>
                    <v:stroke weight="6pt" color="#000000" linestyle="thickBetweenThin" miterlimit="8" joinstyle="miter"/>
                    <v:imagedata o:title=""/>
                    <o:lock v:ext="edit" aspectratio="f"/>
                    <v:textbox inset="0mm,0mm,0mm,0mm">
                      <w:txbxContent>
                        <w:p>
                          <w:pPr/>
                        </w:p>
                      </w:txbxContent>
                    </v:textbox>
                  </v:shape>
                  <v:group id="Group 9" o:spid="_x0000_s1026" o:spt="203" style="position:absolute;left:0;top:759;height:296;width:910;" coordsize="910,296" o:gfxdata="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EnGWcW7AAAA3AAAAA8AAAAAAAAAAQAgAAAAIgAAAGRycy9kb3ducmV2LnhtbFBL&#10;AQIUABQAAAAIAIdO4kAzLwWeOwAAADkAAAAVAAAAAAAAAAEAIAAAAAoBAABkcnMvZ3JvdXBzaGFw&#10;ZXhtbC54bWxQSwUGAAAAAAYABgBgAQAAxwMAAAAA&#10;">
                    <o:lock v:ext="edit" aspectratio="f"/>
                    <v:rect id="Rectangle 10" o:spid="_x0000_s1026" o:spt="1" style="position:absolute;left:0;top:147;height:149;width:237;" fillcolor="#FFFFFF" filled="t" stroked="f" coordsize="21600,21600" o:gfxdata="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tmOO65AAAA3QAA&#10;AA8AAAAAAAAAAQAgAAAAIgAAAGRycy9kb3ducmV2LnhtbFBLAQIUABQAAAAIAIdO4kAzLwWeOwAA&#10;ADkAAAAQAAAAAAAAAAEAIAAAAAgBAABkcnMvc2hhcGV4bWwueG1sUEsFBgAAAAAGAAYAWwEAALID&#10;AAAAAA==&#10;">
                      <v:fill on="t" focussize="0,0"/>
                      <v:stroke on="f"/>
                      <v:imagedata o:title=""/>
                      <o:lock v:ext="edit" aspectratio="f"/>
                      <v:textbox inset="0mm,0mm,0mm,0mm"/>
                    </v:rect>
                    <v:group id="Group 11" o:spid="_x0000_s1026" o:spt="203" style="position:absolute;left:237;top:191;height:98;width:102;" coordsize="254,194" o:gfxdata="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Ew6DWb0AAADdAAAADwAAAAAAAAABACAAAAAiAAAAZHJzL2Rvd25yZXYueG1s&#10;UEsBAhQAFAAAAAgAh07iQDMvBZ47AAAAOQAAABUAAAAAAAAAAQAgAAAADAEAAGRycy9ncm91cHNo&#10;YXBleG1sLnhtbFBLBQYAAAAABgAGAGABAADJAwAAAAA=&#10;">
                      <o:lock v:ext="edit" aspectratio="f"/>
                      <v:line id="Line 12" o:spid="_x0000_s1026" o:spt="20" style="position:absolute;left:0;top:0;flip:y;height:1;width:254;" filled="f" stroked="t" coordsize="21600,21600" o:gfxdata="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3xIvu/&#10;AAAA3QAAAA8AAAAAAAAAAQAgAAAAIgAAAGRycy9kb3ducmV2LnhtbFBLAQIUABQAAAAIAIdO4kAz&#10;LwWeOwAAADkAAAAQAAAAAAAAAAEAIAAAAA4BAABkcnMvc2hhcGV4bWwueG1sUEsFBgAAAAAGAAYA&#10;WwEAALgDAAAAAA==&#10;">
                        <v:fill on="f" focussize="0,0"/>
                        <v:stroke weight="4.5pt" color="#000000" linestyle="thickThin" joinstyle="round"/>
                        <v:imagedata o:title=""/>
                        <o:lock v:ext="edit" aspectratio="f"/>
                      </v:line>
                      <v:line id="Line 13" o:spid="_x0000_s1026" o:spt="20" style="position:absolute;left:233;top:1;height:193;width:0;" filled="f" stroked="t" coordsize="21600,21600" o:gfxdata="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s6gVrsAAADd&#10;AAAADwAAAAAAAAABACAAAAAiAAAAZHJzL2Rvd25yZXYueG1sUEsBAhQAFAAAAAgAh07iQDMvBZ47&#10;AAAAOQAAABAAAAAAAAAAAQAgAAAACgEAAGRycy9zaGFwZXhtbC54bWxQSwUGAAAAAAYABgBbAQAA&#10;tAMAAAAA&#10;">
                        <v:fill on="f" focussize="0,0"/>
                        <v:stroke weight="4.5pt" color="#000000" linestyle="thickThin" joinstyle="round"/>
                        <v:imagedata o:title=""/>
                        <o:lock v:ext="edit" aspectratio="f"/>
                      </v:line>
                    </v:group>
                    <v:rect id="Rectangle 14" o:spid="_x0000_s1026" o:spt="1" style="position:absolute;left:344;top:0;height:204;width:566;" filled="f" stroked="f" coordsize="21600,21600" o:gfxdata="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S6Enq/&#10;AAAA3Q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r>
                              <w:rPr>
                                <w:rFonts w:hint="eastAsia"/>
                              </w:rPr>
                              <w:t>消声道</w:t>
                            </w:r>
                          </w:p>
                        </w:txbxContent>
                      </v:textbox>
                    </v:rect>
                  </v:group>
                  <v:rect id="Rectangle 15" o:spid="_x0000_s1026" o:spt="1" style="position:absolute;left:1783;top:881;height:146;width:263;" fillcolor="#FFFFFF" filled="t" stroked="f" coordsize="21600,21600" o:gfxdata="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K42onugAAAN0A&#10;AAAPAAAAAAAAAAEAIAAAACIAAABkcnMvZG93bnJldi54bWxQSwECFAAUAAAACACHTuJAMy8FnjsA&#10;AAA5AAAAEAAAAAAAAAABACAAAAAJAQAAZHJzL3NoYXBleG1sLnhtbFBLBQYAAAAABgAGAFsBAACz&#10;AwAAAAA=&#10;">
                    <v:fill on="t" focussize="0,0"/>
                    <v:stroke on="f"/>
                    <v:imagedata o:title=""/>
                    <o:lock v:ext="edit" aspectratio="f"/>
                    <v:textbox inset="0mm,0mm,0mm,0mm"/>
                  </v:rect>
                  <v:group id="Group 16" o:spid="_x0000_s1026" o:spt="203" style="position:absolute;left:1659;top:908;height:115;width:130;rotation:-5898240f;" coordsize="254,194" o:gfxdata="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9BaAL0AAADdAAAADwAAAAAAAAABACAAAAAiAAAAZHJzL2Rvd25yZXYueG1s&#10;UEsBAhQAFAAAAAgAh07iQDMvBZ47AAAAOQAAABUAAAAAAAAAAQAgAAAADAEAAGRycy9ncm91cHNo&#10;YXBleG1sLnhtbFBLBQYAAAAABgAGAGABAADJAwAAAAA=&#10;">
                    <o:lock v:ext="edit" aspectratio="f"/>
                    <v:line id="Line 17" o:spid="_x0000_s1026" o:spt="20" style="position:absolute;left:0;top:0;flip:y;height:1;width:254;" filled="f" stroked="t" coordsize="21600,21600" o:gfxdata="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Tl6N7sAAADd&#10;AAAADwAAAAAAAAABACAAAAAiAAAAZHJzL2Rvd25yZXYueG1sUEsBAhQAFAAAAAgAh07iQDMvBZ47&#10;AAAAOQAAABAAAAAAAAAAAQAgAAAACgEAAGRycy9zaGFwZXhtbC54bWxQSwUGAAAAAAYABgBbAQAA&#10;tAMAAAAA&#10;">
                      <v:fill on="f" focussize="0,0"/>
                      <v:stroke weight="4.5pt" color="#000000" linestyle="thickThin" joinstyle="round"/>
                      <v:imagedata o:title=""/>
                      <o:lock v:ext="edit" aspectratio="f"/>
                    </v:line>
                    <v:line id="Line 18" o:spid="_x0000_s1026" o:spt="20" style="position:absolute;left:233;top:1;height:193;width:0;" filled="f" stroked="t" coordsize="21600,21600" o:gfxdata="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qPFdbsAAADd&#10;AAAADwAAAAAAAAABACAAAAAiAAAAZHJzL2Rvd25yZXYueG1sUEsBAhQAFAAAAAgAh07iQDMvBZ47&#10;AAAAOQAAABAAAAAAAAAAAQAgAAAACgEAAGRycy9zaGFwZXhtbC54bWxQSwUGAAAAAAYABgBbAQAA&#10;tAMAAAAA&#10;">
                      <v:fill on="f" focussize="0,0"/>
                      <v:stroke weight="4.5pt" color="#000000" linestyle="thickThin" joinstyle="round"/>
                      <v:imagedata o:title=""/>
                      <o:lock v:ext="edit" aspectratio="f"/>
                    </v:line>
                  </v:group>
                  <v:rect id="Rectangle 19" o:spid="_x0000_s1026" o:spt="1" style="position:absolute;left:1191;top:716;height:231;width:629;" filled="f" stroked="f" coordsize="21600,21600" o:gfxdata="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M2x4r4A&#10;AADd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r>
                            <w:rPr>
                              <w:rFonts w:hint="eastAsia"/>
                            </w:rPr>
                            <w:t>消声道</w:t>
                          </w:r>
                        </w:p>
                      </w:txbxContent>
                    </v:textbox>
                  </v:rect>
                </v:group>
                <v:rect id="Rectangle 20" o:spid="_x0000_s1026" o:spt="1" alt="浅色下对角线" style="position:absolute;left:2974806;top:238830;height:67994;width:1656542;" fillcolor="#000000" filled="t" stroked="t" coordsize="21600,21600" o:gfxdata="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H+EzKtwAAAN0AAAAP&#10;AAAAAAAAAAEAIAAAACIAAABkcnMvZG93bnJldi54bWxQSwECFAAUAAAACACHTuJAMy8FnjsAAAA5&#10;AAAAEAAAAAAAAAABACAAAAAGAQAAZHJzL3NoYXBleG1sLnhtbFBLBQYAAAAABgAGAFsBAACwAwAA&#10;AAA=&#10;">
                  <v:fill type="pattern" on="t" color2="#FFFFFF" focussize="0,0" r:id="rId132"/>
                  <v:stroke weight="0.5pt" color="#000000" miterlimit="8" joinstyle="miter"/>
                  <v:imagedata o:title=""/>
                  <o:lock v:ext="edit" aspectratio="f"/>
                  <v:textbox inset="0mm,0mm,0mm,0mm"/>
                </v:rect>
                <v:rect id="Rectangle 21" o:spid="_x0000_s1026" o:spt="1" alt="瓦形" style="position:absolute;left:2975656;top:311924;height:208233;width:1656542;" fillcolor="#000000" filled="t" stroked="t" coordsize="21600,21600" o:gfxdata="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1ITaa8AAAA&#10;3QAAAA8AAAAAAAAAAQAgAAAAIgAAAGRycy9kb3ducmV2LnhtbFBLAQIUABQAAAAIAIdO4kAzLwWe&#10;OwAAADkAAAAQAAAAAAAAAAEAIAAAAAsBAABkcnMvc2hhcGV4bWwueG1sUEsFBgAAAAAGAAYAWwEA&#10;ALUDAAAAAA==&#10;">
                  <v:fill type="pattern" on="t" color2="#FFFFFF" focussize="0,0" r:id="rId133"/>
                  <v:stroke weight="0.5pt" color="#000000" miterlimit="8" joinstyle="miter"/>
                  <v:imagedata o:title=""/>
                  <o:lock v:ext="edit" aspectratio="f"/>
                  <v:textbox inset="0mm,0mm,0mm,0mm"/>
                </v:rect>
                <v:rect id="Rectangle 22" o:spid="_x0000_s1026" o:spt="1" style="position:absolute;left:2975656;top:521857;height:208233;width:1656542;" fillcolor="#FFFFFF" filled="t" stroked="t" coordsize="21600,21600" o:gfxdata="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BBh&#10;YMEAAADdAAAADwAAAAAAAAABACAAAAAiAAAAZHJzL2Rvd25yZXYueG1sUEsBAhQAFAAAAAgAh07i&#10;QDMvBZ47AAAAOQAAABAAAAAAAAAAAQAgAAAAEAEAAGRycy9zaGFwZXhtbC54bWxQSwUGAAAAAAYA&#10;BgBbAQAAugMAAAAA&#10;">
                  <v:fill on="t" focussize="0,0"/>
                  <v:stroke weight="0.5pt" color="#000000" miterlimit="8" joinstyle="miter"/>
                  <v:imagedata o:title=""/>
                  <o:lock v:ext="edit" aspectratio="f"/>
                  <v:textbox inset="0mm,0mm,0mm,0mm">
                    <w:txbxContent>
                      <w:p>
                        <w:pPr/>
                      </w:p>
                    </w:txbxContent>
                  </v:textbox>
                </v:rect>
                <v:rect id="Rectangle 23" o:spid="_x0000_s1026" o:spt="1" alt="小网格" style="position:absolute;left:2974806;top:732639;height:105391;width:1656542;" fillcolor="#000000" filled="t" stroked="t" coordsize="21600,21600" o:gfxdata="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iCPQvQAA&#10;AN0AAAAPAAAAAAAAAAEAIAAAACIAAABkcnMvZG93bnJldi54bWxQSwECFAAUAAAACACHTuJAMy8F&#10;njsAAAA5AAAAEAAAAAAAAAABACAAAAAMAQAAZHJzL3NoYXBleG1sLnhtbFBLBQYAAAAABgAGAFsB&#10;AAC2AwAAAAA=&#10;">
                  <v:fill type="pattern" on="t" color2="#FFFFFF" focussize="0,0" r:id="rId134"/>
                  <v:stroke weight="0.5pt" color="#000000" miterlimit="8" joinstyle="miter"/>
                  <v:imagedata o:title=""/>
                  <o:lock v:ext="edit" aspectratio="f"/>
                  <v:textbox inset="0mm,0mm,0mm,0mm"/>
                </v:rect>
                <v:rect id="Rectangle 24" o:spid="_x0000_s1026" o:spt="1" alt="50%" style="position:absolute;left:2974806;top:841430;height:73944;width:1657392;" fillcolor="#000000" filled="t" stroked="t" coordsize="21600,21600" o:gfxdata="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rg/Uo&#10;wAAAAN0AAAAPAAAAAAAAAAEAIAAAACIAAABkcnMvZG93bnJldi54bWxQSwECFAAUAAAACACHTuJA&#10;My8FnjsAAAA5AAAAEAAAAAAAAAABACAAAAAPAQAAZHJzL3NoYXBleG1sLnhtbFBLBQYAAAAABgAG&#10;AFsBAAC5AwAAAAA=&#10;">
                  <v:fill type="pattern" on="t" color2="#FFFFFF" focussize="0,0" r:id="rId135"/>
                  <v:stroke weight="0.5pt" color="#000000" miterlimit="8" joinstyle="miter"/>
                  <v:imagedata o:title=""/>
                  <o:lock v:ext="edit" aspectratio="f"/>
                  <v:textbox inset="0mm,0mm,0mm,0mm"/>
                </v:rect>
                <v:rect id="Rectangle 25" o:spid="_x0000_s1026" o:spt="1" style="position:absolute;left:4958576;top:547355;height:188684;width:431772;" filled="f" stroked="f" coordsize="21600,21600" o:gfxdata="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4vITy8AAAA&#10;3Q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r>
                          <w:rPr>
                            <w:rFonts w:hint="eastAsia"/>
                          </w:rPr>
                          <w:t>空气层</w:t>
                        </w:r>
                      </w:p>
                    </w:txbxContent>
                  </v:textbox>
                </v:rect>
                <v:line id="Line 26" o:spid="_x0000_s1026" o:spt="20" style="position:absolute;left:4489407;top:640847;flip:x;height:850;width:475969;" filled="f" stroked="t" coordsize="21600,21600" o:gfxdata="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wfXgL4A&#10;AADdAAAADwAAAAAAAAABACAAAAAiAAAAZHJzL2Rvd25yZXYueG1sUEsBAhQAFAAAAAgAh07iQDMv&#10;BZ47AAAAOQAAABAAAAAAAAAAAQAgAAAADQEAAGRycy9zaGFwZXhtbC54bWxQSwUGAAAAAAYABgBb&#10;AQAAtwMAAAAA&#10;">
                  <v:fill on="f" focussize="0,0"/>
                  <v:stroke weight="0.5pt" color="#000000" joinstyle="round" dashstyle="dash" endarrow="block" endarrowwidth="narrow" endarrowlength="short"/>
                  <v:imagedata o:title=""/>
                  <o:lock v:ext="edit" aspectratio="f"/>
                </v:line>
                <v:rect id="Rectangle 27" o:spid="_x0000_s1026" o:spt="1" style="position:absolute;left:4951776;top:324673;height:190384;width:431772;" filled="f" stroked="f" coordsize="21600,21600" o:gfxdata="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bEa0LsAAADd&#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r>
                          <w:rPr>
                            <w:rFonts w:hint="eastAsia"/>
                          </w:rPr>
                          <w:t>玻璃棉</w:t>
                        </w:r>
                      </w:p>
                    </w:txbxContent>
                  </v:textbox>
                </v:rect>
                <v:rect id="Rectangle 28" o:spid="_x0000_s1026" o:spt="1" style="position:absolute;left:4963676;top:128339;height:189534;width:431772;" filled="f" stroked="f" coordsize="21600,21600" o:gfxdata="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WIKkvQAA&#10;AN0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r>
                          <w:rPr>
                            <w:rFonts w:hint="eastAsia"/>
                          </w:rPr>
                          <w:t>钢网</w:t>
                        </w:r>
                      </w:p>
                    </w:txbxContent>
                  </v:textbox>
                </v:rect>
                <v:rect id="Rectangle 29" o:spid="_x0000_s1026" o:spt="1" style="position:absolute;left:4983224;top:705441;height:190384;width:431772;" filled="f" stroked="f" coordsize="21600,21600" o:gfxdata="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FCc/vQAA&#10;AN0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r>
                          <w:rPr>
                            <w:rFonts w:hint="eastAsia"/>
                          </w:rPr>
                          <w:t>阻尼</w:t>
                        </w:r>
                      </w:p>
                    </w:txbxContent>
                  </v:textbox>
                </v:rect>
                <v:rect id="Rectangle 30" o:spid="_x0000_s1026" o:spt="1" style="position:absolute;left:5001923;top:901775;height:190384;width:431772;" filled="f" stroked="f" coordsize="21600,21600" o:gfxdata="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ca5SLsAAADd&#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r>
                          <w:rPr>
                            <w:rFonts w:hint="eastAsia"/>
                          </w:rPr>
                          <w:t>钢板</w:t>
                        </w:r>
                      </w:p>
                    </w:txbxContent>
                  </v:textbox>
                </v:rect>
                <v:line id="Line 31" o:spid="_x0000_s1026" o:spt="20" style="position:absolute;left:4520855;top:889026;flip:x y;height:113891;width:501467;" filled="f" stroked="t" coordsize="21600,21600" o:gfxdata="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gM7pr4A&#10;AADdAAAADwAAAAAAAAABACAAAAAiAAAAZHJzL2Rvd25yZXYueG1sUEsBAhQAFAAAAAgAh07iQDMv&#10;BZ47AAAAOQAAABAAAAAAAAAAAQAgAAAADQEAAGRycy9zaGFwZXhtbC54bWxQSwUGAAAAAAYABgBb&#10;AQAAtwMAAAAA&#10;">
                  <v:fill on="f" focussize="0,0"/>
                  <v:stroke weight="0.5pt" color="#000000" joinstyle="round" dashstyle="dash" endarrow="block" endarrowwidth="narrow" endarrowlength="short"/>
                  <v:imagedata o:title=""/>
                  <o:lock v:ext="edit" aspectratio="f"/>
                </v:line>
                <v:line id="Line 32" o:spid="_x0000_s1026" o:spt="20" style="position:absolute;left:4514055;top:787885;flip:x y;height:12749;width:475969;" filled="f" stroked="t" coordsize="21600,21600" o:gfxdata="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5yv&#10;1MEAAADdAAAADwAAAAAAAAABACAAAAAiAAAAZHJzL2Rvd25yZXYueG1sUEsBAhQAFAAAAAgAh07i&#10;QDMvBZ47AAAAOQAAABAAAAAAAAAAAQAgAAAAEAEAAGRycy9zaGFwZXhtbC54bWxQSwUGAAAAAAYA&#10;BgBbAQAAugMAAAAA&#10;">
                  <v:fill on="f" focussize="0,0"/>
                  <v:stroke weight="0.5pt" color="#000000" joinstyle="round" dashstyle="dash" endarrow="block" endarrowwidth="narrow" endarrowlength="short"/>
                  <v:imagedata o:title=""/>
                  <o:lock v:ext="edit" aspectratio="f"/>
                </v:line>
                <v:line id="Line 33" o:spid="_x0000_s1026" o:spt="20" style="position:absolute;left:4488557;top:432614;flip:x;height:19548;width:482768;" filled="f" stroked="t" coordsize="21600,21600" o:gfxdata="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mjRfG/&#10;AAAA3QAAAA8AAAAAAAAAAQAgAAAAIgAAAGRycy9kb3ducmV2LnhtbFBLAQIUABQAAAAIAIdO4kAz&#10;LwWeOwAAADkAAAAQAAAAAAAAAAEAIAAAAA4BAABkcnMvc2hhcGV4bWwueG1sUEsFBgAAAAAGAAYA&#10;WwEAALgDAAAAAA==&#10;">
                  <v:fill on="f" focussize="0,0"/>
                  <v:stroke weight="0.5pt" color="#000000" joinstyle="round" dashstyle="dash" endarrow="block" endarrowwidth="narrow" endarrowlength="short"/>
                  <v:imagedata o:title=""/>
                  <o:lock v:ext="edit" aspectratio="f"/>
                </v:line>
                <v:line id="Line 34" o:spid="_x0000_s1026" o:spt="20" style="position:absolute;left:4437560;top:249029;flip:x;height:18698;width:483618;" filled="f" stroked="t" coordsize="21600,21600" o:gfxdata="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J+f&#10;EcEAAADdAAAADwAAAAAAAAABACAAAAAiAAAAZHJzL2Rvd25yZXYueG1sUEsBAhQAFAAAAAgAh07i&#10;QDMvBZ47AAAAOQAAABAAAAAAAAAAAQAgAAAAEAEAAGRycy9zaGFwZXhtbC54bWxQSwUGAAAAAAYA&#10;BgBbAQAAugMAAAAA&#10;">
                  <v:fill on="f" focussize="0,0"/>
                  <v:stroke weight="0.5pt" color="#000000" joinstyle="round" dashstyle="dash" endarrow="block" endarrowwidth="narrow" endarrowlength="short"/>
                  <v:imagedata o:title=""/>
                  <o:lock v:ext="edit" aspectratio="f"/>
                </v:line>
                <v:rect id="Rectangle 35" o:spid="_x0000_s1026" o:spt="1" style="position:absolute;left:3535769;top:1086210;height:200583;width:468319;" filled="f" stroked="f" coordsize="21600,21600" o:gfxdata="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YpUkG8AAAA&#10;3Q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r>
                          <w:rPr>
                            <w:rFonts w:hint="eastAsia"/>
                          </w:rPr>
                          <w:t>玻璃棉</w:t>
                        </w:r>
                      </w:p>
                    </w:txbxContent>
                  </v:textbox>
                </v:rect>
                <v:rect id="Rectangle 36" o:spid="_x0000_s1026" o:spt="1" style="position:absolute;left:1155075;top:1132106;height:191234;width:849944;" filled="f" stroked="f" coordsize="21600,21600" o:gfxdata="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vvMNr4A&#10;AADd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r>
                          <w:rPr>
                            <w:rFonts w:hint="eastAsia"/>
                          </w:rPr>
                          <w:t>整体隔声罩</w:t>
                        </w:r>
                      </w:p>
                    </w:txbxContent>
                  </v:textbox>
                </v:rect>
                <v:line id="Line 37" o:spid="_x0000_s1026" o:spt="20" style="position:absolute;left:2294000;top:526106;flip:x;height:65445;width:625559;" filled="f" stroked="t" coordsize="21600,21600" o:gfxdata="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BNAWa/&#10;AAAA3QAAAA8AAAAAAAAAAQAgAAAAIgAAAGRycy9kb3ducmV2LnhtbFBLAQIUABQAAAAIAIdO4kAz&#10;LwWeOwAAADkAAAAQAAAAAAAAAAEAIAAAAA4BAABkcnMvc2hhcGV4bWwueG1sUEsFBgAAAAAGAAYA&#10;WwEAALgDAAAAAA==&#10;">
                  <v:fill on="f" focussize="0,0"/>
                  <v:stroke weight="0.5pt" color="#000000" joinstyle="round" dashstyle="dash" endarrow="block" endarrowwidth="narrow" endarrowlength="short"/>
                  <v:imagedata o:title=""/>
                  <o:lock v:ext="edit" aspectratio="f"/>
                </v:line>
              </v:group>
            </w:pict>
          </mc:Fallback>
        </mc:AlternateContent>
      </w:r>
      <w:r>
        <w:rPr>
          <w:color w:val="auto"/>
        </w:rPr>
        <mc:AlternateContent>
          <mc:Choice Requires="wps">
            <w:drawing>
              <wp:inline distT="0" distB="0" distL="0" distR="0">
                <wp:extent cx="5429250" cy="1323975"/>
                <wp:effectExtent l="0" t="0" r="0" b="0"/>
                <wp:docPr id="26" name="Picture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29250" cy="132397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Picture 33" o:spid="_x0000_s1026" o:spt="1" style="height:104.25pt;width:427.5pt;" filled="f" stroked="f" coordsize="21600,21600" o:gfxdata="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QNpn&#10;GtYAAAAFAQAADwAAAAAAAAABACAAAAAiAAAAZHJzL2Rvd25yZXYueG1sUEsBAhQAFAAAAAgAh07i&#10;QGEZoLPrAQAAxgMAAA4AAAAAAAAAAQAgAAAAJQEAAGRycy9lMm9Eb2MueG1sUEsFBgAAAAAGAAYA&#10;WQEAAIIFAAAAAA==&#10;">
                <v:fill on="f" focussize="0,0"/>
                <v:stroke on="f"/>
                <v:imagedata o:title=""/>
                <o:lock v:ext="edit" aspectratio="t"/>
                <w10:wrap type="none"/>
                <w10:anchorlock/>
              </v:rect>
            </w:pict>
          </mc:Fallback>
        </mc:AlternateContent>
      </w:r>
    </w:p>
    <w:p>
      <w:pPr>
        <w:spacing w:line="360" w:lineRule="auto"/>
        <w:jc w:val="center"/>
        <w:rPr>
          <w:b/>
          <w:color w:val="auto"/>
        </w:rPr>
      </w:pPr>
      <w:r>
        <w:rPr>
          <w:b/>
          <w:color w:val="auto"/>
        </w:rPr>
        <w:t xml:space="preserve">图 </w:t>
      </w:r>
      <w:r>
        <w:rPr>
          <w:b/>
          <w:color w:val="auto"/>
        </w:rPr>
        <w:fldChar w:fldCharType="begin"/>
      </w:r>
      <w:r>
        <w:rPr>
          <w:b/>
          <w:color w:val="auto"/>
        </w:rPr>
        <w:instrText xml:space="preserve"> STYLEREF 2 \s </w:instrText>
      </w:r>
      <w:r>
        <w:rPr>
          <w:b/>
          <w:color w:val="auto"/>
        </w:rPr>
        <w:fldChar w:fldCharType="separate"/>
      </w:r>
      <w:r>
        <w:rPr>
          <w:b/>
          <w:color w:val="auto"/>
        </w:rPr>
        <w:t>6.2</w:t>
      </w:r>
      <w:r>
        <w:rPr>
          <w:b/>
          <w:color w:val="auto"/>
        </w:rPr>
        <w:fldChar w:fldCharType="end"/>
      </w:r>
      <w:r>
        <w:rPr>
          <w:b/>
          <w:color w:val="auto"/>
        </w:rPr>
        <w:noBreakHyphen/>
      </w:r>
      <w:r>
        <w:rPr>
          <w:rFonts w:hint="eastAsia"/>
          <w:b/>
          <w:color w:val="auto"/>
        </w:rPr>
        <w:t>10</w:t>
      </w:r>
      <w:r>
        <w:rPr>
          <w:b/>
          <w:color w:val="auto"/>
        </w:rPr>
        <w:t xml:space="preserve">  空压机房整体隔声罩及玻璃棉构造图</w:t>
      </w:r>
    </w:p>
    <w:p>
      <w:pPr>
        <w:spacing w:line="360" w:lineRule="auto"/>
        <w:ind w:firstLine="480" w:firstLineChars="200"/>
        <w:jc w:val="both"/>
        <w:rPr>
          <w:color w:val="auto"/>
        </w:rPr>
      </w:pPr>
      <w:r>
        <w:rPr>
          <w:color w:val="auto"/>
        </w:rPr>
        <w:t>密封处理：任何隔声罩只要有1%的缝隙，其隔声值就不会超过20dB，因此，缝隙密封处理非常重要。各构件采用螺栓扣吊连接,在搭接部位进行密封处理，隔声罩与管道之间的缝隙密封处理采用图6.2-13所示的方法。这样处理既可避免通风管道与罩体有刚性连接而影响隔声效果，又可防止搭接缝隙漏声。</w:t>
      </w:r>
    </w:p>
    <w:p>
      <w:pPr>
        <w:rPr>
          <w:color w:val="auto"/>
        </w:rPr>
      </w:pPr>
      <w:r>
        <w:rPr>
          <w:color w:val="auto"/>
        </w:rPr>
        <mc:AlternateContent>
          <mc:Choice Requires="wpg">
            <w:drawing>
              <wp:anchor distT="0" distB="0" distL="114300" distR="114300" simplePos="0" relativeHeight="251591680" behindDoc="0" locked="0" layoutInCell="1" allowOverlap="1">
                <wp:simplePos x="0" y="0"/>
                <wp:positionH relativeFrom="character">
                  <wp:posOffset>1714500</wp:posOffset>
                </wp:positionH>
                <wp:positionV relativeFrom="line">
                  <wp:posOffset>0</wp:posOffset>
                </wp:positionV>
                <wp:extent cx="2315210" cy="1493520"/>
                <wp:effectExtent l="0" t="0" r="0" b="1905"/>
                <wp:wrapNone/>
                <wp:docPr id="1197" name="画布 50"/>
                <wp:cNvGraphicFramePr/>
                <a:graphic xmlns:a="http://schemas.openxmlformats.org/drawingml/2006/main">
                  <a:graphicData uri="http://schemas.microsoft.com/office/word/2010/wordprocessingGroup">
                    <wpg:wgp>
                      <wpg:cNvGrpSpPr/>
                      <wpg:grpSpPr>
                        <a:xfrm>
                          <a:off x="0" y="0"/>
                          <a:ext cx="2315210" cy="1493520"/>
                          <a:chOff x="0" y="0"/>
                          <a:chExt cx="2315210" cy="1493520"/>
                        </a:xfrm>
                      </wpg:grpSpPr>
                      <wps:wsp>
                        <wps:cNvPr id="1198" name="Picture 202"/>
                        <wps:cNvSpPr>
                          <a:spLocks noChangeAspect="1" noChangeArrowheads="1"/>
                        </wps:cNvSpPr>
                        <wps:spPr bwMode="auto">
                          <a:xfrm>
                            <a:off x="0" y="0"/>
                            <a:ext cx="2315210" cy="1493520"/>
                          </a:xfrm>
                          <a:prstGeom prst="rect">
                            <a:avLst/>
                          </a:prstGeom>
                          <a:noFill/>
                          <a:ln>
                            <a:noFill/>
                          </a:ln>
                        </wps:spPr>
                        <wps:bodyPr rot="0" vert="horz" wrap="square" lIns="91440" tIns="45720" rIns="91440" bIns="45720" anchor="t" anchorCtr="0" upright="1">
                          <a:noAutofit/>
                        </wps:bodyPr>
                      </wps:wsp>
                      <wpg:grpSp>
                        <wpg:cNvPr id="1199" name="Group 40"/>
                        <wpg:cNvGrpSpPr/>
                        <wpg:grpSpPr>
                          <a:xfrm>
                            <a:off x="654537" y="284035"/>
                            <a:ext cx="306017" cy="306996"/>
                            <a:chOff x="0" y="0"/>
                            <a:chExt cx="483" cy="361"/>
                          </a:xfrm>
                        </wpg:grpSpPr>
                        <wps:wsp>
                          <wps:cNvPr id="1200" name="Line 41"/>
                          <wps:cNvCnPr>
                            <a:cxnSpLocks noChangeShapeType="1"/>
                          </wps:cNvCnPr>
                          <wps:spPr bwMode="auto">
                            <a:xfrm>
                              <a:off x="5" y="0"/>
                              <a:ext cx="0" cy="348"/>
                            </a:xfrm>
                            <a:prstGeom prst="line">
                              <a:avLst/>
                            </a:prstGeom>
                            <a:noFill/>
                            <a:ln w="57150" cmpd="thinThick">
                              <a:solidFill>
                                <a:srgbClr val="000000"/>
                              </a:solidFill>
                              <a:round/>
                            </a:ln>
                          </wps:spPr>
                          <wps:bodyPr/>
                        </wps:wsp>
                        <wps:wsp>
                          <wps:cNvPr id="1201" name="Line 42"/>
                          <wps:cNvCnPr>
                            <a:cxnSpLocks noChangeShapeType="1"/>
                          </wps:cNvCnPr>
                          <wps:spPr bwMode="auto">
                            <a:xfrm>
                              <a:off x="0" y="360"/>
                              <a:ext cx="483" cy="1"/>
                            </a:xfrm>
                            <a:prstGeom prst="line">
                              <a:avLst/>
                            </a:prstGeom>
                            <a:noFill/>
                            <a:ln w="57150" cmpd="thinThick">
                              <a:solidFill>
                                <a:srgbClr val="000000"/>
                              </a:solidFill>
                              <a:round/>
                            </a:ln>
                          </wps:spPr>
                          <wps:bodyPr/>
                        </wps:wsp>
                      </wpg:grpSp>
                      <wpg:grpSp>
                        <wpg:cNvPr id="1202" name="Group 43"/>
                        <wpg:cNvGrpSpPr/>
                        <wpg:grpSpPr>
                          <a:xfrm rot="5400000">
                            <a:off x="678278" y="1103888"/>
                            <a:ext cx="278082" cy="306867"/>
                            <a:chOff x="0" y="0"/>
                            <a:chExt cx="483" cy="361"/>
                          </a:xfrm>
                        </wpg:grpSpPr>
                        <wps:wsp>
                          <wps:cNvPr id="1203" name="Line 44"/>
                          <wps:cNvCnPr>
                            <a:cxnSpLocks noChangeShapeType="1"/>
                          </wps:cNvCnPr>
                          <wps:spPr bwMode="auto">
                            <a:xfrm>
                              <a:off x="5" y="0"/>
                              <a:ext cx="0" cy="348"/>
                            </a:xfrm>
                            <a:prstGeom prst="line">
                              <a:avLst/>
                            </a:prstGeom>
                            <a:noFill/>
                            <a:ln w="57150" cmpd="thinThick">
                              <a:solidFill>
                                <a:srgbClr val="000000"/>
                              </a:solidFill>
                              <a:round/>
                            </a:ln>
                          </wps:spPr>
                          <wps:bodyPr/>
                        </wps:wsp>
                        <wps:wsp>
                          <wps:cNvPr id="1204" name="Line 45"/>
                          <wps:cNvCnPr>
                            <a:cxnSpLocks noChangeShapeType="1"/>
                          </wps:cNvCnPr>
                          <wps:spPr bwMode="auto">
                            <a:xfrm>
                              <a:off x="0" y="360"/>
                              <a:ext cx="483" cy="1"/>
                            </a:xfrm>
                            <a:prstGeom prst="line">
                              <a:avLst/>
                            </a:prstGeom>
                            <a:noFill/>
                            <a:ln w="57150" cmpd="thinThick">
                              <a:solidFill>
                                <a:srgbClr val="000000"/>
                              </a:solidFill>
                              <a:round/>
                            </a:ln>
                          </wps:spPr>
                          <wps:bodyPr/>
                        </wps:wsp>
                      </wpg:grpSp>
                      <wpg:grpSp>
                        <wpg:cNvPr id="1205" name="Group 46"/>
                        <wpg:cNvGrpSpPr/>
                        <wpg:grpSpPr>
                          <a:xfrm rot="10800000">
                            <a:off x="232913" y="674371"/>
                            <a:ext cx="123257" cy="391186"/>
                            <a:chOff x="0" y="0"/>
                            <a:chExt cx="170" cy="584"/>
                          </a:xfrm>
                        </wpg:grpSpPr>
                        <wps:wsp>
                          <wps:cNvPr id="1206" name="Freeform 47"/>
                          <wps:cNvSpPr/>
                          <wps:spPr bwMode="auto">
                            <a:xfrm>
                              <a:off x="0" y="12"/>
                              <a:ext cx="91" cy="336"/>
                            </a:xfrm>
                            <a:custGeom>
                              <a:avLst/>
                              <a:gdLst>
                                <a:gd name="T0" fmla="*/ 107 w 122"/>
                                <a:gd name="T1" fmla="*/ 0 h 450"/>
                                <a:gd name="T2" fmla="*/ 2 w 122"/>
                                <a:gd name="T3" fmla="*/ 210 h 450"/>
                                <a:gd name="T4" fmla="*/ 122 w 122"/>
                                <a:gd name="T5" fmla="*/ 450 h 450"/>
                              </a:gdLst>
                              <a:ahLst/>
                              <a:cxnLst>
                                <a:cxn ang="0">
                                  <a:pos x="T0" y="T1"/>
                                </a:cxn>
                                <a:cxn ang="0">
                                  <a:pos x="T2" y="T3"/>
                                </a:cxn>
                                <a:cxn ang="0">
                                  <a:pos x="T4" y="T5"/>
                                </a:cxn>
                              </a:cxnLst>
                              <a:rect l="0" t="0" r="r" b="b"/>
                              <a:pathLst>
                                <a:path w="122" h="450">
                                  <a:moveTo>
                                    <a:pt x="107" y="0"/>
                                  </a:moveTo>
                                  <a:cubicBezTo>
                                    <a:pt x="53" y="67"/>
                                    <a:pt x="0" y="135"/>
                                    <a:pt x="2" y="210"/>
                                  </a:cubicBezTo>
                                  <a:cubicBezTo>
                                    <a:pt x="4" y="285"/>
                                    <a:pt x="102" y="433"/>
                                    <a:pt x="122" y="450"/>
                                  </a:cubicBezTo>
                                </a:path>
                              </a:pathLst>
                            </a:custGeom>
                            <a:noFill/>
                            <a:ln w="6350" cmpd="sng">
                              <a:solidFill>
                                <a:srgbClr val="000000"/>
                              </a:solidFill>
                              <a:round/>
                            </a:ln>
                          </wps:spPr>
                          <wps:bodyPr rot="0" vert="horz" wrap="square" lIns="91440" tIns="45720" rIns="91440" bIns="45720" anchor="t" anchorCtr="0" upright="1">
                            <a:noAutofit/>
                          </wps:bodyPr>
                        </wps:wsp>
                        <wps:wsp>
                          <wps:cNvPr id="1207" name="Freeform 48"/>
                          <wps:cNvSpPr/>
                          <wps:spPr bwMode="auto">
                            <a:xfrm rot="10800000">
                              <a:off x="22" y="247"/>
                              <a:ext cx="92" cy="337"/>
                            </a:xfrm>
                            <a:custGeom>
                              <a:avLst/>
                              <a:gdLst>
                                <a:gd name="T0" fmla="*/ 107 w 122"/>
                                <a:gd name="T1" fmla="*/ 0 h 450"/>
                                <a:gd name="T2" fmla="*/ 2 w 122"/>
                                <a:gd name="T3" fmla="*/ 210 h 450"/>
                                <a:gd name="T4" fmla="*/ 122 w 122"/>
                                <a:gd name="T5" fmla="*/ 450 h 450"/>
                              </a:gdLst>
                              <a:ahLst/>
                              <a:cxnLst>
                                <a:cxn ang="0">
                                  <a:pos x="T0" y="T1"/>
                                </a:cxn>
                                <a:cxn ang="0">
                                  <a:pos x="T2" y="T3"/>
                                </a:cxn>
                                <a:cxn ang="0">
                                  <a:pos x="T4" y="T5"/>
                                </a:cxn>
                              </a:cxnLst>
                              <a:rect l="0" t="0" r="r" b="b"/>
                              <a:pathLst>
                                <a:path w="122" h="450">
                                  <a:moveTo>
                                    <a:pt x="107" y="0"/>
                                  </a:moveTo>
                                  <a:cubicBezTo>
                                    <a:pt x="53" y="67"/>
                                    <a:pt x="0" y="135"/>
                                    <a:pt x="2" y="210"/>
                                  </a:cubicBezTo>
                                  <a:cubicBezTo>
                                    <a:pt x="4" y="285"/>
                                    <a:pt x="102" y="433"/>
                                    <a:pt x="122" y="450"/>
                                  </a:cubicBezTo>
                                </a:path>
                              </a:pathLst>
                            </a:custGeom>
                            <a:noFill/>
                            <a:ln w="6350" cmpd="sng">
                              <a:solidFill>
                                <a:srgbClr val="000000"/>
                              </a:solidFill>
                              <a:round/>
                            </a:ln>
                          </wps:spPr>
                          <wps:bodyPr rot="0" vert="horz" wrap="square" lIns="91440" tIns="45720" rIns="91440" bIns="45720" anchor="t" anchorCtr="0" upright="1">
                            <a:noAutofit/>
                          </wps:bodyPr>
                        </wps:wsp>
                        <wps:wsp>
                          <wps:cNvPr id="1208" name="Freeform 49"/>
                          <wps:cNvSpPr/>
                          <wps:spPr bwMode="auto">
                            <a:xfrm rot="10800000">
                              <a:off x="78" y="0"/>
                              <a:ext cx="92" cy="337"/>
                            </a:xfrm>
                            <a:custGeom>
                              <a:avLst/>
                              <a:gdLst>
                                <a:gd name="T0" fmla="*/ 107 w 122"/>
                                <a:gd name="T1" fmla="*/ 0 h 450"/>
                                <a:gd name="T2" fmla="*/ 2 w 122"/>
                                <a:gd name="T3" fmla="*/ 210 h 450"/>
                                <a:gd name="T4" fmla="*/ 122 w 122"/>
                                <a:gd name="T5" fmla="*/ 450 h 450"/>
                              </a:gdLst>
                              <a:ahLst/>
                              <a:cxnLst>
                                <a:cxn ang="0">
                                  <a:pos x="T0" y="T1"/>
                                </a:cxn>
                                <a:cxn ang="0">
                                  <a:pos x="T2" y="T3"/>
                                </a:cxn>
                                <a:cxn ang="0">
                                  <a:pos x="T4" y="T5"/>
                                </a:cxn>
                              </a:cxnLst>
                              <a:rect l="0" t="0" r="r" b="b"/>
                              <a:pathLst>
                                <a:path w="122" h="450">
                                  <a:moveTo>
                                    <a:pt x="107" y="0"/>
                                  </a:moveTo>
                                  <a:cubicBezTo>
                                    <a:pt x="53" y="67"/>
                                    <a:pt x="0" y="135"/>
                                    <a:pt x="2" y="210"/>
                                  </a:cubicBezTo>
                                  <a:cubicBezTo>
                                    <a:pt x="4" y="285"/>
                                    <a:pt x="102" y="433"/>
                                    <a:pt x="122" y="450"/>
                                  </a:cubicBezTo>
                                </a:path>
                              </a:pathLst>
                            </a:custGeom>
                            <a:noFill/>
                            <a:ln w="6350" cmpd="sng">
                              <a:solidFill>
                                <a:srgbClr val="000000"/>
                              </a:solidFill>
                              <a:round/>
                            </a:ln>
                          </wps:spPr>
                          <wps:bodyPr rot="0" vert="horz" wrap="square" lIns="91440" tIns="45720" rIns="91440" bIns="45720" anchor="t" anchorCtr="0" upright="1">
                            <a:noAutofit/>
                          </wps:bodyPr>
                        </wps:wsp>
                      </wpg:grpSp>
                      <wps:wsp>
                        <wps:cNvPr id="1209" name="Line 50"/>
                        <wps:cNvCnPr>
                          <a:cxnSpLocks noChangeShapeType="1"/>
                        </wps:cNvCnPr>
                        <wps:spPr bwMode="auto">
                          <a:xfrm>
                            <a:off x="318768" y="665017"/>
                            <a:ext cx="1218969" cy="850"/>
                          </a:xfrm>
                          <a:prstGeom prst="line">
                            <a:avLst/>
                          </a:prstGeom>
                          <a:noFill/>
                          <a:ln w="6350">
                            <a:solidFill>
                              <a:srgbClr val="000000"/>
                            </a:solidFill>
                            <a:round/>
                          </a:ln>
                        </wps:spPr>
                        <wps:bodyPr/>
                      </wps:wsp>
                      <wps:wsp>
                        <wps:cNvPr id="1210" name="Line 51"/>
                        <wps:cNvCnPr>
                          <a:cxnSpLocks noChangeShapeType="1"/>
                        </wps:cNvCnPr>
                        <wps:spPr bwMode="auto">
                          <a:xfrm>
                            <a:off x="304317" y="1067258"/>
                            <a:ext cx="1201118" cy="850"/>
                          </a:xfrm>
                          <a:prstGeom prst="line">
                            <a:avLst/>
                          </a:prstGeom>
                          <a:noFill/>
                          <a:ln w="6350">
                            <a:solidFill>
                              <a:srgbClr val="000000"/>
                            </a:solidFill>
                            <a:round/>
                          </a:ln>
                        </wps:spPr>
                        <wps:bodyPr/>
                      </wps:wsp>
                      <wpg:grpSp>
                        <wpg:cNvPr id="1211" name="Group 52"/>
                        <wpg:cNvGrpSpPr/>
                        <wpg:grpSpPr>
                          <a:xfrm>
                            <a:off x="1479933" y="654812"/>
                            <a:ext cx="124107" cy="392887"/>
                            <a:chOff x="0" y="0"/>
                            <a:chExt cx="170" cy="584"/>
                          </a:xfrm>
                        </wpg:grpSpPr>
                        <wps:wsp>
                          <wps:cNvPr id="1212" name="Freeform 53"/>
                          <wps:cNvSpPr/>
                          <wps:spPr bwMode="auto">
                            <a:xfrm>
                              <a:off x="0" y="12"/>
                              <a:ext cx="91" cy="336"/>
                            </a:xfrm>
                            <a:custGeom>
                              <a:avLst/>
                              <a:gdLst>
                                <a:gd name="T0" fmla="*/ 107 w 122"/>
                                <a:gd name="T1" fmla="*/ 0 h 450"/>
                                <a:gd name="T2" fmla="*/ 2 w 122"/>
                                <a:gd name="T3" fmla="*/ 210 h 450"/>
                                <a:gd name="T4" fmla="*/ 122 w 122"/>
                                <a:gd name="T5" fmla="*/ 450 h 450"/>
                              </a:gdLst>
                              <a:ahLst/>
                              <a:cxnLst>
                                <a:cxn ang="0">
                                  <a:pos x="T0" y="T1"/>
                                </a:cxn>
                                <a:cxn ang="0">
                                  <a:pos x="T2" y="T3"/>
                                </a:cxn>
                                <a:cxn ang="0">
                                  <a:pos x="T4" y="T5"/>
                                </a:cxn>
                              </a:cxnLst>
                              <a:rect l="0" t="0" r="r" b="b"/>
                              <a:pathLst>
                                <a:path w="122" h="450">
                                  <a:moveTo>
                                    <a:pt x="107" y="0"/>
                                  </a:moveTo>
                                  <a:cubicBezTo>
                                    <a:pt x="53" y="67"/>
                                    <a:pt x="0" y="135"/>
                                    <a:pt x="2" y="210"/>
                                  </a:cubicBezTo>
                                  <a:cubicBezTo>
                                    <a:pt x="4" y="285"/>
                                    <a:pt x="102" y="433"/>
                                    <a:pt x="122" y="450"/>
                                  </a:cubicBezTo>
                                </a:path>
                              </a:pathLst>
                            </a:custGeom>
                            <a:noFill/>
                            <a:ln w="6350" cmpd="sng">
                              <a:solidFill>
                                <a:srgbClr val="000000"/>
                              </a:solidFill>
                              <a:round/>
                            </a:ln>
                          </wps:spPr>
                          <wps:bodyPr rot="0" vert="horz" wrap="square" lIns="91440" tIns="45720" rIns="91440" bIns="45720" anchor="t" anchorCtr="0" upright="1">
                            <a:noAutofit/>
                          </wps:bodyPr>
                        </wps:wsp>
                        <wps:wsp>
                          <wps:cNvPr id="1213" name="Freeform 54"/>
                          <wps:cNvSpPr/>
                          <wps:spPr bwMode="auto">
                            <a:xfrm rot="10800000">
                              <a:off x="22" y="247"/>
                              <a:ext cx="92" cy="337"/>
                            </a:xfrm>
                            <a:custGeom>
                              <a:avLst/>
                              <a:gdLst>
                                <a:gd name="T0" fmla="*/ 107 w 122"/>
                                <a:gd name="T1" fmla="*/ 0 h 450"/>
                                <a:gd name="T2" fmla="*/ 2 w 122"/>
                                <a:gd name="T3" fmla="*/ 210 h 450"/>
                                <a:gd name="T4" fmla="*/ 122 w 122"/>
                                <a:gd name="T5" fmla="*/ 450 h 450"/>
                              </a:gdLst>
                              <a:ahLst/>
                              <a:cxnLst>
                                <a:cxn ang="0">
                                  <a:pos x="T0" y="T1"/>
                                </a:cxn>
                                <a:cxn ang="0">
                                  <a:pos x="T2" y="T3"/>
                                </a:cxn>
                                <a:cxn ang="0">
                                  <a:pos x="T4" y="T5"/>
                                </a:cxn>
                              </a:cxnLst>
                              <a:rect l="0" t="0" r="r" b="b"/>
                              <a:pathLst>
                                <a:path w="122" h="450">
                                  <a:moveTo>
                                    <a:pt x="107" y="0"/>
                                  </a:moveTo>
                                  <a:cubicBezTo>
                                    <a:pt x="53" y="67"/>
                                    <a:pt x="0" y="135"/>
                                    <a:pt x="2" y="210"/>
                                  </a:cubicBezTo>
                                  <a:cubicBezTo>
                                    <a:pt x="4" y="285"/>
                                    <a:pt x="102" y="433"/>
                                    <a:pt x="122" y="450"/>
                                  </a:cubicBezTo>
                                </a:path>
                              </a:pathLst>
                            </a:custGeom>
                            <a:noFill/>
                            <a:ln w="6350" cmpd="sng">
                              <a:solidFill>
                                <a:srgbClr val="000000"/>
                              </a:solidFill>
                              <a:round/>
                            </a:ln>
                          </wps:spPr>
                          <wps:bodyPr rot="0" vert="horz" wrap="square" lIns="91440" tIns="45720" rIns="91440" bIns="45720" anchor="t" anchorCtr="0" upright="1">
                            <a:noAutofit/>
                          </wps:bodyPr>
                        </wps:wsp>
                        <wps:wsp>
                          <wps:cNvPr id="1214" name="Freeform 55"/>
                          <wps:cNvSpPr/>
                          <wps:spPr bwMode="auto">
                            <a:xfrm rot="10800000">
                              <a:off x="78" y="0"/>
                              <a:ext cx="92" cy="337"/>
                            </a:xfrm>
                            <a:custGeom>
                              <a:avLst/>
                              <a:gdLst>
                                <a:gd name="T0" fmla="*/ 107 w 122"/>
                                <a:gd name="T1" fmla="*/ 0 h 450"/>
                                <a:gd name="T2" fmla="*/ 2 w 122"/>
                                <a:gd name="T3" fmla="*/ 210 h 450"/>
                                <a:gd name="T4" fmla="*/ 122 w 122"/>
                                <a:gd name="T5" fmla="*/ 450 h 450"/>
                              </a:gdLst>
                              <a:ahLst/>
                              <a:cxnLst>
                                <a:cxn ang="0">
                                  <a:pos x="T0" y="T1"/>
                                </a:cxn>
                                <a:cxn ang="0">
                                  <a:pos x="T2" y="T3"/>
                                </a:cxn>
                                <a:cxn ang="0">
                                  <a:pos x="T4" y="T5"/>
                                </a:cxn>
                              </a:cxnLst>
                              <a:rect l="0" t="0" r="r" b="b"/>
                              <a:pathLst>
                                <a:path w="122" h="450">
                                  <a:moveTo>
                                    <a:pt x="107" y="0"/>
                                  </a:moveTo>
                                  <a:cubicBezTo>
                                    <a:pt x="53" y="67"/>
                                    <a:pt x="0" y="135"/>
                                    <a:pt x="2" y="210"/>
                                  </a:cubicBezTo>
                                  <a:cubicBezTo>
                                    <a:pt x="4" y="285"/>
                                    <a:pt x="102" y="433"/>
                                    <a:pt x="122" y="450"/>
                                  </a:cubicBezTo>
                                </a:path>
                              </a:pathLst>
                            </a:custGeom>
                            <a:noFill/>
                            <a:ln w="6350" cmpd="sng">
                              <a:solidFill>
                                <a:srgbClr val="000000"/>
                              </a:solidFill>
                              <a:round/>
                            </a:ln>
                          </wps:spPr>
                          <wps:bodyPr rot="0" vert="horz" wrap="square" lIns="91440" tIns="45720" rIns="91440" bIns="45720" anchor="t" anchorCtr="0" upright="1">
                            <a:noAutofit/>
                          </wps:bodyPr>
                        </wps:wsp>
                      </wpg:grpSp>
                      <wps:wsp>
                        <wps:cNvPr id="1215" name="Rectangle 56"/>
                        <wps:cNvSpPr>
                          <a:spLocks noChangeArrowheads="1"/>
                        </wps:cNvSpPr>
                        <wps:spPr bwMode="auto">
                          <a:xfrm>
                            <a:off x="890000" y="55276"/>
                            <a:ext cx="342569" cy="181136"/>
                          </a:xfrm>
                          <a:prstGeom prst="rect">
                            <a:avLst/>
                          </a:prstGeom>
                          <a:noFill/>
                          <a:ln>
                            <a:noFill/>
                          </a:ln>
                        </wps:spPr>
                        <wps:txbx>
                          <w:txbxContent>
                            <w:p>
                              <w:pPr/>
                              <w:r>
                                <w:rPr>
                                  <w:rFonts w:hint="eastAsia"/>
                                </w:rPr>
                                <w:t>罩壁</w:t>
                              </w:r>
                            </w:p>
                          </w:txbxContent>
                        </wps:txbx>
                        <wps:bodyPr rot="0" vert="horz" wrap="square" lIns="0" tIns="0" rIns="0" bIns="0" anchor="t" anchorCtr="0" upright="1">
                          <a:noAutofit/>
                        </wps:bodyPr>
                      </wps:wsp>
                      <wps:wsp>
                        <wps:cNvPr id="112" name="Rectangle 57"/>
                        <wps:cNvSpPr>
                          <a:spLocks noChangeArrowheads="1"/>
                        </wps:cNvSpPr>
                        <wps:spPr bwMode="auto">
                          <a:xfrm>
                            <a:off x="1071060" y="312099"/>
                            <a:ext cx="342569" cy="181136"/>
                          </a:xfrm>
                          <a:prstGeom prst="rect">
                            <a:avLst/>
                          </a:prstGeom>
                          <a:noFill/>
                          <a:ln>
                            <a:noFill/>
                          </a:ln>
                        </wps:spPr>
                        <wps:txbx>
                          <w:txbxContent>
                            <w:p>
                              <w:pPr/>
                              <w:r>
                                <w:rPr>
                                  <w:rFonts w:hint="eastAsia"/>
                                </w:rPr>
                                <w:t>衬里</w:t>
                              </w:r>
                            </w:p>
                          </w:txbxContent>
                        </wps:txbx>
                        <wps:bodyPr rot="0" vert="horz" wrap="square" lIns="0" tIns="0" rIns="0" bIns="0" anchor="t" anchorCtr="0" upright="1">
                          <a:noAutofit/>
                        </wps:bodyPr>
                      </wps:wsp>
                      <wps:wsp>
                        <wps:cNvPr id="113" name="Line 58"/>
                        <wps:cNvCnPr>
                          <a:cxnSpLocks noChangeShapeType="1"/>
                        </wps:cNvCnPr>
                        <wps:spPr bwMode="auto">
                          <a:xfrm flipH="1">
                            <a:off x="842397" y="380131"/>
                            <a:ext cx="219312" cy="218554"/>
                          </a:xfrm>
                          <a:prstGeom prst="line">
                            <a:avLst/>
                          </a:prstGeom>
                          <a:noFill/>
                          <a:ln w="6350">
                            <a:solidFill>
                              <a:srgbClr val="000000"/>
                            </a:solidFill>
                            <a:round/>
                            <a:tailEnd type="triangle" w="sm" len="med"/>
                          </a:ln>
                        </wps:spPr>
                        <wps:bodyPr/>
                      </wps:wsp>
                      <wps:wsp>
                        <wps:cNvPr id="117" name="Line 59"/>
                        <wps:cNvCnPr>
                          <a:cxnSpLocks noChangeShapeType="1"/>
                        </wps:cNvCnPr>
                        <wps:spPr bwMode="auto">
                          <a:xfrm flipH="1">
                            <a:off x="718290" y="198995"/>
                            <a:ext cx="114756" cy="113954"/>
                          </a:xfrm>
                          <a:prstGeom prst="line">
                            <a:avLst/>
                          </a:prstGeom>
                          <a:noFill/>
                          <a:ln w="6350">
                            <a:solidFill>
                              <a:srgbClr val="000000"/>
                            </a:solidFill>
                            <a:round/>
                            <a:tailEnd type="triangle" w="sm" len="med"/>
                          </a:ln>
                        </wps:spPr>
                        <wps:bodyPr/>
                      </wps:wsp>
                      <wps:wsp>
                        <wps:cNvPr id="118" name="Line 60"/>
                        <wps:cNvCnPr>
                          <a:cxnSpLocks noChangeShapeType="1"/>
                        </wps:cNvCnPr>
                        <wps:spPr bwMode="auto">
                          <a:xfrm flipH="1">
                            <a:off x="1299723" y="552763"/>
                            <a:ext cx="219312" cy="218554"/>
                          </a:xfrm>
                          <a:prstGeom prst="line">
                            <a:avLst/>
                          </a:prstGeom>
                          <a:noFill/>
                          <a:ln w="6350">
                            <a:solidFill>
                              <a:srgbClr val="000000"/>
                            </a:solidFill>
                            <a:round/>
                            <a:tailEnd type="triangle" w="sm" len="med"/>
                          </a:ln>
                        </wps:spPr>
                        <wps:bodyPr/>
                      </wps:wsp>
                      <wps:wsp>
                        <wps:cNvPr id="119" name="Rectangle 61"/>
                        <wps:cNvSpPr>
                          <a:spLocks noChangeArrowheads="1"/>
                        </wps:cNvSpPr>
                        <wps:spPr bwMode="auto">
                          <a:xfrm>
                            <a:off x="1519036" y="408194"/>
                            <a:ext cx="343419" cy="181136"/>
                          </a:xfrm>
                          <a:prstGeom prst="rect">
                            <a:avLst/>
                          </a:prstGeom>
                          <a:noFill/>
                          <a:ln>
                            <a:noFill/>
                          </a:ln>
                        </wps:spPr>
                        <wps:txbx>
                          <w:txbxContent>
                            <w:p>
                              <w:pPr/>
                              <w:r>
                                <w:rPr>
                                  <w:rFonts w:hint="eastAsia"/>
                                </w:rPr>
                                <w:t>管道</w:t>
                              </w:r>
                            </w:p>
                          </w:txbxContent>
                        </wps:txbx>
                        <wps:bodyPr rot="0" vert="horz" wrap="square" lIns="0" tIns="0" rIns="0" bIns="0" anchor="t" anchorCtr="0" upright="1">
                          <a:noAutofit/>
                        </wps:bodyPr>
                      </wps:wsp>
                    </wpg:wgp>
                  </a:graphicData>
                </a:graphic>
              </wp:anchor>
            </w:drawing>
          </mc:Choice>
          <mc:Fallback>
            <w:pict>
              <v:group id="画布 50" o:spid="_x0000_s1026" o:spt="203" style="position:absolute;left:0pt;margin-left:135pt;margin-top:0pt;height:117.6pt;width:182.3pt;mso-position-horizontal-relative:char;mso-position-vertical-relative:line;z-index:251591680;mso-width-relative:page;mso-height-relative:page;" coordsize="2315210,1493520" o:gfxdata="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">
                <o:lock v:ext="edit" aspectratio="f"/>
                <v:rect id="Picture 202" o:spid="_x0000_s1026" o:spt="1" style="position:absolute;left:0;top:0;height:1493520;width:2315210;" filled="f" stroked="f" coordsize="21600,21600" o:gfxdata="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18+Mw&#10;wAAAAN0AAAAPAAAAAAAAAAEAIAAAACIAAABkcnMvZG93bnJldi54bWxQSwECFAAUAAAACACHTuJA&#10;My8FnjsAAAA5AAAAEAAAAAAAAAABACAAAAAPAQAAZHJzL3NoYXBleG1sLnhtbFBLBQYAAAAABgAG&#10;AFsBAAC5AwAAAAA=&#10;">
                  <v:fill on="f" focussize="0,0"/>
                  <v:stroke on="f"/>
                  <v:imagedata o:title=""/>
                  <o:lock v:ext="edit" aspectratio="t"/>
                </v:rect>
                <v:group id="Group 40" o:spid="_x0000_s1026" o:spt="203" style="position:absolute;left:654537;top:284035;height:306996;width:306017;" coordsize="483,361" o:gfxdata="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uyvQlr0AAADdAAAADwAAAAAAAAABACAAAAAiAAAAZHJzL2Rvd25yZXYueG1s&#10;UEsBAhQAFAAAAAgAh07iQDMvBZ47AAAAOQAAABUAAAAAAAAAAQAgAAAADAEAAGRycy9ncm91cHNo&#10;YXBleG1sLnhtbFBLBQYAAAAABgAGAGABAADJAwAAAAA=&#10;">
                  <o:lock v:ext="edit" aspectratio="f"/>
                  <v:line id="Line 41" o:spid="_x0000_s1026" o:spt="20" style="position:absolute;left:5;top:0;height:348;width:0;" filled="f" stroked="t" coordsize="21600,21600" o:gfxdata="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g72&#10;S8EAAADdAAAADwAAAAAAAAABACAAAAAiAAAAZHJzL2Rvd25yZXYueG1sUEsBAhQAFAAAAAgAh07i&#10;QDMvBZ47AAAAOQAAABAAAAAAAAAAAQAgAAAAEAEAAGRycy9zaGFwZXhtbC54bWxQSwUGAAAAAAYA&#10;BgBbAQAAugMAAAAA&#10;">
                    <v:fill on="f" focussize="0,0"/>
                    <v:stroke weight="4.5pt" color="#000000" linestyle="thinThick" joinstyle="round"/>
                    <v:imagedata o:title=""/>
                    <o:lock v:ext="edit" aspectratio="f"/>
                  </v:line>
                  <v:line id="Line 42" o:spid="_x0000_s1026" o:spt="20" style="position:absolute;left:0;top:360;height:1;width:483;" filled="f" stroked="t" coordsize="21600,21600" o:gfxdata="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lCU9C/&#10;AAAA3QAAAA8AAAAAAAAAAQAgAAAAIgAAAGRycy9kb3ducmV2LnhtbFBLAQIUABQAAAAIAIdO4kAz&#10;LwWeOwAAADkAAAAQAAAAAAAAAAEAIAAAAA4BAABkcnMvc2hhcGV4bWwueG1sUEsFBgAAAAAGAAYA&#10;WwEAALgDAAAAAA==&#10;">
                    <v:fill on="f" focussize="0,0"/>
                    <v:stroke weight="4.5pt" color="#000000" linestyle="thinThick" joinstyle="round"/>
                    <v:imagedata o:title=""/>
                    <o:lock v:ext="edit" aspectratio="f"/>
                  </v:line>
                </v:group>
                <v:group id="Group 43" o:spid="_x0000_s1026" o:spt="203" style="position:absolute;left:678278;top:1103888;height:306867;width:278082;rotation:5898240f;" coordsize="483,361" o:gfxdata="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Tdz/YvAAAAN0AAAAPAAAAAAAAAAEAIAAAACIAAABkcnMvZG93bnJldi54bWxQ&#10;SwECFAAUAAAACACHTuJAMy8FnjsAAAA5AAAAFQAAAAAAAAABACAAAAALAQAAZHJzL2dyb3Vwc2hh&#10;cGV4bWwueG1sUEsFBgAAAAAGAAYAYAEAAMgDAAAAAA==&#10;">
                  <o:lock v:ext="edit" aspectratio="f"/>
                  <v:line id="Line 44" o:spid="_x0000_s1026" o:spt="20" style="position:absolute;left:5;top:0;height:348;width:0;" filled="f" stroked="t" coordsize="21600,21600" o:gfxdata="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bcaDy/&#10;AAAA3QAAAA8AAAAAAAAAAQAgAAAAIgAAAGRycy9kb3ducmV2LnhtbFBLAQIUABQAAAAIAIdO4kAz&#10;LwWeOwAAADkAAAAQAAAAAAAAAAEAIAAAAA4BAABkcnMvc2hhcGV4bWwueG1sUEsFBgAAAAAGAAYA&#10;WwEAALgDAAAAAA==&#10;">
                    <v:fill on="f" focussize="0,0"/>
                    <v:stroke weight="4.5pt" color="#000000" linestyle="thinThick" joinstyle="round"/>
                    <v:imagedata o:title=""/>
                    <o:lock v:ext="edit" aspectratio="f"/>
                  </v:line>
                  <v:line id="Line 45" o:spid="_x0000_s1026" o:spt="20" style="position:absolute;left:0;top:360;height:1;width:483;" filled="f" stroked="t" coordsize="21600,21600" o:gfxdata="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k18Ei/&#10;AAAA3QAAAA8AAAAAAAAAAQAgAAAAIgAAAGRycy9kb3ducmV2LnhtbFBLAQIUABQAAAAIAIdO4kAz&#10;LwWeOwAAADkAAAAQAAAAAAAAAAEAIAAAAA4BAABkcnMvc2hhcGV4bWwueG1sUEsFBgAAAAAGAAYA&#10;WwEAALgDAAAAAA==&#10;">
                    <v:fill on="f" focussize="0,0"/>
                    <v:stroke weight="4.5pt" color="#000000" linestyle="thinThick" joinstyle="round"/>
                    <v:imagedata o:title=""/>
                    <o:lock v:ext="edit" aspectratio="f"/>
                  </v:line>
                </v:group>
                <v:group id="Group 46" o:spid="_x0000_s1026" o:spt="203" style="position:absolute;left:232913;top:674371;height:391186;width:123257;rotation:11796480f;" coordsize="170,584" o:gfxdata="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PIMh+vAAAAN0AAAAPAAAAAAAAAAEAIAAAACIAAABkcnMvZG93bnJldi54bWxQ&#10;SwECFAAUAAAACACHTuJAMy8FnjsAAAA5AAAAFQAAAAAAAAABACAAAAALAQAAZHJzL2dyb3Vwc2hh&#10;cGV4bWwueG1sUEsFBgAAAAAGAAYAYAEAAMgDAAAAAA==&#10;">
                  <o:lock v:ext="edit" aspectratio="f"/>
                  <v:shape id="Freeform 47" o:spid="_x0000_s1026" o:spt="100" style="position:absolute;left:0;top:12;height:336;width:91;" filled="f" stroked="t" coordsize="122,450" o:gfxdata="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Ag3FvQAA&#10;AN0AAAAPAAAAAAAAAAEAIAAAACIAAABkcnMvZG93bnJldi54bWxQSwECFAAUAAAACACHTuJAMy8F&#10;njsAAAA5AAAAEAAAAAAAAAABACAAAAAMAQAAZHJzL3NoYXBleG1sLnhtbFBLBQYAAAAABgAGAFsB&#10;AAC2AwAAAAA=&#10;" path="m107,0c53,67,0,135,2,210c4,285,102,433,122,450e">
                    <v:path o:connectlocs="79,0;1,156;91,336" o:connectangles="0,0,0"/>
                    <v:fill on="f" focussize="0,0"/>
                    <v:stroke weight="0.5pt" color="#000000" joinstyle="round"/>
                    <v:imagedata o:title=""/>
                    <o:lock v:ext="edit" aspectratio="f"/>
                  </v:shape>
                  <v:shape id="Freeform 48" o:spid="_x0000_s1026" o:spt="100" style="position:absolute;left:22;top:247;height:337;width:92;rotation:11796480f;" filled="f" stroked="t" coordsize="122,450" o:gfxdata="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YD0UrsAAADd&#10;AAAADwAAAAAAAAABACAAAAAiAAAAZHJzL2Rvd25yZXYueG1sUEsBAhQAFAAAAAgAh07iQDMvBZ47&#10;AAAAOQAAABAAAAAAAAAAAQAgAAAACgEAAGRycy9zaGFwZXhtbC54bWxQSwUGAAAAAAYABgBbAQAA&#10;tAMAAAAA&#10;" path="m107,0c53,67,0,135,2,210c4,285,102,433,122,450e">
                    <v:path o:connectlocs="80,0;1,157;92,337" o:connectangles="0,0,0"/>
                    <v:fill on="f" focussize="0,0"/>
                    <v:stroke weight="0.5pt" color="#000000" joinstyle="round"/>
                    <v:imagedata o:title=""/>
                    <o:lock v:ext="edit" aspectratio="f"/>
                  </v:shape>
                  <v:shape id="Freeform 49" o:spid="_x0000_s1026" o:spt="100" style="position:absolute;left:78;top:0;height:337;width:92;rotation:11796480f;" filled="f" stroked="t" coordsize="122,450" o:gfxdata="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QH2AgvQAA&#10;AN0AAAAPAAAAAAAAAAEAIAAAACIAAABkcnMvZG93bnJldi54bWxQSwECFAAUAAAACACHTuJAMy8F&#10;njsAAAA5AAAAEAAAAAAAAAABACAAAAAMAQAAZHJzL3NoYXBleG1sLnhtbFBLBQYAAAAABgAGAFsB&#10;AAC2AwAAAAA=&#10;" path="m107,0c53,67,0,135,2,210c4,285,102,433,122,450e">
                    <v:path o:connectlocs="80,0;1,157;92,337" o:connectangles="0,0,0"/>
                    <v:fill on="f" focussize="0,0"/>
                    <v:stroke weight="0.5pt" color="#000000" joinstyle="round"/>
                    <v:imagedata o:title=""/>
                    <o:lock v:ext="edit" aspectratio="f"/>
                  </v:shape>
                </v:group>
                <v:line id="Line 50" o:spid="_x0000_s1026" o:spt="20" style="position:absolute;left:318768;top:665017;height:850;width:1218969;" filled="f" stroked="t" coordsize="21600,21600" o:gfxdata="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h9sXb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Line 51" o:spid="_x0000_s1026" o:spt="20" style="position:absolute;left:304317;top:1067258;height:850;width:1201118;" filled="f" stroked="t" coordsize="21600,21600" o:gfxdata="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FMd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group id="Group 52" o:spid="_x0000_s1026" o:spt="203" style="position:absolute;left:1479933;top:654812;height:392887;width:124107;" coordsize="170,584" o:gfxdata="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zq762vAAAAN0AAAAPAAAAAAAAAAEAIAAAACIAAABkcnMvZG93bnJldi54bWxQ&#10;SwECFAAUAAAACACHTuJAMy8FnjsAAAA5AAAAFQAAAAAAAAABACAAAAALAQAAZHJzL2dyb3Vwc2hh&#10;cGV4bWwueG1sUEsFBgAAAAAGAAYAYAEAAMgDAAAAAA==&#10;">
                  <o:lock v:ext="edit" aspectratio="f"/>
                  <v:shape id="Freeform 53" o:spid="_x0000_s1026" o:spt="100" style="position:absolute;left:0;top:12;height:336;width:91;" filled="f" stroked="t" coordsize="122,450" o:gfxdata="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CdG74A&#10;AADdAAAADwAAAAAAAAABACAAAAAiAAAAZHJzL2Rvd25yZXYueG1sUEsBAhQAFAAAAAgAh07iQDMv&#10;BZ47AAAAOQAAABAAAAAAAAAAAQAgAAAADQEAAGRycy9zaGFwZXhtbC54bWxQSwUGAAAAAAYABgBb&#10;AQAAtwMAAAAA&#10;" path="m107,0c53,67,0,135,2,210c4,285,102,433,122,450e">
                    <v:path o:connectlocs="79,0;1,156;91,336" o:connectangles="0,0,0"/>
                    <v:fill on="f" focussize="0,0"/>
                    <v:stroke weight="0.5pt" color="#000000" joinstyle="round"/>
                    <v:imagedata o:title=""/>
                    <o:lock v:ext="edit" aspectratio="f"/>
                  </v:shape>
                  <v:shape id="Freeform 54" o:spid="_x0000_s1026" o:spt="100" style="position:absolute;left:22;top:247;height:337;width:92;rotation:11796480f;" filled="f" stroked="t" coordsize="122,450" o:gfxdata="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2JkjLsAAADd&#10;AAAADwAAAAAAAAABACAAAAAiAAAAZHJzL2Rvd25yZXYueG1sUEsBAhQAFAAAAAgAh07iQDMvBZ47&#10;AAAAOQAAABAAAAAAAAAAAQAgAAAACgEAAGRycy9zaGFwZXhtbC54bWxQSwUGAAAAAAYABgBbAQAA&#10;tAMAAAAA&#10;" path="m107,0c53,67,0,135,2,210c4,285,102,433,122,450e">
                    <v:path o:connectlocs="80,0;1,157;92,337" o:connectangles="0,0,0"/>
                    <v:fill on="f" focussize="0,0"/>
                    <v:stroke weight="0.5pt" color="#000000" joinstyle="round"/>
                    <v:imagedata o:title=""/>
                    <o:lock v:ext="edit" aspectratio="f"/>
                  </v:shape>
                  <v:shape id="Freeform 55" o:spid="_x0000_s1026" o:spt="100" style="position:absolute;left:78;top:0;height:337;width:92;rotation:11796480f;" filled="f" stroked="t" coordsize="122,450" o:gfxdata="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Iv8+LsAAADd&#10;AAAADwAAAAAAAAABACAAAAAiAAAAZHJzL2Rvd25yZXYueG1sUEsBAhQAFAAAAAgAh07iQDMvBZ47&#10;AAAAOQAAABAAAAAAAAAAAQAgAAAACgEAAGRycy9zaGFwZXhtbC54bWxQSwUGAAAAAAYABgBbAQAA&#10;tAMAAAAA&#10;" path="m107,0c53,67,0,135,2,210c4,285,102,433,122,450e">
                    <v:path o:connectlocs="80,0;1,157;92,337" o:connectangles="0,0,0"/>
                    <v:fill on="f" focussize="0,0"/>
                    <v:stroke weight="0.5pt" color="#000000" joinstyle="round"/>
                    <v:imagedata o:title=""/>
                    <o:lock v:ext="edit" aspectratio="f"/>
                  </v:shape>
                </v:group>
                <v:rect id="Rectangle 56" o:spid="_x0000_s1026" o:spt="1" style="position:absolute;left:890000;top:55276;height:181136;width:342569;" filled="f" stroked="f" coordsize="21600,21600" o:gfxdata="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qhe1+8AAAA&#10;3Q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r>
                          <w:rPr>
                            <w:rFonts w:hint="eastAsia"/>
                          </w:rPr>
                          <w:t>罩壁</w:t>
                        </w:r>
                      </w:p>
                    </w:txbxContent>
                  </v:textbox>
                </v:rect>
                <v:rect id="Rectangle 57" o:spid="_x0000_s1026" o:spt="1" style="position:absolute;left:1071060;top:312099;height:181136;width:342569;" filled="f" stroked="f" coordsize="21600,21600" o:gfxdata="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TIkb2ugAAANw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pPr/>
                        <w:r>
                          <w:rPr>
                            <w:rFonts w:hint="eastAsia"/>
                          </w:rPr>
                          <w:t>衬里</w:t>
                        </w:r>
                      </w:p>
                    </w:txbxContent>
                  </v:textbox>
                </v:rect>
                <v:line id="Line 58" o:spid="_x0000_s1026" o:spt="20" style="position:absolute;left:842397;top:380131;flip:x;height:218554;width:219312;" filled="f" stroked="t" coordsize="21600,21600" o:gfxdata="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5nsrsAAADc&#10;AAAADwAAAAAAAAABACAAAAAiAAAAZHJzL2Rvd25yZXYueG1sUEsBAhQAFAAAAAgAh07iQDMvBZ47&#10;AAAAOQAAABAAAAAAAAAAAQAgAAAACgEAAGRycy9zaGFwZXhtbC54bWxQSwUGAAAAAAYABgBbAQAA&#10;tAMAAAAA&#10;">
                  <v:fill on="f" focussize="0,0"/>
                  <v:stroke weight="0.5pt" color="#000000" joinstyle="round" endarrow="block" endarrowwidth="narrow"/>
                  <v:imagedata o:title=""/>
                  <o:lock v:ext="edit" aspectratio="f"/>
                </v:line>
                <v:line id="Line 59" o:spid="_x0000_s1026" o:spt="20" style="position:absolute;left:718290;top:198995;flip:x;height:113954;width:114756;" filled="f" stroked="t" coordsize="21600,21600" o:gfxdata="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QVhsbsAAADc&#10;AAAADwAAAAAAAAABACAAAAAiAAAAZHJzL2Rvd25yZXYueG1sUEsBAhQAFAAAAAgAh07iQDMvBZ47&#10;AAAAOQAAABAAAAAAAAAAAQAgAAAACgEAAGRycy9zaGFwZXhtbC54bWxQSwUGAAAAAAYABgBbAQAA&#10;tAMAAAAA&#10;">
                  <v:fill on="f" focussize="0,0"/>
                  <v:stroke weight="0.5pt" color="#000000" joinstyle="round" endarrow="block" endarrowwidth="narrow"/>
                  <v:imagedata o:title=""/>
                  <o:lock v:ext="edit" aspectratio="f"/>
                </v:line>
                <v:line id="Line 60" o:spid="_x0000_s1026" o:spt="20" style="position:absolute;left:1299723;top:552763;flip:x;height:218554;width:219312;" filled="f" stroked="t" coordsize="21600,21600" o:gfxdata="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Jr1w74A&#10;AADcAAAADwAAAAAAAAABACAAAAAiAAAAZHJzL2Rvd25yZXYueG1sUEsBAhQAFAAAAAgAh07iQDMv&#10;BZ47AAAAOQAAABAAAAAAAAAAAQAgAAAADQEAAGRycy9zaGFwZXhtbC54bWxQSwUGAAAAAAYABgBb&#10;AQAAtwMAAAAA&#10;">
                  <v:fill on="f" focussize="0,0"/>
                  <v:stroke weight="0.5pt" color="#000000" joinstyle="round" endarrow="block" endarrowwidth="narrow"/>
                  <v:imagedata o:title=""/>
                  <o:lock v:ext="edit" aspectratio="f"/>
                </v:line>
                <v:rect id="Rectangle 61" o:spid="_x0000_s1026" o:spt="1" style="position:absolute;left:1519036;top:408194;height:181136;width:343419;" filled="f" stroked="f" coordsize="21600,21600" o:gfxdata="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YbUh7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r>
                          <w:rPr>
                            <w:rFonts w:hint="eastAsia"/>
                          </w:rPr>
                          <w:t>管道</w:t>
                        </w:r>
                      </w:p>
                    </w:txbxContent>
                  </v:textbox>
                </v:rect>
              </v:group>
            </w:pict>
          </mc:Fallback>
        </mc:AlternateContent>
      </w:r>
      <w:r>
        <w:rPr>
          <w:color w:val="auto"/>
        </w:rPr>
        <mc:AlternateContent>
          <mc:Choice Requires="wps">
            <w:drawing>
              <wp:inline distT="0" distB="0" distL="0" distR="0">
                <wp:extent cx="2314575" cy="1495425"/>
                <wp:effectExtent l="0" t="0" r="0" b="0"/>
                <wp:docPr id="28" name="Picture 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314575" cy="149542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Picture 34" o:spid="_x0000_s1026" o:spt="1" style="height:117.75pt;width:182.25pt;" filled="f" stroked="f" coordsize="21600,21600" o:gfxdata="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oNT7&#10;k9cAAAAFAQAADwAAAAAAAAABACAAAAAiAAAAZHJzL2Rvd25yZXYueG1sUEsBAhQAFAAAAAgAh07i&#10;QPFhsM/qAQAAxgMAAA4AAAAAAAAAAQAgAAAAJgEAAGRycy9lMm9Eb2MueG1sUEsFBgAAAAAGAAYA&#10;WQEAAIIFAAAAAA==&#10;">
                <v:fill on="f" focussize="0,0"/>
                <v:stroke on="f"/>
                <v:imagedata o:title=""/>
                <o:lock v:ext="edit" aspectratio="t"/>
                <w10:wrap type="none"/>
                <w10:anchorlock/>
              </v:rect>
            </w:pict>
          </mc:Fallback>
        </mc:AlternateContent>
      </w:r>
    </w:p>
    <w:p>
      <w:pPr>
        <w:spacing w:line="360" w:lineRule="auto"/>
        <w:jc w:val="center"/>
        <w:rPr>
          <w:b/>
          <w:color w:val="auto"/>
        </w:rPr>
      </w:pPr>
      <w:r>
        <w:rPr>
          <w:b/>
          <w:color w:val="auto"/>
        </w:rPr>
        <w:t>图</w:t>
      </w:r>
      <w:r>
        <w:rPr>
          <w:b/>
          <w:color w:val="auto"/>
        </w:rPr>
        <w:fldChar w:fldCharType="begin"/>
      </w:r>
      <w:r>
        <w:rPr>
          <w:b/>
          <w:color w:val="auto"/>
        </w:rPr>
        <w:instrText xml:space="preserve"> STYLEREF 2 \s </w:instrText>
      </w:r>
      <w:r>
        <w:rPr>
          <w:b/>
          <w:color w:val="auto"/>
        </w:rPr>
        <w:fldChar w:fldCharType="separate"/>
      </w:r>
      <w:r>
        <w:rPr>
          <w:b/>
          <w:color w:val="auto"/>
        </w:rPr>
        <w:t>6.2</w:t>
      </w:r>
      <w:r>
        <w:rPr>
          <w:b/>
          <w:color w:val="auto"/>
        </w:rPr>
        <w:fldChar w:fldCharType="end"/>
      </w:r>
      <w:r>
        <w:rPr>
          <w:b/>
          <w:color w:val="auto"/>
        </w:rPr>
        <w:noBreakHyphen/>
      </w:r>
      <w:r>
        <w:rPr>
          <w:rFonts w:hint="eastAsia"/>
          <w:b/>
          <w:color w:val="auto"/>
        </w:rPr>
        <w:t>11</w:t>
      </w:r>
      <w:r>
        <w:rPr>
          <w:b/>
          <w:color w:val="auto"/>
        </w:rPr>
        <w:t xml:space="preserve">  隔声罩与管道相接的方法</w:t>
      </w:r>
    </w:p>
    <w:p>
      <w:pPr>
        <w:spacing w:line="360" w:lineRule="auto"/>
        <w:ind w:firstLine="480" w:firstLineChars="200"/>
        <w:jc w:val="both"/>
        <w:rPr>
          <w:color w:val="auto"/>
        </w:rPr>
      </w:pPr>
      <w:r>
        <w:rPr>
          <w:color w:val="auto"/>
        </w:rPr>
        <w:t>窗体的隔声：观察窗采用双层玻璃,玻璃厚度为5mm，玻璃四周用橡皮条与罩体进行密封处理，两玻璃之间留有6mm空气层。</w:t>
      </w:r>
    </w:p>
    <w:p>
      <w:pPr>
        <w:spacing w:line="360" w:lineRule="auto"/>
        <w:ind w:firstLine="480" w:firstLineChars="200"/>
        <w:jc w:val="both"/>
        <w:rPr>
          <w:color w:val="auto"/>
        </w:rPr>
      </w:pPr>
      <w:r>
        <w:rPr>
          <w:color w:val="auto"/>
        </w:rPr>
        <w:t>效果分析：类比同类工程案例的治理结果，整体隔声罩的实际隔声量可达到20dB（A）左右，另考虑空压机房的墙体（混凝土墙体）隔声量约15dB（A）左右，空压机房室外噪声可降低35dB（A）。</w:t>
      </w:r>
    </w:p>
    <w:p>
      <w:pPr>
        <w:spacing w:line="360" w:lineRule="auto"/>
        <w:ind w:firstLine="480" w:firstLineChars="200"/>
        <w:jc w:val="both"/>
        <w:rPr>
          <w:color w:val="auto"/>
        </w:rPr>
      </w:pPr>
    </w:p>
    <w:tbl>
      <w:tblPr>
        <w:tblStyle w:val="53"/>
        <w:tblW w:w="7080" w:type="dxa"/>
        <w:jc w:val="center"/>
        <w:tblInd w:w="0" w:type="dxa"/>
        <w:tblLayout w:type="fixed"/>
        <w:tblCellMar>
          <w:top w:w="0" w:type="dxa"/>
          <w:left w:w="108" w:type="dxa"/>
          <w:bottom w:w="0" w:type="dxa"/>
          <w:right w:w="108" w:type="dxa"/>
        </w:tblCellMar>
      </w:tblPr>
      <w:tblGrid>
        <w:gridCol w:w="992"/>
        <w:gridCol w:w="4536"/>
        <w:gridCol w:w="1552"/>
      </w:tblGrid>
      <w:tr>
        <w:tblPrEx>
          <w:tblLayout w:type="fixed"/>
          <w:tblCellMar>
            <w:top w:w="0" w:type="dxa"/>
            <w:left w:w="108" w:type="dxa"/>
            <w:bottom w:w="0" w:type="dxa"/>
            <w:right w:w="108" w:type="dxa"/>
          </w:tblCellMar>
        </w:tblPrEx>
        <w:trPr>
          <w:trHeight w:val="403" w:hRule="atLeast"/>
          <w:jc w:val="center"/>
        </w:trPr>
        <w:tc>
          <w:tcPr>
            <w:tcW w:w="992" w:type="dxa"/>
            <w:vMerge w:val="restart"/>
          </w:tcPr>
          <w:p>
            <w:pPr>
              <w:rPr>
                <w:color w:val="auto"/>
              </w:rPr>
            </w:pPr>
            <w:r>
              <w:rPr>
                <w:color w:val="auto"/>
              </w:rPr>
              <w:t>倍</w:t>
            </w:r>
          </w:p>
          <w:p>
            <w:pPr>
              <w:rPr>
                <w:color w:val="auto"/>
              </w:rPr>
            </w:pPr>
            <w:r>
              <w:rPr>
                <w:color w:val="auto"/>
              </w:rPr>
              <w:t>频</w:t>
            </w:r>
          </w:p>
          <w:p>
            <w:pPr>
              <w:rPr>
                <w:color w:val="auto"/>
              </w:rPr>
            </w:pPr>
            <w:r>
              <w:rPr>
                <w:color w:val="auto"/>
              </w:rPr>
              <w:t>带</w:t>
            </w:r>
          </w:p>
          <w:p>
            <w:pPr>
              <w:rPr>
                <w:color w:val="auto"/>
              </w:rPr>
            </w:pPr>
            <w:r>
              <w:rPr>
                <w:color w:val="auto"/>
              </w:rPr>
              <w:t>声</w:t>
            </w:r>
          </w:p>
          <w:p>
            <w:pPr>
              <w:rPr>
                <w:color w:val="auto"/>
              </w:rPr>
            </w:pPr>
            <w:r>
              <w:rPr>
                <w:color w:val="auto"/>
              </w:rPr>
              <w:t>压</w:t>
            </w:r>
          </w:p>
          <w:p>
            <w:pPr>
              <w:rPr>
                <w:color w:val="auto"/>
              </w:rPr>
            </w:pPr>
            <w:r>
              <w:rPr>
                <w:color w:val="auto"/>
              </w:rPr>
              <w:t>级</w:t>
            </w:r>
          </w:p>
          <w:p>
            <w:pPr>
              <w:rPr>
                <w:color w:val="auto"/>
              </w:rPr>
            </w:pPr>
            <w:r>
              <w:rPr>
                <w:color w:val="auto"/>
              </w:rPr>
              <w:t>dB（A）</w:t>
            </w:r>
          </w:p>
        </w:tc>
        <w:tc>
          <w:tcPr>
            <w:tcW w:w="4536" w:type="dxa"/>
            <w:vMerge w:val="restart"/>
          </w:tcPr>
          <w:p>
            <w:pPr>
              <w:rPr>
                <w:color w:val="auto"/>
              </w:rPr>
            </w:pPr>
            <w:r>
              <w:rPr>
                <w:color w:val="auto"/>
              </w:rPr>
              <w:drawing>
                <wp:inline distT="0" distB="0" distL="0" distR="0">
                  <wp:extent cx="2933700" cy="1200150"/>
                  <wp:effectExtent l="0" t="0" r="0" b="0"/>
                  <wp:docPr id="11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933700" cy="1200150"/>
                          </a:xfrm>
                          <a:prstGeom prst="rect">
                            <a:avLst/>
                          </a:prstGeom>
                          <a:noFill/>
                          <a:ln>
                            <a:noFill/>
                          </a:ln>
                        </pic:spPr>
                      </pic:pic>
                    </a:graphicData>
                  </a:graphic>
                </wp:inline>
              </w:drawing>
            </w:r>
          </w:p>
        </w:tc>
        <w:tc>
          <w:tcPr>
            <w:tcW w:w="1552" w:type="dxa"/>
          </w:tcPr>
          <w:p>
            <w:pPr>
              <w:rPr>
                <w:color w:val="auto"/>
              </w:rPr>
            </w:pPr>
          </w:p>
        </w:tc>
      </w:tr>
      <w:tr>
        <w:tblPrEx>
          <w:tblLayout w:type="fixed"/>
          <w:tblCellMar>
            <w:top w:w="0" w:type="dxa"/>
            <w:left w:w="108" w:type="dxa"/>
            <w:bottom w:w="0" w:type="dxa"/>
            <w:right w:w="108" w:type="dxa"/>
          </w:tblCellMar>
        </w:tblPrEx>
        <w:trPr>
          <w:trHeight w:val="20" w:hRule="atLeast"/>
          <w:jc w:val="center"/>
        </w:trPr>
        <w:tc>
          <w:tcPr>
            <w:tcW w:w="992" w:type="dxa"/>
            <w:vMerge w:val="continue"/>
          </w:tcPr>
          <w:p>
            <w:pPr>
              <w:rPr>
                <w:color w:val="auto"/>
              </w:rPr>
            </w:pPr>
          </w:p>
        </w:tc>
        <w:tc>
          <w:tcPr>
            <w:tcW w:w="4536" w:type="dxa"/>
            <w:vMerge w:val="continue"/>
          </w:tcPr>
          <w:p>
            <w:pPr>
              <w:rPr>
                <w:color w:val="auto"/>
              </w:rPr>
            </w:pPr>
          </w:p>
        </w:tc>
        <w:tc>
          <w:tcPr>
            <w:tcW w:w="1552" w:type="dxa"/>
          </w:tcPr>
          <w:p>
            <w:pPr>
              <w:rPr>
                <w:color w:val="auto"/>
              </w:rPr>
            </w:pPr>
            <w:r>
              <w:rPr>
                <w:color w:val="auto"/>
              </w:rPr>
              <w:t>有罩理论噪声</w:t>
            </w:r>
          </w:p>
        </w:tc>
      </w:tr>
      <w:tr>
        <w:tblPrEx>
          <w:tblLayout w:type="fixed"/>
          <w:tblCellMar>
            <w:top w:w="0" w:type="dxa"/>
            <w:left w:w="108" w:type="dxa"/>
            <w:bottom w:w="0" w:type="dxa"/>
            <w:right w:w="108" w:type="dxa"/>
          </w:tblCellMar>
        </w:tblPrEx>
        <w:trPr>
          <w:trHeight w:val="20" w:hRule="atLeast"/>
          <w:jc w:val="center"/>
        </w:trPr>
        <w:tc>
          <w:tcPr>
            <w:tcW w:w="992" w:type="dxa"/>
            <w:vMerge w:val="continue"/>
          </w:tcPr>
          <w:p>
            <w:pPr>
              <w:rPr>
                <w:color w:val="auto"/>
              </w:rPr>
            </w:pPr>
          </w:p>
        </w:tc>
        <w:tc>
          <w:tcPr>
            <w:tcW w:w="4536" w:type="dxa"/>
            <w:vMerge w:val="continue"/>
          </w:tcPr>
          <w:p>
            <w:pPr>
              <w:rPr>
                <w:color w:val="auto"/>
              </w:rPr>
            </w:pPr>
          </w:p>
        </w:tc>
        <w:tc>
          <w:tcPr>
            <w:tcW w:w="1552" w:type="dxa"/>
          </w:tcPr>
          <w:p>
            <w:pPr>
              <w:rPr>
                <w:color w:val="auto"/>
              </w:rPr>
            </w:pPr>
            <w:r>
              <w:rPr>
                <w:color w:val="auto"/>
              </w:rPr>
              <w:t>有罩实测噪声</w:t>
            </w:r>
          </w:p>
        </w:tc>
      </w:tr>
      <w:tr>
        <w:tblPrEx>
          <w:tblLayout w:type="fixed"/>
          <w:tblCellMar>
            <w:top w:w="0" w:type="dxa"/>
            <w:left w:w="108" w:type="dxa"/>
            <w:bottom w:w="0" w:type="dxa"/>
            <w:right w:w="108" w:type="dxa"/>
          </w:tblCellMar>
        </w:tblPrEx>
        <w:trPr>
          <w:trHeight w:val="20" w:hRule="atLeast"/>
          <w:jc w:val="center"/>
        </w:trPr>
        <w:tc>
          <w:tcPr>
            <w:tcW w:w="992" w:type="dxa"/>
            <w:vMerge w:val="continue"/>
          </w:tcPr>
          <w:p>
            <w:pPr>
              <w:rPr>
                <w:color w:val="auto"/>
              </w:rPr>
            </w:pPr>
          </w:p>
        </w:tc>
        <w:tc>
          <w:tcPr>
            <w:tcW w:w="4536" w:type="dxa"/>
            <w:vMerge w:val="continue"/>
          </w:tcPr>
          <w:p>
            <w:pPr>
              <w:rPr>
                <w:color w:val="auto"/>
              </w:rPr>
            </w:pPr>
          </w:p>
        </w:tc>
        <w:tc>
          <w:tcPr>
            <w:tcW w:w="1552" w:type="dxa"/>
          </w:tcPr>
          <w:p>
            <w:pPr>
              <w:rPr>
                <w:color w:val="auto"/>
              </w:rPr>
            </w:pPr>
            <w:r>
              <w:rPr>
                <w:color w:val="auto"/>
              </w:rPr>
              <w:t>无罩噪声</w:t>
            </w:r>
          </w:p>
        </w:tc>
      </w:tr>
      <w:tr>
        <w:tblPrEx>
          <w:tblLayout w:type="fixed"/>
          <w:tblCellMar>
            <w:top w:w="0" w:type="dxa"/>
            <w:left w:w="108" w:type="dxa"/>
            <w:bottom w:w="0" w:type="dxa"/>
            <w:right w:w="108" w:type="dxa"/>
          </w:tblCellMar>
        </w:tblPrEx>
        <w:trPr>
          <w:trHeight w:val="20" w:hRule="atLeast"/>
          <w:jc w:val="center"/>
        </w:trPr>
        <w:tc>
          <w:tcPr>
            <w:tcW w:w="992" w:type="dxa"/>
            <w:vMerge w:val="continue"/>
          </w:tcPr>
          <w:p>
            <w:pPr>
              <w:rPr>
                <w:color w:val="auto"/>
              </w:rPr>
            </w:pPr>
          </w:p>
        </w:tc>
        <w:tc>
          <w:tcPr>
            <w:tcW w:w="4536" w:type="dxa"/>
            <w:vMerge w:val="continue"/>
          </w:tcPr>
          <w:p>
            <w:pPr>
              <w:rPr>
                <w:color w:val="auto"/>
              </w:rPr>
            </w:pPr>
          </w:p>
        </w:tc>
        <w:tc>
          <w:tcPr>
            <w:tcW w:w="1552" w:type="dxa"/>
          </w:tcPr>
          <w:p>
            <w:pPr>
              <w:rPr>
                <w:color w:val="auto"/>
              </w:rPr>
            </w:pPr>
          </w:p>
        </w:tc>
      </w:tr>
      <w:tr>
        <w:tblPrEx>
          <w:tblLayout w:type="fixed"/>
          <w:tblCellMar>
            <w:top w:w="0" w:type="dxa"/>
            <w:left w:w="108" w:type="dxa"/>
            <w:bottom w:w="0" w:type="dxa"/>
            <w:right w:w="108" w:type="dxa"/>
          </w:tblCellMar>
        </w:tblPrEx>
        <w:trPr>
          <w:trHeight w:val="20" w:hRule="atLeast"/>
          <w:jc w:val="center"/>
        </w:trPr>
        <w:tc>
          <w:tcPr>
            <w:tcW w:w="992" w:type="dxa"/>
          </w:tcPr>
          <w:p>
            <w:pPr>
              <w:rPr>
                <w:color w:val="auto"/>
              </w:rPr>
            </w:pPr>
          </w:p>
        </w:tc>
        <w:tc>
          <w:tcPr>
            <w:tcW w:w="4536" w:type="dxa"/>
          </w:tcPr>
          <w:p>
            <w:pPr>
              <w:rPr>
                <w:color w:val="auto"/>
              </w:rPr>
            </w:pPr>
            <w:r>
              <w:rPr>
                <w:color w:val="auto"/>
              </w:rPr>
              <w:t>频率</w:t>
            </w:r>
          </w:p>
        </w:tc>
        <w:tc>
          <w:tcPr>
            <w:tcW w:w="1552" w:type="dxa"/>
          </w:tcPr>
          <w:p>
            <w:pPr>
              <w:rPr>
                <w:color w:val="auto"/>
              </w:rPr>
            </w:pPr>
          </w:p>
        </w:tc>
      </w:tr>
    </w:tbl>
    <w:p>
      <w:pPr>
        <w:spacing w:line="360" w:lineRule="auto"/>
        <w:jc w:val="center"/>
        <w:rPr>
          <w:b/>
          <w:color w:val="auto"/>
        </w:rPr>
      </w:pPr>
      <w:r>
        <w:rPr>
          <w:b/>
          <w:color w:val="auto"/>
        </w:rPr>
        <w:t xml:space="preserve">图 </w:t>
      </w:r>
      <w:r>
        <w:rPr>
          <w:b/>
          <w:color w:val="auto"/>
        </w:rPr>
        <w:fldChar w:fldCharType="begin"/>
      </w:r>
      <w:r>
        <w:rPr>
          <w:b/>
          <w:color w:val="auto"/>
        </w:rPr>
        <w:instrText xml:space="preserve"> STYLEREF 2 \s </w:instrText>
      </w:r>
      <w:r>
        <w:rPr>
          <w:b/>
          <w:color w:val="auto"/>
        </w:rPr>
        <w:fldChar w:fldCharType="separate"/>
      </w:r>
      <w:r>
        <w:rPr>
          <w:b/>
          <w:color w:val="auto"/>
        </w:rPr>
        <w:t>6.2</w:t>
      </w:r>
      <w:r>
        <w:rPr>
          <w:b/>
          <w:color w:val="auto"/>
        </w:rPr>
        <w:fldChar w:fldCharType="end"/>
      </w:r>
      <w:r>
        <w:rPr>
          <w:b/>
          <w:color w:val="auto"/>
        </w:rPr>
        <w:noBreakHyphen/>
      </w:r>
      <w:r>
        <w:rPr>
          <w:rFonts w:hint="eastAsia"/>
          <w:b/>
          <w:color w:val="auto"/>
        </w:rPr>
        <w:t>12</w:t>
      </w:r>
      <w:r>
        <w:rPr>
          <w:b/>
          <w:color w:val="auto"/>
        </w:rPr>
        <w:t xml:space="preserve"> 国内某空压机治理前后各频程声压级比较</w:t>
      </w:r>
    </w:p>
    <w:p>
      <w:pPr>
        <w:spacing w:line="360" w:lineRule="auto"/>
        <w:ind w:firstLine="480" w:firstLineChars="200"/>
        <w:jc w:val="both"/>
        <w:rPr>
          <w:color w:val="auto"/>
        </w:rPr>
      </w:pPr>
      <w:r>
        <w:rPr>
          <w:color w:val="auto"/>
        </w:rPr>
        <w:t>（8）绿化和围墙</w:t>
      </w:r>
    </w:p>
    <w:p>
      <w:pPr>
        <w:spacing w:line="360" w:lineRule="auto"/>
        <w:ind w:firstLine="480" w:firstLineChars="200"/>
        <w:jc w:val="both"/>
        <w:rPr>
          <w:color w:val="auto"/>
        </w:rPr>
      </w:pPr>
      <w:r>
        <w:rPr>
          <w:color w:val="auto"/>
        </w:rPr>
        <w:t>厂区内种植树木，可以起到降噪作用，延厂界种植高大乔木，乔灌木结合，共可以降低噪声3dB（A）左右。</w:t>
      </w:r>
    </w:p>
    <w:p>
      <w:pPr>
        <w:spacing w:line="360" w:lineRule="auto"/>
        <w:ind w:firstLine="480" w:firstLineChars="200"/>
        <w:jc w:val="both"/>
        <w:rPr>
          <w:color w:val="auto"/>
        </w:rPr>
      </w:pPr>
      <w:r>
        <w:rPr>
          <w:color w:val="auto"/>
        </w:rPr>
        <w:t>通过上述隔音、吸音、消音、防震措施，其噪声值可以达到《工业企业厂界环境噪声排放标准》（GB 12348—2008）2类标准的规定要求，本项目可实现厂界环境噪声达标，本项目的噪声对敏感点的影响不大。</w:t>
      </w:r>
      <w:r>
        <w:rPr>
          <w:rFonts w:hint="eastAsia"/>
          <w:color w:val="auto"/>
        </w:rPr>
        <w:t>建议建设单位结合项目周边防护绿地种植树木或加建围墙，以达到声屏障降噪的目的。</w:t>
      </w:r>
    </w:p>
    <w:p>
      <w:pPr>
        <w:pStyle w:val="4"/>
        <w:rPr>
          <w:b/>
          <w:color w:val="auto"/>
        </w:rPr>
      </w:pPr>
      <w:bookmarkStart w:id="802" w:name="_Toc15912222"/>
      <w:bookmarkStart w:id="803" w:name="_Toc14946929"/>
      <w:bookmarkStart w:id="804" w:name="_Toc34234758"/>
      <w:bookmarkStart w:id="805" w:name="_Toc17973"/>
      <w:bookmarkStart w:id="806" w:name="_Toc24136840"/>
      <w:r>
        <w:rPr>
          <w:b/>
          <w:color w:val="auto"/>
        </w:rPr>
        <w:t>固废污染治理措施</w:t>
      </w:r>
      <w:bookmarkEnd w:id="802"/>
      <w:bookmarkEnd w:id="803"/>
      <w:bookmarkEnd w:id="804"/>
      <w:bookmarkEnd w:id="805"/>
      <w:bookmarkEnd w:id="806"/>
    </w:p>
    <w:p>
      <w:pPr>
        <w:autoSpaceDE w:val="0"/>
        <w:autoSpaceDN w:val="0"/>
        <w:adjustRightInd w:val="0"/>
        <w:spacing w:line="360" w:lineRule="auto"/>
        <w:rPr>
          <w:b/>
          <w:bCs/>
          <w:color w:val="auto"/>
          <w:kern w:val="0"/>
        </w:rPr>
      </w:pPr>
      <w:r>
        <w:rPr>
          <w:rFonts w:hint="eastAsia"/>
          <w:b/>
          <w:bCs/>
          <w:color w:val="auto"/>
          <w:kern w:val="0"/>
        </w:rPr>
        <w:t>6.2.4.1固渣</w:t>
      </w:r>
      <w:r>
        <w:rPr>
          <w:b/>
          <w:bCs/>
          <w:color w:val="auto"/>
          <w:kern w:val="0"/>
        </w:rPr>
        <w:t xml:space="preserve">治理措施 </w:t>
      </w:r>
    </w:p>
    <w:p>
      <w:pPr>
        <w:spacing w:line="360" w:lineRule="auto"/>
        <w:ind w:firstLine="480" w:firstLineChars="200"/>
        <w:jc w:val="both"/>
        <w:rPr>
          <w:color w:val="auto"/>
        </w:rPr>
      </w:pPr>
      <w:r>
        <w:rPr>
          <w:color w:val="auto"/>
        </w:rPr>
        <w:t>本项目</w:t>
      </w:r>
      <w:r>
        <w:rPr>
          <w:rFonts w:hint="eastAsia"/>
          <w:color w:val="auto"/>
        </w:rPr>
        <w:t>餐厨处理过程中会产生脱水残渣、除油残渣、粗油脂、废UV光解灯管和废机油以及建筑垃圾消纳场产生的沉淀池</w:t>
      </w:r>
      <w:r>
        <w:rPr>
          <w:color w:val="auto"/>
        </w:rPr>
        <w:t>沉沙</w:t>
      </w:r>
      <w:r>
        <w:rPr>
          <w:rFonts w:hint="eastAsia"/>
          <w:color w:val="auto"/>
        </w:rPr>
        <w:t>。</w:t>
      </w:r>
    </w:p>
    <w:p>
      <w:pPr>
        <w:spacing w:line="360" w:lineRule="auto"/>
        <w:ind w:firstLine="480" w:firstLineChars="200"/>
        <w:jc w:val="both"/>
        <w:rPr>
          <w:color w:val="auto"/>
        </w:rPr>
      </w:pPr>
      <w:r>
        <w:rPr>
          <w:rFonts w:hint="eastAsia"/>
          <w:color w:val="auto"/>
        </w:rPr>
        <w:t>其中脱水残渣、除油残渣经收集后运至园区内在建的生活垃圾焚烧炉焚烧处理，粗油脂经收集后交由回收公司回收处理，沉淀池沉沙经板框压滤机压滤脱水后回填建筑垃圾消纳场，废UV光解灯管和废机油经分类收集后交由有资质的单位回收。</w:t>
      </w:r>
    </w:p>
    <w:p>
      <w:pPr>
        <w:spacing w:line="360" w:lineRule="auto"/>
        <w:ind w:firstLine="482" w:firstLineChars="200"/>
        <w:jc w:val="center"/>
        <w:rPr>
          <w:b/>
          <w:color w:val="auto"/>
        </w:rPr>
      </w:pPr>
      <w:r>
        <w:rPr>
          <w:b/>
          <w:color w:val="auto"/>
        </w:rPr>
        <w:t>表6.2-</w:t>
      </w:r>
      <w:r>
        <w:rPr>
          <w:rFonts w:hint="eastAsia"/>
          <w:b/>
          <w:color w:val="auto"/>
        </w:rPr>
        <w:t>1</w:t>
      </w:r>
      <w:r>
        <w:rPr>
          <w:rFonts w:hint="eastAsia"/>
          <w:b/>
          <w:color w:val="auto"/>
          <w:lang w:val="en-US" w:eastAsia="zh-CN"/>
        </w:rPr>
        <w:t>2</w:t>
      </w:r>
      <w:r>
        <w:rPr>
          <w:b/>
          <w:color w:val="auto"/>
        </w:rPr>
        <w:t xml:space="preserve"> 项目固废处置措施</w:t>
      </w:r>
    </w:p>
    <w:tbl>
      <w:tblPr>
        <w:tblStyle w:val="54"/>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417"/>
        <w:gridCol w:w="1276"/>
        <w:gridCol w:w="1134"/>
        <w:gridCol w:w="992"/>
        <w:gridCol w:w="2552"/>
        <w:gridCol w:w="13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34" w:type="dxa"/>
            <w:vAlign w:val="center"/>
          </w:tcPr>
          <w:p>
            <w:pPr>
              <w:spacing w:line="360" w:lineRule="auto"/>
              <w:jc w:val="center"/>
              <w:rPr>
                <w:rFonts w:eastAsiaTheme="minorEastAsia"/>
                <w:b/>
                <w:bCs/>
                <w:color w:val="auto"/>
                <w:kern w:val="0"/>
                <w:sz w:val="21"/>
                <w:szCs w:val="21"/>
              </w:rPr>
            </w:pPr>
            <w:r>
              <w:rPr>
                <w:rFonts w:hint="eastAsia" w:eastAsiaTheme="minorEastAsia"/>
                <w:b/>
                <w:bCs/>
                <w:color w:val="auto"/>
                <w:kern w:val="0"/>
                <w:sz w:val="21"/>
                <w:szCs w:val="21"/>
              </w:rPr>
              <w:t>序号</w:t>
            </w:r>
          </w:p>
        </w:tc>
        <w:tc>
          <w:tcPr>
            <w:tcW w:w="1417" w:type="dxa"/>
            <w:vAlign w:val="center"/>
          </w:tcPr>
          <w:p>
            <w:pPr>
              <w:spacing w:line="360" w:lineRule="auto"/>
              <w:jc w:val="center"/>
              <w:rPr>
                <w:rFonts w:eastAsiaTheme="minorEastAsia"/>
                <w:b/>
                <w:bCs/>
                <w:color w:val="auto"/>
                <w:kern w:val="0"/>
                <w:sz w:val="21"/>
                <w:szCs w:val="21"/>
              </w:rPr>
            </w:pPr>
            <w:r>
              <w:rPr>
                <w:rFonts w:hint="eastAsia" w:eastAsiaTheme="minorEastAsia"/>
                <w:b/>
                <w:bCs/>
                <w:color w:val="auto"/>
                <w:kern w:val="0"/>
                <w:sz w:val="21"/>
                <w:szCs w:val="21"/>
              </w:rPr>
              <w:t>名称</w:t>
            </w:r>
          </w:p>
        </w:tc>
        <w:tc>
          <w:tcPr>
            <w:tcW w:w="1276" w:type="dxa"/>
            <w:vAlign w:val="center"/>
          </w:tcPr>
          <w:p>
            <w:pPr>
              <w:spacing w:line="360" w:lineRule="auto"/>
              <w:jc w:val="center"/>
              <w:rPr>
                <w:rFonts w:eastAsiaTheme="minorEastAsia"/>
                <w:b/>
                <w:bCs/>
                <w:color w:val="auto"/>
                <w:kern w:val="0"/>
                <w:sz w:val="21"/>
                <w:szCs w:val="21"/>
              </w:rPr>
            </w:pPr>
            <w:r>
              <w:rPr>
                <w:rFonts w:hint="eastAsia" w:eastAsiaTheme="minorEastAsia"/>
                <w:b/>
                <w:bCs/>
                <w:color w:val="auto"/>
                <w:kern w:val="0"/>
                <w:sz w:val="21"/>
                <w:szCs w:val="21"/>
              </w:rPr>
              <w:t>产生工序</w:t>
            </w:r>
          </w:p>
        </w:tc>
        <w:tc>
          <w:tcPr>
            <w:tcW w:w="1134" w:type="dxa"/>
            <w:vAlign w:val="center"/>
          </w:tcPr>
          <w:p>
            <w:pPr>
              <w:spacing w:line="360" w:lineRule="auto"/>
              <w:jc w:val="center"/>
              <w:rPr>
                <w:rFonts w:eastAsiaTheme="minorEastAsia"/>
                <w:b/>
                <w:bCs/>
                <w:color w:val="auto"/>
                <w:kern w:val="0"/>
                <w:sz w:val="21"/>
                <w:szCs w:val="21"/>
              </w:rPr>
            </w:pPr>
            <w:r>
              <w:rPr>
                <w:rFonts w:hint="eastAsia" w:eastAsiaTheme="minorEastAsia"/>
                <w:b/>
                <w:bCs/>
                <w:color w:val="auto"/>
                <w:kern w:val="0"/>
                <w:sz w:val="21"/>
                <w:szCs w:val="21"/>
              </w:rPr>
              <w:t>属性</w:t>
            </w:r>
          </w:p>
        </w:tc>
        <w:tc>
          <w:tcPr>
            <w:tcW w:w="992" w:type="dxa"/>
            <w:vAlign w:val="center"/>
          </w:tcPr>
          <w:p>
            <w:pPr>
              <w:spacing w:line="360" w:lineRule="auto"/>
              <w:jc w:val="center"/>
              <w:rPr>
                <w:rFonts w:eastAsiaTheme="minorEastAsia"/>
                <w:b/>
                <w:bCs/>
                <w:color w:val="auto"/>
                <w:kern w:val="0"/>
                <w:sz w:val="21"/>
                <w:szCs w:val="21"/>
              </w:rPr>
            </w:pPr>
            <w:r>
              <w:rPr>
                <w:rFonts w:hint="eastAsia" w:eastAsiaTheme="minorEastAsia"/>
                <w:b/>
                <w:bCs/>
                <w:color w:val="auto"/>
                <w:kern w:val="0"/>
                <w:sz w:val="21"/>
                <w:szCs w:val="21"/>
              </w:rPr>
              <w:t>产生量（t/a）</w:t>
            </w:r>
          </w:p>
        </w:tc>
        <w:tc>
          <w:tcPr>
            <w:tcW w:w="2552" w:type="dxa"/>
            <w:vAlign w:val="center"/>
          </w:tcPr>
          <w:p>
            <w:pPr>
              <w:spacing w:line="360" w:lineRule="auto"/>
              <w:jc w:val="center"/>
              <w:rPr>
                <w:rFonts w:eastAsiaTheme="minorEastAsia"/>
                <w:b/>
                <w:bCs/>
                <w:color w:val="auto"/>
                <w:kern w:val="0"/>
                <w:sz w:val="21"/>
                <w:szCs w:val="21"/>
              </w:rPr>
            </w:pPr>
            <w:r>
              <w:rPr>
                <w:rFonts w:hint="eastAsia" w:eastAsiaTheme="minorEastAsia"/>
                <w:b/>
                <w:bCs/>
                <w:color w:val="auto"/>
                <w:kern w:val="0"/>
                <w:sz w:val="21"/>
                <w:szCs w:val="21"/>
              </w:rPr>
              <w:t>处置措施</w:t>
            </w:r>
          </w:p>
        </w:tc>
        <w:tc>
          <w:tcPr>
            <w:tcW w:w="1381" w:type="dxa"/>
            <w:vAlign w:val="center"/>
          </w:tcPr>
          <w:p>
            <w:pPr>
              <w:spacing w:line="360" w:lineRule="auto"/>
              <w:jc w:val="center"/>
              <w:rPr>
                <w:rFonts w:eastAsiaTheme="minorEastAsia"/>
                <w:b/>
                <w:bCs/>
                <w:color w:val="auto"/>
                <w:kern w:val="0"/>
                <w:sz w:val="21"/>
                <w:szCs w:val="21"/>
              </w:rPr>
            </w:pPr>
            <w:r>
              <w:rPr>
                <w:rFonts w:hint="eastAsia" w:eastAsiaTheme="minorEastAsia"/>
                <w:b/>
                <w:bCs/>
                <w:color w:val="auto"/>
                <w:kern w:val="0"/>
                <w:sz w:val="21"/>
                <w:szCs w:val="21"/>
              </w:rPr>
              <w:t>是否符合环保要求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34" w:type="dxa"/>
            <w:vAlign w:val="center"/>
          </w:tcPr>
          <w:p>
            <w:pPr>
              <w:spacing w:line="360" w:lineRule="auto"/>
              <w:jc w:val="center"/>
              <w:rPr>
                <w:rFonts w:eastAsiaTheme="minorEastAsia"/>
                <w:bCs/>
                <w:color w:val="auto"/>
                <w:kern w:val="0"/>
                <w:sz w:val="21"/>
                <w:szCs w:val="21"/>
              </w:rPr>
            </w:pPr>
            <w:r>
              <w:rPr>
                <w:rFonts w:hint="eastAsia" w:eastAsiaTheme="minorEastAsia"/>
                <w:bCs/>
                <w:color w:val="auto"/>
                <w:kern w:val="0"/>
                <w:sz w:val="21"/>
                <w:szCs w:val="21"/>
              </w:rPr>
              <w:t>1</w:t>
            </w:r>
          </w:p>
        </w:tc>
        <w:tc>
          <w:tcPr>
            <w:tcW w:w="1417" w:type="dxa"/>
            <w:vAlign w:val="center"/>
          </w:tcPr>
          <w:p>
            <w:pPr>
              <w:spacing w:line="360" w:lineRule="auto"/>
              <w:jc w:val="center"/>
              <w:rPr>
                <w:rFonts w:eastAsiaTheme="minorEastAsia"/>
                <w:bCs/>
                <w:color w:val="auto"/>
                <w:kern w:val="0"/>
                <w:sz w:val="21"/>
                <w:szCs w:val="21"/>
              </w:rPr>
            </w:pPr>
            <w:r>
              <w:rPr>
                <w:rFonts w:hint="eastAsia"/>
                <w:color w:val="auto"/>
                <w:sz w:val="21"/>
                <w:szCs w:val="21"/>
              </w:rPr>
              <w:t>脱水残渣和除油残渣</w:t>
            </w:r>
          </w:p>
        </w:tc>
        <w:tc>
          <w:tcPr>
            <w:tcW w:w="1276" w:type="dxa"/>
            <w:vAlign w:val="center"/>
          </w:tcPr>
          <w:p>
            <w:pPr>
              <w:spacing w:line="360" w:lineRule="auto"/>
              <w:jc w:val="center"/>
              <w:rPr>
                <w:rFonts w:eastAsiaTheme="minorEastAsia"/>
                <w:bCs/>
                <w:color w:val="auto"/>
                <w:kern w:val="0"/>
                <w:sz w:val="21"/>
                <w:szCs w:val="21"/>
              </w:rPr>
            </w:pPr>
            <w:r>
              <w:rPr>
                <w:rFonts w:hint="eastAsia"/>
                <w:color w:val="auto"/>
                <w:sz w:val="21"/>
                <w:szCs w:val="21"/>
              </w:rPr>
              <w:t>压榨脱水和油水分离</w:t>
            </w:r>
          </w:p>
        </w:tc>
        <w:tc>
          <w:tcPr>
            <w:tcW w:w="1134" w:type="dxa"/>
            <w:vAlign w:val="center"/>
          </w:tcPr>
          <w:p>
            <w:pPr>
              <w:spacing w:line="360" w:lineRule="auto"/>
              <w:jc w:val="center"/>
              <w:rPr>
                <w:rFonts w:eastAsiaTheme="minorEastAsia"/>
                <w:bCs/>
                <w:color w:val="auto"/>
                <w:kern w:val="0"/>
                <w:sz w:val="21"/>
                <w:szCs w:val="21"/>
              </w:rPr>
            </w:pPr>
            <w:r>
              <w:rPr>
                <w:rFonts w:hint="eastAsia" w:eastAsiaTheme="minorEastAsia"/>
                <w:bCs/>
                <w:color w:val="auto"/>
                <w:kern w:val="0"/>
                <w:sz w:val="21"/>
                <w:szCs w:val="21"/>
              </w:rPr>
              <w:t>一般工业固废</w:t>
            </w:r>
          </w:p>
        </w:tc>
        <w:tc>
          <w:tcPr>
            <w:tcW w:w="992" w:type="dxa"/>
            <w:vAlign w:val="center"/>
          </w:tcPr>
          <w:p>
            <w:pPr>
              <w:spacing w:line="360" w:lineRule="auto"/>
              <w:jc w:val="center"/>
              <w:rPr>
                <w:rFonts w:eastAsiaTheme="minorEastAsia"/>
                <w:bCs/>
                <w:color w:val="auto"/>
                <w:kern w:val="0"/>
                <w:sz w:val="21"/>
                <w:szCs w:val="21"/>
              </w:rPr>
            </w:pPr>
            <w:r>
              <w:rPr>
                <w:rFonts w:hint="eastAsia"/>
                <w:color w:val="auto"/>
                <w:sz w:val="21"/>
                <w:szCs w:val="21"/>
              </w:rPr>
              <w:t>4455</w:t>
            </w:r>
          </w:p>
        </w:tc>
        <w:tc>
          <w:tcPr>
            <w:tcW w:w="2552" w:type="dxa"/>
            <w:vAlign w:val="center"/>
          </w:tcPr>
          <w:p>
            <w:pPr>
              <w:spacing w:line="360" w:lineRule="auto"/>
              <w:jc w:val="center"/>
              <w:rPr>
                <w:rFonts w:eastAsiaTheme="minorEastAsia"/>
                <w:bCs/>
                <w:color w:val="auto"/>
                <w:kern w:val="0"/>
                <w:sz w:val="21"/>
                <w:szCs w:val="21"/>
              </w:rPr>
            </w:pPr>
            <w:r>
              <w:rPr>
                <w:rFonts w:hint="eastAsia"/>
                <w:color w:val="auto"/>
                <w:sz w:val="21"/>
                <w:szCs w:val="21"/>
              </w:rPr>
              <w:t>依托园区内在建的生活垃圾焚烧炉焚烧处理</w:t>
            </w:r>
          </w:p>
        </w:tc>
        <w:tc>
          <w:tcPr>
            <w:tcW w:w="1381" w:type="dxa"/>
            <w:vAlign w:val="center"/>
          </w:tcPr>
          <w:p>
            <w:pPr>
              <w:spacing w:line="360" w:lineRule="auto"/>
              <w:jc w:val="center"/>
              <w:rPr>
                <w:rFonts w:eastAsiaTheme="minorEastAsia"/>
                <w:bCs/>
                <w:color w:val="auto"/>
                <w:kern w:val="0"/>
                <w:sz w:val="21"/>
                <w:szCs w:val="21"/>
              </w:rPr>
            </w:pPr>
            <w:r>
              <w:rPr>
                <w:rFonts w:hint="eastAsia"/>
                <w:color w:val="auto"/>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34" w:type="dxa"/>
            <w:vAlign w:val="center"/>
          </w:tcPr>
          <w:p>
            <w:pPr>
              <w:spacing w:line="360" w:lineRule="auto"/>
              <w:jc w:val="center"/>
              <w:rPr>
                <w:rFonts w:eastAsiaTheme="minorEastAsia"/>
                <w:bCs/>
                <w:color w:val="auto"/>
                <w:kern w:val="0"/>
                <w:sz w:val="21"/>
                <w:szCs w:val="21"/>
              </w:rPr>
            </w:pPr>
            <w:r>
              <w:rPr>
                <w:rFonts w:hint="eastAsia" w:eastAsiaTheme="minorEastAsia"/>
                <w:bCs/>
                <w:color w:val="auto"/>
                <w:kern w:val="0"/>
                <w:sz w:val="21"/>
                <w:szCs w:val="21"/>
              </w:rPr>
              <w:t>2</w:t>
            </w:r>
          </w:p>
        </w:tc>
        <w:tc>
          <w:tcPr>
            <w:tcW w:w="1417" w:type="dxa"/>
            <w:vAlign w:val="center"/>
          </w:tcPr>
          <w:p>
            <w:pPr>
              <w:spacing w:line="360" w:lineRule="auto"/>
              <w:jc w:val="center"/>
              <w:rPr>
                <w:rFonts w:eastAsiaTheme="minorEastAsia"/>
                <w:bCs/>
                <w:color w:val="auto"/>
                <w:kern w:val="0"/>
                <w:sz w:val="21"/>
                <w:szCs w:val="21"/>
              </w:rPr>
            </w:pPr>
            <w:r>
              <w:rPr>
                <w:rFonts w:hint="eastAsia"/>
                <w:color w:val="auto"/>
                <w:sz w:val="21"/>
                <w:szCs w:val="21"/>
              </w:rPr>
              <w:t>粗油脂</w:t>
            </w:r>
          </w:p>
        </w:tc>
        <w:tc>
          <w:tcPr>
            <w:tcW w:w="1276" w:type="dxa"/>
            <w:vAlign w:val="center"/>
          </w:tcPr>
          <w:p>
            <w:pPr>
              <w:spacing w:line="360" w:lineRule="auto"/>
              <w:jc w:val="center"/>
              <w:rPr>
                <w:rFonts w:eastAsiaTheme="minorEastAsia"/>
                <w:bCs/>
                <w:color w:val="auto"/>
                <w:kern w:val="0"/>
                <w:sz w:val="21"/>
                <w:szCs w:val="21"/>
              </w:rPr>
            </w:pPr>
            <w:r>
              <w:rPr>
                <w:rFonts w:hint="eastAsia"/>
                <w:color w:val="auto"/>
                <w:sz w:val="21"/>
                <w:szCs w:val="21"/>
              </w:rPr>
              <w:t>油水分离</w:t>
            </w:r>
          </w:p>
        </w:tc>
        <w:tc>
          <w:tcPr>
            <w:tcW w:w="1134" w:type="dxa"/>
            <w:vAlign w:val="center"/>
          </w:tcPr>
          <w:p>
            <w:pPr>
              <w:spacing w:line="360" w:lineRule="auto"/>
              <w:jc w:val="center"/>
              <w:rPr>
                <w:rFonts w:eastAsiaTheme="minorEastAsia"/>
                <w:bCs/>
                <w:color w:val="auto"/>
                <w:kern w:val="0"/>
                <w:sz w:val="21"/>
                <w:szCs w:val="21"/>
              </w:rPr>
            </w:pPr>
            <w:r>
              <w:rPr>
                <w:rFonts w:hint="eastAsia" w:eastAsiaTheme="minorEastAsia"/>
                <w:bCs/>
                <w:color w:val="auto"/>
                <w:kern w:val="0"/>
                <w:sz w:val="21"/>
                <w:szCs w:val="21"/>
              </w:rPr>
              <w:t>一般工业固废</w:t>
            </w:r>
          </w:p>
        </w:tc>
        <w:tc>
          <w:tcPr>
            <w:tcW w:w="992" w:type="dxa"/>
            <w:vAlign w:val="center"/>
          </w:tcPr>
          <w:p>
            <w:pPr>
              <w:spacing w:line="360" w:lineRule="auto"/>
              <w:jc w:val="center"/>
              <w:rPr>
                <w:rFonts w:eastAsiaTheme="minorEastAsia"/>
                <w:bCs/>
                <w:color w:val="auto"/>
                <w:kern w:val="0"/>
                <w:sz w:val="21"/>
                <w:szCs w:val="21"/>
              </w:rPr>
            </w:pPr>
            <w:r>
              <w:rPr>
                <w:rFonts w:hint="eastAsia"/>
                <w:color w:val="auto"/>
                <w:sz w:val="21"/>
                <w:szCs w:val="21"/>
              </w:rPr>
              <w:t>264</w:t>
            </w:r>
          </w:p>
        </w:tc>
        <w:tc>
          <w:tcPr>
            <w:tcW w:w="2552" w:type="dxa"/>
            <w:vAlign w:val="center"/>
          </w:tcPr>
          <w:p>
            <w:pPr>
              <w:spacing w:line="360" w:lineRule="auto"/>
              <w:jc w:val="center"/>
              <w:rPr>
                <w:rFonts w:eastAsiaTheme="minorEastAsia"/>
                <w:bCs/>
                <w:color w:val="auto"/>
                <w:kern w:val="0"/>
                <w:sz w:val="21"/>
                <w:szCs w:val="21"/>
              </w:rPr>
            </w:pPr>
            <w:r>
              <w:rPr>
                <w:rFonts w:hint="eastAsia" w:eastAsiaTheme="minorEastAsia"/>
                <w:bCs/>
                <w:color w:val="auto"/>
                <w:kern w:val="0"/>
                <w:sz w:val="21"/>
                <w:szCs w:val="21"/>
              </w:rPr>
              <w:t>综合利用</w:t>
            </w:r>
          </w:p>
        </w:tc>
        <w:tc>
          <w:tcPr>
            <w:tcW w:w="1381" w:type="dxa"/>
            <w:vAlign w:val="center"/>
          </w:tcPr>
          <w:p>
            <w:pPr>
              <w:spacing w:line="360" w:lineRule="auto"/>
              <w:jc w:val="center"/>
              <w:rPr>
                <w:rFonts w:eastAsiaTheme="minorEastAsia"/>
                <w:bCs/>
                <w:color w:val="auto"/>
                <w:kern w:val="0"/>
                <w:sz w:val="21"/>
                <w:szCs w:val="21"/>
              </w:rPr>
            </w:pPr>
            <w:r>
              <w:rPr>
                <w:rFonts w:hint="eastAsia"/>
                <w:color w:val="auto"/>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34" w:type="dxa"/>
            <w:vAlign w:val="center"/>
          </w:tcPr>
          <w:p>
            <w:pPr>
              <w:spacing w:line="360" w:lineRule="auto"/>
              <w:jc w:val="center"/>
              <w:rPr>
                <w:rFonts w:eastAsiaTheme="minorEastAsia"/>
                <w:bCs/>
                <w:color w:val="auto"/>
                <w:kern w:val="0"/>
                <w:sz w:val="21"/>
                <w:szCs w:val="21"/>
              </w:rPr>
            </w:pPr>
            <w:r>
              <w:rPr>
                <w:rFonts w:hint="eastAsia" w:eastAsiaTheme="minorEastAsia"/>
                <w:bCs/>
                <w:color w:val="auto"/>
                <w:kern w:val="0"/>
                <w:sz w:val="21"/>
                <w:szCs w:val="21"/>
              </w:rPr>
              <w:t>3</w:t>
            </w:r>
          </w:p>
        </w:tc>
        <w:tc>
          <w:tcPr>
            <w:tcW w:w="1417" w:type="dxa"/>
            <w:vAlign w:val="center"/>
          </w:tcPr>
          <w:p>
            <w:pPr>
              <w:spacing w:line="360" w:lineRule="auto"/>
              <w:jc w:val="center"/>
              <w:rPr>
                <w:color w:val="auto"/>
                <w:sz w:val="21"/>
                <w:szCs w:val="21"/>
              </w:rPr>
            </w:pPr>
            <w:r>
              <w:rPr>
                <w:color w:val="auto"/>
                <w:sz w:val="21"/>
                <w:szCs w:val="21"/>
              </w:rPr>
              <w:t>沉淀池沉沙</w:t>
            </w:r>
          </w:p>
        </w:tc>
        <w:tc>
          <w:tcPr>
            <w:tcW w:w="1276" w:type="dxa"/>
            <w:vAlign w:val="center"/>
          </w:tcPr>
          <w:p>
            <w:pPr>
              <w:spacing w:line="360" w:lineRule="auto"/>
              <w:jc w:val="center"/>
              <w:rPr>
                <w:color w:val="auto"/>
                <w:sz w:val="21"/>
                <w:szCs w:val="21"/>
              </w:rPr>
            </w:pPr>
            <w:r>
              <w:rPr>
                <w:rFonts w:hint="eastAsia"/>
                <w:color w:val="auto"/>
                <w:sz w:val="21"/>
                <w:szCs w:val="21"/>
              </w:rPr>
              <w:t>机械加速澄清池</w:t>
            </w:r>
          </w:p>
        </w:tc>
        <w:tc>
          <w:tcPr>
            <w:tcW w:w="1134" w:type="dxa"/>
            <w:vAlign w:val="center"/>
          </w:tcPr>
          <w:p>
            <w:pPr>
              <w:spacing w:line="360" w:lineRule="auto"/>
              <w:jc w:val="center"/>
              <w:rPr>
                <w:rFonts w:eastAsiaTheme="minorEastAsia"/>
                <w:bCs/>
                <w:color w:val="auto"/>
                <w:kern w:val="0"/>
                <w:sz w:val="21"/>
                <w:szCs w:val="21"/>
              </w:rPr>
            </w:pPr>
            <w:r>
              <w:rPr>
                <w:rFonts w:hint="eastAsia" w:eastAsiaTheme="minorEastAsia"/>
                <w:bCs/>
                <w:color w:val="auto"/>
                <w:kern w:val="0"/>
                <w:sz w:val="21"/>
                <w:szCs w:val="21"/>
              </w:rPr>
              <w:t>一般工业固废</w:t>
            </w:r>
          </w:p>
        </w:tc>
        <w:tc>
          <w:tcPr>
            <w:tcW w:w="992" w:type="dxa"/>
            <w:vAlign w:val="center"/>
          </w:tcPr>
          <w:p>
            <w:pPr>
              <w:spacing w:line="360" w:lineRule="auto"/>
              <w:jc w:val="center"/>
              <w:rPr>
                <w:color w:val="auto"/>
                <w:sz w:val="21"/>
                <w:szCs w:val="21"/>
              </w:rPr>
            </w:pPr>
            <w:r>
              <w:rPr>
                <w:rFonts w:hint="eastAsia"/>
                <w:color w:val="auto"/>
                <w:sz w:val="21"/>
                <w:szCs w:val="21"/>
              </w:rPr>
              <w:t>36.</w:t>
            </w:r>
            <w:r>
              <w:rPr>
                <w:color w:val="auto"/>
                <w:sz w:val="21"/>
                <w:szCs w:val="21"/>
              </w:rPr>
              <w:t>06</w:t>
            </w:r>
          </w:p>
        </w:tc>
        <w:tc>
          <w:tcPr>
            <w:tcW w:w="2552" w:type="dxa"/>
            <w:vAlign w:val="center"/>
          </w:tcPr>
          <w:p>
            <w:pPr>
              <w:spacing w:line="360" w:lineRule="auto"/>
              <w:jc w:val="center"/>
              <w:rPr>
                <w:rFonts w:eastAsiaTheme="minorEastAsia"/>
                <w:bCs/>
                <w:color w:val="auto"/>
                <w:kern w:val="0"/>
                <w:sz w:val="21"/>
                <w:szCs w:val="21"/>
              </w:rPr>
            </w:pPr>
            <w:r>
              <w:rPr>
                <w:rFonts w:hint="eastAsia"/>
                <w:color w:val="auto"/>
                <w:sz w:val="21"/>
                <w:szCs w:val="21"/>
              </w:rPr>
              <w:t>消纳场</w:t>
            </w:r>
            <w:r>
              <w:rPr>
                <w:color w:val="auto"/>
                <w:sz w:val="21"/>
                <w:szCs w:val="21"/>
              </w:rPr>
              <w:t>填埋</w:t>
            </w:r>
          </w:p>
        </w:tc>
        <w:tc>
          <w:tcPr>
            <w:tcW w:w="1381" w:type="dxa"/>
            <w:vAlign w:val="center"/>
          </w:tcPr>
          <w:p>
            <w:pPr>
              <w:spacing w:line="360" w:lineRule="auto"/>
              <w:jc w:val="center"/>
              <w:rPr>
                <w:rFonts w:eastAsiaTheme="minorEastAsia"/>
                <w:bCs/>
                <w:color w:val="auto"/>
                <w:kern w:val="0"/>
                <w:sz w:val="21"/>
                <w:szCs w:val="21"/>
              </w:rPr>
            </w:pPr>
            <w:r>
              <w:rPr>
                <w:rFonts w:hint="eastAsia"/>
                <w:color w:val="auto"/>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34" w:type="dxa"/>
            <w:vAlign w:val="center"/>
          </w:tcPr>
          <w:p>
            <w:pPr>
              <w:spacing w:line="360" w:lineRule="auto"/>
              <w:jc w:val="center"/>
              <w:rPr>
                <w:rFonts w:eastAsiaTheme="minorEastAsia"/>
                <w:bCs/>
                <w:color w:val="auto"/>
                <w:kern w:val="0"/>
                <w:sz w:val="21"/>
                <w:szCs w:val="21"/>
              </w:rPr>
            </w:pPr>
            <w:r>
              <w:rPr>
                <w:rFonts w:hint="eastAsia" w:eastAsiaTheme="minorEastAsia"/>
                <w:bCs/>
                <w:color w:val="auto"/>
                <w:kern w:val="0"/>
                <w:sz w:val="21"/>
                <w:szCs w:val="21"/>
              </w:rPr>
              <w:t>4</w:t>
            </w:r>
          </w:p>
        </w:tc>
        <w:tc>
          <w:tcPr>
            <w:tcW w:w="1417" w:type="dxa"/>
            <w:vAlign w:val="center"/>
          </w:tcPr>
          <w:p>
            <w:pPr>
              <w:spacing w:line="360" w:lineRule="auto"/>
              <w:jc w:val="center"/>
              <w:rPr>
                <w:color w:val="auto"/>
                <w:sz w:val="21"/>
                <w:szCs w:val="21"/>
              </w:rPr>
            </w:pPr>
            <w:r>
              <w:rPr>
                <w:rFonts w:hint="eastAsia"/>
                <w:color w:val="auto"/>
                <w:sz w:val="21"/>
                <w:szCs w:val="21"/>
              </w:rPr>
              <w:t>废UV光解灯管</w:t>
            </w:r>
          </w:p>
        </w:tc>
        <w:tc>
          <w:tcPr>
            <w:tcW w:w="1276" w:type="dxa"/>
            <w:vAlign w:val="center"/>
          </w:tcPr>
          <w:p>
            <w:pPr>
              <w:spacing w:line="360" w:lineRule="auto"/>
              <w:jc w:val="center"/>
              <w:rPr>
                <w:rFonts w:eastAsiaTheme="minorEastAsia"/>
                <w:bCs/>
                <w:color w:val="auto"/>
                <w:kern w:val="0"/>
                <w:sz w:val="21"/>
                <w:szCs w:val="21"/>
              </w:rPr>
            </w:pPr>
            <w:r>
              <w:rPr>
                <w:color w:val="auto"/>
                <w:sz w:val="21"/>
                <w:szCs w:val="21"/>
              </w:rPr>
              <w:t>废气处理</w:t>
            </w:r>
          </w:p>
        </w:tc>
        <w:tc>
          <w:tcPr>
            <w:tcW w:w="1134" w:type="dxa"/>
            <w:vAlign w:val="center"/>
          </w:tcPr>
          <w:p>
            <w:pPr>
              <w:spacing w:line="360" w:lineRule="auto"/>
              <w:jc w:val="center"/>
              <w:rPr>
                <w:rFonts w:eastAsiaTheme="minorEastAsia"/>
                <w:bCs/>
                <w:color w:val="auto"/>
                <w:kern w:val="0"/>
                <w:sz w:val="21"/>
                <w:szCs w:val="21"/>
              </w:rPr>
            </w:pPr>
            <w:r>
              <w:rPr>
                <w:rFonts w:hint="eastAsia" w:eastAsiaTheme="minorEastAsia"/>
                <w:bCs/>
                <w:color w:val="auto"/>
                <w:kern w:val="0"/>
                <w:sz w:val="21"/>
                <w:szCs w:val="21"/>
              </w:rPr>
              <w:t>危险废物</w:t>
            </w:r>
          </w:p>
        </w:tc>
        <w:tc>
          <w:tcPr>
            <w:tcW w:w="992" w:type="dxa"/>
            <w:vAlign w:val="center"/>
          </w:tcPr>
          <w:p>
            <w:pPr>
              <w:spacing w:line="360" w:lineRule="auto"/>
              <w:jc w:val="center"/>
              <w:rPr>
                <w:rFonts w:hint="eastAsia" w:eastAsiaTheme="minorEastAsia"/>
                <w:bCs/>
                <w:color w:val="auto"/>
                <w:kern w:val="0"/>
                <w:sz w:val="21"/>
                <w:szCs w:val="21"/>
                <w:lang w:eastAsia="zh-CN"/>
              </w:rPr>
            </w:pPr>
            <w:r>
              <w:rPr>
                <w:rFonts w:hint="eastAsia" w:eastAsiaTheme="minorEastAsia"/>
                <w:color w:val="auto"/>
                <w:sz w:val="21"/>
                <w:szCs w:val="21"/>
                <w:lang w:val="en-US" w:eastAsia="zh-CN"/>
              </w:rPr>
              <w:t>0.15</w:t>
            </w:r>
          </w:p>
        </w:tc>
        <w:tc>
          <w:tcPr>
            <w:tcW w:w="2552" w:type="dxa"/>
            <w:vMerge w:val="restart"/>
            <w:vAlign w:val="center"/>
          </w:tcPr>
          <w:p>
            <w:pPr>
              <w:spacing w:line="360" w:lineRule="auto"/>
              <w:jc w:val="center"/>
              <w:rPr>
                <w:rFonts w:eastAsiaTheme="minorEastAsia"/>
                <w:bCs/>
                <w:color w:val="auto"/>
                <w:kern w:val="0"/>
                <w:sz w:val="21"/>
                <w:szCs w:val="21"/>
              </w:rPr>
            </w:pPr>
            <w:r>
              <w:rPr>
                <w:color w:val="auto"/>
                <w:sz w:val="21"/>
                <w:szCs w:val="21"/>
              </w:rPr>
              <w:t>统一收集后暂存于危险废物暂存间</w:t>
            </w:r>
            <w:r>
              <w:rPr>
                <w:rFonts w:hint="eastAsia"/>
                <w:color w:val="auto"/>
                <w:sz w:val="21"/>
                <w:szCs w:val="21"/>
              </w:rPr>
              <w:t>（依托园内的危废暂存间）</w:t>
            </w:r>
            <w:r>
              <w:rPr>
                <w:color w:val="auto"/>
                <w:sz w:val="21"/>
                <w:szCs w:val="21"/>
              </w:rPr>
              <w:t>，按危废要求交由有相应处理资质的单位进行处理</w:t>
            </w:r>
          </w:p>
        </w:tc>
        <w:tc>
          <w:tcPr>
            <w:tcW w:w="1381" w:type="dxa"/>
            <w:vAlign w:val="center"/>
          </w:tcPr>
          <w:p>
            <w:pPr>
              <w:spacing w:line="360" w:lineRule="auto"/>
              <w:jc w:val="center"/>
              <w:rPr>
                <w:rFonts w:eastAsiaTheme="minorEastAsia"/>
                <w:bCs/>
                <w:color w:val="auto"/>
                <w:kern w:val="0"/>
                <w:sz w:val="21"/>
                <w:szCs w:val="21"/>
              </w:rPr>
            </w:pPr>
            <w:r>
              <w:rPr>
                <w:rFonts w:hint="eastAsia"/>
                <w:color w:val="auto"/>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34" w:type="dxa"/>
            <w:vAlign w:val="center"/>
          </w:tcPr>
          <w:p>
            <w:pPr>
              <w:spacing w:line="360" w:lineRule="auto"/>
              <w:jc w:val="center"/>
              <w:rPr>
                <w:rFonts w:eastAsiaTheme="minorEastAsia"/>
                <w:bCs/>
                <w:color w:val="auto"/>
                <w:kern w:val="0"/>
                <w:sz w:val="21"/>
                <w:szCs w:val="21"/>
              </w:rPr>
            </w:pPr>
            <w:r>
              <w:rPr>
                <w:rFonts w:hint="eastAsia" w:eastAsiaTheme="minorEastAsia"/>
                <w:bCs/>
                <w:color w:val="auto"/>
                <w:kern w:val="0"/>
                <w:sz w:val="21"/>
                <w:szCs w:val="21"/>
              </w:rPr>
              <w:t>5</w:t>
            </w:r>
          </w:p>
        </w:tc>
        <w:tc>
          <w:tcPr>
            <w:tcW w:w="1417" w:type="dxa"/>
            <w:vAlign w:val="center"/>
          </w:tcPr>
          <w:p>
            <w:pPr>
              <w:spacing w:line="360" w:lineRule="auto"/>
              <w:jc w:val="center"/>
              <w:rPr>
                <w:color w:val="auto"/>
                <w:sz w:val="21"/>
                <w:szCs w:val="21"/>
              </w:rPr>
            </w:pPr>
            <w:r>
              <w:rPr>
                <w:color w:val="auto"/>
                <w:sz w:val="21"/>
                <w:szCs w:val="21"/>
              </w:rPr>
              <w:t>废机油</w:t>
            </w:r>
          </w:p>
        </w:tc>
        <w:tc>
          <w:tcPr>
            <w:tcW w:w="1276" w:type="dxa"/>
            <w:vAlign w:val="center"/>
          </w:tcPr>
          <w:p>
            <w:pPr>
              <w:spacing w:line="360" w:lineRule="auto"/>
              <w:jc w:val="center"/>
              <w:rPr>
                <w:rFonts w:eastAsiaTheme="minorEastAsia"/>
                <w:bCs/>
                <w:color w:val="auto"/>
                <w:kern w:val="0"/>
                <w:sz w:val="21"/>
                <w:szCs w:val="21"/>
              </w:rPr>
            </w:pPr>
            <w:r>
              <w:rPr>
                <w:color w:val="auto"/>
                <w:sz w:val="21"/>
                <w:szCs w:val="21"/>
              </w:rPr>
              <w:t>设备维护</w:t>
            </w:r>
          </w:p>
        </w:tc>
        <w:tc>
          <w:tcPr>
            <w:tcW w:w="1134" w:type="dxa"/>
            <w:vAlign w:val="center"/>
          </w:tcPr>
          <w:p>
            <w:pPr>
              <w:spacing w:line="360" w:lineRule="auto"/>
              <w:jc w:val="center"/>
              <w:rPr>
                <w:rFonts w:eastAsiaTheme="minorEastAsia"/>
                <w:bCs/>
                <w:color w:val="auto"/>
                <w:kern w:val="0"/>
                <w:sz w:val="21"/>
                <w:szCs w:val="21"/>
              </w:rPr>
            </w:pPr>
            <w:r>
              <w:rPr>
                <w:rFonts w:hint="eastAsia" w:eastAsiaTheme="minorEastAsia"/>
                <w:bCs/>
                <w:color w:val="auto"/>
                <w:kern w:val="0"/>
                <w:sz w:val="21"/>
                <w:szCs w:val="21"/>
              </w:rPr>
              <w:t>危险废物</w:t>
            </w:r>
          </w:p>
        </w:tc>
        <w:tc>
          <w:tcPr>
            <w:tcW w:w="992" w:type="dxa"/>
            <w:vAlign w:val="center"/>
          </w:tcPr>
          <w:p>
            <w:pPr>
              <w:spacing w:line="360" w:lineRule="auto"/>
              <w:jc w:val="center"/>
              <w:rPr>
                <w:rFonts w:eastAsiaTheme="minorEastAsia"/>
                <w:bCs/>
                <w:color w:val="auto"/>
                <w:kern w:val="0"/>
                <w:sz w:val="21"/>
                <w:szCs w:val="21"/>
              </w:rPr>
            </w:pPr>
            <w:r>
              <w:rPr>
                <w:rFonts w:hint="eastAsia"/>
                <w:color w:val="auto"/>
                <w:sz w:val="21"/>
                <w:szCs w:val="21"/>
              </w:rPr>
              <w:t>0.5</w:t>
            </w:r>
          </w:p>
        </w:tc>
        <w:tc>
          <w:tcPr>
            <w:tcW w:w="2552" w:type="dxa"/>
            <w:vMerge w:val="continue"/>
            <w:vAlign w:val="center"/>
          </w:tcPr>
          <w:p>
            <w:pPr>
              <w:spacing w:line="360" w:lineRule="auto"/>
              <w:jc w:val="center"/>
              <w:rPr>
                <w:rFonts w:eastAsiaTheme="minorEastAsia"/>
                <w:bCs/>
                <w:color w:val="auto"/>
                <w:kern w:val="0"/>
                <w:sz w:val="21"/>
                <w:szCs w:val="21"/>
              </w:rPr>
            </w:pPr>
          </w:p>
        </w:tc>
        <w:tc>
          <w:tcPr>
            <w:tcW w:w="1381" w:type="dxa"/>
            <w:vAlign w:val="center"/>
          </w:tcPr>
          <w:p>
            <w:pPr>
              <w:spacing w:line="360" w:lineRule="auto"/>
              <w:jc w:val="center"/>
              <w:rPr>
                <w:rFonts w:eastAsiaTheme="minorEastAsia"/>
                <w:bCs/>
                <w:color w:val="auto"/>
                <w:kern w:val="0"/>
                <w:sz w:val="21"/>
                <w:szCs w:val="21"/>
              </w:rPr>
            </w:pPr>
            <w:r>
              <w:rPr>
                <w:rFonts w:hint="eastAsia"/>
                <w:color w:val="auto"/>
                <w:sz w:val="21"/>
                <w:szCs w:val="21"/>
              </w:rPr>
              <w:t>是</w:t>
            </w:r>
          </w:p>
        </w:tc>
      </w:tr>
    </w:tbl>
    <w:p>
      <w:pPr>
        <w:spacing w:line="360" w:lineRule="auto"/>
        <w:ind w:firstLine="480" w:firstLineChars="200"/>
        <w:jc w:val="both"/>
        <w:rPr>
          <w:rFonts w:eastAsiaTheme="minorEastAsia"/>
          <w:bCs/>
          <w:color w:val="auto"/>
          <w:kern w:val="0"/>
        </w:rPr>
      </w:pPr>
      <w:r>
        <w:rPr>
          <w:rFonts w:hint="eastAsia" w:eastAsiaTheme="minorEastAsia"/>
          <w:bCs/>
          <w:color w:val="auto"/>
          <w:kern w:val="0"/>
        </w:rPr>
        <w:t>综上分析，改项目运营期厂内产生的各类固体废物在落实上述措施后，均可得到有效的处理和处置，不会对周边环境产生影响。</w:t>
      </w:r>
    </w:p>
    <w:p>
      <w:pPr>
        <w:spacing w:line="360" w:lineRule="auto"/>
        <w:jc w:val="both"/>
        <w:rPr>
          <w:rFonts w:eastAsiaTheme="minorEastAsia"/>
          <w:bCs/>
          <w:color w:val="auto"/>
          <w:kern w:val="0"/>
        </w:rPr>
      </w:pPr>
      <w:r>
        <w:rPr>
          <w:rFonts w:hint="eastAsia"/>
          <w:b/>
          <w:bCs/>
          <w:color w:val="auto"/>
          <w:kern w:val="0"/>
        </w:rPr>
        <w:t>6.2.4.2</w:t>
      </w:r>
      <w:r>
        <w:rPr>
          <w:b/>
          <w:bCs/>
          <w:color w:val="auto"/>
          <w:kern w:val="0"/>
        </w:rPr>
        <w:t>危险废物废物存储管理要求</w:t>
      </w:r>
    </w:p>
    <w:p>
      <w:pPr>
        <w:spacing w:line="360" w:lineRule="auto"/>
        <w:ind w:firstLine="480" w:firstLineChars="200"/>
        <w:jc w:val="both"/>
        <w:rPr>
          <w:rFonts w:eastAsiaTheme="minorEastAsia"/>
          <w:color w:val="auto"/>
        </w:rPr>
      </w:pPr>
      <w:r>
        <w:rPr>
          <w:rFonts w:eastAsiaTheme="minorEastAsia"/>
          <w:color w:val="auto"/>
        </w:rPr>
        <w:t>（1）禁止危险废物和生活垃圾混入。</w:t>
      </w:r>
    </w:p>
    <w:p>
      <w:pPr>
        <w:spacing w:line="360" w:lineRule="auto"/>
        <w:ind w:firstLine="480" w:firstLineChars="200"/>
        <w:jc w:val="both"/>
        <w:rPr>
          <w:rFonts w:eastAsiaTheme="minorEastAsia"/>
          <w:color w:val="auto"/>
        </w:rPr>
      </w:pPr>
      <w:r>
        <w:rPr>
          <w:rFonts w:eastAsiaTheme="minorEastAsia"/>
          <w:color w:val="auto"/>
        </w:rPr>
        <w:t>（2）危险废物应当使用符合标准的容器分类盛装，无法装入常用容器的危险废物可用防漏胶袋等盛装；装载液体、半固体危险废物的容器内须留足够空间，容器顶部与液体表面之间保留100mm以上的空间。总贮存量不超过300kg（L）的危险废物要放入符合标准的容器内、加上标识、容器放入坚固的柜或箱中，柜或箱应设多个直径不少于30mm的排气孔。盛装危险废物的容器上必须粘贴符合标准的标识。</w:t>
      </w:r>
    </w:p>
    <w:p>
      <w:pPr>
        <w:spacing w:line="360" w:lineRule="auto"/>
        <w:ind w:firstLine="480" w:firstLineChars="200"/>
        <w:jc w:val="both"/>
        <w:rPr>
          <w:rFonts w:eastAsiaTheme="minorEastAsia"/>
          <w:color w:val="auto"/>
        </w:rPr>
      </w:pPr>
      <w:r>
        <w:rPr>
          <w:rFonts w:eastAsiaTheme="minorEastAsia"/>
          <w:color w:val="auto"/>
        </w:rPr>
        <w:t>（3）禁止将相容（相互反应）的危险废物在同一容器内混装；相容危险废物要分别存放或存放在不渗透间隔分开的区域内，每个部分都应有防漏裙脚或储漏盘，防漏裙脚或储漏盘的材料要与危险废物不相容。</w:t>
      </w:r>
    </w:p>
    <w:p>
      <w:pPr>
        <w:spacing w:line="360" w:lineRule="auto"/>
        <w:ind w:firstLine="480" w:firstLineChars="200"/>
        <w:jc w:val="both"/>
        <w:rPr>
          <w:rFonts w:eastAsiaTheme="minorEastAsia"/>
          <w:color w:val="auto"/>
        </w:rPr>
      </w:pPr>
      <w:r>
        <w:rPr>
          <w:rFonts w:eastAsiaTheme="minorEastAsia"/>
          <w:color w:val="auto"/>
        </w:rPr>
        <w:t>（4）每个堆放点应留有搬运通道。</w:t>
      </w:r>
    </w:p>
    <w:p>
      <w:pPr>
        <w:spacing w:line="360" w:lineRule="auto"/>
        <w:ind w:firstLine="480" w:firstLineChars="200"/>
        <w:jc w:val="both"/>
        <w:rPr>
          <w:rFonts w:eastAsiaTheme="minorEastAsia"/>
          <w:color w:val="auto"/>
        </w:rPr>
      </w:pPr>
      <w:r>
        <w:rPr>
          <w:rFonts w:eastAsiaTheme="minorEastAsia"/>
          <w:color w:val="auto"/>
        </w:rPr>
        <w:t>（5）作好危险废物情况的记录。记录上须注明危险废物的名称、来源、数量、特性和包装容器的类别、入库日期、存放库位、废物出库日期及接收单位名称。危险废物的记录和货单在危险废物回取后应继续保留3年；</w:t>
      </w:r>
    </w:p>
    <w:p>
      <w:pPr>
        <w:spacing w:line="360" w:lineRule="auto"/>
        <w:ind w:firstLine="480" w:firstLineChars="200"/>
        <w:jc w:val="both"/>
        <w:rPr>
          <w:rFonts w:eastAsiaTheme="minorEastAsia"/>
          <w:color w:val="auto"/>
        </w:rPr>
      </w:pPr>
      <w:r>
        <w:rPr>
          <w:rFonts w:eastAsiaTheme="minorEastAsia"/>
          <w:color w:val="auto"/>
        </w:rPr>
        <w:t>（6）必须定期对所贮存的危险废物包装容器及贮存设施进行检查，发现破损应及时采取措施清理更换；</w:t>
      </w:r>
    </w:p>
    <w:p>
      <w:pPr>
        <w:spacing w:line="360" w:lineRule="auto"/>
        <w:ind w:left="360" w:firstLine="120" w:firstLineChars="50"/>
        <w:jc w:val="both"/>
        <w:rPr>
          <w:rFonts w:eastAsiaTheme="minorEastAsia"/>
          <w:color w:val="auto"/>
        </w:rPr>
      </w:pPr>
      <w:r>
        <w:rPr>
          <w:rFonts w:eastAsiaTheme="minorEastAsia"/>
          <w:color w:val="auto"/>
        </w:rPr>
        <w:t>（7）应按GB15562.2规定对环境保护图形标识进行检查和维护。</w:t>
      </w:r>
    </w:p>
    <w:p>
      <w:pPr>
        <w:spacing w:line="360" w:lineRule="auto"/>
        <w:ind w:left="360" w:firstLine="120" w:firstLineChars="50"/>
        <w:jc w:val="both"/>
        <w:rPr>
          <w:rFonts w:eastAsiaTheme="minorEastAsia"/>
          <w:color w:val="auto"/>
        </w:rPr>
      </w:pPr>
      <w:r>
        <w:rPr>
          <w:rFonts w:eastAsiaTheme="minorEastAsia"/>
          <w:color w:val="auto"/>
        </w:rPr>
        <w:t>（8）按照国家相关规定在企业运行后制定危险废物管理计划。</w:t>
      </w:r>
    </w:p>
    <w:p>
      <w:pPr>
        <w:spacing w:line="360" w:lineRule="auto"/>
        <w:jc w:val="both"/>
        <w:rPr>
          <w:color w:val="auto"/>
        </w:rPr>
      </w:pPr>
      <w:r>
        <w:rPr>
          <w:rFonts w:hint="eastAsia"/>
          <w:b/>
          <w:bCs/>
          <w:color w:val="auto"/>
          <w:kern w:val="0"/>
        </w:rPr>
        <w:t>6.2.4.</w:t>
      </w:r>
      <w:r>
        <w:rPr>
          <w:rFonts w:hint="eastAsia"/>
          <w:b/>
          <w:bCs/>
          <w:color w:val="auto"/>
          <w:kern w:val="0"/>
          <w:lang w:val="en-US" w:eastAsia="zh-CN"/>
        </w:rPr>
        <w:t>3依托的</w:t>
      </w:r>
      <w:r>
        <w:rPr>
          <w:rFonts w:hint="eastAsia"/>
          <w:b/>
          <w:bCs/>
          <w:color w:val="auto"/>
          <w:kern w:val="0"/>
        </w:rPr>
        <w:t>危险废物暂存间的设置</w:t>
      </w:r>
    </w:p>
    <w:p>
      <w:pPr>
        <w:spacing w:line="360" w:lineRule="auto"/>
        <w:ind w:firstLine="480"/>
        <w:jc w:val="both"/>
        <w:rPr>
          <w:color w:val="auto"/>
          <w:kern w:val="0"/>
        </w:rPr>
      </w:pPr>
      <w:r>
        <w:rPr>
          <w:rFonts w:hint="eastAsia"/>
          <w:color w:val="auto"/>
        </w:rPr>
        <w:t xml:space="preserve"> 在建</w:t>
      </w:r>
      <w:r>
        <w:rPr>
          <w:color w:val="auto"/>
        </w:rPr>
        <w:t>项目</w:t>
      </w:r>
      <w:r>
        <w:rPr>
          <w:rFonts w:hint="eastAsia"/>
          <w:color w:val="auto"/>
        </w:rPr>
        <w:t>建设一间占地面积为80m</w:t>
      </w:r>
      <w:r>
        <w:rPr>
          <w:rFonts w:hint="eastAsia"/>
          <w:color w:val="auto"/>
          <w:vertAlign w:val="superscript"/>
        </w:rPr>
        <w:t>2</w:t>
      </w:r>
      <w:r>
        <w:rPr>
          <w:rFonts w:hint="eastAsia"/>
          <w:color w:val="auto"/>
        </w:rPr>
        <w:t>的危险废物暂存间，贮存能力大于10t，主要用于在建项目产生次生危险废物的暂存，危废产生后暂存在危废仓库内，定期由有资质单位外运处理</w:t>
      </w:r>
      <w:r>
        <w:rPr>
          <w:rFonts w:hint="eastAsia"/>
          <w:color w:val="auto"/>
          <w:kern w:val="0"/>
        </w:rPr>
        <w:t>。危废暂存间</w:t>
      </w:r>
      <w:r>
        <w:rPr>
          <w:rFonts w:hint="eastAsia"/>
          <w:color w:val="auto"/>
        </w:rPr>
        <w:t>四周设有导流沟和独立的集液池，</w:t>
      </w:r>
      <w:r>
        <w:rPr>
          <w:color w:val="auto"/>
          <w:kern w:val="0"/>
        </w:rPr>
        <w:t>发生泄漏时通过围堰收集泄漏液并引入事故池</w:t>
      </w:r>
      <w:r>
        <w:rPr>
          <w:rFonts w:hint="eastAsia"/>
          <w:color w:val="auto"/>
          <w:kern w:val="0"/>
        </w:rPr>
        <w:t>。</w:t>
      </w:r>
    </w:p>
    <w:p>
      <w:pPr>
        <w:spacing w:line="360" w:lineRule="auto"/>
        <w:ind w:firstLine="480"/>
        <w:rPr>
          <w:color w:val="auto"/>
        </w:rPr>
      </w:pPr>
      <w:r>
        <w:rPr>
          <w:rFonts w:hint="eastAsia"/>
          <w:color w:val="auto"/>
        </w:rPr>
        <w:t>危废</w:t>
      </w:r>
      <w:r>
        <w:rPr>
          <w:color w:val="auto"/>
        </w:rPr>
        <w:t>暂存间</w:t>
      </w:r>
      <w:r>
        <w:rPr>
          <w:rFonts w:hint="eastAsia"/>
          <w:color w:val="auto"/>
        </w:rPr>
        <w:t>按照《危险废物贮存污染控制标准》（</w:t>
      </w:r>
      <w:r>
        <w:rPr>
          <w:color w:val="auto"/>
        </w:rPr>
        <w:t>GB18597-2001</w:t>
      </w:r>
      <w:r>
        <w:rPr>
          <w:rFonts w:hint="eastAsia"/>
          <w:color w:val="auto"/>
        </w:rPr>
        <w:t>）及</w:t>
      </w:r>
      <w:r>
        <w:rPr>
          <w:color w:val="auto"/>
        </w:rPr>
        <w:t>2013</w:t>
      </w:r>
      <w:r>
        <w:rPr>
          <w:rFonts w:hint="eastAsia"/>
          <w:color w:val="auto"/>
        </w:rPr>
        <w:t>年修改单相关要求建设，具有防风、防雨、防晒、防渗漏等防护措施，具体满足以下要求：</w:t>
      </w:r>
    </w:p>
    <w:p>
      <w:pPr>
        <w:spacing w:line="360" w:lineRule="auto"/>
        <w:ind w:firstLine="480"/>
        <w:rPr>
          <w:color w:val="auto"/>
        </w:rPr>
      </w:pPr>
      <w:r>
        <w:rPr>
          <w:color w:val="auto"/>
        </w:rPr>
        <w:t>a</w:t>
      </w:r>
      <w:r>
        <w:rPr>
          <w:rFonts w:hint="eastAsia"/>
          <w:color w:val="auto"/>
        </w:rPr>
        <w:t>、危废室地面硬化，要达到不扬散、不流失、不渗漏的要求。危险废物堆放场的基础防渗层采用至少</w:t>
      </w:r>
      <w:r>
        <w:rPr>
          <w:color w:val="auto"/>
        </w:rPr>
        <w:t>2mm</w:t>
      </w:r>
      <w:r>
        <w:rPr>
          <w:rFonts w:hint="eastAsia"/>
          <w:color w:val="auto"/>
        </w:rPr>
        <w:t>的人工材料，渗透系数</w:t>
      </w:r>
      <w:r>
        <w:rPr>
          <w:color w:val="auto"/>
        </w:rPr>
        <w:t>≤10</w:t>
      </w:r>
      <w:r>
        <w:rPr>
          <w:color w:val="auto"/>
          <w:vertAlign w:val="superscript"/>
        </w:rPr>
        <w:t>-10</w:t>
      </w:r>
      <w:r>
        <w:rPr>
          <w:color w:val="auto"/>
        </w:rPr>
        <w:t>cm/s</w:t>
      </w:r>
      <w:r>
        <w:rPr>
          <w:rFonts w:hint="eastAsia"/>
          <w:color w:val="auto"/>
        </w:rPr>
        <w:t>。</w:t>
      </w:r>
    </w:p>
    <w:p>
      <w:pPr>
        <w:spacing w:line="360" w:lineRule="auto"/>
        <w:ind w:firstLine="480"/>
        <w:rPr>
          <w:color w:val="auto"/>
        </w:rPr>
      </w:pPr>
      <w:r>
        <w:rPr>
          <w:color w:val="auto"/>
        </w:rPr>
        <w:t>b</w:t>
      </w:r>
      <w:r>
        <w:rPr>
          <w:rFonts w:hint="eastAsia"/>
          <w:color w:val="auto"/>
        </w:rPr>
        <w:t>、危废室内各类危废分类堆放，各类危废之间设有隔断，各类危废半年清运一次，最长暂存期间不得超过一年。</w:t>
      </w:r>
    </w:p>
    <w:p>
      <w:pPr>
        <w:spacing w:line="360" w:lineRule="auto"/>
        <w:ind w:firstLine="480"/>
        <w:rPr>
          <w:color w:val="auto"/>
        </w:rPr>
      </w:pPr>
      <w:r>
        <w:rPr>
          <w:color w:val="auto"/>
        </w:rPr>
        <w:t>c</w:t>
      </w:r>
      <w:r>
        <w:rPr>
          <w:rFonts w:hint="eastAsia"/>
          <w:color w:val="auto"/>
        </w:rPr>
        <w:t>、为防止雨水径流进入危废仓库内，危废室周边应设置导流渠。</w:t>
      </w:r>
    </w:p>
    <w:p>
      <w:pPr>
        <w:spacing w:line="360" w:lineRule="auto"/>
        <w:ind w:firstLine="480"/>
        <w:rPr>
          <w:color w:val="auto"/>
        </w:rPr>
      </w:pPr>
      <w:r>
        <w:rPr>
          <w:color w:val="auto"/>
        </w:rPr>
        <w:t>d</w:t>
      </w:r>
      <w:r>
        <w:rPr>
          <w:rFonts w:hint="eastAsia"/>
          <w:color w:val="auto"/>
        </w:rPr>
        <w:t>、为防止危废泄漏，危废室四周应设置围堰，围堰四周及危废室地面需使用环氧树脂漆进行防腐防渗。</w:t>
      </w:r>
    </w:p>
    <w:p>
      <w:pPr>
        <w:spacing w:line="360" w:lineRule="auto"/>
        <w:ind w:firstLine="480"/>
        <w:rPr>
          <w:color w:val="auto"/>
        </w:rPr>
      </w:pPr>
      <w:r>
        <w:rPr>
          <w:color w:val="auto"/>
        </w:rPr>
        <w:t>e</w:t>
      </w:r>
      <w:r>
        <w:rPr>
          <w:rFonts w:hint="eastAsia"/>
          <w:color w:val="auto"/>
        </w:rPr>
        <w:t>、危废室外部设置醒目警示标识，危废室内部各类危废上方根据各类危废特性设施危废标识。</w:t>
      </w:r>
    </w:p>
    <w:p>
      <w:pPr>
        <w:spacing w:line="360" w:lineRule="auto"/>
        <w:ind w:firstLine="480"/>
        <w:rPr>
          <w:color w:val="auto"/>
        </w:rPr>
      </w:pPr>
      <w:r>
        <w:rPr>
          <w:color w:val="auto"/>
        </w:rPr>
        <w:t>f</w:t>
      </w:r>
      <w:r>
        <w:rPr>
          <w:rFonts w:hint="eastAsia"/>
          <w:color w:val="auto"/>
        </w:rPr>
        <w:t>、建立危废台账，详细记录厂区内各类危废种类和数量，暂存周期，供随时查阅。</w:t>
      </w:r>
    </w:p>
    <w:p>
      <w:pPr>
        <w:spacing w:line="360" w:lineRule="auto"/>
        <w:ind w:firstLine="480"/>
        <w:rPr>
          <w:color w:val="auto"/>
        </w:rPr>
      </w:pPr>
      <w:r>
        <w:rPr>
          <w:color w:val="auto"/>
        </w:rPr>
        <w:t>g</w:t>
      </w:r>
      <w:r>
        <w:rPr>
          <w:rFonts w:hint="eastAsia"/>
          <w:color w:val="auto"/>
        </w:rPr>
        <w:t>、在常温、常压下易爆、易燃及排出有毒气体的危险废物必须进行预处理，使之稳定后贮存，否则，按易爆、易燃危险品贮存。</w:t>
      </w:r>
    </w:p>
    <w:p>
      <w:pPr>
        <w:spacing w:line="360" w:lineRule="auto"/>
        <w:ind w:firstLine="480"/>
        <w:rPr>
          <w:color w:val="auto"/>
        </w:rPr>
      </w:pPr>
      <w:r>
        <w:rPr>
          <w:color w:val="auto"/>
        </w:rPr>
        <w:t>h</w:t>
      </w:r>
      <w:r>
        <w:rPr>
          <w:rFonts w:hint="eastAsia"/>
          <w:color w:val="auto"/>
        </w:rPr>
        <w:t>、禁止将不相容</w:t>
      </w:r>
      <w:r>
        <w:rPr>
          <w:color w:val="auto"/>
        </w:rPr>
        <w:t>(</w:t>
      </w:r>
      <w:r>
        <w:rPr>
          <w:rFonts w:hint="eastAsia"/>
          <w:color w:val="auto"/>
        </w:rPr>
        <w:t>相互反应</w:t>
      </w:r>
      <w:r>
        <w:rPr>
          <w:color w:val="auto"/>
        </w:rPr>
        <w:t>)</w:t>
      </w:r>
      <w:r>
        <w:rPr>
          <w:rFonts w:hint="eastAsia"/>
          <w:color w:val="auto"/>
        </w:rPr>
        <w:t>的危险废物在同一容器内混装。</w:t>
      </w:r>
    </w:p>
    <w:p>
      <w:pPr>
        <w:spacing w:line="360" w:lineRule="auto"/>
        <w:ind w:firstLine="480"/>
        <w:rPr>
          <w:color w:val="auto"/>
        </w:rPr>
      </w:pPr>
      <w:r>
        <w:rPr>
          <w:color w:val="auto"/>
        </w:rPr>
        <w:t>i</w:t>
      </w:r>
      <w:r>
        <w:rPr>
          <w:rFonts w:hint="eastAsia"/>
          <w:color w:val="auto"/>
        </w:rPr>
        <w:t>、无法装入常用容器的危险废物可用防漏胶袋等盛装。</w:t>
      </w:r>
    </w:p>
    <w:p>
      <w:pPr>
        <w:spacing w:line="360" w:lineRule="auto"/>
        <w:ind w:firstLine="480"/>
        <w:rPr>
          <w:color w:val="auto"/>
        </w:rPr>
      </w:pPr>
      <w:r>
        <w:rPr>
          <w:color w:val="auto"/>
        </w:rPr>
        <w:t>j</w:t>
      </w:r>
      <w:r>
        <w:rPr>
          <w:rFonts w:hint="eastAsia"/>
          <w:color w:val="auto"/>
        </w:rPr>
        <w:t>、装载液体、半固体危险废物的容器内须留足够空间，容器顶部与液体表面之间保留</w:t>
      </w:r>
      <w:r>
        <w:rPr>
          <w:color w:val="auto"/>
        </w:rPr>
        <w:t>100mm</w:t>
      </w:r>
      <w:r>
        <w:rPr>
          <w:rFonts w:hint="eastAsia"/>
          <w:color w:val="auto"/>
        </w:rPr>
        <w:t>以上的空间。</w:t>
      </w:r>
    </w:p>
    <w:p>
      <w:pPr>
        <w:spacing w:line="360" w:lineRule="auto"/>
        <w:ind w:firstLine="480"/>
        <w:rPr>
          <w:color w:val="auto"/>
        </w:rPr>
      </w:pPr>
      <w:r>
        <w:rPr>
          <w:color w:val="auto"/>
        </w:rPr>
        <w:t>k</w:t>
      </w:r>
      <w:r>
        <w:rPr>
          <w:rFonts w:hint="eastAsia"/>
          <w:color w:val="auto"/>
        </w:rPr>
        <w:t>、应当使用符合标准的容器盛装危险废物。</w:t>
      </w:r>
    </w:p>
    <w:p>
      <w:pPr>
        <w:spacing w:line="360" w:lineRule="auto"/>
        <w:ind w:firstLine="480"/>
        <w:rPr>
          <w:color w:val="auto"/>
        </w:rPr>
      </w:pPr>
      <w:r>
        <w:rPr>
          <w:color w:val="auto"/>
        </w:rPr>
        <w:t>l</w:t>
      </w:r>
      <w:r>
        <w:rPr>
          <w:rFonts w:hint="eastAsia"/>
          <w:color w:val="auto"/>
        </w:rPr>
        <w:t>、不相容的危险废物必须分开存放，并设有隔离间隔带。</w:t>
      </w:r>
    </w:p>
    <w:p>
      <w:pPr>
        <w:spacing w:line="360" w:lineRule="auto"/>
        <w:ind w:firstLine="480"/>
        <w:rPr>
          <w:color w:val="auto"/>
        </w:rPr>
      </w:pPr>
      <w:r>
        <w:rPr>
          <w:color w:val="auto"/>
        </w:rPr>
        <w:t>m</w:t>
      </w:r>
      <w:r>
        <w:rPr>
          <w:rFonts w:hint="eastAsia"/>
          <w:color w:val="auto"/>
        </w:rPr>
        <w:t>、危险废物贮存前应进行检验，确保同预定接收的危险废物一致，并注册登记，作好记录，记录上须注明危险废物的名称、来源、数量、特性和包装容器的类别、入库日期、存放库位、废物出库日期及接受单位名称。</w:t>
      </w:r>
    </w:p>
    <w:p>
      <w:pPr>
        <w:spacing w:line="360" w:lineRule="auto"/>
        <w:ind w:firstLine="480"/>
        <w:rPr>
          <w:color w:val="auto"/>
        </w:rPr>
      </w:pPr>
      <w:r>
        <w:rPr>
          <w:color w:val="auto"/>
        </w:rPr>
        <w:t>n</w:t>
      </w:r>
      <w:r>
        <w:rPr>
          <w:rFonts w:hint="eastAsia"/>
          <w:color w:val="auto"/>
        </w:rPr>
        <w:t>、必须定期对贮存危险废物的包装容器及贮存设施进行检查，发现破损，应及时采取措施清理更换。</w:t>
      </w:r>
    </w:p>
    <w:p>
      <w:pPr>
        <w:spacing w:line="360" w:lineRule="auto"/>
        <w:ind w:left="360" w:firstLine="120" w:firstLineChars="50"/>
        <w:jc w:val="both"/>
        <w:rPr>
          <w:rFonts w:hint="eastAsia"/>
          <w:color w:val="auto"/>
        </w:rPr>
      </w:pPr>
      <w:r>
        <w:rPr>
          <w:color w:val="auto"/>
        </w:rPr>
        <w:t>o</w:t>
      </w:r>
      <w:r>
        <w:rPr>
          <w:rFonts w:hint="eastAsia"/>
          <w:color w:val="auto"/>
        </w:rPr>
        <w:t>、危险废物贮存设施内清理出来的泄漏物，一律按危险废物处理。</w:t>
      </w:r>
    </w:p>
    <w:p>
      <w:pPr>
        <w:spacing w:line="360" w:lineRule="auto"/>
        <w:jc w:val="both"/>
        <w:rPr>
          <w:b/>
          <w:color w:val="auto"/>
        </w:rPr>
      </w:pPr>
      <w:r>
        <w:rPr>
          <w:rFonts w:hint="eastAsia"/>
          <w:b/>
          <w:bCs/>
          <w:color w:val="auto"/>
          <w:kern w:val="0"/>
        </w:rPr>
        <w:t>6.2.4.</w:t>
      </w:r>
      <w:r>
        <w:rPr>
          <w:rFonts w:hint="eastAsia"/>
          <w:b/>
          <w:bCs/>
          <w:color w:val="auto"/>
          <w:kern w:val="0"/>
          <w:lang w:val="en-US" w:eastAsia="zh-CN"/>
        </w:rPr>
        <w:t>4</w:t>
      </w:r>
      <w:r>
        <w:rPr>
          <w:rFonts w:hint="eastAsia"/>
          <w:b/>
          <w:color w:val="auto"/>
        </w:rPr>
        <w:t>危险废物</w:t>
      </w:r>
      <w:r>
        <w:rPr>
          <w:b/>
          <w:color w:val="auto"/>
        </w:rPr>
        <w:t>委托处置措施</w:t>
      </w:r>
    </w:p>
    <w:p>
      <w:pPr>
        <w:spacing w:line="360" w:lineRule="auto"/>
        <w:ind w:firstLine="480"/>
        <w:rPr>
          <w:color w:val="auto"/>
        </w:rPr>
      </w:pPr>
      <w:r>
        <w:rPr>
          <w:color w:val="auto"/>
        </w:rPr>
        <w:t>根据《国家危险废物名录》</w:t>
      </w:r>
      <w:r>
        <w:rPr>
          <w:rFonts w:hint="eastAsia"/>
          <w:color w:val="auto"/>
        </w:rPr>
        <w:t>（部令第39号，2016年）</w:t>
      </w:r>
      <w:r>
        <w:rPr>
          <w:color w:val="auto"/>
        </w:rPr>
        <w:t>，生产过程产生</w:t>
      </w:r>
      <w:r>
        <w:rPr>
          <w:rFonts w:hint="eastAsia"/>
          <w:color w:val="auto"/>
        </w:rPr>
        <w:t>的</w:t>
      </w:r>
      <w:r>
        <w:rPr>
          <w:rFonts w:hint="eastAsia" w:ascii="宋体" w:cs="宋体"/>
          <w:color w:val="auto"/>
          <w:kern w:val="0"/>
        </w:rPr>
        <w:t>废UV光解灯管、废机油</w:t>
      </w:r>
      <w:r>
        <w:rPr>
          <w:rFonts w:hint="eastAsia"/>
          <w:color w:val="auto"/>
        </w:rPr>
        <w:t>属于危险废物，交由资质单位回收处置</w:t>
      </w:r>
      <w:r>
        <w:rPr>
          <w:color w:val="auto"/>
        </w:rPr>
        <w:t>。项目处置</w:t>
      </w:r>
      <w:r>
        <w:rPr>
          <w:rFonts w:hint="eastAsia"/>
          <w:color w:val="auto"/>
        </w:rPr>
        <w:t>危险废物</w:t>
      </w:r>
      <w:r>
        <w:rPr>
          <w:color w:val="auto"/>
        </w:rPr>
        <w:t>在转移过程中需符合《中华人民共和国固体废物污染环境防治法》和《广东省固体废物污染环境防治条例》，并执行《危险废物转移联单管理办法》规定的各项程序。</w:t>
      </w:r>
    </w:p>
    <w:p>
      <w:pPr>
        <w:spacing w:line="360" w:lineRule="auto"/>
        <w:rPr>
          <w:b/>
          <w:color w:val="auto"/>
        </w:rPr>
      </w:pPr>
      <w:r>
        <w:rPr>
          <w:rFonts w:hint="eastAsia"/>
          <w:b/>
          <w:bCs/>
          <w:color w:val="auto"/>
          <w:kern w:val="0"/>
        </w:rPr>
        <w:t>6.2.4.</w:t>
      </w:r>
      <w:r>
        <w:rPr>
          <w:rFonts w:hint="eastAsia"/>
          <w:b/>
          <w:bCs/>
          <w:color w:val="auto"/>
          <w:kern w:val="0"/>
          <w:lang w:val="en-US" w:eastAsia="zh-CN"/>
        </w:rPr>
        <w:t>5</w:t>
      </w:r>
      <w:r>
        <w:rPr>
          <w:rFonts w:hint="eastAsia"/>
          <w:b/>
          <w:color w:val="auto"/>
        </w:rPr>
        <w:t>危险废物</w:t>
      </w:r>
      <w:r>
        <w:rPr>
          <w:b/>
          <w:color w:val="auto"/>
        </w:rPr>
        <w:t>转运的控制措施</w:t>
      </w:r>
    </w:p>
    <w:p>
      <w:pPr>
        <w:spacing w:line="360" w:lineRule="auto"/>
        <w:ind w:firstLine="480"/>
        <w:rPr>
          <w:color w:val="auto"/>
        </w:rPr>
      </w:pPr>
      <w:r>
        <w:rPr>
          <w:color w:val="auto"/>
        </w:rPr>
        <w:t>项目危险废物将交由有资质的专业废物处理单位进行安全处置。危险废物转运途中应采取相应的污染防范及事故应急措施。这些措施主要包括：</w:t>
      </w:r>
    </w:p>
    <w:p>
      <w:pPr>
        <w:spacing w:line="360" w:lineRule="auto"/>
        <w:ind w:firstLine="480"/>
        <w:rPr>
          <w:color w:val="auto"/>
        </w:rPr>
      </w:pPr>
      <w:r>
        <w:rPr>
          <w:rFonts w:hint="eastAsia" w:ascii="宋体" w:hAnsi="宋体" w:eastAsia="宋体" w:cs="宋体"/>
          <w:color w:val="auto"/>
        </w:rPr>
        <w:t>①</w:t>
      </w:r>
      <w:r>
        <w:rPr>
          <w:color w:val="auto"/>
        </w:rPr>
        <w:t>装载危险废物的车辆必须做好防渗、防漏、防飞扬的措施；</w:t>
      </w:r>
    </w:p>
    <w:p>
      <w:pPr>
        <w:spacing w:line="360" w:lineRule="auto"/>
        <w:ind w:firstLine="480"/>
        <w:rPr>
          <w:color w:val="auto"/>
        </w:rPr>
      </w:pPr>
      <w:r>
        <w:rPr>
          <w:rFonts w:hint="eastAsia" w:ascii="宋体" w:hAnsi="宋体" w:eastAsia="宋体" w:cs="宋体"/>
          <w:color w:val="auto"/>
        </w:rPr>
        <w:t>②</w:t>
      </w:r>
      <w:r>
        <w:rPr>
          <w:color w:val="auto"/>
        </w:rPr>
        <w:t>有化学反应或混装有危险后果的危险废物严禁混装运输；</w:t>
      </w:r>
    </w:p>
    <w:p>
      <w:pPr>
        <w:spacing w:line="360" w:lineRule="auto"/>
        <w:ind w:firstLine="480"/>
        <w:rPr>
          <w:color w:val="auto"/>
        </w:rPr>
      </w:pPr>
      <w:r>
        <w:rPr>
          <w:rFonts w:hint="eastAsia" w:ascii="宋体" w:hAnsi="宋体" w:eastAsia="宋体" w:cs="宋体"/>
          <w:color w:val="auto"/>
        </w:rPr>
        <w:t>③</w:t>
      </w:r>
      <w:r>
        <w:rPr>
          <w:color w:val="auto"/>
        </w:rPr>
        <w:t>装载危险废物车辆的行驶路线必须避开人口密集的居民区和受保护的水体等环境保护目标。</w:t>
      </w:r>
    </w:p>
    <w:p>
      <w:pPr>
        <w:spacing w:line="360" w:lineRule="auto"/>
        <w:ind w:firstLine="480"/>
        <w:rPr>
          <w:color w:val="auto"/>
        </w:rPr>
      </w:pPr>
      <w:r>
        <w:rPr>
          <w:color w:val="auto"/>
        </w:rPr>
        <w:t>此外，建设单位应按《中华人民共和国固体废物污染环境防治法》的规定向当地固体废物管理中心如实申报项目固体废物产生量、拟采取的处置措施及去向，并按该中心的要求对项目产生的固体废物特别是危险废物进行全过程严格管理和安全处置。</w:t>
      </w:r>
    </w:p>
    <w:p>
      <w:pPr>
        <w:spacing w:line="360" w:lineRule="auto"/>
        <w:jc w:val="both"/>
        <w:rPr>
          <w:rFonts w:eastAsiaTheme="minorEastAsia"/>
          <w:bCs/>
          <w:color w:val="auto"/>
          <w:kern w:val="0"/>
        </w:rPr>
      </w:pPr>
      <w:r>
        <w:rPr>
          <w:rFonts w:hint="eastAsia"/>
          <w:b/>
          <w:bCs/>
          <w:color w:val="auto"/>
          <w:kern w:val="0"/>
        </w:rPr>
        <w:t>6.2.4.</w:t>
      </w:r>
      <w:r>
        <w:rPr>
          <w:rFonts w:hint="eastAsia"/>
          <w:b/>
          <w:bCs/>
          <w:color w:val="auto"/>
          <w:kern w:val="0"/>
          <w:lang w:val="en-US" w:eastAsia="zh-CN"/>
        </w:rPr>
        <w:t>6</w:t>
      </w:r>
      <w:r>
        <w:rPr>
          <w:rFonts w:hint="eastAsia"/>
          <w:b/>
          <w:bCs/>
          <w:color w:val="auto"/>
          <w:kern w:val="0"/>
        </w:rPr>
        <w:t>粗油脂综合利用</w:t>
      </w:r>
      <w:r>
        <w:rPr>
          <w:b/>
          <w:bCs/>
          <w:color w:val="auto"/>
          <w:kern w:val="0"/>
        </w:rPr>
        <w:t>管理要求</w:t>
      </w:r>
    </w:p>
    <w:p>
      <w:pPr>
        <w:spacing w:line="360" w:lineRule="auto"/>
        <w:ind w:left="360" w:firstLine="240" w:firstLineChars="100"/>
        <w:jc w:val="both"/>
        <w:rPr>
          <w:color w:val="auto"/>
        </w:rPr>
      </w:pPr>
      <w:r>
        <w:rPr>
          <w:rFonts w:hint="eastAsia"/>
          <w:color w:val="auto"/>
        </w:rPr>
        <w:t>本项目餐厨垃圾经油水分离产生的粗油脂作为工业用油脂外售利用，严禁作为食品行业原料回收，为防止粗油脂流入食品生产经营和使用环节，保障人民群众食品安全和身体健康，需遵守以下管理要求：</w:t>
      </w:r>
    </w:p>
    <w:p>
      <w:pPr>
        <w:pStyle w:val="222"/>
        <w:numPr>
          <w:ilvl w:val="0"/>
          <w:numId w:val="12"/>
        </w:numPr>
        <w:spacing w:line="360" w:lineRule="auto"/>
        <w:jc w:val="both"/>
        <w:rPr>
          <w:color w:val="auto"/>
          <w:lang w:eastAsia="zh-CN"/>
        </w:rPr>
      </w:pPr>
      <w:r>
        <w:rPr>
          <w:rFonts w:hint="eastAsia"/>
          <w:color w:val="auto"/>
          <w:lang w:eastAsia="zh-CN"/>
        </w:rPr>
        <w:t>餐厨垃圾处理产生的粗油脂应设专人负责管理；</w:t>
      </w:r>
    </w:p>
    <w:p>
      <w:pPr>
        <w:pStyle w:val="222"/>
        <w:numPr>
          <w:ilvl w:val="0"/>
          <w:numId w:val="12"/>
        </w:numPr>
        <w:spacing w:line="360" w:lineRule="auto"/>
        <w:jc w:val="both"/>
        <w:rPr>
          <w:color w:val="auto"/>
          <w:lang w:eastAsia="zh-CN"/>
        </w:rPr>
      </w:pPr>
      <w:r>
        <w:rPr>
          <w:rFonts w:hint="eastAsia"/>
          <w:color w:val="auto"/>
          <w:lang w:eastAsia="zh-CN"/>
        </w:rPr>
        <w:t>餐厨粗油脂应有专门标有“餐厨废弃油脂”字样的密闭容器存放，集中处理；</w:t>
      </w:r>
    </w:p>
    <w:p>
      <w:pPr>
        <w:pStyle w:val="222"/>
        <w:numPr>
          <w:ilvl w:val="0"/>
          <w:numId w:val="12"/>
        </w:numPr>
        <w:spacing w:line="360" w:lineRule="auto"/>
        <w:jc w:val="both"/>
        <w:rPr>
          <w:color w:val="auto"/>
          <w:lang w:eastAsia="zh-CN"/>
        </w:rPr>
      </w:pPr>
      <w:r>
        <w:rPr>
          <w:rFonts w:hint="eastAsia"/>
          <w:color w:val="auto"/>
          <w:lang w:eastAsia="zh-CN"/>
        </w:rPr>
        <w:t>餐厨粗油脂只能销售给有资质的餐厨粗油脂加工单位，不得销售给其他单位和个人，并在销售合同中明确严禁作为食品行业原料；</w:t>
      </w:r>
    </w:p>
    <w:p>
      <w:pPr>
        <w:pStyle w:val="222"/>
        <w:numPr>
          <w:ilvl w:val="0"/>
          <w:numId w:val="12"/>
        </w:numPr>
        <w:spacing w:line="360" w:lineRule="auto"/>
        <w:jc w:val="both"/>
        <w:rPr>
          <w:color w:val="auto"/>
          <w:lang w:eastAsia="zh-CN"/>
        </w:rPr>
      </w:pPr>
      <w:r>
        <w:rPr>
          <w:rFonts w:hint="eastAsia"/>
          <w:color w:val="auto"/>
          <w:lang w:eastAsia="zh-CN"/>
        </w:rPr>
        <w:t>处理粗油脂要建立档案，详细记录销售时间、种类、数量、收购单位、用途、联系人姓名、电话、地址、收货人签字等，并长期保存。</w:t>
      </w:r>
    </w:p>
    <w:p>
      <w:pPr>
        <w:pStyle w:val="4"/>
        <w:rPr>
          <w:b/>
          <w:color w:val="auto"/>
        </w:rPr>
      </w:pPr>
      <w:bookmarkStart w:id="807" w:name="_Toc15912224"/>
      <w:bookmarkStart w:id="808" w:name="_Toc24136843"/>
      <w:bookmarkStart w:id="809" w:name="_Toc15526"/>
      <w:bookmarkStart w:id="810" w:name="_Toc14946930"/>
      <w:bookmarkStart w:id="811" w:name="_Toc34234759"/>
      <w:r>
        <w:rPr>
          <w:b/>
          <w:color w:val="auto"/>
        </w:rPr>
        <w:t>地下水染控制措施</w:t>
      </w:r>
      <w:bookmarkEnd w:id="807"/>
      <w:bookmarkEnd w:id="808"/>
      <w:bookmarkEnd w:id="809"/>
      <w:bookmarkEnd w:id="810"/>
      <w:bookmarkEnd w:id="811"/>
    </w:p>
    <w:p>
      <w:pPr>
        <w:autoSpaceDE w:val="0"/>
        <w:autoSpaceDN w:val="0"/>
        <w:adjustRightInd w:val="0"/>
        <w:spacing w:line="360" w:lineRule="auto"/>
        <w:ind w:firstLine="480" w:firstLineChars="200"/>
        <w:jc w:val="both"/>
        <w:rPr>
          <w:color w:val="auto"/>
          <w:kern w:val="0"/>
        </w:rPr>
      </w:pPr>
      <w:r>
        <w:rPr>
          <w:color w:val="auto"/>
        </w:rPr>
        <w:t>项目排水按</w:t>
      </w:r>
      <w:r>
        <w:rPr>
          <w:rFonts w:hint="eastAsia"/>
          <w:color w:val="auto"/>
          <w:lang w:eastAsia="zh-CN"/>
        </w:rPr>
        <w:t>后期雨水和</w:t>
      </w:r>
      <w:r>
        <w:rPr>
          <w:color w:val="auto"/>
        </w:rPr>
        <w:t>污</w:t>
      </w:r>
      <w:r>
        <w:rPr>
          <w:rFonts w:hint="eastAsia"/>
          <w:color w:val="auto"/>
          <w:lang w:eastAsia="zh-CN"/>
        </w:rPr>
        <w:t>水</w:t>
      </w:r>
      <w:r>
        <w:rPr>
          <w:color w:val="auto"/>
        </w:rPr>
        <w:t>分流设计。</w:t>
      </w:r>
      <w:r>
        <w:rPr>
          <w:rFonts w:hint="eastAsia"/>
          <w:color w:val="auto"/>
        </w:rPr>
        <w:t>本项目地下水污染途径通常有：餐厨生产废水管线泄漏导致废水渗入、淋溶液通过裂隙、溶隙等渗入地下等。采取的具体措施如下：</w:t>
      </w:r>
    </w:p>
    <w:p>
      <w:pPr>
        <w:pStyle w:val="222"/>
        <w:numPr>
          <w:ilvl w:val="0"/>
          <w:numId w:val="13"/>
        </w:numPr>
        <w:spacing w:line="360" w:lineRule="auto"/>
        <w:jc w:val="both"/>
        <w:rPr>
          <w:color w:val="auto"/>
        </w:rPr>
      </w:pPr>
      <w:r>
        <w:rPr>
          <w:rFonts w:hint="eastAsia"/>
          <w:color w:val="auto"/>
        </w:rPr>
        <w:t>源头控制措施</w:t>
      </w:r>
    </w:p>
    <w:p>
      <w:pPr>
        <w:pStyle w:val="379"/>
        <w:ind w:firstLineChars="0"/>
        <w:rPr>
          <w:rFonts w:hAnsi="Times New Roman"/>
          <w:color w:val="auto"/>
        </w:rPr>
      </w:pPr>
      <w:r>
        <w:rPr>
          <w:rFonts w:hint="eastAsia" w:hAnsi="Times New Roman"/>
          <w:color w:val="auto"/>
          <w:lang w:val="zh-CN"/>
        </w:rPr>
        <w:t>餐厨项目</w:t>
      </w:r>
      <w:r>
        <w:rPr>
          <w:rFonts w:hAnsi="Times New Roman"/>
          <w:color w:val="auto"/>
        </w:rPr>
        <w:t>主要包括在工艺、管道、设备采取相应措施，防止和降低污染物跑、冒、滴、漏，将污染物泄漏的环境风险事故降到最低程度；管线敷设尽量采用</w:t>
      </w:r>
      <w:r>
        <w:rPr>
          <w:rFonts w:hint="eastAsia" w:hAnsi="Times New Roman"/>
          <w:color w:val="auto"/>
        </w:rPr>
        <w:t>“</w:t>
      </w:r>
      <w:r>
        <w:rPr>
          <w:rFonts w:hAnsi="Times New Roman"/>
          <w:color w:val="auto"/>
        </w:rPr>
        <w:t>可视化</w:t>
      </w:r>
      <w:r>
        <w:rPr>
          <w:rFonts w:hint="eastAsia" w:hAnsi="Times New Roman"/>
          <w:color w:val="auto"/>
        </w:rPr>
        <w:t>”</w:t>
      </w:r>
      <w:r>
        <w:rPr>
          <w:rFonts w:hAnsi="Times New Roman"/>
          <w:color w:val="auto"/>
        </w:rPr>
        <w:t>原则，即管道尽可能地上敷设，做到污染物“早发现”早处理，减少由于埋地管道泄漏而造成的地下水污染。</w:t>
      </w:r>
    </w:p>
    <w:p>
      <w:pPr>
        <w:spacing w:line="360" w:lineRule="auto"/>
        <w:ind w:firstLine="480" w:firstLineChars="200"/>
        <w:jc w:val="both"/>
        <w:rPr>
          <w:color w:val="auto"/>
        </w:rPr>
      </w:pPr>
      <w:r>
        <w:rPr>
          <w:rFonts w:hint="eastAsia"/>
          <w:color w:val="auto"/>
        </w:rPr>
        <w:t>建筑垃圾项目对产生的洗车废水和淋溶液经沉淀池后回用于场区场地洒水，严禁废水外排，从源头上减少污染物的产生。此外，本消纳场主要消纳对象为渣土、泥浆、废砖块、混凝土等，不含有害成分，故要严格落实入场标准，严禁运输车辆混入其他垃圾，防止雨水淋溶液对地下水环境造成影响。</w:t>
      </w:r>
    </w:p>
    <w:p>
      <w:pPr>
        <w:pStyle w:val="222"/>
        <w:numPr>
          <w:ilvl w:val="0"/>
          <w:numId w:val="13"/>
        </w:numPr>
        <w:spacing w:line="360" w:lineRule="auto"/>
        <w:jc w:val="both"/>
        <w:rPr>
          <w:color w:val="auto"/>
        </w:rPr>
      </w:pPr>
      <w:r>
        <w:rPr>
          <w:rFonts w:hint="eastAsia"/>
          <w:color w:val="auto"/>
        </w:rPr>
        <w:t>防渗控制措施</w:t>
      </w:r>
    </w:p>
    <w:p>
      <w:pPr>
        <w:spacing w:line="360" w:lineRule="auto"/>
        <w:ind w:firstLine="480" w:firstLineChars="200"/>
        <w:jc w:val="both"/>
        <w:rPr>
          <w:color w:val="auto"/>
        </w:rPr>
      </w:pPr>
      <w:r>
        <w:rPr>
          <w:rFonts w:hint="eastAsia"/>
          <w:color w:val="auto"/>
        </w:rPr>
        <w:t>餐厨项目主要包括厂内污染区地面的防渗措施和泄漏、渗漏污染物收集措施，即在污染区地面进行防渗处理，防止洒落地面的污染物渗入地下，并把滞留在地面的污染物收集起来，集中送至污水处理设施处理；末端控制采取分区防渗原则。</w:t>
      </w:r>
    </w:p>
    <w:p>
      <w:pPr>
        <w:spacing w:line="360" w:lineRule="auto"/>
        <w:ind w:firstLine="480" w:firstLineChars="200"/>
        <w:jc w:val="both"/>
        <w:rPr>
          <w:color w:val="auto"/>
          <w:kern w:val="0"/>
        </w:rPr>
      </w:pPr>
      <w:r>
        <w:rPr>
          <w:rFonts w:hint="eastAsia"/>
          <w:color w:val="auto"/>
        </w:rPr>
        <w:t>建筑垃圾消纳场</w:t>
      </w:r>
      <w:r>
        <w:rPr>
          <w:color w:val="auto"/>
          <w:kern w:val="0"/>
        </w:rPr>
        <w:t>采取严格的防渗、防腐蚀等措施，防止</w:t>
      </w:r>
      <w:r>
        <w:rPr>
          <w:rFonts w:hint="eastAsia"/>
          <w:color w:val="auto"/>
          <w:kern w:val="0"/>
        </w:rPr>
        <w:t>建筑</w:t>
      </w:r>
      <w:r>
        <w:rPr>
          <w:color w:val="auto"/>
          <w:kern w:val="0"/>
        </w:rPr>
        <w:t>垃圾</w:t>
      </w:r>
      <w:r>
        <w:rPr>
          <w:rFonts w:hint="eastAsia"/>
          <w:color w:val="auto"/>
          <w:kern w:val="0"/>
        </w:rPr>
        <w:t>淋溶</w:t>
      </w:r>
      <w:r>
        <w:rPr>
          <w:color w:val="auto"/>
          <w:kern w:val="0"/>
        </w:rPr>
        <w:t>液进入地下。</w:t>
      </w:r>
      <w:r>
        <w:rPr>
          <w:rFonts w:hint="eastAsia"/>
          <w:color w:val="auto"/>
          <w:kern w:val="0"/>
        </w:rPr>
        <w:t>选用可靠的防渗材料及相应的保护层，设置渗滤液收集导排系统；设置地下水收集导排系统；地下水收集导排系统应具有长期导排性能。单层防渗结构从上至下为：淋溶</w:t>
      </w:r>
      <w:r>
        <w:rPr>
          <w:color w:val="auto"/>
          <w:kern w:val="0"/>
        </w:rPr>
        <w:t>液</w:t>
      </w:r>
      <w:r>
        <w:rPr>
          <w:rFonts w:hint="eastAsia"/>
          <w:color w:val="auto"/>
          <w:kern w:val="0"/>
        </w:rPr>
        <w:t>收集导排系统、防渗层（含防渗材料及保护材料）、基础层、地下水收集导排系统。</w:t>
      </w:r>
      <w:r>
        <w:rPr>
          <w:rFonts w:hint="eastAsia"/>
          <w:color w:val="auto"/>
        </w:rPr>
        <w:t>本项目厂区防渗、防腐措施设计具体如下：</w:t>
      </w:r>
    </w:p>
    <w:p>
      <w:pPr>
        <w:spacing w:line="360" w:lineRule="auto"/>
        <w:ind w:firstLine="482" w:firstLineChars="200"/>
        <w:jc w:val="both"/>
        <w:rPr>
          <w:b/>
          <w:color w:val="auto"/>
        </w:rPr>
      </w:pPr>
      <w:r>
        <w:rPr>
          <w:rFonts w:hint="eastAsia"/>
          <w:b/>
          <w:color w:val="auto"/>
        </w:rPr>
        <w:t>1）重点防渗区：餐厨垃圾处理车间</w:t>
      </w:r>
      <w:r>
        <w:rPr>
          <w:rFonts w:hint="eastAsia"/>
          <w:b/>
          <w:color w:val="auto"/>
          <w:lang w:eastAsia="zh-CN"/>
        </w:rPr>
        <w:t>和</w:t>
      </w:r>
      <w:r>
        <w:rPr>
          <w:rFonts w:hint="eastAsia"/>
          <w:b/>
          <w:color w:val="auto"/>
        </w:rPr>
        <w:t>化学品仓库、</w:t>
      </w:r>
      <w:r>
        <w:rPr>
          <w:rFonts w:hint="eastAsia"/>
          <w:b/>
          <w:color w:val="auto"/>
          <w:lang w:eastAsia="zh-CN"/>
        </w:rPr>
        <w:t>餐厨垃圾项目</w:t>
      </w:r>
      <w:r>
        <w:rPr>
          <w:rFonts w:hint="eastAsia"/>
          <w:b/>
          <w:color w:val="auto"/>
        </w:rPr>
        <w:t>废水收集装置及</w:t>
      </w:r>
      <w:r>
        <w:rPr>
          <w:rFonts w:hint="eastAsia"/>
          <w:b/>
          <w:color w:val="auto"/>
          <w:lang w:eastAsia="zh-CN"/>
        </w:rPr>
        <w:t>输送</w:t>
      </w:r>
      <w:r>
        <w:rPr>
          <w:rFonts w:hint="eastAsia"/>
          <w:b/>
          <w:color w:val="auto"/>
        </w:rPr>
        <w:t>管线、建筑垃圾消纳</w:t>
      </w:r>
      <w:r>
        <w:rPr>
          <w:rFonts w:hint="eastAsia"/>
          <w:b/>
          <w:color w:val="auto"/>
          <w:lang w:eastAsia="zh-CN"/>
        </w:rPr>
        <w:t>场厂区地下管道、建筑垃圾消纳场</w:t>
      </w:r>
      <w:r>
        <w:rPr>
          <w:rFonts w:hint="eastAsia"/>
          <w:b/>
          <w:color w:val="auto"/>
        </w:rPr>
        <w:t>、淋溶液调节池及沉淀池</w:t>
      </w:r>
    </w:p>
    <w:p>
      <w:pPr>
        <w:spacing w:line="360" w:lineRule="auto"/>
        <w:ind w:firstLine="480" w:firstLineChars="200"/>
        <w:jc w:val="both"/>
        <w:rPr>
          <w:color w:val="auto"/>
        </w:rPr>
      </w:pPr>
      <w:r>
        <w:rPr>
          <w:rFonts w:hint="eastAsia"/>
          <w:color w:val="auto"/>
        </w:rPr>
        <w:t>餐厨垃圾处理车间和化学品仓库</w:t>
      </w:r>
      <w:r>
        <w:rPr>
          <w:color w:val="auto"/>
          <w:kern w:val="0"/>
        </w:rPr>
        <w:t>采用双层复合防渗结构，以压实土和无纺土工布复合基础为地基，其上铺设2mm厚HDPE膜（渗透系数≤10</w:t>
      </w:r>
      <w:r>
        <w:rPr>
          <w:color w:val="auto"/>
          <w:kern w:val="0"/>
          <w:vertAlign w:val="superscript"/>
        </w:rPr>
        <w:t>-10</w:t>
      </w:r>
      <w:r>
        <w:rPr>
          <w:color w:val="auto"/>
          <w:kern w:val="0"/>
        </w:rPr>
        <w:t>cm/s），面层采用防渗混凝土（厚度不小于100mm，渗透系数≤10</w:t>
      </w:r>
      <w:r>
        <w:rPr>
          <w:color w:val="auto"/>
          <w:kern w:val="0"/>
          <w:vertAlign w:val="superscript"/>
        </w:rPr>
        <w:t>-8</w:t>
      </w:r>
      <w:r>
        <w:rPr>
          <w:color w:val="auto"/>
          <w:kern w:val="0"/>
        </w:rPr>
        <w:t>cm/s）</w:t>
      </w:r>
      <w:r>
        <w:rPr>
          <w:rFonts w:hint="eastAsia"/>
          <w:color w:val="auto"/>
          <w:kern w:val="0"/>
        </w:rPr>
        <w:t>。</w:t>
      </w:r>
    </w:p>
    <w:p>
      <w:pPr>
        <w:autoSpaceDE w:val="0"/>
        <w:autoSpaceDN w:val="0"/>
        <w:adjustRightInd w:val="0"/>
        <w:spacing w:line="360" w:lineRule="auto"/>
        <w:ind w:firstLine="480" w:firstLineChars="200"/>
        <w:jc w:val="both"/>
        <w:rPr>
          <w:color w:val="auto"/>
          <w:kern w:val="0"/>
        </w:rPr>
      </w:pPr>
      <w:r>
        <w:rPr>
          <w:rFonts w:hint="eastAsia"/>
          <w:color w:val="auto"/>
          <w:kern w:val="0"/>
        </w:rPr>
        <w:t>餐厨垃圾项目</w:t>
      </w:r>
      <w:r>
        <w:rPr>
          <w:color w:val="auto"/>
          <w:kern w:val="0"/>
        </w:rPr>
        <w:t>废水收集装置及</w:t>
      </w:r>
      <w:r>
        <w:rPr>
          <w:rFonts w:hint="eastAsia"/>
          <w:color w:val="auto"/>
          <w:kern w:val="0"/>
          <w:lang w:eastAsia="zh-CN"/>
        </w:rPr>
        <w:t>输送</w:t>
      </w:r>
      <w:r>
        <w:rPr>
          <w:color w:val="auto"/>
          <w:kern w:val="0"/>
        </w:rPr>
        <w:t>管线尽量在地上铺设，加强检查、维护和管理，以减少由于埋地管道泄漏而可能造成的地下水污染。用于运送废水的碳钢污水管道设计壁厚应适当加厚，并采用最高级别的外防腐层。管道施工严格执行规范要求，接口严密、平顺，填料密实，避免发生破损污染地下水</w:t>
      </w:r>
      <w:r>
        <w:rPr>
          <w:rFonts w:hint="eastAsia"/>
          <w:color w:val="auto"/>
          <w:kern w:val="0"/>
        </w:rPr>
        <w:t>。</w:t>
      </w:r>
      <w:r>
        <w:rPr>
          <w:color w:val="auto"/>
          <w:kern w:val="0"/>
        </w:rPr>
        <w:t>废水收集装置和</w:t>
      </w:r>
      <w:r>
        <w:rPr>
          <w:rFonts w:hint="eastAsia"/>
          <w:color w:val="auto"/>
          <w:kern w:val="0"/>
          <w:lang w:eastAsia="zh-CN"/>
        </w:rPr>
        <w:t>输送</w:t>
      </w:r>
      <w:r>
        <w:rPr>
          <w:color w:val="auto"/>
          <w:kern w:val="0"/>
        </w:rPr>
        <w:t>管线所经区域可采用灰土垫层，铺设2mm厚的单层HDPE 膜（渗透系数≤10</w:t>
      </w:r>
      <w:r>
        <w:rPr>
          <w:color w:val="auto"/>
          <w:kern w:val="0"/>
          <w:vertAlign w:val="superscript"/>
        </w:rPr>
        <w:t>-10</w:t>
      </w:r>
      <w:r>
        <w:rPr>
          <w:color w:val="auto"/>
          <w:kern w:val="0"/>
        </w:rPr>
        <w:t>cm/s）。</w:t>
      </w:r>
    </w:p>
    <w:p>
      <w:pPr>
        <w:spacing w:line="360" w:lineRule="auto"/>
        <w:ind w:firstLine="480" w:firstLineChars="200"/>
        <w:jc w:val="both"/>
        <w:rPr>
          <w:color w:val="auto"/>
        </w:rPr>
      </w:pPr>
      <w:r>
        <w:rPr>
          <w:rFonts w:hint="eastAsia"/>
          <w:color w:val="auto"/>
        </w:rPr>
        <w:t>建筑垃圾消纳场厂区地下管道作为废水输送装置，深埋地下，渗漏后不易被发现，危害巨大，是厂区内潜在的渗漏点，建设过程中地下管线应进行充分的防渗措施，厂区内污水输送管道不能与地下介质直接接触，防渗措施有</w:t>
      </w:r>
      <w:r>
        <w:rPr>
          <w:color w:val="auto"/>
          <w:kern w:val="0"/>
        </w:rPr>
        <w:t>铺设2mm厚的单层HDPE 膜（渗透系数≤10</w:t>
      </w:r>
      <w:r>
        <w:rPr>
          <w:color w:val="auto"/>
          <w:kern w:val="0"/>
          <w:vertAlign w:val="superscript"/>
        </w:rPr>
        <w:t>-10</w:t>
      </w:r>
      <w:r>
        <w:rPr>
          <w:color w:val="auto"/>
          <w:kern w:val="0"/>
        </w:rPr>
        <w:t>cm/s）</w:t>
      </w:r>
      <w:r>
        <w:rPr>
          <w:rFonts w:hint="eastAsia"/>
          <w:color w:val="auto"/>
        </w:rPr>
        <w:t>。</w:t>
      </w:r>
    </w:p>
    <w:p>
      <w:pPr>
        <w:spacing w:line="360" w:lineRule="auto"/>
        <w:ind w:firstLine="480" w:firstLineChars="200"/>
        <w:jc w:val="both"/>
        <w:rPr>
          <w:color w:val="auto"/>
        </w:rPr>
      </w:pPr>
      <w:r>
        <w:rPr>
          <w:rFonts w:hint="eastAsia"/>
          <w:color w:val="auto"/>
        </w:rPr>
        <w:t>建筑垃圾消纳场防渗按照重点防渗区进行</w:t>
      </w:r>
      <w:r>
        <w:rPr>
          <w:rFonts w:hint="default" w:ascii="Times New Roman" w:hAnsi="Times New Roman" w:cs="Times New Roman"/>
          <w:color w:val="auto"/>
          <w:sz w:val="24"/>
          <w:szCs w:val="24"/>
        </w:rPr>
        <w:t>，填埋场区场地防渗结构由下至上依次为：平整、压实的场底、200g/m</w:t>
      </w:r>
      <w:r>
        <w:rPr>
          <w:rFonts w:hint="default" w:ascii="Times New Roman" w:hAnsi="Times New Roman" w:cs="Times New Roman"/>
          <w:color w:val="auto"/>
          <w:sz w:val="24"/>
          <w:szCs w:val="24"/>
          <w:vertAlign w:val="superscript"/>
        </w:rPr>
        <w:t>2</w:t>
      </w:r>
      <w:r>
        <w:rPr>
          <w:rFonts w:hint="default" w:ascii="Times New Roman" w:hAnsi="Times New Roman" w:cs="Times New Roman"/>
          <w:color w:val="auto"/>
          <w:sz w:val="24"/>
          <w:szCs w:val="24"/>
        </w:rPr>
        <w:t>有纺土工布、350mm厚碎石导流层（内设收集管）、400 g/m</w:t>
      </w:r>
      <w:r>
        <w:rPr>
          <w:rFonts w:hint="default" w:ascii="Times New Roman" w:hAnsi="Times New Roman" w:cs="Times New Roman"/>
          <w:color w:val="auto"/>
          <w:sz w:val="24"/>
          <w:szCs w:val="24"/>
          <w:vertAlign w:val="superscript"/>
        </w:rPr>
        <w:t>2</w:t>
      </w:r>
      <w:r>
        <w:rPr>
          <w:rFonts w:hint="default" w:ascii="Times New Roman" w:hAnsi="Times New Roman" w:cs="Times New Roman"/>
          <w:color w:val="auto"/>
          <w:sz w:val="24"/>
          <w:szCs w:val="24"/>
        </w:rPr>
        <w:t>长丝土工布、500mm厚压实土壤保护层、2mm厚HDPE光面膜；500mm厚袋装中土保护层。库区边坡防渗结构由下至上依次为：修正的边坡、天然钠基膨润土防水垫（GCL）、2mm厚HDPE糙面膜、500mm厚袋装中土保护层</w:t>
      </w:r>
      <w:r>
        <w:rPr>
          <w:rFonts w:hint="eastAsia"/>
          <w:color w:val="auto"/>
        </w:rPr>
        <w:t>。</w:t>
      </w:r>
      <w:r>
        <w:rPr>
          <w:color w:val="auto"/>
        </w:rPr>
        <w:t>同时施工时在场区底部上需保持纵向3%的坡度、横向2%的坡度，次盲沟坡向主盲沟至渗滤液处理设施</w:t>
      </w:r>
      <w:r>
        <w:rPr>
          <w:rFonts w:hint="eastAsia"/>
          <w:color w:val="auto"/>
        </w:rPr>
        <w:t>。淋溶液调节池、沉淀池采用特殊防渗处理，在防渗结构上设置隔离层，并与地面隔离层连成整体。先用三合土处理，再用水泥硬化，然后涂沥青防腐、防渗，并对水泥池内墙贴玻璃纤维布及环氧树脂，以达到防腐、防渗的目的。</w:t>
      </w:r>
    </w:p>
    <w:p>
      <w:pPr>
        <w:autoSpaceDE w:val="0"/>
        <w:autoSpaceDN w:val="0"/>
        <w:adjustRightInd w:val="0"/>
        <w:spacing w:line="360" w:lineRule="auto"/>
        <w:ind w:firstLine="480" w:firstLineChars="200"/>
        <w:rPr>
          <w:color w:val="auto"/>
          <w:kern w:val="0"/>
        </w:rPr>
      </w:pPr>
      <w:r>
        <w:rPr>
          <w:color w:val="auto"/>
          <w:kern w:val="0"/>
        </w:rPr>
        <w:t>2）一般污染防治区</w:t>
      </w:r>
    </w:p>
    <w:p>
      <w:pPr>
        <w:autoSpaceDE w:val="0"/>
        <w:autoSpaceDN w:val="0"/>
        <w:adjustRightInd w:val="0"/>
        <w:spacing w:line="360" w:lineRule="auto"/>
        <w:ind w:firstLine="480" w:firstLineChars="200"/>
        <w:rPr>
          <w:color w:val="auto"/>
          <w:kern w:val="0"/>
        </w:rPr>
      </w:pPr>
      <w:r>
        <w:rPr>
          <w:rFonts w:hint="eastAsia"/>
          <w:color w:val="auto"/>
          <w:kern w:val="0"/>
          <w:lang w:eastAsia="zh-CN"/>
        </w:rPr>
        <w:t>地磅区域</w:t>
      </w:r>
      <w:r>
        <w:rPr>
          <w:rFonts w:hint="eastAsia"/>
          <w:color w:val="auto"/>
          <w:kern w:val="0"/>
        </w:rPr>
        <w:t>、洗车区域</w:t>
      </w:r>
      <w:r>
        <w:rPr>
          <w:color w:val="auto"/>
        </w:rPr>
        <w:t>地面采取粘土铺底，再在上层铺 10~15cm 的水泥进行硬化。通过上述措施可使一般污染区各单元防渗层渗透系数≤10</w:t>
      </w:r>
      <w:r>
        <w:rPr>
          <w:color w:val="auto"/>
          <w:vertAlign w:val="superscript"/>
        </w:rPr>
        <w:t>-7</w:t>
      </w:r>
      <w:r>
        <w:rPr>
          <w:color w:val="auto"/>
        </w:rPr>
        <w:t>cm/</w:t>
      </w:r>
      <w:r>
        <w:rPr>
          <w:color w:val="auto"/>
          <w:kern w:val="0"/>
        </w:rPr>
        <w:t>s。</w:t>
      </w:r>
    </w:p>
    <w:p>
      <w:pPr>
        <w:autoSpaceDE w:val="0"/>
        <w:autoSpaceDN w:val="0"/>
        <w:adjustRightInd w:val="0"/>
        <w:spacing w:line="360" w:lineRule="auto"/>
        <w:ind w:firstLine="480" w:firstLineChars="200"/>
        <w:rPr>
          <w:color w:val="auto"/>
          <w:kern w:val="0"/>
        </w:rPr>
      </w:pPr>
      <w:r>
        <w:rPr>
          <w:color w:val="auto"/>
          <w:kern w:val="0"/>
        </w:rPr>
        <w:t>3）</w:t>
      </w:r>
      <w:r>
        <w:rPr>
          <w:rFonts w:hint="eastAsia"/>
          <w:color w:val="auto"/>
          <w:kern w:val="0"/>
        </w:rPr>
        <w:t>简单防渗</w:t>
      </w:r>
      <w:r>
        <w:rPr>
          <w:color w:val="auto"/>
          <w:kern w:val="0"/>
        </w:rPr>
        <w:t>区</w:t>
      </w:r>
    </w:p>
    <w:p>
      <w:pPr>
        <w:spacing w:line="360" w:lineRule="auto"/>
        <w:ind w:firstLine="480" w:firstLineChars="200"/>
        <w:rPr>
          <w:color w:val="auto"/>
          <w:kern w:val="0"/>
        </w:rPr>
      </w:pPr>
      <w:r>
        <w:rPr>
          <w:rFonts w:hint="eastAsia"/>
          <w:color w:val="auto"/>
          <w:kern w:val="0"/>
        </w:rPr>
        <w:t>其他公铺设施区，防渗要求为一般地面硬化。</w:t>
      </w:r>
    </w:p>
    <w:p>
      <w:pPr>
        <w:spacing w:line="360" w:lineRule="auto"/>
        <w:ind w:firstLine="480" w:firstLineChars="200"/>
        <w:rPr>
          <w:color w:val="auto"/>
          <w:kern w:val="0"/>
        </w:rPr>
      </w:pPr>
      <w:r>
        <w:rPr>
          <w:color w:val="auto"/>
          <w:kern w:val="0"/>
        </w:rPr>
        <w:t>在做好上述措施的情况下，本项目营运期对地下水造成的影响很小。</w:t>
      </w:r>
      <w:r>
        <w:rPr>
          <w:rFonts w:hint="eastAsia"/>
          <w:color w:val="auto"/>
          <w:kern w:val="0"/>
        </w:rPr>
        <w:t>各分区防渗要求如下表所示。</w:t>
      </w:r>
      <w:r>
        <w:rPr>
          <w:color w:val="auto"/>
          <w:kern w:val="0"/>
        </w:rPr>
        <w:t>拟建项目地下水污染防治分区示意图见图6.2-</w:t>
      </w:r>
      <w:r>
        <w:rPr>
          <w:rFonts w:hint="eastAsia"/>
          <w:color w:val="auto"/>
          <w:kern w:val="0"/>
        </w:rPr>
        <w:t>13</w:t>
      </w:r>
      <w:r>
        <w:rPr>
          <w:color w:val="auto"/>
          <w:kern w:val="0"/>
        </w:rPr>
        <w:t>。</w:t>
      </w:r>
    </w:p>
    <w:p>
      <w:pPr>
        <w:autoSpaceDE w:val="0"/>
        <w:autoSpaceDN w:val="0"/>
        <w:adjustRightInd w:val="0"/>
        <w:jc w:val="center"/>
        <w:rPr>
          <w:b/>
          <w:color w:val="auto"/>
          <w:kern w:val="0"/>
        </w:rPr>
      </w:pPr>
      <w:r>
        <w:rPr>
          <w:rFonts w:hint="eastAsia"/>
          <w:b/>
          <w:color w:val="auto"/>
          <w:kern w:val="0"/>
        </w:rPr>
        <w:t>表6</w:t>
      </w:r>
      <w:r>
        <w:rPr>
          <w:b/>
          <w:color w:val="auto"/>
          <w:kern w:val="0"/>
        </w:rPr>
        <w:t>.2</w:t>
      </w:r>
      <w:r>
        <w:rPr>
          <w:rFonts w:hint="eastAsia"/>
          <w:b/>
          <w:color w:val="auto"/>
          <w:kern w:val="0"/>
        </w:rPr>
        <w:t>-1</w:t>
      </w:r>
      <w:r>
        <w:rPr>
          <w:rFonts w:hint="eastAsia"/>
          <w:b/>
          <w:color w:val="auto"/>
          <w:kern w:val="0"/>
          <w:lang w:val="en-US" w:eastAsia="zh-CN"/>
        </w:rPr>
        <w:t>3</w:t>
      </w:r>
      <w:r>
        <w:rPr>
          <w:b/>
          <w:color w:val="auto"/>
          <w:kern w:val="0"/>
        </w:rPr>
        <w:t xml:space="preserve">  </w:t>
      </w:r>
      <w:r>
        <w:rPr>
          <w:rFonts w:hint="eastAsia"/>
          <w:b/>
          <w:color w:val="auto"/>
          <w:kern w:val="0"/>
        </w:rPr>
        <w:t>地下水污染防渗分区防渗技术要求</w:t>
      </w:r>
    </w:p>
    <w:tbl>
      <w:tblPr>
        <w:tblStyle w:val="53"/>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9"/>
        <w:gridCol w:w="3383"/>
        <w:gridCol w:w="44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1499" w:type="dxa"/>
            <w:shd w:val="clear" w:color="auto" w:fill="auto"/>
            <w:vAlign w:val="center"/>
          </w:tcPr>
          <w:p>
            <w:pPr>
              <w:autoSpaceDE w:val="0"/>
              <w:autoSpaceDN w:val="0"/>
              <w:adjustRightInd w:val="0"/>
              <w:jc w:val="center"/>
              <w:rPr>
                <w:b/>
                <w:color w:val="auto"/>
                <w:kern w:val="0"/>
                <w:sz w:val="21"/>
                <w:szCs w:val="21"/>
              </w:rPr>
            </w:pPr>
            <w:r>
              <w:rPr>
                <w:rFonts w:hint="eastAsia"/>
                <w:b/>
                <w:color w:val="auto"/>
                <w:kern w:val="0"/>
                <w:sz w:val="21"/>
                <w:szCs w:val="21"/>
              </w:rPr>
              <w:t>防渗分区</w:t>
            </w:r>
          </w:p>
        </w:tc>
        <w:tc>
          <w:tcPr>
            <w:tcW w:w="3383" w:type="dxa"/>
          </w:tcPr>
          <w:p>
            <w:pPr>
              <w:autoSpaceDE w:val="0"/>
              <w:autoSpaceDN w:val="0"/>
              <w:adjustRightInd w:val="0"/>
              <w:jc w:val="center"/>
              <w:rPr>
                <w:b/>
                <w:color w:val="auto"/>
                <w:kern w:val="0"/>
                <w:sz w:val="21"/>
                <w:szCs w:val="21"/>
              </w:rPr>
            </w:pPr>
            <w:r>
              <w:rPr>
                <w:b/>
                <w:color w:val="auto"/>
                <w:sz w:val="21"/>
                <w:szCs w:val="21"/>
              </w:rPr>
              <w:t>名称</w:t>
            </w:r>
          </w:p>
        </w:tc>
        <w:tc>
          <w:tcPr>
            <w:tcW w:w="4404" w:type="dxa"/>
            <w:shd w:val="clear" w:color="auto" w:fill="auto"/>
            <w:vAlign w:val="center"/>
          </w:tcPr>
          <w:p>
            <w:pPr>
              <w:autoSpaceDE w:val="0"/>
              <w:autoSpaceDN w:val="0"/>
              <w:adjustRightInd w:val="0"/>
              <w:jc w:val="center"/>
              <w:rPr>
                <w:b/>
                <w:color w:val="auto"/>
                <w:kern w:val="0"/>
                <w:sz w:val="21"/>
                <w:szCs w:val="21"/>
              </w:rPr>
            </w:pPr>
            <w:r>
              <w:rPr>
                <w:rFonts w:hint="eastAsia"/>
                <w:b/>
                <w:color w:val="auto"/>
                <w:kern w:val="0"/>
                <w:sz w:val="21"/>
                <w:szCs w:val="21"/>
              </w:rPr>
              <w:t>防渗技术</w:t>
            </w:r>
            <w:r>
              <w:rPr>
                <w:rFonts w:hint="eastAsia"/>
                <w:b/>
                <w:color w:val="auto"/>
                <w:kern w:val="0"/>
                <w:sz w:val="21"/>
                <w:szCs w:val="21"/>
                <w:lang w:eastAsia="zh-CN"/>
              </w:rPr>
              <w:t>措施及</w:t>
            </w:r>
            <w:r>
              <w:rPr>
                <w:rFonts w:hint="eastAsia"/>
                <w:b/>
                <w:color w:val="auto"/>
                <w:kern w:val="0"/>
                <w:sz w:val="21"/>
                <w:szCs w:val="21"/>
              </w:rPr>
              <w:t>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499" w:type="dxa"/>
            <w:vMerge w:val="restart"/>
            <w:shd w:val="clear" w:color="auto" w:fill="auto"/>
            <w:vAlign w:val="center"/>
          </w:tcPr>
          <w:p>
            <w:pPr>
              <w:autoSpaceDE w:val="0"/>
              <w:autoSpaceDN w:val="0"/>
              <w:adjustRightInd w:val="0"/>
              <w:jc w:val="center"/>
              <w:rPr>
                <w:color w:val="auto"/>
                <w:kern w:val="0"/>
                <w:sz w:val="21"/>
                <w:szCs w:val="21"/>
              </w:rPr>
            </w:pPr>
            <w:r>
              <w:rPr>
                <w:rFonts w:hint="eastAsia"/>
                <w:color w:val="auto"/>
                <w:kern w:val="0"/>
                <w:sz w:val="21"/>
                <w:szCs w:val="21"/>
              </w:rPr>
              <w:t>重点防渗区</w:t>
            </w:r>
          </w:p>
        </w:tc>
        <w:tc>
          <w:tcPr>
            <w:tcW w:w="3383" w:type="dxa"/>
            <w:vAlign w:val="center"/>
          </w:tcPr>
          <w:p>
            <w:pPr>
              <w:autoSpaceDE w:val="0"/>
              <w:autoSpaceDN w:val="0"/>
              <w:adjustRightInd w:val="0"/>
              <w:spacing w:line="240" w:lineRule="auto"/>
              <w:jc w:val="center"/>
              <w:rPr>
                <w:color w:val="auto"/>
                <w:kern w:val="0"/>
                <w:sz w:val="21"/>
                <w:szCs w:val="21"/>
              </w:rPr>
            </w:pPr>
            <w:r>
              <w:rPr>
                <w:rFonts w:hint="eastAsia"/>
                <w:color w:val="auto"/>
                <w:kern w:val="0"/>
                <w:sz w:val="21"/>
                <w:szCs w:val="21"/>
              </w:rPr>
              <w:t>餐厨垃圾处理车间和化学品仓库</w:t>
            </w:r>
          </w:p>
        </w:tc>
        <w:tc>
          <w:tcPr>
            <w:tcW w:w="4404" w:type="dxa"/>
            <w:shd w:val="clear" w:color="auto" w:fill="auto"/>
            <w:vAlign w:val="center"/>
          </w:tcPr>
          <w:p>
            <w:pPr>
              <w:autoSpaceDE w:val="0"/>
              <w:autoSpaceDN w:val="0"/>
              <w:adjustRightInd w:val="0"/>
              <w:spacing w:line="240" w:lineRule="auto"/>
              <w:jc w:val="center"/>
              <w:rPr>
                <w:color w:val="auto"/>
                <w:kern w:val="0"/>
                <w:sz w:val="21"/>
                <w:szCs w:val="21"/>
              </w:rPr>
            </w:pPr>
            <w:r>
              <w:rPr>
                <w:color w:val="auto"/>
                <w:kern w:val="0"/>
                <w:sz w:val="21"/>
                <w:szCs w:val="21"/>
              </w:rPr>
              <w:t>采用双层复合防渗结构，以压实土和无纺土工布复合基础为地基，其上铺设2mm厚HDPE膜（渗透系数≤10</w:t>
            </w:r>
            <w:r>
              <w:rPr>
                <w:color w:val="auto"/>
                <w:kern w:val="0"/>
                <w:sz w:val="21"/>
                <w:szCs w:val="21"/>
                <w:vertAlign w:val="superscript"/>
              </w:rPr>
              <w:t>-10</w:t>
            </w:r>
            <w:r>
              <w:rPr>
                <w:color w:val="auto"/>
                <w:kern w:val="0"/>
                <w:sz w:val="21"/>
                <w:szCs w:val="21"/>
              </w:rPr>
              <w:t>cm/s），面层采用防渗混凝土（厚度不小于100mm，渗透系数≤10</w:t>
            </w:r>
            <w:r>
              <w:rPr>
                <w:color w:val="auto"/>
                <w:kern w:val="0"/>
                <w:sz w:val="21"/>
                <w:szCs w:val="21"/>
                <w:vertAlign w:val="superscript"/>
              </w:rPr>
              <w:t>-8</w:t>
            </w:r>
            <w:r>
              <w:rPr>
                <w:color w:val="auto"/>
                <w:kern w:val="0"/>
                <w:sz w:val="21"/>
                <w:szCs w:val="21"/>
              </w:rPr>
              <w:t>cm/s）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499" w:type="dxa"/>
            <w:vMerge w:val="continue"/>
            <w:shd w:val="clear" w:color="auto" w:fill="auto"/>
            <w:vAlign w:val="center"/>
          </w:tcPr>
          <w:p>
            <w:pPr>
              <w:autoSpaceDE w:val="0"/>
              <w:autoSpaceDN w:val="0"/>
              <w:adjustRightInd w:val="0"/>
              <w:jc w:val="center"/>
              <w:rPr>
                <w:rFonts w:hint="eastAsia"/>
                <w:color w:val="auto"/>
                <w:kern w:val="0"/>
                <w:sz w:val="21"/>
                <w:szCs w:val="21"/>
              </w:rPr>
            </w:pPr>
          </w:p>
        </w:tc>
        <w:tc>
          <w:tcPr>
            <w:tcW w:w="3383" w:type="dxa"/>
            <w:vAlign w:val="center"/>
          </w:tcPr>
          <w:p>
            <w:pPr>
              <w:autoSpaceDE w:val="0"/>
              <w:autoSpaceDN w:val="0"/>
              <w:adjustRightInd w:val="0"/>
              <w:spacing w:line="240" w:lineRule="auto"/>
              <w:jc w:val="center"/>
              <w:rPr>
                <w:rFonts w:hint="eastAsia"/>
                <w:color w:val="auto"/>
                <w:sz w:val="21"/>
                <w:szCs w:val="21"/>
              </w:rPr>
            </w:pPr>
            <w:r>
              <w:rPr>
                <w:rFonts w:hint="eastAsia"/>
                <w:color w:val="auto"/>
                <w:kern w:val="0"/>
                <w:sz w:val="21"/>
                <w:szCs w:val="21"/>
              </w:rPr>
              <w:t>餐厨垃圾项目</w:t>
            </w:r>
            <w:r>
              <w:rPr>
                <w:color w:val="auto"/>
                <w:kern w:val="0"/>
                <w:sz w:val="21"/>
                <w:szCs w:val="21"/>
              </w:rPr>
              <w:t>废水收集装置及</w:t>
            </w:r>
            <w:r>
              <w:rPr>
                <w:rFonts w:hint="eastAsia"/>
                <w:color w:val="auto"/>
                <w:kern w:val="0"/>
                <w:sz w:val="21"/>
                <w:szCs w:val="21"/>
                <w:lang w:eastAsia="zh-CN"/>
              </w:rPr>
              <w:t>输送</w:t>
            </w:r>
            <w:r>
              <w:rPr>
                <w:color w:val="auto"/>
                <w:kern w:val="0"/>
                <w:sz w:val="21"/>
                <w:szCs w:val="21"/>
              </w:rPr>
              <w:t>管线</w:t>
            </w:r>
          </w:p>
        </w:tc>
        <w:tc>
          <w:tcPr>
            <w:tcW w:w="4404" w:type="dxa"/>
            <w:shd w:val="clear" w:color="auto" w:fill="auto"/>
            <w:vAlign w:val="center"/>
          </w:tcPr>
          <w:p>
            <w:pPr>
              <w:autoSpaceDE w:val="0"/>
              <w:autoSpaceDN w:val="0"/>
              <w:adjustRightInd w:val="0"/>
              <w:spacing w:line="240" w:lineRule="auto"/>
              <w:jc w:val="center"/>
              <w:rPr>
                <w:rFonts w:hint="eastAsia"/>
                <w:color w:val="auto"/>
                <w:kern w:val="0"/>
                <w:sz w:val="21"/>
                <w:szCs w:val="21"/>
              </w:rPr>
            </w:pPr>
            <w:r>
              <w:rPr>
                <w:color w:val="auto"/>
                <w:kern w:val="0"/>
                <w:sz w:val="21"/>
                <w:szCs w:val="21"/>
              </w:rPr>
              <w:t>灰土垫层，铺设2mm厚的单层HDPE 膜（渗透系数≤10</w:t>
            </w:r>
            <w:r>
              <w:rPr>
                <w:color w:val="auto"/>
                <w:kern w:val="0"/>
                <w:sz w:val="21"/>
                <w:szCs w:val="21"/>
                <w:vertAlign w:val="superscript"/>
              </w:rPr>
              <w:t>-10</w:t>
            </w:r>
            <w:r>
              <w:rPr>
                <w:color w:val="auto"/>
                <w:kern w:val="0"/>
                <w:sz w:val="21"/>
                <w:szCs w:val="21"/>
              </w:rPr>
              <w:t>cm/s）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499" w:type="dxa"/>
            <w:vMerge w:val="continue"/>
            <w:shd w:val="clear" w:color="auto" w:fill="auto"/>
            <w:vAlign w:val="center"/>
          </w:tcPr>
          <w:p>
            <w:pPr>
              <w:autoSpaceDE w:val="0"/>
              <w:autoSpaceDN w:val="0"/>
              <w:adjustRightInd w:val="0"/>
              <w:jc w:val="center"/>
              <w:rPr>
                <w:rFonts w:hint="eastAsia"/>
                <w:color w:val="auto"/>
                <w:kern w:val="0"/>
                <w:sz w:val="21"/>
                <w:szCs w:val="21"/>
              </w:rPr>
            </w:pPr>
          </w:p>
        </w:tc>
        <w:tc>
          <w:tcPr>
            <w:tcW w:w="3383" w:type="dxa"/>
            <w:vAlign w:val="center"/>
          </w:tcPr>
          <w:p>
            <w:pPr>
              <w:autoSpaceDE w:val="0"/>
              <w:autoSpaceDN w:val="0"/>
              <w:adjustRightInd w:val="0"/>
              <w:spacing w:line="240" w:lineRule="auto"/>
              <w:jc w:val="center"/>
              <w:rPr>
                <w:rFonts w:hint="eastAsia"/>
                <w:color w:val="auto"/>
                <w:kern w:val="0"/>
                <w:sz w:val="21"/>
                <w:szCs w:val="21"/>
              </w:rPr>
            </w:pPr>
            <w:r>
              <w:rPr>
                <w:rFonts w:hint="eastAsia"/>
                <w:color w:val="auto"/>
                <w:sz w:val="21"/>
                <w:szCs w:val="21"/>
              </w:rPr>
              <w:t>建筑垃圾消纳场厂区地下管道</w:t>
            </w:r>
          </w:p>
        </w:tc>
        <w:tc>
          <w:tcPr>
            <w:tcW w:w="4404" w:type="dxa"/>
            <w:shd w:val="clear" w:color="auto" w:fill="auto"/>
            <w:vAlign w:val="center"/>
          </w:tcPr>
          <w:p>
            <w:pPr>
              <w:autoSpaceDE w:val="0"/>
              <w:autoSpaceDN w:val="0"/>
              <w:adjustRightInd w:val="0"/>
              <w:spacing w:line="240" w:lineRule="auto"/>
              <w:jc w:val="center"/>
              <w:rPr>
                <w:color w:val="auto"/>
                <w:kern w:val="0"/>
                <w:sz w:val="21"/>
                <w:szCs w:val="21"/>
              </w:rPr>
            </w:pPr>
            <w:r>
              <w:rPr>
                <w:color w:val="auto"/>
                <w:kern w:val="0"/>
                <w:sz w:val="21"/>
                <w:szCs w:val="21"/>
              </w:rPr>
              <w:t>铺设2mm厚的单层HDPE 膜（渗透系数≤10</w:t>
            </w:r>
            <w:r>
              <w:rPr>
                <w:color w:val="auto"/>
                <w:kern w:val="0"/>
                <w:sz w:val="21"/>
                <w:szCs w:val="21"/>
                <w:vertAlign w:val="superscript"/>
              </w:rPr>
              <w:t>-10</w:t>
            </w:r>
            <w:r>
              <w:rPr>
                <w:color w:val="auto"/>
                <w:kern w:val="0"/>
                <w:sz w:val="21"/>
                <w:szCs w:val="21"/>
              </w:rPr>
              <w:t>cm/s）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499" w:type="dxa"/>
            <w:vMerge w:val="continue"/>
            <w:shd w:val="clear" w:color="auto" w:fill="auto"/>
            <w:vAlign w:val="center"/>
          </w:tcPr>
          <w:p>
            <w:pPr>
              <w:autoSpaceDE w:val="0"/>
              <w:autoSpaceDN w:val="0"/>
              <w:adjustRightInd w:val="0"/>
              <w:jc w:val="center"/>
              <w:rPr>
                <w:rFonts w:hint="eastAsia"/>
                <w:color w:val="auto"/>
                <w:kern w:val="0"/>
                <w:sz w:val="21"/>
                <w:szCs w:val="21"/>
              </w:rPr>
            </w:pPr>
          </w:p>
        </w:tc>
        <w:tc>
          <w:tcPr>
            <w:tcW w:w="3383" w:type="dxa"/>
            <w:vAlign w:val="center"/>
          </w:tcPr>
          <w:p>
            <w:pPr>
              <w:autoSpaceDE w:val="0"/>
              <w:autoSpaceDN w:val="0"/>
              <w:adjustRightInd w:val="0"/>
              <w:spacing w:line="240" w:lineRule="auto"/>
              <w:jc w:val="center"/>
              <w:rPr>
                <w:rFonts w:hint="eastAsia"/>
                <w:color w:val="auto"/>
                <w:sz w:val="21"/>
                <w:szCs w:val="21"/>
              </w:rPr>
            </w:pPr>
            <w:r>
              <w:rPr>
                <w:rFonts w:hint="eastAsia"/>
                <w:color w:val="auto"/>
                <w:sz w:val="21"/>
                <w:szCs w:val="21"/>
              </w:rPr>
              <w:t>建筑垃圾消纳场</w:t>
            </w:r>
          </w:p>
        </w:tc>
        <w:tc>
          <w:tcPr>
            <w:tcW w:w="4404" w:type="dxa"/>
            <w:shd w:val="clear" w:color="auto" w:fill="auto"/>
            <w:vAlign w:val="center"/>
          </w:tcPr>
          <w:p>
            <w:pPr>
              <w:autoSpaceDE w:val="0"/>
              <w:autoSpaceDN w:val="0"/>
              <w:adjustRightInd w:val="0"/>
              <w:spacing w:line="240" w:lineRule="auto"/>
              <w:jc w:val="center"/>
              <w:rPr>
                <w:color w:val="auto"/>
                <w:kern w:val="0"/>
                <w:sz w:val="21"/>
                <w:szCs w:val="21"/>
              </w:rPr>
            </w:pPr>
            <w:r>
              <w:rPr>
                <w:rFonts w:hint="eastAsia"/>
                <w:color w:val="auto"/>
                <w:sz w:val="21"/>
                <w:szCs w:val="21"/>
              </w:rPr>
              <w:t>填埋场区场地防渗结构由下至上依次为：平整、压实的场底、200g/m</w:t>
            </w:r>
            <w:r>
              <w:rPr>
                <w:rFonts w:hint="eastAsia"/>
                <w:color w:val="auto"/>
                <w:sz w:val="21"/>
                <w:szCs w:val="21"/>
                <w:vertAlign w:val="superscript"/>
              </w:rPr>
              <w:t>2</w:t>
            </w:r>
            <w:r>
              <w:rPr>
                <w:rFonts w:hint="eastAsia"/>
                <w:color w:val="auto"/>
                <w:sz w:val="21"/>
                <w:szCs w:val="21"/>
              </w:rPr>
              <w:t>有纺土工布、350mm厚碎石导流层（内设收集管）、400 g/m</w:t>
            </w:r>
            <w:r>
              <w:rPr>
                <w:rFonts w:hint="eastAsia"/>
                <w:color w:val="auto"/>
                <w:sz w:val="21"/>
                <w:szCs w:val="21"/>
                <w:vertAlign w:val="superscript"/>
              </w:rPr>
              <w:t>2</w:t>
            </w:r>
            <w:r>
              <w:rPr>
                <w:rFonts w:hint="eastAsia"/>
                <w:color w:val="auto"/>
                <w:sz w:val="21"/>
                <w:szCs w:val="21"/>
              </w:rPr>
              <w:t>长丝土工布、500mm厚压实土壤保护层、2mm厚HDPE光面膜；500mm厚袋装中土保护层。库区边坡防渗结构由下至上依次为：修正的边坡、天然钠基膨润土防水垫（GCL）、2mm厚HDPE糙面膜、500mm厚袋装中土保护层</w:t>
            </w:r>
            <w:r>
              <w:rPr>
                <w:color w:val="auto"/>
                <w:kern w:val="0"/>
                <w:sz w:val="21"/>
                <w:szCs w:val="21"/>
              </w:rPr>
              <w:t>（渗透系数≤10</w:t>
            </w:r>
            <w:r>
              <w:rPr>
                <w:color w:val="auto"/>
                <w:kern w:val="0"/>
                <w:sz w:val="21"/>
                <w:szCs w:val="21"/>
                <w:vertAlign w:val="superscript"/>
              </w:rPr>
              <w:t>-10</w:t>
            </w:r>
            <w:r>
              <w:rPr>
                <w:color w:val="auto"/>
                <w:kern w:val="0"/>
                <w:sz w:val="21"/>
                <w:szCs w:val="21"/>
              </w:rPr>
              <w:t>cm/s）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499" w:type="dxa"/>
            <w:vMerge w:val="continue"/>
            <w:shd w:val="clear" w:color="auto" w:fill="auto"/>
            <w:vAlign w:val="center"/>
          </w:tcPr>
          <w:p>
            <w:pPr>
              <w:autoSpaceDE w:val="0"/>
              <w:autoSpaceDN w:val="0"/>
              <w:adjustRightInd w:val="0"/>
              <w:jc w:val="center"/>
              <w:rPr>
                <w:rFonts w:hint="eastAsia"/>
                <w:color w:val="auto"/>
                <w:kern w:val="0"/>
                <w:sz w:val="21"/>
                <w:szCs w:val="21"/>
              </w:rPr>
            </w:pPr>
          </w:p>
        </w:tc>
        <w:tc>
          <w:tcPr>
            <w:tcW w:w="3383" w:type="dxa"/>
            <w:vAlign w:val="center"/>
          </w:tcPr>
          <w:p>
            <w:pPr>
              <w:autoSpaceDE w:val="0"/>
              <w:autoSpaceDN w:val="0"/>
              <w:adjustRightInd w:val="0"/>
              <w:spacing w:line="240" w:lineRule="auto"/>
              <w:jc w:val="center"/>
              <w:rPr>
                <w:rFonts w:hint="eastAsia"/>
                <w:color w:val="auto"/>
                <w:sz w:val="21"/>
                <w:szCs w:val="21"/>
              </w:rPr>
            </w:pPr>
            <w:r>
              <w:rPr>
                <w:rFonts w:hint="eastAsia"/>
                <w:color w:val="auto"/>
                <w:sz w:val="21"/>
                <w:szCs w:val="21"/>
              </w:rPr>
              <w:t>淋溶液调节池、沉淀池</w:t>
            </w:r>
          </w:p>
        </w:tc>
        <w:tc>
          <w:tcPr>
            <w:tcW w:w="4404" w:type="dxa"/>
            <w:shd w:val="clear" w:color="auto" w:fill="auto"/>
            <w:vAlign w:val="center"/>
          </w:tcPr>
          <w:p>
            <w:pPr>
              <w:autoSpaceDE w:val="0"/>
              <w:autoSpaceDN w:val="0"/>
              <w:adjustRightInd w:val="0"/>
              <w:spacing w:line="240" w:lineRule="auto"/>
              <w:jc w:val="center"/>
              <w:rPr>
                <w:rFonts w:hint="eastAsia"/>
                <w:color w:val="auto"/>
                <w:sz w:val="21"/>
                <w:szCs w:val="21"/>
              </w:rPr>
            </w:pPr>
            <w:r>
              <w:rPr>
                <w:rFonts w:hint="eastAsia"/>
                <w:color w:val="auto"/>
                <w:sz w:val="21"/>
                <w:szCs w:val="21"/>
              </w:rPr>
              <w:t>用三合土处理，再用水泥硬化，然后涂沥青防腐、防渗，并对水泥池内墙贴玻璃纤维布及环氧树脂</w:t>
            </w:r>
            <w:r>
              <w:rPr>
                <w:rFonts w:hint="eastAsia"/>
                <w:color w:val="auto"/>
                <w:sz w:val="21"/>
                <w:szCs w:val="21"/>
                <w:lang w:eastAsia="zh-CN"/>
              </w:rPr>
              <w:t>，</w:t>
            </w:r>
            <w:r>
              <w:rPr>
                <w:color w:val="auto"/>
                <w:kern w:val="0"/>
                <w:sz w:val="21"/>
                <w:szCs w:val="21"/>
              </w:rPr>
              <w:t>渗透系数≤10</w:t>
            </w:r>
            <w:r>
              <w:rPr>
                <w:color w:val="auto"/>
                <w:kern w:val="0"/>
                <w:sz w:val="21"/>
                <w:szCs w:val="21"/>
                <w:vertAlign w:val="superscript"/>
              </w:rPr>
              <w:t>-8</w:t>
            </w:r>
            <w:r>
              <w:rPr>
                <w:color w:val="auto"/>
                <w:kern w:val="0"/>
                <w:sz w:val="21"/>
                <w:szCs w:val="21"/>
              </w:rPr>
              <w:t>cm/s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499" w:type="dxa"/>
            <w:shd w:val="clear" w:color="auto" w:fill="auto"/>
            <w:vAlign w:val="center"/>
          </w:tcPr>
          <w:p>
            <w:pPr>
              <w:autoSpaceDE w:val="0"/>
              <w:autoSpaceDN w:val="0"/>
              <w:adjustRightInd w:val="0"/>
              <w:jc w:val="center"/>
              <w:rPr>
                <w:color w:val="auto"/>
                <w:kern w:val="0"/>
                <w:sz w:val="21"/>
                <w:szCs w:val="21"/>
              </w:rPr>
            </w:pPr>
            <w:r>
              <w:rPr>
                <w:rFonts w:hint="eastAsia"/>
                <w:color w:val="auto"/>
                <w:kern w:val="0"/>
                <w:sz w:val="21"/>
                <w:szCs w:val="21"/>
              </w:rPr>
              <w:t>一般防渗区</w:t>
            </w:r>
          </w:p>
        </w:tc>
        <w:tc>
          <w:tcPr>
            <w:tcW w:w="3383" w:type="dxa"/>
            <w:vAlign w:val="center"/>
          </w:tcPr>
          <w:p>
            <w:pPr>
              <w:autoSpaceDE w:val="0"/>
              <w:autoSpaceDN w:val="0"/>
              <w:adjustRightInd w:val="0"/>
              <w:spacing w:line="240" w:lineRule="auto"/>
              <w:jc w:val="center"/>
              <w:rPr>
                <w:color w:val="auto"/>
                <w:kern w:val="0"/>
                <w:sz w:val="21"/>
                <w:szCs w:val="21"/>
              </w:rPr>
            </w:pPr>
            <w:r>
              <w:rPr>
                <w:rFonts w:hint="eastAsia"/>
                <w:color w:val="auto"/>
                <w:kern w:val="0"/>
                <w:sz w:val="21"/>
                <w:szCs w:val="21"/>
                <w:lang w:eastAsia="zh-CN"/>
              </w:rPr>
              <w:t>地磅区域、</w:t>
            </w:r>
            <w:r>
              <w:rPr>
                <w:rFonts w:hint="eastAsia"/>
                <w:color w:val="auto"/>
                <w:kern w:val="0"/>
                <w:sz w:val="21"/>
                <w:szCs w:val="21"/>
              </w:rPr>
              <w:t>洗车区域</w:t>
            </w:r>
          </w:p>
        </w:tc>
        <w:tc>
          <w:tcPr>
            <w:tcW w:w="4404" w:type="dxa"/>
            <w:shd w:val="clear" w:color="auto" w:fill="auto"/>
            <w:vAlign w:val="center"/>
          </w:tcPr>
          <w:p>
            <w:pPr>
              <w:autoSpaceDE w:val="0"/>
              <w:autoSpaceDN w:val="0"/>
              <w:adjustRightInd w:val="0"/>
              <w:spacing w:line="240" w:lineRule="auto"/>
              <w:jc w:val="center"/>
              <w:rPr>
                <w:color w:val="auto"/>
                <w:kern w:val="0"/>
                <w:sz w:val="21"/>
                <w:szCs w:val="21"/>
              </w:rPr>
            </w:pPr>
            <w:r>
              <w:rPr>
                <w:color w:val="auto"/>
                <w:sz w:val="21"/>
                <w:szCs w:val="21"/>
              </w:rPr>
              <w:t>采取粘土铺底，再在上层铺 10~15cm 的水泥进行硬化渗透系数≤10</w:t>
            </w:r>
            <w:r>
              <w:rPr>
                <w:color w:val="auto"/>
                <w:sz w:val="21"/>
                <w:szCs w:val="21"/>
                <w:vertAlign w:val="superscript"/>
              </w:rPr>
              <w:t>-7</w:t>
            </w:r>
            <w:r>
              <w:rPr>
                <w:color w:val="auto"/>
                <w:sz w:val="21"/>
                <w:szCs w:val="21"/>
              </w:rPr>
              <w:t>cm/</w:t>
            </w:r>
            <w:r>
              <w:rPr>
                <w:color w:val="auto"/>
                <w:kern w:val="0"/>
                <w:sz w:val="21"/>
                <w:szCs w:val="21"/>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499" w:type="dxa"/>
            <w:shd w:val="clear" w:color="auto" w:fill="auto"/>
            <w:vAlign w:val="center"/>
          </w:tcPr>
          <w:p>
            <w:pPr>
              <w:autoSpaceDE w:val="0"/>
              <w:autoSpaceDN w:val="0"/>
              <w:adjustRightInd w:val="0"/>
              <w:jc w:val="center"/>
              <w:rPr>
                <w:color w:val="auto"/>
                <w:kern w:val="0"/>
                <w:sz w:val="21"/>
                <w:szCs w:val="21"/>
              </w:rPr>
            </w:pPr>
            <w:r>
              <w:rPr>
                <w:rFonts w:hint="eastAsia"/>
                <w:color w:val="auto"/>
                <w:kern w:val="0"/>
                <w:sz w:val="21"/>
                <w:szCs w:val="21"/>
              </w:rPr>
              <w:t>简单防渗区</w:t>
            </w:r>
          </w:p>
        </w:tc>
        <w:tc>
          <w:tcPr>
            <w:tcW w:w="3383" w:type="dxa"/>
          </w:tcPr>
          <w:p>
            <w:pPr>
              <w:autoSpaceDE w:val="0"/>
              <w:autoSpaceDN w:val="0"/>
              <w:adjustRightInd w:val="0"/>
              <w:jc w:val="center"/>
              <w:rPr>
                <w:rFonts w:ascii="宋体" w:cs="宋体"/>
                <w:color w:val="auto"/>
                <w:kern w:val="0"/>
                <w:sz w:val="21"/>
                <w:szCs w:val="21"/>
              </w:rPr>
            </w:pPr>
            <w:r>
              <w:rPr>
                <w:rFonts w:hint="eastAsia"/>
                <w:color w:val="auto"/>
                <w:kern w:val="0"/>
                <w:sz w:val="21"/>
                <w:szCs w:val="21"/>
              </w:rPr>
              <w:t>厂区道路</w:t>
            </w:r>
            <w:r>
              <w:rPr>
                <w:rFonts w:hint="eastAsia"/>
                <w:color w:val="auto"/>
                <w:kern w:val="0"/>
                <w:sz w:val="21"/>
                <w:szCs w:val="21"/>
                <w:lang w:eastAsia="zh-CN"/>
              </w:rPr>
              <w:t>、</w:t>
            </w:r>
            <w:r>
              <w:rPr>
                <w:rFonts w:hint="eastAsia"/>
                <w:color w:val="auto"/>
                <w:kern w:val="0"/>
                <w:sz w:val="21"/>
                <w:szCs w:val="21"/>
              </w:rPr>
              <w:t>其他公铺设施区</w:t>
            </w:r>
          </w:p>
        </w:tc>
        <w:tc>
          <w:tcPr>
            <w:tcW w:w="4404" w:type="dxa"/>
            <w:shd w:val="clear" w:color="auto" w:fill="auto"/>
            <w:vAlign w:val="center"/>
          </w:tcPr>
          <w:p>
            <w:pPr>
              <w:autoSpaceDE w:val="0"/>
              <w:autoSpaceDN w:val="0"/>
              <w:adjustRightInd w:val="0"/>
              <w:jc w:val="center"/>
              <w:rPr>
                <w:color w:val="auto"/>
                <w:kern w:val="0"/>
                <w:sz w:val="21"/>
                <w:szCs w:val="21"/>
              </w:rPr>
            </w:pPr>
            <w:r>
              <w:rPr>
                <w:rFonts w:hint="eastAsia" w:ascii="宋体" w:cs="宋体"/>
                <w:color w:val="auto"/>
                <w:kern w:val="0"/>
                <w:sz w:val="21"/>
                <w:szCs w:val="21"/>
              </w:rPr>
              <w:t>一般地面硬化</w:t>
            </w:r>
          </w:p>
        </w:tc>
      </w:tr>
    </w:tbl>
    <w:p>
      <w:pPr>
        <w:autoSpaceDE w:val="0"/>
        <w:autoSpaceDN w:val="0"/>
        <w:adjustRightInd w:val="0"/>
        <w:jc w:val="center"/>
        <w:rPr>
          <w:b/>
          <w:color w:val="auto"/>
          <w:kern w:val="0"/>
        </w:rPr>
      </w:pPr>
    </w:p>
    <w:p>
      <w:pPr>
        <w:autoSpaceDE w:val="0"/>
        <w:autoSpaceDN w:val="0"/>
        <w:adjustRightInd w:val="0"/>
        <w:spacing w:line="360" w:lineRule="auto"/>
        <w:ind w:firstLine="480" w:firstLineChars="200"/>
        <w:rPr>
          <w:bCs/>
          <w:color w:val="auto"/>
          <w:kern w:val="0"/>
        </w:rPr>
      </w:pPr>
      <w:r>
        <w:rPr>
          <w:rFonts w:hint="eastAsia"/>
          <w:bCs/>
          <w:color w:val="auto"/>
          <w:kern w:val="0"/>
        </w:rPr>
        <w:t>（3）</w:t>
      </w:r>
      <w:r>
        <w:rPr>
          <w:bCs/>
          <w:color w:val="auto"/>
          <w:kern w:val="0"/>
        </w:rPr>
        <w:t>地下水污染监控</w:t>
      </w:r>
    </w:p>
    <w:p>
      <w:pPr>
        <w:autoSpaceDE w:val="0"/>
        <w:autoSpaceDN w:val="0"/>
        <w:adjustRightInd w:val="0"/>
        <w:spacing w:line="360" w:lineRule="auto"/>
        <w:ind w:firstLine="480" w:firstLineChars="200"/>
        <w:jc w:val="both"/>
        <w:rPr>
          <w:color w:val="auto"/>
          <w:kern w:val="0"/>
        </w:rPr>
      </w:pPr>
      <w:r>
        <w:rPr>
          <w:color w:val="auto"/>
          <w:kern w:val="0"/>
        </w:rPr>
        <w:t>项目应设置环境保护专职机构并配备相应的专职人员，建立地下水环境监控体系，包括科学合理地设置地下水污染监控井、制定监测计划、配备先进的检测仪器和设备，以便及时发现问题，采取措施控制污染。</w:t>
      </w:r>
    </w:p>
    <w:p>
      <w:pPr>
        <w:autoSpaceDE w:val="0"/>
        <w:autoSpaceDN w:val="0"/>
        <w:adjustRightInd w:val="0"/>
        <w:spacing w:line="360" w:lineRule="auto"/>
        <w:ind w:firstLine="480" w:firstLineChars="200"/>
        <w:jc w:val="both"/>
        <w:rPr>
          <w:color w:val="auto"/>
          <w:kern w:val="0"/>
        </w:rPr>
      </w:pPr>
      <w:r>
        <w:rPr>
          <w:color w:val="auto"/>
          <w:kern w:val="0"/>
        </w:rPr>
        <w:t>由于地下水污染具有隐蔽性和累积性，因此制定有效的监测计划并定期开展监测，对于及早发现污染并采取有效措施防止污染继续扩散显得十分重要和必要。</w:t>
      </w:r>
    </w:p>
    <w:p>
      <w:pPr>
        <w:spacing w:line="360" w:lineRule="auto"/>
        <w:ind w:firstLine="480" w:firstLineChars="200"/>
        <w:rPr>
          <w:bCs/>
          <w:color w:val="auto"/>
        </w:rPr>
      </w:pPr>
      <w:r>
        <w:rPr>
          <w:color w:val="auto"/>
          <w:kern w:val="0"/>
        </w:rPr>
        <w:t>根据项目场地条件及地下水环境影响</w:t>
      </w:r>
      <w:r>
        <w:rPr>
          <w:rFonts w:hint="eastAsia"/>
          <w:color w:val="auto"/>
          <w:kern w:val="0"/>
        </w:rPr>
        <w:t>分析</w:t>
      </w:r>
      <w:r>
        <w:rPr>
          <w:color w:val="auto"/>
          <w:kern w:val="0"/>
        </w:rPr>
        <w:t>的结论，在</w:t>
      </w:r>
      <w:r>
        <w:rPr>
          <w:rFonts w:hint="eastAsia"/>
          <w:color w:val="auto"/>
          <w:kern w:val="0"/>
        </w:rPr>
        <w:t>建筑垃圾消纳场</w:t>
      </w:r>
      <w:r>
        <w:rPr>
          <w:rFonts w:hint="eastAsia"/>
          <w:bCs/>
          <w:color w:val="auto"/>
        </w:rPr>
        <w:t>上游区域</w:t>
      </w:r>
      <w:r>
        <w:rPr>
          <w:bCs/>
          <w:color w:val="auto"/>
        </w:rPr>
        <w:t>设置背景值监测点</w:t>
      </w:r>
      <w:r>
        <w:rPr>
          <w:rFonts w:hint="eastAsia"/>
          <w:bCs/>
          <w:color w:val="auto"/>
        </w:rPr>
        <w:t>，在消纳场的一侧</w:t>
      </w:r>
      <w:r>
        <w:rPr>
          <w:bCs/>
          <w:color w:val="auto"/>
        </w:rPr>
        <w:t>、</w:t>
      </w:r>
      <w:r>
        <w:rPr>
          <w:rFonts w:hint="eastAsia"/>
          <w:bCs/>
          <w:color w:val="auto"/>
        </w:rPr>
        <w:t>下游区域</w:t>
      </w:r>
      <w:r>
        <w:rPr>
          <w:bCs/>
          <w:color w:val="auto"/>
        </w:rPr>
        <w:t>设置地下水环境影响跟踪监测点。定期监测各井的地下水水质，如发现异常或发生事故，加密监测频次，并分析污染原因，确定泄漏污染源，及时采取应急措施。</w:t>
      </w:r>
    </w:p>
    <w:p>
      <w:pPr>
        <w:autoSpaceDE w:val="0"/>
        <w:autoSpaceDN w:val="0"/>
        <w:adjustRightInd w:val="0"/>
        <w:spacing w:line="360" w:lineRule="auto"/>
        <w:ind w:firstLine="480" w:firstLineChars="200"/>
        <w:jc w:val="both"/>
        <w:rPr>
          <w:color w:val="auto"/>
          <w:kern w:val="0"/>
        </w:rPr>
      </w:pPr>
      <w:r>
        <w:rPr>
          <w:color w:val="auto"/>
          <w:kern w:val="0"/>
        </w:rPr>
        <w:t>项目地下水监测计划可根据</w:t>
      </w:r>
      <w:r>
        <w:rPr>
          <w:rFonts w:hint="eastAsia"/>
          <w:color w:val="auto"/>
          <w:kern w:val="0"/>
          <w:lang w:eastAsia="zh-CN"/>
        </w:rPr>
        <w:t>下表</w:t>
      </w:r>
      <w:r>
        <w:rPr>
          <w:color w:val="auto"/>
          <w:kern w:val="0"/>
        </w:rPr>
        <w:t>制定，各监测井可依据监测目的不同适当增加和减少监测项目。项目环境保护机构应安排专人负责监测。如发现异常或发生事故，应加密监测频次，并分析污染原因，确定泄漏污染源，及时采集应急措施。</w:t>
      </w:r>
    </w:p>
    <w:p>
      <w:pPr>
        <w:autoSpaceDE w:val="0"/>
        <w:autoSpaceDN w:val="0"/>
        <w:adjustRightInd w:val="0"/>
        <w:jc w:val="center"/>
        <w:rPr>
          <w:b/>
          <w:color w:val="auto"/>
          <w:kern w:val="0"/>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6.2</w:t>
      </w:r>
      <w:r>
        <w:rPr>
          <w:b/>
          <w:color w:val="auto"/>
        </w:rPr>
        <w:fldChar w:fldCharType="end"/>
      </w:r>
      <w:r>
        <w:rPr>
          <w:b/>
          <w:color w:val="auto"/>
        </w:rPr>
        <w:noBreakHyphen/>
      </w:r>
      <w:r>
        <w:rPr>
          <w:rFonts w:hint="eastAsia"/>
          <w:b/>
          <w:color w:val="auto"/>
        </w:rPr>
        <w:t>1</w:t>
      </w:r>
      <w:r>
        <w:rPr>
          <w:rFonts w:hint="eastAsia"/>
          <w:b/>
          <w:color w:val="auto"/>
          <w:lang w:val="en-US" w:eastAsia="zh-CN"/>
        </w:rPr>
        <w:t>4</w:t>
      </w:r>
      <w:r>
        <w:rPr>
          <w:b/>
          <w:color w:val="auto"/>
        </w:rPr>
        <w:t xml:space="preserve">  </w:t>
      </w:r>
      <w:r>
        <w:rPr>
          <w:b/>
          <w:color w:val="auto"/>
          <w:kern w:val="0"/>
        </w:rPr>
        <w:t>地下水监测计划</w:t>
      </w:r>
    </w:p>
    <w:tbl>
      <w:tblPr>
        <w:tblStyle w:val="53"/>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402"/>
        <w:gridCol w:w="1558"/>
        <w:gridCol w:w="26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1668" w:type="dxa"/>
            <w:shd w:val="clear" w:color="auto" w:fill="auto"/>
            <w:vAlign w:val="center"/>
          </w:tcPr>
          <w:p>
            <w:pPr>
              <w:autoSpaceDE w:val="0"/>
              <w:autoSpaceDN w:val="0"/>
              <w:adjustRightInd w:val="0"/>
              <w:jc w:val="center"/>
              <w:rPr>
                <w:b/>
                <w:color w:val="auto"/>
                <w:kern w:val="0"/>
                <w:sz w:val="21"/>
                <w:szCs w:val="21"/>
              </w:rPr>
            </w:pPr>
            <w:r>
              <w:rPr>
                <w:b/>
                <w:color w:val="auto"/>
                <w:kern w:val="0"/>
                <w:sz w:val="21"/>
                <w:szCs w:val="21"/>
              </w:rPr>
              <w:t>监测点位置</w:t>
            </w:r>
          </w:p>
        </w:tc>
        <w:tc>
          <w:tcPr>
            <w:tcW w:w="3402" w:type="dxa"/>
            <w:shd w:val="clear" w:color="auto" w:fill="auto"/>
            <w:vAlign w:val="center"/>
          </w:tcPr>
          <w:p>
            <w:pPr>
              <w:autoSpaceDE w:val="0"/>
              <w:autoSpaceDN w:val="0"/>
              <w:adjustRightInd w:val="0"/>
              <w:jc w:val="center"/>
              <w:rPr>
                <w:b/>
                <w:color w:val="auto"/>
                <w:kern w:val="0"/>
                <w:sz w:val="21"/>
                <w:szCs w:val="21"/>
              </w:rPr>
            </w:pPr>
            <w:r>
              <w:rPr>
                <w:b/>
                <w:color w:val="auto"/>
                <w:kern w:val="0"/>
                <w:sz w:val="21"/>
                <w:szCs w:val="21"/>
              </w:rPr>
              <w:t>监测目的</w:t>
            </w:r>
          </w:p>
        </w:tc>
        <w:tc>
          <w:tcPr>
            <w:tcW w:w="1558" w:type="dxa"/>
            <w:shd w:val="clear" w:color="auto" w:fill="auto"/>
            <w:vAlign w:val="center"/>
          </w:tcPr>
          <w:p>
            <w:pPr>
              <w:autoSpaceDE w:val="0"/>
              <w:autoSpaceDN w:val="0"/>
              <w:adjustRightInd w:val="0"/>
              <w:jc w:val="center"/>
              <w:rPr>
                <w:b/>
                <w:color w:val="auto"/>
                <w:kern w:val="0"/>
                <w:sz w:val="21"/>
                <w:szCs w:val="21"/>
              </w:rPr>
            </w:pPr>
            <w:r>
              <w:rPr>
                <w:b/>
                <w:color w:val="auto"/>
                <w:kern w:val="0"/>
                <w:sz w:val="21"/>
                <w:szCs w:val="21"/>
              </w:rPr>
              <w:t>监测因子</w:t>
            </w:r>
          </w:p>
        </w:tc>
        <w:tc>
          <w:tcPr>
            <w:tcW w:w="2658" w:type="dxa"/>
            <w:shd w:val="clear" w:color="auto" w:fill="auto"/>
            <w:vAlign w:val="center"/>
          </w:tcPr>
          <w:p>
            <w:pPr>
              <w:autoSpaceDE w:val="0"/>
              <w:autoSpaceDN w:val="0"/>
              <w:adjustRightInd w:val="0"/>
              <w:jc w:val="center"/>
              <w:rPr>
                <w:b/>
                <w:color w:val="auto"/>
                <w:kern w:val="0"/>
                <w:sz w:val="21"/>
                <w:szCs w:val="21"/>
              </w:rPr>
            </w:pPr>
            <w:r>
              <w:rPr>
                <w:b/>
                <w:color w:val="auto"/>
                <w:kern w:val="0"/>
                <w:sz w:val="21"/>
                <w:szCs w:val="21"/>
              </w:rPr>
              <w:t>监测频率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668" w:type="dxa"/>
            <w:shd w:val="clear" w:color="auto" w:fill="auto"/>
            <w:vAlign w:val="center"/>
          </w:tcPr>
          <w:p>
            <w:pPr>
              <w:autoSpaceDE w:val="0"/>
              <w:autoSpaceDN w:val="0"/>
              <w:adjustRightInd w:val="0"/>
              <w:jc w:val="center"/>
              <w:rPr>
                <w:color w:val="auto"/>
                <w:kern w:val="0"/>
                <w:sz w:val="21"/>
                <w:szCs w:val="21"/>
              </w:rPr>
            </w:pPr>
            <w:r>
              <w:rPr>
                <w:rFonts w:hint="eastAsia"/>
                <w:color w:val="auto"/>
                <w:kern w:val="0"/>
                <w:sz w:val="21"/>
                <w:szCs w:val="21"/>
              </w:rPr>
              <w:t>建筑垃圾消纳场</w:t>
            </w:r>
          </w:p>
        </w:tc>
        <w:tc>
          <w:tcPr>
            <w:tcW w:w="3402" w:type="dxa"/>
            <w:shd w:val="clear" w:color="auto" w:fill="auto"/>
            <w:vAlign w:val="center"/>
          </w:tcPr>
          <w:p>
            <w:pPr>
              <w:autoSpaceDE w:val="0"/>
              <w:autoSpaceDN w:val="0"/>
              <w:adjustRightInd w:val="0"/>
              <w:jc w:val="center"/>
              <w:rPr>
                <w:color w:val="auto"/>
                <w:kern w:val="0"/>
                <w:sz w:val="21"/>
                <w:szCs w:val="21"/>
              </w:rPr>
            </w:pPr>
            <w:r>
              <w:rPr>
                <w:rFonts w:hint="eastAsia"/>
                <w:color w:val="auto"/>
                <w:kern w:val="0"/>
                <w:sz w:val="21"/>
                <w:szCs w:val="21"/>
              </w:rPr>
              <w:t>本底井一眼：设在填埋场地下水流向上游</w:t>
            </w:r>
            <w:r>
              <w:rPr>
                <w:color w:val="auto"/>
                <w:kern w:val="0"/>
                <w:sz w:val="21"/>
                <w:szCs w:val="21"/>
              </w:rPr>
              <w:t>30m~50m</w:t>
            </w:r>
            <w:r>
              <w:rPr>
                <w:rFonts w:hint="eastAsia"/>
                <w:color w:val="auto"/>
                <w:kern w:val="0"/>
                <w:sz w:val="21"/>
                <w:szCs w:val="21"/>
              </w:rPr>
              <w:t>处；污染扩散井一眼：设在垂直填埋场地下水走向的一侧</w:t>
            </w:r>
            <w:r>
              <w:rPr>
                <w:color w:val="auto"/>
                <w:kern w:val="0"/>
                <w:sz w:val="21"/>
                <w:szCs w:val="21"/>
              </w:rPr>
              <w:t>30m~50m</w:t>
            </w:r>
            <w:r>
              <w:rPr>
                <w:rFonts w:hint="eastAsia"/>
                <w:color w:val="auto"/>
                <w:kern w:val="0"/>
                <w:sz w:val="21"/>
                <w:szCs w:val="21"/>
              </w:rPr>
              <w:t>处；污染监视井</w:t>
            </w:r>
            <w:r>
              <w:rPr>
                <w:rFonts w:hint="eastAsia"/>
                <w:color w:val="auto"/>
                <w:kern w:val="0"/>
                <w:sz w:val="21"/>
                <w:szCs w:val="21"/>
                <w:lang w:eastAsia="zh-CN"/>
              </w:rPr>
              <w:t>两</w:t>
            </w:r>
            <w:r>
              <w:rPr>
                <w:rFonts w:hint="eastAsia"/>
                <w:color w:val="auto"/>
                <w:kern w:val="0"/>
                <w:sz w:val="21"/>
                <w:szCs w:val="21"/>
              </w:rPr>
              <w:t>眼：设在填埋场地下水流向下游</w:t>
            </w:r>
            <w:r>
              <w:rPr>
                <w:rFonts w:hint="eastAsia"/>
                <w:color w:val="auto"/>
                <w:kern w:val="0"/>
                <w:sz w:val="21"/>
                <w:szCs w:val="21"/>
                <w:lang w:val="en-US" w:eastAsia="zh-CN"/>
              </w:rPr>
              <w:t>30m、</w:t>
            </w:r>
            <w:r>
              <w:rPr>
                <w:color w:val="auto"/>
                <w:kern w:val="0"/>
                <w:sz w:val="21"/>
                <w:szCs w:val="21"/>
              </w:rPr>
              <w:t>50m</w:t>
            </w:r>
            <w:r>
              <w:rPr>
                <w:rFonts w:hint="eastAsia"/>
                <w:color w:val="auto"/>
                <w:kern w:val="0"/>
                <w:sz w:val="21"/>
                <w:szCs w:val="21"/>
              </w:rPr>
              <w:t>处。</w:t>
            </w:r>
          </w:p>
        </w:tc>
        <w:tc>
          <w:tcPr>
            <w:tcW w:w="1558" w:type="dxa"/>
            <w:shd w:val="clear" w:color="auto" w:fill="auto"/>
            <w:vAlign w:val="center"/>
          </w:tcPr>
          <w:p>
            <w:pPr>
              <w:autoSpaceDE w:val="0"/>
              <w:autoSpaceDN w:val="0"/>
              <w:adjustRightInd w:val="0"/>
              <w:jc w:val="center"/>
              <w:rPr>
                <w:color w:val="auto"/>
                <w:kern w:val="0"/>
                <w:sz w:val="21"/>
                <w:szCs w:val="21"/>
              </w:rPr>
            </w:pPr>
            <w:r>
              <w:rPr>
                <w:color w:val="auto"/>
                <w:kern w:val="0"/>
                <w:sz w:val="21"/>
                <w:szCs w:val="21"/>
              </w:rPr>
              <w:t>pH、高锰酸</w:t>
            </w:r>
          </w:p>
          <w:p>
            <w:pPr>
              <w:autoSpaceDE w:val="0"/>
              <w:autoSpaceDN w:val="0"/>
              <w:adjustRightInd w:val="0"/>
              <w:jc w:val="center"/>
              <w:rPr>
                <w:color w:val="auto"/>
                <w:kern w:val="0"/>
                <w:sz w:val="21"/>
                <w:szCs w:val="21"/>
              </w:rPr>
            </w:pPr>
            <w:r>
              <w:rPr>
                <w:color w:val="auto"/>
                <w:kern w:val="0"/>
                <w:sz w:val="21"/>
                <w:szCs w:val="21"/>
              </w:rPr>
              <w:t>盐指数、氨</w:t>
            </w:r>
          </w:p>
          <w:p>
            <w:pPr>
              <w:autoSpaceDE w:val="0"/>
              <w:autoSpaceDN w:val="0"/>
              <w:adjustRightInd w:val="0"/>
              <w:jc w:val="center"/>
              <w:rPr>
                <w:color w:val="auto"/>
                <w:kern w:val="0"/>
                <w:sz w:val="21"/>
                <w:szCs w:val="21"/>
              </w:rPr>
            </w:pPr>
            <w:r>
              <w:rPr>
                <w:color w:val="auto"/>
                <w:kern w:val="0"/>
                <w:sz w:val="21"/>
                <w:szCs w:val="21"/>
              </w:rPr>
              <w:t>氮、汞、砷、</w:t>
            </w:r>
          </w:p>
          <w:p>
            <w:pPr>
              <w:autoSpaceDE w:val="0"/>
              <w:autoSpaceDN w:val="0"/>
              <w:adjustRightInd w:val="0"/>
              <w:jc w:val="center"/>
              <w:rPr>
                <w:color w:val="auto"/>
                <w:kern w:val="0"/>
                <w:sz w:val="21"/>
                <w:szCs w:val="21"/>
              </w:rPr>
            </w:pPr>
            <w:r>
              <w:rPr>
                <w:color w:val="auto"/>
                <w:kern w:val="0"/>
                <w:sz w:val="21"/>
                <w:szCs w:val="21"/>
              </w:rPr>
              <w:t>六价铬、铜、</w:t>
            </w:r>
          </w:p>
          <w:p>
            <w:pPr>
              <w:autoSpaceDE w:val="0"/>
              <w:autoSpaceDN w:val="0"/>
              <w:adjustRightInd w:val="0"/>
              <w:jc w:val="center"/>
              <w:rPr>
                <w:color w:val="auto"/>
                <w:kern w:val="0"/>
                <w:sz w:val="21"/>
                <w:szCs w:val="21"/>
              </w:rPr>
            </w:pPr>
            <w:r>
              <w:rPr>
                <w:color w:val="auto"/>
                <w:kern w:val="0"/>
                <w:sz w:val="21"/>
                <w:szCs w:val="21"/>
              </w:rPr>
              <w:t>锌、铅、镉、</w:t>
            </w:r>
          </w:p>
          <w:p>
            <w:pPr>
              <w:autoSpaceDE w:val="0"/>
              <w:autoSpaceDN w:val="0"/>
              <w:adjustRightInd w:val="0"/>
              <w:jc w:val="center"/>
              <w:rPr>
                <w:color w:val="auto"/>
                <w:kern w:val="0"/>
                <w:sz w:val="21"/>
                <w:szCs w:val="21"/>
              </w:rPr>
            </w:pPr>
            <w:r>
              <w:rPr>
                <w:color w:val="auto"/>
                <w:kern w:val="0"/>
                <w:sz w:val="21"/>
                <w:szCs w:val="21"/>
              </w:rPr>
              <w:t>氟化物、氯</w:t>
            </w:r>
          </w:p>
          <w:p>
            <w:pPr>
              <w:autoSpaceDE w:val="0"/>
              <w:autoSpaceDN w:val="0"/>
              <w:adjustRightInd w:val="0"/>
              <w:jc w:val="center"/>
              <w:rPr>
                <w:color w:val="auto"/>
                <w:kern w:val="0"/>
                <w:sz w:val="21"/>
                <w:szCs w:val="21"/>
              </w:rPr>
            </w:pPr>
            <w:r>
              <w:rPr>
                <w:color w:val="auto"/>
                <w:kern w:val="0"/>
                <w:sz w:val="21"/>
                <w:szCs w:val="21"/>
              </w:rPr>
              <w:t>化物、锰、</w:t>
            </w:r>
          </w:p>
          <w:p>
            <w:pPr>
              <w:autoSpaceDE w:val="0"/>
              <w:autoSpaceDN w:val="0"/>
              <w:adjustRightInd w:val="0"/>
              <w:jc w:val="center"/>
              <w:rPr>
                <w:color w:val="auto"/>
                <w:kern w:val="0"/>
                <w:sz w:val="21"/>
                <w:szCs w:val="21"/>
              </w:rPr>
            </w:pPr>
            <w:r>
              <w:rPr>
                <w:color w:val="auto"/>
                <w:kern w:val="0"/>
                <w:sz w:val="21"/>
                <w:szCs w:val="21"/>
              </w:rPr>
              <w:t>镍</w:t>
            </w:r>
          </w:p>
        </w:tc>
        <w:tc>
          <w:tcPr>
            <w:tcW w:w="2658" w:type="dxa"/>
            <w:shd w:val="clear" w:color="auto" w:fill="auto"/>
            <w:vAlign w:val="center"/>
          </w:tcPr>
          <w:p>
            <w:pPr>
              <w:autoSpaceDE w:val="0"/>
              <w:autoSpaceDN w:val="0"/>
              <w:adjustRightInd w:val="0"/>
              <w:jc w:val="center"/>
              <w:rPr>
                <w:color w:val="auto"/>
                <w:kern w:val="0"/>
                <w:sz w:val="21"/>
                <w:szCs w:val="21"/>
              </w:rPr>
            </w:pPr>
            <w:r>
              <w:rPr>
                <w:rFonts w:hint="eastAsia"/>
                <w:color w:val="auto"/>
                <w:kern w:val="0"/>
                <w:sz w:val="21"/>
                <w:szCs w:val="21"/>
              </w:rPr>
              <w:t>在填埋场投入运行前应监测一次本底值，运行期间对污染监视井和污染扩散井水质监测应不少于每两周一次，对本底井的水质监测频率应不少于每个月一次。</w:t>
            </w:r>
          </w:p>
        </w:tc>
      </w:tr>
    </w:tbl>
    <w:p>
      <w:pPr>
        <w:autoSpaceDE w:val="0"/>
        <w:autoSpaceDN w:val="0"/>
        <w:adjustRightInd w:val="0"/>
        <w:spacing w:line="360" w:lineRule="auto"/>
        <w:ind w:firstLine="480" w:firstLineChars="200"/>
        <w:jc w:val="both"/>
        <w:rPr>
          <w:color w:val="auto"/>
          <w:kern w:val="0"/>
        </w:rPr>
        <w:sectPr>
          <w:pgSz w:w="11906" w:h="16838"/>
          <w:pgMar w:top="1361" w:right="1418" w:bottom="1134" w:left="1418" w:header="851" w:footer="992" w:gutter="0"/>
          <w:pgNumType w:fmt="decimal"/>
          <w:cols w:space="720" w:num="1"/>
          <w:docGrid w:linePitch="312" w:charSpace="0"/>
        </w:sectPr>
      </w:pPr>
      <w:r>
        <w:rPr>
          <w:color w:val="auto"/>
          <w:kern w:val="0"/>
        </w:rPr>
        <w:t>控制污染是企业环境保护工作的职责之一。环境监测采样、分析方法、数据处理及技术要求均遵循《环境监测技术规范》中有关环境要素监测技术规定的方法进行。监测数据应进行技术分析、分类存盘、科学管理，为企业防治环境污染途径和治理措施提供必要的依据，同时也是企业环境保护资料统计上报、查阅、目标管理等工作内容之一。</w:t>
      </w:r>
    </w:p>
    <w:p>
      <w:pPr>
        <w:jc w:val="center"/>
        <w:rPr>
          <w:color w:val="auto"/>
        </w:rPr>
      </w:pPr>
      <w:r>
        <w:rPr>
          <w:color w:val="auto"/>
          <w:sz w:val="24"/>
        </w:rPr>
        <mc:AlternateContent>
          <mc:Choice Requires="wps">
            <w:drawing>
              <wp:anchor distT="0" distB="0" distL="114300" distR="114300" simplePos="0" relativeHeight="2932359168" behindDoc="0" locked="0" layoutInCell="1" allowOverlap="1">
                <wp:simplePos x="0" y="0"/>
                <wp:positionH relativeFrom="column">
                  <wp:posOffset>11222990</wp:posOffset>
                </wp:positionH>
                <wp:positionV relativeFrom="paragraph">
                  <wp:posOffset>4243705</wp:posOffset>
                </wp:positionV>
                <wp:extent cx="878205" cy="444500"/>
                <wp:effectExtent l="467995" t="4445" r="6350" b="389255"/>
                <wp:wrapNone/>
                <wp:docPr id="216" name="矩形标注 216"/>
                <wp:cNvGraphicFramePr/>
                <a:graphic xmlns:a="http://schemas.openxmlformats.org/drawingml/2006/main">
                  <a:graphicData uri="http://schemas.microsoft.com/office/word/2010/wordprocessingShape">
                    <wps:wsp>
                      <wps:cNvSpPr/>
                      <wps:spPr>
                        <a:xfrm>
                          <a:off x="11943080" y="5323840"/>
                          <a:ext cx="878205" cy="444500"/>
                        </a:xfrm>
                        <a:prstGeom prst="wedgeRectCallout">
                          <a:avLst>
                            <a:gd name="adj1" fmla="val -102783"/>
                            <a:gd name="adj2" fmla="val 134000"/>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bCs/>
                                <w:color w:val="auto"/>
                                <w:lang w:eastAsia="zh-CN"/>
                              </w:rPr>
                            </w:pPr>
                            <w:r>
                              <w:rPr>
                                <w:rFonts w:hint="eastAsia"/>
                                <w:b/>
                                <w:bCs/>
                                <w:color w:val="auto"/>
                                <w:lang w:eastAsia="zh-CN"/>
                              </w:rPr>
                              <w:t>废水管线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883.7pt;margin-top:334.15pt;height:35pt;width:69.15pt;z-index:-1362608128;v-text-anchor:middle;mso-width-relative:page;mso-height-relative:page;" filled="f" stroked="t" coordsize="21600,21600" o:gfxdata="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k6ifs2gAA&#10;AA0BAAAPAAAAAAAAAAEAIAAAACIAAABkcnMvZG93bnJldi54bWxQSwECFAAUAAAACACHTuJAIuD5&#10;Fo4CAADmBAAADgAAAAAAAAABACAAAAApAQAAZHJzL2Uyb0RvYy54bWxQSwUGAAAAAAYABgBZAQAA&#10;KQYAAAAA&#10;" adj="-11401,39744">
                <v:fill on="f" focussize="0,0"/>
                <v:stroke weight="0.25pt" color="#000000 [3213]" joinstyle="round"/>
                <v:imagedata o:title=""/>
                <o:lock v:ext="edit" aspectratio="f"/>
                <v:textbox>
                  <w:txbxContent>
                    <w:p>
                      <w:pPr>
                        <w:jc w:val="center"/>
                        <w:rPr>
                          <w:rFonts w:hint="eastAsia" w:eastAsia="宋体"/>
                          <w:b/>
                          <w:bCs/>
                          <w:color w:val="auto"/>
                          <w:lang w:eastAsia="zh-CN"/>
                        </w:rPr>
                      </w:pPr>
                      <w:r>
                        <w:rPr>
                          <w:rFonts w:hint="eastAsia"/>
                          <w:b/>
                          <w:bCs/>
                          <w:color w:val="auto"/>
                          <w:lang w:eastAsia="zh-CN"/>
                        </w:rPr>
                        <w:t>废水管线</w:t>
                      </w:r>
                    </w:p>
                  </w:txbxContent>
                </v:textbox>
              </v:shape>
            </w:pict>
          </mc:Fallback>
        </mc:AlternateContent>
      </w:r>
      <w:r>
        <w:rPr>
          <w:color w:val="auto"/>
          <w:sz w:val="24"/>
        </w:rPr>
        <mc:AlternateContent>
          <mc:Choice Requires="wps">
            <w:drawing>
              <wp:anchor distT="0" distB="0" distL="114300" distR="114300" simplePos="0" relativeHeight="2932358144" behindDoc="0" locked="0" layoutInCell="1" allowOverlap="1">
                <wp:simplePos x="0" y="0"/>
                <wp:positionH relativeFrom="column">
                  <wp:posOffset>6873240</wp:posOffset>
                </wp:positionH>
                <wp:positionV relativeFrom="paragraph">
                  <wp:posOffset>5069205</wp:posOffset>
                </wp:positionV>
                <wp:extent cx="3862705" cy="10160"/>
                <wp:effectExtent l="0" t="19050" r="4445" b="27940"/>
                <wp:wrapNone/>
                <wp:docPr id="215" name="直接连接符 215"/>
                <wp:cNvGraphicFramePr/>
                <a:graphic xmlns:a="http://schemas.openxmlformats.org/drawingml/2006/main">
                  <a:graphicData uri="http://schemas.microsoft.com/office/word/2010/wordprocessingShape">
                    <wps:wsp>
                      <wps:cNvCnPr/>
                      <wps:spPr>
                        <a:xfrm>
                          <a:off x="7593330" y="6170930"/>
                          <a:ext cx="3862705" cy="10160"/>
                        </a:xfrm>
                        <a:prstGeom prst="line">
                          <a:avLst/>
                        </a:prstGeom>
                        <a:ln w="38100">
                          <a:solidFill>
                            <a:srgbClr val="D72AE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41.2pt;margin-top:399.15pt;height:0.8pt;width:304.15pt;z-index:-1362609152;mso-width-relative:page;mso-height-relative:page;" filled="f" stroked="t" coordsize="21600,21600" o:gfxdata="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qVFg62wAAAA0BAAAPAAAAAAAAAAEA&#10;IAAAACIAAABkcnMvZG93bnJldi54bWxQSwECFAAUAAAACACHTuJAohTVENMBAABhAwAADgAAAAAA&#10;AAABACAAAAAqAQAAZHJzL2Uyb0RvYy54bWxQSwUGAAAAAAYABgBZAQAAbwUAAAAA&#10;">
                <v:fill on="f" focussize="0,0"/>
                <v:stroke weight="3pt" color="#D72AE2 [3204]" joinstyle="round"/>
                <v:imagedata o:title=""/>
                <o:lock v:ext="edit" aspectratio="f"/>
              </v:line>
            </w:pict>
          </mc:Fallback>
        </mc:AlternateContent>
      </w:r>
      <w:r>
        <w:rPr>
          <w:color w:val="auto"/>
          <w:sz w:val="24"/>
        </w:rPr>
        <mc:AlternateContent>
          <mc:Choice Requires="wps">
            <w:drawing>
              <wp:anchor distT="0" distB="0" distL="114300" distR="114300" simplePos="0" relativeHeight="2932357120" behindDoc="0" locked="0" layoutInCell="1" allowOverlap="1">
                <wp:simplePos x="0" y="0"/>
                <wp:positionH relativeFrom="column">
                  <wp:posOffset>5984240</wp:posOffset>
                </wp:positionH>
                <wp:positionV relativeFrom="paragraph">
                  <wp:posOffset>5048250</wp:posOffset>
                </wp:positionV>
                <wp:extent cx="920750" cy="42545"/>
                <wp:effectExtent l="1270" t="28575" r="11430" b="43180"/>
                <wp:wrapNone/>
                <wp:docPr id="214" name="直接连接符 214"/>
                <wp:cNvGraphicFramePr/>
                <a:graphic xmlns:a="http://schemas.openxmlformats.org/drawingml/2006/main">
                  <a:graphicData uri="http://schemas.microsoft.com/office/word/2010/wordprocessingShape">
                    <wps:wsp>
                      <wps:cNvCnPr/>
                      <wps:spPr>
                        <a:xfrm>
                          <a:off x="6693535" y="5885180"/>
                          <a:ext cx="920750" cy="42545"/>
                        </a:xfrm>
                        <a:prstGeom prst="line">
                          <a:avLst/>
                        </a:prstGeom>
                        <a:ln w="57150">
                          <a:solidFill>
                            <a:srgbClr val="D72AE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71.2pt;margin-top:397.5pt;height:3.35pt;width:72.5pt;z-index:-1362610176;mso-width-relative:page;mso-height-relative:page;" filled="f" stroked="t" coordsize="21600,21600" o:gfxdata="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K4v0eXdAAAADAEAAA8AAAAAAAAA&#10;AQAgAAAAIgAAAGRycy9kb3ducmV2LnhtbFBLAQIUABQAAAAIAIdO4kDW7QOU0wEAAGADAAAOAAAA&#10;AAAAAAEAIAAAACwBAABkcnMvZTJvRG9jLnhtbFBLBQYAAAAABgAGAFkBAABxBQAAAAA=&#10;">
                <v:fill on="f" focussize="0,0"/>
                <v:stroke weight="4.5pt" color="#D72AE2 [3204]" joinstyle="round"/>
                <v:imagedata o:title=""/>
                <o:lock v:ext="edit" aspectratio="f"/>
              </v:line>
            </w:pict>
          </mc:Fallback>
        </mc:AlternateContent>
      </w:r>
      <w:r>
        <w:rPr>
          <w:color w:val="auto"/>
          <w:sz w:val="24"/>
        </w:rPr>
        <mc:AlternateContent>
          <mc:Choice Requires="wps">
            <w:drawing>
              <wp:anchor distT="0" distB="0" distL="114300" distR="114300" simplePos="0" relativeHeight="2932356096" behindDoc="0" locked="0" layoutInCell="1" allowOverlap="1">
                <wp:simplePos x="0" y="0"/>
                <wp:positionH relativeFrom="column">
                  <wp:posOffset>6957695</wp:posOffset>
                </wp:positionH>
                <wp:positionV relativeFrom="paragraph">
                  <wp:posOffset>4900295</wp:posOffset>
                </wp:positionV>
                <wp:extent cx="666750" cy="147955"/>
                <wp:effectExtent l="12700" t="0" r="25400" b="29845"/>
                <wp:wrapNone/>
                <wp:docPr id="213" name="矩形 213"/>
                <wp:cNvGraphicFramePr/>
                <a:graphic xmlns:a="http://schemas.openxmlformats.org/drawingml/2006/main">
                  <a:graphicData uri="http://schemas.microsoft.com/office/word/2010/wordprocessingShape">
                    <wps:wsp>
                      <wps:cNvSpPr/>
                      <wps:spPr>
                        <a:xfrm>
                          <a:off x="7677785" y="5980430"/>
                          <a:ext cx="666750" cy="147955"/>
                        </a:xfrm>
                        <a:prstGeom prst="rect">
                          <a:avLst/>
                        </a:prstGeom>
                        <a:solidFill>
                          <a:srgbClr val="00B050">
                            <a:alpha val="79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7.85pt;margin-top:385.85pt;height:11.65pt;width:52.5pt;z-index:-1362611200;v-text-anchor:middle;mso-width-relative:page;mso-height-relative:page;" fillcolor="#00B050" filled="t" stroked="t" coordsize="21600,21600" o:gfxdata="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q9VIfdYAAAANAQAADwAAAAAAAAABACAAAAAiAAAAZHJzL2Rv&#10;d25yZXYueG1sUEsBAhQAFAAAAAgAh07iQJPQpol1AgAA4AQAAA4AAAAAAAAAAQAgAAAAJQEAAGRy&#10;cy9lMm9Eb2MueG1sUEsFBgAAAAAGAAYAWQEAAAwGAAAAAA==&#10;">
                <v:fill on="t" opacity="51773f" focussize="0,0"/>
                <v:stroke weight="2pt" color="#385D8A [3204]" joinstyle="round"/>
                <v:imagedata o:title=""/>
                <o:lock v:ext="edit" aspectratio="f"/>
              </v:rect>
            </w:pict>
          </mc:Fallback>
        </mc:AlternateContent>
      </w:r>
      <w:r>
        <w:rPr>
          <w:color w:val="auto"/>
        </w:rPr>
        <w:drawing>
          <wp:anchor distT="0" distB="0" distL="114300" distR="114300" simplePos="0" relativeHeight="251583488" behindDoc="0" locked="0" layoutInCell="1" allowOverlap="1">
            <wp:simplePos x="0" y="0"/>
            <wp:positionH relativeFrom="column">
              <wp:posOffset>623570</wp:posOffset>
            </wp:positionH>
            <wp:positionV relativeFrom="paragraph">
              <wp:posOffset>6558915</wp:posOffset>
            </wp:positionV>
            <wp:extent cx="1337310" cy="952500"/>
            <wp:effectExtent l="0" t="0" r="0" b="0"/>
            <wp:wrapNone/>
            <wp:docPr id="11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图片 1"/>
                    <pic:cNvPicPr>
                      <a:picLocks noChangeAspect="1" noChangeArrowheads="1"/>
                    </pic:cNvPicPr>
                  </pic:nvPicPr>
                  <pic:blipFill>
                    <a:blip r:embed="rId137">
                      <a:extLst>
                        <a:ext uri="{28A0092B-C50C-407E-A947-70E740481C1C}">
                          <a14:useLocalDpi xmlns:a14="http://schemas.microsoft.com/office/drawing/2010/main" val="0"/>
                        </a:ext>
                      </a:extLst>
                    </a:blip>
                    <a:srcRect b="23313"/>
                    <a:stretch>
                      <a:fillRect/>
                    </a:stretch>
                  </pic:blipFill>
                  <pic:spPr>
                    <a:xfrm>
                      <a:off x="0" y="0"/>
                      <a:ext cx="1337310" cy="952500"/>
                    </a:xfrm>
                    <a:prstGeom prst="rect">
                      <a:avLst/>
                    </a:prstGeom>
                    <a:solidFill>
                      <a:srgbClr val="FF33CC"/>
                    </a:solidFill>
                    <a:ln>
                      <a:noFill/>
                    </a:ln>
                  </pic:spPr>
                </pic:pic>
              </a:graphicData>
            </a:graphic>
          </wp:anchor>
        </w:drawing>
      </w:r>
      <w:r>
        <w:rPr>
          <w:color w:val="auto"/>
          <w:sz w:val="24"/>
        </w:rPr>
        <mc:AlternateContent>
          <mc:Choice Requires="wps">
            <w:drawing>
              <wp:anchor distT="0" distB="0" distL="114300" distR="114300" simplePos="0" relativeHeight="2932355072" behindDoc="0" locked="0" layoutInCell="1" allowOverlap="1">
                <wp:simplePos x="0" y="0"/>
                <wp:positionH relativeFrom="column">
                  <wp:posOffset>3740785</wp:posOffset>
                </wp:positionH>
                <wp:positionV relativeFrom="paragraph">
                  <wp:posOffset>1312545</wp:posOffset>
                </wp:positionV>
                <wp:extent cx="2200910" cy="3799205"/>
                <wp:effectExtent l="12700" t="0" r="15240" b="17145"/>
                <wp:wrapNone/>
                <wp:docPr id="211" name="矩形 211"/>
                <wp:cNvGraphicFramePr/>
                <a:graphic xmlns:a="http://schemas.openxmlformats.org/drawingml/2006/main">
                  <a:graphicData uri="http://schemas.microsoft.com/office/word/2010/wordprocessingShape">
                    <wps:wsp>
                      <wps:cNvSpPr/>
                      <wps:spPr>
                        <a:xfrm>
                          <a:off x="4460875" y="2392680"/>
                          <a:ext cx="2200910" cy="3799205"/>
                        </a:xfrm>
                        <a:prstGeom prst="rect">
                          <a:avLst/>
                        </a:prstGeom>
                        <a:solidFill>
                          <a:srgbClr val="D72AE2">
                            <a:alpha val="77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4.55pt;margin-top:103.35pt;height:299.15pt;width:173.3pt;z-index:-1362612224;v-text-anchor:middle;mso-width-relative:page;mso-height-relative:page;" fillcolor="#D72AE2" filled="t" stroked="t" coordsize="21600,21600" o:gfxdata="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3J/nc9cAAAALAQAADwAAAAAAAAABACAAAAAiAAAAZHJzL2Rv&#10;d25yZXYueG1sUEsBAhQAFAAAAAgAh07iQJQuN4J0AgAA4gQAAA4AAAAAAAAAAQAgAAAAJgEAAGRy&#10;cy9lMm9Eb2MueG1sUEsFBgAAAAAGAAYAWQEAAAwGAAAAAA==&#10;">
                <v:fill on="t" opacity="50462f" focussize="0,0"/>
                <v:stroke weight="2pt" color="#385D8A [3204]" joinstyle="round"/>
                <v:imagedata o:title=""/>
                <o:lock v:ext="edit" aspectratio="f"/>
              </v:rect>
            </w:pict>
          </mc:Fallback>
        </mc:AlternateContent>
      </w:r>
      <w:r>
        <w:rPr>
          <w:color w:val="auto"/>
        </w:rPr>
        <w:drawing>
          <wp:inline distT="0" distB="0" distL="114300" distR="114300">
            <wp:extent cx="11022330" cy="7741285"/>
            <wp:effectExtent l="0" t="0" r="7620" b="12065"/>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138"/>
                    <a:stretch>
                      <a:fillRect/>
                    </a:stretch>
                  </pic:blipFill>
                  <pic:spPr>
                    <a:xfrm>
                      <a:off x="0" y="0"/>
                      <a:ext cx="11022330" cy="7741285"/>
                    </a:xfrm>
                    <a:prstGeom prst="rect">
                      <a:avLst/>
                    </a:prstGeom>
                    <a:noFill/>
                    <a:ln w="9525">
                      <a:noFill/>
                      <a:miter/>
                    </a:ln>
                  </pic:spPr>
                </pic:pic>
              </a:graphicData>
            </a:graphic>
          </wp:inline>
        </w:drawing>
      </w:r>
      <w:r>
        <w:rPr>
          <w:color w:val="auto"/>
        </w:rPr>
        <w:t xml:space="preserve">  </w:t>
      </w:r>
    </w:p>
    <w:p>
      <w:pPr>
        <w:autoSpaceDE w:val="0"/>
        <w:autoSpaceDN w:val="0"/>
        <w:adjustRightInd w:val="0"/>
        <w:spacing w:line="360" w:lineRule="auto"/>
        <w:jc w:val="center"/>
        <w:rPr>
          <w:b/>
          <w:color w:val="auto"/>
        </w:rPr>
      </w:pPr>
    </w:p>
    <w:p>
      <w:pPr>
        <w:autoSpaceDE w:val="0"/>
        <w:autoSpaceDN w:val="0"/>
        <w:adjustRightInd w:val="0"/>
        <w:spacing w:line="360" w:lineRule="auto"/>
        <w:jc w:val="center"/>
        <w:rPr>
          <w:b/>
          <w:color w:val="auto"/>
          <w:kern w:val="0"/>
        </w:rPr>
      </w:pPr>
      <w:r>
        <w:rPr>
          <w:color w:val="auto"/>
        </w:rPr>
        <mc:AlternateContent>
          <mc:Choice Requires="wps">
            <w:drawing>
              <wp:anchor distT="0" distB="0" distL="114300" distR="114300" simplePos="0" relativeHeight="251601920" behindDoc="0" locked="0" layoutInCell="1" allowOverlap="1">
                <wp:simplePos x="0" y="0"/>
                <wp:positionH relativeFrom="column">
                  <wp:posOffset>1895475</wp:posOffset>
                </wp:positionH>
                <wp:positionV relativeFrom="paragraph">
                  <wp:posOffset>8963025</wp:posOffset>
                </wp:positionV>
                <wp:extent cx="190500" cy="190500"/>
                <wp:effectExtent l="0" t="0" r="0" b="0"/>
                <wp:wrapNone/>
                <wp:docPr id="39" name="流程图: 联系 39"/>
                <wp:cNvGraphicFramePr/>
                <a:graphic xmlns:a="http://schemas.openxmlformats.org/drawingml/2006/main">
                  <a:graphicData uri="http://schemas.microsoft.com/office/word/2010/wordprocessingShape">
                    <wps:wsp>
                      <wps:cNvSpPr/>
                      <wps:spPr>
                        <a:xfrm>
                          <a:off x="0" y="0"/>
                          <a:ext cx="190500" cy="190500"/>
                        </a:xfrm>
                        <a:prstGeom prst="flowChartConnector">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0" type="#_x0000_t120" style="position:absolute;left:0pt;margin-left:149.25pt;margin-top:705.75pt;height:15pt;width:15pt;z-index:251601920;v-text-anchor:middle;mso-width-relative:page;mso-height-relative:page;" fillcolor="#FF0000" filled="t" stroked="f" coordsize="21600,21600" o:gfxdata="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HZsCJHWAAAADQEAAA8AAAAAAAAAAQAgAAAAIgAAAGRycy9kb3ducmV2LnhtbFBLAQIUABQAAAAI&#10;AIdO4kC+C8hJYQIAAI4EAAAOAAAAAAAAAAEAIAAAACUBAABkcnMvZTJvRG9jLnhtbFBLBQYAAAAA&#10;BgAGAFkBAAD4BQAAAAA=&#10;">
                <v:fill on="t" focussize="0,0"/>
                <v:stroke on="f" weight="2pt"/>
                <v:imagedata o:title=""/>
                <o:lock v:ext="edit" aspectratio="f"/>
              </v:shape>
            </w:pict>
          </mc:Fallback>
        </mc:AlternateContent>
      </w:r>
      <w:r>
        <w:rPr>
          <w:b/>
          <w:color w:val="auto"/>
        </w:rPr>
        <w:t xml:space="preserve">图 </w:t>
      </w:r>
      <w:r>
        <w:rPr>
          <w:b/>
          <w:color w:val="auto"/>
        </w:rPr>
        <w:fldChar w:fldCharType="begin"/>
      </w:r>
      <w:r>
        <w:rPr>
          <w:b/>
          <w:color w:val="auto"/>
        </w:rPr>
        <w:instrText xml:space="preserve"> STYLEREF 2 \s </w:instrText>
      </w:r>
      <w:r>
        <w:rPr>
          <w:b/>
          <w:color w:val="auto"/>
        </w:rPr>
        <w:fldChar w:fldCharType="separate"/>
      </w:r>
      <w:r>
        <w:rPr>
          <w:b/>
          <w:color w:val="auto"/>
        </w:rPr>
        <w:t>6.2</w:t>
      </w:r>
      <w:r>
        <w:rPr>
          <w:b/>
          <w:color w:val="auto"/>
        </w:rPr>
        <w:fldChar w:fldCharType="end"/>
      </w:r>
      <w:r>
        <w:rPr>
          <w:b/>
          <w:color w:val="auto"/>
        </w:rPr>
        <w:noBreakHyphen/>
      </w:r>
      <w:r>
        <w:rPr>
          <w:rFonts w:hint="eastAsia"/>
          <w:b/>
          <w:color w:val="auto"/>
        </w:rPr>
        <w:t>13</w:t>
      </w:r>
      <w:r>
        <w:rPr>
          <w:b/>
          <w:color w:val="auto"/>
        </w:rPr>
        <w:t xml:space="preserve"> </w:t>
      </w:r>
      <w:r>
        <w:rPr>
          <w:b/>
          <w:color w:val="auto"/>
          <w:kern w:val="0"/>
        </w:rPr>
        <w:t xml:space="preserve"> </w:t>
      </w:r>
      <w:r>
        <w:rPr>
          <w:rFonts w:hint="eastAsia"/>
          <w:b/>
          <w:color w:val="auto"/>
          <w:kern w:val="0"/>
          <w:lang w:eastAsia="zh-CN"/>
        </w:rPr>
        <w:t>餐厨垃圾处理厂</w:t>
      </w:r>
      <w:r>
        <w:rPr>
          <w:b/>
          <w:color w:val="auto"/>
          <w:kern w:val="0"/>
        </w:rPr>
        <w:t>地下水污染防治分区示意图</w:t>
      </w:r>
    </w:p>
    <w:p>
      <w:pPr>
        <w:autoSpaceDE w:val="0"/>
        <w:autoSpaceDN w:val="0"/>
        <w:adjustRightInd w:val="0"/>
        <w:spacing w:line="360" w:lineRule="auto"/>
        <w:jc w:val="center"/>
        <w:rPr>
          <w:b/>
          <w:color w:val="auto"/>
          <w:kern w:val="0"/>
        </w:rPr>
      </w:pPr>
    </w:p>
    <w:p>
      <w:pPr>
        <w:autoSpaceDE w:val="0"/>
        <w:autoSpaceDN w:val="0"/>
        <w:adjustRightInd w:val="0"/>
        <w:spacing w:line="360" w:lineRule="auto"/>
        <w:jc w:val="center"/>
        <w:rPr>
          <w:b/>
          <w:color w:val="auto"/>
          <w:kern w:val="0"/>
        </w:rPr>
      </w:pPr>
    </w:p>
    <w:p>
      <w:pPr>
        <w:autoSpaceDE w:val="0"/>
        <w:autoSpaceDN w:val="0"/>
        <w:adjustRightInd w:val="0"/>
        <w:spacing w:line="360" w:lineRule="auto"/>
        <w:jc w:val="center"/>
        <w:rPr>
          <w:color w:val="auto"/>
        </w:rPr>
      </w:pPr>
      <w:r>
        <w:rPr>
          <w:color w:val="auto"/>
          <w:sz w:val="24"/>
        </w:rPr>
        <mc:AlternateContent>
          <mc:Choice Requires="wps">
            <w:drawing>
              <wp:anchor distT="0" distB="0" distL="114300" distR="114300" simplePos="0" relativeHeight="3998811136" behindDoc="0" locked="0" layoutInCell="1" allowOverlap="1">
                <wp:simplePos x="0" y="0"/>
                <wp:positionH relativeFrom="column">
                  <wp:posOffset>9514840</wp:posOffset>
                </wp:positionH>
                <wp:positionV relativeFrom="paragraph">
                  <wp:posOffset>7349490</wp:posOffset>
                </wp:positionV>
                <wp:extent cx="285750" cy="116205"/>
                <wp:effectExtent l="12700" t="12700" r="25400" b="23495"/>
                <wp:wrapNone/>
                <wp:docPr id="159" name="等腰三角形 159"/>
                <wp:cNvGraphicFramePr/>
                <a:graphic xmlns:a="http://schemas.openxmlformats.org/drawingml/2006/main">
                  <a:graphicData uri="http://schemas.microsoft.com/office/word/2010/wordprocessingShape">
                    <wps:wsp>
                      <wps:cNvSpPr/>
                      <wps:spPr>
                        <a:xfrm>
                          <a:off x="0" y="0"/>
                          <a:ext cx="285750" cy="116205"/>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749.2pt;margin-top:578.7pt;height:9.15pt;width:22.5pt;z-index:-296156160;v-text-anchor:middle;mso-width-relative:page;mso-height-relative:page;" fillcolor="#FF0000" filled="t" stroked="t" coordsize="21600,21600" o:gfxdata="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KOz3nZ&#10;AAAADwEAAA8AAAAAAAAAAQAgAAAAIgAAAGRycy9kb3ducmV2LnhtbFBLAQIUABQAAAAIAIdO4kDN&#10;/iJaWAIAAJ8EAAAOAAAAAAAAAAEAIAAAACgBAABkcnMvZTJvRG9jLnhtbFBLBQYAAAAABgAGAFkB&#10;AADyBQAAAAA=&#10;" adj="10800">
                <v:fill on="t" focussize="0,0"/>
                <v:stroke weight="2pt" color="#FF0000 [3204]" joinstyle="round"/>
                <v:imagedata o:title=""/>
                <o:lock v:ext="edit" aspectratio="f"/>
              </v:shape>
            </w:pict>
          </mc:Fallback>
        </mc:AlternateContent>
      </w:r>
      <w:r>
        <w:rPr>
          <w:color w:val="auto"/>
          <w:sz w:val="24"/>
        </w:rPr>
        <mc:AlternateContent>
          <mc:Choice Requires="wps">
            <w:drawing>
              <wp:anchor distT="0" distB="0" distL="114300" distR="114300" simplePos="0" relativeHeight="2903181312" behindDoc="0" locked="0" layoutInCell="1" allowOverlap="1">
                <wp:simplePos x="0" y="0"/>
                <wp:positionH relativeFrom="column">
                  <wp:posOffset>9267190</wp:posOffset>
                </wp:positionH>
                <wp:positionV relativeFrom="paragraph">
                  <wp:posOffset>6784340</wp:posOffset>
                </wp:positionV>
                <wp:extent cx="285750" cy="116205"/>
                <wp:effectExtent l="12700" t="12700" r="25400" b="23495"/>
                <wp:wrapNone/>
                <wp:docPr id="233" name="等腰三角形 233"/>
                <wp:cNvGraphicFramePr/>
                <a:graphic xmlns:a="http://schemas.openxmlformats.org/drawingml/2006/main">
                  <a:graphicData uri="http://schemas.microsoft.com/office/word/2010/wordprocessingShape">
                    <wps:wsp>
                      <wps:cNvSpPr/>
                      <wps:spPr>
                        <a:xfrm>
                          <a:off x="0" y="0"/>
                          <a:ext cx="285750" cy="116205"/>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729.7pt;margin-top:534.2pt;height:9.15pt;width:22.5pt;z-index:-1391785984;v-text-anchor:middle;mso-width-relative:page;mso-height-relative:page;" fillcolor="#FF0000" filled="t" stroked="t" coordsize="21600,21600" o:gfxdata="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MO7I8&#10;2AAAAA8BAAAPAAAAAAAAAAEAIAAAACIAAABkcnMvZG93bnJldi54bWxQSwECFAAUAAAACACHTuJA&#10;mPZEcFoCAACfBAAADgAAAAAAAAABACAAAAAnAQAAZHJzL2Uyb0RvYy54bWxQSwUGAAAAAAYABgBZ&#10;AQAA8wUAAAAA&#10;" adj="10800">
                <v:fill on="t" focussize="0,0"/>
                <v:stroke weight="2pt" color="#FF0000 [3204]" joinstyle="round"/>
                <v:imagedata o:title=""/>
                <o:lock v:ext="edit" aspectratio="f"/>
              </v:shape>
            </w:pict>
          </mc:Fallback>
        </mc:AlternateContent>
      </w:r>
      <w:r>
        <w:rPr>
          <w:color w:val="auto"/>
          <w:sz w:val="24"/>
        </w:rPr>
        <mc:AlternateContent>
          <mc:Choice Requires="wps">
            <w:drawing>
              <wp:anchor distT="0" distB="0" distL="114300" distR="114300" simplePos="0" relativeHeight="3450995712" behindDoc="0" locked="0" layoutInCell="1" allowOverlap="1">
                <wp:simplePos x="0" y="0"/>
                <wp:positionH relativeFrom="column">
                  <wp:posOffset>8638540</wp:posOffset>
                </wp:positionH>
                <wp:positionV relativeFrom="paragraph">
                  <wp:posOffset>2874645</wp:posOffset>
                </wp:positionV>
                <wp:extent cx="285750" cy="116205"/>
                <wp:effectExtent l="12700" t="12700" r="25400" b="23495"/>
                <wp:wrapNone/>
                <wp:docPr id="232" name="等腰三角形 232"/>
                <wp:cNvGraphicFramePr/>
                <a:graphic xmlns:a="http://schemas.openxmlformats.org/drawingml/2006/main">
                  <a:graphicData uri="http://schemas.microsoft.com/office/word/2010/wordprocessingShape">
                    <wps:wsp>
                      <wps:cNvSpPr/>
                      <wps:spPr>
                        <a:xfrm>
                          <a:off x="0" y="0"/>
                          <a:ext cx="285750" cy="116205"/>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680.2pt;margin-top:226.35pt;height:9.15pt;width:22.5pt;z-index:-843971584;v-text-anchor:middle;mso-width-relative:page;mso-height-relative:page;" fillcolor="#FF0000" filled="t" stroked="t" coordsize="21600,21600" o:gfxdata="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zixyW&#10;2QAAAA0BAAAPAAAAAAAAAAEAIAAAACIAAABkcnMvZG93bnJldi54bWxQSwECFAAUAAAACACHTuJA&#10;Ei6gbFkCAACfBAAADgAAAAAAAAABACAAAAAoAQAAZHJzL2Uyb0RvYy54bWxQSwUGAAAAAAYABgBZ&#10;AQAA8wUAAAAA&#10;" adj="10800">
                <v:fill on="t" focussize="0,0"/>
                <v:stroke weight="2pt" color="#FF0000 [3204]" joinstyle="round"/>
                <v:imagedata o:title=""/>
                <o:lock v:ext="edit" aspectratio="f"/>
              </v:shape>
            </w:pict>
          </mc:Fallback>
        </mc:AlternateContent>
      </w:r>
      <w:r>
        <w:rPr>
          <w:color w:val="auto"/>
          <w:sz w:val="24"/>
        </w:rPr>
        <mc:AlternateContent>
          <mc:Choice Requires="wps">
            <w:drawing>
              <wp:anchor distT="0" distB="0" distL="114300" distR="114300" simplePos="0" relativeHeight="3998812160" behindDoc="0" locked="0" layoutInCell="1" allowOverlap="1">
                <wp:simplePos x="0" y="0"/>
                <wp:positionH relativeFrom="column">
                  <wp:posOffset>5067300</wp:posOffset>
                </wp:positionH>
                <wp:positionV relativeFrom="paragraph">
                  <wp:posOffset>5389245</wp:posOffset>
                </wp:positionV>
                <wp:extent cx="285750" cy="116205"/>
                <wp:effectExtent l="12700" t="12700" r="25400" b="23495"/>
                <wp:wrapNone/>
                <wp:docPr id="231" name="等腰三角形 231"/>
                <wp:cNvGraphicFramePr/>
                <a:graphic xmlns:a="http://schemas.openxmlformats.org/drawingml/2006/main">
                  <a:graphicData uri="http://schemas.microsoft.com/office/word/2010/wordprocessingShape">
                    <wps:wsp>
                      <wps:cNvSpPr/>
                      <wps:spPr>
                        <a:xfrm>
                          <a:off x="0" y="0"/>
                          <a:ext cx="285750" cy="116205"/>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99pt;margin-top:424.35pt;height:9.15pt;width:22.5pt;z-index:-296155136;v-text-anchor:middle;mso-width-relative:page;mso-height-relative:page;" fillcolor="#FF0000" filled="t" stroked="t" coordsize="21600,21600" o:gfxdata="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Yw5sQ&#10;2AAAAAsBAAAPAAAAAAAAAAEAIAAAACIAAABkcnMvZG93bnJldi54bWxQSwECFAAUAAAACACHTuJA&#10;jEeNSVoCAACfBAAADgAAAAAAAAABACAAAAAnAQAAZHJzL2Uyb0RvYy54bWxQSwUGAAAAAAYABgBZ&#10;AQAA8wUAAAAA&#10;" adj="10800">
                <v:fill on="t" focussize="0,0"/>
                <v:stroke weight="2pt" color="#FF0000 [3204]" joinstyle="round"/>
                <v:imagedata o:title=""/>
                <o:lock v:ext="edit" aspectratio="f"/>
              </v:shape>
            </w:pict>
          </mc:Fallback>
        </mc:AlternateContent>
      </w:r>
      <w:r>
        <w:rPr>
          <w:color w:val="auto"/>
          <w:sz w:val="24"/>
        </w:rPr>
        <mc:AlternateContent>
          <mc:Choice Requires="wps">
            <w:drawing>
              <wp:anchor distT="0" distB="0" distL="114300" distR="114300" simplePos="0" relativeHeight="1318103040" behindDoc="0" locked="0" layoutInCell="1" allowOverlap="1">
                <wp:simplePos x="0" y="0"/>
                <wp:positionH relativeFrom="column">
                  <wp:posOffset>5168900</wp:posOffset>
                </wp:positionH>
                <wp:positionV relativeFrom="paragraph">
                  <wp:posOffset>315595</wp:posOffset>
                </wp:positionV>
                <wp:extent cx="285750" cy="116205"/>
                <wp:effectExtent l="12700" t="12700" r="25400" b="23495"/>
                <wp:wrapNone/>
                <wp:docPr id="230" name="等腰三角形 230"/>
                <wp:cNvGraphicFramePr/>
                <a:graphic xmlns:a="http://schemas.openxmlformats.org/drawingml/2006/main">
                  <a:graphicData uri="http://schemas.microsoft.com/office/word/2010/wordprocessingShape">
                    <wps:wsp>
                      <wps:cNvSpPr/>
                      <wps:spPr>
                        <a:xfrm>
                          <a:off x="0" y="0"/>
                          <a:ext cx="285750" cy="116205"/>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407pt;margin-top:24.85pt;height:9.15pt;width:22.5pt;z-index:1318103040;v-text-anchor:middle;mso-width-relative:page;mso-height-relative:page;" fillcolor="#FF0000" filled="t" stroked="t" coordsize="21600,21600" o:gfxdata="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FvAw3/X&#10;AAAACQEAAA8AAAAAAAAAAQAgAAAAIgAAAGRycy9kb3ducmV2LnhtbFBLAQIUABQAAAAIAIdO4kAG&#10;n2lVWgIAAJ8EAAAOAAAAAAAAAAEAIAAAACYBAABkcnMvZTJvRG9jLnhtbFBLBQYAAAAABgAGAFkB&#10;AADyBQAAAAA=&#10;" adj="10800">
                <v:fill on="t" focussize="0,0"/>
                <v:stroke weight="2pt" color="#FF0000 [3204]" joinstyle="round"/>
                <v:imagedata o:title=""/>
                <o:lock v:ext="edit" aspectratio="f"/>
              </v:shape>
            </w:pict>
          </mc:Fallback>
        </mc:AlternateContent>
      </w:r>
      <w:r>
        <w:rPr>
          <w:color w:val="auto"/>
          <w:sz w:val="24"/>
        </w:rPr>
        <mc:AlternateContent>
          <mc:Choice Requires="wps">
            <w:drawing>
              <wp:anchor distT="0" distB="0" distL="114300" distR="114300" simplePos="0" relativeHeight="2932364288" behindDoc="0" locked="0" layoutInCell="1" allowOverlap="1">
                <wp:simplePos x="0" y="0"/>
                <wp:positionH relativeFrom="column">
                  <wp:posOffset>1418590</wp:posOffset>
                </wp:positionH>
                <wp:positionV relativeFrom="paragraph">
                  <wp:posOffset>6308090</wp:posOffset>
                </wp:positionV>
                <wp:extent cx="1173480" cy="317500"/>
                <wp:effectExtent l="0" t="0" r="7620" b="6350"/>
                <wp:wrapNone/>
                <wp:docPr id="227" name="文本框 227"/>
                <wp:cNvGraphicFramePr/>
                <a:graphic xmlns:a="http://schemas.openxmlformats.org/drawingml/2006/main">
                  <a:graphicData uri="http://schemas.microsoft.com/office/word/2010/wordprocessingShape">
                    <wps:wsp>
                      <wps:cNvSpPr txBox="1"/>
                      <wps:spPr>
                        <a:xfrm>
                          <a:off x="2223135" y="7334885"/>
                          <a:ext cx="1173480" cy="317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lang w:eastAsia="zh-CN"/>
                              </w:rPr>
                            </w:pPr>
                            <w:r>
                              <w:rPr>
                                <w:rFonts w:hint="eastAsia"/>
                                <w:b/>
                                <w:bCs/>
                                <w:lang w:eastAsia="zh-CN"/>
                              </w:rPr>
                              <w:t>地下水监测井</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1.7pt;margin-top:496.7pt;height:25pt;width:92.4pt;z-index:-1362603008;mso-width-relative:page;mso-height-relative:page;" filled="f" stroked="f" coordsize="21600,21600" o:gfxdata="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F92yhnaAAAADAEAAA8AAAAAAAAAAQAgAAAAIgAAAGRycy9kb3ducmV2LnhtbFBL&#10;AQIUABQAAAAIAIdO4kDWWhbxLQIAACgEAAAOAAAAAAAAAAEAIAAAACkBAABkcnMvZTJvRG9jLnht&#10;bFBLBQYAAAAABgAGAFkBAADIBQAAAAA=&#10;">
                <v:fill on="f" focussize="0,0"/>
                <v:stroke on="f" weight="0.5pt"/>
                <v:imagedata o:title=""/>
                <o:lock v:ext="edit" aspectratio="f"/>
                <v:textbox>
                  <w:txbxContent>
                    <w:p>
                      <w:pPr>
                        <w:rPr>
                          <w:rFonts w:hint="eastAsia" w:eastAsia="宋体"/>
                          <w:b/>
                          <w:bCs/>
                          <w:lang w:eastAsia="zh-CN"/>
                        </w:rPr>
                      </w:pPr>
                      <w:r>
                        <w:rPr>
                          <w:rFonts w:hint="eastAsia"/>
                          <w:b/>
                          <w:bCs/>
                          <w:lang w:eastAsia="zh-CN"/>
                        </w:rPr>
                        <w:t>地下水监测井</w:t>
                      </w:r>
                    </w:p>
                  </w:txbxContent>
                </v:textbox>
              </v:shape>
            </w:pict>
          </mc:Fallback>
        </mc:AlternateContent>
      </w:r>
      <w:r>
        <w:rPr>
          <w:color w:val="auto"/>
          <w:sz w:val="24"/>
        </w:rPr>
        <mc:AlternateContent>
          <mc:Choice Requires="wps">
            <w:drawing>
              <wp:anchor distT="0" distB="0" distL="114300" distR="114300" simplePos="0" relativeHeight="2932363264" behindDoc="0" locked="0" layoutInCell="1" allowOverlap="1">
                <wp:simplePos x="0" y="0"/>
                <wp:positionH relativeFrom="column">
                  <wp:posOffset>1101090</wp:posOffset>
                </wp:positionH>
                <wp:positionV relativeFrom="paragraph">
                  <wp:posOffset>6321425</wp:posOffset>
                </wp:positionV>
                <wp:extent cx="285750" cy="137795"/>
                <wp:effectExtent l="12700" t="12700" r="25400" b="20955"/>
                <wp:wrapNone/>
                <wp:docPr id="225" name="等腰三角形 225"/>
                <wp:cNvGraphicFramePr/>
                <a:graphic xmlns:a="http://schemas.openxmlformats.org/drawingml/2006/main">
                  <a:graphicData uri="http://schemas.microsoft.com/office/word/2010/wordprocessingShape">
                    <wps:wsp>
                      <wps:cNvSpPr/>
                      <wps:spPr>
                        <a:xfrm>
                          <a:off x="3916680" y="2734310"/>
                          <a:ext cx="285750" cy="137795"/>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86.7pt;margin-top:497.75pt;height:10.85pt;width:22.5pt;z-index:-1362604032;v-text-anchor:middle;mso-width-relative:page;mso-height-relative:page;" fillcolor="#FF0000" filled="t" stroked="t" coordsize="21600,21600" o:gfxdata="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bYCtL2AAAAAwBAAAPAAAAAAAAAAEAIAAAACIAAABkcnMvZG93bnJldi54bWxQ&#10;SwECFAAUAAAACACHTuJAUnqws2kCAACrBAAADgAAAAAAAAABACAAAAAnAQAAZHJzL2Uyb0RvYy54&#10;bWxQSwUGAAAAAAYABgBZAQAAAgYAAAAA&#10;" adj="10800">
                <v:fill on="t" focussize="0,0"/>
                <v:stroke weight="2pt" color="#FF0000 [3204]" joinstyle="round"/>
                <v:imagedata o:title=""/>
                <o:lock v:ext="edit" aspectratio="f"/>
              </v:shape>
            </w:pict>
          </mc:Fallback>
        </mc:AlternateContent>
      </w:r>
      <w:r>
        <w:rPr>
          <w:color w:val="auto"/>
        </w:rPr>
        <w:drawing>
          <wp:anchor distT="0" distB="0" distL="114300" distR="114300" simplePos="0" relativeHeight="2932288512" behindDoc="0" locked="0" layoutInCell="1" allowOverlap="1">
            <wp:simplePos x="0" y="0"/>
            <wp:positionH relativeFrom="column">
              <wp:posOffset>988060</wp:posOffset>
            </wp:positionH>
            <wp:positionV relativeFrom="paragraph">
              <wp:posOffset>6517640</wp:posOffset>
            </wp:positionV>
            <wp:extent cx="1337310" cy="952500"/>
            <wp:effectExtent l="0" t="0" r="15240" b="0"/>
            <wp:wrapNone/>
            <wp:docPr id="2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
                    <pic:cNvPicPr>
                      <a:picLocks noChangeAspect="1" noChangeArrowheads="1"/>
                    </pic:cNvPicPr>
                  </pic:nvPicPr>
                  <pic:blipFill>
                    <a:blip r:embed="rId137">
                      <a:extLst>
                        <a:ext uri="{28A0092B-C50C-407E-A947-70E740481C1C}">
                          <a14:useLocalDpi xmlns:a14="http://schemas.microsoft.com/office/drawing/2010/main" val="0"/>
                        </a:ext>
                      </a:extLst>
                    </a:blip>
                    <a:srcRect b="23313"/>
                    <a:stretch>
                      <a:fillRect/>
                    </a:stretch>
                  </pic:blipFill>
                  <pic:spPr>
                    <a:xfrm>
                      <a:off x="0" y="0"/>
                      <a:ext cx="1337310" cy="952500"/>
                    </a:xfrm>
                    <a:prstGeom prst="rect">
                      <a:avLst/>
                    </a:prstGeom>
                    <a:solidFill>
                      <a:srgbClr val="FF33CC"/>
                    </a:solidFill>
                    <a:ln>
                      <a:noFill/>
                    </a:ln>
                  </pic:spPr>
                </pic:pic>
              </a:graphicData>
            </a:graphic>
          </wp:anchor>
        </w:drawing>
      </w:r>
      <w:r>
        <w:rPr>
          <w:color w:val="auto"/>
          <w:sz w:val="24"/>
        </w:rPr>
        <mc:AlternateContent>
          <mc:Choice Requires="wps">
            <w:drawing>
              <wp:anchor distT="0" distB="0" distL="114300" distR="114300" simplePos="0" relativeHeight="1318099968" behindDoc="0" locked="0" layoutInCell="1" allowOverlap="1">
                <wp:simplePos x="0" y="0"/>
                <wp:positionH relativeFrom="column">
                  <wp:posOffset>4770120</wp:posOffset>
                </wp:positionH>
                <wp:positionV relativeFrom="paragraph">
                  <wp:posOffset>3860800</wp:posOffset>
                </wp:positionV>
                <wp:extent cx="247015" cy="370205"/>
                <wp:effectExtent l="79375" t="47625" r="92710" b="58420"/>
                <wp:wrapNone/>
                <wp:docPr id="221" name="矩形 221"/>
                <wp:cNvGraphicFramePr/>
                <a:graphic xmlns:a="http://schemas.openxmlformats.org/drawingml/2006/main">
                  <a:graphicData uri="http://schemas.microsoft.com/office/word/2010/wordprocessingShape">
                    <wps:wsp>
                      <wps:cNvSpPr/>
                      <wps:spPr>
                        <a:xfrm rot="20100000">
                          <a:off x="0" y="0"/>
                          <a:ext cx="247015" cy="370205"/>
                        </a:xfrm>
                        <a:prstGeom prst="rect">
                          <a:avLst/>
                        </a:prstGeom>
                        <a:solidFill>
                          <a:srgbClr val="00B050">
                            <a:alpha val="79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5.6pt;margin-top:304pt;height:29.15pt;width:19.45pt;rotation:-1638400f;z-index:1318099968;v-text-anchor:middle;mso-width-relative:page;mso-height-relative:page;" fillcolor="#00B050" filled="t" stroked="t" coordsize="21600,21600" o:gfxdata="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xup+fNkAAAALAQAADwAAAAAAAAABACAAAAAiAAAAZHJzL2Rvd25yZXYu&#10;eG1sUEsBAhQAFAAAAAgAh07iQMC9LIxsAgAA4wQAAA4AAAAAAAAAAQAgAAAAKAEAAGRycy9lMm9E&#10;b2MueG1sUEsFBgAAAAAGAAYAWQEAAAYGAAAAAA==&#10;">
                <v:fill on="t" opacity="51773f" focussize="0,0"/>
                <v:stroke weight="2pt" color="#385D8A [3204]" joinstyle="round"/>
                <v:imagedata o:title=""/>
                <o:lock v:ext="edit" aspectratio="f"/>
              </v:rect>
            </w:pict>
          </mc:Fallback>
        </mc:AlternateContent>
      </w:r>
      <w:r>
        <w:rPr>
          <w:color w:val="auto"/>
          <w:sz w:val="24"/>
        </w:rPr>
        <mc:AlternateContent>
          <mc:Choice Requires="wps">
            <w:drawing>
              <wp:anchor distT="0" distB="0" distL="114300" distR="114300" simplePos="0" relativeHeight="1318099968" behindDoc="0" locked="0" layoutInCell="1" allowOverlap="1">
                <wp:simplePos x="0" y="0"/>
                <wp:positionH relativeFrom="column">
                  <wp:posOffset>4680585</wp:posOffset>
                </wp:positionH>
                <wp:positionV relativeFrom="paragraph">
                  <wp:posOffset>1061085</wp:posOffset>
                </wp:positionV>
                <wp:extent cx="266700" cy="223520"/>
                <wp:effectExtent l="40005" t="56515" r="55245" b="62865"/>
                <wp:wrapNone/>
                <wp:docPr id="222" name="矩形 222"/>
                <wp:cNvGraphicFramePr/>
                <a:graphic xmlns:a="http://schemas.openxmlformats.org/drawingml/2006/main">
                  <a:graphicData uri="http://schemas.microsoft.com/office/word/2010/wordprocessingShape">
                    <wps:wsp>
                      <wps:cNvSpPr/>
                      <wps:spPr>
                        <a:xfrm rot="19500000">
                          <a:off x="0" y="0"/>
                          <a:ext cx="266700" cy="223520"/>
                        </a:xfrm>
                        <a:prstGeom prst="rect">
                          <a:avLst/>
                        </a:prstGeom>
                        <a:solidFill>
                          <a:srgbClr val="ED11DB">
                            <a:alpha val="6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8.55pt;margin-top:83.55pt;height:17.6pt;width:21pt;rotation:-2293760f;z-index:1318099968;v-text-anchor:middle;mso-width-relative:page;mso-height-relative:page;" fillcolor="#ED11DB" filled="t" stroked="f" coordsize="21600,21600" o:gfxdata="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Ckd3xNUA&#10;AAALAQAADwAAAAAAAAABACAAAAAiAAAAZHJzL2Rvd25yZXYueG1sUEsBAhQAFAAAAAgAh07iQIWy&#10;I6NbAgAAmQQAAA4AAAAAAAAAAQAgAAAAJAEAAGRycy9lMm9Eb2MueG1sUEsFBgAAAAAGAAYAWQEA&#10;APEFAAAAAA==&#10;">
                <v:fill on="t" opacity="43253f" focussize="0,0"/>
                <v:stroke on="f" weight="2pt"/>
                <v:imagedata o:title=""/>
                <o:lock v:ext="edit" aspectratio="f"/>
              </v:rect>
            </w:pict>
          </mc:Fallback>
        </mc:AlternateContent>
      </w:r>
      <w:r>
        <w:rPr>
          <w:color w:val="auto"/>
          <w:sz w:val="24"/>
        </w:rPr>
        <mc:AlternateContent>
          <mc:Choice Requires="wps">
            <w:drawing>
              <wp:anchor distT="0" distB="0" distL="114300" distR="114300" simplePos="0" relativeHeight="2932360192" behindDoc="0" locked="0" layoutInCell="1" allowOverlap="1">
                <wp:simplePos x="0" y="0"/>
                <wp:positionH relativeFrom="column">
                  <wp:posOffset>4396740</wp:posOffset>
                </wp:positionH>
                <wp:positionV relativeFrom="paragraph">
                  <wp:posOffset>833755</wp:posOffset>
                </wp:positionV>
                <wp:extent cx="6635750" cy="6350000"/>
                <wp:effectExtent l="0" t="0" r="12700" b="12700"/>
                <wp:wrapNone/>
                <wp:docPr id="218" name="任意多边形 218"/>
                <wp:cNvGraphicFramePr/>
                <a:graphic xmlns:a="http://schemas.openxmlformats.org/drawingml/2006/main">
                  <a:graphicData uri="http://schemas.microsoft.com/office/word/2010/wordprocessingShape">
                    <wps:wsp>
                      <wps:cNvSpPr/>
                      <wps:spPr>
                        <a:xfrm>
                          <a:off x="5106035" y="1924050"/>
                          <a:ext cx="6635750" cy="6350000"/>
                        </a:xfrm>
                        <a:custGeom>
                          <a:avLst/>
                          <a:gdLst>
                            <a:gd name="connisteX0" fmla="*/ 0 w 6635750"/>
                            <a:gd name="connsiteY0" fmla="*/ 963930 h 6350000"/>
                            <a:gd name="connisteX1" fmla="*/ 222250 w 6635750"/>
                            <a:gd name="connsiteY1" fmla="*/ 571500 h 6350000"/>
                            <a:gd name="connisteX2" fmla="*/ 624840 w 6635750"/>
                            <a:gd name="connsiteY2" fmla="*/ 455930 h 6350000"/>
                            <a:gd name="connisteX3" fmla="*/ 1344295 w 6635750"/>
                            <a:gd name="connsiteY3" fmla="*/ 233680 h 6350000"/>
                            <a:gd name="connisteX4" fmla="*/ 2190750 w 6635750"/>
                            <a:gd name="connsiteY4" fmla="*/ 0 h 6350000"/>
                            <a:gd name="connisteX5" fmla="*/ 2349500 w 6635750"/>
                            <a:gd name="connsiteY5" fmla="*/ 0 h 6350000"/>
                            <a:gd name="connisteX6" fmla="*/ 2963545 w 6635750"/>
                            <a:gd name="connsiteY6" fmla="*/ 170180 h 6350000"/>
                            <a:gd name="connisteX7" fmla="*/ 3270250 w 6635750"/>
                            <a:gd name="connsiteY7" fmla="*/ 275590 h 6350000"/>
                            <a:gd name="connisteX8" fmla="*/ 3418840 w 6635750"/>
                            <a:gd name="connsiteY8" fmla="*/ 519430 h 6350000"/>
                            <a:gd name="connisteX9" fmla="*/ 3492500 w 6635750"/>
                            <a:gd name="connsiteY9" fmla="*/ 720090 h 6350000"/>
                            <a:gd name="connisteX10" fmla="*/ 3471545 w 6635750"/>
                            <a:gd name="connsiteY10" fmla="*/ 1090930 h 6350000"/>
                            <a:gd name="connisteX11" fmla="*/ 3429000 w 6635750"/>
                            <a:gd name="connsiteY11" fmla="*/ 1725930 h 6350000"/>
                            <a:gd name="connisteX12" fmla="*/ 3524250 w 6635750"/>
                            <a:gd name="connsiteY12" fmla="*/ 2127250 h 6350000"/>
                            <a:gd name="connisteX13" fmla="*/ 3587750 w 6635750"/>
                            <a:gd name="connsiteY13" fmla="*/ 2233930 h 6350000"/>
                            <a:gd name="connisteX14" fmla="*/ 3757295 w 6635750"/>
                            <a:gd name="connsiteY14" fmla="*/ 2339340 h 6350000"/>
                            <a:gd name="connisteX15" fmla="*/ 4657090 w 6635750"/>
                            <a:gd name="connsiteY15" fmla="*/ 2794000 h 6350000"/>
                            <a:gd name="connisteX16" fmla="*/ 6127750 w 6635750"/>
                            <a:gd name="connsiteY16" fmla="*/ 3503930 h 6350000"/>
                            <a:gd name="connisteX17" fmla="*/ 6540500 w 6635750"/>
                            <a:gd name="connsiteY17" fmla="*/ 3726180 h 6350000"/>
                            <a:gd name="connisteX18" fmla="*/ 6604000 w 6635750"/>
                            <a:gd name="connsiteY18" fmla="*/ 3821430 h 6350000"/>
                            <a:gd name="connisteX19" fmla="*/ 6635750 w 6635750"/>
                            <a:gd name="connsiteY19" fmla="*/ 4127500 h 6350000"/>
                            <a:gd name="connisteX20" fmla="*/ 6614795 w 6635750"/>
                            <a:gd name="connsiteY20" fmla="*/ 4424680 h 6350000"/>
                            <a:gd name="connisteX21" fmla="*/ 6519545 w 6635750"/>
                            <a:gd name="connsiteY21" fmla="*/ 4540250 h 6350000"/>
                            <a:gd name="connisteX22" fmla="*/ 5133340 w 6635750"/>
                            <a:gd name="connsiteY22" fmla="*/ 5238750 h 6350000"/>
                            <a:gd name="connisteX23" fmla="*/ 3492500 w 6635750"/>
                            <a:gd name="connsiteY23" fmla="*/ 6064250 h 6350000"/>
                            <a:gd name="connisteX24" fmla="*/ 1958340 w 6635750"/>
                            <a:gd name="connsiteY24" fmla="*/ 6350000 h 6350000"/>
                            <a:gd name="connisteX25" fmla="*/ 1736090 w 6635750"/>
                            <a:gd name="connsiteY25" fmla="*/ 6350000 h 6350000"/>
                            <a:gd name="connisteX26" fmla="*/ 1566545 w 6635750"/>
                            <a:gd name="connsiteY26" fmla="*/ 6212840 h 6350000"/>
                            <a:gd name="connisteX27" fmla="*/ 1407795 w 6635750"/>
                            <a:gd name="connsiteY27" fmla="*/ 5937250 h 6350000"/>
                            <a:gd name="connisteX28" fmla="*/ 889000 w 6635750"/>
                            <a:gd name="connsiteY28" fmla="*/ 4011930 h 6350000"/>
                            <a:gd name="connisteX29" fmla="*/ 360045 w 6635750"/>
                            <a:gd name="connsiteY29" fmla="*/ 2170430 h 6350000"/>
                            <a:gd name="connisteX30" fmla="*/ 10795 w 6635750"/>
                            <a:gd name="connsiteY30" fmla="*/ 932180 h 6350000"/>
                            <a:gd name="connisteX31" fmla="*/ 31750 w 6635750"/>
                            <a:gd name="connsiteY31" fmla="*/ 920750 h 6350000"/>
                            <a:gd name="connisteX32" fmla="*/ 10795 w 6635750"/>
                            <a:gd name="connsiteY32" fmla="*/ 900430 h 63500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Lst>
                          <a:rect l="l" t="t" r="r" b="b"/>
                          <a:pathLst>
                            <a:path w="6635750" h="6350000">
                              <a:moveTo>
                                <a:pt x="0" y="963930"/>
                              </a:moveTo>
                              <a:lnTo>
                                <a:pt x="222250" y="571500"/>
                              </a:lnTo>
                              <a:lnTo>
                                <a:pt x="624840" y="455930"/>
                              </a:lnTo>
                              <a:lnTo>
                                <a:pt x="1344295" y="233680"/>
                              </a:lnTo>
                              <a:lnTo>
                                <a:pt x="2190750" y="0"/>
                              </a:lnTo>
                              <a:lnTo>
                                <a:pt x="2349500" y="0"/>
                              </a:lnTo>
                              <a:lnTo>
                                <a:pt x="2963545" y="170180"/>
                              </a:lnTo>
                              <a:lnTo>
                                <a:pt x="3270250" y="275590"/>
                              </a:lnTo>
                              <a:lnTo>
                                <a:pt x="3418840" y="519430"/>
                              </a:lnTo>
                              <a:lnTo>
                                <a:pt x="3492500" y="720090"/>
                              </a:lnTo>
                              <a:lnTo>
                                <a:pt x="3471545" y="1090930"/>
                              </a:lnTo>
                              <a:lnTo>
                                <a:pt x="3429000" y="1725930"/>
                              </a:lnTo>
                              <a:lnTo>
                                <a:pt x="3524250" y="2127250"/>
                              </a:lnTo>
                              <a:lnTo>
                                <a:pt x="3587750" y="2233930"/>
                              </a:lnTo>
                              <a:lnTo>
                                <a:pt x="3757295" y="2339340"/>
                              </a:lnTo>
                              <a:lnTo>
                                <a:pt x="4657090" y="2794000"/>
                              </a:lnTo>
                              <a:lnTo>
                                <a:pt x="6127750" y="3503930"/>
                              </a:lnTo>
                              <a:lnTo>
                                <a:pt x="6540500" y="3726180"/>
                              </a:lnTo>
                              <a:lnTo>
                                <a:pt x="6604000" y="3821430"/>
                              </a:lnTo>
                              <a:lnTo>
                                <a:pt x="6635750" y="4127500"/>
                              </a:lnTo>
                              <a:lnTo>
                                <a:pt x="6614795" y="4424680"/>
                              </a:lnTo>
                              <a:lnTo>
                                <a:pt x="6519545" y="4540250"/>
                              </a:lnTo>
                              <a:lnTo>
                                <a:pt x="5133340" y="5238750"/>
                              </a:lnTo>
                              <a:lnTo>
                                <a:pt x="3492500" y="6064250"/>
                              </a:lnTo>
                              <a:lnTo>
                                <a:pt x="1958340" y="6350000"/>
                              </a:lnTo>
                              <a:lnTo>
                                <a:pt x="1736090" y="6350000"/>
                              </a:lnTo>
                              <a:lnTo>
                                <a:pt x="1566545" y="6212840"/>
                              </a:lnTo>
                              <a:lnTo>
                                <a:pt x="1407795" y="5937250"/>
                              </a:lnTo>
                              <a:lnTo>
                                <a:pt x="889000" y="4011930"/>
                              </a:lnTo>
                              <a:lnTo>
                                <a:pt x="360045" y="2170430"/>
                              </a:lnTo>
                              <a:lnTo>
                                <a:pt x="10795" y="932180"/>
                              </a:lnTo>
                              <a:lnTo>
                                <a:pt x="31750" y="920750"/>
                              </a:lnTo>
                              <a:lnTo>
                                <a:pt x="10795" y="900430"/>
                              </a:lnTo>
                            </a:path>
                          </a:pathLst>
                        </a:custGeom>
                        <a:solidFill>
                          <a:srgbClr val="ED11DB">
                            <a:alpha val="6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46.2pt;margin-top:65.65pt;height:500pt;width:522.5pt;z-index:-1362607104;mso-width-relative:page;mso-height-relative:page;" fillcolor="#ED11DB" filled="t" stroked="f" coordsize="6635750,6350000" o:gfxdata="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" path="m0,963930l222250,571500,624840,455930,1344295,233680,2190750,0,2349500,0,2963545,170180,3270250,275590,3418840,519430,3492500,720090,3471545,1090930,3429000,1725930,3524250,2127250,3587750,2233930,3757295,2339340,4657090,2794000,6127750,3503930,6540500,3726180,6604000,3821430,6635750,4127500,6614795,4424680,6519545,4540250,5133340,5238750,3492500,6064250,1958340,6350000,1736090,6350000,1566545,6212840,1407795,5937250,889000,4011930,360045,2170430,10795,932180,31750,920750,10795,900430e">
                <v:path o:connectlocs="0,963930;222250,571500;624840,455930;1344295,233680;2190750,0;2349500,0;2963545,170180;3270250,275590;3418840,519430;3492500,720090;3471545,1090930;3429000,1725930;3524250,2127250;3587750,2233930;3757295,2339340;4657090,2794000;6127750,3503930;6540500,3726180;6604000,3821430;6635750,4127500;6614795,4424680;6519545,4540250;5133340,5238750;3492500,6064250;1958340,6350000;1736090,6350000;1566545,6212840;1407795,5937250;889000,4011930;360045,2170430;10795,932180;31750,920750;10795,900430" o:connectangles="0,0,0,0,0,0,0,0,0,0,0,0,0,0,0,0,0,0,0,0,0,0,0,0,0,0,0,0,0,0,0,0,0"/>
                <v:fill on="t" opacity="43253f" focussize="0,0"/>
                <v:stroke on="f" weight="2pt"/>
                <v:imagedata o:title=""/>
                <o:lock v:ext="edit" aspectratio="f"/>
              </v:shape>
            </w:pict>
          </mc:Fallback>
        </mc:AlternateContent>
      </w:r>
      <w:r>
        <w:rPr>
          <w:color w:val="auto"/>
          <w:sz w:val="24"/>
        </w:rPr>
        <mc:AlternateContent>
          <mc:Choice Requires="wps">
            <w:drawing>
              <wp:anchor distT="0" distB="0" distL="114300" distR="114300" simplePos="0" relativeHeight="2932362240" behindDoc="0" locked="0" layoutInCell="1" allowOverlap="1">
                <wp:simplePos x="0" y="0"/>
                <wp:positionH relativeFrom="column">
                  <wp:posOffset>4290060</wp:posOffset>
                </wp:positionH>
                <wp:positionV relativeFrom="paragraph">
                  <wp:posOffset>1160145</wp:posOffset>
                </wp:positionV>
                <wp:extent cx="386080" cy="252730"/>
                <wp:effectExtent l="37465" t="89535" r="52705" b="95885"/>
                <wp:wrapNone/>
                <wp:docPr id="220" name="矩形 220"/>
                <wp:cNvGraphicFramePr/>
                <a:graphic xmlns:a="http://schemas.openxmlformats.org/drawingml/2006/main">
                  <a:graphicData uri="http://schemas.microsoft.com/office/word/2010/wordprocessingShape">
                    <wps:wsp>
                      <wps:cNvSpPr/>
                      <wps:spPr>
                        <a:xfrm rot="19440000">
                          <a:off x="5445125" y="4999990"/>
                          <a:ext cx="386080" cy="252730"/>
                        </a:xfrm>
                        <a:prstGeom prst="rect">
                          <a:avLst/>
                        </a:prstGeom>
                        <a:solidFill>
                          <a:srgbClr val="ED11DB">
                            <a:alpha val="6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7.8pt;margin-top:91.35pt;height:19.9pt;width:30.4pt;rotation:-2359296f;z-index:-1362605056;v-text-anchor:middle;mso-width-relative:page;mso-height-relative:page;" fillcolor="#ED11DB" filled="t" stroked="f" coordsize="21600,21600" o:gfxdata="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FjUkS9sAAAALAQAADwAAAAAAAAABACAAAAAiAAAAZHJzL2Rvd25yZXYueG1s&#10;UEsBAhQAFAAAAAgAh07iQGhddx1nAgAApQQAAA4AAAAAAAAAAQAgAAAAKgEAAGRycy9lMm9Eb2Mu&#10;eG1sUEsFBgAAAAAGAAYAWQEAAAMGAAAAAA==&#10;">
                <v:fill on="t" opacity="43253f" focussize="0,0"/>
                <v:stroke on="f" weight="2pt"/>
                <v:imagedata o:title=""/>
                <o:lock v:ext="edit" aspectratio="f"/>
              </v:rect>
            </w:pict>
          </mc:Fallback>
        </mc:AlternateContent>
      </w:r>
      <w:r>
        <w:rPr>
          <w:color w:val="auto"/>
          <w:sz w:val="24"/>
        </w:rPr>
        <mc:AlternateContent>
          <mc:Choice Requires="wps">
            <w:drawing>
              <wp:anchor distT="0" distB="0" distL="114300" distR="114300" simplePos="0" relativeHeight="2932361216" behindDoc="0" locked="0" layoutInCell="1" allowOverlap="1">
                <wp:simplePos x="0" y="0"/>
                <wp:positionH relativeFrom="column">
                  <wp:posOffset>4914265</wp:posOffset>
                </wp:positionH>
                <wp:positionV relativeFrom="paragraph">
                  <wp:posOffset>4419600</wp:posOffset>
                </wp:positionV>
                <wp:extent cx="181610" cy="233045"/>
                <wp:effectExtent l="31750" t="26670" r="34290" b="45085"/>
                <wp:wrapNone/>
                <wp:docPr id="219" name="矩形 219"/>
                <wp:cNvGraphicFramePr/>
                <a:graphic xmlns:a="http://schemas.openxmlformats.org/drawingml/2006/main">
                  <a:graphicData uri="http://schemas.microsoft.com/office/word/2010/wordprocessingShape">
                    <wps:wsp>
                      <wps:cNvSpPr/>
                      <wps:spPr>
                        <a:xfrm rot="21000000">
                          <a:off x="5614035" y="5497195"/>
                          <a:ext cx="181610" cy="233045"/>
                        </a:xfrm>
                        <a:prstGeom prst="rect">
                          <a:avLst/>
                        </a:prstGeom>
                        <a:solidFill>
                          <a:srgbClr val="00B050">
                            <a:alpha val="79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6.95pt;margin-top:348pt;height:18.35pt;width:14.3pt;rotation:-655360f;z-index:-1362606080;v-text-anchor:middle;mso-width-relative:page;mso-height-relative:page;" fillcolor="#00B050" filled="t" stroked="t" coordsize="21600,21600" o:gfxdata="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l1ozJtgAAAALAQAADwAAAAAAAAABACAAAAAiAAAA&#10;ZHJzL2Rvd25yZXYueG1sUEsBAhQAFAAAAAgAh07iQPtkPhZ5AgAA7wQAAA4AAAAAAAAAAQAgAAAA&#10;JwEAAGRycy9lMm9Eb2MueG1sUEsFBgAAAAAGAAYAWQEAABIGAAAAAA==&#10;">
                <v:fill on="t" opacity="51773f" focussize="0,0"/>
                <v:stroke weight="2pt" color="#385D8A [3204]" joinstyle="round"/>
                <v:imagedata o:title=""/>
                <o:lock v:ext="edit" aspectratio="f"/>
              </v:rect>
            </w:pict>
          </mc:Fallback>
        </mc:AlternateContent>
      </w:r>
      <w:r>
        <w:rPr>
          <w:color w:val="auto"/>
        </w:rPr>
        <w:drawing>
          <wp:inline distT="0" distB="0" distL="114300" distR="114300">
            <wp:extent cx="9106535" cy="7480935"/>
            <wp:effectExtent l="0" t="0" r="18415" b="5715"/>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139"/>
                    <a:stretch>
                      <a:fillRect/>
                    </a:stretch>
                  </pic:blipFill>
                  <pic:spPr>
                    <a:xfrm>
                      <a:off x="0" y="0"/>
                      <a:ext cx="9106535" cy="7480935"/>
                    </a:xfrm>
                    <a:prstGeom prst="rect">
                      <a:avLst/>
                    </a:prstGeom>
                    <a:noFill/>
                    <a:ln w="9525">
                      <a:noFill/>
                      <a:miter/>
                    </a:ln>
                  </pic:spPr>
                </pic:pic>
              </a:graphicData>
            </a:graphic>
          </wp:inline>
        </w:drawing>
      </w:r>
    </w:p>
    <w:p>
      <w:pPr>
        <w:autoSpaceDE w:val="0"/>
        <w:autoSpaceDN w:val="0"/>
        <w:adjustRightInd w:val="0"/>
        <w:spacing w:line="360" w:lineRule="auto"/>
        <w:jc w:val="center"/>
        <w:rPr>
          <w:color w:val="auto"/>
        </w:rPr>
      </w:pPr>
    </w:p>
    <w:p>
      <w:pPr>
        <w:autoSpaceDE w:val="0"/>
        <w:autoSpaceDN w:val="0"/>
        <w:adjustRightInd w:val="0"/>
        <w:spacing w:line="360" w:lineRule="auto"/>
        <w:jc w:val="center"/>
        <w:rPr>
          <w:color w:val="auto"/>
        </w:rPr>
        <w:sectPr>
          <w:pgSz w:w="23814" w:h="16839" w:orient="landscape"/>
          <w:pgMar w:top="1701" w:right="1134" w:bottom="1134" w:left="1134" w:header="851" w:footer="992" w:gutter="0"/>
          <w:pgNumType w:fmt="decimal"/>
          <w:cols w:space="720" w:num="1"/>
          <w:docGrid w:linePitch="326" w:charSpace="0"/>
        </w:sectPr>
      </w:pPr>
      <w:r>
        <w:rPr>
          <w:b/>
          <w:color w:val="auto"/>
        </w:rPr>
        <w:t xml:space="preserve">图 </w:t>
      </w:r>
      <w:r>
        <w:rPr>
          <w:b/>
          <w:color w:val="auto"/>
        </w:rPr>
        <w:fldChar w:fldCharType="begin"/>
      </w:r>
      <w:r>
        <w:rPr>
          <w:b/>
          <w:color w:val="auto"/>
        </w:rPr>
        <w:instrText xml:space="preserve"> STYLEREF 2 \s </w:instrText>
      </w:r>
      <w:r>
        <w:rPr>
          <w:b/>
          <w:color w:val="auto"/>
        </w:rPr>
        <w:fldChar w:fldCharType="separate"/>
      </w:r>
      <w:r>
        <w:rPr>
          <w:b/>
          <w:color w:val="auto"/>
        </w:rPr>
        <w:t>6.2</w:t>
      </w:r>
      <w:r>
        <w:rPr>
          <w:b/>
          <w:color w:val="auto"/>
        </w:rPr>
        <w:fldChar w:fldCharType="end"/>
      </w:r>
      <w:r>
        <w:rPr>
          <w:b/>
          <w:color w:val="auto"/>
        </w:rPr>
        <w:noBreakHyphen/>
      </w:r>
      <w:r>
        <w:rPr>
          <w:rFonts w:hint="eastAsia"/>
          <w:b/>
          <w:color w:val="auto"/>
        </w:rPr>
        <w:t>1</w:t>
      </w:r>
      <w:r>
        <w:rPr>
          <w:rFonts w:hint="eastAsia"/>
          <w:b/>
          <w:color w:val="auto"/>
          <w:lang w:val="en-US" w:eastAsia="zh-CN"/>
        </w:rPr>
        <w:t>4</w:t>
      </w:r>
      <w:r>
        <w:rPr>
          <w:b/>
          <w:color w:val="auto"/>
        </w:rPr>
        <w:t xml:space="preserve"> </w:t>
      </w:r>
      <w:r>
        <w:rPr>
          <w:b/>
          <w:color w:val="auto"/>
          <w:kern w:val="0"/>
        </w:rPr>
        <w:t xml:space="preserve"> </w:t>
      </w:r>
      <w:r>
        <w:rPr>
          <w:rFonts w:hint="eastAsia"/>
          <w:b/>
          <w:color w:val="auto"/>
          <w:kern w:val="0"/>
          <w:lang w:eastAsia="zh-CN"/>
        </w:rPr>
        <w:t>建筑垃圾消纳场</w:t>
      </w:r>
      <w:r>
        <w:rPr>
          <w:b/>
          <w:color w:val="auto"/>
          <w:kern w:val="0"/>
        </w:rPr>
        <w:t>地下水污染防治分区示意</w:t>
      </w:r>
    </w:p>
    <w:p>
      <w:pPr>
        <w:autoSpaceDE w:val="0"/>
        <w:autoSpaceDN w:val="0"/>
        <w:adjustRightInd w:val="0"/>
        <w:spacing w:line="360" w:lineRule="auto"/>
        <w:ind w:firstLine="480" w:firstLineChars="200"/>
        <w:rPr>
          <w:bCs/>
          <w:color w:val="auto"/>
          <w:kern w:val="0"/>
        </w:rPr>
      </w:pPr>
      <w:r>
        <w:rPr>
          <w:rFonts w:hint="eastAsia"/>
          <w:bCs/>
          <w:color w:val="auto"/>
          <w:kern w:val="0"/>
        </w:rPr>
        <w:t>（4）</w:t>
      </w:r>
      <w:r>
        <w:rPr>
          <w:bCs/>
          <w:color w:val="auto"/>
          <w:kern w:val="0"/>
        </w:rPr>
        <w:t>地下水防治措施可行性分析</w:t>
      </w:r>
    </w:p>
    <w:p>
      <w:pPr>
        <w:autoSpaceDE w:val="0"/>
        <w:autoSpaceDN w:val="0"/>
        <w:adjustRightInd w:val="0"/>
        <w:spacing w:line="360" w:lineRule="auto"/>
        <w:ind w:firstLine="480" w:firstLineChars="200"/>
        <w:rPr>
          <w:bCs/>
          <w:color w:val="auto"/>
          <w:kern w:val="0"/>
        </w:rPr>
      </w:pPr>
      <w:r>
        <w:rPr>
          <w:color w:val="auto"/>
          <w:kern w:val="0"/>
        </w:rPr>
        <w:t>1）主动控制措施技术经济可行性分析</w:t>
      </w:r>
    </w:p>
    <w:p>
      <w:pPr>
        <w:autoSpaceDE w:val="0"/>
        <w:autoSpaceDN w:val="0"/>
        <w:adjustRightInd w:val="0"/>
        <w:spacing w:line="360" w:lineRule="auto"/>
        <w:ind w:firstLine="480" w:firstLineChars="200"/>
        <w:rPr>
          <w:color w:val="auto"/>
          <w:kern w:val="0"/>
        </w:rPr>
      </w:pPr>
      <w:r>
        <w:rPr>
          <w:color w:val="auto"/>
          <w:kern w:val="0"/>
        </w:rPr>
        <w:t>工程采取的防止地下水污染的主动控制措施从生产过程入手，在工艺、管道、设备、给排水和总图等方面尽可能的采取泄漏控制措施，从源头最大限度降低污染物质泄漏的可能性和泄漏量，</w:t>
      </w:r>
      <w:r>
        <w:rPr>
          <w:rFonts w:asciiTheme="minorEastAsia" w:hAnsiTheme="minorEastAsia" w:eastAsiaTheme="minorEastAsia"/>
          <w:color w:val="auto"/>
          <w:kern w:val="0"/>
        </w:rPr>
        <w:t>符合“清洁生产”的环</w:t>
      </w:r>
      <w:r>
        <w:rPr>
          <w:color w:val="auto"/>
          <w:kern w:val="0"/>
        </w:rPr>
        <w:t>境保护要求，由此增加的投资可带来较好的环境效益，是必要的，故其技术经济可行。</w:t>
      </w:r>
    </w:p>
    <w:p>
      <w:pPr>
        <w:autoSpaceDE w:val="0"/>
        <w:autoSpaceDN w:val="0"/>
        <w:adjustRightInd w:val="0"/>
        <w:spacing w:line="360" w:lineRule="auto"/>
        <w:ind w:firstLine="480" w:firstLineChars="200"/>
        <w:rPr>
          <w:color w:val="auto"/>
          <w:kern w:val="0"/>
        </w:rPr>
      </w:pPr>
      <w:r>
        <w:rPr>
          <w:color w:val="auto"/>
          <w:kern w:val="0"/>
        </w:rPr>
        <w:t>2）被动控制措施技术经济可行性分析</w:t>
      </w:r>
    </w:p>
    <w:p>
      <w:pPr>
        <w:autoSpaceDE w:val="0"/>
        <w:autoSpaceDN w:val="0"/>
        <w:adjustRightInd w:val="0"/>
        <w:spacing w:line="360" w:lineRule="auto"/>
        <w:ind w:firstLine="480" w:firstLineChars="200"/>
        <w:rPr>
          <w:color w:val="auto"/>
          <w:kern w:val="0"/>
        </w:rPr>
      </w:pPr>
      <w:r>
        <w:rPr>
          <w:rFonts w:hint="eastAsia"/>
          <w:color w:val="auto"/>
          <w:kern w:val="0"/>
        </w:rPr>
        <w:t>①</w:t>
      </w:r>
      <w:r>
        <w:rPr>
          <w:color w:val="auto"/>
          <w:kern w:val="0"/>
        </w:rPr>
        <w:t>污染分区技术经济可行性分析</w:t>
      </w:r>
    </w:p>
    <w:p>
      <w:pPr>
        <w:autoSpaceDE w:val="0"/>
        <w:autoSpaceDN w:val="0"/>
        <w:adjustRightInd w:val="0"/>
        <w:spacing w:line="360" w:lineRule="auto"/>
        <w:ind w:firstLine="480" w:firstLineChars="200"/>
        <w:rPr>
          <w:color w:val="auto"/>
          <w:kern w:val="0"/>
        </w:rPr>
      </w:pPr>
      <w:r>
        <w:rPr>
          <w:color w:val="auto"/>
          <w:kern w:val="0"/>
        </w:rPr>
        <w:t>通过工程分析提供的可能泄漏到地面的物质特性、种类和工程水文地质条件，按照《国家危险废物名录》、</w:t>
      </w:r>
      <w:r>
        <w:rPr>
          <w:rFonts w:hint="eastAsia"/>
          <w:color w:val="auto"/>
          <w:kern w:val="0"/>
        </w:rPr>
        <w:t>《危险废物鉴别标准 通则》（GB 5085.7-2019）</w:t>
      </w:r>
      <w:r>
        <w:rPr>
          <w:color w:val="auto"/>
          <w:kern w:val="0"/>
        </w:rPr>
        <w:t>的规定对全厂区域进行污染分区，根据不同的区域参照不同的环境保护标准要求，设计不同的防渗方案，即满足不同地质条件、不同工程内容的要求，具有针对性和可操作性，与采用同一方案铺砌防渗层相比可节省大量投资，因此，污染分区方案技术经济合理、可行。</w:t>
      </w:r>
    </w:p>
    <w:p>
      <w:pPr>
        <w:autoSpaceDE w:val="0"/>
        <w:autoSpaceDN w:val="0"/>
        <w:adjustRightInd w:val="0"/>
        <w:spacing w:line="360" w:lineRule="auto"/>
        <w:ind w:firstLine="480" w:firstLineChars="200"/>
        <w:rPr>
          <w:color w:val="auto"/>
          <w:kern w:val="0"/>
        </w:rPr>
      </w:pPr>
      <w:r>
        <w:rPr>
          <w:rFonts w:hint="eastAsia"/>
          <w:color w:val="auto"/>
          <w:kern w:val="0"/>
        </w:rPr>
        <w:t>②</w:t>
      </w:r>
      <w:r>
        <w:rPr>
          <w:color w:val="auto"/>
          <w:kern w:val="0"/>
        </w:rPr>
        <w:t>拟采取防渗材料的技术经济可行性分析</w:t>
      </w:r>
    </w:p>
    <w:p>
      <w:pPr>
        <w:autoSpaceDE w:val="0"/>
        <w:autoSpaceDN w:val="0"/>
        <w:adjustRightInd w:val="0"/>
        <w:spacing w:line="360" w:lineRule="auto"/>
        <w:ind w:firstLine="480" w:firstLineChars="200"/>
        <w:rPr>
          <w:color w:val="auto"/>
          <w:kern w:val="0"/>
        </w:rPr>
      </w:pPr>
      <w:r>
        <w:rPr>
          <w:color w:val="auto"/>
          <w:kern w:val="0"/>
        </w:rPr>
        <w:t>HDPE（高密度聚乙烯）土工膜已广泛应用在我国危险废物填埋场的防渗工程中，满足对人工防渗材料的要求，并采用人工衬层材料，在本项目中用于</w:t>
      </w:r>
      <w:r>
        <w:rPr>
          <w:rFonts w:hint="eastAsia"/>
          <w:color w:val="auto"/>
          <w:kern w:val="0"/>
        </w:rPr>
        <w:t>建筑垃圾消纳场</w:t>
      </w:r>
      <w:r>
        <w:rPr>
          <w:color w:val="auto"/>
          <w:kern w:val="0"/>
        </w:rPr>
        <w:t>等允许采用此材料施工的部位，作为双人工衬层的材料，其质量、性能满足相应标准和技术要求，其技术经济合理、可行。</w:t>
      </w:r>
    </w:p>
    <w:p>
      <w:pPr>
        <w:autoSpaceDE w:val="0"/>
        <w:autoSpaceDN w:val="0"/>
        <w:adjustRightInd w:val="0"/>
        <w:spacing w:line="360" w:lineRule="auto"/>
        <w:ind w:firstLine="600" w:firstLineChars="250"/>
        <w:rPr>
          <w:color w:val="auto"/>
        </w:rPr>
      </w:pPr>
      <w:r>
        <w:rPr>
          <w:color w:val="auto"/>
        </w:rPr>
        <w:fldChar w:fldCharType="begin"/>
      </w:r>
      <w:r>
        <w:rPr>
          <w:color w:val="auto"/>
        </w:rPr>
        <w:instrText xml:space="preserve"> </w:instrText>
      </w:r>
      <w:r>
        <w:rPr>
          <w:rFonts w:hint="eastAsia"/>
          <w:color w:val="auto"/>
        </w:rPr>
        <w:instrText xml:space="preserve">= 3 \* GB3</w:instrText>
      </w:r>
      <w:r>
        <w:rPr>
          <w:color w:val="auto"/>
        </w:rPr>
        <w:instrText xml:space="preserve"> </w:instrText>
      </w:r>
      <w:r>
        <w:rPr>
          <w:color w:val="auto"/>
        </w:rPr>
        <w:fldChar w:fldCharType="separate"/>
      </w:r>
      <w:r>
        <w:rPr>
          <w:rFonts w:hint="eastAsia"/>
          <w:color w:val="auto"/>
        </w:rPr>
        <w:t>③</w:t>
      </w:r>
      <w:r>
        <w:rPr>
          <w:color w:val="auto"/>
        </w:rPr>
        <w:fldChar w:fldCharType="end"/>
      </w:r>
      <w:r>
        <w:rPr>
          <w:color w:val="auto"/>
        </w:rPr>
        <w:t>拟采取防渗衬层铺设方案的经济可行性分析</w:t>
      </w:r>
    </w:p>
    <w:p>
      <w:pPr>
        <w:autoSpaceDE w:val="0"/>
        <w:autoSpaceDN w:val="0"/>
        <w:adjustRightInd w:val="0"/>
        <w:spacing w:line="360" w:lineRule="auto"/>
        <w:ind w:firstLine="480" w:firstLineChars="200"/>
        <w:rPr>
          <w:color w:val="auto"/>
          <w:kern w:val="0"/>
        </w:rPr>
      </w:pPr>
      <w:r>
        <w:rPr>
          <w:color w:val="auto"/>
          <w:kern w:val="0"/>
        </w:rPr>
        <w:t>对重点区域的防渗工程设计和施工可满足相应环境保护标准和工程要求，其投资能够得到较好的环境效益，是必要的，其技术经济合理、可行。</w:t>
      </w:r>
    </w:p>
    <w:p>
      <w:pPr>
        <w:pStyle w:val="4"/>
        <w:rPr>
          <w:b/>
          <w:color w:val="auto"/>
        </w:rPr>
      </w:pPr>
      <w:bookmarkStart w:id="812" w:name="_Toc7815"/>
      <w:bookmarkStart w:id="813" w:name="_Toc34234760"/>
      <w:r>
        <w:rPr>
          <w:rFonts w:hint="eastAsia"/>
          <w:b/>
          <w:color w:val="auto"/>
        </w:rPr>
        <w:t>土壤</w:t>
      </w:r>
      <w:r>
        <w:rPr>
          <w:b/>
          <w:color w:val="auto"/>
        </w:rPr>
        <w:t>染控制措施</w:t>
      </w:r>
      <w:bookmarkEnd w:id="812"/>
      <w:bookmarkEnd w:id="813"/>
    </w:p>
    <w:p>
      <w:pPr>
        <w:autoSpaceDE w:val="0"/>
        <w:autoSpaceDN w:val="0"/>
        <w:adjustRightInd w:val="0"/>
        <w:spacing w:line="360" w:lineRule="auto"/>
        <w:ind w:firstLine="480" w:firstLineChars="200"/>
        <w:rPr>
          <w:color w:val="auto"/>
          <w:kern w:val="0"/>
        </w:rPr>
      </w:pPr>
      <w:r>
        <w:rPr>
          <w:rFonts w:hint="eastAsia"/>
          <w:color w:val="auto"/>
          <w:kern w:val="0"/>
        </w:rPr>
        <w:t>1、源头控制措施</w:t>
      </w:r>
    </w:p>
    <w:p>
      <w:pPr>
        <w:spacing w:line="360" w:lineRule="auto"/>
        <w:ind w:firstLine="480"/>
        <w:rPr>
          <w:color w:val="auto"/>
        </w:rPr>
      </w:pPr>
      <w:r>
        <w:rPr>
          <w:rFonts w:hint="eastAsia"/>
          <w:color w:val="auto"/>
        </w:rPr>
        <w:t>本项目土壤影响类型主要为大气沉降影响及垂直入渗影响，源头控制措施分别针对这两方面展开。</w:t>
      </w:r>
    </w:p>
    <w:p>
      <w:pPr>
        <w:spacing w:line="360" w:lineRule="auto"/>
        <w:ind w:firstLine="480"/>
        <w:rPr>
          <w:color w:val="auto"/>
        </w:rPr>
      </w:pPr>
      <w:r>
        <w:rPr>
          <w:rFonts w:hint="eastAsia"/>
          <w:color w:val="auto"/>
        </w:rPr>
        <w:t>（</w:t>
      </w:r>
      <w:r>
        <w:rPr>
          <w:color w:val="auto"/>
        </w:rPr>
        <w:t>1）大气沉降影响源头控制措施</w:t>
      </w:r>
    </w:p>
    <w:p>
      <w:pPr>
        <w:spacing w:line="360" w:lineRule="auto"/>
        <w:ind w:firstLine="480"/>
        <w:jc w:val="both"/>
        <w:rPr>
          <w:color w:val="auto"/>
        </w:rPr>
      </w:pPr>
      <w:r>
        <w:rPr>
          <w:bCs/>
          <w:color w:val="auto"/>
          <w:kern w:val="0"/>
        </w:rPr>
        <w:t>本项目</w:t>
      </w:r>
      <w:r>
        <w:rPr>
          <w:rFonts w:hint="eastAsia"/>
          <w:bCs/>
          <w:color w:val="auto"/>
          <w:kern w:val="0"/>
        </w:rPr>
        <w:t>臭气</w:t>
      </w:r>
      <w:r>
        <w:rPr>
          <w:bCs/>
          <w:color w:val="auto"/>
          <w:kern w:val="0"/>
        </w:rPr>
        <w:t>排放的主要污染物包括</w:t>
      </w:r>
      <w:r>
        <w:rPr>
          <w:rFonts w:hint="eastAsia"/>
          <w:bCs/>
          <w:color w:val="auto"/>
          <w:kern w:val="0"/>
        </w:rPr>
        <w:t>氨气和硫化氢</w:t>
      </w:r>
      <w:r>
        <w:rPr>
          <w:bCs/>
          <w:color w:val="auto"/>
          <w:kern w:val="0"/>
        </w:rPr>
        <w:t>，</w:t>
      </w:r>
      <w:r>
        <w:rPr>
          <w:rFonts w:hint="eastAsia"/>
          <w:color w:val="auto"/>
        </w:rPr>
        <w:t>鉴于厂区各环节产生的污染物基本不涉及土壤污染重点污染物。因此废气排放基本不会对土壤产生明显的污染，不会改变土壤的环境质量，在采取达标排放措施后对环境影响可行。</w:t>
      </w:r>
    </w:p>
    <w:p>
      <w:pPr>
        <w:spacing w:line="360" w:lineRule="auto"/>
        <w:ind w:firstLine="480"/>
        <w:jc w:val="both"/>
        <w:rPr>
          <w:color w:val="auto"/>
        </w:rPr>
      </w:pPr>
      <w:r>
        <w:rPr>
          <w:rFonts w:hint="eastAsia"/>
          <w:color w:val="auto"/>
        </w:rPr>
        <w:t>（2</w:t>
      </w:r>
      <w:r>
        <w:rPr>
          <w:color w:val="auto"/>
        </w:rPr>
        <w:t>）垂直入渗影响源头控制措施</w:t>
      </w:r>
    </w:p>
    <w:p>
      <w:pPr>
        <w:spacing w:line="360" w:lineRule="auto"/>
        <w:ind w:firstLine="480"/>
        <w:jc w:val="both"/>
        <w:rPr>
          <w:color w:val="auto"/>
        </w:rPr>
      </w:pPr>
      <w:r>
        <w:rPr>
          <w:rFonts w:hint="eastAsia"/>
          <w:color w:val="auto"/>
        </w:rPr>
        <w:t>垂直入渗预防措施主要为分区防渗，本项目主要区域均进行硬化和防渗处理。项目生产区主要防渗区域和防渗标准按照地下水章节提出的防渗要求。</w:t>
      </w:r>
    </w:p>
    <w:p>
      <w:pPr>
        <w:spacing w:line="360" w:lineRule="auto"/>
        <w:ind w:firstLine="480"/>
        <w:jc w:val="both"/>
        <w:rPr>
          <w:color w:val="auto"/>
        </w:rPr>
      </w:pPr>
      <w:r>
        <w:rPr>
          <w:rFonts w:hint="eastAsia"/>
          <w:color w:val="auto"/>
        </w:rPr>
        <w:t>（3</w:t>
      </w:r>
      <w:r>
        <w:rPr>
          <w:color w:val="auto"/>
        </w:rPr>
        <w:t>）其他源头控制措施</w:t>
      </w:r>
    </w:p>
    <w:p>
      <w:pPr>
        <w:autoSpaceDE w:val="0"/>
        <w:autoSpaceDN w:val="0"/>
        <w:adjustRightInd w:val="0"/>
        <w:spacing w:line="360" w:lineRule="auto"/>
        <w:ind w:firstLine="480" w:firstLineChars="200"/>
        <w:jc w:val="both"/>
        <w:rPr>
          <w:color w:val="auto"/>
        </w:rPr>
      </w:pPr>
      <w:r>
        <w:rPr>
          <w:rFonts w:hint="eastAsia"/>
          <w:color w:val="auto"/>
        </w:rPr>
        <w:t>项目对产生的废水进行合理的治理和综合利用，以先进工艺、管道、设备、污水储存，尽可能从源头上减少污染物产生；严格按照国家相关规范要求，对工艺、管道、设备、污水储存及处理构筑物采取相应的措施，以防止和降低可能污染物的跑、冒、滴、漏，将废水泄漏的环境风险事故降低到最低程度；优化排水系统设计，工艺废水、地面冲洗废水等在厂区内收集后通过管线送对应污水处理厂处理；管线铺设尽量采用“可视化”原则，即管道尽可能地上铺设，做到污染物“早发现、早处理”，以减少由于埋地管道泄漏而可能造成的土壤污染。进行质量体系认证，实现“质量、安全、环境”三位一体的全面质量管理目标。</w:t>
      </w:r>
    </w:p>
    <w:p>
      <w:pPr>
        <w:autoSpaceDE w:val="0"/>
        <w:autoSpaceDN w:val="0"/>
        <w:adjustRightInd w:val="0"/>
        <w:spacing w:line="360" w:lineRule="auto"/>
        <w:ind w:firstLine="480" w:firstLineChars="200"/>
        <w:jc w:val="both"/>
        <w:rPr>
          <w:color w:val="auto"/>
        </w:rPr>
      </w:pPr>
      <w:r>
        <w:rPr>
          <w:rFonts w:hint="eastAsia"/>
          <w:color w:val="auto"/>
        </w:rPr>
        <w:t>2、过程防控措施</w:t>
      </w:r>
    </w:p>
    <w:p>
      <w:pPr>
        <w:autoSpaceDE w:val="0"/>
        <w:autoSpaceDN w:val="0"/>
        <w:adjustRightInd w:val="0"/>
        <w:spacing w:line="360" w:lineRule="auto"/>
        <w:ind w:firstLine="480" w:firstLineChars="200"/>
        <w:jc w:val="both"/>
        <w:rPr>
          <w:color w:val="auto"/>
          <w:kern w:val="0"/>
        </w:rPr>
      </w:pPr>
      <w:r>
        <w:rPr>
          <w:rFonts w:hint="eastAsia"/>
          <w:color w:val="auto"/>
          <w:kern w:val="0"/>
        </w:rPr>
        <w:t>本项目为土壤污染型项目，根据《环境影响评价技术导则 土壤环境（试行）》（HJ964-2018）过程控制措施，结合本项目污染特征，本项目拟采取如下过程控制措施：</w:t>
      </w:r>
    </w:p>
    <w:p>
      <w:pPr>
        <w:autoSpaceDE w:val="0"/>
        <w:autoSpaceDN w:val="0"/>
        <w:adjustRightInd w:val="0"/>
        <w:spacing w:line="360" w:lineRule="auto"/>
        <w:ind w:firstLine="480" w:firstLineChars="200"/>
        <w:jc w:val="both"/>
        <w:rPr>
          <w:color w:val="auto"/>
          <w:kern w:val="0"/>
        </w:rPr>
      </w:pPr>
      <w:r>
        <w:rPr>
          <w:rFonts w:hint="eastAsia"/>
          <w:color w:val="auto"/>
          <w:kern w:val="0"/>
        </w:rPr>
        <w:t>（1）占地范围内,采取绿化措施，以种植具有较强吸附能力的植物为主，根据本项目所处区域自然地理特征，该地区可种植易于在该地区生长且富集能力较强、生物量较大的植物种植；</w:t>
      </w:r>
    </w:p>
    <w:p>
      <w:pPr>
        <w:autoSpaceDE w:val="0"/>
        <w:autoSpaceDN w:val="0"/>
        <w:adjustRightInd w:val="0"/>
        <w:spacing w:line="360" w:lineRule="auto"/>
        <w:ind w:firstLine="480" w:firstLineChars="200"/>
        <w:jc w:val="both"/>
        <w:rPr>
          <w:color w:val="auto"/>
          <w:kern w:val="0"/>
        </w:rPr>
      </w:pPr>
      <w:r>
        <w:rPr>
          <w:rFonts w:hint="eastAsia"/>
          <w:color w:val="auto"/>
          <w:kern w:val="0"/>
        </w:rPr>
        <w:t>（2）涉及入渗途径影响的，应根据相关标准规范要求，对设备设施采取相应的防渗措施，以防止土壤环境污染。</w:t>
      </w:r>
    </w:p>
    <w:p>
      <w:pPr>
        <w:autoSpaceDE w:val="0"/>
        <w:autoSpaceDN w:val="0"/>
        <w:adjustRightInd w:val="0"/>
        <w:spacing w:line="360" w:lineRule="auto"/>
        <w:ind w:firstLine="480" w:firstLineChars="200"/>
        <w:jc w:val="both"/>
        <w:rPr>
          <w:color w:val="auto"/>
          <w:kern w:val="0"/>
        </w:rPr>
      </w:pPr>
      <w:r>
        <w:rPr>
          <w:color w:val="auto"/>
          <w:kern w:val="0"/>
        </w:rPr>
        <w:t>3</w:t>
      </w:r>
      <w:r>
        <w:rPr>
          <w:rFonts w:hint="eastAsia"/>
          <w:color w:val="auto"/>
          <w:kern w:val="0"/>
        </w:rPr>
        <w:t>、跟踪</w:t>
      </w:r>
      <w:r>
        <w:rPr>
          <w:color w:val="auto"/>
          <w:kern w:val="0"/>
        </w:rPr>
        <w:t>监测</w:t>
      </w:r>
    </w:p>
    <w:p>
      <w:pPr>
        <w:autoSpaceDE w:val="0"/>
        <w:autoSpaceDN w:val="0"/>
        <w:adjustRightInd w:val="0"/>
        <w:spacing w:line="360" w:lineRule="auto"/>
        <w:ind w:firstLine="480" w:firstLineChars="200"/>
        <w:jc w:val="both"/>
        <w:rPr>
          <w:color w:val="auto"/>
          <w:kern w:val="0"/>
        </w:rPr>
      </w:pPr>
      <w:r>
        <w:rPr>
          <w:rFonts w:hint="eastAsia"/>
          <w:color w:val="auto"/>
          <w:kern w:val="0"/>
        </w:rPr>
        <w:t>为及时了解项目区域及周边土壤环境质量状况和土壤中污染物的动态变化，根据《环境影响评价技术导则土壤环境（试行）》（HJ964-2018）、《排污单位自行监测技术指南总则》（HJ819-2017）的相关要求，拟建项目拟制定土壤环境跟踪监测措施，包括制定跟踪监测计划，科学、合理地设置土壤监测点位，建立完善的跟踪监测制度，配备必要的取样设备，以便及时发现并有效控制。详见8.5-4节环境质量监测计划。</w:t>
      </w:r>
    </w:p>
    <w:p>
      <w:pPr>
        <w:autoSpaceDE w:val="0"/>
        <w:autoSpaceDN w:val="0"/>
        <w:adjustRightInd w:val="0"/>
        <w:spacing w:line="360" w:lineRule="auto"/>
        <w:ind w:firstLine="480" w:firstLineChars="200"/>
        <w:jc w:val="both"/>
        <w:rPr>
          <w:color w:val="auto"/>
          <w:kern w:val="0"/>
        </w:rPr>
      </w:pPr>
      <w:r>
        <w:rPr>
          <w:rFonts w:hint="eastAsia"/>
          <w:color w:val="auto"/>
          <w:kern w:val="0"/>
        </w:rPr>
        <w:t>上述监测结果应按照相关规定及时建立数据档案，并定期向社会公开监测信息。如发现异常或发生事故，需加密监测频次，确定影响源位置，分析影响结果，并及时采取应急措施。</w:t>
      </w:r>
    </w:p>
    <w:p>
      <w:pPr>
        <w:pStyle w:val="4"/>
        <w:rPr>
          <w:b/>
          <w:color w:val="auto"/>
        </w:rPr>
      </w:pPr>
      <w:bookmarkStart w:id="814" w:name="_Toc34234761"/>
      <w:bookmarkStart w:id="815" w:name="_Toc1654"/>
      <w:bookmarkStart w:id="816" w:name="_Toc24136845"/>
      <w:bookmarkStart w:id="817" w:name="_Toc480964467"/>
      <w:bookmarkStart w:id="818" w:name="_Toc212525055"/>
      <w:bookmarkStart w:id="819" w:name="_Toc476489805"/>
      <w:bookmarkStart w:id="820" w:name="_Toc476056072"/>
      <w:bookmarkStart w:id="821" w:name="_Toc483263414"/>
      <w:bookmarkStart w:id="822" w:name="_Toc476490639"/>
      <w:bookmarkStart w:id="823" w:name="_Toc478481657"/>
      <w:r>
        <w:rPr>
          <w:b/>
          <w:color w:val="auto"/>
        </w:rPr>
        <w:t>环境风险管理</w:t>
      </w:r>
      <w:bookmarkEnd w:id="814"/>
      <w:bookmarkEnd w:id="815"/>
      <w:bookmarkEnd w:id="816"/>
    </w:p>
    <w:p>
      <w:pPr>
        <w:autoSpaceDE w:val="0"/>
        <w:autoSpaceDN w:val="0"/>
        <w:adjustRightInd w:val="0"/>
        <w:spacing w:line="360" w:lineRule="auto"/>
        <w:rPr>
          <w:b/>
          <w:color w:val="auto"/>
        </w:rPr>
      </w:pPr>
      <w:r>
        <w:rPr>
          <w:b/>
          <w:color w:val="auto"/>
        </w:rPr>
        <w:t>6.2.</w:t>
      </w:r>
      <w:r>
        <w:rPr>
          <w:rFonts w:hint="eastAsia"/>
          <w:b/>
          <w:color w:val="auto"/>
          <w:lang w:val="en-US" w:eastAsia="zh-CN"/>
        </w:rPr>
        <w:t>7.</w:t>
      </w:r>
      <w:r>
        <w:rPr>
          <w:b/>
          <w:color w:val="auto"/>
        </w:rPr>
        <w:t>1环境风险管理目标</w:t>
      </w:r>
    </w:p>
    <w:p>
      <w:pPr>
        <w:autoSpaceDE w:val="0"/>
        <w:autoSpaceDN w:val="0"/>
        <w:adjustRightInd w:val="0"/>
        <w:spacing w:line="360" w:lineRule="auto"/>
        <w:rPr>
          <w:color w:val="auto"/>
        </w:rPr>
      </w:pPr>
      <w:r>
        <w:rPr>
          <w:color w:val="auto"/>
        </w:rPr>
        <w:t xml:space="preserve">   环境风险管理目标是采用最低合理可行原则（ALARP）管控环境风险。采取的环境风险防范措施应与社会经济技术发展水平相适应，运用科学的技术手段和管理方法，对环境风险进行有效的预防、监控、响应。</w:t>
      </w:r>
    </w:p>
    <w:p>
      <w:pPr>
        <w:autoSpaceDE w:val="0"/>
        <w:autoSpaceDN w:val="0"/>
        <w:adjustRightInd w:val="0"/>
        <w:spacing w:line="360" w:lineRule="auto"/>
        <w:rPr>
          <w:b/>
          <w:color w:val="auto"/>
          <w:kern w:val="0"/>
        </w:rPr>
      </w:pPr>
      <w:r>
        <w:rPr>
          <w:b/>
          <w:color w:val="auto"/>
          <w:kern w:val="0"/>
        </w:rPr>
        <w:t>6.2.</w:t>
      </w:r>
      <w:r>
        <w:rPr>
          <w:rFonts w:hint="eastAsia"/>
          <w:b/>
          <w:color w:val="auto"/>
          <w:kern w:val="0"/>
          <w:lang w:val="en-US" w:eastAsia="zh-CN"/>
        </w:rPr>
        <w:t>7</w:t>
      </w:r>
      <w:r>
        <w:rPr>
          <w:b/>
          <w:color w:val="auto"/>
          <w:kern w:val="0"/>
        </w:rPr>
        <w:t>.2环境风险防范措施</w:t>
      </w:r>
    </w:p>
    <w:p>
      <w:pPr>
        <w:autoSpaceDE w:val="0"/>
        <w:autoSpaceDN w:val="0"/>
        <w:adjustRightInd w:val="0"/>
        <w:spacing w:line="360" w:lineRule="auto"/>
        <w:ind w:firstLine="480" w:firstLineChars="200"/>
        <w:rPr>
          <w:bCs/>
          <w:color w:val="auto"/>
          <w:kern w:val="0"/>
        </w:rPr>
      </w:pPr>
      <w:r>
        <w:rPr>
          <w:bCs/>
          <w:color w:val="auto"/>
          <w:kern w:val="0"/>
        </w:rPr>
        <w:t>1、</w:t>
      </w:r>
      <w:r>
        <w:rPr>
          <w:rFonts w:hint="eastAsia"/>
          <w:bCs/>
          <w:color w:val="auto"/>
          <w:kern w:val="0"/>
        </w:rPr>
        <w:t>化学品储存区设置警示标志，并配备灭火器、消防沙等消防器材。储存区设置泄露收集措施，用以防止储存库区在特殊风险事故情况下的事故废水流出库区范围，导致废水中的腐蚀性渗出液污染周边的土壤或水体，所有事故废水统一收集后引至事故应急池。</w:t>
      </w:r>
    </w:p>
    <w:p>
      <w:pPr>
        <w:autoSpaceDE w:val="0"/>
        <w:autoSpaceDN w:val="0"/>
        <w:adjustRightInd w:val="0"/>
        <w:spacing w:line="360" w:lineRule="auto"/>
        <w:ind w:firstLine="480" w:firstLineChars="200"/>
        <w:rPr>
          <w:bCs/>
          <w:color w:val="auto"/>
          <w:kern w:val="0"/>
        </w:rPr>
      </w:pPr>
      <w:r>
        <w:rPr>
          <w:rFonts w:hint="eastAsia"/>
          <w:bCs/>
          <w:color w:val="auto"/>
          <w:kern w:val="0"/>
        </w:rPr>
        <w:t>（1）事故废水容积</w:t>
      </w:r>
    </w:p>
    <w:p>
      <w:pPr>
        <w:autoSpaceDE w:val="0"/>
        <w:autoSpaceDN w:val="0"/>
        <w:adjustRightInd w:val="0"/>
        <w:spacing w:line="360" w:lineRule="auto"/>
        <w:ind w:firstLine="480" w:firstLineChars="200"/>
        <w:rPr>
          <w:bCs/>
          <w:color w:val="auto"/>
          <w:kern w:val="0"/>
        </w:rPr>
      </w:pPr>
      <w:r>
        <w:rPr>
          <w:color w:val="auto"/>
          <w:kern w:val="0"/>
        </w:rPr>
        <w:t>参照《中国石油天然气集团公司企业标准事故状态下水体污染的预防与控制技术要求》（Q/SY1190-2009）和《石油化工企业设计防火规范》（GB50160-2008）要求，针对项目污染物来源及其特性，以实现达标排放和满足应急处置为原则，建立污染源头，处理过程和最终排放</w:t>
      </w:r>
      <w:r>
        <w:rPr>
          <w:rFonts w:asciiTheme="minorEastAsia" w:hAnsiTheme="minorEastAsia" w:eastAsiaTheme="minorEastAsia"/>
          <w:color w:val="auto"/>
          <w:kern w:val="0"/>
        </w:rPr>
        <w:t>的“三级防控”机制</w:t>
      </w:r>
      <w:r>
        <w:rPr>
          <w:color w:val="auto"/>
          <w:kern w:val="0"/>
        </w:rPr>
        <w:t>，具体包括：</w:t>
      </w:r>
    </w:p>
    <w:p>
      <w:pPr>
        <w:autoSpaceDE w:val="0"/>
        <w:autoSpaceDN w:val="0"/>
        <w:adjustRightInd w:val="0"/>
        <w:spacing w:line="360" w:lineRule="auto"/>
        <w:ind w:left="480"/>
        <w:rPr>
          <w:color w:val="auto"/>
          <w:kern w:val="0"/>
        </w:rPr>
      </w:pPr>
      <w:r>
        <w:rPr>
          <w:rFonts w:hint="eastAsia"/>
          <w:color w:val="auto"/>
          <w:kern w:val="0"/>
        </w:rPr>
        <w:t>1）</w:t>
      </w:r>
      <w:r>
        <w:rPr>
          <w:color w:val="auto"/>
          <w:kern w:val="0"/>
        </w:rPr>
        <w:t>一级防控措施</w:t>
      </w:r>
    </w:p>
    <w:p>
      <w:pPr>
        <w:autoSpaceDE w:val="0"/>
        <w:autoSpaceDN w:val="0"/>
        <w:adjustRightInd w:val="0"/>
        <w:spacing w:line="360" w:lineRule="auto"/>
        <w:ind w:left="480" w:firstLine="120" w:firstLineChars="50"/>
        <w:rPr>
          <w:color w:val="auto"/>
          <w:kern w:val="0"/>
        </w:rPr>
      </w:pPr>
      <w:r>
        <w:rPr>
          <w:color w:val="auto"/>
          <w:kern w:val="0"/>
        </w:rPr>
        <w:t>一级防控措施即是将污染物控制在单元内，如装置区、罐区；</w:t>
      </w:r>
    </w:p>
    <w:p>
      <w:pPr>
        <w:numPr>
          <w:ilvl w:val="0"/>
          <w:numId w:val="14"/>
        </w:numPr>
        <w:autoSpaceDE w:val="0"/>
        <w:autoSpaceDN w:val="0"/>
        <w:adjustRightInd w:val="0"/>
        <w:spacing w:line="360" w:lineRule="auto"/>
        <w:rPr>
          <w:color w:val="auto"/>
          <w:kern w:val="0"/>
        </w:rPr>
      </w:pPr>
      <w:r>
        <w:rPr>
          <w:color w:val="auto"/>
          <w:kern w:val="0"/>
        </w:rPr>
        <w:t>各贮</w:t>
      </w:r>
      <w:r>
        <w:rPr>
          <w:rFonts w:hint="eastAsia"/>
          <w:color w:val="auto"/>
          <w:kern w:val="0"/>
        </w:rPr>
        <w:t>桶</w:t>
      </w:r>
      <w:r>
        <w:rPr>
          <w:color w:val="auto"/>
          <w:kern w:val="0"/>
        </w:rPr>
        <w:t>区增设环形沟及围堰，并设置清污切换系统。</w:t>
      </w:r>
    </w:p>
    <w:p>
      <w:pPr>
        <w:numPr>
          <w:ilvl w:val="0"/>
          <w:numId w:val="14"/>
        </w:numPr>
        <w:autoSpaceDE w:val="0"/>
        <w:autoSpaceDN w:val="0"/>
        <w:adjustRightInd w:val="0"/>
        <w:spacing w:line="360" w:lineRule="auto"/>
        <w:rPr>
          <w:color w:val="auto"/>
          <w:kern w:val="0"/>
        </w:rPr>
      </w:pPr>
      <w:r>
        <w:rPr>
          <w:color w:val="auto"/>
          <w:kern w:val="0"/>
        </w:rPr>
        <w:t>对</w:t>
      </w:r>
      <w:r>
        <w:rPr>
          <w:rFonts w:hint="eastAsia"/>
          <w:color w:val="auto"/>
          <w:kern w:val="0"/>
        </w:rPr>
        <w:t>桶</w:t>
      </w:r>
      <w:r>
        <w:rPr>
          <w:color w:val="auto"/>
          <w:kern w:val="0"/>
        </w:rPr>
        <w:t>区围堰和场地做防渗处理，并将</w:t>
      </w:r>
      <w:r>
        <w:rPr>
          <w:rFonts w:hint="eastAsia"/>
          <w:color w:val="auto"/>
          <w:kern w:val="0"/>
        </w:rPr>
        <w:t>桶</w:t>
      </w:r>
      <w:r>
        <w:rPr>
          <w:color w:val="auto"/>
          <w:kern w:val="0"/>
        </w:rPr>
        <w:t>区地面铺设为防水和不发火地面。</w:t>
      </w:r>
    </w:p>
    <w:p>
      <w:pPr>
        <w:numPr>
          <w:ilvl w:val="0"/>
          <w:numId w:val="14"/>
        </w:numPr>
        <w:autoSpaceDE w:val="0"/>
        <w:autoSpaceDN w:val="0"/>
        <w:adjustRightInd w:val="0"/>
        <w:spacing w:line="360" w:lineRule="auto"/>
        <w:rPr>
          <w:color w:val="auto"/>
          <w:kern w:val="0"/>
        </w:rPr>
      </w:pPr>
      <w:r>
        <w:rPr>
          <w:rFonts w:hint="eastAsia"/>
          <w:color w:val="auto"/>
          <w:kern w:val="0"/>
        </w:rPr>
        <w:t>桶</w:t>
      </w:r>
      <w:r>
        <w:rPr>
          <w:color w:val="auto"/>
          <w:kern w:val="0"/>
        </w:rPr>
        <w:t>组应设防火堤，防火堤内有效容积不应小于罐组内1个最大储罐的容积。</w:t>
      </w:r>
    </w:p>
    <w:p>
      <w:pPr>
        <w:autoSpaceDE w:val="0"/>
        <w:autoSpaceDN w:val="0"/>
        <w:adjustRightInd w:val="0"/>
        <w:spacing w:line="360" w:lineRule="auto"/>
        <w:ind w:left="480"/>
        <w:rPr>
          <w:color w:val="auto"/>
          <w:kern w:val="0"/>
        </w:rPr>
      </w:pPr>
      <w:r>
        <w:rPr>
          <w:rFonts w:hint="eastAsia"/>
          <w:color w:val="auto"/>
          <w:kern w:val="0"/>
        </w:rPr>
        <w:t>2）</w:t>
      </w:r>
      <w:r>
        <w:rPr>
          <w:color w:val="auto"/>
          <w:kern w:val="0"/>
        </w:rPr>
        <w:t>二级防控</w:t>
      </w:r>
    </w:p>
    <w:p>
      <w:pPr>
        <w:autoSpaceDE w:val="0"/>
        <w:autoSpaceDN w:val="0"/>
        <w:adjustRightInd w:val="0"/>
        <w:spacing w:line="360" w:lineRule="auto"/>
        <w:ind w:firstLine="480" w:firstLineChars="200"/>
        <w:rPr>
          <w:color w:val="auto"/>
          <w:kern w:val="0"/>
        </w:rPr>
      </w:pPr>
      <w:r>
        <w:rPr>
          <w:color w:val="auto"/>
          <w:kern w:val="0"/>
        </w:rPr>
        <w:t>事故池的设计主要依据《化工建设项目环境保护设计规范》（GB50483-2009），参考中国石化建标</w:t>
      </w:r>
      <w:r>
        <w:rPr>
          <w:rFonts w:hint="eastAsia"/>
          <w:color w:val="auto"/>
          <w:kern w:val="0"/>
        </w:rPr>
        <w:t>【2</w:t>
      </w:r>
      <w:r>
        <w:rPr>
          <w:color w:val="auto"/>
          <w:kern w:val="0"/>
        </w:rPr>
        <w:t>006</w:t>
      </w:r>
      <w:r>
        <w:rPr>
          <w:rFonts w:hint="eastAsia"/>
          <w:color w:val="auto"/>
          <w:kern w:val="0"/>
        </w:rPr>
        <w:t>】</w:t>
      </w:r>
      <w:r>
        <w:rPr>
          <w:color w:val="auto"/>
          <w:kern w:val="0"/>
        </w:rPr>
        <w:t>43号《关于印发</w:t>
      </w:r>
      <w:r>
        <w:rPr>
          <w:rFonts w:asciiTheme="minorEastAsia" w:hAnsiTheme="minorEastAsia" w:eastAsiaTheme="minorEastAsia"/>
          <w:color w:val="auto"/>
          <w:kern w:val="0"/>
        </w:rPr>
        <w:t>“水体污染防控紧急措施设计导则”</w:t>
      </w:r>
      <w:r>
        <w:rPr>
          <w:color w:val="auto"/>
          <w:kern w:val="0"/>
        </w:rPr>
        <w:t>的通知》中相关要求，具体事故储存设施总有效容积计算公式如下：</w:t>
      </w:r>
    </w:p>
    <w:p>
      <w:pPr>
        <w:jc w:val="center"/>
        <w:rPr>
          <w:color w:val="auto"/>
        </w:rPr>
      </w:pPr>
      <w:r>
        <w:rPr>
          <w:color w:val="auto"/>
          <w:kern w:val="0"/>
        </w:rPr>
        <w:t xml:space="preserve">  </w:t>
      </w:r>
      <w:r>
        <w:rPr>
          <w:color w:val="auto"/>
        </w:rPr>
        <w:t>V</w:t>
      </w:r>
      <w:r>
        <w:rPr>
          <w:color w:val="auto"/>
          <w:vertAlign w:val="subscript"/>
        </w:rPr>
        <w:t>总</w:t>
      </w:r>
      <w:r>
        <w:rPr>
          <w:color w:val="auto"/>
        </w:rPr>
        <w:t>＝（V</w:t>
      </w:r>
      <w:r>
        <w:rPr>
          <w:color w:val="auto"/>
          <w:vertAlign w:val="subscript"/>
        </w:rPr>
        <w:t>1</w:t>
      </w:r>
      <w:r>
        <w:rPr>
          <w:color w:val="auto"/>
        </w:rPr>
        <w:t>＋V</w:t>
      </w:r>
      <w:r>
        <w:rPr>
          <w:color w:val="auto"/>
          <w:vertAlign w:val="subscript"/>
        </w:rPr>
        <w:t>2</w:t>
      </w:r>
      <w:r>
        <w:rPr>
          <w:color w:val="auto"/>
        </w:rPr>
        <w:t>－V</w:t>
      </w:r>
      <w:r>
        <w:rPr>
          <w:color w:val="auto"/>
          <w:vertAlign w:val="subscript"/>
        </w:rPr>
        <w:t>3</w:t>
      </w:r>
      <w:r>
        <w:rPr>
          <w:color w:val="auto"/>
        </w:rPr>
        <w:t>）</w:t>
      </w:r>
      <w:r>
        <w:rPr>
          <w:color w:val="auto"/>
          <w:vertAlign w:val="subscript"/>
        </w:rPr>
        <w:t>max</w:t>
      </w:r>
      <w:r>
        <w:rPr>
          <w:color w:val="auto"/>
        </w:rPr>
        <w:t>＋V</w:t>
      </w:r>
      <w:r>
        <w:rPr>
          <w:color w:val="auto"/>
          <w:vertAlign w:val="subscript"/>
        </w:rPr>
        <w:t>4</w:t>
      </w:r>
      <w:r>
        <w:rPr>
          <w:color w:val="auto"/>
        </w:rPr>
        <w:t>＋V</w:t>
      </w:r>
      <w:r>
        <w:rPr>
          <w:color w:val="auto"/>
          <w:vertAlign w:val="subscript"/>
        </w:rPr>
        <w:t xml:space="preserve">5       </w:t>
      </w:r>
      <w:r>
        <w:rPr>
          <w:color w:val="auto"/>
        </w:rPr>
        <w:t>（1）</w:t>
      </w:r>
    </w:p>
    <w:p>
      <w:pPr>
        <w:spacing w:line="360" w:lineRule="auto"/>
        <w:ind w:firstLine="480"/>
        <w:jc w:val="both"/>
        <w:rPr>
          <w:color w:val="auto"/>
        </w:rPr>
      </w:pPr>
      <w:r>
        <w:rPr>
          <w:color w:val="auto"/>
        </w:rPr>
        <w:t>式中：</w:t>
      </w:r>
      <w:r>
        <w:rPr>
          <w:color w:val="auto"/>
          <w:kern w:val="0"/>
          <w:sz w:val="22"/>
        </w:rPr>
        <w:t>V</w:t>
      </w:r>
      <w:r>
        <w:rPr>
          <w:color w:val="auto"/>
          <w:kern w:val="0"/>
          <w:sz w:val="22"/>
          <w:vertAlign w:val="subscript"/>
        </w:rPr>
        <w:t>1</w:t>
      </w:r>
      <w:r>
        <w:rPr>
          <w:color w:val="auto"/>
          <w:kern w:val="0"/>
        </w:rPr>
        <w:t>：收集系统范围内发生事故的一个罐组或一套装置的物料量（储存相同物料的灌组按一个最大贮罐计，装置物料量按存留最大物料量的一台反应器或中间贮罐计）。根据可研设计，本项目</w:t>
      </w:r>
      <w:r>
        <w:rPr>
          <w:rFonts w:hint="eastAsia"/>
          <w:color w:val="auto"/>
          <w:kern w:val="0"/>
        </w:rPr>
        <w:t>硫酸</w:t>
      </w:r>
      <w:r>
        <w:rPr>
          <w:color w:val="auto"/>
          <w:kern w:val="0"/>
        </w:rPr>
        <w:t>最大存储量为</w:t>
      </w:r>
      <w:r>
        <w:rPr>
          <w:rFonts w:hint="eastAsia"/>
          <w:color w:val="auto"/>
          <w:kern w:val="0"/>
        </w:rPr>
        <w:t>0.56</w:t>
      </w:r>
      <w:r>
        <w:rPr>
          <w:color w:val="auto"/>
          <w:kern w:val="0"/>
        </w:rPr>
        <w:t>m</w:t>
      </w:r>
      <w:r>
        <w:rPr>
          <w:color w:val="auto"/>
          <w:kern w:val="0"/>
          <w:vertAlign w:val="superscript"/>
        </w:rPr>
        <w:t>3</w:t>
      </w:r>
      <w:r>
        <w:rPr>
          <w:color w:val="auto"/>
          <w:kern w:val="0"/>
        </w:rPr>
        <w:t>，按其存留的物料量为0 m</w:t>
      </w:r>
      <w:r>
        <w:rPr>
          <w:color w:val="auto"/>
          <w:kern w:val="0"/>
          <w:vertAlign w:val="superscript"/>
        </w:rPr>
        <w:t>3</w:t>
      </w:r>
      <w:r>
        <w:rPr>
          <w:color w:val="auto"/>
          <w:kern w:val="0"/>
        </w:rPr>
        <w:t>，即发生事故时</w:t>
      </w:r>
      <w:r>
        <w:rPr>
          <w:rFonts w:hint="eastAsia"/>
          <w:color w:val="auto"/>
          <w:kern w:val="0"/>
        </w:rPr>
        <w:t>硫酸</w:t>
      </w:r>
      <w:r>
        <w:rPr>
          <w:color w:val="auto"/>
          <w:kern w:val="0"/>
        </w:rPr>
        <w:t>全部泄露，因此确定为V</w:t>
      </w:r>
      <w:r>
        <w:rPr>
          <w:color w:val="auto"/>
          <w:kern w:val="0"/>
          <w:vertAlign w:val="subscript"/>
        </w:rPr>
        <w:t>1</w:t>
      </w:r>
      <w:r>
        <w:rPr>
          <w:color w:val="auto"/>
          <w:kern w:val="0"/>
        </w:rPr>
        <w:t>=</w:t>
      </w:r>
      <w:r>
        <w:rPr>
          <w:rFonts w:hint="eastAsia"/>
          <w:color w:val="auto"/>
          <w:kern w:val="0"/>
        </w:rPr>
        <w:t>0.56</w:t>
      </w:r>
      <w:r>
        <w:rPr>
          <w:color w:val="auto"/>
          <w:kern w:val="0"/>
        </w:rPr>
        <w:t xml:space="preserve"> m</w:t>
      </w:r>
      <w:r>
        <w:rPr>
          <w:color w:val="auto"/>
          <w:kern w:val="0"/>
          <w:vertAlign w:val="superscript"/>
        </w:rPr>
        <w:t>3</w:t>
      </w:r>
      <w:r>
        <w:rPr>
          <w:rFonts w:hint="eastAsia"/>
          <w:color w:val="auto"/>
          <w:kern w:val="0"/>
        </w:rPr>
        <w:t>；</w:t>
      </w:r>
    </w:p>
    <w:p>
      <w:pPr>
        <w:autoSpaceDE w:val="0"/>
        <w:autoSpaceDN w:val="0"/>
        <w:adjustRightInd w:val="0"/>
        <w:spacing w:line="360" w:lineRule="auto"/>
        <w:ind w:firstLine="720" w:firstLineChars="300"/>
        <w:jc w:val="both"/>
        <w:rPr>
          <w:color w:val="auto"/>
          <w:kern w:val="0"/>
        </w:rPr>
      </w:pPr>
      <w:r>
        <w:rPr>
          <w:color w:val="auto"/>
          <w:kern w:val="0"/>
        </w:rPr>
        <w:t>V</w:t>
      </w:r>
      <w:r>
        <w:rPr>
          <w:color w:val="auto"/>
          <w:kern w:val="0"/>
          <w:vertAlign w:val="subscript"/>
        </w:rPr>
        <w:t>2</w:t>
      </w:r>
      <w:r>
        <w:rPr>
          <w:color w:val="auto"/>
          <w:kern w:val="0"/>
        </w:rPr>
        <w:t>：为发生事故的储罐或装置的消防水量，m</w:t>
      </w:r>
      <w:r>
        <w:rPr>
          <w:color w:val="auto"/>
          <w:kern w:val="0"/>
          <w:vertAlign w:val="superscript"/>
        </w:rPr>
        <w:t>3</w:t>
      </w:r>
      <w:r>
        <w:rPr>
          <w:color w:val="auto"/>
          <w:kern w:val="0"/>
        </w:rPr>
        <w:t>。根据《消防给水及消防栓系统技术规范》（GB50974-2014），计算主要火灾风险源消防用水量。</w:t>
      </w:r>
      <w:r>
        <w:rPr>
          <w:rFonts w:hint="eastAsia"/>
          <w:color w:val="auto"/>
          <w:kern w:val="0"/>
        </w:rPr>
        <w:t>餐厨处理厂</w:t>
      </w:r>
      <w:r>
        <w:rPr>
          <w:color w:val="auto"/>
          <w:kern w:val="0"/>
        </w:rPr>
        <w:t>室内消防消防栓设计流量按</w:t>
      </w:r>
      <w:r>
        <w:rPr>
          <w:rFonts w:hint="eastAsia"/>
          <w:color w:val="auto"/>
          <w:kern w:val="0"/>
        </w:rPr>
        <w:t>10</w:t>
      </w:r>
      <w:r>
        <w:rPr>
          <w:color w:val="auto"/>
          <w:kern w:val="0"/>
        </w:rPr>
        <w:t>L/S计。火灾延续时间按</w:t>
      </w:r>
      <w:r>
        <w:rPr>
          <w:rFonts w:hint="eastAsia"/>
          <w:color w:val="auto"/>
          <w:kern w:val="0"/>
          <w:lang w:val="en-US" w:eastAsia="zh-CN"/>
        </w:rPr>
        <w:t>2</w:t>
      </w:r>
      <w:r>
        <w:rPr>
          <w:color w:val="auto"/>
          <w:kern w:val="0"/>
        </w:rPr>
        <w:t>h计算。则合计用水量约</w:t>
      </w:r>
      <w:r>
        <w:rPr>
          <w:rFonts w:hint="eastAsia"/>
          <w:color w:val="auto"/>
          <w:kern w:val="0"/>
          <w:lang w:val="en-US" w:eastAsia="zh-CN"/>
        </w:rPr>
        <w:t>72</w:t>
      </w:r>
      <w:r>
        <w:rPr>
          <w:color w:val="auto"/>
          <w:kern w:val="0"/>
        </w:rPr>
        <w:t>m</w:t>
      </w:r>
      <w:r>
        <w:rPr>
          <w:color w:val="auto"/>
          <w:kern w:val="0"/>
          <w:vertAlign w:val="superscript"/>
        </w:rPr>
        <w:t>3</w:t>
      </w:r>
      <w:r>
        <w:rPr>
          <w:rFonts w:hint="eastAsia"/>
          <w:color w:val="auto"/>
          <w:kern w:val="0"/>
        </w:rPr>
        <w:t>；</w:t>
      </w:r>
    </w:p>
    <w:p>
      <w:pPr>
        <w:autoSpaceDE w:val="0"/>
        <w:autoSpaceDN w:val="0"/>
        <w:adjustRightInd w:val="0"/>
        <w:spacing w:line="360" w:lineRule="auto"/>
        <w:ind w:firstLine="720" w:firstLineChars="300"/>
        <w:rPr>
          <w:color w:val="auto"/>
          <w:kern w:val="0"/>
        </w:rPr>
      </w:pPr>
      <w:r>
        <w:rPr>
          <w:color w:val="auto"/>
          <w:kern w:val="0"/>
        </w:rPr>
        <w:t>V</w:t>
      </w:r>
      <w:r>
        <w:rPr>
          <w:color w:val="auto"/>
          <w:kern w:val="0"/>
          <w:vertAlign w:val="subscript"/>
        </w:rPr>
        <w:t>3</w:t>
      </w:r>
      <w:r>
        <w:rPr>
          <w:color w:val="auto"/>
          <w:kern w:val="0"/>
        </w:rPr>
        <w:t>：为发生事故时可以传输到其它储存或处理设施的物料量，m</w:t>
      </w:r>
      <w:r>
        <w:rPr>
          <w:color w:val="auto"/>
          <w:kern w:val="0"/>
          <w:vertAlign w:val="superscript"/>
        </w:rPr>
        <w:t>3</w:t>
      </w:r>
      <w:r>
        <w:rPr>
          <w:color w:val="auto"/>
          <w:kern w:val="0"/>
        </w:rPr>
        <w:t>。V</w:t>
      </w:r>
      <w:r>
        <w:rPr>
          <w:color w:val="auto"/>
          <w:kern w:val="0"/>
          <w:vertAlign w:val="subscript"/>
        </w:rPr>
        <w:t>3</w:t>
      </w:r>
      <w:r>
        <w:rPr>
          <w:color w:val="auto"/>
          <w:kern w:val="0"/>
        </w:rPr>
        <w:t>=0 m</w:t>
      </w:r>
      <w:r>
        <w:rPr>
          <w:color w:val="auto"/>
          <w:kern w:val="0"/>
          <w:vertAlign w:val="superscript"/>
        </w:rPr>
        <w:t>3</w:t>
      </w:r>
      <w:r>
        <w:rPr>
          <w:rFonts w:hint="eastAsia"/>
          <w:color w:val="auto"/>
          <w:kern w:val="0"/>
        </w:rPr>
        <w:t>；</w:t>
      </w:r>
    </w:p>
    <w:p>
      <w:pPr>
        <w:autoSpaceDE w:val="0"/>
        <w:autoSpaceDN w:val="0"/>
        <w:adjustRightInd w:val="0"/>
        <w:spacing w:line="360" w:lineRule="auto"/>
        <w:ind w:firstLine="720" w:firstLineChars="300"/>
        <w:rPr>
          <w:color w:val="auto"/>
          <w:kern w:val="0"/>
        </w:rPr>
      </w:pPr>
      <w:r>
        <w:rPr>
          <w:color w:val="auto"/>
          <w:kern w:val="0"/>
        </w:rPr>
        <w:t>V</w:t>
      </w:r>
      <w:r>
        <w:rPr>
          <w:color w:val="auto"/>
          <w:kern w:val="0"/>
          <w:vertAlign w:val="subscript"/>
        </w:rPr>
        <w:t>4</w:t>
      </w:r>
      <w:r>
        <w:rPr>
          <w:color w:val="auto"/>
          <w:kern w:val="0"/>
        </w:rPr>
        <w:t>：为发生事故时仍必须进入该收集系统的生产水量，m</w:t>
      </w:r>
      <w:r>
        <w:rPr>
          <w:color w:val="auto"/>
          <w:kern w:val="0"/>
          <w:vertAlign w:val="superscript"/>
        </w:rPr>
        <w:t>3</w:t>
      </w:r>
      <w:r>
        <w:rPr>
          <w:rFonts w:hint="eastAsia"/>
          <w:color w:val="auto"/>
          <w:kern w:val="0"/>
        </w:rPr>
        <w:t>，</w:t>
      </w:r>
      <w:r>
        <w:rPr>
          <w:color w:val="auto"/>
          <w:kern w:val="0"/>
        </w:rPr>
        <w:t>V</w:t>
      </w:r>
      <w:r>
        <w:rPr>
          <w:color w:val="auto"/>
          <w:kern w:val="0"/>
          <w:vertAlign w:val="subscript"/>
        </w:rPr>
        <w:t>4</w:t>
      </w:r>
      <w:r>
        <w:rPr>
          <w:color w:val="auto"/>
          <w:kern w:val="0"/>
        </w:rPr>
        <w:t>=0m</w:t>
      </w:r>
      <w:r>
        <w:rPr>
          <w:color w:val="auto"/>
          <w:kern w:val="0"/>
          <w:vertAlign w:val="superscript"/>
        </w:rPr>
        <w:t>3</w:t>
      </w:r>
      <w:r>
        <w:rPr>
          <w:rFonts w:hint="eastAsia"/>
          <w:color w:val="auto"/>
          <w:kern w:val="0"/>
        </w:rPr>
        <w:t>；</w:t>
      </w:r>
    </w:p>
    <w:p>
      <w:pPr>
        <w:autoSpaceDE w:val="0"/>
        <w:autoSpaceDN w:val="0"/>
        <w:adjustRightInd w:val="0"/>
        <w:spacing w:line="360" w:lineRule="auto"/>
        <w:ind w:firstLine="720" w:firstLineChars="300"/>
        <w:rPr>
          <w:color w:val="auto"/>
          <w:kern w:val="0"/>
        </w:rPr>
      </w:pPr>
      <w:r>
        <w:rPr>
          <w:color w:val="auto"/>
          <w:kern w:val="0"/>
        </w:rPr>
        <w:t>V</w:t>
      </w:r>
      <w:r>
        <w:rPr>
          <w:color w:val="auto"/>
          <w:kern w:val="0"/>
          <w:vertAlign w:val="subscript"/>
        </w:rPr>
        <w:t>5</w:t>
      </w:r>
      <w:r>
        <w:rPr>
          <w:color w:val="auto"/>
          <w:kern w:val="0"/>
        </w:rPr>
        <w:t>：发生事故时可能进入该收集系统的降雨量，m</w:t>
      </w:r>
      <w:r>
        <w:rPr>
          <w:color w:val="auto"/>
          <w:kern w:val="0"/>
          <w:vertAlign w:val="superscript"/>
        </w:rPr>
        <w:t>3</w:t>
      </w:r>
      <w:r>
        <w:rPr>
          <w:rFonts w:hint="eastAsia"/>
          <w:color w:val="auto"/>
          <w:kern w:val="0"/>
        </w:rPr>
        <w:t>，</w:t>
      </w:r>
      <w:r>
        <w:rPr>
          <w:color w:val="auto"/>
          <w:kern w:val="0"/>
        </w:rPr>
        <w:t>发生事故时可能进入该收集系统的降雨量，按一次暴雨量计，V</w:t>
      </w:r>
      <w:r>
        <w:rPr>
          <w:color w:val="auto"/>
          <w:kern w:val="0"/>
          <w:vertAlign w:val="subscript"/>
        </w:rPr>
        <w:t>5</w:t>
      </w:r>
      <w:r>
        <w:rPr>
          <w:color w:val="auto"/>
          <w:kern w:val="0"/>
        </w:rPr>
        <w:t>=</w:t>
      </w:r>
      <w:r>
        <w:rPr>
          <w:rFonts w:hint="eastAsia"/>
          <w:color w:val="auto"/>
          <w:kern w:val="0"/>
        </w:rPr>
        <w:t>0</w:t>
      </w:r>
      <w:r>
        <w:rPr>
          <w:color w:val="auto"/>
          <w:kern w:val="0"/>
        </w:rPr>
        <w:t>m</w:t>
      </w:r>
      <w:r>
        <w:rPr>
          <w:color w:val="auto"/>
          <w:kern w:val="0"/>
          <w:vertAlign w:val="superscript"/>
        </w:rPr>
        <w:t>3</w:t>
      </w:r>
      <w:r>
        <w:rPr>
          <w:color w:val="auto"/>
          <w:kern w:val="0"/>
        </w:rPr>
        <w:t>。</w:t>
      </w:r>
    </w:p>
    <w:p>
      <w:pPr>
        <w:autoSpaceDE w:val="0"/>
        <w:autoSpaceDN w:val="0"/>
        <w:adjustRightInd w:val="0"/>
        <w:spacing w:line="360" w:lineRule="auto"/>
        <w:ind w:firstLine="480" w:firstLineChars="200"/>
        <w:rPr>
          <w:color w:val="auto"/>
        </w:rPr>
      </w:pPr>
      <w:r>
        <w:rPr>
          <w:color w:val="auto"/>
        </w:rPr>
        <w:t>经计算，V</w:t>
      </w:r>
      <w:r>
        <w:rPr>
          <w:color w:val="auto"/>
          <w:vertAlign w:val="subscript"/>
        </w:rPr>
        <w:t>总</w:t>
      </w:r>
      <w:r>
        <w:rPr>
          <w:color w:val="auto"/>
        </w:rPr>
        <w:t>=</w:t>
      </w:r>
      <w:r>
        <w:rPr>
          <w:rFonts w:hint="eastAsia"/>
          <w:color w:val="auto"/>
          <w:lang w:val="en-US" w:eastAsia="zh-CN"/>
        </w:rPr>
        <w:t>72</w:t>
      </w:r>
      <w:r>
        <w:rPr>
          <w:rFonts w:hint="eastAsia"/>
          <w:color w:val="auto"/>
        </w:rPr>
        <w:t>.56</w:t>
      </w:r>
      <w:r>
        <w:rPr>
          <w:color w:val="auto"/>
        </w:rPr>
        <w:t>m</w:t>
      </w:r>
      <w:r>
        <w:rPr>
          <w:color w:val="auto"/>
          <w:vertAlign w:val="superscript"/>
        </w:rPr>
        <w:t>3</w:t>
      </w:r>
      <w:r>
        <w:rPr>
          <w:color w:val="auto"/>
        </w:rPr>
        <w:t>，本评价要求建设单位</w:t>
      </w:r>
      <w:r>
        <w:rPr>
          <w:rFonts w:hint="eastAsia"/>
          <w:color w:val="auto"/>
        </w:rPr>
        <w:t>建设</w:t>
      </w:r>
      <w:r>
        <w:rPr>
          <w:color w:val="auto"/>
        </w:rPr>
        <w:t>至少</w:t>
      </w:r>
      <w:r>
        <w:rPr>
          <w:rFonts w:hint="eastAsia"/>
          <w:color w:val="auto"/>
          <w:lang w:val="en-US" w:eastAsia="zh-CN"/>
        </w:rPr>
        <w:t>100</w:t>
      </w:r>
      <w:r>
        <w:rPr>
          <w:color w:val="auto"/>
          <w:kern w:val="0"/>
          <w:szCs w:val="21"/>
        </w:rPr>
        <w:t>m</w:t>
      </w:r>
      <w:r>
        <w:rPr>
          <w:color w:val="auto"/>
          <w:kern w:val="0"/>
          <w:szCs w:val="21"/>
          <w:vertAlign w:val="superscript"/>
        </w:rPr>
        <w:t>3</w:t>
      </w:r>
      <w:r>
        <w:rPr>
          <w:color w:val="auto"/>
        </w:rPr>
        <w:t>的应急事故池。</w:t>
      </w:r>
    </w:p>
    <w:p>
      <w:pPr>
        <w:autoSpaceDE w:val="0"/>
        <w:autoSpaceDN w:val="0"/>
        <w:adjustRightInd w:val="0"/>
        <w:spacing w:line="360" w:lineRule="auto"/>
        <w:ind w:firstLine="480" w:firstLineChars="200"/>
        <w:rPr>
          <w:color w:val="auto"/>
        </w:rPr>
      </w:pPr>
      <w:r>
        <w:rPr>
          <w:color w:val="auto"/>
        </w:rPr>
        <w:t>本项目事故应急池建于</w:t>
      </w:r>
      <w:r>
        <w:rPr>
          <w:rFonts w:hint="eastAsia"/>
          <w:color w:val="auto"/>
          <w:lang w:eastAsia="zh-CN"/>
        </w:rPr>
        <w:t>餐厨垃圾废水收集池</w:t>
      </w:r>
      <w:r>
        <w:rPr>
          <w:color w:val="auto"/>
        </w:rPr>
        <w:t>附近，采取地埋方式修建，能有效收集事故时的消防废水。事故废水应储存在事故池中，待事故处理完成后，应根据事故废水的性质将事故废水妥善处理，避免事故废水直接排放。</w:t>
      </w:r>
    </w:p>
    <w:p>
      <w:pPr>
        <w:autoSpaceDE w:val="0"/>
        <w:autoSpaceDN w:val="0"/>
        <w:adjustRightInd w:val="0"/>
        <w:spacing w:line="360" w:lineRule="auto"/>
        <w:ind w:firstLine="480" w:firstLineChars="200"/>
        <w:rPr>
          <w:color w:val="auto"/>
          <w:kern w:val="0"/>
        </w:rPr>
      </w:pPr>
      <w:r>
        <w:rPr>
          <w:color w:val="auto"/>
          <w:kern w:val="0"/>
        </w:rPr>
        <w:t>3）三级防控</w:t>
      </w:r>
    </w:p>
    <w:p>
      <w:pPr>
        <w:autoSpaceDE w:val="0"/>
        <w:autoSpaceDN w:val="0"/>
        <w:adjustRightInd w:val="0"/>
        <w:spacing w:line="360" w:lineRule="auto"/>
        <w:ind w:firstLine="480" w:firstLineChars="200"/>
        <w:rPr>
          <w:color w:val="auto"/>
        </w:rPr>
      </w:pPr>
      <w:r>
        <w:rPr>
          <w:color w:val="auto"/>
        </w:rPr>
        <w:t>本项目根据要求设置“单元-厂内污水处理站-区域”的环境风险防控体系，设置事故废水收集池和应急储存设施，以满足事故状态下收集泄露物料、污染消防废水和污染雨水的需求，将事故池收集的废水经</w:t>
      </w:r>
      <w:r>
        <w:rPr>
          <w:rFonts w:hint="eastAsia"/>
          <w:color w:val="auto"/>
        </w:rPr>
        <w:t>园区内在建的</w:t>
      </w:r>
      <w:r>
        <w:rPr>
          <w:color w:val="auto"/>
        </w:rPr>
        <w:t>污水处理站处理后回用于厂区。</w:t>
      </w:r>
    </w:p>
    <w:p>
      <w:pPr>
        <w:autoSpaceDE w:val="0"/>
        <w:autoSpaceDN w:val="0"/>
        <w:adjustRightInd w:val="0"/>
        <w:spacing w:line="360" w:lineRule="auto"/>
        <w:ind w:firstLine="480" w:firstLineChars="200"/>
        <w:rPr>
          <w:bCs/>
          <w:color w:val="auto"/>
          <w:kern w:val="0"/>
        </w:rPr>
      </w:pPr>
      <w:r>
        <w:rPr>
          <w:rFonts w:hint="eastAsia"/>
          <w:bCs/>
          <w:color w:val="auto"/>
          <w:kern w:val="0"/>
        </w:rPr>
        <w:t>2</w:t>
      </w:r>
      <w:r>
        <w:rPr>
          <w:bCs/>
          <w:color w:val="auto"/>
          <w:kern w:val="0"/>
        </w:rPr>
        <w:t>、</w:t>
      </w:r>
      <w:r>
        <w:rPr>
          <w:rFonts w:hint="eastAsia"/>
          <w:bCs/>
          <w:color w:val="auto"/>
          <w:kern w:val="0"/>
        </w:rPr>
        <w:t>恶臭</w:t>
      </w:r>
      <w:r>
        <w:rPr>
          <w:bCs/>
          <w:color w:val="auto"/>
          <w:kern w:val="0"/>
        </w:rPr>
        <w:t>废气处理系统事故风险防范措施</w:t>
      </w:r>
    </w:p>
    <w:p>
      <w:pPr>
        <w:autoSpaceDE w:val="0"/>
        <w:autoSpaceDN w:val="0"/>
        <w:adjustRightInd w:val="0"/>
        <w:spacing w:line="360" w:lineRule="auto"/>
        <w:rPr>
          <w:color w:val="auto"/>
          <w:kern w:val="0"/>
        </w:rPr>
      </w:pPr>
      <w:r>
        <w:rPr>
          <w:rFonts w:hint="eastAsia"/>
          <w:b/>
          <w:color w:val="auto"/>
          <w:kern w:val="0"/>
        </w:rPr>
        <w:t xml:space="preserve">     </w:t>
      </w:r>
      <w:r>
        <w:rPr>
          <w:rFonts w:hint="eastAsia"/>
          <w:color w:val="auto"/>
          <w:kern w:val="0"/>
        </w:rPr>
        <w:t>加强对除臭设备的维修管理，使其在良好情况下运行，严格按规范操作尽可能避免事故排放，一旦出现事故性排放应及时停止生产操作，待修复后再进行生产。</w:t>
      </w:r>
    </w:p>
    <w:p>
      <w:pPr>
        <w:autoSpaceDE w:val="0"/>
        <w:autoSpaceDN w:val="0"/>
        <w:adjustRightInd w:val="0"/>
        <w:spacing w:line="360" w:lineRule="auto"/>
        <w:rPr>
          <w:color w:val="auto"/>
          <w:kern w:val="0"/>
        </w:rPr>
      </w:pPr>
      <w:r>
        <w:rPr>
          <w:rFonts w:hint="eastAsia"/>
          <w:color w:val="auto"/>
          <w:kern w:val="0"/>
        </w:rPr>
        <w:t xml:space="preserve">   企业应设专职环保机构与人员，加强污染治理设施的日常管理，避免出现风险事故，并加强培训，在出现风险事故时，及时采取有效措施，将事故影响降至最低。</w:t>
      </w:r>
    </w:p>
    <w:p>
      <w:pPr>
        <w:autoSpaceDE w:val="0"/>
        <w:autoSpaceDN w:val="0"/>
        <w:adjustRightInd w:val="0"/>
        <w:spacing w:line="360" w:lineRule="auto"/>
        <w:ind w:firstLine="480" w:firstLineChars="200"/>
        <w:rPr>
          <w:color w:val="auto"/>
        </w:rPr>
      </w:pPr>
      <w:r>
        <w:rPr>
          <w:rFonts w:hint="eastAsia"/>
          <w:color w:val="auto"/>
        </w:rPr>
        <w:t>3、废水事故排放风险防范措施</w:t>
      </w:r>
    </w:p>
    <w:p>
      <w:pPr>
        <w:autoSpaceDE w:val="0"/>
        <w:autoSpaceDN w:val="0"/>
        <w:adjustRightInd w:val="0"/>
        <w:spacing w:line="360" w:lineRule="auto"/>
        <w:ind w:firstLine="480" w:firstLineChars="200"/>
        <w:rPr>
          <w:color w:val="auto"/>
        </w:rPr>
      </w:pPr>
      <w:r>
        <w:rPr>
          <w:color w:val="auto"/>
        </w:rPr>
        <w:fldChar w:fldCharType="begin"/>
      </w:r>
      <w:r>
        <w:rPr>
          <w:color w:val="auto"/>
        </w:rPr>
        <w:instrText xml:space="preserve"> </w:instrText>
      </w:r>
      <w:r>
        <w:rPr>
          <w:rFonts w:hint="eastAsia"/>
          <w:color w:val="auto"/>
        </w:rPr>
        <w:instrText xml:space="preserve">= 1 \* GB3</w:instrText>
      </w:r>
      <w:r>
        <w:rPr>
          <w:color w:val="auto"/>
        </w:rPr>
        <w:instrText xml:space="preserve"> </w:instrText>
      </w:r>
      <w:r>
        <w:rPr>
          <w:color w:val="auto"/>
        </w:rPr>
        <w:fldChar w:fldCharType="separate"/>
      </w:r>
      <w:r>
        <w:rPr>
          <w:rFonts w:hint="eastAsia"/>
          <w:color w:val="auto"/>
        </w:rPr>
        <w:t>①</w:t>
      </w:r>
      <w:r>
        <w:rPr>
          <w:color w:val="auto"/>
        </w:rPr>
        <w:fldChar w:fldCharType="end"/>
      </w:r>
      <w:r>
        <w:rPr>
          <w:rFonts w:hint="eastAsia"/>
          <w:color w:val="auto"/>
        </w:rPr>
        <w:t>操作人员应严格按照操作规程进行操作，防止因检查不周或工作失误而造成事故发生。</w:t>
      </w:r>
    </w:p>
    <w:p>
      <w:pPr>
        <w:autoSpaceDE w:val="0"/>
        <w:autoSpaceDN w:val="0"/>
        <w:adjustRightInd w:val="0"/>
        <w:spacing w:line="360" w:lineRule="auto"/>
        <w:ind w:firstLine="480" w:firstLineChars="200"/>
        <w:rPr>
          <w:color w:val="auto"/>
        </w:rPr>
      </w:pPr>
      <w:r>
        <w:rPr>
          <w:color w:val="auto"/>
        </w:rPr>
        <w:fldChar w:fldCharType="begin"/>
      </w:r>
      <w:r>
        <w:rPr>
          <w:color w:val="auto"/>
        </w:rPr>
        <w:instrText xml:space="preserve"> </w:instrText>
      </w:r>
      <w:r>
        <w:rPr>
          <w:rFonts w:hint="eastAsia"/>
          <w:color w:val="auto"/>
        </w:rPr>
        <w:instrText xml:space="preserve">= 2 \* GB3</w:instrText>
      </w:r>
      <w:r>
        <w:rPr>
          <w:color w:val="auto"/>
        </w:rPr>
        <w:instrText xml:space="preserve"> </w:instrText>
      </w:r>
      <w:r>
        <w:rPr>
          <w:color w:val="auto"/>
        </w:rPr>
        <w:fldChar w:fldCharType="separate"/>
      </w:r>
      <w:r>
        <w:rPr>
          <w:rFonts w:hint="eastAsia"/>
          <w:color w:val="auto"/>
        </w:rPr>
        <w:t>②</w:t>
      </w:r>
      <w:r>
        <w:rPr>
          <w:color w:val="auto"/>
        </w:rPr>
        <w:fldChar w:fldCharType="end"/>
      </w:r>
      <w:r>
        <w:rPr>
          <w:rFonts w:hint="eastAsia"/>
          <w:color w:val="auto"/>
        </w:rPr>
        <w:t>加强设备管理，认真做好设备、管道、阀门的检查工作，对存在的安全隐患的设备、管道、阀门及时修理或更换。</w:t>
      </w:r>
    </w:p>
    <w:p>
      <w:pPr>
        <w:autoSpaceDE w:val="0"/>
        <w:autoSpaceDN w:val="0"/>
        <w:adjustRightInd w:val="0"/>
        <w:spacing w:line="360" w:lineRule="auto"/>
        <w:ind w:firstLine="480" w:firstLineChars="200"/>
        <w:rPr>
          <w:color w:val="auto"/>
        </w:rPr>
      </w:pPr>
      <w:r>
        <w:rPr>
          <w:color w:val="auto"/>
        </w:rPr>
        <w:fldChar w:fldCharType="begin"/>
      </w:r>
      <w:r>
        <w:rPr>
          <w:color w:val="auto"/>
        </w:rPr>
        <w:instrText xml:space="preserve"> </w:instrText>
      </w:r>
      <w:r>
        <w:rPr>
          <w:rFonts w:hint="eastAsia"/>
          <w:color w:val="auto"/>
        </w:rPr>
        <w:instrText xml:space="preserve">= 3 \* GB3</w:instrText>
      </w:r>
      <w:r>
        <w:rPr>
          <w:color w:val="auto"/>
        </w:rPr>
        <w:instrText xml:space="preserve"> </w:instrText>
      </w:r>
      <w:r>
        <w:rPr>
          <w:color w:val="auto"/>
        </w:rPr>
        <w:fldChar w:fldCharType="separate"/>
      </w:r>
      <w:r>
        <w:rPr>
          <w:rFonts w:hint="eastAsia"/>
          <w:color w:val="auto"/>
        </w:rPr>
        <w:t>③</w:t>
      </w:r>
      <w:r>
        <w:rPr>
          <w:color w:val="auto"/>
        </w:rPr>
        <w:fldChar w:fldCharType="end"/>
      </w:r>
      <w:r>
        <w:rPr>
          <w:rFonts w:hint="eastAsia"/>
          <w:color w:val="auto"/>
        </w:rPr>
        <w:t>按照监测计划，认真落实监测方案，若发现污水处理系统进水水质超出设计标准，应将部分废水引至事故池，降低污水处理系统负荷；并及时分析出水水质，调整污水处理工艺参数，保证出水水质达标排放，及时向生产部分反应情况，找出事故原因。</w:t>
      </w:r>
    </w:p>
    <w:p>
      <w:pPr>
        <w:autoSpaceDE w:val="0"/>
        <w:autoSpaceDN w:val="0"/>
        <w:adjustRightInd w:val="0"/>
        <w:spacing w:line="360" w:lineRule="auto"/>
        <w:ind w:firstLine="480" w:firstLineChars="200"/>
        <w:rPr>
          <w:color w:val="auto"/>
        </w:rPr>
      </w:pPr>
      <w:r>
        <w:rPr>
          <w:color w:val="auto"/>
        </w:rPr>
        <w:fldChar w:fldCharType="begin"/>
      </w:r>
      <w:r>
        <w:rPr>
          <w:color w:val="auto"/>
        </w:rPr>
        <w:instrText xml:space="preserve"> </w:instrText>
      </w:r>
      <w:r>
        <w:rPr>
          <w:rFonts w:hint="eastAsia"/>
          <w:color w:val="auto"/>
        </w:rPr>
        <w:instrText xml:space="preserve">= 4 \* GB3</w:instrText>
      </w:r>
      <w:r>
        <w:rPr>
          <w:color w:val="auto"/>
        </w:rPr>
        <w:instrText xml:space="preserve"> </w:instrText>
      </w:r>
      <w:r>
        <w:rPr>
          <w:color w:val="auto"/>
        </w:rPr>
        <w:fldChar w:fldCharType="separate"/>
      </w:r>
      <w:r>
        <w:rPr>
          <w:rFonts w:hint="eastAsia"/>
          <w:color w:val="auto"/>
        </w:rPr>
        <w:t>④</w:t>
      </w:r>
      <w:r>
        <w:rPr>
          <w:color w:val="auto"/>
        </w:rPr>
        <w:fldChar w:fldCharType="end"/>
      </w:r>
      <w:r>
        <w:rPr>
          <w:rFonts w:hint="eastAsia"/>
          <w:color w:val="auto"/>
        </w:rPr>
        <w:t>加强废水在线监测，在废水总排口处设置应急截流措施（如阀门），在废水事故排放情况下，关闭阀门，将部分废水引至事故池暂存。</w:t>
      </w:r>
    </w:p>
    <w:p>
      <w:pPr>
        <w:autoSpaceDE w:val="0"/>
        <w:autoSpaceDN w:val="0"/>
        <w:adjustRightInd w:val="0"/>
        <w:spacing w:line="360" w:lineRule="auto"/>
        <w:ind w:firstLine="480" w:firstLineChars="200"/>
        <w:rPr>
          <w:color w:val="auto"/>
        </w:rPr>
      </w:pPr>
      <w:r>
        <w:rPr>
          <w:rFonts w:hint="eastAsia"/>
          <w:color w:val="auto"/>
        </w:rPr>
        <w:t>4、厂区火炸事故次生污染环境风险防范措施</w:t>
      </w:r>
    </w:p>
    <w:p>
      <w:pPr>
        <w:autoSpaceDE w:val="0"/>
        <w:autoSpaceDN w:val="0"/>
        <w:adjustRightInd w:val="0"/>
        <w:spacing w:line="360" w:lineRule="auto"/>
        <w:ind w:firstLine="480" w:firstLineChars="200"/>
        <w:rPr>
          <w:color w:val="auto"/>
        </w:rPr>
      </w:pPr>
      <w:r>
        <w:rPr>
          <w:color w:val="auto"/>
        </w:rPr>
        <w:fldChar w:fldCharType="begin"/>
      </w:r>
      <w:r>
        <w:rPr>
          <w:color w:val="auto"/>
        </w:rPr>
        <w:instrText xml:space="preserve"> </w:instrText>
      </w:r>
      <w:r>
        <w:rPr>
          <w:rFonts w:hint="eastAsia"/>
          <w:color w:val="auto"/>
        </w:rPr>
        <w:instrText xml:space="preserve">= 1 \* GB3</w:instrText>
      </w:r>
      <w:r>
        <w:rPr>
          <w:color w:val="auto"/>
        </w:rPr>
        <w:instrText xml:space="preserve"> </w:instrText>
      </w:r>
      <w:r>
        <w:rPr>
          <w:color w:val="auto"/>
        </w:rPr>
        <w:fldChar w:fldCharType="separate"/>
      </w:r>
      <w:r>
        <w:rPr>
          <w:rFonts w:hint="eastAsia"/>
          <w:color w:val="auto"/>
        </w:rPr>
        <w:t>①</w:t>
      </w:r>
      <w:r>
        <w:rPr>
          <w:color w:val="auto"/>
        </w:rPr>
        <w:fldChar w:fldCharType="end"/>
      </w:r>
      <w:r>
        <w:rPr>
          <w:rFonts w:hint="eastAsia"/>
          <w:color w:val="auto"/>
        </w:rPr>
        <w:t>当班值班人员必须严格执行安全操作规程及工艺规程。当班操作人员必须坚持日常安全检查，严格交接班制度。实行动火作业许可制度，严禁违规动火。</w:t>
      </w:r>
    </w:p>
    <w:p>
      <w:pPr>
        <w:autoSpaceDE w:val="0"/>
        <w:autoSpaceDN w:val="0"/>
        <w:adjustRightInd w:val="0"/>
        <w:spacing w:line="360" w:lineRule="auto"/>
        <w:ind w:firstLine="480" w:firstLineChars="200"/>
        <w:rPr>
          <w:color w:val="auto"/>
        </w:rPr>
      </w:pPr>
      <w:r>
        <w:rPr>
          <w:color w:val="auto"/>
        </w:rPr>
        <w:fldChar w:fldCharType="begin"/>
      </w:r>
      <w:r>
        <w:rPr>
          <w:color w:val="auto"/>
        </w:rPr>
        <w:instrText xml:space="preserve"> </w:instrText>
      </w:r>
      <w:r>
        <w:rPr>
          <w:rFonts w:hint="eastAsia"/>
          <w:color w:val="auto"/>
        </w:rPr>
        <w:instrText xml:space="preserve">= 2 \* GB3</w:instrText>
      </w:r>
      <w:r>
        <w:rPr>
          <w:color w:val="auto"/>
        </w:rPr>
        <w:instrText xml:space="preserve"> </w:instrText>
      </w:r>
      <w:r>
        <w:rPr>
          <w:color w:val="auto"/>
        </w:rPr>
        <w:fldChar w:fldCharType="separate"/>
      </w:r>
      <w:r>
        <w:rPr>
          <w:rFonts w:hint="eastAsia"/>
          <w:color w:val="auto"/>
        </w:rPr>
        <w:t>②</w:t>
      </w:r>
      <w:r>
        <w:rPr>
          <w:color w:val="auto"/>
        </w:rPr>
        <w:fldChar w:fldCharType="end"/>
      </w:r>
      <w:r>
        <w:rPr>
          <w:rFonts w:hint="eastAsia"/>
          <w:color w:val="auto"/>
        </w:rPr>
        <w:t>当班操作人员对查出的安全隐患及时上报，及时安排人员加以整改，技术设备科要对消防器材、设备及其救援物质定期检验，保证其随时处于完好可用状态。</w:t>
      </w:r>
    </w:p>
    <w:p>
      <w:pPr>
        <w:autoSpaceDE w:val="0"/>
        <w:autoSpaceDN w:val="0"/>
        <w:adjustRightInd w:val="0"/>
        <w:spacing w:line="360" w:lineRule="auto"/>
        <w:ind w:firstLine="480"/>
        <w:rPr>
          <w:color w:val="auto"/>
        </w:rPr>
      </w:pPr>
      <w:r>
        <w:rPr>
          <w:color w:val="auto"/>
        </w:rPr>
        <w:fldChar w:fldCharType="begin"/>
      </w:r>
      <w:r>
        <w:rPr>
          <w:color w:val="auto"/>
        </w:rPr>
        <w:instrText xml:space="preserve"> </w:instrText>
      </w:r>
      <w:r>
        <w:rPr>
          <w:rFonts w:hint="eastAsia"/>
          <w:color w:val="auto"/>
        </w:rPr>
        <w:instrText xml:space="preserve">= 3 \* GB3</w:instrText>
      </w:r>
      <w:r>
        <w:rPr>
          <w:color w:val="auto"/>
        </w:rPr>
        <w:instrText xml:space="preserve"> </w:instrText>
      </w:r>
      <w:r>
        <w:rPr>
          <w:color w:val="auto"/>
        </w:rPr>
        <w:fldChar w:fldCharType="separate"/>
      </w:r>
      <w:r>
        <w:rPr>
          <w:rFonts w:hint="eastAsia"/>
          <w:color w:val="auto"/>
        </w:rPr>
        <w:t>③</w:t>
      </w:r>
      <w:r>
        <w:rPr>
          <w:color w:val="auto"/>
        </w:rPr>
        <w:fldChar w:fldCharType="end"/>
      </w:r>
      <w:r>
        <w:rPr>
          <w:rFonts w:hint="eastAsia"/>
          <w:color w:val="auto"/>
        </w:rPr>
        <w:t>遵守安全生产守则，对供电线路进行巡查，对消防设施进行定期检查。</w:t>
      </w:r>
    </w:p>
    <w:p>
      <w:pPr>
        <w:autoSpaceDE w:val="0"/>
        <w:autoSpaceDN w:val="0"/>
        <w:adjustRightInd w:val="0"/>
        <w:spacing w:line="360" w:lineRule="auto"/>
        <w:ind w:firstLine="480"/>
        <w:rPr>
          <w:color w:val="auto"/>
        </w:rPr>
      </w:pPr>
      <w:r>
        <w:rPr>
          <w:color w:val="auto"/>
        </w:rPr>
        <w:fldChar w:fldCharType="begin"/>
      </w:r>
      <w:r>
        <w:rPr>
          <w:color w:val="auto"/>
        </w:rPr>
        <w:instrText xml:space="preserve"> </w:instrText>
      </w:r>
      <w:r>
        <w:rPr>
          <w:rFonts w:hint="eastAsia"/>
          <w:color w:val="auto"/>
        </w:rPr>
        <w:instrText xml:space="preserve">= 4 \* GB3</w:instrText>
      </w:r>
      <w:r>
        <w:rPr>
          <w:color w:val="auto"/>
        </w:rPr>
        <w:instrText xml:space="preserve"> </w:instrText>
      </w:r>
      <w:r>
        <w:rPr>
          <w:color w:val="auto"/>
        </w:rPr>
        <w:fldChar w:fldCharType="separate"/>
      </w:r>
      <w:r>
        <w:rPr>
          <w:rFonts w:hint="eastAsia"/>
          <w:color w:val="auto"/>
        </w:rPr>
        <w:t>④</w:t>
      </w:r>
      <w:r>
        <w:rPr>
          <w:color w:val="auto"/>
        </w:rPr>
        <w:fldChar w:fldCharType="end"/>
      </w:r>
      <w:r>
        <w:rPr>
          <w:rFonts w:hint="eastAsia"/>
          <w:color w:val="auto"/>
        </w:rPr>
        <w:t>制定科学的安全用电操作规程，要求所有电气安装、维护作业必须由持证电工实施，平时加强电气设施的专项安全检查，防止短路或触电事故。电工每半小时巡逻一次配电房，观察配电系统发热情况，必要时应汇报，予以批准后切断部分设施的运行，并提出配电替代方案，经批准后立即落实。</w:t>
      </w:r>
    </w:p>
    <w:p>
      <w:pPr>
        <w:autoSpaceDE w:val="0"/>
        <w:autoSpaceDN w:val="0"/>
        <w:adjustRightInd w:val="0"/>
        <w:spacing w:line="360" w:lineRule="auto"/>
        <w:ind w:firstLine="480"/>
        <w:rPr>
          <w:color w:val="auto"/>
        </w:rPr>
      </w:pPr>
      <w:r>
        <w:rPr>
          <w:color w:val="auto"/>
        </w:rPr>
        <w:fldChar w:fldCharType="begin"/>
      </w:r>
      <w:r>
        <w:rPr>
          <w:color w:val="auto"/>
        </w:rPr>
        <w:instrText xml:space="preserve"> </w:instrText>
      </w:r>
      <w:r>
        <w:rPr>
          <w:rFonts w:hint="eastAsia"/>
          <w:color w:val="auto"/>
        </w:rPr>
        <w:instrText xml:space="preserve">= 5 \* GB3</w:instrText>
      </w:r>
      <w:r>
        <w:rPr>
          <w:color w:val="auto"/>
        </w:rPr>
        <w:instrText xml:space="preserve"> </w:instrText>
      </w:r>
      <w:r>
        <w:rPr>
          <w:color w:val="auto"/>
        </w:rPr>
        <w:fldChar w:fldCharType="separate"/>
      </w:r>
      <w:r>
        <w:rPr>
          <w:rFonts w:hint="eastAsia"/>
          <w:color w:val="auto"/>
        </w:rPr>
        <w:t>⑤</w:t>
      </w:r>
      <w:r>
        <w:rPr>
          <w:color w:val="auto"/>
        </w:rPr>
        <w:fldChar w:fldCharType="end"/>
      </w:r>
      <w:r>
        <w:rPr>
          <w:rFonts w:hint="eastAsia"/>
          <w:color w:val="auto"/>
        </w:rPr>
        <w:t>制定危险化学品安全管理规定，加强危险化学品与危险废物的贮存、使用及运输管理，完善通风、防泄露、防静电等安全设施。危险化学品应分类储存，以防止相互反应而造成安全隐患，并设置警示标示。</w:t>
      </w:r>
    </w:p>
    <w:p>
      <w:pPr>
        <w:spacing w:line="360" w:lineRule="auto"/>
        <w:ind w:firstLine="480" w:firstLineChars="200"/>
        <w:rPr>
          <w:color w:val="auto"/>
        </w:rPr>
      </w:pPr>
      <w:r>
        <w:rPr>
          <w:rFonts w:hint="eastAsia"/>
          <w:color w:val="auto"/>
        </w:rPr>
        <w:t>5</w:t>
      </w:r>
      <w:r>
        <w:rPr>
          <w:color w:val="auto"/>
        </w:rPr>
        <w:t>、垃圾运输风险预防与应急措施</w:t>
      </w:r>
    </w:p>
    <w:p>
      <w:pPr>
        <w:spacing w:line="360" w:lineRule="auto"/>
        <w:ind w:firstLine="480" w:firstLineChars="200"/>
        <w:rPr>
          <w:color w:val="auto"/>
        </w:rPr>
      </w:pPr>
      <w:r>
        <w:rPr>
          <w:color w:val="auto"/>
        </w:rPr>
        <w:t>为了降低对沿线环境的影响，本项目拟采取以下措施：</w:t>
      </w:r>
    </w:p>
    <w:p>
      <w:pPr>
        <w:spacing w:line="360" w:lineRule="auto"/>
        <w:ind w:firstLine="480" w:firstLineChars="200"/>
        <w:rPr>
          <w:color w:val="auto"/>
        </w:rPr>
      </w:pPr>
      <w:r>
        <w:rPr>
          <w:color w:val="auto"/>
        </w:rPr>
        <w:t>（1）在线路选择上，本项目尽量避免经过人口密集区和环境敏感点，确实无法避免的要尽量选择在从居民点下风向通行。</w:t>
      </w:r>
    </w:p>
    <w:p>
      <w:pPr>
        <w:spacing w:line="360" w:lineRule="auto"/>
        <w:ind w:firstLine="480" w:firstLineChars="200"/>
        <w:rPr>
          <w:color w:val="auto"/>
        </w:rPr>
      </w:pPr>
      <w:r>
        <w:rPr>
          <w:color w:val="auto"/>
        </w:rPr>
        <w:t>（2）运输方式采用标准的垃圾运输车运输，车辆只需要直接从</w:t>
      </w:r>
      <w:r>
        <w:rPr>
          <w:rFonts w:hint="eastAsia"/>
          <w:color w:val="auto"/>
        </w:rPr>
        <w:t>餐厨垃圾和</w:t>
      </w:r>
      <w:r>
        <w:rPr>
          <w:color w:val="auto"/>
        </w:rPr>
        <w:t>建筑垃圾点运装垃圾，</w:t>
      </w:r>
      <w:r>
        <w:rPr>
          <w:rFonts w:hint="eastAsia"/>
          <w:color w:val="auto"/>
          <w:kern w:val="0"/>
        </w:rPr>
        <w:t>餐厨</w:t>
      </w:r>
      <w:r>
        <w:rPr>
          <w:color w:val="auto"/>
          <w:kern w:val="0"/>
        </w:rPr>
        <w:t>垃圾的运输车全部采用带有防治垃圾渗滤液的滴漏措施封闭式自卸垃圾车和压缩式自卸垃圾车运输进厂</w:t>
      </w:r>
      <w:r>
        <w:rPr>
          <w:rFonts w:hint="eastAsia"/>
          <w:color w:val="auto"/>
          <w:kern w:val="0"/>
        </w:rPr>
        <w:t>，建筑垃圾</w:t>
      </w:r>
      <w:r>
        <w:rPr>
          <w:color w:val="auto"/>
        </w:rPr>
        <w:t>装车后用篷布密封，经类比其它建筑垃圾运输，在运输过程中无垃圾渗滤液渗出，粉尘散发量较小。</w:t>
      </w:r>
    </w:p>
    <w:p>
      <w:pPr>
        <w:spacing w:line="360" w:lineRule="auto"/>
        <w:ind w:firstLine="480" w:firstLineChars="200"/>
        <w:rPr>
          <w:color w:val="auto"/>
        </w:rPr>
      </w:pPr>
      <w:r>
        <w:rPr>
          <w:color w:val="auto"/>
        </w:rPr>
        <w:t>（3）在运输时间上，要安排是在夜间或清晨行人较少的时段进行，以减少对人们活动的影响。</w:t>
      </w:r>
    </w:p>
    <w:p>
      <w:pPr>
        <w:spacing w:line="360" w:lineRule="auto"/>
        <w:ind w:firstLine="480" w:firstLineChars="200"/>
        <w:rPr>
          <w:color w:val="auto"/>
        </w:rPr>
      </w:pPr>
      <w:r>
        <w:rPr>
          <w:color w:val="auto"/>
        </w:rPr>
        <w:t>（4）一旦发生事故，应采取应急措施，并立即报告当地环卫部门，及时对事故现场进行清理，以控制和减少对周围环境的影响。</w:t>
      </w:r>
    </w:p>
    <w:p>
      <w:pPr>
        <w:spacing w:line="360" w:lineRule="auto"/>
        <w:ind w:firstLine="480" w:firstLineChars="200"/>
        <w:rPr>
          <w:color w:val="auto"/>
        </w:rPr>
      </w:pPr>
      <w:r>
        <w:rPr>
          <w:color w:val="auto"/>
        </w:rPr>
        <w:t>（5）应安排机动车辆驾驶员参加每周一次的安全活动，以不断提高驾驶人员的责任心、事业心和业务水平，驾驶人员必须经过公安交通部门考试审核，持有驾驶证，方可独立驾驶车辆，不能驾驶与证件规定不符合的车辆，实习驾驶员除持有实习驾驶证件外，还应有正式驾驶员随车教练，严禁无证驾车。</w:t>
      </w:r>
    </w:p>
    <w:p>
      <w:pPr>
        <w:spacing w:line="360" w:lineRule="auto"/>
        <w:ind w:firstLine="480" w:firstLineChars="200"/>
        <w:rPr>
          <w:color w:val="auto"/>
        </w:rPr>
      </w:pPr>
      <w:r>
        <w:rPr>
          <w:color w:val="auto"/>
        </w:rPr>
        <w:t>（6）驾驶出车前必须做好检查保养工作，重点检查制动器、转向机构、喇叭、指示灯、方向灯、照明、刹车及轮胎螺丝等是否安全可靠，检查车箱的密封性能是否正常。在行驶中或下班前，同样要做好经常性的检查保养工作。行驶中必须集中思想，谨慎驾驶，保持适当的车速行驶，驾驶室内不能超额坐人，不得携带危险品上车。</w:t>
      </w:r>
    </w:p>
    <w:p>
      <w:pPr>
        <w:spacing w:line="360" w:lineRule="auto"/>
        <w:ind w:firstLine="480" w:firstLineChars="200"/>
        <w:rPr>
          <w:color w:val="auto"/>
        </w:rPr>
      </w:pPr>
      <w:r>
        <w:rPr>
          <w:rFonts w:hint="eastAsia"/>
          <w:color w:val="auto"/>
        </w:rPr>
        <w:t>6</w:t>
      </w:r>
      <w:r>
        <w:rPr>
          <w:color w:val="auto"/>
        </w:rPr>
        <w:t>、强降雨风险防护措施</w:t>
      </w:r>
    </w:p>
    <w:p>
      <w:pPr>
        <w:spacing w:line="360" w:lineRule="auto"/>
        <w:ind w:firstLine="480" w:firstLineChars="200"/>
        <w:rPr>
          <w:color w:val="auto"/>
        </w:rPr>
      </w:pPr>
      <w:r>
        <w:rPr>
          <w:color w:val="auto"/>
        </w:rPr>
        <w:t>①场区截洪沟应按照设计要求进行建设，确保未被污染的强降水直接导出场外，减少暴雨对污水处理系统的冲击；制定强降雨天气的应急预案。</w:t>
      </w:r>
    </w:p>
    <w:p>
      <w:pPr>
        <w:spacing w:line="360" w:lineRule="auto"/>
        <w:ind w:firstLine="480" w:firstLineChars="200"/>
        <w:rPr>
          <w:color w:val="auto"/>
        </w:rPr>
      </w:pPr>
      <w:r>
        <w:rPr>
          <w:color w:val="auto"/>
        </w:rPr>
        <w:t>②截洪沟应经常疏通， 防止截洪沟堵塞；</w:t>
      </w:r>
    </w:p>
    <w:p>
      <w:pPr>
        <w:spacing w:line="360" w:lineRule="auto"/>
        <w:ind w:firstLine="480" w:firstLineChars="200"/>
        <w:rPr>
          <w:color w:val="auto"/>
        </w:rPr>
      </w:pPr>
      <w:r>
        <w:rPr>
          <w:color w:val="auto"/>
        </w:rPr>
        <w:t>③雨水导流系统施工要严格按照国家相关规范进行，建筑垃圾压实严格按照规程操作。</w:t>
      </w:r>
    </w:p>
    <w:p>
      <w:pPr>
        <w:spacing w:line="360" w:lineRule="auto"/>
        <w:ind w:firstLine="480" w:firstLineChars="200"/>
        <w:rPr>
          <w:color w:val="auto"/>
        </w:rPr>
      </w:pPr>
      <w:r>
        <w:rPr>
          <w:color w:val="auto"/>
        </w:rPr>
        <w:t>④日常运行时，特别是在雨季，应留出积液池的剩余容量以调节强暴雨时期填埋区渗滤液。</w:t>
      </w:r>
    </w:p>
    <w:p>
      <w:pPr>
        <w:spacing w:line="360" w:lineRule="auto"/>
        <w:ind w:firstLine="480" w:firstLineChars="200"/>
        <w:rPr>
          <w:color w:val="auto"/>
        </w:rPr>
      </w:pPr>
      <w:r>
        <w:rPr>
          <w:rFonts w:hint="eastAsia"/>
          <w:color w:val="auto"/>
        </w:rPr>
        <w:t>7</w:t>
      </w:r>
      <w:r>
        <w:rPr>
          <w:color w:val="auto"/>
        </w:rPr>
        <w:t>、消纳场地面塌陷风险防范措施</w:t>
      </w:r>
    </w:p>
    <w:p>
      <w:pPr>
        <w:spacing w:line="360" w:lineRule="auto"/>
        <w:ind w:firstLine="480" w:firstLineChars="200"/>
        <w:rPr>
          <w:color w:val="auto"/>
        </w:rPr>
      </w:pPr>
      <w:r>
        <w:rPr>
          <w:color w:val="auto"/>
        </w:rPr>
        <w:t>对由于建筑垃圾非均质性产生的不均匀沉降，可通过加大盖层厚度、在建筑垃圾与周围边坡结合部位加大盖层坡度的方法来进行防范。对由于地基土体的非均匀性而产生的不均匀沉降，可通过开挖、压实或换土的方法减小其压缩性在空间上的差异，从而使不均匀沉降减小到可以接受的程度。</w:t>
      </w:r>
    </w:p>
    <w:p>
      <w:pPr>
        <w:spacing w:line="360" w:lineRule="auto"/>
        <w:ind w:firstLine="480" w:firstLineChars="200"/>
        <w:rPr>
          <w:color w:val="auto"/>
        </w:rPr>
      </w:pPr>
      <w:r>
        <w:rPr>
          <w:color w:val="auto"/>
        </w:rPr>
        <w:t>因此，因地基因素而导致的消纳场地塌陷的可能性很小</w:t>
      </w:r>
      <w:r>
        <w:rPr>
          <w:rFonts w:hint="eastAsia"/>
          <w:color w:val="auto"/>
        </w:rPr>
        <w:t>。</w:t>
      </w:r>
    </w:p>
    <w:p>
      <w:pPr>
        <w:autoSpaceDE w:val="0"/>
        <w:autoSpaceDN w:val="0"/>
        <w:adjustRightInd w:val="0"/>
        <w:spacing w:line="360" w:lineRule="auto"/>
        <w:ind w:firstLine="480" w:firstLineChars="200"/>
        <w:rPr>
          <w:color w:val="auto"/>
          <w:kern w:val="0"/>
        </w:rPr>
      </w:pPr>
      <w:r>
        <w:rPr>
          <w:rFonts w:hint="eastAsia"/>
          <w:color w:val="auto"/>
          <w:kern w:val="0"/>
        </w:rPr>
        <w:t>8、消纳场</w:t>
      </w:r>
      <w:r>
        <w:rPr>
          <w:color w:val="auto"/>
          <w:kern w:val="0"/>
        </w:rPr>
        <w:t>其它安全技术措施</w:t>
      </w:r>
    </w:p>
    <w:p>
      <w:pPr>
        <w:autoSpaceDE w:val="0"/>
        <w:autoSpaceDN w:val="0"/>
        <w:adjustRightInd w:val="0"/>
        <w:spacing w:line="360" w:lineRule="auto"/>
        <w:ind w:firstLine="480" w:firstLineChars="200"/>
        <w:rPr>
          <w:color w:val="auto"/>
          <w:kern w:val="0"/>
        </w:rPr>
      </w:pPr>
      <w:r>
        <w:rPr>
          <w:rFonts w:hint="eastAsia"/>
          <w:color w:val="auto"/>
          <w:kern w:val="0"/>
        </w:rPr>
        <w:t>①消纳场</w:t>
      </w:r>
      <w:r>
        <w:rPr>
          <w:color w:val="auto"/>
          <w:kern w:val="0"/>
        </w:rPr>
        <w:t>设计合理坡度、宽度及路面等级的道路，明示填埋作业区及进出道路；</w:t>
      </w:r>
    </w:p>
    <w:p>
      <w:pPr>
        <w:autoSpaceDE w:val="0"/>
        <w:autoSpaceDN w:val="0"/>
        <w:adjustRightInd w:val="0"/>
        <w:spacing w:line="360" w:lineRule="auto"/>
        <w:ind w:firstLine="480" w:firstLineChars="200"/>
        <w:rPr>
          <w:color w:val="auto"/>
          <w:kern w:val="0"/>
        </w:rPr>
      </w:pPr>
      <w:r>
        <w:rPr>
          <w:rFonts w:hint="eastAsia"/>
          <w:color w:val="auto"/>
          <w:kern w:val="0"/>
        </w:rPr>
        <w:t>②</w:t>
      </w:r>
      <w:r>
        <w:rPr>
          <w:color w:val="auto"/>
          <w:kern w:val="0"/>
        </w:rPr>
        <w:t>建立完善的地下水监测系统，加强地下水水质监测，一旦地下水监测井的水质发生异常，应及时通知有关管理部门和当地居民做好应急防范工作并采取相应的防护措施。</w:t>
      </w:r>
    </w:p>
    <w:p>
      <w:pPr>
        <w:autoSpaceDE w:val="0"/>
        <w:autoSpaceDN w:val="0"/>
        <w:adjustRightInd w:val="0"/>
        <w:spacing w:line="360" w:lineRule="auto"/>
        <w:rPr>
          <w:color w:val="auto"/>
          <w:kern w:val="0"/>
        </w:rPr>
      </w:pPr>
      <w:r>
        <w:rPr>
          <w:b/>
          <w:color w:val="auto"/>
          <w:kern w:val="0"/>
        </w:rPr>
        <w:t>6.2.</w:t>
      </w:r>
      <w:r>
        <w:rPr>
          <w:rFonts w:hint="eastAsia"/>
          <w:b/>
          <w:color w:val="auto"/>
          <w:kern w:val="0"/>
          <w:lang w:val="en-US" w:eastAsia="zh-CN"/>
        </w:rPr>
        <w:t>7</w:t>
      </w:r>
      <w:r>
        <w:rPr>
          <w:b/>
          <w:color w:val="auto"/>
          <w:kern w:val="0"/>
        </w:rPr>
        <w:t>.</w:t>
      </w:r>
      <w:r>
        <w:rPr>
          <w:rFonts w:hint="eastAsia"/>
          <w:b/>
          <w:color w:val="auto"/>
          <w:kern w:val="0"/>
        </w:rPr>
        <w:t>3</w:t>
      </w:r>
      <w:r>
        <w:rPr>
          <w:color w:val="auto"/>
          <w:kern w:val="0"/>
        </w:rPr>
        <w:t xml:space="preserve"> </w:t>
      </w:r>
      <w:r>
        <w:rPr>
          <w:b/>
          <w:color w:val="auto"/>
          <w:kern w:val="0"/>
        </w:rPr>
        <w:t>事故应急处置措施</w:t>
      </w:r>
    </w:p>
    <w:p>
      <w:pPr>
        <w:autoSpaceDE w:val="0"/>
        <w:autoSpaceDN w:val="0"/>
        <w:adjustRightInd w:val="0"/>
        <w:spacing w:line="360" w:lineRule="auto"/>
        <w:ind w:firstLine="480" w:firstLineChars="200"/>
        <w:jc w:val="both"/>
        <w:rPr>
          <w:color w:val="auto"/>
          <w:kern w:val="0"/>
        </w:rPr>
      </w:pPr>
      <w:r>
        <w:rPr>
          <w:color w:val="auto"/>
          <w:kern w:val="0"/>
        </w:rPr>
        <w:t>为了有效地处理风险事故，应有切实可行的处置措施。项目风险事故应急措施包括设备器材、事故现场指挥、救护、通讯等系统的建立、现场应急措施方案、事故危害监测队伍、现场撤离和善后措施方案等。</w:t>
      </w:r>
    </w:p>
    <w:p>
      <w:pPr>
        <w:autoSpaceDE w:val="0"/>
        <w:autoSpaceDN w:val="0"/>
        <w:adjustRightInd w:val="0"/>
        <w:spacing w:line="360" w:lineRule="auto"/>
        <w:ind w:firstLine="480" w:firstLineChars="200"/>
        <w:jc w:val="both"/>
        <w:rPr>
          <w:color w:val="auto"/>
          <w:kern w:val="0"/>
        </w:rPr>
      </w:pPr>
      <w:r>
        <w:rPr>
          <w:color w:val="auto"/>
          <w:kern w:val="0"/>
        </w:rPr>
        <w:t>1、项目建成后，公司应立即建立有完善的管理制度，内容涵盖生产、供应、销售、安全、环保各方面，通过完善的制度保障应急救援行动的有效启动和实施设立应急报警、通讯系统以及事故处置管理体系。</w:t>
      </w:r>
    </w:p>
    <w:p>
      <w:pPr>
        <w:autoSpaceDE w:val="0"/>
        <w:autoSpaceDN w:val="0"/>
        <w:adjustRightInd w:val="0"/>
        <w:spacing w:line="360" w:lineRule="auto"/>
        <w:ind w:firstLine="480" w:firstLineChars="200"/>
        <w:jc w:val="both"/>
        <w:rPr>
          <w:color w:val="auto"/>
          <w:kern w:val="0"/>
        </w:rPr>
      </w:pPr>
      <w:r>
        <w:rPr>
          <w:color w:val="auto"/>
          <w:kern w:val="0"/>
        </w:rPr>
        <w:t>2、制定有效处理事故的应急行动方案，并得到有关部门的认可，能与有关部门有效配合。</w:t>
      </w:r>
    </w:p>
    <w:p>
      <w:pPr>
        <w:autoSpaceDE w:val="0"/>
        <w:autoSpaceDN w:val="0"/>
        <w:adjustRightInd w:val="0"/>
        <w:spacing w:line="360" w:lineRule="auto"/>
        <w:ind w:firstLine="480" w:firstLineChars="200"/>
        <w:jc w:val="both"/>
        <w:rPr>
          <w:color w:val="auto"/>
          <w:kern w:val="0"/>
        </w:rPr>
      </w:pPr>
      <w:r>
        <w:rPr>
          <w:color w:val="auto"/>
          <w:kern w:val="0"/>
        </w:rPr>
        <w:t>3、明确职责，并落实到具体部门及负责人员。</w:t>
      </w:r>
    </w:p>
    <w:p>
      <w:pPr>
        <w:autoSpaceDE w:val="0"/>
        <w:autoSpaceDN w:val="0"/>
        <w:adjustRightInd w:val="0"/>
        <w:spacing w:line="360" w:lineRule="auto"/>
        <w:ind w:firstLine="480" w:firstLineChars="200"/>
        <w:jc w:val="both"/>
        <w:rPr>
          <w:color w:val="auto"/>
          <w:kern w:val="0"/>
        </w:rPr>
      </w:pPr>
      <w:r>
        <w:rPr>
          <w:color w:val="auto"/>
          <w:kern w:val="0"/>
        </w:rPr>
        <w:t>4、制定控制和减少事故影响范围、程度以及补救行动的实施计划。</w:t>
      </w:r>
    </w:p>
    <w:p>
      <w:pPr>
        <w:autoSpaceDE w:val="0"/>
        <w:autoSpaceDN w:val="0"/>
        <w:adjustRightInd w:val="0"/>
        <w:spacing w:line="360" w:lineRule="auto"/>
        <w:ind w:firstLine="480" w:firstLineChars="200"/>
        <w:jc w:val="both"/>
        <w:rPr>
          <w:color w:val="auto"/>
          <w:kern w:val="0"/>
        </w:rPr>
      </w:pPr>
      <w:r>
        <w:rPr>
          <w:color w:val="auto"/>
          <w:kern w:val="0"/>
        </w:rPr>
        <w:t>5、对事故现场管理以及事故处置全过程的监督，应由富有事故处置经验的人员或有关部门工作人员承担。</w:t>
      </w:r>
    </w:p>
    <w:p>
      <w:pPr>
        <w:autoSpaceDE w:val="0"/>
        <w:autoSpaceDN w:val="0"/>
        <w:adjustRightInd w:val="0"/>
        <w:spacing w:line="360" w:lineRule="auto"/>
        <w:ind w:firstLine="480" w:firstLineChars="200"/>
        <w:jc w:val="both"/>
        <w:rPr>
          <w:color w:val="auto"/>
          <w:kern w:val="0"/>
        </w:rPr>
      </w:pPr>
      <w:r>
        <w:rPr>
          <w:color w:val="auto"/>
          <w:kern w:val="0"/>
        </w:rPr>
        <w:t>6、应切实落实环境风险应急预案要求，定期（至少每年一次）组织、安排开展环境应急演练，用以检验应急救援方案、锻炼队伍。</w:t>
      </w:r>
    </w:p>
    <w:bookmarkEnd w:id="817"/>
    <w:bookmarkEnd w:id="818"/>
    <w:bookmarkEnd w:id="819"/>
    <w:bookmarkEnd w:id="820"/>
    <w:bookmarkEnd w:id="821"/>
    <w:bookmarkEnd w:id="822"/>
    <w:bookmarkEnd w:id="823"/>
    <w:p>
      <w:pPr>
        <w:pStyle w:val="4"/>
        <w:numPr>
          <w:ilvl w:val="0"/>
          <w:numId w:val="0"/>
        </w:numPr>
        <w:tabs>
          <w:tab w:val="clear" w:pos="680"/>
        </w:tabs>
        <w:ind w:left="720" w:hanging="720"/>
        <w:rPr>
          <w:b/>
          <w:color w:val="auto"/>
        </w:rPr>
      </w:pPr>
      <w:bookmarkStart w:id="824" w:name="_Toc14946933"/>
      <w:bookmarkStart w:id="825" w:name="_Toc212525057"/>
      <w:bookmarkStart w:id="826" w:name="_Toc207679983"/>
      <w:bookmarkStart w:id="827" w:name="_Toc476489832"/>
      <w:bookmarkStart w:id="828" w:name="_Toc20074"/>
      <w:bookmarkStart w:id="829" w:name="_Toc34234762"/>
      <w:bookmarkStart w:id="830" w:name="_Toc478481684"/>
      <w:bookmarkStart w:id="831" w:name="_Toc480964494"/>
      <w:bookmarkStart w:id="832" w:name="_Toc24136846"/>
      <w:bookmarkStart w:id="833" w:name="_Toc483263441"/>
      <w:bookmarkStart w:id="834" w:name="_Toc15912227"/>
      <w:bookmarkStart w:id="835" w:name="_Toc384881835"/>
      <w:bookmarkStart w:id="836" w:name="_Toc450814980"/>
      <w:r>
        <w:rPr>
          <w:rFonts w:hint="eastAsia"/>
          <w:b/>
          <w:color w:val="auto"/>
        </w:rPr>
        <w:t>6</w:t>
      </w:r>
      <w:r>
        <w:rPr>
          <w:b/>
          <w:color w:val="auto"/>
        </w:rPr>
        <w:t>.2.</w:t>
      </w:r>
      <w:r>
        <w:rPr>
          <w:rFonts w:hint="eastAsia"/>
          <w:b/>
          <w:color w:val="auto"/>
        </w:rPr>
        <w:t>8</w:t>
      </w:r>
      <w:r>
        <w:rPr>
          <w:b/>
          <w:color w:val="auto"/>
        </w:rPr>
        <w:t>环境风险应急预案</w:t>
      </w:r>
      <w:bookmarkEnd w:id="824"/>
      <w:bookmarkEnd w:id="825"/>
      <w:bookmarkEnd w:id="826"/>
      <w:bookmarkEnd w:id="827"/>
      <w:bookmarkEnd w:id="828"/>
      <w:bookmarkEnd w:id="829"/>
      <w:bookmarkEnd w:id="830"/>
      <w:bookmarkEnd w:id="831"/>
      <w:bookmarkEnd w:id="832"/>
      <w:bookmarkEnd w:id="833"/>
      <w:bookmarkEnd w:id="834"/>
      <w:bookmarkEnd w:id="835"/>
      <w:bookmarkEnd w:id="836"/>
    </w:p>
    <w:p>
      <w:pPr>
        <w:spacing w:line="360" w:lineRule="auto"/>
        <w:ind w:firstLine="480" w:firstLineChars="200"/>
        <w:rPr>
          <w:color w:val="auto"/>
        </w:rPr>
      </w:pPr>
      <w:bookmarkStart w:id="837" w:name="_Toc476056100"/>
      <w:bookmarkStart w:id="838" w:name="_Toc478481685"/>
      <w:bookmarkStart w:id="839" w:name="_Toc476489833"/>
      <w:bookmarkStart w:id="840" w:name="_Toc476490667"/>
      <w:bookmarkStart w:id="841" w:name="_Toc483263442"/>
      <w:bookmarkStart w:id="842" w:name="_Toc480964495"/>
      <w:r>
        <w:rPr>
          <w:color w:val="auto"/>
        </w:rPr>
        <w:t>应急预案是在贯彻预防为主的前提下，对建设项目可能出现的事故，为及时控制危害源，抢救受害人员，指导居民防护和组织撤离，消除危害后果而组织的救援活动的预想方案。</w:t>
      </w:r>
      <w:bookmarkEnd w:id="837"/>
      <w:bookmarkEnd w:id="838"/>
      <w:bookmarkEnd w:id="839"/>
      <w:bookmarkEnd w:id="840"/>
      <w:bookmarkEnd w:id="841"/>
      <w:bookmarkEnd w:id="842"/>
    </w:p>
    <w:p>
      <w:pPr>
        <w:pStyle w:val="6"/>
        <w:keepLines w:val="0"/>
        <w:widowControl/>
        <w:numPr>
          <w:ilvl w:val="0"/>
          <w:numId w:val="0"/>
        </w:numPr>
        <w:tabs>
          <w:tab w:val="clear" w:pos="680"/>
        </w:tabs>
        <w:spacing w:before="0" w:after="0" w:line="360" w:lineRule="auto"/>
        <w:jc w:val="both"/>
        <w:rPr>
          <w:rFonts w:ascii="Times New Roman" w:hAnsi="Times New Roman" w:eastAsiaTheme="minorEastAsia"/>
          <w:color w:val="auto"/>
          <w:sz w:val="24"/>
          <w:szCs w:val="24"/>
        </w:rPr>
      </w:pPr>
      <w:r>
        <w:rPr>
          <w:rFonts w:ascii="Times New Roman" w:hAnsi="Times New Roman" w:eastAsiaTheme="minorEastAsia"/>
          <w:color w:val="auto"/>
          <w:sz w:val="24"/>
          <w:szCs w:val="24"/>
        </w:rPr>
        <w:t>6.2.</w:t>
      </w:r>
      <w:r>
        <w:rPr>
          <w:rFonts w:hint="eastAsia" w:ascii="Times New Roman" w:hAnsi="Times New Roman" w:eastAsiaTheme="minorEastAsia"/>
          <w:color w:val="auto"/>
          <w:sz w:val="24"/>
          <w:szCs w:val="24"/>
        </w:rPr>
        <w:t>8</w:t>
      </w:r>
      <w:r>
        <w:rPr>
          <w:rFonts w:ascii="Times New Roman" w:hAnsi="Times New Roman" w:eastAsiaTheme="minorEastAsia"/>
          <w:color w:val="auto"/>
          <w:sz w:val="24"/>
          <w:szCs w:val="24"/>
        </w:rPr>
        <w:t>.1环境风险源监控</w:t>
      </w:r>
    </w:p>
    <w:p>
      <w:pPr>
        <w:autoSpaceDE w:val="0"/>
        <w:autoSpaceDN w:val="0"/>
        <w:spacing w:line="360" w:lineRule="auto"/>
        <w:ind w:firstLine="480"/>
        <w:rPr>
          <w:color w:val="auto"/>
        </w:rPr>
      </w:pPr>
      <w:r>
        <w:rPr>
          <w:rFonts w:hint="eastAsia"/>
          <w:color w:val="auto"/>
        </w:rPr>
        <w:t>（1）公司安全管理人员定期对设备进行安全检查，对可能发生的安全生产事故进行估计；</w:t>
      </w:r>
    </w:p>
    <w:p>
      <w:pPr>
        <w:autoSpaceDE w:val="0"/>
        <w:autoSpaceDN w:val="0"/>
        <w:spacing w:line="360" w:lineRule="auto"/>
        <w:ind w:firstLine="480"/>
        <w:rPr>
          <w:color w:val="auto"/>
        </w:rPr>
      </w:pPr>
      <w:r>
        <w:rPr>
          <w:rFonts w:hint="eastAsia"/>
          <w:color w:val="auto"/>
        </w:rPr>
        <w:t>（2）厂区安装有摄像头，进行24 小时闭路电视监控；</w:t>
      </w:r>
    </w:p>
    <w:p>
      <w:pPr>
        <w:autoSpaceDE w:val="0"/>
        <w:autoSpaceDN w:val="0"/>
        <w:spacing w:line="360" w:lineRule="auto"/>
        <w:ind w:firstLine="480"/>
        <w:rPr>
          <w:color w:val="auto"/>
        </w:rPr>
      </w:pPr>
      <w:r>
        <w:rPr>
          <w:rFonts w:hint="eastAsia"/>
          <w:color w:val="auto"/>
        </w:rPr>
        <w:t>（3）公司对各危险点每天进行巡查，化学品仓库、危废暂存区每天至少3 次，车间每天至少2 次；</w:t>
      </w:r>
    </w:p>
    <w:p>
      <w:pPr>
        <w:autoSpaceDE w:val="0"/>
        <w:autoSpaceDN w:val="0"/>
        <w:spacing w:line="360" w:lineRule="auto"/>
        <w:ind w:firstLine="480"/>
        <w:rPr>
          <w:color w:val="auto"/>
        </w:rPr>
      </w:pPr>
      <w:r>
        <w:rPr>
          <w:rFonts w:hint="eastAsia"/>
          <w:color w:val="auto"/>
        </w:rPr>
        <w:t>（4）做好巡查记录，一旦发现问题及时进行处理，以免事故扩大化；</w:t>
      </w:r>
    </w:p>
    <w:p>
      <w:pPr>
        <w:autoSpaceDE w:val="0"/>
        <w:autoSpaceDN w:val="0"/>
        <w:spacing w:line="360" w:lineRule="auto"/>
        <w:ind w:firstLine="480"/>
        <w:rPr>
          <w:color w:val="auto"/>
        </w:rPr>
      </w:pPr>
      <w:r>
        <w:rPr>
          <w:rFonts w:hint="eastAsia"/>
          <w:color w:val="auto"/>
        </w:rPr>
        <w:t>（5）车间负责人每天对本车间管道设备、仓库进行巡查，并做好巡查记录，一旦发现问题及时进行处理，以免事故扩大化。</w:t>
      </w:r>
    </w:p>
    <w:p>
      <w:pPr>
        <w:pStyle w:val="6"/>
        <w:keepLines w:val="0"/>
        <w:widowControl/>
        <w:numPr>
          <w:ilvl w:val="0"/>
          <w:numId w:val="0"/>
        </w:numPr>
        <w:tabs>
          <w:tab w:val="clear" w:pos="680"/>
        </w:tabs>
        <w:spacing w:before="0" w:after="0" w:line="360" w:lineRule="auto"/>
        <w:jc w:val="both"/>
        <w:rPr>
          <w:rFonts w:ascii="Times New Roman" w:hAnsi="Times New Roman" w:eastAsiaTheme="minorEastAsia"/>
          <w:color w:val="auto"/>
          <w:sz w:val="24"/>
          <w:szCs w:val="24"/>
        </w:rPr>
      </w:pPr>
      <w:r>
        <w:rPr>
          <w:rFonts w:ascii="Times New Roman" w:hAnsi="Times New Roman" w:eastAsiaTheme="minorEastAsia"/>
          <w:color w:val="auto"/>
          <w:sz w:val="24"/>
          <w:szCs w:val="24"/>
        </w:rPr>
        <w:t>6.2.</w:t>
      </w:r>
      <w:r>
        <w:rPr>
          <w:rFonts w:hint="eastAsia" w:ascii="Times New Roman" w:hAnsi="Times New Roman" w:eastAsiaTheme="minorEastAsia"/>
          <w:color w:val="auto"/>
          <w:sz w:val="24"/>
          <w:szCs w:val="24"/>
        </w:rPr>
        <w:t>8</w:t>
      </w:r>
      <w:r>
        <w:rPr>
          <w:rFonts w:ascii="Times New Roman" w:hAnsi="Times New Roman" w:eastAsiaTheme="minorEastAsia"/>
          <w:color w:val="auto"/>
          <w:sz w:val="24"/>
          <w:szCs w:val="24"/>
        </w:rPr>
        <w:t>.2应急监测</w:t>
      </w:r>
    </w:p>
    <w:p>
      <w:pPr>
        <w:spacing w:line="360" w:lineRule="auto"/>
        <w:ind w:firstLine="480"/>
        <w:rPr>
          <w:color w:val="auto"/>
        </w:rPr>
      </w:pPr>
      <w:r>
        <w:rPr>
          <w:color w:val="auto"/>
        </w:rPr>
        <w:t>当突发环境污染事件发生后，公司应立即通知梅州市生态环境局兴宁分局和梅州市环境监测站，与相关部门进行联动。委托外部监测公司进行现场的环境监测，在上级环境监测部门到达之后，配合开展取样分析监测工作。</w:t>
      </w:r>
    </w:p>
    <w:p>
      <w:pPr>
        <w:pStyle w:val="6"/>
        <w:keepLines w:val="0"/>
        <w:widowControl/>
        <w:numPr>
          <w:ilvl w:val="0"/>
          <w:numId w:val="0"/>
        </w:numPr>
        <w:tabs>
          <w:tab w:val="clear" w:pos="680"/>
        </w:tabs>
        <w:spacing w:before="0" w:after="0" w:line="360" w:lineRule="auto"/>
        <w:jc w:val="both"/>
        <w:rPr>
          <w:rFonts w:ascii="Times New Roman" w:hAnsi="Times New Roman" w:eastAsiaTheme="minorEastAsia"/>
          <w:color w:val="auto"/>
          <w:sz w:val="24"/>
          <w:szCs w:val="24"/>
        </w:rPr>
      </w:pPr>
      <w:r>
        <w:rPr>
          <w:rFonts w:ascii="Times New Roman" w:hAnsi="Times New Roman" w:eastAsiaTheme="minorEastAsia"/>
          <w:color w:val="auto"/>
          <w:sz w:val="24"/>
          <w:szCs w:val="24"/>
        </w:rPr>
        <w:t>6.2.</w:t>
      </w:r>
      <w:r>
        <w:rPr>
          <w:rFonts w:hint="eastAsia" w:ascii="Times New Roman" w:hAnsi="Times New Roman" w:eastAsiaTheme="minorEastAsia"/>
          <w:color w:val="auto"/>
          <w:sz w:val="24"/>
          <w:szCs w:val="24"/>
        </w:rPr>
        <w:t>8</w:t>
      </w:r>
      <w:r>
        <w:rPr>
          <w:rFonts w:ascii="Times New Roman" w:hAnsi="Times New Roman" w:eastAsiaTheme="minorEastAsia"/>
          <w:color w:val="auto"/>
          <w:sz w:val="24"/>
          <w:szCs w:val="24"/>
        </w:rPr>
        <w:t>.3应急物资、人员管理要求</w:t>
      </w:r>
    </w:p>
    <w:p>
      <w:pPr>
        <w:autoSpaceDE w:val="0"/>
        <w:autoSpaceDN w:val="0"/>
        <w:adjustRightInd w:val="0"/>
        <w:spacing w:line="360" w:lineRule="auto"/>
        <w:ind w:firstLine="480" w:firstLineChars="200"/>
        <w:rPr>
          <w:color w:val="auto"/>
        </w:rPr>
      </w:pPr>
      <w:r>
        <w:rPr>
          <w:color w:val="auto"/>
        </w:rPr>
        <w:t>公司应组织开展环境污染事故应急处置工作，建立一支环境污染事故现场承担现场抢险和应急救援队伍，并配备必要的物资装备。公司财务部门按照规定在成本中列支，专门用于完善和改进公司应急救援体系建设、监控设备定期检测、应急救援物资采购、应急救援演习和应急人员培训等。厂长及财务部门应确保应急费用专款专用。一旦发生事故，应急各成员小组所需的事故应急救援工作经费不受预算限制，由公司财务部门落实拨付手续，保障应急经费的及时到位。</w:t>
      </w:r>
    </w:p>
    <w:p>
      <w:pPr>
        <w:pStyle w:val="6"/>
        <w:keepLines w:val="0"/>
        <w:widowControl/>
        <w:numPr>
          <w:ilvl w:val="0"/>
          <w:numId w:val="0"/>
        </w:numPr>
        <w:tabs>
          <w:tab w:val="clear" w:pos="680"/>
        </w:tabs>
        <w:spacing w:before="0" w:after="0" w:line="360" w:lineRule="auto"/>
        <w:jc w:val="both"/>
        <w:rPr>
          <w:rFonts w:ascii="Times New Roman" w:hAnsi="Times New Roman" w:eastAsiaTheme="minorEastAsia"/>
          <w:color w:val="auto"/>
          <w:sz w:val="24"/>
          <w:szCs w:val="24"/>
        </w:rPr>
      </w:pPr>
      <w:r>
        <w:rPr>
          <w:rFonts w:ascii="Times New Roman" w:hAnsi="Times New Roman" w:eastAsiaTheme="minorEastAsia"/>
          <w:color w:val="auto"/>
          <w:sz w:val="24"/>
          <w:szCs w:val="24"/>
        </w:rPr>
        <w:t>6.2.</w:t>
      </w:r>
      <w:r>
        <w:rPr>
          <w:rFonts w:hint="eastAsia" w:ascii="Times New Roman" w:hAnsi="Times New Roman" w:eastAsiaTheme="minorEastAsia"/>
          <w:color w:val="auto"/>
          <w:sz w:val="24"/>
          <w:szCs w:val="24"/>
        </w:rPr>
        <w:t>8</w:t>
      </w:r>
      <w:r>
        <w:rPr>
          <w:rFonts w:ascii="Times New Roman" w:hAnsi="Times New Roman" w:eastAsiaTheme="minorEastAsia"/>
          <w:color w:val="auto"/>
          <w:sz w:val="24"/>
          <w:szCs w:val="24"/>
        </w:rPr>
        <w:t>.4环境风险防控体系</w:t>
      </w:r>
    </w:p>
    <w:p>
      <w:pPr>
        <w:autoSpaceDE w:val="0"/>
        <w:autoSpaceDN w:val="0"/>
        <w:adjustRightInd w:val="0"/>
        <w:spacing w:line="360" w:lineRule="auto"/>
        <w:ind w:firstLine="480"/>
        <w:rPr>
          <w:color w:val="auto"/>
        </w:rPr>
      </w:pPr>
      <w:r>
        <w:rPr>
          <w:color w:val="auto"/>
        </w:rPr>
        <w:t>将项目的突发环境事件分为车间级、厂区级和厂外级突发环境事件。厂外级突发环境事件，为污染物对厂界外有重大影响的事故，废气处理装置故障，污染周围大气环境，工厂火灾无法控制、火灾迅速蔓延，公司应急处置能力已无法控制险情，需要地方政府或外单位应急救援队伍支援的。当发生厂外级突发环境事件时，需要立即上报梅州市生态环境局兴宁分局，由其对应现场情况启动应急预案。本项目还应与在建的焚烧发电项目建立联动机制，当发生事故时立即联系园区内的在建其他项目，借助周边项目应急设施、设备等应急资源及力量对突发环境事件进行处置。</w:t>
      </w:r>
    </w:p>
    <w:p>
      <w:pPr>
        <w:autoSpaceDE w:val="0"/>
        <w:autoSpaceDN w:val="0"/>
        <w:adjustRightInd w:val="0"/>
        <w:spacing w:line="360" w:lineRule="auto"/>
        <w:ind w:firstLine="480"/>
        <w:rPr>
          <w:color w:val="auto"/>
        </w:rPr>
      </w:pPr>
      <w:r>
        <w:rPr>
          <w:color w:val="auto"/>
        </w:rPr>
        <w:t>通过上下、友邻的通力配合，确保以最短的时间、最少的资源将事件影响、污染水平降至最低。</w:t>
      </w:r>
    </w:p>
    <w:p>
      <w:pPr>
        <w:spacing w:line="360" w:lineRule="auto"/>
        <w:rPr>
          <w:b/>
          <w:color w:val="auto"/>
        </w:rPr>
      </w:pPr>
      <w:bookmarkStart w:id="843" w:name="_Toc212525062"/>
      <w:bookmarkStart w:id="844" w:name="_Toc207679988"/>
      <w:r>
        <w:rPr>
          <w:b/>
          <w:color w:val="auto"/>
        </w:rPr>
        <w:t>6.2.</w:t>
      </w:r>
      <w:r>
        <w:rPr>
          <w:rFonts w:hint="eastAsia"/>
          <w:b/>
          <w:color w:val="auto"/>
        </w:rPr>
        <w:t>8</w:t>
      </w:r>
      <w:r>
        <w:rPr>
          <w:b/>
          <w:color w:val="auto"/>
        </w:rPr>
        <w:t>.5应急准备措施</w:t>
      </w:r>
    </w:p>
    <w:p>
      <w:pPr>
        <w:spacing w:line="360" w:lineRule="auto"/>
        <w:ind w:firstLine="480" w:firstLineChars="200"/>
        <w:jc w:val="both"/>
        <w:rPr>
          <w:color w:val="auto"/>
        </w:rPr>
      </w:pPr>
      <w:r>
        <w:rPr>
          <w:color w:val="auto"/>
        </w:rPr>
        <w:t>（1）应急物资及器材管理</w:t>
      </w:r>
    </w:p>
    <w:p>
      <w:pPr>
        <w:spacing w:line="360" w:lineRule="auto"/>
        <w:ind w:firstLine="480" w:firstLineChars="200"/>
        <w:jc w:val="both"/>
        <w:rPr>
          <w:color w:val="auto"/>
        </w:rPr>
      </w:pPr>
      <w:r>
        <w:rPr>
          <w:color w:val="auto"/>
        </w:rPr>
        <w:t>公司按设计规范要求配备消防、环保、监控等安全环保物资及器材；指定专人管理应急物资及器材，对过期的物资按管理规定报废处理；对灭火器等器材定期送检；加强对各放置应急物资、器材的位置进行检查，保证标示清晰、物资及器材完好；根据需要及时向公司申请补充及添加应急物资及器材。</w:t>
      </w:r>
    </w:p>
    <w:p>
      <w:pPr>
        <w:spacing w:line="360" w:lineRule="auto"/>
        <w:ind w:firstLine="480" w:firstLineChars="200"/>
        <w:jc w:val="both"/>
        <w:rPr>
          <w:color w:val="auto"/>
        </w:rPr>
      </w:pPr>
      <w:r>
        <w:rPr>
          <w:color w:val="auto"/>
        </w:rPr>
        <w:t>（2）定期培训和演练</w:t>
      </w:r>
    </w:p>
    <w:p>
      <w:pPr>
        <w:spacing w:line="360" w:lineRule="auto"/>
        <w:ind w:firstLine="480" w:firstLineChars="200"/>
        <w:jc w:val="both"/>
        <w:rPr>
          <w:color w:val="auto"/>
        </w:rPr>
      </w:pPr>
      <w:r>
        <w:rPr>
          <w:color w:val="auto"/>
        </w:rPr>
        <w:t>定期进行人员专业知识、应急技能培训，提高生产、管理人员的安全技能及环保意识；岗位操作严格穿戴劳保用品，制定安全操作规程；定期进行应急演练，或根据上级要求进行协同演练，提高应急能力。</w:t>
      </w:r>
    </w:p>
    <w:p>
      <w:pPr>
        <w:spacing w:line="360" w:lineRule="auto"/>
        <w:ind w:firstLine="480" w:firstLineChars="200"/>
        <w:jc w:val="both"/>
        <w:rPr>
          <w:color w:val="auto"/>
        </w:rPr>
      </w:pPr>
      <w:r>
        <w:rPr>
          <w:color w:val="auto"/>
        </w:rPr>
        <w:t>（3）突发环境事件应急预案发至所属各职能班组；各班组将有关环境管理规定和应急处置办法、紧急情况下的应急联络电话，在相关岗位的显要位置上墙悬挂或张贴，使每位具体操作岗位的员工熟练掌握。</w:t>
      </w:r>
    </w:p>
    <w:bookmarkEnd w:id="843"/>
    <w:bookmarkEnd w:id="844"/>
    <w:p>
      <w:pPr>
        <w:pStyle w:val="4"/>
        <w:numPr>
          <w:ilvl w:val="0"/>
          <w:numId w:val="0"/>
        </w:numPr>
        <w:tabs>
          <w:tab w:val="clear" w:pos="680"/>
        </w:tabs>
        <w:rPr>
          <w:b/>
          <w:color w:val="auto"/>
        </w:rPr>
      </w:pPr>
      <w:bookmarkStart w:id="845" w:name="_Toc15864"/>
      <w:bookmarkStart w:id="846" w:name="_Toc34234763"/>
      <w:r>
        <w:rPr>
          <w:rFonts w:hint="eastAsia"/>
          <w:b/>
          <w:color w:val="auto"/>
        </w:rPr>
        <w:t>6.2.9运营期、封场后生态恢复措施</w:t>
      </w:r>
      <w:bookmarkEnd w:id="845"/>
      <w:bookmarkEnd w:id="846"/>
    </w:p>
    <w:p>
      <w:pPr>
        <w:pStyle w:val="6"/>
        <w:numPr>
          <w:ilvl w:val="0"/>
          <w:numId w:val="0"/>
        </w:numPr>
        <w:tabs>
          <w:tab w:val="clear" w:pos="680"/>
        </w:tabs>
        <w:spacing w:before="0" w:after="0" w:line="360" w:lineRule="auto"/>
        <w:ind w:left="864" w:hanging="864"/>
        <w:rPr>
          <w:rFonts w:ascii="Times New Roman" w:hAnsi="Times New Roman" w:eastAsiaTheme="minorEastAsia"/>
          <w:color w:val="auto"/>
          <w:sz w:val="24"/>
          <w:szCs w:val="24"/>
        </w:rPr>
      </w:pPr>
      <w:r>
        <w:rPr>
          <w:rFonts w:hint="eastAsia" w:ascii="Times New Roman" w:hAnsi="Times New Roman" w:eastAsiaTheme="minorEastAsia"/>
          <w:color w:val="auto"/>
          <w:sz w:val="24"/>
          <w:szCs w:val="24"/>
        </w:rPr>
        <w:t>6.2.9.1</w:t>
      </w:r>
      <w:r>
        <w:rPr>
          <w:rFonts w:ascii="Times New Roman" w:hAnsi="Times New Roman" w:eastAsiaTheme="minorEastAsia"/>
          <w:color w:val="auto"/>
          <w:sz w:val="24"/>
          <w:szCs w:val="24"/>
        </w:rPr>
        <w:t>生态恢复措施</w:t>
      </w:r>
    </w:p>
    <w:p>
      <w:pPr>
        <w:spacing w:line="360" w:lineRule="auto"/>
        <w:ind w:firstLine="480"/>
        <w:rPr>
          <w:color w:val="auto"/>
        </w:rPr>
      </w:pPr>
      <w:r>
        <w:rPr>
          <w:rFonts w:hint="eastAsia"/>
          <w:color w:val="auto"/>
        </w:rPr>
        <w:t>根据本工程的特点，项目对生态环境的破坏可以分为长期性和短期性，生态恢复时相对于生态破坏而言的。生态破坏可以理解为生态系统的结构发生变化、功能退化或丧失、关系紊乱等。生态恢复就是采用一定的措施使破坏生态系统的有序演替，恢复系统的合理结构、高效的功能和协调的关系。</w:t>
      </w:r>
    </w:p>
    <w:p>
      <w:pPr>
        <w:spacing w:line="360" w:lineRule="auto"/>
        <w:ind w:firstLine="480"/>
        <w:rPr>
          <w:color w:val="auto"/>
        </w:rPr>
      </w:pPr>
      <w:r>
        <w:rPr>
          <w:rFonts w:hint="eastAsia"/>
          <w:color w:val="auto"/>
        </w:rPr>
        <w:t>本项目填埋场的建设对场区生态环境不可避免的产生一定影响。因而必须采取切实可行生态工程来减少这种影响。应实行生物措施和工程措施相结合的方法。</w:t>
      </w:r>
    </w:p>
    <w:p>
      <w:pPr>
        <w:pStyle w:val="222"/>
        <w:numPr>
          <w:ilvl w:val="0"/>
          <w:numId w:val="15"/>
        </w:numPr>
        <w:spacing w:line="360" w:lineRule="auto"/>
        <w:rPr>
          <w:color w:val="auto"/>
        </w:rPr>
      </w:pPr>
      <w:r>
        <w:rPr>
          <w:rFonts w:hint="eastAsia"/>
          <w:color w:val="auto"/>
        </w:rPr>
        <w:t>生物措施</w:t>
      </w:r>
    </w:p>
    <w:p>
      <w:pPr>
        <w:spacing w:line="360" w:lineRule="auto"/>
        <w:ind w:firstLine="480" w:firstLineChars="200"/>
        <w:rPr>
          <w:color w:val="auto"/>
        </w:rPr>
      </w:pPr>
      <w:r>
        <w:rPr>
          <w:rFonts w:hint="eastAsia"/>
          <w:color w:val="auto"/>
        </w:rPr>
        <w:t>植被可以阻止水土流失，植物的地上部分可以拦截降水，减轻雨滴溅击，削弱降水对土壤的破坏作用；地面的枯枝落叶和草丛，也在保护土壤、增加地面糙率、减缓流速及挂淤等作用；植物根系有穿插、缠绕和盘结土体的作用，可以增加土壤根孔，丰富土壤有机质，改善土壤结构，增加土壤的渗透性能，从而加强土壤的抗蚀冲能力。因此，在运营期间采取边填埋、边恢复的措施，不仅可减少填埋区建设对环境的生态破坏，还可以有效降低水土流失。</w:t>
      </w:r>
    </w:p>
    <w:p>
      <w:pPr>
        <w:spacing w:line="360" w:lineRule="auto"/>
        <w:ind w:firstLine="360" w:firstLineChars="150"/>
        <w:rPr>
          <w:color w:val="auto"/>
        </w:rPr>
      </w:pPr>
      <w:r>
        <w:rPr>
          <w:rFonts w:hint="eastAsia"/>
          <w:color w:val="auto"/>
        </w:rPr>
        <w:t xml:space="preserve"> 对于已完成的堆体，应进行对堆体坡面整形和绿化工程，堆体顶面坡度为5%，并严格按照标准予以覆土，终场覆盖层自上而下做法：100mm厚营养土、500mm厚覆盖支撑土、5mm厚土工复合排水网、1mm厚土工膜、膜下保护层；150mm黏土、排气层；300mm碎石，顶面按坡度5%起坡封场，利于降水的自然排除，以防止雨水冲刷。</w:t>
      </w:r>
    </w:p>
    <w:p>
      <w:pPr>
        <w:pStyle w:val="222"/>
        <w:numPr>
          <w:ilvl w:val="0"/>
          <w:numId w:val="15"/>
        </w:numPr>
        <w:spacing w:line="360" w:lineRule="auto"/>
        <w:rPr>
          <w:color w:val="auto"/>
        </w:rPr>
      </w:pPr>
      <w:r>
        <w:rPr>
          <w:rFonts w:hint="eastAsia"/>
          <w:color w:val="auto"/>
        </w:rPr>
        <w:t>工程措施</w:t>
      </w:r>
    </w:p>
    <w:p>
      <w:pPr>
        <w:spacing w:line="360" w:lineRule="auto"/>
        <w:ind w:firstLine="360" w:firstLineChars="150"/>
        <w:rPr>
          <w:color w:val="auto"/>
        </w:rPr>
      </w:pPr>
      <w:r>
        <w:rPr>
          <w:rFonts w:hint="eastAsia"/>
          <w:color w:val="auto"/>
        </w:rPr>
        <w:t>垃圾填埋场运营过程，其堆体表面压实坡度在不小于2%，封场坡度5%的前提下，应尽可能降低坡度。填埋场区面积较大，遇到大雨暴雨便会增加山水汇集冲刷力，因此要做好场区内集水、排水工程，相互连接贯通形成一个完善的排水防护系统。建设单位拟在填埋场表面平台上设置表面排水沟，将场区内雨水汇流至截洪沟内，将填埋场周边汇流及堆体表面雨水直接排出场外。</w:t>
      </w:r>
    </w:p>
    <w:p>
      <w:pPr>
        <w:pStyle w:val="6"/>
        <w:numPr>
          <w:ilvl w:val="0"/>
          <w:numId w:val="0"/>
        </w:numPr>
        <w:tabs>
          <w:tab w:val="clear" w:pos="680"/>
        </w:tabs>
        <w:spacing w:before="0" w:after="0" w:line="360" w:lineRule="auto"/>
        <w:ind w:left="864" w:hanging="864"/>
        <w:rPr>
          <w:rFonts w:ascii="Times New Roman" w:hAnsi="Times New Roman" w:eastAsiaTheme="minorEastAsia"/>
          <w:color w:val="auto"/>
          <w:sz w:val="24"/>
          <w:szCs w:val="24"/>
        </w:rPr>
      </w:pPr>
      <w:r>
        <w:rPr>
          <w:rFonts w:hint="eastAsia" w:ascii="Times New Roman" w:hAnsi="Times New Roman" w:eastAsiaTheme="minorEastAsia"/>
          <w:color w:val="auto"/>
          <w:sz w:val="24"/>
          <w:szCs w:val="24"/>
        </w:rPr>
        <w:t>6.2.9.2</w:t>
      </w:r>
      <w:r>
        <w:rPr>
          <w:rFonts w:ascii="Times New Roman" w:hAnsi="Times New Roman" w:eastAsiaTheme="minorEastAsia"/>
          <w:color w:val="auto"/>
          <w:sz w:val="24"/>
          <w:szCs w:val="24"/>
        </w:rPr>
        <w:t>生态恢复</w:t>
      </w:r>
      <w:r>
        <w:rPr>
          <w:rFonts w:hint="eastAsia" w:ascii="Times New Roman" w:hAnsi="Times New Roman" w:eastAsiaTheme="minorEastAsia"/>
          <w:color w:val="auto"/>
          <w:sz w:val="24"/>
          <w:szCs w:val="24"/>
        </w:rPr>
        <w:t>方案</w:t>
      </w:r>
    </w:p>
    <w:p>
      <w:pPr>
        <w:spacing w:line="360" w:lineRule="auto"/>
        <w:ind w:firstLine="480"/>
        <w:rPr>
          <w:color w:val="auto"/>
        </w:rPr>
      </w:pPr>
      <w:r>
        <w:rPr>
          <w:color w:val="auto"/>
        </w:rPr>
        <w:fldChar w:fldCharType="begin"/>
      </w:r>
      <w:r>
        <w:rPr>
          <w:color w:val="auto"/>
        </w:rPr>
        <w:instrText xml:space="preserve"> </w:instrText>
      </w:r>
      <w:r>
        <w:rPr>
          <w:rFonts w:hint="eastAsia"/>
          <w:color w:val="auto"/>
        </w:rPr>
        <w:instrText xml:space="preserve">= 1 \* GB3</w:instrText>
      </w:r>
      <w:r>
        <w:rPr>
          <w:color w:val="auto"/>
        </w:rPr>
        <w:instrText xml:space="preserve"> </w:instrText>
      </w:r>
      <w:r>
        <w:rPr>
          <w:color w:val="auto"/>
        </w:rPr>
        <w:fldChar w:fldCharType="separate"/>
      </w:r>
      <w:r>
        <w:rPr>
          <w:rFonts w:hint="eastAsia"/>
          <w:color w:val="auto"/>
        </w:rPr>
        <w:t>①</w:t>
      </w:r>
      <w:r>
        <w:rPr>
          <w:color w:val="auto"/>
        </w:rPr>
        <w:fldChar w:fldCharType="end"/>
      </w:r>
      <w:r>
        <w:rPr>
          <w:rFonts w:hint="eastAsia"/>
          <w:color w:val="auto"/>
        </w:rPr>
        <w:t>植被恢复方案：按照不同植物对填埋堆体覆盖土壤后的生态适宜性，近期内先种植宜生存的草本植物，通过植物根系对土壤进行改善，为灌木、乔木的生产创造条件。待草木群落较稳定时，种植灌木和乔木，逐渐引入生态效应和观赏性更高的植物类群，提高恢复地的生物多样性和系统稳定性。封场后生物量不低于现状生物量。</w:t>
      </w:r>
    </w:p>
    <w:p>
      <w:pPr>
        <w:spacing w:line="360" w:lineRule="auto"/>
        <w:ind w:firstLine="480"/>
        <w:rPr>
          <w:color w:val="auto"/>
        </w:rPr>
      </w:pPr>
      <w:r>
        <w:rPr>
          <w:color w:val="auto"/>
        </w:rPr>
        <w:fldChar w:fldCharType="begin"/>
      </w:r>
      <w:r>
        <w:rPr>
          <w:color w:val="auto"/>
        </w:rPr>
        <w:instrText xml:space="preserve"> </w:instrText>
      </w:r>
      <w:r>
        <w:rPr>
          <w:rFonts w:hint="eastAsia"/>
          <w:color w:val="auto"/>
        </w:rPr>
        <w:instrText xml:space="preserve">= 2 \* GB3</w:instrText>
      </w:r>
      <w:r>
        <w:rPr>
          <w:color w:val="auto"/>
        </w:rPr>
        <w:instrText xml:space="preserve"> </w:instrText>
      </w:r>
      <w:r>
        <w:rPr>
          <w:color w:val="auto"/>
        </w:rPr>
        <w:fldChar w:fldCharType="separate"/>
      </w:r>
      <w:r>
        <w:rPr>
          <w:rFonts w:hint="eastAsia"/>
          <w:color w:val="auto"/>
        </w:rPr>
        <w:t>②</w:t>
      </w:r>
      <w:r>
        <w:rPr>
          <w:color w:val="auto"/>
        </w:rPr>
        <w:fldChar w:fldCharType="end"/>
      </w:r>
      <w:r>
        <w:rPr>
          <w:rFonts w:hint="eastAsia"/>
          <w:color w:val="auto"/>
        </w:rPr>
        <w:t>植被种类筛选：在开展绿化工作前对土壤具体的理化性质（包括主要营养元素的水平、pH、电导率以及有机物含量等）进行全面调查，筛选出抗逆性强，易管护的植被将是成功建植的关键。要选择具有抗性又耐干旱、耐贫瘠，同时需注意乔-灌-本的结合。</w:t>
      </w:r>
    </w:p>
    <w:p>
      <w:pPr>
        <w:spacing w:line="360" w:lineRule="auto"/>
        <w:ind w:firstLine="480"/>
        <w:rPr>
          <w:color w:val="auto"/>
        </w:rPr>
      </w:pPr>
      <w:r>
        <w:rPr>
          <w:color w:val="auto"/>
        </w:rPr>
        <w:fldChar w:fldCharType="begin"/>
      </w:r>
      <w:r>
        <w:rPr>
          <w:color w:val="auto"/>
        </w:rPr>
        <w:instrText xml:space="preserve"> </w:instrText>
      </w:r>
      <w:r>
        <w:rPr>
          <w:rFonts w:hint="eastAsia"/>
          <w:color w:val="auto"/>
        </w:rPr>
        <w:instrText xml:space="preserve">= 3 \* GB3</w:instrText>
      </w:r>
      <w:r>
        <w:rPr>
          <w:color w:val="auto"/>
        </w:rPr>
        <w:instrText xml:space="preserve"> </w:instrText>
      </w:r>
      <w:r>
        <w:rPr>
          <w:color w:val="auto"/>
        </w:rPr>
        <w:fldChar w:fldCharType="separate"/>
      </w:r>
      <w:r>
        <w:rPr>
          <w:rFonts w:hint="eastAsia"/>
          <w:color w:val="auto"/>
        </w:rPr>
        <w:t>③</w:t>
      </w:r>
      <w:r>
        <w:rPr>
          <w:color w:val="auto"/>
        </w:rPr>
        <w:fldChar w:fldCharType="end"/>
      </w:r>
      <w:r>
        <w:rPr>
          <w:rFonts w:hint="eastAsia"/>
          <w:color w:val="auto"/>
        </w:rPr>
        <w:t>生态恢复管理：垃圾填埋场的生态恢复，是一个长期的、动态的过程。初期建立起的植被系统往往较为脆弱、缺乏稳定性，植被在演替过程中还可能出现未能预测到的结果。因此，生态恢复过程的管理十分重要，通过对重建的植被系统进行科学的养管，不断调整绿地植被的种类组成和群落结构，并培育系统的自我更新能力，将系统的必要功能，并达到系统自身维持的状态。</w:t>
      </w:r>
    </w:p>
    <w:p>
      <w:pPr>
        <w:spacing w:line="360" w:lineRule="auto"/>
        <w:ind w:firstLine="480"/>
        <w:rPr>
          <w:color w:val="auto"/>
        </w:rPr>
      </w:pPr>
      <w:r>
        <w:rPr>
          <w:color w:val="auto"/>
        </w:rPr>
        <w:fldChar w:fldCharType="begin"/>
      </w:r>
      <w:r>
        <w:rPr>
          <w:color w:val="auto"/>
        </w:rPr>
        <w:instrText xml:space="preserve"> </w:instrText>
      </w:r>
      <w:r>
        <w:rPr>
          <w:rFonts w:hint="eastAsia"/>
          <w:color w:val="auto"/>
        </w:rPr>
        <w:instrText xml:space="preserve">= 4 \* GB3</w:instrText>
      </w:r>
      <w:r>
        <w:rPr>
          <w:color w:val="auto"/>
        </w:rPr>
        <w:instrText xml:space="preserve"> </w:instrText>
      </w:r>
      <w:r>
        <w:rPr>
          <w:color w:val="auto"/>
        </w:rPr>
        <w:fldChar w:fldCharType="separate"/>
      </w:r>
      <w:r>
        <w:rPr>
          <w:rFonts w:hint="eastAsia"/>
          <w:color w:val="auto"/>
        </w:rPr>
        <w:t>④</w:t>
      </w:r>
      <w:r>
        <w:rPr>
          <w:color w:val="auto"/>
        </w:rPr>
        <w:fldChar w:fldCharType="end"/>
      </w:r>
      <w:r>
        <w:rPr>
          <w:rFonts w:hint="eastAsia"/>
          <w:color w:val="auto"/>
        </w:rPr>
        <w:t>填埋场的稳定性：垃圾填埋场是特殊的次生裸露地，它的稳定性除了填埋堆体外，还有填埋地及周边环境的稳定性。填埋堆体稳定性是一个物理、化学和生化过程交织而又漫长的过程，场地沉降是影响稳定性的主要因素，有研究表面。一般填埋场场地沉降要持续25年以上，其总沉降量为填埋场初期填埋高度的25%-50%，其中90%的沉降是发生在封场后的第1年。影响垃圾填埋场表面沉降的因素有：1）最初的压实程度；2）垃圾的性质和降解情况；3）被压实垃圾产生的固结作用；4）最终覆盖层的高度。垃圾填埋场不稳定将会直接导致局部塌陷和滑坡，因此，在设计和施工过程需特别注意垃圾堆体边坡角度，提高垃圾堆体的稳定性。</w:t>
      </w:r>
    </w:p>
    <w:p>
      <w:pPr>
        <w:spacing w:line="360" w:lineRule="auto"/>
        <w:ind w:firstLine="480"/>
        <w:rPr>
          <w:color w:val="auto"/>
        </w:rPr>
      </w:pPr>
      <w:r>
        <w:rPr>
          <w:rFonts w:hint="eastAsia"/>
          <w:color w:val="auto"/>
        </w:rPr>
        <w:t>填埋作业完毕，要进行闭坑，封场管理，以确保该填埋场安全可靠，并可植树造林或复耕，恢复生态平衡，有效改变景观。应结合项目区域周围植被环境，采取灌草结合方式进行植被恢复。</w:t>
      </w:r>
    </w:p>
    <w:p>
      <w:pPr>
        <w:pStyle w:val="6"/>
        <w:numPr>
          <w:ilvl w:val="0"/>
          <w:numId w:val="0"/>
        </w:numPr>
        <w:tabs>
          <w:tab w:val="clear" w:pos="680"/>
        </w:tabs>
        <w:spacing w:before="0" w:after="0" w:line="360" w:lineRule="auto"/>
        <w:ind w:left="864" w:hanging="864"/>
        <w:rPr>
          <w:rFonts w:ascii="Times New Roman" w:hAnsi="Times New Roman" w:eastAsiaTheme="minorEastAsia"/>
          <w:color w:val="auto"/>
          <w:sz w:val="24"/>
          <w:szCs w:val="24"/>
        </w:rPr>
      </w:pPr>
      <w:r>
        <w:rPr>
          <w:rFonts w:hint="eastAsia" w:ascii="Times New Roman" w:hAnsi="Times New Roman" w:eastAsiaTheme="minorEastAsia"/>
          <w:color w:val="auto"/>
          <w:sz w:val="24"/>
          <w:szCs w:val="24"/>
        </w:rPr>
        <w:t>6.2.9.3管理措施</w:t>
      </w:r>
    </w:p>
    <w:p>
      <w:pPr>
        <w:spacing w:line="360" w:lineRule="auto"/>
        <w:jc w:val="both"/>
        <w:rPr>
          <w:color w:val="auto"/>
        </w:rPr>
      </w:pPr>
      <w:r>
        <w:rPr>
          <w:rFonts w:hint="eastAsia"/>
          <w:color w:val="auto"/>
        </w:rPr>
        <w:t xml:space="preserve">     服务期满后，本环评提出以下管理措施建议：</w:t>
      </w:r>
    </w:p>
    <w:p>
      <w:pPr>
        <w:spacing w:line="360" w:lineRule="auto"/>
        <w:ind w:firstLine="600" w:firstLineChars="250"/>
        <w:jc w:val="both"/>
        <w:rPr>
          <w:color w:val="auto"/>
        </w:rPr>
      </w:pPr>
      <w:r>
        <w:rPr>
          <w:rFonts w:hint="eastAsia"/>
          <w:color w:val="auto"/>
        </w:rPr>
        <w:t xml:space="preserve">（1）建立环境管理机构，形成一套以环境管理为中心的环境管理体系，主要负责填埋场环境保护的规划管理以及环境保护治理设施管理、维修、操作、环境监测业务等。      </w:t>
      </w:r>
    </w:p>
    <w:p>
      <w:pPr>
        <w:spacing w:line="360" w:lineRule="auto"/>
        <w:ind w:firstLine="600" w:firstLineChars="250"/>
        <w:jc w:val="both"/>
        <w:rPr>
          <w:color w:val="auto"/>
        </w:rPr>
      </w:pPr>
      <w:r>
        <w:rPr>
          <w:rFonts w:hint="eastAsia"/>
          <w:color w:val="auto"/>
        </w:rPr>
        <w:t>（2）建议健全垃圾填埋场各项规章制度，根据国家环境标准，对填埋场重点污染源及污染物开展监测工作，定期上报有关主管部门，建立监测档案。</w:t>
      </w:r>
    </w:p>
    <w:p>
      <w:pPr>
        <w:spacing w:line="360" w:lineRule="auto"/>
        <w:ind w:firstLine="600" w:firstLineChars="250"/>
        <w:jc w:val="both"/>
        <w:rPr>
          <w:color w:val="auto"/>
        </w:rPr>
      </w:pPr>
      <w:r>
        <w:rPr>
          <w:rFonts w:hint="eastAsia"/>
          <w:color w:val="auto"/>
        </w:rPr>
        <w:t>（3）重视例行检查和设施维护。封场后如不注意后期管理，可能会对周围环境造成污染。</w:t>
      </w:r>
    </w:p>
    <w:p>
      <w:pPr>
        <w:spacing w:line="360" w:lineRule="auto"/>
        <w:ind w:firstLine="720" w:firstLineChars="300"/>
        <w:rPr>
          <w:color w:val="auto"/>
        </w:rPr>
      </w:pPr>
      <w:r>
        <w:rPr>
          <w:rFonts w:hint="eastAsia"/>
          <w:color w:val="auto"/>
        </w:rPr>
        <w:t>从以上分析可以看到，终场后为保证植物正常生产，表层应铺以适量营养土，以利作物生产和绿化，终场后场区作为草皮绿化用地，改善环境、美化环境，措施可行。同时还应加强对垃圾堆体沉降的巡查，及时修复因堆场沉降而发生坡度变化的覆盖层。</w:t>
      </w:r>
    </w:p>
    <w:p>
      <w:pPr>
        <w:pStyle w:val="4"/>
        <w:numPr>
          <w:ilvl w:val="0"/>
          <w:numId w:val="0"/>
        </w:numPr>
        <w:tabs>
          <w:tab w:val="clear" w:pos="680"/>
        </w:tabs>
        <w:ind w:left="720" w:hanging="720"/>
        <w:rPr>
          <w:b/>
          <w:color w:val="auto"/>
        </w:rPr>
      </w:pPr>
      <w:bookmarkStart w:id="847" w:name="_Toc24136849"/>
      <w:bookmarkStart w:id="848" w:name="_Toc34234764"/>
      <w:bookmarkStart w:id="849" w:name="_Toc15912230"/>
      <w:bookmarkStart w:id="850" w:name="_Toc14946936"/>
      <w:bookmarkStart w:id="851" w:name="_Toc1279"/>
      <w:r>
        <w:rPr>
          <w:rFonts w:hint="eastAsia"/>
          <w:b/>
          <w:color w:val="auto"/>
        </w:rPr>
        <w:t>6.2.10</w:t>
      </w:r>
      <w:r>
        <w:rPr>
          <w:b/>
          <w:color w:val="auto"/>
        </w:rPr>
        <w:t>项目</w:t>
      </w:r>
      <w:r>
        <w:rPr>
          <w:rFonts w:asciiTheme="minorEastAsia" w:hAnsiTheme="minorEastAsia" w:eastAsiaTheme="minorEastAsia"/>
          <w:b/>
          <w:color w:val="auto"/>
        </w:rPr>
        <w:t>“三同时”</w:t>
      </w:r>
      <w:r>
        <w:rPr>
          <w:b/>
          <w:color w:val="auto"/>
        </w:rPr>
        <w:t>验收一览表</w:t>
      </w:r>
      <w:bookmarkEnd w:id="847"/>
      <w:bookmarkEnd w:id="848"/>
      <w:bookmarkEnd w:id="849"/>
      <w:bookmarkEnd w:id="850"/>
      <w:bookmarkEnd w:id="851"/>
    </w:p>
    <w:p>
      <w:pPr>
        <w:spacing w:line="360" w:lineRule="auto"/>
        <w:ind w:firstLine="720" w:firstLineChars="300"/>
        <w:rPr>
          <w:color w:val="auto"/>
        </w:rPr>
      </w:pPr>
      <w:r>
        <w:rPr>
          <w:color w:val="auto"/>
        </w:rPr>
        <w:t>本项目</w:t>
      </w:r>
      <w:r>
        <w:rPr>
          <w:rFonts w:asciiTheme="minorEastAsia" w:hAnsiTheme="minorEastAsia" w:eastAsiaTheme="minorEastAsia"/>
          <w:color w:val="auto"/>
        </w:rPr>
        <w:t>“三同时”</w:t>
      </w:r>
      <w:r>
        <w:rPr>
          <w:color w:val="auto"/>
        </w:rPr>
        <w:t>验收情况见表6.2-1</w:t>
      </w:r>
      <w:r>
        <w:rPr>
          <w:rFonts w:hint="eastAsia"/>
          <w:color w:val="auto"/>
          <w:lang w:val="en-US" w:eastAsia="zh-CN"/>
        </w:rPr>
        <w:t>5</w:t>
      </w:r>
      <w:r>
        <w:rPr>
          <w:color w:val="auto"/>
        </w:rPr>
        <w:t>。</w:t>
      </w:r>
    </w:p>
    <w:p>
      <w:pPr>
        <w:spacing w:line="360" w:lineRule="auto"/>
        <w:rPr>
          <w:color w:val="auto"/>
        </w:rPr>
        <w:sectPr>
          <w:pgSz w:w="11906" w:h="16838"/>
          <w:pgMar w:top="1134" w:right="1418" w:bottom="1134" w:left="1418" w:header="709" w:footer="992" w:gutter="0"/>
          <w:pgNumType w:fmt="decimal"/>
          <w:cols w:space="720" w:num="1"/>
          <w:docGrid w:linePitch="312" w:charSpace="0"/>
        </w:sectPr>
      </w:pPr>
    </w:p>
    <w:p>
      <w:pPr>
        <w:jc w:val="center"/>
        <w:rPr>
          <w:b/>
          <w:color w:val="auto"/>
        </w:rPr>
      </w:pPr>
      <w:r>
        <w:rPr>
          <w:b/>
          <w:color w:val="auto"/>
        </w:rPr>
        <w:t xml:space="preserve">表 </w:t>
      </w:r>
      <w:r>
        <w:rPr>
          <w:b/>
          <w:color w:val="auto"/>
        </w:rPr>
        <w:fldChar w:fldCharType="begin"/>
      </w:r>
      <w:r>
        <w:rPr>
          <w:b/>
          <w:color w:val="auto"/>
        </w:rPr>
        <w:instrText xml:space="preserve"> STYLEREF 2 \s </w:instrText>
      </w:r>
      <w:r>
        <w:rPr>
          <w:b/>
          <w:color w:val="auto"/>
        </w:rPr>
        <w:fldChar w:fldCharType="separate"/>
      </w:r>
      <w:r>
        <w:rPr>
          <w:b/>
          <w:color w:val="auto"/>
        </w:rPr>
        <w:t>6.2</w:t>
      </w:r>
      <w:r>
        <w:rPr>
          <w:b/>
          <w:color w:val="auto"/>
        </w:rPr>
        <w:fldChar w:fldCharType="end"/>
      </w:r>
      <w:r>
        <w:rPr>
          <w:b/>
          <w:color w:val="auto"/>
        </w:rPr>
        <w:noBreakHyphen/>
      </w:r>
      <w:r>
        <w:rPr>
          <w:b/>
          <w:color w:val="auto"/>
        </w:rPr>
        <w:t>1</w:t>
      </w:r>
      <w:r>
        <w:rPr>
          <w:rFonts w:hint="eastAsia"/>
          <w:b/>
          <w:color w:val="auto"/>
          <w:lang w:val="en-US" w:eastAsia="zh-CN"/>
        </w:rPr>
        <w:t>5</w:t>
      </w:r>
      <w:r>
        <w:rPr>
          <w:b/>
          <w:color w:val="auto"/>
        </w:rPr>
        <w:t xml:space="preserve">  拟建项目</w:t>
      </w:r>
      <w:r>
        <w:rPr>
          <w:rFonts w:asciiTheme="minorEastAsia" w:hAnsiTheme="minorEastAsia" w:eastAsiaTheme="minorEastAsia"/>
          <w:b/>
          <w:color w:val="auto"/>
        </w:rPr>
        <w:t>“三同时”验</w:t>
      </w:r>
      <w:r>
        <w:rPr>
          <w:b/>
          <w:color w:val="auto"/>
        </w:rPr>
        <w:t>收一览表</w:t>
      </w:r>
    </w:p>
    <w:tbl>
      <w:tblPr>
        <w:tblStyle w:val="53"/>
        <w:tblW w:w="1421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6"/>
        <w:gridCol w:w="2369"/>
        <w:gridCol w:w="1743"/>
        <w:gridCol w:w="4908"/>
        <w:gridCol w:w="3378"/>
        <w:gridCol w:w="6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1126" w:type="dxa"/>
            <w:vAlign w:val="center"/>
          </w:tcPr>
          <w:p>
            <w:pPr>
              <w:spacing w:line="240" w:lineRule="exact"/>
              <w:jc w:val="center"/>
              <w:rPr>
                <w:b/>
                <w:color w:val="auto"/>
                <w:sz w:val="21"/>
                <w:szCs w:val="21"/>
              </w:rPr>
            </w:pPr>
            <w:r>
              <w:rPr>
                <w:b/>
                <w:color w:val="auto"/>
                <w:sz w:val="21"/>
                <w:szCs w:val="21"/>
              </w:rPr>
              <w:t>类别</w:t>
            </w:r>
          </w:p>
        </w:tc>
        <w:tc>
          <w:tcPr>
            <w:tcW w:w="2369" w:type="dxa"/>
            <w:vAlign w:val="center"/>
          </w:tcPr>
          <w:p>
            <w:pPr>
              <w:spacing w:line="240" w:lineRule="exact"/>
              <w:jc w:val="center"/>
              <w:rPr>
                <w:b/>
                <w:color w:val="auto"/>
                <w:sz w:val="21"/>
                <w:szCs w:val="21"/>
              </w:rPr>
            </w:pPr>
            <w:r>
              <w:rPr>
                <w:b/>
                <w:color w:val="auto"/>
                <w:sz w:val="21"/>
                <w:szCs w:val="21"/>
              </w:rPr>
              <w:t>污染源</w:t>
            </w:r>
          </w:p>
        </w:tc>
        <w:tc>
          <w:tcPr>
            <w:tcW w:w="1743" w:type="dxa"/>
            <w:vAlign w:val="center"/>
          </w:tcPr>
          <w:p>
            <w:pPr>
              <w:spacing w:line="240" w:lineRule="exact"/>
              <w:jc w:val="center"/>
              <w:rPr>
                <w:b/>
                <w:color w:val="auto"/>
                <w:sz w:val="21"/>
                <w:szCs w:val="21"/>
              </w:rPr>
            </w:pPr>
            <w:r>
              <w:rPr>
                <w:b/>
                <w:color w:val="auto"/>
                <w:sz w:val="21"/>
                <w:szCs w:val="21"/>
              </w:rPr>
              <w:t>污染物</w:t>
            </w:r>
          </w:p>
        </w:tc>
        <w:tc>
          <w:tcPr>
            <w:tcW w:w="4908" w:type="dxa"/>
            <w:vAlign w:val="center"/>
          </w:tcPr>
          <w:p>
            <w:pPr>
              <w:spacing w:line="240" w:lineRule="exact"/>
              <w:jc w:val="center"/>
              <w:rPr>
                <w:b/>
                <w:color w:val="auto"/>
                <w:sz w:val="21"/>
                <w:szCs w:val="21"/>
              </w:rPr>
            </w:pPr>
            <w:r>
              <w:rPr>
                <w:b/>
                <w:color w:val="auto"/>
                <w:sz w:val="21"/>
                <w:szCs w:val="21"/>
              </w:rPr>
              <w:t>治理措施（设施数量、规模、处理能力等）</w:t>
            </w:r>
          </w:p>
        </w:tc>
        <w:tc>
          <w:tcPr>
            <w:tcW w:w="3378" w:type="dxa"/>
            <w:vAlign w:val="center"/>
          </w:tcPr>
          <w:p>
            <w:pPr>
              <w:spacing w:line="240" w:lineRule="exact"/>
              <w:jc w:val="center"/>
              <w:rPr>
                <w:b/>
                <w:color w:val="auto"/>
                <w:sz w:val="21"/>
                <w:szCs w:val="21"/>
              </w:rPr>
            </w:pPr>
            <w:r>
              <w:rPr>
                <w:b/>
                <w:color w:val="auto"/>
                <w:sz w:val="21"/>
                <w:szCs w:val="21"/>
              </w:rPr>
              <w:t>处理效果、执行标准及拟达要求</w:t>
            </w:r>
          </w:p>
        </w:tc>
        <w:tc>
          <w:tcPr>
            <w:tcW w:w="694" w:type="dxa"/>
            <w:vAlign w:val="center"/>
          </w:tcPr>
          <w:p>
            <w:pPr>
              <w:spacing w:line="240" w:lineRule="exact"/>
              <w:jc w:val="center"/>
              <w:rPr>
                <w:b/>
                <w:color w:val="auto"/>
                <w:sz w:val="21"/>
                <w:szCs w:val="21"/>
              </w:rPr>
            </w:pPr>
            <w:r>
              <w:rPr>
                <w:b/>
                <w:color w:val="auto"/>
                <w:sz w:val="21"/>
                <w:szCs w:val="21"/>
              </w:rPr>
              <w:t>完成时间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26" w:type="dxa"/>
            <w:vMerge w:val="restart"/>
            <w:vAlign w:val="center"/>
          </w:tcPr>
          <w:p>
            <w:pPr>
              <w:spacing w:line="240" w:lineRule="exact"/>
              <w:jc w:val="center"/>
              <w:rPr>
                <w:color w:val="auto"/>
                <w:sz w:val="21"/>
                <w:szCs w:val="21"/>
              </w:rPr>
            </w:pPr>
            <w:r>
              <w:rPr>
                <w:rFonts w:hint="eastAsia"/>
                <w:color w:val="auto"/>
                <w:sz w:val="21"/>
                <w:szCs w:val="21"/>
              </w:rPr>
              <w:t>废气</w:t>
            </w:r>
          </w:p>
        </w:tc>
        <w:tc>
          <w:tcPr>
            <w:tcW w:w="2369" w:type="dxa"/>
            <w:vAlign w:val="center"/>
          </w:tcPr>
          <w:p>
            <w:pPr>
              <w:spacing w:line="240" w:lineRule="exact"/>
              <w:jc w:val="center"/>
              <w:rPr>
                <w:color w:val="auto"/>
                <w:sz w:val="21"/>
                <w:szCs w:val="21"/>
              </w:rPr>
            </w:pPr>
            <w:r>
              <w:rPr>
                <w:rFonts w:hint="eastAsia"/>
                <w:color w:val="auto"/>
                <w:sz w:val="21"/>
                <w:szCs w:val="21"/>
              </w:rPr>
              <w:t>餐厨垃圾处理车间</w:t>
            </w:r>
          </w:p>
        </w:tc>
        <w:tc>
          <w:tcPr>
            <w:tcW w:w="1743" w:type="dxa"/>
            <w:vAlign w:val="center"/>
          </w:tcPr>
          <w:p>
            <w:pPr>
              <w:spacing w:line="240" w:lineRule="exact"/>
              <w:jc w:val="center"/>
              <w:rPr>
                <w:color w:val="auto"/>
                <w:sz w:val="21"/>
                <w:szCs w:val="21"/>
              </w:rPr>
            </w:pPr>
            <w:r>
              <w:rPr>
                <w:color w:val="auto"/>
                <w:sz w:val="21"/>
                <w:szCs w:val="21"/>
              </w:rPr>
              <w:t>恶臭污染物主要为 H</w:t>
            </w:r>
            <w:r>
              <w:rPr>
                <w:color w:val="auto"/>
                <w:sz w:val="21"/>
                <w:szCs w:val="21"/>
                <w:vertAlign w:val="subscript"/>
              </w:rPr>
              <w:t>2</w:t>
            </w:r>
            <w:r>
              <w:rPr>
                <w:color w:val="auto"/>
                <w:sz w:val="21"/>
                <w:szCs w:val="21"/>
              </w:rPr>
              <w:t>S、NH</w:t>
            </w:r>
            <w:r>
              <w:rPr>
                <w:color w:val="auto"/>
                <w:sz w:val="21"/>
                <w:szCs w:val="21"/>
                <w:vertAlign w:val="subscript"/>
              </w:rPr>
              <w:t>3</w:t>
            </w:r>
          </w:p>
        </w:tc>
        <w:tc>
          <w:tcPr>
            <w:tcW w:w="4908" w:type="dxa"/>
            <w:vAlign w:val="center"/>
          </w:tcPr>
          <w:p>
            <w:pPr>
              <w:spacing w:line="240" w:lineRule="exact"/>
              <w:jc w:val="center"/>
              <w:rPr>
                <w:color w:val="auto"/>
                <w:sz w:val="21"/>
                <w:szCs w:val="21"/>
              </w:rPr>
            </w:pPr>
            <w:r>
              <w:rPr>
                <w:rFonts w:hint="eastAsia"/>
                <w:bCs/>
                <w:color w:val="auto"/>
                <w:sz w:val="21"/>
                <w:szCs w:val="21"/>
              </w:rPr>
              <w:t>对卸料斗、破碎机、脱水机、三相分离机等设备局部抽吸，同时对整体车间进行抽气，保持负压</w:t>
            </w:r>
            <w:r>
              <w:rPr>
                <w:color w:val="auto"/>
                <w:sz w:val="21"/>
                <w:szCs w:val="21"/>
              </w:rPr>
              <w:t>，采用“</w:t>
            </w:r>
            <w:r>
              <w:rPr>
                <w:rFonts w:hint="eastAsia"/>
                <w:b/>
                <w:color w:val="auto"/>
                <w:sz w:val="21"/>
                <w:szCs w:val="21"/>
              </w:rPr>
              <w:t>化学洗涤塔+光催化氧化+植物液喷淋</w:t>
            </w:r>
            <w:r>
              <w:rPr>
                <w:color w:val="auto"/>
                <w:sz w:val="21"/>
                <w:szCs w:val="21"/>
              </w:rPr>
              <w:t>”除臭技术处理达标后由一根15m高排气筒外排</w:t>
            </w:r>
          </w:p>
        </w:tc>
        <w:tc>
          <w:tcPr>
            <w:tcW w:w="3378" w:type="dxa"/>
            <w:vAlign w:val="center"/>
          </w:tcPr>
          <w:p>
            <w:pPr>
              <w:spacing w:line="240" w:lineRule="exact"/>
              <w:jc w:val="center"/>
              <w:rPr>
                <w:color w:val="auto"/>
                <w:sz w:val="21"/>
                <w:szCs w:val="21"/>
              </w:rPr>
            </w:pPr>
            <w:r>
              <w:rPr>
                <w:color w:val="auto"/>
                <w:sz w:val="21"/>
                <w:szCs w:val="21"/>
              </w:rPr>
              <w:t>达到《恶臭污染物排放标准》（GB14554－93）二级标准</w:t>
            </w:r>
          </w:p>
        </w:tc>
        <w:tc>
          <w:tcPr>
            <w:tcW w:w="694" w:type="dxa"/>
            <w:vMerge w:val="restart"/>
            <w:vAlign w:val="center"/>
          </w:tcPr>
          <w:p>
            <w:pPr>
              <w:spacing w:line="240" w:lineRule="exact"/>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72" w:hRule="atLeast"/>
        </w:trPr>
        <w:tc>
          <w:tcPr>
            <w:tcW w:w="1126" w:type="dxa"/>
            <w:vMerge w:val="continue"/>
            <w:vAlign w:val="center"/>
          </w:tcPr>
          <w:p>
            <w:pPr>
              <w:spacing w:line="240" w:lineRule="exact"/>
              <w:jc w:val="center"/>
              <w:rPr>
                <w:color w:val="auto"/>
                <w:sz w:val="21"/>
                <w:szCs w:val="21"/>
              </w:rPr>
            </w:pPr>
          </w:p>
        </w:tc>
        <w:tc>
          <w:tcPr>
            <w:tcW w:w="2369" w:type="dxa"/>
            <w:vAlign w:val="center"/>
          </w:tcPr>
          <w:p>
            <w:pPr>
              <w:spacing w:line="240" w:lineRule="exact"/>
              <w:jc w:val="center"/>
              <w:rPr>
                <w:color w:val="auto"/>
                <w:sz w:val="21"/>
                <w:szCs w:val="21"/>
              </w:rPr>
            </w:pPr>
            <w:r>
              <w:rPr>
                <w:rFonts w:hint="eastAsia"/>
                <w:color w:val="auto"/>
                <w:sz w:val="21"/>
                <w:szCs w:val="21"/>
              </w:rPr>
              <w:t>建筑垃圾消纳场</w:t>
            </w:r>
          </w:p>
        </w:tc>
        <w:tc>
          <w:tcPr>
            <w:tcW w:w="1743" w:type="dxa"/>
            <w:vAlign w:val="center"/>
          </w:tcPr>
          <w:p>
            <w:pPr>
              <w:spacing w:line="240" w:lineRule="exact"/>
              <w:jc w:val="center"/>
              <w:rPr>
                <w:color w:val="auto"/>
                <w:sz w:val="21"/>
                <w:szCs w:val="21"/>
              </w:rPr>
            </w:pPr>
            <w:r>
              <w:rPr>
                <w:color w:val="auto"/>
                <w:sz w:val="21"/>
                <w:szCs w:val="21"/>
              </w:rPr>
              <w:t>粉尘</w:t>
            </w:r>
          </w:p>
        </w:tc>
        <w:tc>
          <w:tcPr>
            <w:tcW w:w="4908" w:type="dxa"/>
            <w:vAlign w:val="center"/>
          </w:tcPr>
          <w:p>
            <w:pPr>
              <w:spacing w:line="240" w:lineRule="exact"/>
              <w:jc w:val="center"/>
              <w:rPr>
                <w:color w:val="auto"/>
                <w:sz w:val="21"/>
                <w:szCs w:val="21"/>
              </w:rPr>
            </w:pPr>
            <w:r>
              <w:rPr>
                <w:rFonts w:hAnsi="宋体"/>
                <w:color w:val="auto"/>
                <w:sz w:val="21"/>
                <w:szCs w:val="21"/>
              </w:rPr>
              <w:t>填埋区作业卸载、推平等机械扬尘、道路采取洒水抑尘，配</w:t>
            </w:r>
            <w:r>
              <w:rPr>
                <w:color w:val="auto"/>
                <w:sz w:val="21"/>
                <w:szCs w:val="21"/>
              </w:rPr>
              <w:t>22</w:t>
            </w:r>
            <w:r>
              <w:rPr>
                <w:rFonts w:hAnsi="宋体"/>
                <w:color w:val="auto"/>
                <w:sz w:val="21"/>
                <w:szCs w:val="21"/>
              </w:rPr>
              <w:t>台喷水雾炮</w:t>
            </w:r>
            <w:r>
              <w:rPr>
                <w:rFonts w:hint="eastAsia" w:hAnsi="宋体"/>
                <w:color w:val="auto"/>
                <w:sz w:val="21"/>
                <w:szCs w:val="21"/>
              </w:rPr>
              <w:t>、</w:t>
            </w:r>
            <w:r>
              <w:rPr>
                <w:rFonts w:hAnsi="宋体"/>
                <w:color w:val="auto"/>
                <w:sz w:val="21"/>
                <w:szCs w:val="21"/>
              </w:rPr>
              <w:t>在填埋区周边设置</w:t>
            </w:r>
            <w:r>
              <w:rPr>
                <w:color w:val="auto"/>
                <w:sz w:val="21"/>
                <w:szCs w:val="21"/>
              </w:rPr>
              <w:t>2m</w:t>
            </w:r>
            <w:r>
              <w:rPr>
                <w:rFonts w:hAnsi="宋体"/>
                <w:color w:val="auto"/>
                <w:sz w:val="21"/>
                <w:szCs w:val="21"/>
              </w:rPr>
              <w:t>高防护铁丝网，网眼为</w:t>
            </w:r>
            <w:r>
              <w:rPr>
                <w:color w:val="auto"/>
                <w:sz w:val="21"/>
                <w:szCs w:val="21"/>
              </w:rPr>
              <w:t>30×30mm</w:t>
            </w:r>
            <w:r>
              <w:rPr>
                <w:rFonts w:hAnsi="宋体"/>
                <w:color w:val="auto"/>
                <w:sz w:val="21"/>
                <w:szCs w:val="21"/>
              </w:rPr>
              <w:t>。</w:t>
            </w:r>
          </w:p>
        </w:tc>
        <w:tc>
          <w:tcPr>
            <w:tcW w:w="3378" w:type="dxa"/>
            <w:vAlign w:val="center"/>
          </w:tcPr>
          <w:p>
            <w:pPr>
              <w:pStyle w:val="285"/>
              <w:rPr>
                <w:color w:val="auto"/>
                <w:sz w:val="21"/>
                <w:szCs w:val="21"/>
              </w:rPr>
            </w:pPr>
            <w:r>
              <w:rPr>
                <w:color w:val="auto"/>
                <w:sz w:val="21"/>
                <w:szCs w:val="21"/>
              </w:rPr>
              <w:t>广东省《大气污染物排放限值》（DB44/27-2001）</w:t>
            </w:r>
            <w:r>
              <w:rPr>
                <w:rFonts w:hint="eastAsia"/>
                <w:color w:val="auto"/>
                <w:sz w:val="21"/>
                <w:szCs w:val="21"/>
              </w:rPr>
              <w:t>表2中无组织排放浓度限值</w:t>
            </w:r>
          </w:p>
        </w:tc>
        <w:tc>
          <w:tcPr>
            <w:tcW w:w="694" w:type="dxa"/>
            <w:vMerge w:val="continue"/>
            <w:vAlign w:val="center"/>
          </w:tcPr>
          <w:p>
            <w:pPr>
              <w:spacing w:line="240" w:lineRule="exact"/>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26" w:type="dxa"/>
            <w:vMerge w:val="restart"/>
            <w:vAlign w:val="center"/>
          </w:tcPr>
          <w:p>
            <w:pPr>
              <w:spacing w:line="240" w:lineRule="exact"/>
              <w:jc w:val="center"/>
              <w:rPr>
                <w:color w:val="auto"/>
                <w:sz w:val="21"/>
                <w:szCs w:val="21"/>
              </w:rPr>
            </w:pPr>
            <w:r>
              <w:rPr>
                <w:color w:val="auto"/>
                <w:sz w:val="21"/>
                <w:szCs w:val="21"/>
              </w:rPr>
              <w:t>废水</w:t>
            </w:r>
          </w:p>
        </w:tc>
        <w:tc>
          <w:tcPr>
            <w:tcW w:w="2369" w:type="dxa"/>
            <w:vAlign w:val="center"/>
          </w:tcPr>
          <w:p>
            <w:pPr>
              <w:spacing w:line="240" w:lineRule="exact"/>
              <w:jc w:val="center"/>
              <w:rPr>
                <w:color w:val="auto"/>
                <w:sz w:val="21"/>
                <w:szCs w:val="21"/>
              </w:rPr>
            </w:pPr>
            <w:r>
              <w:rPr>
                <w:rFonts w:hint="eastAsia"/>
                <w:color w:val="auto"/>
                <w:sz w:val="21"/>
                <w:szCs w:val="21"/>
              </w:rPr>
              <w:t>餐厨垃圾处理产生的餐厨废水</w:t>
            </w:r>
            <w:r>
              <w:rPr>
                <w:color w:val="auto"/>
                <w:sz w:val="21"/>
                <w:szCs w:val="21"/>
              </w:rPr>
              <w:t>、</w:t>
            </w:r>
            <w:r>
              <w:rPr>
                <w:rFonts w:hint="eastAsia"/>
                <w:color w:val="auto"/>
                <w:sz w:val="21"/>
                <w:szCs w:val="21"/>
              </w:rPr>
              <w:t>除臭系统废水、车间车辆和地面冲洗废水</w:t>
            </w:r>
          </w:p>
        </w:tc>
        <w:tc>
          <w:tcPr>
            <w:tcW w:w="1743" w:type="dxa"/>
            <w:vAlign w:val="center"/>
          </w:tcPr>
          <w:p>
            <w:pPr>
              <w:spacing w:line="240" w:lineRule="exact"/>
              <w:jc w:val="center"/>
              <w:rPr>
                <w:color w:val="auto"/>
                <w:sz w:val="21"/>
                <w:szCs w:val="21"/>
              </w:rPr>
            </w:pPr>
            <w:r>
              <w:rPr>
                <w:color w:val="auto"/>
                <w:sz w:val="21"/>
                <w:szCs w:val="21"/>
              </w:rPr>
              <w:t>COD、氨氮、SS等</w:t>
            </w:r>
          </w:p>
        </w:tc>
        <w:tc>
          <w:tcPr>
            <w:tcW w:w="4908" w:type="dxa"/>
            <w:vAlign w:val="center"/>
          </w:tcPr>
          <w:p>
            <w:pPr>
              <w:spacing w:line="240" w:lineRule="exact"/>
              <w:jc w:val="center"/>
              <w:rPr>
                <w:color w:val="auto"/>
                <w:sz w:val="21"/>
                <w:szCs w:val="21"/>
              </w:rPr>
            </w:pPr>
            <w:r>
              <w:rPr>
                <w:rFonts w:hint="eastAsia"/>
                <w:color w:val="auto"/>
                <w:sz w:val="21"/>
                <w:szCs w:val="21"/>
              </w:rPr>
              <w:t>依托园区内在建的渗滤液处理系统（</w:t>
            </w:r>
            <w:r>
              <w:rPr>
                <w:color w:val="auto"/>
                <w:sz w:val="21"/>
                <w:szCs w:val="21"/>
              </w:rPr>
              <w:t>采用</w:t>
            </w:r>
            <w:r>
              <w:rPr>
                <w:rFonts w:asciiTheme="minorEastAsia" w:hAnsiTheme="minorEastAsia" w:eastAsiaTheme="minorEastAsia"/>
                <w:color w:val="auto"/>
                <w:sz w:val="21"/>
                <w:szCs w:val="21"/>
              </w:rPr>
              <w:t>“</w:t>
            </w:r>
            <w:r>
              <w:rPr>
                <w:rFonts w:asciiTheme="minorEastAsia" w:hAnsiTheme="minorEastAsia" w:eastAsiaTheme="minorEastAsia"/>
                <w:color w:val="auto"/>
                <w:spacing w:val="-13"/>
                <w:sz w:val="21"/>
                <w:szCs w:val="21"/>
              </w:rPr>
              <w:t>预处</w:t>
            </w:r>
            <w:r>
              <w:rPr>
                <w:color w:val="auto"/>
                <w:spacing w:val="-13"/>
                <w:sz w:val="21"/>
                <w:szCs w:val="21"/>
              </w:rPr>
              <w:t>理+UASB厌氧反应器+MBR生化处理系统+NF纳滤膜系统+RO反渗透系统+DTRO</w:t>
            </w:r>
            <w:r>
              <w:rPr>
                <w:rFonts w:asciiTheme="minorEastAsia" w:hAnsiTheme="minorEastAsia" w:eastAsiaTheme="minorEastAsia"/>
                <w:color w:val="auto"/>
                <w:sz w:val="21"/>
                <w:szCs w:val="21"/>
              </w:rPr>
              <w:t>”处理</w:t>
            </w:r>
            <w:r>
              <w:rPr>
                <w:color w:val="auto"/>
                <w:sz w:val="21"/>
                <w:szCs w:val="21"/>
              </w:rPr>
              <w:t>工艺</w:t>
            </w:r>
            <w:r>
              <w:rPr>
                <w:rFonts w:hint="eastAsia"/>
                <w:color w:val="auto"/>
                <w:sz w:val="21"/>
                <w:szCs w:val="21"/>
              </w:rPr>
              <w:t>）处理后回用在建的垃圾焚烧发电厂的汽轮机循环冷却水补充水及绿化用水、道路洒水</w:t>
            </w:r>
          </w:p>
        </w:tc>
        <w:tc>
          <w:tcPr>
            <w:tcW w:w="3378" w:type="dxa"/>
            <w:vAlign w:val="center"/>
          </w:tcPr>
          <w:p>
            <w:pPr>
              <w:spacing w:line="240" w:lineRule="exact"/>
              <w:jc w:val="center"/>
              <w:rPr>
                <w:color w:val="auto"/>
                <w:sz w:val="21"/>
                <w:szCs w:val="21"/>
              </w:rPr>
            </w:pPr>
            <w:r>
              <w:rPr>
                <w:color w:val="auto"/>
                <w:kern w:val="0"/>
                <w:sz w:val="21"/>
                <w:szCs w:val="21"/>
              </w:rPr>
              <w:t>《城市污水再生利用-工业用水水质》</w:t>
            </w:r>
            <w:r>
              <w:rPr>
                <w:rFonts w:hint="eastAsia"/>
                <w:color w:val="auto"/>
                <w:kern w:val="0"/>
                <w:sz w:val="21"/>
                <w:szCs w:val="21"/>
              </w:rPr>
              <w:t>（</w:t>
            </w:r>
            <w:r>
              <w:rPr>
                <w:color w:val="auto"/>
                <w:kern w:val="0"/>
                <w:sz w:val="21"/>
                <w:szCs w:val="21"/>
              </w:rPr>
              <w:t>GB19923-2005</w:t>
            </w:r>
            <w:r>
              <w:rPr>
                <w:rFonts w:hint="eastAsia"/>
                <w:color w:val="auto"/>
                <w:kern w:val="0"/>
                <w:sz w:val="21"/>
                <w:szCs w:val="21"/>
              </w:rPr>
              <w:t>）中敞开式循环冷却水标准</w:t>
            </w:r>
          </w:p>
        </w:tc>
        <w:tc>
          <w:tcPr>
            <w:tcW w:w="694" w:type="dxa"/>
            <w:vMerge w:val="continue"/>
            <w:vAlign w:val="center"/>
          </w:tcPr>
          <w:p>
            <w:pPr>
              <w:spacing w:line="240" w:lineRule="exact"/>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26" w:type="dxa"/>
            <w:vMerge w:val="continue"/>
            <w:vAlign w:val="center"/>
          </w:tcPr>
          <w:p>
            <w:pPr>
              <w:spacing w:line="240" w:lineRule="exact"/>
              <w:jc w:val="center"/>
              <w:rPr>
                <w:color w:val="auto"/>
                <w:sz w:val="21"/>
                <w:szCs w:val="21"/>
              </w:rPr>
            </w:pPr>
          </w:p>
        </w:tc>
        <w:tc>
          <w:tcPr>
            <w:tcW w:w="2369" w:type="dxa"/>
            <w:vAlign w:val="center"/>
          </w:tcPr>
          <w:p>
            <w:pPr>
              <w:spacing w:line="240" w:lineRule="exact"/>
              <w:jc w:val="center"/>
              <w:rPr>
                <w:color w:val="auto"/>
                <w:sz w:val="21"/>
                <w:szCs w:val="21"/>
              </w:rPr>
            </w:pPr>
            <w:r>
              <w:rPr>
                <w:rFonts w:hint="eastAsia"/>
                <w:color w:val="auto"/>
                <w:sz w:val="21"/>
                <w:szCs w:val="21"/>
              </w:rPr>
              <w:t>建筑垃圾消纳场产生的洗车废水和淋溶液</w:t>
            </w:r>
          </w:p>
        </w:tc>
        <w:tc>
          <w:tcPr>
            <w:tcW w:w="1743" w:type="dxa"/>
            <w:vAlign w:val="center"/>
          </w:tcPr>
          <w:p>
            <w:pPr>
              <w:spacing w:line="240" w:lineRule="exact"/>
              <w:jc w:val="center"/>
              <w:rPr>
                <w:color w:val="auto"/>
                <w:sz w:val="21"/>
                <w:szCs w:val="21"/>
              </w:rPr>
            </w:pPr>
            <w:r>
              <w:rPr>
                <w:color w:val="auto"/>
                <w:sz w:val="21"/>
                <w:szCs w:val="21"/>
              </w:rPr>
              <w:t>SS等</w:t>
            </w:r>
          </w:p>
        </w:tc>
        <w:tc>
          <w:tcPr>
            <w:tcW w:w="4908" w:type="dxa"/>
            <w:vAlign w:val="center"/>
          </w:tcPr>
          <w:p>
            <w:pPr>
              <w:spacing w:line="240" w:lineRule="exact"/>
              <w:jc w:val="center"/>
              <w:rPr>
                <w:color w:val="auto"/>
                <w:sz w:val="21"/>
                <w:szCs w:val="21"/>
              </w:rPr>
            </w:pPr>
            <w:r>
              <w:rPr>
                <w:rFonts w:hint="eastAsia"/>
                <w:color w:val="auto"/>
                <w:sz w:val="21"/>
              </w:rPr>
              <w:t>收集引至</w:t>
            </w:r>
            <w:r>
              <w:rPr>
                <w:rFonts w:hint="eastAsia"/>
                <w:bCs/>
                <w:color w:val="auto"/>
                <w:sz w:val="21"/>
                <w:szCs w:val="21"/>
              </w:rPr>
              <w:t>机械加速澄清池沉淀+过滤后回用于消纳场洒水抑尘</w:t>
            </w:r>
          </w:p>
        </w:tc>
        <w:tc>
          <w:tcPr>
            <w:tcW w:w="3378" w:type="dxa"/>
            <w:vAlign w:val="center"/>
          </w:tcPr>
          <w:p>
            <w:pPr>
              <w:spacing w:line="240" w:lineRule="exact"/>
              <w:jc w:val="center"/>
              <w:rPr>
                <w:color w:val="auto"/>
                <w:sz w:val="21"/>
                <w:szCs w:val="21"/>
              </w:rPr>
            </w:pPr>
            <w:r>
              <w:rPr>
                <w:rFonts w:hint="eastAsia"/>
                <w:color w:val="auto"/>
                <w:sz w:val="21"/>
                <w:szCs w:val="21"/>
              </w:rPr>
              <w:t>《城市污水再生利用—城市杂用水水质标准》（GB/T18920-2002）中绿化、道路冲洗用水水质标准较严者</w:t>
            </w:r>
          </w:p>
        </w:tc>
        <w:tc>
          <w:tcPr>
            <w:tcW w:w="694" w:type="dxa"/>
            <w:vMerge w:val="continue"/>
            <w:vAlign w:val="center"/>
          </w:tcPr>
          <w:p>
            <w:pPr>
              <w:spacing w:line="240" w:lineRule="exact"/>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26" w:type="dxa"/>
            <w:vMerge w:val="continue"/>
            <w:vAlign w:val="center"/>
          </w:tcPr>
          <w:p>
            <w:pPr>
              <w:spacing w:line="240" w:lineRule="exact"/>
              <w:jc w:val="center"/>
              <w:rPr>
                <w:color w:val="auto"/>
                <w:sz w:val="21"/>
                <w:szCs w:val="21"/>
              </w:rPr>
            </w:pPr>
          </w:p>
        </w:tc>
        <w:tc>
          <w:tcPr>
            <w:tcW w:w="2369" w:type="dxa"/>
            <w:vAlign w:val="center"/>
          </w:tcPr>
          <w:p>
            <w:pPr>
              <w:spacing w:line="240" w:lineRule="exact"/>
              <w:jc w:val="center"/>
              <w:rPr>
                <w:color w:val="auto"/>
                <w:sz w:val="21"/>
                <w:szCs w:val="21"/>
              </w:rPr>
            </w:pPr>
            <w:r>
              <w:rPr>
                <w:color w:val="auto"/>
                <w:sz w:val="21"/>
                <w:szCs w:val="21"/>
              </w:rPr>
              <w:t>监测仪器</w:t>
            </w:r>
          </w:p>
        </w:tc>
        <w:tc>
          <w:tcPr>
            <w:tcW w:w="1743" w:type="dxa"/>
            <w:vAlign w:val="center"/>
          </w:tcPr>
          <w:p>
            <w:pPr>
              <w:spacing w:line="240" w:lineRule="exact"/>
              <w:jc w:val="center"/>
              <w:rPr>
                <w:color w:val="auto"/>
                <w:sz w:val="21"/>
                <w:szCs w:val="21"/>
              </w:rPr>
            </w:pPr>
            <w:r>
              <w:rPr>
                <w:color w:val="auto"/>
                <w:sz w:val="21"/>
                <w:szCs w:val="21"/>
              </w:rPr>
              <w:t>流量、COD、 BOD</w:t>
            </w:r>
            <w:r>
              <w:rPr>
                <w:color w:val="auto"/>
                <w:sz w:val="21"/>
                <w:szCs w:val="21"/>
                <w:vertAlign w:val="subscript"/>
              </w:rPr>
              <w:t>5</w:t>
            </w:r>
            <w:r>
              <w:rPr>
                <w:color w:val="auto"/>
                <w:sz w:val="21"/>
                <w:szCs w:val="21"/>
              </w:rPr>
              <w:t>、含盐量、粪大肠菌群</w:t>
            </w:r>
          </w:p>
        </w:tc>
        <w:tc>
          <w:tcPr>
            <w:tcW w:w="4908" w:type="dxa"/>
            <w:vAlign w:val="center"/>
          </w:tcPr>
          <w:p>
            <w:pPr>
              <w:spacing w:line="240" w:lineRule="exact"/>
              <w:jc w:val="center"/>
              <w:rPr>
                <w:color w:val="auto"/>
                <w:sz w:val="21"/>
                <w:szCs w:val="21"/>
              </w:rPr>
            </w:pPr>
            <w:r>
              <w:rPr>
                <w:color w:val="auto"/>
                <w:sz w:val="21"/>
                <w:szCs w:val="21"/>
              </w:rPr>
              <w:t>便携式溶解氧监测仪、BOD测量仪、超纯水机、便携式甲烷安全分析仪、便携式分析仪、高压蒸汽灭菌锅、恒温培养箱</w:t>
            </w:r>
          </w:p>
        </w:tc>
        <w:tc>
          <w:tcPr>
            <w:tcW w:w="3378" w:type="dxa"/>
            <w:vAlign w:val="center"/>
          </w:tcPr>
          <w:p>
            <w:pPr>
              <w:spacing w:line="240" w:lineRule="exact"/>
              <w:jc w:val="center"/>
              <w:rPr>
                <w:color w:val="auto"/>
                <w:sz w:val="21"/>
                <w:szCs w:val="21"/>
              </w:rPr>
            </w:pPr>
            <w:r>
              <w:rPr>
                <w:color w:val="auto"/>
                <w:sz w:val="21"/>
                <w:szCs w:val="21"/>
              </w:rPr>
              <w:t>——</w:t>
            </w:r>
          </w:p>
        </w:tc>
        <w:tc>
          <w:tcPr>
            <w:tcW w:w="694" w:type="dxa"/>
            <w:vMerge w:val="continue"/>
            <w:vAlign w:val="center"/>
          </w:tcPr>
          <w:p>
            <w:pPr>
              <w:spacing w:line="240" w:lineRule="exact"/>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26" w:type="dxa"/>
            <w:vMerge w:val="restart"/>
            <w:vAlign w:val="center"/>
          </w:tcPr>
          <w:p>
            <w:pPr>
              <w:spacing w:line="240" w:lineRule="exact"/>
              <w:jc w:val="center"/>
              <w:rPr>
                <w:color w:val="auto"/>
                <w:sz w:val="21"/>
                <w:szCs w:val="21"/>
              </w:rPr>
            </w:pPr>
            <w:r>
              <w:rPr>
                <w:color w:val="auto"/>
                <w:sz w:val="21"/>
                <w:szCs w:val="21"/>
              </w:rPr>
              <w:t>固废</w:t>
            </w:r>
          </w:p>
        </w:tc>
        <w:tc>
          <w:tcPr>
            <w:tcW w:w="2369" w:type="dxa"/>
            <w:vAlign w:val="center"/>
          </w:tcPr>
          <w:p>
            <w:pPr>
              <w:spacing w:line="240" w:lineRule="exact"/>
              <w:jc w:val="center"/>
              <w:rPr>
                <w:color w:val="auto"/>
                <w:sz w:val="21"/>
                <w:szCs w:val="21"/>
              </w:rPr>
            </w:pPr>
            <w:r>
              <w:rPr>
                <w:rFonts w:hint="eastAsia"/>
                <w:color w:val="auto"/>
                <w:sz w:val="21"/>
                <w:szCs w:val="21"/>
              </w:rPr>
              <w:t>压榨脱水和油水分离</w:t>
            </w:r>
          </w:p>
        </w:tc>
        <w:tc>
          <w:tcPr>
            <w:tcW w:w="1743" w:type="dxa"/>
            <w:vAlign w:val="center"/>
          </w:tcPr>
          <w:p>
            <w:pPr>
              <w:spacing w:line="240" w:lineRule="exact"/>
              <w:jc w:val="center"/>
              <w:rPr>
                <w:color w:val="auto"/>
                <w:sz w:val="21"/>
                <w:szCs w:val="21"/>
              </w:rPr>
            </w:pPr>
            <w:r>
              <w:rPr>
                <w:rFonts w:hint="eastAsia"/>
                <w:color w:val="auto"/>
                <w:sz w:val="21"/>
                <w:szCs w:val="21"/>
              </w:rPr>
              <w:t>脱水残渣和除油残渣</w:t>
            </w:r>
          </w:p>
        </w:tc>
        <w:tc>
          <w:tcPr>
            <w:tcW w:w="4908" w:type="dxa"/>
            <w:vAlign w:val="center"/>
          </w:tcPr>
          <w:p>
            <w:pPr>
              <w:spacing w:line="240" w:lineRule="exact"/>
              <w:jc w:val="center"/>
              <w:rPr>
                <w:color w:val="auto"/>
                <w:sz w:val="21"/>
                <w:szCs w:val="21"/>
              </w:rPr>
            </w:pPr>
            <w:r>
              <w:rPr>
                <w:rFonts w:hint="eastAsia"/>
                <w:color w:val="auto"/>
                <w:sz w:val="21"/>
              </w:rPr>
              <w:t>依托在建生活垃圾焚烧项目</w:t>
            </w:r>
            <w:r>
              <w:rPr>
                <w:color w:val="auto"/>
                <w:sz w:val="21"/>
                <w:szCs w:val="21"/>
              </w:rPr>
              <w:t>焚烧处理</w:t>
            </w:r>
          </w:p>
        </w:tc>
        <w:tc>
          <w:tcPr>
            <w:tcW w:w="3378" w:type="dxa"/>
            <w:vAlign w:val="center"/>
          </w:tcPr>
          <w:p>
            <w:pPr>
              <w:spacing w:line="240" w:lineRule="exact"/>
              <w:jc w:val="center"/>
              <w:rPr>
                <w:color w:val="auto"/>
                <w:sz w:val="21"/>
                <w:szCs w:val="21"/>
              </w:rPr>
            </w:pPr>
            <w:r>
              <w:rPr>
                <w:color w:val="auto"/>
                <w:sz w:val="21"/>
                <w:szCs w:val="21"/>
              </w:rPr>
              <w:t>——</w:t>
            </w:r>
          </w:p>
        </w:tc>
        <w:tc>
          <w:tcPr>
            <w:tcW w:w="694" w:type="dxa"/>
            <w:vMerge w:val="continue"/>
            <w:vAlign w:val="center"/>
          </w:tcPr>
          <w:p>
            <w:pPr>
              <w:spacing w:line="240" w:lineRule="exact"/>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rPr>
        <w:tc>
          <w:tcPr>
            <w:tcW w:w="1126" w:type="dxa"/>
            <w:vMerge w:val="continue"/>
            <w:vAlign w:val="center"/>
          </w:tcPr>
          <w:p>
            <w:pPr>
              <w:spacing w:line="240" w:lineRule="exact"/>
              <w:jc w:val="center"/>
              <w:rPr>
                <w:color w:val="auto"/>
                <w:sz w:val="21"/>
                <w:szCs w:val="21"/>
              </w:rPr>
            </w:pPr>
          </w:p>
        </w:tc>
        <w:tc>
          <w:tcPr>
            <w:tcW w:w="2369" w:type="dxa"/>
            <w:vAlign w:val="center"/>
          </w:tcPr>
          <w:p>
            <w:pPr>
              <w:spacing w:line="240" w:lineRule="exact"/>
              <w:jc w:val="center"/>
              <w:rPr>
                <w:color w:val="auto"/>
                <w:sz w:val="21"/>
                <w:szCs w:val="21"/>
              </w:rPr>
            </w:pPr>
            <w:r>
              <w:rPr>
                <w:rFonts w:hint="eastAsia"/>
                <w:color w:val="auto"/>
                <w:sz w:val="21"/>
                <w:szCs w:val="21"/>
              </w:rPr>
              <w:t>油水分离</w:t>
            </w:r>
          </w:p>
        </w:tc>
        <w:tc>
          <w:tcPr>
            <w:tcW w:w="1743" w:type="dxa"/>
            <w:vAlign w:val="center"/>
          </w:tcPr>
          <w:p>
            <w:pPr>
              <w:spacing w:line="240" w:lineRule="exact"/>
              <w:jc w:val="center"/>
              <w:rPr>
                <w:color w:val="auto"/>
                <w:sz w:val="21"/>
                <w:szCs w:val="21"/>
              </w:rPr>
            </w:pPr>
            <w:r>
              <w:rPr>
                <w:rFonts w:hint="eastAsia"/>
                <w:color w:val="auto"/>
                <w:sz w:val="21"/>
                <w:szCs w:val="21"/>
              </w:rPr>
              <w:t>粗油脂</w:t>
            </w:r>
          </w:p>
        </w:tc>
        <w:tc>
          <w:tcPr>
            <w:tcW w:w="4908" w:type="dxa"/>
            <w:vAlign w:val="center"/>
          </w:tcPr>
          <w:p>
            <w:pPr>
              <w:spacing w:line="240" w:lineRule="exact"/>
              <w:jc w:val="center"/>
              <w:rPr>
                <w:color w:val="auto"/>
                <w:sz w:val="21"/>
                <w:szCs w:val="21"/>
              </w:rPr>
            </w:pPr>
            <w:r>
              <w:rPr>
                <w:rFonts w:hint="eastAsia"/>
                <w:color w:val="auto"/>
                <w:sz w:val="21"/>
                <w:szCs w:val="21"/>
              </w:rPr>
              <w:t>综合利用</w:t>
            </w:r>
          </w:p>
        </w:tc>
        <w:tc>
          <w:tcPr>
            <w:tcW w:w="3378" w:type="dxa"/>
            <w:vAlign w:val="center"/>
          </w:tcPr>
          <w:p>
            <w:pPr>
              <w:spacing w:line="240" w:lineRule="exact"/>
              <w:jc w:val="center"/>
              <w:rPr>
                <w:color w:val="auto"/>
                <w:sz w:val="21"/>
                <w:szCs w:val="21"/>
              </w:rPr>
            </w:pPr>
            <w:r>
              <w:rPr>
                <w:color w:val="auto"/>
                <w:sz w:val="21"/>
                <w:szCs w:val="21"/>
              </w:rPr>
              <w:t>——</w:t>
            </w:r>
          </w:p>
        </w:tc>
        <w:tc>
          <w:tcPr>
            <w:tcW w:w="694" w:type="dxa"/>
            <w:vMerge w:val="continue"/>
            <w:vAlign w:val="center"/>
          </w:tcPr>
          <w:p>
            <w:pPr>
              <w:spacing w:line="240" w:lineRule="exact"/>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26" w:type="dxa"/>
            <w:vMerge w:val="continue"/>
            <w:vAlign w:val="center"/>
          </w:tcPr>
          <w:p>
            <w:pPr>
              <w:spacing w:line="240" w:lineRule="exact"/>
              <w:jc w:val="center"/>
              <w:rPr>
                <w:color w:val="auto"/>
                <w:sz w:val="21"/>
                <w:szCs w:val="21"/>
              </w:rPr>
            </w:pPr>
          </w:p>
        </w:tc>
        <w:tc>
          <w:tcPr>
            <w:tcW w:w="2369" w:type="dxa"/>
            <w:vAlign w:val="center"/>
          </w:tcPr>
          <w:p>
            <w:pPr>
              <w:spacing w:line="240" w:lineRule="exact"/>
              <w:jc w:val="center"/>
              <w:rPr>
                <w:color w:val="auto"/>
                <w:sz w:val="21"/>
                <w:szCs w:val="21"/>
              </w:rPr>
            </w:pPr>
            <w:r>
              <w:rPr>
                <w:color w:val="auto"/>
                <w:sz w:val="21"/>
                <w:szCs w:val="21"/>
              </w:rPr>
              <w:t>废气处理</w:t>
            </w:r>
          </w:p>
        </w:tc>
        <w:tc>
          <w:tcPr>
            <w:tcW w:w="1743" w:type="dxa"/>
            <w:vAlign w:val="center"/>
          </w:tcPr>
          <w:p>
            <w:pPr>
              <w:spacing w:line="240" w:lineRule="exact"/>
              <w:jc w:val="center"/>
              <w:rPr>
                <w:color w:val="auto"/>
                <w:sz w:val="21"/>
                <w:szCs w:val="21"/>
              </w:rPr>
            </w:pPr>
            <w:r>
              <w:rPr>
                <w:rFonts w:hint="eastAsia"/>
                <w:color w:val="auto"/>
                <w:sz w:val="21"/>
                <w:szCs w:val="21"/>
              </w:rPr>
              <w:t>废UV光解灯管</w:t>
            </w:r>
          </w:p>
        </w:tc>
        <w:tc>
          <w:tcPr>
            <w:tcW w:w="4908" w:type="dxa"/>
            <w:vAlign w:val="center"/>
          </w:tcPr>
          <w:p>
            <w:pPr>
              <w:spacing w:line="240" w:lineRule="exact"/>
              <w:jc w:val="center"/>
              <w:rPr>
                <w:color w:val="auto"/>
                <w:sz w:val="21"/>
                <w:szCs w:val="21"/>
              </w:rPr>
            </w:pPr>
            <w:r>
              <w:rPr>
                <w:color w:val="auto"/>
                <w:sz w:val="21"/>
                <w:szCs w:val="21"/>
              </w:rPr>
              <w:t>委托有资质的单位处理</w:t>
            </w:r>
          </w:p>
        </w:tc>
        <w:tc>
          <w:tcPr>
            <w:tcW w:w="3378" w:type="dxa"/>
            <w:vAlign w:val="center"/>
          </w:tcPr>
          <w:p>
            <w:pPr>
              <w:spacing w:line="240" w:lineRule="exact"/>
              <w:jc w:val="center"/>
              <w:rPr>
                <w:color w:val="auto"/>
                <w:sz w:val="21"/>
                <w:szCs w:val="21"/>
              </w:rPr>
            </w:pPr>
            <w:r>
              <w:rPr>
                <w:color w:val="auto"/>
                <w:sz w:val="21"/>
                <w:szCs w:val="21"/>
              </w:rPr>
              <w:t>——</w:t>
            </w:r>
          </w:p>
        </w:tc>
        <w:tc>
          <w:tcPr>
            <w:tcW w:w="694" w:type="dxa"/>
            <w:vMerge w:val="continue"/>
            <w:vAlign w:val="center"/>
          </w:tcPr>
          <w:p>
            <w:pPr>
              <w:spacing w:line="240" w:lineRule="exact"/>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26" w:type="dxa"/>
            <w:vMerge w:val="continue"/>
            <w:vAlign w:val="center"/>
          </w:tcPr>
          <w:p>
            <w:pPr>
              <w:spacing w:line="240" w:lineRule="exact"/>
              <w:jc w:val="center"/>
              <w:rPr>
                <w:color w:val="auto"/>
                <w:sz w:val="21"/>
                <w:szCs w:val="21"/>
              </w:rPr>
            </w:pPr>
          </w:p>
        </w:tc>
        <w:tc>
          <w:tcPr>
            <w:tcW w:w="2369" w:type="dxa"/>
            <w:vAlign w:val="center"/>
          </w:tcPr>
          <w:p>
            <w:pPr>
              <w:spacing w:line="240" w:lineRule="exact"/>
              <w:jc w:val="center"/>
              <w:rPr>
                <w:color w:val="auto"/>
                <w:sz w:val="21"/>
                <w:szCs w:val="21"/>
              </w:rPr>
            </w:pPr>
            <w:r>
              <w:rPr>
                <w:color w:val="auto"/>
                <w:sz w:val="21"/>
                <w:szCs w:val="21"/>
              </w:rPr>
              <w:t>设备维护</w:t>
            </w:r>
          </w:p>
        </w:tc>
        <w:tc>
          <w:tcPr>
            <w:tcW w:w="1743" w:type="dxa"/>
            <w:vAlign w:val="center"/>
          </w:tcPr>
          <w:p>
            <w:pPr>
              <w:spacing w:line="240" w:lineRule="exact"/>
              <w:jc w:val="center"/>
              <w:rPr>
                <w:color w:val="auto"/>
                <w:sz w:val="21"/>
                <w:szCs w:val="21"/>
              </w:rPr>
            </w:pPr>
            <w:r>
              <w:rPr>
                <w:color w:val="auto"/>
                <w:sz w:val="21"/>
                <w:szCs w:val="21"/>
              </w:rPr>
              <w:t>废机油</w:t>
            </w:r>
          </w:p>
        </w:tc>
        <w:tc>
          <w:tcPr>
            <w:tcW w:w="4908" w:type="dxa"/>
            <w:vAlign w:val="center"/>
          </w:tcPr>
          <w:p>
            <w:pPr>
              <w:spacing w:line="240" w:lineRule="exact"/>
              <w:jc w:val="center"/>
              <w:rPr>
                <w:color w:val="auto"/>
                <w:sz w:val="21"/>
                <w:szCs w:val="21"/>
              </w:rPr>
            </w:pPr>
            <w:r>
              <w:rPr>
                <w:color w:val="auto"/>
                <w:sz w:val="21"/>
                <w:szCs w:val="21"/>
              </w:rPr>
              <w:t>委托有资质的单位处理</w:t>
            </w:r>
          </w:p>
        </w:tc>
        <w:tc>
          <w:tcPr>
            <w:tcW w:w="3378" w:type="dxa"/>
            <w:vAlign w:val="center"/>
          </w:tcPr>
          <w:p>
            <w:pPr>
              <w:spacing w:line="240" w:lineRule="exact"/>
              <w:jc w:val="center"/>
              <w:rPr>
                <w:color w:val="auto"/>
                <w:sz w:val="21"/>
                <w:szCs w:val="21"/>
              </w:rPr>
            </w:pPr>
            <w:r>
              <w:rPr>
                <w:color w:val="auto"/>
                <w:sz w:val="21"/>
                <w:szCs w:val="21"/>
              </w:rPr>
              <w:t>——</w:t>
            </w:r>
          </w:p>
        </w:tc>
        <w:tc>
          <w:tcPr>
            <w:tcW w:w="694" w:type="dxa"/>
            <w:vMerge w:val="continue"/>
            <w:vAlign w:val="center"/>
          </w:tcPr>
          <w:p>
            <w:pPr>
              <w:spacing w:line="240" w:lineRule="exact"/>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26" w:type="dxa"/>
            <w:vMerge w:val="continue"/>
            <w:vAlign w:val="center"/>
          </w:tcPr>
          <w:p>
            <w:pPr>
              <w:spacing w:line="240" w:lineRule="exact"/>
              <w:jc w:val="center"/>
              <w:rPr>
                <w:color w:val="auto"/>
                <w:sz w:val="21"/>
                <w:szCs w:val="21"/>
              </w:rPr>
            </w:pPr>
          </w:p>
        </w:tc>
        <w:tc>
          <w:tcPr>
            <w:tcW w:w="2369" w:type="dxa"/>
            <w:vAlign w:val="center"/>
          </w:tcPr>
          <w:p>
            <w:pPr>
              <w:spacing w:line="240" w:lineRule="exact"/>
              <w:jc w:val="center"/>
              <w:rPr>
                <w:color w:val="auto"/>
                <w:sz w:val="21"/>
                <w:szCs w:val="21"/>
              </w:rPr>
            </w:pPr>
            <w:r>
              <w:rPr>
                <w:rFonts w:hint="eastAsia"/>
                <w:color w:val="auto"/>
                <w:sz w:val="21"/>
                <w:szCs w:val="21"/>
              </w:rPr>
              <w:t>淋溶液处理系统</w:t>
            </w:r>
          </w:p>
        </w:tc>
        <w:tc>
          <w:tcPr>
            <w:tcW w:w="1743" w:type="dxa"/>
            <w:vAlign w:val="center"/>
          </w:tcPr>
          <w:p>
            <w:pPr>
              <w:spacing w:line="240" w:lineRule="exact"/>
              <w:jc w:val="center"/>
              <w:rPr>
                <w:color w:val="auto"/>
                <w:sz w:val="21"/>
                <w:szCs w:val="21"/>
              </w:rPr>
            </w:pPr>
            <w:r>
              <w:rPr>
                <w:rFonts w:hint="eastAsia"/>
                <w:color w:val="auto"/>
                <w:sz w:val="21"/>
                <w:szCs w:val="21"/>
              </w:rPr>
              <w:t>淋溶液</w:t>
            </w:r>
            <w:r>
              <w:rPr>
                <w:color w:val="auto"/>
                <w:sz w:val="21"/>
                <w:szCs w:val="21"/>
              </w:rPr>
              <w:t>沉淀池沉沙</w:t>
            </w:r>
          </w:p>
        </w:tc>
        <w:tc>
          <w:tcPr>
            <w:tcW w:w="4908" w:type="dxa"/>
            <w:vAlign w:val="center"/>
          </w:tcPr>
          <w:p>
            <w:pPr>
              <w:spacing w:line="240" w:lineRule="exact"/>
              <w:jc w:val="center"/>
              <w:rPr>
                <w:color w:val="auto"/>
                <w:sz w:val="21"/>
                <w:szCs w:val="21"/>
              </w:rPr>
            </w:pPr>
            <w:r>
              <w:rPr>
                <w:rFonts w:hint="eastAsia"/>
                <w:color w:val="auto"/>
                <w:sz w:val="21"/>
                <w:szCs w:val="21"/>
              </w:rPr>
              <w:t>脱水后送至消纳场</w:t>
            </w:r>
            <w:r>
              <w:rPr>
                <w:color w:val="auto"/>
                <w:sz w:val="21"/>
                <w:szCs w:val="21"/>
              </w:rPr>
              <w:t>填埋</w:t>
            </w:r>
          </w:p>
        </w:tc>
        <w:tc>
          <w:tcPr>
            <w:tcW w:w="3378" w:type="dxa"/>
            <w:vAlign w:val="center"/>
          </w:tcPr>
          <w:p>
            <w:pPr>
              <w:spacing w:line="240" w:lineRule="exact"/>
              <w:jc w:val="center"/>
              <w:rPr>
                <w:color w:val="auto"/>
                <w:sz w:val="21"/>
                <w:szCs w:val="21"/>
              </w:rPr>
            </w:pPr>
            <w:r>
              <w:rPr>
                <w:color w:val="auto"/>
                <w:sz w:val="21"/>
                <w:szCs w:val="21"/>
              </w:rPr>
              <w:t>——</w:t>
            </w:r>
          </w:p>
        </w:tc>
        <w:tc>
          <w:tcPr>
            <w:tcW w:w="694" w:type="dxa"/>
            <w:vMerge w:val="continue"/>
            <w:vAlign w:val="center"/>
          </w:tcPr>
          <w:p>
            <w:pPr>
              <w:spacing w:line="240" w:lineRule="exact"/>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26" w:type="dxa"/>
            <w:vAlign w:val="center"/>
          </w:tcPr>
          <w:p>
            <w:pPr>
              <w:spacing w:line="240" w:lineRule="exact"/>
              <w:jc w:val="center"/>
              <w:rPr>
                <w:color w:val="auto"/>
                <w:sz w:val="21"/>
                <w:szCs w:val="21"/>
              </w:rPr>
            </w:pPr>
            <w:r>
              <w:rPr>
                <w:color w:val="auto"/>
                <w:sz w:val="21"/>
                <w:szCs w:val="21"/>
              </w:rPr>
              <w:t>噪声</w:t>
            </w:r>
          </w:p>
        </w:tc>
        <w:tc>
          <w:tcPr>
            <w:tcW w:w="2369" w:type="dxa"/>
            <w:vAlign w:val="center"/>
          </w:tcPr>
          <w:p>
            <w:pPr>
              <w:spacing w:line="240" w:lineRule="exact"/>
              <w:jc w:val="center"/>
              <w:rPr>
                <w:color w:val="auto"/>
                <w:sz w:val="21"/>
                <w:szCs w:val="21"/>
              </w:rPr>
            </w:pPr>
            <w:r>
              <w:rPr>
                <w:color w:val="auto"/>
                <w:sz w:val="21"/>
                <w:szCs w:val="21"/>
              </w:rPr>
              <w:t>空气压缩机、送风机</w:t>
            </w:r>
            <w:r>
              <w:rPr>
                <w:rFonts w:hint="eastAsia"/>
                <w:color w:val="auto"/>
                <w:sz w:val="21"/>
                <w:szCs w:val="21"/>
              </w:rPr>
              <w:t>、</w:t>
            </w:r>
            <w:r>
              <w:rPr>
                <w:color w:val="auto"/>
                <w:sz w:val="21"/>
                <w:szCs w:val="21"/>
              </w:rPr>
              <w:t>引风机</w:t>
            </w:r>
            <w:r>
              <w:rPr>
                <w:rFonts w:hint="eastAsia"/>
                <w:color w:val="auto"/>
                <w:sz w:val="21"/>
                <w:szCs w:val="21"/>
              </w:rPr>
              <w:t>、</w:t>
            </w:r>
            <w:r>
              <w:rPr>
                <w:color w:val="auto"/>
                <w:sz w:val="21"/>
                <w:szCs w:val="21"/>
              </w:rPr>
              <w:t>推土机</w:t>
            </w:r>
            <w:r>
              <w:rPr>
                <w:rFonts w:hint="eastAsia"/>
                <w:color w:val="auto"/>
                <w:sz w:val="21"/>
                <w:szCs w:val="21"/>
              </w:rPr>
              <w:t>、</w:t>
            </w:r>
            <w:r>
              <w:rPr>
                <w:color w:val="auto"/>
                <w:sz w:val="21"/>
                <w:szCs w:val="21"/>
              </w:rPr>
              <w:t>自卸卡车等</w:t>
            </w:r>
          </w:p>
        </w:tc>
        <w:tc>
          <w:tcPr>
            <w:tcW w:w="1743" w:type="dxa"/>
            <w:vAlign w:val="center"/>
          </w:tcPr>
          <w:p>
            <w:pPr>
              <w:spacing w:line="240" w:lineRule="exact"/>
              <w:jc w:val="center"/>
              <w:rPr>
                <w:color w:val="auto"/>
                <w:sz w:val="21"/>
                <w:szCs w:val="21"/>
              </w:rPr>
            </w:pPr>
            <w:r>
              <w:rPr>
                <w:color w:val="auto"/>
                <w:sz w:val="21"/>
                <w:szCs w:val="21"/>
              </w:rPr>
              <w:t>dB（A）</w:t>
            </w:r>
          </w:p>
        </w:tc>
        <w:tc>
          <w:tcPr>
            <w:tcW w:w="4908" w:type="dxa"/>
            <w:vAlign w:val="center"/>
          </w:tcPr>
          <w:p>
            <w:pPr>
              <w:spacing w:line="240" w:lineRule="exact"/>
              <w:jc w:val="center"/>
              <w:rPr>
                <w:color w:val="auto"/>
                <w:sz w:val="21"/>
                <w:szCs w:val="21"/>
              </w:rPr>
            </w:pPr>
            <w:r>
              <w:rPr>
                <w:rFonts w:hint="eastAsia" w:ascii="宋体" w:hAnsi="宋体" w:cs="宋体"/>
                <w:color w:val="auto"/>
                <w:sz w:val="21"/>
                <w:szCs w:val="21"/>
              </w:rPr>
              <w:t>⑴</w:t>
            </w:r>
            <w:r>
              <w:rPr>
                <w:color w:val="auto"/>
                <w:sz w:val="21"/>
                <w:szCs w:val="21"/>
              </w:rPr>
              <w:t>厂区总体设计布置时，将主机尽可能布置在远离办公室的地方，以防噪声对工作环境的影响。</w:t>
            </w:r>
            <w:r>
              <w:rPr>
                <w:color w:val="auto"/>
                <w:sz w:val="21"/>
                <w:szCs w:val="21"/>
              </w:rPr>
              <w:br w:type="textWrapping"/>
            </w:r>
            <w:r>
              <w:rPr>
                <w:rFonts w:hint="eastAsia" w:ascii="宋体" w:hAnsi="宋体" w:cs="宋体"/>
                <w:color w:val="auto"/>
                <w:sz w:val="21"/>
                <w:szCs w:val="21"/>
              </w:rPr>
              <w:t>⑵</w:t>
            </w:r>
            <w:r>
              <w:rPr>
                <w:color w:val="auto"/>
                <w:sz w:val="21"/>
                <w:szCs w:val="21"/>
              </w:rPr>
              <w:t>在运行管理人员集中的控制室内，门窗处设置吸声装置（如密封门窗等），室内设置吸声吊顶，以减少噪声对运行人员的影响，使其工作环境达到允许噪声标准。</w:t>
            </w:r>
            <w:r>
              <w:rPr>
                <w:color w:val="auto"/>
                <w:sz w:val="21"/>
                <w:szCs w:val="21"/>
              </w:rPr>
              <w:br w:type="textWrapping"/>
            </w:r>
            <w:r>
              <w:rPr>
                <w:rFonts w:hint="eastAsia" w:ascii="宋体" w:hAnsi="宋体" w:cs="宋体"/>
                <w:color w:val="auto"/>
                <w:sz w:val="21"/>
                <w:szCs w:val="21"/>
              </w:rPr>
              <w:t>⑶</w:t>
            </w:r>
            <w:r>
              <w:rPr>
                <w:color w:val="auto"/>
                <w:sz w:val="21"/>
                <w:szCs w:val="21"/>
              </w:rPr>
              <w:t>采用低噪声的设备，在鼓风机和引风机风道中加设消音器，以达到允许的噪声标准。</w:t>
            </w:r>
            <w:r>
              <w:rPr>
                <w:color w:val="auto"/>
                <w:sz w:val="21"/>
                <w:szCs w:val="21"/>
              </w:rPr>
              <w:br w:type="textWrapping"/>
            </w:r>
            <w:r>
              <w:rPr>
                <w:color w:val="auto"/>
                <w:sz w:val="21"/>
                <w:szCs w:val="21"/>
              </w:rPr>
              <w:t xml:space="preserve"> </w:t>
            </w:r>
            <w:r>
              <w:rPr>
                <w:rFonts w:hint="eastAsia" w:ascii="宋体" w:hAnsi="宋体" w:cs="宋体"/>
                <w:color w:val="auto"/>
                <w:sz w:val="21"/>
                <w:szCs w:val="21"/>
              </w:rPr>
              <w:t>⑷</w:t>
            </w:r>
            <w:r>
              <w:rPr>
                <w:color w:val="auto"/>
                <w:sz w:val="21"/>
                <w:szCs w:val="21"/>
              </w:rPr>
              <w:t>减振措施</w:t>
            </w:r>
            <w:r>
              <w:rPr>
                <w:color w:val="auto"/>
                <w:sz w:val="21"/>
                <w:szCs w:val="21"/>
              </w:rPr>
              <w:br w:type="textWrapping"/>
            </w:r>
            <w:r>
              <w:rPr>
                <w:color w:val="auto"/>
                <w:sz w:val="21"/>
                <w:szCs w:val="21"/>
              </w:rPr>
              <w:t xml:space="preserve"> 建议对靠近办公或操作区域、振动大的设备加装弹簧减振垫，与之连接的管道加装柔性接头，所有支架改用减振支架。  </w:t>
            </w:r>
            <w:r>
              <w:rPr>
                <w:rFonts w:hint="eastAsia" w:ascii="宋体" w:hAnsi="宋体" w:cs="宋体"/>
                <w:color w:val="auto"/>
                <w:sz w:val="21"/>
                <w:szCs w:val="21"/>
              </w:rPr>
              <w:t>⑸</w:t>
            </w:r>
            <w:r>
              <w:rPr>
                <w:color w:val="auto"/>
                <w:sz w:val="21"/>
                <w:szCs w:val="21"/>
              </w:rPr>
              <w:t>工作间噪声控制</w:t>
            </w:r>
            <w:r>
              <w:rPr>
                <w:color w:val="auto"/>
                <w:sz w:val="21"/>
                <w:szCs w:val="21"/>
              </w:rPr>
              <w:br w:type="textWrapping"/>
            </w:r>
            <w:r>
              <w:rPr>
                <w:color w:val="auto"/>
                <w:sz w:val="21"/>
                <w:szCs w:val="21"/>
              </w:rPr>
              <w:t xml:space="preserve">   所有门窗均采用隔声门窗，改善工作间通风系统并进行消声设计。每台轴流风机均附有消声器。</w:t>
            </w:r>
            <w:r>
              <w:rPr>
                <w:color w:val="auto"/>
                <w:sz w:val="21"/>
                <w:szCs w:val="21"/>
              </w:rPr>
              <w:br w:type="textWrapping"/>
            </w:r>
            <w:r>
              <w:rPr>
                <w:color w:val="auto"/>
                <w:sz w:val="21"/>
                <w:szCs w:val="21"/>
              </w:rPr>
              <w:t xml:space="preserve"> </w:t>
            </w:r>
            <w:r>
              <w:rPr>
                <w:rFonts w:hint="eastAsia" w:ascii="宋体" w:hAnsi="宋体" w:cs="宋体"/>
                <w:color w:val="auto"/>
                <w:sz w:val="21"/>
                <w:szCs w:val="21"/>
              </w:rPr>
              <w:t>⑹</w:t>
            </w:r>
            <w:r>
              <w:rPr>
                <w:color w:val="auto"/>
                <w:sz w:val="21"/>
                <w:szCs w:val="21"/>
              </w:rPr>
              <w:t>厂区四周种植树木</w:t>
            </w:r>
          </w:p>
        </w:tc>
        <w:tc>
          <w:tcPr>
            <w:tcW w:w="3378" w:type="dxa"/>
            <w:vAlign w:val="center"/>
          </w:tcPr>
          <w:p>
            <w:pPr>
              <w:spacing w:line="240" w:lineRule="exact"/>
              <w:jc w:val="center"/>
              <w:rPr>
                <w:color w:val="auto"/>
                <w:sz w:val="21"/>
                <w:szCs w:val="21"/>
              </w:rPr>
            </w:pPr>
            <w:r>
              <w:rPr>
                <w:color w:val="auto"/>
                <w:sz w:val="21"/>
                <w:szCs w:val="21"/>
              </w:rPr>
              <w:t>《工业企业厂界环境噪声排放标准》（GB12348-2008）2类标准</w:t>
            </w:r>
          </w:p>
        </w:tc>
        <w:tc>
          <w:tcPr>
            <w:tcW w:w="694" w:type="dxa"/>
            <w:vMerge w:val="continue"/>
            <w:vAlign w:val="center"/>
          </w:tcPr>
          <w:p>
            <w:pPr>
              <w:spacing w:line="240" w:lineRule="exact"/>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26" w:type="dxa"/>
            <w:vAlign w:val="center"/>
          </w:tcPr>
          <w:p>
            <w:pPr>
              <w:spacing w:line="240" w:lineRule="exact"/>
              <w:jc w:val="center"/>
              <w:rPr>
                <w:color w:val="auto"/>
                <w:sz w:val="21"/>
                <w:szCs w:val="21"/>
              </w:rPr>
            </w:pPr>
            <w:r>
              <w:rPr>
                <w:color w:val="auto"/>
                <w:sz w:val="21"/>
                <w:szCs w:val="21"/>
              </w:rPr>
              <w:t>地下水</w:t>
            </w:r>
          </w:p>
        </w:tc>
        <w:tc>
          <w:tcPr>
            <w:tcW w:w="12398" w:type="dxa"/>
            <w:gridSpan w:val="4"/>
            <w:vAlign w:val="center"/>
          </w:tcPr>
          <w:p>
            <w:pPr>
              <w:spacing w:line="240" w:lineRule="exact"/>
              <w:jc w:val="center"/>
              <w:rPr>
                <w:color w:val="auto"/>
                <w:sz w:val="21"/>
                <w:szCs w:val="21"/>
              </w:rPr>
            </w:pPr>
            <w:r>
              <w:rPr>
                <w:color w:val="auto"/>
                <w:sz w:val="21"/>
                <w:szCs w:val="21"/>
              </w:rPr>
              <w:t>根据规划区可能泄漏至地面区域污染物的性质和生产单元的构筑方式，将区内划分为重点污染防治区、一般污染防治区和非污染防治区。重点区域：</w:t>
            </w:r>
            <w:r>
              <w:rPr>
                <w:rFonts w:hint="eastAsia"/>
                <w:color w:val="auto"/>
                <w:sz w:val="21"/>
                <w:szCs w:val="21"/>
              </w:rPr>
              <w:t>餐厨垃圾处理车间、废水收集装置及运送管线、建筑垃圾消纳区、淋溶液调节池及沉淀池、化学品仓库，防渗措施、</w:t>
            </w:r>
            <w:r>
              <w:rPr>
                <w:color w:val="auto"/>
                <w:sz w:val="21"/>
                <w:szCs w:val="21"/>
              </w:rPr>
              <w:t>防渗层厚度、防渗方式及其它相关内容依据有关规范标准设计。</w:t>
            </w:r>
            <w:r>
              <w:rPr>
                <w:rFonts w:hint="eastAsia"/>
                <w:color w:val="auto"/>
                <w:sz w:val="21"/>
                <w:szCs w:val="21"/>
              </w:rPr>
              <w:t>在建筑垃圾消纳场周边区域设置地下水监测井，通过定期监测及早发现可能出现的地下水污染。</w:t>
            </w:r>
          </w:p>
        </w:tc>
        <w:tc>
          <w:tcPr>
            <w:tcW w:w="694" w:type="dxa"/>
            <w:vMerge w:val="continue"/>
            <w:vAlign w:val="center"/>
          </w:tcPr>
          <w:p>
            <w:pPr>
              <w:spacing w:line="240" w:lineRule="exact"/>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26" w:type="dxa"/>
            <w:vAlign w:val="center"/>
          </w:tcPr>
          <w:p>
            <w:pPr>
              <w:spacing w:line="240" w:lineRule="exact"/>
              <w:jc w:val="center"/>
              <w:rPr>
                <w:color w:val="auto"/>
                <w:sz w:val="21"/>
                <w:szCs w:val="21"/>
              </w:rPr>
            </w:pPr>
            <w:r>
              <w:rPr>
                <w:color w:val="auto"/>
                <w:sz w:val="21"/>
                <w:szCs w:val="21"/>
              </w:rPr>
              <w:t>环境管理（机构、监测能力）</w:t>
            </w:r>
          </w:p>
        </w:tc>
        <w:tc>
          <w:tcPr>
            <w:tcW w:w="12398" w:type="dxa"/>
            <w:gridSpan w:val="4"/>
            <w:vAlign w:val="center"/>
          </w:tcPr>
          <w:p>
            <w:pPr>
              <w:spacing w:line="240" w:lineRule="exact"/>
              <w:jc w:val="center"/>
              <w:rPr>
                <w:color w:val="auto"/>
                <w:sz w:val="21"/>
                <w:szCs w:val="21"/>
              </w:rPr>
            </w:pPr>
            <w:r>
              <w:rPr>
                <w:color w:val="auto"/>
                <w:sz w:val="21"/>
                <w:szCs w:val="21"/>
              </w:rPr>
              <w:t>制定相关规章制度。设环保机构，配备环保专业管理人员1</w:t>
            </w:r>
            <w:r>
              <w:rPr>
                <w:rFonts w:hint="eastAsia"/>
                <w:color w:val="auto"/>
                <w:sz w:val="21"/>
                <w:szCs w:val="21"/>
              </w:rPr>
              <w:t>-2</w:t>
            </w:r>
            <w:r>
              <w:rPr>
                <w:color w:val="auto"/>
                <w:sz w:val="21"/>
                <w:szCs w:val="21"/>
              </w:rPr>
              <w:t>名，环境检测仪器、废水流量计等</w:t>
            </w:r>
          </w:p>
        </w:tc>
        <w:tc>
          <w:tcPr>
            <w:tcW w:w="694" w:type="dxa"/>
            <w:vMerge w:val="continue"/>
            <w:vAlign w:val="center"/>
          </w:tcPr>
          <w:p>
            <w:pPr>
              <w:spacing w:line="240" w:lineRule="exact"/>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26" w:type="dxa"/>
            <w:vAlign w:val="center"/>
          </w:tcPr>
          <w:p>
            <w:pPr>
              <w:spacing w:line="240" w:lineRule="exact"/>
              <w:jc w:val="center"/>
              <w:rPr>
                <w:color w:val="auto"/>
                <w:sz w:val="21"/>
                <w:szCs w:val="21"/>
              </w:rPr>
            </w:pPr>
            <w:r>
              <w:rPr>
                <w:rFonts w:hint="eastAsia"/>
                <w:color w:val="auto"/>
                <w:sz w:val="21"/>
                <w:szCs w:val="21"/>
              </w:rPr>
              <w:t>环境</w:t>
            </w:r>
            <w:r>
              <w:rPr>
                <w:color w:val="auto"/>
                <w:sz w:val="21"/>
                <w:szCs w:val="21"/>
              </w:rPr>
              <w:t>防护距离</w:t>
            </w:r>
          </w:p>
        </w:tc>
        <w:tc>
          <w:tcPr>
            <w:tcW w:w="12398" w:type="dxa"/>
            <w:gridSpan w:val="4"/>
            <w:vAlign w:val="center"/>
          </w:tcPr>
          <w:p>
            <w:pPr>
              <w:spacing w:line="240" w:lineRule="exact"/>
              <w:jc w:val="center"/>
              <w:rPr>
                <w:color w:val="auto"/>
                <w:sz w:val="21"/>
                <w:szCs w:val="21"/>
              </w:rPr>
            </w:pPr>
            <w:r>
              <w:rPr>
                <w:color w:val="auto"/>
                <w:sz w:val="21"/>
                <w:szCs w:val="21"/>
              </w:rPr>
              <w:t>项目建成后</w:t>
            </w:r>
            <w:r>
              <w:rPr>
                <w:rFonts w:hint="eastAsia"/>
                <w:color w:val="auto"/>
                <w:sz w:val="21"/>
                <w:szCs w:val="21"/>
              </w:rPr>
              <w:t>餐厨处理车间设置100m的卫生防护距离；建筑垃圾消纳场设置50m的卫生防护距离</w:t>
            </w:r>
            <w:r>
              <w:rPr>
                <w:color w:val="auto"/>
                <w:sz w:val="21"/>
                <w:szCs w:val="21"/>
              </w:rPr>
              <w:t>。本项目</w:t>
            </w:r>
            <w:r>
              <w:rPr>
                <w:rFonts w:hint="eastAsia"/>
                <w:color w:val="auto"/>
                <w:sz w:val="21"/>
                <w:szCs w:val="21"/>
              </w:rPr>
              <w:t>卫生环境防护距离没有</w:t>
            </w:r>
            <w:r>
              <w:rPr>
                <w:color w:val="auto"/>
                <w:sz w:val="21"/>
                <w:szCs w:val="21"/>
              </w:rPr>
              <w:t>长期居住</w:t>
            </w:r>
            <w:r>
              <w:rPr>
                <w:rFonts w:hint="eastAsia"/>
                <w:color w:val="auto"/>
                <w:sz w:val="21"/>
                <w:szCs w:val="21"/>
              </w:rPr>
              <w:t>和规划居住</w:t>
            </w:r>
            <w:r>
              <w:rPr>
                <w:color w:val="auto"/>
                <w:sz w:val="21"/>
                <w:szCs w:val="21"/>
              </w:rPr>
              <w:t>的人群，该范围内禁止新建居民区、学校以及医院等环境敏感目标。</w:t>
            </w:r>
          </w:p>
        </w:tc>
        <w:tc>
          <w:tcPr>
            <w:tcW w:w="694" w:type="dxa"/>
            <w:vMerge w:val="continue"/>
            <w:vAlign w:val="center"/>
          </w:tcPr>
          <w:p>
            <w:pPr>
              <w:spacing w:line="240" w:lineRule="exact"/>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26" w:type="dxa"/>
            <w:vAlign w:val="center"/>
          </w:tcPr>
          <w:p>
            <w:pPr>
              <w:spacing w:line="240" w:lineRule="exact"/>
              <w:jc w:val="center"/>
              <w:rPr>
                <w:color w:val="auto"/>
                <w:sz w:val="21"/>
                <w:szCs w:val="21"/>
              </w:rPr>
            </w:pPr>
            <w:r>
              <w:rPr>
                <w:color w:val="auto"/>
                <w:sz w:val="21"/>
                <w:szCs w:val="21"/>
              </w:rPr>
              <w:t>事故应急措施</w:t>
            </w:r>
          </w:p>
        </w:tc>
        <w:tc>
          <w:tcPr>
            <w:tcW w:w="12398" w:type="dxa"/>
            <w:gridSpan w:val="4"/>
            <w:vAlign w:val="center"/>
          </w:tcPr>
          <w:p>
            <w:pPr>
              <w:spacing w:line="240" w:lineRule="exact"/>
              <w:jc w:val="center"/>
              <w:rPr>
                <w:color w:val="auto"/>
                <w:sz w:val="21"/>
                <w:szCs w:val="21"/>
              </w:rPr>
            </w:pPr>
            <w:r>
              <w:rPr>
                <w:color w:val="auto"/>
                <w:sz w:val="21"/>
                <w:szCs w:val="21"/>
              </w:rPr>
              <w:t>通讯报警设备、自动监控设备、紧急冲淋装置、防护设备、围堰、泄漏物收集设施，雨水排口</w:t>
            </w:r>
            <w:r>
              <w:rPr>
                <w:color w:val="auto"/>
                <w:sz w:val="21"/>
                <w:szCs w:val="21"/>
              </w:rPr>
              <w:br w:type="textWrapping"/>
            </w:r>
            <w:r>
              <w:rPr>
                <w:color w:val="auto"/>
                <w:sz w:val="21"/>
                <w:szCs w:val="21"/>
              </w:rPr>
              <w:t>立切断装置、监测装置等，应急预测</w:t>
            </w:r>
          </w:p>
        </w:tc>
        <w:tc>
          <w:tcPr>
            <w:tcW w:w="694" w:type="dxa"/>
            <w:vMerge w:val="continue"/>
            <w:vAlign w:val="center"/>
          </w:tcPr>
          <w:p>
            <w:pPr>
              <w:spacing w:line="240" w:lineRule="exact"/>
              <w:rPr>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126" w:type="dxa"/>
            <w:vAlign w:val="center"/>
          </w:tcPr>
          <w:p>
            <w:pPr>
              <w:spacing w:line="240" w:lineRule="exact"/>
              <w:jc w:val="center"/>
              <w:rPr>
                <w:color w:val="auto"/>
                <w:sz w:val="21"/>
                <w:szCs w:val="21"/>
              </w:rPr>
            </w:pPr>
            <w:r>
              <w:rPr>
                <w:color w:val="auto"/>
                <w:sz w:val="21"/>
                <w:szCs w:val="21"/>
              </w:rPr>
              <w:t>施工期环境监理</w:t>
            </w:r>
          </w:p>
        </w:tc>
        <w:tc>
          <w:tcPr>
            <w:tcW w:w="12398" w:type="dxa"/>
            <w:gridSpan w:val="4"/>
            <w:vAlign w:val="center"/>
          </w:tcPr>
          <w:p>
            <w:pPr>
              <w:spacing w:line="240" w:lineRule="exact"/>
              <w:jc w:val="center"/>
              <w:rPr>
                <w:color w:val="auto"/>
                <w:sz w:val="21"/>
                <w:szCs w:val="21"/>
              </w:rPr>
            </w:pPr>
            <w:r>
              <w:rPr>
                <w:color w:val="auto"/>
                <w:sz w:val="21"/>
                <w:szCs w:val="21"/>
              </w:rPr>
              <w:t>在项目设计、施工、试生产期间开展施工期环境监理。</w:t>
            </w:r>
          </w:p>
        </w:tc>
        <w:tc>
          <w:tcPr>
            <w:tcW w:w="694" w:type="dxa"/>
            <w:vAlign w:val="center"/>
          </w:tcPr>
          <w:p>
            <w:pPr>
              <w:spacing w:line="240" w:lineRule="exact"/>
              <w:jc w:val="center"/>
              <w:rPr>
                <w:color w:val="auto"/>
                <w:sz w:val="21"/>
                <w:szCs w:val="21"/>
              </w:rPr>
            </w:pPr>
            <w:r>
              <w:rPr>
                <w:color w:val="auto"/>
                <w:sz w:val="21"/>
                <w:szCs w:val="21"/>
              </w:rPr>
              <w:t>——</w:t>
            </w:r>
          </w:p>
        </w:tc>
      </w:tr>
    </w:tbl>
    <w:p>
      <w:pPr>
        <w:rPr>
          <w:color w:val="auto"/>
        </w:rPr>
        <w:sectPr>
          <w:pgSz w:w="16838" w:h="11906" w:orient="landscape"/>
          <w:pgMar w:top="1389" w:right="1418" w:bottom="1134" w:left="1418" w:header="851" w:footer="992" w:gutter="0"/>
          <w:pgNumType w:fmt="decimal"/>
          <w:cols w:space="720" w:num="1"/>
          <w:docGrid w:linePitch="312" w:charSpace="0"/>
        </w:sectPr>
      </w:pPr>
    </w:p>
    <w:p>
      <w:pPr>
        <w:pStyle w:val="295"/>
        <w:ind w:left="480"/>
        <w:rPr>
          <w:color w:val="auto"/>
        </w:rPr>
      </w:pPr>
      <w:bookmarkStart w:id="852" w:name="_Toc24136850"/>
      <w:bookmarkStart w:id="853" w:name="_Toc27399"/>
      <w:bookmarkStart w:id="854" w:name="_Toc9517769"/>
      <w:bookmarkStart w:id="855" w:name="_Toc14943334"/>
      <w:bookmarkStart w:id="856" w:name="_Toc23263177"/>
      <w:bookmarkStart w:id="857" w:name="_Toc9517770"/>
      <w:bookmarkStart w:id="858" w:name="_Toc483263487"/>
      <w:bookmarkStart w:id="859" w:name="_Toc450815023"/>
      <w:bookmarkStart w:id="860" w:name="_Toc406091992"/>
      <w:bookmarkStart w:id="861" w:name="_Toc450815010"/>
      <w:bookmarkStart w:id="862" w:name="_Toc406091984"/>
      <w:bookmarkStart w:id="863" w:name="_Toc166495136"/>
      <w:r>
        <w:rPr>
          <w:color w:val="auto"/>
        </w:rPr>
        <w:t>7 环境影响经济损益分析</w:t>
      </w:r>
      <w:bookmarkEnd w:id="852"/>
      <w:bookmarkEnd w:id="853"/>
      <w:bookmarkEnd w:id="854"/>
      <w:bookmarkEnd w:id="855"/>
      <w:bookmarkEnd w:id="856"/>
    </w:p>
    <w:p>
      <w:pPr>
        <w:pStyle w:val="3"/>
        <w:numPr>
          <w:ilvl w:val="0"/>
          <w:numId w:val="0"/>
        </w:numPr>
        <w:tabs>
          <w:tab w:val="clear" w:pos="680"/>
        </w:tabs>
        <w:ind w:left="576" w:hanging="576"/>
        <w:rPr>
          <w:rFonts w:ascii="Times New Roman"/>
          <w:bCs/>
          <w:color w:val="auto"/>
        </w:rPr>
      </w:pPr>
      <w:bookmarkStart w:id="864" w:name="_Toc14943335"/>
      <w:bookmarkStart w:id="865" w:name="_Toc24136851"/>
      <w:bookmarkStart w:id="866" w:name="_Toc21257"/>
      <w:bookmarkStart w:id="867" w:name="_Toc23263178"/>
      <w:r>
        <w:rPr>
          <w:rFonts w:ascii="Times New Roman"/>
          <w:bCs/>
          <w:color w:val="auto"/>
        </w:rPr>
        <w:t>7.1环境影响经济损益分析的目的和内容</w:t>
      </w:r>
      <w:bookmarkEnd w:id="857"/>
      <w:bookmarkEnd w:id="864"/>
      <w:bookmarkEnd w:id="865"/>
      <w:bookmarkEnd w:id="866"/>
      <w:bookmarkEnd w:id="867"/>
    </w:p>
    <w:p>
      <w:pPr>
        <w:spacing w:line="360" w:lineRule="auto"/>
        <w:ind w:firstLine="480" w:firstLineChars="200"/>
        <w:jc w:val="both"/>
        <w:rPr>
          <w:color w:val="auto"/>
        </w:rPr>
      </w:pPr>
      <w:r>
        <w:rPr>
          <w:color w:val="auto"/>
        </w:rPr>
        <w:t>对建设项目进行环境影响经济损益分析，目的是为了衡量该建设项目投入的环保投资所能收到的环境和社会效益，最大限度地控制污染，降低环境破坏的程度，合理利用自然资源，以最少的环境代价取得最大的经济效益和社会效益。</w:t>
      </w:r>
    </w:p>
    <w:p>
      <w:pPr>
        <w:spacing w:line="360" w:lineRule="auto"/>
        <w:ind w:firstLine="480" w:firstLineChars="200"/>
        <w:jc w:val="both"/>
        <w:rPr>
          <w:color w:val="auto"/>
        </w:rPr>
      </w:pPr>
      <w:r>
        <w:rPr>
          <w:color w:val="auto"/>
        </w:rPr>
        <w:t>根据有关的规定和标准，结合本项目的特点，对本项目有关经济、社会和环境效益分析以资料分析为主，在详细了解本项目施工期间和运营期间概况以及各环境污染物及其影响程度和范围的基础上，运用费用－效益分析方法进行定性或者定量分析。一般而言，项目的投资是可以得到的，也可以用货币表示，而造成的影响和带来的效益的估算则比较困难，因为社会效益和环境效益往往是抽象的，难以用货币表示，基于此，将根据分析对象的不同采用定量和定性两种方法对本项目的环境、社会和经济损益进行分析和讨论。</w:t>
      </w:r>
    </w:p>
    <w:p>
      <w:pPr>
        <w:pStyle w:val="3"/>
        <w:numPr>
          <w:ilvl w:val="0"/>
          <w:numId w:val="0"/>
        </w:numPr>
        <w:tabs>
          <w:tab w:val="clear" w:pos="680"/>
        </w:tabs>
        <w:ind w:left="576" w:hanging="576"/>
        <w:rPr>
          <w:rFonts w:ascii="Times New Roman"/>
          <w:bCs/>
          <w:color w:val="auto"/>
        </w:rPr>
      </w:pPr>
      <w:bookmarkStart w:id="868" w:name="_Toc9517771"/>
      <w:bookmarkStart w:id="869" w:name="_Toc24136852"/>
      <w:bookmarkStart w:id="870" w:name="_Toc10848"/>
      <w:bookmarkStart w:id="871" w:name="_Toc23263179"/>
      <w:bookmarkStart w:id="872" w:name="_Toc14943336"/>
      <w:r>
        <w:rPr>
          <w:rFonts w:ascii="Times New Roman"/>
          <w:bCs/>
          <w:color w:val="auto"/>
        </w:rPr>
        <w:t>7.2</w:t>
      </w:r>
      <w:bookmarkEnd w:id="868"/>
      <w:r>
        <w:rPr>
          <w:rFonts w:ascii="Times New Roman"/>
          <w:bCs/>
          <w:color w:val="auto"/>
        </w:rPr>
        <w:t>环保投资</w:t>
      </w:r>
      <w:bookmarkEnd w:id="869"/>
      <w:bookmarkEnd w:id="870"/>
      <w:bookmarkEnd w:id="871"/>
      <w:bookmarkEnd w:id="872"/>
    </w:p>
    <w:p>
      <w:pPr>
        <w:spacing w:line="360" w:lineRule="auto"/>
        <w:ind w:firstLine="480"/>
        <w:jc w:val="both"/>
        <w:rPr>
          <w:color w:val="auto"/>
        </w:rPr>
      </w:pPr>
      <w:r>
        <w:rPr>
          <w:rFonts w:hint="eastAsia"/>
          <w:color w:val="auto"/>
        </w:rPr>
        <w:t>本项目的环保投资主要包括废水处理设施、废气处理设施、噪声控制措施、固废处理设施和绿化工程等方面的费用。本项目总投资</w:t>
      </w:r>
      <w:r>
        <w:rPr>
          <w:rFonts w:hint="eastAsia"/>
          <w:bCs/>
          <w:color w:val="auto"/>
        </w:rPr>
        <w:t>9626</w:t>
      </w:r>
      <w:r>
        <w:rPr>
          <w:rFonts w:hint="eastAsia"/>
          <w:color w:val="auto"/>
        </w:rPr>
        <w:t>万元，其中环保措施投资约1000万元，占总投资比例的10.4%。环保投资详见表</w:t>
      </w:r>
      <w:r>
        <w:rPr>
          <w:color w:val="auto"/>
        </w:rPr>
        <w:t>7.2</w:t>
      </w:r>
      <w:r>
        <w:rPr>
          <w:rFonts w:hint="eastAsia"/>
          <w:color w:val="auto"/>
        </w:rPr>
        <w:t>-1。</w:t>
      </w:r>
    </w:p>
    <w:p>
      <w:pPr>
        <w:ind w:firstLine="482"/>
        <w:jc w:val="center"/>
        <w:rPr>
          <w:b/>
          <w:color w:val="auto"/>
        </w:rPr>
      </w:pPr>
      <w:bookmarkStart w:id="873" w:name="_Hlk23349173"/>
      <w:r>
        <w:rPr>
          <w:b/>
          <w:color w:val="auto"/>
        </w:rPr>
        <w:t>表 7.2</w:t>
      </w:r>
      <w:r>
        <w:rPr>
          <w:b/>
          <w:color w:val="auto"/>
        </w:rPr>
        <w:noBreakHyphen/>
      </w:r>
      <w:r>
        <w:rPr>
          <w:b/>
          <w:color w:val="auto"/>
        </w:rPr>
        <w:t>1  拟建项目环保投资一览表</w:t>
      </w:r>
    </w:p>
    <w:tbl>
      <w:tblPr>
        <w:tblStyle w:val="53"/>
        <w:tblW w:w="9286"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5"/>
        <w:gridCol w:w="1922"/>
        <w:gridCol w:w="2068"/>
        <w:gridCol w:w="3320"/>
        <w:gridCol w:w="124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735" w:type="dxa"/>
            <w:tcBorders>
              <w:top w:val="single" w:color="auto" w:sz="12" w:space="0"/>
              <w:bottom w:val="single" w:color="auto" w:sz="4" w:space="0"/>
            </w:tcBorders>
            <w:vAlign w:val="center"/>
          </w:tcPr>
          <w:p>
            <w:pPr>
              <w:jc w:val="center"/>
              <w:rPr>
                <w:rFonts w:eastAsiaTheme="minorEastAsia"/>
                <w:b/>
                <w:bCs/>
                <w:color w:val="auto"/>
                <w:sz w:val="21"/>
                <w:szCs w:val="21"/>
              </w:rPr>
            </w:pPr>
            <w:r>
              <w:rPr>
                <w:rFonts w:eastAsiaTheme="minorEastAsia"/>
                <w:b/>
                <w:bCs/>
                <w:color w:val="auto"/>
                <w:sz w:val="21"/>
                <w:szCs w:val="21"/>
              </w:rPr>
              <w:t>序号</w:t>
            </w:r>
          </w:p>
        </w:tc>
        <w:tc>
          <w:tcPr>
            <w:tcW w:w="1922" w:type="dxa"/>
            <w:tcBorders>
              <w:top w:val="single" w:color="auto" w:sz="12" w:space="0"/>
              <w:bottom w:val="single" w:color="auto" w:sz="4" w:space="0"/>
            </w:tcBorders>
            <w:vAlign w:val="center"/>
          </w:tcPr>
          <w:p>
            <w:pPr>
              <w:jc w:val="center"/>
              <w:rPr>
                <w:rFonts w:eastAsiaTheme="minorEastAsia"/>
                <w:b/>
                <w:bCs/>
                <w:color w:val="auto"/>
                <w:sz w:val="21"/>
                <w:szCs w:val="21"/>
              </w:rPr>
            </w:pPr>
            <w:r>
              <w:rPr>
                <w:rFonts w:eastAsiaTheme="minorEastAsia"/>
                <w:b/>
                <w:bCs/>
                <w:color w:val="auto"/>
                <w:sz w:val="21"/>
                <w:szCs w:val="21"/>
              </w:rPr>
              <w:t>环保工程项目</w:t>
            </w:r>
          </w:p>
        </w:tc>
        <w:tc>
          <w:tcPr>
            <w:tcW w:w="2068" w:type="dxa"/>
            <w:tcBorders>
              <w:top w:val="single" w:color="auto" w:sz="12" w:space="0"/>
              <w:bottom w:val="single" w:color="auto" w:sz="4" w:space="0"/>
            </w:tcBorders>
            <w:vAlign w:val="center"/>
          </w:tcPr>
          <w:p>
            <w:pPr>
              <w:jc w:val="center"/>
              <w:rPr>
                <w:rFonts w:eastAsiaTheme="minorEastAsia"/>
                <w:b/>
                <w:bCs/>
                <w:color w:val="auto"/>
                <w:sz w:val="21"/>
                <w:szCs w:val="21"/>
              </w:rPr>
            </w:pPr>
            <w:r>
              <w:rPr>
                <w:rFonts w:eastAsiaTheme="minorEastAsia"/>
                <w:b/>
                <w:bCs/>
                <w:color w:val="auto"/>
                <w:sz w:val="21"/>
                <w:szCs w:val="21"/>
              </w:rPr>
              <w:t>设施或措施</w:t>
            </w:r>
          </w:p>
        </w:tc>
        <w:tc>
          <w:tcPr>
            <w:tcW w:w="3320" w:type="dxa"/>
            <w:tcBorders>
              <w:top w:val="single" w:color="auto" w:sz="12" w:space="0"/>
              <w:bottom w:val="single" w:color="auto" w:sz="4" w:space="0"/>
            </w:tcBorders>
            <w:vAlign w:val="center"/>
          </w:tcPr>
          <w:p>
            <w:pPr>
              <w:jc w:val="center"/>
              <w:rPr>
                <w:rFonts w:eastAsiaTheme="minorEastAsia"/>
                <w:b/>
                <w:bCs/>
                <w:color w:val="auto"/>
                <w:sz w:val="21"/>
                <w:szCs w:val="21"/>
              </w:rPr>
            </w:pPr>
            <w:r>
              <w:rPr>
                <w:rFonts w:eastAsiaTheme="minorEastAsia"/>
                <w:b/>
                <w:bCs/>
                <w:color w:val="auto"/>
                <w:sz w:val="21"/>
                <w:szCs w:val="21"/>
              </w:rPr>
              <w:t>具体情况</w:t>
            </w:r>
          </w:p>
        </w:tc>
        <w:tc>
          <w:tcPr>
            <w:tcW w:w="1241" w:type="dxa"/>
            <w:tcBorders>
              <w:top w:val="single" w:color="auto" w:sz="12" w:space="0"/>
              <w:bottom w:val="single" w:color="auto" w:sz="4" w:space="0"/>
            </w:tcBorders>
            <w:vAlign w:val="center"/>
          </w:tcPr>
          <w:p>
            <w:pPr>
              <w:jc w:val="center"/>
              <w:rPr>
                <w:rFonts w:eastAsiaTheme="minorEastAsia"/>
                <w:b/>
                <w:bCs/>
                <w:color w:val="auto"/>
                <w:sz w:val="21"/>
                <w:szCs w:val="21"/>
              </w:rPr>
            </w:pPr>
            <w:r>
              <w:rPr>
                <w:rFonts w:eastAsiaTheme="minorEastAsia"/>
                <w:b/>
                <w:bCs/>
                <w:color w:val="auto"/>
                <w:sz w:val="21"/>
                <w:szCs w:val="21"/>
              </w:rPr>
              <w:t>投资额</w:t>
            </w:r>
          </w:p>
          <w:p>
            <w:pPr>
              <w:jc w:val="center"/>
              <w:rPr>
                <w:rFonts w:eastAsiaTheme="minorEastAsia"/>
                <w:b/>
                <w:bCs/>
                <w:color w:val="auto"/>
                <w:sz w:val="21"/>
                <w:szCs w:val="21"/>
              </w:rPr>
            </w:pPr>
            <w:r>
              <w:rPr>
                <w:rFonts w:eastAsiaTheme="minorEastAsia"/>
                <w:b/>
                <w:bCs/>
                <w:color w:val="auto"/>
                <w:sz w:val="21"/>
                <w:szCs w:val="21"/>
              </w:rPr>
              <w:t>（万元）</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35" w:type="dxa"/>
            <w:tcBorders>
              <w:top w:val="single" w:color="auto" w:sz="4" w:space="0"/>
              <w:bottom w:val="single" w:color="auto" w:sz="4" w:space="0"/>
            </w:tcBorders>
            <w:vAlign w:val="center"/>
          </w:tcPr>
          <w:p>
            <w:pPr>
              <w:jc w:val="center"/>
              <w:rPr>
                <w:rFonts w:eastAsiaTheme="minorEastAsia"/>
                <w:color w:val="auto"/>
                <w:sz w:val="21"/>
                <w:szCs w:val="21"/>
              </w:rPr>
            </w:pPr>
            <w:r>
              <w:rPr>
                <w:rFonts w:eastAsiaTheme="minorEastAsia"/>
                <w:color w:val="auto"/>
                <w:sz w:val="21"/>
                <w:szCs w:val="21"/>
              </w:rPr>
              <w:t>1</w:t>
            </w:r>
          </w:p>
        </w:tc>
        <w:tc>
          <w:tcPr>
            <w:tcW w:w="1922" w:type="dxa"/>
            <w:vMerge w:val="restart"/>
            <w:tcBorders>
              <w:top w:val="single" w:color="auto" w:sz="4" w:space="0"/>
            </w:tcBorders>
            <w:vAlign w:val="center"/>
          </w:tcPr>
          <w:p>
            <w:pPr>
              <w:jc w:val="center"/>
              <w:rPr>
                <w:rFonts w:eastAsiaTheme="minorEastAsia"/>
                <w:color w:val="auto"/>
                <w:sz w:val="21"/>
                <w:szCs w:val="21"/>
              </w:rPr>
            </w:pPr>
            <w:r>
              <w:rPr>
                <w:rFonts w:eastAsiaTheme="minorEastAsia"/>
                <w:color w:val="auto"/>
                <w:sz w:val="21"/>
                <w:szCs w:val="21"/>
              </w:rPr>
              <w:t>废水处理工程</w:t>
            </w:r>
          </w:p>
        </w:tc>
        <w:tc>
          <w:tcPr>
            <w:tcW w:w="2068" w:type="dxa"/>
            <w:tcBorders>
              <w:top w:val="single" w:color="auto" w:sz="4" w:space="0"/>
              <w:bottom w:val="single" w:color="auto" w:sz="4" w:space="0"/>
            </w:tcBorders>
            <w:vAlign w:val="center"/>
          </w:tcPr>
          <w:p>
            <w:pPr>
              <w:jc w:val="center"/>
              <w:rPr>
                <w:rFonts w:eastAsiaTheme="minorEastAsia"/>
                <w:color w:val="auto"/>
                <w:sz w:val="21"/>
                <w:szCs w:val="21"/>
              </w:rPr>
            </w:pPr>
            <w:r>
              <w:rPr>
                <w:rFonts w:hint="eastAsia" w:eastAsiaTheme="minorEastAsia"/>
                <w:color w:val="auto"/>
                <w:sz w:val="21"/>
                <w:szCs w:val="21"/>
              </w:rPr>
              <w:t>填埋场淋溶液废水</w:t>
            </w:r>
            <w:r>
              <w:rPr>
                <w:rFonts w:eastAsiaTheme="minorEastAsia"/>
                <w:color w:val="auto"/>
                <w:sz w:val="21"/>
                <w:szCs w:val="21"/>
              </w:rPr>
              <w:t>处理站</w:t>
            </w:r>
          </w:p>
        </w:tc>
        <w:tc>
          <w:tcPr>
            <w:tcW w:w="3320" w:type="dxa"/>
            <w:tcBorders>
              <w:top w:val="single" w:color="auto" w:sz="4" w:space="0"/>
              <w:bottom w:val="single" w:color="auto" w:sz="4" w:space="0"/>
            </w:tcBorders>
            <w:vAlign w:val="center"/>
          </w:tcPr>
          <w:p>
            <w:pPr>
              <w:jc w:val="center"/>
              <w:rPr>
                <w:rFonts w:eastAsiaTheme="minorEastAsia"/>
                <w:color w:val="auto"/>
                <w:sz w:val="21"/>
                <w:szCs w:val="21"/>
              </w:rPr>
            </w:pPr>
            <w:r>
              <w:rPr>
                <w:bCs/>
                <w:color w:val="auto"/>
                <w:sz w:val="21"/>
                <w:szCs w:val="21"/>
              </w:rPr>
              <w:t>盲沟+</w:t>
            </w:r>
            <w:r>
              <w:rPr>
                <w:rFonts w:hint="eastAsia"/>
                <w:color w:val="auto"/>
                <w:sz w:val="21"/>
                <w:szCs w:val="21"/>
              </w:rPr>
              <w:t>机械加速澄清池</w:t>
            </w:r>
            <w:r>
              <w:rPr>
                <w:color w:val="auto"/>
                <w:sz w:val="21"/>
                <w:szCs w:val="21"/>
              </w:rPr>
              <w:t>沉淀</w:t>
            </w:r>
            <w:r>
              <w:rPr>
                <w:rFonts w:hint="eastAsia"/>
                <w:color w:val="auto"/>
                <w:sz w:val="21"/>
                <w:szCs w:val="21"/>
              </w:rPr>
              <w:t>+过滤</w:t>
            </w:r>
          </w:p>
        </w:tc>
        <w:tc>
          <w:tcPr>
            <w:tcW w:w="1241" w:type="dxa"/>
            <w:tcBorders>
              <w:top w:val="single" w:color="auto" w:sz="4" w:space="0"/>
              <w:bottom w:val="single" w:color="auto" w:sz="4" w:space="0"/>
            </w:tcBorders>
            <w:vAlign w:val="center"/>
          </w:tcPr>
          <w:p>
            <w:pPr>
              <w:jc w:val="center"/>
              <w:rPr>
                <w:rFonts w:hint="default" w:eastAsiaTheme="minorEastAsia"/>
                <w:color w:val="auto"/>
                <w:sz w:val="21"/>
                <w:szCs w:val="21"/>
                <w:lang w:val="en-US" w:eastAsia="zh-CN"/>
              </w:rPr>
            </w:pPr>
            <w:r>
              <w:rPr>
                <w:rFonts w:hint="eastAsia" w:eastAsiaTheme="minorEastAsia"/>
                <w:color w:val="auto"/>
                <w:sz w:val="21"/>
                <w:szCs w:val="21"/>
                <w:lang w:val="en-US" w:eastAsia="zh-CN"/>
              </w:rPr>
              <w:t>200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35" w:type="dxa"/>
            <w:tcBorders>
              <w:top w:val="single" w:color="auto" w:sz="4" w:space="0"/>
              <w:bottom w:val="single" w:color="auto" w:sz="4" w:space="0"/>
            </w:tcBorders>
            <w:vAlign w:val="center"/>
          </w:tcPr>
          <w:p>
            <w:pPr>
              <w:jc w:val="center"/>
              <w:rPr>
                <w:rFonts w:hint="eastAsia" w:eastAsiaTheme="minorEastAsia"/>
                <w:color w:val="auto"/>
                <w:sz w:val="21"/>
                <w:szCs w:val="21"/>
                <w:lang w:val="en-US" w:eastAsia="zh-CN"/>
              </w:rPr>
            </w:pPr>
            <w:r>
              <w:rPr>
                <w:rFonts w:hint="eastAsia" w:eastAsiaTheme="minorEastAsia"/>
                <w:color w:val="auto"/>
                <w:sz w:val="21"/>
                <w:szCs w:val="21"/>
                <w:lang w:val="en-US" w:eastAsia="zh-CN"/>
              </w:rPr>
              <w:t>2</w:t>
            </w:r>
          </w:p>
        </w:tc>
        <w:tc>
          <w:tcPr>
            <w:tcW w:w="1922" w:type="dxa"/>
            <w:vMerge w:val="continue"/>
            <w:tcBorders>
              <w:bottom w:val="single" w:color="auto" w:sz="4" w:space="0"/>
            </w:tcBorders>
            <w:vAlign w:val="center"/>
          </w:tcPr>
          <w:p>
            <w:pPr>
              <w:jc w:val="center"/>
              <w:rPr>
                <w:rFonts w:eastAsiaTheme="minorEastAsia"/>
                <w:color w:val="auto"/>
                <w:sz w:val="21"/>
                <w:szCs w:val="21"/>
              </w:rPr>
            </w:pPr>
          </w:p>
        </w:tc>
        <w:tc>
          <w:tcPr>
            <w:tcW w:w="2068" w:type="dxa"/>
            <w:tcBorders>
              <w:top w:val="single" w:color="auto" w:sz="4" w:space="0"/>
              <w:bottom w:val="single" w:color="auto" w:sz="4" w:space="0"/>
            </w:tcBorders>
            <w:vAlign w:val="center"/>
          </w:tcPr>
          <w:p>
            <w:pPr>
              <w:jc w:val="center"/>
              <w:rPr>
                <w:rFonts w:hint="eastAsia" w:eastAsiaTheme="minorEastAsia"/>
                <w:color w:val="auto"/>
                <w:sz w:val="21"/>
                <w:szCs w:val="21"/>
                <w:lang w:eastAsia="zh-CN"/>
              </w:rPr>
            </w:pPr>
            <w:r>
              <w:rPr>
                <w:rFonts w:hint="eastAsia" w:eastAsiaTheme="minorEastAsia"/>
                <w:color w:val="auto"/>
                <w:sz w:val="21"/>
                <w:szCs w:val="21"/>
                <w:lang w:eastAsia="zh-CN"/>
              </w:rPr>
              <w:t>餐厨垃圾处理厂生产废水管道布设</w:t>
            </w:r>
          </w:p>
        </w:tc>
        <w:tc>
          <w:tcPr>
            <w:tcW w:w="3320" w:type="dxa"/>
            <w:tcBorders>
              <w:top w:val="single" w:color="auto" w:sz="4" w:space="0"/>
              <w:bottom w:val="single" w:color="auto" w:sz="4" w:space="0"/>
            </w:tcBorders>
            <w:vAlign w:val="center"/>
          </w:tcPr>
          <w:p>
            <w:pPr>
              <w:jc w:val="center"/>
              <w:rPr>
                <w:rFonts w:hint="default" w:eastAsia="宋体"/>
                <w:bCs/>
                <w:color w:val="auto"/>
                <w:sz w:val="21"/>
                <w:szCs w:val="21"/>
                <w:lang w:val="en-US" w:eastAsia="zh-CN"/>
              </w:rPr>
            </w:pPr>
            <w:r>
              <w:rPr>
                <w:rFonts w:hint="eastAsia"/>
                <w:bCs/>
                <w:color w:val="auto"/>
                <w:sz w:val="21"/>
                <w:szCs w:val="21"/>
                <w:lang w:eastAsia="zh-CN"/>
              </w:rPr>
              <w:t>通过管道</w:t>
            </w:r>
            <w:r>
              <w:rPr>
                <w:rFonts w:hint="eastAsia"/>
                <w:bCs/>
                <w:color w:val="auto"/>
                <w:sz w:val="21"/>
                <w:szCs w:val="21"/>
                <w:lang w:val="en-US" w:eastAsia="zh-CN"/>
              </w:rPr>
              <w:t>+提升泵将餐厨垃圾处理厂产生的生产废水泵至渗滤液处理站</w:t>
            </w:r>
          </w:p>
        </w:tc>
        <w:tc>
          <w:tcPr>
            <w:tcW w:w="1241" w:type="dxa"/>
            <w:tcBorders>
              <w:top w:val="single" w:color="auto" w:sz="4" w:space="0"/>
              <w:bottom w:val="single" w:color="auto" w:sz="4" w:space="0"/>
            </w:tcBorders>
            <w:vAlign w:val="center"/>
          </w:tcPr>
          <w:p>
            <w:pPr>
              <w:jc w:val="center"/>
              <w:rPr>
                <w:rFonts w:hint="default" w:eastAsiaTheme="minorEastAsia"/>
                <w:color w:val="auto"/>
                <w:sz w:val="21"/>
                <w:szCs w:val="21"/>
                <w:lang w:val="en-US" w:eastAsia="zh-CN"/>
              </w:rPr>
            </w:pPr>
            <w:r>
              <w:rPr>
                <w:rFonts w:hint="eastAsia" w:eastAsiaTheme="minorEastAsia"/>
                <w:color w:val="auto"/>
                <w:sz w:val="21"/>
                <w:szCs w:val="21"/>
                <w:lang w:val="en-US" w:eastAsia="zh-CN"/>
              </w:rPr>
              <w:t>100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35" w:type="dxa"/>
            <w:vMerge w:val="restart"/>
            <w:tcBorders>
              <w:top w:val="single" w:color="auto" w:sz="4" w:space="0"/>
              <w:bottom w:val="single" w:color="auto" w:sz="4" w:space="0"/>
            </w:tcBorders>
            <w:vAlign w:val="center"/>
          </w:tcPr>
          <w:p>
            <w:pPr>
              <w:jc w:val="center"/>
              <w:rPr>
                <w:rFonts w:hint="eastAsia" w:eastAsiaTheme="minorEastAsia"/>
                <w:color w:val="auto"/>
                <w:sz w:val="21"/>
                <w:szCs w:val="21"/>
                <w:lang w:eastAsia="zh-CN"/>
              </w:rPr>
            </w:pPr>
            <w:r>
              <w:rPr>
                <w:rFonts w:hint="eastAsia" w:eastAsiaTheme="minorEastAsia"/>
                <w:color w:val="auto"/>
                <w:sz w:val="21"/>
                <w:szCs w:val="21"/>
                <w:lang w:val="en-US" w:eastAsia="zh-CN"/>
              </w:rPr>
              <w:t>3</w:t>
            </w:r>
          </w:p>
        </w:tc>
        <w:tc>
          <w:tcPr>
            <w:tcW w:w="1922" w:type="dxa"/>
            <w:vMerge w:val="restart"/>
            <w:tcBorders>
              <w:top w:val="single" w:color="auto" w:sz="4" w:space="0"/>
              <w:bottom w:val="single" w:color="auto" w:sz="4" w:space="0"/>
            </w:tcBorders>
            <w:vAlign w:val="center"/>
          </w:tcPr>
          <w:p>
            <w:pPr>
              <w:jc w:val="center"/>
              <w:rPr>
                <w:rFonts w:eastAsiaTheme="minorEastAsia"/>
                <w:color w:val="auto"/>
                <w:sz w:val="21"/>
                <w:szCs w:val="21"/>
              </w:rPr>
            </w:pPr>
            <w:r>
              <w:rPr>
                <w:rFonts w:eastAsiaTheme="minorEastAsia"/>
                <w:color w:val="auto"/>
                <w:sz w:val="21"/>
                <w:szCs w:val="21"/>
              </w:rPr>
              <w:t>废气治理工程</w:t>
            </w:r>
          </w:p>
        </w:tc>
        <w:tc>
          <w:tcPr>
            <w:tcW w:w="2068" w:type="dxa"/>
            <w:tcBorders>
              <w:top w:val="single" w:color="auto" w:sz="4" w:space="0"/>
              <w:bottom w:val="single" w:color="auto" w:sz="4" w:space="0"/>
            </w:tcBorders>
            <w:vAlign w:val="center"/>
          </w:tcPr>
          <w:p>
            <w:pPr>
              <w:jc w:val="center"/>
              <w:rPr>
                <w:rFonts w:eastAsiaTheme="minorEastAsia"/>
                <w:color w:val="auto"/>
                <w:sz w:val="21"/>
                <w:szCs w:val="21"/>
                <w:lang w:val="zh-CN"/>
              </w:rPr>
            </w:pPr>
            <w:r>
              <w:rPr>
                <w:rFonts w:eastAsiaTheme="minorEastAsia"/>
                <w:color w:val="auto"/>
                <w:sz w:val="21"/>
                <w:szCs w:val="21"/>
                <w:lang w:val="zh-CN"/>
              </w:rPr>
              <w:t>除臭系统</w:t>
            </w:r>
          </w:p>
        </w:tc>
        <w:tc>
          <w:tcPr>
            <w:tcW w:w="3320" w:type="dxa"/>
            <w:tcBorders>
              <w:top w:val="single" w:color="auto" w:sz="4" w:space="0"/>
              <w:bottom w:val="single" w:color="auto" w:sz="4" w:space="0"/>
            </w:tcBorders>
            <w:vAlign w:val="center"/>
          </w:tcPr>
          <w:p>
            <w:pPr>
              <w:jc w:val="center"/>
              <w:rPr>
                <w:rFonts w:eastAsiaTheme="minorEastAsia"/>
                <w:color w:val="auto"/>
                <w:sz w:val="21"/>
                <w:szCs w:val="21"/>
                <w:lang w:val="zh-CN"/>
              </w:rPr>
            </w:pPr>
            <w:r>
              <w:rPr>
                <w:rFonts w:eastAsiaTheme="minorEastAsia"/>
                <w:color w:val="auto"/>
                <w:sz w:val="21"/>
                <w:szCs w:val="21"/>
                <w:lang w:val="zh-CN"/>
              </w:rPr>
              <w:t>工艺废气收集后经</w:t>
            </w:r>
            <w:r>
              <w:rPr>
                <w:rFonts w:asciiTheme="minorEastAsia" w:hAnsiTheme="minorEastAsia" w:eastAsiaTheme="minorEastAsia"/>
                <w:color w:val="auto"/>
                <w:sz w:val="21"/>
                <w:szCs w:val="21"/>
                <w:lang w:val="zh-CN"/>
              </w:rPr>
              <w:t>“</w:t>
            </w:r>
            <w:r>
              <w:rPr>
                <w:rFonts w:hint="eastAsia" w:eastAsiaTheme="minorEastAsia"/>
                <w:color w:val="auto"/>
                <w:sz w:val="21"/>
                <w:szCs w:val="21"/>
                <w:lang w:val="zh-CN"/>
              </w:rPr>
              <w:t>化学洗涤塔+光催化氧化+植物液喷淋</w:t>
            </w:r>
            <w:r>
              <w:rPr>
                <w:rFonts w:asciiTheme="minorEastAsia" w:hAnsiTheme="minorEastAsia" w:eastAsiaTheme="minorEastAsia"/>
                <w:color w:val="auto"/>
                <w:sz w:val="21"/>
                <w:szCs w:val="21"/>
                <w:lang w:val="zh-CN"/>
              </w:rPr>
              <w:t>”</w:t>
            </w:r>
            <w:r>
              <w:rPr>
                <w:rFonts w:eastAsiaTheme="minorEastAsia"/>
                <w:color w:val="auto"/>
                <w:sz w:val="21"/>
                <w:szCs w:val="21"/>
                <w:lang w:val="zh-CN"/>
              </w:rPr>
              <w:t>处理后经排气筒</w:t>
            </w:r>
          </w:p>
        </w:tc>
        <w:tc>
          <w:tcPr>
            <w:tcW w:w="1241" w:type="dxa"/>
            <w:tcBorders>
              <w:top w:val="single" w:color="auto" w:sz="4" w:space="0"/>
              <w:bottom w:val="single" w:color="auto" w:sz="4" w:space="0"/>
            </w:tcBorders>
            <w:vAlign w:val="center"/>
          </w:tcPr>
          <w:p>
            <w:pPr>
              <w:jc w:val="center"/>
              <w:rPr>
                <w:rFonts w:eastAsiaTheme="minorEastAsia"/>
                <w:color w:val="auto"/>
                <w:sz w:val="21"/>
                <w:szCs w:val="21"/>
              </w:rPr>
            </w:pPr>
            <w:r>
              <w:rPr>
                <w:rFonts w:hint="eastAsia" w:eastAsiaTheme="minorEastAsia"/>
                <w:color w:val="auto"/>
                <w:sz w:val="21"/>
                <w:szCs w:val="21"/>
              </w:rPr>
              <w:t>200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735" w:type="dxa"/>
            <w:vMerge w:val="continue"/>
            <w:tcBorders>
              <w:top w:val="single" w:color="auto" w:sz="4" w:space="0"/>
              <w:bottom w:val="single" w:color="auto" w:sz="4" w:space="0"/>
            </w:tcBorders>
            <w:vAlign w:val="center"/>
          </w:tcPr>
          <w:p>
            <w:pPr>
              <w:jc w:val="center"/>
              <w:rPr>
                <w:rFonts w:eastAsiaTheme="minorEastAsia"/>
                <w:color w:val="auto"/>
                <w:sz w:val="21"/>
                <w:szCs w:val="21"/>
              </w:rPr>
            </w:pPr>
          </w:p>
        </w:tc>
        <w:tc>
          <w:tcPr>
            <w:tcW w:w="1922" w:type="dxa"/>
            <w:vMerge w:val="continue"/>
            <w:tcBorders>
              <w:top w:val="single" w:color="auto" w:sz="4" w:space="0"/>
              <w:bottom w:val="single" w:color="auto" w:sz="4" w:space="0"/>
            </w:tcBorders>
            <w:vAlign w:val="center"/>
          </w:tcPr>
          <w:p>
            <w:pPr>
              <w:jc w:val="center"/>
              <w:rPr>
                <w:rFonts w:eastAsiaTheme="minorEastAsia"/>
                <w:color w:val="auto"/>
                <w:sz w:val="21"/>
                <w:szCs w:val="21"/>
              </w:rPr>
            </w:pPr>
          </w:p>
        </w:tc>
        <w:tc>
          <w:tcPr>
            <w:tcW w:w="2068" w:type="dxa"/>
            <w:tcBorders>
              <w:top w:val="single" w:color="auto" w:sz="4" w:space="0"/>
              <w:bottom w:val="single" w:color="auto" w:sz="4" w:space="0"/>
            </w:tcBorders>
            <w:vAlign w:val="center"/>
          </w:tcPr>
          <w:p>
            <w:pPr>
              <w:jc w:val="center"/>
              <w:rPr>
                <w:rFonts w:eastAsiaTheme="minorEastAsia"/>
                <w:color w:val="auto"/>
                <w:sz w:val="21"/>
                <w:szCs w:val="21"/>
                <w:lang w:val="zh-CN"/>
              </w:rPr>
            </w:pPr>
            <w:r>
              <w:rPr>
                <w:rFonts w:hint="eastAsia" w:eastAsiaTheme="minorEastAsia"/>
                <w:color w:val="auto"/>
                <w:sz w:val="21"/>
                <w:szCs w:val="21"/>
                <w:lang w:val="zh-CN"/>
              </w:rPr>
              <w:t>填埋扬尘</w:t>
            </w:r>
          </w:p>
        </w:tc>
        <w:tc>
          <w:tcPr>
            <w:tcW w:w="3320" w:type="dxa"/>
            <w:tcBorders>
              <w:top w:val="single" w:color="auto" w:sz="4" w:space="0"/>
              <w:bottom w:val="single" w:color="auto" w:sz="4" w:space="0"/>
            </w:tcBorders>
            <w:vAlign w:val="center"/>
          </w:tcPr>
          <w:p>
            <w:pPr>
              <w:jc w:val="center"/>
              <w:rPr>
                <w:rFonts w:eastAsiaTheme="minorEastAsia"/>
                <w:color w:val="auto"/>
                <w:sz w:val="21"/>
                <w:szCs w:val="21"/>
                <w:lang w:val="zh-CN"/>
              </w:rPr>
            </w:pPr>
            <w:r>
              <w:rPr>
                <w:rFonts w:hint="eastAsia"/>
                <w:color w:val="auto"/>
                <w:kern w:val="0"/>
                <w:sz w:val="21"/>
                <w:szCs w:val="21"/>
              </w:rPr>
              <w:t>降低倾倒高度，卸车时及时洒水，及时覆盖；车辆采取全封闭，限制汽车超载，对厂区道路进行清扫和洒水，道路两侧进行绿化，在填埋区配套</w:t>
            </w:r>
            <w:r>
              <w:rPr>
                <w:color w:val="auto"/>
                <w:kern w:val="0"/>
                <w:sz w:val="21"/>
                <w:szCs w:val="21"/>
              </w:rPr>
              <w:t>喷水雾炮</w:t>
            </w:r>
          </w:p>
        </w:tc>
        <w:tc>
          <w:tcPr>
            <w:tcW w:w="1241" w:type="dxa"/>
            <w:tcBorders>
              <w:top w:val="single" w:color="auto" w:sz="4" w:space="0"/>
              <w:bottom w:val="single" w:color="auto" w:sz="4" w:space="0"/>
            </w:tcBorders>
            <w:vAlign w:val="center"/>
          </w:tcPr>
          <w:p>
            <w:pPr>
              <w:jc w:val="center"/>
              <w:rPr>
                <w:rFonts w:eastAsiaTheme="minorEastAsia"/>
                <w:color w:val="auto"/>
                <w:sz w:val="21"/>
                <w:szCs w:val="21"/>
              </w:rPr>
            </w:pPr>
            <w:r>
              <w:rPr>
                <w:rFonts w:hint="eastAsia" w:eastAsiaTheme="minorEastAsia"/>
                <w:color w:val="auto"/>
                <w:sz w:val="21"/>
                <w:szCs w:val="21"/>
              </w:rPr>
              <w:t>80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735" w:type="dxa"/>
            <w:tcBorders>
              <w:top w:val="single" w:color="auto" w:sz="4" w:space="0"/>
              <w:bottom w:val="single" w:color="auto" w:sz="4" w:space="0"/>
            </w:tcBorders>
            <w:vAlign w:val="center"/>
          </w:tcPr>
          <w:p>
            <w:pPr>
              <w:jc w:val="center"/>
              <w:rPr>
                <w:rFonts w:hint="eastAsia" w:eastAsiaTheme="minorEastAsia"/>
                <w:color w:val="auto"/>
                <w:sz w:val="21"/>
                <w:szCs w:val="21"/>
                <w:lang w:eastAsia="zh-CN"/>
              </w:rPr>
            </w:pPr>
            <w:r>
              <w:rPr>
                <w:rFonts w:hint="eastAsia" w:eastAsiaTheme="minorEastAsia"/>
                <w:color w:val="auto"/>
                <w:sz w:val="21"/>
                <w:szCs w:val="21"/>
                <w:lang w:val="en-US" w:eastAsia="zh-CN"/>
              </w:rPr>
              <w:t>4</w:t>
            </w:r>
          </w:p>
        </w:tc>
        <w:tc>
          <w:tcPr>
            <w:tcW w:w="1922" w:type="dxa"/>
            <w:tcBorders>
              <w:top w:val="single" w:color="auto" w:sz="4" w:space="0"/>
              <w:bottom w:val="single" w:color="auto" w:sz="4" w:space="0"/>
            </w:tcBorders>
            <w:vAlign w:val="center"/>
          </w:tcPr>
          <w:p>
            <w:pPr>
              <w:jc w:val="center"/>
              <w:rPr>
                <w:rFonts w:eastAsiaTheme="minorEastAsia"/>
                <w:color w:val="auto"/>
                <w:sz w:val="21"/>
                <w:szCs w:val="21"/>
              </w:rPr>
            </w:pPr>
            <w:r>
              <w:rPr>
                <w:rFonts w:eastAsiaTheme="minorEastAsia"/>
                <w:color w:val="auto"/>
                <w:sz w:val="21"/>
                <w:szCs w:val="21"/>
              </w:rPr>
              <w:t>固废处置工程</w:t>
            </w:r>
          </w:p>
        </w:tc>
        <w:tc>
          <w:tcPr>
            <w:tcW w:w="5388" w:type="dxa"/>
            <w:gridSpan w:val="2"/>
            <w:tcBorders>
              <w:top w:val="single" w:color="auto" w:sz="4" w:space="0"/>
              <w:bottom w:val="single" w:color="auto" w:sz="4" w:space="0"/>
            </w:tcBorders>
            <w:vAlign w:val="center"/>
          </w:tcPr>
          <w:p>
            <w:pPr>
              <w:jc w:val="center"/>
              <w:rPr>
                <w:rFonts w:eastAsiaTheme="minorEastAsia"/>
                <w:color w:val="auto"/>
                <w:sz w:val="21"/>
                <w:szCs w:val="21"/>
              </w:rPr>
            </w:pPr>
            <w:r>
              <w:rPr>
                <w:rFonts w:eastAsiaTheme="minorEastAsia"/>
                <w:color w:val="auto"/>
                <w:sz w:val="21"/>
                <w:szCs w:val="21"/>
              </w:rPr>
              <w:t>工业固废收集容器等</w:t>
            </w:r>
          </w:p>
        </w:tc>
        <w:tc>
          <w:tcPr>
            <w:tcW w:w="1241" w:type="dxa"/>
            <w:tcBorders>
              <w:top w:val="single" w:color="auto" w:sz="4" w:space="0"/>
              <w:bottom w:val="single" w:color="auto" w:sz="4" w:space="0"/>
            </w:tcBorders>
            <w:vAlign w:val="center"/>
          </w:tcPr>
          <w:p>
            <w:pPr>
              <w:jc w:val="center"/>
              <w:rPr>
                <w:rFonts w:eastAsiaTheme="minorEastAsia"/>
                <w:color w:val="auto"/>
                <w:sz w:val="21"/>
                <w:szCs w:val="21"/>
              </w:rPr>
            </w:pPr>
            <w:r>
              <w:rPr>
                <w:rFonts w:hint="eastAsia" w:eastAsiaTheme="minorEastAsia"/>
                <w:color w:val="auto"/>
                <w:sz w:val="21"/>
                <w:szCs w:val="21"/>
              </w:rPr>
              <w:t>20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35" w:type="dxa"/>
            <w:tcBorders>
              <w:top w:val="single" w:color="auto" w:sz="4" w:space="0"/>
              <w:bottom w:val="single" w:color="auto" w:sz="4" w:space="0"/>
            </w:tcBorders>
            <w:vAlign w:val="center"/>
          </w:tcPr>
          <w:p>
            <w:pPr>
              <w:jc w:val="center"/>
              <w:rPr>
                <w:rFonts w:hint="eastAsia" w:eastAsiaTheme="minorEastAsia"/>
                <w:color w:val="auto"/>
                <w:sz w:val="21"/>
                <w:szCs w:val="21"/>
                <w:lang w:eastAsia="zh-CN"/>
              </w:rPr>
            </w:pPr>
            <w:r>
              <w:rPr>
                <w:rFonts w:hint="eastAsia" w:eastAsiaTheme="minorEastAsia"/>
                <w:color w:val="auto"/>
                <w:sz w:val="21"/>
                <w:szCs w:val="21"/>
                <w:lang w:val="en-US" w:eastAsia="zh-CN"/>
              </w:rPr>
              <w:t>5</w:t>
            </w:r>
          </w:p>
        </w:tc>
        <w:tc>
          <w:tcPr>
            <w:tcW w:w="1922" w:type="dxa"/>
            <w:tcBorders>
              <w:top w:val="single" w:color="auto" w:sz="4" w:space="0"/>
              <w:bottom w:val="single" w:color="auto" w:sz="4" w:space="0"/>
            </w:tcBorders>
            <w:vAlign w:val="center"/>
          </w:tcPr>
          <w:p>
            <w:pPr>
              <w:jc w:val="center"/>
              <w:rPr>
                <w:rFonts w:eastAsiaTheme="minorEastAsia"/>
                <w:color w:val="auto"/>
                <w:sz w:val="21"/>
                <w:szCs w:val="21"/>
              </w:rPr>
            </w:pPr>
            <w:r>
              <w:rPr>
                <w:rFonts w:eastAsiaTheme="minorEastAsia"/>
                <w:color w:val="auto"/>
                <w:sz w:val="21"/>
                <w:szCs w:val="21"/>
              </w:rPr>
              <w:t>噪声治理工程</w:t>
            </w:r>
          </w:p>
        </w:tc>
        <w:tc>
          <w:tcPr>
            <w:tcW w:w="2068" w:type="dxa"/>
            <w:tcBorders>
              <w:top w:val="single" w:color="auto" w:sz="4" w:space="0"/>
              <w:bottom w:val="single" w:color="auto" w:sz="4" w:space="0"/>
            </w:tcBorders>
            <w:vAlign w:val="center"/>
          </w:tcPr>
          <w:p>
            <w:pPr>
              <w:jc w:val="center"/>
              <w:rPr>
                <w:rFonts w:eastAsiaTheme="minorEastAsia"/>
                <w:color w:val="auto"/>
                <w:sz w:val="21"/>
                <w:szCs w:val="21"/>
              </w:rPr>
            </w:pPr>
            <w:r>
              <w:rPr>
                <w:rFonts w:eastAsiaTheme="minorEastAsia"/>
                <w:color w:val="auto"/>
                <w:sz w:val="21"/>
                <w:szCs w:val="21"/>
                <w:lang w:val="zh-CN"/>
              </w:rPr>
              <w:t>生产设备消音、隔音</w:t>
            </w:r>
          </w:p>
        </w:tc>
        <w:tc>
          <w:tcPr>
            <w:tcW w:w="3320" w:type="dxa"/>
            <w:tcBorders>
              <w:top w:val="single" w:color="auto" w:sz="4" w:space="0"/>
              <w:bottom w:val="single" w:color="auto" w:sz="4" w:space="0"/>
            </w:tcBorders>
            <w:vAlign w:val="center"/>
          </w:tcPr>
          <w:p>
            <w:pPr>
              <w:jc w:val="center"/>
              <w:rPr>
                <w:rFonts w:eastAsiaTheme="minorEastAsia"/>
                <w:color w:val="auto"/>
                <w:sz w:val="21"/>
                <w:szCs w:val="21"/>
              </w:rPr>
            </w:pPr>
            <w:r>
              <w:rPr>
                <w:rFonts w:eastAsiaTheme="minorEastAsia"/>
                <w:color w:val="auto"/>
                <w:sz w:val="21"/>
                <w:szCs w:val="21"/>
              </w:rPr>
              <w:t>风机、泵等机械振动大的设备选用低噪声设备并设减震基础措施；管道和阀门采用软连接头以减少震动的传递</w:t>
            </w:r>
          </w:p>
        </w:tc>
        <w:tc>
          <w:tcPr>
            <w:tcW w:w="1241" w:type="dxa"/>
            <w:tcBorders>
              <w:top w:val="single" w:color="auto" w:sz="4" w:space="0"/>
              <w:bottom w:val="single" w:color="auto" w:sz="4" w:space="0"/>
            </w:tcBorders>
            <w:vAlign w:val="center"/>
          </w:tcPr>
          <w:p>
            <w:pPr>
              <w:jc w:val="center"/>
              <w:rPr>
                <w:rFonts w:eastAsiaTheme="minorEastAsia"/>
                <w:color w:val="auto"/>
                <w:sz w:val="21"/>
                <w:szCs w:val="21"/>
              </w:rPr>
            </w:pPr>
            <w:r>
              <w:rPr>
                <w:rFonts w:eastAsiaTheme="minorEastAsia"/>
                <w:color w:val="auto"/>
                <w:sz w:val="21"/>
                <w:szCs w:val="21"/>
              </w:rPr>
              <w:t>30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35" w:type="dxa"/>
            <w:vMerge w:val="restart"/>
            <w:tcBorders>
              <w:top w:val="single" w:color="auto" w:sz="4" w:space="0"/>
              <w:bottom w:val="single" w:color="auto" w:sz="4" w:space="0"/>
            </w:tcBorders>
            <w:vAlign w:val="center"/>
          </w:tcPr>
          <w:p>
            <w:pPr>
              <w:jc w:val="center"/>
              <w:rPr>
                <w:rFonts w:hint="eastAsia" w:eastAsiaTheme="minorEastAsia"/>
                <w:color w:val="auto"/>
                <w:sz w:val="21"/>
                <w:szCs w:val="21"/>
                <w:lang w:eastAsia="zh-CN"/>
              </w:rPr>
            </w:pPr>
            <w:r>
              <w:rPr>
                <w:rFonts w:hint="eastAsia" w:eastAsiaTheme="minorEastAsia"/>
                <w:color w:val="auto"/>
                <w:sz w:val="21"/>
                <w:szCs w:val="21"/>
                <w:lang w:val="en-US" w:eastAsia="zh-CN"/>
              </w:rPr>
              <w:t>6</w:t>
            </w:r>
          </w:p>
        </w:tc>
        <w:tc>
          <w:tcPr>
            <w:tcW w:w="1922" w:type="dxa"/>
            <w:vMerge w:val="restart"/>
            <w:tcBorders>
              <w:top w:val="single" w:color="auto" w:sz="4" w:space="0"/>
              <w:bottom w:val="single" w:color="auto" w:sz="4" w:space="0"/>
            </w:tcBorders>
            <w:vAlign w:val="center"/>
          </w:tcPr>
          <w:p>
            <w:pPr>
              <w:jc w:val="center"/>
              <w:rPr>
                <w:rFonts w:eastAsiaTheme="minorEastAsia"/>
                <w:color w:val="auto"/>
                <w:sz w:val="21"/>
                <w:szCs w:val="21"/>
              </w:rPr>
            </w:pPr>
            <w:r>
              <w:rPr>
                <w:rFonts w:eastAsiaTheme="minorEastAsia"/>
                <w:color w:val="auto"/>
                <w:sz w:val="21"/>
                <w:szCs w:val="21"/>
              </w:rPr>
              <w:t>环境风险防范工程</w:t>
            </w:r>
          </w:p>
        </w:tc>
        <w:tc>
          <w:tcPr>
            <w:tcW w:w="2068" w:type="dxa"/>
            <w:tcBorders>
              <w:top w:val="single" w:color="auto" w:sz="4" w:space="0"/>
              <w:bottom w:val="single" w:color="auto" w:sz="4" w:space="0"/>
            </w:tcBorders>
            <w:vAlign w:val="center"/>
          </w:tcPr>
          <w:p>
            <w:pPr>
              <w:jc w:val="center"/>
              <w:rPr>
                <w:rFonts w:eastAsiaTheme="minorEastAsia"/>
                <w:color w:val="auto"/>
                <w:sz w:val="21"/>
                <w:szCs w:val="21"/>
                <w:lang w:val="zh-CN"/>
              </w:rPr>
            </w:pPr>
            <w:r>
              <w:rPr>
                <w:rFonts w:eastAsiaTheme="minorEastAsia"/>
                <w:color w:val="auto"/>
                <w:sz w:val="21"/>
                <w:szCs w:val="21"/>
                <w:lang w:val="zh-CN"/>
              </w:rPr>
              <w:t>应急池</w:t>
            </w:r>
          </w:p>
        </w:tc>
        <w:tc>
          <w:tcPr>
            <w:tcW w:w="3320" w:type="dxa"/>
            <w:tcBorders>
              <w:top w:val="single" w:color="auto" w:sz="4" w:space="0"/>
              <w:bottom w:val="single" w:color="auto" w:sz="4" w:space="0"/>
            </w:tcBorders>
            <w:vAlign w:val="center"/>
          </w:tcPr>
          <w:p>
            <w:pPr>
              <w:jc w:val="center"/>
              <w:rPr>
                <w:rFonts w:eastAsiaTheme="minorEastAsia"/>
                <w:color w:val="auto"/>
                <w:sz w:val="21"/>
                <w:szCs w:val="21"/>
              </w:rPr>
            </w:pPr>
            <w:r>
              <w:rPr>
                <w:rFonts w:eastAsiaTheme="minorEastAsia"/>
                <w:color w:val="auto"/>
                <w:sz w:val="21"/>
                <w:szCs w:val="21"/>
              </w:rPr>
              <w:t>/</w:t>
            </w:r>
          </w:p>
        </w:tc>
        <w:tc>
          <w:tcPr>
            <w:tcW w:w="1241" w:type="dxa"/>
            <w:tcBorders>
              <w:top w:val="single" w:color="auto" w:sz="4" w:space="0"/>
              <w:bottom w:val="single" w:color="auto" w:sz="4" w:space="0"/>
            </w:tcBorders>
            <w:vAlign w:val="center"/>
          </w:tcPr>
          <w:p>
            <w:pPr>
              <w:jc w:val="center"/>
              <w:rPr>
                <w:rFonts w:eastAsiaTheme="minorEastAsia"/>
                <w:color w:val="auto"/>
                <w:sz w:val="21"/>
                <w:szCs w:val="21"/>
              </w:rPr>
            </w:pPr>
            <w:r>
              <w:rPr>
                <w:rFonts w:hint="eastAsia" w:eastAsiaTheme="minorEastAsia"/>
                <w:color w:val="auto"/>
                <w:sz w:val="21"/>
                <w:szCs w:val="21"/>
              </w:rPr>
              <w:t>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35" w:type="dxa"/>
            <w:vMerge w:val="continue"/>
            <w:tcBorders>
              <w:top w:val="single" w:color="auto" w:sz="4" w:space="0"/>
              <w:bottom w:val="single" w:color="auto" w:sz="4" w:space="0"/>
            </w:tcBorders>
            <w:vAlign w:val="center"/>
          </w:tcPr>
          <w:p>
            <w:pPr>
              <w:jc w:val="center"/>
              <w:rPr>
                <w:rFonts w:eastAsiaTheme="minorEastAsia"/>
                <w:color w:val="auto"/>
                <w:sz w:val="21"/>
                <w:szCs w:val="21"/>
              </w:rPr>
            </w:pPr>
          </w:p>
        </w:tc>
        <w:tc>
          <w:tcPr>
            <w:tcW w:w="1922" w:type="dxa"/>
            <w:vMerge w:val="continue"/>
            <w:tcBorders>
              <w:top w:val="single" w:color="auto" w:sz="4" w:space="0"/>
              <w:bottom w:val="single" w:color="auto" w:sz="4" w:space="0"/>
            </w:tcBorders>
            <w:vAlign w:val="center"/>
          </w:tcPr>
          <w:p>
            <w:pPr>
              <w:jc w:val="center"/>
              <w:rPr>
                <w:rFonts w:eastAsiaTheme="minorEastAsia"/>
                <w:color w:val="auto"/>
                <w:sz w:val="21"/>
                <w:szCs w:val="21"/>
              </w:rPr>
            </w:pPr>
          </w:p>
        </w:tc>
        <w:tc>
          <w:tcPr>
            <w:tcW w:w="2068" w:type="dxa"/>
            <w:tcBorders>
              <w:top w:val="single" w:color="auto" w:sz="4" w:space="0"/>
              <w:bottom w:val="single" w:color="auto" w:sz="4" w:space="0"/>
            </w:tcBorders>
            <w:vAlign w:val="center"/>
          </w:tcPr>
          <w:p>
            <w:pPr>
              <w:jc w:val="center"/>
              <w:rPr>
                <w:rFonts w:eastAsiaTheme="minorEastAsia"/>
                <w:color w:val="auto"/>
                <w:sz w:val="21"/>
                <w:szCs w:val="21"/>
                <w:lang w:val="zh-CN"/>
              </w:rPr>
            </w:pPr>
            <w:r>
              <w:rPr>
                <w:rFonts w:eastAsiaTheme="minorEastAsia"/>
                <w:color w:val="auto"/>
                <w:sz w:val="21"/>
                <w:szCs w:val="21"/>
                <w:lang w:val="zh-CN"/>
              </w:rPr>
              <w:t>地下水防渗</w:t>
            </w:r>
          </w:p>
        </w:tc>
        <w:tc>
          <w:tcPr>
            <w:tcW w:w="3320" w:type="dxa"/>
            <w:tcBorders>
              <w:top w:val="single" w:color="auto" w:sz="4" w:space="0"/>
              <w:bottom w:val="single" w:color="auto" w:sz="4" w:space="0"/>
            </w:tcBorders>
            <w:vAlign w:val="center"/>
          </w:tcPr>
          <w:p>
            <w:pPr>
              <w:jc w:val="center"/>
              <w:rPr>
                <w:rFonts w:eastAsiaTheme="minorEastAsia"/>
                <w:color w:val="auto"/>
                <w:sz w:val="21"/>
                <w:szCs w:val="21"/>
              </w:rPr>
            </w:pPr>
            <w:r>
              <w:rPr>
                <w:rFonts w:eastAsiaTheme="minorEastAsia"/>
                <w:color w:val="auto"/>
                <w:sz w:val="21"/>
                <w:szCs w:val="21"/>
              </w:rPr>
              <w:t>/</w:t>
            </w:r>
          </w:p>
        </w:tc>
        <w:tc>
          <w:tcPr>
            <w:tcW w:w="1241" w:type="dxa"/>
            <w:tcBorders>
              <w:top w:val="single" w:color="auto" w:sz="4" w:space="0"/>
              <w:bottom w:val="single" w:color="auto" w:sz="4" w:space="0"/>
            </w:tcBorders>
            <w:vAlign w:val="center"/>
          </w:tcPr>
          <w:p>
            <w:pPr>
              <w:jc w:val="center"/>
              <w:rPr>
                <w:rFonts w:eastAsiaTheme="minorEastAsia"/>
                <w:color w:val="auto"/>
                <w:sz w:val="21"/>
                <w:szCs w:val="21"/>
              </w:rPr>
            </w:pPr>
            <w:r>
              <w:rPr>
                <w:rFonts w:hint="eastAsia" w:eastAsiaTheme="minorEastAsia"/>
                <w:color w:val="auto"/>
                <w:sz w:val="21"/>
                <w:szCs w:val="21"/>
              </w:rPr>
              <w:t>3</w:t>
            </w:r>
            <w:r>
              <w:rPr>
                <w:rFonts w:eastAsiaTheme="minorEastAsia"/>
                <w:color w:val="auto"/>
                <w:sz w:val="21"/>
                <w:szCs w:val="21"/>
              </w:rPr>
              <w:t>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735" w:type="dxa"/>
            <w:tcBorders>
              <w:top w:val="single" w:color="auto" w:sz="4" w:space="0"/>
              <w:bottom w:val="single" w:color="auto" w:sz="4" w:space="0"/>
            </w:tcBorders>
            <w:vAlign w:val="center"/>
          </w:tcPr>
          <w:p>
            <w:pPr>
              <w:jc w:val="center"/>
              <w:rPr>
                <w:rFonts w:hint="eastAsia" w:eastAsiaTheme="minorEastAsia"/>
                <w:color w:val="auto"/>
                <w:sz w:val="21"/>
                <w:szCs w:val="21"/>
                <w:lang w:eastAsia="zh-CN"/>
              </w:rPr>
            </w:pPr>
            <w:r>
              <w:rPr>
                <w:rFonts w:hint="eastAsia" w:eastAsiaTheme="minorEastAsia"/>
                <w:color w:val="auto"/>
                <w:sz w:val="21"/>
                <w:szCs w:val="21"/>
                <w:lang w:val="en-US" w:eastAsia="zh-CN"/>
              </w:rPr>
              <w:t>7</w:t>
            </w:r>
          </w:p>
        </w:tc>
        <w:tc>
          <w:tcPr>
            <w:tcW w:w="1922" w:type="dxa"/>
            <w:tcBorders>
              <w:top w:val="single" w:color="auto" w:sz="4" w:space="0"/>
              <w:bottom w:val="single" w:color="auto" w:sz="4" w:space="0"/>
            </w:tcBorders>
            <w:vAlign w:val="center"/>
          </w:tcPr>
          <w:p>
            <w:pPr>
              <w:jc w:val="center"/>
              <w:rPr>
                <w:rFonts w:eastAsiaTheme="minorEastAsia"/>
                <w:color w:val="auto"/>
                <w:sz w:val="21"/>
                <w:szCs w:val="21"/>
              </w:rPr>
            </w:pPr>
            <w:r>
              <w:rPr>
                <w:rFonts w:eastAsiaTheme="minorEastAsia"/>
                <w:color w:val="auto"/>
                <w:sz w:val="21"/>
                <w:szCs w:val="21"/>
              </w:rPr>
              <w:t>绿化工程</w:t>
            </w:r>
          </w:p>
        </w:tc>
        <w:tc>
          <w:tcPr>
            <w:tcW w:w="2068" w:type="dxa"/>
            <w:tcBorders>
              <w:top w:val="single" w:color="auto" w:sz="4" w:space="0"/>
              <w:bottom w:val="single" w:color="auto" w:sz="4" w:space="0"/>
            </w:tcBorders>
            <w:vAlign w:val="center"/>
          </w:tcPr>
          <w:p>
            <w:pPr>
              <w:jc w:val="center"/>
              <w:rPr>
                <w:rFonts w:eastAsiaTheme="minorEastAsia"/>
                <w:color w:val="auto"/>
                <w:sz w:val="21"/>
                <w:szCs w:val="21"/>
              </w:rPr>
            </w:pPr>
            <w:r>
              <w:rPr>
                <w:rFonts w:eastAsiaTheme="minorEastAsia"/>
                <w:color w:val="auto"/>
                <w:sz w:val="21"/>
                <w:szCs w:val="21"/>
              </w:rPr>
              <w:t>草地、树木等</w:t>
            </w:r>
          </w:p>
        </w:tc>
        <w:tc>
          <w:tcPr>
            <w:tcW w:w="3320" w:type="dxa"/>
            <w:tcBorders>
              <w:top w:val="single" w:color="auto" w:sz="4" w:space="0"/>
              <w:bottom w:val="single" w:color="auto" w:sz="4" w:space="0"/>
            </w:tcBorders>
            <w:vAlign w:val="center"/>
          </w:tcPr>
          <w:p>
            <w:pPr>
              <w:jc w:val="center"/>
              <w:rPr>
                <w:rFonts w:eastAsiaTheme="minorEastAsia"/>
                <w:color w:val="auto"/>
                <w:sz w:val="21"/>
                <w:szCs w:val="21"/>
              </w:rPr>
            </w:pPr>
            <w:r>
              <w:rPr>
                <w:rFonts w:eastAsiaTheme="minorEastAsia"/>
                <w:color w:val="auto"/>
                <w:sz w:val="21"/>
                <w:szCs w:val="21"/>
              </w:rPr>
              <w:t>/</w:t>
            </w:r>
          </w:p>
        </w:tc>
        <w:tc>
          <w:tcPr>
            <w:tcW w:w="1241" w:type="dxa"/>
            <w:tcBorders>
              <w:top w:val="single" w:color="auto" w:sz="4" w:space="0"/>
              <w:bottom w:val="single" w:color="auto" w:sz="4" w:space="0"/>
            </w:tcBorders>
            <w:vAlign w:val="center"/>
          </w:tcPr>
          <w:p>
            <w:pPr>
              <w:jc w:val="center"/>
              <w:rPr>
                <w:rFonts w:eastAsiaTheme="minorEastAsia"/>
                <w:color w:val="auto"/>
                <w:sz w:val="21"/>
                <w:szCs w:val="21"/>
              </w:rPr>
            </w:pPr>
            <w:r>
              <w:rPr>
                <w:rFonts w:hint="eastAsia" w:eastAsiaTheme="minorEastAsia"/>
                <w:color w:val="auto"/>
                <w:sz w:val="21"/>
                <w:szCs w:val="21"/>
              </w:rPr>
              <w:t>20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657" w:type="dxa"/>
            <w:gridSpan w:val="2"/>
            <w:tcBorders>
              <w:top w:val="single" w:color="auto" w:sz="4" w:space="0"/>
              <w:bottom w:val="single" w:color="auto" w:sz="12" w:space="0"/>
            </w:tcBorders>
            <w:vAlign w:val="center"/>
          </w:tcPr>
          <w:p>
            <w:pPr>
              <w:jc w:val="center"/>
              <w:rPr>
                <w:rFonts w:eastAsiaTheme="minorEastAsia"/>
                <w:color w:val="auto"/>
                <w:sz w:val="21"/>
                <w:szCs w:val="21"/>
              </w:rPr>
            </w:pPr>
            <w:r>
              <w:rPr>
                <w:rFonts w:eastAsiaTheme="minorEastAsia"/>
                <w:color w:val="auto"/>
                <w:sz w:val="21"/>
                <w:szCs w:val="21"/>
              </w:rPr>
              <w:t>合计</w:t>
            </w:r>
          </w:p>
        </w:tc>
        <w:tc>
          <w:tcPr>
            <w:tcW w:w="2068" w:type="dxa"/>
            <w:tcBorders>
              <w:top w:val="single" w:color="auto" w:sz="4" w:space="0"/>
              <w:bottom w:val="single" w:color="auto" w:sz="12" w:space="0"/>
            </w:tcBorders>
            <w:vAlign w:val="center"/>
          </w:tcPr>
          <w:p>
            <w:pPr>
              <w:jc w:val="center"/>
              <w:rPr>
                <w:rFonts w:eastAsiaTheme="minorEastAsia"/>
                <w:color w:val="auto"/>
                <w:sz w:val="21"/>
                <w:szCs w:val="21"/>
              </w:rPr>
            </w:pPr>
            <w:r>
              <w:rPr>
                <w:rFonts w:eastAsiaTheme="minorEastAsia"/>
                <w:color w:val="auto"/>
                <w:sz w:val="21"/>
                <w:szCs w:val="21"/>
              </w:rPr>
              <w:t>/</w:t>
            </w:r>
          </w:p>
        </w:tc>
        <w:tc>
          <w:tcPr>
            <w:tcW w:w="3320" w:type="dxa"/>
            <w:tcBorders>
              <w:top w:val="single" w:color="auto" w:sz="4" w:space="0"/>
              <w:bottom w:val="single" w:color="auto" w:sz="12" w:space="0"/>
            </w:tcBorders>
            <w:vAlign w:val="center"/>
          </w:tcPr>
          <w:p>
            <w:pPr>
              <w:jc w:val="center"/>
              <w:rPr>
                <w:rFonts w:eastAsiaTheme="minorEastAsia"/>
                <w:color w:val="auto"/>
                <w:sz w:val="21"/>
                <w:szCs w:val="21"/>
              </w:rPr>
            </w:pPr>
            <w:r>
              <w:rPr>
                <w:rFonts w:eastAsiaTheme="minorEastAsia"/>
                <w:color w:val="auto"/>
                <w:sz w:val="21"/>
                <w:szCs w:val="21"/>
              </w:rPr>
              <w:t>/</w:t>
            </w:r>
          </w:p>
        </w:tc>
        <w:tc>
          <w:tcPr>
            <w:tcW w:w="1241" w:type="dxa"/>
            <w:tcBorders>
              <w:top w:val="single" w:color="auto" w:sz="4" w:space="0"/>
              <w:bottom w:val="single" w:color="auto" w:sz="12" w:space="0"/>
            </w:tcBorders>
            <w:vAlign w:val="center"/>
          </w:tcPr>
          <w:p>
            <w:pPr>
              <w:jc w:val="center"/>
              <w:rPr>
                <w:rFonts w:eastAsiaTheme="minorEastAsia"/>
                <w:color w:val="auto"/>
                <w:sz w:val="21"/>
                <w:szCs w:val="21"/>
              </w:rPr>
            </w:pPr>
            <w:r>
              <w:rPr>
                <w:rFonts w:hint="eastAsia" w:eastAsiaTheme="minorEastAsia"/>
                <w:color w:val="auto"/>
                <w:sz w:val="21"/>
                <w:szCs w:val="21"/>
              </w:rPr>
              <w:t>1000</w:t>
            </w:r>
          </w:p>
        </w:tc>
      </w:tr>
      <w:bookmarkEnd w:id="873"/>
    </w:tbl>
    <w:p>
      <w:pPr>
        <w:pStyle w:val="3"/>
        <w:numPr>
          <w:ilvl w:val="0"/>
          <w:numId w:val="0"/>
        </w:numPr>
        <w:tabs>
          <w:tab w:val="clear" w:pos="680"/>
        </w:tabs>
        <w:ind w:left="576" w:hanging="576"/>
        <w:rPr>
          <w:rFonts w:ascii="Times New Roman"/>
          <w:bCs/>
          <w:color w:val="auto"/>
        </w:rPr>
      </w:pPr>
      <w:bookmarkStart w:id="874" w:name="_Toc24136853"/>
      <w:bookmarkStart w:id="875" w:name="_Toc14943337"/>
      <w:bookmarkStart w:id="876" w:name="_Toc23263180"/>
      <w:bookmarkStart w:id="877" w:name="_Toc7475"/>
      <w:r>
        <w:rPr>
          <w:rFonts w:ascii="Times New Roman"/>
          <w:bCs/>
          <w:color w:val="auto"/>
        </w:rPr>
        <w:t>7.3社会环境效益</w:t>
      </w:r>
      <w:bookmarkEnd w:id="874"/>
      <w:bookmarkEnd w:id="875"/>
      <w:bookmarkEnd w:id="876"/>
      <w:bookmarkEnd w:id="877"/>
    </w:p>
    <w:p>
      <w:pPr>
        <w:spacing w:line="360" w:lineRule="auto"/>
        <w:ind w:firstLine="480"/>
        <w:rPr>
          <w:color w:val="auto"/>
        </w:rPr>
      </w:pPr>
      <w:r>
        <w:rPr>
          <w:color w:val="auto"/>
        </w:rPr>
        <w:t>本项目工程是市政基础设施，其特点不同于产品生产，而是为社会提供后勤保障服务。本项目的建设改善和加强了</w:t>
      </w:r>
      <w:r>
        <w:rPr>
          <w:rFonts w:hint="eastAsia"/>
          <w:color w:val="auto"/>
        </w:rPr>
        <w:t>兴宁市</w:t>
      </w:r>
      <w:r>
        <w:rPr>
          <w:color w:val="auto"/>
        </w:rPr>
        <w:t>的</w:t>
      </w:r>
      <w:r>
        <w:rPr>
          <w:rFonts w:hint="eastAsia"/>
          <w:color w:val="auto"/>
        </w:rPr>
        <w:t>餐厨和建筑</w:t>
      </w:r>
      <w:r>
        <w:rPr>
          <w:color w:val="auto"/>
        </w:rPr>
        <w:t>垃圾处理水平和能力，改善了整体城市的环境质量，提升了城市形象，促进经济进一步繁荣。</w:t>
      </w:r>
    </w:p>
    <w:p>
      <w:pPr>
        <w:spacing w:line="360" w:lineRule="auto"/>
        <w:ind w:firstLine="480"/>
        <w:rPr>
          <w:color w:val="auto"/>
        </w:rPr>
      </w:pPr>
      <w:r>
        <w:rPr>
          <w:color w:val="auto"/>
        </w:rPr>
        <w:t>（1）促进城市文明，改善投资环境</w:t>
      </w:r>
    </w:p>
    <w:p>
      <w:pPr>
        <w:spacing w:line="360" w:lineRule="auto"/>
        <w:ind w:firstLine="480"/>
        <w:jc w:val="both"/>
        <w:rPr>
          <w:color w:val="auto"/>
        </w:rPr>
      </w:pPr>
      <w:r>
        <w:rPr>
          <w:color w:val="auto"/>
        </w:rPr>
        <w:t>一个城市的垃圾</w:t>
      </w:r>
      <w:r>
        <w:rPr>
          <w:rFonts w:hint="eastAsia"/>
          <w:color w:val="auto"/>
        </w:rPr>
        <w:t>及其他固废</w:t>
      </w:r>
      <w:r>
        <w:rPr>
          <w:color w:val="auto"/>
        </w:rPr>
        <w:t>处理水平，最能体现该城市市容市貌和精神风貌。国内许多环保模范城市、精神文明城市的建设，都是从卫生城市开始的。城市卫生环境的改善，市容市貌和精神风貌的改善，都将有利于改善</w:t>
      </w:r>
      <w:r>
        <w:rPr>
          <w:rFonts w:hint="eastAsia"/>
          <w:color w:val="auto"/>
        </w:rPr>
        <w:t>兴宁</w:t>
      </w:r>
      <w:r>
        <w:rPr>
          <w:color w:val="auto"/>
        </w:rPr>
        <w:t>市的投资环境，促进经济发展，将会吸引更多投资，并促进旅游产业和其他第三产业的发展，其间接带来的经济效益是巨大的。</w:t>
      </w:r>
      <w:r>
        <w:rPr>
          <w:rFonts w:hint="eastAsia"/>
          <w:color w:val="auto"/>
        </w:rPr>
        <w:t xml:space="preserve"> </w:t>
      </w:r>
    </w:p>
    <w:p>
      <w:pPr>
        <w:spacing w:line="360" w:lineRule="auto"/>
        <w:ind w:firstLine="480" w:firstLineChars="200"/>
        <w:rPr>
          <w:color w:val="auto"/>
        </w:rPr>
      </w:pPr>
      <w:r>
        <w:rPr>
          <w:rFonts w:hint="eastAsia"/>
          <w:color w:val="auto"/>
        </w:rPr>
        <w:t>（2）保障食品卫生安全和人民身体健康</w:t>
      </w:r>
    </w:p>
    <w:p>
      <w:pPr>
        <w:spacing w:line="360" w:lineRule="auto"/>
        <w:ind w:firstLine="360" w:firstLineChars="150"/>
        <w:rPr>
          <w:color w:val="auto"/>
        </w:rPr>
      </w:pPr>
      <w:r>
        <w:rPr>
          <w:rFonts w:hint="eastAsia"/>
          <w:color w:val="auto"/>
        </w:rPr>
        <w:t>餐厨垃圾成分复杂，极易腐烂变质，含有多种强烈感染性的致病菌和有毒有害成分，加之在餐具洗涤、运输等过程中可能混入铅、汞、镉等重金属成分以及有机化合物、苯类化合物等。以餐厨垃圾为养猪主要饲料，“垃圾猪”与人类食物链相连，可能会产生的潜在、不确定的传播疾病的风险。</w:t>
      </w:r>
    </w:p>
    <w:p>
      <w:pPr>
        <w:spacing w:line="360" w:lineRule="auto"/>
        <w:ind w:firstLine="480" w:firstLineChars="200"/>
        <w:rPr>
          <w:color w:val="auto"/>
        </w:rPr>
      </w:pPr>
      <w:r>
        <w:rPr>
          <w:rFonts w:hint="eastAsia"/>
          <w:color w:val="auto"/>
        </w:rPr>
        <w:t>同时由于受到经济利益驱使，非法小作坊采用最原始技术炼制“地沟油”，并利用监管部门之间的执法空白，进入人类食物链市场销售环节，回流至餐桌机率大增，对人民的身体健康造成直接危害。</w:t>
      </w:r>
    </w:p>
    <w:p>
      <w:pPr>
        <w:spacing w:line="360" w:lineRule="auto"/>
        <w:ind w:firstLine="480"/>
        <w:rPr>
          <w:color w:val="auto"/>
        </w:rPr>
      </w:pPr>
      <w:r>
        <w:rPr>
          <w:rFonts w:hint="eastAsia"/>
          <w:color w:val="auto"/>
        </w:rPr>
        <w:t>本项目可保证食品卫生安全和人民的身体健康，严控餐厨垃圾收集、运输环节，并集中处置，实现餐厨垃圾“资源化、无害化”目标。</w:t>
      </w:r>
    </w:p>
    <w:p>
      <w:pPr>
        <w:spacing w:line="360" w:lineRule="auto"/>
        <w:ind w:firstLine="600" w:firstLineChars="250"/>
        <w:rPr>
          <w:color w:val="auto"/>
        </w:rPr>
      </w:pPr>
      <w:r>
        <w:rPr>
          <w:rFonts w:hint="eastAsia"/>
          <w:color w:val="auto"/>
        </w:rPr>
        <w:t>（3）保障城市环境</w:t>
      </w:r>
    </w:p>
    <w:p>
      <w:pPr>
        <w:spacing w:line="360" w:lineRule="auto"/>
        <w:ind w:firstLine="600" w:firstLineChars="250"/>
        <w:rPr>
          <w:color w:val="auto"/>
        </w:rPr>
      </w:pPr>
      <w:r>
        <w:rPr>
          <w:rFonts w:hint="eastAsia"/>
          <w:color w:val="auto"/>
        </w:rPr>
        <w:t>本项目是保障城市环境的重要环节。若缺少餐厨垃圾和建筑垃圾的收集和处理设施，餐厨垃圾和建筑垃圾随意堆放，将严重影响城市环境卫生；甚至有些餐厨企业直接将餐厨垃圾排入下水道，会淤塞下水管道，产生臭气，甚至可能造成下水道爆炸。</w:t>
      </w:r>
    </w:p>
    <w:p>
      <w:pPr>
        <w:spacing w:line="360" w:lineRule="auto"/>
        <w:ind w:firstLine="600" w:firstLineChars="250"/>
        <w:rPr>
          <w:color w:val="auto"/>
        </w:rPr>
      </w:pPr>
      <w:r>
        <w:rPr>
          <w:rFonts w:hint="eastAsia"/>
          <w:color w:val="auto"/>
        </w:rPr>
        <w:t>本项目通过加强餐厨垃圾和建筑垃圾源头收集和运输过程管理，并对餐厨垃圾和建筑垃圾进行集中处置，可实现保障城市环境卫生。</w:t>
      </w:r>
    </w:p>
    <w:p>
      <w:pPr>
        <w:spacing w:line="360" w:lineRule="auto"/>
        <w:ind w:firstLine="360" w:firstLineChars="150"/>
        <w:rPr>
          <w:color w:val="auto"/>
        </w:rPr>
      </w:pPr>
      <w:r>
        <w:rPr>
          <w:rFonts w:hint="eastAsia"/>
          <w:color w:val="auto"/>
        </w:rPr>
        <w:t>（4）与相关政策法规接轨，提升城市形象和公众满意度</w:t>
      </w:r>
    </w:p>
    <w:p>
      <w:pPr>
        <w:spacing w:line="360" w:lineRule="auto"/>
        <w:ind w:firstLine="480" w:firstLineChars="200"/>
        <w:rPr>
          <w:color w:val="auto"/>
        </w:rPr>
      </w:pPr>
      <w:r>
        <w:rPr>
          <w:rFonts w:hint="eastAsia"/>
          <w:color w:val="auto"/>
        </w:rPr>
        <w:t>近年来，国家相继下发了餐厨垃圾和建筑垃圾处理相关文件和法规，也制定了相应《餐厨废弃物管理办法》和</w:t>
      </w:r>
      <w:r>
        <w:rPr>
          <w:color w:val="auto"/>
        </w:rPr>
        <w:t>《</w:t>
      </w:r>
      <w:r>
        <w:rPr>
          <w:rFonts w:hint="eastAsia"/>
          <w:color w:val="auto"/>
        </w:rPr>
        <w:t>建筑垃圾处理技术规范</w:t>
      </w:r>
      <w:r>
        <w:rPr>
          <w:color w:val="auto"/>
        </w:rPr>
        <w:t>》</w:t>
      </w:r>
      <w:r>
        <w:rPr>
          <w:rFonts w:hint="eastAsia"/>
          <w:color w:val="auto"/>
        </w:rPr>
        <w:t>等相关的文件。因此，建设餐厨垃圾和建筑垃圾处理工程是符合国家相关政策，有助于推动餐厨垃圾和建筑垃圾处理“科学化、全面化”进程。同时对餐厨垃圾和建筑垃圾规范化收集运输，在改善城市市容环境卫生方面效果显著，能进一步提升城市形象，切实解决市民关心的食品卫生安全为题和生活环境卫生问题，可有效提高公众满意度。</w:t>
      </w:r>
    </w:p>
    <w:p>
      <w:pPr>
        <w:spacing w:line="360" w:lineRule="auto"/>
        <w:ind w:firstLine="480" w:firstLineChars="200"/>
        <w:rPr>
          <w:color w:val="auto"/>
        </w:rPr>
      </w:pPr>
      <w:r>
        <w:rPr>
          <w:rFonts w:hint="eastAsia"/>
          <w:color w:val="auto"/>
        </w:rPr>
        <w:t>（5）保证资源循环</w:t>
      </w:r>
    </w:p>
    <w:p>
      <w:pPr>
        <w:spacing w:line="360" w:lineRule="auto"/>
        <w:ind w:firstLine="480" w:firstLineChars="200"/>
        <w:rPr>
          <w:color w:val="auto"/>
        </w:rPr>
      </w:pPr>
      <w:r>
        <w:rPr>
          <w:rFonts w:hint="eastAsia"/>
          <w:color w:val="auto"/>
        </w:rPr>
        <w:t>餐厨垃圾与生活垃圾、粪便及城市污水处理厂污泥等可划分为“可利用资源”，餐厨垃圾进行资源化处理包括分离油脂用于工业相关产业原材料；利用厌氧发酵处理工艺，产生沼气可直接作为能源等。为促进经济的可持续发展，保证餐厨垃圾资源“合理化”、规范化、秩序化利用，对餐厨垃圾进行资源化利用是有益的。</w:t>
      </w:r>
    </w:p>
    <w:p>
      <w:pPr>
        <w:pStyle w:val="3"/>
        <w:numPr>
          <w:ilvl w:val="0"/>
          <w:numId w:val="0"/>
        </w:numPr>
        <w:tabs>
          <w:tab w:val="clear" w:pos="680"/>
        </w:tabs>
        <w:ind w:left="576" w:hanging="576"/>
        <w:rPr>
          <w:rFonts w:ascii="Times New Roman"/>
          <w:bCs/>
          <w:color w:val="auto"/>
        </w:rPr>
      </w:pPr>
      <w:bookmarkStart w:id="878" w:name="_Toc9568"/>
      <w:bookmarkStart w:id="879" w:name="_Toc9517772"/>
      <w:bookmarkStart w:id="880" w:name="_Toc14943338"/>
      <w:bookmarkStart w:id="881" w:name="_Toc23263181"/>
      <w:bookmarkStart w:id="882" w:name="_Toc24136854"/>
      <w:r>
        <w:rPr>
          <w:rFonts w:ascii="Times New Roman"/>
          <w:bCs/>
          <w:color w:val="auto"/>
        </w:rPr>
        <w:t>7.4经济效益分析</w:t>
      </w:r>
      <w:bookmarkEnd w:id="878"/>
      <w:bookmarkEnd w:id="879"/>
      <w:bookmarkEnd w:id="880"/>
      <w:bookmarkEnd w:id="881"/>
      <w:bookmarkEnd w:id="882"/>
    </w:p>
    <w:p>
      <w:pPr>
        <w:spacing w:line="360" w:lineRule="auto"/>
        <w:ind w:firstLine="480"/>
        <w:rPr>
          <w:color w:val="auto"/>
        </w:rPr>
      </w:pPr>
      <w:r>
        <w:rPr>
          <w:color w:val="auto"/>
        </w:rPr>
        <w:t>（1）</w:t>
      </w:r>
      <w:r>
        <w:rPr>
          <w:rFonts w:hint="eastAsia"/>
          <w:color w:val="auto"/>
        </w:rPr>
        <w:t>餐厨垃圾处理</w:t>
      </w:r>
      <w:r>
        <w:rPr>
          <w:color w:val="auto"/>
        </w:rPr>
        <w:t>项目收入分析</w:t>
      </w:r>
    </w:p>
    <w:p>
      <w:pPr>
        <w:spacing w:line="360" w:lineRule="auto"/>
        <w:ind w:firstLine="480"/>
        <w:jc w:val="both"/>
        <w:rPr>
          <w:color w:val="auto"/>
        </w:rPr>
      </w:pPr>
      <w:r>
        <w:rPr>
          <w:rFonts w:hint="eastAsia"/>
          <w:color w:val="auto"/>
        </w:rPr>
        <w:t>餐厨垃圾项目收入包括餐厨垃圾补贴费用以及油脂销售费用，餐厨垃圾补贴费用由政府支付，本报告按照260.00 元/t 估算，达产年237.25 万元/年；油脂销售费用按照3000.00元/t 估算，达产年65.70万元/年。</w:t>
      </w:r>
    </w:p>
    <w:p>
      <w:pPr>
        <w:spacing w:line="360" w:lineRule="auto"/>
        <w:ind w:firstLine="480"/>
        <w:rPr>
          <w:color w:val="auto"/>
        </w:rPr>
      </w:pPr>
      <w:r>
        <w:rPr>
          <w:rFonts w:hint="eastAsia"/>
          <w:color w:val="auto"/>
        </w:rPr>
        <w:t>（2）建筑垃圾消纳场收入的分析</w:t>
      </w:r>
    </w:p>
    <w:p>
      <w:pPr>
        <w:spacing w:line="360" w:lineRule="auto"/>
        <w:ind w:firstLine="480"/>
        <w:jc w:val="both"/>
        <w:rPr>
          <w:color w:val="auto"/>
        </w:rPr>
      </w:pPr>
      <w:r>
        <w:rPr>
          <w:rFonts w:hint="eastAsia"/>
          <w:color w:val="auto"/>
        </w:rPr>
        <w:t>建筑垃圾消纳场只做填埋处理，无其他经营收入，填埋场按照250.00 元/m</w:t>
      </w:r>
      <w:r>
        <w:rPr>
          <w:rFonts w:hint="eastAsia"/>
          <w:color w:val="auto"/>
          <w:vertAlign w:val="superscript"/>
        </w:rPr>
        <w:t>3</w:t>
      </w:r>
      <w:r>
        <w:rPr>
          <w:rFonts w:hint="eastAsia"/>
          <w:color w:val="auto"/>
        </w:rPr>
        <w:t>向建筑垃圾输送者收取费用，达产年1825.00万元/年。</w:t>
      </w:r>
    </w:p>
    <w:p>
      <w:pPr>
        <w:spacing w:line="360" w:lineRule="auto"/>
        <w:ind w:firstLine="480"/>
        <w:jc w:val="both"/>
        <w:rPr>
          <w:color w:val="auto"/>
        </w:rPr>
      </w:pPr>
      <w:r>
        <w:rPr>
          <w:rFonts w:hint="eastAsia"/>
          <w:color w:val="auto"/>
        </w:rPr>
        <w:t>从财务角度分析看，本项目属于第三类市政工程项目，全部为政府投资并由财政补贴维持基本运营，未能产生收益，盈利能力较差；但从环境效益、社会效益出发，该项目的建设可以为兴宁市居民营造一个良好的生活环境，提升兴宁市的市容环境，可以产生较高的社会影响。同时，政府补贴资金的投入可使财务计划累计净现金流量符合财务要求，项目有足够的净现金流量维持正常的运营，可以实现财务的可持续性。该项目从财务上分析是可行的。</w:t>
      </w:r>
    </w:p>
    <w:p>
      <w:pPr>
        <w:spacing w:line="360" w:lineRule="auto"/>
        <w:ind w:firstLine="480"/>
        <w:jc w:val="both"/>
        <w:rPr>
          <w:color w:val="auto"/>
        </w:rPr>
      </w:pPr>
      <w:r>
        <w:rPr>
          <w:rFonts w:hint="eastAsia"/>
          <w:color w:val="auto"/>
        </w:rPr>
        <w:t>由于本项目系市政公用设施项目，对国民经济的贡献大部分表现为难以用货币量化的社会效益。本项目的建设，将大大改善周边的环境，对环境治理起到一定的作用，也将大大促进区域经济发展，具有显著的环境效益和社会效益。根据经济评价的原则，虽然项目的运行需要财政补贴的支持，但该项目的建成对于环境保护具有重要作用，可以产生巨大的社会效益，兴建该项目是必要的。</w:t>
      </w:r>
    </w:p>
    <w:p>
      <w:pPr>
        <w:spacing w:line="360" w:lineRule="auto"/>
        <w:ind w:firstLine="480"/>
        <w:jc w:val="both"/>
        <w:rPr>
          <w:color w:val="auto"/>
        </w:rPr>
      </w:pPr>
      <w:r>
        <w:rPr>
          <w:rFonts w:hint="eastAsia"/>
          <w:color w:val="auto"/>
        </w:rPr>
        <w:t>综上所述，</w:t>
      </w:r>
      <w:r>
        <w:rPr>
          <w:color w:val="auto"/>
        </w:rPr>
        <w:t>从经济角度分析，本项目经济上可行。</w:t>
      </w:r>
    </w:p>
    <w:p>
      <w:pPr>
        <w:pStyle w:val="3"/>
        <w:numPr>
          <w:ilvl w:val="0"/>
          <w:numId w:val="0"/>
        </w:numPr>
        <w:tabs>
          <w:tab w:val="clear" w:pos="680"/>
        </w:tabs>
        <w:ind w:left="576" w:hanging="576"/>
        <w:rPr>
          <w:rFonts w:ascii="Times New Roman"/>
          <w:bCs/>
          <w:color w:val="auto"/>
        </w:rPr>
      </w:pPr>
      <w:bookmarkStart w:id="883" w:name="_Toc24136855"/>
      <w:bookmarkStart w:id="884" w:name="_Toc14943339"/>
      <w:bookmarkStart w:id="885" w:name="_Toc9517773"/>
      <w:bookmarkStart w:id="886" w:name="_Toc23263182"/>
      <w:bookmarkStart w:id="887" w:name="_Toc18780"/>
      <w:r>
        <w:rPr>
          <w:rFonts w:ascii="Times New Roman"/>
          <w:bCs/>
          <w:color w:val="auto"/>
        </w:rPr>
        <w:t>7.5环境经济损益分析</w:t>
      </w:r>
      <w:bookmarkEnd w:id="883"/>
      <w:bookmarkEnd w:id="884"/>
      <w:bookmarkEnd w:id="885"/>
      <w:bookmarkEnd w:id="886"/>
      <w:bookmarkEnd w:id="887"/>
    </w:p>
    <w:p>
      <w:pPr>
        <w:spacing w:line="360" w:lineRule="auto"/>
        <w:ind w:firstLine="480"/>
        <w:jc w:val="both"/>
        <w:rPr>
          <w:color w:val="auto"/>
        </w:rPr>
      </w:pPr>
      <w:r>
        <w:rPr>
          <w:color w:val="auto"/>
        </w:rPr>
        <w:t>本项目建成后，将产生</w:t>
      </w:r>
      <w:r>
        <w:rPr>
          <w:rFonts w:hint="eastAsia"/>
          <w:color w:val="auto"/>
        </w:rPr>
        <w:t>大气污染物、</w:t>
      </w:r>
      <w:r>
        <w:rPr>
          <w:color w:val="auto"/>
        </w:rPr>
        <w:t>噪声和固体废物等环境影响因素，将给项目所在区域的环境质量带来一定影响</w:t>
      </w:r>
      <w:r>
        <w:rPr>
          <w:rFonts w:hint="eastAsia"/>
          <w:color w:val="auto"/>
        </w:rPr>
        <w:t>，</w:t>
      </w:r>
      <w:r>
        <w:rPr>
          <w:color w:val="auto"/>
        </w:rPr>
        <w:t>但在保证总投资的</w:t>
      </w:r>
      <w:r>
        <w:rPr>
          <w:rFonts w:hint="eastAsia"/>
          <w:color w:val="auto"/>
        </w:rPr>
        <w:t>10.4</w:t>
      </w:r>
      <w:r>
        <w:rPr>
          <w:color w:val="auto"/>
        </w:rPr>
        <w:t>%用于环保投资，减少</w:t>
      </w:r>
      <w:r>
        <w:rPr>
          <w:rFonts w:hint="eastAsia"/>
          <w:color w:val="auto"/>
        </w:rPr>
        <w:t>各类污染物</w:t>
      </w:r>
      <w:r>
        <w:rPr>
          <w:color w:val="auto"/>
        </w:rPr>
        <w:t>排放，加强管理，严格有效控制项目营运期产生的各类环境影响因素下，本项目将不会对项目所在区域环境带来不良影响。</w:t>
      </w:r>
    </w:p>
    <w:p>
      <w:pPr>
        <w:spacing w:line="360" w:lineRule="auto"/>
        <w:ind w:firstLine="480"/>
        <w:jc w:val="both"/>
        <w:rPr>
          <w:color w:val="auto"/>
        </w:rPr>
      </w:pPr>
      <w:r>
        <w:rPr>
          <w:color w:val="auto"/>
        </w:rPr>
        <w:t>综合上述效益分析，</w:t>
      </w:r>
      <w:r>
        <w:rPr>
          <w:rFonts w:hint="eastAsia"/>
          <w:color w:val="auto"/>
        </w:rPr>
        <w:t>本项目的建设</w:t>
      </w:r>
      <w:r>
        <w:rPr>
          <w:color w:val="auto"/>
        </w:rPr>
        <w:t>可满足当地经济发展的需要，同时具有良好的整体效益和环境经济效益，因此从环境</w:t>
      </w:r>
      <w:r>
        <w:rPr>
          <w:rFonts w:hint="eastAsia"/>
          <w:color w:val="auto"/>
        </w:rPr>
        <w:t>经济效益</w:t>
      </w:r>
      <w:r>
        <w:rPr>
          <w:color w:val="auto"/>
        </w:rPr>
        <w:t>的角度出发，本项目的建设是可行的。</w:t>
      </w:r>
    </w:p>
    <w:bookmarkEnd w:id="858"/>
    <w:bookmarkEnd w:id="859"/>
    <w:bookmarkEnd w:id="860"/>
    <w:p>
      <w:pPr>
        <w:rPr>
          <w:color w:val="auto"/>
        </w:rPr>
      </w:pPr>
    </w:p>
    <w:p>
      <w:pPr>
        <w:rPr>
          <w:color w:val="auto"/>
        </w:rPr>
      </w:pPr>
    </w:p>
    <w:p>
      <w:pPr>
        <w:rPr>
          <w:color w:val="auto"/>
        </w:rPr>
        <w:sectPr>
          <w:pgSz w:w="11906" w:h="16838"/>
          <w:pgMar w:top="1503" w:right="1418" w:bottom="1134" w:left="1418" w:header="851" w:footer="992" w:gutter="0"/>
          <w:pgNumType w:fmt="decimal"/>
          <w:cols w:space="425" w:num="1"/>
          <w:docGrid w:linePitch="312" w:charSpace="0"/>
        </w:sectPr>
      </w:pPr>
    </w:p>
    <w:p>
      <w:pPr>
        <w:pStyle w:val="295"/>
        <w:ind w:left="480"/>
        <w:rPr>
          <w:color w:val="auto"/>
        </w:rPr>
      </w:pPr>
      <w:bookmarkStart w:id="888" w:name="_Toc14943340"/>
      <w:bookmarkStart w:id="889" w:name="_Toc24136856"/>
      <w:bookmarkStart w:id="890" w:name="_Toc23263183"/>
      <w:bookmarkStart w:id="891" w:name="_Toc19603"/>
      <w:bookmarkStart w:id="892" w:name="_Toc9517774"/>
      <w:r>
        <w:rPr>
          <w:color w:val="auto"/>
        </w:rPr>
        <w:t>8 环境管理与监测计划</w:t>
      </w:r>
      <w:bookmarkEnd w:id="888"/>
      <w:bookmarkEnd w:id="889"/>
      <w:bookmarkEnd w:id="890"/>
      <w:bookmarkEnd w:id="891"/>
      <w:bookmarkEnd w:id="892"/>
    </w:p>
    <w:bookmarkEnd w:id="861"/>
    <w:bookmarkEnd w:id="862"/>
    <w:bookmarkEnd w:id="863"/>
    <w:p>
      <w:pPr>
        <w:pStyle w:val="3"/>
        <w:numPr>
          <w:ilvl w:val="0"/>
          <w:numId w:val="0"/>
        </w:numPr>
        <w:tabs>
          <w:tab w:val="clear" w:pos="680"/>
        </w:tabs>
        <w:ind w:left="576" w:hanging="576"/>
        <w:rPr>
          <w:rFonts w:ascii="Times New Roman"/>
          <w:bCs/>
          <w:color w:val="auto"/>
        </w:rPr>
      </w:pPr>
      <w:bookmarkStart w:id="893" w:name="_Toc24136857"/>
      <w:bookmarkStart w:id="894" w:name="_Toc18265"/>
      <w:bookmarkStart w:id="895" w:name="_Toc14943341"/>
      <w:bookmarkStart w:id="896" w:name="_Toc2328152"/>
      <w:bookmarkStart w:id="897" w:name="_Toc23263184"/>
      <w:bookmarkStart w:id="898" w:name="_Toc45618477"/>
      <w:bookmarkStart w:id="899" w:name="_Toc406091985"/>
      <w:bookmarkStart w:id="900" w:name="_Toc450815011"/>
      <w:bookmarkStart w:id="901" w:name="_Toc483263492"/>
      <w:bookmarkStart w:id="902" w:name="_Toc104628252"/>
      <w:bookmarkStart w:id="903" w:name="_Toc104628195"/>
      <w:bookmarkStart w:id="904" w:name="_Toc166495137"/>
      <w:bookmarkStart w:id="905" w:name="_Toc104628210"/>
      <w:bookmarkStart w:id="906" w:name="_Toc66196374"/>
      <w:r>
        <w:rPr>
          <w:rFonts w:ascii="Times New Roman"/>
          <w:bCs/>
          <w:color w:val="auto"/>
        </w:rPr>
        <w:t>8.1环境管理要求</w:t>
      </w:r>
      <w:bookmarkEnd w:id="893"/>
      <w:bookmarkEnd w:id="894"/>
      <w:bookmarkEnd w:id="895"/>
      <w:bookmarkEnd w:id="896"/>
      <w:bookmarkEnd w:id="897"/>
    </w:p>
    <w:p>
      <w:pPr>
        <w:spacing w:line="360" w:lineRule="auto"/>
        <w:ind w:firstLine="480"/>
        <w:rPr>
          <w:color w:val="auto"/>
        </w:rPr>
      </w:pPr>
      <w:r>
        <w:rPr>
          <w:color w:val="auto"/>
        </w:rPr>
        <w:t>（1）制定各种环保设施操作规程、定期维修制度，使各项环保措施在生产过程中处于良好的运行状态。</w:t>
      </w:r>
    </w:p>
    <w:p>
      <w:pPr>
        <w:spacing w:line="360" w:lineRule="auto"/>
        <w:ind w:firstLine="480"/>
        <w:rPr>
          <w:color w:val="auto"/>
        </w:rPr>
      </w:pPr>
      <w:r>
        <w:rPr>
          <w:color w:val="auto"/>
        </w:rPr>
        <w:t>（2）对于技术工人进行上岗前的环保知识、法规教育及操作规范的培训。使各项环保设施的操作规范化，保证环保设施的正常运转。</w:t>
      </w:r>
    </w:p>
    <w:p>
      <w:pPr>
        <w:spacing w:line="360" w:lineRule="auto"/>
        <w:ind w:firstLine="480"/>
        <w:rPr>
          <w:color w:val="auto"/>
        </w:rPr>
      </w:pPr>
      <w:r>
        <w:rPr>
          <w:color w:val="auto"/>
        </w:rPr>
        <w:t>（3）规范化设置排放口和相关设施（计量、标志牌等）。</w:t>
      </w:r>
    </w:p>
    <w:p>
      <w:pPr>
        <w:spacing w:line="360" w:lineRule="auto"/>
        <w:ind w:firstLine="480"/>
        <w:rPr>
          <w:color w:val="auto"/>
        </w:rPr>
      </w:pPr>
      <w:r>
        <w:rPr>
          <w:color w:val="auto"/>
        </w:rPr>
        <w:t>（4）加强对环保设施的运营管理，如环保设施出现故障，应立即停产检查，严禁非正常排放。</w:t>
      </w:r>
    </w:p>
    <w:p>
      <w:pPr>
        <w:spacing w:line="360" w:lineRule="auto"/>
        <w:ind w:firstLine="480"/>
        <w:rPr>
          <w:color w:val="auto"/>
        </w:rPr>
      </w:pPr>
      <w:r>
        <w:rPr>
          <w:color w:val="auto"/>
        </w:rPr>
        <w:t>（5）建立污染防治设施运行记录制度，对污染物处理效果定期检测，按月向环境保护行政主管部门报告运行情况，并按环境保护行政主管部门要求记录污染物排放量、设施运转情况、污染物监测数据。</w:t>
      </w:r>
    </w:p>
    <w:p>
      <w:pPr>
        <w:spacing w:line="360" w:lineRule="auto"/>
        <w:ind w:firstLine="480"/>
        <w:rPr>
          <w:color w:val="auto"/>
        </w:rPr>
      </w:pPr>
      <w:r>
        <w:rPr>
          <w:color w:val="auto"/>
        </w:rPr>
        <w:t>（6）建立企业环境管理目标责任制。在企业内部从领导到一般员工都要对本单位、本岗位的环境保护负责，将目标与指标层层分解，形成有时限、有定量考核指标，有专人负责的责任制度，每个职工既是生产者，又是环境保护的责任者。</w:t>
      </w:r>
    </w:p>
    <w:p>
      <w:pPr>
        <w:spacing w:line="360" w:lineRule="auto"/>
        <w:ind w:firstLine="480"/>
        <w:rPr>
          <w:color w:val="auto"/>
        </w:rPr>
      </w:pPr>
      <w:r>
        <w:rPr>
          <w:color w:val="auto"/>
        </w:rPr>
        <w:t>（7）加强与周围居民的联系，接受公众的监督，增加公众参与的力度。</w:t>
      </w:r>
    </w:p>
    <w:p>
      <w:pPr>
        <w:pStyle w:val="3"/>
        <w:numPr>
          <w:ilvl w:val="0"/>
          <w:numId w:val="0"/>
        </w:numPr>
        <w:tabs>
          <w:tab w:val="clear" w:pos="680"/>
        </w:tabs>
        <w:ind w:left="576" w:hanging="576"/>
        <w:rPr>
          <w:rFonts w:ascii="Times New Roman"/>
          <w:bCs/>
          <w:color w:val="auto"/>
        </w:rPr>
      </w:pPr>
      <w:bookmarkStart w:id="907" w:name="_Toc23263185"/>
      <w:bookmarkStart w:id="908" w:name="_Toc24136858"/>
      <w:bookmarkStart w:id="909" w:name="_Toc14943342"/>
      <w:bookmarkStart w:id="910" w:name="_Toc5106"/>
      <w:bookmarkStart w:id="911" w:name="_Toc2328153"/>
      <w:r>
        <w:rPr>
          <w:rFonts w:ascii="Times New Roman"/>
          <w:bCs/>
          <w:color w:val="auto"/>
        </w:rPr>
        <w:t>8.2环境管理机构的设置及人员配备</w:t>
      </w:r>
      <w:bookmarkEnd w:id="907"/>
      <w:bookmarkEnd w:id="908"/>
      <w:bookmarkEnd w:id="909"/>
      <w:bookmarkEnd w:id="910"/>
      <w:bookmarkEnd w:id="911"/>
    </w:p>
    <w:p>
      <w:pPr>
        <w:spacing w:line="360" w:lineRule="auto"/>
        <w:ind w:firstLine="480"/>
        <w:rPr>
          <w:color w:val="auto"/>
        </w:rPr>
      </w:pPr>
      <w:r>
        <w:rPr>
          <w:color w:val="auto"/>
        </w:rPr>
        <w:t>环境管理是企业管理的一项重要内容。加强环境监督管理力度，是实现环境、生产、经济协调发展和走可持续发展道路的重要措施。垃圾填埋场应按建设、运行、封场、跟踪监测、场地再利用等程序进行管理。</w:t>
      </w:r>
    </w:p>
    <w:p>
      <w:pPr>
        <w:spacing w:line="360" w:lineRule="auto"/>
        <w:ind w:firstLine="480"/>
        <w:rPr>
          <w:color w:val="auto"/>
        </w:rPr>
      </w:pPr>
      <w:r>
        <w:rPr>
          <w:color w:val="auto"/>
        </w:rPr>
        <w:t>本项目投入运行后必须配备环境管理部门，负责制定并环境保护工作的长期规划和年度计划，接受政府环境保护主管部门的检查监督，监督和实施本项目的环境管理方案，配备污水处理场及其管理系统，监督检查环保设施及环保措施的运行及落实情况，统计污染物排放情况、编制环境监测报告并建立环保档案，对场区工作人员进行环境教育和相关知识培训，搞好环保宣传工作。</w:t>
      </w:r>
    </w:p>
    <w:p>
      <w:pPr>
        <w:spacing w:line="360" w:lineRule="auto"/>
        <w:ind w:firstLine="480"/>
        <w:jc w:val="both"/>
        <w:rPr>
          <w:color w:val="auto"/>
        </w:rPr>
      </w:pPr>
      <w:r>
        <w:rPr>
          <w:color w:val="auto"/>
        </w:rPr>
        <w:t>本工程参照国家计委和建设部制定的《餐厨垃圾处理技术规范》（CJJ184-2012）和《生活垃圾卫生填埋处理工程项目建设标准》（建标</w:t>
      </w:r>
      <w:r>
        <w:rPr>
          <w:rFonts w:hint="eastAsia"/>
          <w:color w:val="auto"/>
        </w:rPr>
        <w:t>【2</w:t>
      </w:r>
      <w:r>
        <w:rPr>
          <w:color w:val="auto"/>
        </w:rPr>
        <w:t>009</w:t>
      </w:r>
      <w:r>
        <w:rPr>
          <w:rFonts w:hint="eastAsia"/>
          <w:color w:val="auto"/>
        </w:rPr>
        <w:t>】</w:t>
      </w:r>
      <w:r>
        <w:rPr>
          <w:color w:val="auto"/>
        </w:rPr>
        <w:t>124号）的规定，本着精简高效、提高劳动生产率、分工合理、职责分明的原则，进行人员设定。</w:t>
      </w:r>
      <w:r>
        <w:rPr>
          <w:rFonts w:hint="eastAsia"/>
          <w:color w:val="auto"/>
        </w:rPr>
        <w:t>本项目不新增员工，在兴宁市静脉产业园PPP项目内进行人员调配</w:t>
      </w:r>
      <w:r>
        <w:rPr>
          <w:color w:val="auto"/>
        </w:rPr>
        <w:t>。</w:t>
      </w:r>
      <w:r>
        <w:rPr>
          <w:rFonts w:hint="eastAsia"/>
          <w:color w:val="auto"/>
        </w:rPr>
        <w:t>餐厨垃圾和</w:t>
      </w:r>
      <w:r>
        <w:rPr>
          <w:color w:val="auto"/>
        </w:rPr>
        <w:t>填埋场</w:t>
      </w:r>
      <w:r>
        <w:rPr>
          <w:rFonts w:hint="eastAsia"/>
          <w:color w:val="auto"/>
        </w:rPr>
        <w:t>均</w:t>
      </w:r>
      <w:r>
        <w:rPr>
          <w:color w:val="auto"/>
        </w:rPr>
        <w:t>按照一班工作制。本项目拟实行总经理负责制，由管理部门、生产技术部、生产运行部组成，由生产技术科负责组织、落实、监督全场的环境保护工作。</w:t>
      </w:r>
    </w:p>
    <w:p>
      <w:pPr>
        <w:pStyle w:val="3"/>
        <w:numPr>
          <w:ilvl w:val="0"/>
          <w:numId w:val="0"/>
        </w:numPr>
        <w:tabs>
          <w:tab w:val="clear" w:pos="680"/>
        </w:tabs>
        <w:ind w:left="576" w:hanging="576"/>
        <w:rPr>
          <w:rFonts w:ascii="Times New Roman"/>
          <w:bCs/>
          <w:color w:val="auto"/>
        </w:rPr>
      </w:pPr>
      <w:bookmarkStart w:id="912" w:name="_Toc24136859"/>
      <w:bookmarkStart w:id="913" w:name="_Toc22747"/>
      <w:bookmarkStart w:id="914" w:name="_Toc14943343"/>
      <w:bookmarkStart w:id="915" w:name="_Toc2328154"/>
      <w:bookmarkStart w:id="916" w:name="_Toc23263186"/>
      <w:r>
        <w:rPr>
          <w:rFonts w:ascii="Times New Roman"/>
          <w:bCs/>
          <w:color w:val="auto"/>
        </w:rPr>
        <w:t>8.3施工期环境管理和环境监理</w:t>
      </w:r>
      <w:bookmarkEnd w:id="912"/>
      <w:bookmarkEnd w:id="913"/>
      <w:bookmarkEnd w:id="914"/>
      <w:bookmarkEnd w:id="915"/>
      <w:bookmarkEnd w:id="916"/>
    </w:p>
    <w:p>
      <w:pPr>
        <w:spacing w:line="360" w:lineRule="auto"/>
        <w:ind w:firstLine="480"/>
        <w:rPr>
          <w:color w:val="auto"/>
        </w:rPr>
      </w:pPr>
      <w:r>
        <w:rPr>
          <w:color w:val="auto"/>
        </w:rPr>
        <w:t>《国务院关于加强环境保护重点工作的意见》和《中共广东省委广东省人民政府关于进一步加强环境保护推进生态文明建设的决定》中，明确规定了应落实建设项目环境保</w:t>
      </w:r>
      <w:r>
        <w:rPr>
          <w:rFonts w:asciiTheme="minorEastAsia" w:hAnsiTheme="minorEastAsia" w:eastAsiaTheme="minorEastAsia"/>
          <w:color w:val="auto"/>
        </w:rPr>
        <w:t>护“三同时”制</w:t>
      </w:r>
      <w:r>
        <w:rPr>
          <w:color w:val="auto"/>
        </w:rPr>
        <w:t>度，进一步加强建设项目施工期环境管理，确保建设项目环保设施及措施落实到位。</w:t>
      </w:r>
    </w:p>
    <w:p>
      <w:pPr>
        <w:spacing w:line="360" w:lineRule="auto"/>
        <w:ind w:firstLine="480"/>
        <w:rPr>
          <w:color w:val="auto"/>
        </w:rPr>
      </w:pPr>
      <w:r>
        <w:rPr>
          <w:color w:val="auto"/>
        </w:rPr>
        <w:t>垃圾处理场工程属于公益性环境保护工程，但是，如果在实际运行中，疏于管理，或监督力度不够，则将适得其反，就有可能由环境工程演变成为污染源，对环境造成严重的污染，为此，本工程投产后应加强环境管理和环境监测。</w:t>
      </w:r>
    </w:p>
    <w:p>
      <w:pPr>
        <w:keepNext/>
        <w:spacing w:line="360" w:lineRule="auto"/>
        <w:ind w:left="720" w:hanging="720"/>
        <w:outlineLvl w:val="2"/>
        <w:rPr>
          <w:b/>
          <w:bCs/>
          <w:color w:val="auto"/>
          <w:szCs w:val="26"/>
        </w:rPr>
      </w:pPr>
      <w:bookmarkStart w:id="917" w:name="_Toc9655"/>
      <w:bookmarkStart w:id="918" w:name="_Toc34234775"/>
      <w:bookmarkStart w:id="919" w:name="_Toc24136860"/>
      <w:bookmarkStart w:id="920" w:name="_Toc14946947"/>
      <w:r>
        <w:rPr>
          <w:b/>
          <w:bCs/>
          <w:color w:val="auto"/>
          <w:szCs w:val="26"/>
        </w:rPr>
        <w:t>8.3.1环境管理</w:t>
      </w:r>
      <w:bookmarkEnd w:id="917"/>
      <w:bookmarkEnd w:id="918"/>
      <w:bookmarkEnd w:id="919"/>
      <w:bookmarkEnd w:id="920"/>
    </w:p>
    <w:p>
      <w:pPr>
        <w:spacing w:line="360" w:lineRule="auto"/>
        <w:ind w:firstLine="480"/>
        <w:rPr>
          <w:color w:val="auto"/>
        </w:rPr>
      </w:pPr>
      <w:r>
        <w:rPr>
          <w:color w:val="auto"/>
        </w:rPr>
        <w:t>为了做好施工期的环境保护工作，建设单位及本项目建设施工单位应高度重视环境保护工作，应成立专门机构进行环境保护管理工作。</w:t>
      </w:r>
    </w:p>
    <w:p>
      <w:pPr>
        <w:widowControl/>
        <w:numPr>
          <w:ilvl w:val="0"/>
          <w:numId w:val="16"/>
        </w:numPr>
        <w:spacing w:line="360" w:lineRule="auto"/>
        <w:jc w:val="both"/>
        <w:rPr>
          <w:color w:val="auto"/>
        </w:rPr>
      </w:pPr>
      <w:r>
        <w:rPr>
          <w:color w:val="auto"/>
        </w:rPr>
        <w:t>施工单位环境保护管理机构</w:t>
      </w:r>
    </w:p>
    <w:p>
      <w:pPr>
        <w:spacing w:line="360" w:lineRule="auto"/>
        <w:ind w:firstLine="480"/>
        <w:rPr>
          <w:color w:val="auto"/>
        </w:rPr>
      </w:pPr>
      <w:r>
        <w:rPr>
          <w:color w:val="auto"/>
        </w:rPr>
        <w:t>建设施工单位应设立内部环境保护管理机构（由施工单位主要负责人及专业技术员组成），专人负责环境保护工作，实行定岗定员，岗位责任制，负责各施工工序的环境保护管理，保证施工期各项环境保护对策措施的落实，确保环保设施的正常运行。</w:t>
      </w:r>
    </w:p>
    <w:p>
      <w:pPr>
        <w:spacing w:line="360" w:lineRule="auto"/>
        <w:ind w:firstLine="480"/>
        <w:rPr>
          <w:color w:val="auto"/>
        </w:rPr>
      </w:pPr>
      <w:r>
        <w:rPr>
          <w:color w:val="auto"/>
        </w:rPr>
        <w:t>建设施工单位环境保护管理机构（或环境保护责任人）应明确如下责任：</w:t>
      </w:r>
    </w:p>
    <w:p>
      <w:pPr>
        <w:spacing w:line="360" w:lineRule="auto"/>
        <w:ind w:firstLine="480"/>
        <w:rPr>
          <w:color w:val="auto"/>
        </w:rPr>
      </w:pPr>
      <w:r>
        <w:rPr>
          <w:rFonts w:hint="eastAsia" w:ascii="宋体" w:hAnsi="宋体" w:cs="宋体"/>
          <w:color w:val="auto"/>
        </w:rPr>
        <w:t>①</w:t>
      </w:r>
      <w:r>
        <w:rPr>
          <w:color w:val="auto"/>
        </w:rPr>
        <w:t>保持与环境保护主管部门的密切联系，及时了解国家、地方对本项目的有关保护的法律、法规和其它要求，及时向环境保护主管部门反映与项目施工有关的污染因素、存在的问题、采取的污染控制对策等环境保护方面的内容，听取环境保护主管部门的批示意见。</w:t>
      </w:r>
    </w:p>
    <w:p>
      <w:pPr>
        <w:spacing w:line="360" w:lineRule="auto"/>
        <w:ind w:firstLine="480"/>
        <w:rPr>
          <w:color w:val="auto"/>
        </w:rPr>
      </w:pPr>
      <w:r>
        <w:rPr>
          <w:rFonts w:hint="eastAsia" w:ascii="宋体" w:hAnsi="宋体" w:cs="宋体"/>
          <w:color w:val="auto"/>
        </w:rPr>
        <w:t>②</w:t>
      </w:r>
      <w:r>
        <w:rPr>
          <w:color w:val="auto"/>
        </w:rPr>
        <w:t>及时将国家、地方与本项目环境保护有关的法律、法规和其它要求向施工单位负责人汇报，及时向施工单位相关机构、人员进行通报，组织施工人员进行环境保护方面的教育、培训，提高环保意识。</w:t>
      </w:r>
    </w:p>
    <w:p>
      <w:pPr>
        <w:spacing w:line="360" w:lineRule="auto"/>
        <w:ind w:firstLine="480"/>
        <w:rPr>
          <w:color w:val="auto"/>
        </w:rPr>
      </w:pPr>
      <w:r>
        <w:rPr>
          <w:rFonts w:hint="eastAsia" w:ascii="宋体" w:hAnsi="宋体" w:cs="宋体"/>
          <w:color w:val="auto"/>
        </w:rPr>
        <w:t>③</w:t>
      </w:r>
      <w:r>
        <w:rPr>
          <w:color w:val="auto"/>
        </w:rPr>
        <w:t>及时向单位负责人汇报与本项目施工有关的污染因素、存在问题、采取的污染控制对策、实施情况等，提出改进建议。</w:t>
      </w:r>
    </w:p>
    <w:p>
      <w:pPr>
        <w:spacing w:line="360" w:lineRule="auto"/>
        <w:ind w:firstLine="480"/>
        <w:rPr>
          <w:color w:val="auto"/>
        </w:rPr>
      </w:pPr>
      <w:r>
        <w:rPr>
          <w:rFonts w:hint="eastAsia" w:ascii="宋体" w:hAnsi="宋体" w:cs="宋体"/>
          <w:color w:val="auto"/>
        </w:rPr>
        <w:t>④</w:t>
      </w:r>
      <w:r>
        <w:rPr>
          <w:color w:val="auto"/>
        </w:rPr>
        <w:t>负责制定、监督、落实有关环境保护管理规章制度，负责实施环境保护控制措施、管理污染治理设施，并进行详细的记录，以备检查。</w:t>
      </w:r>
    </w:p>
    <w:p>
      <w:pPr>
        <w:spacing w:line="360" w:lineRule="auto"/>
        <w:ind w:firstLine="480"/>
        <w:rPr>
          <w:color w:val="auto"/>
        </w:rPr>
      </w:pPr>
      <w:r>
        <w:rPr>
          <w:rFonts w:hint="eastAsia" w:ascii="宋体" w:hAnsi="宋体" w:cs="宋体"/>
          <w:color w:val="auto"/>
        </w:rPr>
        <w:t>⑤</w:t>
      </w:r>
      <w:r>
        <w:rPr>
          <w:color w:val="auto"/>
        </w:rPr>
        <w:t>按本报告提出的各项环境保护措施，编制详细施工期环境保护措施落实计划，明确各施工工序的施工场地位置、环境影响、环境保护措施、落实责任机构（人）等，并将该环境保护计划以书面形式发放给相关人员，以便于各项措施的有效落实。</w:t>
      </w:r>
    </w:p>
    <w:p>
      <w:pPr>
        <w:spacing w:line="360" w:lineRule="auto"/>
        <w:ind w:firstLine="480"/>
        <w:rPr>
          <w:color w:val="auto"/>
        </w:rPr>
      </w:pPr>
      <w:r>
        <w:rPr>
          <w:rFonts w:hint="eastAsia" w:ascii="宋体" w:hAnsi="宋体" w:cs="宋体"/>
          <w:color w:val="auto"/>
        </w:rPr>
        <w:t>⑥</w:t>
      </w:r>
      <w:r>
        <w:rPr>
          <w:color w:val="auto"/>
        </w:rPr>
        <w:t>施工单位应按照工程合同的要求和国家、地方政府制订的各项法律法规组织施工，并做到文明施工、保护环境。</w:t>
      </w:r>
    </w:p>
    <w:p>
      <w:pPr>
        <w:spacing w:line="360" w:lineRule="auto"/>
        <w:ind w:firstLine="480"/>
        <w:rPr>
          <w:color w:val="auto"/>
        </w:rPr>
      </w:pPr>
      <w:r>
        <w:rPr>
          <w:rFonts w:hint="eastAsia" w:ascii="宋体" w:hAnsi="宋体" w:cs="宋体"/>
          <w:color w:val="auto"/>
        </w:rPr>
        <w:t>⑦</w:t>
      </w:r>
      <w:r>
        <w:rPr>
          <w:color w:val="auto"/>
        </w:rPr>
        <w:t>施工单位应在各施工场地配专（兼）职环境管理人员，负责各类污染源的现场控制与管理。尤其对高噪声、高振动施工设备应严格控制其施工时间。</w:t>
      </w:r>
    </w:p>
    <w:p>
      <w:pPr>
        <w:spacing w:line="360" w:lineRule="auto"/>
        <w:ind w:firstLine="480"/>
        <w:rPr>
          <w:color w:val="auto"/>
        </w:rPr>
      </w:pPr>
      <w:r>
        <w:rPr>
          <w:rFonts w:hint="eastAsia" w:ascii="宋体" w:hAnsi="宋体" w:cs="宋体"/>
          <w:color w:val="auto"/>
        </w:rPr>
        <w:t>⑧</w:t>
      </w:r>
      <w:r>
        <w:rPr>
          <w:color w:val="auto"/>
        </w:rPr>
        <w:t>做好宣传工作。由于技术条件和施工环境的限制，即使采取了相应的控制措施，施工时带来的环境污染仍是避免不了的。因此要向附近的居民及有关对象做好宣传工作，以提高人们对不利影响的心理承受力，取得理解，克服暂时困难，配合施工单位顺利地完成工程的建设任务。</w:t>
      </w:r>
    </w:p>
    <w:p>
      <w:pPr>
        <w:spacing w:line="360" w:lineRule="auto"/>
        <w:ind w:firstLine="480"/>
        <w:rPr>
          <w:color w:val="auto"/>
        </w:rPr>
      </w:pPr>
      <w:r>
        <w:rPr>
          <w:rFonts w:hint="eastAsia" w:ascii="宋体" w:hAnsi="宋体" w:cs="宋体"/>
          <w:color w:val="auto"/>
        </w:rPr>
        <w:t>⑨</w:t>
      </w:r>
      <w:r>
        <w:rPr>
          <w:color w:val="auto"/>
        </w:rPr>
        <w:t>施工单位要设立“信访办”，设置专线投诉电话。接待群众投诉并派专人限时解决问题，妥善处理附近居民投诉。</w:t>
      </w:r>
    </w:p>
    <w:p>
      <w:pPr>
        <w:spacing w:line="360" w:lineRule="auto"/>
        <w:ind w:firstLine="480"/>
        <w:rPr>
          <w:color w:val="auto"/>
        </w:rPr>
      </w:pPr>
      <w:r>
        <w:rPr>
          <w:color w:val="auto"/>
        </w:rPr>
        <w:t>（2）建设单位环境保护管理机构</w:t>
      </w:r>
    </w:p>
    <w:p>
      <w:pPr>
        <w:spacing w:line="360" w:lineRule="auto"/>
        <w:ind w:firstLine="480"/>
        <w:rPr>
          <w:color w:val="auto"/>
        </w:rPr>
      </w:pPr>
      <w:r>
        <w:rPr>
          <w:color w:val="auto"/>
        </w:rPr>
        <w:t>为了有效保护项目所在区域环境质量，切实保证本报告提出各项施工期环境保护措施的落实，除了施工单位应设置环境保护管理机构外，针对本项目的建设施工，项目建设单位还应成立专门小组，负责将本报告提出的各项环境保护对策措施列入本项目施工合同文本中，监督施工单位对各项环境保护措施的落实情况，并且配合环境保护主管部门对项目施工实施监督、管理和指导。</w:t>
      </w:r>
    </w:p>
    <w:p>
      <w:pPr>
        <w:keepNext/>
        <w:spacing w:line="360" w:lineRule="auto"/>
        <w:ind w:left="720" w:hanging="720"/>
        <w:outlineLvl w:val="2"/>
        <w:rPr>
          <w:b/>
          <w:bCs/>
          <w:color w:val="auto"/>
          <w:szCs w:val="26"/>
        </w:rPr>
      </w:pPr>
      <w:bookmarkStart w:id="921" w:name="_Toc22862"/>
      <w:bookmarkStart w:id="922" w:name="_Toc34234776"/>
      <w:bookmarkStart w:id="923" w:name="_Toc14946948"/>
      <w:bookmarkStart w:id="924" w:name="_Toc24136861"/>
      <w:r>
        <w:rPr>
          <w:b/>
          <w:bCs/>
          <w:color w:val="auto"/>
          <w:szCs w:val="26"/>
        </w:rPr>
        <w:t>8.3.2环境监理</w:t>
      </w:r>
      <w:bookmarkEnd w:id="921"/>
      <w:bookmarkEnd w:id="922"/>
      <w:bookmarkEnd w:id="923"/>
      <w:bookmarkEnd w:id="924"/>
    </w:p>
    <w:p>
      <w:pPr>
        <w:spacing w:line="360" w:lineRule="auto"/>
        <w:ind w:firstLine="480"/>
        <w:jc w:val="both"/>
        <w:rPr>
          <w:color w:val="auto"/>
        </w:rPr>
      </w:pPr>
      <w:r>
        <w:rPr>
          <w:color w:val="auto"/>
        </w:rPr>
        <w:t>建设单位应充分认识建设项目环境监理工作的重要性和必要性。施工期环境监理是严格落实建设项目</w:t>
      </w:r>
      <w:r>
        <w:rPr>
          <w:rFonts w:asciiTheme="minorEastAsia" w:hAnsiTheme="minorEastAsia" w:eastAsiaTheme="minorEastAsia"/>
          <w:color w:val="auto"/>
        </w:rPr>
        <w:t>“三同时”制</w:t>
      </w:r>
      <w:r>
        <w:rPr>
          <w:color w:val="auto"/>
        </w:rPr>
        <w:t>度的重要手段。建设单位应当在建设项目开工前，依据环评批复文件要求委托环评、设计咨询或工程监理等机构开展环境工程设计及监理工作，监理费用纳入工程预算。</w:t>
      </w:r>
    </w:p>
    <w:p>
      <w:pPr>
        <w:spacing w:line="360" w:lineRule="auto"/>
        <w:ind w:firstLine="480"/>
        <w:jc w:val="both"/>
        <w:rPr>
          <w:color w:val="auto"/>
        </w:rPr>
      </w:pPr>
      <w:r>
        <w:rPr>
          <w:color w:val="auto"/>
        </w:rPr>
        <w:t>环境监理机构应依据环境影响评价文件及其批复、工程设计等文件的有关要求，制定施工期环境监理方案，编制施工期环境监理报告。建设项目竣工环境保护验收时，建设单位必须向环保主管部门提交建设项目施工期环境监理报告和有关资料。</w:t>
      </w:r>
    </w:p>
    <w:p>
      <w:pPr>
        <w:spacing w:line="360" w:lineRule="auto"/>
        <w:ind w:firstLine="480"/>
        <w:jc w:val="both"/>
        <w:rPr>
          <w:color w:val="auto"/>
        </w:rPr>
      </w:pPr>
      <w:r>
        <w:rPr>
          <w:color w:val="auto"/>
        </w:rPr>
        <w:t>施工期环境监理的目的，在于监督建设施工单位对环境保护措施、条款的执行情况。及时纠正可能造成环境污染的施工操作，处理违反环境保护的行为。落实施工期污染源、生态破坏修复和环境质量监测工作。了解项目建设中造成的环境影响，配合环境主管部门处理各种原因造成的环境污染事故，实施环境补救办法。</w:t>
      </w:r>
    </w:p>
    <w:p>
      <w:pPr>
        <w:spacing w:line="360" w:lineRule="auto"/>
        <w:ind w:firstLine="480"/>
        <w:jc w:val="both"/>
        <w:rPr>
          <w:color w:val="auto"/>
        </w:rPr>
      </w:pPr>
      <w:r>
        <w:rPr>
          <w:color w:val="auto"/>
        </w:rPr>
        <w:t>具体施工期监理方案由建设单位委托的有资质的监理单位根据本项目的实际情况制定，方案须符合国家、广东省、梅州市的相关要求。本报告对监理方案中的内容有如下建议：</w:t>
      </w:r>
    </w:p>
    <w:p>
      <w:pPr>
        <w:spacing w:line="360" w:lineRule="auto"/>
        <w:ind w:firstLine="480"/>
        <w:jc w:val="both"/>
        <w:rPr>
          <w:color w:val="auto"/>
        </w:rPr>
      </w:pPr>
      <w:r>
        <w:rPr>
          <w:color w:val="auto"/>
        </w:rPr>
        <w:t>环境监理内容主要包括建设项目设计、施工和试生产阶段的环境监理。</w:t>
      </w:r>
    </w:p>
    <w:p>
      <w:pPr>
        <w:spacing w:line="360" w:lineRule="auto"/>
        <w:ind w:firstLine="480"/>
        <w:jc w:val="both"/>
        <w:rPr>
          <w:color w:val="auto"/>
        </w:rPr>
      </w:pPr>
      <w:r>
        <w:rPr>
          <w:color w:val="auto"/>
        </w:rPr>
        <w:t>（1）设计阶段环境监理</w:t>
      </w:r>
    </w:p>
    <w:p>
      <w:pPr>
        <w:spacing w:line="360" w:lineRule="auto"/>
        <w:ind w:firstLine="480"/>
        <w:jc w:val="both"/>
        <w:rPr>
          <w:color w:val="auto"/>
        </w:rPr>
      </w:pPr>
      <w:r>
        <w:rPr>
          <w:color w:val="auto"/>
        </w:rPr>
        <w:t>环境影响报告书中所提出的各种环境保护措施或方案，以及所需要的环境保护措施的投资经费概算都应在初设或施工图设计文件中予以落实。</w:t>
      </w:r>
    </w:p>
    <w:p>
      <w:pPr>
        <w:spacing w:line="360" w:lineRule="auto"/>
        <w:ind w:firstLine="480"/>
        <w:jc w:val="both"/>
        <w:rPr>
          <w:color w:val="auto"/>
        </w:rPr>
      </w:pPr>
      <w:r>
        <w:rPr>
          <w:color w:val="auto"/>
        </w:rPr>
        <w:t>施工组织设计文件中，对运输或堆放建设施工材料时，设计文件中应规定遮盖措施以防粉尘污染。在旱季施工期间应规定适时洒水减轻扬尘污染或其他降尘措施。</w:t>
      </w:r>
    </w:p>
    <w:p>
      <w:pPr>
        <w:spacing w:line="360" w:lineRule="auto"/>
        <w:ind w:firstLine="480"/>
        <w:jc w:val="both"/>
        <w:rPr>
          <w:color w:val="auto"/>
        </w:rPr>
      </w:pPr>
      <w:r>
        <w:rPr>
          <w:color w:val="auto"/>
        </w:rPr>
        <w:t>（2）施工阶段各类污染源的现场监理</w:t>
      </w:r>
    </w:p>
    <w:p>
      <w:pPr>
        <w:spacing w:line="360" w:lineRule="auto"/>
        <w:ind w:firstLine="480"/>
        <w:jc w:val="both"/>
        <w:rPr>
          <w:color w:val="auto"/>
        </w:rPr>
      </w:pPr>
      <w:r>
        <w:rPr>
          <w:rFonts w:hint="eastAsia" w:ascii="宋体" w:hAnsi="宋体" w:cs="宋体"/>
          <w:color w:val="auto"/>
        </w:rPr>
        <w:t>①</w:t>
      </w:r>
      <w:r>
        <w:rPr>
          <w:color w:val="auto"/>
        </w:rPr>
        <w:t>工程的招投标阶段</w:t>
      </w:r>
    </w:p>
    <w:p>
      <w:pPr>
        <w:spacing w:line="360" w:lineRule="auto"/>
        <w:ind w:firstLine="480"/>
        <w:jc w:val="both"/>
        <w:rPr>
          <w:color w:val="auto"/>
        </w:rPr>
      </w:pPr>
      <w:r>
        <w:rPr>
          <w:color w:val="auto"/>
        </w:rPr>
        <w:t>工程的招投标文件中，关于环境保护的内容应纳入合同文件的相应条款中，其副本应送环保监理工程师实施现场监理时备查与监督管理。</w:t>
      </w:r>
    </w:p>
    <w:p>
      <w:pPr>
        <w:spacing w:line="360" w:lineRule="auto"/>
        <w:ind w:firstLine="480"/>
        <w:jc w:val="both"/>
        <w:rPr>
          <w:color w:val="auto"/>
        </w:rPr>
      </w:pPr>
      <w:r>
        <w:rPr>
          <w:rFonts w:hint="eastAsia" w:ascii="宋体" w:hAnsi="宋体" w:cs="宋体"/>
          <w:color w:val="auto"/>
        </w:rPr>
        <w:t>②</w:t>
      </w:r>
      <w:r>
        <w:rPr>
          <w:color w:val="auto"/>
        </w:rPr>
        <w:t>各类噪声源的现场监理</w:t>
      </w:r>
    </w:p>
    <w:p>
      <w:pPr>
        <w:spacing w:line="360" w:lineRule="auto"/>
        <w:ind w:firstLine="480"/>
        <w:jc w:val="both"/>
        <w:rPr>
          <w:color w:val="auto"/>
        </w:rPr>
      </w:pPr>
      <w:r>
        <w:rPr>
          <w:color w:val="auto"/>
        </w:rPr>
        <w:t>现场环保监理工程师应对施工现场附近的声敏感建筑物的环境噪声进行监理与监测，若监测结果超过了应执行的环境噪声质量标准，环保监理工程师应通知承包方采取减噪措施，或调整机械施工时间。</w:t>
      </w:r>
    </w:p>
    <w:p>
      <w:pPr>
        <w:spacing w:line="360" w:lineRule="auto"/>
        <w:ind w:firstLine="480"/>
        <w:jc w:val="both"/>
        <w:rPr>
          <w:color w:val="auto"/>
        </w:rPr>
      </w:pPr>
      <w:r>
        <w:rPr>
          <w:rFonts w:hint="eastAsia" w:ascii="宋体" w:hAnsi="宋体" w:cs="宋体"/>
          <w:color w:val="auto"/>
        </w:rPr>
        <w:t>③</w:t>
      </w:r>
      <w:r>
        <w:rPr>
          <w:color w:val="auto"/>
        </w:rPr>
        <w:t>环境空气污染源的现场监理</w:t>
      </w:r>
    </w:p>
    <w:p>
      <w:pPr>
        <w:spacing w:line="360" w:lineRule="auto"/>
        <w:ind w:firstLine="480"/>
        <w:jc w:val="both"/>
        <w:rPr>
          <w:color w:val="auto"/>
        </w:rPr>
      </w:pPr>
      <w:r>
        <w:rPr>
          <w:color w:val="auto"/>
        </w:rPr>
        <w:t>环境空气污染源包括：施工砂、石料、混合料堆放产生的扬尘；运输车辆在运料过程中产生的扬尘都会增加对环境空气的污染。以上污染源对环境空气的污染程度，现场环保监理工程师应对施工现场附近的环境空气敏感点的环境空气质量进行监测。若监测结果超过了应执行环境空气质量标准时，环保监理工程师应通知承包方采取防范措施，并要求达到标准限值以内。</w:t>
      </w:r>
    </w:p>
    <w:p>
      <w:pPr>
        <w:spacing w:line="360" w:lineRule="auto"/>
        <w:ind w:firstLine="480"/>
        <w:jc w:val="both"/>
        <w:rPr>
          <w:color w:val="auto"/>
        </w:rPr>
      </w:pPr>
      <w:r>
        <w:rPr>
          <w:color w:val="auto"/>
        </w:rPr>
        <w:fldChar w:fldCharType="begin"/>
      </w:r>
      <w:r>
        <w:rPr>
          <w:color w:val="auto"/>
        </w:rPr>
        <w:instrText xml:space="preserve"> = 4 \* GB3 </w:instrText>
      </w:r>
      <w:r>
        <w:rPr>
          <w:color w:val="auto"/>
        </w:rPr>
        <w:fldChar w:fldCharType="separate"/>
      </w:r>
      <w:r>
        <w:rPr>
          <w:rFonts w:hint="eastAsia"/>
          <w:color w:val="auto"/>
        </w:rPr>
        <w:t>④</w:t>
      </w:r>
      <w:r>
        <w:rPr>
          <w:color w:val="auto"/>
        </w:rPr>
        <w:fldChar w:fldCharType="end"/>
      </w:r>
      <w:r>
        <w:rPr>
          <w:color w:val="auto"/>
        </w:rPr>
        <w:t>污染源现场监理</w:t>
      </w:r>
    </w:p>
    <w:p>
      <w:pPr>
        <w:spacing w:line="360" w:lineRule="auto"/>
        <w:ind w:firstLine="480"/>
        <w:jc w:val="both"/>
        <w:rPr>
          <w:color w:val="auto"/>
        </w:rPr>
      </w:pPr>
      <w:r>
        <w:rPr>
          <w:color w:val="auto"/>
        </w:rPr>
        <w:t>水污染源包括：施工过程中产生的废水以及建设、监理单位的住所产生生活污水的排放。</w:t>
      </w:r>
    </w:p>
    <w:p>
      <w:pPr>
        <w:spacing w:line="360" w:lineRule="auto"/>
        <w:ind w:firstLine="480"/>
        <w:jc w:val="both"/>
        <w:rPr>
          <w:color w:val="auto"/>
        </w:rPr>
      </w:pPr>
      <w:r>
        <w:rPr>
          <w:color w:val="auto"/>
        </w:rPr>
        <w:t>为了解决以上水污染源对纳污水域等地表水造成污染程度，环境监理工程师应对施工现场水环境质量中有关项目进行监理与监测。若监测结果超过了应执行的水质环境质量标准时，环境监理工程师应通知承包方采取防治措施，并要求达到标准限值以内。</w:t>
      </w:r>
    </w:p>
    <w:p>
      <w:pPr>
        <w:spacing w:line="360" w:lineRule="auto"/>
        <w:ind w:firstLine="480"/>
        <w:rPr>
          <w:color w:val="auto"/>
        </w:rPr>
      </w:pPr>
      <w:r>
        <w:rPr>
          <w:color w:val="auto"/>
        </w:rPr>
        <w:fldChar w:fldCharType="begin"/>
      </w:r>
      <w:r>
        <w:rPr>
          <w:color w:val="auto"/>
        </w:rPr>
        <w:instrText xml:space="preserve"> = 5 \* GB3 </w:instrText>
      </w:r>
      <w:r>
        <w:rPr>
          <w:color w:val="auto"/>
        </w:rPr>
        <w:fldChar w:fldCharType="separate"/>
      </w:r>
      <w:r>
        <w:rPr>
          <w:rFonts w:hint="eastAsia"/>
          <w:color w:val="auto"/>
        </w:rPr>
        <w:t>⑤</w:t>
      </w:r>
      <w:r>
        <w:rPr>
          <w:color w:val="auto"/>
        </w:rPr>
        <w:fldChar w:fldCharType="end"/>
      </w:r>
      <w:r>
        <w:rPr>
          <w:color w:val="auto"/>
        </w:rPr>
        <w:t>环境工程设施的施工质量监理</w:t>
      </w:r>
    </w:p>
    <w:p>
      <w:pPr>
        <w:spacing w:line="360" w:lineRule="auto"/>
        <w:ind w:firstLine="480"/>
        <w:jc w:val="both"/>
        <w:rPr>
          <w:color w:val="auto"/>
        </w:rPr>
      </w:pPr>
      <w:r>
        <w:rPr>
          <w:color w:val="auto"/>
        </w:rPr>
        <w:t>本工程环境工程设施主要包括废气处理系统、废水处理设施、防渗系统、环境监测系统、厂区绿化等，这些环境工程设施的施工主要是结构工程与园林施工，其施工工程质量的监理工作应由工程质量监理工程师与园林技术人员负责。环境监理应侧重环境工程设施的环境效果是否达到原设计的要求。经监测若达不到原设计要求时，应通知承包方及早采取补救措施，直至达到设计要求为止。</w:t>
      </w:r>
    </w:p>
    <w:p>
      <w:pPr>
        <w:pStyle w:val="298"/>
        <w:rPr>
          <w:color w:val="auto"/>
        </w:rPr>
      </w:pPr>
      <w:bookmarkStart w:id="925" w:name="_Toc14946949"/>
      <w:bookmarkStart w:id="926" w:name="_Toc26932"/>
      <w:bookmarkStart w:id="927" w:name="_Toc24136862"/>
      <w:bookmarkStart w:id="928" w:name="_Toc34234777"/>
      <w:r>
        <w:rPr>
          <w:color w:val="auto"/>
        </w:rPr>
        <w:t>8.3.3施工期环境监测计划</w:t>
      </w:r>
      <w:bookmarkEnd w:id="925"/>
      <w:bookmarkEnd w:id="926"/>
      <w:bookmarkEnd w:id="927"/>
      <w:bookmarkEnd w:id="928"/>
    </w:p>
    <w:p>
      <w:pPr>
        <w:spacing w:line="360" w:lineRule="auto"/>
        <w:ind w:firstLine="480"/>
        <w:rPr>
          <w:color w:val="auto"/>
        </w:rPr>
      </w:pPr>
      <w:r>
        <w:rPr>
          <w:color w:val="auto"/>
        </w:rPr>
        <w:t>对施工期的环境进行监测，便于了解工程在施工过程中对环境造成的影响程度，并采取相应措施使影响减至最小。建议施工期做如下监测：</w:t>
      </w:r>
    </w:p>
    <w:p>
      <w:pPr>
        <w:spacing w:line="360" w:lineRule="auto"/>
        <w:ind w:firstLine="480"/>
        <w:rPr>
          <w:color w:val="auto"/>
        </w:rPr>
      </w:pPr>
      <w:r>
        <w:rPr>
          <w:color w:val="auto"/>
        </w:rPr>
        <w:t>（1）大气监测计划</w:t>
      </w:r>
    </w:p>
    <w:p>
      <w:pPr>
        <w:spacing w:line="360" w:lineRule="auto"/>
        <w:ind w:firstLine="480"/>
        <w:rPr>
          <w:color w:val="auto"/>
        </w:rPr>
      </w:pPr>
      <w:r>
        <w:rPr>
          <w:color w:val="auto"/>
        </w:rPr>
        <w:t>施工期间的废气主要为施工作业扬尘和运输车辆产生的尾气和扬尘等。</w:t>
      </w:r>
    </w:p>
    <w:p>
      <w:pPr>
        <w:spacing w:line="360" w:lineRule="auto"/>
        <w:ind w:firstLine="480"/>
        <w:rPr>
          <w:color w:val="auto"/>
        </w:rPr>
      </w:pPr>
      <w:r>
        <w:rPr>
          <w:color w:val="auto"/>
        </w:rPr>
        <w:t>监测项目：TSP、NO</w:t>
      </w:r>
      <w:r>
        <w:rPr>
          <w:color w:val="auto"/>
          <w:sz w:val="16"/>
          <w:szCs w:val="16"/>
        </w:rPr>
        <w:t>2</w:t>
      </w:r>
      <w:r>
        <w:rPr>
          <w:color w:val="auto"/>
        </w:rPr>
        <w:t>。</w:t>
      </w:r>
    </w:p>
    <w:p>
      <w:pPr>
        <w:spacing w:line="360" w:lineRule="auto"/>
        <w:ind w:firstLine="480"/>
        <w:rPr>
          <w:color w:val="auto"/>
        </w:rPr>
      </w:pPr>
      <w:r>
        <w:rPr>
          <w:color w:val="auto"/>
        </w:rPr>
        <w:t>监测位置：施工场区四周。</w:t>
      </w:r>
    </w:p>
    <w:p>
      <w:pPr>
        <w:spacing w:line="360" w:lineRule="auto"/>
        <w:ind w:firstLine="480"/>
        <w:rPr>
          <w:color w:val="auto"/>
        </w:rPr>
      </w:pPr>
      <w:r>
        <w:rPr>
          <w:color w:val="auto"/>
        </w:rPr>
        <w:t>监测频率：施工期间每两个月监测一次，每次连续监测两天，每天四次。</w:t>
      </w:r>
    </w:p>
    <w:p>
      <w:pPr>
        <w:spacing w:line="360" w:lineRule="auto"/>
        <w:ind w:firstLine="480"/>
        <w:rPr>
          <w:color w:val="auto"/>
        </w:rPr>
      </w:pPr>
      <w:r>
        <w:rPr>
          <w:color w:val="auto"/>
        </w:rPr>
        <w:t>监测方法：按照相关环境监测技术规范进行。</w:t>
      </w:r>
    </w:p>
    <w:p>
      <w:pPr>
        <w:spacing w:line="360" w:lineRule="auto"/>
        <w:ind w:firstLine="480"/>
        <w:rPr>
          <w:color w:val="auto"/>
        </w:rPr>
      </w:pPr>
      <w:r>
        <w:rPr>
          <w:color w:val="auto"/>
        </w:rPr>
        <w:t>（2）声环境监测计划</w:t>
      </w:r>
    </w:p>
    <w:p>
      <w:pPr>
        <w:spacing w:line="360" w:lineRule="auto"/>
        <w:ind w:firstLine="480"/>
        <w:rPr>
          <w:color w:val="auto"/>
        </w:rPr>
      </w:pPr>
      <w:r>
        <w:rPr>
          <w:color w:val="auto"/>
        </w:rPr>
        <w:t>施工期间，作业机械设备和施工车辆向周围环境排放噪声。</w:t>
      </w:r>
    </w:p>
    <w:p>
      <w:pPr>
        <w:spacing w:line="360" w:lineRule="auto"/>
        <w:ind w:firstLine="480"/>
        <w:rPr>
          <w:color w:val="auto"/>
        </w:rPr>
      </w:pPr>
      <w:r>
        <w:rPr>
          <w:color w:val="auto"/>
        </w:rPr>
        <w:t>监测项目：等效连续A声级， Leq(A)。</w:t>
      </w:r>
    </w:p>
    <w:p>
      <w:pPr>
        <w:spacing w:line="360" w:lineRule="auto"/>
        <w:ind w:firstLine="480"/>
        <w:rPr>
          <w:color w:val="auto"/>
        </w:rPr>
      </w:pPr>
      <w:r>
        <w:rPr>
          <w:color w:val="auto"/>
        </w:rPr>
        <w:t>监测位置：在施工场区四周、施工车辆经过的路段设置噪声监测点。</w:t>
      </w:r>
    </w:p>
    <w:p>
      <w:pPr>
        <w:spacing w:line="360" w:lineRule="auto"/>
        <w:ind w:firstLine="480"/>
        <w:rPr>
          <w:color w:val="auto"/>
        </w:rPr>
      </w:pPr>
      <w:r>
        <w:rPr>
          <w:color w:val="auto"/>
        </w:rPr>
        <w:t>监测频率：施工期每两个月监测一期，每期一天（昼夜各一次）。</w:t>
      </w:r>
    </w:p>
    <w:p>
      <w:pPr>
        <w:spacing w:line="360" w:lineRule="auto"/>
        <w:ind w:firstLine="480"/>
        <w:rPr>
          <w:color w:val="auto"/>
        </w:rPr>
        <w:sectPr>
          <w:pgSz w:w="11906" w:h="16838"/>
          <w:pgMar w:top="1360" w:right="1418" w:bottom="1134" w:left="1418" w:header="851" w:footer="992" w:gutter="0"/>
          <w:pgNumType w:fmt="decimal"/>
          <w:cols w:space="425" w:num="1"/>
          <w:docGrid w:linePitch="312" w:charSpace="0"/>
        </w:sectPr>
      </w:pPr>
      <w:r>
        <w:rPr>
          <w:color w:val="auto"/>
        </w:rPr>
        <w:t>监测方法：按照相关环境监测技术规范进行。</w:t>
      </w:r>
    </w:p>
    <w:p>
      <w:pPr>
        <w:pStyle w:val="3"/>
        <w:numPr>
          <w:ilvl w:val="0"/>
          <w:numId w:val="0"/>
        </w:numPr>
        <w:tabs>
          <w:tab w:val="clear" w:pos="680"/>
        </w:tabs>
        <w:ind w:left="576" w:hanging="576"/>
        <w:rPr>
          <w:rFonts w:ascii="Times New Roman"/>
          <w:bCs/>
          <w:color w:val="auto"/>
        </w:rPr>
      </w:pPr>
      <w:bookmarkStart w:id="929" w:name="_Toc23263187"/>
      <w:bookmarkStart w:id="930" w:name="_Toc24136863"/>
      <w:bookmarkStart w:id="931" w:name="_Toc3569"/>
      <w:bookmarkStart w:id="932" w:name="_Toc14943344"/>
      <w:r>
        <w:rPr>
          <w:rFonts w:ascii="Times New Roman"/>
          <w:bCs/>
          <w:color w:val="auto"/>
        </w:rPr>
        <w:t>8.4污染物排放清单及管理要求</w:t>
      </w:r>
      <w:bookmarkEnd w:id="929"/>
      <w:bookmarkEnd w:id="930"/>
      <w:bookmarkEnd w:id="931"/>
      <w:bookmarkEnd w:id="932"/>
    </w:p>
    <w:p>
      <w:pPr>
        <w:spacing w:line="360" w:lineRule="auto"/>
        <w:ind w:firstLine="480"/>
        <w:rPr>
          <w:color w:val="auto"/>
        </w:rPr>
      </w:pPr>
      <w:r>
        <w:rPr>
          <w:color w:val="auto"/>
        </w:rPr>
        <w:t>建设项目污染物排放清单见表8.4-2。</w:t>
      </w:r>
    </w:p>
    <w:p>
      <w:pPr>
        <w:pStyle w:val="5"/>
        <w:ind w:firstLine="482"/>
        <w:jc w:val="center"/>
        <w:rPr>
          <w:b/>
          <w:color w:val="auto"/>
        </w:rPr>
      </w:pPr>
      <w:r>
        <w:rPr>
          <w:b/>
          <w:color w:val="auto"/>
        </w:rPr>
        <w:t xml:space="preserve">表 </w:t>
      </w:r>
      <w:r>
        <w:rPr>
          <w:rFonts w:hint="eastAsia"/>
          <w:b/>
          <w:color w:val="auto"/>
        </w:rPr>
        <w:t>8.4-2</w:t>
      </w:r>
      <w:r>
        <w:rPr>
          <w:b/>
          <w:color w:val="auto"/>
        </w:rPr>
        <w:t xml:space="preserve">  污染物排放清单及管理要求</w:t>
      </w:r>
    </w:p>
    <w:tbl>
      <w:tblPr>
        <w:tblStyle w:val="53"/>
        <w:tblW w:w="14570"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218"/>
        <w:gridCol w:w="47"/>
        <w:gridCol w:w="557"/>
        <w:gridCol w:w="1731"/>
        <w:gridCol w:w="2410"/>
        <w:gridCol w:w="775"/>
        <w:gridCol w:w="1148"/>
        <w:gridCol w:w="924"/>
        <w:gridCol w:w="854"/>
        <w:gridCol w:w="804"/>
        <w:gridCol w:w="932"/>
        <w:gridCol w:w="1335"/>
        <w:gridCol w:w="2835"/>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blHeader/>
        </w:trPr>
        <w:tc>
          <w:tcPr>
            <w:tcW w:w="218" w:type="dxa"/>
            <w:vMerge w:val="restart"/>
            <w:tcBorders>
              <w:top w:val="single" w:color="auto" w:sz="18" w:space="0"/>
              <w:right w:val="single" w:color="auto" w:sz="4" w:space="0"/>
            </w:tcBorders>
            <w:vAlign w:val="center"/>
          </w:tcPr>
          <w:p>
            <w:pPr>
              <w:pStyle w:val="280"/>
              <w:snapToGrid w:val="0"/>
              <w:spacing w:line="240" w:lineRule="auto"/>
              <w:rPr>
                <w:b/>
                <w:color w:val="auto"/>
                <w:sz w:val="21"/>
              </w:rPr>
            </w:pPr>
            <w:r>
              <w:rPr>
                <w:b/>
                <w:color w:val="auto"/>
                <w:sz w:val="21"/>
              </w:rPr>
              <w:t>类别</w:t>
            </w:r>
          </w:p>
        </w:tc>
        <w:tc>
          <w:tcPr>
            <w:tcW w:w="604" w:type="dxa"/>
            <w:gridSpan w:val="2"/>
            <w:vMerge w:val="restart"/>
            <w:tcBorders>
              <w:top w:val="single" w:color="auto" w:sz="18" w:space="0"/>
              <w:left w:val="single" w:color="auto" w:sz="4" w:space="0"/>
            </w:tcBorders>
            <w:vAlign w:val="center"/>
          </w:tcPr>
          <w:p>
            <w:pPr>
              <w:pStyle w:val="280"/>
              <w:snapToGrid w:val="0"/>
              <w:spacing w:line="240" w:lineRule="auto"/>
              <w:rPr>
                <w:b/>
                <w:color w:val="auto"/>
                <w:sz w:val="21"/>
              </w:rPr>
            </w:pPr>
            <w:r>
              <w:rPr>
                <w:b/>
                <w:color w:val="auto"/>
                <w:sz w:val="21"/>
              </w:rPr>
              <w:t>排放源</w:t>
            </w:r>
          </w:p>
        </w:tc>
        <w:tc>
          <w:tcPr>
            <w:tcW w:w="1731" w:type="dxa"/>
            <w:vMerge w:val="restart"/>
            <w:tcBorders>
              <w:top w:val="single" w:color="auto" w:sz="18" w:space="0"/>
            </w:tcBorders>
            <w:vAlign w:val="center"/>
          </w:tcPr>
          <w:p>
            <w:pPr>
              <w:pStyle w:val="280"/>
              <w:snapToGrid w:val="0"/>
              <w:spacing w:line="240" w:lineRule="auto"/>
              <w:rPr>
                <w:b/>
                <w:color w:val="auto"/>
                <w:sz w:val="21"/>
              </w:rPr>
            </w:pPr>
            <w:r>
              <w:rPr>
                <w:b/>
                <w:color w:val="auto"/>
                <w:sz w:val="21"/>
              </w:rPr>
              <w:t>污染物名称</w:t>
            </w:r>
          </w:p>
        </w:tc>
        <w:tc>
          <w:tcPr>
            <w:tcW w:w="2410" w:type="dxa"/>
            <w:vMerge w:val="restart"/>
            <w:tcBorders>
              <w:top w:val="single" w:color="auto" w:sz="18" w:space="0"/>
              <w:right w:val="single" w:color="auto" w:sz="4" w:space="0"/>
            </w:tcBorders>
            <w:vAlign w:val="center"/>
          </w:tcPr>
          <w:p>
            <w:pPr>
              <w:pStyle w:val="280"/>
              <w:snapToGrid w:val="0"/>
              <w:spacing w:line="240" w:lineRule="auto"/>
              <w:rPr>
                <w:b/>
                <w:color w:val="auto"/>
                <w:sz w:val="21"/>
              </w:rPr>
            </w:pPr>
            <w:r>
              <w:rPr>
                <w:b/>
                <w:color w:val="auto"/>
                <w:sz w:val="21"/>
              </w:rPr>
              <w:t>治理措施</w:t>
            </w:r>
          </w:p>
        </w:tc>
        <w:tc>
          <w:tcPr>
            <w:tcW w:w="1923" w:type="dxa"/>
            <w:gridSpan w:val="2"/>
            <w:tcBorders>
              <w:top w:val="single" w:color="auto" w:sz="18" w:space="0"/>
              <w:right w:val="single" w:color="auto" w:sz="4" w:space="0"/>
            </w:tcBorders>
            <w:vAlign w:val="center"/>
          </w:tcPr>
          <w:p>
            <w:pPr>
              <w:pStyle w:val="280"/>
              <w:snapToGrid w:val="0"/>
              <w:spacing w:line="240" w:lineRule="auto"/>
              <w:rPr>
                <w:b/>
                <w:color w:val="auto"/>
                <w:sz w:val="21"/>
              </w:rPr>
            </w:pPr>
            <w:r>
              <w:rPr>
                <w:b/>
                <w:color w:val="auto"/>
                <w:sz w:val="21"/>
              </w:rPr>
              <w:t>排污口信息</w:t>
            </w:r>
          </w:p>
        </w:tc>
        <w:tc>
          <w:tcPr>
            <w:tcW w:w="3514" w:type="dxa"/>
            <w:gridSpan w:val="4"/>
            <w:tcBorders>
              <w:top w:val="single" w:color="auto" w:sz="18" w:space="0"/>
            </w:tcBorders>
            <w:vAlign w:val="center"/>
          </w:tcPr>
          <w:p>
            <w:pPr>
              <w:pStyle w:val="280"/>
              <w:snapToGrid w:val="0"/>
              <w:spacing w:line="240" w:lineRule="auto"/>
              <w:rPr>
                <w:b/>
                <w:color w:val="auto"/>
                <w:sz w:val="21"/>
              </w:rPr>
            </w:pPr>
            <w:r>
              <w:rPr>
                <w:b/>
                <w:color w:val="auto"/>
                <w:sz w:val="21"/>
              </w:rPr>
              <w:t>排放状况</w:t>
            </w:r>
          </w:p>
        </w:tc>
        <w:tc>
          <w:tcPr>
            <w:tcW w:w="4170" w:type="dxa"/>
            <w:gridSpan w:val="2"/>
            <w:tcBorders>
              <w:top w:val="single" w:color="auto" w:sz="18" w:space="0"/>
              <w:right w:val="nil"/>
            </w:tcBorders>
            <w:vAlign w:val="center"/>
          </w:tcPr>
          <w:p>
            <w:pPr>
              <w:pStyle w:val="280"/>
              <w:snapToGrid w:val="0"/>
              <w:spacing w:line="240" w:lineRule="auto"/>
              <w:rPr>
                <w:b/>
                <w:color w:val="auto"/>
                <w:sz w:val="21"/>
              </w:rPr>
            </w:pPr>
            <w:r>
              <w:rPr>
                <w:b/>
                <w:color w:val="auto"/>
                <w:sz w:val="21"/>
              </w:rPr>
              <w:t>执行标准</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blHeader/>
        </w:trPr>
        <w:tc>
          <w:tcPr>
            <w:tcW w:w="218" w:type="dxa"/>
            <w:vMerge w:val="continue"/>
            <w:tcBorders>
              <w:right w:val="single" w:color="auto" w:sz="4" w:space="0"/>
            </w:tcBorders>
            <w:vAlign w:val="center"/>
          </w:tcPr>
          <w:p>
            <w:pPr>
              <w:pStyle w:val="280"/>
              <w:snapToGrid w:val="0"/>
              <w:spacing w:line="240" w:lineRule="auto"/>
              <w:rPr>
                <w:b/>
                <w:color w:val="auto"/>
                <w:sz w:val="21"/>
              </w:rPr>
            </w:pPr>
          </w:p>
        </w:tc>
        <w:tc>
          <w:tcPr>
            <w:tcW w:w="604" w:type="dxa"/>
            <w:gridSpan w:val="2"/>
            <w:vMerge w:val="continue"/>
            <w:tcBorders>
              <w:left w:val="single" w:color="auto" w:sz="4" w:space="0"/>
            </w:tcBorders>
            <w:vAlign w:val="center"/>
          </w:tcPr>
          <w:p>
            <w:pPr>
              <w:pStyle w:val="280"/>
              <w:snapToGrid w:val="0"/>
              <w:spacing w:line="240" w:lineRule="auto"/>
              <w:rPr>
                <w:b/>
                <w:color w:val="auto"/>
                <w:sz w:val="21"/>
              </w:rPr>
            </w:pPr>
          </w:p>
        </w:tc>
        <w:tc>
          <w:tcPr>
            <w:tcW w:w="1731" w:type="dxa"/>
            <w:vMerge w:val="continue"/>
            <w:vAlign w:val="center"/>
          </w:tcPr>
          <w:p>
            <w:pPr>
              <w:pStyle w:val="280"/>
              <w:snapToGrid w:val="0"/>
              <w:spacing w:line="240" w:lineRule="auto"/>
              <w:rPr>
                <w:b/>
                <w:color w:val="auto"/>
                <w:sz w:val="21"/>
              </w:rPr>
            </w:pPr>
          </w:p>
        </w:tc>
        <w:tc>
          <w:tcPr>
            <w:tcW w:w="2410" w:type="dxa"/>
            <w:vMerge w:val="continue"/>
            <w:tcBorders>
              <w:right w:val="single" w:color="auto" w:sz="4" w:space="0"/>
            </w:tcBorders>
            <w:vAlign w:val="center"/>
          </w:tcPr>
          <w:p>
            <w:pPr>
              <w:pStyle w:val="280"/>
              <w:snapToGrid w:val="0"/>
              <w:spacing w:line="240" w:lineRule="auto"/>
              <w:rPr>
                <w:b/>
                <w:color w:val="auto"/>
                <w:sz w:val="21"/>
              </w:rPr>
            </w:pPr>
          </w:p>
        </w:tc>
        <w:tc>
          <w:tcPr>
            <w:tcW w:w="775" w:type="dxa"/>
            <w:tcBorders>
              <w:right w:val="single" w:color="auto" w:sz="4" w:space="0"/>
            </w:tcBorders>
            <w:vAlign w:val="center"/>
          </w:tcPr>
          <w:p>
            <w:pPr>
              <w:pStyle w:val="280"/>
              <w:snapToGrid w:val="0"/>
              <w:spacing w:line="240" w:lineRule="auto"/>
              <w:rPr>
                <w:b/>
                <w:color w:val="auto"/>
                <w:sz w:val="21"/>
              </w:rPr>
            </w:pPr>
            <w:r>
              <w:rPr>
                <w:b/>
                <w:color w:val="auto"/>
                <w:sz w:val="21"/>
              </w:rPr>
              <w:t>编号</w:t>
            </w:r>
          </w:p>
        </w:tc>
        <w:tc>
          <w:tcPr>
            <w:tcW w:w="1148" w:type="dxa"/>
            <w:tcBorders>
              <w:right w:val="single" w:color="auto" w:sz="4" w:space="0"/>
            </w:tcBorders>
            <w:vAlign w:val="center"/>
          </w:tcPr>
          <w:p>
            <w:pPr>
              <w:pStyle w:val="280"/>
              <w:snapToGrid w:val="0"/>
              <w:spacing w:line="240" w:lineRule="auto"/>
              <w:rPr>
                <w:b/>
                <w:color w:val="auto"/>
                <w:sz w:val="21"/>
              </w:rPr>
            </w:pPr>
            <w:r>
              <w:rPr>
                <w:b/>
                <w:color w:val="auto"/>
                <w:sz w:val="21"/>
              </w:rPr>
              <w:t>排污口参数</w:t>
            </w:r>
          </w:p>
        </w:tc>
        <w:tc>
          <w:tcPr>
            <w:tcW w:w="924" w:type="dxa"/>
            <w:vAlign w:val="center"/>
          </w:tcPr>
          <w:p>
            <w:pPr>
              <w:pStyle w:val="280"/>
              <w:snapToGrid w:val="0"/>
              <w:spacing w:line="240" w:lineRule="auto"/>
              <w:rPr>
                <w:b/>
                <w:color w:val="auto"/>
                <w:sz w:val="21"/>
              </w:rPr>
            </w:pPr>
            <w:r>
              <w:rPr>
                <w:b/>
                <w:color w:val="auto"/>
                <w:sz w:val="21"/>
              </w:rPr>
              <w:t>浓度mg/m</w:t>
            </w:r>
            <w:r>
              <w:rPr>
                <w:b/>
                <w:color w:val="auto"/>
                <w:sz w:val="21"/>
                <w:vertAlign w:val="superscript"/>
              </w:rPr>
              <w:t>3</w:t>
            </w:r>
          </w:p>
        </w:tc>
        <w:tc>
          <w:tcPr>
            <w:tcW w:w="854" w:type="dxa"/>
            <w:vAlign w:val="center"/>
          </w:tcPr>
          <w:p>
            <w:pPr>
              <w:pStyle w:val="280"/>
              <w:snapToGrid w:val="0"/>
              <w:spacing w:line="240" w:lineRule="auto"/>
              <w:rPr>
                <w:b/>
                <w:color w:val="auto"/>
                <w:sz w:val="21"/>
              </w:rPr>
            </w:pPr>
            <w:r>
              <w:rPr>
                <w:b/>
                <w:color w:val="auto"/>
                <w:sz w:val="21"/>
              </w:rPr>
              <w:t>速率</w:t>
            </w:r>
          </w:p>
          <w:p>
            <w:pPr>
              <w:pStyle w:val="280"/>
              <w:snapToGrid w:val="0"/>
              <w:spacing w:line="240" w:lineRule="auto"/>
              <w:rPr>
                <w:b/>
                <w:color w:val="auto"/>
                <w:sz w:val="21"/>
              </w:rPr>
            </w:pPr>
            <w:r>
              <w:rPr>
                <w:b/>
                <w:color w:val="auto"/>
                <w:sz w:val="21"/>
              </w:rPr>
              <w:t>k</w:t>
            </w:r>
            <w:r>
              <w:rPr>
                <w:rFonts w:hint="eastAsia"/>
                <w:b/>
                <w:color w:val="auto"/>
                <w:sz w:val="21"/>
              </w:rPr>
              <w:t>g/h</w:t>
            </w:r>
          </w:p>
        </w:tc>
        <w:tc>
          <w:tcPr>
            <w:tcW w:w="804" w:type="dxa"/>
            <w:vAlign w:val="center"/>
          </w:tcPr>
          <w:p>
            <w:pPr>
              <w:pStyle w:val="280"/>
              <w:snapToGrid w:val="0"/>
              <w:spacing w:line="240" w:lineRule="auto"/>
              <w:rPr>
                <w:b/>
                <w:color w:val="auto"/>
                <w:sz w:val="21"/>
              </w:rPr>
            </w:pPr>
            <w:r>
              <w:rPr>
                <w:b/>
                <w:color w:val="auto"/>
                <w:sz w:val="21"/>
              </w:rPr>
              <w:t>排放量</w:t>
            </w:r>
          </w:p>
          <w:p>
            <w:pPr>
              <w:pStyle w:val="280"/>
              <w:snapToGrid w:val="0"/>
              <w:spacing w:line="240" w:lineRule="auto"/>
              <w:rPr>
                <w:b/>
                <w:color w:val="auto"/>
                <w:sz w:val="21"/>
              </w:rPr>
            </w:pPr>
            <w:r>
              <w:rPr>
                <w:b/>
                <w:color w:val="auto"/>
                <w:sz w:val="21"/>
              </w:rPr>
              <w:t>t/a</w:t>
            </w:r>
          </w:p>
        </w:tc>
        <w:tc>
          <w:tcPr>
            <w:tcW w:w="932" w:type="dxa"/>
            <w:vAlign w:val="center"/>
          </w:tcPr>
          <w:p>
            <w:pPr>
              <w:pStyle w:val="280"/>
              <w:snapToGrid w:val="0"/>
              <w:spacing w:line="240" w:lineRule="auto"/>
              <w:rPr>
                <w:b/>
                <w:color w:val="auto"/>
                <w:sz w:val="21"/>
              </w:rPr>
            </w:pPr>
            <w:r>
              <w:rPr>
                <w:b/>
                <w:color w:val="auto"/>
                <w:sz w:val="21"/>
              </w:rPr>
              <w:t>排放方式</w:t>
            </w:r>
          </w:p>
        </w:tc>
        <w:tc>
          <w:tcPr>
            <w:tcW w:w="1335" w:type="dxa"/>
            <w:tcBorders>
              <w:right w:val="single" w:color="auto" w:sz="4" w:space="0"/>
            </w:tcBorders>
            <w:vAlign w:val="center"/>
          </w:tcPr>
          <w:p>
            <w:pPr>
              <w:pStyle w:val="280"/>
              <w:snapToGrid w:val="0"/>
              <w:spacing w:line="240" w:lineRule="auto"/>
              <w:rPr>
                <w:b/>
                <w:color w:val="auto"/>
                <w:sz w:val="21"/>
              </w:rPr>
            </w:pPr>
            <w:r>
              <w:rPr>
                <w:b/>
                <w:color w:val="auto"/>
                <w:sz w:val="21"/>
              </w:rPr>
              <w:t>排放浓度限值</w:t>
            </w:r>
            <w:r>
              <w:rPr>
                <w:color w:val="auto"/>
                <w:sz w:val="21"/>
              </w:rPr>
              <w:t>mg/m</w:t>
            </w:r>
            <w:r>
              <w:rPr>
                <w:color w:val="auto"/>
                <w:sz w:val="21"/>
                <w:vertAlign w:val="superscript"/>
              </w:rPr>
              <w:t>3</w:t>
            </w:r>
          </w:p>
        </w:tc>
        <w:tc>
          <w:tcPr>
            <w:tcW w:w="2835" w:type="dxa"/>
            <w:tcBorders>
              <w:right w:val="nil"/>
            </w:tcBorders>
            <w:vAlign w:val="center"/>
          </w:tcPr>
          <w:p>
            <w:pPr>
              <w:pStyle w:val="280"/>
              <w:snapToGrid w:val="0"/>
              <w:spacing w:line="240" w:lineRule="auto"/>
              <w:rPr>
                <w:b/>
                <w:color w:val="auto"/>
                <w:sz w:val="21"/>
              </w:rPr>
            </w:pPr>
            <w:r>
              <w:rPr>
                <w:b/>
                <w:color w:val="auto"/>
                <w:sz w:val="21"/>
              </w:rPr>
              <w:t>标准名称</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799" w:hRule="atLeast"/>
        </w:trPr>
        <w:tc>
          <w:tcPr>
            <w:tcW w:w="218" w:type="dxa"/>
            <w:vMerge w:val="restart"/>
            <w:vAlign w:val="center"/>
          </w:tcPr>
          <w:p>
            <w:pPr>
              <w:pStyle w:val="280"/>
              <w:snapToGrid w:val="0"/>
              <w:spacing w:line="240" w:lineRule="auto"/>
              <w:jc w:val="left"/>
              <w:rPr>
                <w:color w:val="auto"/>
                <w:sz w:val="21"/>
              </w:rPr>
            </w:pPr>
            <w:r>
              <w:rPr>
                <w:rFonts w:hint="eastAsia"/>
                <w:color w:val="auto"/>
                <w:sz w:val="21"/>
              </w:rPr>
              <w:t>有组织废气</w:t>
            </w:r>
          </w:p>
        </w:tc>
        <w:tc>
          <w:tcPr>
            <w:tcW w:w="604" w:type="dxa"/>
            <w:gridSpan w:val="2"/>
            <w:vMerge w:val="restart"/>
            <w:vAlign w:val="center"/>
          </w:tcPr>
          <w:p>
            <w:pPr>
              <w:pStyle w:val="280"/>
              <w:snapToGrid w:val="0"/>
              <w:spacing w:line="240" w:lineRule="auto"/>
              <w:rPr>
                <w:color w:val="auto"/>
                <w:sz w:val="21"/>
              </w:rPr>
            </w:pPr>
            <w:r>
              <w:rPr>
                <w:rFonts w:hint="eastAsia"/>
                <w:color w:val="auto"/>
                <w:sz w:val="21"/>
              </w:rPr>
              <w:t>餐厨处理除臭装置</w:t>
            </w:r>
          </w:p>
        </w:tc>
        <w:tc>
          <w:tcPr>
            <w:tcW w:w="1731" w:type="dxa"/>
            <w:vAlign w:val="center"/>
          </w:tcPr>
          <w:p>
            <w:pPr>
              <w:pStyle w:val="280"/>
              <w:snapToGrid w:val="0"/>
              <w:spacing w:line="240" w:lineRule="auto"/>
              <w:rPr>
                <w:color w:val="auto"/>
                <w:sz w:val="21"/>
              </w:rPr>
            </w:pPr>
            <w:r>
              <w:rPr>
                <w:rFonts w:eastAsiaTheme="minorEastAsia"/>
                <w:color w:val="auto"/>
                <w:sz w:val="21"/>
              </w:rPr>
              <w:t>H</w:t>
            </w:r>
            <w:r>
              <w:rPr>
                <w:rFonts w:eastAsiaTheme="minorEastAsia"/>
                <w:color w:val="auto"/>
                <w:sz w:val="21"/>
                <w:vertAlign w:val="subscript"/>
              </w:rPr>
              <w:t>2</w:t>
            </w:r>
            <w:r>
              <w:rPr>
                <w:rFonts w:eastAsiaTheme="minorEastAsia"/>
                <w:color w:val="auto"/>
                <w:sz w:val="21"/>
              </w:rPr>
              <w:t>S</w:t>
            </w:r>
          </w:p>
        </w:tc>
        <w:tc>
          <w:tcPr>
            <w:tcW w:w="2410" w:type="dxa"/>
            <w:vMerge w:val="restart"/>
            <w:tcBorders>
              <w:right w:val="single" w:color="auto" w:sz="4" w:space="0"/>
            </w:tcBorders>
            <w:vAlign w:val="center"/>
          </w:tcPr>
          <w:p>
            <w:pPr>
              <w:pStyle w:val="280"/>
              <w:snapToGrid w:val="0"/>
              <w:spacing w:line="240" w:lineRule="auto"/>
              <w:rPr>
                <w:color w:val="auto"/>
                <w:sz w:val="21"/>
              </w:rPr>
            </w:pPr>
            <w:r>
              <w:rPr>
                <w:rFonts w:hint="eastAsia"/>
                <w:bCs/>
                <w:color w:val="auto"/>
                <w:sz w:val="21"/>
              </w:rPr>
              <w:t>对卸料斗、破碎机、脱水机、三相分离机等设备局部抽吸，同时对整体车间进行抽气，保持负压</w:t>
            </w:r>
            <w:r>
              <w:rPr>
                <w:color w:val="auto"/>
                <w:sz w:val="21"/>
              </w:rPr>
              <w:t>，采用“</w:t>
            </w:r>
            <w:r>
              <w:rPr>
                <w:rFonts w:hint="eastAsia"/>
                <w:b/>
                <w:color w:val="auto"/>
                <w:sz w:val="21"/>
              </w:rPr>
              <w:t>化学洗涤塔+光催化氧化+植物液喷淋</w:t>
            </w:r>
            <w:r>
              <w:rPr>
                <w:color w:val="auto"/>
                <w:sz w:val="21"/>
              </w:rPr>
              <w:t>”除臭技术处理</w:t>
            </w:r>
            <w:r>
              <w:rPr>
                <w:rFonts w:hint="eastAsia"/>
                <w:color w:val="auto"/>
                <w:sz w:val="21"/>
              </w:rPr>
              <w:t>达标后排放</w:t>
            </w:r>
          </w:p>
        </w:tc>
        <w:tc>
          <w:tcPr>
            <w:tcW w:w="775" w:type="dxa"/>
            <w:vMerge w:val="restart"/>
            <w:tcBorders>
              <w:right w:val="single" w:color="auto" w:sz="4" w:space="0"/>
            </w:tcBorders>
            <w:vAlign w:val="center"/>
          </w:tcPr>
          <w:p>
            <w:pPr>
              <w:pStyle w:val="280"/>
              <w:snapToGrid w:val="0"/>
              <w:spacing w:line="240" w:lineRule="auto"/>
              <w:rPr>
                <w:color w:val="auto"/>
                <w:sz w:val="21"/>
              </w:rPr>
            </w:pPr>
            <w:r>
              <w:rPr>
                <w:rFonts w:hint="eastAsia" w:eastAsiaTheme="minorEastAsia"/>
                <w:color w:val="auto"/>
                <w:sz w:val="21"/>
              </w:rPr>
              <w:t>FQ-05</w:t>
            </w:r>
          </w:p>
        </w:tc>
        <w:tc>
          <w:tcPr>
            <w:tcW w:w="1148" w:type="dxa"/>
            <w:vMerge w:val="restart"/>
            <w:tcBorders>
              <w:right w:val="single" w:color="auto" w:sz="4" w:space="0"/>
            </w:tcBorders>
            <w:vAlign w:val="center"/>
          </w:tcPr>
          <w:p>
            <w:pPr>
              <w:pStyle w:val="280"/>
              <w:snapToGrid w:val="0"/>
              <w:spacing w:line="240" w:lineRule="auto"/>
              <w:rPr>
                <w:color w:val="auto"/>
                <w:sz w:val="21"/>
              </w:rPr>
            </w:pPr>
            <w:r>
              <w:rPr>
                <w:color w:val="auto"/>
                <w:sz w:val="21"/>
              </w:rPr>
              <w:t>15m高排气筒排放</w:t>
            </w:r>
          </w:p>
        </w:tc>
        <w:tc>
          <w:tcPr>
            <w:tcW w:w="924" w:type="dxa"/>
            <w:textDirection w:val="lrTb"/>
            <w:vAlign w:val="center"/>
          </w:tcPr>
          <w:p>
            <w:pPr>
              <w:keepNext w:val="0"/>
              <w:keepLines w:val="0"/>
              <w:widowControl/>
              <w:suppressLineNumbers w:val="0"/>
              <w:jc w:val="center"/>
              <w:textAlignment w:val="bottom"/>
              <w:rPr>
                <w:color w:val="auto"/>
                <w:kern w:val="0"/>
                <w:sz w:val="21"/>
                <w:szCs w:val="21"/>
              </w:rPr>
            </w:pPr>
            <w:r>
              <w:rPr>
                <w:rFonts w:hint="default" w:ascii="Times New Roman" w:hAnsi="Times New Roman" w:eastAsia="宋体" w:cs="Times New Roman"/>
                <w:i w:val="0"/>
                <w:color w:val="auto"/>
                <w:kern w:val="0"/>
                <w:sz w:val="21"/>
                <w:szCs w:val="21"/>
                <w:u w:val="none"/>
                <w:lang w:val="en-US" w:eastAsia="zh-CN" w:bidi="ar"/>
              </w:rPr>
              <w:t>0.</w:t>
            </w:r>
            <w:r>
              <w:rPr>
                <w:rFonts w:hint="default" w:ascii="Times New Roman" w:hAnsi="Times New Roman" w:cs="Times New Roman"/>
                <w:color w:val="auto"/>
                <w:sz w:val="21"/>
                <w:szCs w:val="21"/>
                <w:lang w:val="en-US" w:eastAsia="zh-CN"/>
              </w:rPr>
              <w:t>075</w:t>
            </w:r>
          </w:p>
        </w:tc>
        <w:tc>
          <w:tcPr>
            <w:tcW w:w="854" w:type="dxa"/>
            <w:textDirection w:val="lrTb"/>
            <w:vAlign w:val="center"/>
          </w:tcPr>
          <w:p>
            <w:pPr>
              <w:keepNext w:val="0"/>
              <w:keepLines w:val="0"/>
              <w:widowControl/>
              <w:suppressLineNumbers w:val="0"/>
              <w:jc w:val="center"/>
              <w:textAlignment w:val="bottom"/>
              <w:rPr>
                <w:color w:val="auto"/>
                <w:sz w:val="21"/>
                <w:szCs w:val="21"/>
              </w:rPr>
            </w:pPr>
            <w:r>
              <w:rPr>
                <w:rFonts w:hint="default" w:ascii="Times New Roman" w:hAnsi="Times New Roman" w:eastAsia="宋体" w:cs="Times New Roman"/>
                <w:i w:val="0"/>
                <w:color w:val="auto"/>
                <w:kern w:val="0"/>
                <w:sz w:val="21"/>
                <w:szCs w:val="21"/>
                <w:u w:val="none"/>
                <w:lang w:val="en-US" w:eastAsia="zh-CN" w:bidi="ar"/>
              </w:rPr>
              <w:t>0.005</w:t>
            </w:r>
          </w:p>
        </w:tc>
        <w:tc>
          <w:tcPr>
            <w:tcW w:w="804" w:type="dxa"/>
            <w:textDirection w:val="lrTb"/>
            <w:vAlign w:val="center"/>
          </w:tcPr>
          <w:p>
            <w:pPr>
              <w:keepNext w:val="0"/>
              <w:keepLines w:val="0"/>
              <w:widowControl/>
              <w:suppressLineNumbers w:val="0"/>
              <w:jc w:val="center"/>
              <w:textAlignment w:val="bottom"/>
              <w:rPr>
                <w:color w:val="auto"/>
                <w:sz w:val="21"/>
                <w:szCs w:val="21"/>
              </w:rPr>
            </w:pPr>
            <w:r>
              <w:rPr>
                <w:rFonts w:hint="default" w:ascii="Times New Roman" w:hAnsi="Times New Roman" w:eastAsia="宋体" w:cs="Times New Roman"/>
                <w:i w:val="0"/>
                <w:color w:val="auto"/>
                <w:kern w:val="0"/>
                <w:sz w:val="21"/>
                <w:szCs w:val="21"/>
                <w:u w:val="none"/>
                <w:lang w:val="en-US" w:eastAsia="zh-CN" w:bidi="ar"/>
              </w:rPr>
              <w:t>0.014</w:t>
            </w:r>
          </w:p>
        </w:tc>
        <w:tc>
          <w:tcPr>
            <w:tcW w:w="932" w:type="dxa"/>
            <w:vMerge w:val="restart"/>
            <w:vAlign w:val="center"/>
          </w:tcPr>
          <w:p>
            <w:pPr>
              <w:pStyle w:val="280"/>
              <w:snapToGrid w:val="0"/>
              <w:spacing w:line="240" w:lineRule="auto"/>
              <w:rPr>
                <w:color w:val="auto"/>
                <w:sz w:val="21"/>
              </w:rPr>
            </w:pPr>
            <w:r>
              <w:rPr>
                <w:rFonts w:hint="eastAsia"/>
                <w:color w:val="auto"/>
                <w:sz w:val="21"/>
              </w:rPr>
              <w:t>连续</w:t>
            </w:r>
          </w:p>
        </w:tc>
        <w:tc>
          <w:tcPr>
            <w:tcW w:w="1335" w:type="dxa"/>
            <w:tcBorders>
              <w:right w:val="single" w:color="auto" w:sz="4" w:space="0"/>
            </w:tcBorders>
            <w:vAlign w:val="center"/>
          </w:tcPr>
          <w:p>
            <w:pPr>
              <w:pStyle w:val="280"/>
              <w:snapToGrid w:val="0"/>
              <w:spacing w:line="240" w:lineRule="auto"/>
              <w:rPr>
                <w:color w:val="auto"/>
                <w:sz w:val="21"/>
              </w:rPr>
            </w:pPr>
            <w:r>
              <w:rPr>
                <w:rFonts w:hint="eastAsia"/>
                <w:color w:val="auto"/>
                <w:sz w:val="21"/>
              </w:rPr>
              <w:t>4</w:t>
            </w:r>
            <w:r>
              <w:rPr>
                <w:color w:val="auto"/>
                <w:sz w:val="21"/>
              </w:rPr>
              <w:t>.9</w:t>
            </w:r>
            <w:r>
              <w:rPr>
                <w:rFonts w:hint="eastAsia"/>
                <w:color w:val="auto"/>
                <w:sz w:val="21"/>
              </w:rPr>
              <w:t>kg</w:t>
            </w:r>
            <w:r>
              <w:rPr>
                <w:color w:val="auto"/>
                <w:sz w:val="21"/>
              </w:rPr>
              <w:t>/</w:t>
            </w:r>
            <w:r>
              <w:rPr>
                <w:rFonts w:hint="eastAsia"/>
                <w:color w:val="auto"/>
                <w:sz w:val="21"/>
              </w:rPr>
              <w:t>h</w:t>
            </w:r>
          </w:p>
        </w:tc>
        <w:tc>
          <w:tcPr>
            <w:tcW w:w="2835" w:type="dxa"/>
            <w:vMerge w:val="restart"/>
            <w:tcBorders>
              <w:right w:val="nil"/>
            </w:tcBorders>
            <w:vAlign w:val="center"/>
          </w:tcPr>
          <w:p>
            <w:pPr>
              <w:pStyle w:val="280"/>
              <w:snapToGrid w:val="0"/>
              <w:spacing w:line="240" w:lineRule="auto"/>
              <w:rPr>
                <w:color w:val="auto"/>
                <w:sz w:val="21"/>
              </w:rPr>
            </w:pPr>
            <w:r>
              <w:rPr>
                <w:color w:val="auto"/>
                <w:sz w:val="21"/>
              </w:rPr>
              <w:t>《恶臭污染物排放标准》（GB14554-93）中</w:t>
            </w:r>
            <w:r>
              <w:rPr>
                <w:rFonts w:hint="eastAsia"/>
                <w:color w:val="auto"/>
                <w:sz w:val="21"/>
              </w:rPr>
              <w:t>表2恶臭污染物排放标准值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218" w:type="dxa"/>
            <w:vMerge w:val="continue"/>
            <w:vAlign w:val="center"/>
          </w:tcPr>
          <w:p>
            <w:pPr>
              <w:pStyle w:val="280"/>
              <w:snapToGrid w:val="0"/>
              <w:spacing w:line="240" w:lineRule="auto"/>
              <w:jc w:val="left"/>
              <w:rPr>
                <w:color w:val="auto"/>
                <w:sz w:val="21"/>
              </w:rPr>
            </w:pPr>
          </w:p>
        </w:tc>
        <w:tc>
          <w:tcPr>
            <w:tcW w:w="604" w:type="dxa"/>
            <w:gridSpan w:val="2"/>
            <w:vMerge w:val="continue"/>
            <w:vAlign w:val="center"/>
          </w:tcPr>
          <w:p>
            <w:pPr>
              <w:pStyle w:val="280"/>
              <w:snapToGrid w:val="0"/>
              <w:spacing w:line="240" w:lineRule="auto"/>
              <w:rPr>
                <w:color w:val="auto"/>
                <w:sz w:val="21"/>
              </w:rPr>
            </w:pPr>
          </w:p>
        </w:tc>
        <w:tc>
          <w:tcPr>
            <w:tcW w:w="1731" w:type="dxa"/>
            <w:vAlign w:val="center"/>
          </w:tcPr>
          <w:p>
            <w:pPr>
              <w:pStyle w:val="280"/>
              <w:snapToGrid w:val="0"/>
              <w:spacing w:line="240" w:lineRule="auto"/>
              <w:rPr>
                <w:color w:val="auto"/>
                <w:sz w:val="21"/>
              </w:rPr>
            </w:pPr>
            <w:r>
              <w:rPr>
                <w:rFonts w:eastAsiaTheme="minorEastAsia"/>
                <w:color w:val="auto"/>
                <w:sz w:val="21"/>
              </w:rPr>
              <w:t>NH</w:t>
            </w:r>
            <w:r>
              <w:rPr>
                <w:rFonts w:eastAsiaTheme="minorEastAsia"/>
                <w:color w:val="auto"/>
                <w:sz w:val="21"/>
                <w:vertAlign w:val="subscript"/>
              </w:rPr>
              <w:t>3</w:t>
            </w:r>
          </w:p>
        </w:tc>
        <w:tc>
          <w:tcPr>
            <w:tcW w:w="2410" w:type="dxa"/>
            <w:vMerge w:val="continue"/>
            <w:tcBorders>
              <w:right w:val="single" w:color="auto" w:sz="4" w:space="0"/>
            </w:tcBorders>
            <w:vAlign w:val="center"/>
          </w:tcPr>
          <w:p>
            <w:pPr>
              <w:pStyle w:val="280"/>
              <w:snapToGrid w:val="0"/>
              <w:spacing w:line="240" w:lineRule="auto"/>
              <w:rPr>
                <w:color w:val="auto"/>
                <w:sz w:val="21"/>
              </w:rPr>
            </w:pPr>
          </w:p>
        </w:tc>
        <w:tc>
          <w:tcPr>
            <w:tcW w:w="775" w:type="dxa"/>
            <w:vMerge w:val="continue"/>
            <w:tcBorders>
              <w:right w:val="single" w:color="auto" w:sz="4" w:space="0"/>
            </w:tcBorders>
            <w:vAlign w:val="center"/>
          </w:tcPr>
          <w:p>
            <w:pPr>
              <w:pStyle w:val="280"/>
              <w:snapToGrid w:val="0"/>
              <w:spacing w:line="240" w:lineRule="auto"/>
              <w:rPr>
                <w:color w:val="auto"/>
                <w:sz w:val="21"/>
              </w:rPr>
            </w:pPr>
          </w:p>
        </w:tc>
        <w:tc>
          <w:tcPr>
            <w:tcW w:w="1148" w:type="dxa"/>
            <w:vMerge w:val="continue"/>
            <w:tcBorders>
              <w:right w:val="single" w:color="auto" w:sz="4" w:space="0"/>
            </w:tcBorders>
            <w:vAlign w:val="center"/>
          </w:tcPr>
          <w:p>
            <w:pPr>
              <w:pStyle w:val="280"/>
              <w:snapToGrid w:val="0"/>
              <w:spacing w:line="240" w:lineRule="auto"/>
              <w:rPr>
                <w:color w:val="auto"/>
                <w:sz w:val="21"/>
              </w:rPr>
            </w:pPr>
          </w:p>
        </w:tc>
        <w:tc>
          <w:tcPr>
            <w:tcW w:w="924" w:type="dxa"/>
            <w:textDirection w:val="lrTb"/>
            <w:vAlign w:val="center"/>
          </w:tcPr>
          <w:p>
            <w:pPr>
              <w:keepNext w:val="0"/>
              <w:keepLines w:val="0"/>
              <w:widowControl/>
              <w:suppressLineNumbers w:val="0"/>
              <w:jc w:val="center"/>
              <w:textAlignment w:val="bottom"/>
              <w:rPr>
                <w:color w:val="auto"/>
                <w:kern w:val="0"/>
                <w:sz w:val="21"/>
                <w:szCs w:val="21"/>
              </w:rPr>
            </w:pPr>
            <w:r>
              <w:rPr>
                <w:rFonts w:hint="default" w:ascii="Times New Roman" w:hAnsi="Times New Roman" w:eastAsia="宋体" w:cs="Times New Roman"/>
                <w:i w:val="0"/>
                <w:color w:val="auto"/>
                <w:kern w:val="0"/>
                <w:sz w:val="21"/>
                <w:szCs w:val="21"/>
                <w:u w:val="none"/>
                <w:lang w:val="en-US" w:eastAsia="zh-CN" w:bidi="ar"/>
              </w:rPr>
              <w:t>0.132</w:t>
            </w:r>
          </w:p>
        </w:tc>
        <w:tc>
          <w:tcPr>
            <w:tcW w:w="854" w:type="dxa"/>
            <w:textDirection w:val="lrTb"/>
            <w:vAlign w:val="center"/>
          </w:tcPr>
          <w:p>
            <w:pPr>
              <w:keepNext w:val="0"/>
              <w:keepLines w:val="0"/>
              <w:widowControl/>
              <w:suppressLineNumbers w:val="0"/>
              <w:jc w:val="center"/>
              <w:textAlignment w:val="bottom"/>
              <w:rPr>
                <w:color w:val="auto"/>
                <w:sz w:val="21"/>
                <w:szCs w:val="21"/>
              </w:rPr>
            </w:pPr>
            <w:r>
              <w:rPr>
                <w:rFonts w:hint="default" w:ascii="Times New Roman" w:hAnsi="Times New Roman" w:eastAsia="宋体" w:cs="Times New Roman"/>
                <w:i w:val="0"/>
                <w:color w:val="auto"/>
                <w:kern w:val="0"/>
                <w:sz w:val="21"/>
                <w:szCs w:val="21"/>
                <w:u w:val="none"/>
                <w:lang w:val="en-US" w:eastAsia="zh-CN" w:bidi="ar"/>
              </w:rPr>
              <w:t>0.009</w:t>
            </w:r>
          </w:p>
        </w:tc>
        <w:tc>
          <w:tcPr>
            <w:tcW w:w="804" w:type="dxa"/>
            <w:textDirection w:val="lrTb"/>
            <w:vAlign w:val="center"/>
          </w:tcPr>
          <w:p>
            <w:pPr>
              <w:keepNext w:val="0"/>
              <w:keepLines w:val="0"/>
              <w:widowControl/>
              <w:suppressLineNumbers w:val="0"/>
              <w:jc w:val="center"/>
              <w:textAlignment w:val="bottom"/>
              <w:rPr>
                <w:color w:val="auto"/>
                <w:sz w:val="21"/>
                <w:szCs w:val="21"/>
              </w:rPr>
            </w:pPr>
            <w:r>
              <w:rPr>
                <w:rFonts w:hint="default" w:ascii="Times New Roman" w:hAnsi="Times New Roman" w:eastAsia="宋体" w:cs="Times New Roman"/>
                <w:i w:val="0"/>
                <w:color w:val="auto"/>
                <w:kern w:val="0"/>
                <w:sz w:val="21"/>
                <w:szCs w:val="21"/>
                <w:u w:val="none"/>
                <w:lang w:val="en-US" w:eastAsia="zh-CN" w:bidi="ar"/>
              </w:rPr>
              <w:t>0.025</w:t>
            </w:r>
          </w:p>
        </w:tc>
        <w:tc>
          <w:tcPr>
            <w:tcW w:w="932" w:type="dxa"/>
            <w:vMerge w:val="continue"/>
            <w:vAlign w:val="center"/>
          </w:tcPr>
          <w:p>
            <w:pPr>
              <w:pStyle w:val="280"/>
              <w:snapToGrid w:val="0"/>
              <w:spacing w:line="240" w:lineRule="auto"/>
              <w:rPr>
                <w:color w:val="auto"/>
                <w:sz w:val="21"/>
              </w:rPr>
            </w:pPr>
          </w:p>
        </w:tc>
        <w:tc>
          <w:tcPr>
            <w:tcW w:w="1335" w:type="dxa"/>
            <w:tcBorders>
              <w:right w:val="single" w:color="auto" w:sz="4" w:space="0"/>
            </w:tcBorders>
            <w:vAlign w:val="center"/>
          </w:tcPr>
          <w:p>
            <w:pPr>
              <w:pStyle w:val="280"/>
              <w:snapToGrid w:val="0"/>
              <w:spacing w:line="240" w:lineRule="auto"/>
              <w:rPr>
                <w:color w:val="auto"/>
                <w:sz w:val="21"/>
              </w:rPr>
            </w:pPr>
            <w:r>
              <w:rPr>
                <w:rFonts w:hint="eastAsia"/>
                <w:color w:val="auto"/>
                <w:sz w:val="21"/>
              </w:rPr>
              <w:t>0</w:t>
            </w:r>
            <w:r>
              <w:rPr>
                <w:color w:val="auto"/>
                <w:sz w:val="21"/>
              </w:rPr>
              <w:t>.33</w:t>
            </w:r>
            <w:r>
              <w:rPr>
                <w:rFonts w:hint="eastAsia"/>
                <w:color w:val="auto"/>
                <w:sz w:val="21"/>
              </w:rPr>
              <w:t>kg</w:t>
            </w:r>
            <w:r>
              <w:rPr>
                <w:color w:val="auto"/>
                <w:sz w:val="21"/>
              </w:rPr>
              <w:t>/</w:t>
            </w:r>
            <w:r>
              <w:rPr>
                <w:rFonts w:hint="eastAsia"/>
                <w:color w:val="auto"/>
                <w:sz w:val="21"/>
              </w:rPr>
              <w:t>h</w:t>
            </w:r>
          </w:p>
        </w:tc>
        <w:tc>
          <w:tcPr>
            <w:tcW w:w="2835" w:type="dxa"/>
            <w:vMerge w:val="continue"/>
            <w:tcBorders>
              <w:right w:val="nil"/>
            </w:tcBorders>
            <w:vAlign w:val="center"/>
          </w:tcPr>
          <w:p>
            <w:pPr>
              <w:pStyle w:val="280"/>
              <w:snapToGrid w:val="0"/>
              <w:spacing w:line="240" w:lineRule="auto"/>
              <w:rPr>
                <w:color w:val="auto"/>
                <w:sz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218" w:type="dxa"/>
            <w:vMerge w:val="continue"/>
            <w:vAlign w:val="center"/>
          </w:tcPr>
          <w:p>
            <w:pPr>
              <w:pStyle w:val="280"/>
              <w:snapToGrid w:val="0"/>
              <w:spacing w:line="240" w:lineRule="auto"/>
              <w:rPr>
                <w:color w:val="auto"/>
                <w:sz w:val="21"/>
              </w:rPr>
            </w:pPr>
          </w:p>
        </w:tc>
        <w:tc>
          <w:tcPr>
            <w:tcW w:w="604" w:type="dxa"/>
            <w:gridSpan w:val="2"/>
            <w:vAlign w:val="center"/>
          </w:tcPr>
          <w:p>
            <w:pPr>
              <w:pStyle w:val="280"/>
              <w:snapToGrid w:val="0"/>
              <w:spacing w:line="240" w:lineRule="auto"/>
              <w:rPr>
                <w:color w:val="auto"/>
                <w:sz w:val="21"/>
              </w:rPr>
            </w:pPr>
            <w:r>
              <w:rPr>
                <w:rFonts w:hint="eastAsia"/>
                <w:color w:val="auto"/>
                <w:sz w:val="21"/>
              </w:rPr>
              <w:t>车辆卸车扬尘</w:t>
            </w:r>
          </w:p>
        </w:tc>
        <w:tc>
          <w:tcPr>
            <w:tcW w:w="1731" w:type="dxa"/>
            <w:vAlign w:val="center"/>
          </w:tcPr>
          <w:p>
            <w:pPr>
              <w:pStyle w:val="280"/>
              <w:snapToGrid w:val="0"/>
              <w:spacing w:line="240" w:lineRule="auto"/>
              <w:rPr>
                <w:color w:val="auto"/>
                <w:sz w:val="21"/>
              </w:rPr>
            </w:pPr>
            <w:r>
              <w:rPr>
                <w:rFonts w:hint="eastAsia"/>
                <w:color w:val="auto"/>
                <w:sz w:val="21"/>
              </w:rPr>
              <w:t>颗粒物</w:t>
            </w:r>
          </w:p>
        </w:tc>
        <w:tc>
          <w:tcPr>
            <w:tcW w:w="2410" w:type="dxa"/>
            <w:tcBorders>
              <w:right w:val="single" w:color="auto" w:sz="4" w:space="0"/>
            </w:tcBorders>
            <w:vAlign w:val="center"/>
          </w:tcPr>
          <w:p>
            <w:pPr>
              <w:pStyle w:val="280"/>
              <w:snapToGrid w:val="0"/>
              <w:spacing w:line="240" w:lineRule="auto"/>
              <w:rPr>
                <w:color w:val="auto"/>
                <w:sz w:val="21"/>
              </w:rPr>
            </w:pPr>
            <w:r>
              <w:rPr>
                <w:rFonts w:hint="eastAsia"/>
                <w:color w:val="auto"/>
                <w:sz w:val="21"/>
              </w:rPr>
              <w:t>降低倾倒高度，卸车时及时洒水</w:t>
            </w:r>
          </w:p>
        </w:tc>
        <w:tc>
          <w:tcPr>
            <w:tcW w:w="775" w:type="dxa"/>
            <w:tcBorders>
              <w:right w:val="single" w:color="auto" w:sz="4" w:space="0"/>
            </w:tcBorders>
            <w:vAlign w:val="center"/>
          </w:tcPr>
          <w:p>
            <w:pPr>
              <w:pStyle w:val="280"/>
              <w:snapToGrid w:val="0"/>
              <w:spacing w:line="240" w:lineRule="auto"/>
              <w:rPr>
                <w:color w:val="auto"/>
                <w:sz w:val="21"/>
              </w:rPr>
            </w:pPr>
            <w:r>
              <w:rPr>
                <w:color w:val="auto"/>
                <w:sz w:val="21"/>
              </w:rPr>
              <w:t>/</w:t>
            </w:r>
          </w:p>
        </w:tc>
        <w:tc>
          <w:tcPr>
            <w:tcW w:w="1148" w:type="dxa"/>
            <w:tcBorders>
              <w:right w:val="single" w:color="auto" w:sz="4" w:space="0"/>
            </w:tcBorders>
            <w:vAlign w:val="center"/>
          </w:tcPr>
          <w:p>
            <w:pPr>
              <w:pStyle w:val="280"/>
              <w:snapToGrid w:val="0"/>
              <w:spacing w:line="240" w:lineRule="auto"/>
              <w:rPr>
                <w:color w:val="auto"/>
                <w:sz w:val="21"/>
              </w:rPr>
            </w:pPr>
            <w:r>
              <w:rPr>
                <w:color w:val="auto"/>
                <w:sz w:val="21"/>
              </w:rPr>
              <w:t>/</w:t>
            </w:r>
          </w:p>
        </w:tc>
        <w:tc>
          <w:tcPr>
            <w:tcW w:w="924" w:type="dxa"/>
            <w:vAlign w:val="center"/>
          </w:tcPr>
          <w:p>
            <w:pPr>
              <w:pStyle w:val="280"/>
              <w:snapToGrid w:val="0"/>
              <w:spacing w:line="240" w:lineRule="auto"/>
              <w:rPr>
                <w:color w:val="auto"/>
                <w:sz w:val="21"/>
              </w:rPr>
            </w:pPr>
            <w:r>
              <w:rPr>
                <w:color w:val="auto"/>
                <w:sz w:val="21"/>
              </w:rPr>
              <w:t>/</w:t>
            </w:r>
          </w:p>
        </w:tc>
        <w:tc>
          <w:tcPr>
            <w:tcW w:w="854" w:type="dxa"/>
            <w:vAlign w:val="center"/>
          </w:tcPr>
          <w:p>
            <w:pPr>
              <w:pStyle w:val="280"/>
              <w:snapToGrid w:val="0"/>
              <w:spacing w:line="240" w:lineRule="auto"/>
              <w:rPr>
                <w:rFonts w:hint="eastAsia" w:eastAsia="宋体"/>
                <w:color w:val="auto"/>
                <w:sz w:val="21"/>
                <w:lang w:eastAsia="zh-CN"/>
              </w:rPr>
            </w:pPr>
            <w:r>
              <w:rPr>
                <w:rFonts w:hint="eastAsia"/>
                <w:color w:val="auto"/>
                <w:sz w:val="21"/>
                <w:lang w:val="en-US" w:eastAsia="zh-CN"/>
              </w:rPr>
              <w:t>1.73</w:t>
            </w:r>
          </w:p>
        </w:tc>
        <w:tc>
          <w:tcPr>
            <w:tcW w:w="804" w:type="dxa"/>
            <w:vAlign w:val="center"/>
          </w:tcPr>
          <w:p>
            <w:pPr>
              <w:pStyle w:val="280"/>
              <w:snapToGrid w:val="0"/>
              <w:spacing w:line="240" w:lineRule="auto"/>
              <w:rPr>
                <w:rFonts w:hint="eastAsia" w:eastAsia="宋体"/>
                <w:color w:val="auto"/>
                <w:sz w:val="21"/>
                <w:lang w:eastAsia="zh-CN"/>
              </w:rPr>
            </w:pPr>
            <w:r>
              <w:rPr>
                <w:rFonts w:hint="eastAsia"/>
                <w:color w:val="auto"/>
                <w:sz w:val="21"/>
                <w:lang w:val="en-US" w:eastAsia="zh-CN"/>
              </w:rPr>
              <w:t>2.07</w:t>
            </w:r>
          </w:p>
        </w:tc>
        <w:tc>
          <w:tcPr>
            <w:tcW w:w="932" w:type="dxa"/>
            <w:vAlign w:val="center"/>
          </w:tcPr>
          <w:p>
            <w:pPr>
              <w:pStyle w:val="280"/>
              <w:snapToGrid w:val="0"/>
              <w:spacing w:line="240" w:lineRule="auto"/>
              <w:rPr>
                <w:color w:val="auto"/>
                <w:sz w:val="21"/>
              </w:rPr>
            </w:pPr>
            <w:r>
              <w:rPr>
                <w:rFonts w:hint="eastAsia"/>
                <w:color w:val="auto"/>
                <w:sz w:val="21"/>
              </w:rPr>
              <w:t>间断</w:t>
            </w:r>
            <w:r>
              <w:rPr>
                <w:color w:val="auto"/>
                <w:sz w:val="21"/>
              </w:rPr>
              <w:t>排放大气</w:t>
            </w:r>
          </w:p>
        </w:tc>
        <w:tc>
          <w:tcPr>
            <w:tcW w:w="1335" w:type="dxa"/>
            <w:tcBorders>
              <w:right w:val="single" w:color="auto" w:sz="4" w:space="0"/>
            </w:tcBorders>
            <w:vAlign w:val="center"/>
          </w:tcPr>
          <w:p>
            <w:pPr>
              <w:pStyle w:val="280"/>
              <w:snapToGrid w:val="0"/>
              <w:spacing w:line="240" w:lineRule="auto"/>
              <w:rPr>
                <w:color w:val="auto"/>
                <w:sz w:val="21"/>
              </w:rPr>
            </w:pPr>
            <w:r>
              <w:rPr>
                <w:color w:val="auto"/>
                <w:sz w:val="21"/>
              </w:rPr>
              <w:t>1.0</w:t>
            </w:r>
          </w:p>
        </w:tc>
        <w:tc>
          <w:tcPr>
            <w:tcW w:w="2835" w:type="dxa"/>
            <w:vMerge w:val="restart"/>
            <w:tcBorders>
              <w:right w:val="nil"/>
            </w:tcBorders>
            <w:vAlign w:val="center"/>
          </w:tcPr>
          <w:p>
            <w:pPr>
              <w:pStyle w:val="280"/>
              <w:snapToGrid w:val="0"/>
              <w:spacing w:line="240" w:lineRule="auto"/>
              <w:rPr>
                <w:color w:val="auto"/>
                <w:sz w:val="21"/>
              </w:rPr>
            </w:pPr>
            <w:r>
              <w:rPr>
                <w:rFonts w:hint="eastAsia"/>
                <w:color w:val="auto"/>
                <w:sz w:val="21"/>
              </w:rPr>
              <w:t>广东省</w:t>
            </w:r>
            <w:r>
              <w:rPr>
                <w:color w:val="auto"/>
                <w:sz w:val="21"/>
              </w:rPr>
              <w:t>《大气污染物排放限值》（DB44/T27-2001）</w:t>
            </w:r>
            <w:r>
              <w:rPr>
                <w:rFonts w:hint="eastAsia"/>
                <w:color w:val="auto"/>
                <w:sz w:val="21"/>
              </w:rPr>
              <w:t>表2中无组织排放浓度限值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218" w:type="dxa"/>
            <w:vMerge w:val="continue"/>
            <w:vAlign w:val="center"/>
          </w:tcPr>
          <w:p>
            <w:pPr>
              <w:pStyle w:val="280"/>
              <w:snapToGrid w:val="0"/>
              <w:spacing w:line="240" w:lineRule="auto"/>
              <w:rPr>
                <w:color w:val="auto"/>
                <w:sz w:val="21"/>
              </w:rPr>
            </w:pPr>
          </w:p>
        </w:tc>
        <w:tc>
          <w:tcPr>
            <w:tcW w:w="604" w:type="dxa"/>
            <w:gridSpan w:val="2"/>
            <w:vAlign w:val="center"/>
          </w:tcPr>
          <w:p>
            <w:pPr>
              <w:pStyle w:val="280"/>
              <w:snapToGrid w:val="0"/>
              <w:spacing w:line="240" w:lineRule="auto"/>
              <w:rPr>
                <w:color w:val="auto"/>
                <w:sz w:val="21"/>
              </w:rPr>
            </w:pPr>
            <w:r>
              <w:rPr>
                <w:rFonts w:hint="eastAsia"/>
                <w:color w:val="auto"/>
                <w:sz w:val="21"/>
              </w:rPr>
              <w:t>填埋场堆料扬尘</w:t>
            </w:r>
          </w:p>
        </w:tc>
        <w:tc>
          <w:tcPr>
            <w:tcW w:w="1731" w:type="dxa"/>
            <w:vAlign w:val="center"/>
          </w:tcPr>
          <w:p>
            <w:pPr>
              <w:pStyle w:val="280"/>
              <w:snapToGrid w:val="0"/>
              <w:spacing w:line="240" w:lineRule="auto"/>
              <w:rPr>
                <w:color w:val="auto"/>
                <w:sz w:val="21"/>
              </w:rPr>
            </w:pPr>
            <w:r>
              <w:rPr>
                <w:rFonts w:hint="eastAsia"/>
                <w:color w:val="auto"/>
                <w:sz w:val="21"/>
              </w:rPr>
              <w:t>颗粒物</w:t>
            </w:r>
          </w:p>
        </w:tc>
        <w:tc>
          <w:tcPr>
            <w:tcW w:w="2410" w:type="dxa"/>
            <w:tcBorders>
              <w:right w:val="single" w:color="auto" w:sz="4" w:space="0"/>
            </w:tcBorders>
            <w:vAlign w:val="center"/>
          </w:tcPr>
          <w:p>
            <w:pPr>
              <w:pStyle w:val="280"/>
              <w:snapToGrid w:val="0"/>
              <w:spacing w:line="240" w:lineRule="auto"/>
              <w:rPr>
                <w:color w:val="auto"/>
                <w:sz w:val="21"/>
              </w:rPr>
            </w:pPr>
            <w:r>
              <w:rPr>
                <w:rFonts w:hint="eastAsia"/>
                <w:color w:val="auto"/>
                <w:sz w:val="21"/>
              </w:rPr>
              <w:t>定期洒水抑尘，及时覆盖</w:t>
            </w:r>
          </w:p>
        </w:tc>
        <w:tc>
          <w:tcPr>
            <w:tcW w:w="775" w:type="dxa"/>
            <w:tcBorders>
              <w:right w:val="single" w:color="auto" w:sz="4" w:space="0"/>
            </w:tcBorders>
            <w:vAlign w:val="center"/>
          </w:tcPr>
          <w:p>
            <w:pPr>
              <w:pStyle w:val="280"/>
              <w:snapToGrid w:val="0"/>
              <w:spacing w:line="240" w:lineRule="auto"/>
              <w:rPr>
                <w:color w:val="auto"/>
                <w:sz w:val="21"/>
              </w:rPr>
            </w:pPr>
            <w:r>
              <w:rPr>
                <w:color w:val="auto"/>
                <w:sz w:val="21"/>
              </w:rPr>
              <w:t>/</w:t>
            </w:r>
          </w:p>
        </w:tc>
        <w:tc>
          <w:tcPr>
            <w:tcW w:w="1148" w:type="dxa"/>
            <w:tcBorders>
              <w:right w:val="single" w:color="auto" w:sz="4" w:space="0"/>
            </w:tcBorders>
            <w:vAlign w:val="center"/>
          </w:tcPr>
          <w:p>
            <w:pPr>
              <w:pStyle w:val="280"/>
              <w:snapToGrid w:val="0"/>
              <w:spacing w:line="240" w:lineRule="auto"/>
              <w:rPr>
                <w:color w:val="auto"/>
                <w:sz w:val="21"/>
              </w:rPr>
            </w:pPr>
            <w:r>
              <w:rPr>
                <w:color w:val="auto"/>
                <w:sz w:val="21"/>
              </w:rPr>
              <w:t>/</w:t>
            </w:r>
          </w:p>
        </w:tc>
        <w:tc>
          <w:tcPr>
            <w:tcW w:w="924" w:type="dxa"/>
            <w:vAlign w:val="center"/>
          </w:tcPr>
          <w:p>
            <w:pPr>
              <w:pStyle w:val="280"/>
              <w:snapToGrid w:val="0"/>
              <w:spacing w:line="240" w:lineRule="auto"/>
              <w:rPr>
                <w:color w:val="auto"/>
                <w:sz w:val="21"/>
              </w:rPr>
            </w:pPr>
            <w:r>
              <w:rPr>
                <w:color w:val="auto"/>
                <w:sz w:val="21"/>
              </w:rPr>
              <w:t>/</w:t>
            </w:r>
          </w:p>
        </w:tc>
        <w:tc>
          <w:tcPr>
            <w:tcW w:w="854" w:type="dxa"/>
            <w:vAlign w:val="center"/>
          </w:tcPr>
          <w:p>
            <w:pPr>
              <w:pStyle w:val="280"/>
              <w:snapToGrid w:val="0"/>
              <w:spacing w:line="240" w:lineRule="auto"/>
              <w:rPr>
                <w:color w:val="auto"/>
                <w:sz w:val="21"/>
              </w:rPr>
            </w:pPr>
            <w:r>
              <w:rPr>
                <w:color w:val="auto"/>
                <w:sz w:val="21"/>
              </w:rPr>
              <w:t>0.1</w:t>
            </w:r>
            <w:r>
              <w:rPr>
                <w:rFonts w:hint="eastAsia"/>
                <w:color w:val="auto"/>
                <w:sz w:val="21"/>
              </w:rPr>
              <w:t>36</w:t>
            </w:r>
          </w:p>
        </w:tc>
        <w:tc>
          <w:tcPr>
            <w:tcW w:w="804" w:type="dxa"/>
            <w:vAlign w:val="center"/>
          </w:tcPr>
          <w:p>
            <w:pPr>
              <w:pStyle w:val="280"/>
              <w:snapToGrid w:val="0"/>
              <w:spacing w:line="240" w:lineRule="auto"/>
              <w:rPr>
                <w:color w:val="auto"/>
                <w:sz w:val="21"/>
              </w:rPr>
            </w:pPr>
            <w:r>
              <w:rPr>
                <w:color w:val="auto"/>
                <w:sz w:val="21"/>
              </w:rPr>
              <w:t>1.191</w:t>
            </w:r>
          </w:p>
        </w:tc>
        <w:tc>
          <w:tcPr>
            <w:tcW w:w="932" w:type="dxa"/>
            <w:vAlign w:val="center"/>
          </w:tcPr>
          <w:p>
            <w:pPr>
              <w:pStyle w:val="280"/>
              <w:snapToGrid w:val="0"/>
              <w:spacing w:line="240" w:lineRule="auto"/>
              <w:rPr>
                <w:color w:val="auto"/>
                <w:sz w:val="21"/>
              </w:rPr>
            </w:pPr>
            <w:r>
              <w:rPr>
                <w:color w:val="auto"/>
                <w:sz w:val="21"/>
              </w:rPr>
              <w:t>连续排放大气</w:t>
            </w:r>
          </w:p>
        </w:tc>
        <w:tc>
          <w:tcPr>
            <w:tcW w:w="1335" w:type="dxa"/>
            <w:tcBorders>
              <w:right w:val="single" w:color="auto" w:sz="4" w:space="0"/>
            </w:tcBorders>
            <w:vAlign w:val="center"/>
          </w:tcPr>
          <w:p>
            <w:pPr>
              <w:pStyle w:val="280"/>
              <w:snapToGrid w:val="0"/>
              <w:spacing w:line="240" w:lineRule="auto"/>
              <w:rPr>
                <w:color w:val="auto"/>
                <w:sz w:val="21"/>
              </w:rPr>
            </w:pPr>
            <w:r>
              <w:rPr>
                <w:color w:val="auto"/>
                <w:sz w:val="21"/>
              </w:rPr>
              <w:t>1.0</w:t>
            </w:r>
          </w:p>
        </w:tc>
        <w:tc>
          <w:tcPr>
            <w:tcW w:w="2835" w:type="dxa"/>
            <w:vMerge w:val="continue"/>
            <w:tcBorders>
              <w:right w:val="nil"/>
            </w:tcBorders>
            <w:vAlign w:val="center"/>
          </w:tcPr>
          <w:p>
            <w:pPr>
              <w:pStyle w:val="280"/>
              <w:snapToGrid w:val="0"/>
              <w:spacing w:line="240" w:lineRule="auto"/>
              <w:rPr>
                <w:color w:val="auto"/>
                <w:sz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218" w:type="dxa"/>
            <w:vMerge w:val="continue"/>
            <w:vAlign w:val="center"/>
          </w:tcPr>
          <w:p>
            <w:pPr>
              <w:pStyle w:val="280"/>
              <w:snapToGrid w:val="0"/>
              <w:spacing w:line="240" w:lineRule="auto"/>
              <w:rPr>
                <w:color w:val="auto"/>
                <w:sz w:val="21"/>
              </w:rPr>
            </w:pPr>
          </w:p>
        </w:tc>
        <w:tc>
          <w:tcPr>
            <w:tcW w:w="604" w:type="dxa"/>
            <w:gridSpan w:val="2"/>
            <w:vAlign w:val="center"/>
          </w:tcPr>
          <w:p>
            <w:pPr>
              <w:pStyle w:val="280"/>
              <w:snapToGrid w:val="0"/>
              <w:spacing w:line="240" w:lineRule="auto"/>
              <w:rPr>
                <w:color w:val="auto"/>
                <w:sz w:val="21"/>
              </w:rPr>
            </w:pPr>
            <w:r>
              <w:rPr>
                <w:rFonts w:hint="eastAsia"/>
                <w:color w:val="auto"/>
                <w:sz w:val="21"/>
              </w:rPr>
              <w:t>车辆运输扬尘</w:t>
            </w:r>
          </w:p>
        </w:tc>
        <w:tc>
          <w:tcPr>
            <w:tcW w:w="1731" w:type="dxa"/>
            <w:vAlign w:val="center"/>
          </w:tcPr>
          <w:p>
            <w:pPr>
              <w:pStyle w:val="280"/>
              <w:snapToGrid w:val="0"/>
              <w:spacing w:line="240" w:lineRule="auto"/>
              <w:rPr>
                <w:color w:val="auto"/>
                <w:sz w:val="21"/>
              </w:rPr>
            </w:pPr>
            <w:r>
              <w:rPr>
                <w:rFonts w:hint="eastAsia"/>
                <w:color w:val="auto"/>
                <w:sz w:val="21"/>
              </w:rPr>
              <w:t>颗粒物</w:t>
            </w:r>
          </w:p>
        </w:tc>
        <w:tc>
          <w:tcPr>
            <w:tcW w:w="2410" w:type="dxa"/>
            <w:tcBorders>
              <w:right w:val="single" w:color="auto" w:sz="4" w:space="0"/>
            </w:tcBorders>
            <w:vAlign w:val="center"/>
          </w:tcPr>
          <w:p>
            <w:pPr>
              <w:pStyle w:val="280"/>
              <w:snapToGrid w:val="0"/>
              <w:spacing w:line="240" w:lineRule="auto"/>
              <w:rPr>
                <w:color w:val="auto"/>
                <w:sz w:val="21"/>
              </w:rPr>
            </w:pPr>
            <w:r>
              <w:rPr>
                <w:rFonts w:hint="eastAsia"/>
                <w:color w:val="auto"/>
                <w:sz w:val="21"/>
              </w:rPr>
              <w:t>车辆采取全封闭，限制汽车超载，对厂内道路进行清扫和洒水，道路两侧进行绿化</w:t>
            </w:r>
          </w:p>
        </w:tc>
        <w:tc>
          <w:tcPr>
            <w:tcW w:w="775" w:type="dxa"/>
            <w:tcBorders>
              <w:right w:val="single" w:color="auto" w:sz="4" w:space="0"/>
            </w:tcBorders>
            <w:vAlign w:val="center"/>
          </w:tcPr>
          <w:p>
            <w:pPr>
              <w:pStyle w:val="280"/>
              <w:snapToGrid w:val="0"/>
              <w:spacing w:line="240" w:lineRule="auto"/>
              <w:rPr>
                <w:color w:val="auto"/>
                <w:sz w:val="21"/>
              </w:rPr>
            </w:pPr>
            <w:r>
              <w:rPr>
                <w:color w:val="auto"/>
                <w:sz w:val="21"/>
              </w:rPr>
              <w:t>/</w:t>
            </w:r>
          </w:p>
        </w:tc>
        <w:tc>
          <w:tcPr>
            <w:tcW w:w="1148" w:type="dxa"/>
            <w:tcBorders>
              <w:right w:val="single" w:color="auto" w:sz="4" w:space="0"/>
            </w:tcBorders>
            <w:vAlign w:val="center"/>
          </w:tcPr>
          <w:p>
            <w:pPr>
              <w:pStyle w:val="280"/>
              <w:snapToGrid w:val="0"/>
              <w:spacing w:line="240" w:lineRule="auto"/>
              <w:rPr>
                <w:color w:val="auto"/>
                <w:sz w:val="21"/>
              </w:rPr>
            </w:pPr>
            <w:r>
              <w:rPr>
                <w:color w:val="auto"/>
                <w:sz w:val="21"/>
              </w:rPr>
              <w:t>/</w:t>
            </w:r>
          </w:p>
        </w:tc>
        <w:tc>
          <w:tcPr>
            <w:tcW w:w="924" w:type="dxa"/>
            <w:vAlign w:val="center"/>
          </w:tcPr>
          <w:p>
            <w:pPr>
              <w:pStyle w:val="280"/>
              <w:snapToGrid w:val="0"/>
              <w:spacing w:line="240" w:lineRule="auto"/>
              <w:rPr>
                <w:color w:val="auto"/>
                <w:sz w:val="21"/>
              </w:rPr>
            </w:pPr>
            <w:r>
              <w:rPr>
                <w:color w:val="auto"/>
                <w:sz w:val="21"/>
              </w:rPr>
              <w:t>/</w:t>
            </w:r>
          </w:p>
        </w:tc>
        <w:tc>
          <w:tcPr>
            <w:tcW w:w="854" w:type="dxa"/>
            <w:vAlign w:val="center"/>
          </w:tcPr>
          <w:p>
            <w:pPr>
              <w:pStyle w:val="280"/>
              <w:snapToGrid w:val="0"/>
              <w:spacing w:line="240" w:lineRule="auto"/>
              <w:rPr>
                <w:color w:val="auto"/>
                <w:sz w:val="21"/>
              </w:rPr>
            </w:pPr>
            <w:r>
              <w:rPr>
                <w:color w:val="auto"/>
                <w:sz w:val="21"/>
              </w:rPr>
              <w:t>0.2</w:t>
            </w:r>
          </w:p>
        </w:tc>
        <w:tc>
          <w:tcPr>
            <w:tcW w:w="804" w:type="dxa"/>
            <w:vAlign w:val="center"/>
          </w:tcPr>
          <w:p>
            <w:pPr>
              <w:pStyle w:val="280"/>
              <w:snapToGrid w:val="0"/>
              <w:spacing w:line="240" w:lineRule="auto"/>
              <w:rPr>
                <w:color w:val="auto"/>
                <w:sz w:val="21"/>
              </w:rPr>
            </w:pPr>
            <w:r>
              <w:rPr>
                <w:color w:val="auto"/>
                <w:sz w:val="21"/>
              </w:rPr>
              <w:t>0.24</w:t>
            </w:r>
          </w:p>
        </w:tc>
        <w:tc>
          <w:tcPr>
            <w:tcW w:w="932" w:type="dxa"/>
            <w:vAlign w:val="center"/>
          </w:tcPr>
          <w:p>
            <w:pPr>
              <w:pStyle w:val="280"/>
              <w:snapToGrid w:val="0"/>
              <w:spacing w:line="240" w:lineRule="auto"/>
              <w:rPr>
                <w:color w:val="auto"/>
                <w:sz w:val="21"/>
              </w:rPr>
            </w:pPr>
            <w:r>
              <w:rPr>
                <w:color w:val="auto"/>
                <w:sz w:val="21"/>
              </w:rPr>
              <w:t>间歇排放大气</w:t>
            </w:r>
          </w:p>
        </w:tc>
        <w:tc>
          <w:tcPr>
            <w:tcW w:w="1335" w:type="dxa"/>
            <w:tcBorders>
              <w:right w:val="single" w:color="auto" w:sz="4" w:space="0"/>
            </w:tcBorders>
            <w:vAlign w:val="center"/>
          </w:tcPr>
          <w:p>
            <w:pPr>
              <w:pStyle w:val="280"/>
              <w:snapToGrid w:val="0"/>
              <w:spacing w:line="240" w:lineRule="auto"/>
              <w:rPr>
                <w:color w:val="auto"/>
                <w:sz w:val="21"/>
              </w:rPr>
            </w:pPr>
            <w:r>
              <w:rPr>
                <w:color w:val="auto"/>
                <w:sz w:val="21"/>
              </w:rPr>
              <w:t>1.0</w:t>
            </w:r>
          </w:p>
        </w:tc>
        <w:tc>
          <w:tcPr>
            <w:tcW w:w="2835" w:type="dxa"/>
            <w:vMerge w:val="continue"/>
            <w:tcBorders>
              <w:right w:val="nil"/>
            </w:tcBorders>
            <w:vAlign w:val="center"/>
          </w:tcPr>
          <w:p>
            <w:pPr>
              <w:pStyle w:val="280"/>
              <w:snapToGrid w:val="0"/>
              <w:spacing w:line="240" w:lineRule="auto"/>
              <w:rPr>
                <w:color w:val="auto"/>
                <w:sz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185" w:hRule="atLeast"/>
        </w:trPr>
        <w:tc>
          <w:tcPr>
            <w:tcW w:w="822" w:type="dxa"/>
            <w:gridSpan w:val="3"/>
            <w:vMerge w:val="restart"/>
            <w:vAlign w:val="center"/>
          </w:tcPr>
          <w:p>
            <w:pPr>
              <w:pStyle w:val="280"/>
              <w:snapToGrid w:val="0"/>
              <w:spacing w:line="240" w:lineRule="auto"/>
              <w:rPr>
                <w:color w:val="auto"/>
                <w:sz w:val="21"/>
              </w:rPr>
            </w:pPr>
            <w:r>
              <w:rPr>
                <w:color w:val="auto"/>
                <w:sz w:val="21"/>
              </w:rPr>
              <w:t>噪声</w:t>
            </w:r>
          </w:p>
        </w:tc>
        <w:tc>
          <w:tcPr>
            <w:tcW w:w="1731" w:type="dxa"/>
            <w:vMerge w:val="restart"/>
            <w:vAlign w:val="center"/>
          </w:tcPr>
          <w:p>
            <w:pPr>
              <w:pStyle w:val="280"/>
              <w:snapToGrid w:val="0"/>
              <w:spacing w:line="240" w:lineRule="auto"/>
              <w:rPr>
                <w:color w:val="auto"/>
                <w:sz w:val="21"/>
              </w:rPr>
            </w:pPr>
            <w:r>
              <w:rPr>
                <w:color w:val="auto"/>
                <w:sz w:val="21"/>
              </w:rPr>
              <w:t>噪声</w:t>
            </w:r>
          </w:p>
        </w:tc>
        <w:tc>
          <w:tcPr>
            <w:tcW w:w="2410" w:type="dxa"/>
            <w:vMerge w:val="restart"/>
            <w:tcBorders>
              <w:right w:val="single" w:color="auto" w:sz="4" w:space="0"/>
            </w:tcBorders>
            <w:vAlign w:val="center"/>
          </w:tcPr>
          <w:p>
            <w:pPr>
              <w:pStyle w:val="280"/>
              <w:snapToGrid w:val="0"/>
              <w:spacing w:line="240" w:lineRule="auto"/>
              <w:rPr>
                <w:color w:val="auto"/>
                <w:sz w:val="21"/>
              </w:rPr>
            </w:pPr>
            <w:r>
              <w:rPr>
                <w:color w:val="auto"/>
                <w:sz w:val="21"/>
              </w:rPr>
              <w:t>合理布局、绿化、隔声、减</w:t>
            </w:r>
            <w:r>
              <w:rPr>
                <w:rFonts w:hint="eastAsia"/>
                <w:color w:val="auto"/>
                <w:sz w:val="21"/>
              </w:rPr>
              <w:t>振</w:t>
            </w:r>
            <w:r>
              <w:rPr>
                <w:color w:val="auto"/>
                <w:sz w:val="21"/>
              </w:rPr>
              <w:t>、距离衰减</w:t>
            </w:r>
          </w:p>
        </w:tc>
        <w:tc>
          <w:tcPr>
            <w:tcW w:w="775" w:type="dxa"/>
            <w:vMerge w:val="restart"/>
            <w:tcBorders>
              <w:right w:val="single" w:color="auto" w:sz="4" w:space="0"/>
            </w:tcBorders>
            <w:vAlign w:val="center"/>
          </w:tcPr>
          <w:p>
            <w:pPr>
              <w:pStyle w:val="280"/>
              <w:snapToGrid w:val="0"/>
              <w:spacing w:line="240" w:lineRule="auto"/>
              <w:rPr>
                <w:color w:val="auto"/>
                <w:sz w:val="21"/>
              </w:rPr>
            </w:pPr>
            <w:r>
              <w:rPr>
                <w:color w:val="auto"/>
                <w:sz w:val="21"/>
              </w:rPr>
              <w:t>/</w:t>
            </w:r>
          </w:p>
        </w:tc>
        <w:tc>
          <w:tcPr>
            <w:tcW w:w="1148" w:type="dxa"/>
            <w:tcBorders>
              <w:right w:val="single" w:color="auto" w:sz="4" w:space="0"/>
            </w:tcBorders>
            <w:vAlign w:val="center"/>
          </w:tcPr>
          <w:p>
            <w:pPr>
              <w:pStyle w:val="280"/>
              <w:snapToGrid w:val="0"/>
              <w:spacing w:line="240" w:lineRule="auto"/>
              <w:rPr>
                <w:color w:val="auto"/>
                <w:sz w:val="21"/>
              </w:rPr>
            </w:pPr>
            <w:r>
              <w:rPr>
                <w:color w:val="auto"/>
                <w:sz w:val="21"/>
              </w:rPr>
              <w:t>厂界东面N1</w:t>
            </w:r>
          </w:p>
        </w:tc>
        <w:tc>
          <w:tcPr>
            <w:tcW w:w="924" w:type="dxa"/>
            <w:vMerge w:val="restart"/>
            <w:vAlign w:val="center"/>
          </w:tcPr>
          <w:p>
            <w:pPr>
              <w:pStyle w:val="280"/>
              <w:snapToGrid w:val="0"/>
              <w:spacing w:line="240" w:lineRule="auto"/>
              <w:rPr>
                <w:color w:val="auto"/>
                <w:sz w:val="21"/>
              </w:rPr>
            </w:pPr>
            <w:r>
              <w:rPr>
                <w:color w:val="auto"/>
                <w:sz w:val="21"/>
              </w:rPr>
              <w:t>/</w:t>
            </w:r>
          </w:p>
        </w:tc>
        <w:tc>
          <w:tcPr>
            <w:tcW w:w="854" w:type="dxa"/>
            <w:vMerge w:val="restart"/>
            <w:vAlign w:val="center"/>
          </w:tcPr>
          <w:p>
            <w:pPr>
              <w:pStyle w:val="280"/>
              <w:snapToGrid w:val="0"/>
              <w:spacing w:line="240" w:lineRule="auto"/>
              <w:rPr>
                <w:color w:val="auto"/>
                <w:sz w:val="21"/>
              </w:rPr>
            </w:pPr>
            <w:r>
              <w:rPr>
                <w:color w:val="auto"/>
                <w:sz w:val="21"/>
              </w:rPr>
              <w:t>/</w:t>
            </w:r>
          </w:p>
        </w:tc>
        <w:tc>
          <w:tcPr>
            <w:tcW w:w="804" w:type="dxa"/>
            <w:vMerge w:val="restart"/>
            <w:vAlign w:val="center"/>
          </w:tcPr>
          <w:p>
            <w:pPr>
              <w:pStyle w:val="280"/>
              <w:snapToGrid w:val="0"/>
              <w:spacing w:line="240" w:lineRule="auto"/>
              <w:rPr>
                <w:color w:val="auto"/>
                <w:sz w:val="21"/>
              </w:rPr>
            </w:pPr>
            <w:r>
              <w:rPr>
                <w:color w:val="auto"/>
                <w:sz w:val="21"/>
              </w:rPr>
              <w:t>/</w:t>
            </w:r>
          </w:p>
        </w:tc>
        <w:tc>
          <w:tcPr>
            <w:tcW w:w="932" w:type="dxa"/>
            <w:vMerge w:val="restart"/>
            <w:vAlign w:val="center"/>
          </w:tcPr>
          <w:p>
            <w:pPr>
              <w:pStyle w:val="280"/>
              <w:snapToGrid w:val="0"/>
              <w:spacing w:line="240" w:lineRule="auto"/>
              <w:rPr>
                <w:color w:val="auto"/>
                <w:sz w:val="21"/>
              </w:rPr>
            </w:pPr>
            <w:r>
              <w:rPr>
                <w:color w:val="auto"/>
                <w:sz w:val="21"/>
              </w:rPr>
              <w:t>/</w:t>
            </w:r>
          </w:p>
        </w:tc>
        <w:tc>
          <w:tcPr>
            <w:tcW w:w="1335" w:type="dxa"/>
            <w:vMerge w:val="restart"/>
            <w:tcBorders>
              <w:right w:val="single" w:color="auto" w:sz="4" w:space="0"/>
            </w:tcBorders>
            <w:vAlign w:val="center"/>
          </w:tcPr>
          <w:p>
            <w:pPr>
              <w:pStyle w:val="280"/>
              <w:snapToGrid w:val="0"/>
              <w:spacing w:line="240" w:lineRule="auto"/>
              <w:rPr>
                <w:color w:val="auto"/>
                <w:sz w:val="21"/>
              </w:rPr>
            </w:pPr>
            <w:r>
              <w:rPr>
                <w:color w:val="auto"/>
                <w:sz w:val="21"/>
              </w:rPr>
              <w:t>厂界（指全厂厂界）噪声：昼间≤60dB(A)，夜间≤50dBdB(A)；</w:t>
            </w:r>
          </w:p>
        </w:tc>
        <w:tc>
          <w:tcPr>
            <w:tcW w:w="2835" w:type="dxa"/>
            <w:vMerge w:val="restart"/>
            <w:tcBorders>
              <w:right w:val="nil"/>
            </w:tcBorders>
            <w:vAlign w:val="center"/>
          </w:tcPr>
          <w:p>
            <w:pPr>
              <w:pStyle w:val="280"/>
              <w:snapToGrid w:val="0"/>
              <w:spacing w:line="240" w:lineRule="auto"/>
              <w:rPr>
                <w:color w:val="auto"/>
                <w:sz w:val="21"/>
              </w:rPr>
            </w:pPr>
            <w:r>
              <w:rPr>
                <w:color w:val="auto"/>
                <w:sz w:val="21"/>
              </w:rPr>
              <w:t>《工厂企业厂界环境噪声排放标准》（GB12348-2008）2 类标准</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183" w:hRule="atLeast"/>
        </w:trPr>
        <w:tc>
          <w:tcPr>
            <w:tcW w:w="822" w:type="dxa"/>
            <w:gridSpan w:val="3"/>
            <w:vMerge w:val="continue"/>
            <w:vAlign w:val="center"/>
          </w:tcPr>
          <w:p>
            <w:pPr>
              <w:pStyle w:val="280"/>
              <w:snapToGrid w:val="0"/>
              <w:spacing w:line="240" w:lineRule="auto"/>
              <w:rPr>
                <w:color w:val="auto"/>
                <w:sz w:val="21"/>
              </w:rPr>
            </w:pPr>
          </w:p>
        </w:tc>
        <w:tc>
          <w:tcPr>
            <w:tcW w:w="1731" w:type="dxa"/>
            <w:vMerge w:val="continue"/>
            <w:vAlign w:val="center"/>
          </w:tcPr>
          <w:p>
            <w:pPr>
              <w:pStyle w:val="280"/>
              <w:snapToGrid w:val="0"/>
              <w:spacing w:line="240" w:lineRule="auto"/>
              <w:rPr>
                <w:color w:val="auto"/>
                <w:sz w:val="21"/>
              </w:rPr>
            </w:pPr>
          </w:p>
        </w:tc>
        <w:tc>
          <w:tcPr>
            <w:tcW w:w="2410" w:type="dxa"/>
            <w:vMerge w:val="continue"/>
            <w:tcBorders>
              <w:right w:val="single" w:color="auto" w:sz="4" w:space="0"/>
            </w:tcBorders>
            <w:vAlign w:val="center"/>
          </w:tcPr>
          <w:p>
            <w:pPr>
              <w:pStyle w:val="280"/>
              <w:snapToGrid w:val="0"/>
              <w:spacing w:line="240" w:lineRule="auto"/>
              <w:rPr>
                <w:color w:val="auto"/>
                <w:sz w:val="21"/>
              </w:rPr>
            </w:pPr>
          </w:p>
        </w:tc>
        <w:tc>
          <w:tcPr>
            <w:tcW w:w="775" w:type="dxa"/>
            <w:vMerge w:val="continue"/>
            <w:tcBorders>
              <w:right w:val="single" w:color="auto" w:sz="4" w:space="0"/>
            </w:tcBorders>
            <w:vAlign w:val="center"/>
          </w:tcPr>
          <w:p>
            <w:pPr>
              <w:pStyle w:val="280"/>
              <w:snapToGrid w:val="0"/>
              <w:spacing w:line="240" w:lineRule="auto"/>
              <w:rPr>
                <w:color w:val="auto"/>
                <w:sz w:val="21"/>
              </w:rPr>
            </w:pPr>
          </w:p>
        </w:tc>
        <w:tc>
          <w:tcPr>
            <w:tcW w:w="1148" w:type="dxa"/>
            <w:tcBorders>
              <w:right w:val="single" w:color="auto" w:sz="4" w:space="0"/>
            </w:tcBorders>
            <w:vAlign w:val="center"/>
          </w:tcPr>
          <w:p>
            <w:pPr>
              <w:pStyle w:val="280"/>
              <w:snapToGrid w:val="0"/>
              <w:spacing w:line="240" w:lineRule="auto"/>
              <w:rPr>
                <w:color w:val="auto"/>
                <w:sz w:val="21"/>
              </w:rPr>
            </w:pPr>
            <w:r>
              <w:rPr>
                <w:color w:val="auto"/>
                <w:sz w:val="21"/>
              </w:rPr>
              <w:t>厂界南面N2</w:t>
            </w:r>
          </w:p>
        </w:tc>
        <w:tc>
          <w:tcPr>
            <w:tcW w:w="924" w:type="dxa"/>
            <w:vMerge w:val="continue"/>
            <w:vAlign w:val="center"/>
          </w:tcPr>
          <w:p>
            <w:pPr>
              <w:pStyle w:val="280"/>
              <w:snapToGrid w:val="0"/>
              <w:spacing w:line="240" w:lineRule="auto"/>
              <w:rPr>
                <w:color w:val="auto"/>
                <w:sz w:val="21"/>
              </w:rPr>
            </w:pPr>
          </w:p>
        </w:tc>
        <w:tc>
          <w:tcPr>
            <w:tcW w:w="854" w:type="dxa"/>
            <w:vMerge w:val="continue"/>
            <w:vAlign w:val="center"/>
          </w:tcPr>
          <w:p>
            <w:pPr>
              <w:pStyle w:val="280"/>
              <w:snapToGrid w:val="0"/>
              <w:spacing w:line="240" w:lineRule="auto"/>
              <w:rPr>
                <w:color w:val="auto"/>
                <w:sz w:val="21"/>
              </w:rPr>
            </w:pPr>
          </w:p>
        </w:tc>
        <w:tc>
          <w:tcPr>
            <w:tcW w:w="804" w:type="dxa"/>
            <w:vMerge w:val="continue"/>
            <w:vAlign w:val="center"/>
          </w:tcPr>
          <w:p>
            <w:pPr>
              <w:pStyle w:val="280"/>
              <w:snapToGrid w:val="0"/>
              <w:spacing w:line="240" w:lineRule="auto"/>
              <w:rPr>
                <w:color w:val="auto"/>
                <w:sz w:val="21"/>
              </w:rPr>
            </w:pPr>
          </w:p>
        </w:tc>
        <w:tc>
          <w:tcPr>
            <w:tcW w:w="932" w:type="dxa"/>
            <w:vMerge w:val="continue"/>
            <w:vAlign w:val="center"/>
          </w:tcPr>
          <w:p>
            <w:pPr>
              <w:pStyle w:val="280"/>
              <w:snapToGrid w:val="0"/>
              <w:spacing w:line="240" w:lineRule="auto"/>
              <w:rPr>
                <w:color w:val="auto"/>
                <w:sz w:val="21"/>
              </w:rPr>
            </w:pPr>
          </w:p>
        </w:tc>
        <w:tc>
          <w:tcPr>
            <w:tcW w:w="1335" w:type="dxa"/>
            <w:vMerge w:val="continue"/>
            <w:tcBorders>
              <w:right w:val="single" w:color="auto" w:sz="4" w:space="0"/>
            </w:tcBorders>
            <w:vAlign w:val="center"/>
          </w:tcPr>
          <w:p>
            <w:pPr>
              <w:pStyle w:val="280"/>
              <w:snapToGrid w:val="0"/>
              <w:spacing w:line="240" w:lineRule="auto"/>
              <w:rPr>
                <w:color w:val="auto"/>
                <w:sz w:val="21"/>
              </w:rPr>
            </w:pPr>
          </w:p>
        </w:tc>
        <w:tc>
          <w:tcPr>
            <w:tcW w:w="2835" w:type="dxa"/>
            <w:vMerge w:val="continue"/>
            <w:tcBorders>
              <w:right w:val="nil"/>
            </w:tcBorders>
            <w:vAlign w:val="center"/>
          </w:tcPr>
          <w:p>
            <w:pPr>
              <w:pStyle w:val="280"/>
              <w:snapToGrid w:val="0"/>
              <w:spacing w:line="240" w:lineRule="auto"/>
              <w:rPr>
                <w:color w:val="auto"/>
                <w:sz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183" w:hRule="atLeast"/>
        </w:trPr>
        <w:tc>
          <w:tcPr>
            <w:tcW w:w="822" w:type="dxa"/>
            <w:gridSpan w:val="3"/>
            <w:vMerge w:val="continue"/>
            <w:vAlign w:val="center"/>
          </w:tcPr>
          <w:p>
            <w:pPr>
              <w:pStyle w:val="280"/>
              <w:snapToGrid w:val="0"/>
              <w:spacing w:line="240" w:lineRule="auto"/>
              <w:rPr>
                <w:color w:val="auto"/>
                <w:sz w:val="21"/>
              </w:rPr>
            </w:pPr>
          </w:p>
        </w:tc>
        <w:tc>
          <w:tcPr>
            <w:tcW w:w="1731" w:type="dxa"/>
            <w:vMerge w:val="continue"/>
            <w:vAlign w:val="center"/>
          </w:tcPr>
          <w:p>
            <w:pPr>
              <w:pStyle w:val="280"/>
              <w:snapToGrid w:val="0"/>
              <w:spacing w:line="240" w:lineRule="auto"/>
              <w:rPr>
                <w:color w:val="auto"/>
                <w:sz w:val="21"/>
              </w:rPr>
            </w:pPr>
          </w:p>
        </w:tc>
        <w:tc>
          <w:tcPr>
            <w:tcW w:w="2410" w:type="dxa"/>
            <w:vMerge w:val="continue"/>
            <w:tcBorders>
              <w:right w:val="single" w:color="auto" w:sz="4" w:space="0"/>
            </w:tcBorders>
            <w:vAlign w:val="center"/>
          </w:tcPr>
          <w:p>
            <w:pPr>
              <w:pStyle w:val="280"/>
              <w:snapToGrid w:val="0"/>
              <w:spacing w:line="240" w:lineRule="auto"/>
              <w:rPr>
                <w:color w:val="auto"/>
                <w:sz w:val="21"/>
              </w:rPr>
            </w:pPr>
          </w:p>
        </w:tc>
        <w:tc>
          <w:tcPr>
            <w:tcW w:w="775" w:type="dxa"/>
            <w:vMerge w:val="continue"/>
            <w:tcBorders>
              <w:right w:val="single" w:color="auto" w:sz="4" w:space="0"/>
            </w:tcBorders>
            <w:vAlign w:val="center"/>
          </w:tcPr>
          <w:p>
            <w:pPr>
              <w:pStyle w:val="280"/>
              <w:snapToGrid w:val="0"/>
              <w:spacing w:line="240" w:lineRule="auto"/>
              <w:rPr>
                <w:color w:val="auto"/>
                <w:sz w:val="21"/>
              </w:rPr>
            </w:pPr>
          </w:p>
        </w:tc>
        <w:tc>
          <w:tcPr>
            <w:tcW w:w="1148" w:type="dxa"/>
            <w:tcBorders>
              <w:right w:val="single" w:color="auto" w:sz="4" w:space="0"/>
            </w:tcBorders>
            <w:vAlign w:val="center"/>
          </w:tcPr>
          <w:p>
            <w:pPr>
              <w:pStyle w:val="280"/>
              <w:snapToGrid w:val="0"/>
              <w:spacing w:line="240" w:lineRule="auto"/>
              <w:rPr>
                <w:color w:val="auto"/>
                <w:sz w:val="21"/>
              </w:rPr>
            </w:pPr>
            <w:r>
              <w:rPr>
                <w:color w:val="auto"/>
                <w:sz w:val="21"/>
              </w:rPr>
              <w:t>厂界西面N3</w:t>
            </w:r>
          </w:p>
        </w:tc>
        <w:tc>
          <w:tcPr>
            <w:tcW w:w="924" w:type="dxa"/>
            <w:vMerge w:val="continue"/>
            <w:vAlign w:val="center"/>
          </w:tcPr>
          <w:p>
            <w:pPr>
              <w:pStyle w:val="280"/>
              <w:snapToGrid w:val="0"/>
              <w:spacing w:line="240" w:lineRule="auto"/>
              <w:rPr>
                <w:color w:val="auto"/>
                <w:sz w:val="21"/>
              </w:rPr>
            </w:pPr>
          </w:p>
        </w:tc>
        <w:tc>
          <w:tcPr>
            <w:tcW w:w="854" w:type="dxa"/>
            <w:vMerge w:val="continue"/>
            <w:vAlign w:val="center"/>
          </w:tcPr>
          <w:p>
            <w:pPr>
              <w:pStyle w:val="280"/>
              <w:snapToGrid w:val="0"/>
              <w:spacing w:line="240" w:lineRule="auto"/>
              <w:rPr>
                <w:color w:val="auto"/>
                <w:sz w:val="21"/>
              </w:rPr>
            </w:pPr>
          </w:p>
        </w:tc>
        <w:tc>
          <w:tcPr>
            <w:tcW w:w="804" w:type="dxa"/>
            <w:vMerge w:val="continue"/>
            <w:vAlign w:val="center"/>
          </w:tcPr>
          <w:p>
            <w:pPr>
              <w:pStyle w:val="280"/>
              <w:snapToGrid w:val="0"/>
              <w:spacing w:line="240" w:lineRule="auto"/>
              <w:rPr>
                <w:color w:val="auto"/>
                <w:sz w:val="21"/>
              </w:rPr>
            </w:pPr>
          </w:p>
        </w:tc>
        <w:tc>
          <w:tcPr>
            <w:tcW w:w="932" w:type="dxa"/>
            <w:vMerge w:val="continue"/>
            <w:vAlign w:val="center"/>
          </w:tcPr>
          <w:p>
            <w:pPr>
              <w:pStyle w:val="280"/>
              <w:snapToGrid w:val="0"/>
              <w:spacing w:line="240" w:lineRule="auto"/>
              <w:rPr>
                <w:color w:val="auto"/>
                <w:sz w:val="21"/>
              </w:rPr>
            </w:pPr>
          </w:p>
        </w:tc>
        <w:tc>
          <w:tcPr>
            <w:tcW w:w="1335" w:type="dxa"/>
            <w:vMerge w:val="continue"/>
            <w:tcBorders>
              <w:right w:val="single" w:color="auto" w:sz="4" w:space="0"/>
            </w:tcBorders>
            <w:vAlign w:val="center"/>
          </w:tcPr>
          <w:p>
            <w:pPr>
              <w:pStyle w:val="280"/>
              <w:snapToGrid w:val="0"/>
              <w:spacing w:line="240" w:lineRule="auto"/>
              <w:rPr>
                <w:color w:val="auto"/>
                <w:sz w:val="21"/>
              </w:rPr>
            </w:pPr>
          </w:p>
        </w:tc>
        <w:tc>
          <w:tcPr>
            <w:tcW w:w="2835" w:type="dxa"/>
            <w:vMerge w:val="continue"/>
            <w:tcBorders>
              <w:right w:val="nil"/>
            </w:tcBorders>
            <w:vAlign w:val="center"/>
          </w:tcPr>
          <w:p>
            <w:pPr>
              <w:pStyle w:val="280"/>
              <w:snapToGrid w:val="0"/>
              <w:spacing w:line="240" w:lineRule="auto"/>
              <w:rPr>
                <w:color w:val="auto"/>
                <w:sz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183" w:hRule="atLeast"/>
        </w:trPr>
        <w:tc>
          <w:tcPr>
            <w:tcW w:w="822" w:type="dxa"/>
            <w:gridSpan w:val="3"/>
            <w:vMerge w:val="continue"/>
            <w:vAlign w:val="center"/>
          </w:tcPr>
          <w:p>
            <w:pPr>
              <w:pStyle w:val="280"/>
              <w:snapToGrid w:val="0"/>
              <w:spacing w:line="240" w:lineRule="auto"/>
              <w:rPr>
                <w:color w:val="auto"/>
                <w:sz w:val="21"/>
              </w:rPr>
            </w:pPr>
          </w:p>
        </w:tc>
        <w:tc>
          <w:tcPr>
            <w:tcW w:w="1731" w:type="dxa"/>
            <w:vMerge w:val="continue"/>
            <w:vAlign w:val="center"/>
          </w:tcPr>
          <w:p>
            <w:pPr>
              <w:pStyle w:val="280"/>
              <w:snapToGrid w:val="0"/>
              <w:spacing w:line="240" w:lineRule="auto"/>
              <w:rPr>
                <w:color w:val="auto"/>
                <w:sz w:val="21"/>
              </w:rPr>
            </w:pPr>
          </w:p>
        </w:tc>
        <w:tc>
          <w:tcPr>
            <w:tcW w:w="2410" w:type="dxa"/>
            <w:vMerge w:val="continue"/>
            <w:tcBorders>
              <w:right w:val="single" w:color="auto" w:sz="4" w:space="0"/>
            </w:tcBorders>
            <w:vAlign w:val="center"/>
          </w:tcPr>
          <w:p>
            <w:pPr>
              <w:pStyle w:val="280"/>
              <w:snapToGrid w:val="0"/>
              <w:spacing w:line="240" w:lineRule="auto"/>
              <w:rPr>
                <w:color w:val="auto"/>
                <w:sz w:val="21"/>
              </w:rPr>
            </w:pPr>
          </w:p>
        </w:tc>
        <w:tc>
          <w:tcPr>
            <w:tcW w:w="775" w:type="dxa"/>
            <w:vMerge w:val="continue"/>
            <w:tcBorders>
              <w:right w:val="single" w:color="auto" w:sz="4" w:space="0"/>
            </w:tcBorders>
            <w:vAlign w:val="center"/>
          </w:tcPr>
          <w:p>
            <w:pPr>
              <w:pStyle w:val="280"/>
              <w:snapToGrid w:val="0"/>
              <w:spacing w:line="240" w:lineRule="auto"/>
              <w:rPr>
                <w:color w:val="auto"/>
                <w:sz w:val="21"/>
              </w:rPr>
            </w:pPr>
          </w:p>
        </w:tc>
        <w:tc>
          <w:tcPr>
            <w:tcW w:w="1148" w:type="dxa"/>
            <w:tcBorders>
              <w:right w:val="single" w:color="auto" w:sz="4" w:space="0"/>
            </w:tcBorders>
            <w:vAlign w:val="center"/>
          </w:tcPr>
          <w:p>
            <w:pPr>
              <w:pStyle w:val="280"/>
              <w:snapToGrid w:val="0"/>
              <w:spacing w:line="240" w:lineRule="auto"/>
              <w:rPr>
                <w:color w:val="auto"/>
                <w:sz w:val="21"/>
              </w:rPr>
            </w:pPr>
            <w:r>
              <w:rPr>
                <w:color w:val="auto"/>
                <w:sz w:val="21"/>
              </w:rPr>
              <w:t>厂界北面N4</w:t>
            </w:r>
          </w:p>
        </w:tc>
        <w:tc>
          <w:tcPr>
            <w:tcW w:w="924" w:type="dxa"/>
            <w:vMerge w:val="continue"/>
            <w:vAlign w:val="center"/>
          </w:tcPr>
          <w:p>
            <w:pPr>
              <w:pStyle w:val="280"/>
              <w:snapToGrid w:val="0"/>
              <w:spacing w:line="240" w:lineRule="auto"/>
              <w:rPr>
                <w:color w:val="auto"/>
                <w:sz w:val="21"/>
              </w:rPr>
            </w:pPr>
          </w:p>
        </w:tc>
        <w:tc>
          <w:tcPr>
            <w:tcW w:w="854" w:type="dxa"/>
            <w:vMerge w:val="continue"/>
            <w:vAlign w:val="center"/>
          </w:tcPr>
          <w:p>
            <w:pPr>
              <w:pStyle w:val="280"/>
              <w:snapToGrid w:val="0"/>
              <w:spacing w:line="240" w:lineRule="auto"/>
              <w:rPr>
                <w:color w:val="auto"/>
                <w:sz w:val="21"/>
              </w:rPr>
            </w:pPr>
          </w:p>
        </w:tc>
        <w:tc>
          <w:tcPr>
            <w:tcW w:w="804" w:type="dxa"/>
            <w:vMerge w:val="continue"/>
            <w:vAlign w:val="center"/>
          </w:tcPr>
          <w:p>
            <w:pPr>
              <w:pStyle w:val="280"/>
              <w:snapToGrid w:val="0"/>
              <w:spacing w:line="240" w:lineRule="auto"/>
              <w:rPr>
                <w:color w:val="auto"/>
                <w:sz w:val="21"/>
              </w:rPr>
            </w:pPr>
          </w:p>
        </w:tc>
        <w:tc>
          <w:tcPr>
            <w:tcW w:w="932" w:type="dxa"/>
            <w:vMerge w:val="continue"/>
            <w:vAlign w:val="center"/>
          </w:tcPr>
          <w:p>
            <w:pPr>
              <w:pStyle w:val="280"/>
              <w:snapToGrid w:val="0"/>
              <w:spacing w:line="240" w:lineRule="auto"/>
              <w:rPr>
                <w:color w:val="auto"/>
                <w:sz w:val="21"/>
              </w:rPr>
            </w:pPr>
          </w:p>
        </w:tc>
        <w:tc>
          <w:tcPr>
            <w:tcW w:w="1335" w:type="dxa"/>
            <w:vMerge w:val="continue"/>
            <w:tcBorders>
              <w:right w:val="single" w:color="auto" w:sz="4" w:space="0"/>
            </w:tcBorders>
            <w:vAlign w:val="center"/>
          </w:tcPr>
          <w:p>
            <w:pPr>
              <w:pStyle w:val="280"/>
              <w:snapToGrid w:val="0"/>
              <w:spacing w:line="240" w:lineRule="auto"/>
              <w:rPr>
                <w:color w:val="auto"/>
                <w:sz w:val="21"/>
              </w:rPr>
            </w:pPr>
          </w:p>
        </w:tc>
        <w:tc>
          <w:tcPr>
            <w:tcW w:w="2835" w:type="dxa"/>
            <w:vMerge w:val="continue"/>
            <w:tcBorders>
              <w:right w:val="nil"/>
            </w:tcBorders>
            <w:vAlign w:val="center"/>
          </w:tcPr>
          <w:p>
            <w:pPr>
              <w:pStyle w:val="280"/>
              <w:snapToGrid w:val="0"/>
              <w:spacing w:line="240" w:lineRule="auto"/>
              <w:rPr>
                <w:color w:val="auto"/>
                <w:sz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265" w:type="dxa"/>
            <w:gridSpan w:val="2"/>
            <w:vMerge w:val="restart"/>
            <w:vAlign w:val="center"/>
          </w:tcPr>
          <w:p>
            <w:pPr>
              <w:pStyle w:val="280"/>
              <w:snapToGrid w:val="0"/>
              <w:spacing w:line="240" w:lineRule="auto"/>
              <w:rPr>
                <w:color w:val="auto"/>
                <w:sz w:val="21"/>
              </w:rPr>
            </w:pPr>
            <w:r>
              <w:rPr>
                <w:color w:val="auto"/>
                <w:sz w:val="21"/>
              </w:rPr>
              <w:t>固体废物</w:t>
            </w:r>
          </w:p>
        </w:tc>
        <w:tc>
          <w:tcPr>
            <w:tcW w:w="557" w:type="dxa"/>
            <w:vMerge w:val="restart"/>
            <w:vAlign w:val="center"/>
          </w:tcPr>
          <w:p>
            <w:pPr>
              <w:pStyle w:val="280"/>
              <w:snapToGrid w:val="0"/>
              <w:spacing w:line="240" w:lineRule="auto"/>
              <w:rPr>
                <w:color w:val="auto"/>
                <w:sz w:val="21"/>
              </w:rPr>
            </w:pPr>
            <w:r>
              <w:rPr>
                <w:color w:val="auto"/>
                <w:sz w:val="21"/>
              </w:rPr>
              <w:t>危险废物</w:t>
            </w:r>
          </w:p>
        </w:tc>
        <w:tc>
          <w:tcPr>
            <w:tcW w:w="1731" w:type="dxa"/>
            <w:vAlign w:val="center"/>
          </w:tcPr>
          <w:p>
            <w:pPr>
              <w:pStyle w:val="280"/>
              <w:snapToGrid w:val="0"/>
              <w:spacing w:line="240" w:lineRule="auto"/>
              <w:rPr>
                <w:color w:val="auto"/>
                <w:sz w:val="21"/>
              </w:rPr>
            </w:pPr>
            <w:r>
              <w:rPr>
                <w:rFonts w:hint="eastAsia"/>
                <w:color w:val="auto"/>
                <w:sz w:val="21"/>
              </w:rPr>
              <w:t>废UV光解灯管</w:t>
            </w:r>
          </w:p>
        </w:tc>
        <w:tc>
          <w:tcPr>
            <w:tcW w:w="2410" w:type="dxa"/>
            <w:vMerge w:val="restart"/>
            <w:tcBorders>
              <w:right w:val="single" w:color="auto" w:sz="4" w:space="0"/>
            </w:tcBorders>
            <w:vAlign w:val="center"/>
          </w:tcPr>
          <w:p>
            <w:pPr>
              <w:pStyle w:val="280"/>
              <w:snapToGrid w:val="0"/>
              <w:spacing w:line="240" w:lineRule="auto"/>
              <w:rPr>
                <w:color w:val="auto"/>
                <w:sz w:val="21"/>
              </w:rPr>
            </w:pPr>
            <w:r>
              <w:rPr>
                <w:color w:val="auto"/>
                <w:sz w:val="21"/>
              </w:rPr>
              <w:t>委托有资质的单位处理</w:t>
            </w:r>
          </w:p>
        </w:tc>
        <w:tc>
          <w:tcPr>
            <w:tcW w:w="775" w:type="dxa"/>
            <w:tcBorders>
              <w:right w:val="single" w:color="auto" w:sz="4" w:space="0"/>
            </w:tcBorders>
            <w:vAlign w:val="center"/>
          </w:tcPr>
          <w:p>
            <w:pPr>
              <w:pStyle w:val="280"/>
              <w:snapToGrid w:val="0"/>
              <w:spacing w:line="240" w:lineRule="auto"/>
              <w:rPr>
                <w:color w:val="auto"/>
                <w:sz w:val="21"/>
              </w:rPr>
            </w:pPr>
            <w:r>
              <w:rPr>
                <w:color w:val="auto"/>
                <w:sz w:val="21"/>
              </w:rPr>
              <w:t>/</w:t>
            </w:r>
          </w:p>
        </w:tc>
        <w:tc>
          <w:tcPr>
            <w:tcW w:w="1148" w:type="dxa"/>
            <w:tcBorders>
              <w:right w:val="single" w:color="auto" w:sz="4" w:space="0"/>
            </w:tcBorders>
            <w:vAlign w:val="center"/>
          </w:tcPr>
          <w:p>
            <w:pPr>
              <w:pStyle w:val="280"/>
              <w:snapToGrid w:val="0"/>
              <w:spacing w:line="240" w:lineRule="auto"/>
              <w:rPr>
                <w:color w:val="auto"/>
                <w:sz w:val="21"/>
              </w:rPr>
            </w:pPr>
            <w:r>
              <w:rPr>
                <w:color w:val="auto"/>
                <w:sz w:val="21"/>
              </w:rPr>
              <w:t>/</w:t>
            </w:r>
          </w:p>
        </w:tc>
        <w:tc>
          <w:tcPr>
            <w:tcW w:w="924" w:type="dxa"/>
            <w:vAlign w:val="center"/>
          </w:tcPr>
          <w:p>
            <w:pPr>
              <w:pStyle w:val="280"/>
              <w:snapToGrid w:val="0"/>
              <w:spacing w:line="240" w:lineRule="auto"/>
              <w:rPr>
                <w:color w:val="auto"/>
                <w:sz w:val="21"/>
              </w:rPr>
            </w:pPr>
            <w:r>
              <w:rPr>
                <w:color w:val="auto"/>
                <w:sz w:val="21"/>
              </w:rPr>
              <w:t>/</w:t>
            </w:r>
          </w:p>
        </w:tc>
        <w:tc>
          <w:tcPr>
            <w:tcW w:w="854" w:type="dxa"/>
            <w:vAlign w:val="center"/>
          </w:tcPr>
          <w:p>
            <w:pPr>
              <w:pStyle w:val="280"/>
              <w:snapToGrid w:val="0"/>
              <w:spacing w:line="240" w:lineRule="auto"/>
              <w:rPr>
                <w:color w:val="auto"/>
                <w:sz w:val="21"/>
              </w:rPr>
            </w:pPr>
            <w:r>
              <w:rPr>
                <w:color w:val="auto"/>
                <w:sz w:val="21"/>
              </w:rPr>
              <w:t>/</w:t>
            </w:r>
          </w:p>
        </w:tc>
        <w:tc>
          <w:tcPr>
            <w:tcW w:w="804" w:type="dxa"/>
            <w:vAlign w:val="center"/>
          </w:tcPr>
          <w:p>
            <w:pPr>
              <w:pStyle w:val="280"/>
              <w:snapToGrid w:val="0"/>
              <w:spacing w:line="240" w:lineRule="auto"/>
              <w:rPr>
                <w:color w:val="auto"/>
                <w:sz w:val="21"/>
              </w:rPr>
            </w:pPr>
            <w:r>
              <w:rPr>
                <w:color w:val="auto"/>
                <w:sz w:val="21"/>
              </w:rPr>
              <w:t>/</w:t>
            </w:r>
          </w:p>
        </w:tc>
        <w:tc>
          <w:tcPr>
            <w:tcW w:w="932" w:type="dxa"/>
            <w:vMerge w:val="restart"/>
            <w:vAlign w:val="center"/>
          </w:tcPr>
          <w:p>
            <w:pPr>
              <w:pStyle w:val="280"/>
              <w:snapToGrid w:val="0"/>
              <w:spacing w:line="240" w:lineRule="auto"/>
              <w:rPr>
                <w:color w:val="auto"/>
                <w:sz w:val="21"/>
              </w:rPr>
            </w:pPr>
            <w:r>
              <w:rPr>
                <w:color w:val="auto"/>
                <w:sz w:val="21"/>
              </w:rPr>
              <w:t>不外排</w:t>
            </w:r>
          </w:p>
        </w:tc>
        <w:tc>
          <w:tcPr>
            <w:tcW w:w="1335" w:type="dxa"/>
            <w:tcBorders>
              <w:right w:val="single" w:color="auto" w:sz="4" w:space="0"/>
            </w:tcBorders>
            <w:vAlign w:val="center"/>
          </w:tcPr>
          <w:p>
            <w:pPr>
              <w:pStyle w:val="280"/>
              <w:snapToGrid w:val="0"/>
              <w:spacing w:line="240" w:lineRule="auto"/>
              <w:rPr>
                <w:color w:val="auto"/>
                <w:sz w:val="21"/>
              </w:rPr>
            </w:pPr>
            <w:r>
              <w:rPr>
                <w:color w:val="auto"/>
                <w:sz w:val="21"/>
              </w:rPr>
              <w:t>/</w:t>
            </w:r>
          </w:p>
        </w:tc>
        <w:tc>
          <w:tcPr>
            <w:tcW w:w="2835" w:type="dxa"/>
            <w:vMerge w:val="restart"/>
            <w:tcBorders>
              <w:right w:val="nil"/>
            </w:tcBorders>
            <w:vAlign w:val="center"/>
          </w:tcPr>
          <w:p>
            <w:pPr>
              <w:pStyle w:val="280"/>
              <w:snapToGrid w:val="0"/>
              <w:spacing w:line="240" w:lineRule="auto"/>
              <w:rPr>
                <w:color w:val="auto"/>
                <w:sz w:val="21"/>
              </w:rPr>
            </w:pPr>
            <w:r>
              <w:rPr>
                <w:color w:val="auto"/>
                <w:sz w:val="21"/>
              </w:rPr>
              <w:t>分类合理处理，零排放</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265" w:type="dxa"/>
            <w:gridSpan w:val="2"/>
            <w:vMerge w:val="continue"/>
            <w:vAlign w:val="center"/>
          </w:tcPr>
          <w:p>
            <w:pPr>
              <w:pStyle w:val="280"/>
              <w:snapToGrid w:val="0"/>
              <w:spacing w:line="240" w:lineRule="auto"/>
              <w:rPr>
                <w:color w:val="auto"/>
                <w:sz w:val="21"/>
              </w:rPr>
            </w:pPr>
          </w:p>
        </w:tc>
        <w:tc>
          <w:tcPr>
            <w:tcW w:w="557" w:type="dxa"/>
            <w:vMerge w:val="continue"/>
            <w:vAlign w:val="center"/>
          </w:tcPr>
          <w:p>
            <w:pPr>
              <w:pStyle w:val="280"/>
              <w:snapToGrid w:val="0"/>
              <w:spacing w:line="240" w:lineRule="auto"/>
              <w:rPr>
                <w:color w:val="auto"/>
                <w:sz w:val="21"/>
              </w:rPr>
            </w:pPr>
          </w:p>
        </w:tc>
        <w:tc>
          <w:tcPr>
            <w:tcW w:w="1731" w:type="dxa"/>
            <w:vAlign w:val="center"/>
          </w:tcPr>
          <w:p>
            <w:pPr>
              <w:pStyle w:val="280"/>
              <w:snapToGrid w:val="0"/>
              <w:spacing w:line="240" w:lineRule="auto"/>
              <w:rPr>
                <w:color w:val="auto"/>
                <w:sz w:val="21"/>
              </w:rPr>
            </w:pPr>
            <w:r>
              <w:rPr>
                <w:color w:val="auto"/>
                <w:sz w:val="21"/>
              </w:rPr>
              <w:t>废机油</w:t>
            </w:r>
          </w:p>
        </w:tc>
        <w:tc>
          <w:tcPr>
            <w:tcW w:w="2410" w:type="dxa"/>
            <w:vMerge w:val="continue"/>
            <w:tcBorders>
              <w:right w:val="single" w:color="auto" w:sz="4" w:space="0"/>
            </w:tcBorders>
            <w:vAlign w:val="center"/>
          </w:tcPr>
          <w:p>
            <w:pPr>
              <w:pStyle w:val="280"/>
              <w:snapToGrid w:val="0"/>
              <w:spacing w:line="240" w:lineRule="auto"/>
              <w:rPr>
                <w:color w:val="auto"/>
                <w:sz w:val="21"/>
              </w:rPr>
            </w:pPr>
          </w:p>
        </w:tc>
        <w:tc>
          <w:tcPr>
            <w:tcW w:w="775" w:type="dxa"/>
            <w:tcBorders>
              <w:right w:val="single" w:color="auto" w:sz="4" w:space="0"/>
            </w:tcBorders>
            <w:vAlign w:val="center"/>
          </w:tcPr>
          <w:p>
            <w:pPr>
              <w:pStyle w:val="280"/>
              <w:snapToGrid w:val="0"/>
              <w:spacing w:line="240" w:lineRule="auto"/>
              <w:rPr>
                <w:color w:val="auto"/>
                <w:sz w:val="21"/>
              </w:rPr>
            </w:pPr>
            <w:r>
              <w:rPr>
                <w:color w:val="auto"/>
                <w:sz w:val="21"/>
              </w:rPr>
              <w:t>/</w:t>
            </w:r>
          </w:p>
        </w:tc>
        <w:tc>
          <w:tcPr>
            <w:tcW w:w="1148" w:type="dxa"/>
            <w:tcBorders>
              <w:right w:val="single" w:color="auto" w:sz="4" w:space="0"/>
            </w:tcBorders>
            <w:vAlign w:val="center"/>
          </w:tcPr>
          <w:p>
            <w:pPr>
              <w:pStyle w:val="280"/>
              <w:snapToGrid w:val="0"/>
              <w:spacing w:line="240" w:lineRule="auto"/>
              <w:rPr>
                <w:color w:val="auto"/>
                <w:sz w:val="21"/>
              </w:rPr>
            </w:pPr>
            <w:r>
              <w:rPr>
                <w:color w:val="auto"/>
                <w:sz w:val="21"/>
              </w:rPr>
              <w:t>/</w:t>
            </w:r>
          </w:p>
        </w:tc>
        <w:tc>
          <w:tcPr>
            <w:tcW w:w="924" w:type="dxa"/>
            <w:vAlign w:val="center"/>
          </w:tcPr>
          <w:p>
            <w:pPr>
              <w:pStyle w:val="280"/>
              <w:snapToGrid w:val="0"/>
              <w:spacing w:line="240" w:lineRule="auto"/>
              <w:rPr>
                <w:color w:val="auto"/>
                <w:sz w:val="21"/>
              </w:rPr>
            </w:pPr>
            <w:r>
              <w:rPr>
                <w:color w:val="auto"/>
                <w:sz w:val="21"/>
              </w:rPr>
              <w:t>/</w:t>
            </w:r>
          </w:p>
        </w:tc>
        <w:tc>
          <w:tcPr>
            <w:tcW w:w="854" w:type="dxa"/>
            <w:vAlign w:val="center"/>
          </w:tcPr>
          <w:p>
            <w:pPr>
              <w:pStyle w:val="280"/>
              <w:snapToGrid w:val="0"/>
              <w:spacing w:line="240" w:lineRule="auto"/>
              <w:rPr>
                <w:color w:val="auto"/>
                <w:sz w:val="21"/>
              </w:rPr>
            </w:pPr>
            <w:r>
              <w:rPr>
                <w:color w:val="auto"/>
                <w:sz w:val="21"/>
              </w:rPr>
              <w:t>/</w:t>
            </w:r>
          </w:p>
        </w:tc>
        <w:tc>
          <w:tcPr>
            <w:tcW w:w="804" w:type="dxa"/>
            <w:vAlign w:val="center"/>
          </w:tcPr>
          <w:p>
            <w:pPr>
              <w:pStyle w:val="280"/>
              <w:snapToGrid w:val="0"/>
              <w:spacing w:line="240" w:lineRule="auto"/>
              <w:rPr>
                <w:color w:val="auto"/>
                <w:sz w:val="21"/>
              </w:rPr>
            </w:pPr>
            <w:r>
              <w:rPr>
                <w:color w:val="auto"/>
                <w:sz w:val="21"/>
              </w:rPr>
              <w:t>/</w:t>
            </w:r>
          </w:p>
        </w:tc>
        <w:tc>
          <w:tcPr>
            <w:tcW w:w="932" w:type="dxa"/>
            <w:vMerge w:val="continue"/>
            <w:vAlign w:val="center"/>
          </w:tcPr>
          <w:p>
            <w:pPr>
              <w:pStyle w:val="280"/>
              <w:snapToGrid w:val="0"/>
              <w:spacing w:line="240" w:lineRule="auto"/>
              <w:rPr>
                <w:color w:val="auto"/>
                <w:sz w:val="21"/>
              </w:rPr>
            </w:pPr>
          </w:p>
        </w:tc>
        <w:tc>
          <w:tcPr>
            <w:tcW w:w="1335" w:type="dxa"/>
            <w:tcBorders>
              <w:right w:val="single" w:color="auto" w:sz="4" w:space="0"/>
            </w:tcBorders>
            <w:vAlign w:val="center"/>
          </w:tcPr>
          <w:p>
            <w:pPr>
              <w:pStyle w:val="280"/>
              <w:snapToGrid w:val="0"/>
              <w:spacing w:line="240" w:lineRule="auto"/>
              <w:rPr>
                <w:color w:val="auto"/>
                <w:sz w:val="21"/>
              </w:rPr>
            </w:pPr>
            <w:r>
              <w:rPr>
                <w:color w:val="auto"/>
                <w:sz w:val="21"/>
              </w:rPr>
              <w:t>/</w:t>
            </w:r>
          </w:p>
        </w:tc>
        <w:tc>
          <w:tcPr>
            <w:tcW w:w="2835" w:type="dxa"/>
            <w:vMerge w:val="continue"/>
            <w:tcBorders>
              <w:right w:val="nil"/>
            </w:tcBorders>
            <w:vAlign w:val="center"/>
          </w:tcPr>
          <w:p>
            <w:pPr>
              <w:pStyle w:val="280"/>
              <w:snapToGrid w:val="0"/>
              <w:spacing w:line="240" w:lineRule="auto"/>
              <w:rPr>
                <w:color w:val="auto"/>
                <w:sz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265" w:type="dxa"/>
            <w:gridSpan w:val="2"/>
            <w:vMerge w:val="continue"/>
            <w:vAlign w:val="center"/>
          </w:tcPr>
          <w:p>
            <w:pPr>
              <w:pStyle w:val="280"/>
              <w:snapToGrid w:val="0"/>
              <w:spacing w:line="240" w:lineRule="auto"/>
              <w:rPr>
                <w:color w:val="auto"/>
                <w:sz w:val="21"/>
              </w:rPr>
            </w:pPr>
          </w:p>
        </w:tc>
        <w:tc>
          <w:tcPr>
            <w:tcW w:w="557" w:type="dxa"/>
            <w:vMerge w:val="restart"/>
            <w:vAlign w:val="center"/>
          </w:tcPr>
          <w:p>
            <w:pPr>
              <w:pStyle w:val="280"/>
              <w:snapToGrid w:val="0"/>
              <w:spacing w:line="240" w:lineRule="auto"/>
              <w:rPr>
                <w:color w:val="auto"/>
                <w:sz w:val="21"/>
              </w:rPr>
            </w:pPr>
            <w:r>
              <w:rPr>
                <w:color w:val="auto"/>
                <w:sz w:val="21"/>
              </w:rPr>
              <w:t>一般工业固废</w:t>
            </w:r>
          </w:p>
        </w:tc>
        <w:tc>
          <w:tcPr>
            <w:tcW w:w="1731" w:type="dxa"/>
            <w:vAlign w:val="center"/>
          </w:tcPr>
          <w:p>
            <w:pPr>
              <w:pStyle w:val="280"/>
              <w:snapToGrid w:val="0"/>
              <w:spacing w:line="240" w:lineRule="auto"/>
              <w:rPr>
                <w:color w:val="auto"/>
                <w:sz w:val="21"/>
              </w:rPr>
            </w:pPr>
            <w:r>
              <w:rPr>
                <w:rFonts w:hint="eastAsia"/>
                <w:color w:val="auto"/>
                <w:sz w:val="21"/>
              </w:rPr>
              <w:t>粗油脂</w:t>
            </w:r>
          </w:p>
        </w:tc>
        <w:tc>
          <w:tcPr>
            <w:tcW w:w="2410" w:type="dxa"/>
            <w:tcBorders>
              <w:right w:val="single" w:color="auto" w:sz="4" w:space="0"/>
            </w:tcBorders>
            <w:vAlign w:val="center"/>
          </w:tcPr>
          <w:p>
            <w:pPr>
              <w:pStyle w:val="280"/>
              <w:snapToGrid w:val="0"/>
              <w:spacing w:line="240" w:lineRule="auto"/>
              <w:rPr>
                <w:color w:val="auto"/>
                <w:sz w:val="21"/>
              </w:rPr>
            </w:pPr>
            <w:r>
              <w:rPr>
                <w:rFonts w:hint="eastAsia"/>
                <w:color w:val="auto"/>
                <w:sz w:val="21"/>
                <w:szCs w:val="21"/>
                <w:lang w:eastAsia="zh-CN"/>
              </w:rPr>
              <w:t>委外</w:t>
            </w:r>
            <w:r>
              <w:rPr>
                <w:rFonts w:hint="eastAsia"/>
                <w:color w:val="auto"/>
                <w:sz w:val="21"/>
                <w:szCs w:val="21"/>
              </w:rPr>
              <w:t>综合利</w:t>
            </w:r>
            <w:r>
              <w:rPr>
                <w:rFonts w:hint="eastAsia"/>
                <w:color w:val="auto"/>
                <w:sz w:val="21"/>
                <w:szCs w:val="21"/>
                <w:lang w:eastAsia="zh-CN"/>
              </w:rPr>
              <w:t>用</w:t>
            </w:r>
          </w:p>
        </w:tc>
        <w:tc>
          <w:tcPr>
            <w:tcW w:w="775" w:type="dxa"/>
            <w:tcBorders>
              <w:right w:val="single" w:color="auto" w:sz="4" w:space="0"/>
            </w:tcBorders>
            <w:vAlign w:val="center"/>
          </w:tcPr>
          <w:p>
            <w:pPr>
              <w:pStyle w:val="280"/>
              <w:snapToGrid w:val="0"/>
              <w:spacing w:line="240" w:lineRule="auto"/>
              <w:rPr>
                <w:color w:val="auto"/>
                <w:sz w:val="21"/>
              </w:rPr>
            </w:pPr>
            <w:r>
              <w:rPr>
                <w:color w:val="auto"/>
                <w:sz w:val="21"/>
              </w:rPr>
              <w:t>/</w:t>
            </w:r>
          </w:p>
        </w:tc>
        <w:tc>
          <w:tcPr>
            <w:tcW w:w="1148" w:type="dxa"/>
            <w:tcBorders>
              <w:right w:val="single" w:color="auto" w:sz="4" w:space="0"/>
            </w:tcBorders>
            <w:vAlign w:val="center"/>
          </w:tcPr>
          <w:p>
            <w:pPr>
              <w:pStyle w:val="280"/>
              <w:snapToGrid w:val="0"/>
              <w:spacing w:line="240" w:lineRule="auto"/>
              <w:rPr>
                <w:color w:val="auto"/>
                <w:sz w:val="21"/>
              </w:rPr>
            </w:pPr>
            <w:r>
              <w:rPr>
                <w:color w:val="auto"/>
                <w:sz w:val="21"/>
              </w:rPr>
              <w:t>/</w:t>
            </w:r>
          </w:p>
        </w:tc>
        <w:tc>
          <w:tcPr>
            <w:tcW w:w="924" w:type="dxa"/>
            <w:vAlign w:val="center"/>
          </w:tcPr>
          <w:p>
            <w:pPr>
              <w:pStyle w:val="280"/>
              <w:snapToGrid w:val="0"/>
              <w:spacing w:line="240" w:lineRule="auto"/>
              <w:rPr>
                <w:color w:val="auto"/>
                <w:sz w:val="21"/>
              </w:rPr>
            </w:pPr>
            <w:r>
              <w:rPr>
                <w:color w:val="auto"/>
                <w:sz w:val="21"/>
              </w:rPr>
              <w:t>/</w:t>
            </w:r>
          </w:p>
        </w:tc>
        <w:tc>
          <w:tcPr>
            <w:tcW w:w="854" w:type="dxa"/>
            <w:vAlign w:val="center"/>
          </w:tcPr>
          <w:p>
            <w:pPr>
              <w:pStyle w:val="280"/>
              <w:snapToGrid w:val="0"/>
              <w:spacing w:line="240" w:lineRule="auto"/>
              <w:rPr>
                <w:color w:val="auto"/>
                <w:sz w:val="21"/>
              </w:rPr>
            </w:pPr>
            <w:r>
              <w:rPr>
                <w:color w:val="auto"/>
                <w:sz w:val="21"/>
              </w:rPr>
              <w:t>/</w:t>
            </w:r>
          </w:p>
        </w:tc>
        <w:tc>
          <w:tcPr>
            <w:tcW w:w="804" w:type="dxa"/>
            <w:vAlign w:val="center"/>
          </w:tcPr>
          <w:p>
            <w:pPr>
              <w:pStyle w:val="280"/>
              <w:snapToGrid w:val="0"/>
              <w:spacing w:line="240" w:lineRule="auto"/>
              <w:rPr>
                <w:color w:val="auto"/>
                <w:sz w:val="21"/>
              </w:rPr>
            </w:pPr>
            <w:r>
              <w:rPr>
                <w:color w:val="auto"/>
                <w:sz w:val="21"/>
              </w:rPr>
              <w:t>/</w:t>
            </w:r>
          </w:p>
        </w:tc>
        <w:tc>
          <w:tcPr>
            <w:tcW w:w="932" w:type="dxa"/>
            <w:vMerge w:val="continue"/>
            <w:vAlign w:val="center"/>
          </w:tcPr>
          <w:p>
            <w:pPr>
              <w:pStyle w:val="280"/>
              <w:snapToGrid w:val="0"/>
              <w:spacing w:line="240" w:lineRule="auto"/>
              <w:rPr>
                <w:color w:val="auto"/>
                <w:sz w:val="21"/>
              </w:rPr>
            </w:pPr>
          </w:p>
        </w:tc>
        <w:tc>
          <w:tcPr>
            <w:tcW w:w="1335" w:type="dxa"/>
            <w:tcBorders>
              <w:right w:val="single" w:color="auto" w:sz="4" w:space="0"/>
            </w:tcBorders>
            <w:vAlign w:val="center"/>
          </w:tcPr>
          <w:p>
            <w:pPr>
              <w:pStyle w:val="280"/>
              <w:snapToGrid w:val="0"/>
              <w:spacing w:line="240" w:lineRule="auto"/>
              <w:rPr>
                <w:color w:val="auto"/>
                <w:sz w:val="21"/>
              </w:rPr>
            </w:pPr>
            <w:r>
              <w:rPr>
                <w:color w:val="auto"/>
                <w:sz w:val="21"/>
              </w:rPr>
              <w:t>/</w:t>
            </w:r>
          </w:p>
        </w:tc>
        <w:tc>
          <w:tcPr>
            <w:tcW w:w="2835" w:type="dxa"/>
            <w:vMerge w:val="continue"/>
            <w:tcBorders>
              <w:right w:val="nil"/>
            </w:tcBorders>
            <w:vAlign w:val="center"/>
          </w:tcPr>
          <w:p>
            <w:pPr>
              <w:pStyle w:val="280"/>
              <w:snapToGrid w:val="0"/>
              <w:spacing w:line="240" w:lineRule="auto"/>
              <w:rPr>
                <w:color w:val="auto"/>
                <w:sz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265" w:type="dxa"/>
            <w:gridSpan w:val="2"/>
            <w:vMerge w:val="continue"/>
            <w:vAlign w:val="center"/>
          </w:tcPr>
          <w:p>
            <w:pPr>
              <w:pStyle w:val="280"/>
              <w:snapToGrid w:val="0"/>
              <w:spacing w:line="240" w:lineRule="auto"/>
              <w:rPr>
                <w:color w:val="auto"/>
                <w:sz w:val="21"/>
              </w:rPr>
            </w:pPr>
          </w:p>
        </w:tc>
        <w:tc>
          <w:tcPr>
            <w:tcW w:w="557" w:type="dxa"/>
            <w:vMerge w:val="continue"/>
            <w:vAlign w:val="center"/>
          </w:tcPr>
          <w:p>
            <w:pPr>
              <w:pStyle w:val="280"/>
              <w:snapToGrid w:val="0"/>
              <w:spacing w:line="240" w:lineRule="auto"/>
              <w:rPr>
                <w:color w:val="auto"/>
                <w:sz w:val="21"/>
              </w:rPr>
            </w:pPr>
          </w:p>
        </w:tc>
        <w:tc>
          <w:tcPr>
            <w:tcW w:w="1731" w:type="dxa"/>
            <w:vAlign w:val="center"/>
          </w:tcPr>
          <w:p>
            <w:pPr>
              <w:pStyle w:val="280"/>
              <w:snapToGrid w:val="0"/>
              <w:spacing w:line="240" w:lineRule="auto"/>
              <w:rPr>
                <w:color w:val="auto"/>
                <w:sz w:val="21"/>
              </w:rPr>
            </w:pPr>
            <w:r>
              <w:rPr>
                <w:rFonts w:hint="eastAsia"/>
                <w:color w:val="auto"/>
                <w:sz w:val="21"/>
              </w:rPr>
              <w:t>脱水残渣和除油残渣</w:t>
            </w:r>
          </w:p>
        </w:tc>
        <w:tc>
          <w:tcPr>
            <w:tcW w:w="2410" w:type="dxa"/>
            <w:tcBorders>
              <w:right w:val="single" w:color="auto" w:sz="4" w:space="0"/>
            </w:tcBorders>
            <w:vAlign w:val="center"/>
          </w:tcPr>
          <w:p>
            <w:pPr>
              <w:pStyle w:val="280"/>
              <w:snapToGrid w:val="0"/>
              <w:spacing w:line="240" w:lineRule="auto"/>
              <w:rPr>
                <w:color w:val="auto"/>
                <w:sz w:val="21"/>
              </w:rPr>
            </w:pPr>
            <w:r>
              <w:rPr>
                <w:rFonts w:hint="eastAsia"/>
                <w:color w:val="auto"/>
                <w:sz w:val="21"/>
              </w:rPr>
              <w:t>依托在建生活垃圾焚烧项目</w:t>
            </w:r>
            <w:r>
              <w:rPr>
                <w:color w:val="auto"/>
                <w:sz w:val="21"/>
              </w:rPr>
              <w:t>焚烧处理</w:t>
            </w:r>
          </w:p>
        </w:tc>
        <w:tc>
          <w:tcPr>
            <w:tcW w:w="775" w:type="dxa"/>
            <w:tcBorders>
              <w:right w:val="single" w:color="auto" w:sz="4" w:space="0"/>
            </w:tcBorders>
            <w:vAlign w:val="center"/>
          </w:tcPr>
          <w:p>
            <w:pPr>
              <w:pStyle w:val="280"/>
              <w:snapToGrid w:val="0"/>
              <w:spacing w:line="240" w:lineRule="auto"/>
              <w:rPr>
                <w:color w:val="auto"/>
                <w:sz w:val="21"/>
              </w:rPr>
            </w:pPr>
            <w:r>
              <w:rPr>
                <w:color w:val="auto"/>
                <w:sz w:val="21"/>
              </w:rPr>
              <w:t>/</w:t>
            </w:r>
          </w:p>
        </w:tc>
        <w:tc>
          <w:tcPr>
            <w:tcW w:w="1148" w:type="dxa"/>
            <w:tcBorders>
              <w:right w:val="single" w:color="auto" w:sz="4" w:space="0"/>
            </w:tcBorders>
            <w:vAlign w:val="center"/>
          </w:tcPr>
          <w:p>
            <w:pPr>
              <w:pStyle w:val="280"/>
              <w:snapToGrid w:val="0"/>
              <w:spacing w:line="240" w:lineRule="auto"/>
              <w:rPr>
                <w:color w:val="auto"/>
                <w:sz w:val="21"/>
              </w:rPr>
            </w:pPr>
            <w:r>
              <w:rPr>
                <w:color w:val="auto"/>
                <w:sz w:val="21"/>
              </w:rPr>
              <w:t>/</w:t>
            </w:r>
          </w:p>
        </w:tc>
        <w:tc>
          <w:tcPr>
            <w:tcW w:w="924" w:type="dxa"/>
            <w:vAlign w:val="center"/>
          </w:tcPr>
          <w:p>
            <w:pPr>
              <w:pStyle w:val="280"/>
              <w:snapToGrid w:val="0"/>
              <w:spacing w:line="240" w:lineRule="auto"/>
              <w:rPr>
                <w:color w:val="auto"/>
                <w:sz w:val="21"/>
              </w:rPr>
            </w:pPr>
            <w:r>
              <w:rPr>
                <w:color w:val="auto"/>
                <w:sz w:val="21"/>
              </w:rPr>
              <w:t>/</w:t>
            </w:r>
          </w:p>
        </w:tc>
        <w:tc>
          <w:tcPr>
            <w:tcW w:w="854" w:type="dxa"/>
            <w:vAlign w:val="center"/>
          </w:tcPr>
          <w:p>
            <w:pPr>
              <w:pStyle w:val="280"/>
              <w:snapToGrid w:val="0"/>
              <w:spacing w:line="240" w:lineRule="auto"/>
              <w:rPr>
                <w:color w:val="auto"/>
                <w:sz w:val="21"/>
              </w:rPr>
            </w:pPr>
            <w:r>
              <w:rPr>
                <w:color w:val="auto"/>
                <w:sz w:val="21"/>
              </w:rPr>
              <w:t>/</w:t>
            </w:r>
          </w:p>
        </w:tc>
        <w:tc>
          <w:tcPr>
            <w:tcW w:w="804" w:type="dxa"/>
            <w:vAlign w:val="center"/>
          </w:tcPr>
          <w:p>
            <w:pPr>
              <w:pStyle w:val="280"/>
              <w:snapToGrid w:val="0"/>
              <w:spacing w:line="240" w:lineRule="auto"/>
              <w:rPr>
                <w:color w:val="auto"/>
                <w:sz w:val="21"/>
              </w:rPr>
            </w:pPr>
            <w:r>
              <w:rPr>
                <w:color w:val="auto"/>
                <w:sz w:val="21"/>
              </w:rPr>
              <w:t>/</w:t>
            </w:r>
          </w:p>
        </w:tc>
        <w:tc>
          <w:tcPr>
            <w:tcW w:w="932" w:type="dxa"/>
            <w:vMerge w:val="continue"/>
            <w:vAlign w:val="center"/>
          </w:tcPr>
          <w:p>
            <w:pPr>
              <w:pStyle w:val="280"/>
              <w:snapToGrid w:val="0"/>
              <w:spacing w:line="240" w:lineRule="auto"/>
              <w:rPr>
                <w:color w:val="auto"/>
                <w:sz w:val="21"/>
              </w:rPr>
            </w:pPr>
          </w:p>
        </w:tc>
        <w:tc>
          <w:tcPr>
            <w:tcW w:w="1335" w:type="dxa"/>
            <w:tcBorders>
              <w:right w:val="single" w:color="auto" w:sz="4" w:space="0"/>
            </w:tcBorders>
            <w:vAlign w:val="center"/>
          </w:tcPr>
          <w:p>
            <w:pPr>
              <w:pStyle w:val="280"/>
              <w:snapToGrid w:val="0"/>
              <w:spacing w:line="240" w:lineRule="auto"/>
              <w:rPr>
                <w:color w:val="auto"/>
                <w:sz w:val="21"/>
              </w:rPr>
            </w:pPr>
            <w:r>
              <w:rPr>
                <w:color w:val="auto"/>
                <w:sz w:val="21"/>
              </w:rPr>
              <w:t>/</w:t>
            </w:r>
          </w:p>
        </w:tc>
        <w:tc>
          <w:tcPr>
            <w:tcW w:w="2835" w:type="dxa"/>
            <w:vMerge w:val="continue"/>
            <w:tcBorders>
              <w:right w:val="nil"/>
            </w:tcBorders>
            <w:vAlign w:val="center"/>
          </w:tcPr>
          <w:p>
            <w:pPr>
              <w:pStyle w:val="280"/>
              <w:snapToGrid w:val="0"/>
              <w:spacing w:line="240" w:lineRule="auto"/>
              <w:rPr>
                <w:color w:val="auto"/>
                <w:sz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265" w:type="dxa"/>
            <w:gridSpan w:val="2"/>
            <w:vMerge w:val="continue"/>
            <w:vAlign w:val="center"/>
          </w:tcPr>
          <w:p>
            <w:pPr>
              <w:pStyle w:val="280"/>
              <w:snapToGrid w:val="0"/>
              <w:spacing w:line="240" w:lineRule="auto"/>
              <w:rPr>
                <w:color w:val="auto"/>
                <w:sz w:val="21"/>
              </w:rPr>
            </w:pPr>
          </w:p>
        </w:tc>
        <w:tc>
          <w:tcPr>
            <w:tcW w:w="557" w:type="dxa"/>
            <w:vMerge w:val="continue"/>
            <w:vAlign w:val="center"/>
          </w:tcPr>
          <w:p>
            <w:pPr>
              <w:pStyle w:val="280"/>
              <w:snapToGrid w:val="0"/>
              <w:spacing w:line="240" w:lineRule="auto"/>
              <w:rPr>
                <w:color w:val="auto"/>
                <w:sz w:val="21"/>
              </w:rPr>
            </w:pPr>
          </w:p>
        </w:tc>
        <w:tc>
          <w:tcPr>
            <w:tcW w:w="1731" w:type="dxa"/>
            <w:vAlign w:val="center"/>
          </w:tcPr>
          <w:p>
            <w:pPr>
              <w:pStyle w:val="280"/>
              <w:snapToGrid w:val="0"/>
              <w:spacing w:line="240" w:lineRule="auto"/>
              <w:rPr>
                <w:color w:val="auto"/>
                <w:sz w:val="21"/>
              </w:rPr>
            </w:pPr>
            <w:r>
              <w:rPr>
                <w:rFonts w:hint="eastAsia"/>
                <w:color w:val="auto"/>
                <w:sz w:val="21"/>
              </w:rPr>
              <w:t>沉淀池沉沙</w:t>
            </w:r>
          </w:p>
        </w:tc>
        <w:tc>
          <w:tcPr>
            <w:tcW w:w="2410" w:type="dxa"/>
            <w:tcBorders>
              <w:right w:val="single" w:color="auto" w:sz="4" w:space="0"/>
            </w:tcBorders>
            <w:vAlign w:val="center"/>
          </w:tcPr>
          <w:p>
            <w:pPr>
              <w:pStyle w:val="280"/>
              <w:snapToGrid w:val="0"/>
              <w:spacing w:line="240" w:lineRule="auto"/>
              <w:rPr>
                <w:color w:val="auto"/>
                <w:sz w:val="21"/>
              </w:rPr>
            </w:pPr>
            <w:r>
              <w:rPr>
                <w:rFonts w:hint="eastAsia"/>
                <w:color w:val="auto"/>
                <w:sz w:val="21"/>
              </w:rPr>
              <w:t>晾干后回填于建筑垃圾消纳场</w:t>
            </w:r>
          </w:p>
        </w:tc>
        <w:tc>
          <w:tcPr>
            <w:tcW w:w="775" w:type="dxa"/>
            <w:tcBorders>
              <w:right w:val="single" w:color="auto" w:sz="4" w:space="0"/>
            </w:tcBorders>
            <w:vAlign w:val="center"/>
          </w:tcPr>
          <w:p>
            <w:pPr>
              <w:pStyle w:val="280"/>
              <w:snapToGrid w:val="0"/>
              <w:spacing w:line="240" w:lineRule="auto"/>
              <w:rPr>
                <w:color w:val="auto"/>
                <w:sz w:val="21"/>
              </w:rPr>
            </w:pPr>
            <w:r>
              <w:rPr>
                <w:color w:val="auto"/>
                <w:sz w:val="21"/>
              </w:rPr>
              <w:t>/</w:t>
            </w:r>
          </w:p>
        </w:tc>
        <w:tc>
          <w:tcPr>
            <w:tcW w:w="1148" w:type="dxa"/>
            <w:tcBorders>
              <w:right w:val="single" w:color="auto" w:sz="4" w:space="0"/>
            </w:tcBorders>
            <w:vAlign w:val="center"/>
          </w:tcPr>
          <w:p>
            <w:pPr>
              <w:pStyle w:val="280"/>
              <w:snapToGrid w:val="0"/>
              <w:spacing w:line="240" w:lineRule="auto"/>
              <w:rPr>
                <w:color w:val="auto"/>
                <w:sz w:val="21"/>
              </w:rPr>
            </w:pPr>
            <w:r>
              <w:rPr>
                <w:color w:val="auto"/>
                <w:sz w:val="21"/>
              </w:rPr>
              <w:t>/</w:t>
            </w:r>
          </w:p>
        </w:tc>
        <w:tc>
          <w:tcPr>
            <w:tcW w:w="924" w:type="dxa"/>
            <w:vAlign w:val="center"/>
          </w:tcPr>
          <w:p>
            <w:pPr>
              <w:pStyle w:val="280"/>
              <w:snapToGrid w:val="0"/>
              <w:spacing w:line="240" w:lineRule="auto"/>
              <w:rPr>
                <w:color w:val="auto"/>
                <w:sz w:val="21"/>
              </w:rPr>
            </w:pPr>
            <w:r>
              <w:rPr>
                <w:color w:val="auto"/>
                <w:sz w:val="21"/>
              </w:rPr>
              <w:t>/</w:t>
            </w:r>
          </w:p>
        </w:tc>
        <w:tc>
          <w:tcPr>
            <w:tcW w:w="854" w:type="dxa"/>
            <w:vAlign w:val="center"/>
          </w:tcPr>
          <w:p>
            <w:pPr>
              <w:pStyle w:val="280"/>
              <w:snapToGrid w:val="0"/>
              <w:spacing w:line="240" w:lineRule="auto"/>
              <w:rPr>
                <w:color w:val="auto"/>
                <w:sz w:val="21"/>
              </w:rPr>
            </w:pPr>
            <w:r>
              <w:rPr>
                <w:color w:val="auto"/>
                <w:sz w:val="21"/>
              </w:rPr>
              <w:t>/</w:t>
            </w:r>
          </w:p>
        </w:tc>
        <w:tc>
          <w:tcPr>
            <w:tcW w:w="804" w:type="dxa"/>
            <w:vAlign w:val="center"/>
          </w:tcPr>
          <w:p>
            <w:pPr>
              <w:pStyle w:val="280"/>
              <w:snapToGrid w:val="0"/>
              <w:spacing w:line="240" w:lineRule="auto"/>
              <w:rPr>
                <w:color w:val="auto"/>
                <w:sz w:val="21"/>
              </w:rPr>
            </w:pPr>
            <w:r>
              <w:rPr>
                <w:color w:val="auto"/>
                <w:sz w:val="21"/>
              </w:rPr>
              <w:t>/</w:t>
            </w:r>
          </w:p>
        </w:tc>
        <w:tc>
          <w:tcPr>
            <w:tcW w:w="932" w:type="dxa"/>
            <w:vMerge w:val="continue"/>
            <w:vAlign w:val="center"/>
          </w:tcPr>
          <w:p>
            <w:pPr>
              <w:pStyle w:val="280"/>
              <w:snapToGrid w:val="0"/>
              <w:spacing w:line="240" w:lineRule="auto"/>
              <w:rPr>
                <w:color w:val="auto"/>
                <w:sz w:val="21"/>
              </w:rPr>
            </w:pPr>
          </w:p>
        </w:tc>
        <w:tc>
          <w:tcPr>
            <w:tcW w:w="1335" w:type="dxa"/>
            <w:tcBorders>
              <w:right w:val="single" w:color="auto" w:sz="4" w:space="0"/>
            </w:tcBorders>
            <w:vAlign w:val="center"/>
          </w:tcPr>
          <w:p>
            <w:pPr>
              <w:pStyle w:val="280"/>
              <w:snapToGrid w:val="0"/>
              <w:spacing w:line="240" w:lineRule="auto"/>
              <w:rPr>
                <w:color w:val="auto"/>
                <w:sz w:val="21"/>
              </w:rPr>
            </w:pPr>
            <w:r>
              <w:rPr>
                <w:color w:val="auto"/>
                <w:sz w:val="21"/>
              </w:rPr>
              <w:t>/</w:t>
            </w:r>
          </w:p>
        </w:tc>
        <w:tc>
          <w:tcPr>
            <w:tcW w:w="2835" w:type="dxa"/>
            <w:vMerge w:val="continue"/>
            <w:tcBorders>
              <w:right w:val="nil"/>
            </w:tcBorders>
            <w:vAlign w:val="center"/>
          </w:tcPr>
          <w:p>
            <w:pPr>
              <w:pStyle w:val="280"/>
              <w:snapToGrid w:val="0"/>
              <w:spacing w:line="240" w:lineRule="auto"/>
              <w:rPr>
                <w:color w:val="auto"/>
                <w:sz w:val="21"/>
              </w:rPr>
            </w:pPr>
          </w:p>
        </w:tc>
      </w:tr>
    </w:tbl>
    <w:p>
      <w:pPr>
        <w:spacing w:line="360" w:lineRule="auto"/>
        <w:rPr>
          <w:color w:val="auto"/>
        </w:rPr>
      </w:pPr>
    </w:p>
    <w:p>
      <w:pPr>
        <w:rPr>
          <w:color w:val="auto"/>
        </w:rPr>
      </w:pPr>
    </w:p>
    <w:p>
      <w:pPr>
        <w:tabs>
          <w:tab w:val="left" w:pos="3660"/>
        </w:tabs>
        <w:rPr>
          <w:color w:val="auto"/>
        </w:rPr>
      </w:pPr>
      <w:r>
        <w:rPr>
          <w:color w:val="auto"/>
        </w:rPr>
        <w:tab/>
      </w:r>
    </w:p>
    <w:p>
      <w:pPr>
        <w:rPr>
          <w:color w:val="auto"/>
        </w:rPr>
      </w:pPr>
    </w:p>
    <w:p>
      <w:pPr>
        <w:rPr>
          <w:color w:val="auto"/>
        </w:rPr>
        <w:sectPr>
          <w:pgSz w:w="16838" w:h="11906" w:orient="landscape"/>
          <w:pgMar w:top="1701" w:right="1134" w:bottom="1134" w:left="1134" w:header="851" w:footer="992" w:gutter="0"/>
          <w:pgNumType w:fmt="decimal"/>
          <w:cols w:space="425" w:num="1"/>
          <w:docGrid w:linePitch="326" w:charSpace="0"/>
        </w:sectPr>
      </w:pPr>
    </w:p>
    <w:p>
      <w:pPr>
        <w:pStyle w:val="3"/>
        <w:numPr>
          <w:ilvl w:val="0"/>
          <w:numId w:val="0"/>
        </w:numPr>
        <w:tabs>
          <w:tab w:val="clear" w:pos="680"/>
        </w:tabs>
        <w:ind w:left="576" w:hanging="576"/>
        <w:rPr>
          <w:rFonts w:ascii="Times New Roman"/>
          <w:bCs/>
          <w:color w:val="auto"/>
        </w:rPr>
      </w:pPr>
      <w:bookmarkStart w:id="933" w:name="_Toc14943345"/>
      <w:bookmarkStart w:id="934" w:name="_Toc25880"/>
      <w:bookmarkStart w:id="935" w:name="_Toc2328156"/>
      <w:bookmarkStart w:id="936" w:name="_Toc24136864"/>
      <w:bookmarkStart w:id="937" w:name="_Toc23263188"/>
      <w:r>
        <w:rPr>
          <w:rFonts w:ascii="Times New Roman"/>
          <w:bCs/>
          <w:color w:val="auto"/>
        </w:rPr>
        <w:t>8.5营运期环境管理和监测计划</w:t>
      </w:r>
      <w:bookmarkEnd w:id="933"/>
      <w:bookmarkEnd w:id="934"/>
      <w:bookmarkEnd w:id="935"/>
      <w:bookmarkEnd w:id="936"/>
      <w:bookmarkEnd w:id="937"/>
    </w:p>
    <w:p>
      <w:pPr>
        <w:keepNext/>
        <w:spacing w:before="120" w:beforeLines="50" w:after="120" w:afterLines="50"/>
        <w:ind w:left="720" w:hanging="720"/>
        <w:outlineLvl w:val="2"/>
        <w:rPr>
          <w:b/>
          <w:bCs/>
          <w:color w:val="auto"/>
          <w:szCs w:val="26"/>
        </w:rPr>
      </w:pPr>
      <w:bookmarkStart w:id="938" w:name="_Toc34234780"/>
      <w:bookmarkStart w:id="939" w:name="_Toc1916"/>
      <w:bookmarkStart w:id="940" w:name="_Toc14946952"/>
      <w:bookmarkStart w:id="941" w:name="_Toc24136865"/>
      <w:r>
        <w:rPr>
          <w:b/>
          <w:bCs/>
          <w:color w:val="auto"/>
          <w:szCs w:val="26"/>
        </w:rPr>
        <w:t>8.5.1环境管理</w:t>
      </w:r>
      <w:bookmarkEnd w:id="938"/>
      <w:bookmarkEnd w:id="939"/>
      <w:bookmarkEnd w:id="940"/>
      <w:bookmarkEnd w:id="941"/>
    </w:p>
    <w:p>
      <w:pPr>
        <w:spacing w:line="360" w:lineRule="auto"/>
        <w:ind w:firstLine="480"/>
        <w:rPr>
          <w:color w:val="auto"/>
        </w:rPr>
      </w:pPr>
      <w:r>
        <w:rPr>
          <w:color w:val="auto"/>
        </w:rPr>
        <w:t>（1）制定各种环保设施操作规程、定期维修制度，使各项环保措施在生产过程中处于良好的运行状态。</w:t>
      </w:r>
    </w:p>
    <w:p>
      <w:pPr>
        <w:spacing w:line="360" w:lineRule="auto"/>
        <w:ind w:firstLine="480"/>
        <w:rPr>
          <w:color w:val="auto"/>
        </w:rPr>
      </w:pPr>
      <w:r>
        <w:rPr>
          <w:color w:val="auto"/>
        </w:rPr>
        <w:t>（2）对于技术工人进行上岗前的环保知识、法规教育及操作规范的培训。使各项环保设施的操作规范化，保证环保设施的正常运转。</w:t>
      </w:r>
    </w:p>
    <w:p>
      <w:pPr>
        <w:spacing w:line="360" w:lineRule="auto"/>
        <w:ind w:firstLine="480"/>
        <w:rPr>
          <w:color w:val="auto"/>
        </w:rPr>
      </w:pPr>
      <w:r>
        <w:rPr>
          <w:color w:val="auto"/>
        </w:rPr>
        <w:t>（3）规范化设置排放口和相关设施（计量、标志牌等）。</w:t>
      </w:r>
    </w:p>
    <w:p>
      <w:pPr>
        <w:spacing w:line="360" w:lineRule="auto"/>
        <w:ind w:firstLine="480"/>
        <w:rPr>
          <w:color w:val="auto"/>
        </w:rPr>
      </w:pPr>
      <w:r>
        <w:rPr>
          <w:color w:val="auto"/>
        </w:rPr>
        <w:t>（4）加强对环保设施的运营管理，如环保设施出现故障，应立即停产检查，严禁非正常排放</w:t>
      </w:r>
      <w:r>
        <w:rPr>
          <w:color w:val="auto"/>
          <w:kern w:val="0"/>
        </w:rPr>
        <w:t>。</w:t>
      </w:r>
    </w:p>
    <w:p>
      <w:pPr>
        <w:spacing w:line="348" w:lineRule="auto"/>
        <w:ind w:firstLine="482"/>
        <w:rPr>
          <w:color w:val="auto"/>
        </w:rPr>
      </w:pPr>
      <w:r>
        <w:rPr>
          <w:color w:val="auto"/>
        </w:rPr>
        <w:t>（5）建立污染防治设施运行记录制度，对污染物处理效果定期检测，按月向环境保护行政主管部门报告运行情况，并按环境保护行政主管部门要求记录污染物排放量、设施运转情况、污染物监测数据。</w:t>
      </w:r>
    </w:p>
    <w:p>
      <w:pPr>
        <w:spacing w:line="348" w:lineRule="auto"/>
        <w:ind w:firstLine="482"/>
        <w:rPr>
          <w:color w:val="auto"/>
        </w:rPr>
      </w:pPr>
      <w:r>
        <w:rPr>
          <w:color w:val="auto"/>
        </w:rPr>
        <w:t>（6）建立企业环境管理目标责任制。在企业内部从领导到一般员工都要对本单位、本岗位的环境保护负责，将目标与指标层层分解，形成有时限、有定量考核指标，有专人负责的责任制度，每个职工既是生产者，又是环境保护的责任者。</w:t>
      </w:r>
    </w:p>
    <w:p>
      <w:pPr>
        <w:spacing w:line="360" w:lineRule="auto"/>
        <w:ind w:firstLine="480"/>
        <w:rPr>
          <w:color w:val="auto"/>
        </w:rPr>
      </w:pPr>
      <w:r>
        <w:rPr>
          <w:color w:val="auto"/>
        </w:rPr>
        <w:t>（7）加强与周围居民的联系，接受公众的监督，增加公众参与的力度。</w:t>
      </w:r>
    </w:p>
    <w:p>
      <w:pPr>
        <w:keepNext/>
        <w:spacing w:before="120" w:beforeLines="50" w:after="120" w:afterLines="50" w:line="360" w:lineRule="auto"/>
        <w:ind w:left="720" w:hanging="720"/>
        <w:outlineLvl w:val="2"/>
        <w:rPr>
          <w:b/>
          <w:bCs/>
          <w:color w:val="auto"/>
          <w:szCs w:val="26"/>
        </w:rPr>
      </w:pPr>
      <w:bookmarkStart w:id="942" w:name="_Toc246"/>
      <w:bookmarkStart w:id="943" w:name="_Toc24136866"/>
      <w:bookmarkStart w:id="944" w:name="_Toc34234781"/>
      <w:bookmarkStart w:id="945" w:name="_Toc14946953"/>
      <w:r>
        <w:rPr>
          <w:b/>
          <w:bCs/>
          <w:color w:val="auto"/>
          <w:szCs w:val="26"/>
        </w:rPr>
        <w:t>8.5.2</w:t>
      </w:r>
      <w:r>
        <w:rPr>
          <w:rFonts w:hint="eastAsia"/>
          <w:b/>
          <w:bCs/>
          <w:color w:val="auto"/>
          <w:szCs w:val="26"/>
        </w:rPr>
        <w:t>餐厨垃圾</w:t>
      </w:r>
      <w:r>
        <w:rPr>
          <w:b/>
          <w:bCs/>
          <w:color w:val="auto"/>
          <w:szCs w:val="26"/>
        </w:rPr>
        <w:t>环境监测计划</w:t>
      </w:r>
      <w:bookmarkEnd w:id="942"/>
      <w:bookmarkEnd w:id="943"/>
      <w:bookmarkEnd w:id="944"/>
      <w:bookmarkEnd w:id="945"/>
    </w:p>
    <w:p>
      <w:pPr>
        <w:spacing w:line="360" w:lineRule="auto"/>
        <w:ind w:firstLine="480"/>
        <w:rPr>
          <w:color w:val="auto"/>
        </w:rPr>
      </w:pPr>
      <w:r>
        <w:rPr>
          <w:rFonts w:hint="eastAsia"/>
          <w:color w:val="auto"/>
        </w:rPr>
        <w:t>按《排污单位自行监测技术指南 总则》（HJ819-2017）的要求，制定以下监测计划：</w:t>
      </w:r>
    </w:p>
    <w:p>
      <w:pPr>
        <w:jc w:val="center"/>
        <w:rPr>
          <w:b/>
          <w:color w:val="auto"/>
        </w:rPr>
      </w:pPr>
      <w:r>
        <w:rPr>
          <w:b/>
          <w:color w:val="auto"/>
        </w:rPr>
        <w:t xml:space="preserve">表 </w:t>
      </w:r>
      <w:r>
        <w:rPr>
          <w:rFonts w:hint="eastAsia"/>
          <w:b/>
          <w:color w:val="auto"/>
        </w:rPr>
        <w:t>8.5-1</w:t>
      </w:r>
      <w:r>
        <w:rPr>
          <w:b/>
          <w:color w:val="auto"/>
        </w:rPr>
        <w:t xml:space="preserve">  运营期</w:t>
      </w:r>
      <w:r>
        <w:rPr>
          <w:rFonts w:hint="eastAsia"/>
          <w:b/>
          <w:color w:val="auto"/>
        </w:rPr>
        <w:t>餐厨垃圾</w:t>
      </w:r>
      <w:r>
        <w:rPr>
          <w:b/>
          <w:color w:val="auto"/>
        </w:rPr>
        <w:t>污染源环境监测计划一览表</w:t>
      </w:r>
    </w:p>
    <w:tbl>
      <w:tblPr>
        <w:tblStyle w:val="53"/>
        <w:tblW w:w="9286"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59"/>
        <w:gridCol w:w="1287"/>
        <w:gridCol w:w="3404"/>
        <w:gridCol w:w="2895"/>
        <w:gridCol w:w="124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trPr>
        <w:tc>
          <w:tcPr>
            <w:tcW w:w="459" w:type="dxa"/>
            <w:tcBorders>
              <w:top w:val="single" w:color="auto" w:sz="18" w:space="0"/>
            </w:tcBorders>
            <w:vAlign w:val="center"/>
          </w:tcPr>
          <w:p>
            <w:pPr>
              <w:pStyle w:val="292"/>
              <w:jc w:val="left"/>
              <w:rPr>
                <w:b/>
                <w:color w:val="auto"/>
                <w:sz w:val="21"/>
                <w:szCs w:val="21"/>
              </w:rPr>
            </w:pPr>
            <w:r>
              <w:rPr>
                <w:b/>
                <w:color w:val="auto"/>
                <w:sz w:val="21"/>
                <w:szCs w:val="21"/>
              </w:rPr>
              <w:t>项目</w:t>
            </w:r>
          </w:p>
        </w:tc>
        <w:tc>
          <w:tcPr>
            <w:tcW w:w="1287" w:type="dxa"/>
            <w:tcBorders>
              <w:top w:val="single" w:color="auto" w:sz="18" w:space="0"/>
            </w:tcBorders>
            <w:vAlign w:val="center"/>
          </w:tcPr>
          <w:p>
            <w:pPr>
              <w:pStyle w:val="292"/>
              <w:rPr>
                <w:b/>
                <w:color w:val="auto"/>
                <w:sz w:val="21"/>
                <w:szCs w:val="21"/>
              </w:rPr>
            </w:pPr>
            <w:r>
              <w:rPr>
                <w:b/>
                <w:color w:val="auto"/>
                <w:sz w:val="21"/>
                <w:szCs w:val="21"/>
              </w:rPr>
              <w:t>监测点位</w:t>
            </w:r>
          </w:p>
        </w:tc>
        <w:tc>
          <w:tcPr>
            <w:tcW w:w="3404" w:type="dxa"/>
            <w:tcBorders>
              <w:top w:val="single" w:color="auto" w:sz="18" w:space="0"/>
            </w:tcBorders>
            <w:vAlign w:val="center"/>
          </w:tcPr>
          <w:p>
            <w:pPr>
              <w:pStyle w:val="292"/>
              <w:rPr>
                <w:b/>
                <w:color w:val="auto"/>
                <w:sz w:val="21"/>
                <w:szCs w:val="21"/>
              </w:rPr>
            </w:pPr>
            <w:r>
              <w:rPr>
                <w:b/>
                <w:color w:val="auto"/>
                <w:sz w:val="21"/>
                <w:szCs w:val="21"/>
              </w:rPr>
              <w:t>监测项目</w:t>
            </w:r>
          </w:p>
        </w:tc>
        <w:tc>
          <w:tcPr>
            <w:tcW w:w="2895" w:type="dxa"/>
            <w:tcBorders>
              <w:top w:val="single" w:color="auto" w:sz="18" w:space="0"/>
            </w:tcBorders>
            <w:vAlign w:val="center"/>
          </w:tcPr>
          <w:p>
            <w:pPr>
              <w:pStyle w:val="292"/>
              <w:rPr>
                <w:b/>
                <w:color w:val="auto"/>
                <w:sz w:val="21"/>
                <w:szCs w:val="21"/>
              </w:rPr>
            </w:pPr>
            <w:r>
              <w:rPr>
                <w:b/>
                <w:color w:val="auto"/>
                <w:sz w:val="21"/>
                <w:szCs w:val="21"/>
              </w:rPr>
              <w:t>执行标准</w:t>
            </w:r>
          </w:p>
        </w:tc>
        <w:tc>
          <w:tcPr>
            <w:tcW w:w="1241" w:type="dxa"/>
            <w:tcBorders>
              <w:top w:val="single" w:color="auto" w:sz="18" w:space="0"/>
            </w:tcBorders>
            <w:vAlign w:val="center"/>
          </w:tcPr>
          <w:p>
            <w:pPr>
              <w:pStyle w:val="292"/>
              <w:jc w:val="left"/>
              <w:rPr>
                <w:b/>
                <w:color w:val="auto"/>
                <w:sz w:val="21"/>
                <w:szCs w:val="21"/>
              </w:rPr>
            </w:pPr>
            <w:r>
              <w:rPr>
                <w:b/>
                <w:color w:val="auto"/>
                <w:sz w:val="21"/>
                <w:szCs w:val="21"/>
              </w:rPr>
              <w:t>监测频次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459" w:type="dxa"/>
            <w:vMerge w:val="restart"/>
            <w:vAlign w:val="center"/>
          </w:tcPr>
          <w:p>
            <w:pPr>
              <w:pStyle w:val="292"/>
              <w:ind w:firstLine="480"/>
              <w:rPr>
                <w:color w:val="auto"/>
                <w:sz w:val="21"/>
                <w:szCs w:val="21"/>
              </w:rPr>
            </w:pPr>
          </w:p>
          <w:p>
            <w:pPr>
              <w:jc w:val="center"/>
              <w:rPr>
                <w:color w:val="auto"/>
                <w:sz w:val="21"/>
                <w:szCs w:val="21"/>
              </w:rPr>
            </w:pPr>
          </w:p>
          <w:p>
            <w:pPr>
              <w:jc w:val="center"/>
              <w:rPr>
                <w:color w:val="auto"/>
                <w:sz w:val="21"/>
                <w:szCs w:val="21"/>
              </w:rPr>
            </w:pPr>
            <w:r>
              <w:rPr>
                <w:rFonts w:hint="eastAsia"/>
                <w:color w:val="auto"/>
                <w:sz w:val="21"/>
                <w:szCs w:val="21"/>
              </w:rPr>
              <w:t>废气</w:t>
            </w:r>
          </w:p>
        </w:tc>
        <w:tc>
          <w:tcPr>
            <w:tcW w:w="1287" w:type="dxa"/>
            <w:vAlign w:val="center"/>
          </w:tcPr>
          <w:p>
            <w:pPr>
              <w:pStyle w:val="292"/>
              <w:rPr>
                <w:color w:val="auto"/>
                <w:sz w:val="21"/>
                <w:szCs w:val="21"/>
              </w:rPr>
            </w:pPr>
            <w:r>
              <w:rPr>
                <w:rFonts w:hint="eastAsia"/>
                <w:color w:val="auto"/>
                <w:sz w:val="21"/>
                <w:szCs w:val="21"/>
              </w:rPr>
              <w:t>餐厨垃圾处理间除臭装置</w:t>
            </w:r>
            <w:r>
              <w:rPr>
                <w:rFonts w:hint="eastAsia" w:eastAsiaTheme="minorEastAsia"/>
                <w:color w:val="auto"/>
                <w:sz w:val="21"/>
                <w:szCs w:val="21"/>
              </w:rPr>
              <w:t>FQ-05</w:t>
            </w:r>
          </w:p>
        </w:tc>
        <w:tc>
          <w:tcPr>
            <w:tcW w:w="3404" w:type="dxa"/>
            <w:vAlign w:val="center"/>
          </w:tcPr>
          <w:p>
            <w:pPr>
              <w:pStyle w:val="292"/>
              <w:rPr>
                <w:color w:val="auto"/>
                <w:sz w:val="21"/>
                <w:szCs w:val="21"/>
              </w:rPr>
            </w:pPr>
            <w:r>
              <w:rPr>
                <w:rFonts w:hint="eastAsia"/>
                <w:color w:val="auto"/>
                <w:sz w:val="21"/>
                <w:szCs w:val="21"/>
              </w:rPr>
              <w:t>H</w:t>
            </w:r>
            <w:r>
              <w:rPr>
                <w:color w:val="auto"/>
                <w:sz w:val="21"/>
                <w:szCs w:val="21"/>
                <w:vertAlign w:val="subscript"/>
              </w:rPr>
              <w:t>2</w:t>
            </w:r>
            <w:r>
              <w:rPr>
                <w:color w:val="auto"/>
                <w:sz w:val="21"/>
                <w:szCs w:val="21"/>
              </w:rPr>
              <w:t>S</w:t>
            </w:r>
            <w:r>
              <w:rPr>
                <w:rFonts w:hint="eastAsia"/>
                <w:color w:val="auto"/>
                <w:sz w:val="21"/>
                <w:szCs w:val="21"/>
              </w:rPr>
              <w:t>、N</w:t>
            </w:r>
            <w:r>
              <w:rPr>
                <w:color w:val="auto"/>
                <w:sz w:val="21"/>
                <w:szCs w:val="21"/>
              </w:rPr>
              <w:t>H</w:t>
            </w:r>
            <w:r>
              <w:rPr>
                <w:color w:val="auto"/>
                <w:sz w:val="21"/>
                <w:szCs w:val="21"/>
                <w:vertAlign w:val="subscript"/>
              </w:rPr>
              <w:t>3</w:t>
            </w:r>
          </w:p>
        </w:tc>
        <w:tc>
          <w:tcPr>
            <w:tcW w:w="2895" w:type="dxa"/>
            <w:vAlign w:val="center"/>
          </w:tcPr>
          <w:p>
            <w:pPr>
              <w:pStyle w:val="292"/>
              <w:rPr>
                <w:color w:val="auto"/>
                <w:sz w:val="21"/>
                <w:szCs w:val="21"/>
              </w:rPr>
            </w:pPr>
            <w:r>
              <w:rPr>
                <w:color w:val="auto"/>
                <w:sz w:val="21"/>
                <w:szCs w:val="21"/>
              </w:rPr>
              <w:t>《恶臭污染物排放标准》（GB14554-93）中</w:t>
            </w:r>
            <w:r>
              <w:rPr>
                <w:rFonts w:hint="eastAsia"/>
                <w:color w:val="auto"/>
                <w:sz w:val="21"/>
                <w:szCs w:val="21"/>
              </w:rPr>
              <w:t>表2恶臭污染物排放标准值</w:t>
            </w:r>
          </w:p>
        </w:tc>
        <w:tc>
          <w:tcPr>
            <w:tcW w:w="1241" w:type="dxa"/>
            <w:vAlign w:val="center"/>
          </w:tcPr>
          <w:p>
            <w:pPr>
              <w:pStyle w:val="292"/>
              <w:rPr>
                <w:color w:val="auto"/>
                <w:sz w:val="21"/>
                <w:szCs w:val="21"/>
              </w:rPr>
            </w:pPr>
            <w:r>
              <w:rPr>
                <w:color w:val="auto"/>
                <w:sz w:val="21"/>
                <w:szCs w:val="21"/>
              </w:rPr>
              <w:t>1次/季</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459" w:type="dxa"/>
            <w:vMerge w:val="continue"/>
            <w:vAlign w:val="center"/>
          </w:tcPr>
          <w:p>
            <w:pPr>
              <w:pStyle w:val="292"/>
              <w:ind w:firstLine="480"/>
              <w:rPr>
                <w:color w:val="auto"/>
                <w:sz w:val="21"/>
                <w:szCs w:val="21"/>
              </w:rPr>
            </w:pPr>
          </w:p>
        </w:tc>
        <w:tc>
          <w:tcPr>
            <w:tcW w:w="1287" w:type="dxa"/>
            <w:vAlign w:val="center"/>
          </w:tcPr>
          <w:p>
            <w:pPr>
              <w:pStyle w:val="292"/>
              <w:rPr>
                <w:color w:val="auto"/>
                <w:sz w:val="21"/>
                <w:szCs w:val="21"/>
              </w:rPr>
            </w:pPr>
            <w:r>
              <w:rPr>
                <w:color w:val="auto"/>
                <w:sz w:val="21"/>
                <w:szCs w:val="21"/>
              </w:rPr>
              <w:t>厂界无组织废气</w:t>
            </w:r>
          </w:p>
        </w:tc>
        <w:tc>
          <w:tcPr>
            <w:tcW w:w="3404" w:type="dxa"/>
            <w:vAlign w:val="center"/>
          </w:tcPr>
          <w:p>
            <w:pPr>
              <w:pStyle w:val="292"/>
              <w:rPr>
                <w:color w:val="auto"/>
                <w:sz w:val="21"/>
                <w:szCs w:val="21"/>
              </w:rPr>
            </w:pPr>
            <w:r>
              <w:rPr>
                <w:color w:val="auto"/>
                <w:sz w:val="21"/>
                <w:szCs w:val="21"/>
              </w:rPr>
              <w:t>H</w:t>
            </w:r>
            <w:r>
              <w:rPr>
                <w:color w:val="auto"/>
                <w:sz w:val="21"/>
                <w:szCs w:val="21"/>
                <w:vertAlign w:val="subscript"/>
              </w:rPr>
              <w:t>2</w:t>
            </w:r>
            <w:r>
              <w:rPr>
                <w:color w:val="auto"/>
                <w:sz w:val="21"/>
                <w:szCs w:val="21"/>
              </w:rPr>
              <w:t>S、NH</w:t>
            </w:r>
            <w:r>
              <w:rPr>
                <w:color w:val="auto"/>
                <w:sz w:val="21"/>
                <w:szCs w:val="21"/>
                <w:vertAlign w:val="subscript"/>
              </w:rPr>
              <w:t>3</w:t>
            </w:r>
            <w:r>
              <w:rPr>
                <w:color w:val="auto"/>
                <w:sz w:val="21"/>
                <w:szCs w:val="21"/>
              </w:rPr>
              <w:t>、臭气浓度</w:t>
            </w:r>
          </w:p>
        </w:tc>
        <w:tc>
          <w:tcPr>
            <w:tcW w:w="2895" w:type="dxa"/>
            <w:vAlign w:val="center"/>
          </w:tcPr>
          <w:p>
            <w:pPr>
              <w:pStyle w:val="292"/>
              <w:rPr>
                <w:color w:val="auto"/>
                <w:sz w:val="21"/>
                <w:szCs w:val="21"/>
              </w:rPr>
            </w:pPr>
            <w:r>
              <w:rPr>
                <w:color w:val="auto"/>
                <w:sz w:val="21"/>
                <w:szCs w:val="21"/>
              </w:rPr>
              <w:t>《恶臭污染物排放标准》（GB14554-93）中二级新扩改建标准</w:t>
            </w:r>
          </w:p>
        </w:tc>
        <w:tc>
          <w:tcPr>
            <w:tcW w:w="1241" w:type="dxa"/>
            <w:vAlign w:val="center"/>
          </w:tcPr>
          <w:p>
            <w:pPr>
              <w:pStyle w:val="292"/>
              <w:rPr>
                <w:color w:val="auto"/>
                <w:sz w:val="21"/>
                <w:szCs w:val="21"/>
              </w:rPr>
            </w:pPr>
            <w:r>
              <w:rPr>
                <w:color w:val="auto"/>
                <w:sz w:val="21"/>
                <w:szCs w:val="21"/>
              </w:rPr>
              <w:t>1次/季</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459" w:type="dxa"/>
            <w:vAlign w:val="center"/>
          </w:tcPr>
          <w:p>
            <w:pPr>
              <w:pStyle w:val="292"/>
              <w:rPr>
                <w:color w:val="auto"/>
                <w:sz w:val="21"/>
                <w:szCs w:val="21"/>
              </w:rPr>
            </w:pPr>
            <w:r>
              <w:rPr>
                <w:color w:val="auto"/>
                <w:sz w:val="21"/>
                <w:szCs w:val="21"/>
              </w:rPr>
              <w:t>废水</w:t>
            </w:r>
          </w:p>
        </w:tc>
        <w:tc>
          <w:tcPr>
            <w:tcW w:w="1287" w:type="dxa"/>
            <w:vAlign w:val="center"/>
          </w:tcPr>
          <w:p>
            <w:pPr>
              <w:pStyle w:val="292"/>
              <w:rPr>
                <w:color w:val="auto"/>
                <w:sz w:val="21"/>
                <w:szCs w:val="21"/>
              </w:rPr>
            </w:pPr>
            <w:r>
              <w:rPr>
                <w:color w:val="auto"/>
                <w:sz w:val="21"/>
                <w:szCs w:val="21"/>
              </w:rPr>
              <w:t>厂区雨水排口</w:t>
            </w:r>
          </w:p>
        </w:tc>
        <w:tc>
          <w:tcPr>
            <w:tcW w:w="3404" w:type="dxa"/>
            <w:vAlign w:val="center"/>
          </w:tcPr>
          <w:p>
            <w:pPr>
              <w:pStyle w:val="292"/>
              <w:rPr>
                <w:color w:val="auto"/>
                <w:sz w:val="21"/>
                <w:szCs w:val="21"/>
              </w:rPr>
            </w:pPr>
            <w:r>
              <w:rPr>
                <w:color w:val="auto"/>
                <w:sz w:val="21"/>
                <w:szCs w:val="21"/>
              </w:rPr>
              <w:t>COD、</w:t>
            </w:r>
            <w:r>
              <w:rPr>
                <w:rFonts w:hint="eastAsia"/>
                <w:color w:val="auto"/>
                <w:sz w:val="21"/>
                <w:szCs w:val="21"/>
              </w:rPr>
              <w:t>氨氮</w:t>
            </w:r>
          </w:p>
        </w:tc>
        <w:tc>
          <w:tcPr>
            <w:tcW w:w="2895" w:type="dxa"/>
            <w:vAlign w:val="center"/>
          </w:tcPr>
          <w:p>
            <w:pPr>
              <w:pStyle w:val="292"/>
              <w:rPr>
                <w:color w:val="auto"/>
                <w:sz w:val="21"/>
                <w:szCs w:val="21"/>
              </w:rPr>
            </w:pPr>
            <w:r>
              <w:rPr>
                <w:color w:val="auto"/>
                <w:sz w:val="21"/>
                <w:szCs w:val="21"/>
              </w:rPr>
              <w:t>/</w:t>
            </w:r>
          </w:p>
        </w:tc>
        <w:tc>
          <w:tcPr>
            <w:tcW w:w="1241" w:type="dxa"/>
            <w:vAlign w:val="center"/>
          </w:tcPr>
          <w:p>
            <w:pPr>
              <w:pStyle w:val="292"/>
              <w:rPr>
                <w:color w:val="auto"/>
                <w:sz w:val="21"/>
                <w:szCs w:val="21"/>
              </w:rPr>
            </w:pPr>
            <w:r>
              <w:rPr>
                <w:color w:val="auto"/>
                <w:sz w:val="21"/>
                <w:szCs w:val="21"/>
              </w:rPr>
              <w:t>1次/</w:t>
            </w:r>
            <w:r>
              <w:rPr>
                <w:rFonts w:hint="eastAsia"/>
                <w:color w:val="auto"/>
                <w:sz w:val="21"/>
                <w:szCs w:val="21"/>
              </w:rPr>
              <w:t>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459" w:type="dxa"/>
            <w:vAlign w:val="center"/>
          </w:tcPr>
          <w:p>
            <w:pPr>
              <w:pStyle w:val="292"/>
              <w:rPr>
                <w:color w:val="auto"/>
                <w:sz w:val="21"/>
                <w:szCs w:val="21"/>
              </w:rPr>
            </w:pPr>
            <w:r>
              <w:rPr>
                <w:color w:val="auto"/>
                <w:sz w:val="21"/>
                <w:szCs w:val="21"/>
              </w:rPr>
              <w:t>噪声</w:t>
            </w:r>
          </w:p>
        </w:tc>
        <w:tc>
          <w:tcPr>
            <w:tcW w:w="1287" w:type="dxa"/>
            <w:vAlign w:val="center"/>
          </w:tcPr>
          <w:p>
            <w:pPr>
              <w:pStyle w:val="292"/>
              <w:rPr>
                <w:color w:val="auto"/>
                <w:sz w:val="21"/>
                <w:szCs w:val="21"/>
              </w:rPr>
            </w:pPr>
            <w:r>
              <w:rPr>
                <w:color w:val="auto"/>
                <w:sz w:val="21"/>
                <w:szCs w:val="21"/>
              </w:rPr>
              <w:t>厂界</w:t>
            </w:r>
          </w:p>
        </w:tc>
        <w:tc>
          <w:tcPr>
            <w:tcW w:w="3404" w:type="dxa"/>
            <w:vAlign w:val="center"/>
          </w:tcPr>
          <w:p>
            <w:pPr>
              <w:pStyle w:val="292"/>
              <w:rPr>
                <w:color w:val="auto"/>
                <w:sz w:val="21"/>
                <w:szCs w:val="21"/>
              </w:rPr>
            </w:pPr>
            <w:r>
              <w:rPr>
                <w:color w:val="auto"/>
                <w:sz w:val="21"/>
                <w:szCs w:val="21"/>
              </w:rPr>
              <w:t>等效连续 A 声级</w:t>
            </w:r>
          </w:p>
        </w:tc>
        <w:tc>
          <w:tcPr>
            <w:tcW w:w="2895" w:type="dxa"/>
            <w:vAlign w:val="center"/>
          </w:tcPr>
          <w:p>
            <w:pPr>
              <w:pStyle w:val="292"/>
              <w:rPr>
                <w:color w:val="auto"/>
                <w:sz w:val="21"/>
                <w:szCs w:val="21"/>
              </w:rPr>
            </w:pPr>
            <w:r>
              <w:rPr>
                <w:color w:val="auto"/>
                <w:sz w:val="21"/>
                <w:szCs w:val="21"/>
              </w:rPr>
              <w:t>《工业企业厂界环境噪声排放标准》（GB 12348-2008）中2类标准</w:t>
            </w:r>
          </w:p>
        </w:tc>
        <w:tc>
          <w:tcPr>
            <w:tcW w:w="1241" w:type="dxa"/>
            <w:vAlign w:val="center"/>
          </w:tcPr>
          <w:p>
            <w:pPr>
              <w:pStyle w:val="292"/>
              <w:rPr>
                <w:color w:val="auto"/>
                <w:sz w:val="21"/>
                <w:szCs w:val="21"/>
              </w:rPr>
            </w:pPr>
            <w:r>
              <w:rPr>
                <w:color w:val="auto"/>
                <w:sz w:val="21"/>
                <w:szCs w:val="21"/>
              </w:rPr>
              <w:t>1次/季，每次监测昼间、夜间噪声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746" w:type="dxa"/>
            <w:gridSpan w:val="2"/>
            <w:vAlign w:val="center"/>
          </w:tcPr>
          <w:p>
            <w:pPr>
              <w:pStyle w:val="292"/>
              <w:rPr>
                <w:color w:val="auto"/>
                <w:sz w:val="21"/>
                <w:szCs w:val="21"/>
              </w:rPr>
            </w:pPr>
            <w:r>
              <w:rPr>
                <w:rFonts w:hint="eastAsia"/>
                <w:color w:val="auto"/>
                <w:sz w:val="21"/>
                <w:szCs w:val="21"/>
              </w:rPr>
              <w:t>环境风险防范</w:t>
            </w:r>
          </w:p>
        </w:tc>
        <w:tc>
          <w:tcPr>
            <w:tcW w:w="6299" w:type="dxa"/>
            <w:gridSpan w:val="2"/>
            <w:vAlign w:val="center"/>
          </w:tcPr>
          <w:p>
            <w:pPr>
              <w:pStyle w:val="292"/>
              <w:rPr>
                <w:color w:val="auto"/>
                <w:sz w:val="21"/>
                <w:szCs w:val="21"/>
              </w:rPr>
            </w:pPr>
            <w:r>
              <w:rPr>
                <w:rFonts w:hint="eastAsia"/>
                <w:color w:val="auto"/>
                <w:sz w:val="21"/>
                <w:szCs w:val="21"/>
              </w:rPr>
              <w:t>制定环境风险应急预案和防范措施</w:t>
            </w:r>
          </w:p>
        </w:tc>
        <w:tc>
          <w:tcPr>
            <w:tcW w:w="1241" w:type="dxa"/>
            <w:vAlign w:val="center"/>
          </w:tcPr>
          <w:p>
            <w:pPr>
              <w:pStyle w:val="292"/>
              <w:rPr>
                <w:color w:val="auto"/>
                <w:sz w:val="21"/>
                <w:szCs w:val="21"/>
              </w:rPr>
            </w:pPr>
            <w:r>
              <w:rPr>
                <w:rFonts w:hint="eastAsia"/>
                <w:color w:val="auto"/>
                <w:sz w:val="21"/>
                <w:szCs w:val="21"/>
              </w:rPr>
              <w:t>调查相关报告和演练记录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746" w:type="dxa"/>
            <w:gridSpan w:val="2"/>
            <w:vAlign w:val="center"/>
          </w:tcPr>
          <w:p>
            <w:pPr>
              <w:pStyle w:val="292"/>
              <w:rPr>
                <w:color w:val="auto"/>
                <w:sz w:val="21"/>
                <w:szCs w:val="21"/>
              </w:rPr>
            </w:pPr>
            <w:r>
              <w:rPr>
                <w:rFonts w:hint="eastAsia"/>
                <w:color w:val="auto"/>
                <w:sz w:val="21"/>
                <w:szCs w:val="21"/>
              </w:rPr>
              <w:t>环保设施原辅料用量</w:t>
            </w:r>
          </w:p>
        </w:tc>
        <w:tc>
          <w:tcPr>
            <w:tcW w:w="6299" w:type="dxa"/>
            <w:gridSpan w:val="2"/>
            <w:vAlign w:val="center"/>
          </w:tcPr>
          <w:p>
            <w:pPr>
              <w:pStyle w:val="292"/>
              <w:rPr>
                <w:color w:val="auto"/>
                <w:sz w:val="21"/>
                <w:szCs w:val="21"/>
              </w:rPr>
            </w:pPr>
            <w:r>
              <w:rPr>
                <w:rFonts w:hint="eastAsia"/>
                <w:color w:val="auto"/>
                <w:sz w:val="21"/>
                <w:szCs w:val="21"/>
              </w:rPr>
              <w:t>对厂区环保设施使用到的硫酸和氢氧化钠等主要原辅料进货及使用量进行台账记录</w:t>
            </w:r>
          </w:p>
        </w:tc>
        <w:tc>
          <w:tcPr>
            <w:tcW w:w="1241" w:type="dxa"/>
            <w:vAlign w:val="center"/>
          </w:tcPr>
          <w:p>
            <w:pPr>
              <w:pStyle w:val="292"/>
              <w:rPr>
                <w:color w:val="auto"/>
                <w:sz w:val="21"/>
                <w:szCs w:val="21"/>
              </w:rPr>
            </w:pPr>
            <w:r>
              <w:rPr>
                <w:rFonts w:hint="eastAsia"/>
                <w:color w:val="auto"/>
                <w:sz w:val="21"/>
                <w:szCs w:val="21"/>
              </w:rPr>
              <w:t>每天实时记录</w:t>
            </w:r>
          </w:p>
        </w:tc>
      </w:tr>
    </w:tbl>
    <w:p>
      <w:pPr>
        <w:keepNext/>
        <w:spacing w:before="120" w:beforeLines="50" w:after="120" w:afterLines="50"/>
        <w:ind w:left="720" w:hanging="720"/>
        <w:outlineLvl w:val="2"/>
        <w:rPr>
          <w:b/>
          <w:bCs/>
          <w:color w:val="auto"/>
          <w:szCs w:val="26"/>
        </w:rPr>
      </w:pPr>
      <w:bookmarkStart w:id="946" w:name="_Toc10755"/>
      <w:bookmarkStart w:id="947" w:name="_Toc24136867"/>
      <w:bookmarkStart w:id="948" w:name="_Toc34234782"/>
      <w:bookmarkStart w:id="949" w:name="_Toc14946954"/>
      <w:r>
        <w:rPr>
          <w:b/>
          <w:bCs/>
          <w:color w:val="auto"/>
          <w:szCs w:val="26"/>
        </w:rPr>
        <w:t>8.5.3</w:t>
      </w:r>
      <w:r>
        <w:rPr>
          <w:rFonts w:hint="eastAsia"/>
          <w:b/>
          <w:bCs/>
          <w:color w:val="auto"/>
          <w:szCs w:val="26"/>
        </w:rPr>
        <w:t>建筑垃圾消纳</w:t>
      </w:r>
      <w:r>
        <w:rPr>
          <w:b/>
          <w:bCs/>
          <w:color w:val="auto"/>
          <w:szCs w:val="26"/>
        </w:rPr>
        <w:t>场环境监测计划</w:t>
      </w:r>
      <w:bookmarkEnd w:id="946"/>
      <w:bookmarkEnd w:id="947"/>
      <w:bookmarkEnd w:id="948"/>
      <w:bookmarkEnd w:id="949"/>
    </w:p>
    <w:p>
      <w:pPr>
        <w:jc w:val="center"/>
        <w:rPr>
          <w:b/>
          <w:color w:val="auto"/>
        </w:rPr>
      </w:pPr>
      <w:r>
        <w:rPr>
          <w:b/>
          <w:color w:val="auto"/>
        </w:rPr>
        <w:t xml:space="preserve">表 </w:t>
      </w:r>
      <w:r>
        <w:rPr>
          <w:rFonts w:hint="eastAsia"/>
          <w:b/>
          <w:color w:val="auto"/>
        </w:rPr>
        <w:t>8.5-2</w:t>
      </w:r>
      <w:r>
        <w:rPr>
          <w:b/>
          <w:color w:val="auto"/>
        </w:rPr>
        <w:t xml:space="preserve">  运营期卫生填埋场主要监测计划内容表</w:t>
      </w:r>
    </w:p>
    <w:tbl>
      <w:tblPr>
        <w:tblStyle w:val="53"/>
        <w:tblW w:w="9286"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17"/>
        <w:gridCol w:w="1794"/>
        <w:gridCol w:w="1573"/>
        <w:gridCol w:w="3137"/>
        <w:gridCol w:w="216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2411" w:type="dxa"/>
            <w:gridSpan w:val="2"/>
            <w:tcBorders>
              <w:top w:val="single" w:color="auto" w:sz="18" w:space="0"/>
            </w:tcBorders>
            <w:vAlign w:val="center"/>
          </w:tcPr>
          <w:p>
            <w:pPr>
              <w:pStyle w:val="292"/>
              <w:rPr>
                <w:b/>
                <w:color w:val="auto"/>
                <w:szCs w:val="21"/>
              </w:rPr>
            </w:pPr>
            <w:r>
              <w:rPr>
                <w:b/>
                <w:color w:val="auto"/>
                <w:szCs w:val="21"/>
              </w:rPr>
              <w:t>监测项目</w:t>
            </w:r>
          </w:p>
        </w:tc>
        <w:tc>
          <w:tcPr>
            <w:tcW w:w="1573" w:type="dxa"/>
            <w:tcBorders>
              <w:top w:val="single" w:color="auto" w:sz="18" w:space="0"/>
            </w:tcBorders>
            <w:vAlign w:val="center"/>
          </w:tcPr>
          <w:p>
            <w:pPr>
              <w:pStyle w:val="292"/>
              <w:rPr>
                <w:b/>
                <w:color w:val="auto"/>
                <w:szCs w:val="21"/>
              </w:rPr>
            </w:pPr>
            <w:r>
              <w:rPr>
                <w:b/>
                <w:color w:val="auto"/>
                <w:szCs w:val="21"/>
              </w:rPr>
              <w:t>执行标准</w:t>
            </w:r>
          </w:p>
        </w:tc>
        <w:tc>
          <w:tcPr>
            <w:tcW w:w="3137" w:type="dxa"/>
            <w:tcBorders>
              <w:top w:val="single" w:color="auto" w:sz="18" w:space="0"/>
            </w:tcBorders>
            <w:vAlign w:val="center"/>
          </w:tcPr>
          <w:p>
            <w:pPr>
              <w:pStyle w:val="292"/>
              <w:rPr>
                <w:b/>
                <w:color w:val="auto"/>
                <w:szCs w:val="21"/>
              </w:rPr>
            </w:pPr>
            <w:r>
              <w:rPr>
                <w:b/>
                <w:color w:val="auto"/>
                <w:szCs w:val="21"/>
              </w:rPr>
              <w:t>监测位置</w:t>
            </w:r>
          </w:p>
        </w:tc>
        <w:tc>
          <w:tcPr>
            <w:tcW w:w="2165" w:type="dxa"/>
            <w:tcBorders>
              <w:top w:val="single" w:color="auto" w:sz="18" w:space="0"/>
            </w:tcBorders>
            <w:vAlign w:val="center"/>
          </w:tcPr>
          <w:p>
            <w:pPr>
              <w:pStyle w:val="292"/>
              <w:rPr>
                <w:b/>
                <w:color w:val="auto"/>
                <w:szCs w:val="21"/>
              </w:rPr>
            </w:pPr>
            <w:r>
              <w:rPr>
                <w:b/>
                <w:color w:val="auto"/>
                <w:szCs w:val="21"/>
              </w:rPr>
              <w:t>监测频次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617" w:type="dxa"/>
            <w:vAlign w:val="center"/>
          </w:tcPr>
          <w:p>
            <w:pPr>
              <w:pStyle w:val="292"/>
              <w:rPr>
                <w:color w:val="auto"/>
                <w:szCs w:val="21"/>
              </w:rPr>
            </w:pPr>
            <w:r>
              <w:rPr>
                <w:color w:val="auto"/>
                <w:szCs w:val="21"/>
              </w:rPr>
              <w:t>地下水</w:t>
            </w:r>
          </w:p>
        </w:tc>
        <w:tc>
          <w:tcPr>
            <w:tcW w:w="1794" w:type="dxa"/>
            <w:vAlign w:val="center"/>
          </w:tcPr>
          <w:p>
            <w:pPr>
              <w:pStyle w:val="292"/>
              <w:rPr>
                <w:color w:val="auto"/>
                <w:szCs w:val="21"/>
              </w:rPr>
            </w:pPr>
            <w:r>
              <w:rPr>
                <w:color w:val="auto"/>
                <w:szCs w:val="21"/>
              </w:rPr>
              <w:t>pH、总硬度、溶解性总固体、高锰酸盐指数、氨氮、硝酸盐、亚硝酸盐、硫酸盐、氯化物、挥发酚、氰化物、砷、汞、六价铬、总铬、铅、铜、氟、镉、铁、锰、锌、总大肠菌群</w:t>
            </w:r>
          </w:p>
        </w:tc>
        <w:tc>
          <w:tcPr>
            <w:tcW w:w="1573" w:type="dxa"/>
            <w:vMerge w:val="restart"/>
            <w:vAlign w:val="center"/>
          </w:tcPr>
          <w:p>
            <w:pPr>
              <w:pStyle w:val="292"/>
              <w:rPr>
                <w:color w:val="auto"/>
                <w:szCs w:val="21"/>
              </w:rPr>
            </w:pPr>
            <w:r>
              <w:rPr>
                <w:color w:val="auto"/>
                <w:szCs w:val="21"/>
              </w:rPr>
              <w:t>《生活垃圾填埋场污染控制标准》（GB 16889-2008）</w:t>
            </w:r>
          </w:p>
        </w:tc>
        <w:tc>
          <w:tcPr>
            <w:tcW w:w="3137" w:type="dxa"/>
            <w:vAlign w:val="center"/>
          </w:tcPr>
          <w:p>
            <w:pPr>
              <w:pStyle w:val="292"/>
              <w:rPr>
                <w:color w:val="auto"/>
                <w:szCs w:val="21"/>
              </w:rPr>
            </w:pPr>
            <w:r>
              <w:rPr>
                <w:rFonts w:hint="eastAsia"/>
                <w:color w:val="auto"/>
                <w:szCs w:val="21"/>
              </w:rPr>
              <w:t>本底井一眼：设在填埋场地下水流向上游</w:t>
            </w:r>
            <w:r>
              <w:rPr>
                <w:color w:val="auto"/>
                <w:szCs w:val="21"/>
              </w:rPr>
              <w:t>30m~50m</w:t>
            </w:r>
            <w:r>
              <w:rPr>
                <w:rFonts w:hint="eastAsia"/>
                <w:color w:val="auto"/>
                <w:szCs w:val="21"/>
              </w:rPr>
              <w:t>处；污染扩散井一眼：设在垂直填埋场地下水走向的一侧</w:t>
            </w:r>
            <w:r>
              <w:rPr>
                <w:color w:val="auto"/>
                <w:szCs w:val="21"/>
              </w:rPr>
              <w:t>30m~50m</w:t>
            </w:r>
            <w:r>
              <w:rPr>
                <w:rFonts w:hint="eastAsia"/>
                <w:color w:val="auto"/>
                <w:szCs w:val="21"/>
              </w:rPr>
              <w:t>处；污染监视井一眼：设在填埋场地下水流向下</w:t>
            </w:r>
            <w:r>
              <w:rPr>
                <w:rFonts w:hint="eastAsia"/>
                <w:color w:val="auto"/>
                <w:szCs w:val="21"/>
                <w:lang w:val="en-US" w:eastAsia="zh-CN"/>
              </w:rPr>
              <w:t>30m、</w:t>
            </w:r>
            <w:r>
              <w:rPr>
                <w:color w:val="auto"/>
                <w:szCs w:val="21"/>
              </w:rPr>
              <w:t>50m</w:t>
            </w:r>
            <w:r>
              <w:rPr>
                <w:rFonts w:hint="eastAsia"/>
                <w:color w:val="auto"/>
                <w:szCs w:val="21"/>
              </w:rPr>
              <w:t>处。</w:t>
            </w:r>
          </w:p>
        </w:tc>
        <w:tc>
          <w:tcPr>
            <w:tcW w:w="2165" w:type="dxa"/>
            <w:vAlign w:val="center"/>
          </w:tcPr>
          <w:p>
            <w:pPr>
              <w:autoSpaceDE w:val="0"/>
              <w:autoSpaceDN w:val="0"/>
              <w:adjustRightInd w:val="0"/>
              <w:rPr>
                <w:rFonts w:ascii="宋体" w:cs="宋体"/>
                <w:color w:val="auto"/>
                <w:kern w:val="0"/>
                <w:sz w:val="21"/>
                <w:szCs w:val="21"/>
              </w:rPr>
            </w:pPr>
            <w:r>
              <w:rPr>
                <w:rFonts w:hint="eastAsia" w:ascii="宋体" w:cs="宋体"/>
                <w:color w:val="auto"/>
                <w:kern w:val="0"/>
                <w:sz w:val="21"/>
                <w:szCs w:val="21"/>
              </w:rPr>
              <w:t>在填埋场投入运行前</w:t>
            </w:r>
          </w:p>
          <w:p>
            <w:pPr>
              <w:pStyle w:val="292"/>
              <w:rPr>
                <w:color w:val="auto"/>
                <w:szCs w:val="21"/>
              </w:rPr>
            </w:pPr>
            <w:r>
              <w:rPr>
                <w:rFonts w:hint="eastAsia" w:ascii="宋体" w:cs="宋体"/>
                <w:color w:val="auto"/>
                <w:szCs w:val="21"/>
              </w:rPr>
              <w:t>应监测一次本底值，</w:t>
            </w:r>
            <w:r>
              <w:rPr>
                <w:color w:val="auto"/>
                <w:szCs w:val="21"/>
              </w:rPr>
              <w:t>对污染扩散井和污染监测井监测频率应不少于1月一次，对本底井监测频率应不少于</w:t>
            </w:r>
            <w:r>
              <w:rPr>
                <w:rFonts w:hint="eastAsia"/>
                <w:color w:val="auto"/>
                <w:szCs w:val="21"/>
                <w:lang w:val="en-US" w:eastAsia="zh-CN"/>
              </w:rPr>
              <w:t>1季</w:t>
            </w:r>
            <w:r>
              <w:rPr>
                <w:color w:val="auto"/>
                <w:szCs w:val="21"/>
              </w:rPr>
              <w:t>一次</w:t>
            </w:r>
            <w:r>
              <w:rPr>
                <w:rFonts w:hint="eastAsia"/>
                <w:color w:val="auto"/>
                <w:szCs w:val="21"/>
              </w:rPr>
              <w:t>。</w:t>
            </w:r>
            <w:r>
              <w:rPr>
                <w:color w:val="auto"/>
                <w:szCs w:val="21"/>
              </w:rPr>
              <w:t xml:space="preserve">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617" w:type="dxa"/>
            <w:vAlign w:val="center"/>
          </w:tcPr>
          <w:p>
            <w:pPr>
              <w:pStyle w:val="292"/>
              <w:rPr>
                <w:color w:val="auto"/>
                <w:szCs w:val="21"/>
              </w:rPr>
            </w:pPr>
            <w:r>
              <w:rPr>
                <w:rFonts w:hint="eastAsia"/>
                <w:color w:val="auto"/>
                <w:szCs w:val="21"/>
              </w:rPr>
              <w:t>淋溶</w:t>
            </w:r>
            <w:r>
              <w:rPr>
                <w:color w:val="auto"/>
                <w:szCs w:val="21"/>
              </w:rPr>
              <w:t>液</w:t>
            </w:r>
          </w:p>
        </w:tc>
        <w:tc>
          <w:tcPr>
            <w:tcW w:w="1794" w:type="dxa"/>
            <w:vAlign w:val="center"/>
          </w:tcPr>
          <w:p>
            <w:pPr>
              <w:pStyle w:val="292"/>
              <w:rPr>
                <w:color w:val="auto"/>
                <w:szCs w:val="21"/>
              </w:rPr>
            </w:pPr>
            <w:r>
              <w:rPr>
                <w:color w:val="auto"/>
                <w:szCs w:val="21"/>
              </w:rPr>
              <w:t xml:space="preserve">pH </w:t>
            </w:r>
            <w:r>
              <w:rPr>
                <w:rFonts w:hint="eastAsia"/>
                <w:color w:val="auto"/>
                <w:szCs w:val="21"/>
              </w:rPr>
              <w:t>值、溶解氧、</w:t>
            </w:r>
          </w:p>
          <w:p>
            <w:pPr>
              <w:pStyle w:val="292"/>
              <w:rPr>
                <w:color w:val="auto"/>
                <w:szCs w:val="21"/>
              </w:rPr>
            </w:pPr>
            <w:r>
              <w:rPr>
                <w:color w:val="auto"/>
                <w:szCs w:val="21"/>
              </w:rPr>
              <w:t>COD</w:t>
            </w:r>
            <w:r>
              <w:rPr>
                <w:color w:val="auto"/>
                <w:szCs w:val="21"/>
                <w:vertAlign w:val="subscript"/>
              </w:rPr>
              <w:t>Mn</w:t>
            </w:r>
            <w:r>
              <w:rPr>
                <w:rFonts w:hint="eastAsia"/>
                <w:color w:val="auto"/>
                <w:szCs w:val="21"/>
              </w:rPr>
              <w:t>、氨氮、总磷、石油类、挥发酚、</w:t>
            </w:r>
            <w:r>
              <w:rPr>
                <w:color w:val="auto"/>
                <w:szCs w:val="21"/>
              </w:rPr>
              <w:t>砷、汞、六价铬、总铬、铅、铜、镉、铁、锰</w:t>
            </w:r>
            <w:r>
              <w:rPr>
                <w:rFonts w:hint="eastAsia"/>
                <w:color w:val="auto"/>
                <w:szCs w:val="21"/>
              </w:rPr>
              <w:t>等</w:t>
            </w:r>
          </w:p>
        </w:tc>
        <w:tc>
          <w:tcPr>
            <w:tcW w:w="1573" w:type="dxa"/>
            <w:vMerge w:val="continue"/>
            <w:vAlign w:val="center"/>
          </w:tcPr>
          <w:p>
            <w:pPr>
              <w:pStyle w:val="292"/>
              <w:ind w:firstLine="480"/>
              <w:rPr>
                <w:color w:val="auto"/>
                <w:szCs w:val="21"/>
              </w:rPr>
            </w:pPr>
          </w:p>
        </w:tc>
        <w:tc>
          <w:tcPr>
            <w:tcW w:w="3137" w:type="dxa"/>
            <w:vAlign w:val="center"/>
          </w:tcPr>
          <w:p>
            <w:pPr>
              <w:pStyle w:val="292"/>
              <w:rPr>
                <w:color w:val="auto"/>
                <w:szCs w:val="21"/>
              </w:rPr>
            </w:pPr>
            <w:r>
              <w:rPr>
                <w:color w:val="auto"/>
                <w:szCs w:val="21"/>
              </w:rPr>
              <w:t>监测点为：</w:t>
            </w:r>
            <w:r>
              <w:rPr>
                <w:rFonts w:hint="eastAsia"/>
                <w:color w:val="auto"/>
                <w:szCs w:val="21"/>
              </w:rPr>
              <w:t>淋溶液</w:t>
            </w:r>
            <w:r>
              <w:rPr>
                <w:color w:val="auto"/>
                <w:szCs w:val="21"/>
              </w:rPr>
              <w:t xml:space="preserve">收集井 </w:t>
            </w:r>
          </w:p>
        </w:tc>
        <w:tc>
          <w:tcPr>
            <w:tcW w:w="2165" w:type="dxa"/>
            <w:vAlign w:val="center"/>
          </w:tcPr>
          <w:p>
            <w:pPr>
              <w:pStyle w:val="292"/>
              <w:rPr>
                <w:color w:val="auto"/>
                <w:szCs w:val="21"/>
              </w:rPr>
            </w:pPr>
            <w:r>
              <w:rPr>
                <w:color w:val="auto"/>
                <w:szCs w:val="21"/>
              </w:rPr>
              <w:t>每</w:t>
            </w:r>
            <w:r>
              <w:rPr>
                <w:rFonts w:hint="eastAsia"/>
                <w:color w:val="auto"/>
                <w:szCs w:val="21"/>
                <w:lang w:eastAsia="zh-CN"/>
              </w:rPr>
              <w:t>月</w:t>
            </w:r>
            <w:r>
              <w:rPr>
                <w:color w:val="auto"/>
                <w:szCs w:val="21"/>
              </w:rPr>
              <w:t>监测1次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617" w:type="dxa"/>
            <w:vAlign w:val="center"/>
          </w:tcPr>
          <w:p>
            <w:pPr>
              <w:pStyle w:val="292"/>
              <w:rPr>
                <w:color w:val="auto"/>
                <w:szCs w:val="21"/>
              </w:rPr>
            </w:pPr>
            <w:r>
              <w:rPr>
                <w:color w:val="auto"/>
                <w:szCs w:val="21"/>
              </w:rPr>
              <w:t>大气</w:t>
            </w:r>
          </w:p>
        </w:tc>
        <w:tc>
          <w:tcPr>
            <w:tcW w:w="1794" w:type="dxa"/>
            <w:vAlign w:val="center"/>
          </w:tcPr>
          <w:p>
            <w:pPr>
              <w:pStyle w:val="292"/>
              <w:rPr>
                <w:color w:val="auto"/>
                <w:szCs w:val="21"/>
              </w:rPr>
            </w:pPr>
            <w:r>
              <w:rPr>
                <w:color w:val="auto"/>
                <w:szCs w:val="21"/>
              </w:rPr>
              <w:t>TSP</w:t>
            </w:r>
          </w:p>
        </w:tc>
        <w:tc>
          <w:tcPr>
            <w:tcW w:w="1573" w:type="dxa"/>
            <w:vMerge w:val="continue"/>
            <w:vAlign w:val="center"/>
          </w:tcPr>
          <w:p>
            <w:pPr>
              <w:pStyle w:val="292"/>
              <w:ind w:firstLine="480"/>
              <w:rPr>
                <w:color w:val="auto"/>
                <w:szCs w:val="21"/>
              </w:rPr>
            </w:pPr>
          </w:p>
        </w:tc>
        <w:tc>
          <w:tcPr>
            <w:tcW w:w="3137" w:type="dxa"/>
            <w:vAlign w:val="center"/>
          </w:tcPr>
          <w:p>
            <w:pPr>
              <w:pStyle w:val="292"/>
              <w:rPr>
                <w:color w:val="auto"/>
                <w:szCs w:val="21"/>
              </w:rPr>
            </w:pPr>
            <w:r>
              <w:rPr>
                <w:color w:val="auto"/>
                <w:szCs w:val="21"/>
              </w:rPr>
              <w:t>共4个监测点，场区上、下风向10m处各布设两个监测点</w:t>
            </w:r>
          </w:p>
        </w:tc>
        <w:tc>
          <w:tcPr>
            <w:tcW w:w="2165" w:type="dxa"/>
            <w:vAlign w:val="center"/>
          </w:tcPr>
          <w:p>
            <w:pPr>
              <w:pStyle w:val="292"/>
              <w:rPr>
                <w:color w:val="auto"/>
                <w:szCs w:val="21"/>
              </w:rPr>
            </w:pPr>
            <w:r>
              <w:rPr>
                <w:color w:val="auto"/>
                <w:szCs w:val="21"/>
              </w:rPr>
              <w:t>每月监测1次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617" w:type="dxa"/>
            <w:vAlign w:val="center"/>
          </w:tcPr>
          <w:p>
            <w:pPr>
              <w:pStyle w:val="292"/>
              <w:rPr>
                <w:color w:val="auto"/>
                <w:szCs w:val="21"/>
              </w:rPr>
            </w:pPr>
            <w:r>
              <w:rPr>
                <w:color w:val="auto"/>
                <w:szCs w:val="21"/>
              </w:rPr>
              <w:t>噪声</w:t>
            </w:r>
          </w:p>
        </w:tc>
        <w:tc>
          <w:tcPr>
            <w:tcW w:w="1794" w:type="dxa"/>
            <w:vAlign w:val="center"/>
          </w:tcPr>
          <w:p>
            <w:pPr>
              <w:pStyle w:val="292"/>
              <w:rPr>
                <w:color w:val="auto"/>
                <w:szCs w:val="21"/>
              </w:rPr>
            </w:pPr>
            <w:r>
              <w:rPr>
                <w:color w:val="auto"/>
                <w:szCs w:val="21"/>
              </w:rPr>
              <w:t>场界噪声</w:t>
            </w:r>
          </w:p>
        </w:tc>
        <w:tc>
          <w:tcPr>
            <w:tcW w:w="1573" w:type="dxa"/>
            <w:vAlign w:val="center"/>
          </w:tcPr>
          <w:p>
            <w:pPr>
              <w:pStyle w:val="292"/>
              <w:rPr>
                <w:color w:val="auto"/>
                <w:szCs w:val="21"/>
              </w:rPr>
            </w:pPr>
            <w:r>
              <w:rPr>
                <w:color w:val="auto"/>
                <w:szCs w:val="21"/>
              </w:rPr>
              <w:t>工业企业场界噪声测量方法</w:t>
            </w:r>
          </w:p>
        </w:tc>
        <w:tc>
          <w:tcPr>
            <w:tcW w:w="3137" w:type="dxa"/>
            <w:vAlign w:val="center"/>
          </w:tcPr>
          <w:p>
            <w:pPr>
              <w:pStyle w:val="292"/>
              <w:rPr>
                <w:color w:val="auto"/>
                <w:szCs w:val="21"/>
              </w:rPr>
            </w:pPr>
            <w:r>
              <w:rPr>
                <w:color w:val="auto"/>
                <w:szCs w:val="21"/>
              </w:rPr>
              <w:t>场界</w:t>
            </w:r>
          </w:p>
        </w:tc>
        <w:tc>
          <w:tcPr>
            <w:tcW w:w="2165" w:type="dxa"/>
            <w:vAlign w:val="center"/>
          </w:tcPr>
          <w:p>
            <w:pPr>
              <w:pStyle w:val="292"/>
              <w:rPr>
                <w:color w:val="auto"/>
                <w:szCs w:val="21"/>
              </w:rPr>
            </w:pPr>
            <w:r>
              <w:rPr>
                <w:color w:val="auto"/>
                <w:szCs w:val="21"/>
              </w:rPr>
              <w:t>每季度监测1次</w:t>
            </w:r>
          </w:p>
        </w:tc>
      </w:tr>
    </w:tbl>
    <w:p>
      <w:pPr>
        <w:pStyle w:val="298"/>
        <w:spacing w:before="120" w:after="120"/>
        <w:rPr>
          <w:color w:val="auto"/>
        </w:rPr>
      </w:pPr>
      <w:bookmarkStart w:id="950" w:name="_Toc14946955"/>
      <w:bookmarkStart w:id="951" w:name="_Toc24136868"/>
      <w:bookmarkStart w:id="952" w:name="_Toc2076"/>
      <w:bookmarkStart w:id="953" w:name="_Toc34234783"/>
      <w:r>
        <w:rPr>
          <w:color w:val="auto"/>
        </w:rPr>
        <w:t>8.5.4环境质量监测计划</w:t>
      </w:r>
      <w:bookmarkEnd w:id="950"/>
      <w:bookmarkEnd w:id="951"/>
      <w:bookmarkEnd w:id="952"/>
      <w:bookmarkEnd w:id="953"/>
    </w:p>
    <w:p>
      <w:pPr>
        <w:jc w:val="center"/>
        <w:rPr>
          <w:b/>
          <w:color w:val="auto"/>
        </w:rPr>
      </w:pPr>
      <w:r>
        <w:rPr>
          <w:b/>
          <w:color w:val="auto"/>
        </w:rPr>
        <w:t xml:space="preserve">表 </w:t>
      </w:r>
      <w:r>
        <w:rPr>
          <w:rFonts w:hint="eastAsia"/>
          <w:b/>
          <w:color w:val="auto"/>
        </w:rPr>
        <w:t>8.5-3</w:t>
      </w:r>
      <w:r>
        <w:rPr>
          <w:b/>
          <w:color w:val="auto"/>
        </w:rPr>
        <w:t xml:space="preserve">   环境质量监测计划</w:t>
      </w:r>
    </w:p>
    <w:tbl>
      <w:tblPr>
        <w:tblStyle w:val="53"/>
        <w:tblW w:w="9286"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43"/>
        <w:gridCol w:w="2869"/>
        <w:gridCol w:w="1458"/>
        <w:gridCol w:w="2086"/>
        <w:gridCol w:w="213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743" w:type="dxa"/>
            <w:vAlign w:val="center"/>
          </w:tcPr>
          <w:p>
            <w:pPr>
              <w:adjustRightInd w:val="0"/>
              <w:snapToGrid w:val="0"/>
              <w:jc w:val="center"/>
              <w:rPr>
                <w:b/>
                <w:color w:val="auto"/>
                <w:sz w:val="21"/>
                <w:szCs w:val="21"/>
              </w:rPr>
            </w:pPr>
            <w:r>
              <w:rPr>
                <w:b/>
                <w:color w:val="auto"/>
                <w:sz w:val="21"/>
                <w:szCs w:val="21"/>
              </w:rPr>
              <w:t>环境监测</w:t>
            </w:r>
          </w:p>
        </w:tc>
        <w:tc>
          <w:tcPr>
            <w:tcW w:w="2869" w:type="dxa"/>
            <w:vAlign w:val="center"/>
          </w:tcPr>
          <w:p>
            <w:pPr>
              <w:adjustRightInd w:val="0"/>
              <w:snapToGrid w:val="0"/>
              <w:jc w:val="center"/>
              <w:rPr>
                <w:b/>
                <w:color w:val="auto"/>
                <w:sz w:val="21"/>
                <w:szCs w:val="21"/>
              </w:rPr>
            </w:pPr>
            <w:r>
              <w:rPr>
                <w:b/>
                <w:color w:val="auto"/>
                <w:sz w:val="21"/>
                <w:szCs w:val="21"/>
              </w:rPr>
              <w:t>监测项目</w:t>
            </w:r>
          </w:p>
        </w:tc>
        <w:tc>
          <w:tcPr>
            <w:tcW w:w="1458" w:type="dxa"/>
            <w:vAlign w:val="center"/>
          </w:tcPr>
          <w:p>
            <w:pPr>
              <w:adjustRightInd w:val="0"/>
              <w:snapToGrid w:val="0"/>
              <w:jc w:val="center"/>
              <w:rPr>
                <w:b/>
                <w:color w:val="auto"/>
                <w:sz w:val="21"/>
                <w:szCs w:val="21"/>
              </w:rPr>
            </w:pPr>
            <w:r>
              <w:rPr>
                <w:b/>
                <w:color w:val="auto"/>
                <w:sz w:val="21"/>
                <w:szCs w:val="21"/>
              </w:rPr>
              <w:t>监测位置</w:t>
            </w:r>
          </w:p>
        </w:tc>
        <w:tc>
          <w:tcPr>
            <w:tcW w:w="2086" w:type="dxa"/>
            <w:vAlign w:val="center"/>
          </w:tcPr>
          <w:p>
            <w:pPr>
              <w:adjustRightInd w:val="0"/>
              <w:snapToGrid w:val="0"/>
              <w:jc w:val="center"/>
              <w:rPr>
                <w:b/>
                <w:color w:val="auto"/>
                <w:sz w:val="21"/>
                <w:szCs w:val="21"/>
              </w:rPr>
            </w:pPr>
            <w:r>
              <w:rPr>
                <w:b/>
                <w:color w:val="auto"/>
                <w:sz w:val="21"/>
                <w:szCs w:val="21"/>
              </w:rPr>
              <w:t>监测频次</w:t>
            </w:r>
          </w:p>
        </w:tc>
        <w:tc>
          <w:tcPr>
            <w:tcW w:w="2130" w:type="dxa"/>
            <w:vAlign w:val="center"/>
          </w:tcPr>
          <w:p>
            <w:pPr>
              <w:adjustRightInd w:val="0"/>
              <w:snapToGrid w:val="0"/>
              <w:jc w:val="center"/>
              <w:rPr>
                <w:b/>
                <w:color w:val="auto"/>
                <w:sz w:val="21"/>
                <w:szCs w:val="21"/>
              </w:rPr>
            </w:pPr>
            <w:r>
              <w:rPr>
                <w:b/>
                <w:color w:val="auto"/>
                <w:sz w:val="21"/>
                <w:szCs w:val="21"/>
              </w:rPr>
              <w:t>执行标准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43" w:type="dxa"/>
            <w:vAlign w:val="center"/>
          </w:tcPr>
          <w:p>
            <w:pPr>
              <w:adjustRightInd w:val="0"/>
              <w:snapToGrid w:val="0"/>
              <w:jc w:val="center"/>
              <w:rPr>
                <w:color w:val="auto"/>
                <w:sz w:val="21"/>
                <w:szCs w:val="21"/>
              </w:rPr>
            </w:pPr>
            <w:r>
              <w:rPr>
                <w:color w:val="auto"/>
                <w:sz w:val="21"/>
                <w:szCs w:val="21"/>
              </w:rPr>
              <w:t>环境空气</w:t>
            </w:r>
          </w:p>
        </w:tc>
        <w:tc>
          <w:tcPr>
            <w:tcW w:w="2869" w:type="dxa"/>
            <w:vAlign w:val="center"/>
          </w:tcPr>
          <w:p>
            <w:pPr>
              <w:adjustRightInd w:val="0"/>
              <w:snapToGrid w:val="0"/>
              <w:jc w:val="center"/>
              <w:rPr>
                <w:color w:val="auto"/>
                <w:sz w:val="21"/>
                <w:szCs w:val="21"/>
              </w:rPr>
            </w:pPr>
            <w:r>
              <w:rPr>
                <w:color w:val="auto"/>
                <w:sz w:val="21"/>
                <w:szCs w:val="21"/>
              </w:rPr>
              <w:t>TSP、H</w:t>
            </w:r>
            <w:r>
              <w:rPr>
                <w:color w:val="auto"/>
                <w:sz w:val="21"/>
                <w:szCs w:val="21"/>
                <w:vertAlign w:val="subscript"/>
              </w:rPr>
              <w:t>2</w:t>
            </w:r>
            <w:r>
              <w:rPr>
                <w:color w:val="auto"/>
                <w:sz w:val="21"/>
                <w:szCs w:val="21"/>
              </w:rPr>
              <w:t>S、NH</w:t>
            </w:r>
            <w:r>
              <w:rPr>
                <w:color w:val="auto"/>
                <w:sz w:val="21"/>
                <w:szCs w:val="21"/>
                <w:vertAlign w:val="subscript"/>
              </w:rPr>
              <w:t>3</w:t>
            </w:r>
            <w:r>
              <w:rPr>
                <w:color w:val="auto"/>
                <w:sz w:val="21"/>
                <w:szCs w:val="21"/>
              </w:rPr>
              <w:t>、臭气浓度、CH</w:t>
            </w:r>
            <w:r>
              <w:rPr>
                <w:color w:val="auto"/>
                <w:sz w:val="21"/>
                <w:szCs w:val="21"/>
                <w:vertAlign w:val="subscript"/>
              </w:rPr>
              <w:t>3</w:t>
            </w:r>
            <w:r>
              <w:rPr>
                <w:color w:val="auto"/>
                <w:sz w:val="21"/>
                <w:szCs w:val="21"/>
              </w:rPr>
              <w:t>SH</w:t>
            </w:r>
          </w:p>
        </w:tc>
        <w:tc>
          <w:tcPr>
            <w:tcW w:w="1458" w:type="dxa"/>
            <w:vAlign w:val="center"/>
          </w:tcPr>
          <w:p>
            <w:pPr>
              <w:adjustRightInd w:val="0"/>
              <w:snapToGrid w:val="0"/>
              <w:jc w:val="center"/>
              <w:rPr>
                <w:color w:val="auto"/>
                <w:sz w:val="21"/>
                <w:szCs w:val="21"/>
              </w:rPr>
            </w:pPr>
            <w:r>
              <w:rPr>
                <w:color w:val="auto"/>
                <w:sz w:val="21"/>
                <w:szCs w:val="21"/>
              </w:rPr>
              <w:t>厂区上风向、下风向各设1个点位</w:t>
            </w:r>
          </w:p>
        </w:tc>
        <w:tc>
          <w:tcPr>
            <w:tcW w:w="2086" w:type="dxa"/>
            <w:vAlign w:val="center"/>
          </w:tcPr>
          <w:p>
            <w:pPr>
              <w:adjustRightInd w:val="0"/>
              <w:snapToGrid w:val="0"/>
              <w:jc w:val="center"/>
              <w:rPr>
                <w:color w:val="auto"/>
                <w:sz w:val="21"/>
                <w:szCs w:val="21"/>
              </w:rPr>
            </w:pPr>
            <w:r>
              <w:rPr>
                <w:color w:val="auto"/>
                <w:sz w:val="21"/>
                <w:szCs w:val="21"/>
              </w:rPr>
              <w:t>半年监测1次，一年2次</w:t>
            </w:r>
          </w:p>
        </w:tc>
        <w:tc>
          <w:tcPr>
            <w:tcW w:w="2130" w:type="dxa"/>
            <w:vAlign w:val="center"/>
          </w:tcPr>
          <w:p>
            <w:pPr>
              <w:adjustRightInd w:val="0"/>
              <w:snapToGrid w:val="0"/>
              <w:jc w:val="center"/>
              <w:rPr>
                <w:color w:val="auto"/>
                <w:sz w:val="21"/>
                <w:szCs w:val="21"/>
              </w:rPr>
            </w:pPr>
            <w:r>
              <w:rPr>
                <w:color w:val="auto"/>
                <w:sz w:val="21"/>
                <w:szCs w:val="21"/>
              </w:rPr>
              <w:t>环境空气质量标准》（GB3095-2012）、《环境影响评价技术导则大气环境》（HJ2.2-2018）附录 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43" w:type="dxa"/>
            <w:vAlign w:val="center"/>
          </w:tcPr>
          <w:p>
            <w:pPr>
              <w:adjustRightInd w:val="0"/>
              <w:snapToGrid w:val="0"/>
              <w:jc w:val="center"/>
              <w:rPr>
                <w:color w:val="auto"/>
                <w:sz w:val="21"/>
                <w:szCs w:val="21"/>
              </w:rPr>
            </w:pPr>
            <w:r>
              <w:rPr>
                <w:color w:val="auto"/>
                <w:sz w:val="21"/>
                <w:szCs w:val="21"/>
              </w:rPr>
              <w:t>地下水</w:t>
            </w:r>
          </w:p>
        </w:tc>
        <w:tc>
          <w:tcPr>
            <w:tcW w:w="2869" w:type="dxa"/>
            <w:vAlign w:val="center"/>
          </w:tcPr>
          <w:p>
            <w:pPr>
              <w:adjustRightInd w:val="0"/>
              <w:snapToGrid w:val="0"/>
              <w:jc w:val="center"/>
              <w:rPr>
                <w:color w:val="auto"/>
                <w:sz w:val="21"/>
                <w:szCs w:val="21"/>
              </w:rPr>
            </w:pPr>
            <w:r>
              <w:rPr>
                <w:color w:val="auto"/>
                <w:sz w:val="21"/>
                <w:szCs w:val="21"/>
              </w:rPr>
              <w:t>pH、浑浊度、总硬度、溶解性总固体、耗氧量（高锰酸盐指数）、挥发酚类、阴离子活性表面剂、硫酸盐、氯化物、氟化物、氰化物、总大肠菌群、细菌总数、硝酸盐、亚硝酸盐、氨氮、砷、汞、六价铬、铁、锰、铅、铜、锌、镉、K</w:t>
            </w:r>
            <w:r>
              <w:rPr>
                <w:color w:val="auto"/>
                <w:sz w:val="21"/>
                <w:szCs w:val="21"/>
                <w:vertAlign w:val="superscript"/>
              </w:rPr>
              <w:t>+</w:t>
            </w:r>
            <w:r>
              <w:rPr>
                <w:color w:val="auto"/>
                <w:sz w:val="21"/>
                <w:szCs w:val="21"/>
              </w:rPr>
              <w:t>、Na</w:t>
            </w:r>
            <w:r>
              <w:rPr>
                <w:color w:val="auto"/>
                <w:sz w:val="21"/>
                <w:szCs w:val="21"/>
                <w:vertAlign w:val="superscript"/>
              </w:rPr>
              <w:t>+</w:t>
            </w:r>
            <w:r>
              <w:rPr>
                <w:color w:val="auto"/>
                <w:sz w:val="21"/>
                <w:szCs w:val="21"/>
              </w:rPr>
              <w:t>、Ca</w:t>
            </w:r>
            <w:r>
              <w:rPr>
                <w:color w:val="auto"/>
                <w:sz w:val="21"/>
                <w:szCs w:val="21"/>
                <w:vertAlign w:val="superscript"/>
              </w:rPr>
              <w:t>2+</w:t>
            </w:r>
            <w:r>
              <w:rPr>
                <w:color w:val="auto"/>
                <w:sz w:val="21"/>
                <w:szCs w:val="21"/>
              </w:rPr>
              <w:t>、Mg</w:t>
            </w:r>
            <w:r>
              <w:rPr>
                <w:color w:val="auto"/>
                <w:sz w:val="21"/>
                <w:szCs w:val="21"/>
                <w:vertAlign w:val="superscript"/>
              </w:rPr>
              <w:t>2+</w:t>
            </w:r>
            <w:r>
              <w:rPr>
                <w:color w:val="auto"/>
                <w:sz w:val="21"/>
                <w:szCs w:val="21"/>
              </w:rPr>
              <w:t>、CO</w:t>
            </w:r>
            <w:r>
              <w:rPr>
                <w:color w:val="auto"/>
                <w:sz w:val="21"/>
                <w:szCs w:val="21"/>
                <w:vertAlign w:val="subscript"/>
              </w:rPr>
              <w:t>3</w:t>
            </w:r>
            <w:r>
              <w:rPr>
                <w:color w:val="auto"/>
                <w:sz w:val="21"/>
                <w:szCs w:val="21"/>
                <w:vertAlign w:val="superscript"/>
              </w:rPr>
              <w:t>2-</w:t>
            </w:r>
            <w:r>
              <w:rPr>
                <w:color w:val="auto"/>
                <w:sz w:val="21"/>
                <w:szCs w:val="21"/>
              </w:rPr>
              <w:t>、HCO</w:t>
            </w:r>
            <w:r>
              <w:rPr>
                <w:color w:val="auto"/>
                <w:sz w:val="21"/>
                <w:szCs w:val="21"/>
                <w:vertAlign w:val="superscript"/>
              </w:rPr>
              <w:t>3-</w:t>
            </w:r>
            <w:r>
              <w:rPr>
                <w:color w:val="auto"/>
                <w:sz w:val="21"/>
                <w:szCs w:val="21"/>
              </w:rPr>
              <w:t>、Cl</w:t>
            </w:r>
            <w:r>
              <w:rPr>
                <w:color w:val="auto"/>
                <w:sz w:val="21"/>
                <w:szCs w:val="21"/>
                <w:vertAlign w:val="superscript"/>
              </w:rPr>
              <w:t>-</w:t>
            </w:r>
            <w:r>
              <w:rPr>
                <w:color w:val="auto"/>
                <w:sz w:val="21"/>
                <w:szCs w:val="21"/>
              </w:rPr>
              <w:t>、SO</w:t>
            </w:r>
            <w:r>
              <w:rPr>
                <w:color w:val="auto"/>
                <w:sz w:val="21"/>
                <w:szCs w:val="21"/>
                <w:vertAlign w:val="subscript"/>
              </w:rPr>
              <w:t>4</w:t>
            </w:r>
            <w:r>
              <w:rPr>
                <w:color w:val="auto"/>
                <w:sz w:val="21"/>
                <w:szCs w:val="21"/>
                <w:vertAlign w:val="superscript"/>
              </w:rPr>
              <w:t>2-</w:t>
            </w:r>
          </w:p>
        </w:tc>
        <w:tc>
          <w:tcPr>
            <w:tcW w:w="1458" w:type="dxa"/>
            <w:vAlign w:val="center"/>
          </w:tcPr>
          <w:p>
            <w:pPr>
              <w:pStyle w:val="292"/>
              <w:spacing w:line="260" w:lineRule="exact"/>
              <w:rPr>
                <w:color w:val="auto"/>
                <w:szCs w:val="21"/>
              </w:rPr>
            </w:pPr>
            <w:r>
              <w:rPr>
                <w:color w:val="auto"/>
                <w:szCs w:val="21"/>
              </w:rPr>
              <w:t>项目设</w:t>
            </w:r>
            <w:r>
              <w:rPr>
                <w:rFonts w:hint="eastAsia"/>
                <w:color w:val="auto"/>
                <w:szCs w:val="21"/>
              </w:rPr>
              <w:t>5</w:t>
            </w:r>
            <w:r>
              <w:rPr>
                <w:color w:val="auto"/>
                <w:szCs w:val="21"/>
              </w:rPr>
              <w:t>个地下水监测井</w:t>
            </w:r>
            <w:r>
              <w:rPr>
                <w:rFonts w:hint="eastAsia"/>
                <w:color w:val="auto"/>
                <w:szCs w:val="21"/>
              </w:rPr>
              <w:t>，具体见表</w:t>
            </w:r>
            <w:r>
              <w:rPr>
                <w:color w:val="auto"/>
                <w:szCs w:val="21"/>
              </w:rPr>
              <w:t>6.</w:t>
            </w:r>
            <w:r>
              <w:rPr>
                <w:rFonts w:hint="eastAsia"/>
                <w:color w:val="auto"/>
                <w:szCs w:val="21"/>
              </w:rPr>
              <w:t>2-</w:t>
            </w:r>
            <w:r>
              <w:rPr>
                <w:color w:val="auto"/>
                <w:szCs w:val="21"/>
              </w:rPr>
              <w:t>10</w:t>
            </w:r>
            <w:r>
              <w:rPr>
                <w:rFonts w:hint="eastAsia"/>
                <w:color w:val="auto"/>
                <w:szCs w:val="21"/>
              </w:rPr>
              <w:t>。</w:t>
            </w:r>
          </w:p>
          <w:p>
            <w:pPr>
              <w:pStyle w:val="292"/>
              <w:spacing w:line="260" w:lineRule="exact"/>
              <w:rPr>
                <w:color w:val="auto"/>
                <w:szCs w:val="21"/>
              </w:rPr>
            </w:pPr>
          </w:p>
          <w:p>
            <w:pPr>
              <w:pStyle w:val="292"/>
              <w:spacing w:line="260" w:lineRule="exact"/>
              <w:rPr>
                <w:color w:val="auto"/>
                <w:szCs w:val="21"/>
              </w:rPr>
            </w:pPr>
          </w:p>
          <w:p>
            <w:pPr>
              <w:adjustRightInd w:val="0"/>
              <w:snapToGrid w:val="0"/>
              <w:spacing w:line="260" w:lineRule="exact"/>
              <w:jc w:val="center"/>
              <w:rPr>
                <w:color w:val="auto"/>
                <w:sz w:val="21"/>
                <w:szCs w:val="21"/>
              </w:rPr>
            </w:pPr>
          </w:p>
        </w:tc>
        <w:tc>
          <w:tcPr>
            <w:tcW w:w="2086" w:type="dxa"/>
            <w:vAlign w:val="center"/>
          </w:tcPr>
          <w:p>
            <w:pPr>
              <w:adjustRightInd w:val="0"/>
              <w:snapToGrid w:val="0"/>
              <w:jc w:val="center"/>
              <w:rPr>
                <w:color w:val="auto"/>
                <w:sz w:val="21"/>
                <w:szCs w:val="21"/>
              </w:rPr>
            </w:pPr>
            <w:r>
              <w:rPr>
                <w:color w:val="auto"/>
                <w:sz w:val="21"/>
                <w:szCs w:val="21"/>
              </w:rPr>
              <w:t>半年监测1次，一年2次</w:t>
            </w:r>
            <w:r>
              <w:rPr>
                <w:rFonts w:hint="eastAsia"/>
                <w:color w:val="auto"/>
                <w:sz w:val="21"/>
                <w:szCs w:val="21"/>
              </w:rPr>
              <w:t>；</w:t>
            </w:r>
            <w:r>
              <w:rPr>
                <w:rFonts w:hint="eastAsia"/>
                <w:color w:val="auto"/>
                <w:kern w:val="0"/>
                <w:sz w:val="21"/>
                <w:szCs w:val="21"/>
              </w:rPr>
              <w:t>在填埋场投入运行前应监测一次本底值，运行期间对污染监视井和污染扩散井水质监测应不少于每两周一次，对本底井的水质监测频率应不少于每个月一次。</w:t>
            </w:r>
          </w:p>
        </w:tc>
        <w:tc>
          <w:tcPr>
            <w:tcW w:w="2130" w:type="dxa"/>
            <w:vAlign w:val="center"/>
          </w:tcPr>
          <w:p>
            <w:pPr>
              <w:adjustRightInd w:val="0"/>
              <w:snapToGrid w:val="0"/>
              <w:jc w:val="center"/>
              <w:rPr>
                <w:color w:val="auto"/>
                <w:sz w:val="21"/>
                <w:szCs w:val="21"/>
              </w:rPr>
            </w:pPr>
            <w:r>
              <w:rPr>
                <w:color w:val="auto"/>
                <w:sz w:val="21"/>
                <w:szCs w:val="21"/>
              </w:rPr>
              <w:t>《地下水质量标准》（GB/T14848-2017）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43" w:type="dxa"/>
            <w:vAlign w:val="center"/>
          </w:tcPr>
          <w:p>
            <w:pPr>
              <w:adjustRightInd w:val="0"/>
              <w:snapToGrid w:val="0"/>
              <w:jc w:val="center"/>
              <w:rPr>
                <w:color w:val="auto"/>
                <w:sz w:val="21"/>
                <w:szCs w:val="21"/>
              </w:rPr>
            </w:pPr>
            <w:r>
              <w:rPr>
                <w:color w:val="auto"/>
                <w:sz w:val="21"/>
                <w:szCs w:val="21"/>
              </w:rPr>
              <w:t>土壤</w:t>
            </w:r>
          </w:p>
        </w:tc>
        <w:tc>
          <w:tcPr>
            <w:tcW w:w="2869" w:type="dxa"/>
            <w:vAlign w:val="center"/>
          </w:tcPr>
          <w:p>
            <w:pPr>
              <w:adjustRightInd w:val="0"/>
              <w:snapToGrid w:val="0"/>
              <w:jc w:val="center"/>
              <w:rPr>
                <w:color w:val="auto"/>
                <w:sz w:val="21"/>
                <w:szCs w:val="21"/>
              </w:rPr>
            </w:pPr>
            <w:r>
              <w:rPr>
                <w:color w:val="auto"/>
                <w:sz w:val="21"/>
                <w:szCs w:val="21"/>
              </w:rPr>
              <w:t xml:space="preserve">砷、镉、铬（六价）、铜、铅、汞、镍、四氯化碳、氯仿、氯甲烷、1,1-二氯乙烷、1,2-二氯乙烷、1,1-二氯乙烯、顺-1,2-二氯乙烯、反-1,2,-二氯乙烯、二氯甲烷、1,2-二氯丙烷、1,1,1,2-四氯乙烷、1,1,2,2-四氯乙烯、四氯乙烯、1,1,1-三氯乙烷、1,1,2-三氯乙烷、三氯乙烯、1,2,3-三氯丙烷、氯乙烯、苯、氯苯、1,2-二氯苯、1,4-二氯苯、甲苯、乙苯、苯乙烯、间二甲苯+对二甲苯、邻二甲苯、硝基苯、苯胺、2-氯酚、苯并[a]蒽、苯并[a]芘、苯并[b]荧蒽、苯并[k]荧蒽、䓛、二苯并（a，h）蒽、茚并[1,2,3-cd]芘、萘45项基本项目和pH </w:t>
            </w:r>
          </w:p>
        </w:tc>
        <w:tc>
          <w:tcPr>
            <w:tcW w:w="1458" w:type="dxa"/>
            <w:vAlign w:val="center"/>
          </w:tcPr>
          <w:p>
            <w:pPr>
              <w:adjustRightInd w:val="0"/>
              <w:snapToGrid w:val="0"/>
              <w:jc w:val="center"/>
              <w:rPr>
                <w:color w:val="auto"/>
                <w:sz w:val="21"/>
                <w:szCs w:val="21"/>
              </w:rPr>
            </w:pPr>
            <w:r>
              <w:rPr>
                <w:rFonts w:hint="eastAsia"/>
                <w:color w:val="auto"/>
                <w:sz w:val="21"/>
                <w:szCs w:val="21"/>
              </w:rPr>
              <w:t>重点防治区和土壤敏感点</w:t>
            </w:r>
          </w:p>
        </w:tc>
        <w:tc>
          <w:tcPr>
            <w:tcW w:w="2086" w:type="dxa"/>
            <w:vAlign w:val="center"/>
          </w:tcPr>
          <w:p>
            <w:pPr>
              <w:adjustRightInd w:val="0"/>
              <w:snapToGrid w:val="0"/>
              <w:jc w:val="center"/>
              <w:rPr>
                <w:color w:val="auto"/>
                <w:sz w:val="21"/>
                <w:szCs w:val="21"/>
              </w:rPr>
            </w:pPr>
            <w:r>
              <w:rPr>
                <w:rFonts w:hint="eastAsia"/>
                <w:color w:val="auto"/>
                <w:sz w:val="21"/>
                <w:szCs w:val="21"/>
              </w:rPr>
              <w:t>五年一次</w:t>
            </w:r>
          </w:p>
        </w:tc>
        <w:tc>
          <w:tcPr>
            <w:tcW w:w="2130" w:type="dxa"/>
            <w:vAlign w:val="center"/>
          </w:tcPr>
          <w:p>
            <w:pPr>
              <w:adjustRightInd w:val="0"/>
              <w:snapToGrid w:val="0"/>
              <w:jc w:val="center"/>
              <w:rPr>
                <w:color w:val="auto"/>
                <w:sz w:val="21"/>
                <w:szCs w:val="21"/>
              </w:rPr>
            </w:pPr>
            <w:r>
              <w:rPr>
                <w:color w:val="auto"/>
                <w:sz w:val="21"/>
                <w:szCs w:val="21"/>
              </w:rPr>
              <w:t>《土壤环境质量 建设用地土壤污染风险管控标准（试行）》（GB36600-2018）</w:t>
            </w:r>
          </w:p>
        </w:tc>
      </w:tr>
    </w:tbl>
    <w:p>
      <w:pPr>
        <w:pStyle w:val="298"/>
        <w:spacing w:before="120" w:after="120"/>
        <w:rPr>
          <w:color w:val="auto"/>
        </w:rPr>
      </w:pPr>
      <w:bookmarkStart w:id="954" w:name="_Toc21761"/>
      <w:bookmarkStart w:id="955" w:name="_Toc34234784"/>
      <w:bookmarkStart w:id="956" w:name="_Toc24136869"/>
      <w:bookmarkStart w:id="957" w:name="_Toc14946956"/>
      <w:r>
        <w:rPr>
          <w:color w:val="auto"/>
        </w:rPr>
        <w:t>8.</w:t>
      </w:r>
      <w:r>
        <w:rPr>
          <w:color w:val="auto"/>
          <w:lang w:eastAsia="zh-CN"/>
        </w:rPr>
        <w:t>5</w:t>
      </w:r>
      <w:r>
        <w:rPr>
          <w:color w:val="auto"/>
        </w:rPr>
        <w:t>.5环境风险监测计划</w:t>
      </w:r>
      <w:bookmarkEnd w:id="954"/>
      <w:bookmarkEnd w:id="955"/>
      <w:bookmarkEnd w:id="956"/>
      <w:bookmarkEnd w:id="957"/>
    </w:p>
    <w:p>
      <w:pPr>
        <w:spacing w:line="360" w:lineRule="auto"/>
        <w:ind w:firstLine="480"/>
        <w:rPr>
          <w:color w:val="auto"/>
        </w:rPr>
      </w:pPr>
      <w:r>
        <w:rPr>
          <w:color w:val="auto"/>
        </w:rPr>
        <w:t>在环境风险事故得到妥善解决后，须对环境风险污染因子进行监测，具体监测计划见下表。</w:t>
      </w:r>
    </w:p>
    <w:p>
      <w:pPr>
        <w:pStyle w:val="5"/>
        <w:ind w:firstLine="482"/>
        <w:jc w:val="center"/>
        <w:rPr>
          <w:b/>
          <w:color w:val="auto"/>
        </w:rPr>
      </w:pPr>
      <w:r>
        <w:rPr>
          <w:b/>
          <w:color w:val="auto"/>
        </w:rPr>
        <w:t>表 8.5</w:t>
      </w:r>
      <w:r>
        <w:rPr>
          <w:b/>
          <w:color w:val="auto"/>
        </w:rPr>
        <w:noBreakHyphen/>
      </w:r>
      <w:r>
        <w:rPr>
          <w:rFonts w:hint="eastAsia"/>
          <w:b/>
          <w:color w:val="auto"/>
        </w:rPr>
        <w:t>4</w:t>
      </w:r>
      <w:r>
        <w:rPr>
          <w:b/>
          <w:color w:val="auto"/>
        </w:rPr>
        <w:t xml:space="preserve">  本项目环境风险监测计划一览表</w:t>
      </w:r>
    </w:p>
    <w:tbl>
      <w:tblPr>
        <w:tblStyle w:val="53"/>
        <w:tblW w:w="9286"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42"/>
        <w:gridCol w:w="1176"/>
        <w:gridCol w:w="676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2518" w:type="dxa"/>
            <w:gridSpan w:val="2"/>
            <w:tcBorders>
              <w:top w:val="single" w:color="auto" w:sz="18" w:space="0"/>
            </w:tcBorders>
            <w:vAlign w:val="center"/>
          </w:tcPr>
          <w:p>
            <w:pPr>
              <w:pStyle w:val="292"/>
              <w:ind w:firstLine="482"/>
              <w:rPr>
                <w:b/>
                <w:color w:val="auto"/>
                <w:szCs w:val="21"/>
              </w:rPr>
            </w:pPr>
            <w:r>
              <w:rPr>
                <w:b/>
                <w:color w:val="auto"/>
                <w:szCs w:val="21"/>
              </w:rPr>
              <w:t>项目</w:t>
            </w:r>
          </w:p>
        </w:tc>
        <w:tc>
          <w:tcPr>
            <w:tcW w:w="6768" w:type="dxa"/>
            <w:tcBorders>
              <w:top w:val="single" w:color="auto" w:sz="18" w:space="0"/>
            </w:tcBorders>
            <w:vAlign w:val="center"/>
          </w:tcPr>
          <w:p>
            <w:pPr>
              <w:pStyle w:val="292"/>
              <w:ind w:firstLine="482"/>
              <w:rPr>
                <w:b/>
                <w:color w:val="auto"/>
                <w:szCs w:val="21"/>
              </w:rPr>
            </w:pPr>
            <w:r>
              <w:rPr>
                <w:b/>
                <w:color w:val="auto"/>
                <w:szCs w:val="21"/>
              </w:rPr>
              <w:t>环境监测计划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342" w:type="dxa"/>
            <w:vMerge w:val="restart"/>
            <w:vAlign w:val="center"/>
          </w:tcPr>
          <w:p>
            <w:pPr>
              <w:pStyle w:val="292"/>
              <w:rPr>
                <w:color w:val="auto"/>
                <w:szCs w:val="21"/>
              </w:rPr>
            </w:pPr>
            <w:r>
              <w:rPr>
                <w:color w:val="auto"/>
                <w:szCs w:val="21"/>
              </w:rPr>
              <w:t>事故时水污染源监测方案</w:t>
            </w:r>
          </w:p>
        </w:tc>
        <w:tc>
          <w:tcPr>
            <w:tcW w:w="1176" w:type="dxa"/>
            <w:vAlign w:val="center"/>
          </w:tcPr>
          <w:p>
            <w:pPr>
              <w:pStyle w:val="292"/>
              <w:rPr>
                <w:color w:val="auto"/>
                <w:szCs w:val="21"/>
              </w:rPr>
            </w:pPr>
            <w:r>
              <w:rPr>
                <w:color w:val="auto"/>
                <w:szCs w:val="21"/>
              </w:rPr>
              <w:t>监测布点</w:t>
            </w:r>
          </w:p>
        </w:tc>
        <w:tc>
          <w:tcPr>
            <w:tcW w:w="6768" w:type="dxa"/>
            <w:vAlign w:val="center"/>
          </w:tcPr>
          <w:p>
            <w:pPr>
              <w:pStyle w:val="292"/>
              <w:rPr>
                <w:color w:val="auto"/>
                <w:szCs w:val="21"/>
              </w:rPr>
            </w:pPr>
            <w:r>
              <w:rPr>
                <w:color w:val="auto"/>
                <w:szCs w:val="21"/>
              </w:rPr>
              <w:t>本项目发生事故时，事故废水统一收集至事故应急池及污水收集池，据计算可知，本项目事故废水可留存在厂区内。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342" w:type="dxa"/>
            <w:vMerge w:val="continue"/>
            <w:vAlign w:val="center"/>
          </w:tcPr>
          <w:p>
            <w:pPr>
              <w:pStyle w:val="292"/>
              <w:ind w:firstLine="480"/>
              <w:rPr>
                <w:color w:val="auto"/>
                <w:szCs w:val="21"/>
              </w:rPr>
            </w:pPr>
          </w:p>
        </w:tc>
        <w:tc>
          <w:tcPr>
            <w:tcW w:w="1176" w:type="dxa"/>
            <w:vAlign w:val="center"/>
          </w:tcPr>
          <w:p>
            <w:pPr>
              <w:pStyle w:val="292"/>
              <w:rPr>
                <w:color w:val="auto"/>
                <w:szCs w:val="21"/>
              </w:rPr>
            </w:pPr>
            <w:r>
              <w:rPr>
                <w:color w:val="auto"/>
                <w:szCs w:val="21"/>
              </w:rPr>
              <w:t>监测项目</w:t>
            </w:r>
          </w:p>
        </w:tc>
        <w:tc>
          <w:tcPr>
            <w:tcW w:w="6768" w:type="dxa"/>
            <w:vAlign w:val="center"/>
          </w:tcPr>
          <w:p>
            <w:pPr>
              <w:pStyle w:val="292"/>
              <w:rPr>
                <w:color w:val="auto"/>
                <w:szCs w:val="21"/>
              </w:rPr>
            </w:pPr>
            <w:r>
              <w:rPr>
                <w:color w:val="auto"/>
                <w:szCs w:val="21"/>
              </w:rPr>
              <w:t>pH、DO、SS、高锰酸盐指数、CODcr、BOD</w:t>
            </w:r>
            <w:r>
              <w:rPr>
                <w:color w:val="auto"/>
                <w:szCs w:val="21"/>
                <w:vertAlign w:val="subscript"/>
              </w:rPr>
              <w:t>5</w:t>
            </w:r>
            <w:r>
              <w:rPr>
                <w:color w:val="auto"/>
                <w:szCs w:val="21"/>
              </w:rPr>
              <w:t>、氨氮、石油类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342" w:type="dxa"/>
            <w:vMerge w:val="continue"/>
            <w:vAlign w:val="center"/>
          </w:tcPr>
          <w:p>
            <w:pPr>
              <w:pStyle w:val="292"/>
              <w:ind w:firstLine="480"/>
              <w:rPr>
                <w:color w:val="auto"/>
                <w:szCs w:val="21"/>
              </w:rPr>
            </w:pPr>
          </w:p>
        </w:tc>
        <w:tc>
          <w:tcPr>
            <w:tcW w:w="1176" w:type="dxa"/>
            <w:vAlign w:val="center"/>
          </w:tcPr>
          <w:p>
            <w:pPr>
              <w:pStyle w:val="292"/>
              <w:rPr>
                <w:color w:val="auto"/>
                <w:szCs w:val="21"/>
              </w:rPr>
            </w:pPr>
            <w:r>
              <w:rPr>
                <w:color w:val="auto"/>
                <w:szCs w:val="21"/>
              </w:rPr>
              <w:t>监测频次</w:t>
            </w:r>
          </w:p>
        </w:tc>
        <w:tc>
          <w:tcPr>
            <w:tcW w:w="6768" w:type="dxa"/>
            <w:vAlign w:val="center"/>
          </w:tcPr>
          <w:p>
            <w:pPr>
              <w:pStyle w:val="292"/>
              <w:rPr>
                <w:color w:val="auto"/>
                <w:szCs w:val="21"/>
              </w:rPr>
            </w:pPr>
            <w:r>
              <w:rPr>
                <w:color w:val="auto"/>
                <w:szCs w:val="21"/>
              </w:rPr>
              <w:t>根据现场污染状况确定，如有需要可补充监测多次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342" w:type="dxa"/>
            <w:vMerge w:val="restart"/>
            <w:vAlign w:val="center"/>
          </w:tcPr>
          <w:p>
            <w:pPr>
              <w:pStyle w:val="292"/>
              <w:rPr>
                <w:color w:val="auto"/>
                <w:szCs w:val="21"/>
              </w:rPr>
            </w:pPr>
            <w:r>
              <w:rPr>
                <w:color w:val="auto"/>
                <w:szCs w:val="21"/>
              </w:rPr>
              <w:t>事故时大气污染监测方案</w:t>
            </w:r>
          </w:p>
        </w:tc>
        <w:tc>
          <w:tcPr>
            <w:tcW w:w="1176" w:type="dxa"/>
            <w:vAlign w:val="center"/>
          </w:tcPr>
          <w:p>
            <w:pPr>
              <w:pStyle w:val="292"/>
              <w:rPr>
                <w:color w:val="auto"/>
                <w:szCs w:val="21"/>
              </w:rPr>
            </w:pPr>
            <w:r>
              <w:rPr>
                <w:color w:val="auto"/>
                <w:szCs w:val="21"/>
              </w:rPr>
              <w:t>监测布点</w:t>
            </w:r>
          </w:p>
        </w:tc>
        <w:tc>
          <w:tcPr>
            <w:tcW w:w="6768" w:type="dxa"/>
            <w:vAlign w:val="center"/>
          </w:tcPr>
          <w:p>
            <w:pPr>
              <w:pStyle w:val="292"/>
              <w:rPr>
                <w:color w:val="auto"/>
                <w:szCs w:val="21"/>
              </w:rPr>
            </w:pPr>
            <w:r>
              <w:rPr>
                <w:color w:val="auto"/>
                <w:szCs w:val="21"/>
              </w:rPr>
              <w:t>（1）事故污染源监测：在事故排放点采样监测；</w:t>
            </w:r>
          </w:p>
          <w:p>
            <w:pPr>
              <w:pStyle w:val="292"/>
              <w:rPr>
                <w:color w:val="auto"/>
                <w:szCs w:val="21"/>
              </w:rPr>
            </w:pPr>
            <w:r>
              <w:rPr>
                <w:color w:val="auto"/>
                <w:szCs w:val="21"/>
              </w:rPr>
              <w:t>（2）周边大气环境监测：依据事故发生时主导风向，在评价范围内下风向居民点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342" w:type="dxa"/>
            <w:vMerge w:val="continue"/>
            <w:vAlign w:val="center"/>
          </w:tcPr>
          <w:p>
            <w:pPr>
              <w:pStyle w:val="292"/>
              <w:ind w:firstLine="480"/>
              <w:rPr>
                <w:color w:val="auto"/>
                <w:szCs w:val="21"/>
              </w:rPr>
            </w:pPr>
          </w:p>
        </w:tc>
        <w:tc>
          <w:tcPr>
            <w:tcW w:w="1176" w:type="dxa"/>
            <w:vAlign w:val="center"/>
          </w:tcPr>
          <w:p>
            <w:pPr>
              <w:pStyle w:val="292"/>
              <w:rPr>
                <w:color w:val="auto"/>
                <w:szCs w:val="21"/>
              </w:rPr>
            </w:pPr>
            <w:r>
              <w:rPr>
                <w:color w:val="auto"/>
                <w:szCs w:val="21"/>
              </w:rPr>
              <w:t>监测项目</w:t>
            </w:r>
          </w:p>
        </w:tc>
        <w:tc>
          <w:tcPr>
            <w:tcW w:w="6768" w:type="dxa"/>
            <w:vAlign w:val="center"/>
          </w:tcPr>
          <w:p>
            <w:pPr>
              <w:pStyle w:val="292"/>
              <w:rPr>
                <w:color w:val="auto"/>
                <w:szCs w:val="21"/>
              </w:rPr>
            </w:pPr>
            <w:r>
              <w:rPr>
                <w:color w:val="auto"/>
                <w:szCs w:val="21"/>
              </w:rPr>
              <w:t>依据事故发生时主导风向，在下风向居民点监测大气环境中的颗粒物、</w:t>
            </w:r>
            <w:r>
              <w:rPr>
                <w:rFonts w:hint="eastAsia"/>
                <w:color w:val="auto"/>
                <w:szCs w:val="21"/>
              </w:rPr>
              <w:t>硫化氢</w:t>
            </w:r>
            <w:r>
              <w:rPr>
                <w:color w:val="auto"/>
                <w:szCs w:val="21"/>
              </w:rPr>
              <w:t>、氨气等。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342" w:type="dxa"/>
            <w:vMerge w:val="continue"/>
            <w:vAlign w:val="center"/>
          </w:tcPr>
          <w:p>
            <w:pPr>
              <w:pStyle w:val="292"/>
              <w:ind w:firstLine="480"/>
              <w:rPr>
                <w:color w:val="auto"/>
                <w:szCs w:val="21"/>
              </w:rPr>
            </w:pPr>
          </w:p>
        </w:tc>
        <w:tc>
          <w:tcPr>
            <w:tcW w:w="1176" w:type="dxa"/>
            <w:vAlign w:val="center"/>
          </w:tcPr>
          <w:p>
            <w:pPr>
              <w:pStyle w:val="292"/>
              <w:rPr>
                <w:color w:val="auto"/>
                <w:szCs w:val="21"/>
              </w:rPr>
            </w:pPr>
            <w:r>
              <w:rPr>
                <w:color w:val="auto"/>
                <w:szCs w:val="21"/>
              </w:rPr>
              <w:t>监测频次</w:t>
            </w:r>
          </w:p>
        </w:tc>
        <w:tc>
          <w:tcPr>
            <w:tcW w:w="6768" w:type="dxa"/>
            <w:vAlign w:val="center"/>
          </w:tcPr>
          <w:p>
            <w:pPr>
              <w:pStyle w:val="292"/>
              <w:rPr>
                <w:color w:val="auto"/>
                <w:szCs w:val="21"/>
              </w:rPr>
            </w:pPr>
            <w:r>
              <w:rPr>
                <w:color w:val="auto"/>
                <w:szCs w:val="21"/>
              </w:rPr>
              <w:t>根据现场污染状况确定，密切注意大气污染物的浓度变化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342" w:type="dxa"/>
            <w:vMerge w:val="restart"/>
            <w:vAlign w:val="center"/>
          </w:tcPr>
          <w:p>
            <w:pPr>
              <w:pStyle w:val="292"/>
              <w:rPr>
                <w:color w:val="auto"/>
                <w:szCs w:val="21"/>
              </w:rPr>
            </w:pPr>
            <w:r>
              <w:rPr>
                <w:color w:val="auto"/>
                <w:szCs w:val="21"/>
              </w:rPr>
              <w:t>事故时土壤监测方案</w:t>
            </w:r>
          </w:p>
        </w:tc>
        <w:tc>
          <w:tcPr>
            <w:tcW w:w="1176" w:type="dxa"/>
            <w:vAlign w:val="center"/>
          </w:tcPr>
          <w:p>
            <w:pPr>
              <w:pStyle w:val="292"/>
              <w:rPr>
                <w:color w:val="auto"/>
                <w:szCs w:val="21"/>
              </w:rPr>
            </w:pPr>
            <w:r>
              <w:rPr>
                <w:color w:val="auto"/>
                <w:szCs w:val="21"/>
              </w:rPr>
              <w:t>监测布点</w:t>
            </w:r>
          </w:p>
        </w:tc>
        <w:tc>
          <w:tcPr>
            <w:tcW w:w="6768" w:type="dxa"/>
            <w:vAlign w:val="center"/>
          </w:tcPr>
          <w:p>
            <w:pPr>
              <w:pStyle w:val="292"/>
              <w:rPr>
                <w:color w:val="auto"/>
                <w:szCs w:val="21"/>
              </w:rPr>
            </w:pPr>
            <w:r>
              <w:rPr>
                <w:color w:val="auto"/>
                <w:szCs w:val="21"/>
              </w:rPr>
              <w:t>以事故地点为中心，按一定间隔的圆形布点采样，并根据污染物的特性不同深度采样，掌握污染物在土壤中的运移规律以及时空变化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342" w:type="dxa"/>
            <w:vMerge w:val="continue"/>
            <w:vAlign w:val="center"/>
          </w:tcPr>
          <w:p>
            <w:pPr>
              <w:pStyle w:val="292"/>
              <w:ind w:firstLine="480"/>
              <w:rPr>
                <w:color w:val="auto"/>
                <w:szCs w:val="21"/>
              </w:rPr>
            </w:pPr>
          </w:p>
        </w:tc>
        <w:tc>
          <w:tcPr>
            <w:tcW w:w="1176" w:type="dxa"/>
            <w:vAlign w:val="center"/>
          </w:tcPr>
          <w:p>
            <w:pPr>
              <w:pStyle w:val="292"/>
              <w:rPr>
                <w:color w:val="auto"/>
                <w:szCs w:val="21"/>
              </w:rPr>
            </w:pPr>
            <w:r>
              <w:rPr>
                <w:color w:val="auto"/>
                <w:szCs w:val="21"/>
              </w:rPr>
              <w:t>监测项目</w:t>
            </w:r>
          </w:p>
        </w:tc>
        <w:tc>
          <w:tcPr>
            <w:tcW w:w="6768" w:type="dxa"/>
            <w:vAlign w:val="center"/>
          </w:tcPr>
          <w:p>
            <w:pPr>
              <w:pStyle w:val="292"/>
              <w:rPr>
                <w:color w:val="auto"/>
                <w:szCs w:val="21"/>
              </w:rPr>
            </w:pPr>
            <w:r>
              <w:rPr>
                <w:color w:val="auto"/>
                <w:szCs w:val="21"/>
              </w:rPr>
              <w:t>pH、镉、铅、铜、镍、铬、二噁英等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342" w:type="dxa"/>
            <w:vMerge w:val="continue"/>
            <w:vAlign w:val="center"/>
          </w:tcPr>
          <w:p>
            <w:pPr>
              <w:pStyle w:val="292"/>
              <w:ind w:firstLine="480"/>
              <w:rPr>
                <w:color w:val="auto"/>
                <w:szCs w:val="21"/>
              </w:rPr>
            </w:pPr>
          </w:p>
        </w:tc>
        <w:tc>
          <w:tcPr>
            <w:tcW w:w="1176" w:type="dxa"/>
            <w:vAlign w:val="center"/>
          </w:tcPr>
          <w:p>
            <w:pPr>
              <w:pStyle w:val="292"/>
              <w:rPr>
                <w:color w:val="auto"/>
                <w:szCs w:val="21"/>
              </w:rPr>
            </w:pPr>
            <w:r>
              <w:rPr>
                <w:color w:val="auto"/>
                <w:szCs w:val="21"/>
              </w:rPr>
              <w:t>监测频次</w:t>
            </w:r>
          </w:p>
        </w:tc>
        <w:tc>
          <w:tcPr>
            <w:tcW w:w="6768" w:type="dxa"/>
            <w:vAlign w:val="center"/>
          </w:tcPr>
          <w:p>
            <w:pPr>
              <w:pStyle w:val="292"/>
              <w:rPr>
                <w:color w:val="auto"/>
                <w:szCs w:val="21"/>
              </w:rPr>
            </w:pPr>
            <w:r>
              <w:rPr>
                <w:color w:val="auto"/>
                <w:szCs w:val="21"/>
              </w:rPr>
              <w:t>根据现场污染状况确定，密切注意污染物的浓度变化。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342" w:type="dxa"/>
            <w:vMerge w:val="restart"/>
            <w:vAlign w:val="center"/>
          </w:tcPr>
          <w:p>
            <w:pPr>
              <w:pStyle w:val="292"/>
              <w:rPr>
                <w:color w:val="auto"/>
                <w:szCs w:val="21"/>
              </w:rPr>
            </w:pPr>
            <w:r>
              <w:rPr>
                <w:color w:val="auto"/>
                <w:szCs w:val="21"/>
              </w:rPr>
              <w:t>事故时地下水监测方案</w:t>
            </w:r>
          </w:p>
        </w:tc>
        <w:tc>
          <w:tcPr>
            <w:tcW w:w="1176" w:type="dxa"/>
            <w:vAlign w:val="center"/>
          </w:tcPr>
          <w:p>
            <w:pPr>
              <w:pStyle w:val="292"/>
              <w:rPr>
                <w:color w:val="auto"/>
                <w:szCs w:val="21"/>
              </w:rPr>
            </w:pPr>
            <w:r>
              <w:rPr>
                <w:color w:val="auto"/>
                <w:szCs w:val="21"/>
              </w:rPr>
              <w:t>监测布点</w:t>
            </w:r>
          </w:p>
        </w:tc>
        <w:tc>
          <w:tcPr>
            <w:tcW w:w="6768" w:type="dxa"/>
            <w:vAlign w:val="center"/>
          </w:tcPr>
          <w:p>
            <w:pPr>
              <w:pStyle w:val="292"/>
              <w:rPr>
                <w:color w:val="auto"/>
                <w:szCs w:val="21"/>
              </w:rPr>
            </w:pPr>
            <w:r>
              <w:rPr>
                <w:color w:val="auto"/>
                <w:szCs w:val="21"/>
              </w:rPr>
              <w:t>（1）事故地下水污染源监测：在事故排放点监测井附近；</w:t>
            </w:r>
          </w:p>
          <w:p>
            <w:pPr>
              <w:pStyle w:val="292"/>
              <w:rPr>
                <w:color w:val="auto"/>
                <w:szCs w:val="21"/>
              </w:rPr>
            </w:pPr>
            <w:r>
              <w:rPr>
                <w:color w:val="auto"/>
                <w:szCs w:val="21"/>
              </w:rPr>
              <w:t>（2）周边敏感点地下水环境监测：在附近居民点水井处监测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342" w:type="dxa"/>
            <w:vMerge w:val="continue"/>
            <w:vAlign w:val="center"/>
          </w:tcPr>
          <w:p>
            <w:pPr>
              <w:pStyle w:val="292"/>
              <w:ind w:firstLine="480"/>
              <w:rPr>
                <w:color w:val="auto"/>
                <w:szCs w:val="21"/>
              </w:rPr>
            </w:pPr>
          </w:p>
        </w:tc>
        <w:tc>
          <w:tcPr>
            <w:tcW w:w="1176" w:type="dxa"/>
            <w:vAlign w:val="center"/>
          </w:tcPr>
          <w:p>
            <w:pPr>
              <w:pStyle w:val="292"/>
              <w:rPr>
                <w:color w:val="auto"/>
                <w:szCs w:val="21"/>
              </w:rPr>
            </w:pPr>
            <w:r>
              <w:rPr>
                <w:color w:val="auto"/>
                <w:szCs w:val="21"/>
              </w:rPr>
              <w:t>监测项目</w:t>
            </w:r>
          </w:p>
        </w:tc>
        <w:tc>
          <w:tcPr>
            <w:tcW w:w="6768" w:type="dxa"/>
            <w:vAlign w:val="center"/>
          </w:tcPr>
          <w:p>
            <w:pPr>
              <w:pStyle w:val="292"/>
              <w:rPr>
                <w:color w:val="auto"/>
                <w:szCs w:val="21"/>
              </w:rPr>
            </w:pPr>
            <w:r>
              <w:rPr>
                <w:color w:val="auto"/>
                <w:szCs w:val="21"/>
              </w:rPr>
              <w:t>水位、pH、氨氮、高锰酸盐指数、总硬度、色度、浊度、硝酸盐（以N计）、亚硝酸盐、硫酸盐、氯化物、大肠杆菌数、氟化物、Cr</w:t>
            </w:r>
            <w:r>
              <w:rPr>
                <w:color w:val="auto"/>
                <w:szCs w:val="21"/>
                <w:vertAlign w:val="superscript"/>
              </w:rPr>
              <w:t>6+</w:t>
            </w:r>
            <w:r>
              <w:rPr>
                <w:color w:val="auto"/>
                <w:szCs w:val="21"/>
              </w:rPr>
              <w:t>、Pb、Cu、Cd、Ni。等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342" w:type="dxa"/>
            <w:vMerge w:val="continue"/>
            <w:vAlign w:val="center"/>
          </w:tcPr>
          <w:p>
            <w:pPr>
              <w:pStyle w:val="292"/>
              <w:ind w:firstLine="480"/>
              <w:rPr>
                <w:color w:val="auto"/>
                <w:szCs w:val="21"/>
              </w:rPr>
            </w:pPr>
          </w:p>
        </w:tc>
        <w:tc>
          <w:tcPr>
            <w:tcW w:w="1176" w:type="dxa"/>
            <w:vAlign w:val="center"/>
          </w:tcPr>
          <w:p>
            <w:pPr>
              <w:pStyle w:val="292"/>
              <w:rPr>
                <w:color w:val="auto"/>
                <w:szCs w:val="21"/>
              </w:rPr>
            </w:pPr>
            <w:r>
              <w:rPr>
                <w:color w:val="auto"/>
                <w:szCs w:val="21"/>
              </w:rPr>
              <w:t>监测频次</w:t>
            </w:r>
          </w:p>
        </w:tc>
        <w:tc>
          <w:tcPr>
            <w:tcW w:w="6768" w:type="dxa"/>
            <w:vAlign w:val="center"/>
          </w:tcPr>
          <w:p>
            <w:pPr>
              <w:pStyle w:val="292"/>
              <w:rPr>
                <w:color w:val="auto"/>
                <w:szCs w:val="21"/>
              </w:rPr>
            </w:pPr>
            <w:r>
              <w:rPr>
                <w:color w:val="auto"/>
                <w:szCs w:val="21"/>
              </w:rPr>
              <w:t>根据现场污染状况确定，分析地下水污染的浓度变化</w:t>
            </w:r>
          </w:p>
        </w:tc>
      </w:tr>
    </w:tbl>
    <w:p>
      <w:pPr>
        <w:pStyle w:val="3"/>
        <w:numPr>
          <w:ilvl w:val="0"/>
          <w:numId w:val="0"/>
        </w:numPr>
        <w:tabs>
          <w:tab w:val="clear" w:pos="680"/>
        </w:tabs>
        <w:ind w:left="576" w:hanging="576"/>
        <w:rPr>
          <w:rFonts w:ascii="Times New Roman"/>
          <w:bCs/>
          <w:color w:val="auto"/>
        </w:rPr>
      </w:pPr>
      <w:bookmarkStart w:id="958" w:name="_Toc8179"/>
      <w:bookmarkStart w:id="959" w:name="_Toc9517778"/>
      <w:bookmarkStart w:id="960" w:name="_Toc23263189"/>
      <w:bookmarkStart w:id="961" w:name="_Toc24136870"/>
      <w:bookmarkStart w:id="962" w:name="_Toc14943346"/>
      <w:r>
        <w:rPr>
          <w:rFonts w:ascii="Times New Roman"/>
          <w:bCs/>
          <w:color w:val="auto"/>
        </w:rPr>
        <w:t>8.6排污口规范化管理</w:t>
      </w:r>
      <w:bookmarkEnd w:id="958"/>
      <w:bookmarkEnd w:id="959"/>
      <w:bookmarkEnd w:id="960"/>
      <w:bookmarkEnd w:id="961"/>
      <w:bookmarkEnd w:id="962"/>
    </w:p>
    <w:p>
      <w:pPr>
        <w:spacing w:line="360" w:lineRule="auto"/>
        <w:ind w:firstLine="480"/>
        <w:jc w:val="both"/>
        <w:rPr>
          <w:color w:val="auto"/>
        </w:rPr>
      </w:pPr>
      <w:r>
        <w:rPr>
          <w:color w:val="auto"/>
        </w:rPr>
        <w:t>根据国家标准《环境保护图形标志—排污口（源）》、国家环保总局《排污口规范化整治要求（试行）》和广东省环保局粤环</w:t>
      </w:r>
      <w:r>
        <w:rPr>
          <w:rFonts w:hint="eastAsia"/>
          <w:color w:val="auto"/>
        </w:rPr>
        <w:t>【2</w:t>
      </w:r>
      <w:r>
        <w:rPr>
          <w:color w:val="auto"/>
        </w:rPr>
        <w:t>008</w:t>
      </w:r>
      <w:r>
        <w:rPr>
          <w:rFonts w:hint="eastAsia"/>
          <w:color w:val="auto"/>
        </w:rPr>
        <w:t>】</w:t>
      </w:r>
      <w:r>
        <w:rPr>
          <w:color w:val="auto"/>
        </w:rPr>
        <w:t>42号的技术要求，企业所有排放口，包括水、气、声、固体废物，必须按照</w:t>
      </w:r>
      <w:r>
        <w:rPr>
          <w:rFonts w:asciiTheme="minorEastAsia" w:hAnsiTheme="minorEastAsia" w:eastAsiaTheme="minorEastAsia"/>
          <w:color w:val="auto"/>
        </w:rPr>
        <w:t>“便于计量监测、便于日常现场监督检查”的</w:t>
      </w:r>
      <w:r>
        <w:rPr>
          <w:color w:val="auto"/>
        </w:rPr>
        <w:t>原则和规范化要求，设置与之相适应的环境保护图形标志牌，绘制企业排污口分布图，同时对污水排放口安装流量计，对治理设施安装运行监控装置。排污口设置必须符合穗环</w:t>
      </w:r>
      <w:r>
        <w:rPr>
          <w:rFonts w:hint="eastAsia"/>
          <w:color w:val="auto"/>
        </w:rPr>
        <w:t>【2</w:t>
      </w:r>
      <w:r>
        <w:rPr>
          <w:color w:val="auto"/>
        </w:rPr>
        <w:t>008</w:t>
      </w:r>
      <w:r>
        <w:rPr>
          <w:rFonts w:hint="eastAsia"/>
          <w:color w:val="auto"/>
        </w:rPr>
        <w:t>】</w:t>
      </w:r>
      <w:r>
        <w:rPr>
          <w:color w:val="auto"/>
        </w:rPr>
        <w:t>124号</w:t>
      </w:r>
      <w:r>
        <w:rPr>
          <w:rFonts w:asciiTheme="minorEastAsia" w:hAnsiTheme="minorEastAsia" w:eastAsiaTheme="minorEastAsia"/>
          <w:color w:val="auto"/>
        </w:rPr>
        <w:t>“关于转发《广东省污染源排放口规范化设置导则》的通知”的要</w:t>
      </w:r>
      <w:r>
        <w:rPr>
          <w:color w:val="auto"/>
        </w:rPr>
        <w:t>求。</w:t>
      </w:r>
    </w:p>
    <w:p>
      <w:pPr>
        <w:spacing w:line="360" w:lineRule="auto"/>
        <w:ind w:firstLine="480"/>
        <w:rPr>
          <w:color w:val="auto"/>
        </w:rPr>
      </w:pPr>
      <w:r>
        <w:rPr>
          <w:color w:val="auto"/>
        </w:rPr>
        <w:t>（1）废气排放口</w:t>
      </w:r>
    </w:p>
    <w:p>
      <w:pPr>
        <w:spacing w:line="360" w:lineRule="auto"/>
        <w:ind w:firstLine="480"/>
        <w:jc w:val="both"/>
        <w:rPr>
          <w:color w:val="auto"/>
        </w:rPr>
      </w:pPr>
      <w:r>
        <w:rPr>
          <w:color w:val="auto"/>
        </w:rPr>
        <w:t>合理确定废气排放口位置，并按《污染源监测技术规范》设置采样点，如无法满足要求的，其采样口与环境监测部门共同确认。</w:t>
      </w:r>
    </w:p>
    <w:p>
      <w:pPr>
        <w:spacing w:line="360" w:lineRule="auto"/>
        <w:ind w:firstLine="480"/>
        <w:rPr>
          <w:color w:val="auto"/>
        </w:rPr>
      </w:pPr>
      <w:r>
        <w:rPr>
          <w:color w:val="auto"/>
        </w:rPr>
        <w:t>（2）固定噪声排放源</w:t>
      </w:r>
    </w:p>
    <w:p>
      <w:pPr>
        <w:spacing w:line="360" w:lineRule="auto"/>
        <w:ind w:firstLine="480"/>
        <w:rPr>
          <w:color w:val="auto"/>
        </w:rPr>
      </w:pPr>
      <w:r>
        <w:rPr>
          <w:color w:val="auto"/>
        </w:rPr>
        <w:t>按规定对固定噪声进行治理，并在边界噪声敏感点、且对外界影响最大处设置标志牌。</w:t>
      </w:r>
    </w:p>
    <w:p>
      <w:pPr>
        <w:spacing w:line="360" w:lineRule="auto"/>
        <w:ind w:firstLine="480"/>
        <w:rPr>
          <w:color w:val="auto"/>
        </w:rPr>
      </w:pPr>
      <w:r>
        <w:rPr>
          <w:color w:val="auto"/>
        </w:rPr>
        <w:t>（3）固体废物贮存（处置）场</w:t>
      </w:r>
    </w:p>
    <w:p>
      <w:pPr>
        <w:spacing w:line="360" w:lineRule="auto"/>
        <w:ind w:firstLine="480"/>
        <w:rPr>
          <w:color w:val="auto"/>
        </w:rPr>
      </w:pPr>
      <w:r>
        <w:rPr>
          <w:color w:val="auto"/>
        </w:rPr>
        <w:t>对各种固体废物应分别收集、贮存和运输，设置专用堆放场所，有防扬散、防流失、防渗漏等措施。</w:t>
      </w:r>
    </w:p>
    <w:p>
      <w:pPr>
        <w:spacing w:line="360" w:lineRule="auto"/>
        <w:ind w:firstLine="480"/>
        <w:rPr>
          <w:color w:val="auto"/>
        </w:rPr>
      </w:pPr>
      <w:r>
        <w:rPr>
          <w:color w:val="auto"/>
        </w:rPr>
        <w:t>（4）排污口标志牌设置要求</w:t>
      </w:r>
    </w:p>
    <w:p>
      <w:pPr>
        <w:spacing w:line="360" w:lineRule="auto"/>
        <w:ind w:firstLine="480"/>
        <w:rPr>
          <w:color w:val="auto"/>
        </w:rPr>
      </w:pPr>
      <w:r>
        <w:rPr>
          <w:rFonts w:hint="eastAsia" w:ascii="宋体" w:hAnsi="宋体" w:cs="宋体"/>
          <w:color w:val="auto"/>
        </w:rPr>
        <w:t>①</w:t>
      </w:r>
      <w:r>
        <w:rPr>
          <w:color w:val="auto"/>
        </w:rPr>
        <w:t>一切排污口（源）和固体废物贮存、处置场所，必须按照国家标准《环境保护图形标志》（GB15562.1-1995、GB15562.2-1995）的规定，设置与之相适应的环境保护图形标志牌。标志牌按标准制作，各地可按管理需求设置辅助内容，辅助内容由当地环保部门规定。</w:t>
      </w:r>
    </w:p>
    <w:p>
      <w:pPr>
        <w:spacing w:line="360" w:lineRule="auto"/>
        <w:ind w:firstLine="480"/>
        <w:rPr>
          <w:color w:val="auto"/>
        </w:rPr>
      </w:pPr>
      <w:r>
        <w:rPr>
          <w:rFonts w:hint="eastAsia" w:ascii="宋体" w:hAnsi="宋体" w:cs="宋体"/>
          <w:color w:val="auto"/>
        </w:rPr>
        <w:t>②</w:t>
      </w:r>
      <w:r>
        <w:rPr>
          <w:color w:val="auto"/>
        </w:rPr>
        <w:t>环境保护图形标志牌应设置在距排污口（源）及固体废物贮存（处置）场所或采样点较近且醒目处，并能长久保留。设置高度一般为：环境保护图形标志牌上缘距离地面2 m。</w:t>
      </w:r>
    </w:p>
    <w:p>
      <w:pPr>
        <w:spacing w:line="360" w:lineRule="auto"/>
        <w:ind w:firstLine="480"/>
        <w:rPr>
          <w:color w:val="auto"/>
        </w:rPr>
      </w:pPr>
      <w:r>
        <w:rPr>
          <w:rFonts w:hint="eastAsia" w:ascii="宋体" w:hAnsi="宋体" w:cs="宋体"/>
          <w:color w:val="auto"/>
        </w:rPr>
        <w:t>③</w:t>
      </w:r>
      <w:r>
        <w:rPr>
          <w:color w:val="auto"/>
        </w:rPr>
        <w:t>噪声排放源标志牌应设置在距选定监测点较近且醒目处。固定噪声污染源对边界影响最大处，须按《工业企业厂界环境噪声排放标准》（GB12348-2008）的规定，设置环境噪声监测点，并在该处附近醒目处设置环境保护图形标志牌。边界上有若干个在声环境中相对独立的固定噪声污染源，应分别设置环境噪声监测点和环境保护图形标志牌。</w:t>
      </w:r>
    </w:p>
    <w:p>
      <w:pPr>
        <w:spacing w:line="360" w:lineRule="auto"/>
        <w:ind w:firstLine="480"/>
        <w:rPr>
          <w:color w:val="auto"/>
        </w:rPr>
      </w:pPr>
      <w:r>
        <w:rPr>
          <w:rFonts w:hint="eastAsia" w:ascii="宋体" w:hAnsi="宋体" w:cs="宋体"/>
          <w:color w:val="auto"/>
        </w:rPr>
        <w:t>④</w:t>
      </w:r>
      <w:r>
        <w:rPr>
          <w:color w:val="auto"/>
        </w:rPr>
        <w:t>一般性污染物排污口（源）或固体废物贮存、处置场所，设置提示性环境保护图形标志牌。排放剧毒、致癌物及对人体有严重危害物质的排污口（源）或危险废物贮存、处置场所，设置警告性环境保护图形标志牌。</w:t>
      </w:r>
    </w:p>
    <w:p>
      <w:pPr>
        <w:spacing w:line="360" w:lineRule="auto"/>
        <w:ind w:firstLine="480"/>
        <w:rPr>
          <w:color w:val="auto"/>
        </w:rPr>
      </w:pPr>
      <w:r>
        <w:rPr>
          <w:rFonts w:hint="eastAsia" w:ascii="宋体" w:hAnsi="宋体" w:cs="宋体"/>
          <w:color w:val="auto"/>
        </w:rPr>
        <w:t>⑤</w:t>
      </w:r>
      <w:r>
        <w:rPr>
          <w:color w:val="auto"/>
        </w:rPr>
        <w:t>规范化排污口的有关设置（如图形标志牌、计量装置、监控装置等）属环保设施，排污单位必须负责日常的维护保养，任何单位和个人不得擅自拆除，如需调整的须报环境监理部门同意并办理调整手续。</w:t>
      </w:r>
    </w:p>
    <w:p>
      <w:pPr>
        <w:pStyle w:val="3"/>
        <w:numPr>
          <w:ilvl w:val="0"/>
          <w:numId w:val="0"/>
        </w:numPr>
        <w:tabs>
          <w:tab w:val="clear" w:pos="680"/>
        </w:tabs>
        <w:ind w:left="576" w:hanging="576"/>
        <w:rPr>
          <w:rFonts w:ascii="Times New Roman"/>
          <w:bCs/>
          <w:color w:val="auto"/>
        </w:rPr>
      </w:pPr>
      <w:bookmarkStart w:id="963" w:name="_Toc13487"/>
      <w:bookmarkStart w:id="964" w:name="_Toc14943347"/>
      <w:bookmarkStart w:id="965" w:name="_Toc9517779"/>
      <w:bookmarkStart w:id="966" w:name="_Toc23263190"/>
      <w:bookmarkStart w:id="967" w:name="_Toc24136871"/>
      <w:r>
        <w:rPr>
          <w:rFonts w:ascii="Times New Roman"/>
          <w:bCs/>
          <w:color w:val="auto"/>
        </w:rPr>
        <w:t>8.7环境管理制度</w:t>
      </w:r>
      <w:bookmarkEnd w:id="963"/>
      <w:bookmarkEnd w:id="964"/>
      <w:bookmarkEnd w:id="965"/>
      <w:bookmarkEnd w:id="966"/>
      <w:bookmarkEnd w:id="967"/>
    </w:p>
    <w:p>
      <w:pPr>
        <w:spacing w:line="360" w:lineRule="auto"/>
        <w:ind w:firstLine="480"/>
        <w:rPr>
          <w:color w:val="auto"/>
        </w:rPr>
      </w:pPr>
      <w:r>
        <w:rPr>
          <w:color w:val="auto"/>
        </w:rPr>
        <w:t>建设单位应制定一系列规章制度以促进环境保护工作，使环境保护工作规范化和程序化，并通过经济杠杆来保证环境保护管理制度的认真执行。根据需要，需制定的环境保护工作条例有：</w:t>
      </w:r>
    </w:p>
    <w:p>
      <w:pPr>
        <w:spacing w:line="360" w:lineRule="auto"/>
        <w:ind w:firstLine="480"/>
        <w:rPr>
          <w:color w:val="auto"/>
        </w:rPr>
      </w:pPr>
      <w:r>
        <w:rPr>
          <w:color w:val="auto"/>
        </w:rPr>
        <w:t>（1）环境保护职责管理条例；</w:t>
      </w:r>
    </w:p>
    <w:p>
      <w:pPr>
        <w:spacing w:line="360" w:lineRule="auto"/>
        <w:ind w:firstLine="480"/>
        <w:rPr>
          <w:color w:val="auto"/>
        </w:rPr>
      </w:pPr>
      <w:r>
        <w:rPr>
          <w:color w:val="auto"/>
        </w:rPr>
        <w:t>（2）废气、固体废物排放管理制度；</w:t>
      </w:r>
    </w:p>
    <w:p>
      <w:pPr>
        <w:spacing w:line="360" w:lineRule="auto"/>
        <w:ind w:firstLine="480"/>
        <w:rPr>
          <w:color w:val="auto"/>
        </w:rPr>
      </w:pPr>
      <w:r>
        <w:rPr>
          <w:color w:val="auto"/>
        </w:rPr>
        <w:t>（3）处理装置日常运行管理制度；</w:t>
      </w:r>
    </w:p>
    <w:p>
      <w:pPr>
        <w:spacing w:line="360" w:lineRule="auto"/>
        <w:ind w:firstLine="480"/>
        <w:rPr>
          <w:color w:val="auto"/>
        </w:rPr>
      </w:pPr>
      <w:r>
        <w:rPr>
          <w:color w:val="auto"/>
        </w:rPr>
        <w:t>（4）排污情况报告制度；</w:t>
      </w:r>
    </w:p>
    <w:p>
      <w:pPr>
        <w:spacing w:line="360" w:lineRule="auto"/>
        <w:ind w:firstLine="480"/>
        <w:rPr>
          <w:color w:val="auto"/>
        </w:rPr>
      </w:pPr>
      <w:r>
        <w:rPr>
          <w:color w:val="auto"/>
        </w:rPr>
        <w:t>（5）污染事故处理制度；</w:t>
      </w:r>
    </w:p>
    <w:p>
      <w:pPr>
        <w:ind w:firstLine="480"/>
        <w:rPr>
          <w:color w:val="auto"/>
        </w:rPr>
      </w:pPr>
      <w:r>
        <w:rPr>
          <w:color w:val="auto"/>
        </w:rPr>
        <w:t>（6）环保教育制度。</w:t>
      </w:r>
    </w:p>
    <w:bookmarkEnd w:id="898"/>
    <w:bookmarkEnd w:id="899"/>
    <w:bookmarkEnd w:id="900"/>
    <w:bookmarkEnd w:id="901"/>
    <w:bookmarkEnd w:id="902"/>
    <w:bookmarkEnd w:id="903"/>
    <w:bookmarkEnd w:id="904"/>
    <w:bookmarkEnd w:id="905"/>
    <w:bookmarkEnd w:id="906"/>
    <w:p>
      <w:pPr>
        <w:rPr>
          <w:color w:val="auto"/>
        </w:rPr>
      </w:pPr>
      <w:bookmarkStart w:id="968" w:name="_Toc406091988"/>
      <w:bookmarkStart w:id="969" w:name="_Toc166495140"/>
      <w:bookmarkStart w:id="970" w:name="_Toc450815014"/>
    </w:p>
    <w:bookmarkEnd w:id="968"/>
    <w:bookmarkEnd w:id="969"/>
    <w:bookmarkEnd w:id="970"/>
    <w:p>
      <w:pPr>
        <w:pStyle w:val="295"/>
        <w:rPr>
          <w:color w:val="auto"/>
          <w:shd w:val="clear" w:color="auto" w:fill="FFFFFF"/>
        </w:rPr>
      </w:pPr>
      <w:r>
        <w:rPr>
          <w:color w:val="auto"/>
        </w:rPr>
        <w:br w:type="page"/>
      </w:r>
      <w:bookmarkStart w:id="971" w:name="_Toc23263191"/>
      <w:bookmarkStart w:id="972" w:name="_Toc483263496"/>
      <w:bookmarkStart w:id="973" w:name="_Toc14943348"/>
      <w:bookmarkStart w:id="974" w:name="_Toc470612176"/>
      <w:bookmarkStart w:id="975" w:name="_Toc24136872"/>
      <w:bookmarkStart w:id="976" w:name="_Toc367992276"/>
      <w:bookmarkStart w:id="977" w:name="_Toc13945"/>
      <w:bookmarkStart w:id="978" w:name="_Toc367695045"/>
      <w:r>
        <w:rPr>
          <w:color w:val="auto"/>
        </w:rPr>
        <w:t>9</w:t>
      </w:r>
      <w:r>
        <w:rPr>
          <w:rFonts w:hint="eastAsia"/>
          <w:color w:val="auto"/>
        </w:rPr>
        <w:t xml:space="preserve"> </w:t>
      </w:r>
      <w:r>
        <w:rPr>
          <w:color w:val="auto"/>
        </w:rPr>
        <w:t>评价结论</w:t>
      </w:r>
      <w:bookmarkEnd w:id="971"/>
      <w:bookmarkEnd w:id="972"/>
      <w:bookmarkEnd w:id="973"/>
      <w:bookmarkEnd w:id="974"/>
      <w:bookmarkEnd w:id="975"/>
      <w:bookmarkEnd w:id="976"/>
      <w:bookmarkEnd w:id="977"/>
      <w:bookmarkEnd w:id="978"/>
    </w:p>
    <w:p>
      <w:pPr>
        <w:pStyle w:val="3"/>
        <w:numPr>
          <w:ilvl w:val="0"/>
          <w:numId w:val="0"/>
        </w:numPr>
        <w:tabs>
          <w:tab w:val="clear" w:pos="680"/>
        </w:tabs>
        <w:ind w:left="576" w:hanging="576"/>
        <w:rPr>
          <w:rFonts w:ascii="Times New Roman"/>
          <w:bCs/>
          <w:color w:val="auto"/>
        </w:rPr>
      </w:pPr>
      <w:bookmarkStart w:id="979" w:name="_Toc14943349"/>
      <w:bookmarkStart w:id="980" w:name="_Toc9517781"/>
      <w:bookmarkStart w:id="981" w:name="_Toc23263192"/>
      <w:bookmarkStart w:id="982" w:name="_Toc20238"/>
      <w:bookmarkStart w:id="983" w:name="_Toc24136873"/>
      <w:r>
        <w:rPr>
          <w:rFonts w:ascii="Times New Roman"/>
          <w:bCs/>
          <w:color w:val="auto"/>
        </w:rPr>
        <w:t>9.1基本情况</w:t>
      </w:r>
      <w:bookmarkEnd w:id="979"/>
      <w:bookmarkEnd w:id="980"/>
      <w:bookmarkEnd w:id="981"/>
      <w:bookmarkEnd w:id="982"/>
      <w:bookmarkEnd w:id="983"/>
    </w:p>
    <w:p>
      <w:pPr>
        <w:spacing w:line="360" w:lineRule="auto"/>
        <w:ind w:firstLine="480"/>
        <w:jc w:val="both"/>
        <w:rPr>
          <w:color w:val="auto"/>
        </w:rPr>
      </w:pPr>
      <w:r>
        <w:rPr>
          <w:bCs/>
          <w:color w:val="auto"/>
        </w:rPr>
        <w:t>兴宁市静脉产业园</w:t>
      </w:r>
      <w:r>
        <w:rPr>
          <w:rFonts w:hint="eastAsia"/>
          <w:bCs/>
          <w:color w:val="auto"/>
        </w:rPr>
        <w:t>P</w:t>
      </w:r>
      <w:r>
        <w:rPr>
          <w:bCs/>
          <w:color w:val="auto"/>
        </w:rPr>
        <w:t>PP项目</w:t>
      </w:r>
      <w:r>
        <w:rPr>
          <w:rFonts w:hint="eastAsia"/>
          <w:bCs/>
          <w:color w:val="auto"/>
        </w:rPr>
        <w:t>（又称</w:t>
      </w:r>
      <w:r>
        <w:rPr>
          <w:rFonts w:hint="eastAsia"/>
          <w:color w:val="auto"/>
        </w:rPr>
        <w:t>在建项目）</w:t>
      </w:r>
      <w:r>
        <w:rPr>
          <w:color w:val="auto"/>
        </w:rPr>
        <w:t>位于兴宁市新陂镇，</w:t>
      </w:r>
      <w:r>
        <w:rPr>
          <w:rFonts w:hint="eastAsia"/>
          <w:color w:val="auto"/>
        </w:rPr>
        <w:t>项目分两期建设，其中一期建设内容为：</w:t>
      </w:r>
      <w:r>
        <w:rPr>
          <w:color w:val="auto"/>
        </w:rPr>
        <w:t>生活垃圾焚烧</w:t>
      </w:r>
      <w:r>
        <w:rPr>
          <w:rFonts w:hint="eastAsia"/>
          <w:color w:val="auto"/>
        </w:rPr>
        <w:t>发电厂日处理垃圾7</w:t>
      </w:r>
      <w:r>
        <w:rPr>
          <w:color w:val="auto"/>
        </w:rPr>
        <w:t>00吨（规划预留</w:t>
      </w:r>
      <w:r>
        <w:rPr>
          <w:rFonts w:hint="eastAsia"/>
          <w:color w:val="auto"/>
        </w:rPr>
        <w:t>扩建规模</w:t>
      </w:r>
      <w:r>
        <w:rPr>
          <w:color w:val="auto"/>
        </w:rPr>
        <w:t>500吨/日）</w:t>
      </w:r>
      <w:r>
        <w:rPr>
          <w:rFonts w:hint="eastAsia"/>
          <w:color w:val="auto"/>
        </w:rPr>
        <w:t>、</w:t>
      </w:r>
      <w:r>
        <w:rPr>
          <w:color w:val="auto"/>
        </w:rPr>
        <w:t>污泥处理厂</w:t>
      </w:r>
      <w:r>
        <w:rPr>
          <w:rFonts w:hint="eastAsia"/>
          <w:color w:val="auto"/>
        </w:rPr>
        <w:t>日处理规模</w:t>
      </w:r>
      <w:r>
        <w:rPr>
          <w:color w:val="auto"/>
        </w:rPr>
        <w:t>为25吨（规划预留</w:t>
      </w:r>
      <w:r>
        <w:rPr>
          <w:rFonts w:hint="eastAsia"/>
          <w:color w:val="auto"/>
        </w:rPr>
        <w:t>扩建规模</w:t>
      </w:r>
      <w:r>
        <w:rPr>
          <w:color w:val="auto"/>
        </w:rPr>
        <w:t>25吨/日）</w:t>
      </w:r>
      <w:r>
        <w:rPr>
          <w:rFonts w:hint="eastAsia"/>
          <w:color w:val="auto"/>
        </w:rPr>
        <w:t>、</w:t>
      </w:r>
      <w:r>
        <w:rPr>
          <w:color w:val="auto"/>
        </w:rPr>
        <w:t>粪便处理厂</w:t>
      </w:r>
      <w:r>
        <w:rPr>
          <w:rFonts w:hint="eastAsia"/>
          <w:color w:val="auto"/>
        </w:rPr>
        <w:t>日处理</w:t>
      </w:r>
      <w:r>
        <w:rPr>
          <w:color w:val="auto"/>
        </w:rPr>
        <w:t>规模为5吨（规划预留</w:t>
      </w:r>
      <w:r>
        <w:rPr>
          <w:rFonts w:hint="eastAsia"/>
          <w:color w:val="auto"/>
        </w:rPr>
        <w:t>扩建规模</w:t>
      </w:r>
      <w:r>
        <w:rPr>
          <w:color w:val="auto"/>
        </w:rPr>
        <w:t>15吨/日）。</w:t>
      </w:r>
      <w:r>
        <w:rPr>
          <w:rFonts w:hint="eastAsia"/>
          <w:color w:val="auto"/>
        </w:rPr>
        <w:t>同时，园区</w:t>
      </w:r>
      <w:r>
        <w:rPr>
          <w:color w:val="auto"/>
        </w:rPr>
        <w:t>配套建设</w:t>
      </w:r>
      <w:r>
        <w:rPr>
          <w:rFonts w:hint="eastAsia"/>
          <w:color w:val="auto"/>
        </w:rPr>
        <w:t>综合管理</w:t>
      </w:r>
      <w:r>
        <w:rPr>
          <w:color w:val="auto"/>
        </w:rPr>
        <w:t>区、污水处理厂（</w:t>
      </w:r>
      <w:r>
        <w:rPr>
          <w:rFonts w:hint="eastAsia"/>
          <w:color w:val="auto"/>
        </w:rPr>
        <w:t>处理园区垃圾渗滤液、各类生产废水、生活污水、污泥废水、粪便废水等，规模</w:t>
      </w:r>
      <w:r>
        <w:rPr>
          <w:color w:val="auto"/>
        </w:rPr>
        <w:t>600吨/日）</w:t>
      </w:r>
      <w:r>
        <w:rPr>
          <w:rFonts w:hint="eastAsia"/>
          <w:color w:val="auto"/>
        </w:rPr>
        <w:t>、</w:t>
      </w:r>
      <w:r>
        <w:rPr>
          <w:color w:val="auto"/>
        </w:rPr>
        <w:t>生活垃圾卫生填埋</w:t>
      </w:r>
      <w:r>
        <w:rPr>
          <w:rFonts w:hint="eastAsia"/>
          <w:color w:val="auto"/>
        </w:rPr>
        <w:t>区（即固化飞灰填埋区，库容6</w:t>
      </w:r>
      <w:r>
        <w:rPr>
          <w:color w:val="auto"/>
        </w:rPr>
        <w:t>5</w:t>
      </w:r>
      <w:r>
        <w:rPr>
          <w:rFonts w:hint="eastAsia"/>
          <w:color w:val="auto"/>
        </w:rPr>
        <w:t>万m</w:t>
      </w:r>
      <w:r>
        <w:rPr>
          <w:color w:val="auto"/>
          <w:vertAlign w:val="superscript"/>
        </w:rPr>
        <w:t>3</w:t>
      </w:r>
      <w:r>
        <w:rPr>
          <w:rFonts w:hint="eastAsia"/>
          <w:color w:val="auto"/>
        </w:rPr>
        <w:t>）、炉渣综合利用中心，随一期工程一次性建成。</w:t>
      </w:r>
      <w:r>
        <w:rPr>
          <w:color w:val="auto"/>
        </w:rPr>
        <w:t>此外，</w:t>
      </w:r>
      <w:r>
        <w:rPr>
          <w:rFonts w:hint="eastAsia"/>
          <w:color w:val="auto"/>
        </w:rPr>
        <w:t>园区</w:t>
      </w:r>
      <w:r>
        <w:rPr>
          <w:color w:val="auto"/>
        </w:rPr>
        <w:t>为餐厨垃圾处理厂</w:t>
      </w:r>
      <w:r>
        <w:rPr>
          <w:rFonts w:hint="eastAsia"/>
          <w:color w:val="auto"/>
        </w:rPr>
        <w:t>（总处理规模2</w:t>
      </w:r>
      <w:r>
        <w:rPr>
          <w:color w:val="auto"/>
        </w:rPr>
        <w:t>5</w:t>
      </w:r>
      <w:r>
        <w:rPr>
          <w:rFonts w:hint="eastAsia"/>
          <w:color w:val="auto"/>
        </w:rPr>
        <w:t>t</w:t>
      </w:r>
      <w:r>
        <w:rPr>
          <w:color w:val="auto"/>
        </w:rPr>
        <w:t>/</w:t>
      </w:r>
      <w:r>
        <w:rPr>
          <w:rFonts w:hint="eastAsia"/>
          <w:color w:val="auto"/>
        </w:rPr>
        <w:t>d）</w:t>
      </w:r>
      <w:r>
        <w:rPr>
          <w:color w:val="auto"/>
        </w:rPr>
        <w:t>、建筑垃圾消纳场</w:t>
      </w:r>
      <w:r>
        <w:rPr>
          <w:rFonts w:hint="eastAsia"/>
          <w:color w:val="auto"/>
        </w:rPr>
        <w:t>（总处理规模2</w:t>
      </w:r>
      <w:r>
        <w:rPr>
          <w:color w:val="auto"/>
        </w:rPr>
        <w:t>00</w:t>
      </w:r>
      <w:r>
        <w:rPr>
          <w:rFonts w:hint="eastAsia"/>
          <w:color w:val="auto"/>
        </w:rPr>
        <w:t>m</w:t>
      </w:r>
      <w:r>
        <w:rPr>
          <w:color w:val="auto"/>
          <w:vertAlign w:val="superscript"/>
        </w:rPr>
        <w:t>3</w:t>
      </w:r>
      <w:r>
        <w:rPr>
          <w:rFonts w:hint="eastAsia"/>
          <w:color w:val="auto"/>
        </w:rPr>
        <w:t>/d）</w:t>
      </w:r>
      <w:r>
        <w:rPr>
          <w:color w:val="auto"/>
        </w:rPr>
        <w:t>预留用地</w:t>
      </w:r>
      <w:r>
        <w:rPr>
          <w:rFonts w:hint="eastAsia"/>
          <w:color w:val="auto"/>
        </w:rPr>
        <w:t>。</w:t>
      </w:r>
    </w:p>
    <w:p>
      <w:pPr>
        <w:spacing w:line="360" w:lineRule="auto"/>
        <w:ind w:firstLine="360" w:firstLineChars="150"/>
        <w:rPr>
          <w:color w:val="auto"/>
        </w:rPr>
      </w:pPr>
      <w:r>
        <w:rPr>
          <w:bCs/>
          <w:color w:val="auto"/>
        </w:rPr>
        <w:t>兴宁市静脉产业园</w:t>
      </w:r>
      <w:r>
        <w:rPr>
          <w:rFonts w:hint="eastAsia"/>
          <w:bCs/>
          <w:color w:val="auto"/>
        </w:rPr>
        <w:t>P</w:t>
      </w:r>
      <w:r>
        <w:rPr>
          <w:bCs/>
          <w:color w:val="auto"/>
        </w:rPr>
        <w:t>PP项目</w:t>
      </w:r>
      <w:r>
        <w:rPr>
          <w:rFonts w:hint="eastAsia"/>
          <w:color w:val="auto"/>
        </w:rPr>
        <w:t>已于2019年12月26日通过梅州市生态环境局审批，审批文号：梅市环审[2019]22号（详见附件12），该项目目前正在施工。</w:t>
      </w:r>
    </w:p>
    <w:p>
      <w:pPr>
        <w:spacing w:line="360" w:lineRule="auto"/>
        <w:ind w:firstLine="480"/>
        <w:rPr>
          <w:color w:val="auto"/>
        </w:rPr>
      </w:pPr>
      <w:r>
        <w:rPr>
          <w:rFonts w:hint="eastAsia"/>
          <w:color w:val="auto"/>
        </w:rPr>
        <w:t>为加快餐厨垃圾和建筑垃圾的规范管理，</w:t>
      </w:r>
      <w:r>
        <w:rPr>
          <w:rFonts w:hint="eastAsia"/>
          <w:bCs/>
          <w:color w:val="auto"/>
        </w:rPr>
        <w:t>建设单位拟投资9626万元在兴宁市静脉产业园的预留用地内建设兴宁市静脉产业园项目（餐厨垃圾处理厂和建筑垃圾消纳场）（又称本项目），本项目是</w:t>
      </w:r>
      <w:r>
        <w:rPr>
          <w:bCs/>
          <w:color w:val="auto"/>
        </w:rPr>
        <w:t>兴宁市静脉产业园</w:t>
      </w:r>
      <w:r>
        <w:rPr>
          <w:rFonts w:hint="eastAsia"/>
          <w:bCs/>
          <w:color w:val="auto"/>
        </w:rPr>
        <w:t>项目的子项目，建设内容为</w:t>
      </w:r>
      <w:r>
        <w:rPr>
          <w:rFonts w:hint="eastAsia"/>
          <w:color w:val="auto"/>
        </w:rPr>
        <w:t>总处理规模2</w:t>
      </w:r>
      <w:r>
        <w:rPr>
          <w:color w:val="auto"/>
        </w:rPr>
        <w:t>5</w:t>
      </w:r>
      <w:r>
        <w:rPr>
          <w:rFonts w:hint="eastAsia"/>
          <w:color w:val="auto"/>
        </w:rPr>
        <w:t>t</w:t>
      </w:r>
      <w:r>
        <w:rPr>
          <w:color w:val="auto"/>
        </w:rPr>
        <w:t>/</w:t>
      </w:r>
      <w:r>
        <w:rPr>
          <w:rFonts w:hint="eastAsia"/>
          <w:color w:val="auto"/>
        </w:rPr>
        <w:t>d的</w:t>
      </w:r>
      <w:r>
        <w:rPr>
          <w:color w:val="auto"/>
        </w:rPr>
        <w:t>餐厨垃圾处理厂</w:t>
      </w:r>
      <w:r>
        <w:rPr>
          <w:rFonts w:hint="eastAsia"/>
          <w:color w:val="auto"/>
        </w:rPr>
        <w:t>以及总处理规模2</w:t>
      </w:r>
      <w:r>
        <w:rPr>
          <w:color w:val="auto"/>
        </w:rPr>
        <w:t>00</w:t>
      </w:r>
      <w:r>
        <w:rPr>
          <w:rFonts w:hint="eastAsia"/>
          <w:color w:val="auto"/>
        </w:rPr>
        <w:t>m</w:t>
      </w:r>
      <w:r>
        <w:rPr>
          <w:color w:val="auto"/>
          <w:vertAlign w:val="superscript"/>
        </w:rPr>
        <w:t>3</w:t>
      </w:r>
      <w:r>
        <w:rPr>
          <w:rFonts w:hint="eastAsia"/>
          <w:color w:val="auto"/>
        </w:rPr>
        <w:t>/d</w:t>
      </w:r>
      <w:r>
        <w:rPr>
          <w:color w:val="auto"/>
        </w:rPr>
        <w:t>建筑垃圾消纳场</w:t>
      </w:r>
      <w:r>
        <w:rPr>
          <w:rFonts w:hint="eastAsia"/>
          <w:color w:val="auto"/>
        </w:rPr>
        <w:t>，</w:t>
      </w:r>
      <w:r>
        <w:rPr>
          <w:rFonts w:hint="eastAsia"/>
          <w:bCs/>
          <w:color w:val="auto"/>
        </w:rPr>
        <w:t>本项目产生的固渣等依托</w:t>
      </w:r>
      <w:r>
        <w:rPr>
          <w:bCs/>
          <w:color w:val="auto"/>
        </w:rPr>
        <w:t>兴宁市静脉产业园</w:t>
      </w:r>
      <w:r>
        <w:rPr>
          <w:rFonts w:hint="eastAsia"/>
          <w:bCs/>
          <w:color w:val="auto"/>
        </w:rPr>
        <w:t>项目在建的生活垃圾焚烧炉进行焚烧，餐厨垃圾生产废水依托在建的渗滤液处理站处理后全部回用，填埋场淋溶液经配套建设的机械加速沉淀池沉淀处理后回用，供水管网等依托</w:t>
      </w:r>
      <w:r>
        <w:rPr>
          <w:bCs/>
          <w:color w:val="auto"/>
        </w:rPr>
        <w:t>兴宁市静脉产业园</w:t>
      </w:r>
      <w:r>
        <w:rPr>
          <w:rFonts w:hint="eastAsia"/>
          <w:bCs/>
          <w:color w:val="auto"/>
        </w:rPr>
        <w:t>项目在建的公用工程。</w:t>
      </w:r>
    </w:p>
    <w:p>
      <w:pPr>
        <w:spacing w:line="360" w:lineRule="auto"/>
        <w:ind w:firstLine="480"/>
        <w:jc w:val="both"/>
        <w:rPr>
          <w:color w:val="auto"/>
        </w:rPr>
      </w:pPr>
      <w:r>
        <w:rPr>
          <w:rFonts w:hint="eastAsia"/>
          <w:color w:val="auto"/>
        </w:rPr>
        <w:t>餐厨垃圾处理厂近期服务范围为兴宁市的市辖街道（兴田街道、福兴街道、宁新街道），时机成熟时，可考虑在远期将近郊城镇以及运距合适的城镇纳入服务范围，扩大餐厨垃圾无害化处理范围；</w:t>
      </w:r>
      <w:r>
        <w:rPr>
          <w:color w:val="auto"/>
        </w:rPr>
        <w:t>建筑垃圾消纳场</w:t>
      </w:r>
      <w:r>
        <w:rPr>
          <w:rFonts w:hint="eastAsia"/>
          <w:color w:val="auto"/>
        </w:rPr>
        <w:t>服务范围包括兴田街道、福兴街道、宁新街道、新陂镇，后续考虑叶塘镇、龙田镇、宁中镇、永和镇、坭陂镇、刁坊镇等周城镇，逐渐扩大服务范围。</w:t>
      </w:r>
    </w:p>
    <w:p>
      <w:pPr>
        <w:spacing w:line="360" w:lineRule="auto"/>
        <w:ind w:firstLine="480"/>
        <w:jc w:val="both"/>
        <w:rPr>
          <w:color w:val="auto"/>
          <w:vertAlign w:val="superscript"/>
        </w:rPr>
      </w:pPr>
      <w:r>
        <w:rPr>
          <w:rFonts w:hint="eastAsia"/>
          <w:color w:val="auto"/>
        </w:rPr>
        <w:t>本</w:t>
      </w:r>
      <w:r>
        <w:rPr>
          <w:color w:val="auto"/>
        </w:rPr>
        <w:t>项目</w:t>
      </w:r>
      <w:r>
        <w:rPr>
          <w:rFonts w:hint="eastAsia"/>
          <w:color w:val="auto"/>
        </w:rPr>
        <w:t>总占地面积为126820</w:t>
      </w:r>
      <w:r>
        <w:rPr>
          <w:color w:val="auto"/>
        </w:rPr>
        <w:t xml:space="preserve"> m</w:t>
      </w:r>
      <w:r>
        <w:rPr>
          <w:color w:val="auto"/>
          <w:vertAlign w:val="superscript"/>
        </w:rPr>
        <w:t>2</w:t>
      </w:r>
      <w:r>
        <w:rPr>
          <w:rFonts w:eastAsiaTheme="minorEastAsia"/>
          <w:color w:val="auto"/>
          <w:w w:val="95"/>
        </w:rPr>
        <w:t>，</w:t>
      </w:r>
      <w:r>
        <w:rPr>
          <w:rFonts w:eastAsiaTheme="minorEastAsia"/>
          <w:color w:val="auto"/>
        </w:rPr>
        <w:t>其中</w:t>
      </w:r>
      <w:r>
        <w:rPr>
          <w:rFonts w:hint="eastAsia" w:eastAsiaTheme="minorEastAsia"/>
          <w:color w:val="auto"/>
        </w:rPr>
        <w:t>餐厨垃圾处理厂占地面积4307</w:t>
      </w:r>
      <w:r>
        <w:rPr>
          <w:color w:val="auto"/>
        </w:rPr>
        <w:t>m</w:t>
      </w:r>
      <w:r>
        <w:rPr>
          <w:color w:val="auto"/>
          <w:vertAlign w:val="superscript"/>
        </w:rPr>
        <w:t>2</w:t>
      </w:r>
      <w:r>
        <w:rPr>
          <w:rFonts w:hint="eastAsia" w:eastAsiaTheme="minorEastAsia"/>
          <w:color w:val="auto"/>
        </w:rPr>
        <w:t>，建筑垃圾消纳场占地面积122513</w:t>
      </w:r>
      <w:r>
        <w:rPr>
          <w:color w:val="auto"/>
        </w:rPr>
        <w:t xml:space="preserve"> m</w:t>
      </w:r>
      <w:r>
        <w:rPr>
          <w:color w:val="auto"/>
          <w:vertAlign w:val="superscript"/>
        </w:rPr>
        <w:t>2</w:t>
      </w:r>
      <w:r>
        <w:rPr>
          <w:rFonts w:hint="eastAsia"/>
          <w:color w:val="auto"/>
        </w:rPr>
        <w:t>。总</w:t>
      </w:r>
      <w:r>
        <w:rPr>
          <w:color w:val="auto"/>
        </w:rPr>
        <w:t>投资</w:t>
      </w:r>
      <w:r>
        <w:rPr>
          <w:rFonts w:hint="eastAsia"/>
          <w:bCs/>
          <w:color w:val="auto"/>
        </w:rPr>
        <w:t>9626</w:t>
      </w:r>
      <w:r>
        <w:rPr>
          <w:color w:val="auto"/>
        </w:rPr>
        <w:t>万元，其中环保投资约</w:t>
      </w:r>
      <w:r>
        <w:rPr>
          <w:rFonts w:hint="eastAsia"/>
          <w:color w:val="auto"/>
        </w:rPr>
        <w:t>1000</w:t>
      </w:r>
      <w:r>
        <w:rPr>
          <w:color w:val="auto"/>
        </w:rPr>
        <w:t>万元，占总投资额的</w:t>
      </w:r>
      <w:r>
        <w:rPr>
          <w:rFonts w:hint="eastAsia"/>
          <w:color w:val="auto"/>
        </w:rPr>
        <w:t>10.4%。</w:t>
      </w:r>
    </w:p>
    <w:p>
      <w:pPr>
        <w:snapToGrid w:val="0"/>
        <w:spacing w:line="360" w:lineRule="auto"/>
        <w:ind w:firstLine="480" w:firstLineChars="200"/>
        <w:jc w:val="both"/>
        <w:textAlignment w:val="baseline"/>
        <w:rPr>
          <w:color w:val="auto"/>
        </w:rPr>
      </w:pPr>
      <w:r>
        <w:rPr>
          <w:rFonts w:hint="eastAsia"/>
          <w:color w:val="auto"/>
        </w:rPr>
        <w:t>本项目不新增员工，在兴宁市静脉产业园PPP项目内进行人员调配</w:t>
      </w:r>
      <w:r>
        <w:rPr>
          <w:color w:val="auto"/>
        </w:rPr>
        <w:t>。</w:t>
      </w:r>
      <w:r>
        <w:rPr>
          <w:rFonts w:hint="eastAsia"/>
          <w:color w:val="auto"/>
        </w:rPr>
        <w:t>餐厨垃圾和消纳</w:t>
      </w:r>
      <w:r>
        <w:rPr>
          <w:color w:val="auto"/>
        </w:rPr>
        <w:t>场年工作日3</w:t>
      </w:r>
      <w:r>
        <w:rPr>
          <w:rFonts w:hint="eastAsia"/>
          <w:color w:val="auto"/>
        </w:rPr>
        <w:t>3</w:t>
      </w:r>
      <w:r>
        <w:rPr>
          <w:color w:val="auto"/>
        </w:rPr>
        <w:t>0天，</w:t>
      </w:r>
      <w:r>
        <w:rPr>
          <w:rFonts w:hint="eastAsia"/>
          <w:color w:val="auto"/>
        </w:rPr>
        <w:t>生产部实行一班运转制，每班8小时，年生产2640小时。</w:t>
      </w:r>
    </w:p>
    <w:p>
      <w:pPr>
        <w:pStyle w:val="3"/>
        <w:numPr>
          <w:ilvl w:val="0"/>
          <w:numId w:val="0"/>
        </w:numPr>
        <w:tabs>
          <w:tab w:val="clear" w:pos="680"/>
        </w:tabs>
        <w:ind w:left="576" w:hanging="576"/>
        <w:rPr>
          <w:rFonts w:ascii="Times New Roman"/>
          <w:bCs/>
          <w:color w:val="auto"/>
        </w:rPr>
      </w:pPr>
      <w:bookmarkStart w:id="984" w:name="_Toc9517782"/>
      <w:bookmarkStart w:id="985" w:name="_Toc14943350"/>
      <w:bookmarkStart w:id="986" w:name="_Toc24136874"/>
      <w:bookmarkStart w:id="987" w:name="_Toc23263193"/>
      <w:bookmarkStart w:id="988" w:name="_Toc20901"/>
      <w:r>
        <w:rPr>
          <w:rFonts w:ascii="Times New Roman"/>
          <w:bCs/>
          <w:color w:val="auto"/>
        </w:rPr>
        <w:t>9.2判断相关情况分析</w:t>
      </w:r>
      <w:bookmarkEnd w:id="984"/>
      <w:bookmarkEnd w:id="985"/>
      <w:bookmarkEnd w:id="986"/>
      <w:bookmarkEnd w:id="987"/>
      <w:bookmarkEnd w:id="988"/>
    </w:p>
    <w:p>
      <w:pPr>
        <w:spacing w:line="360" w:lineRule="auto"/>
        <w:ind w:firstLine="480"/>
        <w:rPr>
          <w:color w:val="auto"/>
        </w:rPr>
      </w:pPr>
      <w:r>
        <w:rPr>
          <w:color w:val="auto"/>
        </w:rPr>
        <w:t>（1）产业政策符合性分析</w:t>
      </w:r>
    </w:p>
    <w:p>
      <w:pPr>
        <w:spacing w:line="360" w:lineRule="auto"/>
        <w:ind w:firstLine="480"/>
        <w:jc w:val="both"/>
        <w:rPr>
          <w:color w:val="auto"/>
        </w:rPr>
      </w:pPr>
      <w:r>
        <w:rPr>
          <w:color w:val="auto"/>
        </w:rPr>
        <w:t>对照《产业结构调整指导目录》（（2019</w:t>
      </w:r>
      <w:r>
        <w:rPr>
          <w:rFonts w:hint="eastAsia"/>
          <w:color w:val="auto"/>
        </w:rPr>
        <w:t>年本</w:t>
      </w:r>
      <w:r>
        <w:rPr>
          <w:color w:val="auto"/>
        </w:rPr>
        <w:t>），本项目属于</w:t>
      </w:r>
      <w:r>
        <w:rPr>
          <w:rFonts w:hint="eastAsia"/>
          <w:color w:val="auto"/>
        </w:rPr>
        <w:t>“</w:t>
      </w:r>
      <w:r>
        <w:rPr>
          <w:color w:val="auto"/>
        </w:rPr>
        <w:t>鼓励类</w:t>
      </w:r>
      <w:r>
        <w:rPr>
          <w:rFonts w:hint="eastAsia"/>
          <w:color w:val="auto"/>
        </w:rPr>
        <w:t>”</w:t>
      </w:r>
      <w:r>
        <w:rPr>
          <w:color w:val="auto"/>
        </w:rPr>
        <w:t>中第三十八类</w:t>
      </w:r>
      <w:r>
        <w:rPr>
          <w:rFonts w:asciiTheme="minorEastAsia" w:hAnsiTheme="minorEastAsia" w:eastAsiaTheme="minorEastAsia"/>
          <w:color w:val="auto"/>
        </w:rPr>
        <w:t>“环境保护与资源节约综合利用”</w:t>
      </w:r>
      <w:r>
        <w:rPr>
          <w:color w:val="auto"/>
        </w:rPr>
        <w:t>中第20条</w:t>
      </w:r>
      <w:r>
        <w:rPr>
          <w:rFonts w:asciiTheme="minorEastAsia" w:hAnsiTheme="minorEastAsia" w:eastAsiaTheme="minorEastAsia"/>
          <w:color w:val="auto"/>
        </w:rPr>
        <w:t>“城镇垃圾及其他固体废弃物减量化、资源化、无害化处理和综合利用工程”</w:t>
      </w:r>
      <w:r>
        <w:rPr>
          <w:color w:val="auto"/>
        </w:rPr>
        <w:t>。本项目内使用设备不属于该</w:t>
      </w:r>
      <w:r>
        <w:rPr>
          <w:rFonts w:hint="eastAsia"/>
          <w:color w:val="auto"/>
        </w:rPr>
        <w:t>《目录》</w:t>
      </w:r>
      <w:r>
        <w:rPr>
          <w:color w:val="auto"/>
        </w:rPr>
        <w:t>中</w:t>
      </w:r>
      <w:r>
        <w:rPr>
          <w:rFonts w:hint="eastAsia"/>
          <w:color w:val="auto"/>
        </w:rPr>
        <w:t>“</w:t>
      </w:r>
      <w:r>
        <w:rPr>
          <w:color w:val="auto"/>
        </w:rPr>
        <w:t>限制类</w:t>
      </w:r>
      <w:r>
        <w:rPr>
          <w:rFonts w:hint="eastAsia"/>
          <w:color w:val="auto"/>
        </w:rPr>
        <w:t>”</w:t>
      </w:r>
      <w:r>
        <w:rPr>
          <w:color w:val="auto"/>
        </w:rPr>
        <w:t>、</w:t>
      </w:r>
      <w:r>
        <w:rPr>
          <w:rFonts w:hint="eastAsia"/>
          <w:color w:val="auto"/>
        </w:rPr>
        <w:t>“</w:t>
      </w:r>
      <w:r>
        <w:rPr>
          <w:color w:val="auto"/>
        </w:rPr>
        <w:t>淘汰类</w:t>
      </w:r>
      <w:r>
        <w:rPr>
          <w:rFonts w:hint="eastAsia"/>
          <w:color w:val="auto"/>
        </w:rPr>
        <w:t>”</w:t>
      </w:r>
      <w:r>
        <w:rPr>
          <w:color w:val="auto"/>
        </w:rPr>
        <w:t>产品。</w:t>
      </w:r>
    </w:p>
    <w:p>
      <w:pPr>
        <w:spacing w:line="360" w:lineRule="auto"/>
        <w:ind w:firstLine="480"/>
        <w:rPr>
          <w:color w:val="auto"/>
        </w:rPr>
      </w:pPr>
      <w:r>
        <w:rPr>
          <w:color w:val="auto"/>
        </w:rPr>
        <w:t>（2）规划相符性分析</w:t>
      </w:r>
    </w:p>
    <w:p>
      <w:pPr>
        <w:spacing w:line="360" w:lineRule="auto"/>
        <w:ind w:firstLine="480"/>
        <w:jc w:val="both"/>
        <w:rPr>
          <w:color w:val="auto"/>
        </w:rPr>
      </w:pPr>
      <w:r>
        <w:rPr>
          <w:rFonts w:hint="eastAsia" w:ascii="宋体" w:hAnsi="宋体" w:cs="宋体"/>
          <w:color w:val="auto"/>
        </w:rPr>
        <w:t>①</w:t>
      </w:r>
      <w:r>
        <w:rPr>
          <w:color w:val="auto"/>
        </w:rPr>
        <w:t>本项目</w:t>
      </w:r>
      <w:r>
        <w:rPr>
          <w:rFonts w:hint="eastAsia"/>
          <w:color w:val="auto"/>
        </w:rPr>
        <w:t>为餐厨垃圾和</w:t>
      </w:r>
      <w:r>
        <w:rPr>
          <w:rFonts w:asciiTheme="minorEastAsia" w:hAnsiTheme="minorEastAsia" w:eastAsiaTheme="minorEastAsia"/>
          <w:color w:val="auto"/>
        </w:rPr>
        <w:t>其他固体废弃物减量化、资源化、无害化处理和综合利用工程</w:t>
      </w:r>
      <w:r>
        <w:rPr>
          <w:rFonts w:hint="eastAsia" w:asciiTheme="minorEastAsia" w:hAnsiTheme="minorEastAsia" w:eastAsiaTheme="minorEastAsia"/>
          <w:color w:val="auto"/>
        </w:rPr>
        <w:t>，</w:t>
      </w:r>
      <w:r>
        <w:rPr>
          <w:color w:val="auto"/>
        </w:rPr>
        <w:t>项目的建设符合《广东省国民经济和社会发展十三五规划纲要》的主题精神。</w:t>
      </w:r>
    </w:p>
    <w:p>
      <w:pPr>
        <w:spacing w:line="360" w:lineRule="auto"/>
        <w:ind w:firstLine="480"/>
        <w:jc w:val="both"/>
        <w:rPr>
          <w:color w:val="auto"/>
        </w:rPr>
      </w:pPr>
      <w:r>
        <w:rPr>
          <w:rFonts w:hint="eastAsia" w:ascii="宋体" w:hAnsi="宋体" w:cs="宋体"/>
          <w:color w:val="auto"/>
        </w:rPr>
        <w:t>②</w:t>
      </w:r>
      <w:r>
        <w:rPr>
          <w:color w:val="auto"/>
        </w:rPr>
        <w:t>本项目占地以</w:t>
      </w:r>
      <w:r>
        <w:rPr>
          <w:rFonts w:asciiTheme="minorEastAsia" w:hAnsiTheme="minorEastAsia" w:eastAsiaTheme="minorEastAsia"/>
          <w:color w:val="auto"/>
        </w:rPr>
        <w:t>“集约利用地”</w:t>
      </w:r>
      <w:r>
        <w:rPr>
          <w:color w:val="auto"/>
        </w:rPr>
        <w:t>（其中主要为农业利用亚区）为主，不占用</w:t>
      </w:r>
      <w:r>
        <w:rPr>
          <w:rFonts w:asciiTheme="minorEastAsia" w:hAnsiTheme="minorEastAsia" w:eastAsiaTheme="minorEastAsia"/>
          <w:color w:val="auto"/>
        </w:rPr>
        <w:t>“有限开发区”和“严格控制区”</w:t>
      </w:r>
      <w:r>
        <w:rPr>
          <w:rFonts w:hint="eastAsia"/>
          <w:color w:val="auto"/>
        </w:rPr>
        <w:t>，项目的建设</w:t>
      </w:r>
      <w:r>
        <w:rPr>
          <w:color w:val="auto"/>
        </w:rPr>
        <w:t>符合《广东省环境保护规划纲要(2006-2020年)》要求。</w:t>
      </w:r>
    </w:p>
    <w:p>
      <w:pPr>
        <w:spacing w:line="360" w:lineRule="auto"/>
        <w:ind w:firstLine="480"/>
        <w:jc w:val="both"/>
        <w:rPr>
          <w:color w:val="auto"/>
        </w:rPr>
      </w:pPr>
      <w:r>
        <w:rPr>
          <w:rFonts w:hint="eastAsia" w:ascii="宋体" w:hAnsi="宋体" w:cs="宋体"/>
          <w:color w:val="auto"/>
        </w:rPr>
        <w:t>③</w:t>
      </w:r>
      <w:r>
        <w:rPr>
          <w:color w:val="auto"/>
        </w:rPr>
        <w:t>本项目</w:t>
      </w:r>
      <w:r>
        <w:rPr>
          <w:rFonts w:hint="eastAsia"/>
          <w:color w:val="auto"/>
        </w:rPr>
        <w:t>为餐厨垃圾和</w:t>
      </w:r>
      <w:r>
        <w:rPr>
          <w:rFonts w:asciiTheme="minorEastAsia" w:hAnsiTheme="minorEastAsia" w:eastAsiaTheme="minorEastAsia"/>
          <w:color w:val="auto"/>
        </w:rPr>
        <w:t>其他固体废弃物减量化、资源化、无害化处理和综合利用工程</w:t>
      </w:r>
      <w:r>
        <w:rPr>
          <w:color w:val="auto"/>
        </w:rPr>
        <w:t>，提高了城市生活垃圾处理减量化、资源化和无害化水平，符合《梅州市城市总体规划</w:t>
      </w:r>
      <w:r>
        <w:rPr>
          <w:rFonts w:hint="eastAsia"/>
          <w:color w:val="auto"/>
        </w:rPr>
        <w:t>（</w:t>
      </w:r>
      <w:r>
        <w:rPr>
          <w:color w:val="auto"/>
        </w:rPr>
        <w:t>2015-2030</w:t>
      </w:r>
      <w:r>
        <w:rPr>
          <w:rFonts w:hint="eastAsia"/>
          <w:color w:val="auto"/>
        </w:rPr>
        <w:t>）</w:t>
      </w:r>
      <w:r>
        <w:rPr>
          <w:color w:val="auto"/>
        </w:rPr>
        <w:t>》、《</w:t>
      </w:r>
      <w:r>
        <w:rPr>
          <w:bCs/>
          <w:color w:val="auto"/>
        </w:rPr>
        <w:t>兴宁市城市总体规划（2010-2020）</w:t>
      </w:r>
      <w:r>
        <w:rPr>
          <w:color w:val="auto"/>
        </w:rPr>
        <w:t>》的发展定位。</w:t>
      </w:r>
    </w:p>
    <w:p>
      <w:pPr>
        <w:spacing w:line="360" w:lineRule="auto"/>
        <w:ind w:firstLine="480"/>
        <w:rPr>
          <w:color w:val="auto"/>
        </w:rPr>
      </w:pPr>
      <w:r>
        <w:rPr>
          <w:color w:val="auto"/>
        </w:rPr>
        <w:t>（3）选址合理性</w:t>
      </w:r>
    </w:p>
    <w:p>
      <w:pPr>
        <w:spacing w:line="360" w:lineRule="auto"/>
        <w:ind w:firstLine="480" w:firstLineChars="200"/>
        <w:jc w:val="both"/>
        <w:rPr>
          <w:rFonts w:eastAsiaTheme="minorEastAsia"/>
          <w:color w:val="auto"/>
        </w:rPr>
      </w:pPr>
      <w:r>
        <w:rPr>
          <w:rFonts w:eastAsiaTheme="minorEastAsia"/>
          <w:color w:val="auto"/>
        </w:rPr>
        <w:t>本项目位于兴宁市</w:t>
      </w:r>
      <w:r>
        <w:rPr>
          <w:rFonts w:hint="eastAsia" w:eastAsiaTheme="minorEastAsia"/>
          <w:color w:val="auto"/>
        </w:rPr>
        <w:t>新陂镇</w:t>
      </w:r>
      <w:r>
        <w:rPr>
          <w:rFonts w:eastAsiaTheme="minorEastAsia"/>
          <w:color w:val="auto"/>
        </w:rPr>
        <w:t>，属于允许建设区，为城镇村建设用地区，符合《广东省梅州市土地利用总体规划（2006-2020年）》。项目取得了广东省林业厅于2018年12月26日出具的《使用林地审核同意书》（粤林地许准</w:t>
      </w:r>
      <w:r>
        <w:rPr>
          <w:rFonts w:hint="eastAsia" w:eastAsiaTheme="minorEastAsia"/>
          <w:color w:val="auto"/>
        </w:rPr>
        <w:t>【2</w:t>
      </w:r>
      <w:r>
        <w:rPr>
          <w:rFonts w:eastAsiaTheme="minorEastAsia"/>
          <w:color w:val="auto"/>
        </w:rPr>
        <w:t>018</w:t>
      </w:r>
      <w:r>
        <w:rPr>
          <w:rFonts w:hint="eastAsia" w:eastAsiaTheme="minorEastAsia"/>
          <w:color w:val="auto"/>
        </w:rPr>
        <w:t>】</w:t>
      </w:r>
      <w:r>
        <w:rPr>
          <w:rFonts w:eastAsiaTheme="minorEastAsia"/>
          <w:color w:val="auto"/>
        </w:rPr>
        <w:t>1332号）和2019年2月28日出具的《使用林地审核同意书》（粤林地许准</w:t>
      </w:r>
      <w:r>
        <w:rPr>
          <w:rFonts w:hint="eastAsia" w:eastAsiaTheme="minorEastAsia"/>
          <w:color w:val="auto"/>
        </w:rPr>
        <w:t>【2</w:t>
      </w:r>
      <w:r>
        <w:rPr>
          <w:rFonts w:eastAsiaTheme="minorEastAsia"/>
          <w:color w:val="auto"/>
        </w:rPr>
        <w:t>019</w:t>
      </w:r>
      <w:r>
        <w:rPr>
          <w:rFonts w:hint="eastAsia" w:eastAsiaTheme="minorEastAsia"/>
          <w:color w:val="auto"/>
        </w:rPr>
        <w:t>】</w:t>
      </w:r>
      <w:r>
        <w:rPr>
          <w:rFonts w:eastAsiaTheme="minorEastAsia"/>
          <w:color w:val="auto"/>
        </w:rPr>
        <w:t>201号）；取得了兴宁市自然资源局于2019年4月12日出具的《关于对兴宁市静脉产业园项目的用地预审意见》（兴自然资（预）函</w:t>
      </w:r>
      <w:r>
        <w:rPr>
          <w:rFonts w:hint="eastAsia" w:eastAsiaTheme="minorEastAsia"/>
          <w:color w:val="auto"/>
        </w:rPr>
        <w:t>【2</w:t>
      </w:r>
      <w:r>
        <w:rPr>
          <w:rFonts w:eastAsiaTheme="minorEastAsia"/>
          <w:color w:val="auto"/>
        </w:rPr>
        <w:t>019</w:t>
      </w:r>
      <w:r>
        <w:rPr>
          <w:rFonts w:hint="eastAsia" w:eastAsiaTheme="minorEastAsia"/>
          <w:color w:val="auto"/>
        </w:rPr>
        <w:t>】</w:t>
      </w:r>
      <w:r>
        <w:rPr>
          <w:rFonts w:eastAsiaTheme="minorEastAsia"/>
          <w:color w:val="auto"/>
        </w:rPr>
        <w:t>1号），明确了项目选址建设符合兴宁市土地利用总体规划，该局原则上同意项目用地预审；取得了兴宁市自然资源局于2019年4月25日出具的《建设项目选址意见书》（选字第镇址2019（002）号），明确了本项目建设符合城乡规划要求，明确了从环境保护角度，兴宁市环境保护局原则同意本项目的建设。综上可知，</w:t>
      </w:r>
      <w:r>
        <w:rPr>
          <w:rFonts w:hint="eastAsia"/>
          <w:color w:val="auto"/>
        </w:rPr>
        <w:t>本</w:t>
      </w:r>
      <w:r>
        <w:rPr>
          <w:rFonts w:eastAsiaTheme="minorEastAsia"/>
          <w:color w:val="auto"/>
        </w:rPr>
        <w:t>项目的选址符合土地规划及相关政府文件的要求。</w:t>
      </w:r>
    </w:p>
    <w:p>
      <w:pPr>
        <w:pStyle w:val="79"/>
        <w:ind w:firstLine="480"/>
        <w:rPr>
          <w:color w:val="auto"/>
        </w:rPr>
      </w:pPr>
      <w:r>
        <w:rPr>
          <w:rFonts w:hint="eastAsia"/>
          <w:color w:val="auto"/>
        </w:rPr>
        <w:t>本项目采用</w:t>
      </w:r>
      <w:r>
        <w:rPr>
          <w:rFonts w:hint="eastAsia"/>
          <w:color w:val="auto"/>
          <w:lang w:eastAsia="zh-CN"/>
        </w:rPr>
        <w:t>后期雨水与</w:t>
      </w:r>
      <w:r>
        <w:rPr>
          <w:rFonts w:hint="eastAsia"/>
          <w:color w:val="auto"/>
        </w:rPr>
        <w:t>污</w:t>
      </w:r>
      <w:r>
        <w:rPr>
          <w:rFonts w:hint="eastAsia"/>
          <w:color w:val="auto"/>
          <w:lang w:eastAsia="zh-CN"/>
        </w:rPr>
        <w:t>水</w:t>
      </w:r>
      <w:r>
        <w:rPr>
          <w:rFonts w:hint="eastAsia"/>
          <w:color w:val="auto"/>
        </w:rPr>
        <w:t>分流制，</w:t>
      </w:r>
      <w:r>
        <w:rPr>
          <w:rFonts w:hint="eastAsia"/>
          <w:color w:val="auto"/>
          <w:lang w:eastAsia="zh-CN"/>
        </w:rPr>
        <w:t>后期</w:t>
      </w:r>
      <w:r>
        <w:rPr>
          <w:rFonts w:hint="eastAsia"/>
          <w:color w:val="auto"/>
        </w:rPr>
        <w:t>雨水收集后直接排入雨水管网，餐厨垃圾产生的</w:t>
      </w:r>
      <w:r>
        <w:rPr>
          <w:rFonts w:hint="eastAsia"/>
          <w:color w:val="auto"/>
          <w:kern w:val="0"/>
        </w:rPr>
        <w:t>餐厨废水</w:t>
      </w:r>
      <w:r>
        <w:rPr>
          <w:color w:val="auto"/>
          <w:spacing w:val="2"/>
          <w:kern w:val="0"/>
        </w:rPr>
        <w:t>、</w:t>
      </w:r>
      <w:r>
        <w:rPr>
          <w:rFonts w:hint="eastAsia"/>
          <w:color w:val="auto"/>
          <w:spacing w:val="2"/>
          <w:kern w:val="0"/>
        </w:rPr>
        <w:t>除臭系统废水、车间车辆</w:t>
      </w:r>
      <w:r>
        <w:rPr>
          <w:rFonts w:hint="eastAsia"/>
          <w:color w:val="auto"/>
          <w:spacing w:val="2"/>
          <w:kern w:val="0"/>
          <w:lang w:eastAsia="zh-CN"/>
        </w:rPr>
        <w:t>、</w:t>
      </w:r>
      <w:r>
        <w:rPr>
          <w:rFonts w:hint="eastAsia"/>
          <w:color w:val="auto"/>
          <w:spacing w:val="2"/>
          <w:kern w:val="0"/>
        </w:rPr>
        <w:t>地面冲洗废水</w:t>
      </w:r>
      <w:r>
        <w:rPr>
          <w:rFonts w:hint="eastAsia"/>
          <w:color w:val="auto"/>
          <w:spacing w:val="2"/>
          <w:kern w:val="0"/>
          <w:lang w:eastAsia="zh-CN"/>
        </w:rPr>
        <w:t>和初期雨水</w:t>
      </w:r>
      <w:r>
        <w:rPr>
          <w:rFonts w:hint="eastAsia"/>
          <w:color w:val="auto"/>
          <w:spacing w:val="2"/>
          <w:kern w:val="0"/>
        </w:rPr>
        <w:t>依托</w:t>
      </w:r>
      <w:r>
        <w:rPr>
          <w:rFonts w:hint="eastAsia"/>
          <w:color w:val="auto"/>
        </w:rPr>
        <w:t>园区内在建的渗滤液处理系统处理达到</w:t>
      </w:r>
      <w:r>
        <w:rPr>
          <w:color w:val="auto"/>
        </w:rPr>
        <w:t>《城市污水再生利用-工业用水水质》</w:t>
      </w:r>
      <w:r>
        <w:rPr>
          <w:rFonts w:hint="eastAsia"/>
          <w:color w:val="auto"/>
        </w:rPr>
        <w:t>（</w:t>
      </w:r>
      <w:r>
        <w:rPr>
          <w:color w:val="auto"/>
        </w:rPr>
        <w:t>GB19923-2005</w:t>
      </w:r>
      <w:r>
        <w:rPr>
          <w:rFonts w:hint="eastAsia"/>
          <w:color w:val="auto"/>
        </w:rPr>
        <w:t>）中敞开式循环冷却水标准</w:t>
      </w:r>
      <w:r>
        <w:rPr>
          <w:color w:val="auto"/>
        </w:rPr>
        <w:t>后</w:t>
      </w:r>
      <w:r>
        <w:rPr>
          <w:rFonts w:hint="eastAsia"/>
          <w:color w:val="auto"/>
        </w:rPr>
        <w:t>，</w:t>
      </w:r>
      <w:r>
        <w:rPr>
          <w:color w:val="auto"/>
        </w:rPr>
        <w:t>回用作为汽机循环冷却水补充水及绿化用水、道路洒水。</w:t>
      </w:r>
      <w:r>
        <w:rPr>
          <w:rFonts w:hint="eastAsia"/>
          <w:color w:val="auto"/>
        </w:rPr>
        <w:t>建筑垃圾消纳场产生的洗车废水和淋溶液经消纳场配套建设的机械加速澄清池</w:t>
      </w:r>
      <w:r>
        <w:rPr>
          <w:color w:val="auto"/>
        </w:rPr>
        <w:t>沉淀</w:t>
      </w:r>
      <w:r>
        <w:rPr>
          <w:rFonts w:hint="eastAsia"/>
          <w:color w:val="auto"/>
        </w:rPr>
        <w:t>过滤</w:t>
      </w:r>
      <w:r>
        <w:rPr>
          <w:color w:val="auto"/>
        </w:rPr>
        <w:t>后，</w:t>
      </w:r>
      <w:r>
        <w:rPr>
          <w:rFonts w:hint="eastAsia"/>
          <w:color w:val="auto"/>
        </w:rPr>
        <w:t>回</w:t>
      </w:r>
      <w:r>
        <w:rPr>
          <w:color w:val="auto"/>
        </w:rPr>
        <w:t>用于厂内洒水抑尘，不外排</w:t>
      </w:r>
      <w:r>
        <w:rPr>
          <w:rFonts w:hint="eastAsia"/>
          <w:color w:val="auto"/>
        </w:rPr>
        <w:t>。</w:t>
      </w:r>
      <w:r>
        <w:rPr>
          <w:rFonts w:eastAsiaTheme="minorEastAsia"/>
          <w:color w:val="auto"/>
        </w:rPr>
        <w:t>一般固废及危险废物全部进行安全处置；废气经处理达标后排放，不会对区域空气环境产生明显影响；排放的噪声经采取降噪措施后满足排放标准的要求。</w:t>
      </w:r>
    </w:p>
    <w:p>
      <w:pPr>
        <w:spacing w:line="360" w:lineRule="auto"/>
        <w:ind w:firstLine="480"/>
        <w:jc w:val="both"/>
        <w:rPr>
          <w:color w:val="auto"/>
        </w:rPr>
      </w:pPr>
      <w:r>
        <w:rPr>
          <w:color w:val="auto"/>
        </w:rPr>
        <w:t>项目位于</w:t>
      </w:r>
      <w:r>
        <w:rPr>
          <w:rFonts w:hint="eastAsia"/>
          <w:color w:val="auto"/>
        </w:rPr>
        <w:t>兴宁市</w:t>
      </w:r>
      <w:r>
        <w:rPr>
          <w:color w:val="auto"/>
        </w:rPr>
        <w:t>城区西南方向</w:t>
      </w:r>
      <w:r>
        <w:rPr>
          <w:rFonts w:hint="eastAsia"/>
          <w:color w:val="auto"/>
        </w:rPr>
        <w:t>的新陂镇</w:t>
      </w:r>
      <w:r>
        <w:rPr>
          <w:color w:val="auto"/>
        </w:rPr>
        <w:t>，该地块现状为山地丘陵地貌。</w:t>
      </w:r>
      <w:r>
        <w:rPr>
          <w:rFonts w:hint="eastAsia"/>
          <w:color w:val="auto"/>
        </w:rPr>
        <w:t>本</w:t>
      </w:r>
      <w:r>
        <w:rPr>
          <w:color w:val="auto"/>
        </w:rPr>
        <w:t>项目的</w:t>
      </w:r>
      <w:r>
        <w:rPr>
          <w:rFonts w:hint="eastAsia"/>
          <w:color w:val="auto"/>
        </w:rPr>
        <w:t>餐厨处理车间</w:t>
      </w:r>
      <w:r>
        <w:rPr>
          <w:color w:val="auto"/>
        </w:rPr>
        <w:t>需设置100m的卫生防护距离；同时</w:t>
      </w:r>
      <w:r>
        <w:rPr>
          <w:rFonts w:hint="eastAsia"/>
          <w:color w:val="auto"/>
        </w:rPr>
        <w:t>建筑垃圾消纳场</w:t>
      </w:r>
      <w:r>
        <w:rPr>
          <w:color w:val="auto"/>
        </w:rPr>
        <w:t>需设置50m的卫生防护距离</w:t>
      </w:r>
      <w:r>
        <w:rPr>
          <w:rFonts w:hint="eastAsia"/>
          <w:color w:val="auto"/>
        </w:rPr>
        <w:t>，</w:t>
      </w:r>
      <w:r>
        <w:rPr>
          <w:color w:val="auto"/>
        </w:rPr>
        <w:t>本项目</w:t>
      </w:r>
      <w:r>
        <w:rPr>
          <w:rFonts w:hint="eastAsia"/>
          <w:color w:val="auto"/>
        </w:rPr>
        <w:t>卫生环境防护距离没有</w:t>
      </w:r>
      <w:r>
        <w:rPr>
          <w:color w:val="auto"/>
        </w:rPr>
        <w:t>长期居住的人群。</w:t>
      </w:r>
    </w:p>
    <w:p>
      <w:pPr>
        <w:spacing w:line="360" w:lineRule="auto"/>
        <w:ind w:firstLine="480"/>
        <w:jc w:val="both"/>
        <w:rPr>
          <w:color w:val="auto"/>
        </w:rPr>
      </w:pPr>
      <w:r>
        <w:rPr>
          <w:color w:val="auto"/>
        </w:rPr>
        <w:t>综上所述，本项目选址总体上是可行的。</w:t>
      </w:r>
    </w:p>
    <w:p>
      <w:pPr>
        <w:spacing w:line="360" w:lineRule="auto"/>
        <w:ind w:firstLine="480"/>
        <w:rPr>
          <w:color w:val="auto"/>
        </w:rPr>
      </w:pPr>
      <w:r>
        <w:rPr>
          <w:color w:val="auto"/>
        </w:rPr>
        <w:t>（4）项目平面布局合理性分析</w:t>
      </w:r>
    </w:p>
    <w:p>
      <w:pPr>
        <w:spacing w:line="360" w:lineRule="auto"/>
        <w:ind w:firstLine="480"/>
        <w:rPr>
          <w:color w:val="auto"/>
        </w:rPr>
      </w:pPr>
      <w:r>
        <w:rPr>
          <w:rFonts w:hint="eastAsia"/>
          <w:color w:val="auto"/>
        </w:rPr>
        <w:t>本</w:t>
      </w:r>
      <w:r>
        <w:rPr>
          <w:color w:val="auto"/>
        </w:rPr>
        <w:t>项目布置设计合理，功能分区明确，交通组织便利，符合</w:t>
      </w:r>
      <w:r>
        <w:rPr>
          <w:rFonts w:hint="eastAsia"/>
          <w:color w:val="auto"/>
        </w:rPr>
        <w:t>餐厨垃圾和建筑垃圾处理</w:t>
      </w:r>
      <w:r>
        <w:rPr>
          <w:color w:val="auto"/>
        </w:rPr>
        <w:t>工作的开展流程；且项目总图已从环保角度进行优化，最大限度地有利于环境保护工作的开展。落实项目提出的各项环保措施，总图布置对外环境无明显影响。故</w:t>
      </w:r>
      <w:r>
        <w:rPr>
          <w:rFonts w:hint="eastAsia"/>
          <w:color w:val="auto"/>
        </w:rPr>
        <w:t>本</w:t>
      </w:r>
      <w:r>
        <w:rPr>
          <w:color w:val="auto"/>
        </w:rPr>
        <w:t>项目总图布置从环保角度可行。</w:t>
      </w:r>
    </w:p>
    <w:p>
      <w:pPr>
        <w:pStyle w:val="3"/>
        <w:numPr>
          <w:ilvl w:val="0"/>
          <w:numId w:val="0"/>
        </w:numPr>
        <w:tabs>
          <w:tab w:val="clear" w:pos="680"/>
        </w:tabs>
        <w:ind w:left="576" w:hanging="576"/>
        <w:rPr>
          <w:rFonts w:ascii="Times New Roman"/>
          <w:bCs/>
          <w:color w:val="auto"/>
        </w:rPr>
      </w:pPr>
      <w:bookmarkStart w:id="989" w:name="_Toc14943351"/>
      <w:bookmarkStart w:id="990" w:name="_Toc12881"/>
      <w:bookmarkStart w:id="991" w:name="_Toc24136875"/>
      <w:bookmarkStart w:id="992" w:name="_Toc23263194"/>
      <w:bookmarkStart w:id="993" w:name="_Toc9517783"/>
      <w:r>
        <w:rPr>
          <w:rFonts w:ascii="Times New Roman"/>
          <w:bCs/>
          <w:color w:val="auto"/>
        </w:rPr>
        <w:t>9.3环境现状评价结论</w:t>
      </w:r>
      <w:bookmarkEnd w:id="989"/>
      <w:bookmarkEnd w:id="990"/>
      <w:bookmarkEnd w:id="991"/>
      <w:bookmarkEnd w:id="992"/>
      <w:bookmarkEnd w:id="993"/>
    </w:p>
    <w:p>
      <w:pPr>
        <w:spacing w:line="360" w:lineRule="auto"/>
        <w:ind w:firstLine="480"/>
        <w:rPr>
          <w:color w:val="auto"/>
        </w:rPr>
      </w:pPr>
      <w:r>
        <w:rPr>
          <w:color w:val="auto"/>
        </w:rPr>
        <w:t>（1）地表水环境</w:t>
      </w:r>
    </w:p>
    <w:p>
      <w:pPr>
        <w:spacing w:line="360" w:lineRule="auto"/>
        <w:ind w:firstLine="480"/>
        <w:jc w:val="both"/>
        <w:rPr>
          <w:color w:val="auto"/>
        </w:rPr>
      </w:pPr>
      <w:r>
        <w:rPr>
          <w:rFonts w:hint="eastAsia"/>
          <w:color w:val="auto"/>
        </w:rPr>
        <w:t>根据《</w:t>
      </w:r>
      <w:r>
        <w:rPr>
          <w:color w:val="auto"/>
        </w:rPr>
        <w:t>2018</w:t>
      </w:r>
      <w:r>
        <w:rPr>
          <w:rFonts w:hint="eastAsia"/>
          <w:color w:val="auto"/>
        </w:rPr>
        <w:t>年梅州市生态环境状况公报》，</w:t>
      </w:r>
      <w:r>
        <w:rPr>
          <w:color w:val="auto"/>
        </w:rPr>
        <w:t>2018</w:t>
      </w:r>
      <w:r>
        <w:rPr>
          <w:rFonts w:hint="eastAsia"/>
          <w:color w:val="auto"/>
        </w:rPr>
        <w:t>年梅州市饮用水源地水质保持优良，水质达标率</w:t>
      </w:r>
      <w:r>
        <w:rPr>
          <w:color w:val="auto"/>
        </w:rPr>
        <w:t>100%</w:t>
      </w:r>
      <w:r>
        <w:rPr>
          <w:rFonts w:hint="eastAsia"/>
          <w:color w:val="auto"/>
        </w:rPr>
        <w:t>；主要河流水质基本保持稳定，水质以优良为主，达到或优于</w:t>
      </w:r>
      <w:r>
        <w:rPr>
          <w:color w:val="auto"/>
        </w:rPr>
        <w:t>Ⅲ</w:t>
      </w:r>
      <w:r>
        <w:rPr>
          <w:rFonts w:hint="eastAsia"/>
          <w:color w:val="auto"/>
        </w:rPr>
        <w:t>类水质断面占</w:t>
      </w:r>
      <w:r>
        <w:rPr>
          <w:color w:val="auto"/>
        </w:rPr>
        <w:t>93.8%</w:t>
      </w:r>
      <w:r>
        <w:rPr>
          <w:rFonts w:hint="eastAsia"/>
          <w:color w:val="auto"/>
        </w:rPr>
        <w:t>，韩江跨界交接赤凤断面保持</w:t>
      </w:r>
      <w:r>
        <w:rPr>
          <w:color w:val="auto"/>
        </w:rPr>
        <w:t>Ⅱ</w:t>
      </w:r>
      <w:r>
        <w:rPr>
          <w:rFonts w:hint="eastAsia"/>
          <w:color w:val="auto"/>
        </w:rPr>
        <w:t>类水质。</w:t>
      </w:r>
    </w:p>
    <w:p>
      <w:pPr>
        <w:spacing w:line="360" w:lineRule="auto"/>
        <w:ind w:firstLine="480"/>
        <w:jc w:val="both"/>
        <w:rPr>
          <w:color w:val="auto"/>
        </w:rPr>
      </w:pPr>
      <w:r>
        <w:rPr>
          <w:rFonts w:hint="eastAsia"/>
          <w:color w:val="auto"/>
        </w:rPr>
        <w:t>根据引用</w:t>
      </w:r>
      <w:r>
        <w:rPr>
          <w:color w:val="auto"/>
        </w:rPr>
        <w:t>的</w:t>
      </w:r>
      <w:r>
        <w:rPr>
          <w:rFonts w:hint="eastAsia"/>
          <w:color w:val="auto"/>
        </w:rPr>
        <w:t>监测结果，引用监测报告布设</w:t>
      </w:r>
      <w:r>
        <w:rPr>
          <w:color w:val="auto"/>
        </w:rPr>
        <w:t>W1~W7</w:t>
      </w:r>
      <w:r>
        <w:rPr>
          <w:rFonts w:hint="eastAsia"/>
          <w:color w:val="auto"/>
        </w:rPr>
        <w:t>共</w:t>
      </w:r>
      <w:r>
        <w:rPr>
          <w:color w:val="auto"/>
        </w:rPr>
        <w:t>7</w:t>
      </w:r>
      <w:r>
        <w:rPr>
          <w:rFonts w:hint="eastAsia"/>
          <w:color w:val="auto"/>
        </w:rPr>
        <w:t>个地表水监测断面，</w:t>
      </w:r>
      <w:r>
        <w:rPr>
          <w:color w:val="auto"/>
        </w:rPr>
        <w:t>W1</w:t>
      </w:r>
      <w:r>
        <w:rPr>
          <w:rFonts w:hint="eastAsia"/>
          <w:color w:val="auto"/>
        </w:rPr>
        <w:t>断面、</w:t>
      </w:r>
      <w:r>
        <w:rPr>
          <w:color w:val="auto"/>
        </w:rPr>
        <w:t>W4~W6</w:t>
      </w:r>
      <w:r>
        <w:rPr>
          <w:rFonts w:hint="eastAsia"/>
          <w:color w:val="auto"/>
        </w:rPr>
        <w:t>断面所测的监测指标均分别能达到《地表水质量标准》（</w:t>
      </w:r>
      <w:r>
        <w:rPr>
          <w:color w:val="auto"/>
        </w:rPr>
        <w:t>GB3838-2002</w:t>
      </w:r>
      <w:r>
        <w:rPr>
          <w:rFonts w:hint="eastAsia"/>
          <w:color w:val="auto"/>
        </w:rPr>
        <w:t>）中的</w:t>
      </w:r>
      <w:r>
        <w:rPr>
          <w:color w:val="auto"/>
        </w:rPr>
        <w:t>Ⅳ</w:t>
      </w:r>
      <w:r>
        <w:rPr>
          <w:rFonts w:hint="eastAsia"/>
          <w:color w:val="auto"/>
        </w:rPr>
        <w:t>类、</w:t>
      </w:r>
      <w:r>
        <w:rPr>
          <w:color w:val="auto"/>
        </w:rPr>
        <w:t>Ⅲ</w:t>
      </w:r>
      <w:r>
        <w:rPr>
          <w:rFonts w:hint="eastAsia"/>
          <w:color w:val="auto"/>
        </w:rPr>
        <w:t>类标准要求；</w:t>
      </w:r>
      <w:r>
        <w:rPr>
          <w:color w:val="auto"/>
        </w:rPr>
        <w:t>W2</w:t>
      </w:r>
      <w:r>
        <w:rPr>
          <w:rFonts w:hint="eastAsia"/>
          <w:color w:val="auto"/>
        </w:rPr>
        <w:t>断面的</w:t>
      </w:r>
      <w:r>
        <w:rPr>
          <w:color w:val="auto"/>
        </w:rPr>
        <w:t>pH</w:t>
      </w:r>
      <w:r>
        <w:rPr>
          <w:rFonts w:hint="eastAsia"/>
          <w:color w:val="auto"/>
        </w:rPr>
        <w:t>值和</w:t>
      </w:r>
      <w:r>
        <w:rPr>
          <w:color w:val="auto"/>
        </w:rPr>
        <w:t>W3</w:t>
      </w:r>
      <w:r>
        <w:rPr>
          <w:rFonts w:hint="eastAsia"/>
          <w:color w:val="auto"/>
        </w:rPr>
        <w:t>断面的氨氮及粪大肠菌群、</w:t>
      </w:r>
      <w:r>
        <w:rPr>
          <w:color w:val="auto"/>
        </w:rPr>
        <w:t>W7</w:t>
      </w:r>
      <w:r>
        <w:rPr>
          <w:rFonts w:hint="eastAsia"/>
          <w:color w:val="auto"/>
        </w:rPr>
        <w:t>断面的溶解氧等监测指标均分别超过《地表水质量标准》（</w:t>
      </w:r>
      <w:r>
        <w:rPr>
          <w:color w:val="auto"/>
        </w:rPr>
        <w:t>GB3838-2002</w:t>
      </w:r>
      <w:r>
        <w:rPr>
          <w:rFonts w:hint="eastAsia"/>
          <w:color w:val="auto"/>
        </w:rPr>
        <w:t>）中的</w:t>
      </w:r>
      <w:r>
        <w:rPr>
          <w:color w:val="auto"/>
        </w:rPr>
        <w:t>Ⅳ</w:t>
      </w:r>
      <w:r>
        <w:rPr>
          <w:rFonts w:hint="eastAsia"/>
          <w:color w:val="auto"/>
        </w:rPr>
        <w:t>类、</w:t>
      </w:r>
      <w:r>
        <w:rPr>
          <w:color w:val="auto"/>
        </w:rPr>
        <w:t>Ⅲ</w:t>
      </w:r>
      <w:r>
        <w:rPr>
          <w:rFonts w:hint="eastAsia"/>
          <w:color w:val="auto"/>
        </w:rPr>
        <w:t>类标准要求，</w:t>
      </w:r>
      <w:r>
        <w:rPr>
          <w:color w:val="auto"/>
        </w:rPr>
        <w:t>W2</w:t>
      </w:r>
      <w:r>
        <w:rPr>
          <w:rFonts w:hint="eastAsia"/>
          <w:color w:val="auto"/>
        </w:rPr>
        <w:t>和</w:t>
      </w:r>
      <w:r>
        <w:rPr>
          <w:color w:val="auto"/>
        </w:rPr>
        <w:t>W3</w:t>
      </w:r>
      <w:r>
        <w:rPr>
          <w:rFonts w:hint="eastAsia"/>
          <w:color w:val="auto"/>
        </w:rPr>
        <w:t>、</w:t>
      </w:r>
      <w:r>
        <w:rPr>
          <w:color w:val="auto"/>
        </w:rPr>
        <w:t>W7</w:t>
      </w:r>
      <w:r>
        <w:rPr>
          <w:rFonts w:hint="eastAsia"/>
          <w:color w:val="auto"/>
        </w:rPr>
        <w:t>断面的其余监测指标均分别能满足《地表水质量标准》（</w:t>
      </w:r>
      <w:r>
        <w:rPr>
          <w:color w:val="auto"/>
        </w:rPr>
        <w:t>GB3838-2002</w:t>
      </w:r>
      <w:r>
        <w:rPr>
          <w:rFonts w:hint="eastAsia"/>
          <w:color w:val="auto"/>
        </w:rPr>
        <w:t>）中的</w:t>
      </w:r>
      <w:r>
        <w:rPr>
          <w:color w:val="auto"/>
        </w:rPr>
        <w:t>Ⅳ</w:t>
      </w:r>
      <w:r>
        <w:rPr>
          <w:rFonts w:hint="eastAsia"/>
          <w:color w:val="auto"/>
        </w:rPr>
        <w:t>类、</w:t>
      </w:r>
      <w:r>
        <w:rPr>
          <w:color w:val="auto"/>
        </w:rPr>
        <w:t>Ⅲ</w:t>
      </w:r>
      <w:r>
        <w:rPr>
          <w:rFonts w:hint="eastAsia"/>
          <w:color w:val="auto"/>
        </w:rPr>
        <w:t>类标准要求。</w:t>
      </w:r>
      <w:r>
        <w:rPr>
          <w:color w:val="auto"/>
        </w:rPr>
        <w:t>W2</w:t>
      </w:r>
      <w:r>
        <w:rPr>
          <w:rFonts w:hint="eastAsia"/>
          <w:color w:val="auto"/>
        </w:rPr>
        <w:t>断面超标原因可能是监测断面位于黄泥坑填埋场废水排入曾坑河处附近，受其废水的长期累积影响导致；</w:t>
      </w:r>
      <w:r>
        <w:rPr>
          <w:color w:val="auto"/>
        </w:rPr>
        <w:t>W3</w:t>
      </w:r>
      <w:r>
        <w:rPr>
          <w:rFonts w:hint="eastAsia"/>
          <w:color w:val="auto"/>
        </w:rPr>
        <w:t>断面超标原因可能是附近居民日常生活产生的生活污水未纳入市政污水管网，直接排放到曾坑河段中导致；</w:t>
      </w:r>
      <w:r>
        <w:rPr>
          <w:color w:val="auto"/>
        </w:rPr>
        <w:t>W7</w:t>
      </w:r>
      <w:r>
        <w:rPr>
          <w:rFonts w:hint="eastAsia"/>
          <w:color w:val="auto"/>
        </w:rPr>
        <w:t>断面超标原因可能是位于兴宁市污水处理厂的排污沟下游，受所排污水长期累积影响导致。曾坑水库监测指标均能满足《地表水质量标准》（</w:t>
      </w:r>
      <w:r>
        <w:rPr>
          <w:color w:val="auto"/>
        </w:rPr>
        <w:t>GB3838-2002</w:t>
      </w:r>
      <w:r>
        <w:rPr>
          <w:rFonts w:hint="eastAsia"/>
          <w:color w:val="auto"/>
        </w:rPr>
        <w:t>）</w:t>
      </w:r>
      <w:r>
        <w:rPr>
          <w:color w:val="auto"/>
        </w:rPr>
        <w:t>Ⅲ</w:t>
      </w:r>
      <w:r>
        <w:rPr>
          <w:rFonts w:hint="eastAsia"/>
          <w:color w:val="auto"/>
        </w:rPr>
        <w:t>类标准要求</w:t>
      </w:r>
      <w:r>
        <w:rPr>
          <w:color w:val="auto"/>
        </w:rPr>
        <w:t>。</w:t>
      </w:r>
    </w:p>
    <w:p>
      <w:pPr>
        <w:spacing w:line="360" w:lineRule="auto"/>
        <w:ind w:firstLine="480"/>
        <w:rPr>
          <w:color w:val="auto"/>
        </w:rPr>
      </w:pPr>
      <w:r>
        <w:rPr>
          <w:color w:val="auto"/>
        </w:rPr>
        <w:t>（2）环境空气</w:t>
      </w:r>
    </w:p>
    <w:p>
      <w:pPr>
        <w:widowControl/>
        <w:spacing w:line="360" w:lineRule="auto"/>
        <w:ind w:firstLine="480" w:firstLineChars="200"/>
        <w:jc w:val="both"/>
        <w:rPr>
          <w:color w:val="auto"/>
          <w:kern w:val="0"/>
        </w:rPr>
      </w:pPr>
      <w:r>
        <w:rPr>
          <w:rFonts w:hint="eastAsia"/>
          <w:color w:val="auto"/>
          <w:kern w:val="0"/>
        </w:rPr>
        <w:t>项目所属区域</w:t>
      </w:r>
      <w:r>
        <w:rPr>
          <w:color w:val="auto"/>
          <w:kern w:val="0"/>
        </w:rPr>
        <w:t>2018</w:t>
      </w:r>
      <w:r>
        <w:rPr>
          <w:rFonts w:hint="eastAsia"/>
          <w:color w:val="auto"/>
          <w:kern w:val="0"/>
        </w:rPr>
        <w:t>年</w:t>
      </w:r>
      <w:r>
        <w:rPr>
          <w:color w:val="auto"/>
          <w:kern w:val="0"/>
        </w:rPr>
        <w:t>SO</w:t>
      </w:r>
      <w:r>
        <w:rPr>
          <w:color w:val="auto"/>
          <w:kern w:val="0"/>
          <w:vertAlign w:val="subscript"/>
        </w:rPr>
        <w:t>2</w:t>
      </w:r>
      <w:r>
        <w:rPr>
          <w:rFonts w:hint="eastAsia"/>
          <w:color w:val="auto"/>
          <w:kern w:val="0"/>
        </w:rPr>
        <w:t>、</w:t>
      </w:r>
      <w:r>
        <w:rPr>
          <w:color w:val="auto"/>
          <w:kern w:val="0"/>
        </w:rPr>
        <w:t>NO</w:t>
      </w:r>
      <w:r>
        <w:rPr>
          <w:color w:val="auto"/>
          <w:kern w:val="0"/>
          <w:vertAlign w:val="subscript"/>
        </w:rPr>
        <w:t>2</w:t>
      </w:r>
      <w:r>
        <w:rPr>
          <w:rFonts w:hint="eastAsia"/>
          <w:color w:val="auto"/>
          <w:kern w:val="0"/>
        </w:rPr>
        <w:t>、</w:t>
      </w:r>
      <w:r>
        <w:rPr>
          <w:color w:val="auto"/>
          <w:kern w:val="0"/>
        </w:rPr>
        <w:t>PM</w:t>
      </w:r>
      <w:r>
        <w:rPr>
          <w:color w:val="auto"/>
          <w:kern w:val="0"/>
          <w:vertAlign w:val="subscript"/>
        </w:rPr>
        <w:t>10</w:t>
      </w:r>
      <w:r>
        <w:rPr>
          <w:rFonts w:hint="eastAsia"/>
          <w:color w:val="auto"/>
          <w:kern w:val="0"/>
        </w:rPr>
        <w:t>、</w:t>
      </w:r>
      <w:r>
        <w:rPr>
          <w:color w:val="auto"/>
          <w:kern w:val="0"/>
        </w:rPr>
        <w:t>PM</w:t>
      </w:r>
      <w:r>
        <w:rPr>
          <w:color w:val="auto"/>
          <w:kern w:val="0"/>
          <w:vertAlign w:val="subscript"/>
        </w:rPr>
        <w:t>2.5</w:t>
      </w:r>
      <w:r>
        <w:rPr>
          <w:rFonts w:hint="eastAsia"/>
          <w:color w:val="auto"/>
          <w:kern w:val="0"/>
        </w:rPr>
        <w:t>的年平均浓度均达《环境空气质量标准》（</w:t>
      </w:r>
      <w:r>
        <w:rPr>
          <w:color w:val="auto"/>
          <w:kern w:val="0"/>
        </w:rPr>
        <w:t>GB3095-2012</w:t>
      </w:r>
      <w:r>
        <w:rPr>
          <w:rFonts w:hint="eastAsia"/>
          <w:color w:val="auto"/>
          <w:kern w:val="0"/>
        </w:rPr>
        <w:t>）及其修改单的二级标准要求；</w:t>
      </w:r>
      <w:r>
        <w:rPr>
          <w:color w:val="auto"/>
          <w:kern w:val="0"/>
        </w:rPr>
        <w:t>SO</w:t>
      </w:r>
      <w:r>
        <w:rPr>
          <w:color w:val="auto"/>
          <w:kern w:val="0"/>
          <w:vertAlign w:val="subscript"/>
        </w:rPr>
        <w:t>2</w:t>
      </w:r>
      <w:r>
        <w:rPr>
          <w:rFonts w:hint="eastAsia"/>
          <w:color w:val="auto"/>
          <w:kern w:val="0"/>
        </w:rPr>
        <w:t>、</w:t>
      </w:r>
      <w:r>
        <w:rPr>
          <w:color w:val="auto"/>
          <w:kern w:val="0"/>
        </w:rPr>
        <w:t>NO</w:t>
      </w:r>
      <w:r>
        <w:rPr>
          <w:color w:val="auto"/>
          <w:kern w:val="0"/>
          <w:vertAlign w:val="subscript"/>
        </w:rPr>
        <w:t>2</w:t>
      </w:r>
      <w:r>
        <w:rPr>
          <w:rFonts w:hint="eastAsia"/>
          <w:color w:val="auto"/>
          <w:kern w:val="0"/>
        </w:rPr>
        <w:t>的</w:t>
      </w:r>
      <w:r>
        <w:rPr>
          <w:color w:val="auto"/>
          <w:kern w:val="0"/>
        </w:rPr>
        <w:t>24</w:t>
      </w:r>
      <w:r>
        <w:rPr>
          <w:rFonts w:hint="eastAsia"/>
          <w:color w:val="auto"/>
          <w:kern w:val="0"/>
        </w:rPr>
        <w:t>小时平均第</w:t>
      </w:r>
      <w:r>
        <w:rPr>
          <w:color w:val="auto"/>
          <w:kern w:val="0"/>
        </w:rPr>
        <w:t>98</w:t>
      </w:r>
      <w:r>
        <w:rPr>
          <w:rFonts w:hint="eastAsia"/>
          <w:color w:val="auto"/>
          <w:kern w:val="0"/>
        </w:rPr>
        <w:t>百分位数，</w:t>
      </w:r>
      <w:r>
        <w:rPr>
          <w:color w:val="auto"/>
          <w:kern w:val="0"/>
        </w:rPr>
        <w:t>CO</w:t>
      </w:r>
      <w:r>
        <w:rPr>
          <w:rFonts w:hint="eastAsia"/>
          <w:color w:val="auto"/>
          <w:kern w:val="0"/>
        </w:rPr>
        <w:t>、</w:t>
      </w:r>
      <w:r>
        <w:rPr>
          <w:color w:val="auto"/>
          <w:kern w:val="0"/>
        </w:rPr>
        <w:t>PM</w:t>
      </w:r>
      <w:r>
        <w:rPr>
          <w:color w:val="auto"/>
          <w:kern w:val="0"/>
          <w:vertAlign w:val="subscript"/>
        </w:rPr>
        <w:t>10</w:t>
      </w:r>
      <w:r>
        <w:rPr>
          <w:rFonts w:hint="eastAsia"/>
          <w:color w:val="auto"/>
          <w:kern w:val="0"/>
        </w:rPr>
        <w:t>、</w:t>
      </w:r>
      <w:r>
        <w:rPr>
          <w:color w:val="auto"/>
          <w:kern w:val="0"/>
        </w:rPr>
        <w:t>PM</w:t>
      </w:r>
      <w:r>
        <w:rPr>
          <w:color w:val="auto"/>
          <w:kern w:val="0"/>
          <w:vertAlign w:val="subscript"/>
        </w:rPr>
        <w:t>2.5</w:t>
      </w:r>
      <w:r>
        <w:rPr>
          <w:rFonts w:hint="eastAsia"/>
          <w:color w:val="auto"/>
          <w:kern w:val="0"/>
        </w:rPr>
        <w:t>的</w:t>
      </w:r>
      <w:r>
        <w:rPr>
          <w:color w:val="auto"/>
          <w:kern w:val="0"/>
        </w:rPr>
        <w:t>24</w:t>
      </w:r>
      <w:r>
        <w:rPr>
          <w:rFonts w:hint="eastAsia"/>
          <w:color w:val="auto"/>
          <w:kern w:val="0"/>
        </w:rPr>
        <w:t>小时平均第</w:t>
      </w:r>
      <w:r>
        <w:rPr>
          <w:color w:val="auto"/>
          <w:kern w:val="0"/>
        </w:rPr>
        <w:t>95</w:t>
      </w:r>
      <w:r>
        <w:rPr>
          <w:rFonts w:hint="eastAsia"/>
          <w:color w:val="auto"/>
          <w:kern w:val="0"/>
        </w:rPr>
        <w:t>百分位数，</w:t>
      </w:r>
      <w:r>
        <w:rPr>
          <w:color w:val="auto"/>
          <w:kern w:val="0"/>
        </w:rPr>
        <w:t>O</w:t>
      </w:r>
      <w:r>
        <w:rPr>
          <w:color w:val="auto"/>
          <w:kern w:val="0"/>
          <w:vertAlign w:val="subscript"/>
        </w:rPr>
        <w:t>3</w:t>
      </w:r>
      <w:r>
        <w:rPr>
          <w:rFonts w:hint="eastAsia"/>
          <w:color w:val="auto"/>
          <w:kern w:val="0"/>
        </w:rPr>
        <w:t>的日最大</w:t>
      </w:r>
      <w:r>
        <w:rPr>
          <w:color w:val="auto"/>
          <w:kern w:val="0"/>
        </w:rPr>
        <w:t>8</w:t>
      </w:r>
      <w:r>
        <w:rPr>
          <w:rFonts w:hint="eastAsia"/>
          <w:color w:val="auto"/>
          <w:kern w:val="0"/>
        </w:rPr>
        <w:t>小时平均第</w:t>
      </w:r>
      <w:r>
        <w:rPr>
          <w:color w:val="auto"/>
          <w:kern w:val="0"/>
        </w:rPr>
        <w:t>90</w:t>
      </w:r>
      <w:r>
        <w:rPr>
          <w:rFonts w:hint="eastAsia"/>
          <w:color w:val="auto"/>
          <w:kern w:val="0"/>
        </w:rPr>
        <w:t>百分位数，以上几个评价项目均达《环境空气质量标准》（</w:t>
      </w:r>
      <w:r>
        <w:rPr>
          <w:color w:val="auto"/>
          <w:kern w:val="0"/>
        </w:rPr>
        <w:t>GB3095-2012</w:t>
      </w:r>
      <w:r>
        <w:rPr>
          <w:rFonts w:hint="eastAsia"/>
          <w:color w:val="auto"/>
          <w:kern w:val="0"/>
        </w:rPr>
        <w:t>）及其修改单的二级标准要求，故本项目所属区域</w:t>
      </w:r>
      <w:r>
        <w:rPr>
          <w:color w:val="auto"/>
          <w:kern w:val="0"/>
        </w:rPr>
        <w:t>2018</w:t>
      </w:r>
      <w:r>
        <w:rPr>
          <w:rFonts w:hint="eastAsia"/>
          <w:color w:val="auto"/>
          <w:kern w:val="0"/>
        </w:rPr>
        <w:t>年环境空气质量现状为达标区。</w:t>
      </w:r>
    </w:p>
    <w:p>
      <w:pPr>
        <w:widowControl/>
        <w:spacing w:line="360" w:lineRule="auto"/>
        <w:ind w:firstLine="480" w:firstLineChars="200"/>
        <w:jc w:val="both"/>
        <w:rPr>
          <w:color w:val="auto"/>
          <w:kern w:val="0"/>
        </w:rPr>
      </w:pPr>
      <w:r>
        <w:rPr>
          <w:rFonts w:hint="eastAsia"/>
          <w:color w:val="auto"/>
          <w:kern w:val="0"/>
        </w:rPr>
        <w:t>根据引用</w:t>
      </w:r>
      <w:r>
        <w:rPr>
          <w:color w:val="auto"/>
          <w:kern w:val="0"/>
        </w:rPr>
        <w:t>的</w:t>
      </w:r>
      <w:r>
        <w:rPr>
          <w:rFonts w:hint="eastAsia"/>
          <w:color w:val="auto"/>
          <w:kern w:val="0"/>
        </w:rPr>
        <w:t>监测结果，本项目所在区域布设的</w:t>
      </w:r>
      <w:r>
        <w:rPr>
          <w:color w:val="auto"/>
          <w:kern w:val="0"/>
        </w:rPr>
        <w:t>G1</w:t>
      </w:r>
      <w:r>
        <w:rPr>
          <w:rFonts w:hint="eastAsia"/>
          <w:color w:val="auto"/>
          <w:kern w:val="0"/>
        </w:rPr>
        <w:t>、</w:t>
      </w:r>
      <w:r>
        <w:rPr>
          <w:color w:val="auto"/>
          <w:kern w:val="0"/>
        </w:rPr>
        <w:t>G2</w:t>
      </w:r>
      <w:r>
        <w:rPr>
          <w:rFonts w:hint="eastAsia"/>
          <w:color w:val="auto"/>
          <w:kern w:val="0"/>
        </w:rPr>
        <w:t>环境空气现状引用监测点位，其监测指标中</w:t>
      </w:r>
      <w:r>
        <w:rPr>
          <w:color w:val="auto"/>
          <w:kern w:val="0"/>
        </w:rPr>
        <w:t>H</w:t>
      </w:r>
      <w:r>
        <w:rPr>
          <w:color w:val="auto"/>
          <w:kern w:val="0"/>
          <w:vertAlign w:val="subscript"/>
        </w:rPr>
        <w:t>2</w:t>
      </w:r>
      <w:r>
        <w:rPr>
          <w:color w:val="auto"/>
          <w:kern w:val="0"/>
        </w:rPr>
        <w:t>S</w:t>
      </w:r>
      <w:r>
        <w:rPr>
          <w:rFonts w:hint="eastAsia"/>
          <w:color w:val="auto"/>
          <w:kern w:val="0"/>
        </w:rPr>
        <w:t>、</w:t>
      </w:r>
      <w:r>
        <w:rPr>
          <w:color w:val="auto"/>
          <w:kern w:val="0"/>
        </w:rPr>
        <w:t>NH</w:t>
      </w:r>
      <w:r>
        <w:rPr>
          <w:color w:val="auto"/>
          <w:kern w:val="0"/>
          <w:vertAlign w:val="subscript"/>
        </w:rPr>
        <w:t>3</w:t>
      </w:r>
      <w:r>
        <w:rPr>
          <w:rFonts w:hint="eastAsia"/>
          <w:color w:val="auto"/>
          <w:kern w:val="0"/>
        </w:rPr>
        <w:t>、</w:t>
      </w:r>
      <w:r>
        <w:rPr>
          <w:color w:val="auto"/>
          <w:kern w:val="0"/>
        </w:rPr>
        <w:t>HCl</w:t>
      </w:r>
      <w:r>
        <w:rPr>
          <w:rFonts w:hint="eastAsia"/>
          <w:color w:val="auto"/>
          <w:kern w:val="0"/>
        </w:rPr>
        <w:t>的小时浓度最大值均能满足《环境影响评价技术导则大气环境》（</w:t>
      </w:r>
      <w:r>
        <w:rPr>
          <w:color w:val="auto"/>
          <w:kern w:val="0"/>
        </w:rPr>
        <w:t>HJ 2.2-2018</w:t>
      </w:r>
      <w:r>
        <w:rPr>
          <w:rFonts w:hint="eastAsia"/>
          <w:color w:val="auto"/>
          <w:kern w:val="0"/>
        </w:rPr>
        <w:t>）附录</w:t>
      </w:r>
      <w:r>
        <w:rPr>
          <w:color w:val="auto"/>
          <w:kern w:val="0"/>
        </w:rPr>
        <w:t>D</w:t>
      </w:r>
      <w:r>
        <w:rPr>
          <w:rFonts w:hint="eastAsia"/>
          <w:color w:val="auto"/>
          <w:kern w:val="0"/>
        </w:rPr>
        <w:t>中其它污染物空气质量浓度参考限值要求，其中</w:t>
      </w:r>
      <w:r>
        <w:rPr>
          <w:color w:val="auto"/>
          <w:kern w:val="0"/>
        </w:rPr>
        <w:t>H</w:t>
      </w:r>
      <w:r>
        <w:rPr>
          <w:color w:val="auto"/>
          <w:kern w:val="0"/>
          <w:vertAlign w:val="subscript"/>
        </w:rPr>
        <w:t>2</w:t>
      </w:r>
      <w:r>
        <w:rPr>
          <w:color w:val="auto"/>
          <w:kern w:val="0"/>
        </w:rPr>
        <w:t>S</w:t>
      </w:r>
      <w:r>
        <w:rPr>
          <w:rFonts w:hint="eastAsia"/>
          <w:color w:val="auto"/>
          <w:kern w:val="0"/>
        </w:rPr>
        <w:t>、</w:t>
      </w:r>
      <w:r>
        <w:rPr>
          <w:color w:val="auto"/>
          <w:kern w:val="0"/>
        </w:rPr>
        <w:t>HCl</w:t>
      </w:r>
      <w:r>
        <w:rPr>
          <w:rFonts w:hint="eastAsia"/>
          <w:color w:val="auto"/>
          <w:kern w:val="0"/>
        </w:rPr>
        <w:t>小时浓度未检出；臭气浓度、甲硫醇的小时浓度最大值均能满足《恶臭污染物排放标准》（</w:t>
      </w:r>
      <w:r>
        <w:rPr>
          <w:color w:val="auto"/>
          <w:kern w:val="0"/>
        </w:rPr>
        <w:t>GB14554-93</w:t>
      </w:r>
      <w:r>
        <w:rPr>
          <w:rFonts w:hint="eastAsia"/>
          <w:color w:val="auto"/>
          <w:kern w:val="0"/>
        </w:rPr>
        <w:t>）厂界标准值的二级标准要求；</w:t>
      </w:r>
      <w:r>
        <w:rPr>
          <w:color w:val="auto"/>
          <w:kern w:val="0"/>
        </w:rPr>
        <w:t>TSP</w:t>
      </w:r>
      <w:r>
        <w:rPr>
          <w:rFonts w:hint="eastAsia"/>
          <w:color w:val="auto"/>
          <w:kern w:val="0"/>
        </w:rPr>
        <w:t>、</w:t>
      </w:r>
      <w:r>
        <w:rPr>
          <w:color w:val="auto"/>
          <w:kern w:val="0"/>
        </w:rPr>
        <w:t>Hg</w:t>
      </w:r>
      <w:r>
        <w:rPr>
          <w:rFonts w:hint="eastAsia"/>
          <w:color w:val="auto"/>
          <w:kern w:val="0"/>
        </w:rPr>
        <w:t>、</w:t>
      </w:r>
      <w:r>
        <w:rPr>
          <w:color w:val="auto"/>
          <w:kern w:val="0"/>
        </w:rPr>
        <w:t>Cd</w:t>
      </w:r>
      <w:r>
        <w:rPr>
          <w:rFonts w:hint="eastAsia"/>
          <w:color w:val="auto"/>
          <w:kern w:val="0"/>
        </w:rPr>
        <w:t>、Pb的日均浓度最大值均能满足《环境空气质量标准》（</w:t>
      </w:r>
      <w:r>
        <w:rPr>
          <w:color w:val="auto"/>
          <w:kern w:val="0"/>
        </w:rPr>
        <w:t>GB3095-2012</w:t>
      </w:r>
      <w:r>
        <w:rPr>
          <w:rFonts w:hint="eastAsia"/>
          <w:color w:val="auto"/>
          <w:kern w:val="0"/>
        </w:rPr>
        <w:t>）及其</w:t>
      </w:r>
      <w:r>
        <w:rPr>
          <w:color w:val="auto"/>
          <w:kern w:val="0"/>
        </w:rPr>
        <w:t>2018</w:t>
      </w:r>
      <w:r>
        <w:rPr>
          <w:rFonts w:hint="eastAsia"/>
          <w:color w:val="auto"/>
          <w:kern w:val="0"/>
        </w:rPr>
        <w:t>年修改单的二级标准限值要求，其中</w:t>
      </w:r>
      <w:r>
        <w:rPr>
          <w:color w:val="auto"/>
          <w:kern w:val="0"/>
        </w:rPr>
        <w:t>Hg</w:t>
      </w:r>
      <w:r>
        <w:rPr>
          <w:rFonts w:hint="eastAsia"/>
          <w:color w:val="auto"/>
          <w:kern w:val="0"/>
        </w:rPr>
        <w:t>、</w:t>
      </w:r>
      <w:r>
        <w:rPr>
          <w:color w:val="auto"/>
          <w:kern w:val="0"/>
        </w:rPr>
        <w:t>Cd</w:t>
      </w:r>
      <w:r>
        <w:rPr>
          <w:rFonts w:hint="eastAsia"/>
          <w:color w:val="auto"/>
          <w:kern w:val="0"/>
        </w:rPr>
        <w:t>、P</w:t>
      </w:r>
      <w:r>
        <w:rPr>
          <w:color w:val="auto"/>
          <w:kern w:val="0"/>
        </w:rPr>
        <w:t>b</w:t>
      </w:r>
      <w:r>
        <w:rPr>
          <w:rFonts w:hint="eastAsia"/>
          <w:color w:val="auto"/>
          <w:kern w:val="0"/>
        </w:rPr>
        <w:t>日均浓度未检出；二噁英类最大浓度值均能满足《日本环境质量标准》日本环境厅公告第</w:t>
      </w:r>
      <w:r>
        <w:rPr>
          <w:color w:val="auto"/>
          <w:kern w:val="0"/>
        </w:rPr>
        <w:t>46</w:t>
      </w:r>
      <w:r>
        <w:rPr>
          <w:rFonts w:hint="eastAsia"/>
          <w:color w:val="auto"/>
          <w:kern w:val="0"/>
        </w:rPr>
        <w:t>号令标准限值要求。</w:t>
      </w:r>
    </w:p>
    <w:p>
      <w:pPr>
        <w:spacing w:line="360" w:lineRule="auto"/>
        <w:ind w:firstLine="480"/>
        <w:rPr>
          <w:color w:val="auto"/>
        </w:rPr>
      </w:pPr>
      <w:r>
        <w:rPr>
          <w:color w:val="auto"/>
        </w:rPr>
        <w:t>总体而言，各环境空气监测因子能够符合环境功能区要求，</w:t>
      </w:r>
      <w:r>
        <w:rPr>
          <w:rFonts w:hint="eastAsia"/>
          <w:color w:val="auto"/>
          <w:kern w:val="0"/>
        </w:rPr>
        <w:t>本</w:t>
      </w:r>
      <w:r>
        <w:rPr>
          <w:color w:val="auto"/>
        </w:rPr>
        <w:t>项目所在区域环境空气质量较好。</w:t>
      </w:r>
    </w:p>
    <w:p>
      <w:pPr>
        <w:spacing w:line="360" w:lineRule="auto"/>
        <w:ind w:firstLine="480"/>
        <w:rPr>
          <w:color w:val="auto"/>
        </w:rPr>
      </w:pPr>
      <w:r>
        <w:rPr>
          <w:color w:val="auto"/>
        </w:rPr>
        <w:t>（3）声环境</w:t>
      </w:r>
    </w:p>
    <w:p>
      <w:pPr>
        <w:spacing w:line="360" w:lineRule="auto"/>
        <w:ind w:firstLine="480"/>
        <w:rPr>
          <w:color w:val="auto"/>
        </w:rPr>
      </w:pPr>
      <w:r>
        <w:rPr>
          <w:rFonts w:hint="eastAsia"/>
          <w:color w:val="auto"/>
        </w:rPr>
        <w:t>根据引用的监测结果，各监测点昼间噪声值范围为</w:t>
      </w:r>
      <w:r>
        <w:rPr>
          <w:color w:val="auto"/>
        </w:rPr>
        <w:t>36.9~48.0 dB</w:t>
      </w:r>
      <w:r>
        <w:rPr>
          <w:rFonts w:hint="eastAsia"/>
          <w:color w:val="auto"/>
        </w:rPr>
        <w:t>（</w:t>
      </w:r>
      <w:r>
        <w:rPr>
          <w:color w:val="auto"/>
        </w:rPr>
        <w:t>A</w:t>
      </w:r>
      <w:r>
        <w:rPr>
          <w:rFonts w:hint="eastAsia"/>
          <w:color w:val="auto"/>
        </w:rPr>
        <w:t>），夜间噪声值范围为</w:t>
      </w:r>
      <w:r>
        <w:rPr>
          <w:color w:val="auto"/>
        </w:rPr>
        <w:t>34.4~39.5 dB</w:t>
      </w:r>
      <w:r>
        <w:rPr>
          <w:rFonts w:hint="eastAsia"/>
          <w:color w:val="auto"/>
        </w:rPr>
        <w:t>（</w:t>
      </w:r>
      <w:r>
        <w:rPr>
          <w:color w:val="auto"/>
        </w:rPr>
        <w:t>A</w:t>
      </w:r>
      <w:r>
        <w:rPr>
          <w:rFonts w:hint="eastAsia"/>
          <w:color w:val="auto"/>
        </w:rPr>
        <w:t>），昼、夜噪声值均可满足《声环境质量标准》（</w:t>
      </w:r>
      <w:r>
        <w:rPr>
          <w:color w:val="auto"/>
        </w:rPr>
        <w:t>GB3096-2008</w:t>
      </w:r>
      <w:r>
        <w:rPr>
          <w:rFonts w:hint="eastAsia"/>
          <w:color w:val="auto"/>
        </w:rPr>
        <w:t>）中</w:t>
      </w:r>
      <w:r>
        <w:rPr>
          <w:color w:val="auto"/>
        </w:rPr>
        <w:t>2</w:t>
      </w:r>
      <w:r>
        <w:rPr>
          <w:rFonts w:hint="eastAsia"/>
          <w:color w:val="auto"/>
        </w:rPr>
        <w:t>类标准的要求，即噪声昼间</w:t>
      </w:r>
      <w:r>
        <w:rPr>
          <w:color w:val="auto"/>
        </w:rPr>
        <w:t>≤60dB(A)</w:t>
      </w:r>
      <w:r>
        <w:rPr>
          <w:rFonts w:hint="eastAsia"/>
          <w:color w:val="auto"/>
        </w:rPr>
        <w:t>、夜间</w:t>
      </w:r>
      <w:r>
        <w:rPr>
          <w:color w:val="auto"/>
        </w:rPr>
        <w:t>≤50dB(A)</w:t>
      </w:r>
      <w:r>
        <w:rPr>
          <w:rFonts w:hint="eastAsia"/>
          <w:color w:val="auto"/>
        </w:rPr>
        <w:t>。可见，</w:t>
      </w:r>
      <w:r>
        <w:rPr>
          <w:rFonts w:hint="eastAsia"/>
          <w:color w:val="auto"/>
          <w:kern w:val="0"/>
        </w:rPr>
        <w:t>本</w:t>
      </w:r>
      <w:r>
        <w:rPr>
          <w:rFonts w:hint="eastAsia"/>
          <w:color w:val="auto"/>
        </w:rPr>
        <w:t>项目所在地的声环境质量现状良好</w:t>
      </w:r>
      <w:r>
        <w:rPr>
          <w:color w:val="auto"/>
        </w:rPr>
        <w:t>。</w:t>
      </w:r>
    </w:p>
    <w:p>
      <w:pPr>
        <w:spacing w:line="360" w:lineRule="auto"/>
        <w:ind w:firstLine="480"/>
        <w:rPr>
          <w:color w:val="auto"/>
        </w:rPr>
      </w:pPr>
      <w:r>
        <w:rPr>
          <w:color w:val="auto"/>
        </w:rPr>
        <w:t>（4）地下水环境</w:t>
      </w:r>
    </w:p>
    <w:p>
      <w:pPr>
        <w:spacing w:line="360" w:lineRule="auto"/>
        <w:ind w:firstLine="480"/>
        <w:jc w:val="both"/>
        <w:rPr>
          <w:color w:val="auto"/>
        </w:rPr>
      </w:pPr>
      <w:r>
        <w:rPr>
          <w:rFonts w:hint="eastAsia"/>
          <w:color w:val="auto"/>
        </w:rPr>
        <w:t>根据引用的</w:t>
      </w:r>
      <w:r>
        <w:rPr>
          <w:color w:val="auto"/>
        </w:rPr>
        <w:t>监测结果</w:t>
      </w:r>
      <w:r>
        <w:rPr>
          <w:rFonts w:hint="eastAsia"/>
          <w:color w:val="auto"/>
        </w:rPr>
        <w:t>，D</w:t>
      </w:r>
      <w:r>
        <w:rPr>
          <w:color w:val="auto"/>
        </w:rPr>
        <w:t>1</w:t>
      </w:r>
      <w:r>
        <w:rPr>
          <w:rFonts w:hint="eastAsia"/>
          <w:color w:val="auto"/>
        </w:rPr>
        <w:t>~</w:t>
      </w:r>
      <w:r>
        <w:rPr>
          <w:color w:val="auto"/>
        </w:rPr>
        <w:t>D5</w:t>
      </w:r>
      <w:r>
        <w:rPr>
          <w:rFonts w:hint="eastAsia"/>
          <w:color w:val="auto"/>
        </w:rPr>
        <w:t>监测点的</w:t>
      </w:r>
      <w:r>
        <w:rPr>
          <w:color w:val="auto"/>
        </w:rPr>
        <w:t>pH</w:t>
      </w:r>
      <w:r>
        <w:rPr>
          <w:rFonts w:hint="eastAsia"/>
          <w:color w:val="auto"/>
        </w:rPr>
        <w:t>、耗氧量、挥发酚、六价铬、氰化物、溶解性总固体、硝酸盐氮、亚硝酸盐氮、阴离子表面活性剂、</w:t>
      </w:r>
      <w:r>
        <w:rPr>
          <w:rFonts w:hint="eastAsia" w:hAnsi="宋体"/>
          <w:color w:val="auto"/>
        </w:rPr>
        <w:t>总硬度、</w:t>
      </w:r>
      <w:r>
        <w:rPr>
          <w:rFonts w:hint="eastAsia"/>
          <w:color w:val="auto"/>
        </w:rPr>
        <w:t>氟化物、氯化物</w:t>
      </w:r>
      <w:r>
        <w:rPr>
          <w:rFonts w:hint="eastAsia" w:hAnsi="宋体"/>
          <w:color w:val="auto"/>
        </w:rPr>
        <w:t>、</w:t>
      </w:r>
      <w:r>
        <w:rPr>
          <w:rFonts w:hint="eastAsia"/>
          <w:color w:val="auto"/>
        </w:rPr>
        <w:t>硫酸盐、汞、砷、铜、锌、</w:t>
      </w:r>
      <w:r>
        <w:rPr>
          <w:rFonts w:hint="eastAsia" w:hAnsi="宋体"/>
          <w:color w:val="auto"/>
        </w:rPr>
        <w:t>铅、镉</w:t>
      </w:r>
      <w:r>
        <w:rPr>
          <w:rFonts w:hint="eastAsia"/>
          <w:color w:val="auto"/>
        </w:rPr>
        <w:t>等监测因子均能达到</w:t>
      </w:r>
      <w:r>
        <w:rPr>
          <w:color w:val="auto"/>
        </w:rPr>
        <w:t>《地下水质量标准》（GB/T 14848-2017）Ⅲ类标准要求，其中D1~D5监测点的挥发酚、六价铬、氰化物、阴离子表面活性剂、汞等监测因子均未检出；D1、D4监测点的亚硝酸盐氮均未检出；D2、D4、D5监测点的氨氮、砷、镉等均未检出；D2、D5监测点的总大肠菌群、氟化物、硫酸盐等均未检出；D3监测点的氟化物、硫酸盐、</w:t>
      </w:r>
      <w:r>
        <w:rPr>
          <w:rFonts w:hint="eastAsia"/>
          <w:color w:val="auto"/>
        </w:rPr>
        <w:t>镉</w:t>
      </w:r>
      <w:r>
        <w:rPr>
          <w:color w:val="auto"/>
        </w:rPr>
        <w:t>等均未检出；D4监测点的浑浊度未检出；D5监测点的氯化物未检出。</w:t>
      </w:r>
    </w:p>
    <w:p>
      <w:pPr>
        <w:spacing w:line="360" w:lineRule="auto"/>
        <w:ind w:firstLine="480"/>
        <w:jc w:val="both"/>
        <w:rPr>
          <w:color w:val="auto"/>
        </w:rPr>
      </w:pPr>
      <w:r>
        <w:rPr>
          <w:rFonts w:hint="eastAsia"/>
          <w:color w:val="auto"/>
        </w:rPr>
        <w:t>D1~D5的细菌总数和D3的氨氮、浑浊度、总大肠菌群、铁、锰等监测指标均超过《地下水质量标准》（GB/T 14848-2017）I</w:t>
      </w:r>
      <w:r>
        <w:rPr>
          <w:color w:val="auto"/>
        </w:rPr>
        <w:t>II</w:t>
      </w:r>
      <w:r>
        <w:rPr>
          <w:rFonts w:hint="eastAsia"/>
          <w:color w:val="auto"/>
        </w:rPr>
        <w:t>类标准要求。细菌总数、氨氮、浑浊度、总大肠菌群等监测因子超标原因可能与项目周边农地和林地定期施肥、居民生活污水多年排放入渗、D</w:t>
      </w:r>
      <w:r>
        <w:rPr>
          <w:color w:val="auto"/>
        </w:rPr>
        <w:t>3</w:t>
      </w:r>
      <w:r>
        <w:rPr>
          <w:rFonts w:hint="eastAsia"/>
          <w:color w:val="auto"/>
        </w:rPr>
        <w:t>点位附近的养殖鱼塘等有关；铁、锰超标原因可能与</w:t>
      </w:r>
      <w:r>
        <w:rPr>
          <w:rFonts w:hint="eastAsia"/>
          <w:color w:val="auto"/>
          <w:kern w:val="0"/>
        </w:rPr>
        <w:t>本</w:t>
      </w:r>
      <w:r>
        <w:rPr>
          <w:rFonts w:hint="eastAsia"/>
          <w:color w:val="auto"/>
        </w:rPr>
        <w:t>项目所在区域地下水背景值偏高有关。</w:t>
      </w:r>
    </w:p>
    <w:p>
      <w:pPr>
        <w:spacing w:line="360" w:lineRule="auto"/>
        <w:ind w:firstLine="480"/>
        <w:rPr>
          <w:color w:val="auto"/>
        </w:rPr>
      </w:pPr>
      <w:r>
        <w:rPr>
          <w:color w:val="auto"/>
        </w:rPr>
        <w:t>（5）土壤环境</w:t>
      </w:r>
    </w:p>
    <w:p>
      <w:pPr>
        <w:spacing w:line="360" w:lineRule="auto"/>
        <w:ind w:firstLine="480"/>
        <w:jc w:val="both"/>
        <w:rPr>
          <w:color w:val="auto"/>
        </w:rPr>
      </w:pPr>
      <w:bookmarkStart w:id="994" w:name="_Toc9517784"/>
      <w:bookmarkStart w:id="995" w:name="_Toc14943352"/>
      <w:r>
        <w:rPr>
          <w:rFonts w:hint="eastAsia"/>
          <w:color w:val="auto"/>
        </w:rPr>
        <w:t>根据引用</w:t>
      </w:r>
      <w:r>
        <w:rPr>
          <w:color w:val="auto"/>
        </w:rPr>
        <w:t>的</w:t>
      </w:r>
      <w:r>
        <w:rPr>
          <w:rFonts w:hint="eastAsia"/>
          <w:color w:val="auto"/>
        </w:rPr>
        <w:t>检测结果，本项目所在区域布设的</w:t>
      </w:r>
      <w:r>
        <w:rPr>
          <w:color w:val="auto"/>
        </w:rPr>
        <w:t>T1</w:t>
      </w:r>
      <w:r>
        <w:rPr>
          <w:rFonts w:hint="eastAsia"/>
          <w:color w:val="auto"/>
        </w:rPr>
        <w:t>~</w:t>
      </w:r>
      <w:r>
        <w:rPr>
          <w:color w:val="auto"/>
        </w:rPr>
        <w:t>T4</w:t>
      </w:r>
      <w:r>
        <w:rPr>
          <w:rFonts w:hint="eastAsia"/>
          <w:color w:val="auto"/>
        </w:rPr>
        <w:t>监测点，其</w:t>
      </w:r>
      <w:r>
        <w:rPr>
          <w:color w:val="auto"/>
        </w:rPr>
        <w:t>45</w:t>
      </w:r>
      <w:r>
        <w:rPr>
          <w:rFonts w:hint="eastAsia"/>
          <w:color w:val="auto"/>
        </w:rPr>
        <w:t>项基本监测指标和二噁英类监测指标均能满足《土壤环境质量</w:t>
      </w:r>
      <w:r>
        <w:rPr>
          <w:color w:val="auto"/>
        </w:rPr>
        <w:t xml:space="preserve"> </w:t>
      </w:r>
      <w:r>
        <w:rPr>
          <w:rFonts w:hint="eastAsia"/>
          <w:color w:val="auto"/>
        </w:rPr>
        <w:t>建设用地土壤污染风险管控标准（试行）》（</w:t>
      </w:r>
      <w:r>
        <w:rPr>
          <w:color w:val="auto"/>
        </w:rPr>
        <w:t>GB36600—2018</w:t>
      </w:r>
      <w:r>
        <w:rPr>
          <w:rFonts w:hint="eastAsia"/>
          <w:color w:val="auto"/>
        </w:rPr>
        <w:t>）中第二类用地的筛选值要求；</w:t>
      </w:r>
      <w:r>
        <w:rPr>
          <w:color w:val="auto"/>
        </w:rPr>
        <w:t>T5</w:t>
      </w:r>
      <w:r>
        <w:rPr>
          <w:rFonts w:hint="eastAsia"/>
          <w:color w:val="auto"/>
        </w:rPr>
        <w:t>、</w:t>
      </w:r>
      <w:r>
        <w:rPr>
          <w:color w:val="auto"/>
        </w:rPr>
        <w:t>T6</w:t>
      </w:r>
      <w:r>
        <w:rPr>
          <w:rFonts w:hint="eastAsia"/>
          <w:color w:val="auto"/>
        </w:rPr>
        <w:t>监测点的重金属监测指标均能满足《土壤环境质量</w:t>
      </w:r>
      <w:r>
        <w:rPr>
          <w:color w:val="auto"/>
        </w:rPr>
        <w:t xml:space="preserve"> </w:t>
      </w:r>
      <w:r>
        <w:rPr>
          <w:rFonts w:hint="eastAsia"/>
          <w:color w:val="auto"/>
        </w:rPr>
        <w:t>农用地土壤污染风险管控标准（试行）》（</w:t>
      </w:r>
      <w:r>
        <w:rPr>
          <w:color w:val="auto"/>
        </w:rPr>
        <w:t>GB15618—2018</w:t>
      </w:r>
      <w:r>
        <w:rPr>
          <w:rFonts w:hint="eastAsia"/>
          <w:color w:val="auto"/>
        </w:rPr>
        <w:t>）中的筛选值要求，其二噁英类监测指标暂无评价标准，故不进行评价，所测数据作为项目二噁英类本底值数据留存。</w:t>
      </w:r>
    </w:p>
    <w:p>
      <w:pPr>
        <w:spacing w:line="360" w:lineRule="auto"/>
        <w:ind w:firstLine="480"/>
        <w:jc w:val="both"/>
        <w:rPr>
          <w:color w:val="auto"/>
        </w:rPr>
      </w:pPr>
      <w:r>
        <w:rPr>
          <w:rFonts w:hint="eastAsia"/>
          <w:color w:val="auto"/>
        </w:rPr>
        <w:t>（6）生态环境</w:t>
      </w:r>
    </w:p>
    <w:p>
      <w:pPr>
        <w:spacing w:line="360" w:lineRule="auto"/>
        <w:ind w:firstLine="480"/>
        <w:jc w:val="both"/>
        <w:rPr>
          <w:color w:val="auto"/>
        </w:rPr>
      </w:pPr>
      <w:r>
        <w:rPr>
          <w:rFonts w:hint="eastAsia"/>
          <w:color w:val="auto"/>
          <w:kern w:val="0"/>
        </w:rPr>
        <w:t>本</w:t>
      </w:r>
      <w:r>
        <w:rPr>
          <w:rFonts w:hint="eastAsia"/>
          <w:color w:val="auto"/>
          <w:spacing w:val="-4"/>
        </w:rPr>
        <w:t>项目评价区域内的植被类型以半天然林为主，包括马尾松林、桉树林、麻竹林、亚热带阔叶林等，人工群落主要是农田（水稻及旱地作物）。植被分布同评价区域地形、地势基本一致：低山矮丘中上部多为半天然林，洼地和沟谷植被类型主要是水、旱田植</w:t>
      </w:r>
      <w:r>
        <w:rPr>
          <w:rFonts w:hint="eastAsia"/>
          <w:color w:val="auto"/>
        </w:rPr>
        <w:t>物。</w:t>
      </w:r>
    </w:p>
    <w:p>
      <w:pPr>
        <w:pStyle w:val="3"/>
        <w:numPr>
          <w:ilvl w:val="0"/>
          <w:numId w:val="0"/>
        </w:numPr>
        <w:tabs>
          <w:tab w:val="clear" w:pos="680"/>
        </w:tabs>
        <w:ind w:left="576" w:hanging="576"/>
        <w:rPr>
          <w:rFonts w:ascii="Times New Roman"/>
          <w:bCs/>
          <w:color w:val="auto"/>
        </w:rPr>
      </w:pPr>
      <w:bookmarkStart w:id="996" w:name="_Toc11941"/>
      <w:bookmarkStart w:id="997" w:name="_Toc23263195"/>
      <w:bookmarkStart w:id="998" w:name="_Toc24136876"/>
      <w:r>
        <w:rPr>
          <w:rFonts w:ascii="Times New Roman"/>
          <w:bCs/>
          <w:color w:val="auto"/>
        </w:rPr>
        <w:t>9.4环境影响评价结论</w:t>
      </w:r>
      <w:bookmarkEnd w:id="994"/>
      <w:bookmarkEnd w:id="995"/>
      <w:bookmarkEnd w:id="996"/>
      <w:bookmarkEnd w:id="997"/>
      <w:bookmarkEnd w:id="998"/>
    </w:p>
    <w:p>
      <w:pPr>
        <w:pStyle w:val="298"/>
        <w:rPr>
          <w:color w:val="auto"/>
        </w:rPr>
      </w:pPr>
      <w:bookmarkStart w:id="999" w:name="_Toc14946964"/>
      <w:bookmarkStart w:id="1000" w:name="_Toc24136877"/>
      <w:bookmarkStart w:id="1001" w:name="_Toc6028"/>
      <w:bookmarkStart w:id="1002" w:name="_Toc34234792"/>
      <w:r>
        <w:rPr>
          <w:color w:val="auto"/>
        </w:rPr>
        <w:t>9.4.1水环境</w:t>
      </w:r>
      <w:bookmarkEnd w:id="999"/>
      <w:bookmarkEnd w:id="1000"/>
      <w:bookmarkEnd w:id="1001"/>
      <w:bookmarkEnd w:id="1002"/>
    </w:p>
    <w:p>
      <w:pPr>
        <w:spacing w:line="360" w:lineRule="auto"/>
        <w:ind w:firstLine="480"/>
        <w:rPr>
          <w:color w:val="auto"/>
        </w:rPr>
      </w:pPr>
      <w:bookmarkStart w:id="1003" w:name="_Hlk24555076"/>
      <w:r>
        <w:rPr>
          <w:color w:val="auto"/>
        </w:rPr>
        <w:t>本项目施工过程产生的废水包括生活污水及生产废水。施工人员生活污水经收集后定期外运，施工生产废水经沉淀池处理后回收利用。</w:t>
      </w:r>
    </w:p>
    <w:bookmarkEnd w:id="1003"/>
    <w:p>
      <w:pPr>
        <w:widowControl/>
        <w:spacing w:line="360" w:lineRule="auto"/>
        <w:ind w:firstLine="480" w:firstLineChars="200"/>
        <w:jc w:val="both"/>
        <w:rPr>
          <w:color w:val="auto"/>
          <w:kern w:val="0"/>
        </w:rPr>
      </w:pPr>
      <w:bookmarkStart w:id="1004" w:name="_Hlk24555009"/>
      <w:r>
        <w:rPr>
          <w:color w:val="auto"/>
          <w:kern w:val="0"/>
        </w:rPr>
        <w:t>运营期</w:t>
      </w:r>
      <w:r>
        <w:rPr>
          <w:rFonts w:hint="eastAsia"/>
          <w:color w:val="auto"/>
        </w:rPr>
        <w:t>餐厨垃圾处理过程中产生的生产废水（</w:t>
      </w:r>
      <w:r>
        <w:rPr>
          <w:rFonts w:hint="eastAsia"/>
          <w:color w:val="auto"/>
          <w:kern w:val="0"/>
        </w:rPr>
        <w:t>餐厨废水</w:t>
      </w:r>
      <w:r>
        <w:rPr>
          <w:color w:val="auto"/>
          <w:spacing w:val="2"/>
          <w:kern w:val="0"/>
        </w:rPr>
        <w:t>、</w:t>
      </w:r>
      <w:r>
        <w:rPr>
          <w:rFonts w:hint="eastAsia"/>
          <w:color w:val="auto"/>
          <w:spacing w:val="2"/>
          <w:kern w:val="0"/>
        </w:rPr>
        <w:t>除臭系统废水、车间车辆和地面冲洗废水</w:t>
      </w:r>
      <w:r>
        <w:rPr>
          <w:rFonts w:hint="eastAsia"/>
          <w:color w:val="auto"/>
          <w:spacing w:val="2"/>
          <w:kern w:val="0"/>
          <w:lang w:eastAsia="zh-CN"/>
        </w:rPr>
        <w:t>、初期雨水</w:t>
      </w:r>
      <w:r>
        <w:rPr>
          <w:rFonts w:hint="eastAsia"/>
          <w:color w:val="auto"/>
        </w:rPr>
        <w:t>）为</w:t>
      </w:r>
      <w:r>
        <w:rPr>
          <w:rFonts w:hint="eastAsia"/>
          <w:color w:val="auto"/>
          <w:lang w:val="en-US" w:eastAsia="zh-CN"/>
        </w:rPr>
        <w:t>18.84</w:t>
      </w:r>
      <w:r>
        <w:rPr>
          <w:rFonts w:hint="eastAsia"/>
          <w:color w:val="auto"/>
        </w:rPr>
        <w:t>t/d（</w:t>
      </w:r>
      <w:r>
        <w:rPr>
          <w:rFonts w:hint="eastAsia"/>
          <w:color w:val="auto"/>
          <w:lang w:val="en-US" w:eastAsia="zh-CN"/>
        </w:rPr>
        <w:t>6217.2</w:t>
      </w:r>
      <w:r>
        <w:rPr>
          <w:rFonts w:hint="eastAsia"/>
          <w:color w:val="auto"/>
        </w:rPr>
        <w:t>t/a），依托园区内在建的渗滤液处理系统（采取</w:t>
      </w:r>
      <w:r>
        <w:rPr>
          <w:rFonts w:asciiTheme="minorEastAsia" w:hAnsiTheme="minorEastAsia" w:eastAsiaTheme="minorEastAsia"/>
          <w:color w:val="auto"/>
          <w:kern w:val="0"/>
        </w:rPr>
        <w:t>“预处</w:t>
      </w:r>
      <w:r>
        <w:rPr>
          <w:color w:val="auto"/>
          <w:kern w:val="0"/>
        </w:rPr>
        <w:t>理+ UASB厌氧反应器+MBR生化处理系统+NF纳滤膜系统+RO反渗透系统+DTRO</w:t>
      </w:r>
      <w:r>
        <w:rPr>
          <w:rFonts w:asciiTheme="minorEastAsia" w:hAnsiTheme="minorEastAsia" w:eastAsiaTheme="minorEastAsia"/>
          <w:color w:val="auto"/>
          <w:kern w:val="0"/>
        </w:rPr>
        <w:t>”处</w:t>
      </w:r>
      <w:r>
        <w:rPr>
          <w:color w:val="auto"/>
          <w:kern w:val="0"/>
        </w:rPr>
        <w:t>理工艺</w:t>
      </w:r>
      <w:r>
        <w:rPr>
          <w:rFonts w:hint="eastAsia"/>
          <w:color w:val="auto"/>
          <w:kern w:val="0"/>
        </w:rPr>
        <w:t>）</w:t>
      </w:r>
      <w:r>
        <w:rPr>
          <w:rFonts w:hint="eastAsia"/>
          <w:color w:val="auto"/>
        </w:rPr>
        <w:t>处理达到</w:t>
      </w:r>
      <w:r>
        <w:rPr>
          <w:color w:val="auto"/>
        </w:rPr>
        <w:t>《城市污水再生利用-工业用水水质》</w:t>
      </w:r>
      <w:r>
        <w:rPr>
          <w:rFonts w:hint="eastAsia"/>
          <w:color w:val="auto"/>
        </w:rPr>
        <w:t>（</w:t>
      </w:r>
      <w:r>
        <w:rPr>
          <w:color w:val="auto"/>
        </w:rPr>
        <w:t>GB19923-2005</w:t>
      </w:r>
      <w:r>
        <w:rPr>
          <w:rFonts w:hint="eastAsia"/>
          <w:color w:val="auto"/>
        </w:rPr>
        <w:t>）中敞开式循环冷却水标准</w:t>
      </w:r>
      <w:r>
        <w:rPr>
          <w:color w:val="auto"/>
        </w:rPr>
        <w:t>后</w:t>
      </w:r>
      <w:r>
        <w:rPr>
          <w:rFonts w:hint="eastAsia"/>
          <w:color w:val="auto"/>
        </w:rPr>
        <w:t>，</w:t>
      </w:r>
      <w:r>
        <w:rPr>
          <w:color w:val="auto"/>
        </w:rPr>
        <w:t>回用作为</w:t>
      </w:r>
      <w:r>
        <w:rPr>
          <w:rFonts w:hint="eastAsia"/>
          <w:color w:val="auto"/>
        </w:rPr>
        <w:t>园区内在建的垃圾焚烧发电厂的汽轮</w:t>
      </w:r>
      <w:r>
        <w:rPr>
          <w:color w:val="auto"/>
        </w:rPr>
        <w:t>机循环冷却水补充水及绿化用水、道路洒水</w:t>
      </w:r>
      <w:r>
        <w:rPr>
          <w:rFonts w:hint="eastAsia"/>
          <w:color w:val="auto"/>
        </w:rPr>
        <w:t>。</w:t>
      </w:r>
      <w:r>
        <w:rPr>
          <w:rFonts w:hint="eastAsia"/>
          <w:color w:val="auto"/>
          <w:kern w:val="0"/>
        </w:rPr>
        <w:t>建筑垃圾消纳场生产废水产生量为85.44</w:t>
      </w:r>
      <w:r>
        <w:rPr>
          <w:color w:val="auto"/>
        </w:rPr>
        <w:t xml:space="preserve"> m</w:t>
      </w:r>
      <w:r>
        <w:rPr>
          <w:color w:val="auto"/>
          <w:vertAlign w:val="superscript"/>
        </w:rPr>
        <w:t>3</w:t>
      </w:r>
      <w:r>
        <w:rPr>
          <w:rFonts w:eastAsia="Times New Roman"/>
          <w:color w:val="auto"/>
        </w:rPr>
        <w:t>/d</w:t>
      </w:r>
      <w:r>
        <w:rPr>
          <w:rFonts w:hint="eastAsia" w:eastAsiaTheme="minorEastAsia"/>
          <w:color w:val="auto"/>
        </w:rPr>
        <w:t>（28195.2</w:t>
      </w:r>
      <w:r>
        <w:rPr>
          <w:bCs/>
          <w:color w:val="auto"/>
          <w:spacing w:val="2"/>
        </w:rPr>
        <w:t>m³/a</w:t>
      </w:r>
      <w:r>
        <w:rPr>
          <w:rFonts w:hint="eastAsia" w:eastAsiaTheme="minorEastAsia"/>
          <w:color w:val="auto"/>
        </w:rPr>
        <w:t>），</w:t>
      </w:r>
      <w:r>
        <w:rPr>
          <w:rFonts w:hint="eastAsia"/>
          <w:color w:val="auto"/>
          <w:kern w:val="0"/>
        </w:rPr>
        <w:t>消纳场配套设有2500</w:t>
      </w:r>
      <w:r>
        <w:rPr>
          <w:color w:val="auto"/>
          <w:kern w:val="0"/>
        </w:rPr>
        <w:t xml:space="preserve"> m</w:t>
      </w:r>
      <w:r>
        <w:rPr>
          <w:rFonts w:hint="eastAsia"/>
          <w:color w:val="auto"/>
          <w:kern w:val="0"/>
          <w:vertAlign w:val="superscript"/>
        </w:rPr>
        <w:t>3</w:t>
      </w:r>
      <w:r>
        <w:rPr>
          <w:rFonts w:hint="eastAsia"/>
          <w:color w:val="auto"/>
          <w:kern w:val="0"/>
        </w:rPr>
        <w:t>的调节池，经盲沟和管道收集进入调节池后，再经机械加速澄清池沉淀过滤后回用于场内洒水抑尘</w:t>
      </w:r>
      <w:r>
        <w:rPr>
          <w:color w:val="auto"/>
          <w:kern w:val="0"/>
        </w:rPr>
        <w:t>。</w:t>
      </w:r>
      <w:r>
        <w:rPr>
          <w:rFonts w:hint="eastAsia"/>
          <w:color w:val="auto"/>
          <w:kern w:val="0"/>
        </w:rPr>
        <w:t>本</w:t>
      </w:r>
      <w:r>
        <w:rPr>
          <w:color w:val="auto"/>
          <w:kern w:val="0"/>
        </w:rPr>
        <w:t>项目无废水外排，对所在区域水环境无明显影响。</w:t>
      </w:r>
      <w:bookmarkEnd w:id="1004"/>
    </w:p>
    <w:p>
      <w:pPr>
        <w:pStyle w:val="298"/>
        <w:rPr>
          <w:color w:val="auto"/>
        </w:rPr>
      </w:pPr>
      <w:bookmarkStart w:id="1005" w:name="_Toc24136878"/>
      <w:bookmarkStart w:id="1006" w:name="_Toc22621"/>
      <w:bookmarkStart w:id="1007" w:name="_Toc34234793"/>
      <w:bookmarkStart w:id="1008" w:name="_Toc14946965"/>
      <w:r>
        <w:rPr>
          <w:color w:val="auto"/>
        </w:rPr>
        <w:t>9.4.2大气环境</w:t>
      </w:r>
      <w:bookmarkEnd w:id="1005"/>
      <w:bookmarkEnd w:id="1006"/>
      <w:bookmarkEnd w:id="1007"/>
      <w:bookmarkEnd w:id="1008"/>
    </w:p>
    <w:p>
      <w:pPr>
        <w:spacing w:line="360" w:lineRule="auto"/>
        <w:ind w:firstLine="480"/>
        <w:jc w:val="both"/>
        <w:rPr>
          <w:color w:val="auto"/>
        </w:rPr>
      </w:pPr>
      <w:r>
        <w:rPr>
          <w:color w:val="auto"/>
        </w:rPr>
        <w:t>施工废气：主要为扬尘及施工设备尾气。建设单位拟采取合理调度减少车辆的运行，对临时堆放的土方石需及时做好覆盖，加强运输道路及物料堆场的洒水抑尘等措施，减少施工废气对环境的影响。</w:t>
      </w:r>
    </w:p>
    <w:p>
      <w:pPr>
        <w:spacing w:line="360" w:lineRule="auto"/>
        <w:ind w:firstLine="480"/>
        <w:jc w:val="both"/>
        <w:rPr>
          <w:color w:val="auto"/>
        </w:rPr>
      </w:pPr>
      <w:r>
        <w:rPr>
          <w:color w:val="auto"/>
        </w:rPr>
        <w:t>运营期废气：</w:t>
      </w:r>
      <w:r>
        <w:rPr>
          <w:rFonts w:hint="eastAsia"/>
          <w:color w:val="auto"/>
        </w:rPr>
        <w:t>对餐厨垃圾处理厂的卸料斗、破碎机、脱水机、三相分离机等设备局部抽吸，同时对整体车间进行抽气，保持负压，采用“化学洗涤塔+光催化氧化+植物液喷淋”除臭技术处理达标后由一根15m高排气筒外排</w:t>
      </w:r>
      <w:r>
        <w:rPr>
          <w:color w:val="auto"/>
        </w:rPr>
        <w:t>，臭气污染物浓度执行《恶臭污染物排放标准》（GB14554-93）中二级新扩改建标准；</w:t>
      </w:r>
      <w:r>
        <w:rPr>
          <w:rFonts w:hint="eastAsia"/>
          <w:color w:val="auto"/>
        </w:rPr>
        <w:t>对建筑垃圾消纳场产生</w:t>
      </w:r>
      <w:r>
        <w:rPr>
          <w:color w:val="auto"/>
        </w:rPr>
        <w:t>的</w:t>
      </w:r>
      <w:r>
        <w:rPr>
          <w:rFonts w:hint="eastAsia"/>
          <w:color w:val="auto"/>
        </w:rPr>
        <w:t>粉尘采取洒水覆盖等措施进行控制，</w:t>
      </w:r>
      <w:r>
        <w:rPr>
          <w:color w:val="auto"/>
        </w:rPr>
        <w:t>粉尘废气</w:t>
      </w:r>
      <w:r>
        <w:rPr>
          <w:rFonts w:hint="eastAsia"/>
          <w:color w:val="auto"/>
        </w:rPr>
        <w:t>达到</w:t>
      </w:r>
      <w:r>
        <w:rPr>
          <w:color w:val="auto"/>
          <w:kern w:val="0"/>
        </w:rPr>
        <w:t>广东省地方标准《大气污染物排放限值》（DB44 27-2001）</w:t>
      </w:r>
      <w:r>
        <w:rPr>
          <w:rFonts w:hint="eastAsia"/>
          <w:color w:val="auto"/>
        </w:rPr>
        <w:t>表2中无组织排放浓度限值</w:t>
      </w:r>
      <w:r>
        <w:rPr>
          <w:color w:val="auto"/>
        </w:rPr>
        <w:t>后排放</w:t>
      </w:r>
      <w:r>
        <w:rPr>
          <w:rFonts w:hint="eastAsia"/>
          <w:color w:val="auto"/>
        </w:rPr>
        <w:t>。</w:t>
      </w:r>
      <w:r>
        <w:rPr>
          <w:color w:val="auto"/>
        </w:rPr>
        <w:t xml:space="preserve"> </w:t>
      </w:r>
    </w:p>
    <w:p>
      <w:pPr>
        <w:pStyle w:val="298"/>
        <w:rPr>
          <w:color w:val="auto"/>
        </w:rPr>
      </w:pPr>
      <w:bookmarkStart w:id="1009" w:name="_Toc14946966"/>
      <w:bookmarkStart w:id="1010" w:name="_Toc34234794"/>
      <w:bookmarkStart w:id="1011" w:name="_Toc9164"/>
      <w:bookmarkStart w:id="1012" w:name="_Toc24136879"/>
      <w:r>
        <w:rPr>
          <w:color w:val="auto"/>
        </w:rPr>
        <w:t>9.4.3声环境</w:t>
      </w:r>
      <w:bookmarkEnd w:id="1009"/>
      <w:bookmarkEnd w:id="1010"/>
      <w:bookmarkEnd w:id="1011"/>
      <w:bookmarkEnd w:id="1012"/>
    </w:p>
    <w:p>
      <w:pPr>
        <w:spacing w:line="360" w:lineRule="auto"/>
        <w:ind w:firstLine="480"/>
        <w:jc w:val="both"/>
        <w:rPr>
          <w:color w:val="auto"/>
        </w:rPr>
      </w:pPr>
      <w:r>
        <w:rPr>
          <w:color w:val="auto"/>
        </w:rPr>
        <w:t>施工期间各种施工机械和设备运行时会对周边环境敏感点造成一定影响。建议建设单位在施工现场设置临时的声屏障阻挡噪声的传播，同时避免在同一时间集中使用机械设备，严禁中午、夜间的休息时间内施工，混凝土不在现场搅拌，禁止使用锤式打桩机，预测结果显示施工期噪声能达到《建筑施工场界环境噪声排放标准》（GB12523-2011）。</w:t>
      </w:r>
    </w:p>
    <w:p>
      <w:pPr>
        <w:spacing w:line="360" w:lineRule="auto"/>
        <w:ind w:firstLine="480"/>
        <w:jc w:val="both"/>
        <w:rPr>
          <w:color w:val="auto"/>
        </w:rPr>
      </w:pPr>
      <w:r>
        <w:rPr>
          <w:color w:val="auto"/>
        </w:rPr>
        <w:t>运营期：</w:t>
      </w:r>
      <w:bookmarkStart w:id="1013" w:name="_Hlk24555442"/>
      <w:r>
        <w:rPr>
          <w:color w:val="auto"/>
        </w:rPr>
        <w:t>采用工艺先进、噪声小的机械设备，对高噪音设备采取安装消声器、隔声罩、振动阻尼器、减振垫等降噪措施。通过采取以上措施，再经过厂房建筑的隔声、空气的吸收以及噪声传播过程中的衰减，厂界噪声水平能符合《工业企业厂界环境噪声排放标准》（GB12348-2008）2类环境功能区排放限值的要求。</w:t>
      </w:r>
      <w:bookmarkEnd w:id="1013"/>
    </w:p>
    <w:p>
      <w:pPr>
        <w:pStyle w:val="298"/>
        <w:rPr>
          <w:color w:val="auto"/>
        </w:rPr>
      </w:pPr>
      <w:bookmarkStart w:id="1014" w:name="_Toc24136880"/>
      <w:bookmarkStart w:id="1015" w:name="_Toc22159"/>
      <w:bookmarkStart w:id="1016" w:name="_Toc14946967"/>
      <w:bookmarkStart w:id="1017" w:name="_Toc34234795"/>
      <w:r>
        <w:rPr>
          <w:color w:val="auto"/>
        </w:rPr>
        <w:t>9.4.4固体废物</w:t>
      </w:r>
      <w:bookmarkEnd w:id="1014"/>
      <w:bookmarkEnd w:id="1015"/>
      <w:bookmarkEnd w:id="1016"/>
      <w:bookmarkEnd w:id="1017"/>
    </w:p>
    <w:p>
      <w:pPr>
        <w:spacing w:line="360" w:lineRule="auto"/>
        <w:ind w:firstLine="480"/>
        <w:jc w:val="both"/>
        <w:rPr>
          <w:color w:val="auto"/>
        </w:rPr>
      </w:pPr>
      <w:bookmarkStart w:id="1018" w:name="_Hlk24555478"/>
      <w:r>
        <w:rPr>
          <w:color w:val="auto"/>
        </w:rPr>
        <w:t>施工期建筑工地产生的大量余泥、渣土、施工剩余废物料，对于可以回收的（如废钢、铁等），应集中收集送到回收站；不能回收利用的，不得随意堆放，应按有关规定报地方建设主管部门，将建筑废物运送至建筑废土堆填场；垃圾运送至城管、环卫、环保等部门规定的地点合理处置。</w:t>
      </w:r>
    </w:p>
    <w:bookmarkEnd w:id="1018"/>
    <w:p>
      <w:pPr>
        <w:spacing w:line="360" w:lineRule="auto"/>
        <w:ind w:firstLine="480" w:firstLineChars="200"/>
        <w:jc w:val="both"/>
        <w:rPr>
          <w:color w:val="auto"/>
        </w:rPr>
      </w:pPr>
      <w:bookmarkStart w:id="1019" w:name="_Hlk24555502"/>
      <w:r>
        <w:rPr>
          <w:rFonts w:hint="eastAsia"/>
          <w:color w:val="auto"/>
        </w:rPr>
        <w:t>餐厨处理过程中会产生脱水残渣、除油残渣、粗油脂、废UV光解灯管和废机油以及建筑垃圾消纳场产生的沉淀池</w:t>
      </w:r>
      <w:r>
        <w:rPr>
          <w:color w:val="auto"/>
        </w:rPr>
        <w:t>沉沙</w:t>
      </w:r>
      <w:r>
        <w:rPr>
          <w:rFonts w:hint="eastAsia"/>
          <w:color w:val="auto"/>
        </w:rPr>
        <w:t>。其中脱水残渣、除油残渣经收集后运至园区内在建的生活垃圾焚烧炉焚烧处理，粗油脂经收集后交由回收单位进行综合利用，沉淀池沉沙经板框压滤机压滤脱水后回填建筑垃圾消纳场，废UV光解灯管和废机油经分类收集后交由有资质的单位回收。</w:t>
      </w:r>
    </w:p>
    <w:bookmarkEnd w:id="1019"/>
    <w:p>
      <w:pPr>
        <w:pStyle w:val="298"/>
        <w:rPr>
          <w:color w:val="auto"/>
        </w:rPr>
      </w:pPr>
      <w:bookmarkStart w:id="1020" w:name="_Toc774"/>
      <w:bookmarkStart w:id="1021" w:name="_Toc34234796"/>
      <w:bookmarkStart w:id="1022" w:name="_Toc24136881"/>
      <w:r>
        <w:rPr>
          <w:rFonts w:hint="eastAsia"/>
          <w:color w:val="auto"/>
          <w:lang w:eastAsia="zh-CN"/>
        </w:rPr>
        <w:t>9.4.5土壤</w:t>
      </w:r>
      <w:r>
        <w:rPr>
          <w:color w:val="auto"/>
        </w:rPr>
        <w:t>环境</w:t>
      </w:r>
      <w:bookmarkEnd w:id="1020"/>
      <w:bookmarkEnd w:id="1021"/>
      <w:bookmarkEnd w:id="1022"/>
    </w:p>
    <w:p>
      <w:pPr>
        <w:snapToGrid w:val="0"/>
        <w:spacing w:line="360" w:lineRule="auto"/>
        <w:ind w:firstLine="480"/>
        <w:jc w:val="both"/>
        <w:rPr>
          <w:color w:val="auto"/>
        </w:rPr>
      </w:pPr>
      <w:r>
        <w:rPr>
          <w:rFonts w:hint="eastAsia"/>
          <w:color w:val="auto"/>
        </w:rPr>
        <w:t>项目土壤环境影响类型为污染影响型，危险废物储存区、生产车间等均要严格按照《危险废物贮存污染控制标准》（GB18597-2001）有关规范设计，废水收集系统各建构筑物按要求做好防渗措施，项目建成后对周边土壤的影响较小，不会对周边土壤产生明显影响。</w:t>
      </w:r>
    </w:p>
    <w:p>
      <w:pPr>
        <w:pStyle w:val="298"/>
        <w:rPr>
          <w:color w:val="auto"/>
        </w:rPr>
      </w:pPr>
      <w:bookmarkStart w:id="1023" w:name="_Toc24136882"/>
      <w:bookmarkStart w:id="1024" w:name="_Toc25490"/>
      <w:bookmarkStart w:id="1025" w:name="_Toc14946968"/>
      <w:bookmarkStart w:id="1026" w:name="_Toc34234797"/>
      <w:r>
        <w:rPr>
          <w:color w:val="auto"/>
        </w:rPr>
        <w:t>9.4.</w:t>
      </w:r>
      <w:r>
        <w:rPr>
          <w:rFonts w:hint="eastAsia"/>
          <w:color w:val="auto"/>
          <w:lang w:eastAsia="zh-CN"/>
        </w:rPr>
        <w:t>6</w:t>
      </w:r>
      <w:r>
        <w:rPr>
          <w:color w:val="auto"/>
        </w:rPr>
        <w:t>地下水环境</w:t>
      </w:r>
      <w:bookmarkEnd w:id="1023"/>
      <w:bookmarkEnd w:id="1024"/>
      <w:bookmarkEnd w:id="1025"/>
      <w:bookmarkEnd w:id="1026"/>
    </w:p>
    <w:p>
      <w:pPr>
        <w:spacing w:line="360" w:lineRule="auto"/>
        <w:ind w:firstLine="480" w:firstLineChars="200"/>
        <w:rPr>
          <w:color w:val="auto"/>
        </w:rPr>
      </w:pPr>
      <w:bookmarkStart w:id="1027" w:name="_Hlk24555165"/>
      <w:r>
        <w:rPr>
          <w:color w:val="auto"/>
        </w:rPr>
        <w:t>项目位于地下水径流、排泄区，地下流向下游没有地下水敏感目标，厂区埋地污水池、地下水管线、</w:t>
      </w:r>
      <w:r>
        <w:rPr>
          <w:rFonts w:hint="eastAsia"/>
          <w:color w:val="auto"/>
          <w:kern w:val="0"/>
        </w:rPr>
        <w:t>建筑垃圾消纳场</w:t>
      </w:r>
      <w:r>
        <w:rPr>
          <w:color w:val="auto"/>
        </w:rPr>
        <w:t>等区域按照要求采取防渗措施后，对地下水环境造成的影响较小。按照相关管理规范及运行规律，在正常工况下，没有污染物渗漏，建设项目对下水环境影响很小。</w:t>
      </w:r>
    </w:p>
    <w:p>
      <w:pPr>
        <w:spacing w:line="360" w:lineRule="auto"/>
        <w:ind w:firstLine="480" w:firstLineChars="200"/>
        <w:rPr>
          <w:color w:val="auto"/>
        </w:rPr>
      </w:pPr>
      <w:r>
        <w:rPr>
          <w:color w:val="auto"/>
        </w:rPr>
        <w:t>可以认为，只要按照</w:t>
      </w:r>
      <w:r>
        <w:rPr>
          <w:color w:val="auto"/>
          <w:kern w:val="24"/>
        </w:rPr>
        <w:t>相关</w:t>
      </w:r>
      <w:r>
        <w:rPr>
          <w:color w:val="auto"/>
        </w:rPr>
        <w:t>要求对厂区采取防渗措施，加强地下水日常监测，项目建设、运行和封场后对地下水环境的影响很小，从地下水环境影响角度来说，项目是可行的。</w:t>
      </w:r>
    </w:p>
    <w:bookmarkEnd w:id="1027"/>
    <w:p>
      <w:pPr>
        <w:pStyle w:val="298"/>
        <w:rPr>
          <w:color w:val="auto"/>
          <w:lang w:eastAsia="zh-CN"/>
        </w:rPr>
      </w:pPr>
      <w:bookmarkStart w:id="1028" w:name="_Toc13191"/>
      <w:bookmarkStart w:id="1029" w:name="_Toc34234798"/>
      <w:bookmarkStart w:id="1030" w:name="_Toc24136883"/>
      <w:r>
        <w:rPr>
          <w:color w:val="auto"/>
        </w:rPr>
        <w:t>9.4.</w:t>
      </w:r>
      <w:r>
        <w:rPr>
          <w:color w:val="auto"/>
          <w:lang w:eastAsia="zh-CN"/>
        </w:rPr>
        <w:t>7</w:t>
      </w:r>
      <w:r>
        <w:rPr>
          <w:rFonts w:hint="eastAsia"/>
          <w:color w:val="auto"/>
          <w:lang w:eastAsia="zh-CN"/>
        </w:rPr>
        <w:t>环境风险</w:t>
      </w:r>
      <w:bookmarkEnd w:id="1028"/>
      <w:bookmarkEnd w:id="1029"/>
      <w:bookmarkEnd w:id="1030"/>
    </w:p>
    <w:p>
      <w:pPr>
        <w:autoSpaceDE w:val="0"/>
        <w:autoSpaceDN w:val="0"/>
        <w:adjustRightInd w:val="0"/>
        <w:spacing w:line="360" w:lineRule="auto"/>
        <w:ind w:firstLine="480" w:firstLineChars="200"/>
        <w:jc w:val="both"/>
        <w:rPr>
          <w:color w:val="auto"/>
          <w:kern w:val="0"/>
        </w:rPr>
      </w:pPr>
      <w:r>
        <w:rPr>
          <w:rFonts w:hint="eastAsia"/>
          <w:color w:val="auto"/>
          <w:kern w:val="0"/>
        </w:rPr>
        <w:t>本</w:t>
      </w:r>
      <w:r>
        <w:rPr>
          <w:color w:val="auto"/>
          <w:kern w:val="0"/>
        </w:rPr>
        <w:t>项目涉及的危险物质主要包括</w:t>
      </w:r>
      <w:r>
        <w:rPr>
          <w:rFonts w:hint="eastAsia"/>
          <w:color w:val="auto"/>
          <w:kern w:val="0"/>
        </w:rPr>
        <w:t>硫酸</w:t>
      </w:r>
      <w:r>
        <w:rPr>
          <w:color w:val="auto"/>
          <w:kern w:val="0"/>
        </w:rPr>
        <w:t>、</w:t>
      </w:r>
      <w:r>
        <w:rPr>
          <w:rFonts w:hint="eastAsia"/>
          <w:color w:val="auto"/>
          <w:kern w:val="0"/>
        </w:rPr>
        <w:t>氢氧化钠</w:t>
      </w:r>
      <w:r>
        <w:rPr>
          <w:color w:val="auto"/>
          <w:kern w:val="0"/>
        </w:rPr>
        <w:t>、</w:t>
      </w:r>
      <w:r>
        <w:rPr>
          <w:rFonts w:hint="eastAsia"/>
          <w:color w:val="auto"/>
          <w:kern w:val="0"/>
        </w:rPr>
        <w:t>淋溶液</w:t>
      </w:r>
      <w:r>
        <w:rPr>
          <w:color w:val="auto"/>
          <w:kern w:val="0"/>
        </w:rPr>
        <w:t>及</w:t>
      </w:r>
      <w:r>
        <w:rPr>
          <w:rFonts w:hint="eastAsia"/>
          <w:color w:val="auto"/>
          <w:kern w:val="0"/>
        </w:rPr>
        <w:t>餐厨</w:t>
      </w:r>
      <w:r>
        <w:rPr>
          <w:color w:val="auto"/>
          <w:kern w:val="0"/>
        </w:rPr>
        <w:t>垃圾渗滤液</w:t>
      </w:r>
      <w:r>
        <w:rPr>
          <w:rFonts w:hint="eastAsia"/>
          <w:color w:val="auto"/>
          <w:kern w:val="0"/>
        </w:rPr>
        <w:t>等</w:t>
      </w:r>
      <w:r>
        <w:rPr>
          <w:color w:val="auto"/>
          <w:kern w:val="0"/>
        </w:rPr>
        <w:t>。主要危险单位包括储运单元、废气配套处置单元</w:t>
      </w:r>
      <w:r>
        <w:rPr>
          <w:rFonts w:hint="eastAsia"/>
          <w:color w:val="auto"/>
          <w:kern w:val="0"/>
        </w:rPr>
        <w:t>、</w:t>
      </w:r>
      <w:r>
        <w:rPr>
          <w:color w:val="auto"/>
          <w:kern w:val="0"/>
        </w:rPr>
        <w:t>废水配套处置单位</w:t>
      </w:r>
      <w:r>
        <w:rPr>
          <w:rFonts w:hint="eastAsia"/>
          <w:color w:val="auto"/>
          <w:kern w:val="0"/>
        </w:rPr>
        <w:t>等</w:t>
      </w:r>
      <w:r>
        <w:rPr>
          <w:color w:val="auto"/>
          <w:kern w:val="0"/>
        </w:rPr>
        <w:t>。本项目</w:t>
      </w:r>
      <w:r>
        <w:rPr>
          <w:color w:val="auto"/>
        </w:rPr>
        <w:t>周边5km范围内居住区、医疗卫生、文化教育、科研、行政办公等机构人口总数</w:t>
      </w:r>
      <w:r>
        <w:rPr>
          <w:rFonts w:hint="eastAsia"/>
          <w:color w:val="auto"/>
        </w:rPr>
        <w:t>大</w:t>
      </w:r>
      <w:r>
        <w:rPr>
          <w:color w:val="auto"/>
        </w:rPr>
        <w:t>于5万人，</w:t>
      </w:r>
      <w:r>
        <w:rPr>
          <w:color w:val="auto"/>
          <w:kern w:val="0"/>
        </w:rPr>
        <w:t>周边无集中式饮用水源保护区和地下水饮用水源保护区。</w:t>
      </w:r>
    </w:p>
    <w:p>
      <w:pPr>
        <w:autoSpaceDE w:val="0"/>
        <w:autoSpaceDN w:val="0"/>
        <w:adjustRightInd w:val="0"/>
        <w:spacing w:line="360" w:lineRule="auto"/>
        <w:ind w:firstLine="480" w:firstLineChars="200"/>
        <w:jc w:val="both"/>
        <w:rPr>
          <w:color w:val="auto"/>
          <w:kern w:val="0"/>
        </w:rPr>
      </w:pPr>
      <w:r>
        <w:rPr>
          <w:color w:val="auto"/>
          <w:kern w:val="0"/>
        </w:rPr>
        <w:t>项目设置了污水收集池及事故应急池，同时正常生产时做到生产废水回用，在事故状态下，能够确保废水不排出厂外。垃圾恶臭对</w:t>
      </w:r>
      <w:r>
        <w:rPr>
          <w:rFonts w:hint="eastAsia"/>
          <w:color w:val="auto"/>
          <w:kern w:val="0"/>
        </w:rPr>
        <w:t>餐厨垃圾处理</w:t>
      </w:r>
      <w:r>
        <w:rPr>
          <w:color w:val="auto"/>
          <w:kern w:val="0"/>
        </w:rPr>
        <w:t>车间50m以外无明显环境影响。</w:t>
      </w:r>
    </w:p>
    <w:p>
      <w:pPr>
        <w:spacing w:line="360" w:lineRule="auto"/>
        <w:ind w:firstLine="480" w:firstLineChars="200"/>
        <w:jc w:val="both"/>
        <w:rPr>
          <w:color w:val="auto"/>
          <w:kern w:val="0"/>
        </w:rPr>
      </w:pPr>
      <w:r>
        <w:rPr>
          <w:color w:val="auto"/>
          <w:kern w:val="0"/>
        </w:rPr>
        <w:t>项目自身建立完整的管理规程、防范措施，编制突发环境事件应急预案并配备应急装置及应急物资，与</w:t>
      </w:r>
      <w:r>
        <w:rPr>
          <w:rFonts w:hint="eastAsia"/>
          <w:color w:val="auto"/>
          <w:kern w:val="0"/>
        </w:rPr>
        <w:t>新陂</w:t>
      </w:r>
      <w:r>
        <w:rPr>
          <w:color w:val="auto"/>
          <w:kern w:val="0"/>
        </w:rPr>
        <w:t>镇建立应急联动机制，最大限度地降低环境风险，减少对周边环境的影响。</w:t>
      </w:r>
    </w:p>
    <w:p>
      <w:pPr>
        <w:spacing w:line="360" w:lineRule="auto"/>
        <w:ind w:firstLine="480" w:firstLineChars="200"/>
        <w:jc w:val="both"/>
        <w:rPr>
          <w:color w:val="auto"/>
        </w:rPr>
      </w:pPr>
      <w:r>
        <w:rPr>
          <w:color w:val="auto"/>
        </w:rPr>
        <w:t>综上分析，本评价认为</w:t>
      </w:r>
      <w:r>
        <w:rPr>
          <w:rFonts w:hint="eastAsia"/>
          <w:color w:val="auto"/>
          <w:kern w:val="0"/>
        </w:rPr>
        <w:t>本</w:t>
      </w:r>
      <w:r>
        <w:rPr>
          <w:color w:val="auto"/>
        </w:rPr>
        <w:t>项目环境风险在</w:t>
      </w:r>
      <w:r>
        <w:rPr>
          <w:rFonts w:hint="eastAsia"/>
          <w:color w:val="auto"/>
        </w:rPr>
        <w:t>可防控</w:t>
      </w:r>
      <w:r>
        <w:rPr>
          <w:color w:val="auto"/>
        </w:rPr>
        <w:t>范围。</w:t>
      </w:r>
    </w:p>
    <w:p>
      <w:pPr>
        <w:pStyle w:val="3"/>
        <w:numPr>
          <w:ilvl w:val="0"/>
          <w:numId w:val="0"/>
        </w:numPr>
        <w:tabs>
          <w:tab w:val="clear" w:pos="680"/>
        </w:tabs>
        <w:ind w:left="576" w:hanging="576"/>
        <w:rPr>
          <w:rFonts w:ascii="Times New Roman"/>
          <w:bCs/>
          <w:color w:val="auto"/>
        </w:rPr>
      </w:pPr>
      <w:bookmarkStart w:id="1031" w:name="_Toc17548"/>
      <w:r>
        <w:rPr>
          <w:rFonts w:ascii="Times New Roman"/>
          <w:bCs/>
          <w:color w:val="auto"/>
        </w:rPr>
        <w:t>9.</w:t>
      </w:r>
      <w:r>
        <w:rPr>
          <w:rFonts w:ascii="Times New Roman"/>
          <w:bCs/>
          <w:color w:val="auto"/>
          <w:lang w:eastAsia="zh-CN"/>
        </w:rPr>
        <w:t>5</w:t>
      </w:r>
      <w:r>
        <w:rPr>
          <w:rFonts w:hint="eastAsia" w:ascii="Times New Roman"/>
          <w:color w:val="auto"/>
          <w:kern w:val="2"/>
          <w:szCs w:val="28"/>
          <w:lang w:eastAsia="zh-CN"/>
        </w:rPr>
        <w:t>公众意见采纳情况</w:t>
      </w:r>
      <w:bookmarkEnd w:id="1031"/>
    </w:p>
    <w:p>
      <w:pPr>
        <w:autoSpaceDE w:val="0"/>
        <w:autoSpaceDN w:val="0"/>
        <w:adjustRightInd w:val="0"/>
        <w:spacing w:line="360" w:lineRule="auto"/>
        <w:ind w:firstLine="480" w:firstLineChars="200"/>
        <w:rPr>
          <w:rFonts w:ascii="宋体" w:cs="宋体"/>
          <w:color w:val="auto"/>
          <w:kern w:val="0"/>
        </w:rPr>
      </w:pPr>
      <w:r>
        <w:rPr>
          <w:rFonts w:hint="eastAsia" w:ascii="宋体" w:cs="宋体"/>
          <w:color w:val="auto"/>
          <w:kern w:val="0"/>
        </w:rPr>
        <w:t>按照公众参与的相关要求，建设单位在环评期间负责公众参与的实施，并编制了《</w:t>
      </w:r>
      <w:r>
        <w:rPr>
          <w:rFonts w:hint="eastAsia"/>
          <w:color w:val="auto"/>
        </w:rPr>
        <w:t>兴宁市静脉产业园项目（餐厨垃圾处理厂和建筑垃圾消纳场）</w:t>
      </w:r>
      <w:r>
        <w:rPr>
          <w:rFonts w:hint="eastAsia" w:ascii="宋体" w:cs="宋体"/>
          <w:color w:val="auto"/>
          <w:kern w:val="0"/>
        </w:rPr>
        <w:t>环境影响评价公众参与说明》。该项目在评价期间，建设单位通过网上公示、现场张贴公示、报纸公示等形式，充分收集公众意见。</w:t>
      </w:r>
    </w:p>
    <w:p>
      <w:pPr>
        <w:autoSpaceDE w:val="0"/>
        <w:autoSpaceDN w:val="0"/>
        <w:adjustRightInd w:val="0"/>
        <w:spacing w:line="360" w:lineRule="auto"/>
        <w:ind w:firstLine="480" w:firstLineChars="200"/>
        <w:rPr>
          <w:rFonts w:ascii="宋体" w:cs="宋体"/>
          <w:color w:val="auto"/>
          <w:kern w:val="0"/>
        </w:rPr>
      </w:pPr>
      <w:r>
        <w:rPr>
          <w:rFonts w:hint="eastAsia" w:ascii="宋体" w:cs="宋体"/>
          <w:color w:val="auto"/>
          <w:kern w:val="0"/>
        </w:rPr>
        <w:t>公众参与实施期间，建设单位进行了两次网上信息公示：建设单位于</w:t>
      </w:r>
      <w:r>
        <w:rPr>
          <w:rFonts w:ascii="TimesNewRomanPSMT" w:eastAsia="TimesNewRomanPSMT" w:cs="TimesNewRomanPSMT"/>
          <w:color w:val="auto"/>
          <w:kern w:val="0"/>
        </w:rPr>
        <w:t>20</w:t>
      </w:r>
      <w:r>
        <w:rPr>
          <w:rFonts w:hint="eastAsia" w:ascii="TimesNewRomanPSMT" w:eastAsia="TimesNewRomanPSMT" w:cs="TimesNewRomanPSMT"/>
          <w:color w:val="auto"/>
          <w:kern w:val="0"/>
        </w:rPr>
        <w:t>20</w:t>
      </w:r>
      <w:r>
        <w:rPr>
          <w:rFonts w:ascii="TimesNewRomanPSMT" w:eastAsia="TimesNewRomanPSMT" w:cs="TimesNewRomanPSMT"/>
          <w:color w:val="auto"/>
          <w:kern w:val="0"/>
        </w:rPr>
        <w:t xml:space="preserve"> </w:t>
      </w:r>
      <w:r>
        <w:rPr>
          <w:rFonts w:hint="eastAsia" w:ascii="宋体" w:cs="宋体"/>
          <w:color w:val="auto"/>
          <w:kern w:val="0"/>
        </w:rPr>
        <w:t>年</w:t>
      </w:r>
      <w:r>
        <w:rPr>
          <w:rFonts w:hint="eastAsia" w:ascii="TimesNewRomanPSMT" w:eastAsia="TimesNewRomanPSMT" w:cs="TimesNewRomanPSMT"/>
          <w:color w:val="auto"/>
          <w:kern w:val="0"/>
        </w:rPr>
        <w:t>1</w:t>
      </w:r>
      <w:r>
        <w:rPr>
          <w:rFonts w:ascii="TimesNewRomanPSMT" w:eastAsia="TimesNewRomanPSMT" w:cs="TimesNewRomanPSMT"/>
          <w:color w:val="auto"/>
          <w:kern w:val="0"/>
        </w:rPr>
        <w:t xml:space="preserve"> </w:t>
      </w:r>
      <w:r>
        <w:rPr>
          <w:rFonts w:hint="eastAsia" w:ascii="宋体" w:cs="宋体"/>
          <w:color w:val="auto"/>
          <w:kern w:val="0"/>
        </w:rPr>
        <w:t>月</w:t>
      </w:r>
      <w:r>
        <w:rPr>
          <w:rFonts w:hint="eastAsia" w:ascii="TimesNewRomanPSMT" w:eastAsia="TimesNewRomanPSMT" w:cs="TimesNewRomanPSMT"/>
          <w:color w:val="auto"/>
          <w:kern w:val="0"/>
        </w:rPr>
        <w:t>3</w:t>
      </w:r>
      <w:r>
        <w:rPr>
          <w:rFonts w:ascii="TimesNewRomanPSMT" w:eastAsia="TimesNewRomanPSMT" w:cs="TimesNewRomanPSMT"/>
          <w:color w:val="auto"/>
          <w:kern w:val="0"/>
        </w:rPr>
        <w:t xml:space="preserve"> </w:t>
      </w:r>
      <w:r>
        <w:rPr>
          <w:rFonts w:hint="eastAsia" w:ascii="宋体" w:cs="宋体"/>
          <w:color w:val="auto"/>
          <w:kern w:val="0"/>
        </w:rPr>
        <w:t>日和</w:t>
      </w:r>
      <w:r>
        <w:rPr>
          <w:rFonts w:ascii="TimesNewRomanPSMT" w:eastAsia="TimesNewRomanPSMT" w:cs="TimesNewRomanPSMT"/>
          <w:color w:val="auto"/>
          <w:kern w:val="0"/>
        </w:rPr>
        <w:t xml:space="preserve">2020 </w:t>
      </w:r>
      <w:r>
        <w:rPr>
          <w:rFonts w:hint="eastAsia" w:ascii="宋体" w:cs="宋体"/>
          <w:color w:val="auto"/>
          <w:kern w:val="0"/>
        </w:rPr>
        <w:t>年</w:t>
      </w:r>
      <w:r>
        <w:rPr>
          <w:rFonts w:hint="eastAsia" w:ascii="TimesNewRomanPSMT" w:eastAsia="TimesNewRomanPSMT" w:cs="TimesNewRomanPSMT"/>
          <w:color w:val="auto"/>
          <w:kern w:val="0"/>
        </w:rPr>
        <w:t>3</w:t>
      </w:r>
      <w:r>
        <w:rPr>
          <w:rFonts w:hint="eastAsia" w:ascii="宋体" w:cs="宋体"/>
          <w:color w:val="auto"/>
          <w:kern w:val="0"/>
        </w:rPr>
        <w:t>月</w:t>
      </w:r>
      <w:r>
        <w:rPr>
          <w:rFonts w:hint="eastAsia" w:ascii="TimesNewRomanPSMT" w:eastAsia="TimesNewRomanPSMT" w:cs="TimesNewRomanPSMT"/>
          <w:color w:val="auto"/>
          <w:kern w:val="0"/>
        </w:rPr>
        <w:t>2</w:t>
      </w:r>
      <w:r>
        <w:rPr>
          <w:rFonts w:ascii="TimesNewRomanPSMT" w:eastAsia="TimesNewRomanPSMT" w:cs="TimesNewRomanPSMT"/>
          <w:color w:val="auto"/>
          <w:kern w:val="0"/>
        </w:rPr>
        <w:t xml:space="preserve"> </w:t>
      </w:r>
      <w:r>
        <w:rPr>
          <w:rFonts w:hint="eastAsia" w:ascii="宋体" w:cs="宋体"/>
          <w:color w:val="auto"/>
          <w:kern w:val="0"/>
        </w:rPr>
        <w:t>日分别在兴宁市城市管理和综合执法局网站上进行了项目公示，公示期间环评单位和建设单位均未接到公众意见反馈。</w:t>
      </w:r>
    </w:p>
    <w:p>
      <w:pPr>
        <w:autoSpaceDE w:val="0"/>
        <w:autoSpaceDN w:val="0"/>
        <w:adjustRightInd w:val="0"/>
        <w:spacing w:line="360" w:lineRule="auto"/>
        <w:ind w:firstLine="480" w:firstLineChars="200"/>
        <w:rPr>
          <w:rFonts w:ascii="宋体" w:cs="宋体"/>
          <w:color w:val="auto"/>
          <w:kern w:val="0"/>
        </w:rPr>
      </w:pPr>
      <w:r>
        <w:rPr>
          <w:rFonts w:ascii="TimesNewRomanPSMT" w:eastAsia="TimesNewRomanPSMT" w:cs="TimesNewRomanPSMT"/>
          <w:color w:val="auto"/>
          <w:kern w:val="0"/>
        </w:rPr>
        <w:t xml:space="preserve">2020 </w:t>
      </w:r>
      <w:r>
        <w:rPr>
          <w:rFonts w:hint="eastAsia" w:ascii="宋体" w:cs="宋体"/>
          <w:color w:val="auto"/>
          <w:kern w:val="0"/>
        </w:rPr>
        <w:t>年</w:t>
      </w:r>
      <w:r>
        <w:rPr>
          <w:rFonts w:hint="eastAsia" w:ascii="TimesNewRomanPSMT" w:eastAsia="TimesNewRomanPSMT" w:cs="TimesNewRomanPSMT"/>
          <w:color w:val="auto"/>
          <w:kern w:val="0"/>
        </w:rPr>
        <w:t>3</w:t>
      </w:r>
      <w:r>
        <w:rPr>
          <w:rFonts w:hint="eastAsia" w:ascii="宋体" w:cs="宋体"/>
          <w:color w:val="auto"/>
          <w:kern w:val="0"/>
        </w:rPr>
        <w:t>月</w:t>
      </w:r>
      <w:r>
        <w:rPr>
          <w:rFonts w:hint="eastAsia" w:ascii="TimesNewRomanPSMT" w:eastAsia="TimesNewRomanPSMT" w:cs="TimesNewRomanPSMT"/>
          <w:color w:val="auto"/>
          <w:kern w:val="0"/>
        </w:rPr>
        <w:t>4</w:t>
      </w:r>
      <w:r>
        <w:rPr>
          <w:rFonts w:hint="eastAsia" w:ascii="宋体" w:cs="宋体"/>
          <w:color w:val="auto"/>
          <w:kern w:val="0"/>
        </w:rPr>
        <w:t>日及</w:t>
      </w:r>
      <w:r>
        <w:rPr>
          <w:rFonts w:hint="eastAsia" w:ascii="TimesNewRomanPSMT" w:eastAsia="TimesNewRomanPSMT" w:cs="TimesNewRomanPSMT"/>
          <w:color w:val="auto"/>
          <w:kern w:val="0"/>
        </w:rPr>
        <w:t>3</w:t>
      </w:r>
      <w:r>
        <w:rPr>
          <w:rFonts w:hint="eastAsia" w:ascii="宋体" w:cs="宋体"/>
          <w:color w:val="auto"/>
          <w:kern w:val="0"/>
        </w:rPr>
        <w:t>月</w:t>
      </w:r>
      <w:r>
        <w:rPr>
          <w:rFonts w:ascii="TimesNewRomanPSMT" w:eastAsia="TimesNewRomanPSMT" w:cs="TimesNewRomanPSMT"/>
          <w:color w:val="auto"/>
          <w:kern w:val="0"/>
        </w:rPr>
        <w:t>1</w:t>
      </w:r>
      <w:r>
        <w:rPr>
          <w:rFonts w:hint="eastAsia" w:ascii="TimesNewRomanPSMT" w:eastAsia="TimesNewRomanPSMT" w:cs="TimesNewRomanPSMT"/>
          <w:color w:val="auto"/>
          <w:kern w:val="0"/>
        </w:rPr>
        <w:t>1</w:t>
      </w:r>
      <w:r>
        <w:rPr>
          <w:rFonts w:hint="eastAsia" w:ascii="宋体" w:cs="宋体"/>
          <w:color w:val="auto"/>
          <w:kern w:val="0"/>
        </w:rPr>
        <w:t>日，该项目在《今日兴宁》上进行项目两次公示说明，公示期间未收到个人及单位团体的反馈意见。评价建议建设单位在进行本项目建设时，应适时公开项目信息，确保公众的知情权和，若有群众提出建议，充分重视并及时反馈答疑，力求解决好公众关心的各类环境问题，以取得当地人民政府和群众的支持，充分发挥本项目的环境效益和社会效益。</w:t>
      </w:r>
    </w:p>
    <w:p>
      <w:pPr>
        <w:pStyle w:val="3"/>
        <w:numPr>
          <w:ilvl w:val="0"/>
          <w:numId w:val="0"/>
        </w:numPr>
        <w:tabs>
          <w:tab w:val="clear" w:pos="680"/>
        </w:tabs>
        <w:ind w:left="576" w:hanging="576"/>
        <w:rPr>
          <w:rFonts w:ascii="Times New Roman"/>
          <w:bCs/>
          <w:color w:val="auto"/>
        </w:rPr>
      </w:pPr>
      <w:bookmarkStart w:id="1032" w:name="_Toc24136885"/>
      <w:bookmarkStart w:id="1033" w:name="_Toc19907"/>
      <w:bookmarkStart w:id="1034" w:name="_Toc14943354"/>
      <w:bookmarkStart w:id="1035" w:name="_Toc9517786"/>
      <w:bookmarkStart w:id="1036" w:name="_Toc23263197"/>
      <w:r>
        <w:rPr>
          <w:rFonts w:ascii="Times New Roman"/>
          <w:bCs/>
          <w:color w:val="auto"/>
        </w:rPr>
        <w:t>9.</w:t>
      </w:r>
      <w:r>
        <w:rPr>
          <w:rFonts w:hint="eastAsia" w:ascii="Times New Roman"/>
          <w:bCs/>
          <w:color w:val="auto"/>
          <w:lang w:eastAsia="zh-CN"/>
        </w:rPr>
        <w:t>6</w:t>
      </w:r>
      <w:r>
        <w:rPr>
          <w:rFonts w:ascii="Times New Roman"/>
          <w:bCs/>
          <w:color w:val="auto"/>
        </w:rPr>
        <w:t>环境影响经济损益分析结论</w:t>
      </w:r>
      <w:bookmarkEnd w:id="1032"/>
      <w:bookmarkEnd w:id="1033"/>
      <w:bookmarkEnd w:id="1034"/>
      <w:bookmarkEnd w:id="1035"/>
      <w:bookmarkEnd w:id="1036"/>
    </w:p>
    <w:p>
      <w:pPr>
        <w:spacing w:line="360" w:lineRule="auto"/>
        <w:ind w:firstLine="480"/>
        <w:jc w:val="both"/>
        <w:rPr>
          <w:color w:val="auto"/>
        </w:rPr>
      </w:pPr>
      <w:r>
        <w:rPr>
          <w:rFonts w:hint="eastAsia"/>
          <w:color w:val="auto"/>
          <w:kern w:val="0"/>
        </w:rPr>
        <w:t>本</w:t>
      </w:r>
      <w:r>
        <w:rPr>
          <w:color w:val="auto"/>
        </w:rPr>
        <w:t>项目的建设改善和加强了</w:t>
      </w:r>
      <w:r>
        <w:rPr>
          <w:rFonts w:hint="eastAsia"/>
          <w:color w:val="auto"/>
        </w:rPr>
        <w:t>兴宁市</w:t>
      </w:r>
      <w:r>
        <w:rPr>
          <w:color w:val="auto"/>
        </w:rPr>
        <w:t>的</w:t>
      </w:r>
      <w:r>
        <w:rPr>
          <w:rFonts w:hint="eastAsia"/>
          <w:color w:val="auto"/>
        </w:rPr>
        <w:t>餐厨和建筑</w:t>
      </w:r>
      <w:r>
        <w:rPr>
          <w:color w:val="auto"/>
        </w:rPr>
        <w:t>垃圾处理水平和能力，改善了整体城市的环境质量，提升了城市形象，促进经济进一步繁荣。</w:t>
      </w:r>
    </w:p>
    <w:p>
      <w:pPr>
        <w:spacing w:line="360" w:lineRule="auto"/>
        <w:ind w:firstLine="480"/>
        <w:jc w:val="both"/>
        <w:rPr>
          <w:color w:val="auto"/>
        </w:rPr>
      </w:pPr>
      <w:r>
        <w:rPr>
          <w:color w:val="auto"/>
        </w:rPr>
        <w:t>项目建成后，将产生水污染物、大气污染物、噪声和固体废物等环境影响因素，将给项目拟建址所在区域的环境质量带来一定影响。但在保证总投资的10.4%用于环保投资，废水处理达标后循环使用，减少废气排放，加强管理，严格有效控制项目营运期产生的各类环境影响因素下，</w:t>
      </w:r>
      <w:r>
        <w:rPr>
          <w:rFonts w:hint="eastAsia"/>
          <w:color w:val="auto"/>
        </w:rPr>
        <w:t>本项目</w:t>
      </w:r>
      <w:r>
        <w:rPr>
          <w:color w:val="auto"/>
        </w:rPr>
        <w:t>将不会对项目拟建址所在区域环境带来不良影响。</w:t>
      </w:r>
    </w:p>
    <w:p>
      <w:pPr>
        <w:spacing w:line="360" w:lineRule="auto"/>
        <w:ind w:firstLine="480"/>
        <w:jc w:val="both"/>
        <w:rPr>
          <w:color w:val="auto"/>
        </w:rPr>
      </w:pPr>
      <w:r>
        <w:rPr>
          <w:rFonts w:hint="eastAsia"/>
          <w:color w:val="auto"/>
        </w:rPr>
        <w:t>综上所述</w:t>
      </w:r>
      <w:r>
        <w:rPr>
          <w:color w:val="auto"/>
        </w:rPr>
        <w:t>，</w:t>
      </w:r>
      <w:r>
        <w:rPr>
          <w:rFonts w:hint="eastAsia"/>
          <w:color w:val="auto"/>
        </w:rPr>
        <w:t>项目的建设</w:t>
      </w:r>
      <w:r>
        <w:rPr>
          <w:color w:val="auto"/>
        </w:rPr>
        <w:t>可满足当地经济发展的需要，同时具有良好的整体效益和环境经济效益，因此从环境的角度出发，本项目的建设是可行的。</w:t>
      </w:r>
    </w:p>
    <w:p>
      <w:pPr>
        <w:pStyle w:val="3"/>
        <w:numPr>
          <w:ilvl w:val="0"/>
          <w:numId w:val="0"/>
        </w:numPr>
        <w:tabs>
          <w:tab w:val="clear" w:pos="680"/>
        </w:tabs>
        <w:ind w:left="576" w:hanging="576"/>
        <w:rPr>
          <w:rFonts w:ascii="Times New Roman"/>
          <w:bCs/>
          <w:color w:val="auto"/>
        </w:rPr>
      </w:pPr>
      <w:bookmarkStart w:id="1037" w:name="_Toc23263198"/>
      <w:bookmarkStart w:id="1038" w:name="_Toc9517787"/>
      <w:bookmarkStart w:id="1039" w:name="_Toc24136886"/>
      <w:bookmarkStart w:id="1040" w:name="_Toc14943355"/>
      <w:bookmarkStart w:id="1041" w:name="_Toc121"/>
      <w:r>
        <w:rPr>
          <w:rFonts w:ascii="Times New Roman"/>
          <w:bCs/>
          <w:color w:val="auto"/>
        </w:rPr>
        <w:t>9.</w:t>
      </w:r>
      <w:r>
        <w:rPr>
          <w:rFonts w:ascii="Times New Roman"/>
          <w:bCs/>
          <w:color w:val="auto"/>
          <w:lang w:eastAsia="zh-CN"/>
        </w:rPr>
        <w:t>7</w:t>
      </w:r>
      <w:r>
        <w:rPr>
          <w:rFonts w:ascii="Times New Roman"/>
          <w:bCs/>
          <w:color w:val="auto"/>
        </w:rPr>
        <w:t>总量控制</w:t>
      </w:r>
      <w:bookmarkEnd w:id="1037"/>
      <w:bookmarkEnd w:id="1038"/>
      <w:bookmarkEnd w:id="1039"/>
      <w:bookmarkEnd w:id="1040"/>
      <w:bookmarkEnd w:id="1041"/>
    </w:p>
    <w:p>
      <w:pPr>
        <w:spacing w:line="360" w:lineRule="auto"/>
        <w:ind w:firstLine="480"/>
        <w:jc w:val="both"/>
        <w:rPr>
          <w:color w:val="auto"/>
        </w:rPr>
      </w:pPr>
      <w:r>
        <w:rPr>
          <w:color w:val="auto"/>
        </w:rPr>
        <w:t>根据工程分析结果，在建设项目正常运行，满足环境质量要求、污染物达标排放及清洁生产的前提下，按照节能减排的原则给出主要污染物排放量。</w:t>
      </w:r>
      <w:r>
        <w:rPr>
          <w:rFonts w:hint="eastAsia"/>
          <w:color w:val="auto"/>
        </w:rPr>
        <w:t>由于</w:t>
      </w:r>
      <w:r>
        <w:rPr>
          <w:color w:val="auto"/>
        </w:rPr>
        <w:t>本项目</w:t>
      </w:r>
      <w:r>
        <w:rPr>
          <w:rFonts w:hint="eastAsia"/>
          <w:color w:val="auto"/>
        </w:rPr>
        <w:t>废水</w:t>
      </w:r>
      <w:r>
        <w:rPr>
          <w:color w:val="auto"/>
        </w:rPr>
        <w:t>和固废不外排，</w:t>
      </w:r>
      <w:r>
        <w:rPr>
          <w:rFonts w:hint="eastAsia"/>
          <w:color w:val="auto"/>
        </w:rPr>
        <w:t>外排</w:t>
      </w:r>
      <w:r>
        <w:rPr>
          <w:color w:val="auto"/>
        </w:rPr>
        <w:t>的</w:t>
      </w:r>
      <w:r>
        <w:rPr>
          <w:rFonts w:hint="eastAsia"/>
          <w:color w:val="auto"/>
        </w:rPr>
        <w:t>废气特征因子</w:t>
      </w:r>
      <w:r>
        <w:rPr>
          <w:rFonts w:hint="eastAsia"/>
          <w:color w:val="auto"/>
          <w:lang w:eastAsia="zh-CN"/>
        </w:rPr>
        <w:t>不</w:t>
      </w:r>
      <w:r>
        <w:rPr>
          <w:rFonts w:hint="eastAsia"/>
          <w:color w:val="auto"/>
        </w:rPr>
        <w:t>涉及</w:t>
      </w:r>
      <w:r>
        <w:rPr>
          <w:color w:val="auto"/>
        </w:rPr>
        <w:t>国家对污染物总量控制</w:t>
      </w:r>
      <w:r>
        <w:rPr>
          <w:rFonts w:hint="eastAsia"/>
          <w:color w:val="auto"/>
        </w:rPr>
        <w:t>指标</w:t>
      </w:r>
      <w:r>
        <w:rPr>
          <w:color w:val="auto"/>
        </w:rPr>
        <w:t>，</w:t>
      </w:r>
      <w:r>
        <w:rPr>
          <w:rFonts w:hint="eastAsia"/>
          <w:color w:val="auto"/>
        </w:rPr>
        <w:t>故</w:t>
      </w:r>
      <w:r>
        <w:rPr>
          <w:color w:val="auto"/>
        </w:rPr>
        <w:t>本项目</w:t>
      </w:r>
      <w:r>
        <w:rPr>
          <w:rFonts w:hint="eastAsia"/>
          <w:color w:val="auto"/>
          <w:lang w:eastAsia="zh-CN"/>
        </w:rPr>
        <w:t>不设置污染物总量控制指标</w:t>
      </w:r>
      <w:r>
        <w:rPr>
          <w:color w:val="auto"/>
        </w:rPr>
        <w:t>。</w:t>
      </w:r>
    </w:p>
    <w:p>
      <w:pPr>
        <w:pStyle w:val="3"/>
        <w:numPr>
          <w:ilvl w:val="0"/>
          <w:numId w:val="0"/>
        </w:numPr>
        <w:tabs>
          <w:tab w:val="clear" w:pos="680"/>
        </w:tabs>
        <w:ind w:left="576" w:hanging="576"/>
        <w:rPr>
          <w:rFonts w:ascii="Times New Roman"/>
          <w:bCs/>
          <w:color w:val="auto"/>
        </w:rPr>
      </w:pPr>
      <w:bookmarkStart w:id="1042" w:name="_Toc14943357"/>
      <w:bookmarkStart w:id="1043" w:name="_Toc24136887"/>
      <w:bookmarkStart w:id="1044" w:name="_Toc13237"/>
      <w:bookmarkStart w:id="1045" w:name="_Toc9517789"/>
      <w:bookmarkStart w:id="1046" w:name="_Toc23263199"/>
      <w:r>
        <w:rPr>
          <w:rFonts w:ascii="Times New Roman"/>
          <w:bCs/>
          <w:color w:val="auto"/>
        </w:rPr>
        <w:t>9.</w:t>
      </w:r>
      <w:r>
        <w:rPr>
          <w:rFonts w:ascii="Times New Roman"/>
          <w:bCs/>
          <w:color w:val="auto"/>
          <w:lang w:eastAsia="zh-CN"/>
        </w:rPr>
        <w:t>8</w:t>
      </w:r>
      <w:r>
        <w:rPr>
          <w:rFonts w:ascii="Times New Roman"/>
          <w:bCs/>
          <w:color w:val="auto"/>
        </w:rPr>
        <w:t>综合结论</w:t>
      </w:r>
      <w:bookmarkEnd w:id="1042"/>
      <w:bookmarkEnd w:id="1043"/>
      <w:bookmarkEnd w:id="1044"/>
      <w:bookmarkEnd w:id="1045"/>
      <w:bookmarkEnd w:id="1046"/>
    </w:p>
    <w:p>
      <w:pPr>
        <w:spacing w:line="360" w:lineRule="auto"/>
        <w:ind w:firstLine="480"/>
        <w:jc w:val="both"/>
        <w:rPr>
          <w:color w:val="auto"/>
        </w:rPr>
      </w:pPr>
      <w:r>
        <w:rPr>
          <w:color w:val="auto"/>
        </w:rPr>
        <w:t>本报告对项目地址及其周围地区进行了环境质量现状监测、调查与评价</w:t>
      </w:r>
      <w:r>
        <w:rPr>
          <w:rFonts w:hint="eastAsia"/>
          <w:color w:val="auto"/>
        </w:rPr>
        <w:t>，</w:t>
      </w:r>
      <w:r>
        <w:rPr>
          <w:color w:val="auto"/>
        </w:rPr>
        <w:t>对项目的排污负荷进行了估算，对外排污染物对周围环境可能产生的影响进行预测，并提出了相应的污染防治措施及对策；对项目的风险影响进行了定性与定量分析，提出了风险事故防范与应急措施。</w:t>
      </w:r>
    </w:p>
    <w:p>
      <w:pPr>
        <w:spacing w:line="360" w:lineRule="auto"/>
        <w:ind w:firstLine="480"/>
        <w:jc w:val="both"/>
        <w:rPr>
          <w:color w:val="auto"/>
        </w:rPr>
      </w:pPr>
      <w:r>
        <w:rPr>
          <w:rFonts w:hint="eastAsia" w:ascii="宋体" w:cs="宋体"/>
          <w:color w:val="auto"/>
          <w:kern w:val="0"/>
        </w:rPr>
        <w:t>综上所述，本项目建设符合国家产业政策，项目选址符合相关规划，建设单位必须认真贯彻并遵守有关的环保法律法规</w:t>
      </w:r>
      <w:r>
        <w:rPr>
          <w:rFonts w:hint="eastAsia"/>
          <w:color w:val="auto"/>
        </w:rPr>
        <w:t>。</w:t>
      </w:r>
      <w:r>
        <w:rPr>
          <w:color w:val="auto"/>
        </w:rPr>
        <w:t>建设单位必须严格遵守</w:t>
      </w:r>
      <w:r>
        <w:rPr>
          <w:rFonts w:asciiTheme="minorEastAsia" w:hAnsiTheme="minorEastAsia" w:eastAsiaTheme="minorEastAsia"/>
          <w:color w:val="auto"/>
        </w:rPr>
        <w:t>“三同时”的</w:t>
      </w:r>
      <w:r>
        <w:rPr>
          <w:color w:val="auto"/>
        </w:rPr>
        <w:t>管理规定，</w:t>
      </w:r>
      <w:r>
        <w:rPr>
          <w:rFonts w:hint="eastAsia"/>
          <w:color w:val="auto"/>
        </w:rPr>
        <w:t>完成</w:t>
      </w:r>
      <w:r>
        <w:rPr>
          <w:color w:val="auto"/>
        </w:rPr>
        <w:t>各项报建手续</w:t>
      </w:r>
      <w:r>
        <w:rPr>
          <w:rFonts w:hint="eastAsia"/>
          <w:color w:val="auto"/>
        </w:rPr>
        <w:t>的前提下</w:t>
      </w:r>
      <w:r>
        <w:rPr>
          <w:color w:val="auto"/>
        </w:rPr>
        <w:t>，落实本评价报告中所提出的环保措施，确保环保处理设施正常使用和运行，做到达标排放，真正实现环境保护与经济建设的可持续协调发展。项目运营中要确实做到废气稳定达标排放，使项目建成后对环境影响减少到最低限度；加强风险事故的预防和管理，认真执行防泄漏、防火的规范和各项措施，严格执行</w:t>
      </w:r>
      <w:r>
        <w:rPr>
          <w:rFonts w:asciiTheme="minorEastAsia" w:hAnsiTheme="minorEastAsia" w:eastAsiaTheme="minorEastAsia"/>
          <w:color w:val="auto"/>
        </w:rPr>
        <w:t>减小事故危害的措施、应急计划</w:t>
      </w:r>
      <w:r>
        <w:rPr>
          <w:color w:val="auto"/>
        </w:rPr>
        <w:t>，避免污染环境。在完成以上工作程序和落实各项环保措施的基础上，从环境保护角度而言，本项目的建设是可行的。</w:t>
      </w:r>
    </w:p>
    <w:sectPr>
      <w:pgSz w:w="11906" w:h="16838"/>
      <w:pgMar w:top="1361" w:right="1418" w:bottom="1134" w:left="1418" w:header="851" w:footer="992" w:gutter="0"/>
      <w:pgNumType w:fmt="decimal"/>
      <w:cols w:space="425" w:num="1"/>
      <w:titlePg/>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AFF" w:usb1="C0007841" w:usb2="00000009" w:usb3="00000000" w:csb0="400001FF" w:csb1="FFFF0000"/>
  </w:font>
  <w:font w:name="宋体">
    <w:panose1 w:val="02010600030101010101"/>
    <w:charset w:val="86"/>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modern"/>
    <w:pitch w:val="default"/>
    <w:sig w:usb0="E00002FF" w:usb1="400004FF" w:usb2="00000000" w:usb3="00000000" w:csb0="2000019F" w:csb1="00000000"/>
  </w:font>
  <w:font w:name="Calibri">
    <w:panose1 w:val="020F0502020204030204"/>
    <w:charset w:val="00"/>
    <w:family w:val="decorative"/>
    <w:pitch w:val="default"/>
    <w:sig w:usb0="E00002FF" w:usb1="4000ACFF" w:usb2="00000001" w:usb3="00000000" w:csb0="2000019F" w:csb1="00000000"/>
  </w:font>
  <w:font w:name="Arial">
    <w:panose1 w:val="020B0604020202020204"/>
    <w:charset w:val="01"/>
    <w:family w:val="decorative"/>
    <w:pitch w:val="default"/>
    <w:sig w:usb0="E0002AFF" w:usb1="C0007843" w:usb2="00000009" w:usb3="00000000" w:csb0="400001FF" w:csb1="FFFF0000"/>
  </w:font>
  <w:font w:name="Courier New">
    <w:panose1 w:val="02070309020205020404"/>
    <w:charset w:val="01"/>
    <w:family w:val="swiss"/>
    <w:pitch w:val="default"/>
    <w:sig w:usb0="E0002AFF" w:usb1="C0007843" w:usb2="00000009" w:usb3="00000000" w:csb0="400001FF" w:csb1="FFFF0000"/>
  </w:font>
  <w:font w:name="Symbol">
    <w:panose1 w:val="05050102010706020507"/>
    <w:charset w:val="02"/>
    <w:family w:val="modern"/>
    <w:pitch w:val="default"/>
    <w:sig w:usb0="00000000" w:usb1="00000000" w:usb2="00000000" w:usb3="00000000" w:csb0="80000000" w:csb1="00000000"/>
  </w:font>
  <w:font w:name="Cambria">
    <w:panose1 w:val="02040503050406030204"/>
    <w:charset w:val="00"/>
    <w:family w:val="swiss"/>
    <w:pitch w:val="default"/>
    <w:sig w:usb0="E00002FF" w:usb1="400004FF" w:usb2="00000000" w:usb3="00000000" w:csb0="2000019F" w:csb1="00000000"/>
  </w:font>
  <w:font w:name="Calibri">
    <w:panose1 w:val="020F0502020204030204"/>
    <w:charset w:val="00"/>
    <w:family w:val="roman"/>
    <w:pitch w:val="default"/>
    <w:sig w:usb0="E00002FF" w:usb1="4000ACFF" w:usb2="00000001" w:usb3="00000000" w:csb0="2000019F" w:csb1="00000000"/>
  </w:font>
  <w:font w:name="Arial">
    <w:panose1 w:val="020B0604020202020204"/>
    <w:charset w:val="01"/>
    <w:family w:val="roman"/>
    <w:pitch w:val="default"/>
    <w:sig w:usb0="E0002AFF" w:usb1="C0007843" w:usb2="00000009" w:usb3="00000000" w:csb0="400001FF" w:csb1="FFFF0000"/>
  </w:font>
  <w:font w:name="Courier New">
    <w:panose1 w:val="02070309020205020404"/>
    <w:charset w:val="01"/>
    <w:family w:val="decorative"/>
    <w:pitch w:val="default"/>
    <w:sig w:usb0="E0002AFF" w:usb1="C0007843" w:usb2="00000009" w:usb3="00000000" w:csb0="400001FF" w:csb1="FFFF0000"/>
  </w:font>
  <w:font w:name="Symbol">
    <w:panose1 w:val="05050102010706020507"/>
    <w:charset w:val="02"/>
    <w:family w:val="swiss"/>
    <w:pitch w:val="default"/>
    <w:sig w:usb0="00000000" w:usb1="00000000" w:usb2="00000000" w:usb3="00000000" w:csb0="80000000" w:csb1="00000000"/>
  </w:font>
  <w:font w:name="Cambria">
    <w:panose1 w:val="02040503050406030204"/>
    <w:charset w:val="00"/>
    <w:family w:val="decorative"/>
    <w:pitch w:val="default"/>
    <w:sig w:usb0="E00002FF" w:usb1="400004FF" w:usb2="00000000" w:usb3="00000000" w:csb0="2000019F" w:csb1="00000000"/>
  </w:font>
  <w:font w:name="Calibri">
    <w:panose1 w:val="020F0502020204030204"/>
    <w:charset w:val="00"/>
    <w:family w:val="modern"/>
    <w:pitch w:val="default"/>
    <w:sig w:usb0="E00002FF" w:usb1="4000ACFF" w:usb2="00000001" w:usb3="00000000" w:csb0="2000019F" w:csb1="00000000"/>
  </w:font>
  <w:font w:name="Arial">
    <w:panose1 w:val="020B0604020202020204"/>
    <w:charset w:val="01"/>
    <w:family w:val="modern"/>
    <w:pitch w:val="default"/>
    <w:sig w:usb0="E0002AFF" w:usb1="C0007843" w:usb2="00000009" w:usb3="00000000" w:csb0="400001FF" w:csb1="FFFF0000"/>
  </w:font>
  <w:font w:name="Courier New">
    <w:panose1 w:val="02070309020205020404"/>
    <w:charset w:val="01"/>
    <w:family w:val="roman"/>
    <w:pitch w:val="default"/>
    <w:sig w:usb0="E0002AFF" w:usb1="C0007843" w:usb2="00000009" w:usb3="00000000" w:csb0="400001FF" w:csb1="FFFF0000"/>
  </w:font>
  <w:font w:name="Symbol">
    <w:panose1 w:val="05050102010706020507"/>
    <w:charset w:val="02"/>
    <w:family w:val="decorative"/>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Arial">
    <w:panose1 w:val="020B0604020202020204"/>
    <w:charset w:val="00"/>
    <w:family w:val="decorative"/>
    <w:pitch w:val="default"/>
    <w:sig w:usb0="E0002AFF" w:usb1="C0007843" w:usb2="00000009" w:usb3="00000000" w:csb0="400001FF" w:csb1="FFFF0000"/>
  </w:font>
  <w:font w:name="仿宋_GB2312">
    <w:altName w:val="仿宋"/>
    <w:panose1 w:val="00000000000000000000"/>
    <w:charset w:val="86"/>
    <w:family w:val="swiss"/>
    <w:pitch w:val="default"/>
    <w:sig w:usb0="00000000" w:usb1="00000000" w:usb2="00000010" w:usb3="00000000" w:csb0="00040000" w:csb1="00000000"/>
  </w:font>
  <w:font w:name="Courier New">
    <w:panose1 w:val="02070309020205020404"/>
    <w:charset w:val="00"/>
    <w:family w:val="swiss"/>
    <w:pitch w:val="default"/>
    <w:sig w:usb0="E0002AFF" w:usb1="C0007843" w:usb2="00000009" w:usb3="00000000" w:csb0="400001FF" w:csb1="FFFF0000"/>
  </w:font>
  <w:font w:name="TimesNewRoman">
    <w:altName w:val="Times New Roman"/>
    <w:panose1 w:val="00000000000000000000"/>
    <w:charset w:val="00"/>
    <w:family w:val="modern"/>
    <w:pitch w:val="default"/>
    <w:sig w:usb0="00000000" w:usb1="00000000" w:usb2="00000010" w:usb3="00000000" w:csb0="00060001" w:csb1="00000000"/>
  </w:font>
  <w:font w:name="Verdana">
    <w:panose1 w:val="020B0604030504040204"/>
    <w:charset w:val="00"/>
    <w:family w:val="decorative"/>
    <w:pitch w:val="default"/>
    <w:sig w:usb0="A10006FF" w:usb1="4000205B" w:usb2="00000010" w:usb3="00000000" w:csb0="2000019F" w:csb1="00000000"/>
  </w:font>
  <w:font w:name="”“Times New Roman”“">
    <w:altName w:val="宋体"/>
    <w:panose1 w:val="00000000000000000000"/>
    <w:charset w:val="86"/>
    <w:family w:val="modern"/>
    <w:pitch w:val="default"/>
    <w:sig w:usb0="00000000" w:usb1="00000000" w:usb2="00000010" w:usb3="00000000" w:csb0="00040000" w:csb1="00000000"/>
  </w:font>
  <w:font w:name="CG Times (W1)">
    <w:altName w:val="Times New Roman"/>
    <w:panose1 w:val="00000000000000000000"/>
    <w:charset w:val="00"/>
    <w:family w:val="modern"/>
    <w:pitch w:val="default"/>
    <w:sig w:usb0="00000000" w:usb1="00000000" w:usb2="00000000" w:usb3="00000000" w:csb0="00000001" w:csb1="00000000"/>
  </w:font>
  <w:font w:name="宋体w.">
    <w:altName w:val="宋体"/>
    <w:panose1 w:val="00000000000000000000"/>
    <w:charset w:val="86"/>
    <w:family w:val="modern"/>
    <w:pitch w:val="default"/>
    <w:sig w:usb0="00000000" w:usb1="00000000" w:usb2="00000010" w:usb3="00000000" w:csb0="00040000" w:csb1="00000000"/>
  </w:font>
  <w:font w:name="@宋体">
    <w:panose1 w:val="02010600030101010101"/>
    <w:charset w:val="86"/>
    <w:family w:val="auto"/>
    <w:pitch w:val="default"/>
    <w:sig w:usb0="00000003" w:usb1="288F0000" w:usb2="00000006" w:usb3="00000000" w:csb0="00040001" w:csb1="00000000"/>
  </w:font>
  <w:font w:name="楷体_GB2312">
    <w:altName w:val="楷体"/>
    <w:panose1 w:val="00000000000000000000"/>
    <w:charset w:val="86"/>
    <w:family w:val="swiss"/>
    <w:pitch w:val="default"/>
    <w:sig w:usb0="00000000" w:usb1="00000000" w:usb2="00000010" w:usb3="00000000" w:csb0="00040000" w:csb1="00000000"/>
  </w:font>
  <w:font w:name="华文中宋">
    <w:panose1 w:val="02010600040101010101"/>
    <w:charset w:val="86"/>
    <w:family w:val="auto"/>
    <w:pitch w:val="default"/>
    <w:sig w:usb0="00000287" w:usb1="080F0000" w:usb2="00000000" w:usb3="00000000" w:csb0="0004009F" w:csb1="DFD70000"/>
  </w:font>
  <w:font w:name="Tms Rmn">
    <w:altName w:val="Segoe Print"/>
    <w:panose1 w:val="02020603040505020304"/>
    <w:charset w:val="00"/>
    <w:family w:val="modern"/>
    <w:pitch w:val="default"/>
    <w:sig w:usb0="00000000" w:usb1="00000000" w:usb2="00000000" w:usb3="00000000" w:csb0="00000001" w:csb1="00000000"/>
  </w:font>
  <w:font w:name="Microsoft YaHei UI">
    <w:panose1 w:val="020B0503020204020204"/>
    <w:charset w:val="86"/>
    <w:family w:val="decorative"/>
    <w:pitch w:val="default"/>
    <w:sig w:usb0="80000287" w:usb1="28CF3C52" w:usb2="00000016" w:usb3="00000000" w:csb0="0004001F" w:csb1="00000000"/>
  </w:font>
  <w:font w:name="文鼎CS中宋">
    <w:altName w:val="微软雅黑"/>
    <w:panose1 w:val="00000000000000000000"/>
    <w:charset w:val="86"/>
    <w:family w:val="swiss"/>
    <w:pitch w:val="default"/>
    <w:sig w:usb0="00000000" w:usb1="00000000" w:usb2="00000010" w:usb3="00000000" w:csb0="00040000" w:csb1="00000000"/>
  </w:font>
  <w:font w:name="文鼎CS中黑">
    <w:altName w:val="微软雅黑"/>
    <w:panose1 w:val="00000000000000000000"/>
    <w:charset w:val="86"/>
    <w:family w:val="swiss"/>
    <w:pitch w:val="default"/>
    <w:sig w:usb0="00000000" w:usb1="00000000" w:usb2="00000010" w:usb3="00000000" w:csb0="00040000" w:csb1="00000000"/>
  </w:font>
  <w:font w:name="等线">
    <w:panose1 w:val="02010600030101010101"/>
    <w:charset w:val="86"/>
    <w:family w:val="auto"/>
    <w:pitch w:val="default"/>
    <w:sig w:usb0="A00002BF" w:usb1="38CF7CFA" w:usb2="00000016" w:usb3="00000000" w:csb0="0004000F" w:csb1="00000000"/>
  </w:font>
  <w:font w:name="TimesNewRomanPSMT">
    <w:altName w:val="Times New Roman"/>
    <w:panose1 w:val="00000000000000000000"/>
    <w:charset w:val="00"/>
    <w:family w:val="modern"/>
    <w:pitch w:val="default"/>
    <w:sig w:usb0="00000000" w:usb1="00000000" w:usb2="00000000" w:usb3="00000000" w:csb0="00000001" w:csb1="00000000"/>
  </w:font>
  <w:font w:name="新宋体">
    <w:panose1 w:val="02010609030101010101"/>
    <w:charset w:val="86"/>
    <w:family w:val="swiss"/>
    <w:pitch w:val="default"/>
    <w:sig w:usb0="00000003" w:usb1="288F0000" w:usb2="00000006" w:usb3="00000000" w:csb0="00040001" w:csb1="00000000"/>
  </w:font>
  <w:font w:name="Wingdings 2">
    <w:panose1 w:val="05020102010507070707"/>
    <w:charset w:val="02"/>
    <w:family w:val="modern"/>
    <w:pitch w:val="default"/>
    <w:sig w:usb0="00000000" w:usb1="00000000" w:usb2="00000000" w:usb3="00000000" w:csb0="80000000" w:csb1="00000000"/>
  </w:font>
  <w:font w:name="Microsoft JhengHei Light">
    <w:altName w:val="Microsoft JhengHei"/>
    <w:panose1 w:val="00000000000000000000"/>
    <w:charset w:val="88"/>
    <w:family w:val="decorative"/>
    <w:pitch w:val="default"/>
    <w:sig w:usb0="00000000" w:usb1="00000000" w:usb2="00000016" w:usb3="00000000" w:csb0="00100009"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PMingLiU">
    <w:panose1 w:val="02020500000000000000"/>
    <w:charset w:val="88"/>
    <w:family w:val="auto"/>
    <w:pitch w:val="default"/>
    <w:sig w:usb0="A00002FF" w:usb1="28CFFCFA" w:usb2="00000016" w:usb3="00000000" w:csb0="00100001"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 w:name="Microsoft JhengHei">
    <w:panose1 w:val="020B0604030504040204"/>
    <w:charset w:val="88"/>
    <w:family w:val="auto"/>
    <w:pitch w:val="default"/>
    <w:sig w:usb0="00000087" w:usb1="28AF4000" w:usb2="00000016" w:usb3="00000000" w:csb0="00100009" w:csb1="00000000"/>
  </w:font>
  <w:font w:name="微软雅黑">
    <w:panose1 w:val="020B0503020204020204"/>
    <w:charset w:val="86"/>
    <w:family w:val="swiss"/>
    <w:pitch w:val="default"/>
    <w:sig w:usb0="80000287" w:usb1="280F3C52" w:usb2="00000016" w:usb3="00000000" w:csb0="0004001F" w:csb1="00000000"/>
  </w:font>
  <w:font w:name="仿宋">
    <w:panose1 w:val="02010609060101010101"/>
    <w:charset w:val="86"/>
    <w:family w:val="swiss"/>
    <w:pitch w:val="default"/>
    <w:sig w:usb0="800002BF" w:usb1="38CF7CFA" w:usb2="00000016" w:usb3="00000000" w:csb0="00040001" w:csb1="00000000"/>
  </w:font>
  <w:font w:name="Arial">
    <w:panose1 w:val="020B0604020202020204"/>
    <w:charset w:val="00"/>
    <w:family w:val="roman"/>
    <w:pitch w:val="default"/>
    <w:sig w:usb0="E0002AFF" w:usb1="C0007843" w:usb2="00000009" w:usb3="00000000" w:csb0="400001FF" w:csb1="FFFF0000"/>
  </w:font>
  <w:font w:name="仿宋_GB2312">
    <w:altName w:val="仿宋"/>
    <w:panose1 w:val="00000000000000000000"/>
    <w:charset w:val="86"/>
    <w:family w:val="decorative"/>
    <w:pitch w:val="default"/>
    <w:sig w:usb0="00000000" w:usb1="00000000" w:usb2="00000010" w:usb3="00000000" w:csb0="00040000" w:csb1="00000000"/>
  </w:font>
  <w:font w:name="Courier New">
    <w:panose1 w:val="02070309020205020404"/>
    <w:charset w:val="00"/>
    <w:family w:val="decorative"/>
    <w:pitch w:val="default"/>
    <w:sig w:usb0="E0002AFF" w:usb1="C0007843" w:usb2="00000009" w:usb3="00000000" w:csb0="400001FF" w:csb1="FFFF0000"/>
  </w:font>
  <w:font w:name="TimesNewRoman">
    <w:altName w:val="Times New Roman"/>
    <w:panose1 w:val="00000000000000000000"/>
    <w:charset w:val="00"/>
    <w:family w:val="swiss"/>
    <w:pitch w:val="default"/>
    <w:sig w:usb0="00000000" w:usb1="00000000" w:usb2="00000010" w:usb3="00000000" w:csb0="00060001" w:csb1="00000000"/>
  </w:font>
  <w:font w:name="Verdana">
    <w:panose1 w:val="020B0604030504040204"/>
    <w:charset w:val="00"/>
    <w:family w:val="roman"/>
    <w:pitch w:val="default"/>
    <w:sig w:usb0="A10006FF" w:usb1="4000205B" w:usb2="00000010" w:usb3="00000000" w:csb0="2000019F" w:csb1="00000000"/>
  </w:font>
  <w:font w:name="”“Times New Roman”“">
    <w:altName w:val="宋体"/>
    <w:panose1 w:val="00000000000000000000"/>
    <w:charset w:val="86"/>
    <w:family w:val="swiss"/>
    <w:pitch w:val="default"/>
    <w:sig w:usb0="00000000" w:usb1="00000000" w:usb2="00000010" w:usb3="00000000" w:csb0="00040000" w:csb1="00000000"/>
  </w:font>
  <w:font w:name="CG Times (W1)">
    <w:altName w:val="Times New Roman"/>
    <w:panose1 w:val="00000000000000000000"/>
    <w:charset w:val="00"/>
    <w:family w:val="swiss"/>
    <w:pitch w:val="default"/>
    <w:sig w:usb0="00000000" w:usb1="00000000" w:usb2="00000000" w:usb3="00000000" w:csb0="00000001" w:csb1="00000000"/>
  </w:font>
  <w:font w:name="宋体w.">
    <w:altName w:val="宋体"/>
    <w:panose1 w:val="00000000000000000000"/>
    <w:charset w:val="86"/>
    <w:family w:val="swiss"/>
    <w:pitch w:val="default"/>
    <w:sig w:usb0="00000000" w:usb1="00000000" w:usb2="00000010" w:usb3="00000000" w:csb0="00040000" w:csb1="00000000"/>
  </w:font>
  <w:font w:name="楷体_GB2312">
    <w:altName w:val="楷体"/>
    <w:panose1 w:val="00000000000000000000"/>
    <w:charset w:val="86"/>
    <w:family w:val="decorative"/>
    <w:pitch w:val="default"/>
    <w:sig w:usb0="00000000" w:usb1="00000000" w:usb2="00000010" w:usb3="00000000" w:csb0="00040000" w:csb1="00000000"/>
  </w:font>
  <w:font w:name="Tms Rmn">
    <w:altName w:val="Segoe Print"/>
    <w:panose1 w:val="02020603040505020304"/>
    <w:charset w:val="00"/>
    <w:family w:val="swiss"/>
    <w:pitch w:val="default"/>
    <w:sig w:usb0="00000000" w:usb1="00000000" w:usb2="00000000" w:usb3="00000000" w:csb0="00000001" w:csb1="00000000"/>
  </w:font>
  <w:font w:name="Microsoft YaHei UI">
    <w:panose1 w:val="020B0503020204020204"/>
    <w:charset w:val="86"/>
    <w:family w:val="roman"/>
    <w:pitch w:val="default"/>
    <w:sig w:usb0="80000287" w:usb1="28CF3C52" w:usb2="00000016" w:usb3="00000000" w:csb0="0004001F" w:csb1="00000000"/>
  </w:font>
  <w:font w:name="文鼎CS中宋">
    <w:altName w:val="微软雅黑"/>
    <w:panose1 w:val="00000000000000000000"/>
    <w:charset w:val="86"/>
    <w:family w:val="decorative"/>
    <w:pitch w:val="default"/>
    <w:sig w:usb0="00000000" w:usb1="00000000" w:usb2="00000010" w:usb3="00000000" w:csb0="00040000" w:csb1="00000000"/>
  </w:font>
  <w:font w:name="文鼎CS中黑">
    <w:altName w:val="微软雅黑"/>
    <w:panose1 w:val="00000000000000000000"/>
    <w:charset w:val="86"/>
    <w:family w:val="decorative"/>
    <w:pitch w:val="default"/>
    <w:sig w:usb0="00000000" w:usb1="00000000" w:usb2="00000010" w:usb3="00000000" w:csb0="00040000" w:csb1="00000000"/>
  </w:font>
  <w:font w:name="TimesNewRomanPSMT">
    <w:altName w:val="Times New Roman"/>
    <w:panose1 w:val="00000000000000000000"/>
    <w:charset w:val="00"/>
    <w:family w:val="swiss"/>
    <w:pitch w:val="default"/>
    <w:sig w:usb0="00000000" w:usb1="00000000" w:usb2="00000000" w:usb3="00000000" w:csb0="00000001" w:csb1="00000000"/>
  </w:font>
  <w:font w:name="新宋体">
    <w:panose1 w:val="02010609030101010101"/>
    <w:charset w:val="86"/>
    <w:family w:val="decorative"/>
    <w:pitch w:val="default"/>
    <w:sig w:usb0="00000003" w:usb1="288F0000" w:usb2="00000006" w:usb3="00000000" w:csb0="00040001" w:csb1="00000000"/>
  </w:font>
  <w:font w:name="Wingdings 2">
    <w:panose1 w:val="05020102010507070707"/>
    <w:charset w:val="02"/>
    <w:family w:val="swiss"/>
    <w:pitch w:val="default"/>
    <w:sig w:usb0="00000000" w:usb1="00000000" w:usb2="00000000" w:usb3="00000000" w:csb0="80000000" w:csb1="00000000"/>
  </w:font>
  <w:font w:name="Microsoft JhengHei Light">
    <w:altName w:val="Microsoft JhengHei"/>
    <w:panose1 w:val="00000000000000000000"/>
    <w:charset w:val="88"/>
    <w:family w:val="roman"/>
    <w:pitch w:val="default"/>
    <w:sig w:usb0="00000000" w:usb1="00000000" w:usb2="00000016" w:usb3="00000000" w:csb0="00100009" w:csb1="00000000"/>
  </w:font>
  <w:font w:name="微软雅黑">
    <w:panose1 w:val="020B0503020204020204"/>
    <w:charset w:val="86"/>
    <w:family w:val="decorative"/>
    <w:pitch w:val="default"/>
    <w:sig w:usb0="80000287" w:usb1="280F3C52" w:usb2="00000016" w:usb3="00000000" w:csb0="0004001F" w:csb1="00000000"/>
  </w:font>
  <w:font w:name="仿宋">
    <w:panose1 w:val="02010609060101010101"/>
    <w:charset w:val="86"/>
    <w:family w:val="decorative"/>
    <w:pitch w:val="default"/>
    <w:sig w:usb0="800002BF" w:usb1="38CF7CFA" w:usb2="00000016" w:usb3="00000000" w:csb0="00040001" w:csb1="00000000"/>
  </w:font>
  <w:font w:name="Arial">
    <w:panose1 w:val="020B0604020202020204"/>
    <w:charset w:val="00"/>
    <w:family w:val="modern"/>
    <w:pitch w:val="default"/>
    <w:sig w:usb0="E0002AFF" w:usb1="C0007843" w:usb2="00000009" w:usb3="00000000" w:csb0="400001FF" w:csb1="FFFF0000"/>
  </w:font>
  <w:font w:name="仿宋_GB2312">
    <w:altName w:val="仿宋"/>
    <w:panose1 w:val="00000000000000000000"/>
    <w:charset w:val="86"/>
    <w:family w:val="roman"/>
    <w:pitch w:val="default"/>
    <w:sig w:usb0="00000000" w:usb1="00000000" w:usb2="00000010" w:usb3="00000000" w:csb0="00040000" w:csb1="00000000"/>
  </w:font>
  <w:font w:name="Courier New">
    <w:panose1 w:val="02070309020205020404"/>
    <w:charset w:val="00"/>
    <w:family w:val="roman"/>
    <w:pitch w:val="default"/>
    <w:sig w:usb0="E0002AFF" w:usb1="C0007843" w:usb2="00000009" w:usb3="00000000" w:csb0="400001FF" w:csb1="FFFF0000"/>
  </w:font>
  <w:font w:name="TimesNewRoman">
    <w:altName w:val="Times New Roman"/>
    <w:panose1 w:val="00000000000000000000"/>
    <w:charset w:val="00"/>
    <w:family w:val="decorative"/>
    <w:pitch w:val="default"/>
    <w:sig w:usb0="00000000" w:usb1="00000000" w:usb2="00000010" w:usb3="00000000" w:csb0="00060001" w:csb1="00000000"/>
  </w:font>
  <w:font w:name="Verdana">
    <w:panose1 w:val="020B0604030504040204"/>
    <w:charset w:val="00"/>
    <w:family w:val="modern"/>
    <w:pitch w:val="default"/>
    <w:sig w:usb0="A10006FF" w:usb1="4000205B" w:usb2="00000010" w:usb3="00000000" w:csb0="2000019F" w:csb1="00000000"/>
  </w:font>
  <w:font w:name="”“Times New Roman”“">
    <w:altName w:val="宋体"/>
    <w:panose1 w:val="00000000000000000000"/>
    <w:charset w:val="86"/>
    <w:family w:val="decorative"/>
    <w:pitch w:val="default"/>
    <w:sig w:usb0="00000000" w:usb1="00000000" w:usb2="00000010" w:usb3="00000000" w:csb0="00040000" w:csb1="00000000"/>
  </w:font>
  <w:font w:name="CG Times (W1)">
    <w:altName w:val="Times New Roman"/>
    <w:panose1 w:val="00000000000000000000"/>
    <w:charset w:val="00"/>
    <w:family w:val="decorative"/>
    <w:pitch w:val="default"/>
    <w:sig w:usb0="00000000" w:usb1="00000000" w:usb2="00000000" w:usb3="00000000" w:csb0="00000001" w:csb1="00000000"/>
  </w:font>
  <w:font w:name="宋体w.">
    <w:altName w:val="宋体"/>
    <w:panose1 w:val="00000000000000000000"/>
    <w:charset w:val="86"/>
    <w:family w:val="decorative"/>
    <w:pitch w:val="default"/>
    <w:sig w:usb0="00000000" w:usb1="00000000" w:usb2="00000010" w:usb3="00000000" w:csb0="00040000" w:csb1="00000000"/>
  </w:font>
  <w:font w:name="楷体_GB2312">
    <w:altName w:val="楷体"/>
    <w:panose1 w:val="00000000000000000000"/>
    <w:charset w:val="86"/>
    <w:family w:val="roman"/>
    <w:pitch w:val="default"/>
    <w:sig w:usb0="00000000" w:usb1="00000000" w:usb2="00000010" w:usb3="00000000" w:csb0="00040000" w:csb1="00000000"/>
  </w:font>
  <w:font w:name="Tms Rmn">
    <w:altName w:val="Segoe Print"/>
    <w:panose1 w:val="02020603040505020304"/>
    <w:charset w:val="00"/>
    <w:family w:val="decorative"/>
    <w:pitch w:val="default"/>
    <w:sig w:usb0="00000000" w:usb1="00000000" w:usb2="00000000" w:usb3="00000000" w:csb0="00000001" w:csb1="00000000"/>
  </w:font>
  <w:font w:name="Microsoft YaHei UI">
    <w:panose1 w:val="020B0503020204020204"/>
    <w:charset w:val="86"/>
    <w:family w:val="modern"/>
    <w:pitch w:val="default"/>
    <w:sig w:usb0="80000287" w:usb1="28CF3C52" w:usb2="00000016" w:usb3="00000000" w:csb0="0004001F" w:csb1="00000000"/>
  </w:font>
  <w:font w:name="文鼎CS中宋">
    <w:altName w:val="微软雅黑"/>
    <w:panose1 w:val="00000000000000000000"/>
    <w:charset w:val="86"/>
    <w:family w:val="roman"/>
    <w:pitch w:val="default"/>
    <w:sig w:usb0="00000000" w:usb1="00000000" w:usb2="00000010" w:usb3="00000000" w:csb0="00040000" w:csb1="00000000"/>
  </w:font>
  <w:font w:name="文鼎CS中黑">
    <w:altName w:val="微软雅黑"/>
    <w:panose1 w:val="00000000000000000000"/>
    <w:charset w:val="86"/>
    <w:family w:val="roman"/>
    <w:pitch w:val="default"/>
    <w:sig w:usb0="00000000" w:usb1="00000000" w:usb2="00000010" w:usb3="00000000" w:csb0="00040000" w:csb1="00000000"/>
  </w:font>
  <w:font w:name="TimesNewRomanPSMT">
    <w:altName w:val="Times New Roman"/>
    <w:panose1 w:val="00000000000000000000"/>
    <w:charset w:val="00"/>
    <w:family w:val="decorative"/>
    <w:pitch w:val="default"/>
    <w:sig w:usb0="00000000" w:usb1="00000000" w:usb2="00000000" w:usb3="00000000" w:csb0="00000001" w:csb1="00000000"/>
  </w:font>
  <w:font w:name="新宋体">
    <w:panose1 w:val="02010609030101010101"/>
    <w:charset w:val="86"/>
    <w:family w:val="roman"/>
    <w:pitch w:val="default"/>
    <w:sig w:usb0="00000003" w:usb1="288F0000" w:usb2="00000006" w:usb3="00000000" w:csb0="00040001" w:csb1="00000000"/>
  </w:font>
  <w:font w:name="Wingdings 2">
    <w:panose1 w:val="05020102010507070707"/>
    <w:charset w:val="02"/>
    <w:family w:val="decorative"/>
    <w:pitch w:val="default"/>
    <w:sig w:usb0="00000000" w:usb1="00000000" w:usb2="00000000" w:usb3="00000000" w:csb0="80000000" w:csb1="00000000"/>
  </w:font>
  <w:font w:name="Microsoft JhengHei Light">
    <w:altName w:val="Microsoft JhengHei"/>
    <w:panose1 w:val="00000000000000000000"/>
    <w:charset w:val="88"/>
    <w:family w:val="modern"/>
    <w:pitch w:val="default"/>
    <w:sig w:usb0="00000000" w:usb1="00000000" w:usb2="00000016" w:usb3="00000000" w:csb0="00100009" w:csb1="00000000"/>
  </w:font>
  <w:font w:name="微软雅黑">
    <w:panose1 w:val="020B0503020204020204"/>
    <w:charset w:val="86"/>
    <w:family w:val="roman"/>
    <w:pitch w:val="default"/>
    <w:sig w:usb0="80000287" w:usb1="280F3C52" w:usb2="00000016" w:usb3="00000000" w:csb0="0004001F" w:csb1="00000000"/>
  </w:font>
  <w:font w:name="仿宋">
    <w:panose1 w:val="02010609060101010101"/>
    <w:charset w:val="86"/>
    <w:family w:val="roman"/>
    <w:pitch w:val="default"/>
    <w:sig w:usb0="800002BF" w:usb1="38CF7CFA" w:usb2="00000016" w:usb3="00000000" w:csb0="00040001" w:csb1="00000000"/>
  </w:font>
  <w:font w:name="Arial">
    <w:panose1 w:val="020B0604020202020204"/>
    <w:charset w:val="00"/>
    <w:family w:val="swiss"/>
    <w:pitch w:val="default"/>
    <w:sig w:usb0="E0002AFF" w:usb1="C0007843" w:usb2="00000009" w:usb3="00000000" w:csb0="400001FF" w:csb1="FFFF0000"/>
  </w:font>
  <w:font w:name="仿宋_GB2312">
    <w:altName w:val="仿宋"/>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default"/>
    <w:sig w:usb0="E0002AFF" w:usb1="C0007843" w:usb2="00000009" w:usb3="00000000" w:csb0="400001FF" w:csb1="FFFF0000"/>
  </w:font>
  <w:font w:name="TimesNewRoman">
    <w:altName w:val="Times New Roman"/>
    <w:panose1 w:val="00000000000000000000"/>
    <w:charset w:val="00"/>
    <w:family w:val="roman"/>
    <w:pitch w:val="default"/>
    <w:sig w:usb0="00000000" w:usb1="00000000" w:usb2="00000010" w:usb3="00000000" w:csb0="00060001" w:csb1="00000000"/>
  </w:font>
  <w:font w:name="Verdana">
    <w:panose1 w:val="020B0604030504040204"/>
    <w:charset w:val="00"/>
    <w:family w:val="swiss"/>
    <w:pitch w:val="default"/>
    <w:sig w:usb0="A10006FF" w:usb1="4000205B" w:usb2="00000010" w:usb3="00000000" w:csb0="2000019F" w:csb1="00000000"/>
  </w:font>
  <w:font w:name="”“Times New Roman”“">
    <w:altName w:val="宋体"/>
    <w:panose1 w:val="00000000000000000000"/>
    <w:charset w:val="86"/>
    <w:family w:val="roman"/>
    <w:pitch w:val="default"/>
    <w:sig w:usb0="00000000" w:usb1="00000000" w:usb2="00000010" w:usb3="00000000" w:csb0="00040000" w:csb1="00000000"/>
  </w:font>
  <w:font w:name="CG Times (W1)">
    <w:altName w:val="Times New Roman"/>
    <w:panose1 w:val="00000000000000000000"/>
    <w:charset w:val="00"/>
    <w:family w:val="roman"/>
    <w:pitch w:val="default"/>
    <w:sig w:usb0="00000000" w:usb1="00000000" w:usb2="00000000" w:usb3="00000000" w:csb0="00000001" w:csb1="00000000"/>
  </w:font>
  <w:font w:name="宋体w.">
    <w:altName w:val="宋体"/>
    <w:panose1 w:val="00000000000000000000"/>
    <w:charset w:val="86"/>
    <w:family w:val="roman"/>
    <w:pitch w:val="default"/>
    <w:sig w:usb0="00000000" w:usb1="00000000" w:usb2="00000010" w:usb3="00000000" w:csb0="00040000" w:csb1="00000000"/>
  </w:font>
  <w:font w:name="楷体_GB2312">
    <w:altName w:val="楷体"/>
    <w:panose1 w:val="00000000000000000000"/>
    <w:charset w:val="86"/>
    <w:family w:val="modern"/>
    <w:pitch w:val="default"/>
    <w:sig w:usb0="00000000" w:usb1="00000000" w:usb2="00000010" w:usb3="00000000" w:csb0="00040000" w:csb1="00000000"/>
  </w:font>
  <w:font w:name="Tms Rmn">
    <w:altName w:val="Segoe Print"/>
    <w:panose1 w:val="02020603040505020304"/>
    <w:charset w:val="00"/>
    <w:family w:val="roman"/>
    <w:pitch w:val="default"/>
    <w:sig w:usb0="00000000" w:usb1="00000000" w:usb2="00000000" w:usb3="00000000" w:csb0="00000001" w:csb1="00000000"/>
  </w:font>
  <w:font w:name="Microsoft YaHei UI">
    <w:panose1 w:val="020B0503020204020204"/>
    <w:charset w:val="86"/>
    <w:family w:val="swiss"/>
    <w:pitch w:val="default"/>
    <w:sig w:usb0="80000287" w:usb1="28CF3C52" w:usb2="00000016" w:usb3="00000000" w:csb0="0004001F" w:csb1="00000000"/>
  </w:font>
  <w:font w:name="文鼎CS中宋">
    <w:altName w:val="微软雅黑"/>
    <w:panose1 w:val="00000000000000000000"/>
    <w:charset w:val="86"/>
    <w:family w:val="modern"/>
    <w:pitch w:val="default"/>
    <w:sig w:usb0="00000000" w:usb1="00000000" w:usb2="00000010" w:usb3="00000000" w:csb0="00040000" w:csb1="00000000"/>
  </w:font>
  <w:font w:name="文鼎CS中黑">
    <w:altName w:val="微软雅黑"/>
    <w:panose1 w:val="00000000000000000000"/>
    <w:charset w:val="86"/>
    <w:family w:val="modern"/>
    <w:pitch w:val="default"/>
    <w:sig w:usb0="00000000" w:usb1="00000000" w:usb2="00000010" w:usb3="00000000" w:csb0="00040000" w:csb1="00000000"/>
  </w:font>
  <w:font w:name="TimesNewRomanPSMT">
    <w:altName w:val="Times New Roman"/>
    <w:panose1 w:val="00000000000000000000"/>
    <w:charset w:val="00"/>
    <w:family w:val="roman"/>
    <w:pitch w:val="default"/>
    <w:sig w:usb0="00000000" w:usb1="00000000" w:usb2="00000000" w:usb3="00000000" w:csb0="00000001" w:csb1="00000000"/>
  </w:font>
  <w:font w:name="新宋体">
    <w:panose1 w:val="02010609030101010101"/>
    <w:charset w:val="86"/>
    <w:family w:val="modern"/>
    <w:pitch w:val="default"/>
    <w:sig w:usb0="00000003" w:usb1="288F0000" w:usb2="00000006" w:usb3="00000000" w:csb0="00040001" w:csb1="00000000"/>
  </w:font>
  <w:font w:name="Wingdings 2">
    <w:panose1 w:val="05020102010507070707"/>
    <w:charset w:val="02"/>
    <w:family w:val="roman"/>
    <w:pitch w:val="default"/>
    <w:sig w:usb0="00000000" w:usb1="00000000" w:usb2="00000000" w:usb3="00000000" w:csb0="80000000" w:csb1="00000000"/>
  </w:font>
  <w:font w:name="Microsoft JhengHei Light">
    <w:altName w:val="Microsoft JhengHei"/>
    <w:panose1 w:val="00000000000000000000"/>
    <w:charset w:val="88"/>
    <w:family w:val="swiss"/>
    <w:pitch w:val="default"/>
    <w:sig w:usb0="00000000" w:usb1="00000000" w:usb2="00000016" w:usb3="00000000" w:csb0="00100009" w:csb1="00000000"/>
  </w:font>
  <w:font w:name="微软雅黑">
    <w:panose1 w:val="020B0503020204020204"/>
    <w:charset w:val="86"/>
    <w:family w:val="modern"/>
    <w:pitch w:val="default"/>
    <w:sig w:usb0="80000287" w:usb1="280F3C52" w:usb2="00000016" w:usb3="00000000" w:csb0="0004001F" w:csb1="00000000"/>
  </w:font>
  <w:font w:name="仿宋">
    <w:panose1 w:val="02010609060101010101"/>
    <w:charset w:val="86"/>
    <w:family w:val="modern"/>
    <w:pitch w:val="default"/>
    <w:sig w:usb0="800002BF" w:usb1="38CF7CFA" w:usb2="00000016" w:usb3="00000000" w:csb0="00040001" w:csb1="00000000"/>
  </w:font>
  <w:font w:name="黑体">
    <w:panose1 w:val="02010609060101010101"/>
    <w:charset w:val="86"/>
    <w:family w:val="decorative"/>
    <w:pitch w:val="default"/>
    <w:sig w:usb0="800002BF" w:usb1="38CF7CFA" w:usb2="00000016" w:usb3="00000000" w:csb0="00040001" w:csb1="00000000"/>
  </w:font>
  <w:font w:name="TimesNewRoman">
    <w:altName w:val="等线"/>
    <w:panose1 w:val="00000000000000000000"/>
    <w:charset w:val="86"/>
    <w:family w:val="auto"/>
    <w:pitch w:val="default"/>
    <w:sig w:usb0="00000000" w:usb1="00000000" w:usb2="00000010" w:usb3="00000000" w:csb0="00040000" w:csb1="00000000"/>
  </w:font>
  <w:font w:name="Adobe 宋体 Std L">
    <w:altName w:val="Arial Unicode MS"/>
    <w:panose1 w:val="00000000000000000000"/>
    <w:charset w:val="86"/>
    <w:family w:val="swiss"/>
    <w:pitch w:val="default"/>
    <w:sig w:usb0="00000000" w:usb1="00000000" w:usb2="00000016" w:usb3="00000000" w:csb0="00060007" w:csb1="00000000"/>
  </w:font>
  <w:font w:name="Garamond">
    <w:panose1 w:val="02020404030301010803"/>
    <w:charset w:val="00"/>
    <w:family w:val="swiss"/>
    <w:pitch w:val="default"/>
    <w:sig w:usb0="00000287" w:usb1="00000000" w:usb2="00000000" w:usb3="00000000" w:csb0="0000009F" w:csb1="DFD70000"/>
  </w:font>
  <w:font w:name="方正书宋简体">
    <w:altName w:val="宋体"/>
    <w:panose1 w:val="00000000000000000000"/>
    <w:charset w:val="86"/>
    <w:family w:val="auto"/>
    <w:pitch w:val="default"/>
    <w:sig w:usb0="00000000" w:usb1="00000000" w:usb2="00000010" w:usb3="00000000" w:csb0="00040000" w:csb1="00000000"/>
  </w:font>
  <w:font w:name="??">
    <w:altName w:val="Times New Roman"/>
    <w:panose1 w:val="00000000000000000000"/>
    <w:charset w:val="00"/>
    <w:family w:val="swiss"/>
    <w:pitch w:val="default"/>
    <w:sig w:usb0="00000000" w:usb1="00000000" w:usb2="00000000" w:usb3="00000000" w:csb0="00000001" w:csb1="00000000"/>
  </w:font>
  <w:font w:name="方正黑体_GBK">
    <w:altName w:val="微软雅黑"/>
    <w:panose1 w:val="00000000000000000000"/>
    <w:charset w:val="86"/>
    <w:family w:val="script"/>
    <w:pitch w:val="default"/>
    <w:sig w:usb0="00000000" w:usb1="00000000" w:usb2="00000010" w:usb3="00000000" w:csb0="00040000" w:csb1="00000000"/>
  </w:font>
  <w:font w:name="Plotter">
    <w:altName w:val="Times New Roman"/>
    <w:panose1 w:val="00000000000000000000"/>
    <w:charset w:val="00"/>
    <w:family w:val="swiss"/>
    <w:pitch w:val="default"/>
    <w:sig w:usb0="00000000" w:usb1="00000000" w:usb2="00000000" w:usb3="00000000" w:csb0="00000001" w:csb1="00000000"/>
  </w:font>
  <w:font w:name="Hei">
    <w:altName w:val="Times New Roman"/>
    <w:panose1 w:val="00000000000000000000"/>
    <w:charset w:val="00"/>
    <w:family w:val="swiss"/>
    <w:pitch w:val="default"/>
    <w:sig w:usb0="00000000" w:usb1="00000000" w:usb2="00000000" w:usb3="00000000" w:csb0="00040001" w:csb1="00000000"/>
  </w:font>
  <w:font w:name="Tahoma">
    <w:panose1 w:val="020B0604030504040204"/>
    <w:charset w:val="00"/>
    <w:family w:val="roman"/>
    <w:pitch w:val="default"/>
    <w:sig w:usb0="E1002EFF" w:usb1="C000605B" w:usb2="00000029" w:usb3="00000000" w:csb0="200101FF" w:csb1="20280000"/>
  </w:font>
  <w:font w:name="new times roma">
    <w:altName w:val="Times New Roman"/>
    <w:panose1 w:val="00000000000000000000"/>
    <w:charset w:val="00"/>
    <w:family w:val="modern"/>
    <w:pitch w:val="default"/>
    <w:sig w:usb0="00000000" w:usb1="00000000" w:usb2="00000000" w:usb3="00000000" w:csb0="00000001" w:csb1="00000000"/>
  </w:font>
  <w:font w:name="楷体">
    <w:panose1 w:val="02010609060101010101"/>
    <w:charset w:val="86"/>
    <w:family w:val="decorative"/>
    <w:pitch w:val="default"/>
    <w:sig w:usb0="800002BF" w:usb1="38CF7CFA" w:usb2="00000016" w:usb3="00000000" w:csb0="00040001" w:csb1="00000000"/>
  </w:font>
  <w:font w:name="Arial Black">
    <w:panose1 w:val="020B0A04020102020204"/>
    <w:charset w:val="00"/>
    <w:family w:val="roman"/>
    <w:pitch w:val="default"/>
    <w:sig w:usb0="00000287" w:usb1="00000000" w:usb2="00000000" w:usb3="00000000" w:csb0="2000009F" w:csb1="DFD70000"/>
  </w:font>
  <w:font w:name="仿宋体">
    <w:altName w:val="仿宋"/>
    <w:panose1 w:val="00000000000000000000"/>
    <w:charset w:val="86"/>
    <w:family w:val="decorative"/>
    <w:pitch w:val="default"/>
    <w:sig w:usb0="00000000" w:usb1="00000000" w:usb2="00000010" w:usb3="00000000" w:csb0="00040000" w:csb1="00000000"/>
  </w:font>
  <w:font w:name="隶书">
    <w:panose1 w:val="02010509060101010101"/>
    <w:charset w:val="86"/>
    <w:family w:val="decorative"/>
    <w:pitch w:val="default"/>
    <w:sig w:usb0="00000001" w:usb1="080E0000" w:usb2="00000000" w:usb3="00000000" w:csb0="00040000" w:csb1="00000000"/>
  </w:font>
  <w:font w:name="Batang">
    <w:panose1 w:val="02030600000101010101"/>
    <w:charset w:val="81"/>
    <w:family w:val="swiss"/>
    <w:pitch w:val="default"/>
    <w:sig w:usb0="B00002AF" w:usb1="69D77CFB" w:usb2="00000030" w:usb3="00000000" w:csb0="4008009F" w:csb1="DFD70000"/>
  </w:font>
  <w:font w:name="Sim Sun">
    <w:altName w:val="宋体"/>
    <w:panose1 w:val="00000000000000000000"/>
    <w:charset w:val="86"/>
    <w:family w:val="auto"/>
    <w:pitch w:val="default"/>
    <w:sig w:usb0="00000000" w:usb1="00000000" w:usb2="00000010" w:usb3="00000000" w:csb0="00040000" w:csb1="00000000"/>
  </w:font>
  <w:font w:name="Arial Unicode MS">
    <w:panose1 w:val="020B0604020202020204"/>
    <w:charset w:val="86"/>
    <w:family w:val="roman"/>
    <w:pitch w:val="default"/>
    <w:sig w:usb0="FFFFFFFF" w:usb1="E9FFFFFF" w:usb2="0000003F" w:usb3="00000000" w:csb0="603F01FF" w:csb1="FFFF0000"/>
  </w:font>
  <w:font w:name="幼圆">
    <w:panose1 w:val="02010509060101010101"/>
    <w:charset w:val="86"/>
    <w:family w:val="decorative"/>
    <w:pitch w:val="default"/>
    <w:sig w:usb0="00000001" w:usb1="080E0000" w:usb2="00000000" w:usb3="00000000" w:csb0="00040000" w:csb1="00000000"/>
  </w:font>
  <w:font w:name="Times">
    <w:altName w:val="Times New Roman"/>
    <w:panose1 w:val="02020603050405020304"/>
    <w:charset w:val="00"/>
    <w:family w:val="swiss"/>
    <w:pitch w:val="default"/>
    <w:sig w:usb0="00000000" w:usb1="00000000" w:usb2="00000009" w:usb3="00000000" w:csb0="000001FF" w:csb1="00000000"/>
  </w:font>
  <w:font w:name="Impact">
    <w:panose1 w:val="020B0806030902050204"/>
    <w:charset w:val="00"/>
    <w:family w:val="roman"/>
    <w:pitch w:val="default"/>
    <w:sig w:usb0="00000287" w:usb1="00000000" w:usb2="00000000" w:usb3="00000000" w:csb0="2000009F" w:csb1="DFD70000"/>
  </w:font>
  <w:font w:name="DFKai-SB">
    <w:panose1 w:val="03000509000000000000"/>
    <w:charset w:val="88"/>
    <w:family w:val="script"/>
    <w:pitch w:val="default"/>
    <w:sig w:usb0="00000003" w:usb1="082E0000" w:usb2="00000016" w:usb3="00000000" w:csb0="00100001" w:csb1="00000000"/>
  </w:font>
  <w:font w:name="华文仿宋">
    <w:panose1 w:val="02010600040101010101"/>
    <w:charset w:val="86"/>
    <w:family w:val="auto"/>
    <w:pitch w:val="default"/>
    <w:sig w:usb0="00000287" w:usb1="080F0000" w:usb2="00000000" w:usb3="00000000" w:csb0="0004009F" w:csb1="DFD70000"/>
  </w:font>
  <w:font w:name="全真楷書">
    <w:altName w:val="PMingLiU"/>
    <w:panose1 w:val="00000000000000000000"/>
    <w:charset w:val="88"/>
    <w:family w:val="swiss"/>
    <w:pitch w:val="default"/>
    <w:sig w:usb0="00000000" w:usb1="00000000" w:usb2="00000010" w:usb3="00000000" w:csb0="00100000" w:csb1="00000000"/>
  </w:font>
  <w:font w:name="Dutch801 Rm BT">
    <w:altName w:val="Segoe Print"/>
    <w:panose1 w:val="00000000000000000000"/>
    <w:charset w:val="00"/>
    <w:family w:val="swiss"/>
    <w:pitch w:val="default"/>
    <w:sig w:usb0="00000000" w:usb1="00000000" w:usb2="00000000" w:usb3="00000000" w:csb0="0000001B" w:csb1="00000000"/>
  </w:font>
  <w:font w:name="方正宋三简体">
    <w:altName w:val="宋体"/>
    <w:panose1 w:val="00000000000000000000"/>
    <w:charset w:val="86"/>
    <w:family w:val="auto"/>
    <w:pitch w:val="default"/>
    <w:sig w:usb0="00000000" w:usb1="00000000" w:usb2="00000010" w:usb3="00000000" w:csb0="00040000" w:csb1="00000000"/>
  </w:font>
  <w:font w:name="@黑体">
    <w:panose1 w:val="02010609060101010101"/>
    <w:charset w:val="86"/>
    <w:family w:val="decorative"/>
    <w:pitch w:val="default"/>
    <w:sig w:usb0="800002BF" w:usb1="38CF7CFA" w:usb2="00000016" w:usb3="00000000" w:csb0="00040001" w:csb1="00000000"/>
  </w:font>
  <w:font w:name="Bookman Old Style">
    <w:panose1 w:val="02050604050505020204"/>
    <w:charset w:val="00"/>
    <w:family w:val="swiss"/>
    <w:pitch w:val="default"/>
    <w:sig w:usb0="00000287" w:usb1="00000000" w:usb2="00000000" w:usb3="00000000" w:csb0="2000009F" w:csb1="DFD70000"/>
  </w:font>
  <w:font w:name="Arial Narrow">
    <w:panose1 w:val="020B0606020202030204"/>
    <w:charset w:val="00"/>
    <w:family w:val="roman"/>
    <w:pitch w:val="default"/>
    <w:sig w:usb0="00000287" w:usb1="00000800" w:usb2="00000000" w:usb3="00000000" w:csb0="2000009F" w:csb1="DFD70000"/>
  </w:font>
  <w:font w:name="隶书体">
    <w:altName w:val="宋体"/>
    <w:panose1 w:val="00000000000000000000"/>
    <w:charset w:val="86"/>
    <w:family w:val="roman"/>
    <w:pitch w:val="default"/>
    <w:sig w:usb0="00000000" w:usb1="00000000" w:usb2="00000010" w:usb3="00000000" w:csb0="00040000" w:csb1="00000000"/>
  </w:font>
  <w:font w:name="方正大标宋_GBK">
    <w:altName w:val="宋体"/>
    <w:panose1 w:val="00000000000000000000"/>
    <w:charset w:val="86"/>
    <w:family w:val="script"/>
    <w:pitch w:val="default"/>
    <w:sig w:usb0="00000000" w:usb1="00000000" w:usb2="00000010" w:usb3="00000000" w:csb0="00040000" w:csb1="00000000"/>
  </w:font>
  <w:font w:name="Century Gothic">
    <w:panose1 w:val="020B0502020202020204"/>
    <w:charset w:val="00"/>
    <w:family w:val="roman"/>
    <w:pitch w:val="default"/>
    <w:sig w:usb0="00000287" w:usb1="00000000" w:usb2="00000000" w:usb3="00000000" w:csb0="2000009F" w:csb1="DFD70000"/>
  </w:font>
  <w:font w:name="MS Minchofalt">
    <w:altName w:val="MS Gothic"/>
    <w:panose1 w:val="00000000000000000000"/>
    <w:charset w:val="80"/>
    <w:family w:val="roman"/>
    <w:pitch w:val="default"/>
    <w:sig w:usb0="00000000" w:usb1="00000000" w:usb2="00000010" w:usb3="00000000" w:csb0="00020000" w:csb1="00000000"/>
  </w:font>
  <w:font w:name="華康細圓體">
    <w:altName w:val="PMingLiU"/>
    <w:panose1 w:val="00000000000000000000"/>
    <w:charset w:val="88"/>
    <w:family w:val="decorative"/>
    <w:pitch w:val="default"/>
    <w:sig w:usb0="00000000" w:usb1="00000000" w:usb2="00000010" w:usb3="00000000" w:csb0="00100000" w:csb1="00000000"/>
  </w:font>
  <w:font w:name="方正小标宋简体">
    <w:altName w:val="微软雅黑"/>
    <w:panose1 w:val="00000000000000000000"/>
    <w:charset w:val="86"/>
    <w:family w:val="script"/>
    <w:pitch w:val="default"/>
    <w:sig w:usb0="00000000" w:usb1="00000000" w:usb2="00000010" w:usb3="00000000" w:csb0="00040000" w:csb1="00000000"/>
  </w:font>
  <w:font w:name="PMingLiUfalt">
    <w:altName w:val="MingLiU-ExtB"/>
    <w:panose1 w:val="00000000000000000000"/>
    <w:charset w:val="88"/>
    <w:family w:val="decorative"/>
    <w:pitch w:val="default"/>
    <w:sig w:usb0="00000000" w:usb1="00000000" w:usb2="00000010" w:usb3="00000000" w:csb0="00100000" w:csb1="00000000"/>
  </w:font>
  <w:font w:name="方正大标宋简体">
    <w:altName w:val="宋体"/>
    <w:panose1 w:val="00000000000000000000"/>
    <w:charset w:val="86"/>
    <w:family w:val="script"/>
    <w:pitch w:val="default"/>
    <w:sig w:usb0="00000000" w:usb1="00000000" w:usb2="00000010" w:usb3="00000000" w:csb0="00040001" w:csb1="00000000"/>
  </w:font>
  <w:font w:name="Book Antiqua">
    <w:panose1 w:val="02040602050305030304"/>
    <w:charset w:val="00"/>
    <w:family w:val="swiss"/>
    <w:pitch w:val="default"/>
    <w:sig w:usb0="00000287" w:usb1="00000000" w:usb2="00000000" w:usb3="00000000" w:csb0="2000009F" w:csb1="DFD70000"/>
  </w:font>
  <w:font w:name="MS Sans Serif">
    <w:altName w:val="Arial"/>
    <w:panose1 w:val="00000000000000000000"/>
    <w:charset w:val="00"/>
    <w:family w:val="roman"/>
    <w:pitch w:val="default"/>
    <w:sig w:usb0="00000000" w:usb1="00000000" w:usb2="00000000" w:usb3="00000000" w:csb0="00000001" w:csb1="00000000"/>
  </w:font>
  <w:font w:name="Baskerville Old Face">
    <w:panose1 w:val="02020602080505020303"/>
    <w:charset w:val="00"/>
    <w:family w:val="swiss"/>
    <w:pitch w:val="default"/>
    <w:sig w:usb0="00000003" w:usb1="00000000" w:usb2="00000000" w:usb3="00000000" w:csb0="20000001" w:csb1="00000000"/>
  </w:font>
  <w:font w:name="華康楷書體W5">
    <w:altName w:val="宋体"/>
    <w:panose1 w:val="00000000000000000000"/>
    <w:charset w:val="88"/>
    <w:family w:val="script"/>
    <w:pitch w:val="default"/>
    <w:sig w:usb0="00000000" w:usb1="00000000" w:usb2="00000010" w:usb3="00000000" w:csb0="00100000" w:csb1="00000000"/>
  </w:font>
  <w:font w:name="ˎ̥">
    <w:altName w:val="Times New Roman"/>
    <w:panose1 w:val="00000000000000000000"/>
    <w:charset w:val="00"/>
    <w:family w:val="swiss"/>
    <w:pitch w:val="default"/>
    <w:sig w:usb0="00000000" w:usb1="00000000" w:usb2="00000000" w:usb3="00000000" w:csb0="00040001" w:csb1="00000000"/>
  </w:font>
  <w:font w:name="PMingLiU">
    <w:panose1 w:val="02020500000000000000"/>
    <w:charset w:val="88"/>
    <w:family w:val="swiss"/>
    <w:pitch w:val="default"/>
    <w:sig w:usb0="A00002FF" w:usb1="28CFFCFA" w:usb2="00000016" w:usb3="00000000" w:csb0="00100001" w:csb1="00000000"/>
  </w:font>
  <w:font w:name="華康中楷體">
    <w:altName w:val="PMingLiU"/>
    <w:panose1 w:val="00000000000000000000"/>
    <w:charset w:val="88"/>
    <w:family w:val="decorative"/>
    <w:pitch w:val="default"/>
    <w:sig w:usb0="00000000" w:usb1="00000000" w:usb2="00000010" w:usb3="00000000" w:csb0="00100000" w:csb1="00000000"/>
  </w:font>
  <w:font w:name="Gulim">
    <w:panose1 w:val="020B0600000101010101"/>
    <w:charset w:val="81"/>
    <w:family w:val="roman"/>
    <w:pitch w:val="default"/>
    <w:sig w:usb0="B00002AF" w:usb1="69D77CFB" w:usb2="00000030" w:usb3="00000000" w:csb0="4008009F" w:csb1="DFD70000"/>
  </w:font>
  <w:font w:name="Andale Sans UI">
    <w:altName w:val="方正舒体"/>
    <w:panose1 w:val="00000000000000000000"/>
    <w:charset w:val="86"/>
    <w:family w:val="auto"/>
    <w:pitch w:val="default"/>
    <w:sig w:usb0="00000000" w:usb1="00000000" w:usb2="00000000" w:usb3="00000000" w:csb0="00040001" w:csb1="00000000"/>
  </w:font>
  <w:font w:name="..ì.+2+1">
    <w:altName w:val="宋体"/>
    <w:panose1 w:val="00000000000000000000"/>
    <w:charset w:val="86"/>
    <w:family w:val="roman"/>
    <w:pitch w:val="default"/>
    <w:sig w:usb0="00000000" w:usb1="00000000" w:usb2="00000010" w:usb3="00000000" w:csb0="00040000" w:csb1="00000000"/>
  </w:font>
  <w:font w:name="Vladimir Script">
    <w:panose1 w:val="03050402040407070305"/>
    <w:charset w:val="00"/>
    <w:family w:val="script"/>
    <w:pitch w:val="default"/>
    <w:sig w:usb0="00000003" w:usb1="00000000" w:usb2="00000000" w:usb3="00000000" w:csb0="20000001" w:csb1="00000000"/>
  </w:font>
  <w:font w:name="黑体.....">
    <w:altName w:val="黑体"/>
    <w:panose1 w:val="00000000000000000000"/>
    <w:charset w:val="86"/>
    <w:family w:val="auto"/>
    <w:pitch w:val="default"/>
    <w:sig w:usb0="00000000" w:usb1="00000000" w:usb2="00000010" w:usb3="00000000" w:csb0="00040000" w:csb1="00000000"/>
  </w:font>
  <w:font w:name="Helv">
    <w:altName w:val="Segoe Print"/>
    <w:panose1 w:val="020B0604020202030204"/>
    <w:charset w:val="00"/>
    <w:family w:val="roman"/>
    <w:pitch w:val="default"/>
    <w:sig w:usb0="00000000" w:usb1="00000000" w:usb2="00000000" w:usb3="00000000" w:csb0="00000001" w:csb1="00000000"/>
  </w:font>
  <w:font w:name="TimesNewRomanPSMT">
    <w:altName w:val="Meiryo"/>
    <w:panose1 w:val="00000000000000000000"/>
    <w:charset w:val="80"/>
    <w:family w:val="auto"/>
    <w:pitch w:val="default"/>
    <w:sig w:usb0="00000000" w:usb1="00000000" w:usb2="00000000" w:usb3="00000000" w:csb0="00020000" w:csb1="00000000"/>
  </w:font>
  <w:font w:name="ArialMT">
    <w:altName w:val="等线"/>
    <w:panose1 w:val="00000000000000000000"/>
    <w:charset w:val="86"/>
    <w:family w:val="auto"/>
    <w:pitch w:val="default"/>
    <w:sig w:usb0="00000000" w:usb1="00000000" w:usb2="00000010" w:usb3="00000000" w:csb0="00040000" w:csb1="00000000"/>
  </w:font>
  <w:font w:name="PMingLiU-ExtB">
    <w:panose1 w:val="02020500000000000000"/>
    <w:charset w:val="88"/>
    <w:family w:val="swiss"/>
    <w:pitch w:val="default"/>
    <w:sig w:usb0="8000002F" w:usb1="02000008" w:usb2="00000000" w:usb3="00000000" w:csb0="00100001" w:csb1="00000000"/>
  </w:font>
  <w:font w:name="Cambria Math">
    <w:panose1 w:val="02040503050406030204"/>
    <w:charset w:val="00"/>
    <w:family w:val="swiss"/>
    <w:pitch w:val="default"/>
    <w:sig w:usb0="E00002FF" w:usb1="420024FF" w:usb2="00000000" w:usb3="00000000" w:csb0="2000019F" w:csb1="00000000"/>
  </w:font>
  <w:font w:name="瀹嬩綋">
    <w:altName w:val="微软雅黑"/>
    <w:panose1 w:val="00000000000000000000"/>
    <w:charset w:val="86"/>
    <w:family w:val="auto"/>
    <w:pitch w:val="default"/>
    <w:sig w:usb0="00000000" w:usb1="00000000" w:usb2="00000010" w:usb3="00000000" w:csb0="00040000" w:csb1="00000000"/>
  </w:font>
  <w:font w:name="MS Mincho">
    <w:panose1 w:val="02020609040205080304"/>
    <w:charset w:val="80"/>
    <w:family w:val="decorative"/>
    <w:pitch w:val="default"/>
    <w:sig w:usb0="E00002FF" w:usb1="6AC7FDFB" w:usb2="00000012" w:usb3="00000000" w:csb0="4002009F" w:csb1="DFD70000"/>
  </w:font>
  <w:font w:name="脣脦脤氓">
    <w:altName w:val="方正舒体"/>
    <w:panose1 w:val="00000000000000000000"/>
    <w:charset w:val="86"/>
    <w:family w:val="auto"/>
    <w:pitch w:val="default"/>
    <w:sig w:usb0="00000000" w:usb1="00000000" w:usb2="00000010" w:usb3="00000000" w:csb0="00040000" w:csb1="00000000"/>
  </w:font>
  <w:font w:name="_5b8b_4f53">
    <w:altName w:val="Times New Roman"/>
    <w:panose1 w:val="00000000000000000000"/>
    <w:charset w:val="00"/>
    <w:family w:val="swiss"/>
    <w:pitch w:val="default"/>
    <w:sig w:usb0="00000000" w:usb1="00000000" w:usb2="00000000" w:usb3="00000000" w:csb0="00000000" w:csb1="00000000"/>
  </w:font>
  <w:font w:name="MS Gothic">
    <w:panose1 w:val="020B0609070205080204"/>
    <w:charset w:val="80"/>
    <w:family w:val="auto"/>
    <w:pitch w:val="default"/>
    <w:sig w:usb0="E00002FF" w:usb1="6AC7FDFB" w:usb2="00000012" w:usb3="00000000" w:csb0="4002009F" w:csb1="DFD70000"/>
  </w:font>
  <w:font w:name="MingLiU-ExtB">
    <w:panose1 w:val="02020500000000000000"/>
    <w:charset w:val="88"/>
    <w:family w:val="auto"/>
    <w:pitch w:val="default"/>
    <w:sig w:usb0="8000002F" w:usb1="02000008" w:usb2="00000000" w:usb3="00000000" w:csb0="00100001" w:csb1="00000000"/>
  </w:font>
  <w:font w:name="方正舒体">
    <w:panose1 w:val="02010601030101010101"/>
    <w:charset w:val="86"/>
    <w:family w:val="auto"/>
    <w:pitch w:val="default"/>
    <w:sig w:usb0="00000003" w:usb1="080E0000" w:usb2="00000000" w:usb3="00000000" w:csb0="00040000" w:csb1="00000000"/>
  </w:font>
  <w:font w:name="Meiryo">
    <w:panose1 w:val="020B0604030504040204"/>
    <w:charset w:val="80"/>
    <w:family w:val="auto"/>
    <w:pitch w:val="default"/>
    <w:sig w:usb0="E10102FF" w:usb1="EAC7FFFF" w:usb2="00010012" w:usb3="00000000" w:csb0="6002009F" w:csb1="DFD70000"/>
  </w:font>
  <w:font w:name="黑体">
    <w:panose1 w:val="02010609060101010101"/>
    <w:charset w:val="86"/>
    <w:family w:val="roman"/>
    <w:pitch w:val="default"/>
    <w:sig w:usb0="800002BF" w:usb1="38CF7CFA" w:usb2="00000016" w:usb3="00000000" w:csb0="00040001" w:csb1="00000000"/>
  </w:font>
  <w:font w:name="Adobe 宋体 Std L">
    <w:altName w:val="Arial Unicode MS"/>
    <w:panose1 w:val="00000000000000000000"/>
    <w:charset w:val="86"/>
    <w:family w:val="decorative"/>
    <w:pitch w:val="default"/>
    <w:sig w:usb0="00000000" w:usb1="00000000" w:usb2="00000016" w:usb3="00000000" w:csb0="00060007" w:csb1="00000000"/>
  </w:font>
  <w:font w:name="Garamond">
    <w:panose1 w:val="02020404030301010803"/>
    <w:charset w:val="00"/>
    <w:family w:val="decorative"/>
    <w:pitch w:val="default"/>
    <w:sig w:usb0="00000287" w:usb1="00000000" w:usb2="00000000" w:usb3="00000000" w:csb0="0000009F" w:csb1="DFD70000"/>
  </w:font>
  <w:font w:name="??">
    <w:altName w:val="Times New Roman"/>
    <w:panose1 w:val="00000000000000000000"/>
    <w:charset w:val="00"/>
    <w:family w:val="decorative"/>
    <w:pitch w:val="default"/>
    <w:sig w:usb0="00000000" w:usb1="00000000" w:usb2="00000000" w:usb3="00000000" w:csb0="00000001" w:csb1="00000000"/>
  </w:font>
  <w:font w:name="Plotter">
    <w:altName w:val="Times New Roman"/>
    <w:panose1 w:val="00000000000000000000"/>
    <w:charset w:val="00"/>
    <w:family w:val="decorative"/>
    <w:pitch w:val="default"/>
    <w:sig w:usb0="00000000" w:usb1="00000000" w:usb2="00000000" w:usb3="00000000" w:csb0="00000001" w:csb1="00000000"/>
  </w:font>
  <w:font w:name="Hei">
    <w:altName w:val="Times New Roman"/>
    <w:panose1 w:val="00000000000000000000"/>
    <w:charset w:val="00"/>
    <w:family w:val="decorative"/>
    <w:pitch w:val="default"/>
    <w:sig w:usb0="00000000" w:usb1="00000000" w:usb2="00000000" w:usb3="00000000" w:csb0="00040001" w:csb1="00000000"/>
  </w:font>
  <w:font w:name="Tahoma">
    <w:panose1 w:val="020B0604030504040204"/>
    <w:charset w:val="00"/>
    <w:family w:val="modern"/>
    <w:pitch w:val="default"/>
    <w:sig w:usb0="E1002EFF" w:usb1="C000605B" w:usb2="00000029" w:usb3="00000000" w:csb0="200101FF" w:csb1="20280000"/>
  </w:font>
  <w:font w:name="new times roma">
    <w:altName w:val="Times New Roman"/>
    <w:panose1 w:val="00000000000000000000"/>
    <w:charset w:val="00"/>
    <w:family w:val="swiss"/>
    <w:pitch w:val="default"/>
    <w:sig w:usb0="00000000" w:usb1="00000000" w:usb2="00000000" w:usb3="00000000" w:csb0="00000001" w:csb1="00000000"/>
  </w:font>
  <w:font w:name="楷体">
    <w:panose1 w:val="02010609060101010101"/>
    <w:charset w:val="86"/>
    <w:family w:val="roman"/>
    <w:pitch w:val="default"/>
    <w:sig w:usb0="800002BF" w:usb1="38CF7CFA" w:usb2="00000016" w:usb3="00000000" w:csb0="00040001" w:csb1="00000000"/>
  </w:font>
  <w:font w:name="Arial Black">
    <w:panose1 w:val="020B0A04020102020204"/>
    <w:charset w:val="00"/>
    <w:family w:val="modern"/>
    <w:pitch w:val="default"/>
    <w:sig w:usb0="00000287" w:usb1="00000000" w:usb2="00000000" w:usb3="00000000" w:csb0="2000009F" w:csb1="DFD70000"/>
  </w:font>
  <w:font w:name="仿宋体">
    <w:altName w:val="仿宋"/>
    <w:panose1 w:val="00000000000000000000"/>
    <w:charset w:val="86"/>
    <w:family w:val="roman"/>
    <w:pitch w:val="default"/>
    <w:sig w:usb0="00000000" w:usb1="00000000" w:usb2="00000010" w:usb3="00000000" w:csb0="00040000" w:csb1="00000000"/>
  </w:font>
  <w:font w:name="隶书">
    <w:panose1 w:val="02010509060101010101"/>
    <w:charset w:val="86"/>
    <w:family w:val="roman"/>
    <w:pitch w:val="default"/>
    <w:sig w:usb0="00000001" w:usb1="080E0000" w:usb2="00000000" w:usb3="00000000" w:csb0="00040000" w:csb1="00000000"/>
  </w:font>
  <w:font w:name="Batang">
    <w:panose1 w:val="02030600000101010101"/>
    <w:charset w:val="81"/>
    <w:family w:val="decorative"/>
    <w:pitch w:val="default"/>
    <w:sig w:usb0="B00002AF" w:usb1="69D77CFB" w:usb2="00000030" w:usb3="00000000" w:csb0="4008009F" w:csb1="DFD70000"/>
  </w:font>
  <w:font w:name="Arial Unicode MS">
    <w:panose1 w:val="020B0604020202020204"/>
    <w:charset w:val="86"/>
    <w:family w:val="modern"/>
    <w:pitch w:val="default"/>
    <w:sig w:usb0="FFFFFFFF" w:usb1="E9FFFFFF" w:usb2="0000003F" w:usb3="00000000" w:csb0="603F01FF" w:csb1="FFFF0000"/>
  </w:font>
  <w:font w:name="幼圆">
    <w:panose1 w:val="02010509060101010101"/>
    <w:charset w:val="86"/>
    <w:family w:val="roman"/>
    <w:pitch w:val="default"/>
    <w:sig w:usb0="00000001" w:usb1="080E0000" w:usb2="00000000" w:usb3="00000000" w:csb0="00040000" w:csb1="00000000"/>
  </w:font>
  <w:font w:name="Times">
    <w:altName w:val="Times New Roman"/>
    <w:panose1 w:val="02020603050405020304"/>
    <w:charset w:val="00"/>
    <w:family w:val="decorative"/>
    <w:pitch w:val="default"/>
    <w:sig w:usb0="00000000" w:usb1="00000000" w:usb2="00000009" w:usb3="00000000" w:csb0="000001FF" w:csb1="00000000"/>
  </w:font>
  <w:font w:name="Impact">
    <w:panose1 w:val="020B0806030902050204"/>
    <w:charset w:val="00"/>
    <w:family w:val="modern"/>
    <w:pitch w:val="default"/>
    <w:sig w:usb0="00000287" w:usb1="00000000" w:usb2="00000000" w:usb3="00000000" w:csb0="2000009F" w:csb1="DFD70000"/>
  </w:font>
  <w:font w:name="全真楷書">
    <w:altName w:val="PMingLiU"/>
    <w:panose1 w:val="00000000000000000000"/>
    <w:charset w:val="88"/>
    <w:family w:val="decorative"/>
    <w:pitch w:val="default"/>
    <w:sig w:usb0="00000000" w:usb1="00000000" w:usb2="00000010" w:usb3="00000000" w:csb0="00100000" w:csb1="00000000"/>
  </w:font>
  <w:font w:name="Dutch801 Rm BT">
    <w:altName w:val="Segoe Print"/>
    <w:panose1 w:val="00000000000000000000"/>
    <w:charset w:val="00"/>
    <w:family w:val="decorative"/>
    <w:pitch w:val="default"/>
    <w:sig w:usb0="00000000" w:usb1="00000000" w:usb2="00000000" w:usb3="00000000" w:csb0="0000001B" w:csb1="00000000"/>
  </w:font>
  <w:font w:name="@黑体">
    <w:panose1 w:val="02010609060101010101"/>
    <w:charset w:val="86"/>
    <w:family w:val="roman"/>
    <w:pitch w:val="default"/>
    <w:sig w:usb0="800002BF" w:usb1="38CF7CFA" w:usb2="00000016" w:usb3="00000000" w:csb0="00040001" w:csb1="00000000"/>
  </w:font>
  <w:font w:name="Bookman Old Style">
    <w:panose1 w:val="02050604050505020204"/>
    <w:charset w:val="00"/>
    <w:family w:val="decorative"/>
    <w:pitch w:val="default"/>
    <w:sig w:usb0="00000287" w:usb1="00000000" w:usb2="00000000" w:usb3="00000000" w:csb0="2000009F" w:csb1="DFD70000"/>
  </w:font>
  <w:font w:name="Arial Narrow">
    <w:panose1 w:val="020B0606020202030204"/>
    <w:charset w:val="00"/>
    <w:family w:val="modern"/>
    <w:pitch w:val="default"/>
    <w:sig w:usb0="00000287" w:usb1="00000800" w:usb2="00000000" w:usb3="00000000" w:csb0="2000009F" w:csb1="DFD70000"/>
  </w:font>
  <w:font w:name="隶书体">
    <w:altName w:val="宋体"/>
    <w:panose1 w:val="00000000000000000000"/>
    <w:charset w:val="86"/>
    <w:family w:val="modern"/>
    <w:pitch w:val="default"/>
    <w:sig w:usb0="00000000" w:usb1="00000000" w:usb2="00000010" w:usb3="00000000" w:csb0="00040000" w:csb1="00000000"/>
  </w:font>
  <w:font w:name="Century Gothic">
    <w:panose1 w:val="020B0502020202020204"/>
    <w:charset w:val="00"/>
    <w:family w:val="modern"/>
    <w:pitch w:val="default"/>
    <w:sig w:usb0="00000287" w:usb1="00000000" w:usb2="00000000" w:usb3="00000000" w:csb0="2000009F" w:csb1="DFD70000"/>
  </w:font>
  <w:font w:name="MS Minchofalt">
    <w:altName w:val="MS Gothic"/>
    <w:panose1 w:val="00000000000000000000"/>
    <w:charset w:val="80"/>
    <w:family w:val="modern"/>
    <w:pitch w:val="default"/>
    <w:sig w:usb0="00000000" w:usb1="00000000" w:usb2="00000010" w:usb3="00000000" w:csb0="00020000" w:csb1="00000000"/>
  </w:font>
  <w:font w:name="華康細圓體">
    <w:altName w:val="PMingLiU"/>
    <w:panose1 w:val="00000000000000000000"/>
    <w:charset w:val="88"/>
    <w:family w:val="roman"/>
    <w:pitch w:val="default"/>
    <w:sig w:usb0="00000000" w:usb1="00000000" w:usb2="00000010" w:usb3="00000000" w:csb0="00100000" w:csb1="00000000"/>
  </w:font>
  <w:font w:name="PMingLiUfalt">
    <w:altName w:val="MingLiU-ExtB"/>
    <w:panose1 w:val="00000000000000000000"/>
    <w:charset w:val="88"/>
    <w:family w:val="roman"/>
    <w:pitch w:val="default"/>
    <w:sig w:usb0="00000000" w:usb1="00000000" w:usb2="00000010" w:usb3="00000000" w:csb0="00100000" w:csb1="00000000"/>
  </w:font>
  <w:font w:name="Book Antiqua">
    <w:panose1 w:val="02040602050305030304"/>
    <w:charset w:val="00"/>
    <w:family w:val="decorative"/>
    <w:pitch w:val="default"/>
    <w:sig w:usb0="00000287" w:usb1="00000000" w:usb2="00000000" w:usb3="00000000" w:csb0="2000009F" w:csb1="DFD70000"/>
  </w:font>
  <w:font w:name="MS Sans Serif">
    <w:altName w:val="Arial"/>
    <w:panose1 w:val="00000000000000000000"/>
    <w:charset w:val="00"/>
    <w:family w:val="modern"/>
    <w:pitch w:val="default"/>
    <w:sig w:usb0="00000000" w:usb1="00000000" w:usb2="00000000" w:usb3="00000000" w:csb0="00000001" w:csb1="00000000"/>
  </w:font>
  <w:font w:name="Baskerville Old Face">
    <w:panose1 w:val="02020602080505020303"/>
    <w:charset w:val="00"/>
    <w:family w:val="decorative"/>
    <w:pitch w:val="default"/>
    <w:sig w:usb0="00000003" w:usb1="00000000" w:usb2="00000000" w:usb3="00000000" w:csb0="20000001" w:csb1="00000000"/>
  </w:font>
  <w:font w:name="ˎ̥">
    <w:altName w:val="Times New Roman"/>
    <w:panose1 w:val="00000000000000000000"/>
    <w:charset w:val="00"/>
    <w:family w:val="decorative"/>
    <w:pitch w:val="default"/>
    <w:sig w:usb0="00000000" w:usb1="00000000" w:usb2="00000000" w:usb3="00000000" w:csb0="00040001" w:csb1="00000000"/>
  </w:font>
  <w:font w:name="PMingLiU">
    <w:panose1 w:val="02020500000000000000"/>
    <w:charset w:val="88"/>
    <w:family w:val="decorative"/>
    <w:pitch w:val="default"/>
    <w:sig w:usb0="A00002FF" w:usb1="28CFFCFA" w:usb2="00000016" w:usb3="00000000" w:csb0="00100001" w:csb1="00000000"/>
  </w:font>
  <w:font w:name="華康中楷體">
    <w:altName w:val="PMingLiU"/>
    <w:panose1 w:val="00000000000000000000"/>
    <w:charset w:val="88"/>
    <w:family w:val="roman"/>
    <w:pitch w:val="default"/>
    <w:sig w:usb0="00000000" w:usb1="00000000" w:usb2="00000010" w:usb3="00000000" w:csb0="00100000" w:csb1="00000000"/>
  </w:font>
  <w:font w:name="Gulim">
    <w:panose1 w:val="020B0600000101010101"/>
    <w:charset w:val="81"/>
    <w:family w:val="modern"/>
    <w:pitch w:val="default"/>
    <w:sig w:usb0="B00002AF" w:usb1="69D77CFB" w:usb2="00000030" w:usb3="00000000" w:csb0="4008009F" w:csb1="DFD70000"/>
  </w:font>
  <w:font w:name="..ì.+2+1">
    <w:altName w:val="宋体"/>
    <w:panose1 w:val="00000000000000000000"/>
    <w:charset w:val="86"/>
    <w:family w:val="modern"/>
    <w:pitch w:val="default"/>
    <w:sig w:usb0="00000000" w:usb1="00000000" w:usb2="00000010" w:usb3="00000000" w:csb0="00040000" w:csb1="00000000"/>
  </w:font>
  <w:font w:name="Helv">
    <w:altName w:val="Segoe Print"/>
    <w:panose1 w:val="020B0604020202030204"/>
    <w:charset w:val="00"/>
    <w:family w:val="modern"/>
    <w:pitch w:val="default"/>
    <w:sig w:usb0="00000000" w:usb1="00000000" w:usb2="00000000" w:usb3="00000000" w:csb0="00000001" w:csb1="00000000"/>
  </w:font>
  <w:font w:name="PMingLiU-ExtB">
    <w:panose1 w:val="02020500000000000000"/>
    <w:charset w:val="88"/>
    <w:family w:val="decorative"/>
    <w:pitch w:val="default"/>
    <w:sig w:usb0="8000002F" w:usb1="02000008" w:usb2="00000000" w:usb3="00000000" w:csb0="00100001" w:csb1="00000000"/>
  </w:font>
  <w:font w:name="Cambria Math">
    <w:panose1 w:val="02040503050406030204"/>
    <w:charset w:val="00"/>
    <w:family w:val="decorative"/>
    <w:pitch w:val="default"/>
    <w:sig w:usb0="E00002FF" w:usb1="420024FF" w:usb2="00000000" w:usb3="00000000" w:csb0="2000019F" w:csb1="00000000"/>
  </w:font>
  <w:font w:name="MS Mincho">
    <w:panose1 w:val="02020609040205080304"/>
    <w:charset w:val="80"/>
    <w:family w:val="roman"/>
    <w:pitch w:val="default"/>
    <w:sig w:usb0="E00002FF" w:usb1="6AC7FDFB" w:usb2="00000012" w:usb3="00000000" w:csb0="4002009F" w:csb1="DFD70000"/>
  </w:font>
  <w:font w:name="_5b8b_4f53">
    <w:altName w:val="Times New Roman"/>
    <w:panose1 w:val="00000000000000000000"/>
    <w:charset w:val="00"/>
    <w:family w:val="decorative"/>
    <w:pitch w:val="default"/>
    <w:sig w:usb0="00000000" w:usb1="00000000" w:usb2="00000000" w:usb3="00000000" w:csb0="00000000" w:csb1="00000000"/>
  </w:font>
  <w:font w:name="黑体">
    <w:panose1 w:val="02010609060101010101"/>
    <w:charset w:val="86"/>
    <w:family w:val="modern"/>
    <w:pitch w:val="default"/>
    <w:sig w:usb0="800002BF" w:usb1="38CF7CFA" w:usb2="00000016" w:usb3="00000000" w:csb0="00040001" w:csb1="00000000"/>
  </w:font>
  <w:font w:name="Adobe 宋体 Std L">
    <w:altName w:val="Arial Unicode MS"/>
    <w:panose1 w:val="00000000000000000000"/>
    <w:charset w:val="86"/>
    <w:family w:val="roman"/>
    <w:pitch w:val="default"/>
    <w:sig w:usb0="00000000" w:usb1="00000000" w:usb2="00000016" w:usb3="00000000" w:csb0="00060007" w:csb1="00000000"/>
  </w:font>
  <w:font w:name="Garamond">
    <w:panose1 w:val="02020404030301010803"/>
    <w:charset w:val="00"/>
    <w:family w:val="roman"/>
    <w:pitch w:val="default"/>
    <w:sig w:usb0="00000287" w:usb1="00000000" w:usb2="00000000" w:usb3="00000000" w:csb0="0000009F" w:csb1="DFD70000"/>
  </w:font>
  <w:font w:name="??">
    <w:altName w:val="Times New Roman"/>
    <w:panose1 w:val="00000000000000000000"/>
    <w:charset w:val="00"/>
    <w:family w:val="roman"/>
    <w:pitch w:val="default"/>
    <w:sig w:usb0="00000000" w:usb1="00000000" w:usb2="00000000" w:usb3="00000000" w:csb0="00000001" w:csb1="00000000"/>
  </w:font>
  <w:font w:name="Plotter">
    <w:altName w:val="Times New Roman"/>
    <w:panose1 w:val="00000000000000000000"/>
    <w:charset w:val="00"/>
    <w:family w:val="roman"/>
    <w:pitch w:val="default"/>
    <w:sig w:usb0="00000000" w:usb1="00000000" w:usb2="00000000" w:usb3="00000000" w:csb0="00000001" w:csb1="00000000"/>
  </w:font>
  <w:font w:name="Hei">
    <w:altName w:val="Times New Roman"/>
    <w:panose1 w:val="00000000000000000000"/>
    <w:charset w:val="00"/>
    <w:family w:val="roman"/>
    <w:pitch w:val="default"/>
    <w:sig w:usb0="00000000" w:usb1="00000000" w:usb2="00000000" w:usb3="00000000" w:csb0="00040001" w:csb1="00000000"/>
  </w:font>
  <w:font w:name="Tahoma">
    <w:panose1 w:val="020B0604030504040204"/>
    <w:charset w:val="00"/>
    <w:family w:val="swiss"/>
    <w:pitch w:val="default"/>
    <w:sig w:usb0="E1002EFF" w:usb1="C000605B" w:usb2="00000029" w:usb3="00000000" w:csb0="200101FF" w:csb1="20280000"/>
  </w:font>
  <w:font w:name="new times roma">
    <w:altName w:val="Times New Roman"/>
    <w:panose1 w:val="00000000000000000000"/>
    <w:charset w:val="00"/>
    <w:family w:val="decorative"/>
    <w:pitch w:val="default"/>
    <w:sig w:usb0="00000000" w:usb1="00000000" w:usb2="00000000" w:usb3="00000000" w:csb0="00000001" w:csb1="00000000"/>
  </w:font>
  <w:font w:name="楷体">
    <w:panose1 w:val="02010609060101010101"/>
    <w:charset w:val="86"/>
    <w:family w:val="modern"/>
    <w:pitch w:val="default"/>
    <w:sig w:usb0="800002BF" w:usb1="38CF7CFA" w:usb2="00000016" w:usb3="00000000" w:csb0="00040001" w:csb1="00000000"/>
  </w:font>
  <w:font w:name="Arial Black">
    <w:panose1 w:val="020B0A04020102020204"/>
    <w:charset w:val="00"/>
    <w:family w:val="swiss"/>
    <w:pitch w:val="default"/>
    <w:sig w:usb0="00000287" w:usb1="00000000" w:usb2="00000000" w:usb3="00000000" w:csb0="2000009F" w:csb1="DFD70000"/>
  </w:font>
  <w:font w:name="仿宋体">
    <w:altName w:val="仿宋"/>
    <w:panose1 w:val="00000000000000000000"/>
    <w:charset w:val="86"/>
    <w:family w:val="modern"/>
    <w:pitch w:val="default"/>
    <w:sig w:usb0="00000000" w:usb1="00000000" w:usb2="00000010" w:usb3="00000000" w:csb0="00040000" w:csb1="00000000"/>
  </w:font>
  <w:font w:name="隶书">
    <w:panose1 w:val="02010509060101010101"/>
    <w:charset w:val="86"/>
    <w:family w:val="modern"/>
    <w:pitch w:val="default"/>
    <w:sig w:usb0="00000001" w:usb1="080E0000" w:usb2="00000000" w:usb3="00000000" w:csb0="00040000" w:csb1="00000000"/>
  </w:font>
  <w:font w:name="Batang">
    <w:panose1 w:val="02030600000101010101"/>
    <w:charset w:val="81"/>
    <w:family w:val="roman"/>
    <w:pitch w:val="default"/>
    <w:sig w:usb0="B00002AF" w:usb1="69D77CFB" w:usb2="00000030" w:usb3="00000000" w:csb0="4008009F" w:csb1="DFD70000"/>
  </w:font>
  <w:font w:name="Arial Unicode MS">
    <w:panose1 w:val="020B0604020202020204"/>
    <w:charset w:val="86"/>
    <w:family w:val="swiss"/>
    <w:pitch w:val="default"/>
    <w:sig w:usb0="FFFFFFFF" w:usb1="E9FFFFFF" w:usb2="0000003F" w:usb3="00000000" w:csb0="603F01FF" w:csb1="FFFF0000"/>
  </w:font>
  <w:font w:name="幼圆">
    <w:panose1 w:val="02010509060101010101"/>
    <w:charset w:val="86"/>
    <w:family w:val="modern"/>
    <w:pitch w:val="default"/>
    <w:sig w:usb0="00000001" w:usb1="080E0000" w:usb2="00000000" w:usb3="00000000" w:csb0="00040000" w:csb1="00000000"/>
  </w:font>
  <w:font w:name="Times">
    <w:altName w:val="Times New Roman"/>
    <w:panose1 w:val="02020603050405020304"/>
    <w:charset w:val="00"/>
    <w:family w:val="roman"/>
    <w:pitch w:val="default"/>
    <w:sig w:usb0="00000000" w:usb1="00000000" w:usb2="00000009" w:usb3="00000000" w:csb0="000001FF" w:csb1="00000000"/>
  </w:font>
  <w:font w:name="Impact">
    <w:panose1 w:val="020B0806030902050204"/>
    <w:charset w:val="00"/>
    <w:family w:val="swiss"/>
    <w:pitch w:val="default"/>
    <w:sig w:usb0="00000287" w:usb1="00000000" w:usb2="00000000" w:usb3="00000000" w:csb0="2000009F" w:csb1="DFD70000"/>
  </w:font>
  <w:font w:name="全真楷書">
    <w:altName w:val="PMingLiU"/>
    <w:panose1 w:val="00000000000000000000"/>
    <w:charset w:val="88"/>
    <w:family w:val="roman"/>
    <w:pitch w:val="default"/>
    <w:sig w:usb0="00000000" w:usb1="00000000" w:usb2="00000010" w:usb3="00000000" w:csb0="00100000" w:csb1="00000000"/>
  </w:font>
  <w:font w:name="Dutch801 Rm BT">
    <w:altName w:val="Segoe Print"/>
    <w:panose1 w:val="00000000000000000000"/>
    <w:charset w:val="00"/>
    <w:family w:val="roman"/>
    <w:pitch w:val="default"/>
    <w:sig w:usb0="00000000" w:usb1="00000000" w:usb2="00000000" w:usb3="00000000" w:csb0="0000001B" w:csb1="00000000"/>
  </w:font>
  <w:font w:name="@黑体">
    <w:panose1 w:val="02010609060101010101"/>
    <w:charset w:val="86"/>
    <w:family w:val="modern"/>
    <w:pitch w:val="default"/>
    <w:sig w:usb0="800002BF" w:usb1="38CF7CFA" w:usb2="00000016" w:usb3="00000000" w:csb0="00040001" w:csb1="00000000"/>
  </w:font>
  <w:font w:name="Bookman Old Style">
    <w:panose1 w:val="02050604050505020204"/>
    <w:charset w:val="00"/>
    <w:family w:val="roman"/>
    <w:pitch w:val="default"/>
    <w:sig w:usb0="00000287" w:usb1="00000000" w:usb2="00000000" w:usb3="00000000" w:csb0="2000009F" w:csb1="DFD70000"/>
  </w:font>
  <w:font w:name="Arial Narrow">
    <w:panose1 w:val="020B0606020202030204"/>
    <w:charset w:val="00"/>
    <w:family w:val="swiss"/>
    <w:pitch w:val="default"/>
    <w:sig w:usb0="00000287" w:usb1="00000800" w:usb2="00000000" w:usb3="00000000" w:csb0="2000009F" w:csb1="DFD70000"/>
  </w:font>
  <w:font w:name="隶书体">
    <w:altName w:val="宋体"/>
    <w:panose1 w:val="00000000000000000000"/>
    <w:charset w:val="86"/>
    <w:family w:val="swiss"/>
    <w:pitch w:val="default"/>
    <w:sig w:usb0="00000000" w:usb1="00000000" w:usb2="00000010" w:usb3="00000000" w:csb0="00040000" w:csb1="00000000"/>
  </w:font>
  <w:font w:name="Century Gothic">
    <w:panose1 w:val="020B0502020202020204"/>
    <w:charset w:val="00"/>
    <w:family w:val="swiss"/>
    <w:pitch w:val="default"/>
    <w:sig w:usb0="00000287" w:usb1="00000000" w:usb2="00000000" w:usb3="00000000" w:csb0="2000009F" w:csb1="DFD70000"/>
  </w:font>
  <w:font w:name="MS Minchofalt">
    <w:altName w:val="MS Gothic"/>
    <w:panose1 w:val="00000000000000000000"/>
    <w:charset w:val="80"/>
    <w:family w:val="swiss"/>
    <w:pitch w:val="default"/>
    <w:sig w:usb0="00000000" w:usb1="00000000" w:usb2="00000010" w:usb3="00000000" w:csb0="00020000" w:csb1="00000000"/>
  </w:font>
  <w:font w:name="華康細圓體">
    <w:altName w:val="PMingLiU"/>
    <w:panose1 w:val="00000000000000000000"/>
    <w:charset w:val="88"/>
    <w:family w:val="modern"/>
    <w:pitch w:val="default"/>
    <w:sig w:usb0="00000000" w:usb1="00000000" w:usb2="00000010" w:usb3="00000000" w:csb0="00100000" w:csb1="00000000"/>
  </w:font>
  <w:font w:name="PMingLiUfalt">
    <w:altName w:val="MingLiU-ExtB"/>
    <w:panose1 w:val="00000000000000000000"/>
    <w:charset w:val="88"/>
    <w:family w:val="modern"/>
    <w:pitch w:val="default"/>
    <w:sig w:usb0="00000000" w:usb1="00000000" w:usb2="00000010" w:usb3="00000000" w:csb0="00100000" w:csb1="00000000"/>
  </w:font>
  <w:font w:name="Book Antiqua">
    <w:panose1 w:val="02040602050305030304"/>
    <w:charset w:val="00"/>
    <w:family w:val="roman"/>
    <w:pitch w:val="default"/>
    <w:sig w:usb0="00000287" w:usb1="00000000" w:usb2="00000000" w:usb3="00000000" w:csb0="2000009F" w:csb1="DFD70000"/>
  </w:font>
  <w:font w:name="MS Sans Serif">
    <w:altName w:val="Arial"/>
    <w:panose1 w:val="00000000000000000000"/>
    <w:charset w:val="00"/>
    <w:family w:val="swiss"/>
    <w:pitch w:val="default"/>
    <w:sig w:usb0="00000000" w:usb1="00000000" w:usb2="00000000" w:usb3="00000000" w:csb0="00000001" w:csb1="00000000"/>
  </w:font>
  <w:font w:name="Baskerville Old Face">
    <w:panose1 w:val="02020602080505020303"/>
    <w:charset w:val="00"/>
    <w:family w:val="roman"/>
    <w:pitch w:val="default"/>
    <w:sig w:usb0="00000003" w:usb1="00000000" w:usb2="00000000" w:usb3="00000000" w:csb0="20000001" w:csb1="00000000"/>
  </w:font>
  <w:font w:name="ˎ̥">
    <w:altName w:val="Times New Roman"/>
    <w:panose1 w:val="00000000000000000000"/>
    <w:charset w:val="00"/>
    <w:family w:val="roman"/>
    <w:pitch w:val="default"/>
    <w:sig w:usb0="00000000" w:usb1="00000000" w:usb2="00000000" w:usb3="00000000" w:csb0="00040001" w:csb1="00000000"/>
  </w:font>
  <w:font w:name="PMingLiU">
    <w:panose1 w:val="02020500000000000000"/>
    <w:charset w:val="88"/>
    <w:family w:val="roman"/>
    <w:pitch w:val="default"/>
    <w:sig w:usb0="A00002FF" w:usb1="28CFFCFA" w:usb2="00000016" w:usb3="00000000" w:csb0="00100001" w:csb1="00000000"/>
  </w:font>
  <w:font w:name="華康中楷體">
    <w:altName w:val="PMingLiU"/>
    <w:panose1 w:val="00000000000000000000"/>
    <w:charset w:val="88"/>
    <w:family w:val="modern"/>
    <w:pitch w:val="default"/>
    <w:sig w:usb0="00000000" w:usb1="00000000" w:usb2="00000010" w:usb3="00000000" w:csb0="00100000" w:csb1="00000000"/>
  </w:font>
  <w:font w:name="Gulim">
    <w:panose1 w:val="020B0600000101010101"/>
    <w:charset w:val="81"/>
    <w:family w:val="swiss"/>
    <w:pitch w:val="default"/>
    <w:sig w:usb0="B00002AF" w:usb1="69D77CFB" w:usb2="00000030" w:usb3="00000000" w:csb0="4008009F" w:csb1="DFD70000"/>
  </w:font>
  <w:font w:name="..ì.+2+1">
    <w:altName w:val="宋体"/>
    <w:panose1 w:val="00000000000000000000"/>
    <w:charset w:val="86"/>
    <w:family w:val="swiss"/>
    <w:pitch w:val="default"/>
    <w:sig w:usb0="00000000" w:usb1="00000000" w:usb2="00000010" w:usb3="00000000" w:csb0="00040000" w:csb1="00000000"/>
  </w:font>
  <w:font w:name="Helv">
    <w:altName w:val="Segoe Print"/>
    <w:panose1 w:val="020B0604020202030204"/>
    <w:charset w:val="00"/>
    <w:family w:val="swiss"/>
    <w:pitch w:val="default"/>
    <w:sig w:usb0="00000000" w:usb1="00000000" w:usb2="00000000" w:usb3="00000000" w:csb0="00000001" w:csb1="00000000"/>
  </w:font>
  <w:font w:name="PMingLiU-ExtB">
    <w:panose1 w:val="02020500000000000000"/>
    <w:charset w:val="88"/>
    <w:family w:val="roman"/>
    <w:pitch w:val="default"/>
    <w:sig w:usb0="8000002F" w:usb1="02000008" w:usb2="00000000" w:usb3="00000000" w:csb0="00100001" w:csb1="00000000"/>
  </w:font>
  <w:font w:name="Cambria Math">
    <w:panose1 w:val="02040503050406030204"/>
    <w:charset w:val="00"/>
    <w:family w:val="roman"/>
    <w:pitch w:val="default"/>
    <w:sig w:usb0="E00002FF" w:usb1="420024FF" w:usb2="00000000" w:usb3="00000000" w:csb0="2000019F" w:csb1="00000000"/>
  </w:font>
  <w:font w:name="MS Mincho">
    <w:panose1 w:val="02020609040205080304"/>
    <w:charset w:val="80"/>
    <w:family w:val="modern"/>
    <w:pitch w:val="default"/>
    <w:sig w:usb0="E00002FF" w:usb1="6AC7FDFB" w:usb2="00000012" w:usb3="00000000" w:csb0="4002009F" w:csb1="DFD70000"/>
  </w:font>
  <w:font w:name="_5b8b_4f53">
    <w:altName w:val="Times New Roman"/>
    <w:panose1 w:val="00000000000000000000"/>
    <w:charset w:val="00"/>
    <w:family w:val="roman"/>
    <w:pitch w:val="default"/>
    <w:sig w:usb0="00000000" w:usb1="00000000" w:usb2="00000000" w:usb3="00000000" w:csb0="00000000" w:csb1="00000000"/>
  </w:font>
  <w:font w:name="Microsoft JhengHei Light">
    <w:altName w:val="Microsoft JhengHei"/>
    <w:panose1 w:val="020B0304030504040204"/>
    <w:charset w:val="88"/>
    <w:family w:val="roman"/>
    <w:pitch w:val="default"/>
    <w:sig w:usb0="00000000" w:usb1="00000000" w:usb2="00000016" w:usb3="00000000" w:csb0="00100009" w:csb1="00000000"/>
  </w:font>
  <w:font w:name="Calibri">
    <w:panose1 w:val="020F0502020204030204"/>
    <w:charset w:val="01"/>
    <w:family w:val="auto"/>
    <w:pitch w:val="default"/>
    <w:sig w:usb0="E00002FF" w:usb1="4000ACFF" w:usb2="00000001" w:usb3="00000000" w:csb0="2000019F" w:csb1="00000000"/>
  </w:font>
  <w:font w:name="黑体">
    <w:panose1 w:val="02010609060101010101"/>
    <w:charset w:val="86"/>
    <w:family w:val="swiss"/>
    <w:pitch w:val="default"/>
    <w:sig w:usb0="800002BF" w:usb1="38CF7CFA" w:usb2="00000016" w:usb3="00000000" w:csb0="00040001" w:csb1="00000000"/>
  </w:font>
  <w:font w:name="Adobe 宋体 Std L">
    <w:altName w:val="Arial Unicode MS"/>
    <w:panose1 w:val="00000000000000000000"/>
    <w:charset w:val="86"/>
    <w:family w:val="modern"/>
    <w:pitch w:val="default"/>
    <w:sig w:usb0="00000000" w:usb1="00000000" w:usb2="00000016" w:usb3="00000000" w:csb0="00060007" w:csb1="00000000"/>
  </w:font>
  <w:font w:name="Garamond">
    <w:panose1 w:val="02020404030301010803"/>
    <w:charset w:val="00"/>
    <w:family w:val="modern"/>
    <w:pitch w:val="default"/>
    <w:sig w:usb0="00000287" w:usb1="00000000" w:usb2="00000000" w:usb3="00000000" w:csb0="0000009F" w:csb1="DFD70000"/>
  </w:font>
  <w:font w:name="??">
    <w:altName w:val="Times New Roman"/>
    <w:panose1 w:val="00000000000000000000"/>
    <w:charset w:val="00"/>
    <w:family w:val="modern"/>
    <w:pitch w:val="default"/>
    <w:sig w:usb0="00000000" w:usb1="00000000" w:usb2="00000000" w:usb3="00000000" w:csb0="00000001" w:csb1="00000000"/>
  </w:font>
  <w:font w:name="Plotter">
    <w:altName w:val="Times New Roman"/>
    <w:panose1 w:val="00000000000000000000"/>
    <w:charset w:val="00"/>
    <w:family w:val="modern"/>
    <w:pitch w:val="default"/>
    <w:sig w:usb0="00000000" w:usb1="00000000" w:usb2="00000000" w:usb3="00000000" w:csb0="00000001" w:csb1="00000000"/>
  </w:font>
  <w:font w:name="Hei">
    <w:altName w:val="Times New Roman"/>
    <w:panose1 w:val="00000000000000000000"/>
    <w:charset w:val="00"/>
    <w:family w:val="modern"/>
    <w:pitch w:val="default"/>
    <w:sig w:usb0="00000000" w:usb1="00000000" w:usb2="00000000" w:usb3="00000000" w:csb0="00040001" w:csb1="00000000"/>
  </w:font>
  <w:font w:name="Tahoma">
    <w:panose1 w:val="020B0604030504040204"/>
    <w:charset w:val="00"/>
    <w:family w:val="decorative"/>
    <w:pitch w:val="default"/>
    <w:sig w:usb0="E1002EFF" w:usb1="C000605B" w:usb2="00000029" w:usb3="00000000" w:csb0="200101FF" w:csb1="20280000"/>
  </w:font>
  <w:font w:name="new times roma">
    <w:altName w:val="Times New Roman"/>
    <w:panose1 w:val="00000000000000000000"/>
    <w:charset w:val="00"/>
    <w:family w:val="roman"/>
    <w:pitch w:val="default"/>
    <w:sig w:usb0="00000000" w:usb1="00000000" w:usb2="00000000" w:usb3="00000000" w:csb0="00000001" w:csb1="00000000"/>
  </w:font>
  <w:font w:name="楷体">
    <w:panose1 w:val="02010609060101010101"/>
    <w:charset w:val="86"/>
    <w:family w:val="swiss"/>
    <w:pitch w:val="default"/>
    <w:sig w:usb0="800002BF" w:usb1="38CF7CFA" w:usb2="00000016" w:usb3="00000000" w:csb0="00040001" w:csb1="00000000"/>
  </w:font>
  <w:font w:name="Arial Black">
    <w:panose1 w:val="020B0A04020102020204"/>
    <w:charset w:val="00"/>
    <w:family w:val="decorative"/>
    <w:pitch w:val="default"/>
    <w:sig w:usb0="00000287" w:usb1="00000000" w:usb2="00000000" w:usb3="00000000" w:csb0="2000009F" w:csb1="DFD70000"/>
  </w:font>
  <w:font w:name="仿宋体">
    <w:altName w:val="仿宋"/>
    <w:panose1 w:val="00000000000000000000"/>
    <w:charset w:val="86"/>
    <w:family w:val="swiss"/>
    <w:pitch w:val="default"/>
    <w:sig w:usb0="00000000" w:usb1="00000000" w:usb2="00000010" w:usb3="00000000" w:csb0="00040000" w:csb1="00000000"/>
  </w:font>
  <w:font w:name="隶书">
    <w:panose1 w:val="02010509060101010101"/>
    <w:charset w:val="86"/>
    <w:family w:val="swiss"/>
    <w:pitch w:val="default"/>
    <w:sig w:usb0="00000001" w:usb1="080E0000" w:usb2="00000000" w:usb3="00000000" w:csb0="00040000" w:csb1="00000000"/>
  </w:font>
  <w:font w:name="Batang">
    <w:panose1 w:val="02030600000101010101"/>
    <w:charset w:val="81"/>
    <w:family w:val="modern"/>
    <w:pitch w:val="default"/>
    <w:sig w:usb0="B00002AF" w:usb1="69D77CFB" w:usb2="00000030" w:usb3="00000000" w:csb0="4008009F" w:csb1="DFD70000"/>
  </w:font>
  <w:font w:name="Arial Unicode MS">
    <w:panose1 w:val="020B0604020202020204"/>
    <w:charset w:val="86"/>
    <w:family w:val="decorative"/>
    <w:pitch w:val="default"/>
    <w:sig w:usb0="FFFFFFFF" w:usb1="E9FFFFFF" w:usb2="0000003F" w:usb3="00000000" w:csb0="603F01FF" w:csb1="FFFF0000"/>
  </w:font>
  <w:font w:name="幼圆">
    <w:panose1 w:val="02010509060101010101"/>
    <w:charset w:val="86"/>
    <w:family w:val="swiss"/>
    <w:pitch w:val="default"/>
    <w:sig w:usb0="00000001" w:usb1="080E0000" w:usb2="00000000" w:usb3="00000000" w:csb0="00040000" w:csb1="00000000"/>
  </w:font>
  <w:font w:name="Times">
    <w:altName w:val="Times New Roman"/>
    <w:panose1 w:val="02020603050405020304"/>
    <w:charset w:val="00"/>
    <w:family w:val="modern"/>
    <w:pitch w:val="default"/>
    <w:sig w:usb0="00000000" w:usb1="00000000" w:usb2="00000009" w:usb3="00000000" w:csb0="000001FF" w:csb1="00000000"/>
  </w:font>
  <w:font w:name="Impact">
    <w:panose1 w:val="020B0806030902050204"/>
    <w:charset w:val="00"/>
    <w:family w:val="decorative"/>
    <w:pitch w:val="default"/>
    <w:sig w:usb0="00000287" w:usb1="00000000" w:usb2="00000000" w:usb3="00000000" w:csb0="2000009F" w:csb1="DFD70000"/>
  </w:font>
  <w:font w:name="全真楷書">
    <w:altName w:val="PMingLiU"/>
    <w:panose1 w:val="00000000000000000000"/>
    <w:charset w:val="88"/>
    <w:family w:val="modern"/>
    <w:pitch w:val="default"/>
    <w:sig w:usb0="00000000" w:usb1="00000000" w:usb2="00000010" w:usb3="00000000" w:csb0="00100000" w:csb1="00000000"/>
  </w:font>
  <w:font w:name="Dutch801 Rm BT">
    <w:altName w:val="Segoe Print"/>
    <w:panose1 w:val="00000000000000000000"/>
    <w:charset w:val="00"/>
    <w:family w:val="modern"/>
    <w:pitch w:val="default"/>
    <w:sig w:usb0="00000000" w:usb1="00000000" w:usb2="00000000" w:usb3="00000000" w:csb0="0000001B" w:csb1="00000000"/>
  </w:font>
  <w:font w:name="@黑体">
    <w:panose1 w:val="02010609060101010101"/>
    <w:charset w:val="86"/>
    <w:family w:val="swiss"/>
    <w:pitch w:val="default"/>
    <w:sig w:usb0="800002BF" w:usb1="38CF7CFA" w:usb2="00000016" w:usb3="00000000" w:csb0="00040001" w:csb1="00000000"/>
  </w:font>
  <w:font w:name="Bookman Old Style">
    <w:panose1 w:val="02050604050505020204"/>
    <w:charset w:val="00"/>
    <w:family w:val="modern"/>
    <w:pitch w:val="default"/>
    <w:sig w:usb0="00000287" w:usb1="00000000" w:usb2="00000000" w:usb3="00000000" w:csb0="2000009F" w:csb1="DFD70000"/>
  </w:font>
  <w:font w:name="Arial Narrow">
    <w:panose1 w:val="020B0606020202030204"/>
    <w:charset w:val="00"/>
    <w:family w:val="decorative"/>
    <w:pitch w:val="default"/>
    <w:sig w:usb0="00000287" w:usb1="00000800" w:usb2="00000000" w:usb3="00000000" w:csb0="2000009F" w:csb1="DFD70000"/>
  </w:font>
  <w:font w:name="隶书体">
    <w:altName w:val="宋体"/>
    <w:panose1 w:val="00000000000000000000"/>
    <w:charset w:val="86"/>
    <w:family w:val="decorative"/>
    <w:pitch w:val="default"/>
    <w:sig w:usb0="00000000" w:usb1="00000000" w:usb2="00000010" w:usb3="00000000" w:csb0="00040000" w:csb1="00000000"/>
  </w:font>
  <w:font w:name="Century Gothic">
    <w:panose1 w:val="020B0502020202020204"/>
    <w:charset w:val="00"/>
    <w:family w:val="decorative"/>
    <w:pitch w:val="default"/>
    <w:sig w:usb0="00000287" w:usb1="00000000" w:usb2="00000000" w:usb3="00000000" w:csb0="2000009F" w:csb1="DFD70000"/>
  </w:font>
  <w:font w:name="MS Minchofalt">
    <w:altName w:val="MS Gothic"/>
    <w:panose1 w:val="00000000000000000000"/>
    <w:charset w:val="80"/>
    <w:family w:val="decorative"/>
    <w:pitch w:val="default"/>
    <w:sig w:usb0="00000000" w:usb1="00000000" w:usb2="00000010" w:usb3="00000000" w:csb0="00020000" w:csb1="00000000"/>
  </w:font>
  <w:font w:name="華康細圓體">
    <w:altName w:val="PMingLiU"/>
    <w:panose1 w:val="00000000000000000000"/>
    <w:charset w:val="88"/>
    <w:family w:val="swiss"/>
    <w:pitch w:val="default"/>
    <w:sig w:usb0="00000000" w:usb1="00000000" w:usb2="00000010" w:usb3="00000000" w:csb0="00100000" w:csb1="00000000"/>
  </w:font>
  <w:font w:name="PMingLiUfalt">
    <w:altName w:val="MingLiU-ExtB"/>
    <w:panose1 w:val="00000000000000000000"/>
    <w:charset w:val="88"/>
    <w:family w:val="swiss"/>
    <w:pitch w:val="default"/>
    <w:sig w:usb0="00000000" w:usb1="00000000" w:usb2="00000010" w:usb3="00000000" w:csb0="00100000" w:csb1="00000000"/>
  </w:font>
  <w:font w:name="Book Antiqua">
    <w:panose1 w:val="02040602050305030304"/>
    <w:charset w:val="00"/>
    <w:family w:val="modern"/>
    <w:pitch w:val="default"/>
    <w:sig w:usb0="00000287" w:usb1="00000000" w:usb2="00000000" w:usb3="00000000" w:csb0="2000009F" w:csb1="DFD70000"/>
  </w:font>
  <w:font w:name="MS Sans Serif">
    <w:altName w:val="Arial"/>
    <w:panose1 w:val="00000000000000000000"/>
    <w:charset w:val="00"/>
    <w:family w:val="decorative"/>
    <w:pitch w:val="default"/>
    <w:sig w:usb0="00000000" w:usb1="00000000" w:usb2="00000000" w:usb3="00000000" w:csb0="00000001" w:csb1="00000000"/>
  </w:font>
  <w:font w:name="Baskerville Old Face">
    <w:panose1 w:val="02020602080505020303"/>
    <w:charset w:val="00"/>
    <w:family w:val="modern"/>
    <w:pitch w:val="default"/>
    <w:sig w:usb0="00000003" w:usb1="00000000" w:usb2="00000000" w:usb3="00000000" w:csb0="20000001" w:csb1="00000000"/>
  </w:font>
  <w:font w:name="ˎ̥">
    <w:altName w:val="Times New Roman"/>
    <w:panose1 w:val="00000000000000000000"/>
    <w:charset w:val="00"/>
    <w:family w:val="modern"/>
    <w:pitch w:val="default"/>
    <w:sig w:usb0="00000000" w:usb1="00000000" w:usb2="00000000" w:usb3="00000000" w:csb0="00040001" w:csb1="00000000"/>
  </w:font>
  <w:font w:name="PMingLiU">
    <w:panose1 w:val="02020500000000000000"/>
    <w:charset w:val="88"/>
    <w:family w:val="modern"/>
    <w:pitch w:val="default"/>
    <w:sig w:usb0="A00002FF" w:usb1="28CFFCFA" w:usb2="00000016" w:usb3="00000000" w:csb0="00100001" w:csb1="00000000"/>
  </w:font>
  <w:font w:name="華康中楷體">
    <w:altName w:val="PMingLiU"/>
    <w:panose1 w:val="00000000000000000000"/>
    <w:charset w:val="88"/>
    <w:family w:val="swiss"/>
    <w:pitch w:val="default"/>
    <w:sig w:usb0="00000000" w:usb1="00000000" w:usb2="00000010" w:usb3="00000000" w:csb0="00100000" w:csb1="00000000"/>
  </w:font>
  <w:font w:name="Gulim">
    <w:panose1 w:val="020B0600000101010101"/>
    <w:charset w:val="81"/>
    <w:family w:val="decorative"/>
    <w:pitch w:val="default"/>
    <w:sig w:usb0="B00002AF" w:usb1="69D77CFB" w:usb2="00000030" w:usb3="00000000" w:csb0="4008009F" w:csb1="DFD70000"/>
  </w:font>
  <w:font w:name="..ì.+2+1">
    <w:altName w:val="宋体"/>
    <w:panose1 w:val="00000000000000000000"/>
    <w:charset w:val="86"/>
    <w:family w:val="decorative"/>
    <w:pitch w:val="default"/>
    <w:sig w:usb0="00000000" w:usb1="00000000" w:usb2="00000010" w:usb3="00000000" w:csb0="00040000" w:csb1="00000000"/>
  </w:font>
  <w:font w:name="Helv">
    <w:altName w:val="Segoe Print"/>
    <w:panose1 w:val="020B0604020202030204"/>
    <w:charset w:val="00"/>
    <w:family w:val="decorative"/>
    <w:pitch w:val="default"/>
    <w:sig w:usb0="00000000" w:usb1="00000000" w:usb2="00000000" w:usb3="00000000" w:csb0="00000001" w:csb1="00000000"/>
  </w:font>
  <w:font w:name="PMingLiU-ExtB">
    <w:panose1 w:val="02020500000000000000"/>
    <w:charset w:val="88"/>
    <w:family w:val="modern"/>
    <w:pitch w:val="default"/>
    <w:sig w:usb0="8000002F" w:usb1="02000008" w:usb2="00000000" w:usb3="00000000" w:csb0="00100001" w:csb1="00000000"/>
  </w:font>
  <w:font w:name="Cambria Math">
    <w:panose1 w:val="02040503050406030204"/>
    <w:charset w:val="00"/>
    <w:family w:val="modern"/>
    <w:pitch w:val="default"/>
    <w:sig w:usb0="E00002FF" w:usb1="420024FF" w:usb2="00000000" w:usb3="00000000" w:csb0="2000019F" w:csb1="00000000"/>
  </w:font>
  <w:font w:name="MS Mincho">
    <w:panose1 w:val="02020609040205080304"/>
    <w:charset w:val="80"/>
    <w:family w:val="swiss"/>
    <w:pitch w:val="default"/>
    <w:sig w:usb0="E00002FF" w:usb1="6AC7FDFB" w:usb2="00000012" w:usb3="00000000" w:csb0="4002009F" w:csb1="DFD70000"/>
  </w:font>
  <w:font w:name="_5b8b_4f53">
    <w:altName w:val="Times New Roman"/>
    <w:panose1 w:val="00000000000000000000"/>
    <w:charset w:val="00"/>
    <w:family w:val="modern"/>
    <w:pitch w:val="default"/>
    <w:sig w:usb0="00000000" w:usb1="00000000" w:usb2="00000000" w:usb3="00000000" w:csb0="00000000" w:csb1="00000000"/>
  </w:font>
  <w:font w:name="Microsoft JhengHei Light">
    <w:altName w:val="Microsoft JhengHei"/>
    <w:panose1 w:val="020B0304030504040204"/>
    <w:charset w:val="88"/>
    <w:family w:val="modern"/>
    <w:pitch w:val="default"/>
    <w:sig w:usb0="00000000" w:usb1="00000000" w:usb2="00000016" w:usb3="00000000" w:csb0="00100009" w:csb1="00000000"/>
  </w:font>
  <w:font w:name="Microsoft JhengHei Light">
    <w:altName w:val="Microsoft JhengHei"/>
    <w:panose1 w:val="020B0304030504040204"/>
    <w:charset w:val="88"/>
    <w:family w:val="swiss"/>
    <w:pitch w:val="default"/>
    <w:sig w:usb0="00000000" w:usb1="00000000" w:usb2="00000016" w:usb3="00000000" w:csb0="00100009" w:csb1="00000000"/>
  </w:font>
  <w:font w:name="Microsoft JhengHei Light">
    <w:altName w:val="Microsoft JhengHei"/>
    <w:panose1 w:val="020B0304030504040204"/>
    <w:charset w:val="88"/>
    <w:family w:val="decorative"/>
    <w:pitch w:val="default"/>
    <w:sig w:usb0="00000000" w:usb1="00000000" w:usb2="00000016" w:usb3="00000000" w:csb0="00100009" w:csb1="00000000"/>
  </w:font>
  <w:font w:name="华文楷体">
    <w:panose1 w:val="02010600040101010101"/>
    <w:charset w:val="86"/>
    <w:family w:val="auto"/>
    <w:pitch w:val="default"/>
    <w:sig w:usb0="00000287" w:usb1="080F0000" w:usb2="00000000" w:usb3="00000000" w:csb0="0004009F" w:csb1="DFD70000"/>
  </w:font>
  <w:font w:name="华文宋体">
    <w:panose1 w:val="02010600040101010101"/>
    <w:charset w:val="86"/>
    <w:family w:val="auto"/>
    <w:pitch w:val="default"/>
    <w:sig w:usb0="00000287" w:usb1="080F0000" w:usb2="00000000" w:usb3="00000000" w:csb0="0004009F" w:csb1="DFD70000"/>
  </w:font>
  <w:font w:name="华文彩云">
    <w:panose1 w:val="02010800040101010101"/>
    <w:charset w:val="86"/>
    <w:family w:val="auto"/>
    <w:pitch w:val="default"/>
    <w:sig w:usb0="00000001" w:usb1="080F0000" w:usb2="00000000" w:usb3="00000000" w:csb0="00040000" w:csb1="00000000"/>
  </w:font>
  <w:font w:name="华文新魏">
    <w:panose1 w:val="02010800040101010101"/>
    <w:charset w:val="86"/>
    <w:family w:val="auto"/>
    <w:pitch w:val="default"/>
    <w:sig w:usb0="00000001" w:usb1="080F0000" w:usb2="00000000" w:usb3="00000000" w:csb0="00040000" w:csb1="00000000"/>
  </w:font>
  <w:font w:name="华文琥珀">
    <w:panose1 w:val="02010800040101010101"/>
    <w:charset w:val="86"/>
    <w:family w:val="auto"/>
    <w:pitch w:val="default"/>
    <w:sig w:usb0="00000001" w:usb1="080F0000" w:usb2="00000000" w:usb3="00000000" w:csb0="00040000" w:csb1="00000000"/>
  </w:font>
  <w:font w:name="华文细黑">
    <w:panose1 w:val="02010600040101010101"/>
    <w:charset w:val="86"/>
    <w:family w:val="auto"/>
    <w:pitch w:val="default"/>
    <w:sig w:usb0="00000287" w:usb1="080F0000" w:usb2="00000000" w:usb3="00000000" w:csb0="0004009F" w:csb1="DFD70000"/>
  </w:font>
  <w:font w:name="华文行楷">
    <w:panose1 w:val="02010800040101010101"/>
    <w:charset w:val="86"/>
    <w:family w:val="auto"/>
    <w:pitch w:val="default"/>
    <w:sig w:usb0="00000001" w:usb1="080F0000" w:usb2="00000000" w:usb3="00000000" w:csb0="00040000" w:csb1="00000000"/>
  </w:font>
  <w:font w:name="华文隶书">
    <w:panose1 w:val="02010800040101010101"/>
    <w:charset w:val="86"/>
    <w:family w:val="auto"/>
    <w:pitch w:val="default"/>
    <w:sig w:usb0="00000001" w:usb1="080F0000" w:usb2="00000000" w:usb3="00000000" w:csb0="00040000" w:csb1="00000000"/>
  </w:font>
  <w:font w:name="方正姚体">
    <w:panose1 w:val="02010601030101010101"/>
    <w:charset w:val="86"/>
    <w:family w:val="auto"/>
    <w:pitch w:val="default"/>
    <w:sig w:usb0="00000003" w:usb1="080E0000" w:usb2="00000000" w:usb3="00000000" w:csb0="00040000" w:csb1="00000000"/>
  </w:font>
  <w:font w:name="等线 Light">
    <w:panose1 w:val="02010600030101010101"/>
    <w:charset w:val="86"/>
    <w:family w:val="auto"/>
    <w:pitch w:val="default"/>
    <w:sig w:usb0="A00002BF" w:usb1="38CF7CFA" w:usb2="00000016" w:usb3="00000000" w:csb0="0004000F" w:csb1="00000000"/>
  </w:font>
  <w:font w:name="BatangChe">
    <w:panose1 w:val="02030609000101010101"/>
    <w:charset w:val="81"/>
    <w:family w:val="auto"/>
    <w:pitch w:val="default"/>
    <w:sig w:usb0="B00002AF" w:usb1="69D77CFB" w:usb2="00000030" w:usb3="00000000" w:csb0="4008009F" w:csb1="DFD70000"/>
  </w:font>
  <w:font w:name="Dotum">
    <w:panose1 w:val="020B0600000101010101"/>
    <w:charset w:val="81"/>
    <w:family w:val="auto"/>
    <w:pitch w:val="default"/>
    <w:sig w:usb0="B00002AF" w:usb1="69D77CFB" w:usb2="00000030" w:usb3="00000000" w:csb0="4008009F" w:csb1="DFD70000"/>
  </w:font>
  <w:font w:name="GungsuhChe">
    <w:panose1 w:val="02030609000101010101"/>
    <w:charset w:val="81"/>
    <w:family w:val="auto"/>
    <w:pitch w:val="default"/>
    <w:sig w:usb0="B00002AF" w:usb1="69D77CFB" w:usb2="00000030" w:usb3="00000000" w:csb0="4008009F" w:csb1="DFD70000"/>
  </w:font>
  <w:font w:name="Malgun Gothic">
    <w:panose1 w:val="020B0503020000020004"/>
    <w:charset w:val="81"/>
    <w:family w:val="auto"/>
    <w:pitch w:val="default"/>
    <w:sig w:usb0="900002AF" w:usb1="01D77CFB" w:usb2="00000012" w:usb3="00000000" w:csb0="00080001" w:csb1="00000000"/>
  </w:font>
  <w:font w:name="Meiryo UI">
    <w:panose1 w:val="020B0604030504040204"/>
    <w:charset w:val="80"/>
    <w:family w:val="auto"/>
    <w:pitch w:val="default"/>
    <w:sig w:usb0="E10102FF" w:usb1="EAC7FFFF" w:usb2="00010012" w:usb3="00000000" w:csb0="6002009F" w:csb1="DFD70000"/>
  </w:font>
  <w:font w:name="MingLiU">
    <w:panose1 w:val="02020509000000000000"/>
    <w:charset w:val="88"/>
    <w:family w:val="auto"/>
    <w:pitch w:val="default"/>
    <w:sig w:usb0="A00002FF" w:usb1="28CFFCFA" w:usb2="00000016" w:usb3="00000000" w:csb0="00100001" w:csb1="00000000"/>
  </w:font>
  <w:font w:name="MingLiU_HKSCS">
    <w:panose1 w:val="02020500000000000000"/>
    <w:charset w:val="88"/>
    <w:family w:val="auto"/>
    <w:pitch w:val="default"/>
    <w:sig w:usb0="A00002FF" w:usb1="38CFFCFA" w:usb2="00000016" w:usb3="00000000" w:csb0="00100001" w:csb1="00000000"/>
  </w:font>
  <w:font w:name="MingLiU_HKSCS-ExtB">
    <w:panose1 w:val="02020500000000000000"/>
    <w:charset w:val="88"/>
    <w:family w:val="auto"/>
    <w:pitch w:val="default"/>
    <w:sig w:usb0="8000002F" w:usb1="02000008" w:usb2="00000000" w:usb3="00000000" w:csb0="00100001" w:csb1="00000000"/>
  </w:font>
  <w:font w:name="MS PMincho">
    <w:panose1 w:val="02020600040205080304"/>
    <w:charset w:val="80"/>
    <w:family w:val="auto"/>
    <w:pitch w:val="default"/>
    <w:sig w:usb0="E00002FF" w:usb1="6AC7FDFB" w:usb2="00000012" w:usb3="00000000" w:csb0="4002009F" w:csb1="DFD70000"/>
  </w:font>
  <w:font w:name="Agency FB">
    <w:panose1 w:val="020B0503020202020204"/>
    <w:charset w:val="00"/>
    <w:family w:val="auto"/>
    <w:pitch w:val="default"/>
    <w:sig w:usb0="00000003" w:usb1="00000000" w:usb2="00000000" w:usb3="00000000" w:csb0="20000001" w:csb1="00000000"/>
  </w:font>
  <w:font w:name="Algerian">
    <w:panose1 w:val="04020705040A02060702"/>
    <w:charset w:val="00"/>
    <w:family w:val="auto"/>
    <w:pitch w:val="default"/>
    <w:sig w:usb0="00000003" w:usb1="00000000" w:usb2="00000000" w:usb3="00000000" w:csb0="20000001" w:csb1="00000000"/>
  </w:font>
  <w:font w:name="Bradley Hand ITC">
    <w:panose1 w:val="03070402050302030203"/>
    <w:charset w:val="00"/>
    <w:family w:val="auto"/>
    <w:pitch w:val="default"/>
    <w:sig w:usb0="00000003" w:usb1="00000000" w:usb2="00000000" w:usb3="00000000" w:csb0="20000001" w:csb1="00000000"/>
  </w:font>
  <w:font w:name="Britannic Bold">
    <w:panose1 w:val="020B0903060703020204"/>
    <w:charset w:val="00"/>
    <w:family w:val="auto"/>
    <w:pitch w:val="default"/>
    <w:sig w:usb0="00000003" w:usb1="00000000" w:usb2="00000000" w:usb3="00000000" w:csb0="20000001" w:csb1="00000000"/>
  </w:font>
  <w:font w:name="Brush Script MT">
    <w:panose1 w:val="03060802040406070304"/>
    <w:charset w:val="00"/>
    <w:family w:val="auto"/>
    <w:pitch w:val="default"/>
    <w:sig w:usb0="00000003" w:usb1="00000000" w:usb2="00000000" w:usb3="00000000" w:csb0="20000001" w:csb1="00000000"/>
  </w:font>
  <w:font w:name="BrowalliaUPC">
    <w:panose1 w:val="020B0604020202020204"/>
    <w:charset w:val="00"/>
    <w:family w:val="auto"/>
    <w:pitch w:val="default"/>
    <w:sig w:usb0="81000003" w:usb1="00000000" w:usb2="00000000" w:usb3="00000000" w:csb0="00010001" w:csb1="00000000"/>
  </w:font>
  <w:font w:name="Browallia New">
    <w:panose1 w:val="020B0604020202020204"/>
    <w:charset w:val="00"/>
    <w:family w:val="auto"/>
    <w:pitch w:val="default"/>
    <w:sig w:usb0="81000003" w:usb1="00000000" w:usb2="00000000" w:usb3="00000000" w:csb0="00010001" w:csb1="00000000"/>
  </w:font>
  <w:font w:name="Broadway">
    <w:panose1 w:val="04040905080B02020502"/>
    <w:charset w:val="00"/>
    <w:family w:val="auto"/>
    <w:pitch w:val="default"/>
    <w:sig w:usb0="00000003" w:usb1="00000000" w:usb2="00000000" w:usb3="00000000" w:csb0="20000001" w:csb1="00000000"/>
  </w:font>
  <w:font w:name="Bookshelf Symbol 7">
    <w:panose1 w:val="05010101010101010101"/>
    <w:charset w:val="00"/>
    <w:family w:val="auto"/>
    <w:pitch w:val="default"/>
    <w:sig w:usb0="00000000" w:usb1="00000000" w:usb2="00000000" w:usb3="00000000" w:csb0="80000000" w:csb1="00000000"/>
  </w:font>
  <w:font w:name="Sakkal Majalla">
    <w:panose1 w:val="02000000000000000000"/>
    <w:charset w:val="00"/>
    <w:family w:val="auto"/>
    <w:pitch w:val="default"/>
    <w:sig w:usb0="A000207F" w:usb1="C000204B" w:usb2="00000008" w:usb3="00000000" w:csb0="200000D3" w:csb1="00000000"/>
  </w:font>
  <w:font w:name="Script MT Bold">
    <w:panose1 w:val="03040602040607080904"/>
    <w:charset w:val="00"/>
    <w:family w:val="auto"/>
    <w:pitch w:val="default"/>
    <w:sig w:usb0="00000003" w:usb1="00000000" w:usb2="00000000" w:usb3="00000000" w:csb0="20000001" w:csb1="00000000"/>
  </w:font>
  <w:font w:name="Segoe UI">
    <w:panose1 w:val="020B0502040204020203"/>
    <w:charset w:val="00"/>
    <w:family w:val="auto"/>
    <w:pitch w:val="default"/>
    <w:sig w:usb0="E10022FF" w:usb1="C000E47F" w:usb2="00000029" w:usb3="00000000" w:csb0="200001DF" w:csb1="20000000"/>
  </w:font>
  <w:font w:name="Shonar Bangla">
    <w:panose1 w:val="020B0502040204020203"/>
    <w:charset w:val="00"/>
    <w:family w:val="auto"/>
    <w:pitch w:val="default"/>
    <w:sig w:usb0="00010003" w:usb1="00000000" w:usb2="00000000" w:usb3="00000000" w:csb0="00000001" w:csb1="00000000"/>
  </w:font>
  <w:font w:name="Showcard Gothic">
    <w:panose1 w:val="04020904020102020604"/>
    <w:charset w:val="00"/>
    <w:family w:val="auto"/>
    <w:pitch w:val="default"/>
    <w:sig w:usb0="00000003" w:usb1="00000000" w:usb2="00000000" w:usb3="00000000" w:csb0="20000001" w:csb1="00000000"/>
  </w:font>
  <w:font w:name="Stencil">
    <w:panose1 w:val="040409050D0802020404"/>
    <w:charset w:val="00"/>
    <w:family w:val="auto"/>
    <w:pitch w:val="default"/>
    <w:sig w:usb0="00000003" w:usb1="00000000" w:usb2="00000000" w:usb3="00000000" w:csb0="20000001" w:csb1="00000000"/>
  </w:font>
  <w:font w:name="Utsaah">
    <w:panose1 w:val="020B0604020202020204"/>
    <w:charset w:val="00"/>
    <w:family w:val="auto"/>
    <w:pitch w:val="default"/>
    <w:sig w:usb0="00008003" w:usb1="00000000" w:usb2="00000000" w:usb3="00000000" w:csb0="00000001" w:csb1="00000000"/>
  </w:font>
  <w:font w:name="Tw Cen MT Condensed Extra Bold">
    <w:panose1 w:val="020B0803020202020204"/>
    <w:charset w:val="00"/>
    <w:family w:val="auto"/>
    <w:pitch w:val="default"/>
    <w:sig w:usb0="00000003" w:usb1="00000000" w:usb2="00000000" w:usb3="00000000" w:csb0="20000003" w:csb1="00000000"/>
  </w:font>
  <w:font w:name="Tw Cen MT Condensed">
    <w:panose1 w:val="020B0606020104020203"/>
    <w:charset w:val="00"/>
    <w:family w:val="auto"/>
    <w:pitch w:val="default"/>
    <w:sig w:usb0="00000003" w:usb1="00000000" w:usb2="00000000" w:usb3="00000000" w:csb0="20000003" w:csb1="00000000"/>
  </w:font>
  <w:font w:name="Tw Cen MT">
    <w:panose1 w:val="020B0602020104020603"/>
    <w:charset w:val="00"/>
    <w:family w:val="auto"/>
    <w:pitch w:val="default"/>
    <w:sig w:usb0="00000003" w:usb1="00000000" w:usb2="00000000" w:usb3="00000000" w:csb0="20000003" w:csb1="00000000"/>
  </w:font>
  <w:font w:name="Tunga">
    <w:panose1 w:val="020B0502040204020203"/>
    <w:charset w:val="00"/>
    <w:family w:val="auto"/>
    <w:pitch w:val="default"/>
    <w:sig w:usb0="00400003" w:usb1="00000000" w:usb2="00000000" w:usb3="00000000" w:csb0="00000001" w:csb1="00000000"/>
  </w:font>
  <w:font w:name="Trebuchet MS">
    <w:panose1 w:val="020B0603020202020204"/>
    <w:charset w:val="00"/>
    <w:family w:val="auto"/>
    <w:pitch w:val="default"/>
    <w:sig w:usb0="00000287" w:usb1="00000003" w:usb2="00000000" w:usb3="00000000" w:csb0="2000009F" w:csb1="00000000"/>
  </w:font>
  <w:font w:name="Traditional Arabic">
    <w:panose1 w:val="02020603050405020304"/>
    <w:charset w:val="00"/>
    <w:family w:val="auto"/>
    <w:pitch w:val="default"/>
    <w:sig w:usb0="00006003" w:usb1="80000000" w:usb2="00000008" w:usb3="00000000" w:csb0="00000041" w:csb1="20080000"/>
  </w:font>
  <w:font w:name="仿宋_GB2312">
    <w:altName w:val="仿宋"/>
    <w:panose1 w:val="02010609030101010101"/>
    <w:charset w:val="86"/>
    <w:family w:val="swiss"/>
    <w:pitch w:val="default"/>
    <w:sig w:usb0="00000000" w:usb1="00000000" w:usb2="00000000" w:usb3="00000000" w:csb0="00040000" w:csb1="00000000"/>
  </w:font>
  <w:font w:name="仿宋_GB2312">
    <w:altName w:val="仿宋"/>
    <w:panose1 w:val="02010609030101010101"/>
    <w:charset w:val="86"/>
    <w:family w:val="decorative"/>
    <w:pitch w:val="default"/>
    <w:sig w:usb0="00000000" w:usb1="00000000" w:usb2="00000000" w:usb3="00000000" w:csb0="00040000" w:csb1="00000000"/>
  </w:font>
  <w:font w:name="仿宋_GB2312">
    <w:altName w:val="仿宋"/>
    <w:panose1 w:val="02010609030101010101"/>
    <w:charset w:val="86"/>
    <w:family w:val="roman"/>
    <w:pitch w:val="default"/>
    <w:sig w:usb0="00000000" w:usb1="00000000" w:usb2="0000000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Consolas">
    <w:panose1 w:val="020B0609020204030204"/>
    <w:charset w:val="00"/>
    <w:family w:val="swiss"/>
    <w:pitch w:val="default"/>
    <w:sig w:usb0="E10002FF" w:usb1="4000FCFF" w:usb2="00000009" w:usb3="00000000" w:csb0="6000019F" w:csb1="DFD70000"/>
  </w:font>
  <w:font w:name="Consolas">
    <w:panose1 w:val="020B0609020204030204"/>
    <w:charset w:val="00"/>
    <w:family w:val="decorative"/>
    <w:pitch w:val="default"/>
    <w:sig w:usb0="E10002FF" w:usb1="4000FCFF" w:usb2="00000009" w:usb3="00000000" w:csb0="6000019F" w:csb1="DFD70000"/>
  </w:font>
  <w:font w:name="Consolas">
    <w:panose1 w:val="020B0609020204030204"/>
    <w:charset w:val="00"/>
    <w:family w:val="roman"/>
    <w:pitch w:val="default"/>
    <w:sig w:usb0="E10002FF" w:usb1="4000FCFF" w:usb2="00000009" w:usb3="00000000" w:csb0="6000019F" w:csb1="DFD70000"/>
  </w:font>
  <w:font w:name="Consolas">
    <w:panose1 w:val="020B0609020204030204"/>
    <w:charset w:val="00"/>
    <w:family w:val="modern"/>
    <w:pitch w:val="default"/>
    <w:sig w:usb0="E10002FF" w:usb1="4000FCFF" w:usb2="00000009" w:usb3="00000000" w:csb0="6000019F" w:csb1="DFD70000"/>
  </w:font>
  <w:font w:name="Wingdings">
    <w:panose1 w:val="05000000000000000000"/>
    <w:charset w:val="00"/>
    <w:family w:val="auto"/>
    <w:pitch w:val="default"/>
    <w:sig w:usb0="00000000" w:usb1="00000000" w:usb2="00000000" w:usb3="00000000" w:csb0="80000000" w:csb1="00000000"/>
  </w:font>
  <w:font w:name="等线">
    <w:panose1 w:val="02010600030101010101"/>
    <w:charset w:val="86"/>
    <w:family w:val="modern"/>
    <w:pitch w:val="default"/>
    <w:sig w:usb0="A00002BF" w:usb1="38CF7CFA" w:usb2="00000016" w:usb3="00000000" w:csb0="0004000F" w:csb1="00000000"/>
  </w:font>
  <w:font w:name="等线">
    <w:panose1 w:val="02010600030101010101"/>
    <w:charset w:val="86"/>
    <w:family w:val="swiss"/>
    <w:pitch w:val="default"/>
    <w:sig w:usb0="A00002BF" w:usb1="38CF7CFA" w:usb2="00000016" w:usb3="00000000" w:csb0="0004000F" w:csb1="00000000"/>
  </w:font>
  <w:font w:name="等线">
    <w:panose1 w:val="02010600030101010101"/>
    <w:charset w:val="86"/>
    <w:family w:val="decorative"/>
    <w:pitch w:val="default"/>
    <w:sig w:usb0="A00002BF" w:usb1="38CF7CFA" w:usb2="00000016" w:usb3="00000000" w:csb0="0004000F" w:csb1="00000000"/>
  </w:font>
  <w:font w:name="等线">
    <w:panose1 w:val="02010600030101010101"/>
    <w:charset w:val="86"/>
    <w:family w:val="roman"/>
    <w:pitch w:val="default"/>
    <w:sig w:usb0="A00002BF" w:usb1="38CF7CFA" w:usb2="00000016" w:usb3="00000000" w:csb0="0004000F" w:csb1="00000000"/>
  </w:font>
  <w:font w:name="微软雅黑">
    <w:panose1 w:val="020B0503020204020204"/>
    <w:charset w:val="86"/>
    <w:family w:val="auto"/>
    <w:pitch w:val="default"/>
    <w:sig w:usb0="80000287" w:usb1="280F3C52" w:usb2="00000016" w:usb3="00000000" w:csb0="0004001F" w:csb1="00000000"/>
  </w:font>
  <w:font w:name="PMingLiU">
    <w:panose1 w:val="02020500000000000000"/>
    <w:charset w:val="88"/>
    <w:family w:val="auto"/>
    <w:pitch w:val="default"/>
    <w:sig w:usb0="A00002FF" w:usb1="28CFFCFA" w:usb2="00000016" w:usb3="00000000" w:csb0="00100001"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jc w:val="center"/>
    </w:pPr>
  </w:p>
  <w:p>
    <w:pPr>
      <w:pStyle w:val="29"/>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spacing w:before="72"/>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framePr w:wrap="around" w:vAnchor="text" w:hAnchor="margin" w:xAlign="center" w:y="1"/>
      <w:spacing w:before="72"/>
      <w:rPr>
        <w:rStyle w:val="48"/>
      </w:rPr>
    </w:pPr>
    <w:r>
      <w:fldChar w:fldCharType="begin"/>
    </w:r>
    <w:r>
      <w:rPr>
        <w:rStyle w:val="48"/>
      </w:rPr>
      <w:instrText xml:space="preserve">PAGE  </w:instrText>
    </w:r>
    <w:r>
      <w:fldChar w:fldCharType="separate"/>
    </w:r>
    <w:r>
      <w:rPr>
        <w:rStyle w:val="48"/>
      </w:rPr>
      <w:t>12</w:t>
    </w:r>
    <w:r>
      <w:fldChar w:fldCharType="end"/>
    </w:r>
  </w:p>
  <w:p>
    <w:pPr>
      <w:pStyle w:val="29"/>
      <w:spacing w:before="72"/>
      <w:ind w:right="410" w:rightChars="171"/>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spacing w:before="72"/>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rPr>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pPr>
                          <w:r>
                            <w:rPr>
                              <w:sz w:val="18"/>
                              <w:szCs w:val="18"/>
                            </w:rPr>
                            <w:fldChar w:fldCharType="begin"/>
                          </w:r>
                          <w:r>
                            <w:rPr>
                              <w:sz w:val="18"/>
                              <w:szCs w:val="18"/>
                            </w:rPr>
                            <w:instrText xml:space="preserve"> PAGE   \* MERGEFORMAT </w:instrText>
                          </w:r>
                          <w:r>
                            <w:rPr>
                              <w:sz w:val="18"/>
                              <w:szCs w:val="18"/>
                            </w:rPr>
                            <w:fldChar w:fldCharType="separate"/>
                          </w:r>
                          <w:r>
                            <w:rPr>
                              <w:sz w:val="18"/>
                              <w:szCs w:val="18"/>
                              <w:lang w:val="zh-CN"/>
                            </w:rPr>
                            <w:t>255</w:t>
                          </w:r>
                          <w:r>
                            <w:rPr>
                              <w:sz w:val="18"/>
                              <w:szCs w:val="1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s2DWsUAgAAFQQAAA4AAABkcnMvZTJvRG9jLnhtbK1Ty47TMBTdI/EP&#10;lvc0aRGjUj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2zYNaxQCAAAVBAAADgAAAAAAAAAB&#10;ACAAAAAfAQAAZHJzL2Uyb0RvYy54bWxQSwUGAAAAAAYABgBZAQAApQUAAAAA&#10;">
              <v:fill on="f" focussize="0,0"/>
              <v:stroke on="f" weight="0.5pt"/>
              <v:imagedata o:title=""/>
              <o:lock v:ext="edit" aspectratio="f"/>
              <v:textbox inset="0mm,0mm,0mm,0mm" style="mso-fit-shape-to-text:t;">
                <w:txbxContent>
                  <w:p>
                    <w:pPr>
                      <w:jc w:val="center"/>
                    </w:pPr>
                    <w:r>
                      <w:rPr>
                        <w:sz w:val="18"/>
                        <w:szCs w:val="18"/>
                      </w:rPr>
                      <w:fldChar w:fldCharType="begin"/>
                    </w:r>
                    <w:r>
                      <w:rPr>
                        <w:sz w:val="18"/>
                        <w:szCs w:val="18"/>
                      </w:rPr>
                      <w:instrText xml:space="preserve"> PAGE   \* MERGEFORMAT </w:instrText>
                    </w:r>
                    <w:r>
                      <w:rPr>
                        <w:sz w:val="18"/>
                        <w:szCs w:val="18"/>
                      </w:rPr>
                      <w:fldChar w:fldCharType="separate"/>
                    </w:r>
                    <w:r>
                      <w:rPr>
                        <w:sz w:val="18"/>
                        <w:szCs w:val="18"/>
                        <w:lang w:val="zh-CN"/>
                      </w:rPr>
                      <w:t>255</w:t>
                    </w:r>
                    <w:r>
                      <w:rPr>
                        <w:sz w:val="18"/>
                        <w:szCs w:val="18"/>
                      </w:rP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w:rPr>
        <w:sz w:val="24"/>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9"/>
                            <w:rPr>
                              <w:rStyle w:val="48"/>
                            </w:rPr>
                          </w:pPr>
                          <w:r>
                            <w:rPr>
                              <w:rStyle w:val="48"/>
                            </w:rPr>
                            <w:fldChar w:fldCharType="begin"/>
                          </w:r>
                          <w:r>
                            <w:rPr>
                              <w:rStyle w:val="48"/>
                            </w:rPr>
                            <w:instrText xml:space="preserve">PAGE  </w:instrText>
                          </w:r>
                          <w:r>
                            <w:rPr>
                              <w:rStyle w:val="48"/>
                            </w:rPr>
                            <w:fldChar w:fldCharType="separate"/>
                          </w:r>
                          <w:r>
                            <w:rPr>
                              <w:rStyle w:val="48"/>
                            </w:rPr>
                            <w:t>351</w:t>
                          </w:r>
                          <w:r>
                            <w:rPr>
                              <w:rStyle w:val="4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DwGtTmFgIAABUEAAAOAAAAAAAA&#10;AAEAIAAAAB8BAABkcnMvZTJvRG9jLnhtbFBLBQYAAAAABgAGAFkBAACnBQAAAAA=&#10;">
              <v:fill on="f" focussize="0,0"/>
              <v:stroke on="f" weight="0.5pt"/>
              <v:imagedata o:title=""/>
              <o:lock v:ext="edit" aspectratio="f"/>
              <v:textbox inset="0mm,0mm,0mm,0mm" style="mso-fit-shape-to-text:t;">
                <w:txbxContent>
                  <w:p>
                    <w:pPr>
                      <w:pStyle w:val="29"/>
                      <w:rPr>
                        <w:rStyle w:val="48"/>
                      </w:rPr>
                    </w:pPr>
                    <w:r>
                      <w:rPr>
                        <w:rStyle w:val="48"/>
                      </w:rPr>
                      <w:fldChar w:fldCharType="begin"/>
                    </w:r>
                    <w:r>
                      <w:rPr>
                        <w:rStyle w:val="48"/>
                      </w:rPr>
                      <w:instrText xml:space="preserve">PAGE  </w:instrText>
                    </w:r>
                    <w:r>
                      <w:rPr>
                        <w:rStyle w:val="48"/>
                      </w:rPr>
                      <w:fldChar w:fldCharType="separate"/>
                    </w:r>
                    <w:r>
                      <w:rPr>
                        <w:rStyle w:val="48"/>
                      </w:rPr>
                      <w:t>351</w:t>
                    </w:r>
                    <w:r>
                      <w:rPr>
                        <w:rStyle w:val="48"/>
                      </w:rP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framePr w:wrap="around" w:vAnchor="text" w:hAnchor="margin" w:xAlign="center" w:y="1"/>
      <w:rPr>
        <w:rStyle w:val="48"/>
      </w:rPr>
    </w:pPr>
    <w:r>
      <w:rPr>
        <w:rStyle w:val="48"/>
      </w:rPr>
      <w:fldChar w:fldCharType="begin"/>
    </w:r>
    <w:r>
      <w:rPr>
        <w:rStyle w:val="48"/>
      </w:rPr>
      <w:instrText xml:space="preserve">PAGE  </w:instrText>
    </w:r>
    <w:r>
      <w:rPr>
        <w:rStyle w:val="48"/>
      </w:rPr>
      <w:fldChar w:fldCharType="end"/>
    </w:r>
  </w:p>
  <w:p>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jc w:val="center"/>
    </w:pPr>
  </w:p>
  <w:p>
    <w:pPr>
      <w:pStyle w:val="2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jc w:val="cente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9"/>
                            <w:jc w:val="center"/>
                          </w:pPr>
                          <w:r>
                            <w:fldChar w:fldCharType="begin"/>
                          </w:r>
                          <w:r>
                            <w:instrText xml:space="preserve">PAGE   \* MERGEFORMAT</w:instrText>
                          </w:r>
                          <w:r>
                            <w:fldChar w:fldCharType="separate"/>
                          </w:r>
                          <w:r>
                            <w:rPr>
                              <w:lang w:val="zh-CN"/>
                            </w:rPr>
                            <w:t>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zSVju0AAAAAUBAAAPAAAAAAAAAAEA&#10;IAAAACIAAABkcnMvZG93bnJldi54bWxQSwECFAAUAAAACACHTuJACqS7ABcCAAAVBAAADgAAAAAA&#10;AAABACAAAAAfAQAAZHJzL2Uyb0RvYy54bWxQSwUGAAAAAAYABgBZAQAAqAUAAAAA&#10;">
              <v:fill on="f" focussize="0,0"/>
              <v:stroke on="f" weight="0.5pt"/>
              <v:imagedata o:title=""/>
              <o:lock v:ext="edit" aspectratio="f"/>
              <v:textbox inset="0mm,0mm,0mm,0mm" style="mso-fit-shape-to-text:t;">
                <w:txbxContent>
                  <w:p>
                    <w:pPr>
                      <w:pStyle w:val="29"/>
                      <w:jc w:val="center"/>
                    </w:pPr>
                    <w:r>
                      <w:fldChar w:fldCharType="begin"/>
                    </w:r>
                    <w:r>
                      <w:instrText xml:space="preserve">PAGE   \* MERGEFORMAT</w:instrText>
                    </w:r>
                    <w:r>
                      <w:fldChar w:fldCharType="separate"/>
                    </w:r>
                    <w:r>
                      <w:rPr>
                        <w:lang w:val="zh-CN"/>
                      </w:rPr>
                      <w:t>I</w:t>
                    </w:r>
                    <w:r>
                      <w:fldChar w:fldCharType="end"/>
                    </w:r>
                  </w:p>
                </w:txbxContent>
              </v:textbox>
            </v:shape>
          </w:pict>
        </mc:Fallback>
      </mc:AlternateContent>
    </w:r>
  </w:p>
  <w:p>
    <w:pPr>
      <w:pStyle w:val="29"/>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9"/>
                            <w:jc w:val="center"/>
                          </w:pPr>
                          <w:r>
                            <w:fldChar w:fldCharType="begin"/>
                          </w:r>
                          <w:r>
                            <w:instrText xml:space="preserve">PAGE   \* MERGEFORMAT</w:instrText>
                          </w:r>
                          <w:r>
                            <w:fldChar w:fldCharType="separate"/>
                          </w:r>
                          <w:r>
                            <w:rPr>
                              <w:lang w:val="zh-CN"/>
                            </w:rPr>
                            <w:t>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CPLFPAVAgAAEwQAAA4AAAAAAAAA&#10;AQAgAAAAHwEAAGRycy9lMm9Eb2MueG1sUEsFBgAAAAAGAAYAWQEAAKYFAAAAAA==&#10;">
              <v:fill on="f" focussize="0,0"/>
              <v:stroke on="f" weight="0.5pt"/>
              <v:imagedata o:title=""/>
              <o:lock v:ext="edit" aspectratio="f"/>
              <v:textbox inset="0mm,0mm,0mm,0mm" style="mso-fit-shape-to-text:t;">
                <w:txbxContent>
                  <w:p>
                    <w:pPr>
                      <w:pStyle w:val="29"/>
                      <w:jc w:val="center"/>
                    </w:pPr>
                    <w:r>
                      <w:fldChar w:fldCharType="begin"/>
                    </w:r>
                    <w:r>
                      <w:instrText xml:space="preserve">PAGE   \* MERGEFORMAT</w:instrText>
                    </w:r>
                    <w:r>
                      <w:fldChar w:fldCharType="separate"/>
                    </w:r>
                    <w:r>
                      <w:rPr>
                        <w:lang w:val="zh-CN"/>
                      </w:rPr>
                      <w:t>9</w:t>
                    </w:r>
                    <w:r>
                      <w:fldChar w:fldCharType="end"/>
                    </w:r>
                  </w:p>
                </w:txbxContent>
              </v:textbox>
            </v:shape>
          </w:pict>
        </mc:Fallback>
      </mc:AlternateContent>
    </w:r>
  </w:p>
  <w:p>
    <w:pPr>
      <w:pStyle w:val="29"/>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autoSpaceDE w:val="0"/>
      <w:autoSpaceDN w:val="0"/>
      <w:adjustRightInd w:val="0"/>
      <w:spacing w:line="240" w:lineRule="exact"/>
      <w:rPr>
        <w:kern w:val="0"/>
        <w:sz w:val="20"/>
        <w:szCs w:val="20"/>
      </w:rPr>
    </w:pPr>
    <w:r>
      <w:rPr>
        <w:sz w:val="20"/>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9"/>
                            <w:spacing w:line="160" w:lineRule="exact"/>
                            <w:rPr>
                              <w:rStyle w:val="48"/>
                            </w:rPr>
                          </w:pPr>
                          <w:r>
                            <w:rPr>
                              <w:rStyle w:val="48"/>
                            </w:rPr>
                            <w:fldChar w:fldCharType="begin"/>
                          </w:r>
                          <w:r>
                            <w:rPr>
                              <w:rStyle w:val="48"/>
                            </w:rPr>
                            <w:instrText xml:space="preserve">PAGE  </w:instrText>
                          </w:r>
                          <w:r>
                            <w:rPr>
                              <w:rStyle w:val="48"/>
                            </w:rPr>
                            <w:fldChar w:fldCharType="separate"/>
                          </w:r>
                          <w:r>
                            <w:rPr>
                              <w:rStyle w:val="48"/>
                            </w:rPr>
                            <w:t>142</w:t>
                          </w:r>
                          <w:r>
                            <w:rPr>
                              <w:rStyle w:val="4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I3F45UVAgAAFQQAAA4AAAAAAAAA&#10;AQAgAAAAHwEAAGRycy9lMm9Eb2MueG1sUEsFBgAAAAAGAAYAWQEAAKYFAAAAAA==&#10;">
              <v:fill on="f" focussize="0,0"/>
              <v:stroke on="f" weight="0.5pt"/>
              <v:imagedata o:title=""/>
              <o:lock v:ext="edit" aspectratio="f"/>
              <v:textbox inset="0mm,0mm,0mm,0mm" style="mso-fit-shape-to-text:t;">
                <w:txbxContent>
                  <w:p>
                    <w:pPr>
                      <w:pStyle w:val="29"/>
                      <w:spacing w:line="160" w:lineRule="exact"/>
                      <w:rPr>
                        <w:rStyle w:val="48"/>
                      </w:rPr>
                    </w:pPr>
                    <w:r>
                      <w:rPr>
                        <w:rStyle w:val="48"/>
                      </w:rPr>
                      <w:fldChar w:fldCharType="begin"/>
                    </w:r>
                    <w:r>
                      <w:rPr>
                        <w:rStyle w:val="48"/>
                      </w:rPr>
                      <w:instrText xml:space="preserve">PAGE  </w:instrText>
                    </w:r>
                    <w:r>
                      <w:rPr>
                        <w:rStyle w:val="48"/>
                      </w:rPr>
                      <w:fldChar w:fldCharType="separate"/>
                    </w:r>
                    <w:r>
                      <w:rPr>
                        <w:rStyle w:val="48"/>
                      </w:rPr>
                      <w:t>142</w:t>
                    </w:r>
                    <w:r>
                      <w:rPr>
                        <w:rStyle w:val="48"/>
                      </w:rPr>
                      <w:fldChar w:fldCharType="end"/>
                    </w:r>
                  </w:p>
                </w:txbxContent>
              </v:textbox>
            </v:shape>
          </w:pict>
        </mc:Fallback>
      </mc:AlternateContent>
    </w:r>
    <w:r>
      <w:rPr>
        <w:kern w:val="0"/>
        <w:sz w:val="20"/>
        <w:szCs w:val="20"/>
      </w:rPr>
      <w:pict>
        <v:rect id="_x0000_i1030" o:spt="1" style="height:1pt;width:415.3pt;" stroked="f" coordsize="21600,21600" o:hr="t" o:hrstd="t" o:hrnoshade="t" o:hralign="center">
          <v:path/>
          <v:fill focussize="0,0"/>
          <v:stroke on="f"/>
          <v:imagedata o:title=""/>
          <o:lock v:ext="edit"/>
          <w10:wrap type="none"/>
          <w10:anchorlock/>
        </v:rect>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tabs>
        <w:tab w:val="left" w:pos="95"/>
        <w:tab w:val="center" w:pos="4535"/>
      </w:tabs>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9"/>
                            <w:jc w:val="center"/>
                            <w:rPr>
                              <w:rStyle w:val="48"/>
                            </w:rPr>
                          </w:pPr>
                          <w:r>
                            <w:rPr>
                              <w:rStyle w:val="48"/>
                            </w:rPr>
                            <w:fldChar w:fldCharType="begin"/>
                          </w:r>
                          <w:r>
                            <w:rPr>
                              <w:rStyle w:val="48"/>
                            </w:rPr>
                            <w:instrText xml:space="preserve">PAGE  </w:instrText>
                          </w:r>
                          <w:r>
                            <w:rPr>
                              <w:rStyle w:val="48"/>
                            </w:rPr>
                            <w:fldChar w:fldCharType="separate"/>
                          </w:r>
                          <w:r>
                            <w:rPr>
                              <w:rStyle w:val="48"/>
                            </w:rPr>
                            <w:t>214</w:t>
                          </w:r>
                          <w:r>
                            <w:rPr>
                              <w:rStyle w:val="4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memoQTAgAAFQ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NJWO7QAAAABQEAAA8AAAAAAAAAAQAgAAAA&#10;IgAAAGRycy9kb3ducmV2LnhtbFBLAQIUABQAAAAIAIdO4kCZnpqEEwIAABUEAAAOAAAAAAAAAAEA&#10;IAAAAB8BAABkcnMvZTJvRG9jLnhtbFBLBQYAAAAABgAGAFkBAACkBQAAAAA=&#10;">
              <v:fill on="f" focussize="0,0"/>
              <v:stroke on="f" weight="0.5pt"/>
              <v:imagedata o:title=""/>
              <o:lock v:ext="edit" aspectratio="f"/>
              <v:textbox inset="0mm,0mm,0mm,0mm" style="mso-fit-shape-to-text:t;">
                <w:txbxContent>
                  <w:p>
                    <w:pPr>
                      <w:pStyle w:val="29"/>
                      <w:jc w:val="center"/>
                      <w:rPr>
                        <w:rStyle w:val="48"/>
                      </w:rPr>
                    </w:pPr>
                    <w:r>
                      <w:rPr>
                        <w:rStyle w:val="48"/>
                      </w:rPr>
                      <w:fldChar w:fldCharType="begin"/>
                    </w:r>
                    <w:r>
                      <w:rPr>
                        <w:rStyle w:val="48"/>
                      </w:rPr>
                      <w:instrText xml:space="preserve">PAGE  </w:instrText>
                    </w:r>
                    <w:r>
                      <w:rPr>
                        <w:rStyle w:val="48"/>
                      </w:rPr>
                      <w:fldChar w:fldCharType="separate"/>
                    </w:r>
                    <w:r>
                      <w:rPr>
                        <w:rStyle w:val="48"/>
                      </w:rPr>
                      <w:t>214</w:t>
                    </w:r>
                    <w:r>
                      <w:rPr>
                        <w:rStyle w:val="48"/>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framePr w:wrap="around" w:vAnchor="text" w:hAnchor="margin" w:xAlign="center" w:y="1"/>
      <w:spacing w:before="72"/>
      <w:rPr>
        <w:rStyle w:val="48"/>
      </w:rPr>
    </w:pPr>
    <w:r>
      <w:fldChar w:fldCharType="begin"/>
    </w:r>
    <w:r>
      <w:rPr>
        <w:rStyle w:val="48"/>
      </w:rPr>
      <w:instrText xml:space="preserve">PAGE  </w:instrText>
    </w:r>
    <w:r>
      <w:fldChar w:fldCharType="separate"/>
    </w:r>
    <w:r>
      <w:rPr>
        <w:rStyle w:val="48"/>
      </w:rPr>
      <w:t>12</w:t>
    </w:r>
    <w:r>
      <w:fldChar w:fldCharType="end"/>
    </w:r>
  </w:p>
  <w:p>
    <w:pPr>
      <w:pStyle w:val="29"/>
      <w:spacing w:before="72"/>
      <w:ind w:right="410" w:rightChars="171"/>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rPr>
        <w:sz w:val="21"/>
      </w:rPr>
    </w:pPr>
    <w:r>
      <w:rPr>
        <w:rFonts w:hint="eastAsia"/>
        <w:sz w:val="21"/>
      </w:rPr>
      <w:t>兴宁市静脉产业园项目（餐厨垃圾处理厂和建筑垃圾消纳场）</w:t>
    </w:r>
    <w:r>
      <w:rPr>
        <w:sz w:val="21"/>
      </w:rPr>
      <w:t>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Pr>
    <w:r>
      <w:rPr>
        <w:rFonts w:hint="eastAsia"/>
        <w:sz w:val="21"/>
      </w:rPr>
      <w:t>兴宁市静脉产业园项目（餐厨垃圾处理厂和建筑垃圾消纳场）</w:t>
    </w:r>
    <w:r>
      <w:rPr>
        <w:sz w:val="21"/>
      </w:rPr>
      <w:t>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350762655">
    <w:nsid w:val="14E8369F"/>
    <w:multiLevelType w:val="multilevel"/>
    <w:tmpl w:val="14E8369F"/>
    <w:lvl w:ilvl="0" w:tentative="1">
      <w:start w:val="1"/>
      <w:numFmt w:val="decimal"/>
      <w:pStyle w:val="2"/>
      <w:lvlText w:val="%1"/>
      <w:lvlJc w:val="left"/>
      <w:pPr>
        <w:ind w:left="1991" w:hanging="432"/>
      </w:pPr>
    </w:lvl>
    <w:lvl w:ilvl="1" w:tentative="1">
      <w:start w:val="1"/>
      <w:numFmt w:val="decimal"/>
      <w:pStyle w:val="3"/>
      <w:lvlText w:val="%1.%2"/>
      <w:lvlJc w:val="left"/>
      <w:pPr>
        <w:ind w:left="859" w:hanging="576"/>
      </w:pPr>
    </w:lvl>
    <w:lvl w:ilvl="2" w:tentative="1">
      <w:start w:val="1"/>
      <w:numFmt w:val="decimal"/>
      <w:pStyle w:val="4"/>
      <w:lvlText w:val="%1.%2.%3"/>
      <w:lvlJc w:val="left"/>
      <w:pPr>
        <w:ind w:left="720" w:hanging="720"/>
      </w:pPr>
      <w:rPr>
        <w:lang w:val="zh-CN"/>
      </w:rPr>
    </w:lvl>
    <w:lvl w:ilvl="3" w:tentative="1">
      <w:start w:val="1"/>
      <w:numFmt w:val="decimal"/>
      <w:pStyle w:val="6"/>
      <w:lvlText w:val="%1.%2.%3.%4"/>
      <w:lvlJc w:val="left"/>
      <w:pPr>
        <w:ind w:left="1290" w:hanging="864"/>
      </w:pPr>
    </w:lvl>
    <w:lvl w:ilvl="4" w:tentative="1">
      <w:start w:val="1"/>
      <w:numFmt w:val="decimal"/>
      <w:pStyle w:val="7"/>
      <w:lvlText w:val="%1.%2.%3.%4.%5"/>
      <w:lvlJc w:val="left"/>
      <w:pPr>
        <w:ind w:left="1008" w:hanging="1008"/>
      </w:pPr>
    </w:lvl>
    <w:lvl w:ilvl="5" w:tentative="1">
      <w:start w:val="1"/>
      <w:numFmt w:val="decimal"/>
      <w:pStyle w:val="8"/>
      <w:lvlText w:val="%1.%2.%3.%4.%5.%6"/>
      <w:lvlJc w:val="left"/>
      <w:pPr>
        <w:ind w:left="1152" w:hanging="1152"/>
      </w:pPr>
    </w:lvl>
    <w:lvl w:ilvl="6" w:tentative="1">
      <w:start w:val="1"/>
      <w:numFmt w:val="decimal"/>
      <w:pStyle w:val="9"/>
      <w:lvlText w:val="%1.%2.%3.%4.%5.%6.%7"/>
      <w:lvlJc w:val="left"/>
      <w:pPr>
        <w:ind w:left="1296" w:hanging="1296"/>
      </w:pPr>
    </w:lvl>
    <w:lvl w:ilvl="7" w:tentative="1">
      <w:start w:val="1"/>
      <w:numFmt w:val="decimal"/>
      <w:pStyle w:val="10"/>
      <w:lvlText w:val="%1.%2.%3.%4.%5.%6.%7.%8"/>
      <w:lvlJc w:val="left"/>
      <w:pPr>
        <w:ind w:left="1440" w:hanging="1440"/>
      </w:pPr>
    </w:lvl>
    <w:lvl w:ilvl="8" w:tentative="1">
      <w:start w:val="1"/>
      <w:numFmt w:val="decimal"/>
      <w:pStyle w:val="11"/>
      <w:lvlText w:val="%1.%2.%3.%4.%5.%6.%7.%8.%9"/>
      <w:lvlJc w:val="left"/>
      <w:pPr>
        <w:ind w:left="1584" w:hanging="1584"/>
      </w:pPr>
    </w:lvl>
  </w:abstractNum>
  <w:abstractNum w:abstractNumId="732192277">
    <w:nsid w:val="2BA45E15"/>
    <w:multiLevelType w:val="multilevel"/>
    <w:tmpl w:val="2BA45E15"/>
    <w:lvl w:ilvl="0" w:tentative="1">
      <w:start w:val="1"/>
      <w:numFmt w:val="decimal"/>
      <w:pStyle w:val="267"/>
      <w:lvlText w:val="%1）"/>
      <w:lvlJc w:val="left"/>
      <w:pPr>
        <w:tabs>
          <w:tab w:val="left" w:pos="680"/>
        </w:tabs>
        <w:ind w:left="0" w:firstLine="476"/>
      </w:pPr>
      <w:rPr>
        <w:rFonts w:hint="eastAsia" w:ascii="宋体" w:hAnsi="宋体" w:eastAsia="宋体"/>
      </w:rPr>
    </w:lvl>
    <w:lvl w:ilvl="1" w:tentative="1">
      <w:start w:val="1"/>
      <w:numFmt w:val="lowerLetter"/>
      <w:pStyle w:val="268"/>
      <w:lvlText w:val="%2)"/>
      <w:lvlJc w:val="left"/>
      <w:pPr>
        <w:tabs>
          <w:tab w:val="left" w:pos="840"/>
        </w:tabs>
        <w:ind w:left="840" w:hanging="420"/>
      </w:pPr>
      <w:rPr>
        <w:rFonts w:hint="default" w:ascii="Times New Roman" w:hAnsi="Times New Roman" w:cs="Times New Roman"/>
      </w:rPr>
    </w:lvl>
    <w:lvl w:ilvl="2" w:tentative="1">
      <w:start w:val="1"/>
      <w:numFmt w:val="lowerRoman"/>
      <w:lvlText w:val="%3."/>
      <w:lvlJc w:val="right"/>
      <w:pPr>
        <w:tabs>
          <w:tab w:val="left" w:pos="1260"/>
        </w:tabs>
        <w:ind w:left="1260" w:hanging="420"/>
      </w:pPr>
      <w:rPr>
        <w:rFonts w:hint="default" w:ascii="Times New Roman" w:hAnsi="Times New Roman" w:cs="Times New Roman"/>
      </w:rPr>
    </w:lvl>
    <w:lvl w:ilvl="3" w:tentative="1">
      <w:start w:val="1"/>
      <w:numFmt w:val="decimal"/>
      <w:lvlText w:val="%4."/>
      <w:lvlJc w:val="left"/>
      <w:pPr>
        <w:tabs>
          <w:tab w:val="left" w:pos="1680"/>
        </w:tabs>
        <w:ind w:left="1680" w:hanging="420"/>
      </w:pPr>
      <w:rPr>
        <w:rFonts w:hint="default" w:ascii="Times New Roman" w:hAnsi="Times New Roman" w:cs="Times New Roman"/>
      </w:rPr>
    </w:lvl>
    <w:lvl w:ilvl="4" w:tentative="1">
      <w:start w:val="1"/>
      <w:numFmt w:val="lowerLetter"/>
      <w:lvlText w:val="%5)"/>
      <w:lvlJc w:val="left"/>
      <w:pPr>
        <w:tabs>
          <w:tab w:val="left" w:pos="2100"/>
        </w:tabs>
        <w:ind w:left="2100" w:hanging="420"/>
      </w:pPr>
      <w:rPr>
        <w:rFonts w:hint="default" w:ascii="Times New Roman" w:hAnsi="Times New Roman" w:cs="Times New Roman"/>
      </w:rPr>
    </w:lvl>
    <w:lvl w:ilvl="5" w:tentative="1">
      <w:start w:val="1"/>
      <w:numFmt w:val="lowerRoman"/>
      <w:lvlText w:val="%6."/>
      <w:lvlJc w:val="right"/>
      <w:pPr>
        <w:tabs>
          <w:tab w:val="left" w:pos="2520"/>
        </w:tabs>
        <w:ind w:left="2520" w:hanging="420"/>
      </w:pPr>
      <w:rPr>
        <w:rFonts w:hint="default" w:ascii="Times New Roman" w:hAnsi="Times New Roman" w:cs="Times New Roman"/>
      </w:rPr>
    </w:lvl>
    <w:lvl w:ilvl="6" w:tentative="1">
      <w:start w:val="1"/>
      <w:numFmt w:val="decimal"/>
      <w:lvlText w:val="%7."/>
      <w:lvlJc w:val="left"/>
      <w:pPr>
        <w:tabs>
          <w:tab w:val="left" w:pos="2940"/>
        </w:tabs>
        <w:ind w:left="2940" w:hanging="420"/>
      </w:pPr>
      <w:rPr>
        <w:rFonts w:hint="default" w:ascii="Times New Roman" w:hAnsi="Times New Roman" w:cs="Times New Roman"/>
      </w:rPr>
    </w:lvl>
    <w:lvl w:ilvl="7" w:tentative="1">
      <w:start w:val="1"/>
      <w:numFmt w:val="lowerLetter"/>
      <w:lvlText w:val="%8)"/>
      <w:lvlJc w:val="left"/>
      <w:pPr>
        <w:tabs>
          <w:tab w:val="left" w:pos="3360"/>
        </w:tabs>
        <w:ind w:left="3360" w:hanging="420"/>
      </w:pPr>
      <w:rPr>
        <w:rFonts w:hint="default" w:ascii="Times New Roman" w:hAnsi="Times New Roman" w:cs="Times New Roman"/>
      </w:rPr>
    </w:lvl>
    <w:lvl w:ilvl="8" w:tentative="1">
      <w:start w:val="1"/>
      <w:numFmt w:val="lowerRoman"/>
      <w:lvlText w:val="%9."/>
      <w:lvlJc w:val="right"/>
      <w:pPr>
        <w:tabs>
          <w:tab w:val="left" w:pos="3780"/>
        </w:tabs>
        <w:ind w:left="3780" w:hanging="420"/>
      </w:pPr>
      <w:rPr>
        <w:rFonts w:hint="default" w:ascii="Times New Roman" w:hAnsi="Times New Roman" w:cs="Times New Roman"/>
      </w:rPr>
    </w:lvl>
  </w:abstractNum>
  <w:abstractNum w:abstractNumId="758796256">
    <w:nsid w:val="2D3A4FE0"/>
    <w:multiLevelType w:val="multilevel"/>
    <w:tmpl w:val="2D3A4FE0"/>
    <w:lvl w:ilvl="0" w:tentative="1">
      <w:start w:val="1"/>
      <w:numFmt w:val="decimal"/>
      <w:lvlText w:val="（%1）"/>
      <w:lvlJc w:val="left"/>
      <w:pPr>
        <w:ind w:left="1200" w:hanging="720"/>
      </w:pPr>
      <w:rPr>
        <w:rFonts w:hint="default"/>
      </w:rPr>
    </w:lvl>
    <w:lvl w:ilvl="1" w:tentative="1">
      <w:start w:val="1"/>
      <w:numFmt w:val="lowerLetter"/>
      <w:lvlText w:val="%2)"/>
      <w:lvlJc w:val="left"/>
      <w:pPr>
        <w:ind w:left="1320" w:hanging="420"/>
      </w:pPr>
    </w:lvl>
    <w:lvl w:ilvl="2" w:tentative="1">
      <w:start w:val="1"/>
      <w:numFmt w:val="lowerRoman"/>
      <w:lvlText w:val="%3."/>
      <w:lvlJc w:val="right"/>
      <w:pPr>
        <w:ind w:left="1740" w:hanging="420"/>
      </w:pPr>
    </w:lvl>
    <w:lvl w:ilvl="3" w:tentative="1">
      <w:start w:val="1"/>
      <w:numFmt w:val="decimal"/>
      <w:lvlText w:val="%4."/>
      <w:lvlJc w:val="left"/>
      <w:pPr>
        <w:ind w:left="2160" w:hanging="420"/>
      </w:pPr>
    </w:lvl>
    <w:lvl w:ilvl="4" w:tentative="1">
      <w:start w:val="1"/>
      <w:numFmt w:val="lowerLetter"/>
      <w:lvlText w:val="%5)"/>
      <w:lvlJc w:val="left"/>
      <w:pPr>
        <w:ind w:left="2580" w:hanging="420"/>
      </w:pPr>
    </w:lvl>
    <w:lvl w:ilvl="5" w:tentative="1">
      <w:start w:val="1"/>
      <w:numFmt w:val="lowerRoman"/>
      <w:lvlText w:val="%6."/>
      <w:lvlJc w:val="right"/>
      <w:pPr>
        <w:ind w:left="3000" w:hanging="420"/>
      </w:pPr>
    </w:lvl>
    <w:lvl w:ilvl="6" w:tentative="1">
      <w:start w:val="1"/>
      <w:numFmt w:val="decimal"/>
      <w:lvlText w:val="%7."/>
      <w:lvlJc w:val="left"/>
      <w:pPr>
        <w:ind w:left="3420" w:hanging="420"/>
      </w:pPr>
    </w:lvl>
    <w:lvl w:ilvl="7" w:tentative="1">
      <w:start w:val="1"/>
      <w:numFmt w:val="lowerLetter"/>
      <w:lvlText w:val="%8)"/>
      <w:lvlJc w:val="left"/>
      <w:pPr>
        <w:ind w:left="3840" w:hanging="420"/>
      </w:pPr>
    </w:lvl>
    <w:lvl w:ilvl="8" w:tentative="1">
      <w:start w:val="1"/>
      <w:numFmt w:val="lowerRoman"/>
      <w:lvlText w:val="%9."/>
      <w:lvlJc w:val="right"/>
      <w:pPr>
        <w:ind w:left="4260" w:hanging="420"/>
      </w:pPr>
    </w:lvl>
  </w:abstractNum>
  <w:abstractNum w:abstractNumId="1768230927">
    <w:nsid w:val="6965100F"/>
    <w:multiLevelType w:val="multilevel"/>
    <w:tmpl w:val="6965100F"/>
    <w:lvl w:ilvl="0" w:tentative="1">
      <w:start w:val="1"/>
      <w:numFmt w:val="decimal"/>
      <w:lvlText w:val="%1、"/>
      <w:lvlJc w:val="left"/>
      <w:pPr>
        <w:ind w:left="840" w:hanging="360"/>
      </w:pPr>
      <w:rPr>
        <w:rFonts w:hint="default"/>
      </w:rPr>
    </w:lvl>
    <w:lvl w:ilvl="1" w:tentative="1">
      <w:start w:val="1"/>
      <w:numFmt w:val="lowerLetter"/>
      <w:lvlText w:val="%2)"/>
      <w:lvlJc w:val="left"/>
      <w:pPr>
        <w:ind w:left="1320" w:hanging="420"/>
      </w:pPr>
    </w:lvl>
    <w:lvl w:ilvl="2" w:tentative="1">
      <w:start w:val="1"/>
      <w:numFmt w:val="lowerRoman"/>
      <w:lvlText w:val="%3."/>
      <w:lvlJc w:val="right"/>
      <w:pPr>
        <w:ind w:left="1740" w:hanging="420"/>
      </w:pPr>
    </w:lvl>
    <w:lvl w:ilvl="3" w:tentative="1">
      <w:start w:val="1"/>
      <w:numFmt w:val="decimal"/>
      <w:lvlText w:val="%4."/>
      <w:lvlJc w:val="left"/>
      <w:pPr>
        <w:ind w:left="2160" w:hanging="420"/>
      </w:pPr>
    </w:lvl>
    <w:lvl w:ilvl="4" w:tentative="1">
      <w:start w:val="1"/>
      <w:numFmt w:val="lowerLetter"/>
      <w:lvlText w:val="%5)"/>
      <w:lvlJc w:val="left"/>
      <w:pPr>
        <w:ind w:left="2580" w:hanging="420"/>
      </w:pPr>
    </w:lvl>
    <w:lvl w:ilvl="5" w:tentative="1">
      <w:start w:val="1"/>
      <w:numFmt w:val="lowerRoman"/>
      <w:lvlText w:val="%6."/>
      <w:lvlJc w:val="right"/>
      <w:pPr>
        <w:ind w:left="3000" w:hanging="420"/>
      </w:pPr>
    </w:lvl>
    <w:lvl w:ilvl="6" w:tentative="1">
      <w:start w:val="1"/>
      <w:numFmt w:val="decimal"/>
      <w:lvlText w:val="%7."/>
      <w:lvlJc w:val="left"/>
      <w:pPr>
        <w:ind w:left="3420" w:hanging="420"/>
      </w:pPr>
    </w:lvl>
    <w:lvl w:ilvl="7" w:tentative="1">
      <w:start w:val="1"/>
      <w:numFmt w:val="lowerLetter"/>
      <w:lvlText w:val="%8)"/>
      <w:lvlJc w:val="left"/>
      <w:pPr>
        <w:ind w:left="3840" w:hanging="420"/>
      </w:pPr>
    </w:lvl>
    <w:lvl w:ilvl="8" w:tentative="1">
      <w:start w:val="1"/>
      <w:numFmt w:val="lowerRoman"/>
      <w:lvlText w:val="%9."/>
      <w:lvlJc w:val="right"/>
      <w:pPr>
        <w:ind w:left="4260" w:hanging="420"/>
      </w:pPr>
    </w:lvl>
  </w:abstractNum>
  <w:abstractNum w:abstractNumId="1669166901">
    <w:nsid w:val="637D7735"/>
    <w:multiLevelType w:val="multilevel"/>
    <w:tmpl w:val="637D7735"/>
    <w:lvl w:ilvl="0" w:tentative="1">
      <w:start w:val="1"/>
      <w:numFmt w:val="decimal"/>
      <w:lvlText w:val="（%1）"/>
      <w:lvlJc w:val="left"/>
      <w:pPr>
        <w:ind w:left="1320" w:hanging="720"/>
      </w:pPr>
      <w:rPr>
        <w:rFonts w:hint="default"/>
      </w:rPr>
    </w:lvl>
    <w:lvl w:ilvl="1" w:tentative="1">
      <w:start w:val="1"/>
      <w:numFmt w:val="lowerLetter"/>
      <w:lvlText w:val="%2)"/>
      <w:lvlJc w:val="left"/>
      <w:pPr>
        <w:ind w:left="1440" w:hanging="420"/>
      </w:pPr>
    </w:lvl>
    <w:lvl w:ilvl="2" w:tentative="1">
      <w:start w:val="1"/>
      <w:numFmt w:val="lowerRoman"/>
      <w:lvlText w:val="%3."/>
      <w:lvlJc w:val="right"/>
      <w:pPr>
        <w:ind w:left="1860" w:hanging="420"/>
      </w:pPr>
    </w:lvl>
    <w:lvl w:ilvl="3" w:tentative="1">
      <w:start w:val="1"/>
      <w:numFmt w:val="decimal"/>
      <w:lvlText w:val="%4."/>
      <w:lvlJc w:val="left"/>
      <w:pPr>
        <w:ind w:left="2280" w:hanging="420"/>
      </w:pPr>
    </w:lvl>
    <w:lvl w:ilvl="4" w:tentative="1">
      <w:start w:val="1"/>
      <w:numFmt w:val="lowerLetter"/>
      <w:lvlText w:val="%5)"/>
      <w:lvlJc w:val="left"/>
      <w:pPr>
        <w:ind w:left="2700" w:hanging="420"/>
      </w:pPr>
    </w:lvl>
    <w:lvl w:ilvl="5" w:tentative="1">
      <w:start w:val="1"/>
      <w:numFmt w:val="lowerRoman"/>
      <w:lvlText w:val="%6."/>
      <w:lvlJc w:val="right"/>
      <w:pPr>
        <w:ind w:left="3120" w:hanging="420"/>
      </w:pPr>
    </w:lvl>
    <w:lvl w:ilvl="6" w:tentative="1">
      <w:start w:val="1"/>
      <w:numFmt w:val="decimal"/>
      <w:lvlText w:val="%7."/>
      <w:lvlJc w:val="left"/>
      <w:pPr>
        <w:ind w:left="3540" w:hanging="420"/>
      </w:pPr>
    </w:lvl>
    <w:lvl w:ilvl="7" w:tentative="1">
      <w:start w:val="1"/>
      <w:numFmt w:val="lowerLetter"/>
      <w:lvlText w:val="%8)"/>
      <w:lvlJc w:val="left"/>
      <w:pPr>
        <w:ind w:left="3960" w:hanging="420"/>
      </w:pPr>
    </w:lvl>
    <w:lvl w:ilvl="8" w:tentative="1">
      <w:start w:val="1"/>
      <w:numFmt w:val="lowerRoman"/>
      <w:lvlText w:val="%9."/>
      <w:lvlJc w:val="right"/>
      <w:pPr>
        <w:ind w:left="4380" w:hanging="420"/>
      </w:pPr>
    </w:lvl>
  </w:abstractNum>
  <w:abstractNum w:abstractNumId="821891279">
    <w:nsid w:val="30FD10CF"/>
    <w:multiLevelType w:val="multilevel"/>
    <w:tmpl w:val="30FD10CF"/>
    <w:lvl w:ilvl="0" w:tentative="1">
      <w:start w:val="1"/>
      <w:numFmt w:val="upperLetter"/>
      <w:lvlText w:val="%1、"/>
      <w:lvlJc w:val="left"/>
      <w:pPr>
        <w:ind w:left="960" w:hanging="360"/>
      </w:pPr>
      <w:rPr>
        <w:rFonts w:hint="default"/>
      </w:rPr>
    </w:lvl>
    <w:lvl w:ilvl="1" w:tentative="1">
      <w:start w:val="1"/>
      <w:numFmt w:val="lowerLetter"/>
      <w:lvlText w:val="%2)"/>
      <w:lvlJc w:val="left"/>
      <w:pPr>
        <w:ind w:left="1440" w:hanging="420"/>
      </w:pPr>
    </w:lvl>
    <w:lvl w:ilvl="2" w:tentative="1">
      <w:start w:val="1"/>
      <w:numFmt w:val="lowerRoman"/>
      <w:lvlText w:val="%3."/>
      <w:lvlJc w:val="right"/>
      <w:pPr>
        <w:ind w:left="1860" w:hanging="420"/>
      </w:pPr>
    </w:lvl>
    <w:lvl w:ilvl="3" w:tentative="1">
      <w:start w:val="1"/>
      <w:numFmt w:val="decimal"/>
      <w:lvlText w:val="%4."/>
      <w:lvlJc w:val="left"/>
      <w:pPr>
        <w:ind w:left="2280" w:hanging="420"/>
      </w:pPr>
    </w:lvl>
    <w:lvl w:ilvl="4" w:tentative="1">
      <w:start w:val="1"/>
      <w:numFmt w:val="lowerLetter"/>
      <w:lvlText w:val="%5)"/>
      <w:lvlJc w:val="left"/>
      <w:pPr>
        <w:ind w:left="2700" w:hanging="420"/>
      </w:pPr>
    </w:lvl>
    <w:lvl w:ilvl="5" w:tentative="1">
      <w:start w:val="1"/>
      <w:numFmt w:val="lowerRoman"/>
      <w:lvlText w:val="%6."/>
      <w:lvlJc w:val="right"/>
      <w:pPr>
        <w:ind w:left="3120" w:hanging="420"/>
      </w:pPr>
    </w:lvl>
    <w:lvl w:ilvl="6" w:tentative="1">
      <w:start w:val="1"/>
      <w:numFmt w:val="decimal"/>
      <w:lvlText w:val="%7."/>
      <w:lvlJc w:val="left"/>
      <w:pPr>
        <w:ind w:left="3540" w:hanging="420"/>
      </w:pPr>
    </w:lvl>
    <w:lvl w:ilvl="7" w:tentative="1">
      <w:start w:val="1"/>
      <w:numFmt w:val="lowerLetter"/>
      <w:lvlText w:val="%8)"/>
      <w:lvlJc w:val="left"/>
      <w:pPr>
        <w:ind w:left="3960" w:hanging="420"/>
      </w:pPr>
    </w:lvl>
    <w:lvl w:ilvl="8" w:tentative="1">
      <w:start w:val="1"/>
      <w:numFmt w:val="lowerRoman"/>
      <w:lvlText w:val="%9."/>
      <w:lvlJc w:val="right"/>
      <w:pPr>
        <w:ind w:left="4380" w:hanging="420"/>
      </w:pPr>
    </w:lvl>
  </w:abstractNum>
  <w:abstractNum w:abstractNumId="415904652">
    <w:nsid w:val="18CA338C"/>
    <w:multiLevelType w:val="multilevel"/>
    <w:tmpl w:val="18CA338C"/>
    <w:lvl w:ilvl="0" w:tentative="1">
      <w:start w:val="1"/>
      <w:numFmt w:val="decimal"/>
      <w:lvlText w:val="（%1）"/>
      <w:lvlJc w:val="left"/>
      <w:pPr>
        <w:ind w:left="1429" w:hanging="720"/>
      </w:pPr>
      <w:rPr>
        <w:rFonts w:hint="default"/>
      </w:rPr>
    </w:lvl>
    <w:lvl w:ilvl="1" w:tentative="1">
      <w:start w:val="1"/>
      <w:numFmt w:val="lowerLetter"/>
      <w:lvlText w:val="%2)"/>
      <w:lvlJc w:val="left"/>
      <w:pPr>
        <w:ind w:left="1320" w:hanging="420"/>
      </w:pPr>
    </w:lvl>
    <w:lvl w:ilvl="2" w:tentative="1">
      <w:start w:val="1"/>
      <w:numFmt w:val="lowerRoman"/>
      <w:lvlText w:val="%3."/>
      <w:lvlJc w:val="right"/>
      <w:pPr>
        <w:ind w:left="1740" w:hanging="420"/>
      </w:pPr>
    </w:lvl>
    <w:lvl w:ilvl="3" w:tentative="1">
      <w:start w:val="1"/>
      <w:numFmt w:val="decimal"/>
      <w:lvlText w:val="%4."/>
      <w:lvlJc w:val="left"/>
      <w:pPr>
        <w:ind w:left="2160" w:hanging="420"/>
      </w:pPr>
    </w:lvl>
    <w:lvl w:ilvl="4" w:tentative="1">
      <w:start w:val="1"/>
      <w:numFmt w:val="lowerLetter"/>
      <w:lvlText w:val="%5)"/>
      <w:lvlJc w:val="left"/>
      <w:pPr>
        <w:ind w:left="2580" w:hanging="420"/>
      </w:pPr>
    </w:lvl>
    <w:lvl w:ilvl="5" w:tentative="1">
      <w:start w:val="1"/>
      <w:numFmt w:val="lowerRoman"/>
      <w:lvlText w:val="%6."/>
      <w:lvlJc w:val="right"/>
      <w:pPr>
        <w:ind w:left="3000" w:hanging="420"/>
      </w:pPr>
    </w:lvl>
    <w:lvl w:ilvl="6" w:tentative="1">
      <w:start w:val="1"/>
      <w:numFmt w:val="decimal"/>
      <w:lvlText w:val="%7."/>
      <w:lvlJc w:val="left"/>
      <w:pPr>
        <w:ind w:left="3420" w:hanging="420"/>
      </w:pPr>
    </w:lvl>
    <w:lvl w:ilvl="7" w:tentative="1">
      <w:start w:val="1"/>
      <w:numFmt w:val="lowerLetter"/>
      <w:lvlText w:val="%8)"/>
      <w:lvlJc w:val="left"/>
      <w:pPr>
        <w:ind w:left="3840" w:hanging="420"/>
      </w:pPr>
    </w:lvl>
    <w:lvl w:ilvl="8" w:tentative="1">
      <w:start w:val="1"/>
      <w:numFmt w:val="lowerRoman"/>
      <w:lvlText w:val="%9."/>
      <w:lvlJc w:val="right"/>
      <w:pPr>
        <w:ind w:left="4260" w:hanging="420"/>
      </w:pPr>
    </w:lvl>
  </w:abstractNum>
  <w:abstractNum w:abstractNumId="414284525">
    <w:nsid w:val="18B17AED"/>
    <w:multiLevelType w:val="singleLevel"/>
    <w:tmpl w:val="18B17AED"/>
    <w:lvl w:ilvl="0" w:tentative="1">
      <w:start w:val="2"/>
      <w:numFmt w:val="decimal"/>
      <w:suff w:val="nothing"/>
      <w:lvlText w:val="（%1）"/>
      <w:lvlJc w:val="left"/>
    </w:lvl>
  </w:abstractNum>
  <w:abstractNum w:abstractNumId="1589335477">
    <w:nsid w:val="5EBB55B5"/>
    <w:multiLevelType w:val="singleLevel"/>
    <w:tmpl w:val="5EBB55B5"/>
    <w:lvl w:ilvl="0" w:tentative="1">
      <w:start w:val="2"/>
      <w:numFmt w:val="decimal"/>
      <w:suff w:val="nothing"/>
      <w:lvlText w:val="（%1）"/>
      <w:lvlJc w:val="left"/>
    </w:lvl>
  </w:abstractNum>
  <w:abstractNum w:abstractNumId="1589335235">
    <w:nsid w:val="5EBB54C3"/>
    <w:multiLevelType w:val="singleLevel"/>
    <w:tmpl w:val="5EBB54C3"/>
    <w:lvl w:ilvl="0" w:tentative="1">
      <w:start w:val="8"/>
      <w:numFmt w:val="chineseCounting"/>
      <w:suff w:val="nothing"/>
      <w:lvlText w:val="%1、"/>
      <w:lvlJc w:val="left"/>
    </w:lvl>
  </w:abstractNum>
  <w:abstractNum w:abstractNumId="1589358226">
    <w:nsid w:val="5EBBAE92"/>
    <w:multiLevelType w:val="singleLevel"/>
    <w:tmpl w:val="5EBBAE92"/>
    <w:lvl w:ilvl="0" w:tentative="1">
      <w:start w:val="4"/>
      <w:numFmt w:val="decimal"/>
      <w:suff w:val="nothing"/>
      <w:lvlText w:val="（%1）"/>
      <w:lvlJc w:val="left"/>
    </w:lvl>
  </w:abstractNum>
  <w:abstractNum w:abstractNumId="1976134331">
    <w:nsid w:val="75C96ABB"/>
    <w:multiLevelType w:val="multilevel"/>
    <w:tmpl w:val="75C96ABB"/>
    <w:lvl w:ilvl="0" w:tentative="1">
      <w:start w:val="1"/>
      <w:numFmt w:val="decimalEnclosedCircle"/>
      <w:lvlText w:val="%1"/>
      <w:lvlJc w:val="left"/>
      <w:pPr>
        <w:ind w:left="960" w:hanging="360"/>
      </w:pPr>
      <w:rPr>
        <w:rFonts w:hint="default" w:ascii="宋体" w:hAnsi="宋体" w:eastAsia="宋体" w:cs="宋体"/>
      </w:rPr>
    </w:lvl>
    <w:lvl w:ilvl="1" w:tentative="1">
      <w:start w:val="1"/>
      <w:numFmt w:val="lowerLetter"/>
      <w:lvlText w:val="%2)"/>
      <w:lvlJc w:val="left"/>
      <w:pPr>
        <w:ind w:left="1440" w:hanging="420"/>
      </w:pPr>
    </w:lvl>
    <w:lvl w:ilvl="2" w:tentative="1">
      <w:start w:val="1"/>
      <w:numFmt w:val="lowerRoman"/>
      <w:lvlText w:val="%3."/>
      <w:lvlJc w:val="right"/>
      <w:pPr>
        <w:ind w:left="1860" w:hanging="420"/>
      </w:pPr>
    </w:lvl>
    <w:lvl w:ilvl="3" w:tentative="1">
      <w:start w:val="1"/>
      <w:numFmt w:val="decimal"/>
      <w:lvlText w:val="%4."/>
      <w:lvlJc w:val="left"/>
      <w:pPr>
        <w:ind w:left="2280" w:hanging="420"/>
      </w:pPr>
    </w:lvl>
    <w:lvl w:ilvl="4" w:tentative="1">
      <w:start w:val="1"/>
      <w:numFmt w:val="lowerLetter"/>
      <w:lvlText w:val="%5)"/>
      <w:lvlJc w:val="left"/>
      <w:pPr>
        <w:ind w:left="2700" w:hanging="420"/>
      </w:pPr>
    </w:lvl>
    <w:lvl w:ilvl="5" w:tentative="1">
      <w:start w:val="1"/>
      <w:numFmt w:val="lowerRoman"/>
      <w:lvlText w:val="%6."/>
      <w:lvlJc w:val="right"/>
      <w:pPr>
        <w:ind w:left="3120" w:hanging="420"/>
      </w:pPr>
    </w:lvl>
    <w:lvl w:ilvl="6" w:tentative="1">
      <w:start w:val="1"/>
      <w:numFmt w:val="decimal"/>
      <w:lvlText w:val="%7."/>
      <w:lvlJc w:val="left"/>
      <w:pPr>
        <w:ind w:left="3540" w:hanging="420"/>
      </w:pPr>
    </w:lvl>
    <w:lvl w:ilvl="7" w:tentative="1">
      <w:start w:val="1"/>
      <w:numFmt w:val="lowerLetter"/>
      <w:lvlText w:val="%8)"/>
      <w:lvlJc w:val="left"/>
      <w:pPr>
        <w:ind w:left="3960" w:hanging="420"/>
      </w:pPr>
    </w:lvl>
    <w:lvl w:ilvl="8" w:tentative="1">
      <w:start w:val="1"/>
      <w:numFmt w:val="lowerRoman"/>
      <w:lvlText w:val="%9."/>
      <w:lvlJc w:val="right"/>
      <w:pPr>
        <w:ind w:left="4380" w:hanging="420"/>
      </w:pPr>
    </w:lvl>
  </w:abstractNum>
  <w:abstractNum w:abstractNumId="1589284855">
    <w:nsid w:val="5EBA8FF7"/>
    <w:multiLevelType w:val="singleLevel"/>
    <w:tmpl w:val="5EBA8FF7"/>
    <w:lvl w:ilvl="0" w:tentative="1">
      <w:start w:val="5"/>
      <w:numFmt w:val="decimal"/>
      <w:suff w:val="nothing"/>
      <w:lvlText w:val="%1、"/>
      <w:lvlJc w:val="left"/>
    </w:lvl>
  </w:abstractNum>
  <w:abstractNum w:abstractNumId="1589338719">
    <w:nsid w:val="5EBB625F"/>
    <w:multiLevelType w:val="singleLevel"/>
    <w:tmpl w:val="5EBB625F"/>
    <w:lvl w:ilvl="0" w:tentative="1">
      <w:start w:val="2"/>
      <w:numFmt w:val="decimal"/>
      <w:suff w:val="nothing"/>
      <w:lvlText w:val="（%1）"/>
      <w:lvlJc w:val="left"/>
    </w:lvl>
  </w:abstractNum>
  <w:abstractNum w:abstractNumId="1589427679">
    <w:nsid w:val="5EBCBDDF"/>
    <w:multiLevelType w:val="singleLevel"/>
    <w:tmpl w:val="5EBCBDDF"/>
    <w:lvl w:ilvl="0" w:tentative="1">
      <w:start w:val="9"/>
      <w:numFmt w:val="decimal"/>
      <w:suff w:val="nothing"/>
      <w:lvlText w:val="（%1）"/>
      <w:lvlJc w:val="left"/>
    </w:lvl>
  </w:abstractNum>
  <w:num w:numId="1">
    <w:abstractNumId w:val="350762655"/>
  </w:num>
  <w:num w:numId="2">
    <w:abstractNumId w:val="732192277"/>
  </w:num>
  <w:num w:numId="3">
    <w:abstractNumId w:val="1589427679"/>
  </w:num>
  <w:num w:numId="4">
    <w:abstractNumId w:val="1589338719"/>
  </w:num>
  <w:num w:numId="5">
    <w:abstractNumId w:val="1589284855"/>
  </w:num>
  <w:num w:numId="6">
    <w:abstractNumId w:val="1976134331"/>
  </w:num>
  <w:num w:numId="7">
    <w:abstractNumId w:val="1589358226"/>
  </w:num>
  <w:num w:numId="8">
    <w:abstractNumId w:val="1589335235"/>
  </w:num>
  <w:num w:numId="9">
    <w:abstractNumId w:val="1589335477"/>
  </w:num>
  <w:num w:numId="10">
    <w:abstractNumId w:val="350762655"/>
    <w:lvlOverride w:ilvl="0">
      <w:startOverride w:val="6"/>
    </w:lvlOverride>
  </w:num>
  <w:num w:numId="11">
    <w:abstractNumId w:val="414284525"/>
  </w:num>
  <w:num w:numId="12">
    <w:abstractNumId w:val="1669166901"/>
  </w:num>
  <w:num w:numId="13">
    <w:abstractNumId w:val="415904652"/>
  </w:num>
  <w:num w:numId="14">
    <w:abstractNumId w:val="821891279"/>
  </w:num>
  <w:num w:numId="15">
    <w:abstractNumId w:val="1768230927"/>
  </w:num>
  <w:num w:numId="16">
    <w:abstractNumId w:val="75879625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embedSystemFonts/>
  <w:bordersDoNotSurroundHeader w:val="0"/>
  <w:bordersDoNotSurroundFooter w:val="0"/>
  <w:hideSpellingErrors/>
  <w:hideGrammaticalErrors/>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712E"/>
    <w:rsid w:val="00000578"/>
    <w:rsid w:val="00000690"/>
    <w:rsid w:val="00000BB9"/>
    <w:rsid w:val="00001795"/>
    <w:rsid w:val="00002342"/>
    <w:rsid w:val="000033FD"/>
    <w:rsid w:val="000038E5"/>
    <w:rsid w:val="00003A3A"/>
    <w:rsid w:val="0000431A"/>
    <w:rsid w:val="000046C3"/>
    <w:rsid w:val="00004E25"/>
    <w:rsid w:val="00006B5E"/>
    <w:rsid w:val="00006B8E"/>
    <w:rsid w:val="000077E4"/>
    <w:rsid w:val="00007B10"/>
    <w:rsid w:val="00007E94"/>
    <w:rsid w:val="0001019D"/>
    <w:rsid w:val="0001049E"/>
    <w:rsid w:val="00010A0A"/>
    <w:rsid w:val="00010AB1"/>
    <w:rsid w:val="0001110F"/>
    <w:rsid w:val="00011CAF"/>
    <w:rsid w:val="00011E55"/>
    <w:rsid w:val="00011E7B"/>
    <w:rsid w:val="00012304"/>
    <w:rsid w:val="0001512F"/>
    <w:rsid w:val="00016565"/>
    <w:rsid w:val="000168B5"/>
    <w:rsid w:val="00016B2A"/>
    <w:rsid w:val="00016D4D"/>
    <w:rsid w:val="00020101"/>
    <w:rsid w:val="0002076C"/>
    <w:rsid w:val="00023A91"/>
    <w:rsid w:val="00023D59"/>
    <w:rsid w:val="000247DC"/>
    <w:rsid w:val="00025563"/>
    <w:rsid w:val="00025F03"/>
    <w:rsid w:val="00026B5F"/>
    <w:rsid w:val="00026D21"/>
    <w:rsid w:val="00026F5A"/>
    <w:rsid w:val="00031A59"/>
    <w:rsid w:val="00031E83"/>
    <w:rsid w:val="000320B9"/>
    <w:rsid w:val="00032F8B"/>
    <w:rsid w:val="00033575"/>
    <w:rsid w:val="00033CC3"/>
    <w:rsid w:val="0003409B"/>
    <w:rsid w:val="00034586"/>
    <w:rsid w:val="000345FB"/>
    <w:rsid w:val="00034B35"/>
    <w:rsid w:val="000359E2"/>
    <w:rsid w:val="00035A52"/>
    <w:rsid w:val="00035BB6"/>
    <w:rsid w:val="00035F69"/>
    <w:rsid w:val="000368FB"/>
    <w:rsid w:val="00037468"/>
    <w:rsid w:val="000376B1"/>
    <w:rsid w:val="00037E61"/>
    <w:rsid w:val="00040A38"/>
    <w:rsid w:val="00040DED"/>
    <w:rsid w:val="0004133F"/>
    <w:rsid w:val="00041BCF"/>
    <w:rsid w:val="00041CE3"/>
    <w:rsid w:val="00042523"/>
    <w:rsid w:val="00043E4C"/>
    <w:rsid w:val="00044355"/>
    <w:rsid w:val="0004569B"/>
    <w:rsid w:val="00045A09"/>
    <w:rsid w:val="00047CD9"/>
    <w:rsid w:val="00047D30"/>
    <w:rsid w:val="0005084C"/>
    <w:rsid w:val="00050D8A"/>
    <w:rsid w:val="00051FBF"/>
    <w:rsid w:val="000541A6"/>
    <w:rsid w:val="00054461"/>
    <w:rsid w:val="000546D4"/>
    <w:rsid w:val="00055585"/>
    <w:rsid w:val="00055718"/>
    <w:rsid w:val="00056356"/>
    <w:rsid w:val="00056E97"/>
    <w:rsid w:val="00061B30"/>
    <w:rsid w:val="000621C4"/>
    <w:rsid w:val="000624F8"/>
    <w:rsid w:val="00063F83"/>
    <w:rsid w:val="00064AB8"/>
    <w:rsid w:val="0006628A"/>
    <w:rsid w:val="00066EB3"/>
    <w:rsid w:val="000717EB"/>
    <w:rsid w:val="00071B82"/>
    <w:rsid w:val="00071C85"/>
    <w:rsid w:val="00074118"/>
    <w:rsid w:val="000779AB"/>
    <w:rsid w:val="000804F4"/>
    <w:rsid w:val="00080574"/>
    <w:rsid w:val="000809F8"/>
    <w:rsid w:val="00080F36"/>
    <w:rsid w:val="00081C1D"/>
    <w:rsid w:val="00083631"/>
    <w:rsid w:val="000837B0"/>
    <w:rsid w:val="00083F96"/>
    <w:rsid w:val="00086792"/>
    <w:rsid w:val="00086DCE"/>
    <w:rsid w:val="000871C2"/>
    <w:rsid w:val="00087E4F"/>
    <w:rsid w:val="000904AD"/>
    <w:rsid w:val="00091667"/>
    <w:rsid w:val="000917E2"/>
    <w:rsid w:val="000921C5"/>
    <w:rsid w:val="000927D2"/>
    <w:rsid w:val="00092CEF"/>
    <w:rsid w:val="00093918"/>
    <w:rsid w:val="00093BCC"/>
    <w:rsid w:val="00094251"/>
    <w:rsid w:val="000948F4"/>
    <w:rsid w:val="000949E5"/>
    <w:rsid w:val="00094BE5"/>
    <w:rsid w:val="00095A43"/>
    <w:rsid w:val="00095E01"/>
    <w:rsid w:val="0009639B"/>
    <w:rsid w:val="00096822"/>
    <w:rsid w:val="00096DFF"/>
    <w:rsid w:val="000A0EA6"/>
    <w:rsid w:val="000A1465"/>
    <w:rsid w:val="000A1780"/>
    <w:rsid w:val="000A1805"/>
    <w:rsid w:val="000A1D3F"/>
    <w:rsid w:val="000A1E53"/>
    <w:rsid w:val="000A2179"/>
    <w:rsid w:val="000A2462"/>
    <w:rsid w:val="000A2E8C"/>
    <w:rsid w:val="000A5852"/>
    <w:rsid w:val="000A5BAC"/>
    <w:rsid w:val="000A5C0C"/>
    <w:rsid w:val="000A6509"/>
    <w:rsid w:val="000A67C4"/>
    <w:rsid w:val="000A75DB"/>
    <w:rsid w:val="000B131B"/>
    <w:rsid w:val="000B16E6"/>
    <w:rsid w:val="000B18D7"/>
    <w:rsid w:val="000B20DE"/>
    <w:rsid w:val="000B2847"/>
    <w:rsid w:val="000B2AD5"/>
    <w:rsid w:val="000B2BD4"/>
    <w:rsid w:val="000B3740"/>
    <w:rsid w:val="000B3D25"/>
    <w:rsid w:val="000B4E77"/>
    <w:rsid w:val="000B65F3"/>
    <w:rsid w:val="000B7AE7"/>
    <w:rsid w:val="000C0011"/>
    <w:rsid w:val="000C03CA"/>
    <w:rsid w:val="000C08A7"/>
    <w:rsid w:val="000C0F70"/>
    <w:rsid w:val="000C1137"/>
    <w:rsid w:val="000C1BF4"/>
    <w:rsid w:val="000C220A"/>
    <w:rsid w:val="000C2639"/>
    <w:rsid w:val="000C2C8B"/>
    <w:rsid w:val="000C3109"/>
    <w:rsid w:val="000C49B5"/>
    <w:rsid w:val="000C537F"/>
    <w:rsid w:val="000C5515"/>
    <w:rsid w:val="000C5A1E"/>
    <w:rsid w:val="000C614F"/>
    <w:rsid w:val="000C61F1"/>
    <w:rsid w:val="000C6F4A"/>
    <w:rsid w:val="000C784D"/>
    <w:rsid w:val="000C7C9D"/>
    <w:rsid w:val="000D223F"/>
    <w:rsid w:val="000D240E"/>
    <w:rsid w:val="000D2794"/>
    <w:rsid w:val="000D313D"/>
    <w:rsid w:val="000D394A"/>
    <w:rsid w:val="000D4B3C"/>
    <w:rsid w:val="000D5ADA"/>
    <w:rsid w:val="000D6356"/>
    <w:rsid w:val="000E0400"/>
    <w:rsid w:val="000E0A04"/>
    <w:rsid w:val="000E0DAD"/>
    <w:rsid w:val="000E188E"/>
    <w:rsid w:val="000E525A"/>
    <w:rsid w:val="000E5367"/>
    <w:rsid w:val="000E5A8C"/>
    <w:rsid w:val="000E6287"/>
    <w:rsid w:val="000E66B4"/>
    <w:rsid w:val="000E6A01"/>
    <w:rsid w:val="000E7189"/>
    <w:rsid w:val="000F142E"/>
    <w:rsid w:val="000F1BD6"/>
    <w:rsid w:val="000F2345"/>
    <w:rsid w:val="000F3C5D"/>
    <w:rsid w:val="000F48E4"/>
    <w:rsid w:val="000F68E3"/>
    <w:rsid w:val="000F6FE5"/>
    <w:rsid w:val="000F7BEB"/>
    <w:rsid w:val="00100F56"/>
    <w:rsid w:val="00101B0D"/>
    <w:rsid w:val="00101F6A"/>
    <w:rsid w:val="00101FE7"/>
    <w:rsid w:val="00102712"/>
    <w:rsid w:val="00102922"/>
    <w:rsid w:val="001036D4"/>
    <w:rsid w:val="00105851"/>
    <w:rsid w:val="001067EC"/>
    <w:rsid w:val="001101AA"/>
    <w:rsid w:val="001116F0"/>
    <w:rsid w:val="001124DC"/>
    <w:rsid w:val="001147B6"/>
    <w:rsid w:val="001154D1"/>
    <w:rsid w:val="00115E1D"/>
    <w:rsid w:val="00117745"/>
    <w:rsid w:val="00120E74"/>
    <w:rsid w:val="00120EB3"/>
    <w:rsid w:val="00121DFA"/>
    <w:rsid w:val="00122A90"/>
    <w:rsid w:val="00123142"/>
    <w:rsid w:val="00123589"/>
    <w:rsid w:val="00123956"/>
    <w:rsid w:val="00123F63"/>
    <w:rsid w:val="0012512F"/>
    <w:rsid w:val="00126503"/>
    <w:rsid w:val="00126B9B"/>
    <w:rsid w:val="00127289"/>
    <w:rsid w:val="001276DA"/>
    <w:rsid w:val="00130948"/>
    <w:rsid w:val="00130FB0"/>
    <w:rsid w:val="00131C28"/>
    <w:rsid w:val="00132C37"/>
    <w:rsid w:val="00133161"/>
    <w:rsid w:val="00133C3B"/>
    <w:rsid w:val="0013436A"/>
    <w:rsid w:val="0013476A"/>
    <w:rsid w:val="00135D73"/>
    <w:rsid w:val="00137A2A"/>
    <w:rsid w:val="0014038F"/>
    <w:rsid w:val="001407DD"/>
    <w:rsid w:val="001425A5"/>
    <w:rsid w:val="00142611"/>
    <w:rsid w:val="001426E0"/>
    <w:rsid w:val="00143237"/>
    <w:rsid w:val="00145FD2"/>
    <w:rsid w:val="0014625D"/>
    <w:rsid w:val="00146D89"/>
    <w:rsid w:val="00147067"/>
    <w:rsid w:val="001473EA"/>
    <w:rsid w:val="001479A4"/>
    <w:rsid w:val="00147A09"/>
    <w:rsid w:val="00147E1C"/>
    <w:rsid w:val="00147F41"/>
    <w:rsid w:val="0015157C"/>
    <w:rsid w:val="001522E2"/>
    <w:rsid w:val="00152842"/>
    <w:rsid w:val="00152A9E"/>
    <w:rsid w:val="001534B7"/>
    <w:rsid w:val="001534F4"/>
    <w:rsid w:val="00153ADA"/>
    <w:rsid w:val="00153E70"/>
    <w:rsid w:val="00154D9E"/>
    <w:rsid w:val="0015598F"/>
    <w:rsid w:val="00156A9A"/>
    <w:rsid w:val="00156CD7"/>
    <w:rsid w:val="00156D13"/>
    <w:rsid w:val="001573C9"/>
    <w:rsid w:val="00157F03"/>
    <w:rsid w:val="001609DC"/>
    <w:rsid w:val="0016254B"/>
    <w:rsid w:val="00162A55"/>
    <w:rsid w:val="0016325B"/>
    <w:rsid w:val="00164B0A"/>
    <w:rsid w:val="001652A6"/>
    <w:rsid w:val="0016581B"/>
    <w:rsid w:val="00166407"/>
    <w:rsid w:val="00166925"/>
    <w:rsid w:val="001701A3"/>
    <w:rsid w:val="00170D15"/>
    <w:rsid w:val="00170D2E"/>
    <w:rsid w:val="00170E71"/>
    <w:rsid w:val="001725E0"/>
    <w:rsid w:val="00172C62"/>
    <w:rsid w:val="001736D1"/>
    <w:rsid w:val="00173C00"/>
    <w:rsid w:val="00173EC9"/>
    <w:rsid w:val="00175447"/>
    <w:rsid w:val="00175F3F"/>
    <w:rsid w:val="00175FE1"/>
    <w:rsid w:val="00176092"/>
    <w:rsid w:val="00176365"/>
    <w:rsid w:val="001805EA"/>
    <w:rsid w:val="001815CF"/>
    <w:rsid w:val="00181CFD"/>
    <w:rsid w:val="00182BA7"/>
    <w:rsid w:val="00183829"/>
    <w:rsid w:val="001842E6"/>
    <w:rsid w:val="00185196"/>
    <w:rsid w:val="0018595B"/>
    <w:rsid w:val="00185A1D"/>
    <w:rsid w:val="00186FA6"/>
    <w:rsid w:val="00187908"/>
    <w:rsid w:val="001910C4"/>
    <w:rsid w:val="001927E1"/>
    <w:rsid w:val="0019599D"/>
    <w:rsid w:val="00196BB3"/>
    <w:rsid w:val="00196E6D"/>
    <w:rsid w:val="00197E0F"/>
    <w:rsid w:val="001A0E28"/>
    <w:rsid w:val="001A112E"/>
    <w:rsid w:val="001A1149"/>
    <w:rsid w:val="001A1248"/>
    <w:rsid w:val="001A16A7"/>
    <w:rsid w:val="001A2530"/>
    <w:rsid w:val="001A3806"/>
    <w:rsid w:val="001A4241"/>
    <w:rsid w:val="001A441C"/>
    <w:rsid w:val="001A4585"/>
    <w:rsid w:val="001A4813"/>
    <w:rsid w:val="001A4F7B"/>
    <w:rsid w:val="001A579C"/>
    <w:rsid w:val="001A591A"/>
    <w:rsid w:val="001A5930"/>
    <w:rsid w:val="001A5BA7"/>
    <w:rsid w:val="001A646A"/>
    <w:rsid w:val="001A7383"/>
    <w:rsid w:val="001A7BCA"/>
    <w:rsid w:val="001A7FE1"/>
    <w:rsid w:val="001B087C"/>
    <w:rsid w:val="001B10B9"/>
    <w:rsid w:val="001B145A"/>
    <w:rsid w:val="001B1CAE"/>
    <w:rsid w:val="001B2041"/>
    <w:rsid w:val="001B38E3"/>
    <w:rsid w:val="001B3B88"/>
    <w:rsid w:val="001B4B78"/>
    <w:rsid w:val="001B57FF"/>
    <w:rsid w:val="001B74C6"/>
    <w:rsid w:val="001B7BA1"/>
    <w:rsid w:val="001C0264"/>
    <w:rsid w:val="001C0CF1"/>
    <w:rsid w:val="001C23F0"/>
    <w:rsid w:val="001C3B0D"/>
    <w:rsid w:val="001C432F"/>
    <w:rsid w:val="001C4BE9"/>
    <w:rsid w:val="001C5ED5"/>
    <w:rsid w:val="001C636B"/>
    <w:rsid w:val="001C6AB1"/>
    <w:rsid w:val="001C788B"/>
    <w:rsid w:val="001C7A97"/>
    <w:rsid w:val="001C7C9F"/>
    <w:rsid w:val="001D0073"/>
    <w:rsid w:val="001D13D9"/>
    <w:rsid w:val="001D1E19"/>
    <w:rsid w:val="001D2461"/>
    <w:rsid w:val="001D2F5E"/>
    <w:rsid w:val="001D3ACE"/>
    <w:rsid w:val="001D44FB"/>
    <w:rsid w:val="001D4F57"/>
    <w:rsid w:val="001D62CB"/>
    <w:rsid w:val="001D6871"/>
    <w:rsid w:val="001D689D"/>
    <w:rsid w:val="001D788D"/>
    <w:rsid w:val="001D7F09"/>
    <w:rsid w:val="001E0C2F"/>
    <w:rsid w:val="001E6286"/>
    <w:rsid w:val="001E6652"/>
    <w:rsid w:val="001E673B"/>
    <w:rsid w:val="001E6C46"/>
    <w:rsid w:val="001E7761"/>
    <w:rsid w:val="001F0121"/>
    <w:rsid w:val="001F014E"/>
    <w:rsid w:val="001F1DF5"/>
    <w:rsid w:val="001F2770"/>
    <w:rsid w:val="001F59BC"/>
    <w:rsid w:val="001F6D83"/>
    <w:rsid w:val="001F6ED6"/>
    <w:rsid w:val="001F7BBA"/>
    <w:rsid w:val="001F7EC1"/>
    <w:rsid w:val="002001D5"/>
    <w:rsid w:val="00201245"/>
    <w:rsid w:val="0020128F"/>
    <w:rsid w:val="00201887"/>
    <w:rsid w:val="00201B5A"/>
    <w:rsid w:val="00201CBB"/>
    <w:rsid w:val="00201DE3"/>
    <w:rsid w:val="002038AE"/>
    <w:rsid w:val="00204B31"/>
    <w:rsid w:val="00204F7F"/>
    <w:rsid w:val="00205862"/>
    <w:rsid w:val="00205C9B"/>
    <w:rsid w:val="0020669B"/>
    <w:rsid w:val="00206EC4"/>
    <w:rsid w:val="00206F75"/>
    <w:rsid w:val="0020707D"/>
    <w:rsid w:val="0020741B"/>
    <w:rsid w:val="00210473"/>
    <w:rsid w:val="00210528"/>
    <w:rsid w:val="00210D93"/>
    <w:rsid w:val="002111EF"/>
    <w:rsid w:val="00211A09"/>
    <w:rsid w:val="00211F0B"/>
    <w:rsid w:val="0021419D"/>
    <w:rsid w:val="002146AC"/>
    <w:rsid w:val="00215690"/>
    <w:rsid w:val="00217190"/>
    <w:rsid w:val="0021730E"/>
    <w:rsid w:val="002173C1"/>
    <w:rsid w:val="00217B7A"/>
    <w:rsid w:val="002201D5"/>
    <w:rsid w:val="002205D5"/>
    <w:rsid w:val="00220C1C"/>
    <w:rsid w:val="002221D8"/>
    <w:rsid w:val="00222257"/>
    <w:rsid w:val="002223AC"/>
    <w:rsid w:val="00223CE7"/>
    <w:rsid w:val="00223F49"/>
    <w:rsid w:val="002245CF"/>
    <w:rsid w:val="00225179"/>
    <w:rsid w:val="00225598"/>
    <w:rsid w:val="00225D0B"/>
    <w:rsid w:val="00225F6B"/>
    <w:rsid w:val="002265E6"/>
    <w:rsid w:val="00226990"/>
    <w:rsid w:val="00226A53"/>
    <w:rsid w:val="00226DD5"/>
    <w:rsid w:val="002271E2"/>
    <w:rsid w:val="002274D4"/>
    <w:rsid w:val="00227835"/>
    <w:rsid w:val="00227A4C"/>
    <w:rsid w:val="00230D01"/>
    <w:rsid w:val="00231DB7"/>
    <w:rsid w:val="00232380"/>
    <w:rsid w:val="00232781"/>
    <w:rsid w:val="002328BC"/>
    <w:rsid w:val="002328FC"/>
    <w:rsid w:val="00233BB3"/>
    <w:rsid w:val="00233D11"/>
    <w:rsid w:val="00233DBA"/>
    <w:rsid w:val="00233F55"/>
    <w:rsid w:val="00235260"/>
    <w:rsid w:val="00235A50"/>
    <w:rsid w:val="00236563"/>
    <w:rsid w:val="002374FB"/>
    <w:rsid w:val="00237AB4"/>
    <w:rsid w:val="00241527"/>
    <w:rsid w:val="00241E34"/>
    <w:rsid w:val="00241EDD"/>
    <w:rsid w:val="00241F77"/>
    <w:rsid w:val="00242426"/>
    <w:rsid w:val="00242A6C"/>
    <w:rsid w:val="002446E4"/>
    <w:rsid w:val="00244F18"/>
    <w:rsid w:val="0024509C"/>
    <w:rsid w:val="002451A2"/>
    <w:rsid w:val="00246024"/>
    <w:rsid w:val="00246425"/>
    <w:rsid w:val="002500F6"/>
    <w:rsid w:val="002501AF"/>
    <w:rsid w:val="002508D2"/>
    <w:rsid w:val="00251E5B"/>
    <w:rsid w:val="00252204"/>
    <w:rsid w:val="00254353"/>
    <w:rsid w:val="00254E28"/>
    <w:rsid w:val="002550EC"/>
    <w:rsid w:val="002552B8"/>
    <w:rsid w:val="0025649A"/>
    <w:rsid w:val="00256544"/>
    <w:rsid w:val="00256C8A"/>
    <w:rsid w:val="00256F22"/>
    <w:rsid w:val="00256F8D"/>
    <w:rsid w:val="00257111"/>
    <w:rsid w:val="00257F7C"/>
    <w:rsid w:val="00260B38"/>
    <w:rsid w:val="00260BBD"/>
    <w:rsid w:val="00261DC7"/>
    <w:rsid w:val="00261FDE"/>
    <w:rsid w:val="0026205B"/>
    <w:rsid w:val="00262947"/>
    <w:rsid w:val="0026295E"/>
    <w:rsid w:val="00263253"/>
    <w:rsid w:val="0026365E"/>
    <w:rsid w:val="00264611"/>
    <w:rsid w:val="00264AFB"/>
    <w:rsid w:val="00264DBD"/>
    <w:rsid w:val="00266698"/>
    <w:rsid w:val="00267421"/>
    <w:rsid w:val="002679C1"/>
    <w:rsid w:val="002709C0"/>
    <w:rsid w:val="0027126D"/>
    <w:rsid w:val="00271593"/>
    <w:rsid w:val="00271807"/>
    <w:rsid w:val="00271C72"/>
    <w:rsid w:val="00274A24"/>
    <w:rsid w:val="00274BA0"/>
    <w:rsid w:val="002774C2"/>
    <w:rsid w:val="0028043A"/>
    <w:rsid w:val="0028044B"/>
    <w:rsid w:val="00280714"/>
    <w:rsid w:val="00281108"/>
    <w:rsid w:val="00281BFA"/>
    <w:rsid w:val="00282760"/>
    <w:rsid w:val="0028482F"/>
    <w:rsid w:val="002858C3"/>
    <w:rsid w:val="00285B14"/>
    <w:rsid w:val="0028787B"/>
    <w:rsid w:val="00287D39"/>
    <w:rsid w:val="002935B9"/>
    <w:rsid w:val="002940C2"/>
    <w:rsid w:val="0029498B"/>
    <w:rsid w:val="00294F72"/>
    <w:rsid w:val="00296248"/>
    <w:rsid w:val="002969B6"/>
    <w:rsid w:val="002974C2"/>
    <w:rsid w:val="00297BD5"/>
    <w:rsid w:val="00297E9B"/>
    <w:rsid w:val="002A2DF1"/>
    <w:rsid w:val="002A3A9E"/>
    <w:rsid w:val="002A3B0E"/>
    <w:rsid w:val="002A3D38"/>
    <w:rsid w:val="002A3F35"/>
    <w:rsid w:val="002A4014"/>
    <w:rsid w:val="002A528B"/>
    <w:rsid w:val="002A5478"/>
    <w:rsid w:val="002A56A1"/>
    <w:rsid w:val="002A5A05"/>
    <w:rsid w:val="002A5AA8"/>
    <w:rsid w:val="002A6760"/>
    <w:rsid w:val="002A6D5C"/>
    <w:rsid w:val="002B0A07"/>
    <w:rsid w:val="002B1AAF"/>
    <w:rsid w:val="002B218D"/>
    <w:rsid w:val="002B3416"/>
    <w:rsid w:val="002B4C95"/>
    <w:rsid w:val="002B6090"/>
    <w:rsid w:val="002B6A34"/>
    <w:rsid w:val="002B7012"/>
    <w:rsid w:val="002B7646"/>
    <w:rsid w:val="002C1C0D"/>
    <w:rsid w:val="002C22BD"/>
    <w:rsid w:val="002C298E"/>
    <w:rsid w:val="002C2C2C"/>
    <w:rsid w:val="002C2FC1"/>
    <w:rsid w:val="002C3678"/>
    <w:rsid w:val="002C49C2"/>
    <w:rsid w:val="002C5F00"/>
    <w:rsid w:val="002C7A7B"/>
    <w:rsid w:val="002D12F3"/>
    <w:rsid w:val="002D1601"/>
    <w:rsid w:val="002D1785"/>
    <w:rsid w:val="002D284F"/>
    <w:rsid w:val="002D2E70"/>
    <w:rsid w:val="002D35A6"/>
    <w:rsid w:val="002D370A"/>
    <w:rsid w:val="002D585B"/>
    <w:rsid w:val="002D59C1"/>
    <w:rsid w:val="002D728C"/>
    <w:rsid w:val="002D73A1"/>
    <w:rsid w:val="002D7455"/>
    <w:rsid w:val="002E02C1"/>
    <w:rsid w:val="002E070B"/>
    <w:rsid w:val="002E0756"/>
    <w:rsid w:val="002E0E83"/>
    <w:rsid w:val="002E1094"/>
    <w:rsid w:val="002E1405"/>
    <w:rsid w:val="002E2706"/>
    <w:rsid w:val="002E28FD"/>
    <w:rsid w:val="002E3340"/>
    <w:rsid w:val="002E4158"/>
    <w:rsid w:val="002E49C7"/>
    <w:rsid w:val="002E68C6"/>
    <w:rsid w:val="002E7100"/>
    <w:rsid w:val="002E73CA"/>
    <w:rsid w:val="002E7A64"/>
    <w:rsid w:val="002F0CA7"/>
    <w:rsid w:val="002F1A6B"/>
    <w:rsid w:val="002F27F8"/>
    <w:rsid w:val="002F37F7"/>
    <w:rsid w:val="002F3CF0"/>
    <w:rsid w:val="002F4297"/>
    <w:rsid w:val="002F45C3"/>
    <w:rsid w:val="002F6208"/>
    <w:rsid w:val="002F622B"/>
    <w:rsid w:val="00300413"/>
    <w:rsid w:val="00300B56"/>
    <w:rsid w:val="00301457"/>
    <w:rsid w:val="00301B24"/>
    <w:rsid w:val="00301ED0"/>
    <w:rsid w:val="0030214C"/>
    <w:rsid w:val="00302A92"/>
    <w:rsid w:val="00303F12"/>
    <w:rsid w:val="003048BF"/>
    <w:rsid w:val="00304C27"/>
    <w:rsid w:val="00304D7D"/>
    <w:rsid w:val="00304FAE"/>
    <w:rsid w:val="00306AD2"/>
    <w:rsid w:val="00306ADD"/>
    <w:rsid w:val="00307086"/>
    <w:rsid w:val="00307BDC"/>
    <w:rsid w:val="00307D94"/>
    <w:rsid w:val="00307EFD"/>
    <w:rsid w:val="00310437"/>
    <w:rsid w:val="00310C7A"/>
    <w:rsid w:val="003114FB"/>
    <w:rsid w:val="003122B0"/>
    <w:rsid w:val="00313800"/>
    <w:rsid w:val="00314F8C"/>
    <w:rsid w:val="0031503E"/>
    <w:rsid w:val="00320A4A"/>
    <w:rsid w:val="00321391"/>
    <w:rsid w:val="003217DE"/>
    <w:rsid w:val="00321FC6"/>
    <w:rsid w:val="00322B73"/>
    <w:rsid w:val="00323E3F"/>
    <w:rsid w:val="003241C2"/>
    <w:rsid w:val="00325113"/>
    <w:rsid w:val="003263ED"/>
    <w:rsid w:val="00326744"/>
    <w:rsid w:val="003268BA"/>
    <w:rsid w:val="00326DFD"/>
    <w:rsid w:val="00327475"/>
    <w:rsid w:val="00327DBB"/>
    <w:rsid w:val="00330DB3"/>
    <w:rsid w:val="00330F64"/>
    <w:rsid w:val="003311D1"/>
    <w:rsid w:val="003319F0"/>
    <w:rsid w:val="0033235F"/>
    <w:rsid w:val="003324B8"/>
    <w:rsid w:val="00332709"/>
    <w:rsid w:val="00332951"/>
    <w:rsid w:val="00332979"/>
    <w:rsid w:val="00334199"/>
    <w:rsid w:val="003341A1"/>
    <w:rsid w:val="00335939"/>
    <w:rsid w:val="00335AF6"/>
    <w:rsid w:val="00337002"/>
    <w:rsid w:val="00340870"/>
    <w:rsid w:val="00340B4E"/>
    <w:rsid w:val="00340B60"/>
    <w:rsid w:val="00341FC7"/>
    <w:rsid w:val="003423AF"/>
    <w:rsid w:val="003423BA"/>
    <w:rsid w:val="00343C7A"/>
    <w:rsid w:val="00343EB1"/>
    <w:rsid w:val="00344241"/>
    <w:rsid w:val="003447DA"/>
    <w:rsid w:val="00344AD6"/>
    <w:rsid w:val="0034607D"/>
    <w:rsid w:val="0034661D"/>
    <w:rsid w:val="0034683E"/>
    <w:rsid w:val="003469E9"/>
    <w:rsid w:val="0034799D"/>
    <w:rsid w:val="00347D52"/>
    <w:rsid w:val="00347EC3"/>
    <w:rsid w:val="003503E9"/>
    <w:rsid w:val="00351793"/>
    <w:rsid w:val="0035219C"/>
    <w:rsid w:val="00352569"/>
    <w:rsid w:val="0035291B"/>
    <w:rsid w:val="00353700"/>
    <w:rsid w:val="00353B17"/>
    <w:rsid w:val="00355645"/>
    <w:rsid w:val="003605A4"/>
    <w:rsid w:val="003611BB"/>
    <w:rsid w:val="003642EA"/>
    <w:rsid w:val="00364A3B"/>
    <w:rsid w:val="00366F9F"/>
    <w:rsid w:val="00367A14"/>
    <w:rsid w:val="003706C8"/>
    <w:rsid w:val="00370975"/>
    <w:rsid w:val="00370D95"/>
    <w:rsid w:val="00370FCA"/>
    <w:rsid w:val="00371771"/>
    <w:rsid w:val="00372177"/>
    <w:rsid w:val="003724A6"/>
    <w:rsid w:val="003726B7"/>
    <w:rsid w:val="00372DF0"/>
    <w:rsid w:val="003747B5"/>
    <w:rsid w:val="00374D69"/>
    <w:rsid w:val="00374F63"/>
    <w:rsid w:val="00375AB2"/>
    <w:rsid w:val="00376005"/>
    <w:rsid w:val="003769D1"/>
    <w:rsid w:val="003778A1"/>
    <w:rsid w:val="00377CB3"/>
    <w:rsid w:val="00381A8B"/>
    <w:rsid w:val="00381B7C"/>
    <w:rsid w:val="0038244D"/>
    <w:rsid w:val="0038324F"/>
    <w:rsid w:val="003838B6"/>
    <w:rsid w:val="00385B99"/>
    <w:rsid w:val="00385BBA"/>
    <w:rsid w:val="00385C41"/>
    <w:rsid w:val="00385DA4"/>
    <w:rsid w:val="00386E2B"/>
    <w:rsid w:val="003903FA"/>
    <w:rsid w:val="003914E1"/>
    <w:rsid w:val="0039152F"/>
    <w:rsid w:val="00391C07"/>
    <w:rsid w:val="003925FF"/>
    <w:rsid w:val="00393723"/>
    <w:rsid w:val="00393833"/>
    <w:rsid w:val="0039484B"/>
    <w:rsid w:val="003953B4"/>
    <w:rsid w:val="003A0595"/>
    <w:rsid w:val="003A1139"/>
    <w:rsid w:val="003A126F"/>
    <w:rsid w:val="003A14A7"/>
    <w:rsid w:val="003A1D10"/>
    <w:rsid w:val="003A2009"/>
    <w:rsid w:val="003A2048"/>
    <w:rsid w:val="003A2712"/>
    <w:rsid w:val="003A2F84"/>
    <w:rsid w:val="003A3867"/>
    <w:rsid w:val="003A4796"/>
    <w:rsid w:val="003A55AD"/>
    <w:rsid w:val="003A5E58"/>
    <w:rsid w:val="003A665D"/>
    <w:rsid w:val="003B01A3"/>
    <w:rsid w:val="003B0624"/>
    <w:rsid w:val="003B0A71"/>
    <w:rsid w:val="003B1963"/>
    <w:rsid w:val="003B235B"/>
    <w:rsid w:val="003B34AC"/>
    <w:rsid w:val="003B3C27"/>
    <w:rsid w:val="003B3D0E"/>
    <w:rsid w:val="003B40F5"/>
    <w:rsid w:val="003B4998"/>
    <w:rsid w:val="003B4C3E"/>
    <w:rsid w:val="003B5017"/>
    <w:rsid w:val="003B55A9"/>
    <w:rsid w:val="003B59A5"/>
    <w:rsid w:val="003B6203"/>
    <w:rsid w:val="003B63A8"/>
    <w:rsid w:val="003B63FD"/>
    <w:rsid w:val="003B68F9"/>
    <w:rsid w:val="003B7765"/>
    <w:rsid w:val="003B7924"/>
    <w:rsid w:val="003B7C70"/>
    <w:rsid w:val="003C0063"/>
    <w:rsid w:val="003C25B8"/>
    <w:rsid w:val="003C379D"/>
    <w:rsid w:val="003C4697"/>
    <w:rsid w:val="003C4F43"/>
    <w:rsid w:val="003C7030"/>
    <w:rsid w:val="003D02EE"/>
    <w:rsid w:val="003D08BE"/>
    <w:rsid w:val="003D0D27"/>
    <w:rsid w:val="003D15DE"/>
    <w:rsid w:val="003D1F65"/>
    <w:rsid w:val="003D2682"/>
    <w:rsid w:val="003D2BC9"/>
    <w:rsid w:val="003D4423"/>
    <w:rsid w:val="003D4D5F"/>
    <w:rsid w:val="003D4E12"/>
    <w:rsid w:val="003E061A"/>
    <w:rsid w:val="003E0A33"/>
    <w:rsid w:val="003E0FE3"/>
    <w:rsid w:val="003E2583"/>
    <w:rsid w:val="003E297D"/>
    <w:rsid w:val="003E4266"/>
    <w:rsid w:val="003E4701"/>
    <w:rsid w:val="003E483F"/>
    <w:rsid w:val="003E53BA"/>
    <w:rsid w:val="003E6909"/>
    <w:rsid w:val="003E7AE2"/>
    <w:rsid w:val="003F063D"/>
    <w:rsid w:val="003F068E"/>
    <w:rsid w:val="003F0714"/>
    <w:rsid w:val="003F0A87"/>
    <w:rsid w:val="003F116C"/>
    <w:rsid w:val="003F29DA"/>
    <w:rsid w:val="003F2A0E"/>
    <w:rsid w:val="003F2A10"/>
    <w:rsid w:val="003F3318"/>
    <w:rsid w:val="003F44A4"/>
    <w:rsid w:val="003F454F"/>
    <w:rsid w:val="003F4C49"/>
    <w:rsid w:val="003F6435"/>
    <w:rsid w:val="003F77FA"/>
    <w:rsid w:val="003F79CB"/>
    <w:rsid w:val="003F7F9B"/>
    <w:rsid w:val="004002B8"/>
    <w:rsid w:val="0040179A"/>
    <w:rsid w:val="00401B4C"/>
    <w:rsid w:val="00401D5D"/>
    <w:rsid w:val="00401F80"/>
    <w:rsid w:val="00402086"/>
    <w:rsid w:val="004022A1"/>
    <w:rsid w:val="0040278E"/>
    <w:rsid w:val="00402BB5"/>
    <w:rsid w:val="00402F9E"/>
    <w:rsid w:val="00402FC6"/>
    <w:rsid w:val="00403EA4"/>
    <w:rsid w:val="00404511"/>
    <w:rsid w:val="0040490F"/>
    <w:rsid w:val="004049A3"/>
    <w:rsid w:val="00405092"/>
    <w:rsid w:val="00407652"/>
    <w:rsid w:val="00412544"/>
    <w:rsid w:val="00412F08"/>
    <w:rsid w:val="0041349D"/>
    <w:rsid w:val="00414E98"/>
    <w:rsid w:val="004162B4"/>
    <w:rsid w:val="00416F73"/>
    <w:rsid w:val="0041702C"/>
    <w:rsid w:val="004171B9"/>
    <w:rsid w:val="004172E5"/>
    <w:rsid w:val="00417D52"/>
    <w:rsid w:val="00417FA8"/>
    <w:rsid w:val="00421C04"/>
    <w:rsid w:val="00422BD2"/>
    <w:rsid w:val="00422EBC"/>
    <w:rsid w:val="0042361E"/>
    <w:rsid w:val="00423BCA"/>
    <w:rsid w:val="00423F5B"/>
    <w:rsid w:val="004248F7"/>
    <w:rsid w:val="00424A34"/>
    <w:rsid w:val="004254E5"/>
    <w:rsid w:val="004257EB"/>
    <w:rsid w:val="00425952"/>
    <w:rsid w:val="004260F0"/>
    <w:rsid w:val="00426503"/>
    <w:rsid w:val="00426D48"/>
    <w:rsid w:val="004274CD"/>
    <w:rsid w:val="00427B59"/>
    <w:rsid w:val="004301A8"/>
    <w:rsid w:val="00430648"/>
    <w:rsid w:val="004306FA"/>
    <w:rsid w:val="00431559"/>
    <w:rsid w:val="004316BD"/>
    <w:rsid w:val="00431C9F"/>
    <w:rsid w:val="004323EE"/>
    <w:rsid w:val="00432D30"/>
    <w:rsid w:val="0043415F"/>
    <w:rsid w:val="00437813"/>
    <w:rsid w:val="00437EF1"/>
    <w:rsid w:val="00440B9D"/>
    <w:rsid w:val="00440C8A"/>
    <w:rsid w:val="00441979"/>
    <w:rsid w:val="00443C00"/>
    <w:rsid w:val="00444B4D"/>
    <w:rsid w:val="00444BE1"/>
    <w:rsid w:val="00444F53"/>
    <w:rsid w:val="004459B7"/>
    <w:rsid w:val="00445A3C"/>
    <w:rsid w:val="00445D8A"/>
    <w:rsid w:val="00446682"/>
    <w:rsid w:val="00451B83"/>
    <w:rsid w:val="00451DA2"/>
    <w:rsid w:val="004546AE"/>
    <w:rsid w:val="00455258"/>
    <w:rsid w:val="004556A6"/>
    <w:rsid w:val="00455E5B"/>
    <w:rsid w:val="00455FC7"/>
    <w:rsid w:val="004571DD"/>
    <w:rsid w:val="00462124"/>
    <w:rsid w:val="00463711"/>
    <w:rsid w:val="00463F6E"/>
    <w:rsid w:val="00464A2B"/>
    <w:rsid w:val="00465ACA"/>
    <w:rsid w:val="00466757"/>
    <w:rsid w:val="00466759"/>
    <w:rsid w:val="00466EA5"/>
    <w:rsid w:val="00467015"/>
    <w:rsid w:val="00470FCD"/>
    <w:rsid w:val="00472839"/>
    <w:rsid w:val="0047425F"/>
    <w:rsid w:val="0047490A"/>
    <w:rsid w:val="00474CED"/>
    <w:rsid w:val="004754D1"/>
    <w:rsid w:val="0047593F"/>
    <w:rsid w:val="00475A25"/>
    <w:rsid w:val="0047768C"/>
    <w:rsid w:val="00481713"/>
    <w:rsid w:val="00483984"/>
    <w:rsid w:val="004845AC"/>
    <w:rsid w:val="004851CE"/>
    <w:rsid w:val="00485896"/>
    <w:rsid w:val="00485930"/>
    <w:rsid w:val="00485A35"/>
    <w:rsid w:val="00485D93"/>
    <w:rsid w:val="00486B61"/>
    <w:rsid w:val="00487004"/>
    <w:rsid w:val="00487BB4"/>
    <w:rsid w:val="004900C2"/>
    <w:rsid w:val="0049049F"/>
    <w:rsid w:val="00490AFC"/>
    <w:rsid w:val="00491051"/>
    <w:rsid w:val="0049173B"/>
    <w:rsid w:val="00491AD7"/>
    <w:rsid w:val="004938AA"/>
    <w:rsid w:val="0049487C"/>
    <w:rsid w:val="00495600"/>
    <w:rsid w:val="004970BA"/>
    <w:rsid w:val="00497D25"/>
    <w:rsid w:val="004A0388"/>
    <w:rsid w:val="004A0799"/>
    <w:rsid w:val="004A16BE"/>
    <w:rsid w:val="004A29E6"/>
    <w:rsid w:val="004A2EEE"/>
    <w:rsid w:val="004A3917"/>
    <w:rsid w:val="004A3C2B"/>
    <w:rsid w:val="004A591E"/>
    <w:rsid w:val="004A7A7A"/>
    <w:rsid w:val="004A7CFD"/>
    <w:rsid w:val="004B0E79"/>
    <w:rsid w:val="004B3086"/>
    <w:rsid w:val="004B3EBB"/>
    <w:rsid w:val="004B4201"/>
    <w:rsid w:val="004B4F41"/>
    <w:rsid w:val="004B58D7"/>
    <w:rsid w:val="004B62AF"/>
    <w:rsid w:val="004B6FF3"/>
    <w:rsid w:val="004B71D4"/>
    <w:rsid w:val="004B7535"/>
    <w:rsid w:val="004B7945"/>
    <w:rsid w:val="004C0B76"/>
    <w:rsid w:val="004C3737"/>
    <w:rsid w:val="004C3B99"/>
    <w:rsid w:val="004C446F"/>
    <w:rsid w:val="004C4968"/>
    <w:rsid w:val="004C4C46"/>
    <w:rsid w:val="004C4FFA"/>
    <w:rsid w:val="004C6D00"/>
    <w:rsid w:val="004C7568"/>
    <w:rsid w:val="004C7E8B"/>
    <w:rsid w:val="004D0AF1"/>
    <w:rsid w:val="004D0D12"/>
    <w:rsid w:val="004D19DC"/>
    <w:rsid w:val="004D2968"/>
    <w:rsid w:val="004D2E0D"/>
    <w:rsid w:val="004D345C"/>
    <w:rsid w:val="004D3964"/>
    <w:rsid w:val="004D4512"/>
    <w:rsid w:val="004D5000"/>
    <w:rsid w:val="004D545C"/>
    <w:rsid w:val="004D5B72"/>
    <w:rsid w:val="004D7FEA"/>
    <w:rsid w:val="004E07C1"/>
    <w:rsid w:val="004E2304"/>
    <w:rsid w:val="004E2C7E"/>
    <w:rsid w:val="004E393F"/>
    <w:rsid w:val="004E41BD"/>
    <w:rsid w:val="004E58E9"/>
    <w:rsid w:val="004E58F7"/>
    <w:rsid w:val="004E66B3"/>
    <w:rsid w:val="004E6DD7"/>
    <w:rsid w:val="004E74CA"/>
    <w:rsid w:val="004E7948"/>
    <w:rsid w:val="004F02E5"/>
    <w:rsid w:val="004F2B1F"/>
    <w:rsid w:val="004F43DD"/>
    <w:rsid w:val="004F530B"/>
    <w:rsid w:val="004F6B94"/>
    <w:rsid w:val="004F70D7"/>
    <w:rsid w:val="005004ED"/>
    <w:rsid w:val="00502058"/>
    <w:rsid w:val="00502C0A"/>
    <w:rsid w:val="00502D8C"/>
    <w:rsid w:val="00502F44"/>
    <w:rsid w:val="00503642"/>
    <w:rsid w:val="005048CC"/>
    <w:rsid w:val="00504F67"/>
    <w:rsid w:val="00504FBD"/>
    <w:rsid w:val="005064D4"/>
    <w:rsid w:val="005071BF"/>
    <w:rsid w:val="00507DFA"/>
    <w:rsid w:val="00507FCA"/>
    <w:rsid w:val="0051035A"/>
    <w:rsid w:val="00510A7D"/>
    <w:rsid w:val="00510BD6"/>
    <w:rsid w:val="00510E95"/>
    <w:rsid w:val="00511E0C"/>
    <w:rsid w:val="0051201A"/>
    <w:rsid w:val="005120B2"/>
    <w:rsid w:val="005123D0"/>
    <w:rsid w:val="00512866"/>
    <w:rsid w:val="00514C2C"/>
    <w:rsid w:val="00514E32"/>
    <w:rsid w:val="005152DD"/>
    <w:rsid w:val="00516146"/>
    <w:rsid w:val="00516164"/>
    <w:rsid w:val="005169D2"/>
    <w:rsid w:val="00516FED"/>
    <w:rsid w:val="005171F6"/>
    <w:rsid w:val="00520138"/>
    <w:rsid w:val="005209EB"/>
    <w:rsid w:val="00521113"/>
    <w:rsid w:val="00521543"/>
    <w:rsid w:val="00522356"/>
    <w:rsid w:val="00523373"/>
    <w:rsid w:val="00523FD3"/>
    <w:rsid w:val="00525E4C"/>
    <w:rsid w:val="005260B4"/>
    <w:rsid w:val="0052660F"/>
    <w:rsid w:val="00526D53"/>
    <w:rsid w:val="005274C5"/>
    <w:rsid w:val="00527A47"/>
    <w:rsid w:val="00531156"/>
    <w:rsid w:val="00531C18"/>
    <w:rsid w:val="00531E23"/>
    <w:rsid w:val="00535631"/>
    <w:rsid w:val="005367C8"/>
    <w:rsid w:val="00536EB4"/>
    <w:rsid w:val="00537BE7"/>
    <w:rsid w:val="00537F45"/>
    <w:rsid w:val="00540E62"/>
    <w:rsid w:val="0054124C"/>
    <w:rsid w:val="00542480"/>
    <w:rsid w:val="005426D9"/>
    <w:rsid w:val="00543121"/>
    <w:rsid w:val="00543E89"/>
    <w:rsid w:val="00544D9D"/>
    <w:rsid w:val="00544F67"/>
    <w:rsid w:val="005470A7"/>
    <w:rsid w:val="00547198"/>
    <w:rsid w:val="00547B00"/>
    <w:rsid w:val="005502E5"/>
    <w:rsid w:val="00550884"/>
    <w:rsid w:val="005514C1"/>
    <w:rsid w:val="005520E7"/>
    <w:rsid w:val="005531CA"/>
    <w:rsid w:val="005534C4"/>
    <w:rsid w:val="00553E0B"/>
    <w:rsid w:val="0055431C"/>
    <w:rsid w:val="005547C7"/>
    <w:rsid w:val="00556181"/>
    <w:rsid w:val="0055714C"/>
    <w:rsid w:val="00557561"/>
    <w:rsid w:val="00557861"/>
    <w:rsid w:val="00557A69"/>
    <w:rsid w:val="00560C49"/>
    <w:rsid w:val="00562539"/>
    <w:rsid w:val="00562965"/>
    <w:rsid w:val="00562D59"/>
    <w:rsid w:val="0056362D"/>
    <w:rsid w:val="00563EC5"/>
    <w:rsid w:val="0056588C"/>
    <w:rsid w:val="00565A46"/>
    <w:rsid w:val="005663FC"/>
    <w:rsid w:val="00570F0D"/>
    <w:rsid w:val="005711F1"/>
    <w:rsid w:val="00571C6D"/>
    <w:rsid w:val="00571EBA"/>
    <w:rsid w:val="0057253C"/>
    <w:rsid w:val="005726CF"/>
    <w:rsid w:val="00572C97"/>
    <w:rsid w:val="00572D79"/>
    <w:rsid w:val="005752B6"/>
    <w:rsid w:val="005761D6"/>
    <w:rsid w:val="00576A22"/>
    <w:rsid w:val="00576F06"/>
    <w:rsid w:val="0058026B"/>
    <w:rsid w:val="0058033E"/>
    <w:rsid w:val="0058078F"/>
    <w:rsid w:val="00580D4A"/>
    <w:rsid w:val="00581721"/>
    <w:rsid w:val="00581AD8"/>
    <w:rsid w:val="00581F0E"/>
    <w:rsid w:val="00582320"/>
    <w:rsid w:val="00582DB7"/>
    <w:rsid w:val="00582E74"/>
    <w:rsid w:val="00583828"/>
    <w:rsid w:val="00583A3C"/>
    <w:rsid w:val="00583FA5"/>
    <w:rsid w:val="00584B99"/>
    <w:rsid w:val="00585176"/>
    <w:rsid w:val="00585692"/>
    <w:rsid w:val="00585878"/>
    <w:rsid w:val="00585DDC"/>
    <w:rsid w:val="00586765"/>
    <w:rsid w:val="00586A17"/>
    <w:rsid w:val="00586D72"/>
    <w:rsid w:val="005902E2"/>
    <w:rsid w:val="00590D39"/>
    <w:rsid w:val="00591117"/>
    <w:rsid w:val="0059226A"/>
    <w:rsid w:val="0059327C"/>
    <w:rsid w:val="00593311"/>
    <w:rsid w:val="005935D4"/>
    <w:rsid w:val="005935E7"/>
    <w:rsid w:val="0059477D"/>
    <w:rsid w:val="005974D2"/>
    <w:rsid w:val="005977EC"/>
    <w:rsid w:val="00597DBF"/>
    <w:rsid w:val="005A0AC5"/>
    <w:rsid w:val="005A28E1"/>
    <w:rsid w:val="005A45AC"/>
    <w:rsid w:val="005A4D55"/>
    <w:rsid w:val="005A4D5A"/>
    <w:rsid w:val="005A51B6"/>
    <w:rsid w:val="005A56DD"/>
    <w:rsid w:val="005A597A"/>
    <w:rsid w:val="005A5A12"/>
    <w:rsid w:val="005A5CB7"/>
    <w:rsid w:val="005A6129"/>
    <w:rsid w:val="005A6A08"/>
    <w:rsid w:val="005A6CB6"/>
    <w:rsid w:val="005A7158"/>
    <w:rsid w:val="005A7FAF"/>
    <w:rsid w:val="005B01D1"/>
    <w:rsid w:val="005B032F"/>
    <w:rsid w:val="005B06D3"/>
    <w:rsid w:val="005B112A"/>
    <w:rsid w:val="005B14A3"/>
    <w:rsid w:val="005B1973"/>
    <w:rsid w:val="005B338E"/>
    <w:rsid w:val="005B37AB"/>
    <w:rsid w:val="005B393A"/>
    <w:rsid w:val="005B3CDF"/>
    <w:rsid w:val="005B5FC6"/>
    <w:rsid w:val="005B64FA"/>
    <w:rsid w:val="005B7F22"/>
    <w:rsid w:val="005C0473"/>
    <w:rsid w:val="005C08F0"/>
    <w:rsid w:val="005C1344"/>
    <w:rsid w:val="005C1A1A"/>
    <w:rsid w:val="005C2DB7"/>
    <w:rsid w:val="005C3326"/>
    <w:rsid w:val="005C36A3"/>
    <w:rsid w:val="005C3B7F"/>
    <w:rsid w:val="005C3C5F"/>
    <w:rsid w:val="005C419E"/>
    <w:rsid w:val="005C4486"/>
    <w:rsid w:val="005C4721"/>
    <w:rsid w:val="005C4E7E"/>
    <w:rsid w:val="005C506A"/>
    <w:rsid w:val="005C5764"/>
    <w:rsid w:val="005C57D1"/>
    <w:rsid w:val="005C589F"/>
    <w:rsid w:val="005C6390"/>
    <w:rsid w:val="005C6637"/>
    <w:rsid w:val="005C69EF"/>
    <w:rsid w:val="005C6EE8"/>
    <w:rsid w:val="005C7CCC"/>
    <w:rsid w:val="005D06BE"/>
    <w:rsid w:val="005D13C3"/>
    <w:rsid w:val="005D1705"/>
    <w:rsid w:val="005D1867"/>
    <w:rsid w:val="005D1904"/>
    <w:rsid w:val="005D2159"/>
    <w:rsid w:val="005D2315"/>
    <w:rsid w:val="005D2A1E"/>
    <w:rsid w:val="005D2A64"/>
    <w:rsid w:val="005D2F4E"/>
    <w:rsid w:val="005D3576"/>
    <w:rsid w:val="005D4753"/>
    <w:rsid w:val="005D5067"/>
    <w:rsid w:val="005D5C5C"/>
    <w:rsid w:val="005D6888"/>
    <w:rsid w:val="005D6904"/>
    <w:rsid w:val="005D784D"/>
    <w:rsid w:val="005D787E"/>
    <w:rsid w:val="005E0272"/>
    <w:rsid w:val="005E02A5"/>
    <w:rsid w:val="005E0AC1"/>
    <w:rsid w:val="005E0F22"/>
    <w:rsid w:val="005E1018"/>
    <w:rsid w:val="005E11FF"/>
    <w:rsid w:val="005E1DB1"/>
    <w:rsid w:val="005E1EFA"/>
    <w:rsid w:val="005E24EB"/>
    <w:rsid w:val="005E2733"/>
    <w:rsid w:val="005E29CF"/>
    <w:rsid w:val="005E4649"/>
    <w:rsid w:val="005E574B"/>
    <w:rsid w:val="005E702B"/>
    <w:rsid w:val="005E7D13"/>
    <w:rsid w:val="005F07BA"/>
    <w:rsid w:val="005F11A7"/>
    <w:rsid w:val="005F1A0D"/>
    <w:rsid w:val="005F1F85"/>
    <w:rsid w:val="005F2659"/>
    <w:rsid w:val="005F2F9E"/>
    <w:rsid w:val="005F3785"/>
    <w:rsid w:val="005F45EA"/>
    <w:rsid w:val="005F4E0C"/>
    <w:rsid w:val="005F5BEE"/>
    <w:rsid w:val="005F6860"/>
    <w:rsid w:val="00600D09"/>
    <w:rsid w:val="006015F0"/>
    <w:rsid w:val="00601C07"/>
    <w:rsid w:val="006030C4"/>
    <w:rsid w:val="00603228"/>
    <w:rsid w:val="00603899"/>
    <w:rsid w:val="00603B09"/>
    <w:rsid w:val="0060423C"/>
    <w:rsid w:val="00604F30"/>
    <w:rsid w:val="00605D57"/>
    <w:rsid w:val="00606570"/>
    <w:rsid w:val="00606AA3"/>
    <w:rsid w:val="00606B2A"/>
    <w:rsid w:val="0061067C"/>
    <w:rsid w:val="006106DA"/>
    <w:rsid w:val="006122A3"/>
    <w:rsid w:val="00612441"/>
    <w:rsid w:val="0061293A"/>
    <w:rsid w:val="00612CA7"/>
    <w:rsid w:val="00613783"/>
    <w:rsid w:val="00613E5C"/>
    <w:rsid w:val="00614971"/>
    <w:rsid w:val="00614EF5"/>
    <w:rsid w:val="00616CBA"/>
    <w:rsid w:val="00616E63"/>
    <w:rsid w:val="006175DB"/>
    <w:rsid w:val="00617BBB"/>
    <w:rsid w:val="00620831"/>
    <w:rsid w:val="0062099F"/>
    <w:rsid w:val="00621025"/>
    <w:rsid w:val="0062135B"/>
    <w:rsid w:val="0062192D"/>
    <w:rsid w:val="00622B93"/>
    <w:rsid w:val="00622C88"/>
    <w:rsid w:val="00623250"/>
    <w:rsid w:val="00624318"/>
    <w:rsid w:val="006246A1"/>
    <w:rsid w:val="00624F2C"/>
    <w:rsid w:val="006256FF"/>
    <w:rsid w:val="006264B4"/>
    <w:rsid w:val="006302F7"/>
    <w:rsid w:val="00630DD8"/>
    <w:rsid w:val="006321F2"/>
    <w:rsid w:val="0063242A"/>
    <w:rsid w:val="006329A1"/>
    <w:rsid w:val="00632F8E"/>
    <w:rsid w:val="006345B7"/>
    <w:rsid w:val="006353CC"/>
    <w:rsid w:val="006356AF"/>
    <w:rsid w:val="00635B06"/>
    <w:rsid w:val="00636016"/>
    <w:rsid w:val="00636548"/>
    <w:rsid w:val="00636CF9"/>
    <w:rsid w:val="00636DBD"/>
    <w:rsid w:val="00636EAA"/>
    <w:rsid w:val="00637042"/>
    <w:rsid w:val="006375D9"/>
    <w:rsid w:val="00637BF4"/>
    <w:rsid w:val="00637D10"/>
    <w:rsid w:val="00637E73"/>
    <w:rsid w:val="00640386"/>
    <w:rsid w:val="006415A5"/>
    <w:rsid w:val="00641C33"/>
    <w:rsid w:val="00642313"/>
    <w:rsid w:val="006428B7"/>
    <w:rsid w:val="006432B6"/>
    <w:rsid w:val="00643348"/>
    <w:rsid w:val="006436DA"/>
    <w:rsid w:val="00646359"/>
    <w:rsid w:val="00650882"/>
    <w:rsid w:val="00651F3B"/>
    <w:rsid w:val="0065233B"/>
    <w:rsid w:val="00652589"/>
    <w:rsid w:val="0065381A"/>
    <w:rsid w:val="0065399C"/>
    <w:rsid w:val="006540B8"/>
    <w:rsid w:val="00654BD2"/>
    <w:rsid w:val="00654C5F"/>
    <w:rsid w:val="00655389"/>
    <w:rsid w:val="00655E7F"/>
    <w:rsid w:val="00656394"/>
    <w:rsid w:val="0065725E"/>
    <w:rsid w:val="00657EDD"/>
    <w:rsid w:val="006613CC"/>
    <w:rsid w:val="0066158C"/>
    <w:rsid w:val="00661615"/>
    <w:rsid w:val="0066198B"/>
    <w:rsid w:val="00661F12"/>
    <w:rsid w:val="00661F7A"/>
    <w:rsid w:val="006630DC"/>
    <w:rsid w:val="00663352"/>
    <w:rsid w:val="00664E95"/>
    <w:rsid w:val="00665341"/>
    <w:rsid w:val="00665627"/>
    <w:rsid w:val="006659AD"/>
    <w:rsid w:val="0066780E"/>
    <w:rsid w:val="00667A4D"/>
    <w:rsid w:val="00670211"/>
    <w:rsid w:val="00670600"/>
    <w:rsid w:val="00670DD7"/>
    <w:rsid w:val="006715E4"/>
    <w:rsid w:val="006725F6"/>
    <w:rsid w:val="00674080"/>
    <w:rsid w:val="00674523"/>
    <w:rsid w:val="0067533E"/>
    <w:rsid w:val="0067575C"/>
    <w:rsid w:val="00675B1E"/>
    <w:rsid w:val="00675E98"/>
    <w:rsid w:val="006772DC"/>
    <w:rsid w:val="00680EBE"/>
    <w:rsid w:val="00681C30"/>
    <w:rsid w:val="00681DF9"/>
    <w:rsid w:val="00681EE0"/>
    <w:rsid w:val="0068277B"/>
    <w:rsid w:val="00682D69"/>
    <w:rsid w:val="00684E1D"/>
    <w:rsid w:val="00684E29"/>
    <w:rsid w:val="00685DD2"/>
    <w:rsid w:val="006869AF"/>
    <w:rsid w:val="00690F3F"/>
    <w:rsid w:val="0069170F"/>
    <w:rsid w:val="00691820"/>
    <w:rsid w:val="00691BD0"/>
    <w:rsid w:val="00692401"/>
    <w:rsid w:val="00693736"/>
    <w:rsid w:val="00693F89"/>
    <w:rsid w:val="006945E5"/>
    <w:rsid w:val="006946AC"/>
    <w:rsid w:val="00694979"/>
    <w:rsid w:val="00694A2C"/>
    <w:rsid w:val="00695A48"/>
    <w:rsid w:val="00696355"/>
    <w:rsid w:val="00696531"/>
    <w:rsid w:val="0069674C"/>
    <w:rsid w:val="006A06C9"/>
    <w:rsid w:val="006A0F51"/>
    <w:rsid w:val="006A1E6C"/>
    <w:rsid w:val="006A3567"/>
    <w:rsid w:val="006A39AC"/>
    <w:rsid w:val="006A3BC5"/>
    <w:rsid w:val="006A3BF0"/>
    <w:rsid w:val="006A3E46"/>
    <w:rsid w:val="006A3F7F"/>
    <w:rsid w:val="006A4547"/>
    <w:rsid w:val="006A4947"/>
    <w:rsid w:val="006A52EF"/>
    <w:rsid w:val="006A5A2B"/>
    <w:rsid w:val="006A6421"/>
    <w:rsid w:val="006A790C"/>
    <w:rsid w:val="006A7956"/>
    <w:rsid w:val="006B17AF"/>
    <w:rsid w:val="006B1939"/>
    <w:rsid w:val="006B1B5C"/>
    <w:rsid w:val="006B3594"/>
    <w:rsid w:val="006B4120"/>
    <w:rsid w:val="006B5C8D"/>
    <w:rsid w:val="006B66FD"/>
    <w:rsid w:val="006B7481"/>
    <w:rsid w:val="006B7776"/>
    <w:rsid w:val="006C08C2"/>
    <w:rsid w:val="006C1641"/>
    <w:rsid w:val="006C1F8A"/>
    <w:rsid w:val="006C31CB"/>
    <w:rsid w:val="006C40BD"/>
    <w:rsid w:val="006C4253"/>
    <w:rsid w:val="006C43B0"/>
    <w:rsid w:val="006C4F59"/>
    <w:rsid w:val="006C53B1"/>
    <w:rsid w:val="006C56E9"/>
    <w:rsid w:val="006C7085"/>
    <w:rsid w:val="006C7087"/>
    <w:rsid w:val="006C77C2"/>
    <w:rsid w:val="006D0810"/>
    <w:rsid w:val="006D0E4A"/>
    <w:rsid w:val="006D1434"/>
    <w:rsid w:val="006D1C41"/>
    <w:rsid w:val="006D2767"/>
    <w:rsid w:val="006D41B6"/>
    <w:rsid w:val="006D42E4"/>
    <w:rsid w:val="006D4C23"/>
    <w:rsid w:val="006D598F"/>
    <w:rsid w:val="006D6F3E"/>
    <w:rsid w:val="006D7C4B"/>
    <w:rsid w:val="006E09EB"/>
    <w:rsid w:val="006E192D"/>
    <w:rsid w:val="006E28BF"/>
    <w:rsid w:val="006E2E9F"/>
    <w:rsid w:val="006E32E5"/>
    <w:rsid w:val="006E4FCC"/>
    <w:rsid w:val="006E50F5"/>
    <w:rsid w:val="006E58CA"/>
    <w:rsid w:val="006E6049"/>
    <w:rsid w:val="006E653A"/>
    <w:rsid w:val="006E669B"/>
    <w:rsid w:val="006E71FC"/>
    <w:rsid w:val="006F02A0"/>
    <w:rsid w:val="006F0989"/>
    <w:rsid w:val="006F129F"/>
    <w:rsid w:val="006F1606"/>
    <w:rsid w:val="006F2ED9"/>
    <w:rsid w:val="006F326E"/>
    <w:rsid w:val="006F3F7E"/>
    <w:rsid w:val="006F4E95"/>
    <w:rsid w:val="006F4E9B"/>
    <w:rsid w:val="006F5101"/>
    <w:rsid w:val="006F5828"/>
    <w:rsid w:val="006F6262"/>
    <w:rsid w:val="006F6350"/>
    <w:rsid w:val="006F65CD"/>
    <w:rsid w:val="006F6D98"/>
    <w:rsid w:val="006F77E3"/>
    <w:rsid w:val="0070000A"/>
    <w:rsid w:val="0070171F"/>
    <w:rsid w:val="00702A57"/>
    <w:rsid w:val="00702B79"/>
    <w:rsid w:val="00702C75"/>
    <w:rsid w:val="0070360F"/>
    <w:rsid w:val="00704867"/>
    <w:rsid w:val="0070494D"/>
    <w:rsid w:val="0070542F"/>
    <w:rsid w:val="007057EA"/>
    <w:rsid w:val="00705DB4"/>
    <w:rsid w:val="0070727D"/>
    <w:rsid w:val="00707B87"/>
    <w:rsid w:val="00707EB4"/>
    <w:rsid w:val="00710441"/>
    <w:rsid w:val="00710BE2"/>
    <w:rsid w:val="00710EF5"/>
    <w:rsid w:val="00711D70"/>
    <w:rsid w:val="0071205A"/>
    <w:rsid w:val="00713650"/>
    <w:rsid w:val="00714736"/>
    <w:rsid w:val="00714D65"/>
    <w:rsid w:val="00714E11"/>
    <w:rsid w:val="0071772C"/>
    <w:rsid w:val="00717FE5"/>
    <w:rsid w:val="0072029A"/>
    <w:rsid w:val="0072031A"/>
    <w:rsid w:val="00721742"/>
    <w:rsid w:val="00721C4C"/>
    <w:rsid w:val="00722F4B"/>
    <w:rsid w:val="00723928"/>
    <w:rsid w:val="00724B28"/>
    <w:rsid w:val="00725560"/>
    <w:rsid w:val="0072594C"/>
    <w:rsid w:val="00725ABC"/>
    <w:rsid w:val="007269EA"/>
    <w:rsid w:val="00726A53"/>
    <w:rsid w:val="00727EBE"/>
    <w:rsid w:val="00727EBF"/>
    <w:rsid w:val="007305CC"/>
    <w:rsid w:val="00730A18"/>
    <w:rsid w:val="00731F30"/>
    <w:rsid w:val="007320B2"/>
    <w:rsid w:val="007321A6"/>
    <w:rsid w:val="00732271"/>
    <w:rsid w:val="007328FD"/>
    <w:rsid w:val="00733C6D"/>
    <w:rsid w:val="00736ABA"/>
    <w:rsid w:val="00737E93"/>
    <w:rsid w:val="007408BB"/>
    <w:rsid w:val="00740BEA"/>
    <w:rsid w:val="0074161D"/>
    <w:rsid w:val="00741BC8"/>
    <w:rsid w:val="0074212C"/>
    <w:rsid w:val="00744740"/>
    <w:rsid w:val="00744DB2"/>
    <w:rsid w:val="00745977"/>
    <w:rsid w:val="00747CC5"/>
    <w:rsid w:val="00750868"/>
    <w:rsid w:val="00751835"/>
    <w:rsid w:val="00751933"/>
    <w:rsid w:val="007527BD"/>
    <w:rsid w:val="00753E29"/>
    <w:rsid w:val="00754323"/>
    <w:rsid w:val="00754810"/>
    <w:rsid w:val="0075494F"/>
    <w:rsid w:val="007553CF"/>
    <w:rsid w:val="00755BC2"/>
    <w:rsid w:val="00757D65"/>
    <w:rsid w:val="007601CE"/>
    <w:rsid w:val="00760C18"/>
    <w:rsid w:val="00761513"/>
    <w:rsid w:val="007616BC"/>
    <w:rsid w:val="00762785"/>
    <w:rsid w:val="00762B87"/>
    <w:rsid w:val="00762F15"/>
    <w:rsid w:val="00762F5D"/>
    <w:rsid w:val="00762F74"/>
    <w:rsid w:val="00763050"/>
    <w:rsid w:val="00763A34"/>
    <w:rsid w:val="00763DE5"/>
    <w:rsid w:val="00763EAB"/>
    <w:rsid w:val="00764958"/>
    <w:rsid w:val="00764B26"/>
    <w:rsid w:val="00765D73"/>
    <w:rsid w:val="00766700"/>
    <w:rsid w:val="00767861"/>
    <w:rsid w:val="00767AE5"/>
    <w:rsid w:val="00770BEE"/>
    <w:rsid w:val="0077169F"/>
    <w:rsid w:val="00773143"/>
    <w:rsid w:val="007733F9"/>
    <w:rsid w:val="007734B1"/>
    <w:rsid w:val="007734C6"/>
    <w:rsid w:val="00773646"/>
    <w:rsid w:val="00774C9B"/>
    <w:rsid w:val="0077591F"/>
    <w:rsid w:val="00775E70"/>
    <w:rsid w:val="00776769"/>
    <w:rsid w:val="00776C11"/>
    <w:rsid w:val="00777AAC"/>
    <w:rsid w:val="00780852"/>
    <w:rsid w:val="007808BE"/>
    <w:rsid w:val="00780AAB"/>
    <w:rsid w:val="00781028"/>
    <w:rsid w:val="00781055"/>
    <w:rsid w:val="00781FBD"/>
    <w:rsid w:val="00782205"/>
    <w:rsid w:val="007835AA"/>
    <w:rsid w:val="0078380E"/>
    <w:rsid w:val="00783A66"/>
    <w:rsid w:val="00783D63"/>
    <w:rsid w:val="00784196"/>
    <w:rsid w:val="00785D6C"/>
    <w:rsid w:val="00786864"/>
    <w:rsid w:val="00786D31"/>
    <w:rsid w:val="00787724"/>
    <w:rsid w:val="00790409"/>
    <w:rsid w:val="0079077B"/>
    <w:rsid w:val="0079148C"/>
    <w:rsid w:val="007918BE"/>
    <w:rsid w:val="00791923"/>
    <w:rsid w:val="00791A57"/>
    <w:rsid w:val="00791D56"/>
    <w:rsid w:val="00792364"/>
    <w:rsid w:val="0079259C"/>
    <w:rsid w:val="0079282B"/>
    <w:rsid w:val="00793EA1"/>
    <w:rsid w:val="00794498"/>
    <w:rsid w:val="00796C23"/>
    <w:rsid w:val="007974C3"/>
    <w:rsid w:val="007974FA"/>
    <w:rsid w:val="007A0D3B"/>
    <w:rsid w:val="007A15B1"/>
    <w:rsid w:val="007A199E"/>
    <w:rsid w:val="007A19D1"/>
    <w:rsid w:val="007A1C5C"/>
    <w:rsid w:val="007A2DC0"/>
    <w:rsid w:val="007A37EF"/>
    <w:rsid w:val="007A3BED"/>
    <w:rsid w:val="007A42CC"/>
    <w:rsid w:val="007A528A"/>
    <w:rsid w:val="007A5627"/>
    <w:rsid w:val="007A71A3"/>
    <w:rsid w:val="007A72FE"/>
    <w:rsid w:val="007A7AAF"/>
    <w:rsid w:val="007A7C97"/>
    <w:rsid w:val="007B01DC"/>
    <w:rsid w:val="007B05CE"/>
    <w:rsid w:val="007B063E"/>
    <w:rsid w:val="007B121C"/>
    <w:rsid w:val="007B1BFD"/>
    <w:rsid w:val="007B2DED"/>
    <w:rsid w:val="007B2E40"/>
    <w:rsid w:val="007B3BD1"/>
    <w:rsid w:val="007B41C2"/>
    <w:rsid w:val="007B4245"/>
    <w:rsid w:val="007B43F2"/>
    <w:rsid w:val="007B4F88"/>
    <w:rsid w:val="007B5349"/>
    <w:rsid w:val="007B5601"/>
    <w:rsid w:val="007B74AA"/>
    <w:rsid w:val="007C026D"/>
    <w:rsid w:val="007C1030"/>
    <w:rsid w:val="007C1978"/>
    <w:rsid w:val="007C2099"/>
    <w:rsid w:val="007C228E"/>
    <w:rsid w:val="007C4C43"/>
    <w:rsid w:val="007C5C64"/>
    <w:rsid w:val="007C65B2"/>
    <w:rsid w:val="007C7814"/>
    <w:rsid w:val="007D024B"/>
    <w:rsid w:val="007D13B3"/>
    <w:rsid w:val="007D2507"/>
    <w:rsid w:val="007D2E48"/>
    <w:rsid w:val="007D3189"/>
    <w:rsid w:val="007D3C11"/>
    <w:rsid w:val="007D5068"/>
    <w:rsid w:val="007D538B"/>
    <w:rsid w:val="007D5985"/>
    <w:rsid w:val="007D62A0"/>
    <w:rsid w:val="007D731D"/>
    <w:rsid w:val="007E0C73"/>
    <w:rsid w:val="007E1102"/>
    <w:rsid w:val="007E2B78"/>
    <w:rsid w:val="007E3428"/>
    <w:rsid w:val="007E41F8"/>
    <w:rsid w:val="007E4B4E"/>
    <w:rsid w:val="007E5128"/>
    <w:rsid w:val="007E570F"/>
    <w:rsid w:val="007E5C5E"/>
    <w:rsid w:val="007E5D6D"/>
    <w:rsid w:val="007E6024"/>
    <w:rsid w:val="007E6990"/>
    <w:rsid w:val="007E6B09"/>
    <w:rsid w:val="007E7D4D"/>
    <w:rsid w:val="007E7E8B"/>
    <w:rsid w:val="007F023E"/>
    <w:rsid w:val="007F03C5"/>
    <w:rsid w:val="007F110D"/>
    <w:rsid w:val="007F2CCF"/>
    <w:rsid w:val="007F2FCD"/>
    <w:rsid w:val="007F447A"/>
    <w:rsid w:val="007F495D"/>
    <w:rsid w:val="007F4FE2"/>
    <w:rsid w:val="007F6704"/>
    <w:rsid w:val="007F685B"/>
    <w:rsid w:val="007F6C4B"/>
    <w:rsid w:val="00800148"/>
    <w:rsid w:val="00800DC7"/>
    <w:rsid w:val="00802839"/>
    <w:rsid w:val="00803118"/>
    <w:rsid w:val="00803AAA"/>
    <w:rsid w:val="00803EA4"/>
    <w:rsid w:val="0080401F"/>
    <w:rsid w:val="008041B7"/>
    <w:rsid w:val="0080447A"/>
    <w:rsid w:val="00805794"/>
    <w:rsid w:val="00805B51"/>
    <w:rsid w:val="00805C3B"/>
    <w:rsid w:val="00805F62"/>
    <w:rsid w:val="00806209"/>
    <w:rsid w:val="008068A9"/>
    <w:rsid w:val="00806A49"/>
    <w:rsid w:val="00807AD3"/>
    <w:rsid w:val="0081041F"/>
    <w:rsid w:val="008116E4"/>
    <w:rsid w:val="00811C52"/>
    <w:rsid w:val="0081346F"/>
    <w:rsid w:val="008135F5"/>
    <w:rsid w:val="008136AB"/>
    <w:rsid w:val="00814588"/>
    <w:rsid w:val="00814A16"/>
    <w:rsid w:val="00814C96"/>
    <w:rsid w:val="0081538D"/>
    <w:rsid w:val="00816465"/>
    <w:rsid w:val="0081662B"/>
    <w:rsid w:val="00816941"/>
    <w:rsid w:val="008170B3"/>
    <w:rsid w:val="00817B1E"/>
    <w:rsid w:val="00820CFD"/>
    <w:rsid w:val="00821232"/>
    <w:rsid w:val="0082195E"/>
    <w:rsid w:val="00821D65"/>
    <w:rsid w:val="00822FAE"/>
    <w:rsid w:val="00823C38"/>
    <w:rsid w:val="00823CC3"/>
    <w:rsid w:val="00824B8B"/>
    <w:rsid w:val="00825495"/>
    <w:rsid w:val="00826BD3"/>
    <w:rsid w:val="00827F3A"/>
    <w:rsid w:val="00830491"/>
    <w:rsid w:val="008314FF"/>
    <w:rsid w:val="00831714"/>
    <w:rsid w:val="00832006"/>
    <w:rsid w:val="0083221A"/>
    <w:rsid w:val="00834505"/>
    <w:rsid w:val="00834C97"/>
    <w:rsid w:val="0083595E"/>
    <w:rsid w:val="0083620F"/>
    <w:rsid w:val="00836577"/>
    <w:rsid w:val="0083734E"/>
    <w:rsid w:val="0083762D"/>
    <w:rsid w:val="00837F85"/>
    <w:rsid w:val="00840538"/>
    <w:rsid w:val="00840779"/>
    <w:rsid w:val="00840B60"/>
    <w:rsid w:val="00841601"/>
    <w:rsid w:val="00841F9E"/>
    <w:rsid w:val="008422ED"/>
    <w:rsid w:val="0084384B"/>
    <w:rsid w:val="00843C12"/>
    <w:rsid w:val="00844392"/>
    <w:rsid w:val="008457DC"/>
    <w:rsid w:val="00846F10"/>
    <w:rsid w:val="008504A4"/>
    <w:rsid w:val="0085120B"/>
    <w:rsid w:val="0085149B"/>
    <w:rsid w:val="008527C5"/>
    <w:rsid w:val="00853652"/>
    <w:rsid w:val="008540F6"/>
    <w:rsid w:val="00854B1D"/>
    <w:rsid w:val="008550BA"/>
    <w:rsid w:val="0085647B"/>
    <w:rsid w:val="008569BD"/>
    <w:rsid w:val="00856A52"/>
    <w:rsid w:val="00856E06"/>
    <w:rsid w:val="008571A5"/>
    <w:rsid w:val="00857779"/>
    <w:rsid w:val="008578FC"/>
    <w:rsid w:val="00857CF9"/>
    <w:rsid w:val="00861C90"/>
    <w:rsid w:val="0086277A"/>
    <w:rsid w:val="008636FF"/>
    <w:rsid w:val="00863BEE"/>
    <w:rsid w:val="00864E64"/>
    <w:rsid w:val="0086526A"/>
    <w:rsid w:val="00865890"/>
    <w:rsid w:val="0086790F"/>
    <w:rsid w:val="00870C4D"/>
    <w:rsid w:val="00871C9F"/>
    <w:rsid w:val="00872D11"/>
    <w:rsid w:val="008731D9"/>
    <w:rsid w:val="0087343D"/>
    <w:rsid w:val="00875D17"/>
    <w:rsid w:val="0087647A"/>
    <w:rsid w:val="0087799B"/>
    <w:rsid w:val="00881717"/>
    <w:rsid w:val="008817DA"/>
    <w:rsid w:val="00881BEC"/>
    <w:rsid w:val="00881FFB"/>
    <w:rsid w:val="00882088"/>
    <w:rsid w:val="008836C3"/>
    <w:rsid w:val="0088500D"/>
    <w:rsid w:val="00885048"/>
    <w:rsid w:val="0088529B"/>
    <w:rsid w:val="00886516"/>
    <w:rsid w:val="00887120"/>
    <w:rsid w:val="008872CA"/>
    <w:rsid w:val="00890345"/>
    <w:rsid w:val="0089037D"/>
    <w:rsid w:val="00890661"/>
    <w:rsid w:val="00890AFC"/>
    <w:rsid w:val="00891474"/>
    <w:rsid w:val="00891BC5"/>
    <w:rsid w:val="0089247D"/>
    <w:rsid w:val="008930B5"/>
    <w:rsid w:val="00893B19"/>
    <w:rsid w:val="00894B9D"/>
    <w:rsid w:val="00894ECF"/>
    <w:rsid w:val="0089514D"/>
    <w:rsid w:val="00895789"/>
    <w:rsid w:val="00896C11"/>
    <w:rsid w:val="00897142"/>
    <w:rsid w:val="008A0E42"/>
    <w:rsid w:val="008A0E69"/>
    <w:rsid w:val="008A144A"/>
    <w:rsid w:val="008A2EDF"/>
    <w:rsid w:val="008A45BE"/>
    <w:rsid w:val="008A570B"/>
    <w:rsid w:val="008A59E5"/>
    <w:rsid w:val="008A5BA2"/>
    <w:rsid w:val="008A6219"/>
    <w:rsid w:val="008A687C"/>
    <w:rsid w:val="008A7221"/>
    <w:rsid w:val="008A7E05"/>
    <w:rsid w:val="008A7FC7"/>
    <w:rsid w:val="008B1CFC"/>
    <w:rsid w:val="008B29CC"/>
    <w:rsid w:val="008B2D72"/>
    <w:rsid w:val="008B4678"/>
    <w:rsid w:val="008B504A"/>
    <w:rsid w:val="008B545D"/>
    <w:rsid w:val="008B5C8E"/>
    <w:rsid w:val="008B60FA"/>
    <w:rsid w:val="008B63D1"/>
    <w:rsid w:val="008B69B1"/>
    <w:rsid w:val="008B6FC7"/>
    <w:rsid w:val="008B7A80"/>
    <w:rsid w:val="008B7D8E"/>
    <w:rsid w:val="008C03CD"/>
    <w:rsid w:val="008C080B"/>
    <w:rsid w:val="008C08EE"/>
    <w:rsid w:val="008C0CF7"/>
    <w:rsid w:val="008C1397"/>
    <w:rsid w:val="008C153C"/>
    <w:rsid w:val="008C2EDE"/>
    <w:rsid w:val="008C54BE"/>
    <w:rsid w:val="008C5CD9"/>
    <w:rsid w:val="008C654D"/>
    <w:rsid w:val="008C7828"/>
    <w:rsid w:val="008C7FC0"/>
    <w:rsid w:val="008D0E99"/>
    <w:rsid w:val="008D219E"/>
    <w:rsid w:val="008D2A5F"/>
    <w:rsid w:val="008D2F12"/>
    <w:rsid w:val="008D38E4"/>
    <w:rsid w:val="008D4B90"/>
    <w:rsid w:val="008D5726"/>
    <w:rsid w:val="008D5755"/>
    <w:rsid w:val="008E0016"/>
    <w:rsid w:val="008E0536"/>
    <w:rsid w:val="008E0C18"/>
    <w:rsid w:val="008E0F85"/>
    <w:rsid w:val="008E13AC"/>
    <w:rsid w:val="008E15B7"/>
    <w:rsid w:val="008E164C"/>
    <w:rsid w:val="008E1A00"/>
    <w:rsid w:val="008E2947"/>
    <w:rsid w:val="008E2A00"/>
    <w:rsid w:val="008E3E90"/>
    <w:rsid w:val="008E3F69"/>
    <w:rsid w:val="008E633B"/>
    <w:rsid w:val="008E65C8"/>
    <w:rsid w:val="008E7E5C"/>
    <w:rsid w:val="008F05D1"/>
    <w:rsid w:val="008F0E91"/>
    <w:rsid w:val="008F1169"/>
    <w:rsid w:val="008F11F3"/>
    <w:rsid w:val="008F130A"/>
    <w:rsid w:val="008F17FF"/>
    <w:rsid w:val="008F1974"/>
    <w:rsid w:val="008F1C00"/>
    <w:rsid w:val="008F1D69"/>
    <w:rsid w:val="008F28BB"/>
    <w:rsid w:val="008F2B1E"/>
    <w:rsid w:val="008F2F9D"/>
    <w:rsid w:val="008F3277"/>
    <w:rsid w:val="008F38D4"/>
    <w:rsid w:val="008F4545"/>
    <w:rsid w:val="008F4C9C"/>
    <w:rsid w:val="008F5C0D"/>
    <w:rsid w:val="008F799D"/>
    <w:rsid w:val="00900205"/>
    <w:rsid w:val="009008EA"/>
    <w:rsid w:val="009014E8"/>
    <w:rsid w:val="00901618"/>
    <w:rsid w:val="0090167E"/>
    <w:rsid w:val="00901DD6"/>
    <w:rsid w:val="00903A17"/>
    <w:rsid w:val="009061E3"/>
    <w:rsid w:val="00907A99"/>
    <w:rsid w:val="0091009F"/>
    <w:rsid w:val="00910BC5"/>
    <w:rsid w:val="0091130E"/>
    <w:rsid w:val="009126E0"/>
    <w:rsid w:val="00912C98"/>
    <w:rsid w:val="00912ED0"/>
    <w:rsid w:val="00914E18"/>
    <w:rsid w:val="00915F12"/>
    <w:rsid w:val="00916494"/>
    <w:rsid w:val="00916F16"/>
    <w:rsid w:val="00920546"/>
    <w:rsid w:val="009214D6"/>
    <w:rsid w:val="009214FA"/>
    <w:rsid w:val="009235AE"/>
    <w:rsid w:val="0092496A"/>
    <w:rsid w:val="009252AE"/>
    <w:rsid w:val="009252BB"/>
    <w:rsid w:val="00925DDB"/>
    <w:rsid w:val="00926EF7"/>
    <w:rsid w:val="009271AC"/>
    <w:rsid w:val="00930A35"/>
    <w:rsid w:val="00930AF8"/>
    <w:rsid w:val="0093103B"/>
    <w:rsid w:val="00931A47"/>
    <w:rsid w:val="00932EA3"/>
    <w:rsid w:val="00933421"/>
    <w:rsid w:val="00933DCD"/>
    <w:rsid w:val="0093414C"/>
    <w:rsid w:val="009346AB"/>
    <w:rsid w:val="00934807"/>
    <w:rsid w:val="00936302"/>
    <w:rsid w:val="00936471"/>
    <w:rsid w:val="00937035"/>
    <w:rsid w:val="00937A7E"/>
    <w:rsid w:val="00937BE3"/>
    <w:rsid w:val="00942050"/>
    <w:rsid w:val="0094275E"/>
    <w:rsid w:val="00943AA2"/>
    <w:rsid w:val="00943FD4"/>
    <w:rsid w:val="009442AA"/>
    <w:rsid w:val="009447A5"/>
    <w:rsid w:val="009476C8"/>
    <w:rsid w:val="009477F9"/>
    <w:rsid w:val="00947999"/>
    <w:rsid w:val="00947E7F"/>
    <w:rsid w:val="00950118"/>
    <w:rsid w:val="00950A96"/>
    <w:rsid w:val="00952B45"/>
    <w:rsid w:val="00953E17"/>
    <w:rsid w:val="00954020"/>
    <w:rsid w:val="00955A11"/>
    <w:rsid w:val="00956CAD"/>
    <w:rsid w:val="00957C9A"/>
    <w:rsid w:val="00957F2F"/>
    <w:rsid w:val="00961BB6"/>
    <w:rsid w:val="00962503"/>
    <w:rsid w:val="00962787"/>
    <w:rsid w:val="00963101"/>
    <w:rsid w:val="009631C2"/>
    <w:rsid w:val="009634CC"/>
    <w:rsid w:val="00963BCE"/>
    <w:rsid w:val="00963F05"/>
    <w:rsid w:val="00965F2C"/>
    <w:rsid w:val="00965FD9"/>
    <w:rsid w:val="009661F0"/>
    <w:rsid w:val="00966A5A"/>
    <w:rsid w:val="00966F5A"/>
    <w:rsid w:val="009702B8"/>
    <w:rsid w:val="009704C1"/>
    <w:rsid w:val="009710D7"/>
    <w:rsid w:val="00971A63"/>
    <w:rsid w:val="009736B0"/>
    <w:rsid w:val="0097427C"/>
    <w:rsid w:val="00975064"/>
    <w:rsid w:val="00975B82"/>
    <w:rsid w:val="00976C99"/>
    <w:rsid w:val="0097799C"/>
    <w:rsid w:val="00980A55"/>
    <w:rsid w:val="00980CF8"/>
    <w:rsid w:val="00981655"/>
    <w:rsid w:val="00981747"/>
    <w:rsid w:val="0098375C"/>
    <w:rsid w:val="00983886"/>
    <w:rsid w:val="009840C1"/>
    <w:rsid w:val="009854A3"/>
    <w:rsid w:val="009854BD"/>
    <w:rsid w:val="009855C5"/>
    <w:rsid w:val="00985B7E"/>
    <w:rsid w:val="00985F5F"/>
    <w:rsid w:val="0098645D"/>
    <w:rsid w:val="009867B2"/>
    <w:rsid w:val="009870B2"/>
    <w:rsid w:val="009876C2"/>
    <w:rsid w:val="00990020"/>
    <w:rsid w:val="009902D3"/>
    <w:rsid w:val="009903F5"/>
    <w:rsid w:val="0099177B"/>
    <w:rsid w:val="00992FCB"/>
    <w:rsid w:val="0099336C"/>
    <w:rsid w:val="00993E65"/>
    <w:rsid w:val="00994507"/>
    <w:rsid w:val="00997988"/>
    <w:rsid w:val="00997EF5"/>
    <w:rsid w:val="009A0A24"/>
    <w:rsid w:val="009A1837"/>
    <w:rsid w:val="009A289C"/>
    <w:rsid w:val="009A2C5B"/>
    <w:rsid w:val="009A3DD5"/>
    <w:rsid w:val="009A419B"/>
    <w:rsid w:val="009A42D4"/>
    <w:rsid w:val="009A431D"/>
    <w:rsid w:val="009A482B"/>
    <w:rsid w:val="009A4BB0"/>
    <w:rsid w:val="009A4F27"/>
    <w:rsid w:val="009A5034"/>
    <w:rsid w:val="009A5B7B"/>
    <w:rsid w:val="009A6065"/>
    <w:rsid w:val="009A659C"/>
    <w:rsid w:val="009A744F"/>
    <w:rsid w:val="009A79F7"/>
    <w:rsid w:val="009A7F27"/>
    <w:rsid w:val="009B04C9"/>
    <w:rsid w:val="009B0AA8"/>
    <w:rsid w:val="009B0E5C"/>
    <w:rsid w:val="009B0F5D"/>
    <w:rsid w:val="009B1ADB"/>
    <w:rsid w:val="009B1FEB"/>
    <w:rsid w:val="009B2ADF"/>
    <w:rsid w:val="009B2F72"/>
    <w:rsid w:val="009B34F6"/>
    <w:rsid w:val="009B40C0"/>
    <w:rsid w:val="009B4B05"/>
    <w:rsid w:val="009B4D43"/>
    <w:rsid w:val="009B569C"/>
    <w:rsid w:val="009B57F8"/>
    <w:rsid w:val="009B6362"/>
    <w:rsid w:val="009B7F2F"/>
    <w:rsid w:val="009C0367"/>
    <w:rsid w:val="009C128A"/>
    <w:rsid w:val="009C1FEA"/>
    <w:rsid w:val="009C2CED"/>
    <w:rsid w:val="009C3DFD"/>
    <w:rsid w:val="009C429F"/>
    <w:rsid w:val="009C44D0"/>
    <w:rsid w:val="009C460B"/>
    <w:rsid w:val="009C4F39"/>
    <w:rsid w:val="009C5CCD"/>
    <w:rsid w:val="009C65A6"/>
    <w:rsid w:val="009C708F"/>
    <w:rsid w:val="009D111E"/>
    <w:rsid w:val="009D1572"/>
    <w:rsid w:val="009D1DE4"/>
    <w:rsid w:val="009D254E"/>
    <w:rsid w:val="009D2EC1"/>
    <w:rsid w:val="009D357F"/>
    <w:rsid w:val="009D3A7F"/>
    <w:rsid w:val="009D4690"/>
    <w:rsid w:val="009D5D6F"/>
    <w:rsid w:val="009D6417"/>
    <w:rsid w:val="009D6D8A"/>
    <w:rsid w:val="009D7941"/>
    <w:rsid w:val="009D7ABD"/>
    <w:rsid w:val="009E0225"/>
    <w:rsid w:val="009E0FD5"/>
    <w:rsid w:val="009E1BD8"/>
    <w:rsid w:val="009E3C07"/>
    <w:rsid w:val="009E44B4"/>
    <w:rsid w:val="009E48BE"/>
    <w:rsid w:val="009E57DB"/>
    <w:rsid w:val="009E6590"/>
    <w:rsid w:val="009E70CC"/>
    <w:rsid w:val="009E75C4"/>
    <w:rsid w:val="009F042A"/>
    <w:rsid w:val="009F0DC4"/>
    <w:rsid w:val="009F121B"/>
    <w:rsid w:val="009F19E6"/>
    <w:rsid w:val="009F2597"/>
    <w:rsid w:val="009F26D7"/>
    <w:rsid w:val="009F2CD4"/>
    <w:rsid w:val="009F2DDA"/>
    <w:rsid w:val="009F3028"/>
    <w:rsid w:val="009F32D6"/>
    <w:rsid w:val="009F3510"/>
    <w:rsid w:val="009F3E49"/>
    <w:rsid w:val="009F4AAC"/>
    <w:rsid w:val="009F5669"/>
    <w:rsid w:val="009F6AAC"/>
    <w:rsid w:val="009F70B4"/>
    <w:rsid w:val="009F7C19"/>
    <w:rsid w:val="00A00C7B"/>
    <w:rsid w:val="00A0142E"/>
    <w:rsid w:val="00A017F9"/>
    <w:rsid w:val="00A01F79"/>
    <w:rsid w:val="00A02296"/>
    <w:rsid w:val="00A02FB8"/>
    <w:rsid w:val="00A03793"/>
    <w:rsid w:val="00A04021"/>
    <w:rsid w:val="00A0467E"/>
    <w:rsid w:val="00A04AD6"/>
    <w:rsid w:val="00A04F3E"/>
    <w:rsid w:val="00A05D7E"/>
    <w:rsid w:val="00A0637D"/>
    <w:rsid w:val="00A0657E"/>
    <w:rsid w:val="00A069F6"/>
    <w:rsid w:val="00A06D7F"/>
    <w:rsid w:val="00A06E5C"/>
    <w:rsid w:val="00A07664"/>
    <w:rsid w:val="00A107DF"/>
    <w:rsid w:val="00A10E14"/>
    <w:rsid w:val="00A1164C"/>
    <w:rsid w:val="00A11943"/>
    <w:rsid w:val="00A11ADA"/>
    <w:rsid w:val="00A127E3"/>
    <w:rsid w:val="00A12F69"/>
    <w:rsid w:val="00A13688"/>
    <w:rsid w:val="00A136FA"/>
    <w:rsid w:val="00A13B1C"/>
    <w:rsid w:val="00A1498B"/>
    <w:rsid w:val="00A160E8"/>
    <w:rsid w:val="00A167CA"/>
    <w:rsid w:val="00A16902"/>
    <w:rsid w:val="00A16914"/>
    <w:rsid w:val="00A17775"/>
    <w:rsid w:val="00A20E53"/>
    <w:rsid w:val="00A21191"/>
    <w:rsid w:val="00A22112"/>
    <w:rsid w:val="00A22454"/>
    <w:rsid w:val="00A2349F"/>
    <w:rsid w:val="00A2355A"/>
    <w:rsid w:val="00A24373"/>
    <w:rsid w:val="00A248FE"/>
    <w:rsid w:val="00A25293"/>
    <w:rsid w:val="00A254CD"/>
    <w:rsid w:val="00A266D3"/>
    <w:rsid w:val="00A26CC4"/>
    <w:rsid w:val="00A30E48"/>
    <w:rsid w:val="00A32949"/>
    <w:rsid w:val="00A34C9A"/>
    <w:rsid w:val="00A34F64"/>
    <w:rsid w:val="00A35905"/>
    <w:rsid w:val="00A35AEF"/>
    <w:rsid w:val="00A35C6B"/>
    <w:rsid w:val="00A3604C"/>
    <w:rsid w:val="00A36606"/>
    <w:rsid w:val="00A36AA0"/>
    <w:rsid w:val="00A3718F"/>
    <w:rsid w:val="00A378B9"/>
    <w:rsid w:val="00A37EBA"/>
    <w:rsid w:val="00A40960"/>
    <w:rsid w:val="00A40A8F"/>
    <w:rsid w:val="00A413D1"/>
    <w:rsid w:val="00A4160D"/>
    <w:rsid w:val="00A4193B"/>
    <w:rsid w:val="00A4212F"/>
    <w:rsid w:val="00A42C3F"/>
    <w:rsid w:val="00A42E42"/>
    <w:rsid w:val="00A43DCD"/>
    <w:rsid w:val="00A44B4F"/>
    <w:rsid w:val="00A45DEE"/>
    <w:rsid w:val="00A46E3F"/>
    <w:rsid w:val="00A506A2"/>
    <w:rsid w:val="00A50753"/>
    <w:rsid w:val="00A50B5D"/>
    <w:rsid w:val="00A519A4"/>
    <w:rsid w:val="00A524E0"/>
    <w:rsid w:val="00A54384"/>
    <w:rsid w:val="00A54C2D"/>
    <w:rsid w:val="00A55B24"/>
    <w:rsid w:val="00A55CAB"/>
    <w:rsid w:val="00A5621B"/>
    <w:rsid w:val="00A562FF"/>
    <w:rsid w:val="00A564A5"/>
    <w:rsid w:val="00A565B4"/>
    <w:rsid w:val="00A57734"/>
    <w:rsid w:val="00A60217"/>
    <w:rsid w:val="00A60A7A"/>
    <w:rsid w:val="00A60B0B"/>
    <w:rsid w:val="00A61933"/>
    <w:rsid w:val="00A61C21"/>
    <w:rsid w:val="00A61CEF"/>
    <w:rsid w:val="00A62A34"/>
    <w:rsid w:val="00A638E1"/>
    <w:rsid w:val="00A63928"/>
    <w:rsid w:val="00A63B9B"/>
    <w:rsid w:val="00A64547"/>
    <w:rsid w:val="00A64C22"/>
    <w:rsid w:val="00A64C82"/>
    <w:rsid w:val="00A65C44"/>
    <w:rsid w:val="00A65F38"/>
    <w:rsid w:val="00A660C9"/>
    <w:rsid w:val="00A66A47"/>
    <w:rsid w:val="00A67E24"/>
    <w:rsid w:val="00A70523"/>
    <w:rsid w:val="00A71285"/>
    <w:rsid w:val="00A714FD"/>
    <w:rsid w:val="00A72B1C"/>
    <w:rsid w:val="00A72C63"/>
    <w:rsid w:val="00A73A87"/>
    <w:rsid w:val="00A7491B"/>
    <w:rsid w:val="00A7497E"/>
    <w:rsid w:val="00A75395"/>
    <w:rsid w:val="00A76BCC"/>
    <w:rsid w:val="00A774DF"/>
    <w:rsid w:val="00A777C3"/>
    <w:rsid w:val="00A77892"/>
    <w:rsid w:val="00A77B53"/>
    <w:rsid w:val="00A801D1"/>
    <w:rsid w:val="00A8194A"/>
    <w:rsid w:val="00A81F46"/>
    <w:rsid w:val="00A83955"/>
    <w:rsid w:val="00A83EEC"/>
    <w:rsid w:val="00A84613"/>
    <w:rsid w:val="00A860DD"/>
    <w:rsid w:val="00A86134"/>
    <w:rsid w:val="00A87530"/>
    <w:rsid w:val="00A879D2"/>
    <w:rsid w:val="00A87E0F"/>
    <w:rsid w:val="00A90A1B"/>
    <w:rsid w:val="00A90B04"/>
    <w:rsid w:val="00A915F8"/>
    <w:rsid w:val="00A91E8D"/>
    <w:rsid w:val="00A937EB"/>
    <w:rsid w:val="00A94477"/>
    <w:rsid w:val="00A944AE"/>
    <w:rsid w:val="00A95029"/>
    <w:rsid w:val="00A96894"/>
    <w:rsid w:val="00A96B6A"/>
    <w:rsid w:val="00AA0678"/>
    <w:rsid w:val="00AA0F11"/>
    <w:rsid w:val="00AA1852"/>
    <w:rsid w:val="00AA1C9A"/>
    <w:rsid w:val="00AA238C"/>
    <w:rsid w:val="00AA2B1D"/>
    <w:rsid w:val="00AA31EF"/>
    <w:rsid w:val="00AA41ED"/>
    <w:rsid w:val="00AA429E"/>
    <w:rsid w:val="00AA4B84"/>
    <w:rsid w:val="00AA4BA5"/>
    <w:rsid w:val="00AA5010"/>
    <w:rsid w:val="00AA50A6"/>
    <w:rsid w:val="00AA7809"/>
    <w:rsid w:val="00AB0721"/>
    <w:rsid w:val="00AB0801"/>
    <w:rsid w:val="00AB0CCF"/>
    <w:rsid w:val="00AB121A"/>
    <w:rsid w:val="00AB18B9"/>
    <w:rsid w:val="00AB2431"/>
    <w:rsid w:val="00AB27BC"/>
    <w:rsid w:val="00AB2CAC"/>
    <w:rsid w:val="00AB3C29"/>
    <w:rsid w:val="00AB4812"/>
    <w:rsid w:val="00AB5B5F"/>
    <w:rsid w:val="00AB5E5D"/>
    <w:rsid w:val="00AB6332"/>
    <w:rsid w:val="00AB659C"/>
    <w:rsid w:val="00AB7462"/>
    <w:rsid w:val="00AC048F"/>
    <w:rsid w:val="00AC0D55"/>
    <w:rsid w:val="00AC19DD"/>
    <w:rsid w:val="00AC24FC"/>
    <w:rsid w:val="00AC26FF"/>
    <w:rsid w:val="00AC2EDD"/>
    <w:rsid w:val="00AC330B"/>
    <w:rsid w:val="00AC3603"/>
    <w:rsid w:val="00AC42BA"/>
    <w:rsid w:val="00AC45C5"/>
    <w:rsid w:val="00AC460F"/>
    <w:rsid w:val="00AC5503"/>
    <w:rsid w:val="00AC604D"/>
    <w:rsid w:val="00AC61D9"/>
    <w:rsid w:val="00AC6784"/>
    <w:rsid w:val="00AC681F"/>
    <w:rsid w:val="00AC6832"/>
    <w:rsid w:val="00AC7B8B"/>
    <w:rsid w:val="00AC7C8C"/>
    <w:rsid w:val="00AC7E69"/>
    <w:rsid w:val="00AD05BC"/>
    <w:rsid w:val="00AD06CC"/>
    <w:rsid w:val="00AD33D4"/>
    <w:rsid w:val="00AD355D"/>
    <w:rsid w:val="00AD411B"/>
    <w:rsid w:val="00AD547E"/>
    <w:rsid w:val="00AD578B"/>
    <w:rsid w:val="00AE01EF"/>
    <w:rsid w:val="00AE01F4"/>
    <w:rsid w:val="00AE0392"/>
    <w:rsid w:val="00AE0563"/>
    <w:rsid w:val="00AE0BB5"/>
    <w:rsid w:val="00AE0FE8"/>
    <w:rsid w:val="00AE128D"/>
    <w:rsid w:val="00AE22C7"/>
    <w:rsid w:val="00AE295B"/>
    <w:rsid w:val="00AE3038"/>
    <w:rsid w:val="00AE42B2"/>
    <w:rsid w:val="00AE5846"/>
    <w:rsid w:val="00AE5B31"/>
    <w:rsid w:val="00AE63AA"/>
    <w:rsid w:val="00AE7562"/>
    <w:rsid w:val="00AE7E85"/>
    <w:rsid w:val="00AF143C"/>
    <w:rsid w:val="00AF2690"/>
    <w:rsid w:val="00AF2778"/>
    <w:rsid w:val="00AF2FF3"/>
    <w:rsid w:val="00AF37C7"/>
    <w:rsid w:val="00AF3C05"/>
    <w:rsid w:val="00AF3C28"/>
    <w:rsid w:val="00AF3E6C"/>
    <w:rsid w:val="00AF3E93"/>
    <w:rsid w:val="00AF5192"/>
    <w:rsid w:val="00AF6DDF"/>
    <w:rsid w:val="00AF6EE5"/>
    <w:rsid w:val="00AF6EFE"/>
    <w:rsid w:val="00AF7237"/>
    <w:rsid w:val="00B00BDB"/>
    <w:rsid w:val="00B00BF8"/>
    <w:rsid w:val="00B0119B"/>
    <w:rsid w:val="00B025FD"/>
    <w:rsid w:val="00B02E0A"/>
    <w:rsid w:val="00B031F4"/>
    <w:rsid w:val="00B032ED"/>
    <w:rsid w:val="00B05653"/>
    <w:rsid w:val="00B059B7"/>
    <w:rsid w:val="00B05E2F"/>
    <w:rsid w:val="00B07123"/>
    <w:rsid w:val="00B10C0F"/>
    <w:rsid w:val="00B11B77"/>
    <w:rsid w:val="00B1264A"/>
    <w:rsid w:val="00B12E7A"/>
    <w:rsid w:val="00B12EAE"/>
    <w:rsid w:val="00B1389D"/>
    <w:rsid w:val="00B13F80"/>
    <w:rsid w:val="00B146F6"/>
    <w:rsid w:val="00B15250"/>
    <w:rsid w:val="00B157C5"/>
    <w:rsid w:val="00B158FF"/>
    <w:rsid w:val="00B160D0"/>
    <w:rsid w:val="00B164C0"/>
    <w:rsid w:val="00B16699"/>
    <w:rsid w:val="00B16C7E"/>
    <w:rsid w:val="00B17188"/>
    <w:rsid w:val="00B21353"/>
    <w:rsid w:val="00B21442"/>
    <w:rsid w:val="00B2214B"/>
    <w:rsid w:val="00B22758"/>
    <w:rsid w:val="00B22C21"/>
    <w:rsid w:val="00B23182"/>
    <w:rsid w:val="00B24CD8"/>
    <w:rsid w:val="00B24FED"/>
    <w:rsid w:val="00B2517C"/>
    <w:rsid w:val="00B25E7D"/>
    <w:rsid w:val="00B27AB9"/>
    <w:rsid w:val="00B306DC"/>
    <w:rsid w:val="00B3381C"/>
    <w:rsid w:val="00B33CC0"/>
    <w:rsid w:val="00B343BF"/>
    <w:rsid w:val="00B34A21"/>
    <w:rsid w:val="00B34C45"/>
    <w:rsid w:val="00B3545C"/>
    <w:rsid w:val="00B355B5"/>
    <w:rsid w:val="00B362F4"/>
    <w:rsid w:val="00B36465"/>
    <w:rsid w:val="00B36865"/>
    <w:rsid w:val="00B40B84"/>
    <w:rsid w:val="00B43414"/>
    <w:rsid w:val="00B43C01"/>
    <w:rsid w:val="00B443D6"/>
    <w:rsid w:val="00B44B6E"/>
    <w:rsid w:val="00B450E4"/>
    <w:rsid w:val="00B45260"/>
    <w:rsid w:val="00B4548F"/>
    <w:rsid w:val="00B45580"/>
    <w:rsid w:val="00B4574D"/>
    <w:rsid w:val="00B46855"/>
    <w:rsid w:val="00B5014A"/>
    <w:rsid w:val="00B50B0E"/>
    <w:rsid w:val="00B512A9"/>
    <w:rsid w:val="00B51496"/>
    <w:rsid w:val="00B53A63"/>
    <w:rsid w:val="00B53C8C"/>
    <w:rsid w:val="00B54706"/>
    <w:rsid w:val="00B54804"/>
    <w:rsid w:val="00B54D07"/>
    <w:rsid w:val="00B54D53"/>
    <w:rsid w:val="00B5569A"/>
    <w:rsid w:val="00B56474"/>
    <w:rsid w:val="00B56B70"/>
    <w:rsid w:val="00B56DFF"/>
    <w:rsid w:val="00B56FED"/>
    <w:rsid w:val="00B57292"/>
    <w:rsid w:val="00B5757E"/>
    <w:rsid w:val="00B6035D"/>
    <w:rsid w:val="00B60F95"/>
    <w:rsid w:val="00B61E77"/>
    <w:rsid w:val="00B62184"/>
    <w:rsid w:val="00B621BB"/>
    <w:rsid w:val="00B644F8"/>
    <w:rsid w:val="00B64AA9"/>
    <w:rsid w:val="00B66139"/>
    <w:rsid w:val="00B6652E"/>
    <w:rsid w:val="00B7090F"/>
    <w:rsid w:val="00B70997"/>
    <w:rsid w:val="00B716AD"/>
    <w:rsid w:val="00B71FFD"/>
    <w:rsid w:val="00B7392D"/>
    <w:rsid w:val="00B73BD7"/>
    <w:rsid w:val="00B74A0C"/>
    <w:rsid w:val="00B74C50"/>
    <w:rsid w:val="00B74C6A"/>
    <w:rsid w:val="00B75946"/>
    <w:rsid w:val="00B761C6"/>
    <w:rsid w:val="00B767AD"/>
    <w:rsid w:val="00B77CDE"/>
    <w:rsid w:val="00B80C66"/>
    <w:rsid w:val="00B80C9A"/>
    <w:rsid w:val="00B81025"/>
    <w:rsid w:val="00B811F7"/>
    <w:rsid w:val="00B82DCB"/>
    <w:rsid w:val="00B83598"/>
    <w:rsid w:val="00B83D19"/>
    <w:rsid w:val="00B841E6"/>
    <w:rsid w:val="00B846C3"/>
    <w:rsid w:val="00B84C65"/>
    <w:rsid w:val="00B85DE9"/>
    <w:rsid w:val="00B86A76"/>
    <w:rsid w:val="00B86BF7"/>
    <w:rsid w:val="00B8709E"/>
    <w:rsid w:val="00B90414"/>
    <w:rsid w:val="00B90AA1"/>
    <w:rsid w:val="00B916A0"/>
    <w:rsid w:val="00B91AB7"/>
    <w:rsid w:val="00B92AE5"/>
    <w:rsid w:val="00B93435"/>
    <w:rsid w:val="00B936A9"/>
    <w:rsid w:val="00B943C9"/>
    <w:rsid w:val="00B95373"/>
    <w:rsid w:val="00B95A5C"/>
    <w:rsid w:val="00B963D2"/>
    <w:rsid w:val="00B963FC"/>
    <w:rsid w:val="00B96F8A"/>
    <w:rsid w:val="00B97032"/>
    <w:rsid w:val="00BA0129"/>
    <w:rsid w:val="00BA2226"/>
    <w:rsid w:val="00BA225D"/>
    <w:rsid w:val="00BA25B1"/>
    <w:rsid w:val="00BA26B7"/>
    <w:rsid w:val="00BA2CC6"/>
    <w:rsid w:val="00BA381C"/>
    <w:rsid w:val="00BA4090"/>
    <w:rsid w:val="00BA4B39"/>
    <w:rsid w:val="00BA693F"/>
    <w:rsid w:val="00BA75A2"/>
    <w:rsid w:val="00BA7C20"/>
    <w:rsid w:val="00BB0483"/>
    <w:rsid w:val="00BB12B5"/>
    <w:rsid w:val="00BB1401"/>
    <w:rsid w:val="00BB1A3A"/>
    <w:rsid w:val="00BB2050"/>
    <w:rsid w:val="00BB2DE0"/>
    <w:rsid w:val="00BB3713"/>
    <w:rsid w:val="00BB4839"/>
    <w:rsid w:val="00BB5500"/>
    <w:rsid w:val="00BB6C8D"/>
    <w:rsid w:val="00BC0F69"/>
    <w:rsid w:val="00BC10DF"/>
    <w:rsid w:val="00BC14D8"/>
    <w:rsid w:val="00BC1873"/>
    <w:rsid w:val="00BC20C3"/>
    <w:rsid w:val="00BC21BB"/>
    <w:rsid w:val="00BC24A4"/>
    <w:rsid w:val="00BC2505"/>
    <w:rsid w:val="00BC2DD2"/>
    <w:rsid w:val="00BC31F2"/>
    <w:rsid w:val="00BC3AAE"/>
    <w:rsid w:val="00BC421A"/>
    <w:rsid w:val="00BC6EED"/>
    <w:rsid w:val="00BC6F70"/>
    <w:rsid w:val="00BC73B0"/>
    <w:rsid w:val="00BD2138"/>
    <w:rsid w:val="00BD2EEF"/>
    <w:rsid w:val="00BD35FE"/>
    <w:rsid w:val="00BD3FBC"/>
    <w:rsid w:val="00BD4B3F"/>
    <w:rsid w:val="00BD549C"/>
    <w:rsid w:val="00BD5A95"/>
    <w:rsid w:val="00BD5FF8"/>
    <w:rsid w:val="00BD63BF"/>
    <w:rsid w:val="00BD71A6"/>
    <w:rsid w:val="00BD72E3"/>
    <w:rsid w:val="00BD7C80"/>
    <w:rsid w:val="00BE0407"/>
    <w:rsid w:val="00BE096B"/>
    <w:rsid w:val="00BE0CF4"/>
    <w:rsid w:val="00BE10E2"/>
    <w:rsid w:val="00BE2AD9"/>
    <w:rsid w:val="00BE30C0"/>
    <w:rsid w:val="00BE4148"/>
    <w:rsid w:val="00BE46FC"/>
    <w:rsid w:val="00BE4F1C"/>
    <w:rsid w:val="00BE5704"/>
    <w:rsid w:val="00BE58A1"/>
    <w:rsid w:val="00BE5A49"/>
    <w:rsid w:val="00BE5E58"/>
    <w:rsid w:val="00BE7CDB"/>
    <w:rsid w:val="00BE7E18"/>
    <w:rsid w:val="00BF202A"/>
    <w:rsid w:val="00BF2D7C"/>
    <w:rsid w:val="00BF2E9F"/>
    <w:rsid w:val="00BF4D7B"/>
    <w:rsid w:val="00BF50D7"/>
    <w:rsid w:val="00BF5173"/>
    <w:rsid w:val="00BF525E"/>
    <w:rsid w:val="00BF569D"/>
    <w:rsid w:val="00BF6CE1"/>
    <w:rsid w:val="00BF7B89"/>
    <w:rsid w:val="00BF7F96"/>
    <w:rsid w:val="00C009A6"/>
    <w:rsid w:val="00C01A8F"/>
    <w:rsid w:val="00C01AFC"/>
    <w:rsid w:val="00C02A5A"/>
    <w:rsid w:val="00C0325B"/>
    <w:rsid w:val="00C047A6"/>
    <w:rsid w:val="00C06384"/>
    <w:rsid w:val="00C06873"/>
    <w:rsid w:val="00C071C6"/>
    <w:rsid w:val="00C07923"/>
    <w:rsid w:val="00C10261"/>
    <w:rsid w:val="00C10B1A"/>
    <w:rsid w:val="00C114B7"/>
    <w:rsid w:val="00C1180C"/>
    <w:rsid w:val="00C12163"/>
    <w:rsid w:val="00C12AD4"/>
    <w:rsid w:val="00C136DB"/>
    <w:rsid w:val="00C13B02"/>
    <w:rsid w:val="00C13EA3"/>
    <w:rsid w:val="00C14669"/>
    <w:rsid w:val="00C1673B"/>
    <w:rsid w:val="00C20801"/>
    <w:rsid w:val="00C22D6B"/>
    <w:rsid w:val="00C22E1A"/>
    <w:rsid w:val="00C2317E"/>
    <w:rsid w:val="00C231E5"/>
    <w:rsid w:val="00C2329C"/>
    <w:rsid w:val="00C24C5F"/>
    <w:rsid w:val="00C25721"/>
    <w:rsid w:val="00C257E9"/>
    <w:rsid w:val="00C25C57"/>
    <w:rsid w:val="00C304FF"/>
    <w:rsid w:val="00C30513"/>
    <w:rsid w:val="00C30B63"/>
    <w:rsid w:val="00C30E6D"/>
    <w:rsid w:val="00C316F9"/>
    <w:rsid w:val="00C31DDC"/>
    <w:rsid w:val="00C358F9"/>
    <w:rsid w:val="00C36812"/>
    <w:rsid w:val="00C36CE6"/>
    <w:rsid w:val="00C403BA"/>
    <w:rsid w:val="00C404D2"/>
    <w:rsid w:val="00C409FC"/>
    <w:rsid w:val="00C40A58"/>
    <w:rsid w:val="00C41700"/>
    <w:rsid w:val="00C4186D"/>
    <w:rsid w:val="00C429B5"/>
    <w:rsid w:val="00C4323A"/>
    <w:rsid w:val="00C438A2"/>
    <w:rsid w:val="00C43FA0"/>
    <w:rsid w:val="00C460E2"/>
    <w:rsid w:val="00C461A4"/>
    <w:rsid w:val="00C46A30"/>
    <w:rsid w:val="00C473AE"/>
    <w:rsid w:val="00C4741D"/>
    <w:rsid w:val="00C475E8"/>
    <w:rsid w:val="00C476D0"/>
    <w:rsid w:val="00C47847"/>
    <w:rsid w:val="00C47C8A"/>
    <w:rsid w:val="00C50928"/>
    <w:rsid w:val="00C51453"/>
    <w:rsid w:val="00C518F0"/>
    <w:rsid w:val="00C52195"/>
    <w:rsid w:val="00C52807"/>
    <w:rsid w:val="00C540E8"/>
    <w:rsid w:val="00C54846"/>
    <w:rsid w:val="00C5497F"/>
    <w:rsid w:val="00C54F49"/>
    <w:rsid w:val="00C55886"/>
    <w:rsid w:val="00C55DEC"/>
    <w:rsid w:val="00C561DA"/>
    <w:rsid w:val="00C56A10"/>
    <w:rsid w:val="00C5712E"/>
    <w:rsid w:val="00C5746E"/>
    <w:rsid w:val="00C6086C"/>
    <w:rsid w:val="00C60B92"/>
    <w:rsid w:val="00C614A3"/>
    <w:rsid w:val="00C622E7"/>
    <w:rsid w:val="00C62D8B"/>
    <w:rsid w:val="00C630EB"/>
    <w:rsid w:val="00C6429E"/>
    <w:rsid w:val="00C64C08"/>
    <w:rsid w:val="00C64C86"/>
    <w:rsid w:val="00C65229"/>
    <w:rsid w:val="00C65EE3"/>
    <w:rsid w:val="00C65FF1"/>
    <w:rsid w:val="00C67F19"/>
    <w:rsid w:val="00C70957"/>
    <w:rsid w:val="00C70B81"/>
    <w:rsid w:val="00C736D6"/>
    <w:rsid w:val="00C73CE0"/>
    <w:rsid w:val="00C76564"/>
    <w:rsid w:val="00C765E1"/>
    <w:rsid w:val="00C76DC6"/>
    <w:rsid w:val="00C77471"/>
    <w:rsid w:val="00C814B3"/>
    <w:rsid w:val="00C81E08"/>
    <w:rsid w:val="00C81F00"/>
    <w:rsid w:val="00C82412"/>
    <w:rsid w:val="00C85BF9"/>
    <w:rsid w:val="00C85E57"/>
    <w:rsid w:val="00C85FC6"/>
    <w:rsid w:val="00C861EB"/>
    <w:rsid w:val="00C86C05"/>
    <w:rsid w:val="00C87095"/>
    <w:rsid w:val="00C870DE"/>
    <w:rsid w:val="00C90D84"/>
    <w:rsid w:val="00C90FA7"/>
    <w:rsid w:val="00C92494"/>
    <w:rsid w:val="00C929BB"/>
    <w:rsid w:val="00C950E4"/>
    <w:rsid w:val="00C9556A"/>
    <w:rsid w:val="00C95591"/>
    <w:rsid w:val="00C9571C"/>
    <w:rsid w:val="00C966BF"/>
    <w:rsid w:val="00C9670E"/>
    <w:rsid w:val="00C96B12"/>
    <w:rsid w:val="00C96C95"/>
    <w:rsid w:val="00C97B02"/>
    <w:rsid w:val="00CA0277"/>
    <w:rsid w:val="00CA11C1"/>
    <w:rsid w:val="00CA23E8"/>
    <w:rsid w:val="00CA2424"/>
    <w:rsid w:val="00CA261D"/>
    <w:rsid w:val="00CA34B6"/>
    <w:rsid w:val="00CA3536"/>
    <w:rsid w:val="00CA40E4"/>
    <w:rsid w:val="00CA6420"/>
    <w:rsid w:val="00CA643A"/>
    <w:rsid w:val="00CA6902"/>
    <w:rsid w:val="00CA7C1C"/>
    <w:rsid w:val="00CB174E"/>
    <w:rsid w:val="00CB1E03"/>
    <w:rsid w:val="00CB2468"/>
    <w:rsid w:val="00CB2758"/>
    <w:rsid w:val="00CB384E"/>
    <w:rsid w:val="00CB49D2"/>
    <w:rsid w:val="00CB4A5E"/>
    <w:rsid w:val="00CB6BF7"/>
    <w:rsid w:val="00CC04D1"/>
    <w:rsid w:val="00CC103D"/>
    <w:rsid w:val="00CC1402"/>
    <w:rsid w:val="00CC1F56"/>
    <w:rsid w:val="00CC22A3"/>
    <w:rsid w:val="00CC29DA"/>
    <w:rsid w:val="00CC47B1"/>
    <w:rsid w:val="00CC5385"/>
    <w:rsid w:val="00CC56B5"/>
    <w:rsid w:val="00CC6318"/>
    <w:rsid w:val="00CC63C6"/>
    <w:rsid w:val="00CC697E"/>
    <w:rsid w:val="00CC7A9B"/>
    <w:rsid w:val="00CD063B"/>
    <w:rsid w:val="00CD1AC9"/>
    <w:rsid w:val="00CD2271"/>
    <w:rsid w:val="00CD24A1"/>
    <w:rsid w:val="00CD2777"/>
    <w:rsid w:val="00CD3507"/>
    <w:rsid w:val="00CD3FC2"/>
    <w:rsid w:val="00CD40E7"/>
    <w:rsid w:val="00CD47D9"/>
    <w:rsid w:val="00CD53D2"/>
    <w:rsid w:val="00CD5C4E"/>
    <w:rsid w:val="00CD5E75"/>
    <w:rsid w:val="00CD668E"/>
    <w:rsid w:val="00CD71F1"/>
    <w:rsid w:val="00CD7269"/>
    <w:rsid w:val="00CD7327"/>
    <w:rsid w:val="00CE0990"/>
    <w:rsid w:val="00CE10B4"/>
    <w:rsid w:val="00CE15CD"/>
    <w:rsid w:val="00CE1F0C"/>
    <w:rsid w:val="00CE272F"/>
    <w:rsid w:val="00CE2E4A"/>
    <w:rsid w:val="00CE57B8"/>
    <w:rsid w:val="00CE61C9"/>
    <w:rsid w:val="00CE6F35"/>
    <w:rsid w:val="00CE7AD0"/>
    <w:rsid w:val="00CE7BEB"/>
    <w:rsid w:val="00CE7C07"/>
    <w:rsid w:val="00CF0131"/>
    <w:rsid w:val="00CF11DA"/>
    <w:rsid w:val="00CF159E"/>
    <w:rsid w:val="00CF2DAC"/>
    <w:rsid w:val="00CF4DCE"/>
    <w:rsid w:val="00CF4F82"/>
    <w:rsid w:val="00CF57BC"/>
    <w:rsid w:val="00CF5EA1"/>
    <w:rsid w:val="00CF5F8C"/>
    <w:rsid w:val="00CF724D"/>
    <w:rsid w:val="00CF7F94"/>
    <w:rsid w:val="00D00074"/>
    <w:rsid w:val="00D01E60"/>
    <w:rsid w:val="00D029E2"/>
    <w:rsid w:val="00D043DA"/>
    <w:rsid w:val="00D04FCE"/>
    <w:rsid w:val="00D05111"/>
    <w:rsid w:val="00D0552E"/>
    <w:rsid w:val="00D05EFD"/>
    <w:rsid w:val="00D0624F"/>
    <w:rsid w:val="00D0627F"/>
    <w:rsid w:val="00D065E9"/>
    <w:rsid w:val="00D07D9F"/>
    <w:rsid w:val="00D07DEC"/>
    <w:rsid w:val="00D1076E"/>
    <w:rsid w:val="00D11B35"/>
    <w:rsid w:val="00D11F0E"/>
    <w:rsid w:val="00D12655"/>
    <w:rsid w:val="00D127D9"/>
    <w:rsid w:val="00D12822"/>
    <w:rsid w:val="00D12DE0"/>
    <w:rsid w:val="00D162D6"/>
    <w:rsid w:val="00D17AE7"/>
    <w:rsid w:val="00D17F2C"/>
    <w:rsid w:val="00D206C9"/>
    <w:rsid w:val="00D222FA"/>
    <w:rsid w:val="00D23005"/>
    <w:rsid w:val="00D232DE"/>
    <w:rsid w:val="00D23305"/>
    <w:rsid w:val="00D23343"/>
    <w:rsid w:val="00D23907"/>
    <w:rsid w:val="00D24F4C"/>
    <w:rsid w:val="00D2561A"/>
    <w:rsid w:val="00D26664"/>
    <w:rsid w:val="00D26BA3"/>
    <w:rsid w:val="00D275DB"/>
    <w:rsid w:val="00D27BFF"/>
    <w:rsid w:val="00D30432"/>
    <w:rsid w:val="00D309EA"/>
    <w:rsid w:val="00D30CEC"/>
    <w:rsid w:val="00D3140A"/>
    <w:rsid w:val="00D315D7"/>
    <w:rsid w:val="00D31DF5"/>
    <w:rsid w:val="00D31FDF"/>
    <w:rsid w:val="00D3253A"/>
    <w:rsid w:val="00D330A1"/>
    <w:rsid w:val="00D332B8"/>
    <w:rsid w:val="00D36FF4"/>
    <w:rsid w:val="00D3709E"/>
    <w:rsid w:val="00D371F1"/>
    <w:rsid w:val="00D378B7"/>
    <w:rsid w:val="00D37CBE"/>
    <w:rsid w:val="00D37D39"/>
    <w:rsid w:val="00D401D6"/>
    <w:rsid w:val="00D41474"/>
    <w:rsid w:val="00D418AC"/>
    <w:rsid w:val="00D4205F"/>
    <w:rsid w:val="00D42620"/>
    <w:rsid w:val="00D42AC5"/>
    <w:rsid w:val="00D4373D"/>
    <w:rsid w:val="00D43CD7"/>
    <w:rsid w:val="00D44892"/>
    <w:rsid w:val="00D449D2"/>
    <w:rsid w:val="00D45275"/>
    <w:rsid w:val="00D462F9"/>
    <w:rsid w:val="00D50114"/>
    <w:rsid w:val="00D51393"/>
    <w:rsid w:val="00D519B8"/>
    <w:rsid w:val="00D51A56"/>
    <w:rsid w:val="00D521A7"/>
    <w:rsid w:val="00D528AC"/>
    <w:rsid w:val="00D528FF"/>
    <w:rsid w:val="00D52BA9"/>
    <w:rsid w:val="00D539A5"/>
    <w:rsid w:val="00D53BF9"/>
    <w:rsid w:val="00D5584F"/>
    <w:rsid w:val="00D55897"/>
    <w:rsid w:val="00D56067"/>
    <w:rsid w:val="00D56BE1"/>
    <w:rsid w:val="00D574E2"/>
    <w:rsid w:val="00D604E4"/>
    <w:rsid w:val="00D60526"/>
    <w:rsid w:val="00D611EB"/>
    <w:rsid w:val="00D625FE"/>
    <w:rsid w:val="00D648BC"/>
    <w:rsid w:val="00D64C40"/>
    <w:rsid w:val="00D64F24"/>
    <w:rsid w:val="00D66697"/>
    <w:rsid w:val="00D66719"/>
    <w:rsid w:val="00D6681F"/>
    <w:rsid w:val="00D66C94"/>
    <w:rsid w:val="00D66E6A"/>
    <w:rsid w:val="00D676A0"/>
    <w:rsid w:val="00D67708"/>
    <w:rsid w:val="00D711F7"/>
    <w:rsid w:val="00D71640"/>
    <w:rsid w:val="00D717D5"/>
    <w:rsid w:val="00D71BF5"/>
    <w:rsid w:val="00D72180"/>
    <w:rsid w:val="00D72848"/>
    <w:rsid w:val="00D72BF1"/>
    <w:rsid w:val="00D73633"/>
    <w:rsid w:val="00D73954"/>
    <w:rsid w:val="00D74714"/>
    <w:rsid w:val="00D74A40"/>
    <w:rsid w:val="00D750D1"/>
    <w:rsid w:val="00D7514E"/>
    <w:rsid w:val="00D779A8"/>
    <w:rsid w:val="00D831CC"/>
    <w:rsid w:val="00D8362C"/>
    <w:rsid w:val="00D83743"/>
    <w:rsid w:val="00D84BEA"/>
    <w:rsid w:val="00D84D31"/>
    <w:rsid w:val="00D85114"/>
    <w:rsid w:val="00D8547D"/>
    <w:rsid w:val="00D86485"/>
    <w:rsid w:val="00D8734B"/>
    <w:rsid w:val="00D87E56"/>
    <w:rsid w:val="00D911C2"/>
    <w:rsid w:val="00D913B7"/>
    <w:rsid w:val="00D91757"/>
    <w:rsid w:val="00D9236F"/>
    <w:rsid w:val="00D93056"/>
    <w:rsid w:val="00D946A4"/>
    <w:rsid w:val="00D950E4"/>
    <w:rsid w:val="00D95510"/>
    <w:rsid w:val="00D95E05"/>
    <w:rsid w:val="00D95F04"/>
    <w:rsid w:val="00DA28B5"/>
    <w:rsid w:val="00DA3294"/>
    <w:rsid w:val="00DA44A3"/>
    <w:rsid w:val="00DA4DAD"/>
    <w:rsid w:val="00DA62DA"/>
    <w:rsid w:val="00DA6E75"/>
    <w:rsid w:val="00DA728E"/>
    <w:rsid w:val="00DA7563"/>
    <w:rsid w:val="00DB1837"/>
    <w:rsid w:val="00DB214D"/>
    <w:rsid w:val="00DB26CE"/>
    <w:rsid w:val="00DB2BAE"/>
    <w:rsid w:val="00DB2DD7"/>
    <w:rsid w:val="00DB32E1"/>
    <w:rsid w:val="00DB3838"/>
    <w:rsid w:val="00DB4181"/>
    <w:rsid w:val="00DB4620"/>
    <w:rsid w:val="00DB4A3C"/>
    <w:rsid w:val="00DB5E74"/>
    <w:rsid w:val="00DB60D0"/>
    <w:rsid w:val="00DB7350"/>
    <w:rsid w:val="00DC0017"/>
    <w:rsid w:val="00DC0282"/>
    <w:rsid w:val="00DC0C21"/>
    <w:rsid w:val="00DC142D"/>
    <w:rsid w:val="00DC1592"/>
    <w:rsid w:val="00DC2B03"/>
    <w:rsid w:val="00DC2CD5"/>
    <w:rsid w:val="00DC350F"/>
    <w:rsid w:val="00DC35BB"/>
    <w:rsid w:val="00DC3A47"/>
    <w:rsid w:val="00DC6173"/>
    <w:rsid w:val="00DC70F2"/>
    <w:rsid w:val="00DC7ED4"/>
    <w:rsid w:val="00DD040E"/>
    <w:rsid w:val="00DD04FB"/>
    <w:rsid w:val="00DD0A78"/>
    <w:rsid w:val="00DD22F8"/>
    <w:rsid w:val="00DD2E91"/>
    <w:rsid w:val="00DD47A1"/>
    <w:rsid w:val="00DD5505"/>
    <w:rsid w:val="00DD5EA6"/>
    <w:rsid w:val="00DD6095"/>
    <w:rsid w:val="00DD6D65"/>
    <w:rsid w:val="00DD7830"/>
    <w:rsid w:val="00DE0AB4"/>
    <w:rsid w:val="00DE140A"/>
    <w:rsid w:val="00DE1964"/>
    <w:rsid w:val="00DE1A5A"/>
    <w:rsid w:val="00DE22E0"/>
    <w:rsid w:val="00DE2F16"/>
    <w:rsid w:val="00DE426D"/>
    <w:rsid w:val="00DE706B"/>
    <w:rsid w:val="00DF02E7"/>
    <w:rsid w:val="00DF12F0"/>
    <w:rsid w:val="00DF1AD9"/>
    <w:rsid w:val="00DF287A"/>
    <w:rsid w:val="00DF3564"/>
    <w:rsid w:val="00DF5DEF"/>
    <w:rsid w:val="00DF65CC"/>
    <w:rsid w:val="00DF6B47"/>
    <w:rsid w:val="00E002A0"/>
    <w:rsid w:val="00E00678"/>
    <w:rsid w:val="00E007B7"/>
    <w:rsid w:val="00E01DD6"/>
    <w:rsid w:val="00E02257"/>
    <w:rsid w:val="00E02323"/>
    <w:rsid w:val="00E038C3"/>
    <w:rsid w:val="00E03CF5"/>
    <w:rsid w:val="00E04E65"/>
    <w:rsid w:val="00E0582E"/>
    <w:rsid w:val="00E0620A"/>
    <w:rsid w:val="00E06387"/>
    <w:rsid w:val="00E0658B"/>
    <w:rsid w:val="00E06D75"/>
    <w:rsid w:val="00E0732F"/>
    <w:rsid w:val="00E11194"/>
    <w:rsid w:val="00E129FD"/>
    <w:rsid w:val="00E12D28"/>
    <w:rsid w:val="00E131BF"/>
    <w:rsid w:val="00E13D4B"/>
    <w:rsid w:val="00E150CB"/>
    <w:rsid w:val="00E160D4"/>
    <w:rsid w:val="00E16439"/>
    <w:rsid w:val="00E169EA"/>
    <w:rsid w:val="00E17264"/>
    <w:rsid w:val="00E17D82"/>
    <w:rsid w:val="00E20323"/>
    <w:rsid w:val="00E20981"/>
    <w:rsid w:val="00E21338"/>
    <w:rsid w:val="00E217DD"/>
    <w:rsid w:val="00E219ED"/>
    <w:rsid w:val="00E21E77"/>
    <w:rsid w:val="00E228CC"/>
    <w:rsid w:val="00E22F1E"/>
    <w:rsid w:val="00E24E2C"/>
    <w:rsid w:val="00E26A01"/>
    <w:rsid w:val="00E26BE8"/>
    <w:rsid w:val="00E2719D"/>
    <w:rsid w:val="00E32DBF"/>
    <w:rsid w:val="00E33D30"/>
    <w:rsid w:val="00E34DE8"/>
    <w:rsid w:val="00E361C1"/>
    <w:rsid w:val="00E361DD"/>
    <w:rsid w:val="00E3775C"/>
    <w:rsid w:val="00E3777E"/>
    <w:rsid w:val="00E40760"/>
    <w:rsid w:val="00E409EC"/>
    <w:rsid w:val="00E4330D"/>
    <w:rsid w:val="00E452D6"/>
    <w:rsid w:val="00E45AB6"/>
    <w:rsid w:val="00E45AD7"/>
    <w:rsid w:val="00E46061"/>
    <w:rsid w:val="00E46168"/>
    <w:rsid w:val="00E474E8"/>
    <w:rsid w:val="00E5077F"/>
    <w:rsid w:val="00E51CA4"/>
    <w:rsid w:val="00E526CC"/>
    <w:rsid w:val="00E52AEC"/>
    <w:rsid w:val="00E539D1"/>
    <w:rsid w:val="00E540EC"/>
    <w:rsid w:val="00E54314"/>
    <w:rsid w:val="00E5437F"/>
    <w:rsid w:val="00E543B7"/>
    <w:rsid w:val="00E551D6"/>
    <w:rsid w:val="00E55A3D"/>
    <w:rsid w:val="00E568CA"/>
    <w:rsid w:val="00E56CE2"/>
    <w:rsid w:val="00E576FE"/>
    <w:rsid w:val="00E57B07"/>
    <w:rsid w:val="00E6078E"/>
    <w:rsid w:val="00E60F09"/>
    <w:rsid w:val="00E61ACF"/>
    <w:rsid w:val="00E62DD0"/>
    <w:rsid w:val="00E633E0"/>
    <w:rsid w:val="00E634F3"/>
    <w:rsid w:val="00E63742"/>
    <w:rsid w:val="00E64DC5"/>
    <w:rsid w:val="00E655B9"/>
    <w:rsid w:val="00E6652C"/>
    <w:rsid w:val="00E66C86"/>
    <w:rsid w:val="00E66F14"/>
    <w:rsid w:val="00E671F9"/>
    <w:rsid w:val="00E6779D"/>
    <w:rsid w:val="00E67D8F"/>
    <w:rsid w:val="00E70816"/>
    <w:rsid w:val="00E70967"/>
    <w:rsid w:val="00E71037"/>
    <w:rsid w:val="00E71166"/>
    <w:rsid w:val="00E71372"/>
    <w:rsid w:val="00E72BE0"/>
    <w:rsid w:val="00E733E6"/>
    <w:rsid w:val="00E764F7"/>
    <w:rsid w:val="00E801F7"/>
    <w:rsid w:val="00E802AB"/>
    <w:rsid w:val="00E81B2D"/>
    <w:rsid w:val="00E835C6"/>
    <w:rsid w:val="00E83DA2"/>
    <w:rsid w:val="00E83F7B"/>
    <w:rsid w:val="00E84F9D"/>
    <w:rsid w:val="00E85AE9"/>
    <w:rsid w:val="00E87B69"/>
    <w:rsid w:val="00E90402"/>
    <w:rsid w:val="00E908E2"/>
    <w:rsid w:val="00E909E7"/>
    <w:rsid w:val="00E90A1E"/>
    <w:rsid w:val="00E90BC5"/>
    <w:rsid w:val="00E90EA4"/>
    <w:rsid w:val="00E91090"/>
    <w:rsid w:val="00E91AC7"/>
    <w:rsid w:val="00E921DB"/>
    <w:rsid w:val="00E93205"/>
    <w:rsid w:val="00E94D4E"/>
    <w:rsid w:val="00E94F65"/>
    <w:rsid w:val="00E95017"/>
    <w:rsid w:val="00E957B3"/>
    <w:rsid w:val="00E97096"/>
    <w:rsid w:val="00EA04B2"/>
    <w:rsid w:val="00EA1C0C"/>
    <w:rsid w:val="00EA2CA4"/>
    <w:rsid w:val="00EA2EE9"/>
    <w:rsid w:val="00EA3862"/>
    <w:rsid w:val="00EA3AAC"/>
    <w:rsid w:val="00EA3AB5"/>
    <w:rsid w:val="00EA41F2"/>
    <w:rsid w:val="00EA42B6"/>
    <w:rsid w:val="00EA4B7E"/>
    <w:rsid w:val="00EA5AA9"/>
    <w:rsid w:val="00EA6411"/>
    <w:rsid w:val="00EA6AA1"/>
    <w:rsid w:val="00EA72AC"/>
    <w:rsid w:val="00EA7FB6"/>
    <w:rsid w:val="00EB0530"/>
    <w:rsid w:val="00EB05E6"/>
    <w:rsid w:val="00EB1CC7"/>
    <w:rsid w:val="00EB2080"/>
    <w:rsid w:val="00EB3ABC"/>
    <w:rsid w:val="00EB4D9C"/>
    <w:rsid w:val="00EB5002"/>
    <w:rsid w:val="00EB5122"/>
    <w:rsid w:val="00EB51ED"/>
    <w:rsid w:val="00EB5D26"/>
    <w:rsid w:val="00EB616A"/>
    <w:rsid w:val="00EB68BA"/>
    <w:rsid w:val="00EB6ABF"/>
    <w:rsid w:val="00EB6DF2"/>
    <w:rsid w:val="00EB6E67"/>
    <w:rsid w:val="00EB74A5"/>
    <w:rsid w:val="00EC01B6"/>
    <w:rsid w:val="00EC1E8F"/>
    <w:rsid w:val="00EC2C87"/>
    <w:rsid w:val="00EC2FDA"/>
    <w:rsid w:val="00EC3B9F"/>
    <w:rsid w:val="00EC493F"/>
    <w:rsid w:val="00EC7433"/>
    <w:rsid w:val="00EC78F0"/>
    <w:rsid w:val="00EC7927"/>
    <w:rsid w:val="00ED0704"/>
    <w:rsid w:val="00ED15CB"/>
    <w:rsid w:val="00ED2830"/>
    <w:rsid w:val="00ED31C6"/>
    <w:rsid w:val="00ED50C5"/>
    <w:rsid w:val="00ED5C36"/>
    <w:rsid w:val="00ED62E3"/>
    <w:rsid w:val="00ED6389"/>
    <w:rsid w:val="00EE005D"/>
    <w:rsid w:val="00EE04F4"/>
    <w:rsid w:val="00EE0530"/>
    <w:rsid w:val="00EE0B06"/>
    <w:rsid w:val="00EE0D69"/>
    <w:rsid w:val="00EE18F5"/>
    <w:rsid w:val="00EE1F17"/>
    <w:rsid w:val="00EE1F9D"/>
    <w:rsid w:val="00EE39A1"/>
    <w:rsid w:val="00EE3ECD"/>
    <w:rsid w:val="00EE4AA3"/>
    <w:rsid w:val="00EE4ED4"/>
    <w:rsid w:val="00EE6A83"/>
    <w:rsid w:val="00EE79AB"/>
    <w:rsid w:val="00EF05F2"/>
    <w:rsid w:val="00EF0A3D"/>
    <w:rsid w:val="00EF182E"/>
    <w:rsid w:val="00EF1836"/>
    <w:rsid w:val="00EF1AEC"/>
    <w:rsid w:val="00EF249C"/>
    <w:rsid w:val="00EF37EA"/>
    <w:rsid w:val="00EF407A"/>
    <w:rsid w:val="00EF5AA2"/>
    <w:rsid w:val="00EF6418"/>
    <w:rsid w:val="00EF7014"/>
    <w:rsid w:val="00EF7E00"/>
    <w:rsid w:val="00F01C89"/>
    <w:rsid w:val="00F029BB"/>
    <w:rsid w:val="00F02D27"/>
    <w:rsid w:val="00F03494"/>
    <w:rsid w:val="00F037BF"/>
    <w:rsid w:val="00F04B36"/>
    <w:rsid w:val="00F06148"/>
    <w:rsid w:val="00F062E4"/>
    <w:rsid w:val="00F067FE"/>
    <w:rsid w:val="00F07798"/>
    <w:rsid w:val="00F079A7"/>
    <w:rsid w:val="00F07A08"/>
    <w:rsid w:val="00F10195"/>
    <w:rsid w:val="00F10907"/>
    <w:rsid w:val="00F10AD7"/>
    <w:rsid w:val="00F10C34"/>
    <w:rsid w:val="00F10DA4"/>
    <w:rsid w:val="00F11556"/>
    <w:rsid w:val="00F11B80"/>
    <w:rsid w:val="00F13323"/>
    <w:rsid w:val="00F137F0"/>
    <w:rsid w:val="00F13A1D"/>
    <w:rsid w:val="00F13C08"/>
    <w:rsid w:val="00F14CF2"/>
    <w:rsid w:val="00F14FBE"/>
    <w:rsid w:val="00F151AD"/>
    <w:rsid w:val="00F162C3"/>
    <w:rsid w:val="00F164B5"/>
    <w:rsid w:val="00F16E91"/>
    <w:rsid w:val="00F17F90"/>
    <w:rsid w:val="00F20DB0"/>
    <w:rsid w:val="00F20F57"/>
    <w:rsid w:val="00F212A3"/>
    <w:rsid w:val="00F230F7"/>
    <w:rsid w:val="00F23102"/>
    <w:rsid w:val="00F23D7B"/>
    <w:rsid w:val="00F24819"/>
    <w:rsid w:val="00F24EC8"/>
    <w:rsid w:val="00F24EEB"/>
    <w:rsid w:val="00F24F55"/>
    <w:rsid w:val="00F25126"/>
    <w:rsid w:val="00F25CF8"/>
    <w:rsid w:val="00F30A6B"/>
    <w:rsid w:val="00F31662"/>
    <w:rsid w:val="00F31F90"/>
    <w:rsid w:val="00F32324"/>
    <w:rsid w:val="00F32494"/>
    <w:rsid w:val="00F3406B"/>
    <w:rsid w:val="00F35AB8"/>
    <w:rsid w:val="00F366D0"/>
    <w:rsid w:val="00F3677D"/>
    <w:rsid w:val="00F36AB1"/>
    <w:rsid w:val="00F3777B"/>
    <w:rsid w:val="00F400E7"/>
    <w:rsid w:val="00F407B4"/>
    <w:rsid w:val="00F40BC9"/>
    <w:rsid w:val="00F42700"/>
    <w:rsid w:val="00F42A54"/>
    <w:rsid w:val="00F42FAC"/>
    <w:rsid w:val="00F433D5"/>
    <w:rsid w:val="00F4362D"/>
    <w:rsid w:val="00F44B41"/>
    <w:rsid w:val="00F453F8"/>
    <w:rsid w:val="00F454D8"/>
    <w:rsid w:val="00F4752C"/>
    <w:rsid w:val="00F50DCE"/>
    <w:rsid w:val="00F517C3"/>
    <w:rsid w:val="00F518C1"/>
    <w:rsid w:val="00F525BF"/>
    <w:rsid w:val="00F536B6"/>
    <w:rsid w:val="00F55474"/>
    <w:rsid w:val="00F5622A"/>
    <w:rsid w:val="00F56A5A"/>
    <w:rsid w:val="00F575F6"/>
    <w:rsid w:val="00F57663"/>
    <w:rsid w:val="00F60418"/>
    <w:rsid w:val="00F61B6C"/>
    <w:rsid w:val="00F61C8E"/>
    <w:rsid w:val="00F62F32"/>
    <w:rsid w:val="00F63C59"/>
    <w:rsid w:val="00F6420E"/>
    <w:rsid w:val="00F658D0"/>
    <w:rsid w:val="00F65DC7"/>
    <w:rsid w:val="00F65F66"/>
    <w:rsid w:val="00F67747"/>
    <w:rsid w:val="00F701F8"/>
    <w:rsid w:val="00F70545"/>
    <w:rsid w:val="00F71289"/>
    <w:rsid w:val="00F72F15"/>
    <w:rsid w:val="00F74304"/>
    <w:rsid w:val="00F74317"/>
    <w:rsid w:val="00F7434F"/>
    <w:rsid w:val="00F74E25"/>
    <w:rsid w:val="00F77345"/>
    <w:rsid w:val="00F77667"/>
    <w:rsid w:val="00F77794"/>
    <w:rsid w:val="00F77C6E"/>
    <w:rsid w:val="00F80B64"/>
    <w:rsid w:val="00F81F04"/>
    <w:rsid w:val="00F821FB"/>
    <w:rsid w:val="00F82457"/>
    <w:rsid w:val="00F82477"/>
    <w:rsid w:val="00F84493"/>
    <w:rsid w:val="00F84779"/>
    <w:rsid w:val="00F84B41"/>
    <w:rsid w:val="00F850E0"/>
    <w:rsid w:val="00F853CA"/>
    <w:rsid w:val="00F865D3"/>
    <w:rsid w:val="00F86E1F"/>
    <w:rsid w:val="00F87626"/>
    <w:rsid w:val="00F87CFF"/>
    <w:rsid w:val="00F90093"/>
    <w:rsid w:val="00F901AD"/>
    <w:rsid w:val="00F91192"/>
    <w:rsid w:val="00F912C5"/>
    <w:rsid w:val="00F91541"/>
    <w:rsid w:val="00F923CB"/>
    <w:rsid w:val="00F929B8"/>
    <w:rsid w:val="00F92CF7"/>
    <w:rsid w:val="00F9343F"/>
    <w:rsid w:val="00F9381B"/>
    <w:rsid w:val="00F939FA"/>
    <w:rsid w:val="00F94F86"/>
    <w:rsid w:val="00F96984"/>
    <w:rsid w:val="00F97292"/>
    <w:rsid w:val="00FA1567"/>
    <w:rsid w:val="00FA17CC"/>
    <w:rsid w:val="00FA1DB5"/>
    <w:rsid w:val="00FA26E2"/>
    <w:rsid w:val="00FA280B"/>
    <w:rsid w:val="00FA2A6C"/>
    <w:rsid w:val="00FA35F8"/>
    <w:rsid w:val="00FA3918"/>
    <w:rsid w:val="00FA4FFC"/>
    <w:rsid w:val="00FA5AEF"/>
    <w:rsid w:val="00FA5BDC"/>
    <w:rsid w:val="00FA5EC3"/>
    <w:rsid w:val="00FA6F51"/>
    <w:rsid w:val="00FA701A"/>
    <w:rsid w:val="00FB2F99"/>
    <w:rsid w:val="00FB4510"/>
    <w:rsid w:val="00FB4B14"/>
    <w:rsid w:val="00FB542B"/>
    <w:rsid w:val="00FB6961"/>
    <w:rsid w:val="00FB6A18"/>
    <w:rsid w:val="00FB71C9"/>
    <w:rsid w:val="00FB7FAD"/>
    <w:rsid w:val="00FC06C9"/>
    <w:rsid w:val="00FC0933"/>
    <w:rsid w:val="00FC142E"/>
    <w:rsid w:val="00FC1E03"/>
    <w:rsid w:val="00FC2771"/>
    <w:rsid w:val="00FC4CF5"/>
    <w:rsid w:val="00FC4EE9"/>
    <w:rsid w:val="00FC5E4B"/>
    <w:rsid w:val="00FC67EB"/>
    <w:rsid w:val="00FC7103"/>
    <w:rsid w:val="00FC7E4F"/>
    <w:rsid w:val="00FD070B"/>
    <w:rsid w:val="00FD0897"/>
    <w:rsid w:val="00FD1568"/>
    <w:rsid w:val="00FD206E"/>
    <w:rsid w:val="00FD20E8"/>
    <w:rsid w:val="00FD2D86"/>
    <w:rsid w:val="00FD4126"/>
    <w:rsid w:val="00FD5FA5"/>
    <w:rsid w:val="00FD69F2"/>
    <w:rsid w:val="00FD7BB8"/>
    <w:rsid w:val="00FD7BFE"/>
    <w:rsid w:val="00FE0613"/>
    <w:rsid w:val="00FE211F"/>
    <w:rsid w:val="00FE375B"/>
    <w:rsid w:val="00FE4881"/>
    <w:rsid w:val="00FE53EC"/>
    <w:rsid w:val="00FE592D"/>
    <w:rsid w:val="00FF020B"/>
    <w:rsid w:val="00FF18E4"/>
    <w:rsid w:val="00FF2159"/>
    <w:rsid w:val="00FF28A5"/>
    <w:rsid w:val="00FF2B89"/>
    <w:rsid w:val="00FF3938"/>
    <w:rsid w:val="00FF3FDE"/>
    <w:rsid w:val="00FF5621"/>
    <w:rsid w:val="00FF5E8E"/>
    <w:rsid w:val="00FF60C6"/>
    <w:rsid w:val="00FF6A92"/>
    <w:rsid w:val="00FF73E8"/>
    <w:rsid w:val="00FF7AB7"/>
    <w:rsid w:val="00FF7BF6"/>
    <w:rsid w:val="00FF7CBF"/>
    <w:rsid w:val="020503D7"/>
    <w:rsid w:val="06CC6DAE"/>
    <w:rsid w:val="0DCB6319"/>
    <w:rsid w:val="0E43316B"/>
    <w:rsid w:val="1096554D"/>
    <w:rsid w:val="10DF1FF5"/>
    <w:rsid w:val="134B5C2C"/>
    <w:rsid w:val="14FD7ED8"/>
    <w:rsid w:val="15873E9D"/>
    <w:rsid w:val="18BF27C2"/>
    <w:rsid w:val="1B262FA3"/>
    <w:rsid w:val="1BA32C6C"/>
    <w:rsid w:val="1D8C2818"/>
    <w:rsid w:val="1E1E0717"/>
    <w:rsid w:val="1FA31BF1"/>
    <w:rsid w:val="209F6B31"/>
    <w:rsid w:val="228702B9"/>
    <w:rsid w:val="266B728B"/>
    <w:rsid w:val="27311FE9"/>
    <w:rsid w:val="27611BC0"/>
    <w:rsid w:val="27C735D0"/>
    <w:rsid w:val="2C6A5B99"/>
    <w:rsid w:val="316F1B75"/>
    <w:rsid w:val="34593F60"/>
    <w:rsid w:val="35D5065D"/>
    <w:rsid w:val="37537441"/>
    <w:rsid w:val="38BB7957"/>
    <w:rsid w:val="430D51C2"/>
    <w:rsid w:val="43E762B0"/>
    <w:rsid w:val="458C4BCF"/>
    <w:rsid w:val="469C0930"/>
    <w:rsid w:val="47EF6285"/>
    <w:rsid w:val="48A94D8B"/>
    <w:rsid w:val="48D00536"/>
    <w:rsid w:val="4F4746B3"/>
    <w:rsid w:val="503B6BB9"/>
    <w:rsid w:val="568839A4"/>
    <w:rsid w:val="56906AF4"/>
    <w:rsid w:val="5C28228E"/>
    <w:rsid w:val="5E6F1CD4"/>
    <w:rsid w:val="60101D7C"/>
    <w:rsid w:val="619E6E5D"/>
    <w:rsid w:val="68EB6B96"/>
    <w:rsid w:val="6C303A68"/>
    <w:rsid w:val="702D5570"/>
    <w:rsid w:val="716606EF"/>
    <w:rsid w:val="778E13D9"/>
    <w:rsid w:val="7AD14470"/>
    <w:rsid w:val="7D180C84"/>
  </w:rsid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nhideWhenUsed="0" w:uiPriority="35" w:semiHidden="0" w:name="caption"/>
    <w:lsdException w:uiPriority="0" w:name="table of figures"/>
    <w:lsdException w:uiPriority="0" w:name="envelope address"/>
    <w:lsdException w:uiPriority="0" w:name="envelope return"/>
    <w:lsdException w:qFormat="1" w:unhideWhenUsed="0" w:uiPriority="0" w:semiHidden="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nhideWhenUsed="0" w:uiPriority="0" w:semiHidden="0" w:name="endnote text"/>
    <w:lsdException w:uiPriority="0" w:name="table of authorities"/>
    <w:lsdException w:uiPriority="0" w:name="macro"/>
    <w:lsdException w:unhideWhenUsed="0" w:uiPriority="0" w:semiHidden="0" w:name="toa heading"/>
    <w:lsdException w:qFormat="1" w:unhideWhenUsed="0" w:uiPriority="0" w:semiHidden="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semiHidden="0" w:name="Default Paragraph Font"/>
    <w:lsdException w:qFormat="1" w:unhideWhenUsed="0" w:uiPriority="0"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iPriority="0" w:name="List Continue 5"/>
    <w:lsdException w:uiPriority="0" w:name="Message Header"/>
    <w:lsdException w:qFormat="1" w:unhideWhenUsed="0" w:uiPriority="0" w:semiHidden="0" w:name="Subtitle"/>
    <w:lsdException w:uiPriority="0" w:name="Salutation"/>
    <w:lsdException w:qFormat="1" w:unhideWhenUsed="0" w:uiPriority="99"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iPriority="0" w:name="Block Text"/>
    <w:lsdException w:qFormat="1" w:unhideWhenUsed="0" w:uiPriority="99" w:semiHidden="0" w:name="Hyperlink"/>
    <w:lsdException w:qFormat="1" w:uiPriority="99" w:semiHidden="0" w:name="FollowedHyperlink"/>
    <w:lsdException w:qFormat="1" w:unhideWhenUsed="0" w:uiPriority="0" w:semiHidden="0" w:name="Strong"/>
    <w:lsdException w:qFormat="1" w:unhideWhenUsed="0" w:uiPriority="0" w:semiHidden="0" w:name="Emphasis"/>
    <w:lsdException w:qFormat="1" w:uiPriority="99" w:semiHidden="0" w:name="Document Map"/>
    <w:lsdException w:qFormat="1" w:unhideWhenUsed="0" w:uiPriority="0" w:semiHidden="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nhideWhenUsed="0" w:uiPriority="0" w:semiHidden="0" w:name="HTML Preformatted"/>
    <w:lsdException w:uiPriority="0" w:name="HTML Sample"/>
    <w:lsdException w:uiPriority="0" w:name="HTML Typewriter"/>
    <w:lsdException w:uiPriority="0" w:name="HTML Variable"/>
    <w:lsdException w:qFormat="1" w:uiPriority="99" w:semiHidden="0" w:name="Normal Table"/>
    <w:lsdException w:qFormat="1" w:unhideWhenUsed="0"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qFormat="1"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pPr>
    <w:rPr>
      <w:rFonts w:ascii="Times New Roman" w:hAnsi="Times New Roman" w:eastAsia="宋体" w:cs="Times New Roman"/>
      <w:kern w:val="2"/>
      <w:sz w:val="24"/>
      <w:szCs w:val="24"/>
      <w:lang w:val="en-US" w:eastAsia="zh-CN" w:bidi="ar-SA"/>
    </w:rPr>
  </w:style>
  <w:style w:type="paragraph" w:styleId="2">
    <w:name w:val="heading 1"/>
    <w:basedOn w:val="1"/>
    <w:next w:val="1"/>
    <w:link w:val="56"/>
    <w:qFormat/>
    <w:uiPriority w:val="9"/>
    <w:pPr>
      <w:keepNext/>
      <w:keepLines/>
      <w:numPr>
        <w:ilvl w:val="0"/>
        <w:numId w:val="1"/>
      </w:numPr>
      <w:spacing w:before="240" w:after="240" w:line="579" w:lineRule="auto"/>
      <w:ind w:left="432"/>
      <w:jc w:val="center"/>
      <w:outlineLvl w:val="0"/>
    </w:pPr>
    <w:rPr>
      <w:rFonts w:ascii="Times New Roman" w:hAnsi="Times New Roman" w:eastAsia="宋体"/>
      <w:b/>
      <w:bCs/>
      <w:kern w:val="44"/>
      <w:sz w:val="30"/>
      <w:szCs w:val="44"/>
    </w:rPr>
  </w:style>
  <w:style w:type="paragraph" w:styleId="3">
    <w:name w:val="heading 2"/>
    <w:basedOn w:val="4"/>
    <w:next w:val="5"/>
    <w:link w:val="59"/>
    <w:qFormat/>
    <w:uiPriority w:val="9"/>
    <w:pPr>
      <w:widowControl/>
      <w:numPr>
        <w:ilvl w:val="1"/>
      </w:numPr>
      <w:ind w:left="576"/>
      <w:outlineLvl w:val="1"/>
    </w:pPr>
    <w:rPr>
      <w:rFonts w:ascii="黑体" w:hAnsi="黑体" w:eastAsia="宋体"/>
      <w:b/>
      <w:bCs w:val="0"/>
      <w:snapToGrid w:val="0"/>
      <w:kern w:val="0"/>
      <w:szCs w:val="24"/>
      <w:lang w:val="zh-CN"/>
    </w:rPr>
  </w:style>
  <w:style w:type="paragraph" w:styleId="4">
    <w:name w:val="heading 3"/>
    <w:basedOn w:val="1"/>
    <w:next w:val="1"/>
    <w:link w:val="57"/>
    <w:qFormat/>
    <w:uiPriority w:val="9"/>
    <w:pPr>
      <w:keepNext/>
      <w:keepLines/>
      <w:numPr>
        <w:ilvl w:val="2"/>
        <w:numId w:val="1"/>
      </w:numPr>
      <w:spacing w:line="360" w:lineRule="auto"/>
      <w:outlineLvl w:val="2"/>
    </w:pPr>
    <w:rPr>
      <w:bCs/>
      <w:szCs w:val="32"/>
    </w:rPr>
  </w:style>
  <w:style w:type="paragraph" w:styleId="6">
    <w:name w:val="heading 4"/>
    <w:basedOn w:val="1"/>
    <w:next w:val="1"/>
    <w:link w:val="380"/>
    <w:qFormat/>
    <w:uiPriority w:val="9"/>
    <w:pPr>
      <w:keepNext/>
      <w:keepLines/>
      <w:numPr>
        <w:ilvl w:val="3"/>
        <w:numId w:val="1"/>
      </w:numPr>
      <w:spacing w:before="280" w:after="290" w:line="374" w:lineRule="auto"/>
      <w:outlineLvl w:val="3"/>
    </w:pPr>
    <w:rPr>
      <w:rFonts w:ascii="Arial" w:hAnsi="Arial" w:eastAsia="黑体"/>
      <w:b/>
      <w:bCs/>
      <w:sz w:val="28"/>
      <w:szCs w:val="28"/>
    </w:rPr>
  </w:style>
  <w:style w:type="paragraph" w:styleId="7">
    <w:name w:val="heading 5"/>
    <w:basedOn w:val="1"/>
    <w:next w:val="1"/>
    <w:link w:val="60"/>
    <w:qFormat/>
    <w:uiPriority w:val="0"/>
    <w:pPr>
      <w:keepNext/>
      <w:keepLines/>
      <w:numPr>
        <w:ilvl w:val="4"/>
        <w:numId w:val="1"/>
      </w:numPr>
      <w:spacing w:before="280" w:after="290" w:line="376" w:lineRule="auto"/>
      <w:outlineLvl w:val="4"/>
    </w:pPr>
    <w:rPr>
      <w:b/>
      <w:bCs/>
      <w:sz w:val="28"/>
      <w:szCs w:val="28"/>
    </w:rPr>
  </w:style>
  <w:style w:type="paragraph" w:styleId="8">
    <w:name w:val="heading 6"/>
    <w:basedOn w:val="1"/>
    <w:next w:val="1"/>
    <w:link w:val="61"/>
    <w:qFormat/>
    <w:uiPriority w:val="0"/>
    <w:pPr>
      <w:keepNext/>
      <w:keepLines/>
      <w:widowControl/>
      <w:numPr>
        <w:ilvl w:val="5"/>
        <w:numId w:val="1"/>
      </w:numPr>
      <w:tabs>
        <w:tab w:val="left" w:pos="1152"/>
      </w:tabs>
      <w:spacing w:before="240" w:after="64" w:line="320" w:lineRule="auto"/>
      <w:outlineLvl w:val="5"/>
    </w:pPr>
    <w:rPr>
      <w:rFonts w:ascii="Arial" w:hAnsi="Arial" w:eastAsia="黑体"/>
      <w:b/>
      <w:spacing w:val="6"/>
      <w:szCs w:val="26"/>
    </w:rPr>
  </w:style>
  <w:style w:type="paragraph" w:styleId="9">
    <w:name w:val="heading 7"/>
    <w:basedOn w:val="1"/>
    <w:next w:val="1"/>
    <w:link w:val="62"/>
    <w:qFormat/>
    <w:uiPriority w:val="0"/>
    <w:pPr>
      <w:keepNext/>
      <w:keepLines/>
      <w:widowControl/>
      <w:numPr>
        <w:ilvl w:val="6"/>
        <w:numId w:val="1"/>
      </w:numPr>
      <w:tabs>
        <w:tab w:val="left" w:pos="1296"/>
      </w:tabs>
      <w:spacing w:before="240" w:after="64" w:line="320" w:lineRule="auto"/>
      <w:outlineLvl w:val="6"/>
    </w:pPr>
    <w:rPr>
      <w:rFonts w:ascii="宋体"/>
      <w:b/>
      <w:spacing w:val="6"/>
      <w:szCs w:val="26"/>
    </w:rPr>
  </w:style>
  <w:style w:type="paragraph" w:styleId="10">
    <w:name w:val="heading 8"/>
    <w:basedOn w:val="1"/>
    <w:next w:val="1"/>
    <w:link w:val="63"/>
    <w:qFormat/>
    <w:uiPriority w:val="0"/>
    <w:pPr>
      <w:keepNext/>
      <w:keepLines/>
      <w:widowControl/>
      <w:numPr>
        <w:ilvl w:val="7"/>
        <w:numId w:val="1"/>
      </w:numPr>
      <w:tabs>
        <w:tab w:val="left" w:pos="1440"/>
      </w:tabs>
      <w:spacing w:before="240" w:after="64" w:line="320" w:lineRule="auto"/>
      <w:outlineLvl w:val="7"/>
    </w:pPr>
    <w:rPr>
      <w:rFonts w:ascii="Arial" w:hAnsi="Arial" w:eastAsia="黑体"/>
      <w:spacing w:val="6"/>
      <w:szCs w:val="26"/>
    </w:rPr>
  </w:style>
  <w:style w:type="paragraph" w:styleId="11">
    <w:name w:val="heading 9"/>
    <w:basedOn w:val="1"/>
    <w:next w:val="1"/>
    <w:link w:val="64"/>
    <w:qFormat/>
    <w:uiPriority w:val="0"/>
    <w:pPr>
      <w:keepNext/>
      <w:keepLines/>
      <w:widowControl/>
      <w:numPr>
        <w:ilvl w:val="8"/>
        <w:numId w:val="1"/>
      </w:numPr>
      <w:tabs>
        <w:tab w:val="left" w:pos="1584"/>
      </w:tabs>
      <w:spacing w:before="240" w:after="64" w:line="320" w:lineRule="auto"/>
      <w:outlineLvl w:val="8"/>
    </w:pPr>
    <w:rPr>
      <w:rFonts w:ascii="Arial" w:hAnsi="Arial" w:eastAsia="黑体"/>
      <w:spacing w:val="6"/>
      <w:szCs w:val="26"/>
    </w:rPr>
  </w:style>
  <w:style w:type="character" w:default="1" w:styleId="46">
    <w:name w:val="Default Paragraph Font"/>
    <w:unhideWhenUsed/>
    <w:qFormat/>
    <w:uiPriority w:val="1"/>
  </w:style>
  <w:style w:type="table" w:default="1" w:styleId="53">
    <w:name w:val="Normal Table"/>
    <w:unhideWhenUsed/>
    <w:qFormat/>
    <w:uiPriority w:val="99"/>
    <w:tblPr>
      <w:tblLayout w:type="fixed"/>
      <w:tblCellMar>
        <w:top w:w="0" w:type="dxa"/>
        <w:left w:w="108" w:type="dxa"/>
        <w:bottom w:w="0" w:type="dxa"/>
        <w:right w:w="108" w:type="dxa"/>
      </w:tblCellMar>
    </w:tblPr>
  </w:style>
  <w:style w:type="paragraph" w:styleId="5">
    <w:name w:val="Normal Indent"/>
    <w:basedOn w:val="1"/>
    <w:link w:val="58"/>
    <w:qFormat/>
    <w:uiPriority w:val="0"/>
    <w:pPr>
      <w:ind w:firstLine="420" w:firstLineChars="200"/>
    </w:pPr>
  </w:style>
  <w:style w:type="paragraph" w:styleId="12">
    <w:name w:val="annotation subject"/>
    <w:basedOn w:val="13"/>
    <w:next w:val="13"/>
    <w:link w:val="175"/>
    <w:qFormat/>
    <w:uiPriority w:val="99"/>
    <w:rPr>
      <w:szCs w:val="22"/>
    </w:rPr>
  </w:style>
  <w:style w:type="paragraph" w:styleId="13">
    <w:name w:val="annotation text"/>
    <w:basedOn w:val="1"/>
    <w:link w:val="141"/>
    <w:qFormat/>
    <w:uiPriority w:val="0"/>
    <w:pPr>
      <w:widowControl/>
    </w:pPr>
    <w:rPr>
      <w:rFonts w:eastAsia="Times New Roman"/>
    </w:rPr>
  </w:style>
  <w:style w:type="paragraph" w:styleId="14">
    <w:name w:val="toc 7"/>
    <w:basedOn w:val="1"/>
    <w:next w:val="1"/>
    <w:unhideWhenUsed/>
    <w:qFormat/>
    <w:uiPriority w:val="39"/>
    <w:pPr>
      <w:ind w:left="1440"/>
    </w:pPr>
    <w:rPr>
      <w:rFonts w:asciiTheme="minorHAnsi" w:hAnsiTheme="minorHAnsi"/>
      <w:sz w:val="18"/>
      <w:szCs w:val="18"/>
    </w:rPr>
  </w:style>
  <w:style w:type="paragraph" w:styleId="15">
    <w:name w:val="Body Text First Indent"/>
    <w:basedOn w:val="16"/>
    <w:link w:val="165"/>
    <w:qFormat/>
    <w:uiPriority w:val="0"/>
    <w:pPr>
      <w:widowControl/>
      <w:spacing w:before="0" w:beforeAutospacing="0"/>
      <w:ind w:firstLine="420" w:firstLineChars="100"/>
    </w:pPr>
    <w:rPr>
      <w:rFonts w:eastAsia="Times New Roman"/>
      <w:sz w:val="20"/>
      <w:szCs w:val="24"/>
    </w:rPr>
  </w:style>
  <w:style w:type="paragraph" w:styleId="16">
    <w:name w:val="Body Text"/>
    <w:basedOn w:val="1"/>
    <w:link w:val="95"/>
    <w:qFormat/>
    <w:uiPriority w:val="0"/>
    <w:pPr>
      <w:spacing w:before="100" w:beforeAutospacing="1" w:after="120"/>
    </w:pPr>
    <w:rPr>
      <w:szCs w:val="21"/>
    </w:rPr>
  </w:style>
  <w:style w:type="paragraph" w:styleId="17">
    <w:name w:val="Note Heading"/>
    <w:basedOn w:val="1"/>
    <w:next w:val="1"/>
    <w:link w:val="156"/>
    <w:qFormat/>
    <w:uiPriority w:val="0"/>
    <w:pPr>
      <w:widowControl/>
      <w:jc w:val="center"/>
    </w:pPr>
    <w:rPr>
      <w:rFonts w:ascii="宋体" w:hAnsi="宋体" w:eastAsia="Times New Roman"/>
      <w:kern w:val="0"/>
      <w:sz w:val="20"/>
      <w:szCs w:val="20"/>
    </w:rPr>
  </w:style>
  <w:style w:type="paragraph" w:styleId="18">
    <w:name w:val="caption"/>
    <w:basedOn w:val="1"/>
    <w:next w:val="1"/>
    <w:qFormat/>
    <w:uiPriority w:val="35"/>
    <w:pPr>
      <w:keepNext/>
      <w:widowControl/>
      <w:snapToGrid w:val="0"/>
      <w:spacing w:beforeLines="50"/>
      <w:ind w:firstLine="641"/>
      <w:jc w:val="center"/>
      <w:outlineLvl w:val="4"/>
    </w:pPr>
    <w:rPr>
      <w:rFonts w:hAnsi="宋体" w:eastAsia="Times New Roman"/>
      <w:b/>
    </w:rPr>
  </w:style>
  <w:style w:type="paragraph" w:styleId="19">
    <w:name w:val="Document Map"/>
    <w:basedOn w:val="1"/>
    <w:link w:val="109"/>
    <w:unhideWhenUsed/>
    <w:qFormat/>
    <w:uiPriority w:val="99"/>
    <w:pPr>
      <w:widowControl/>
    </w:pPr>
    <w:rPr>
      <w:rFonts w:ascii="宋体" w:hAnsi="宋体" w:cs="宋体"/>
      <w:kern w:val="0"/>
      <w:sz w:val="18"/>
      <w:szCs w:val="18"/>
    </w:rPr>
  </w:style>
  <w:style w:type="paragraph" w:styleId="20">
    <w:name w:val="Body Text 3"/>
    <w:basedOn w:val="1"/>
    <w:link w:val="114"/>
    <w:qFormat/>
    <w:uiPriority w:val="0"/>
    <w:pPr>
      <w:widowControl/>
      <w:spacing w:after="120"/>
    </w:pPr>
    <w:rPr>
      <w:rFonts w:ascii="宋体" w:hAnsi="宋体" w:cs="宋体"/>
      <w:kern w:val="0"/>
      <w:sz w:val="16"/>
      <w:szCs w:val="16"/>
    </w:rPr>
  </w:style>
  <w:style w:type="paragraph" w:styleId="21">
    <w:name w:val="Body Text Indent"/>
    <w:basedOn w:val="1"/>
    <w:link w:val="70"/>
    <w:qFormat/>
    <w:uiPriority w:val="99"/>
    <w:pPr>
      <w:widowControl/>
      <w:spacing w:after="120"/>
      <w:ind w:left="420" w:leftChars="200"/>
    </w:pPr>
    <w:rPr>
      <w:rFonts w:eastAsia="Times New Roman"/>
    </w:rPr>
  </w:style>
  <w:style w:type="paragraph" w:styleId="22">
    <w:name w:val="toc 5"/>
    <w:basedOn w:val="1"/>
    <w:next w:val="1"/>
    <w:unhideWhenUsed/>
    <w:qFormat/>
    <w:uiPriority w:val="39"/>
    <w:pPr>
      <w:ind w:left="960"/>
    </w:pPr>
    <w:rPr>
      <w:rFonts w:asciiTheme="minorHAnsi" w:hAnsiTheme="minorHAnsi"/>
      <w:sz w:val="18"/>
      <w:szCs w:val="18"/>
    </w:rPr>
  </w:style>
  <w:style w:type="paragraph" w:styleId="23">
    <w:name w:val="toc 3"/>
    <w:basedOn w:val="1"/>
    <w:next w:val="1"/>
    <w:qFormat/>
    <w:uiPriority w:val="39"/>
    <w:pPr>
      <w:ind w:left="480"/>
    </w:pPr>
    <w:rPr>
      <w:rFonts w:asciiTheme="minorHAnsi" w:hAnsiTheme="minorHAnsi"/>
      <w:i/>
      <w:iCs/>
      <w:sz w:val="20"/>
      <w:szCs w:val="20"/>
    </w:rPr>
  </w:style>
  <w:style w:type="paragraph" w:styleId="24">
    <w:name w:val="Plain Text"/>
    <w:basedOn w:val="1"/>
    <w:link w:val="71"/>
    <w:qFormat/>
    <w:uiPriority w:val="0"/>
    <w:pPr>
      <w:widowControl/>
    </w:pPr>
    <w:rPr>
      <w:rFonts w:ascii="宋体" w:hAnsi="Courier New" w:cs="Courier New"/>
      <w:kern w:val="0"/>
      <w:szCs w:val="21"/>
    </w:rPr>
  </w:style>
  <w:style w:type="paragraph" w:styleId="25">
    <w:name w:val="toc 8"/>
    <w:basedOn w:val="1"/>
    <w:next w:val="1"/>
    <w:unhideWhenUsed/>
    <w:qFormat/>
    <w:uiPriority w:val="39"/>
    <w:pPr>
      <w:ind w:left="1680"/>
    </w:pPr>
    <w:rPr>
      <w:rFonts w:asciiTheme="minorHAnsi" w:hAnsiTheme="minorHAnsi"/>
      <w:sz w:val="18"/>
      <w:szCs w:val="18"/>
    </w:rPr>
  </w:style>
  <w:style w:type="paragraph" w:styleId="26">
    <w:name w:val="Date"/>
    <w:basedOn w:val="1"/>
    <w:next w:val="1"/>
    <w:link w:val="140"/>
    <w:qFormat/>
    <w:uiPriority w:val="99"/>
    <w:pPr>
      <w:widowControl/>
    </w:pPr>
    <w:rPr>
      <w:rFonts w:ascii="宋体" w:hAnsi="Courier New" w:eastAsia="Times New Roman"/>
      <w:szCs w:val="20"/>
    </w:rPr>
  </w:style>
  <w:style w:type="paragraph" w:styleId="27">
    <w:name w:val="Body Text Indent 2"/>
    <w:basedOn w:val="1"/>
    <w:link w:val="391"/>
    <w:qFormat/>
    <w:uiPriority w:val="0"/>
    <w:pPr>
      <w:widowControl/>
      <w:spacing w:after="120" w:line="480" w:lineRule="auto"/>
      <w:ind w:left="420" w:leftChars="200"/>
    </w:pPr>
    <w:rPr>
      <w:rFonts w:eastAsia="Times New Roman"/>
    </w:rPr>
  </w:style>
  <w:style w:type="paragraph" w:styleId="28">
    <w:name w:val="Balloon Text"/>
    <w:basedOn w:val="1"/>
    <w:link w:val="137"/>
    <w:qFormat/>
    <w:uiPriority w:val="99"/>
    <w:pPr>
      <w:widowControl/>
    </w:pPr>
    <w:rPr>
      <w:rFonts w:ascii="宋体" w:hAnsi="宋体" w:eastAsia="Times New Roman"/>
      <w:kern w:val="0"/>
      <w:sz w:val="18"/>
      <w:szCs w:val="18"/>
    </w:rPr>
  </w:style>
  <w:style w:type="paragraph" w:styleId="29">
    <w:name w:val="footer"/>
    <w:basedOn w:val="1"/>
    <w:link w:val="65"/>
    <w:qFormat/>
    <w:uiPriority w:val="99"/>
    <w:pPr>
      <w:tabs>
        <w:tab w:val="center" w:pos="4153"/>
        <w:tab w:val="right" w:pos="8306"/>
      </w:tabs>
      <w:snapToGrid w:val="0"/>
    </w:pPr>
    <w:rPr>
      <w:sz w:val="18"/>
      <w:szCs w:val="18"/>
    </w:rPr>
  </w:style>
  <w:style w:type="paragraph" w:styleId="30">
    <w:name w:val="Body Text First Indent 2"/>
    <w:basedOn w:val="21"/>
    <w:link w:val="122"/>
    <w:qFormat/>
    <w:uiPriority w:val="0"/>
    <w:pPr>
      <w:adjustRightInd w:val="0"/>
      <w:snapToGrid w:val="0"/>
      <w:spacing w:line="312" w:lineRule="auto"/>
      <w:ind w:firstLine="420" w:firstLineChars="200"/>
    </w:pPr>
    <w:rPr>
      <w:spacing w:val="16"/>
    </w:rPr>
  </w:style>
  <w:style w:type="paragraph" w:styleId="31">
    <w:name w:val="header"/>
    <w:basedOn w:val="1"/>
    <w:link w:val="66"/>
    <w:qFormat/>
    <w:uiPriority w:val="99"/>
    <w:pPr>
      <w:pBdr>
        <w:bottom w:val="single" w:color="auto" w:sz="6" w:space="1"/>
      </w:pBdr>
      <w:tabs>
        <w:tab w:val="center" w:pos="4153"/>
        <w:tab w:val="right" w:pos="8306"/>
      </w:tabs>
      <w:snapToGrid w:val="0"/>
      <w:jc w:val="center"/>
    </w:pPr>
    <w:rPr>
      <w:sz w:val="18"/>
      <w:szCs w:val="18"/>
    </w:rPr>
  </w:style>
  <w:style w:type="paragraph" w:styleId="32">
    <w:name w:val="toc 1"/>
    <w:basedOn w:val="1"/>
    <w:next w:val="1"/>
    <w:qFormat/>
    <w:uiPriority w:val="39"/>
    <w:pPr>
      <w:spacing w:before="120" w:after="120"/>
    </w:pPr>
    <w:rPr>
      <w:rFonts w:asciiTheme="minorHAnsi" w:hAnsiTheme="minorHAnsi"/>
      <w:b/>
      <w:bCs/>
      <w:caps/>
      <w:sz w:val="20"/>
      <w:szCs w:val="20"/>
    </w:rPr>
  </w:style>
  <w:style w:type="paragraph" w:styleId="33">
    <w:name w:val="toc 4"/>
    <w:basedOn w:val="1"/>
    <w:next w:val="1"/>
    <w:unhideWhenUsed/>
    <w:qFormat/>
    <w:uiPriority w:val="39"/>
    <w:pPr>
      <w:ind w:left="720"/>
    </w:pPr>
    <w:rPr>
      <w:rFonts w:asciiTheme="minorHAnsi" w:hAnsiTheme="minorHAnsi"/>
      <w:sz w:val="18"/>
      <w:szCs w:val="18"/>
    </w:rPr>
  </w:style>
  <w:style w:type="paragraph" w:styleId="34">
    <w:name w:val="Subtitle"/>
    <w:basedOn w:val="1"/>
    <w:link w:val="129"/>
    <w:qFormat/>
    <w:uiPriority w:val="0"/>
    <w:pPr>
      <w:widowControl/>
      <w:adjustRightInd w:val="0"/>
      <w:snapToGrid w:val="0"/>
      <w:spacing w:before="120" w:after="120" w:line="240" w:lineRule="atLeast"/>
      <w:jc w:val="center"/>
      <w:outlineLvl w:val="1"/>
    </w:pPr>
    <w:rPr>
      <w:rFonts w:eastAsia="黑体"/>
      <w:bCs/>
      <w:kern w:val="28"/>
      <w:szCs w:val="32"/>
    </w:rPr>
  </w:style>
  <w:style w:type="paragraph" w:styleId="35">
    <w:name w:val="List"/>
    <w:basedOn w:val="1"/>
    <w:qFormat/>
    <w:uiPriority w:val="0"/>
    <w:pPr>
      <w:widowControl/>
      <w:spacing w:line="360" w:lineRule="exact"/>
      <w:jc w:val="center"/>
    </w:pPr>
    <w:rPr>
      <w:rFonts w:ascii="仿宋_GB2312" w:hAnsi="宋体" w:eastAsia="仿宋_GB2312" w:cs="宋体"/>
      <w:kern w:val="0"/>
      <w:szCs w:val="20"/>
    </w:rPr>
  </w:style>
  <w:style w:type="paragraph" w:styleId="36">
    <w:name w:val="footnote text"/>
    <w:basedOn w:val="1"/>
    <w:link w:val="182"/>
    <w:qFormat/>
    <w:uiPriority w:val="0"/>
    <w:pPr>
      <w:widowControl/>
      <w:snapToGrid w:val="0"/>
    </w:pPr>
    <w:rPr>
      <w:rFonts w:ascii="宋体" w:hAnsi="宋体" w:eastAsia="Times New Roman"/>
      <w:kern w:val="0"/>
      <w:sz w:val="18"/>
      <w:szCs w:val="18"/>
    </w:rPr>
  </w:style>
  <w:style w:type="paragraph" w:styleId="37">
    <w:name w:val="toc 6"/>
    <w:basedOn w:val="1"/>
    <w:next w:val="1"/>
    <w:unhideWhenUsed/>
    <w:qFormat/>
    <w:uiPriority w:val="39"/>
    <w:pPr>
      <w:ind w:left="1200"/>
    </w:pPr>
    <w:rPr>
      <w:rFonts w:asciiTheme="minorHAnsi" w:hAnsiTheme="minorHAnsi"/>
      <w:sz w:val="18"/>
      <w:szCs w:val="18"/>
    </w:rPr>
  </w:style>
  <w:style w:type="paragraph" w:styleId="38">
    <w:name w:val="Body Text Indent 3"/>
    <w:basedOn w:val="1"/>
    <w:link w:val="74"/>
    <w:qFormat/>
    <w:uiPriority w:val="0"/>
    <w:pPr>
      <w:widowControl/>
      <w:spacing w:after="120"/>
      <w:ind w:left="420" w:leftChars="200"/>
    </w:pPr>
    <w:rPr>
      <w:rFonts w:eastAsia="Times New Roman"/>
      <w:sz w:val="16"/>
      <w:szCs w:val="16"/>
    </w:rPr>
  </w:style>
  <w:style w:type="paragraph" w:styleId="39">
    <w:name w:val="toc 2"/>
    <w:basedOn w:val="1"/>
    <w:next w:val="1"/>
    <w:qFormat/>
    <w:uiPriority w:val="39"/>
    <w:pPr>
      <w:ind w:left="240"/>
    </w:pPr>
    <w:rPr>
      <w:rFonts w:asciiTheme="minorHAnsi" w:hAnsiTheme="minorHAnsi"/>
      <w:smallCaps/>
      <w:sz w:val="20"/>
      <w:szCs w:val="20"/>
    </w:rPr>
  </w:style>
  <w:style w:type="paragraph" w:styleId="40">
    <w:name w:val="toc 9"/>
    <w:basedOn w:val="1"/>
    <w:next w:val="1"/>
    <w:unhideWhenUsed/>
    <w:qFormat/>
    <w:uiPriority w:val="39"/>
    <w:pPr>
      <w:ind w:left="1920"/>
    </w:pPr>
    <w:rPr>
      <w:rFonts w:asciiTheme="minorHAnsi" w:hAnsiTheme="minorHAnsi"/>
      <w:sz w:val="18"/>
      <w:szCs w:val="18"/>
    </w:rPr>
  </w:style>
  <w:style w:type="paragraph" w:styleId="41">
    <w:name w:val="Body Text 2"/>
    <w:basedOn w:val="1"/>
    <w:link w:val="185"/>
    <w:qFormat/>
    <w:uiPriority w:val="0"/>
    <w:pPr>
      <w:widowControl/>
      <w:spacing w:after="120" w:line="480" w:lineRule="auto"/>
    </w:pPr>
    <w:rPr>
      <w:rFonts w:eastAsia="Times New Roman"/>
      <w:kern w:val="0"/>
      <w:sz w:val="20"/>
    </w:rPr>
  </w:style>
  <w:style w:type="paragraph" w:styleId="42">
    <w:name w:val="HTML Preformatted"/>
    <w:basedOn w:val="1"/>
    <w:link w:val="132"/>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宋体" w:hAnsi="宋体" w:cs="宋体"/>
      <w:kern w:val="0"/>
    </w:rPr>
  </w:style>
  <w:style w:type="paragraph" w:styleId="43">
    <w:name w:val="Normal (Web)"/>
    <w:basedOn w:val="1"/>
    <w:qFormat/>
    <w:uiPriority w:val="0"/>
    <w:pPr>
      <w:widowControl/>
      <w:spacing w:before="100" w:beforeAutospacing="1" w:after="100" w:afterAutospacing="1"/>
    </w:pPr>
    <w:rPr>
      <w:rFonts w:ascii="宋体"/>
      <w:kern w:val="0"/>
    </w:rPr>
  </w:style>
  <w:style w:type="paragraph" w:styleId="44">
    <w:name w:val="index 1"/>
    <w:basedOn w:val="1"/>
    <w:next w:val="1"/>
    <w:qFormat/>
    <w:uiPriority w:val="0"/>
    <w:pPr>
      <w:widowControl/>
      <w:spacing w:line="360" w:lineRule="auto"/>
      <w:ind w:firstLine="200" w:firstLineChars="200"/>
      <w:jc w:val="both"/>
    </w:pPr>
    <w:rPr>
      <w:kern w:val="0"/>
    </w:rPr>
  </w:style>
  <w:style w:type="paragraph" w:styleId="45">
    <w:name w:val="Title"/>
    <w:basedOn w:val="1"/>
    <w:next w:val="1"/>
    <w:link w:val="126"/>
    <w:qFormat/>
    <w:uiPriority w:val="0"/>
    <w:pPr>
      <w:widowControl/>
      <w:spacing w:before="240" w:after="60"/>
      <w:jc w:val="center"/>
      <w:outlineLvl w:val="0"/>
    </w:pPr>
    <w:rPr>
      <w:rFonts w:ascii="Cambria" w:hAnsi="Cambria" w:eastAsia="Times New Roman"/>
      <w:b/>
      <w:bCs/>
      <w:sz w:val="32"/>
      <w:szCs w:val="32"/>
    </w:rPr>
  </w:style>
  <w:style w:type="character" w:styleId="47">
    <w:name w:val="Strong"/>
    <w:qFormat/>
    <w:uiPriority w:val="0"/>
    <w:rPr>
      <w:b/>
      <w:bCs/>
    </w:rPr>
  </w:style>
  <w:style w:type="character" w:styleId="48">
    <w:name w:val="page number"/>
    <w:basedOn w:val="46"/>
    <w:qFormat/>
    <w:uiPriority w:val="0"/>
  </w:style>
  <w:style w:type="character" w:styleId="49">
    <w:name w:val="FollowedHyperlink"/>
    <w:basedOn w:val="46"/>
    <w:unhideWhenUsed/>
    <w:qFormat/>
    <w:uiPriority w:val="99"/>
    <w:rPr>
      <w:color w:val="800080"/>
      <w:u w:val="single"/>
    </w:rPr>
  </w:style>
  <w:style w:type="character" w:styleId="50">
    <w:name w:val="Hyperlink"/>
    <w:qFormat/>
    <w:uiPriority w:val="99"/>
    <w:rPr>
      <w:color w:val="0000FF"/>
      <w:u w:val="single"/>
    </w:rPr>
  </w:style>
  <w:style w:type="character" w:styleId="51">
    <w:name w:val="annotation reference"/>
    <w:qFormat/>
    <w:uiPriority w:val="0"/>
    <w:rPr>
      <w:sz w:val="21"/>
      <w:szCs w:val="21"/>
    </w:rPr>
  </w:style>
  <w:style w:type="character" w:styleId="52">
    <w:name w:val="footnote reference"/>
    <w:qFormat/>
    <w:uiPriority w:val="0"/>
    <w:rPr>
      <w:vertAlign w:val="superscript"/>
    </w:rPr>
  </w:style>
  <w:style w:type="table" w:styleId="54">
    <w:name w:val="Table Grid"/>
    <w:basedOn w:val="5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styleId="55">
    <w:name w:val="Light Shading Accent 4"/>
    <w:basedOn w:val="53"/>
    <w:qFormat/>
    <w:uiPriority w:val="60"/>
    <w:rPr>
      <w:rFonts w:ascii="Calibri" w:hAnsi="Calibri"/>
      <w:color w:val="5F497A"/>
    </w:rPr>
    <w:tblPr>
      <w:tblBorders>
        <w:top w:val="single" w:color="8064A2" w:sz="8" w:space="0"/>
        <w:bottom w:val="single" w:color="8064A2" w:sz="8" w:space="0"/>
      </w:tblBorders>
      <w:tblLayout w:type="fixed"/>
    </w:tblPr>
    <w:tblStylePr w:type="firstRow">
      <w:pPr>
        <w:spacing w:before="0" w:after="0" w:line="240" w:lineRule="auto"/>
      </w:pPr>
      <w:rPr>
        <w:b/>
        <w:bCs/>
      </w:rPr>
      <w:tblPr>
        <w:tblLayout w:type="fixed"/>
      </w:tblPr>
      <w:tcPr>
        <w:tcBorders>
          <w:top w:val="single" w:color="8064A2" w:sz="8" w:space="0"/>
          <w:left w:val="nil"/>
          <w:bottom w:val="single" w:color="8064A2" w:sz="8" w:space="0"/>
          <w:right w:val="nil"/>
          <w:insideH w:val="nil"/>
          <w:insideV w:val="nil"/>
        </w:tcBorders>
      </w:tcPr>
    </w:tblStylePr>
    <w:tblStylePr w:type="lastRow">
      <w:pPr>
        <w:spacing w:before="0" w:after="0" w:line="240" w:lineRule="auto"/>
      </w:pPr>
      <w:rPr>
        <w:b/>
        <w:bCs/>
      </w:rPr>
      <w:tblPr>
        <w:tblLayout w:type="fixed"/>
      </w:tblPr>
      <w:tcPr>
        <w:tcBorders>
          <w:top w:val="single" w:color="8064A2" w:sz="8" w:space="0"/>
          <w:left w:val="nil"/>
          <w:bottom w:val="single" w:color="8064A2" w:sz="8" w:space="0"/>
          <w:right w:val="nil"/>
          <w:insideH w:val="nil"/>
          <w:insideV w:val="nil"/>
        </w:tcBorders>
      </w:tcPr>
    </w:tblStylePr>
    <w:tblStylePr w:type="firstCol">
      <w:rPr>
        <w:b/>
        <w:bCs/>
      </w:rPr>
    </w:tblStylePr>
    <w:tblStylePr w:type="lastCol">
      <w:rPr>
        <w:b/>
        <w:bCs/>
      </w:rPr>
    </w:tblStylePr>
    <w:tblStylePr w:type="band1Vert">
      <w:tblPr>
        <w:tblLayout w:type="fixed"/>
      </w:tblPr>
      <w:tcPr>
        <w:tcBorders>
          <w:left w:val="nil"/>
          <w:right w:val="nil"/>
          <w:insideH w:val="nil"/>
          <w:insideV w:val="nil"/>
        </w:tcBorders>
        <w:shd w:val="clear" w:color="auto" w:fill="DFD8E8"/>
      </w:tcPr>
    </w:tblStylePr>
    <w:tblStylePr w:type="band1Horz">
      <w:tblPr>
        <w:tblLayout w:type="fixed"/>
      </w:tblPr>
      <w:tcPr>
        <w:tcBorders>
          <w:left w:val="nil"/>
          <w:right w:val="nil"/>
          <w:insideH w:val="nil"/>
          <w:insideV w:val="nil"/>
        </w:tcBorders>
        <w:shd w:val="clear" w:color="auto" w:fill="DFD8E8"/>
      </w:tcPr>
    </w:tblStylePr>
  </w:style>
  <w:style w:type="character" w:customStyle="1" w:styleId="56">
    <w:name w:val="标题 1 Char1"/>
    <w:link w:val="2"/>
    <w:qFormat/>
    <w:uiPriority w:val="9"/>
    <w:rPr>
      <w:rFonts w:ascii="Times New Roman" w:hAnsi="Times New Roman" w:eastAsia="宋体"/>
      <w:b/>
      <w:bCs/>
      <w:kern w:val="44"/>
      <w:sz w:val="30"/>
      <w:szCs w:val="44"/>
    </w:rPr>
  </w:style>
  <w:style w:type="character" w:customStyle="1" w:styleId="57">
    <w:name w:val="标题 3 Char2"/>
    <w:link w:val="4"/>
    <w:qFormat/>
    <w:uiPriority w:val="9"/>
    <w:rPr>
      <w:bCs/>
      <w:kern w:val="2"/>
      <w:sz w:val="24"/>
      <w:szCs w:val="32"/>
    </w:rPr>
  </w:style>
  <w:style w:type="character" w:customStyle="1" w:styleId="58">
    <w:name w:val="正文缩进 Char"/>
    <w:link w:val="5"/>
    <w:qFormat/>
    <w:uiPriority w:val="0"/>
    <w:rPr>
      <w:rFonts w:eastAsia="宋体"/>
      <w:kern w:val="2"/>
      <w:sz w:val="21"/>
      <w:szCs w:val="24"/>
      <w:lang w:val="en-US" w:eastAsia="zh-CN" w:bidi="ar-SA"/>
    </w:rPr>
  </w:style>
  <w:style w:type="character" w:customStyle="1" w:styleId="59">
    <w:name w:val="标题 2 Char1"/>
    <w:link w:val="3"/>
    <w:qFormat/>
    <w:uiPriority w:val="9"/>
    <w:rPr>
      <w:rFonts w:ascii="黑体" w:hAnsi="黑体" w:eastAsia="宋体"/>
      <w:b/>
      <w:snapToGrid w:val="0"/>
      <w:sz w:val="24"/>
      <w:szCs w:val="24"/>
      <w:lang w:val="zh-CN" w:eastAsia="zh-CN"/>
    </w:rPr>
  </w:style>
  <w:style w:type="character" w:customStyle="1" w:styleId="60">
    <w:name w:val="标题 5 Char1"/>
    <w:link w:val="7"/>
    <w:qFormat/>
    <w:uiPriority w:val="0"/>
    <w:rPr>
      <w:b/>
      <w:bCs/>
      <w:kern w:val="2"/>
      <w:sz w:val="28"/>
      <w:szCs w:val="28"/>
    </w:rPr>
  </w:style>
  <w:style w:type="character" w:customStyle="1" w:styleId="61">
    <w:name w:val="标题 6 Char"/>
    <w:link w:val="8"/>
    <w:qFormat/>
    <w:uiPriority w:val="0"/>
    <w:rPr>
      <w:rFonts w:ascii="Arial" w:hAnsi="Arial" w:eastAsia="黑体"/>
      <w:b/>
      <w:spacing w:val="6"/>
      <w:kern w:val="2"/>
      <w:sz w:val="24"/>
      <w:szCs w:val="26"/>
    </w:rPr>
  </w:style>
  <w:style w:type="character" w:customStyle="1" w:styleId="62">
    <w:name w:val="标题 7 Char"/>
    <w:link w:val="9"/>
    <w:qFormat/>
    <w:uiPriority w:val="0"/>
    <w:rPr>
      <w:rFonts w:ascii="宋体"/>
      <w:b/>
      <w:spacing w:val="6"/>
      <w:kern w:val="2"/>
      <w:sz w:val="24"/>
      <w:szCs w:val="26"/>
    </w:rPr>
  </w:style>
  <w:style w:type="character" w:customStyle="1" w:styleId="63">
    <w:name w:val="标题 8 Char1"/>
    <w:link w:val="10"/>
    <w:qFormat/>
    <w:uiPriority w:val="0"/>
    <w:rPr>
      <w:rFonts w:ascii="Arial" w:hAnsi="Arial" w:eastAsia="黑体"/>
      <w:spacing w:val="6"/>
      <w:kern w:val="2"/>
      <w:sz w:val="24"/>
      <w:szCs w:val="26"/>
    </w:rPr>
  </w:style>
  <w:style w:type="character" w:customStyle="1" w:styleId="64">
    <w:name w:val="标题 9 Char"/>
    <w:link w:val="11"/>
    <w:qFormat/>
    <w:uiPriority w:val="0"/>
    <w:rPr>
      <w:rFonts w:ascii="Arial" w:hAnsi="Arial" w:eastAsia="黑体"/>
      <w:spacing w:val="6"/>
      <w:kern w:val="2"/>
      <w:sz w:val="24"/>
      <w:szCs w:val="26"/>
    </w:rPr>
  </w:style>
  <w:style w:type="character" w:customStyle="1" w:styleId="65">
    <w:name w:val="页脚 Char"/>
    <w:link w:val="29"/>
    <w:qFormat/>
    <w:uiPriority w:val="99"/>
    <w:rPr>
      <w:rFonts w:eastAsia="宋体"/>
      <w:kern w:val="2"/>
      <w:sz w:val="18"/>
      <w:szCs w:val="18"/>
      <w:lang w:val="en-US" w:eastAsia="zh-CN" w:bidi="ar-SA"/>
    </w:rPr>
  </w:style>
  <w:style w:type="character" w:customStyle="1" w:styleId="66">
    <w:name w:val="页眉 Char"/>
    <w:link w:val="31"/>
    <w:qFormat/>
    <w:uiPriority w:val="99"/>
    <w:rPr>
      <w:rFonts w:eastAsia="宋体"/>
      <w:kern w:val="2"/>
      <w:sz w:val="18"/>
      <w:szCs w:val="18"/>
      <w:lang w:val="en-US" w:eastAsia="zh-CN" w:bidi="ar-SA"/>
    </w:rPr>
  </w:style>
  <w:style w:type="paragraph" w:customStyle="1" w:styleId="67">
    <w:name w:val="报告书表格"/>
    <w:basedOn w:val="1"/>
    <w:qFormat/>
    <w:uiPriority w:val="0"/>
    <w:pPr>
      <w:widowControl/>
      <w:adjustRightInd w:val="0"/>
      <w:spacing w:line="400" w:lineRule="exact"/>
      <w:jc w:val="center"/>
      <w:textAlignment w:val="baseline"/>
    </w:pPr>
    <w:rPr>
      <w:rFonts w:ascii="宋体" w:hAnsi="宋体" w:cs="宋体"/>
      <w:b/>
      <w:kern w:val="0"/>
      <w:szCs w:val="20"/>
    </w:rPr>
  </w:style>
  <w:style w:type="character" w:customStyle="1" w:styleId="68">
    <w:name w:val="表格文字 Char"/>
    <w:link w:val="69"/>
    <w:qFormat/>
    <w:uiPriority w:val="0"/>
    <w:rPr>
      <w:rFonts w:ascii="宋体" w:hAnsi="宋体"/>
      <w:snapToGrid w:val="0"/>
      <w:kern w:val="2"/>
      <w:sz w:val="24"/>
      <w:szCs w:val="24"/>
      <w:lang w:bidi="ar-SA"/>
    </w:rPr>
  </w:style>
  <w:style w:type="paragraph" w:customStyle="1" w:styleId="69">
    <w:name w:val="表格文字"/>
    <w:basedOn w:val="1"/>
    <w:link w:val="68"/>
    <w:qFormat/>
    <w:uiPriority w:val="0"/>
    <w:pPr>
      <w:tabs>
        <w:tab w:val="left" w:pos="560"/>
      </w:tabs>
      <w:overflowPunct w:val="0"/>
      <w:adjustRightInd w:val="0"/>
      <w:snapToGrid w:val="0"/>
      <w:spacing w:line="360" w:lineRule="auto"/>
    </w:pPr>
    <w:rPr>
      <w:rFonts w:ascii="宋体" w:hAnsi="宋体" w:eastAsia="Times New Roman"/>
      <w:snapToGrid w:val="0"/>
    </w:rPr>
  </w:style>
  <w:style w:type="character" w:customStyle="1" w:styleId="70">
    <w:name w:val="正文文本缩进 Char"/>
    <w:link w:val="21"/>
    <w:qFormat/>
    <w:uiPriority w:val="99"/>
    <w:rPr>
      <w:kern w:val="2"/>
      <w:sz w:val="21"/>
      <w:szCs w:val="24"/>
      <w:lang w:bidi="ar-SA"/>
    </w:rPr>
  </w:style>
  <w:style w:type="character" w:customStyle="1" w:styleId="71">
    <w:name w:val="纯文本 Char"/>
    <w:link w:val="24"/>
    <w:qFormat/>
    <w:uiPriority w:val="0"/>
    <w:rPr>
      <w:rFonts w:ascii="宋体" w:hAnsi="Courier New" w:eastAsia="宋体" w:cs="Courier New"/>
      <w:sz w:val="24"/>
      <w:szCs w:val="21"/>
      <w:lang w:val="en-US" w:eastAsia="zh-CN" w:bidi="ar-SA"/>
    </w:rPr>
  </w:style>
  <w:style w:type="paragraph" w:customStyle="1" w:styleId="72">
    <w:name w:val="报告"/>
    <w:basedOn w:val="1"/>
    <w:qFormat/>
    <w:uiPriority w:val="0"/>
    <w:pPr>
      <w:widowControl/>
      <w:adjustRightInd w:val="0"/>
      <w:spacing w:line="360" w:lineRule="auto"/>
      <w:ind w:firstLine="505"/>
      <w:textAlignment w:val="center"/>
    </w:pPr>
    <w:rPr>
      <w:rFonts w:ascii="TimesNewRoman" w:hAnsi="TimesNewRoman" w:cs="宋体"/>
      <w:kern w:val="0"/>
      <w:szCs w:val="20"/>
    </w:rPr>
  </w:style>
  <w:style w:type="paragraph" w:customStyle="1" w:styleId="73">
    <w:name w:val="char"/>
    <w:basedOn w:val="1"/>
    <w:qFormat/>
    <w:uiPriority w:val="0"/>
    <w:pPr>
      <w:widowControl/>
      <w:spacing w:after="160" w:line="240" w:lineRule="exact"/>
    </w:pPr>
    <w:rPr>
      <w:rFonts w:ascii="Verdana" w:hAnsi="Verdana" w:eastAsia="仿宋_GB2312" w:cs="”“Times New Roman”“"/>
      <w:kern w:val="0"/>
      <w:szCs w:val="20"/>
      <w:lang w:eastAsia="en-US"/>
    </w:rPr>
  </w:style>
  <w:style w:type="character" w:customStyle="1" w:styleId="74">
    <w:name w:val="正文文本缩进 3 Char"/>
    <w:link w:val="38"/>
    <w:qFormat/>
    <w:uiPriority w:val="0"/>
    <w:rPr>
      <w:kern w:val="2"/>
      <w:sz w:val="16"/>
      <w:szCs w:val="16"/>
      <w:lang w:bidi="ar-SA"/>
    </w:rPr>
  </w:style>
  <w:style w:type="paragraph" w:customStyle="1" w:styleId="75">
    <w:name w:val="表格1"/>
    <w:basedOn w:val="1"/>
    <w:qFormat/>
    <w:uiPriority w:val="0"/>
    <w:pPr>
      <w:widowControl/>
      <w:adjustRightInd w:val="0"/>
      <w:spacing w:line="360" w:lineRule="exact"/>
      <w:jc w:val="center"/>
      <w:textAlignment w:val="baseline"/>
    </w:pPr>
    <w:rPr>
      <w:rFonts w:ascii="CG Times (W1)" w:hAnsi="CG Times (W1)" w:cs="宋体"/>
      <w:kern w:val="0"/>
      <w:szCs w:val="20"/>
    </w:rPr>
  </w:style>
  <w:style w:type="paragraph" w:customStyle="1" w:styleId="76">
    <w:name w:val="正文1"/>
    <w:qFormat/>
    <w:uiPriority w:val="0"/>
    <w:pPr>
      <w:jc w:val="both"/>
    </w:pPr>
    <w:rPr>
      <w:rFonts w:ascii="Times New Roman" w:hAnsi="Times New Roman" w:eastAsia="宋体" w:cs="Times New Roman"/>
      <w:kern w:val="2"/>
      <w:sz w:val="21"/>
      <w:szCs w:val="21"/>
      <w:lang w:val="en-US" w:eastAsia="zh-CN" w:bidi="ar-SA"/>
    </w:rPr>
  </w:style>
  <w:style w:type="paragraph" w:customStyle="1" w:styleId="77">
    <w:name w:val="徐-正文"/>
    <w:basedOn w:val="1"/>
    <w:link w:val="78"/>
    <w:qFormat/>
    <w:uiPriority w:val="0"/>
    <w:pPr>
      <w:adjustRightInd w:val="0"/>
      <w:snapToGrid w:val="0"/>
      <w:spacing w:line="360" w:lineRule="auto"/>
      <w:ind w:firstLine="420" w:firstLineChars="200"/>
      <w:textAlignment w:val="baseline"/>
    </w:pPr>
  </w:style>
  <w:style w:type="character" w:customStyle="1" w:styleId="78">
    <w:name w:val="徐-正文 Char"/>
    <w:link w:val="77"/>
    <w:qFormat/>
    <w:uiPriority w:val="0"/>
    <w:rPr>
      <w:rFonts w:eastAsia="宋体"/>
      <w:kern w:val="2"/>
      <w:sz w:val="24"/>
      <w:szCs w:val="24"/>
      <w:lang w:val="en-US" w:eastAsia="zh-CN" w:bidi="ar-SA"/>
    </w:rPr>
  </w:style>
  <w:style w:type="paragraph" w:customStyle="1" w:styleId="79">
    <w:name w:val="xumz-正文"/>
    <w:basedOn w:val="1"/>
    <w:link w:val="80"/>
    <w:qFormat/>
    <w:uiPriority w:val="0"/>
    <w:pPr>
      <w:snapToGrid w:val="0"/>
      <w:spacing w:line="360" w:lineRule="auto"/>
      <w:ind w:firstLine="200" w:firstLineChars="200"/>
      <w:textAlignment w:val="baseline"/>
    </w:pPr>
  </w:style>
  <w:style w:type="character" w:customStyle="1" w:styleId="80">
    <w:name w:val="xumz-正文 Char Char"/>
    <w:link w:val="79"/>
    <w:qFormat/>
    <w:uiPriority w:val="0"/>
    <w:rPr>
      <w:kern w:val="2"/>
      <w:sz w:val="24"/>
      <w:szCs w:val="24"/>
    </w:rPr>
  </w:style>
  <w:style w:type="paragraph" w:customStyle="1" w:styleId="81">
    <w:name w:val="G-3"/>
    <w:basedOn w:val="1"/>
    <w:qFormat/>
    <w:uiPriority w:val="0"/>
    <w:pPr>
      <w:keepNext/>
      <w:keepLines/>
      <w:widowControl/>
      <w:adjustRightInd w:val="0"/>
      <w:snapToGrid w:val="0"/>
      <w:spacing w:beforeLines="50" w:line="360" w:lineRule="auto"/>
      <w:outlineLvl w:val="2"/>
    </w:pPr>
    <w:rPr>
      <w:b/>
      <w:bCs/>
      <w:kern w:val="0"/>
    </w:rPr>
  </w:style>
  <w:style w:type="paragraph" w:customStyle="1" w:styleId="82">
    <w:name w:val="样式 正文缩进正文缩进 Char正文缩进1 Char正文缩进1正文（首行缩进两字） Char正文缩进 Char Cha..."/>
    <w:basedOn w:val="5"/>
    <w:qFormat/>
    <w:uiPriority w:val="0"/>
    <w:pPr>
      <w:spacing w:beforeLines="50" w:after="100" w:afterAutospacing="1" w:line="360" w:lineRule="auto"/>
      <w:ind w:firstLine="567" w:firstLineChars="0"/>
    </w:pPr>
  </w:style>
  <w:style w:type="paragraph" w:customStyle="1" w:styleId="83">
    <w:name w:val="标题3"/>
    <w:basedOn w:val="6"/>
    <w:qFormat/>
    <w:uiPriority w:val="0"/>
    <w:pPr>
      <w:widowControl/>
      <w:adjustRightInd w:val="0"/>
      <w:snapToGrid w:val="0"/>
      <w:spacing w:before="0" w:beforeLines="50" w:after="0" w:line="360" w:lineRule="auto"/>
      <w:outlineLvl w:val="2"/>
    </w:pPr>
    <w:rPr>
      <w:rFonts w:ascii="Times New Roman" w:hAnsi="Times New Roman" w:eastAsia="宋体"/>
      <w:kern w:val="0"/>
      <w:sz w:val="24"/>
      <w:szCs w:val="24"/>
    </w:rPr>
  </w:style>
  <w:style w:type="paragraph" w:customStyle="1" w:styleId="84">
    <w:name w:val="G-4"/>
    <w:basedOn w:val="81"/>
    <w:qFormat/>
    <w:uiPriority w:val="0"/>
    <w:pPr>
      <w:outlineLvl w:val="3"/>
    </w:pPr>
  </w:style>
  <w:style w:type="paragraph" w:customStyle="1" w:styleId="85">
    <w:name w:val="图编号"/>
    <w:basedOn w:val="1"/>
    <w:qFormat/>
    <w:uiPriority w:val="0"/>
    <w:pPr>
      <w:widowControl/>
      <w:adjustRightInd w:val="0"/>
      <w:snapToGrid w:val="0"/>
      <w:spacing w:before="100" w:beforeAutospacing="1" w:after="100" w:afterAutospacing="1"/>
      <w:jc w:val="center"/>
    </w:pPr>
    <w:rPr>
      <w:color w:val="000000"/>
      <w:kern w:val="0"/>
    </w:rPr>
  </w:style>
  <w:style w:type="paragraph" w:customStyle="1" w:styleId="86">
    <w:name w:val="G-0"/>
    <w:basedOn w:val="1"/>
    <w:qFormat/>
    <w:uiPriority w:val="0"/>
    <w:pPr>
      <w:adjustRightInd w:val="0"/>
      <w:snapToGrid w:val="0"/>
      <w:spacing w:line="360" w:lineRule="auto"/>
      <w:ind w:firstLine="420" w:firstLineChars="200"/>
      <w:textAlignment w:val="baseline"/>
    </w:pPr>
  </w:style>
  <w:style w:type="paragraph" w:customStyle="1" w:styleId="87">
    <w:name w:val="样式 表格文字 Char + 段前: 0.5 行"/>
    <w:basedOn w:val="1"/>
    <w:link w:val="88"/>
    <w:qFormat/>
    <w:uiPriority w:val="0"/>
    <w:pPr>
      <w:spacing w:beforeLines="50" w:after="100" w:afterAutospacing="1"/>
      <w:jc w:val="center"/>
    </w:pPr>
  </w:style>
  <w:style w:type="character" w:customStyle="1" w:styleId="88">
    <w:name w:val="样式 表格文字 Char + 段前: 0.5 行 Char"/>
    <w:link w:val="87"/>
    <w:qFormat/>
    <w:uiPriority w:val="0"/>
    <w:rPr>
      <w:rFonts w:eastAsia="宋体"/>
      <w:kern w:val="2"/>
      <w:sz w:val="24"/>
      <w:szCs w:val="24"/>
      <w:lang w:val="en-US" w:eastAsia="zh-CN" w:bidi="ar-SA"/>
    </w:rPr>
  </w:style>
  <w:style w:type="paragraph" w:customStyle="1" w:styleId="89">
    <w:name w:val="cucd-TB"/>
    <w:basedOn w:val="1"/>
    <w:qFormat/>
    <w:uiPriority w:val="0"/>
    <w:pPr>
      <w:widowControl/>
      <w:spacing w:line="360" w:lineRule="auto"/>
      <w:jc w:val="center"/>
    </w:pPr>
    <w:rPr>
      <w:szCs w:val="21"/>
    </w:rPr>
  </w:style>
  <w:style w:type="paragraph" w:customStyle="1" w:styleId="90">
    <w:name w:val="列出段落1"/>
    <w:basedOn w:val="1"/>
    <w:qFormat/>
    <w:uiPriority w:val="0"/>
    <w:pPr>
      <w:ind w:firstLine="420" w:firstLineChars="200"/>
    </w:pPr>
    <w:rPr>
      <w:rFonts w:ascii="Calibri" w:hAnsi="Calibri" w:cs="Calibri"/>
      <w:szCs w:val="21"/>
    </w:rPr>
  </w:style>
  <w:style w:type="paragraph" w:customStyle="1" w:styleId="91">
    <w:name w:val="cucd-0"/>
    <w:basedOn w:val="1"/>
    <w:link w:val="92"/>
    <w:qFormat/>
    <w:uiPriority w:val="0"/>
    <w:pPr>
      <w:widowControl/>
      <w:spacing w:line="360" w:lineRule="auto"/>
      <w:ind w:firstLine="480" w:firstLineChars="200"/>
    </w:pPr>
  </w:style>
  <w:style w:type="character" w:customStyle="1" w:styleId="92">
    <w:name w:val="cucd-0 Char"/>
    <w:link w:val="91"/>
    <w:qFormat/>
    <w:uiPriority w:val="0"/>
    <w:rPr>
      <w:rFonts w:eastAsia="宋体"/>
      <w:kern w:val="2"/>
      <w:sz w:val="24"/>
      <w:szCs w:val="24"/>
      <w:lang w:val="en-US" w:eastAsia="zh-CN" w:bidi="ar-SA"/>
    </w:rPr>
  </w:style>
  <w:style w:type="paragraph" w:customStyle="1" w:styleId="93">
    <w:name w:val="cucd-D"/>
    <w:basedOn w:val="1"/>
    <w:next w:val="91"/>
    <w:qFormat/>
    <w:uiPriority w:val="0"/>
    <w:pPr>
      <w:widowControl/>
      <w:spacing w:line="360" w:lineRule="auto"/>
      <w:outlineLvl w:val="3"/>
    </w:pPr>
    <w:rPr>
      <w:b/>
      <w:bCs/>
    </w:rPr>
  </w:style>
  <w:style w:type="paragraph" w:customStyle="1" w:styleId="94">
    <w:name w:val="列出段落2"/>
    <w:basedOn w:val="1"/>
    <w:qFormat/>
    <w:uiPriority w:val="0"/>
    <w:pPr>
      <w:ind w:firstLine="420" w:firstLineChars="200"/>
    </w:pPr>
    <w:rPr>
      <w:szCs w:val="21"/>
    </w:rPr>
  </w:style>
  <w:style w:type="character" w:customStyle="1" w:styleId="95">
    <w:name w:val="正文文本 Char"/>
    <w:link w:val="16"/>
    <w:qFormat/>
    <w:uiPriority w:val="0"/>
    <w:rPr>
      <w:rFonts w:eastAsia="宋体"/>
      <w:kern w:val="2"/>
      <w:sz w:val="21"/>
      <w:szCs w:val="21"/>
      <w:lang w:val="en-US" w:eastAsia="zh-CN" w:bidi="ar-SA"/>
    </w:rPr>
  </w:style>
  <w:style w:type="character" w:customStyle="1" w:styleId="96">
    <w:name w:val="15"/>
    <w:qFormat/>
    <w:uiPriority w:val="0"/>
    <w:rPr>
      <w:rFonts w:hint="default" w:ascii="Times New Roman" w:hAnsi="Times New Roman" w:eastAsia="宋体" w:cs="Times New Roman"/>
      <w:kern w:val="2"/>
      <w:sz w:val="24"/>
      <w:szCs w:val="24"/>
    </w:rPr>
  </w:style>
  <w:style w:type="paragraph" w:customStyle="1" w:styleId="97">
    <w:name w:val="Default"/>
    <w:qFormat/>
    <w:uiPriority w:val="0"/>
    <w:pPr>
      <w:widowControl w:val="0"/>
      <w:autoSpaceDE w:val="0"/>
      <w:autoSpaceDN w:val="0"/>
      <w:adjustRightInd w:val="0"/>
    </w:pPr>
    <w:rPr>
      <w:rFonts w:ascii="宋体w." w:hAnsi="Times New Roman" w:eastAsia="宋体w." w:cs="宋体w."/>
      <w:color w:val="000000"/>
      <w:sz w:val="24"/>
      <w:szCs w:val="24"/>
      <w:lang w:val="en-US" w:eastAsia="zh-CN" w:bidi="ar-SA"/>
    </w:rPr>
  </w:style>
  <w:style w:type="character" w:customStyle="1" w:styleId="98">
    <w:name w:val="报告正文 Char"/>
    <w:link w:val="99"/>
    <w:qFormat/>
    <w:uiPriority w:val="0"/>
    <w:rPr>
      <w:color w:val="000000"/>
      <w:kern w:val="2"/>
      <w:sz w:val="24"/>
      <w:szCs w:val="24"/>
      <w:lang w:bidi="ar-SA"/>
    </w:rPr>
  </w:style>
  <w:style w:type="paragraph" w:customStyle="1" w:styleId="99">
    <w:name w:val="报告正文"/>
    <w:basedOn w:val="1"/>
    <w:link w:val="98"/>
    <w:qFormat/>
    <w:uiPriority w:val="0"/>
    <w:pPr>
      <w:widowControl/>
      <w:tabs>
        <w:tab w:val="left" w:pos="0"/>
      </w:tabs>
      <w:spacing w:line="360" w:lineRule="auto"/>
      <w:ind w:firstLine="200" w:firstLineChars="200"/>
    </w:pPr>
    <w:rPr>
      <w:color w:val="000000"/>
      <w:lang w:val="zh-CN" w:eastAsia="zh-CN"/>
    </w:rPr>
  </w:style>
  <w:style w:type="character" w:customStyle="1" w:styleId="100">
    <w:name w:val="font21"/>
    <w:qFormat/>
    <w:uiPriority w:val="0"/>
    <w:rPr>
      <w:rFonts w:hint="eastAsia" w:ascii="宋体" w:hAnsi="宋体" w:eastAsia="宋体"/>
      <w:color w:val="000000"/>
      <w:sz w:val="21"/>
      <w:szCs w:val="21"/>
      <w:u w:val="none"/>
      <w:vertAlign w:val="superscript"/>
    </w:rPr>
  </w:style>
  <w:style w:type="character" w:customStyle="1" w:styleId="101">
    <w:name w:val="font31"/>
    <w:qFormat/>
    <w:uiPriority w:val="0"/>
    <w:rPr>
      <w:rFonts w:hint="eastAsia" w:ascii="宋体" w:hAnsi="宋体" w:eastAsia="宋体"/>
      <w:color w:val="000000"/>
      <w:sz w:val="21"/>
      <w:szCs w:val="21"/>
      <w:u w:val="none"/>
    </w:rPr>
  </w:style>
  <w:style w:type="character" w:customStyle="1" w:styleId="102">
    <w:name w:val="font11"/>
    <w:qFormat/>
    <w:uiPriority w:val="0"/>
    <w:rPr>
      <w:rFonts w:hint="eastAsia" w:ascii="宋体" w:hAnsi="宋体" w:eastAsia="宋体"/>
      <w:color w:val="000000"/>
      <w:sz w:val="21"/>
      <w:szCs w:val="21"/>
      <w:u w:val="none"/>
      <w:vertAlign w:val="subscript"/>
    </w:rPr>
  </w:style>
  <w:style w:type="character" w:customStyle="1" w:styleId="103">
    <w:name w:val="我的正文 Char"/>
    <w:link w:val="104"/>
    <w:qFormat/>
    <w:uiPriority w:val="0"/>
    <w:rPr>
      <w:sz w:val="24"/>
      <w:lang w:bidi="ar-SA"/>
    </w:rPr>
  </w:style>
  <w:style w:type="paragraph" w:customStyle="1" w:styleId="104">
    <w:name w:val="我的正文"/>
    <w:basedOn w:val="1"/>
    <w:link w:val="103"/>
    <w:qFormat/>
    <w:uiPriority w:val="0"/>
    <w:pPr>
      <w:widowControl/>
      <w:spacing w:line="360" w:lineRule="auto"/>
      <w:ind w:firstLine="480" w:firstLineChars="200"/>
    </w:pPr>
    <w:rPr>
      <w:kern w:val="0"/>
      <w:szCs w:val="20"/>
      <w:lang w:val="zh-CN" w:eastAsia="zh-CN"/>
    </w:rPr>
  </w:style>
  <w:style w:type="character" w:customStyle="1" w:styleId="105">
    <w:name w:val="表内格式 Char1"/>
    <w:link w:val="106"/>
    <w:qFormat/>
    <w:uiPriority w:val="0"/>
    <w:rPr>
      <w:kern w:val="2"/>
      <w:sz w:val="18"/>
      <w:lang w:bidi="ar-SA"/>
    </w:rPr>
  </w:style>
  <w:style w:type="paragraph" w:customStyle="1" w:styleId="106">
    <w:name w:val="表内格式"/>
    <w:basedOn w:val="1"/>
    <w:link w:val="105"/>
    <w:qFormat/>
    <w:uiPriority w:val="0"/>
    <w:pPr>
      <w:widowControl/>
      <w:jc w:val="center"/>
    </w:pPr>
    <w:rPr>
      <w:sz w:val="18"/>
      <w:szCs w:val="20"/>
      <w:lang w:val="zh-CN" w:eastAsia="zh-CN"/>
    </w:rPr>
  </w:style>
  <w:style w:type="character" w:customStyle="1" w:styleId="107">
    <w:name w:val="君邦正文 Char2"/>
    <w:link w:val="108"/>
    <w:qFormat/>
    <w:uiPriority w:val="0"/>
    <w:rPr>
      <w:rFonts w:eastAsia="Times New Roman"/>
      <w:bCs/>
      <w:snapToGrid w:val="0"/>
      <w:sz w:val="24"/>
      <w:lang w:val="en-US" w:eastAsia="zh-CN" w:bidi="ar-SA"/>
    </w:rPr>
  </w:style>
  <w:style w:type="paragraph" w:customStyle="1" w:styleId="108">
    <w:name w:val="君邦正文"/>
    <w:link w:val="107"/>
    <w:qFormat/>
    <w:uiPriority w:val="0"/>
    <w:pPr>
      <w:spacing w:after="60" w:line="360" w:lineRule="auto"/>
      <w:ind w:firstLine="480" w:firstLineChars="200"/>
      <w:jc w:val="both"/>
    </w:pPr>
    <w:rPr>
      <w:rFonts w:ascii="Times New Roman" w:hAnsi="Times New Roman" w:eastAsia="Times New Roman" w:cs="Times New Roman"/>
      <w:bCs/>
      <w:snapToGrid w:val="0"/>
      <w:sz w:val="24"/>
      <w:lang w:val="en-US" w:eastAsia="zh-CN" w:bidi="ar-SA"/>
    </w:rPr>
  </w:style>
  <w:style w:type="character" w:customStyle="1" w:styleId="109">
    <w:name w:val="文档结构图 Char"/>
    <w:link w:val="19"/>
    <w:qFormat/>
    <w:uiPriority w:val="99"/>
    <w:rPr>
      <w:rFonts w:ascii="宋体" w:hAnsi="宋体" w:cs="宋体"/>
      <w:sz w:val="18"/>
      <w:szCs w:val="18"/>
    </w:rPr>
  </w:style>
  <w:style w:type="character" w:customStyle="1" w:styleId="110">
    <w:name w:val="表文字 Char1"/>
    <w:link w:val="111"/>
    <w:qFormat/>
    <w:uiPriority w:val="0"/>
    <w:rPr>
      <w:rFonts w:ascii="Arial" w:hAnsi="Arial" w:eastAsia="Times New Roman"/>
      <w:lang w:val="en-US" w:eastAsia="zh-CN" w:bidi="ar-SA"/>
    </w:rPr>
  </w:style>
  <w:style w:type="paragraph" w:customStyle="1" w:styleId="111">
    <w:name w:val="表文字"/>
    <w:next w:val="1"/>
    <w:link w:val="110"/>
    <w:qFormat/>
    <w:uiPriority w:val="0"/>
    <w:pPr>
      <w:widowControl w:val="0"/>
      <w:adjustRightInd w:val="0"/>
      <w:snapToGrid w:val="0"/>
      <w:spacing w:line="360" w:lineRule="auto"/>
      <w:jc w:val="center"/>
    </w:pPr>
    <w:rPr>
      <w:rFonts w:ascii="Arial" w:hAnsi="Arial" w:eastAsia="Times New Roman" w:cs="Times New Roman"/>
      <w:lang w:val="en-US" w:eastAsia="zh-CN" w:bidi="ar-SA"/>
    </w:rPr>
  </w:style>
  <w:style w:type="character" w:customStyle="1" w:styleId="112">
    <w:name w:val="表文字 Char Char Char Char"/>
    <w:link w:val="113"/>
    <w:qFormat/>
    <w:uiPriority w:val="0"/>
    <w:rPr>
      <w:rFonts w:eastAsia="Times New Roman"/>
      <w:sz w:val="21"/>
      <w:szCs w:val="21"/>
      <w:lang w:val="en-US" w:eastAsia="zh-CN" w:bidi="ar-SA"/>
    </w:rPr>
  </w:style>
  <w:style w:type="paragraph" w:customStyle="1" w:styleId="113">
    <w:name w:val="表文字 Char Char Char"/>
    <w:link w:val="112"/>
    <w:qFormat/>
    <w:uiPriority w:val="0"/>
    <w:pPr>
      <w:widowControl w:val="0"/>
      <w:adjustRightInd w:val="0"/>
      <w:spacing w:line="240" w:lineRule="exact"/>
      <w:jc w:val="center"/>
      <w:textAlignment w:val="baseline"/>
    </w:pPr>
    <w:rPr>
      <w:rFonts w:ascii="Times New Roman" w:hAnsi="Times New Roman" w:eastAsia="Times New Roman" w:cs="Times New Roman"/>
      <w:sz w:val="21"/>
      <w:szCs w:val="21"/>
      <w:lang w:val="en-US" w:eastAsia="zh-CN" w:bidi="ar-SA"/>
    </w:rPr>
  </w:style>
  <w:style w:type="character" w:customStyle="1" w:styleId="114">
    <w:name w:val="正文文本 3 Char"/>
    <w:link w:val="20"/>
    <w:qFormat/>
    <w:uiPriority w:val="0"/>
    <w:rPr>
      <w:rFonts w:ascii="宋体" w:hAnsi="宋体" w:eastAsia="宋体" w:cs="宋体"/>
      <w:sz w:val="16"/>
      <w:szCs w:val="16"/>
      <w:lang w:val="en-US" w:eastAsia="zh-CN" w:bidi="ar-SA"/>
    </w:rPr>
  </w:style>
  <w:style w:type="character" w:customStyle="1" w:styleId="115">
    <w:name w:val="文本_zxj Char"/>
    <w:link w:val="116"/>
    <w:qFormat/>
    <w:uiPriority w:val="0"/>
    <w:rPr>
      <w:kern w:val="2"/>
      <w:sz w:val="24"/>
      <w:lang w:bidi="ar-SA"/>
    </w:rPr>
  </w:style>
  <w:style w:type="paragraph" w:customStyle="1" w:styleId="116">
    <w:name w:val="文本_zxj"/>
    <w:basedOn w:val="1"/>
    <w:link w:val="115"/>
    <w:qFormat/>
    <w:uiPriority w:val="0"/>
    <w:pPr>
      <w:widowControl/>
      <w:spacing w:line="360" w:lineRule="auto"/>
      <w:ind w:firstLine="560" w:firstLineChars="200"/>
    </w:pPr>
    <w:rPr>
      <w:rFonts w:eastAsia="Times New Roman"/>
      <w:szCs w:val="20"/>
    </w:rPr>
  </w:style>
  <w:style w:type="character" w:customStyle="1" w:styleId="117">
    <w:name w:val="￥正文 Char"/>
    <w:link w:val="118"/>
    <w:qFormat/>
    <w:uiPriority w:val="0"/>
    <w:rPr>
      <w:rFonts w:ascii="宋体" w:hAnsi="宋体" w:eastAsia="仿宋_GB2312"/>
      <w:kern w:val="2"/>
      <w:sz w:val="24"/>
      <w:szCs w:val="28"/>
      <w:lang w:bidi="ar-SA"/>
    </w:rPr>
  </w:style>
  <w:style w:type="paragraph" w:customStyle="1" w:styleId="118">
    <w:name w:val="￥正文"/>
    <w:basedOn w:val="1"/>
    <w:link w:val="117"/>
    <w:qFormat/>
    <w:uiPriority w:val="0"/>
    <w:pPr>
      <w:widowControl/>
      <w:spacing w:after="120" w:line="440" w:lineRule="atLeast"/>
      <w:ind w:firstLine="560" w:firstLineChars="200"/>
    </w:pPr>
    <w:rPr>
      <w:rFonts w:ascii="宋体" w:hAnsi="宋体" w:eastAsia="仿宋_GB2312"/>
      <w:szCs w:val="28"/>
      <w:lang w:val="zh-CN" w:eastAsia="zh-CN"/>
    </w:rPr>
  </w:style>
  <w:style w:type="character" w:customStyle="1" w:styleId="119">
    <w:name w:val="sn表题与图表 Char"/>
    <w:link w:val="120"/>
    <w:qFormat/>
    <w:uiPriority w:val="0"/>
    <w:rPr>
      <w:rFonts w:ascii="仿宋_GB2312" w:eastAsia="仿宋_GB2312"/>
      <w:b/>
      <w:kern w:val="2"/>
      <w:sz w:val="24"/>
      <w:szCs w:val="24"/>
      <w:lang w:bidi="ar-SA"/>
    </w:rPr>
  </w:style>
  <w:style w:type="paragraph" w:customStyle="1" w:styleId="120">
    <w:name w:val="sn表题与图表"/>
    <w:basedOn w:val="1"/>
    <w:link w:val="119"/>
    <w:qFormat/>
    <w:uiPriority w:val="0"/>
    <w:pPr>
      <w:widowControl/>
      <w:spacing w:line="360" w:lineRule="auto"/>
      <w:ind w:firstLine="482"/>
      <w:jc w:val="center"/>
    </w:pPr>
    <w:rPr>
      <w:rFonts w:ascii="仿宋_GB2312" w:eastAsia="仿宋_GB2312"/>
      <w:b/>
    </w:rPr>
  </w:style>
  <w:style w:type="character" w:customStyle="1" w:styleId="121">
    <w:name w:val="Char Char20"/>
    <w:qFormat/>
    <w:uiPriority w:val="0"/>
    <w:rPr>
      <w:kern w:val="2"/>
      <w:sz w:val="21"/>
      <w:szCs w:val="24"/>
      <w:lang w:bidi="ar-SA"/>
    </w:rPr>
  </w:style>
  <w:style w:type="character" w:customStyle="1" w:styleId="122">
    <w:name w:val="正文首行缩进 2 Char"/>
    <w:link w:val="30"/>
    <w:qFormat/>
    <w:uiPriority w:val="0"/>
    <w:rPr>
      <w:rFonts w:ascii="宋体" w:hAnsi="宋体" w:cs="宋体"/>
      <w:spacing w:val="16"/>
      <w:kern w:val="2"/>
      <w:sz w:val="21"/>
      <w:szCs w:val="24"/>
      <w:lang w:bidi="ar-SA"/>
    </w:rPr>
  </w:style>
  <w:style w:type="character" w:customStyle="1" w:styleId="123">
    <w:name w:val="正文文本缩进 Char1"/>
    <w:semiHidden/>
    <w:qFormat/>
    <w:uiPriority w:val="0"/>
    <w:rPr>
      <w:rFonts w:ascii="宋体" w:hAnsi="宋体" w:cs="宋体"/>
      <w:sz w:val="24"/>
      <w:szCs w:val="24"/>
    </w:rPr>
  </w:style>
  <w:style w:type="character" w:customStyle="1" w:styleId="124">
    <w:name w:val="BG5 Char"/>
    <w:link w:val="125"/>
    <w:qFormat/>
    <w:uiPriority w:val="0"/>
    <w:rPr>
      <w:rFonts w:ascii="@宋体" w:eastAsia="楷体_GB2312"/>
      <w:b/>
      <w:sz w:val="24"/>
      <w:lang w:bidi="ar-SA"/>
    </w:rPr>
  </w:style>
  <w:style w:type="paragraph" w:customStyle="1" w:styleId="125">
    <w:name w:val="BG5"/>
    <w:basedOn w:val="1"/>
    <w:link w:val="124"/>
    <w:qFormat/>
    <w:uiPriority w:val="0"/>
    <w:pPr>
      <w:widowControl/>
      <w:autoSpaceDE w:val="0"/>
      <w:autoSpaceDN w:val="0"/>
      <w:adjustRightInd w:val="0"/>
      <w:spacing w:line="360" w:lineRule="auto"/>
      <w:jc w:val="center"/>
      <w:textAlignment w:val="baseline"/>
    </w:pPr>
    <w:rPr>
      <w:rFonts w:ascii="@宋体" w:eastAsia="楷体_GB2312"/>
      <w:b/>
      <w:kern w:val="0"/>
      <w:szCs w:val="20"/>
    </w:rPr>
  </w:style>
  <w:style w:type="character" w:customStyle="1" w:styleId="126">
    <w:name w:val="标题 Char"/>
    <w:link w:val="45"/>
    <w:qFormat/>
    <w:uiPriority w:val="0"/>
    <w:rPr>
      <w:rFonts w:ascii="Cambria" w:hAnsi="Cambria"/>
      <w:b/>
      <w:bCs/>
      <w:kern w:val="2"/>
      <w:sz w:val="32"/>
      <w:szCs w:val="32"/>
      <w:lang w:bidi="ar-SA"/>
    </w:rPr>
  </w:style>
  <w:style w:type="character" w:customStyle="1" w:styleId="127">
    <w:name w:val="正文(首行缩进) Char"/>
    <w:link w:val="128"/>
    <w:qFormat/>
    <w:uiPriority w:val="0"/>
    <w:rPr>
      <w:snapToGrid w:val="0"/>
      <w:sz w:val="24"/>
      <w:szCs w:val="24"/>
      <w:lang w:bidi="ar-SA"/>
    </w:rPr>
  </w:style>
  <w:style w:type="paragraph" w:customStyle="1" w:styleId="128">
    <w:name w:val="正文(首行缩进)"/>
    <w:basedOn w:val="1"/>
    <w:link w:val="127"/>
    <w:qFormat/>
    <w:uiPriority w:val="0"/>
    <w:pPr>
      <w:widowControl/>
      <w:adjustRightInd w:val="0"/>
      <w:snapToGrid w:val="0"/>
      <w:spacing w:line="360" w:lineRule="auto"/>
      <w:ind w:firstLine="200" w:firstLineChars="200"/>
    </w:pPr>
    <w:rPr>
      <w:rFonts w:eastAsia="Times New Roman"/>
      <w:snapToGrid w:val="0"/>
      <w:kern w:val="0"/>
    </w:rPr>
  </w:style>
  <w:style w:type="character" w:customStyle="1" w:styleId="129">
    <w:name w:val="副标题 Char"/>
    <w:link w:val="34"/>
    <w:qFormat/>
    <w:uiPriority w:val="0"/>
    <w:rPr>
      <w:rFonts w:eastAsia="黑体"/>
      <w:bCs/>
      <w:kern w:val="28"/>
      <w:sz w:val="24"/>
      <w:szCs w:val="32"/>
      <w:lang w:bidi="ar-SA"/>
    </w:rPr>
  </w:style>
  <w:style w:type="character" w:customStyle="1" w:styleId="130">
    <w:name w:val="无间隔 Char"/>
    <w:link w:val="131"/>
    <w:qFormat/>
    <w:uiPriority w:val="1"/>
    <w:rPr>
      <w:rFonts w:eastAsia="Calibri"/>
      <w:sz w:val="22"/>
      <w:szCs w:val="22"/>
      <w:lang w:bidi="ar-SA"/>
    </w:rPr>
  </w:style>
  <w:style w:type="paragraph" w:customStyle="1" w:styleId="131">
    <w:name w:val="No Spacing"/>
    <w:basedOn w:val="1"/>
    <w:link w:val="130"/>
    <w:qFormat/>
    <w:uiPriority w:val="1"/>
    <w:pPr>
      <w:widowControl/>
    </w:pPr>
    <w:rPr>
      <w:rFonts w:eastAsia="Calibri"/>
      <w:kern w:val="0"/>
      <w:sz w:val="22"/>
      <w:szCs w:val="22"/>
      <w:lang w:val="zh-CN" w:eastAsia="zh-CN"/>
    </w:rPr>
  </w:style>
  <w:style w:type="character" w:customStyle="1" w:styleId="132">
    <w:name w:val="HTML 预设格式 Char"/>
    <w:link w:val="42"/>
    <w:qFormat/>
    <w:uiPriority w:val="0"/>
    <w:rPr>
      <w:rFonts w:ascii="宋体" w:hAnsi="宋体" w:eastAsia="宋体" w:cs="宋体"/>
      <w:sz w:val="24"/>
      <w:szCs w:val="24"/>
      <w:lang w:val="en-US" w:eastAsia="zh-CN" w:bidi="ar-SA"/>
    </w:rPr>
  </w:style>
  <w:style w:type="character" w:customStyle="1" w:styleId="133">
    <w:name w:val="正文格式 Char"/>
    <w:link w:val="134"/>
    <w:qFormat/>
    <w:uiPriority w:val="0"/>
    <w:rPr>
      <w:rFonts w:ascii="宋体"/>
      <w:kern w:val="2"/>
      <w:sz w:val="24"/>
      <w:szCs w:val="24"/>
      <w:lang w:bidi="ar-SA"/>
    </w:rPr>
  </w:style>
  <w:style w:type="paragraph" w:customStyle="1" w:styleId="134">
    <w:name w:val="正文格式"/>
    <w:basedOn w:val="1"/>
    <w:link w:val="133"/>
    <w:qFormat/>
    <w:uiPriority w:val="0"/>
    <w:pPr>
      <w:widowControl/>
      <w:spacing w:line="360" w:lineRule="auto"/>
      <w:ind w:firstLine="482"/>
    </w:pPr>
    <w:rPr>
      <w:rFonts w:ascii="宋体" w:eastAsia="Times New Roman"/>
    </w:rPr>
  </w:style>
  <w:style w:type="character" w:customStyle="1" w:styleId="135">
    <w:name w:val="Char Char13"/>
    <w:qFormat/>
    <w:uiPriority w:val="0"/>
    <w:rPr>
      <w:rFonts w:ascii="宋体" w:hAnsi="Courier New" w:eastAsia="宋体" w:cs="Courier New"/>
      <w:sz w:val="24"/>
      <w:szCs w:val="21"/>
      <w:lang w:val="en-US" w:eastAsia="zh-CN" w:bidi="ar-SA"/>
    </w:rPr>
  </w:style>
  <w:style w:type="character" w:customStyle="1" w:styleId="136">
    <w:name w:val="Char Char9"/>
    <w:qFormat/>
    <w:uiPriority w:val="0"/>
    <w:rPr>
      <w:kern w:val="2"/>
      <w:sz w:val="18"/>
      <w:szCs w:val="18"/>
      <w:lang w:bidi="ar-SA"/>
    </w:rPr>
  </w:style>
  <w:style w:type="character" w:customStyle="1" w:styleId="137">
    <w:name w:val="批注框文本 Char"/>
    <w:link w:val="28"/>
    <w:qFormat/>
    <w:uiPriority w:val="99"/>
    <w:rPr>
      <w:rFonts w:ascii="宋体" w:hAnsi="宋体"/>
      <w:sz w:val="18"/>
      <w:szCs w:val="18"/>
      <w:lang w:bidi="ar-SA"/>
    </w:rPr>
  </w:style>
  <w:style w:type="character" w:customStyle="1" w:styleId="138">
    <w:name w:val="燕山正文 Char Char Char"/>
    <w:link w:val="139"/>
    <w:qFormat/>
    <w:uiPriority w:val="0"/>
    <w:rPr>
      <w:rFonts w:ascii="宋体" w:hAnsi="宋体"/>
      <w:color w:val="000000"/>
      <w:sz w:val="28"/>
      <w:szCs w:val="28"/>
      <w:lang w:bidi="ar-SA"/>
    </w:rPr>
  </w:style>
  <w:style w:type="paragraph" w:customStyle="1" w:styleId="139">
    <w:name w:val="燕山正文 Char Char"/>
    <w:basedOn w:val="1"/>
    <w:link w:val="138"/>
    <w:qFormat/>
    <w:uiPriority w:val="0"/>
    <w:pPr>
      <w:widowControl/>
      <w:adjustRightInd w:val="0"/>
      <w:snapToGrid w:val="0"/>
      <w:spacing w:line="360" w:lineRule="auto"/>
      <w:ind w:firstLine="567"/>
      <w:textAlignment w:val="baseline"/>
    </w:pPr>
    <w:rPr>
      <w:rFonts w:ascii="宋体" w:hAnsi="宋体" w:eastAsia="Times New Roman"/>
      <w:color w:val="000000"/>
      <w:kern w:val="0"/>
      <w:sz w:val="28"/>
      <w:szCs w:val="28"/>
    </w:rPr>
  </w:style>
  <w:style w:type="character" w:customStyle="1" w:styleId="140">
    <w:name w:val="日期 Char"/>
    <w:link w:val="26"/>
    <w:qFormat/>
    <w:uiPriority w:val="99"/>
    <w:rPr>
      <w:rFonts w:ascii="宋体" w:hAnsi="Courier New"/>
      <w:kern w:val="2"/>
      <w:sz w:val="24"/>
      <w:lang w:bidi="ar-SA"/>
    </w:rPr>
  </w:style>
  <w:style w:type="character" w:customStyle="1" w:styleId="141">
    <w:name w:val="批注文字 Char"/>
    <w:link w:val="13"/>
    <w:qFormat/>
    <w:uiPriority w:val="0"/>
    <w:rPr>
      <w:kern w:val="2"/>
      <w:sz w:val="21"/>
      <w:szCs w:val="24"/>
      <w:lang w:bidi="ar-SA"/>
    </w:rPr>
  </w:style>
  <w:style w:type="character" w:customStyle="1" w:styleId="142">
    <w:name w:val="新正文 Char"/>
    <w:link w:val="143"/>
    <w:qFormat/>
    <w:uiPriority w:val="0"/>
    <w:rPr>
      <w:rFonts w:ascii="仿宋_GB2312" w:eastAsia="仿宋_GB2312"/>
      <w:bCs/>
      <w:sz w:val="28"/>
      <w:lang w:bidi="ar-SA"/>
    </w:rPr>
  </w:style>
  <w:style w:type="paragraph" w:customStyle="1" w:styleId="143">
    <w:name w:val="新正文"/>
    <w:basedOn w:val="1"/>
    <w:link w:val="142"/>
    <w:qFormat/>
    <w:uiPriority w:val="0"/>
    <w:pPr>
      <w:widowControl/>
      <w:spacing w:line="480" w:lineRule="exact"/>
      <w:ind w:firstLine="482"/>
    </w:pPr>
    <w:rPr>
      <w:rFonts w:ascii="仿宋_GB2312" w:eastAsia="仿宋_GB2312"/>
      <w:bCs/>
      <w:kern w:val="0"/>
      <w:sz w:val="28"/>
      <w:szCs w:val="20"/>
    </w:rPr>
  </w:style>
  <w:style w:type="character" w:customStyle="1" w:styleId="144">
    <w:name w:val="缩进 Char"/>
    <w:link w:val="145"/>
    <w:qFormat/>
    <w:uiPriority w:val="0"/>
    <w:rPr>
      <w:rFonts w:ascii="宋体" w:hAnsi="宋体" w:eastAsia="仿宋_GB2312"/>
      <w:bCs/>
      <w:color w:val="000000"/>
      <w:sz w:val="24"/>
      <w:szCs w:val="24"/>
      <w:lang w:bidi="ar-SA"/>
    </w:rPr>
  </w:style>
  <w:style w:type="paragraph" w:customStyle="1" w:styleId="145">
    <w:name w:val="缩进"/>
    <w:basedOn w:val="1"/>
    <w:link w:val="144"/>
    <w:qFormat/>
    <w:uiPriority w:val="0"/>
    <w:pPr>
      <w:widowControl/>
      <w:spacing w:line="480" w:lineRule="exact"/>
      <w:ind w:firstLine="480" w:firstLineChars="200"/>
    </w:pPr>
    <w:rPr>
      <w:rFonts w:ascii="宋体" w:hAnsi="宋体" w:eastAsia="仿宋_GB2312"/>
      <w:bCs/>
      <w:color w:val="000000"/>
      <w:kern w:val="0"/>
    </w:rPr>
  </w:style>
  <w:style w:type="character" w:customStyle="1" w:styleId="146">
    <w:name w:val="表头样式1 Char1"/>
    <w:link w:val="147"/>
    <w:qFormat/>
    <w:uiPriority w:val="0"/>
    <w:rPr>
      <w:rFonts w:ascii="黑体" w:hAnsi="宋体"/>
      <w:b/>
      <w:color w:val="000000"/>
      <w:sz w:val="24"/>
      <w:szCs w:val="24"/>
      <w:lang w:eastAsia="zh-TW" w:bidi="ar-SA"/>
    </w:rPr>
  </w:style>
  <w:style w:type="paragraph" w:customStyle="1" w:styleId="147">
    <w:name w:val="表头样式1"/>
    <w:basedOn w:val="1"/>
    <w:link w:val="146"/>
    <w:qFormat/>
    <w:uiPriority w:val="0"/>
    <w:pPr>
      <w:widowControl/>
      <w:autoSpaceDE w:val="0"/>
      <w:autoSpaceDN w:val="0"/>
      <w:adjustRightInd w:val="0"/>
      <w:spacing w:beforeLines="20" w:afterLines="20" w:line="500" w:lineRule="exact"/>
      <w:jc w:val="center"/>
    </w:pPr>
    <w:rPr>
      <w:rFonts w:ascii="黑体" w:hAnsi="宋体"/>
      <w:b/>
      <w:color w:val="000000"/>
      <w:kern w:val="0"/>
      <w:lang w:val="zh-CN" w:eastAsia="zh-TW"/>
    </w:rPr>
  </w:style>
  <w:style w:type="character" w:customStyle="1" w:styleId="148">
    <w:name w:val="表头 Char"/>
    <w:link w:val="149"/>
    <w:qFormat/>
    <w:uiPriority w:val="0"/>
    <w:rPr>
      <w:rFonts w:ascii="宋体" w:hAnsi="宋体"/>
      <w:b/>
      <w:kern w:val="2"/>
      <w:sz w:val="24"/>
      <w:szCs w:val="24"/>
      <w:lang w:bidi="ar-SA"/>
    </w:rPr>
  </w:style>
  <w:style w:type="paragraph" w:customStyle="1" w:styleId="149">
    <w:name w:val="表头"/>
    <w:basedOn w:val="1"/>
    <w:link w:val="148"/>
    <w:qFormat/>
    <w:uiPriority w:val="0"/>
    <w:pPr>
      <w:widowControl/>
      <w:adjustRightInd w:val="0"/>
      <w:snapToGrid w:val="0"/>
      <w:ind w:firstLine="2409" w:firstLineChars="1000"/>
      <w:jc w:val="center"/>
    </w:pPr>
    <w:rPr>
      <w:rFonts w:ascii="宋体" w:hAnsi="宋体"/>
      <w:b/>
      <w:lang w:val="zh-CN" w:eastAsia="zh-CN"/>
    </w:rPr>
  </w:style>
  <w:style w:type="character" w:customStyle="1" w:styleId="150">
    <w:name w:val="表号 Char Char"/>
    <w:link w:val="151"/>
    <w:qFormat/>
    <w:uiPriority w:val="0"/>
    <w:rPr>
      <w:rFonts w:ascii="Arial" w:hAnsi="Arial" w:eastAsia="Times New Roman"/>
      <w:szCs w:val="24"/>
      <w:lang w:val="en-US" w:eastAsia="zh-CN" w:bidi="ar-SA"/>
    </w:rPr>
  </w:style>
  <w:style w:type="paragraph" w:customStyle="1" w:styleId="151">
    <w:name w:val="表号 Char"/>
    <w:next w:val="111"/>
    <w:link w:val="150"/>
    <w:qFormat/>
    <w:uiPriority w:val="0"/>
    <w:pPr>
      <w:adjustRightInd w:val="0"/>
      <w:snapToGrid w:val="0"/>
      <w:spacing w:line="360" w:lineRule="auto"/>
      <w:jc w:val="right"/>
    </w:pPr>
    <w:rPr>
      <w:rFonts w:ascii="Arial" w:hAnsi="Arial" w:eastAsia="Times New Roman" w:cs="Times New Roman"/>
      <w:szCs w:val="24"/>
      <w:lang w:val="en-US" w:eastAsia="zh-CN" w:bidi="ar-SA"/>
    </w:rPr>
  </w:style>
  <w:style w:type="character" w:customStyle="1" w:styleId="152">
    <w:name w:val="正文：段落格式 Char"/>
    <w:link w:val="153"/>
    <w:qFormat/>
    <w:uiPriority w:val="0"/>
    <w:rPr>
      <w:rFonts w:ascii="宋体" w:hAnsi="宋体"/>
      <w:color w:val="000000"/>
      <w:kern w:val="15"/>
      <w:sz w:val="24"/>
      <w:szCs w:val="24"/>
      <w:lang w:bidi="ar-SA"/>
    </w:rPr>
  </w:style>
  <w:style w:type="paragraph" w:customStyle="1" w:styleId="153">
    <w:name w:val="正文：段落格式"/>
    <w:basedOn w:val="1"/>
    <w:link w:val="152"/>
    <w:qFormat/>
    <w:uiPriority w:val="0"/>
    <w:pPr>
      <w:widowControl/>
      <w:tabs>
        <w:tab w:val="left" w:pos="1320"/>
      </w:tabs>
      <w:adjustRightInd w:val="0"/>
      <w:snapToGrid w:val="0"/>
      <w:spacing w:line="440" w:lineRule="atLeast"/>
      <w:ind w:left="1320" w:hanging="420"/>
    </w:pPr>
    <w:rPr>
      <w:rFonts w:ascii="宋体" w:hAnsi="宋体"/>
      <w:color w:val="000000"/>
      <w:kern w:val="15"/>
      <w:lang w:val="zh-CN" w:eastAsia="zh-CN"/>
    </w:rPr>
  </w:style>
  <w:style w:type="character" w:customStyle="1" w:styleId="154">
    <w:name w:val="文本框小五 Char Char"/>
    <w:link w:val="155"/>
    <w:qFormat/>
    <w:uiPriority w:val="0"/>
    <w:rPr>
      <w:rFonts w:eastAsia="仿宋_GB2312"/>
      <w:sz w:val="18"/>
      <w:szCs w:val="21"/>
      <w:lang w:bidi="ar-SA"/>
    </w:rPr>
  </w:style>
  <w:style w:type="paragraph" w:customStyle="1" w:styleId="155">
    <w:name w:val="文本框小五"/>
    <w:basedOn w:val="1"/>
    <w:link w:val="154"/>
    <w:qFormat/>
    <w:uiPriority w:val="0"/>
    <w:pPr>
      <w:widowControl/>
      <w:jc w:val="center"/>
    </w:pPr>
    <w:rPr>
      <w:rFonts w:eastAsia="仿宋_GB2312"/>
      <w:kern w:val="0"/>
      <w:sz w:val="18"/>
      <w:szCs w:val="21"/>
    </w:rPr>
  </w:style>
  <w:style w:type="character" w:customStyle="1" w:styleId="156">
    <w:name w:val="注释标题 Char"/>
    <w:link w:val="17"/>
    <w:qFormat/>
    <w:uiPriority w:val="0"/>
    <w:rPr>
      <w:rFonts w:ascii="宋体" w:hAnsi="宋体"/>
      <w:lang w:bidi="ar-SA"/>
    </w:rPr>
  </w:style>
  <w:style w:type="character" w:customStyle="1" w:styleId="157">
    <w:name w:val="陈表格中内容 Char Char"/>
    <w:link w:val="158"/>
    <w:qFormat/>
    <w:uiPriority w:val="0"/>
    <w:rPr>
      <w:rFonts w:eastAsia="仿宋_GB2312"/>
      <w:szCs w:val="21"/>
      <w:lang w:bidi="ar-SA"/>
    </w:rPr>
  </w:style>
  <w:style w:type="paragraph" w:customStyle="1" w:styleId="158">
    <w:name w:val="陈表格中内容"/>
    <w:basedOn w:val="1"/>
    <w:next w:val="1"/>
    <w:link w:val="157"/>
    <w:qFormat/>
    <w:uiPriority w:val="0"/>
    <w:pPr>
      <w:widowControl/>
      <w:spacing w:line="288" w:lineRule="auto"/>
      <w:jc w:val="center"/>
    </w:pPr>
    <w:rPr>
      <w:rFonts w:eastAsia="仿宋_GB2312"/>
      <w:kern w:val="0"/>
      <w:sz w:val="20"/>
      <w:szCs w:val="21"/>
      <w:lang w:val="zh-CN" w:eastAsia="zh-CN"/>
    </w:rPr>
  </w:style>
  <w:style w:type="character" w:customStyle="1" w:styleId="159">
    <w:name w:val="表头5H Char"/>
    <w:link w:val="160"/>
    <w:qFormat/>
    <w:uiPriority w:val="0"/>
    <w:rPr>
      <w:rFonts w:ascii="黑体" w:eastAsia="黑体"/>
      <w:sz w:val="24"/>
      <w:szCs w:val="24"/>
      <w:lang w:bidi="ar-SA"/>
    </w:rPr>
  </w:style>
  <w:style w:type="paragraph" w:customStyle="1" w:styleId="160">
    <w:name w:val="表头5H"/>
    <w:basedOn w:val="1"/>
    <w:link w:val="159"/>
    <w:qFormat/>
    <w:uiPriority w:val="0"/>
    <w:pPr>
      <w:widowControl/>
      <w:spacing w:line="312" w:lineRule="auto"/>
      <w:jc w:val="center"/>
    </w:pPr>
    <w:rPr>
      <w:rFonts w:ascii="黑体" w:eastAsia="黑体"/>
      <w:kern w:val="0"/>
      <w:lang w:val="zh-CN" w:eastAsia="zh-CN"/>
    </w:rPr>
  </w:style>
  <w:style w:type="character" w:customStyle="1" w:styleId="161">
    <w:name w:val="样式 标题 2节标题 1.11.1标题2SeBSH-2h2l22nd levelTitre22Header ... Char"/>
    <w:link w:val="162"/>
    <w:qFormat/>
    <w:uiPriority w:val="0"/>
    <w:rPr>
      <w:rFonts w:ascii="宋体" w:hAnsi="宋体" w:eastAsia="黑体"/>
      <w:bCs/>
      <w:sz w:val="24"/>
      <w:szCs w:val="32"/>
      <w:lang w:val="zh-CN" w:eastAsia="zh-CN"/>
    </w:rPr>
  </w:style>
  <w:style w:type="paragraph" w:customStyle="1" w:styleId="162">
    <w:name w:val="样式 标题 2节标题 1.11.1标题2SeBSH-2h2l22nd levelTitre22Header ..."/>
    <w:basedOn w:val="3"/>
    <w:link w:val="161"/>
    <w:qFormat/>
    <w:uiPriority w:val="0"/>
    <w:pPr>
      <w:spacing w:line="413" w:lineRule="auto"/>
      <w:ind w:left="0" w:firstLine="0"/>
    </w:pPr>
    <w:rPr>
      <w:rFonts w:ascii="宋体" w:hAnsi="宋体" w:eastAsia="黑体"/>
      <w:b w:val="0"/>
      <w:bCs/>
      <w:snapToGrid/>
      <w:szCs w:val="32"/>
    </w:rPr>
  </w:style>
  <w:style w:type="character" w:customStyle="1" w:styleId="163">
    <w:name w:val="lff Char"/>
    <w:link w:val="164"/>
    <w:qFormat/>
    <w:uiPriority w:val="0"/>
    <w:rPr>
      <w:b/>
      <w:sz w:val="24"/>
      <w:szCs w:val="24"/>
      <w:lang w:bidi="ar-SA"/>
    </w:rPr>
  </w:style>
  <w:style w:type="paragraph" w:customStyle="1" w:styleId="164">
    <w:name w:val="lff"/>
    <w:basedOn w:val="15"/>
    <w:link w:val="163"/>
    <w:qFormat/>
    <w:uiPriority w:val="0"/>
    <w:pPr>
      <w:adjustRightInd w:val="0"/>
      <w:snapToGrid w:val="0"/>
      <w:spacing w:after="0" w:line="360" w:lineRule="auto"/>
      <w:ind w:firstLine="480" w:firstLineChars="200"/>
    </w:pPr>
    <w:rPr>
      <w:b/>
      <w:kern w:val="0"/>
      <w:sz w:val="24"/>
    </w:rPr>
  </w:style>
  <w:style w:type="character" w:customStyle="1" w:styleId="165">
    <w:name w:val="正文首行缩进 Char"/>
    <w:link w:val="15"/>
    <w:qFormat/>
    <w:uiPriority w:val="0"/>
    <w:rPr>
      <w:rFonts w:ascii="宋体" w:hAnsi="宋体" w:cs="宋体"/>
      <w:kern w:val="2"/>
      <w:sz w:val="24"/>
      <w:szCs w:val="24"/>
      <w:lang w:bidi="ar-SA"/>
    </w:rPr>
  </w:style>
  <w:style w:type="character" w:customStyle="1" w:styleId="166">
    <w:name w:val="正文文本 Char1"/>
    <w:qFormat/>
    <w:uiPriority w:val="0"/>
    <w:rPr>
      <w:rFonts w:ascii="宋体" w:hAnsi="宋体" w:cs="宋体"/>
      <w:sz w:val="24"/>
      <w:szCs w:val="24"/>
    </w:rPr>
  </w:style>
  <w:style w:type="character" w:customStyle="1" w:styleId="167">
    <w:name w:val="样式 题注 + (西文) Times New Roman (中文) 宋体 小四 加粗 黑色 Char Char"/>
    <w:link w:val="168"/>
    <w:qFormat/>
    <w:uiPriority w:val="0"/>
    <w:rPr>
      <w:b/>
      <w:bCs/>
      <w:color w:val="000000"/>
      <w:sz w:val="24"/>
      <w:szCs w:val="24"/>
      <w:lang w:bidi="ar-SA"/>
    </w:rPr>
  </w:style>
  <w:style w:type="paragraph" w:customStyle="1" w:styleId="168">
    <w:name w:val="样式 题注 + (西文) Times New Roman (中文) 宋体 小四 加粗 黑色 Char"/>
    <w:basedOn w:val="18"/>
    <w:link w:val="167"/>
    <w:qFormat/>
    <w:uiPriority w:val="0"/>
    <w:pPr>
      <w:keepNext w:val="0"/>
      <w:adjustRightInd w:val="0"/>
      <w:snapToGrid/>
      <w:spacing w:beforeLines="100" w:line="360" w:lineRule="auto"/>
      <w:ind w:firstLine="0"/>
      <w:textAlignment w:val="baseline"/>
      <w:outlineLvl w:val="9"/>
    </w:pPr>
    <w:rPr>
      <w:rFonts w:hAnsi="Times New Roman" w:eastAsia="宋体"/>
      <w:bCs/>
      <w:color w:val="000000"/>
      <w:kern w:val="0"/>
      <w:lang w:val="zh-CN" w:eastAsia="zh-CN"/>
    </w:rPr>
  </w:style>
  <w:style w:type="character" w:customStyle="1" w:styleId="169">
    <w:name w:val="表格标题＋单位 Char"/>
    <w:link w:val="170"/>
    <w:qFormat/>
    <w:uiPriority w:val="0"/>
    <w:rPr>
      <w:b/>
      <w:kern w:val="2"/>
      <w:sz w:val="24"/>
      <w:szCs w:val="24"/>
      <w:lang w:bidi="ar-SA"/>
    </w:rPr>
  </w:style>
  <w:style w:type="paragraph" w:customStyle="1" w:styleId="170">
    <w:name w:val="表格标题＋单位"/>
    <w:basedOn w:val="1"/>
    <w:link w:val="169"/>
    <w:qFormat/>
    <w:uiPriority w:val="0"/>
    <w:pPr>
      <w:widowControl/>
      <w:wordWrap w:val="0"/>
      <w:spacing w:line="500" w:lineRule="exact"/>
      <w:jc w:val="right"/>
    </w:pPr>
    <w:rPr>
      <w:rFonts w:eastAsia="Times New Roman"/>
      <w:b/>
    </w:rPr>
  </w:style>
  <w:style w:type="character" w:customStyle="1" w:styleId="171">
    <w:name w:val="文本 Char"/>
    <w:link w:val="172"/>
    <w:qFormat/>
    <w:uiPriority w:val="0"/>
    <w:rPr>
      <w:kern w:val="2"/>
      <w:sz w:val="24"/>
      <w:lang w:bidi="ar-SA"/>
    </w:rPr>
  </w:style>
  <w:style w:type="paragraph" w:customStyle="1" w:styleId="172">
    <w:name w:val="文本"/>
    <w:basedOn w:val="1"/>
    <w:link w:val="171"/>
    <w:qFormat/>
    <w:uiPriority w:val="0"/>
    <w:pPr>
      <w:widowControl/>
      <w:spacing w:line="360" w:lineRule="auto"/>
      <w:ind w:firstLine="480" w:firstLineChars="200"/>
    </w:pPr>
    <w:rPr>
      <w:szCs w:val="20"/>
      <w:lang w:val="zh-CN" w:eastAsia="zh-CN"/>
    </w:rPr>
  </w:style>
  <w:style w:type="character" w:customStyle="1" w:styleId="173">
    <w:name w:val="样式 (报告) 仿宋_GB2312 (中文) 仿宋_GB2312 四号 行距: 1.5 倍行距 Char"/>
    <w:link w:val="174"/>
    <w:qFormat/>
    <w:uiPriority w:val="0"/>
    <w:rPr>
      <w:rFonts w:ascii="仿宋_GB2312" w:hAnsi="仿宋_GB2312" w:eastAsia="仿宋_GB2312"/>
      <w:snapToGrid w:val="0"/>
      <w:color w:val="000000"/>
      <w:sz w:val="28"/>
      <w:szCs w:val="28"/>
      <w:lang w:bidi="ar-SA"/>
    </w:rPr>
  </w:style>
  <w:style w:type="paragraph" w:customStyle="1" w:styleId="174">
    <w:name w:val="样式 (报告) 仿宋_GB2312 (中文) 仿宋_GB2312 四号 行距: 1.5 倍行距"/>
    <w:basedOn w:val="1"/>
    <w:link w:val="173"/>
    <w:qFormat/>
    <w:uiPriority w:val="0"/>
    <w:pPr>
      <w:widowControl/>
      <w:adjustRightInd w:val="0"/>
      <w:snapToGrid w:val="0"/>
      <w:spacing w:line="360" w:lineRule="auto"/>
      <w:ind w:firstLine="200" w:firstLineChars="200"/>
    </w:pPr>
    <w:rPr>
      <w:rFonts w:ascii="仿宋_GB2312" w:hAnsi="仿宋_GB2312" w:eastAsia="仿宋_GB2312"/>
      <w:snapToGrid w:val="0"/>
      <w:color w:val="000000"/>
      <w:kern w:val="0"/>
      <w:sz w:val="28"/>
      <w:szCs w:val="28"/>
      <w:lang w:val="zh-CN" w:eastAsia="zh-CN"/>
    </w:rPr>
  </w:style>
  <w:style w:type="character" w:customStyle="1" w:styleId="175">
    <w:name w:val="批注主题 Char"/>
    <w:link w:val="12"/>
    <w:qFormat/>
    <w:uiPriority w:val="99"/>
    <w:rPr>
      <w:kern w:val="2"/>
      <w:sz w:val="21"/>
      <w:szCs w:val="22"/>
      <w:lang w:bidi="ar-SA"/>
    </w:rPr>
  </w:style>
  <w:style w:type="character" w:customStyle="1" w:styleId="176">
    <w:name w:val="表格内容 Char"/>
    <w:link w:val="177"/>
    <w:qFormat/>
    <w:uiPriority w:val="0"/>
    <w:rPr>
      <w:rFonts w:hAnsi="宋体"/>
      <w:kern w:val="20481"/>
      <w:sz w:val="21"/>
      <w:lang w:bidi="ar-SA"/>
    </w:rPr>
  </w:style>
  <w:style w:type="paragraph" w:customStyle="1" w:styleId="177">
    <w:name w:val="表格内容"/>
    <w:basedOn w:val="16"/>
    <w:link w:val="176"/>
    <w:qFormat/>
    <w:uiPriority w:val="0"/>
    <w:pPr>
      <w:widowControl/>
      <w:suppressLineNumbers/>
      <w:suppressAutoHyphens/>
      <w:spacing w:before="0" w:beforeAutospacing="0"/>
    </w:pPr>
    <w:rPr>
      <w:rFonts w:hAnsi="宋体" w:eastAsia="Times New Roman"/>
      <w:kern w:val="20481"/>
      <w:szCs w:val="20"/>
    </w:rPr>
  </w:style>
  <w:style w:type="character" w:customStyle="1" w:styleId="178">
    <w:name w:val="文本框小四 Char Char"/>
    <w:link w:val="179"/>
    <w:qFormat/>
    <w:uiPriority w:val="0"/>
    <w:rPr>
      <w:rFonts w:eastAsia="仿宋_GB2312"/>
      <w:sz w:val="24"/>
      <w:szCs w:val="24"/>
      <w:lang w:bidi="ar-SA"/>
    </w:rPr>
  </w:style>
  <w:style w:type="paragraph" w:customStyle="1" w:styleId="179">
    <w:name w:val="文本框小四"/>
    <w:basedOn w:val="1"/>
    <w:link w:val="178"/>
    <w:qFormat/>
    <w:uiPriority w:val="0"/>
    <w:pPr>
      <w:widowControl/>
      <w:jc w:val="center"/>
    </w:pPr>
    <w:rPr>
      <w:rFonts w:eastAsia="仿宋_GB2312"/>
      <w:kern w:val="0"/>
    </w:rPr>
  </w:style>
  <w:style w:type="character" w:customStyle="1" w:styleId="180">
    <w:name w:val="sn Char Char"/>
    <w:link w:val="181"/>
    <w:qFormat/>
    <w:uiPriority w:val="0"/>
    <w:rPr>
      <w:kern w:val="2"/>
      <w:sz w:val="24"/>
      <w:szCs w:val="24"/>
      <w:lang w:bidi="ar-SA"/>
    </w:rPr>
  </w:style>
  <w:style w:type="paragraph" w:customStyle="1" w:styleId="181">
    <w:name w:val="sn"/>
    <w:basedOn w:val="15"/>
    <w:link w:val="180"/>
    <w:qFormat/>
    <w:uiPriority w:val="0"/>
    <w:pPr>
      <w:widowControl w:val="0"/>
      <w:spacing w:line="360" w:lineRule="auto"/>
      <w:ind w:firstLine="480" w:firstLineChars="200"/>
      <w:jc w:val="both"/>
    </w:pPr>
    <w:rPr>
      <w:sz w:val="24"/>
    </w:rPr>
  </w:style>
  <w:style w:type="character" w:customStyle="1" w:styleId="182">
    <w:name w:val="脚注文本 Char"/>
    <w:link w:val="36"/>
    <w:qFormat/>
    <w:uiPriority w:val="0"/>
    <w:rPr>
      <w:rFonts w:ascii="宋体" w:hAnsi="宋体"/>
      <w:sz w:val="18"/>
      <w:szCs w:val="18"/>
      <w:lang w:bidi="ar-SA"/>
    </w:rPr>
  </w:style>
  <w:style w:type="character" w:customStyle="1" w:styleId="183">
    <w:name w:val="3级标题 Char"/>
    <w:link w:val="184"/>
    <w:qFormat/>
    <w:uiPriority w:val="0"/>
    <w:rPr>
      <w:b/>
      <w:color w:val="000000"/>
      <w:kern w:val="2"/>
      <w:sz w:val="24"/>
      <w:szCs w:val="28"/>
      <w:lang w:bidi="ar-SA"/>
    </w:rPr>
  </w:style>
  <w:style w:type="paragraph" w:customStyle="1" w:styleId="184">
    <w:name w:val="3级标题"/>
    <w:basedOn w:val="1"/>
    <w:link w:val="183"/>
    <w:qFormat/>
    <w:uiPriority w:val="0"/>
    <w:pPr>
      <w:keepNext/>
      <w:keepLines/>
      <w:widowControl/>
      <w:adjustRightInd w:val="0"/>
      <w:snapToGrid w:val="0"/>
      <w:spacing w:before="80" w:after="80" w:line="400" w:lineRule="exact"/>
      <w:outlineLvl w:val="2"/>
    </w:pPr>
    <w:rPr>
      <w:b/>
      <w:color w:val="000000"/>
      <w:szCs w:val="28"/>
      <w:lang w:val="zh-CN" w:eastAsia="zh-CN"/>
    </w:rPr>
  </w:style>
  <w:style w:type="character" w:customStyle="1" w:styleId="185">
    <w:name w:val="正文文本 2 Char"/>
    <w:link w:val="41"/>
    <w:qFormat/>
    <w:uiPriority w:val="0"/>
    <w:rPr>
      <w:szCs w:val="24"/>
      <w:lang w:bidi="ar-SA"/>
    </w:rPr>
  </w:style>
  <w:style w:type="character" w:customStyle="1" w:styleId="186">
    <w:name w:val="标题 3，BSH-3条标题1.1.1 Char Char"/>
    <w:link w:val="187"/>
    <w:qFormat/>
    <w:uiPriority w:val="0"/>
    <w:rPr>
      <w:rFonts w:ascii="宋体" w:hAnsi="宋体"/>
      <w:b/>
      <w:caps/>
      <w:sz w:val="24"/>
      <w:szCs w:val="24"/>
      <w:lang w:val="zh-CN" w:eastAsia="zh-CN"/>
    </w:rPr>
  </w:style>
  <w:style w:type="paragraph" w:customStyle="1" w:styleId="187">
    <w:name w:val="标题 3，BSH-3条标题1.1.1"/>
    <w:basedOn w:val="4"/>
    <w:link w:val="186"/>
    <w:qFormat/>
    <w:uiPriority w:val="0"/>
    <w:pPr>
      <w:widowControl/>
      <w:outlineLvl w:val="9"/>
    </w:pPr>
    <w:rPr>
      <w:rFonts w:ascii="宋体" w:hAnsi="宋体"/>
      <w:b/>
      <w:bCs w:val="0"/>
      <w:caps/>
      <w:kern w:val="0"/>
      <w:szCs w:val="24"/>
      <w:lang w:val="zh-CN" w:eastAsia="zh-CN"/>
    </w:rPr>
  </w:style>
  <w:style w:type="character" w:customStyle="1" w:styleId="188">
    <w:name w:val="表题 Char Char Char"/>
    <w:link w:val="189"/>
    <w:qFormat/>
    <w:uiPriority w:val="0"/>
    <w:rPr>
      <w:rFonts w:ascii="黑体" w:eastAsia="黑体"/>
      <w:bCs/>
      <w:szCs w:val="21"/>
      <w:lang w:bidi="ar-SA"/>
    </w:rPr>
  </w:style>
  <w:style w:type="paragraph" w:customStyle="1" w:styleId="189">
    <w:name w:val="表题 Char Char"/>
    <w:basedOn w:val="1"/>
    <w:link w:val="188"/>
    <w:qFormat/>
    <w:uiPriority w:val="0"/>
    <w:pPr>
      <w:widowControl/>
      <w:spacing w:beforeLines="50"/>
    </w:pPr>
    <w:rPr>
      <w:rFonts w:ascii="黑体" w:eastAsia="黑体"/>
      <w:bCs/>
      <w:kern w:val="0"/>
      <w:sz w:val="20"/>
      <w:szCs w:val="21"/>
    </w:rPr>
  </w:style>
  <w:style w:type="character" w:customStyle="1" w:styleId="190">
    <w:name w:val="表头 Char Char1 Char Char"/>
    <w:link w:val="191"/>
    <w:qFormat/>
    <w:uiPriority w:val="0"/>
    <w:rPr>
      <w:rFonts w:eastAsia="华文中宋"/>
      <w:b/>
      <w:snapToGrid w:val="0"/>
      <w:kern w:val="32"/>
      <w:sz w:val="28"/>
      <w:szCs w:val="24"/>
      <w:lang w:bidi="ar-SA"/>
    </w:rPr>
  </w:style>
  <w:style w:type="paragraph" w:customStyle="1" w:styleId="191">
    <w:name w:val="表头 Char Char1 Char"/>
    <w:basedOn w:val="1"/>
    <w:next w:val="192"/>
    <w:link w:val="190"/>
    <w:qFormat/>
    <w:uiPriority w:val="0"/>
    <w:pPr>
      <w:widowControl/>
      <w:snapToGrid w:val="0"/>
      <w:spacing w:before="60" w:after="60" w:line="480" w:lineRule="exact"/>
      <w:jc w:val="center"/>
    </w:pPr>
    <w:rPr>
      <w:rFonts w:eastAsia="华文中宋"/>
      <w:b/>
      <w:snapToGrid w:val="0"/>
      <w:kern w:val="32"/>
      <w:sz w:val="28"/>
      <w:lang w:val="zh-CN" w:eastAsia="zh-CN"/>
    </w:rPr>
  </w:style>
  <w:style w:type="paragraph" w:customStyle="1" w:styleId="192">
    <w:name w:val="普通文字"/>
    <w:basedOn w:val="1"/>
    <w:qFormat/>
    <w:uiPriority w:val="0"/>
    <w:pPr>
      <w:widowControl/>
      <w:spacing w:line="351" w:lineRule="atLeast"/>
      <w:ind w:firstLine="419"/>
      <w:textAlignment w:val="baseline"/>
    </w:pPr>
    <w:rPr>
      <w:rFonts w:ascii="宋体" w:hAnsi="宋体" w:cs="宋体"/>
      <w:color w:val="000000"/>
      <w:kern w:val="0"/>
      <w:szCs w:val="20"/>
      <w:u w:color="000000"/>
    </w:rPr>
  </w:style>
  <w:style w:type="character" w:customStyle="1" w:styleId="193">
    <w:name w:val="陈正文 Char Char"/>
    <w:link w:val="194"/>
    <w:qFormat/>
    <w:uiPriority w:val="0"/>
    <w:rPr>
      <w:rFonts w:eastAsia="仿宋_GB2312"/>
      <w:color w:val="FF0000"/>
      <w:sz w:val="28"/>
      <w:szCs w:val="24"/>
      <w:lang w:val="zh-CN" w:bidi="ar-SA"/>
    </w:rPr>
  </w:style>
  <w:style w:type="paragraph" w:customStyle="1" w:styleId="194">
    <w:name w:val="陈正文"/>
    <w:basedOn w:val="1"/>
    <w:next w:val="1"/>
    <w:link w:val="193"/>
    <w:qFormat/>
    <w:uiPriority w:val="0"/>
    <w:pPr>
      <w:widowControl/>
      <w:spacing w:line="360" w:lineRule="auto"/>
      <w:ind w:firstLine="560" w:firstLineChars="200"/>
    </w:pPr>
    <w:rPr>
      <w:rFonts w:eastAsia="仿宋_GB2312"/>
      <w:color w:val="FF0000"/>
      <w:kern w:val="0"/>
      <w:sz w:val="28"/>
      <w:lang w:val="zh-CN" w:eastAsia="zh-CN"/>
    </w:rPr>
  </w:style>
  <w:style w:type="character" w:customStyle="1" w:styleId="195">
    <w:name w:val="表头 Char Char Char"/>
    <w:link w:val="196"/>
    <w:qFormat/>
    <w:uiPriority w:val="0"/>
    <w:rPr>
      <w:b/>
      <w:kern w:val="32"/>
      <w:sz w:val="24"/>
      <w:lang w:bidi="ar-SA"/>
    </w:rPr>
  </w:style>
  <w:style w:type="paragraph" w:customStyle="1" w:styleId="196">
    <w:name w:val="表头 Char Char"/>
    <w:basedOn w:val="1"/>
    <w:next w:val="1"/>
    <w:link w:val="195"/>
    <w:qFormat/>
    <w:uiPriority w:val="0"/>
    <w:pPr>
      <w:widowControl/>
      <w:snapToGrid w:val="0"/>
      <w:spacing w:before="120" w:after="120" w:line="480" w:lineRule="exact"/>
      <w:jc w:val="center"/>
    </w:pPr>
    <w:rPr>
      <w:b/>
      <w:kern w:val="32"/>
      <w:szCs w:val="20"/>
      <w:lang w:val="zh-CN" w:eastAsia="zh-CN"/>
    </w:rPr>
  </w:style>
  <w:style w:type="character" w:customStyle="1" w:styleId="197">
    <w:name w:val="文本框五号 Char"/>
    <w:link w:val="198"/>
    <w:qFormat/>
    <w:uiPriority w:val="0"/>
    <w:rPr>
      <w:rFonts w:eastAsia="仿宋_GB2312"/>
      <w:szCs w:val="21"/>
      <w:lang w:bidi="ar-SA"/>
    </w:rPr>
  </w:style>
  <w:style w:type="paragraph" w:customStyle="1" w:styleId="198">
    <w:name w:val="文本框五号"/>
    <w:basedOn w:val="1"/>
    <w:link w:val="197"/>
    <w:qFormat/>
    <w:uiPriority w:val="0"/>
    <w:pPr>
      <w:widowControl/>
      <w:jc w:val="center"/>
    </w:pPr>
    <w:rPr>
      <w:rFonts w:eastAsia="仿宋_GB2312"/>
      <w:kern w:val="0"/>
      <w:sz w:val="20"/>
      <w:szCs w:val="21"/>
    </w:rPr>
  </w:style>
  <w:style w:type="character" w:customStyle="1" w:styleId="199">
    <w:name w:val="样式12q Char"/>
    <w:link w:val="200"/>
    <w:qFormat/>
    <w:uiPriority w:val="0"/>
    <w:rPr>
      <w:sz w:val="28"/>
      <w:szCs w:val="28"/>
      <w:lang w:bidi="ar-SA"/>
    </w:rPr>
  </w:style>
  <w:style w:type="paragraph" w:customStyle="1" w:styleId="200">
    <w:name w:val="样式12q"/>
    <w:basedOn w:val="1"/>
    <w:link w:val="199"/>
    <w:uiPriority w:val="0"/>
    <w:pPr>
      <w:widowControl/>
      <w:spacing w:line="360" w:lineRule="auto"/>
      <w:ind w:firstLine="560" w:firstLineChars="200"/>
    </w:pPr>
    <w:rPr>
      <w:kern w:val="0"/>
      <w:sz w:val="28"/>
      <w:szCs w:val="28"/>
      <w:lang w:val="zh-CN" w:eastAsia="zh-CN"/>
    </w:rPr>
  </w:style>
  <w:style w:type="character" w:customStyle="1" w:styleId="201">
    <w:name w:val="样式1 Char"/>
    <w:link w:val="202"/>
    <w:qFormat/>
    <w:uiPriority w:val="0"/>
    <w:rPr>
      <w:rFonts w:ascii="宋体" w:hAnsi="宋体" w:eastAsia="Times New Roman"/>
      <w:kern w:val="2"/>
      <w:sz w:val="21"/>
      <w:szCs w:val="24"/>
    </w:rPr>
  </w:style>
  <w:style w:type="paragraph" w:customStyle="1" w:styleId="202">
    <w:name w:val="样式1"/>
    <w:basedOn w:val="4"/>
    <w:link w:val="201"/>
    <w:qFormat/>
    <w:uiPriority w:val="0"/>
    <w:pPr>
      <w:keepNext w:val="0"/>
      <w:keepLines w:val="0"/>
      <w:widowControl/>
      <w:spacing w:before="15" w:line="360" w:lineRule="exact"/>
      <w:jc w:val="center"/>
      <w:outlineLvl w:val="9"/>
    </w:pPr>
    <w:rPr>
      <w:rFonts w:ascii="宋体" w:hAnsi="宋体" w:eastAsia="Times New Roman"/>
      <w:bCs w:val="0"/>
      <w:sz w:val="21"/>
      <w:szCs w:val="24"/>
    </w:rPr>
  </w:style>
  <w:style w:type="character" w:customStyle="1" w:styleId="203">
    <w:name w:val="表格表格 Char"/>
    <w:link w:val="204"/>
    <w:qFormat/>
    <w:locked/>
    <w:uiPriority w:val="0"/>
    <w:rPr>
      <w:color w:val="000000"/>
      <w:sz w:val="21"/>
      <w:szCs w:val="21"/>
      <w:lang w:bidi="ar-SA"/>
    </w:rPr>
  </w:style>
  <w:style w:type="paragraph" w:customStyle="1" w:styleId="204">
    <w:name w:val="表格表格"/>
    <w:basedOn w:val="1"/>
    <w:link w:val="203"/>
    <w:qFormat/>
    <w:uiPriority w:val="0"/>
    <w:pPr>
      <w:widowControl/>
    </w:pPr>
    <w:rPr>
      <w:rFonts w:eastAsia="Times New Roman"/>
      <w:color w:val="000000"/>
      <w:kern w:val="0"/>
      <w:szCs w:val="21"/>
    </w:rPr>
  </w:style>
  <w:style w:type="character" w:customStyle="1" w:styleId="205">
    <w:name w:val="样式 左 首行缩进:  1.01 厘米 Char Char Char"/>
    <w:link w:val="206"/>
    <w:qFormat/>
    <w:uiPriority w:val="0"/>
    <w:rPr>
      <w:kern w:val="2"/>
      <w:sz w:val="26"/>
      <w:szCs w:val="26"/>
      <w:lang w:bidi="ar-SA"/>
    </w:rPr>
  </w:style>
  <w:style w:type="paragraph" w:customStyle="1" w:styleId="206">
    <w:name w:val="样式 左 首行缩进:  1.01 厘米 Char Char"/>
    <w:basedOn w:val="1"/>
    <w:link w:val="205"/>
    <w:qFormat/>
    <w:uiPriority w:val="0"/>
    <w:pPr>
      <w:widowControl/>
      <w:adjustRightInd w:val="0"/>
      <w:snapToGrid w:val="0"/>
      <w:spacing w:line="460" w:lineRule="exact"/>
      <w:ind w:firstLine="200" w:firstLineChars="200"/>
    </w:pPr>
    <w:rPr>
      <w:rFonts w:eastAsia="Times New Roman"/>
      <w:sz w:val="26"/>
      <w:szCs w:val="26"/>
    </w:rPr>
  </w:style>
  <w:style w:type="character" w:customStyle="1" w:styleId="207">
    <w:name w:val="一级标题 Char"/>
    <w:link w:val="208"/>
    <w:qFormat/>
    <w:uiPriority w:val="0"/>
    <w:rPr>
      <w:rFonts w:eastAsia="仿宋_GB2312"/>
      <w:b/>
      <w:bCs/>
      <w:sz w:val="32"/>
      <w:lang w:val="en-US" w:eastAsia="zh-CN" w:bidi="ar-SA"/>
    </w:rPr>
  </w:style>
  <w:style w:type="paragraph" w:customStyle="1" w:styleId="208">
    <w:name w:val="一级标题"/>
    <w:next w:val="1"/>
    <w:link w:val="207"/>
    <w:qFormat/>
    <w:uiPriority w:val="0"/>
    <w:pPr>
      <w:spacing w:before="156" w:beforeLines="50" w:after="156" w:afterLines="50" w:line="360" w:lineRule="exact"/>
      <w:jc w:val="center"/>
    </w:pPr>
    <w:rPr>
      <w:rFonts w:ascii="Times New Roman" w:hAnsi="Times New Roman" w:eastAsia="仿宋_GB2312" w:cs="Times New Roman"/>
      <w:b/>
      <w:bCs/>
      <w:sz w:val="32"/>
      <w:lang w:val="en-US" w:eastAsia="zh-CN" w:bidi="ar-SA"/>
    </w:rPr>
  </w:style>
  <w:style w:type="character" w:customStyle="1" w:styleId="209">
    <w:name w:val="表体 Char"/>
    <w:link w:val="210"/>
    <w:qFormat/>
    <w:uiPriority w:val="0"/>
    <w:rPr>
      <w:kern w:val="2"/>
      <w:sz w:val="21"/>
      <w:szCs w:val="24"/>
      <w:lang w:bidi="ar-SA"/>
    </w:rPr>
  </w:style>
  <w:style w:type="paragraph" w:customStyle="1" w:styleId="210">
    <w:name w:val="表体"/>
    <w:basedOn w:val="1"/>
    <w:link w:val="209"/>
    <w:qFormat/>
    <w:uiPriority w:val="0"/>
    <w:pPr>
      <w:widowControl/>
      <w:adjustRightInd w:val="0"/>
      <w:snapToGrid w:val="0"/>
      <w:spacing w:beforeLines="20" w:afterLines="20"/>
      <w:jc w:val="center"/>
    </w:pPr>
    <w:rPr>
      <w:rFonts w:eastAsia="Times New Roman"/>
    </w:rPr>
  </w:style>
  <w:style w:type="character" w:customStyle="1" w:styleId="211">
    <w:name w:val="正文四号 Char"/>
    <w:link w:val="212"/>
    <w:qFormat/>
    <w:uiPriority w:val="0"/>
    <w:rPr>
      <w:kern w:val="2"/>
      <w:sz w:val="24"/>
      <w:szCs w:val="24"/>
      <w:lang w:bidi="ar-SA"/>
    </w:rPr>
  </w:style>
  <w:style w:type="paragraph" w:customStyle="1" w:styleId="212">
    <w:name w:val="正文四号"/>
    <w:basedOn w:val="1"/>
    <w:link w:val="211"/>
    <w:qFormat/>
    <w:uiPriority w:val="0"/>
    <w:pPr>
      <w:widowControl/>
      <w:spacing w:line="360" w:lineRule="auto"/>
      <w:ind w:firstLine="200" w:firstLineChars="200"/>
    </w:pPr>
    <w:rPr>
      <w:rFonts w:eastAsia="Times New Roman"/>
    </w:rPr>
  </w:style>
  <w:style w:type="character" w:customStyle="1" w:styleId="213">
    <w:name w:val="样式 标题 2 + Times New Roman Char Char Char"/>
    <w:link w:val="214"/>
    <w:qFormat/>
    <w:uiPriority w:val="0"/>
    <w:rPr>
      <w:rFonts w:eastAsia="华文中宋"/>
      <w:b/>
      <w:bCs/>
      <w:kern w:val="2"/>
      <w:sz w:val="26"/>
      <w:szCs w:val="32"/>
    </w:rPr>
  </w:style>
  <w:style w:type="paragraph" w:customStyle="1" w:styleId="214">
    <w:name w:val="样式 标题 2 + Times New Roman Char Char"/>
    <w:basedOn w:val="3"/>
    <w:link w:val="213"/>
    <w:qFormat/>
    <w:uiPriority w:val="0"/>
    <w:pPr>
      <w:keepNext w:val="0"/>
      <w:keepLines w:val="0"/>
      <w:tabs>
        <w:tab w:val="left" w:pos="576"/>
      </w:tabs>
      <w:ind w:firstLine="512" w:firstLineChars="196"/>
    </w:pPr>
    <w:rPr>
      <w:rFonts w:ascii="Times New Roman" w:eastAsia="华文中宋"/>
      <w:bCs/>
      <w:snapToGrid/>
      <w:kern w:val="2"/>
      <w:sz w:val="26"/>
      <w:szCs w:val="32"/>
      <w:lang w:val="en-US" w:eastAsia="zh-CN"/>
    </w:rPr>
  </w:style>
  <w:style w:type="character" w:customStyle="1" w:styleId="215">
    <w:name w:val="样式 宋体 四号 行距: 1.5 倍行距 Char"/>
    <w:link w:val="216"/>
    <w:qFormat/>
    <w:uiPriority w:val="0"/>
    <w:rPr>
      <w:rFonts w:hAnsi="宋体"/>
      <w:b/>
      <w:color w:val="FF0000"/>
      <w:kern w:val="2"/>
      <w:sz w:val="24"/>
      <w:szCs w:val="24"/>
      <w:lang w:bidi="ar-SA"/>
    </w:rPr>
  </w:style>
  <w:style w:type="paragraph" w:customStyle="1" w:styleId="216">
    <w:name w:val="样式 宋体 四号 行距: 1.5 倍行距"/>
    <w:basedOn w:val="1"/>
    <w:link w:val="215"/>
    <w:qFormat/>
    <w:uiPriority w:val="0"/>
    <w:pPr>
      <w:widowControl/>
      <w:ind w:right="-169"/>
      <w:jc w:val="center"/>
    </w:pPr>
    <w:rPr>
      <w:rFonts w:hAnsi="宋体" w:eastAsia="Times New Roman"/>
      <w:b/>
      <w:color w:val="FF0000"/>
    </w:rPr>
  </w:style>
  <w:style w:type="character" w:customStyle="1" w:styleId="217">
    <w:name w:val="样式 左 Char"/>
    <w:link w:val="218"/>
    <w:qFormat/>
    <w:uiPriority w:val="0"/>
    <w:rPr>
      <w:kern w:val="2"/>
      <w:sz w:val="21"/>
      <w:lang w:bidi="ar-SA"/>
    </w:rPr>
  </w:style>
  <w:style w:type="paragraph" w:customStyle="1" w:styleId="218">
    <w:name w:val="样式 左"/>
    <w:basedOn w:val="1"/>
    <w:link w:val="217"/>
    <w:qFormat/>
    <w:uiPriority w:val="0"/>
    <w:pPr>
      <w:widowControl/>
      <w:ind w:firstLine="420" w:firstLineChars="200"/>
    </w:pPr>
    <w:rPr>
      <w:rFonts w:eastAsia="Times New Roman"/>
      <w:szCs w:val="20"/>
    </w:rPr>
  </w:style>
  <w:style w:type="character" w:customStyle="1" w:styleId="219">
    <w:name w:val="【图片】 Char"/>
    <w:link w:val="220"/>
    <w:qFormat/>
    <w:uiPriority w:val="0"/>
    <w:rPr>
      <w:rFonts w:ascii="宋体" w:hAnsi="宋体" w:eastAsia="Times New Roman"/>
      <w:sz w:val="24"/>
      <w:lang w:val="en-US" w:eastAsia="zh-CN" w:bidi="ar-SA"/>
    </w:rPr>
  </w:style>
  <w:style w:type="paragraph" w:customStyle="1" w:styleId="220">
    <w:name w:val="【图片】"/>
    <w:next w:val="15"/>
    <w:link w:val="219"/>
    <w:qFormat/>
    <w:uiPriority w:val="0"/>
    <w:pPr>
      <w:jc w:val="center"/>
    </w:pPr>
    <w:rPr>
      <w:rFonts w:ascii="宋体" w:hAnsi="宋体" w:eastAsia="Times New Roman" w:cs="Times New Roman"/>
      <w:sz w:val="24"/>
      <w:lang w:val="en-US" w:eastAsia="zh-CN" w:bidi="ar-SA"/>
    </w:rPr>
  </w:style>
  <w:style w:type="character" w:customStyle="1" w:styleId="221">
    <w:name w:val="列出段落 Char"/>
    <w:link w:val="222"/>
    <w:qFormat/>
    <w:uiPriority w:val="0"/>
    <w:rPr>
      <w:sz w:val="24"/>
      <w:szCs w:val="24"/>
      <w:lang w:eastAsia="en-US" w:bidi="en-US"/>
    </w:rPr>
  </w:style>
  <w:style w:type="paragraph" w:customStyle="1" w:styleId="222">
    <w:name w:val="List Paragraph"/>
    <w:basedOn w:val="1"/>
    <w:link w:val="221"/>
    <w:qFormat/>
    <w:uiPriority w:val="0"/>
    <w:pPr>
      <w:widowControl/>
      <w:ind w:left="720"/>
      <w:contextualSpacing/>
    </w:pPr>
    <w:rPr>
      <w:kern w:val="0"/>
      <w:lang w:val="zh-CN" w:eastAsia="en-US" w:bidi="en-US"/>
    </w:rPr>
  </w:style>
  <w:style w:type="character" w:customStyle="1" w:styleId="223">
    <w:name w:val="文章正文 Char"/>
    <w:link w:val="224"/>
    <w:qFormat/>
    <w:uiPriority w:val="0"/>
    <w:rPr>
      <w:kern w:val="2"/>
      <w:sz w:val="24"/>
      <w:szCs w:val="24"/>
      <w:lang w:bidi="ar-SA"/>
    </w:rPr>
  </w:style>
  <w:style w:type="paragraph" w:customStyle="1" w:styleId="224">
    <w:name w:val="文章正文"/>
    <w:basedOn w:val="1"/>
    <w:link w:val="223"/>
    <w:qFormat/>
    <w:uiPriority w:val="0"/>
    <w:pPr>
      <w:widowControl/>
      <w:spacing w:line="360" w:lineRule="auto"/>
      <w:ind w:firstLine="200" w:firstLineChars="200"/>
    </w:pPr>
    <w:rPr>
      <w:lang w:val="zh-CN" w:eastAsia="zh-CN"/>
    </w:rPr>
  </w:style>
  <w:style w:type="character" w:customStyle="1" w:styleId="225">
    <w:name w:val="样式 四号 黑色 Char"/>
    <w:link w:val="226"/>
    <w:qFormat/>
    <w:uiPriority w:val="0"/>
    <w:rPr>
      <w:kern w:val="2"/>
      <w:sz w:val="24"/>
      <w:szCs w:val="24"/>
      <w:lang w:bidi="ar-SA"/>
    </w:rPr>
  </w:style>
  <w:style w:type="paragraph" w:customStyle="1" w:styleId="226">
    <w:name w:val="样式 四号 黑色"/>
    <w:basedOn w:val="1"/>
    <w:link w:val="225"/>
    <w:qFormat/>
    <w:uiPriority w:val="0"/>
    <w:pPr>
      <w:widowControl/>
      <w:spacing w:line="360" w:lineRule="auto"/>
      <w:ind w:firstLine="560" w:firstLineChars="200"/>
    </w:pPr>
    <w:rPr>
      <w:rFonts w:eastAsia="Times New Roman"/>
    </w:rPr>
  </w:style>
  <w:style w:type="character" w:customStyle="1" w:styleId="227">
    <w:name w:val="样式 样式 四号 黑色 + 首行缩进:  2 字符 Char"/>
    <w:link w:val="228"/>
    <w:qFormat/>
    <w:uiPriority w:val="0"/>
    <w:rPr>
      <w:rFonts w:eastAsia="Times New Roman" w:cs="宋体"/>
      <w:color w:val="000000"/>
      <w:kern w:val="2"/>
      <w:sz w:val="28"/>
      <w:lang w:val="en-US" w:eastAsia="zh-CN" w:bidi="ar-SA"/>
    </w:rPr>
  </w:style>
  <w:style w:type="paragraph" w:customStyle="1" w:styleId="228">
    <w:name w:val="样式 样式 四号 黑色 + 首行缩进:  2 字符"/>
    <w:link w:val="227"/>
    <w:qFormat/>
    <w:uiPriority w:val="0"/>
    <w:pPr>
      <w:spacing w:line="360" w:lineRule="auto"/>
      <w:ind w:firstLine="200" w:firstLineChars="200"/>
    </w:pPr>
    <w:rPr>
      <w:rFonts w:ascii="Times New Roman" w:hAnsi="Times New Roman" w:eastAsia="Times New Roman" w:cs="宋体"/>
      <w:color w:val="000000"/>
      <w:kern w:val="2"/>
      <w:sz w:val="28"/>
      <w:lang w:val="en-US" w:eastAsia="zh-CN" w:bidi="ar-SA"/>
    </w:rPr>
  </w:style>
  <w:style w:type="character" w:customStyle="1" w:styleId="229">
    <w:name w:val="标题 2- Char"/>
    <w:link w:val="230"/>
    <w:qFormat/>
    <w:uiPriority w:val="0"/>
    <w:rPr>
      <w:rFonts w:ascii="Arial" w:hAnsi="Arial" w:eastAsia="华文中宋"/>
      <w:b/>
      <w:color w:val="000000"/>
      <w:kern w:val="2"/>
      <w:sz w:val="30"/>
      <w:szCs w:val="24"/>
    </w:rPr>
  </w:style>
  <w:style w:type="paragraph" w:customStyle="1" w:styleId="230">
    <w:name w:val="标题 2-"/>
    <w:basedOn w:val="3"/>
    <w:link w:val="229"/>
    <w:qFormat/>
    <w:uiPriority w:val="0"/>
    <w:pPr>
      <w:tabs>
        <w:tab w:val="left" w:pos="576"/>
      </w:tabs>
      <w:spacing w:before="100" w:line="480" w:lineRule="auto"/>
    </w:pPr>
    <w:rPr>
      <w:rFonts w:ascii="Arial" w:hAnsi="Arial" w:eastAsia="华文中宋"/>
      <w:snapToGrid/>
      <w:color w:val="000000"/>
      <w:kern w:val="2"/>
      <w:sz w:val="30"/>
      <w:lang w:val="en-US" w:eastAsia="zh-CN"/>
    </w:rPr>
  </w:style>
  <w:style w:type="character" w:customStyle="1" w:styleId="231">
    <w:name w:val="王向东正文 Char"/>
    <w:link w:val="232"/>
    <w:qFormat/>
    <w:uiPriority w:val="0"/>
    <w:rPr>
      <w:rFonts w:hAnsi="宋体" w:eastAsia="Times New Roman"/>
      <w:color w:val="000000"/>
      <w:kern w:val="2"/>
      <w:sz w:val="24"/>
      <w:szCs w:val="24"/>
      <w:lang w:val="en-US" w:eastAsia="zh-CN" w:bidi="ar-SA"/>
    </w:rPr>
  </w:style>
  <w:style w:type="paragraph" w:customStyle="1" w:styleId="232">
    <w:name w:val="王向东正文"/>
    <w:link w:val="231"/>
    <w:qFormat/>
    <w:uiPriority w:val="0"/>
    <w:pPr>
      <w:spacing w:line="360" w:lineRule="auto"/>
      <w:ind w:firstLine="540" w:firstLineChars="225"/>
      <w:jc w:val="both"/>
    </w:pPr>
    <w:rPr>
      <w:rFonts w:ascii="Times New Roman" w:hAnsi="宋体" w:eastAsia="Times New Roman" w:cs="Times New Roman"/>
      <w:color w:val="000000"/>
      <w:kern w:val="2"/>
      <w:sz w:val="24"/>
      <w:szCs w:val="24"/>
      <w:lang w:val="en-US" w:eastAsia="zh-CN" w:bidi="ar-SA"/>
    </w:rPr>
  </w:style>
  <w:style w:type="character" w:customStyle="1" w:styleId="233">
    <w:name w:val="文本_hunqiu Char"/>
    <w:link w:val="234"/>
    <w:qFormat/>
    <w:uiPriority w:val="0"/>
    <w:rPr>
      <w:color w:val="000000"/>
      <w:kern w:val="2"/>
      <w:sz w:val="28"/>
      <w:szCs w:val="28"/>
      <w:lang w:bidi="ar-SA"/>
    </w:rPr>
  </w:style>
  <w:style w:type="paragraph" w:customStyle="1" w:styleId="234">
    <w:name w:val="文本_hunqiu"/>
    <w:basedOn w:val="1"/>
    <w:link w:val="233"/>
    <w:qFormat/>
    <w:uiPriority w:val="0"/>
    <w:pPr>
      <w:widowControl/>
      <w:spacing w:line="360" w:lineRule="auto"/>
      <w:ind w:firstLine="560" w:firstLineChars="200"/>
    </w:pPr>
    <w:rPr>
      <w:rFonts w:eastAsia="Times New Roman"/>
      <w:color w:val="000000"/>
      <w:sz w:val="28"/>
      <w:szCs w:val="28"/>
    </w:rPr>
  </w:style>
  <w:style w:type="character" w:customStyle="1" w:styleId="235">
    <w:name w:val="3213213213 Char Char"/>
    <w:link w:val="236"/>
    <w:qFormat/>
    <w:uiPriority w:val="0"/>
    <w:rPr>
      <w:kern w:val="2"/>
      <w:sz w:val="28"/>
      <w:lang w:bidi="ar-SA"/>
    </w:rPr>
  </w:style>
  <w:style w:type="paragraph" w:customStyle="1" w:styleId="236">
    <w:name w:val="3213213213"/>
    <w:basedOn w:val="1"/>
    <w:link w:val="235"/>
    <w:qFormat/>
    <w:uiPriority w:val="0"/>
    <w:pPr>
      <w:widowControl/>
      <w:spacing w:line="360" w:lineRule="auto"/>
      <w:ind w:firstLine="480" w:firstLineChars="200"/>
    </w:pPr>
    <w:rPr>
      <w:rFonts w:eastAsia="Times New Roman"/>
      <w:sz w:val="28"/>
      <w:szCs w:val="20"/>
    </w:rPr>
  </w:style>
  <w:style w:type="character" w:customStyle="1" w:styleId="237">
    <w:name w:val="排版正文 Char Char Char Char"/>
    <w:link w:val="238"/>
    <w:qFormat/>
    <w:uiPriority w:val="0"/>
    <w:rPr>
      <w:kern w:val="2"/>
      <w:sz w:val="26"/>
      <w:szCs w:val="22"/>
      <w:lang w:bidi="ar-SA"/>
    </w:rPr>
  </w:style>
  <w:style w:type="paragraph" w:customStyle="1" w:styleId="238">
    <w:name w:val="排版正文 Char Char Char"/>
    <w:basedOn w:val="1"/>
    <w:next w:val="1"/>
    <w:link w:val="237"/>
    <w:qFormat/>
    <w:uiPriority w:val="0"/>
    <w:pPr>
      <w:widowControl/>
      <w:adjustRightInd w:val="0"/>
      <w:snapToGrid w:val="0"/>
      <w:spacing w:line="460" w:lineRule="exact"/>
      <w:ind w:firstLine="510"/>
    </w:pPr>
    <w:rPr>
      <w:rFonts w:eastAsia="Times New Roman"/>
      <w:sz w:val="26"/>
      <w:szCs w:val="22"/>
    </w:rPr>
  </w:style>
  <w:style w:type="character" w:customStyle="1" w:styleId="239">
    <w:name w:val="标准样式 Char Char Char"/>
    <w:link w:val="240"/>
    <w:qFormat/>
    <w:uiPriority w:val="0"/>
    <w:rPr>
      <w:rFonts w:eastAsia="Times New Roman"/>
      <w:sz w:val="28"/>
      <w:lang w:val="en-US" w:eastAsia="zh-CN" w:bidi="ar-SA"/>
    </w:rPr>
  </w:style>
  <w:style w:type="paragraph" w:customStyle="1" w:styleId="240">
    <w:name w:val="标准样式 Char Char"/>
    <w:link w:val="239"/>
    <w:qFormat/>
    <w:uiPriority w:val="0"/>
    <w:pPr>
      <w:widowControl w:val="0"/>
      <w:spacing w:line="600" w:lineRule="exact"/>
      <w:ind w:firstLine="200" w:firstLineChars="200"/>
      <w:jc w:val="both"/>
    </w:pPr>
    <w:rPr>
      <w:rFonts w:ascii="Times New Roman" w:hAnsi="Times New Roman" w:eastAsia="Times New Roman" w:cs="Times New Roman"/>
      <w:sz w:val="28"/>
      <w:lang w:val="en-US" w:eastAsia="zh-CN" w:bidi="ar-SA"/>
    </w:rPr>
  </w:style>
  <w:style w:type="character" w:customStyle="1" w:styleId="241">
    <w:name w:val="正文四号 Char Char Char Char"/>
    <w:link w:val="242"/>
    <w:qFormat/>
    <w:uiPriority w:val="0"/>
    <w:rPr>
      <w:kern w:val="2"/>
      <w:sz w:val="24"/>
      <w:szCs w:val="24"/>
      <w:lang w:bidi="ar-SA"/>
    </w:rPr>
  </w:style>
  <w:style w:type="paragraph" w:customStyle="1" w:styleId="242">
    <w:name w:val="正文四号 Char Char Char"/>
    <w:basedOn w:val="1"/>
    <w:link w:val="241"/>
    <w:qFormat/>
    <w:uiPriority w:val="0"/>
    <w:pPr>
      <w:widowControl/>
      <w:spacing w:line="360" w:lineRule="auto"/>
      <w:ind w:firstLine="200" w:firstLineChars="200"/>
    </w:pPr>
    <w:rPr>
      <w:rFonts w:eastAsia="Times New Roman"/>
    </w:rPr>
  </w:style>
  <w:style w:type="character" w:customStyle="1" w:styleId="243">
    <w:name w:val="表头1 Char"/>
    <w:link w:val="244"/>
    <w:qFormat/>
    <w:uiPriority w:val="0"/>
    <w:rPr>
      <w:rFonts w:eastAsia="黑体"/>
      <w:sz w:val="21"/>
      <w:szCs w:val="28"/>
      <w:lang w:bidi="ar-SA"/>
    </w:rPr>
  </w:style>
  <w:style w:type="paragraph" w:customStyle="1" w:styleId="244">
    <w:name w:val="表头1"/>
    <w:basedOn w:val="1"/>
    <w:next w:val="1"/>
    <w:link w:val="243"/>
    <w:qFormat/>
    <w:uiPriority w:val="0"/>
    <w:pPr>
      <w:widowControl/>
      <w:tabs>
        <w:tab w:val="left" w:pos="605"/>
      </w:tabs>
      <w:adjustRightInd w:val="0"/>
      <w:snapToGrid w:val="0"/>
      <w:jc w:val="center"/>
    </w:pPr>
    <w:rPr>
      <w:rFonts w:eastAsia="黑体"/>
      <w:kern w:val="0"/>
      <w:szCs w:val="28"/>
    </w:rPr>
  </w:style>
  <w:style w:type="character" w:customStyle="1" w:styleId="245">
    <w:name w:val="表、图名 Char"/>
    <w:link w:val="246"/>
    <w:semiHidden/>
    <w:qFormat/>
    <w:uiPriority w:val="0"/>
    <w:rPr>
      <w:rFonts w:eastAsia="黑体"/>
      <w:sz w:val="21"/>
      <w:szCs w:val="21"/>
      <w:lang w:bidi="ar-SA"/>
    </w:rPr>
  </w:style>
  <w:style w:type="paragraph" w:customStyle="1" w:styleId="246">
    <w:name w:val="表、图名"/>
    <w:basedOn w:val="149"/>
    <w:link w:val="245"/>
    <w:semiHidden/>
    <w:qFormat/>
    <w:uiPriority w:val="0"/>
    <w:pPr>
      <w:ind w:firstLine="0" w:firstLineChars="0"/>
    </w:pPr>
    <w:rPr>
      <w:rFonts w:ascii="Times New Roman" w:hAnsi="Times New Roman" w:eastAsia="黑体"/>
      <w:b w:val="0"/>
      <w:kern w:val="0"/>
      <w:sz w:val="21"/>
      <w:szCs w:val="21"/>
    </w:rPr>
  </w:style>
  <w:style w:type="character" w:customStyle="1" w:styleId="247">
    <w:name w:val="报告书正文 Char"/>
    <w:link w:val="248"/>
    <w:qFormat/>
    <w:uiPriority w:val="0"/>
    <w:rPr>
      <w:rFonts w:hAnsi="宋体"/>
      <w:kern w:val="2"/>
      <w:sz w:val="24"/>
      <w:szCs w:val="24"/>
      <w:lang w:bidi="ar-SA"/>
    </w:rPr>
  </w:style>
  <w:style w:type="paragraph" w:customStyle="1" w:styleId="248">
    <w:name w:val="报告书正文"/>
    <w:basedOn w:val="1"/>
    <w:link w:val="247"/>
    <w:qFormat/>
    <w:uiPriority w:val="0"/>
    <w:pPr>
      <w:widowControl/>
      <w:spacing w:line="360" w:lineRule="auto"/>
      <w:ind w:firstLine="480" w:firstLineChars="200"/>
    </w:pPr>
    <w:rPr>
      <w:rFonts w:hAnsi="宋体" w:eastAsia="Times New Roman"/>
    </w:rPr>
  </w:style>
  <w:style w:type="character" w:customStyle="1" w:styleId="249">
    <w:name w:val="表头－薛 Char"/>
    <w:link w:val="250"/>
    <w:qFormat/>
    <w:uiPriority w:val="0"/>
    <w:rPr>
      <w:b/>
      <w:kern w:val="2"/>
      <w:sz w:val="21"/>
      <w:szCs w:val="21"/>
      <w:lang w:bidi="ar-SA"/>
    </w:rPr>
  </w:style>
  <w:style w:type="paragraph" w:customStyle="1" w:styleId="250">
    <w:name w:val="表头－薛"/>
    <w:basedOn w:val="1"/>
    <w:link w:val="249"/>
    <w:qFormat/>
    <w:uiPriority w:val="0"/>
    <w:pPr>
      <w:widowControl/>
      <w:spacing w:line="360" w:lineRule="auto"/>
      <w:jc w:val="center"/>
    </w:pPr>
    <w:rPr>
      <w:rFonts w:eastAsia="Times New Roman"/>
      <w:b/>
      <w:szCs w:val="21"/>
    </w:rPr>
  </w:style>
  <w:style w:type="character" w:customStyle="1" w:styleId="251">
    <w:name w:val="yyp Char"/>
    <w:link w:val="252"/>
    <w:qFormat/>
    <w:uiPriority w:val="0"/>
    <w:rPr>
      <w:rFonts w:hAnsi="宋体"/>
      <w:kern w:val="2"/>
      <w:sz w:val="24"/>
      <w:szCs w:val="21"/>
      <w:lang w:bidi="ar-SA"/>
    </w:rPr>
  </w:style>
  <w:style w:type="paragraph" w:customStyle="1" w:styleId="252">
    <w:name w:val="yyp"/>
    <w:basedOn w:val="15"/>
    <w:link w:val="251"/>
    <w:qFormat/>
    <w:uiPriority w:val="0"/>
    <w:pPr>
      <w:widowControl w:val="0"/>
      <w:spacing w:after="0" w:line="360" w:lineRule="auto"/>
      <w:ind w:firstLine="480" w:firstLineChars="200"/>
      <w:jc w:val="both"/>
    </w:pPr>
    <w:rPr>
      <w:rFonts w:hAnsi="宋体"/>
      <w:sz w:val="24"/>
      <w:szCs w:val="21"/>
    </w:rPr>
  </w:style>
  <w:style w:type="character" w:customStyle="1" w:styleId="253">
    <w:name w:val="@标题2 Char"/>
    <w:link w:val="254"/>
    <w:qFormat/>
    <w:uiPriority w:val="0"/>
    <w:rPr>
      <w:rFonts w:eastAsia="仿宋_GB2312"/>
      <w:b/>
      <w:bCs/>
      <w:kern w:val="2"/>
      <w:sz w:val="28"/>
      <w:szCs w:val="32"/>
      <w:lang w:val="zh-CN" w:eastAsia="zh-CN"/>
    </w:rPr>
  </w:style>
  <w:style w:type="paragraph" w:customStyle="1" w:styleId="254">
    <w:name w:val="@标题2"/>
    <w:basedOn w:val="3"/>
    <w:link w:val="253"/>
    <w:qFormat/>
    <w:uiPriority w:val="0"/>
    <w:pPr>
      <w:adjustRightInd w:val="0"/>
      <w:snapToGrid w:val="0"/>
      <w:spacing w:line="240" w:lineRule="auto"/>
      <w:ind w:left="0" w:firstLine="0"/>
    </w:pPr>
    <w:rPr>
      <w:rFonts w:ascii="Times New Roman" w:eastAsia="仿宋_GB2312"/>
      <w:bCs/>
      <w:snapToGrid/>
      <w:kern w:val="2"/>
      <w:sz w:val="28"/>
      <w:szCs w:val="32"/>
    </w:rPr>
  </w:style>
  <w:style w:type="character" w:customStyle="1" w:styleId="255">
    <w:name w:val="AA Char"/>
    <w:link w:val="256"/>
    <w:qFormat/>
    <w:uiPriority w:val="0"/>
    <w:rPr>
      <w:kern w:val="2"/>
      <w:sz w:val="24"/>
      <w:szCs w:val="24"/>
      <w:lang w:bidi="ar-SA"/>
    </w:rPr>
  </w:style>
  <w:style w:type="paragraph" w:customStyle="1" w:styleId="256">
    <w:name w:val="AA"/>
    <w:basedOn w:val="1"/>
    <w:link w:val="255"/>
    <w:qFormat/>
    <w:uiPriority w:val="0"/>
    <w:pPr>
      <w:widowControl/>
      <w:spacing w:line="360" w:lineRule="auto"/>
      <w:ind w:firstLine="200" w:firstLineChars="200"/>
    </w:pPr>
    <w:rPr>
      <w:rFonts w:eastAsia="Times New Roman"/>
    </w:rPr>
  </w:style>
  <w:style w:type="character" w:customStyle="1" w:styleId="257">
    <w:name w:val="2级标题 Char"/>
    <w:link w:val="258"/>
    <w:qFormat/>
    <w:uiPriority w:val="0"/>
    <w:rPr>
      <w:b/>
      <w:kern w:val="2"/>
      <w:sz w:val="26"/>
      <w:szCs w:val="26"/>
      <w:lang w:bidi="ar-SA"/>
    </w:rPr>
  </w:style>
  <w:style w:type="paragraph" w:customStyle="1" w:styleId="258">
    <w:name w:val="2级标题"/>
    <w:basedOn w:val="1"/>
    <w:link w:val="257"/>
    <w:qFormat/>
    <w:uiPriority w:val="0"/>
    <w:pPr>
      <w:widowControl/>
      <w:spacing w:line="460" w:lineRule="exact"/>
      <w:ind w:firstLine="200" w:firstLineChars="200"/>
    </w:pPr>
    <w:rPr>
      <w:b/>
      <w:sz w:val="26"/>
      <w:szCs w:val="26"/>
      <w:lang w:val="zh-CN" w:eastAsia="zh-CN"/>
    </w:rPr>
  </w:style>
  <w:style w:type="character" w:customStyle="1" w:styleId="259">
    <w:name w:val="5文章(治) Char"/>
    <w:link w:val="260"/>
    <w:qFormat/>
    <w:uiPriority w:val="0"/>
    <w:rPr>
      <w:rFonts w:ascii="宋体" w:hAnsi="宋体"/>
      <w:color w:val="000000"/>
      <w:sz w:val="24"/>
      <w:szCs w:val="24"/>
      <w:lang w:bidi="ar-SA"/>
    </w:rPr>
  </w:style>
  <w:style w:type="paragraph" w:customStyle="1" w:styleId="260">
    <w:name w:val="5文章(治)"/>
    <w:basedOn w:val="1"/>
    <w:link w:val="259"/>
    <w:qFormat/>
    <w:uiPriority w:val="0"/>
    <w:pPr>
      <w:widowControl/>
      <w:spacing w:line="360" w:lineRule="auto"/>
      <w:ind w:firstLine="480" w:firstLineChars="200"/>
    </w:pPr>
    <w:rPr>
      <w:rFonts w:ascii="宋体" w:hAnsi="宋体" w:eastAsia="Times New Roman"/>
      <w:color w:val="000000"/>
      <w:kern w:val="0"/>
    </w:rPr>
  </w:style>
  <w:style w:type="paragraph" w:customStyle="1" w:styleId="261">
    <w:name w:val="正文楷体"/>
    <w:basedOn w:val="1"/>
    <w:qFormat/>
    <w:uiPriority w:val="0"/>
    <w:pPr>
      <w:widowControl/>
      <w:adjustRightInd w:val="0"/>
      <w:snapToGrid w:val="0"/>
      <w:spacing w:line="360" w:lineRule="auto"/>
      <w:ind w:firstLine="200" w:firstLineChars="200"/>
    </w:pPr>
    <w:rPr>
      <w:rFonts w:ascii="宋体" w:hAnsi="宋体" w:eastAsia="楷体_GB2312" w:cs="宋体"/>
      <w:snapToGrid w:val="0"/>
      <w:kern w:val="0"/>
      <w:szCs w:val="20"/>
    </w:rPr>
  </w:style>
  <w:style w:type="paragraph" w:customStyle="1" w:styleId="262">
    <w:name w:val="表格文字五号"/>
    <w:basedOn w:val="263"/>
    <w:qFormat/>
    <w:uiPriority w:val="0"/>
    <w:pPr>
      <w:autoSpaceDE w:val="0"/>
      <w:autoSpaceDN w:val="0"/>
      <w:snapToGrid w:val="0"/>
      <w:spacing w:line="240" w:lineRule="atLeast"/>
      <w:jc w:val="center"/>
    </w:pPr>
    <w:rPr>
      <w:rFonts w:cs="Arial"/>
      <w:bCs/>
      <w:snapToGrid w:val="0"/>
      <w:color w:val="000000"/>
      <w:sz w:val="21"/>
    </w:rPr>
  </w:style>
  <w:style w:type="paragraph" w:customStyle="1" w:styleId="263">
    <w:name w:val="表格文字1"/>
    <w:basedOn w:val="69"/>
    <w:qFormat/>
    <w:uiPriority w:val="0"/>
    <w:pPr>
      <w:widowControl/>
      <w:tabs>
        <w:tab w:val="clear" w:pos="560"/>
      </w:tabs>
      <w:overflowPunct/>
      <w:snapToGrid/>
      <w:spacing w:line="320" w:lineRule="exact"/>
    </w:pPr>
    <w:rPr>
      <w:snapToGrid/>
      <w:szCs w:val="22"/>
    </w:rPr>
  </w:style>
  <w:style w:type="paragraph" w:customStyle="1" w:styleId="264">
    <w:name w:val="标题3，中板"/>
    <w:basedOn w:val="4"/>
    <w:qFormat/>
    <w:uiPriority w:val="0"/>
    <w:pPr>
      <w:widowControl/>
      <w:spacing w:line="413" w:lineRule="auto"/>
    </w:pPr>
    <w:rPr>
      <w:rFonts w:cs="宋体"/>
      <w:snapToGrid w:val="0"/>
      <w:kern w:val="44"/>
      <w:sz w:val="28"/>
      <w:szCs w:val="24"/>
      <w:lang w:val="zh-CN" w:eastAsia="zh-CN"/>
    </w:rPr>
  </w:style>
  <w:style w:type="paragraph" w:customStyle="1" w:styleId="265">
    <w:name w:val="样式 正文文本"/>
    <w:basedOn w:val="16"/>
    <w:qFormat/>
    <w:uiPriority w:val="0"/>
    <w:pPr>
      <w:widowControl/>
      <w:adjustRightInd w:val="0"/>
      <w:snapToGrid w:val="0"/>
      <w:spacing w:before="0" w:beforeAutospacing="0" w:after="0" w:line="360" w:lineRule="auto"/>
      <w:ind w:firstLine="200" w:firstLineChars="200"/>
    </w:pPr>
    <w:rPr>
      <w:rFonts w:eastAsia="楷体_GB2312"/>
      <w:szCs w:val="20"/>
    </w:rPr>
  </w:style>
  <w:style w:type="paragraph" w:customStyle="1" w:styleId="266">
    <w:name w:val="标题4，中板"/>
    <w:basedOn w:val="6"/>
    <w:next w:val="1"/>
    <w:qFormat/>
    <w:uiPriority w:val="0"/>
    <w:pPr>
      <w:keepLines w:val="0"/>
      <w:widowControl/>
      <w:tabs>
        <w:tab w:val="left" w:pos="425"/>
      </w:tabs>
      <w:adjustRightInd w:val="0"/>
      <w:snapToGrid w:val="0"/>
      <w:spacing w:before="0" w:beforeLines="100" w:after="240" w:line="360" w:lineRule="auto"/>
    </w:pPr>
    <w:rPr>
      <w:rFonts w:ascii="Times New Roman" w:hAnsi="Times New Roman" w:eastAsia="楷体_GB2312" w:cs="宋体"/>
      <w:bCs w:val="0"/>
      <w:kern w:val="0"/>
      <w:sz w:val="24"/>
      <w:szCs w:val="24"/>
    </w:rPr>
  </w:style>
  <w:style w:type="paragraph" w:customStyle="1" w:styleId="267">
    <w:name w:val="cucd-1"/>
    <w:next w:val="268"/>
    <w:qFormat/>
    <w:uiPriority w:val="0"/>
    <w:pPr>
      <w:pageBreakBefore/>
      <w:numPr>
        <w:ilvl w:val="0"/>
        <w:numId w:val="2"/>
      </w:numPr>
      <w:tabs>
        <w:tab w:val="left" w:pos="425"/>
      </w:tabs>
      <w:spacing w:before="312" w:beforeLines="100" w:after="156" w:afterLines="50" w:line="360" w:lineRule="auto"/>
      <w:ind w:left="425"/>
      <w:jc w:val="center"/>
      <w:outlineLvl w:val="0"/>
    </w:pPr>
    <w:rPr>
      <w:rFonts w:ascii="Times New Roman" w:hAnsi="Times New Roman" w:eastAsia="黑体" w:cs="Times New Roman"/>
      <w:b/>
      <w:kern w:val="2"/>
      <w:sz w:val="36"/>
      <w:szCs w:val="24"/>
      <w:lang w:val="en-US" w:eastAsia="zh-CN" w:bidi="ar-SA"/>
    </w:rPr>
  </w:style>
  <w:style w:type="paragraph" w:customStyle="1" w:styleId="268">
    <w:name w:val="cucd-2"/>
    <w:next w:val="269"/>
    <w:qFormat/>
    <w:uiPriority w:val="0"/>
    <w:pPr>
      <w:numPr>
        <w:ilvl w:val="1"/>
        <w:numId w:val="2"/>
      </w:numPr>
      <w:spacing w:line="360" w:lineRule="auto"/>
      <w:outlineLvl w:val="1"/>
    </w:pPr>
    <w:rPr>
      <w:rFonts w:ascii="Times New Roman" w:hAnsi="Times New Roman" w:eastAsia="黑体" w:cs="Times New Roman"/>
      <w:b/>
      <w:kern w:val="2"/>
      <w:sz w:val="30"/>
      <w:szCs w:val="24"/>
      <w:lang w:val="en-US" w:eastAsia="zh-CN" w:bidi="ar-SA"/>
    </w:rPr>
  </w:style>
  <w:style w:type="paragraph" w:customStyle="1" w:styleId="269">
    <w:name w:val="cucd-3"/>
    <w:next w:val="270"/>
    <w:link w:val="271"/>
    <w:qFormat/>
    <w:uiPriority w:val="0"/>
    <w:pPr>
      <w:tabs>
        <w:tab w:val="left" w:pos="1260"/>
      </w:tabs>
      <w:spacing w:line="360" w:lineRule="auto"/>
      <w:outlineLvl w:val="2"/>
    </w:pPr>
    <w:rPr>
      <w:rFonts w:ascii="Times New Roman" w:hAnsi="Times New Roman" w:eastAsia="宋体" w:cs="Times New Roman"/>
      <w:b/>
      <w:kern w:val="2"/>
      <w:sz w:val="28"/>
      <w:szCs w:val="24"/>
      <w:lang w:val="en-US" w:eastAsia="zh-CN" w:bidi="ar-SA"/>
    </w:rPr>
  </w:style>
  <w:style w:type="paragraph" w:customStyle="1" w:styleId="270">
    <w:name w:val="cucd-4"/>
    <w:next w:val="91"/>
    <w:link w:val="409"/>
    <w:qFormat/>
    <w:uiPriority w:val="0"/>
    <w:pPr>
      <w:tabs>
        <w:tab w:val="left" w:pos="1680"/>
      </w:tabs>
      <w:spacing w:line="360" w:lineRule="auto"/>
      <w:ind w:left="1680" w:hanging="420"/>
      <w:outlineLvl w:val="3"/>
    </w:pPr>
    <w:rPr>
      <w:rFonts w:ascii="Times New Roman" w:hAnsi="Times New Roman" w:eastAsia="宋体" w:cs="Times New Roman"/>
      <w:b/>
      <w:kern w:val="2"/>
      <w:sz w:val="24"/>
      <w:szCs w:val="24"/>
      <w:lang w:val="en-US" w:eastAsia="zh-CN" w:bidi="ar-SA"/>
    </w:rPr>
  </w:style>
  <w:style w:type="character" w:customStyle="1" w:styleId="271">
    <w:name w:val="cucd-3 Char"/>
    <w:link w:val="269"/>
    <w:qFormat/>
    <w:uiPriority w:val="0"/>
    <w:rPr>
      <w:b/>
      <w:kern w:val="2"/>
      <w:sz w:val="28"/>
      <w:szCs w:val="24"/>
    </w:rPr>
  </w:style>
  <w:style w:type="paragraph" w:customStyle="1" w:styleId="272">
    <w:name w:val="cucd-TB-Head"/>
    <w:basedOn w:val="1"/>
    <w:next w:val="91"/>
    <w:link w:val="273"/>
    <w:qFormat/>
    <w:uiPriority w:val="0"/>
    <w:pPr>
      <w:spacing w:line="360" w:lineRule="auto"/>
      <w:jc w:val="center"/>
    </w:pPr>
    <w:rPr>
      <w:rFonts w:eastAsia="黑体"/>
      <w:lang w:val="zh-CN" w:eastAsia="zh-CN"/>
    </w:rPr>
  </w:style>
  <w:style w:type="character" w:customStyle="1" w:styleId="273">
    <w:name w:val="cucd-TB-Head Char"/>
    <w:link w:val="272"/>
    <w:qFormat/>
    <w:uiPriority w:val="0"/>
    <w:rPr>
      <w:rFonts w:eastAsia="黑体"/>
      <w:kern w:val="2"/>
      <w:sz w:val="24"/>
      <w:szCs w:val="24"/>
      <w:lang w:val="zh-CN" w:eastAsia="zh-CN" w:bidi="ar-SA"/>
    </w:rPr>
  </w:style>
  <w:style w:type="paragraph" w:customStyle="1" w:styleId="274">
    <w:name w:val="表格内文字"/>
    <w:basedOn w:val="1"/>
    <w:link w:val="275"/>
    <w:semiHidden/>
    <w:qFormat/>
    <w:uiPriority w:val="0"/>
    <w:pPr>
      <w:adjustRightInd w:val="0"/>
      <w:snapToGrid w:val="0"/>
      <w:jc w:val="center"/>
    </w:pPr>
    <w:rPr>
      <w:rFonts w:hAnsi="宋体"/>
      <w:snapToGrid w:val="0"/>
      <w:kern w:val="0"/>
      <w:szCs w:val="21"/>
      <w:lang w:val="de-DE"/>
    </w:rPr>
  </w:style>
  <w:style w:type="character" w:customStyle="1" w:styleId="275">
    <w:name w:val="表格内文字 Char"/>
    <w:link w:val="274"/>
    <w:semiHidden/>
    <w:qFormat/>
    <w:uiPriority w:val="0"/>
    <w:rPr>
      <w:rFonts w:hAnsi="宋体" w:eastAsia="宋体"/>
      <w:snapToGrid w:val="0"/>
      <w:sz w:val="21"/>
      <w:szCs w:val="21"/>
      <w:lang w:val="de-DE" w:eastAsia="zh-CN" w:bidi="ar-SA"/>
    </w:rPr>
  </w:style>
  <w:style w:type="character" w:customStyle="1" w:styleId="276">
    <w:name w:val="标题 4 Char1"/>
    <w:qFormat/>
    <w:uiPriority w:val="0"/>
    <w:rPr>
      <w:rFonts w:ascii="Arial" w:hAnsi="Arial" w:eastAsia="黑体"/>
      <w:b/>
      <w:bCs/>
      <w:kern w:val="2"/>
      <w:sz w:val="24"/>
      <w:szCs w:val="28"/>
      <w:lang w:val="en-US" w:eastAsia="zh-CN" w:bidi="ar-SA"/>
    </w:rPr>
  </w:style>
  <w:style w:type="character" w:customStyle="1" w:styleId="277">
    <w:name w:val="标题 33"/>
    <w:qFormat/>
    <w:uiPriority w:val="0"/>
    <w:rPr>
      <w:rFonts w:eastAsia="宋体"/>
      <w:spacing w:val="6"/>
      <w:sz w:val="24"/>
      <w:szCs w:val="24"/>
      <w:lang w:val="zh-CN" w:eastAsia="zh-CN" w:bidi="ar-SA"/>
    </w:rPr>
  </w:style>
  <w:style w:type="paragraph" w:customStyle="1" w:styleId="278">
    <w:name w:val="7"/>
    <w:basedOn w:val="1"/>
    <w:qFormat/>
    <w:uiPriority w:val="0"/>
    <w:pPr>
      <w:widowControl/>
      <w:autoSpaceDE w:val="0"/>
      <w:autoSpaceDN w:val="0"/>
      <w:adjustRightInd w:val="0"/>
      <w:snapToGrid w:val="0"/>
      <w:spacing w:line="360" w:lineRule="auto"/>
      <w:ind w:firstLine="200" w:firstLineChars="200"/>
      <w:textAlignment w:val="baseline"/>
    </w:pPr>
    <w:rPr>
      <w:rFonts w:ascii="宋体" w:hAnsi="宋体" w:cs="宋体"/>
      <w:kern w:val="0"/>
      <w:sz w:val="28"/>
      <w:szCs w:val="28"/>
    </w:rPr>
  </w:style>
  <w:style w:type="paragraph" w:customStyle="1" w:styleId="279">
    <w:name w:val="表格"/>
    <w:basedOn w:val="1"/>
    <w:qFormat/>
    <w:uiPriority w:val="0"/>
    <w:pPr>
      <w:widowControl/>
      <w:adjustRightInd w:val="0"/>
      <w:snapToGrid w:val="0"/>
      <w:spacing w:beforeLines="20"/>
      <w:jc w:val="center"/>
    </w:pPr>
    <w:rPr>
      <w:rFonts w:ascii="宋体" w:hAnsi="宋体" w:cs="宋体"/>
      <w:snapToGrid w:val="0"/>
      <w:kern w:val="21"/>
    </w:rPr>
  </w:style>
  <w:style w:type="paragraph" w:customStyle="1" w:styleId="280">
    <w:name w:val="样式 表格 32 + 首行缩进:  2 字符"/>
    <w:basedOn w:val="1"/>
    <w:qFormat/>
    <w:uiPriority w:val="0"/>
    <w:pPr>
      <w:autoSpaceDE w:val="0"/>
      <w:autoSpaceDN w:val="0"/>
      <w:adjustRightInd w:val="0"/>
      <w:spacing w:line="0" w:lineRule="atLeast"/>
      <w:jc w:val="center"/>
      <w:textAlignment w:val="baseline"/>
    </w:pPr>
    <w:rPr>
      <w:kern w:val="0"/>
      <w:szCs w:val="21"/>
    </w:rPr>
  </w:style>
  <w:style w:type="character" w:customStyle="1" w:styleId="281">
    <w:name w:val="Head 1wsa Char"/>
    <w:qFormat/>
    <w:uiPriority w:val="0"/>
    <w:rPr>
      <w:rFonts w:eastAsia="宋体"/>
      <w:b/>
      <w:bCs/>
      <w:kern w:val="44"/>
      <w:sz w:val="44"/>
      <w:szCs w:val="44"/>
      <w:lang w:val="en-US" w:eastAsia="zh-CN" w:bidi="ar-SA"/>
    </w:rPr>
  </w:style>
  <w:style w:type="paragraph" w:customStyle="1" w:styleId="282">
    <w:name w:val="style1"/>
    <w:basedOn w:val="1"/>
    <w:qFormat/>
    <w:uiPriority w:val="0"/>
    <w:pPr>
      <w:widowControl/>
      <w:spacing w:before="100" w:beforeAutospacing="1" w:after="100" w:afterAutospacing="1"/>
    </w:pPr>
    <w:rPr>
      <w:rFonts w:ascii="宋体" w:hAnsi="宋体" w:cs="宋体"/>
      <w:kern w:val="0"/>
    </w:rPr>
  </w:style>
  <w:style w:type="character" w:customStyle="1" w:styleId="283">
    <w:name w:val="apple-converted-space"/>
    <w:basedOn w:val="46"/>
    <w:qFormat/>
    <w:uiPriority w:val="0"/>
  </w:style>
  <w:style w:type="character" w:customStyle="1" w:styleId="284">
    <w:name w:val="标题1"/>
    <w:basedOn w:val="46"/>
    <w:qFormat/>
    <w:uiPriority w:val="0"/>
  </w:style>
  <w:style w:type="paragraph" w:customStyle="1" w:styleId="285">
    <w:name w:val="_Style 5"/>
    <w:basedOn w:val="1"/>
    <w:qFormat/>
    <w:uiPriority w:val="0"/>
    <w:pPr>
      <w:widowControl/>
      <w:jc w:val="center"/>
    </w:pPr>
    <w:rPr>
      <w:kern w:val="0"/>
      <w:szCs w:val="32"/>
    </w:rPr>
  </w:style>
  <w:style w:type="paragraph" w:customStyle="1" w:styleId="286">
    <w:name w:val="Table Paragraph"/>
    <w:basedOn w:val="1"/>
    <w:qFormat/>
    <w:uiPriority w:val="1"/>
    <w:pPr>
      <w:widowControl/>
    </w:pPr>
    <w:rPr>
      <w:rFonts w:ascii="Calibri" w:hAnsi="Calibri" w:cs="宋体"/>
      <w:kern w:val="0"/>
      <w:sz w:val="22"/>
      <w:szCs w:val="22"/>
    </w:rPr>
  </w:style>
  <w:style w:type="table" w:customStyle="1" w:styleId="287">
    <w:name w:val="Table Normal"/>
    <w:semiHidden/>
    <w:qFormat/>
    <w:uiPriority w:val="2"/>
    <w:pPr>
      <w:widowControl w:val="0"/>
      <w:autoSpaceDE w:val="0"/>
      <w:autoSpaceDN w:val="0"/>
    </w:pPr>
    <w:rPr>
      <w:rFonts w:ascii="Calibri" w:hAnsi="Calibri" w:eastAsia="Times New Roman"/>
      <w:sz w:val="22"/>
      <w:szCs w:val="22"/>
      <w:lang w:eastAsia="en-US"/>
    </w:rPr>
    <w:tblPr>
      <w:tblLayout w:type="fixed"/>
      <w:tblCellMar>
        <w:top w:w="0" w:type="dxa"/>
        <w:left w:w="0" w:type="dxa"/>
        <w:bottom w:w="0" w:type="dxa"/>
        <w:right w:w="0" w:type="dxa"/>
      </w:tblCellMar>
    </w:tblPr>
  </w:style>
  <w:style w:type="character" w:customStyle="1" w:styleId="288">
    <w:name w:val="标题 5 Char4"/>
    <w:qFormat/>
    <w:uiPriority w:val="9"/>
    <w:rPr>
      <w:rFonts w:ascii="Times New Roman" w:hAnsi="Times New Roman" w:eastAsia="宋体"/>
      <w:sz w:val="24"/>
    </w:rPr>
  </w:style>
  <w:style w:type="character" w:customStyle="1" w:styleId="289">
    <w:name w:val="标题-表/图 Char"/>
    <w:link w:val="290"/>
    <w:qFormat/>
    <w:uiPriority w:val="0"/>
    <w:rPr>
      <w:b/>
      <w:sz w:val="24"/>
      <w:szCs w:val="24"/>
    </w:rPr>
  </w:style>
  <w:style w:type="paragraph" w:customStyle="1" w:styleId="290">
    <w:name w:val="标题-表/图"/>
    <w:basedOn w:val="1"/>
    <w:link w:val="289"/>
    <w:qFormat/>
    <w:uiPriority w:val="0"/>
    <w:pPr>
      <w:widowControl/>
      <w:jc w:val="center"/>
    </w:pPr>
    <w:rPr>
      <w:b/>
      <w:kern w:val="0"/>
    </w:rPr>
  </w:style>
  <w:style w:type="character" w:customStyle="1" w:styleId="291">
    <w:name w:val="表格内 Char"/>
    <w:link w:val="292"/>
    <w:qFormat/>
    <w:uiPriority w:val="0"/>
    <w:rPr>
      <w:sz w:val="21"/>
      <w:szCs w:val="24"/>
    </w:rPr>
  </w:style>
  <w:style w:type="paragraph" w:customStyle="1" w:styleId="292">
    <w:name w:val="表格内"/>
    <w:basedOn w:val="34"/>
    <w:link w:val="291"/>
    <w:qFormat/>
    <w:uiPriority w:val="0"/>
    <w:pPr>
      <w:adjustRightInd/>
      <w:snapToGrid/>
      <w:spacing w:before="0" w:after="0" w:line="240" w:lineRule="auto"/>
      <w:outlineLvl w:val="9"/>
    </w:pPr>
    <w:rPr>
      <w:rFonts w:eastAsia="宋体"/>
      <w:bCs w:val="0"/>
      <w:kern w:val="0"/>
      <w:sz w:val="21"/>
      <w:szCs w:val="24"/>
    </w:rPr>
  </w:style>
  <w:style w:type="paragraph" w:customStyle="1" w:styleId="293">
    <w:name w:val="正文12"/>
    <w:basedOn w:val="1"/>
    <w:link w:val="294"/>
    <w:qFormat/>
    <w:uiPriority w:val="0"/>
    <w:pPr>
      <w:autoSpaceDE w:val="0"/>
      <w:autoSpaceDN w:val="0"/>
      <w:adjustRightInd w:val="0"/>
      <w:spacing w:line="360" w:lineRule="auto"/>
      <w:ind w:firstLine="420" w:firstLineChars="200"/>
      <w:textAlignment w:val="baseline"/>
    </w:pPr>
    <w:rPr>
      <w:rFonts w:ascii="宋体" w:hAnsi="Tms Rmn"/>
      <w:kern w:val="0"/>
      <w:sz w:val="28"/>
      <w:szCs w:val="20"/>
      <w:lang w:val="zh-CN" w:eastAsia="zh-CN"/>
    </w:rPr>
  </w:style>
  <w:style w:type="character" w:customStyle="1" w:styleId="294">
    <w:name w:val="正文 Char"/>
    <w:link w:val="293"/>
    <w:qFormat/>
    <w:uiPriority w:val="0"/>
    <w:rPr>
      <w:rFonts w:ascii="宋体" w:hAnsi="Tms Rmn"/>
      <w:sz w:val="28"/>
      <w:lang w:val="zh-CN" w:eastAsia="zh-CN"/>
    </w:rPr>
  </w:style>
  <w:style w:type="paragraph" w:customStyle="1" w:styleId="295">
    <w:name w:val="一级"/>
    <w:basedOn w:val="1"/>
    <w:qFormat/>
    <w:uiPriority w:val="0"/>
    <w:pPr>
      <w:widowControl/>
      <w:spacing w:before="300" w:after="300" w:line="360" w:lineRule="auto"/>
      <w:jc w:val="center"/>
      <w:outlineLvl w:val="0"/>
    </w:pPr>
    <w:rPr>
      <w:b/>
      <w:kern w:val="0"/>
      <w:sz w:val="36"/>
      <w:szCs w:val="30"/>
    </w:rPr>
  </w:style>
  <w:style w:type="paragraph" w:customStyle="1" w:styleId="296">
    <w:name w:val="二级"/>
    <w:basedOn w:val="1"/>
    <w:link w:val="297"/>
    <w:qFormat/>
    <w:uiPriority w:val="0"/>
    <w:pPr>
      <w:widowControl/>
      <w:spacing w:line="360" w:lineRule="auto"/>
      <w:outlineLvl w:val="1"/>
    </w:pPr>
    <w:rPr>
      <w:b/>
      <w:kern w:val="0"/>
      <w:sz w:val="28"/>
      <w:szCs w:val="30"/>
    </w:rPr>
  </w:style>
  <w:style w:type="character" w:customStyle="1" w:styleId="297">
    <w:name w:val="二级 Char"/>
    <w:link w:val="296"/>
    <w:qFormat/>
    <w:uiPriority w:val="0"/>
    <w:rPr>
      <w:b/>
      <w:sz w:val="28"/>
      <w:szCs w:val="30"/>
    </w:rPr>
  </w:style>
  <w:style w:type="paragraph" w:customStyle="1" w:styleId="298">
    <w:name w:val="三级"/>
    <w:basedOn w:val="184"/>
    <w:link w:val="299"/>
    <w:qFormat/>
    <w:uiPriority w:val="0"/>
  </w:style>
  <w:style w:type="character" w:customStyle="1" w:styleId="299">
    <w:name w:val="三级 Char"/>
    <w:link w:val="298"/>
    <w:qFormat/>
    <w:uiPriority w:val="0"/>
    <w:rPr>
      <w:b/>
      <w:color w:val="000000"/>
      <w:kern w:val="2"/>
      <w:sz w:val="24"/>
      <w:szCs w:val="28"/>
      <w:lang w:val="zh-CN" w:eastAsia="zh-CN"/>
    </w:rPr>
  </w:style>
  <w:style w:type="character" w:customStyle="1" w:styleId="300">
    <w:name w:val="表 Char"/>
    <w:qFormat/>
    <w:uiPriority w:val="0"/>
    <w:rPr>
      <w:rFonts w:ascii="Times New Roman" w:hAnsi="Times New Roman" w:eastAsia="宋体" w:cs="Times New Roman"/>
      <w:b/>
      <w:kern w:val="0"/>
      <w:sz w:val="24"/>
      <w:szCs w:val="24"/>
    </w:rPr>
  </w:style>
  <w:style w:type="paragraph" w:customStyle="1" w:styleId="301">
    <w:name w:val="四级"/>
    <w:basedOn w:val="298"/>
    <w:link w:val="302"/>
    <w:qFormat/>
    <w:uiPriority w:val="0"/>
    <w:pPr>
      <w:spacing w:before="0" w:after="0"/>
      <w:outlineLvl w:val="3"/>
    </w:pPr>
    <w:rPr>
      <w:b w:val="0"/>
    </w:rPr>
  </w:style>
  <w:style w:type="character" w:customStyle="1" w:styleId="302">
    <w:name w:val="四级 Char"/>
    <w:link w:val="301"/>
    <w:qFormat/>
    <w:uiPriority w:val="0"/>
    <w:rPr>
      <w:sz w:val="24"/>
      <w:szCs w:val="30"/>
    </w:rPr>
  </w:style>
  <w:style w:type="table" w:customStyle="1" w:styleId="303">
    <w:name w:val="表格样式1"/>
    <w:basedOn w:val="53"/>
    <w:qFormat/>
    <w:uiPriority w:val="0"/>
    <w:pPr>
      <w:jc w:val="center"/>
    </w:pPr>
    <w:rPr>
      <w:rFonts w:ascii="Calibri" w:hAnsi="Calibri"/>
    </w:rPr>
    <w:tblPr>
      <w:tblBorders>
        <w:top w:val="single" w:color="auto" w:sz="18" w:space="0"/>
        <w:bottom w:val="single" w:color="auto" w:sz="18" w:space="0"/>
        <w:insideH w:val="single" w:color="auto" w:sz="4" w:space="0"/>
        <w:insideV w:val="single" w:color="auto" w:sz="4" w:space="0"/>
      </w:tblBorders>
      <w:tblLayout w:type="fixed"/>
    </w:tblPr>
    <w:tcPr>
      <w:vAlign w:val="center"/>
    </w:tcPr>
  </w:style>
  <w:style w:type="character" w:customStyle="1" w:styleId="304">
    <w:name w:val="页眉 Char1"/>
    <w:semiHidden/>
    <w:qFormat/>
    <w:uiPriority w:val="99"/>
    <w:rPr>
      <w:kern w:val="2"/>
      <w:sz w:val="18"/>
      <w:szCs w:val="18"/>
    </w:rPr>
  </w:style>
  <w:style w:type="character" w:customStyle="1" w:styleId="305">
    <w:name w:val="页脚 Char1"/>
    <w:semiHidden/>
    <w:qFormat/>
    <w:uiPriority w:val="99"/>
    <w:rPr>
      <w:kern w:val="2"/>
      <w:sz w:val="18"/>
      <w:szCs w:val="18"/>
    </w:rPr>
  </w:style>
  <w:style w:type="character" w:customStyle="1" w:styleId="306">
    <w:name w:val="文档结构图 Char1"/>
    <w:semiHidden/>
    <w:qFormat/>
    <w:uiPriority w:val="99"/>
    <w:rPr>
      <w:rFonts w:ascii="宋体" w:hAnsi="Times New Roman" w:eastAsia="宋体" w:cs="Times New Roman"/>
      <w:kern w:val="0"/>
      <w:sz w:val="18"/>
      <w:szCs w:val="18"/>
    </w:rPr>
  </w:style>
  <w:style w:type="table" w:customStyle="1" w:styleId="307">
    <w:name w:val="网格型1"/>
    <w:basedOn w:val="53"/>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308">
    <w:name w:val="表格内 Char1"/>
    <w:qFormat/>
    <w:uiPriority w:val="0"/>
    <w:rPr>
      <w:rFonts w:ascii="Times New Roman" w:hAnsi="Times New Roman" w:eastAsia="宋体" w:cs="Times New Roman"/>
      <w:kern w:val="0"/>
      <w:szCs w:val="24"/>
    </w:rPr>
  </w:style>
  <w:style w:type="table" w:customStyle="1" w:styleId="309">
    <w:name w:val="表格样式11"/>
    <w:basedOn w:val="53"/>
    <w:qFormat/>
    <w:uiPriority w:val="0"/>
    <w:pPr>
      <w:jc w:val="center"/>
    </w:pPr>
    <w:rPr>
      <w:rFonts w:ascii="Calibri" w:hAnsi="Calibri"/>
    </w:rPr>
    <w:tblPr>
      <w:tblBorders>
        <w:top w:val="single" w:color="auto" w:sz="18" w:space="0"/>
        <w:bottom w:val="single" w:color="auto" w:sz="18" w:space="0"/>
        <w:insideH w:val="single" w:color="auto" w:sz="4" w:space="0"/>
        <w:insideV w:val="single" w:color="auto" w:sz="4" w:space="0"/>
      </w:tblBorders>
      <w:tblLayout w:type="fixed"/>
    </w:tblPr>
    <w:tcPr>
      <w:vAlign w:val="center"/>
    </w:tcPr>
  </w:style>
  <w:style w:type="character" w:customStyle="1" w:styleId="310">
    <w:name w:val="Placeholder Text"/>
    <w:semiHidden/>
    <w:qFormat/>
    <w:uiPriority w:val="99"/>
    <w:rPr>
      <w:color w:val="808080"/>
    </w:rPr>
  </w:style>
  <w:style w:type="paragraph" w:customStyle="1" w:styleId="311">
    <w:name w:val="段落A"/>
    <w:basedOn w:val="1"/>
    <w:qFormat/>
    <w:uiPriority w:val="0"/>
    <w:pPr>
      <w:widowControl/>
      <w:spacing w:line="400" w:lineRule="exact"/>
      <w:ind w:firstLine="480" w:firstLineChars="200"/>
      <w:jc w:val="both"/>
    </w:pPr>
    <w:rPr>
      <w:kern w:val="0"/>
    </w:rPr>
  </w:style>
  <w:style w:type="paragraph" w:customStyle="1" w:styleId="312">
    <w:name w:val="TOC 标题1"/>
    <w:basedOn w:val="2"/>
    <w:next w:val="1"/>
    <w:unhideWhenUsed/>
    <w:qFormat/>
    <w:uiPriority w:val="39"/>
    <w:pPr>
      <w:widowControl/>
      <w:spacing w:before="480" w:after="0" w:line="276" w:lineRule="auto"/>
      <w:outlineLvl w:val="9"/>
    </w:pPr>
    <w:rPr>
      <w:rFonts w:ascii="Cambria" w:hAnsi="Cambria"/>
      <w:color w:val="365F91"/>
      <w:kern w:val="0"/>
      <w:sz w:val="28"/>
      <w:szCs w:val="28"/>
    </w:rPr>
  </w:style>
  <w:style w:type="character" w:customStyle="1" w:styleId="313">
    <w:name w:val="fontstyle01"/>
    <w:qFormat/>
    <w:uiPriority w:val="0"/>
    <w:rPr>
      <w:rFonts w:hint="eastAsia" w:ascii="宋体" w:hAnsi="宋体" w:eastAsia="宋体"/>
      <w:color w:val="000000"/>
      <w:sz w:val="24"/>
      <w:szCs w:val="24"/>
    </w:rPr>
  </w:style>
  <w:style w:type="character" w:customStyle="1" w:styleId="314">
    <w:name w:val="fontstyle11"/>
    <w:qFormat/>
    <w:uiPriority w:val="0"/>
    <w:rPr>
      <w:rFonts w:hint="default" w:ascii="Times New Roman" w:hAnsi="Times New Roman" w:cs="Times New Roman"/>
      <w:color w:val="000000"/>
      <w:sz w:val="24"/>
      <w:szCs w:val="24"/>
    </w:rPr>
  </w:style>
  <w:style w:type="character" w:customStyle="1" w:styleId="315">
    <w:name w:val="fontstyle21"/>
    <w:qFormat/>
    <w:uiPriority w:val="0"/>
    <w:rPr>
      <w:rFonts w:hint="default" w:ascii="Times New Roman" w:hAnsi="Times New Roman" w:cs="Times New Roman"/>
      <w:color w:val="000000"/>
      <w:sz w:val="24"/>
      <w:szCs w:val="24"/>
    </w:rPr>
  </w:style>
  <w:style w:type="paragraph" w:customStyle="1" w:styleId="316">
    <w:name w:val="修订1"/>
    <w:hidden/>
    <w:semiHidden/>
    <w:qFormat/>
    <w:uiPriority w:val="99"/>
    <w:rPr>
      <w:rFonts w:ascii="Times New Roman" w:hAnsi="Times New Roman" w:eastAsia="宋体" w:cs="Times New Roman"/>
      <w:sz w:val="24"/>
      <w:szCs w:val="24"/>
      <w:lang w:val="en-US" w:eastAsia="zh-CN" w:bidi="ar-SA"/>
    </w:rPr>
  </w:style>
  <w:style w:type="paragraph" w:customStyle="1" w:styleId="317">
    <w:name w:val="TOC Heading"/>
    <w:basedOn w:val="2"/>
    <w:next w:val="1"/>
    <w:unhideWhenUsed/>
    <w:qFormat/>
    <w:uiPriority w:val="39"/>
    <w:pPr>
      <w:widowControl/>
      <w:spacing w:before="480" w:after="0" w:line="276" w:lineRule="auto"/>
      <w:outlineLvl w:val="9"/>
    </w:pPr>
    <w:rPr>
      <w:rFonts w:ascii="Cambria" w:hAnsi="Cambria"/>
      <w:color w:val="365F91"/>
      <w:kern w:val="0"/>
      <w:sz w:val="28"/>
      <w:szCs w:val="28"/>
    </w:rPr>
  </w:style>
  <w:style w:type="character" w:customStyle="1" w:styleId="318">
    <w:name w:val="页脚 字符"/>
    <w:qFormat/>
    <w:uiPriority w:val="99"/>
    <w:rPr>
      <w:kern w:val="2"/>
      <w:sz w:val="18"/>
      <w:szCs w:val="18"/>
    </w:rPr>
  </w:style>
  <w:style w:type="table" w:customStyle="1" w:styleId="319">
    <w:name w:val="表格w1"/>
    <w:basedOn w:val="53"/>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20">
    <w:name w:val="表格w2"/>
    <w:basedOn w:val="53"/>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321">
    <w:name w:val="未命名1"/>
    <w:qFormat/>
    <w:uiPriority w:val="99"/>
    <w:rPr>
      <w:rFonts w:cs="Times New Roman"/>
    </w:rPr>
  </w:style>
  <w:style w:type="character" w:customStyle="1" w:styleId="322">
    <w:name w:val="无间隔 字符"/>
    <w:qFormat/>
    <w:locked/>
    <w:uiPriority w:val="1"/>
    <w:rPr>
      <w:rFonts w:ascii="Times New Roman" w:hAnsi="Times New Roman" w:eastAsia="黑体" w:cs="宋体"/>
      <w:sz w:val="21"/>
      <w:szCs w:val="32"/>
    </w:rPr>
  </w:style>
  <w:style w:type="character" w:customStyle="1" w:styleId="323">
    <w:name w:val="nr1"/>
    <w:qFormat/>
    <w:uiPriority w:val="0"/>
    <w:rPr>
      <w:sz w:val="17"/>
      <w:szCs w:val="17"/>
    </w:rPr>
  </w:style>
  <w:style w:type="character" w:customStyle="1" w:styleId="324">
    <w:name w:val="Book Title"/>
    <w:basedOn w:val="46"/>
    <w:qFormat/>
    <w:uiPriority w:val="33"/>
    <w:rPr>
      <w:b/>
      <w:bCs/>
      <w:smallCaps/>
      <w:spacing w:val="5"/>
    </w:rPr>
  </w:style>
  <w:style w:type="character" w:customStyle="1" w:styleId="325">
    <w:name w:val="批注文字 Char1"/>
    <w:basedOn w:val="46"/>
    <w:qFormat/>
    <w:uiPriority w:val="99"/>
  </w:style>
  <w:style w:type="paragraph" w:customStyle="1" w:styleId="326">
    <w:name w:val="正文11"/>
    <w:basedOn w:val="1"/>
    <w:qFormat/>
    <w:uiPriority w:val="0"/>
    <w:pPr>
      <w:autoSpaceDE w:val="0"/>
      <w:autoSpaceDN w:val="0"/>
      <w:adjustRightInd w:val="0"/>
      <w:spacing w:line="360" w:lineRule="auto"/>
      <w:ind w:firstLine="420" w:firstLineChars="200"/>
      <w:textAlignment w:val="baseline"/>
    </w:pPr>
    <w:rPr>
      <w:rFonts w:ascii="宋体" w:hAnsi="Tms Rmn"/>
      <w:kern w:val="0"/>
      <w:sz w:val="28"/>
      <w:szCs w:val="20"/>
      <w:lang w:val="zh-CN" w:eastAsia="zh-CN"/>
    </w:rPr>
  </w:style>
  <w:style w:type="table" w:customStyle="1" w:styleId="327">
    <w:name w:val="网格型2"/>
    <w:basedOn w:val="53"/>
    <w:qFormat/>
    <w:uiPriority w:val="59"/>
    <w:pPr>
      <w:ind w:firstLine="200"/>
      <w:jc w:val="both"/>
    </w:pPr>
    <w:rPr>
      <w:rFonts w:asciiTheme="minorHAnsi" w:hAnsiTheme="minorHAnsi" w:eastAsiaTheme="minorEastAsia"/>
      <w:kern w:val="2"/>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328">
    <w:name w:val="font5"/>
    <w:basedOn w:val="1"/>
    <w:qFormat/>
    <w:uiPriority w:val="0"/>
    <w:pPr>
      <w:widowControl/>
      <w:spacing w:before="100" w:beforeAutospacing="1" w:after="100" w:afterAutospacing="1"/>
    </w:pPr>
    <w:rPr>
      <w:rFonts w:ascii="宋体" w:hAnsi="宋体" w:cs="宋体"/>
      <w:kern w:val="0"/>
      <w:sz w:val="18"/>
      <w:szCs w:val="18"/>
    </w:rPr>
  </w:style>
  <w:style w:type="paragraph" w:customStyle="1" w:styleId="329">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kern w:val="0"/>
    </w:rPr>
  </w:style>
  <w:style w:type="paragraph" w:customStyle="1" w:styleId="330">
    <w:name w:val="xl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kern w:val="0"/>
    </w:rPr>
  </w:style>
  <w:style w:type="paragraph" w:customStyle="1" w:styleId="331">
    <w:name w:val="xl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kern w:val="0"/>
    </w:rPr>
  </w:style>
  <w:style w:type="paragraph" w:customStyle="1" w:styleId="332">
    <w:name w:val="xl6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rPr>
  </w:style>
  <w:style w:type="paragraph" w:customStyle="1" w:styleId="333">
    <w:name w:val="xl6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kern w:val="0"/>
    </w:rPr>
  </w:style>
  <w:style w:type="paragraph" w:customStyle="1" w:styleId="334">
    <w:name w:val="xl6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kern w:val="0"/>
    </w:rPr>
  </w:style>
  <w:style w:type="paragraph" w:customStyle="1" w:styleId="335">
    <w:name w:val="正文文本缩进 21"/>
    <w:basedOn w:val="1"/>
    <w:qFormat/>
    <w:uiPriority w:val="0"/>
    <w:pPr>
      <w:adjustRightInd w:val="0"/>
      <w:spacing w:line="400" w:lineRule="exact"/>
      <w:ind w:firstLine="525"/>
      <w:textAlignment w:val="baseline"/>
    </w:pPr>
    <w:rPr>
      <w:rFonts w:ascii="宋体"/>
      <w:sz w:val="28"/>
      <w:szCs w:val="20"/>
    </w:rPr>
  </w:style>
  <w:style w:type="paragraph" w:customStyle="1" w:styleId="336">
    <w:name w:val="标题二"/>
    <w:basedOn w:val="1"/>
    <w:next w:val="1"/>
    <w:qFormat/>
    <w:uiPriority w:val="0"/>
    <w:pPr>
      <w:adjustRightInd w:val="0"/>
      <w:snapToGrid w:val="0"/>
      <w:spacing w:before="156" w:beforeLines="50" w:after="156" w:afterLines="50" w:line="360" w:lineRule="auto"/>
      <w:outlineLvl w:val="1"/>
    </w:pPr>
    <w:rPr>
      <w:rFonts w:eastAsiaTheme="minorEastAsia" w:cstheme="minorBidi"/>
      <w:b/>
      <w:sz w:val="30"/>
      <w:szCs w:val="30"/>
    </w:rPr>
  </w:style>
  <w:style w:type="paragraph" w:customStyle="1" w:styleId="337">
    <w:name w:val="标题三"/>
    <w:basedOn w:val="1"/>
    <w:next w:val="1"/>
    <w:qFormat/>
    <w:uiPriority w:val="0"/>
    <w:pPr>
      <w:adjustRightInd w:val="0"/>
      <w:snapToGrid w:val="0"/>
      <w:spacing w:before="50" w:beforeLines="50" w:after="50" w:afterLines="50" w:line="360" w:lineRule="auto"/>
      <w:outlineLvl w:val="2"/>
    </w:pPr>
    <w:rPr>
      <w:b/>
      <w:sz w:val="28"/>
      <w:szCs w:val="22"/>
      <w:lang w:val="zh-CN"/>
    </w:rPr>
  </w:style>
  <w:style w:type="paragraph" w:customStyle="1" w:styleId="338">
    <w:name w:val="标题一"/>
    <w:basedOn w:val="1"/>
    <w:next w:val="1"/>
    <w:qFormat/>
    <w:uiPriority w:val="0"/>
    <w:pPr>
      <w:adjustRightInd w:val="0"/>
      <w:snapToGrid w:val="0"/>
      <w:spacing w:before="312" w:beforeLines="100" w:after="312" w:afterLines="100" w:line="360" w:lineRule="auto"/>
      <w:jc w:val="center"/>
      <w:outlineLvl w:val="0"/>
    </w:pPr>
    <w:rPr>
      <w:b/>
      <w:sz w:val="36"/>
      <w:szCs w:val="22"/>
    </w:rPr>
  </w:style>
  <w:style w:type="character" w:customStyle="1" w:styleId="339">
    <w:name w:val="表标题 Char Char"/>
    <w:qFormat/>
    <w:uiPriority w:val="0"/>
    <w:rPr>
      <w:rFonts w:ascii="宋体" w:hAnsi="宋体" w:eastAsia="宋体" w:cs="宋体"/>
      <w:b/>
      <w:bCs/>
      <w:sz w:val="24"/>
      <w:szCs w:val="48"/>
    </w:rPr>
  </w:style>
  <w:style w:type="paragraph" w:customStyle="1" w:styleId="340">
    <w:name w:val="标题四"/>
    <w:basedOn w:val="1"/>
    <w:next w:val="1"/>
    <w:qFormat/>
    <w:uiPriority w:val="0"/>
    <w:pPr>
      <w:adjustRightInd w:val="0"/>
      <w:snapToGrid w:val="0"/>
      <w:spacing w:line="360" w:lineRule="auto"/>
      <w:outlineLvl w:val="3"/>
    </w:pPr>
    <w:rPr>
      <w:b/>
    </w:rPr>
  </w:style>
  <w:style w:type="paragraph" w:customStyle="1" w:styleId="341">
    <w:name w:val="图 标题"/>
    <w:basedOn w:val="1"/>
    <w:next w:val="1"/>
    <w:qFormat/>
    <w:uiPriority w:val="0"/>
    <w:pPr>
      <w:adjustRightInd w:val="0"/>
      <w:snapToGrid w:val="0"/>
      <w:spacing w:line="360" w:lineRule="auto"/>
      <w:jc w:val="center"/>
    </w:pPr>
    <w:rPr>
      <w:b/>
    </w:rPr>
  </w:style>
  <w:style w:type="character" w:customStyle="1" w:styleId="342">
    <w:name w:val="未处理的提及1"/>
    <w:basedOn w:val="46"/>
    <w:unhideWhenUsed/>
    <w:qFormat/>
    <w:uiPriority w:val="99"/>
    <w:rPr>
      <w:color w:val="605E5C"/>
      <w:shd w:val="clear" w:color="auto" w:fill="E1DFDD"/>
    </w:rPr>
  </w:style>
  <w:style w:type="character" w:customStyle="1" w:styleId="343">
    <w:name w:val="正文（小四）"/>
    <w:qFormat/>
    <w:uiPriority w:val="0"/>
    <w:rPr>
      <w:rFonts w:ascii="Times New Roman" w:hAnsi="Times New Roman" w:eastAsia="宋体"/>
      <w:sz w:val="24"/>
    </w:rPr>
  </w:style>
  <w:style w:type="paragraph" w:customStyle="1" w:styleId="344">
    <w:name w:val="表格首行"/>
    <w:basedOn w:val="131"/>
    <w:qFormat/>
    <w:uiPriority w:val="0"/>
    <w:pPr>
      <w:widowControl w:val="0"/>
      <w:jc w:val="center"/>
    </w:pPr>
    <w:rPr>
      <w:rFonts w:eastAsia="宋体"/>
      <w:b/>
      <w:kern w:val="2"/>
      <w:sz w:val="21"/>
      <w:lang w:val="en-US" w:eastAsia="zh-CN"/>
    </w:rPr>
  </w:style>
  <w:style w:type="paragraph" w:customStyle="1" w:styleId="345">
    <w:name w:val="廉江表"/>
    <w:basedOn w:val="1"/>
    <w:qFormat/>
    <w:uiPriority w:val="0"/>
    <w:pPr>
      <w:snapToGrid w:val="0"/>
      <w:jc w:val="center"/>
    </w:pPr>
    <w:rPr>
      <w:sz w:val="21"/>
      <w:szCs w:val="21"/>
    </w:rPr>
  </w:style>
  <w:style w:type="paragraph" w:customStyle="1" w:styleId="346">
    <w:name w:val="【表头】"/>
    <w:basedOn w:val="1"/>
    <w:qFormat/>
    <w:uiPriority w:val="0"/>
    <w:pPr>
      <w:jc w:val="center"/>
    </w:pPr>
    <w:rPr>
      <w:rFonts w:eastAsia="黑体" w:cs="Arial"/>
      <w:b/>
    </w:rPr>
  </w:style>
  <w:style w:type="paragraph" w:customStyle="1" w:styleId="347">
    <w:name w:val="样式 标题 4 +"/>
    <w:basedOn w:val="6"/>
    <w:qFormat/>
    <w:uiPriority w:val="0"/>
    <w:pPr>
      <w:widowControl/>
      <w:numPr>
        <w:ilvl w:val="0"/>
        <w:numId w:val="0"/>
      </w:numPr>
      <w:adjustRightInd w:val="0"/>
      <w:spacing w:before="80" w:beforeLines="50" w:after="0" w:line="360" w:lineRule="auto"/>
      <w:ind w:left="240" w:leftChars="100" w:right="240" w:rightChars="100" w:firstLine="482"/>
    </w:pPr>
    <w:rPr>
      <w:rFonts w:ascii="宋体" w:hAnsi="宋体" w:eastAsia="宋体" w:cs="宋体"/>
      <w:b w:val="0"/>
      <w:bCs w:val="0"/>
      <w:kern w:val="0"/>
      <w:sz w:val="24"/>
      <w:szCs w:val="24"/>
    </w:rPr>
  </w:style>
  <w:style w:type="character" w:customStyle="1" w:styleId="348">
    <w:name w:val="未处理的提及2"/>
    <w:basedOn w:val="46"/>
    <w:unhideWhenUsed/>
    <w:qFormat/>
    <w:uiPriority w:val="99"/>
    <w:rPr>
      <w:color w:val="605E5C"/>
      <w:shd w:val="clear" w:color="auto" w:fill="E1DFDD"/>
    </w:rPr>
  </w:style>
  <w:style w:type="character" w:customStyle="1" w:styleId="349">
    <w:name w:val="未处理的提及3"/>
    <w:basedOn w:val="46"/>
    <w:unhideWhenUsed/>
    <w:qFormat/>
    <w:uiPriority w:val="99"/>
    <w:rPr>
      <w:color w:val="605E5C"/>
      <w:shd w:val="clear" w:color="auto" w:fill="E1DFDD"/>
    </w:rPr>
  </w:style>
  <w:style w:type="character" w:customStyle="1" w:styleId="350">
    <w:name w:val="样式 楷体_GB2312 黑色"/>
    <w:qFormat/>
    <w:uiPriority w:val="0"/>
    <w:rPr>
      <w:rFonts w:ascii="楷体_GB2312" w:hAnsi="宋体" w:eastAsia="楷体_GB2312"/>
      <w:b/>
      <w:color w:val="000000"/>
      <w:sz w:val="24"/>
      <w:lang w:val="en-US" w:eastAsia="zh-CN"/>
    </w:rPr>
  </w:style>
  <w:style w:type="character" w:customStyle="1" w:styleId="351">
    <w:name w:val="表格中文字 Char"/>
    <w:link w:val="352"/>
    <w:qFormat/>
    <w:uiPriority w:val="0"/>
    <w:rPr>
      <w:kern w:val="18"/>
      <w:szCs w:val="21"/>
    </w:rPr>
  </w:style>
  <w:style w:type="paragraph" w:customStyle="1" w:styleId="352">
    <w:name w:val="表格中文字"/>
    <w:basedOn w:val="1"/>
    <w:link w:val="351"/>
    <w:qFormat/>
    <w:uiPriority w:val="0"/>
    <w:pPr>
      <w:adjustRightInd w:val="0"/>
      <w:snapToGrid w:val="0"/>
      <w:jc w:val="center"/>
    </w:pPr>
    <w:rPr>
      <w:kern w:val="18"/>
      <w:sz w:val="20"/>
      <w:szCs w:val="21"/>
    </w:rPr>
  </w:style>
  <w:style w:type="character" w:customStyle="1" w:styleId="353">
    <w:name w:val="表头文字 Char Char"/>
    <w:link w:val="354"/>
    <w:qFormat/>
    <w:uiPriority w:val="0"/>
    <w:rPr>
      <w:rFonts w:ascii="黑体" w:hAnsi="宋体" w:eastAsia="黑体"/>
      <w:kern w:val="2"/>
      <w:sz w:val="24"/>
    </w:rPr>
  </w:style>
  <w:style w:type="paragraph" w:customStyle="1" w:styleId="354">
    <w:name w:val="表头文字"/>
    <w:basedOn w:val="1"/>
    <w:link w:val="353"/>
    <w:qFormat/>
    <w:uiPriority w:val="0"/>
    <w:pPr>
      <w:spacing w:beforeLines="100" w:line="400" w:lineRule="exact"/>
      <w:jc w:val="center"/>
    </w:pPr>
    <w:rPr>
      <w:rFonts w:ascii="黑体" w:hAnsi="宋体" w:eastAsia="黑体"/>
      <w:szCs w:val="20"/>
    </w:rPr>
  </w:style>
  <w:style w:type="character" w:customStyle="1" w:styleId="355">
    <w:name w:val="样式 (西文) 黑体 (中文) 黑体 (符号) 宋体 五号"/>
    <w:qFormat/>
    <w:uiPriority w:val="0"/>
    <w:rPr>
      <w:rFonts w:ascii="黑体" w:eastAsia="黑体"/>
      <w:sz w:val="24"/>
    </w:rPr>
  </w:style>
  <w:style w:type="paragraph" w:customStyle="1" w:styleId="356">
    <w:name w:val="样式3"/>
    <w:basedOn w:val="1"/>
    <w:link w:val="358"/>
    <w:qFormat/>
    <w:uiPriority w:val="0"/>
    <w:pPr>
      <w:spacing w:beforeLines="50" w:afterLines="50" w:line="360" w:lineRule="auto"/>
      <w:jc w:val="both"/>
    </w:pPr>
    <w:rPr>
      <w:rFonts w:ascii="黑体" w:hAnsi="黑体" w:eastAsia="黑体"/>
      <w:kern w:val="0"/>
    </w:rPr>
  </w:style>
  <w:style w:type="paragraph" w:customStyle="1" w:styleId="357">
    <w:name w:val="样式4"/>
    <w:basedOn w:val="1"/>
    <w:link w:val="359"/>
    <w:qFormat/>
    <w:uiPriority w:val="0"/>
    <w:pPr>
      <w:spacing w:line="360" w:lineRule="auto"/>
      <w:jc w:val="center"/>
    </w:pPr>
    <w:rPr>
      <w:rFonts w:ascii="黑体" w:hAnsi="黑体" w:eastAsia="黑体"/>
      <w:kern w:val="0"/>
    </w:rPr>
  </w:style>
  <w:style w:type="character" w:customStyle="1" w:styleId="358">
    <w:name w:val="样式3 Char"/>
    <w:link w:val="356"/>
    <w:qFormat/>
    <w:locked/>
    <w:uiPriority w:val="99"/>
    <w:rPr>
      <w:rFonts w:ascii="黑体" w:hAnsi="黑体" w:eastAsia="黑体"/>
      <w:sz w:val="24"/>
      <w:szCs w:val="24"/>
    </w:rPr>
  </w:style>
  <w:style w:type="character" w:customStyle="1" w:styleId="359">
    <w:name w:val="样式4 Char"/>
    <w:link w:val="357"/>
    <w:qFormat/>
    <w:locked/>
    <w:uiPriority w:val="0"/>
    <w:rPr>
      <w:rFonts w:ascii="黑体" w:hAnsi="黑体" w:eastAsia="黑体"/>
      <w:sz w:val="24"/>
      <w:szCs w:val="24"/>
    </w:rPr>
  </w:style>
  <w:style w:type="paragraph" w:customStyle="1" w:styleId="360">
    <w:name w:val="Quote"/>
    <w:basedOn w:val="1"/>
    <w:next w:val="1"/>
    <w:link w:val="362"/>
    <w:qFormat/>
    <w:uiPriority w:val="99"/>
    <w:pPr>
      <w:spacing w:line="360" w:lineRule="exact"/>
      <w:jc w:val="center"/>
    </w:pPr>
    <w:rPr>
      <w:rFonts w:ascii="Calibri" w:hAnsi="Calibri"/>
      <w:i/>
      <w:iCs/>
      <w:color w:val="000000"/>
      <w:sz w:val="21"/>
      <w:szCs w:val="22"/>
    </w:rPr>
  </w:style>
  <w:style w:type="character" w:customStyle="1" w:styleId="361">
    <w:name w:val="引用 Char"/>
    <w:basedOn w:val="46"/>
    <w:qFormat/>
    <w:uiPriority w:val="29"/>
    <w:rPr>
      <w:i/>
      <w:iCs/>
      <w:color w:val="000000" w:themeColor="text1"/>
      <w:kern w:val="2"/>
      <w:sz w:val="24"/>
      <w:szCs w:val="24"/>
      <w14:textFill>
        <w14:solidFill>
          <w14:schemeClr w14:val="tx1"/>
        </w14:solidFill>
      </w14:textFill>
    </w:rPr>
  </w:style>
  <w:style w:type="character" w:customStyle="1" w:styleId="362">
    <w:name w:val="引用 Char1"/>
    <w:link w:val="360"/>
    <w:qFormat/>
    <w:uiPriority w:val="99"/>
    <w:rPr>
      <w:rFonts w:ascii="Calibri" w:hAnsi="Calibri"/>
      <w:i/>
      <w:iCs/>
      <w:color w:val="000000"/>
      <w:kern w:val="2"/>
      <w:sz w:val="21"/>
      <w:szCs w:val="22"/>
    </w:rPr>
  </w:style>
  <w:style w:type="paragraph" w:customStyle="1" w:styleId="363">
    <w:name w:val="样式 段前: 6 磅 段后: 6 磅"/>
    <w:basedOn w:val="1"/>
    <w:qFormat/>
    <w:uiPriority w:val="0"/>
    <w:pPr>
      <w:widowControl/>
      <w:adjustRightInd w:val="0"/>
      <w:snapToGrid w:val="0"/>
      <w:spacing w:line="400" w:lineRule="atLeast"/>
      <w:ind w:firstLine="200" w:firstLineChars="200"/>
      <w:jc w:val="both"/>
    </w:pPr>
    <w:rPr>
      <w:rFonts w:cs="宋体"/>
      <w:kern w:val="0"/>
      <w:szCs w:val="20"/>
      <w:lang w:eastAsia="en-US" w:bidi="en-US"/>
    </w:rPr>
  </w:style>
  <w:style w:type="paragraph" w:customStyle="1" w:styleId="364">
    <w:name w:val="样式 样式 正文+首行缩进 + 段前: 0.5 行 段后: 0.5 行 + 首行缩进:  2 字符"/>
    <w:basedOn w:val="1"/>
    <w:qFormat/>
    <w:uiPriority w:val="0"/>
    <w:pPr>
      <w:widowControl/>
      <w:adjustRightInd w:val="0"/>
      <w:snapToGrid w:val="0"/>
      <w:spacing w:line="400" w:lineRule="atLeast"/>
      <w:ind w:firstLine="200" w:firstLineChars="200"/>
      <w:jc w:val="both"/>
    </w:pPr>
    <w:rPr>
      <w:rFonts w:ascii="Arial" w:hAnsi="Arial" w:cs="宋体"/>
      <w:kern w:val="0"/>
      <w:szCs w:val="20"/>
      <w:lang w:eastAsia="en-US" w:bidi="en-US"/>
    </w:rPr>
  </w:style>
  <w:style w:type="paragraph" w:customStyle="1" w:styleId="365">
    <w:name w:val="样式 表头 + 首行缩进:  2 字符 段前: 6 磅 段后: 6 磅"/>
    <w:basedOn w:val="1"/>
    <w:qFormat/>
    <w:uiPriority w:val="0"/>
    <w:pPr>
      <w:widowControl/>
      <w:adjustRightInd w:val="0"/>
      <w:snapToGrid w:val="0"/>
      <w:spacing w:line="400" w:lineRule="atLeast"/>
      <w:jc w:val="center"/>
    </w:pPr>
    <w:rPr>
      <w:rFonts w:cs="宋体"/>
      <w:b/>
      <w:bCs/>
      <w:kern w:val="0"/>
      <w:sz w:val="21"/>
      <w:szCs w:val="20"/>
      <w:lang w:eastAsia="en-US" w:bidi="en-US"/>
    </w:rPr>
  </w:style>
  <w:style w:type="paragraph" w:customStyle="1" w:styleId="366">
    <w:name w:val="样式 样式 样式 样式 样式 样式 样式 样式 样式 首行缩进:  2 字符 段前: 6 磅 段后: 6 磅 + 首行缩进:  ...1"/>
    <w:basedOn w:val="1"/>
    <w:qFormat/>
    <w:uiPriority w:val="0"/>
    <w:pPr>
      <w:widowControl/>
      <w:adjustRightInd w:val="0"/>
      <w:snapToGrid w:val="0"/>
      <w:spacing w:line="400" w:lineRule="atLeast"/>
      <w:ind w:firstLine="200" w:firstLineChars="200"/>
      <w:jc w:val="both"/>
    </w:pPr>
    <w:rPr>
      <w:rFonts w:cs="宋体"/>
      <w:kern w:val="0"/>
      <w:szCs w:val="20"/>
      <w:lang w:eastAsia="en-US" w:bidi="en-US"/>
    </w:rPr>
  </w:style>
  <w:style w:type="paragraph" w:customStyle="1" w:styleId="367">
    <w:name w:val="样式 自定义颜色(RGB(22710810)) 首行缩进:  2 字符 段前: 6 磅 段后: 6 磅"/>
    <w:basedOn w:val="1"/>
    <w:qFormat/>
    <w:uiPriority w:val="0"/>
    <w:pPr>
      <w:widowControl/>
      <w:adjustRightInd w:val="0"/>
      <w:snapToGrid w:val="0"/>
      <w:spacing w:line="400" w:lineRule="atLeast"/>
      <w:ind w:firstLine="200" w:firstLineChars="200"/>
      <w:jc w:val="both"/>
    </w:pPr>
    <w:rPr>
      <w:rFonts w:cs="宋体"/>
      <w:color w:val="E36C0A"/>
      <w:kern w:val="0"/>
      <w:szCs w:val="20"/>
      <w:lang w:eastAsia="en-US" w:bidi="en-US"/>
    </w:rPr>
  </w:style>
  <w:style w:type="paragraph" w:customStyle="1" w:styleId="368">
    <w:name w:val="样式 自定义颜色(RGB(22710810)) 段前: 6 磅 段后: 6 磅"/>
    <w:basedOn w:val="1"/>
    <w:qFormat/>
    <w:uiPriority w:val="0"/>
    <w:pPr>
      <w:widowControl/>
      <w:adjustRightInd w:val="0"/>
      <w:snapToGrid w:val="0"/>
      <w:spacing w:line="400" w:lineRule="atLeast"/>
      <w:ind w:firstLine="200" w:firstLineChars="200"/>
      <w:jc w:val="both"/>
    </w:pPr>
    <w:rPr>
      <w:rFonts w:cs="宋体"/>
      <w:color w:val="E36C0A"/>
      <w:kern w:val="0"/>
      <w:szCs w:val="20"/>
      <w:lang w:eastAsia="en-US" w:bidi="en-US"/>
    </w:rPr>
  </w:style>
  <w:style w:type="paragraph" w:customStyle="1" w:styleId="369">
    <w:name w:val="样式2"/>
    <w:basedOn w:val="1"/>
    <w:link w:val="370"/>
    <w:qFormat/>
    <w:uiPriority w:val="99"/>
    <w:pPr>
      <w:spacing w:beforeLines="50" w:afterLines="50" w:line="360" w:lineRule="auto"/>
      <w:jc w:val="both"/>
    </w:pPr>
    <w:rPr>
      <w:rFonts w:ascii="黑体" w:hAnsi="黑体" w:eastAsia="黑体"/>
      <w:kern w:val="0"/>
    </w:rPr>
  </w:style>
  <w:style w:type="character" w:customStyle="1" w:styleId="370">
    <w:name w:val="样式2 Char"/>
    <w:link w:val="369"/>
    <w:qFormat/>
    <w:locked/>
    <w:uiPriority w:val="99"/>
    <w:rPr>
      <w:rFonts w:ascii="黑体" w:hAnsi="黑体" w:eastAsia="黑体"/>
      <w:sz w:val="24"/>
      <w:szCs w:val="24"/>
    </w:rPr>
  </w:style>
  <w:style w:type="paragraph" w:customStyle="1" w:styleId="371">
    <w:name w:val="格式正文"/>
    <w:basedOn w:val="1"/>
    <w:next w:val="1"/>
    <w:qFormat/>
    <w:uiPriority w:val="0"/>
    <w:pPr>
      <w:wordWrap w:val="0"/>
      <w:spacing w:line="520" w:lineRule="exact"/>
      <w:ind w:firstLine="200" w:firstLineChars="200"/>
      <w:jc w:val="both"/>
    </w:pPr>
    <w:rPr>
      <w:rFonts w:ascii="Calibri" w:hAnsi="Calibri"/>
      <w:color w:val="000000"/>
      <w:szCs w:val="20"/>
    </w:rPr>
  </w:style>
  <w:style w:type="paragraph" w:customStyle="1" w:styleId="372">
    <w:name w:val="报告表格"/>
    <w:basedOn w:val="1"/>
    <w:qFormat/>
    <w:uiPriority w:val="0"/>
    <w:pPr>
      <w:autoSpaceDE w:val="0"/>
      <w:autoSpaceDN w:val="0"/>
      <w:adjustRightInd w:val="0"/>
      <w:spacing w:before="40" w:after="40"/>
      <w:jc w:val="center"/>
    </w:pPr>
    <w:rPr>
      <w:kern w:val="0"/>
      <w:sz w:val="21"/>
      <w:szCs w:val="20"/>
    </w:rPr>
  </w:style>
  <w:style w:type="paragraph" w:customStyle="1" w:styleId="373">
    <w:name w:val="00"/>
    <w:basedOn w:val="1"/>
    <w:qFormat/>
    <w:uiPriority w:val="0"/>
    <w:pPr>
      <w:spacing w:line="520" w:lineRule="exact"/>
      <w:ind w:firstLine="480"/>
      <w:jc w:val="both"/>
    </w:pPr>
    <w:rPr>
      <w:rFonts w:ascii="Calibri" w:hAnsi="Calibri"/>
    </w:rPr>
  </w:style>
  <w:style w:type="character" w:customStyle="1" w:styleId="374">
    <w:name w:val="正文11111111111111 Char"/>
    <w:link w:val="375"/>
    <w:qFormat/>
    <w:locked/>
    <w:uiPriority w:val="0"/>
    <w:rPr>
      <w:color w:val="000000"/>
      <w:kern w:val="2"/>
      <w:sz w:val="24"/>
      <w:szCs w:val="24"/>
    </w:rPr>
  </w:style>
  <w:style w:type="paragraph" w:customStyle="1" w:styleId="375">
    <w:name w:val="正文11111111111111"/>
    <w:basedOn w:val="1"/>
    <w:link w:val="374"/>
    <w:qFormat/>
    <w:uiPriority w:val="0"/>
    <w:pPr>
      <w:adjustRightInd w:val="0"/>
      <w:snapToGrid w:val="0"/>
      <w:spacing w:line="360" w:lineRule="auto"/>
      <w:ind w:firstLine="480" w:firstLineChars="200"/>
      <w:jc w:val="both"/>
    </w:pPr>
    <w:rPr>
      <w:color w:val="000000"/>
    </w:rPr>
  </w:style>
  <w:style w:type="paragraph" w:customStyle="1" w:styleId="376">
    <w:name w:val="正文标准样式"/>
    <w:basedOn w:val="1"/>
    <w:qFormat/>
    <w:uiPriority w:val="0"/>
    <w:pPr>
      <w:adjustRightInd w:val="0"/>
      <w:spacing w:line="300" w:lineRule="auto"/>
      <w:ind w:firstLine="482"/>
      <w:jc w:val="both"/>
    </w:pPr>
    <w:rPr>
      <w:kern w:val="0"/>
      <w:szCs w:val="20"/>
    </w:rPr>
  </w:style>
  <w:style w:type="paragraph" w:customStyle="1" w:styleId="377">
    <w:name w:val="中文报告书样式"/>
    <w:basedOn w:val="1"/>
    <w:qFormat/>
    <w:uiPriority w:val="99"/>
    <w:pPr>
      <w:widowControl/>
      <w:spacing w:line="480" w:lineRule="atLeast"/>
      <w:ind w:firstLine="482" w:firstLineChars="200"/>
      <w:jc w:val="both"/>
      <w:textAlignment w:val="baseline"/>
    </w:pPr>
    <w:rPr>
      <w:kern w:val="24"/>
      <w:szCs w:val="20"/>
    </w:rPr>
  </w:style>
  <w:style w:type="character" w:customStyle="1" w:styleId="378">
    <w:name w:val="魏秀珍   正文 Char"/>
    <w:basedOn w:val="46"/>
    <w:link w:val="379"/>
    <w:qFormat/>
    <w:uiPriority w:val="0"/>
    <w:rPr>
      <w:rFonts w:hAnsi="宋体"/>
      <w:bCs/>
      <w:sz w:val="24"/>
    </w:rPr>
  </w:style>
  <w:style w:type="paragraph" w:customStyle="1" w:styleId="379">
    <w:name w:val="魏秀珍   正文"/>
    <w:basedOn w:val="5"/>
    <w:link w:val="378"/>
    <w:qFormat/>
    <w:uiPriority w:val="0"/>
    <w:pPr>
      <w:adjustRightInd w:val="0"/>
      <w:snapToGrid w:val="0"/>
      <w:spacing w:line="360" w:lineRule="auto"/>
      <w:ind w:firstLine="480"/>
      <w:jc w:val="both"/>
    </w:pPr>
    <w:rPr>
      <w:rFonts w:hAnsi="宋体"/>
      <w:bCs/>
      <w:kern w:val="0"/>
      <w:szCs w:val="20"/>
    </w:rPr>
  </w:style>
  <w:style w:type="character" w:customStyle="1" w:styleId="380">
    <w:name w:val="标题 4 Char2"/>
    <w:basedOn w:val="46"/>
    <w:link w:val="6"/>
    <w:qFormat/>
    <w:uiPriority w:val="9"/>
    <w:rPr>
      <w:rFonts w:ascii="Arial" w:hAnsi="Arial" w:eastAsia="黑体"/>
      <w:b/>
      <w:bCs/>
      <w:kern w:val="2"/>
      <w:sz w:val="28"/>
      <w:szCs w:val="28"/>
    </w:rPr>
  </w:style>
  <w:style w:type="character" w:customStyle="1" w:styleId="381">
    <w:name w:val="标题 1 字符1"/>
    <w:basedOn w:val="46"/>
    <w:qFormat/>
    <w:uiPriority w:val="9"/>
    <w:rPr>
      <w:b/>
      <w:bCs/>
      <w:kern w:val="44"/>
      <w:sz w:val="44"/>
      <w:szCs w:val="44"/>
    </w:rPr>
  </w:style>
  <w:style w:type="character" w:customStyle="1" w:styleId="382">
    <w:name w:val="标题 2 字符1"/>
    <w:basedOn w:val="46"/>
    <w:semiHidden/>
    <w:qFormat/>
    <w:uiPriority w:val="9"/>
    <w:rPr>
      <w:rFonts w:asciiTheme="majorHAnsi" w:hAnsiTheme="majorHAnsi" w:eastAsiaTheme="majorEastAsia" w:cstheme="majorBidi"/>
      <w:b/>
      <w:bCs/>
      <w:kern w:val="2"/>
      <w:sz w:val="32"/>
      <w:szCs w:val="32"/>
    </w:rPr>
  </w:style>
  <w:style w:type="character" w:customStyle="1" w:styleId="383">
    <w:name w:val="标题 4 字符1"/>
    <w:basedOn w:val="46"/>
    <w:semiHidden/>
    <w:qFormat/>
    <w:uiPriority w:val="9"/>
    <w:rPr>
      <w:rFonts w:asciiTheme="majorHAnsi" w:hAnsiTheme="majorHAnsi" w:eastAsiaTheme="majorEastAsia" w:cstheme="majorBidi"/>
      <w:b/>
      <w:bCs/>
      <w:kern w:val="2"/>
      <w:sz w:val="28"/>
      <w:szCs w:val="28"/>
    </w:rPr>
  </w:style>
  <w:style w:type="character" w:customStyle="1" w:styleId="384">
    <w:name w:val="标题 5 字符1"/>
    <w:basedOn w:val="46"/>
    <w:semiHidden/>
    <w:qFormat/>
    <w:uiPriority w:val="0"/>
    <w:rPr>
      <w:b/>
      <w:bCs/>
      <w:kern w:val="2"/>
      <w:sz w:val="28"/>
      <w:szCs w:val="28"/>
    </w:rPr>
  </w:style>
  <w:style w:type="character" w:customStyle="1" w:styleId="385">
    <w:name w:val="标题 6 字符1"/>
    <w:basedOn w:val="46"/>
    <w:semiHidden/>
    <w:qFormat/>
    <w:uiPriority w:val="0"/>
    <w:rPr>
      <w:rFonts w:asciiTheme="majorHAnsi" w:hAnsiTheme="majorHAnsi" w:eastAsiaTheme="majorEastAsia" w:cstheme="majorBidi"/>
      <w:b/>
      <w:bCs/>
      <w:kern w:val="2"/>
      <w:sz w:val="24"/>
      <w:szCs w:val="24"/>
    </w:rPr>
  </w:style>
  <w:style w:type="character" w:customStyle="1" w:styleId="386">
    <w:name w:val="标题 7 字符1"/>
    <w:basedOn w:val="46"/>
    <w:semiHidden/>
    <w:qFormat/>
    <w:uiPriority w:val="0"/>
    <w:rPr>
      <w:b/>
      <w:bCs/>
      <w:kern w:val="2"/>
      <w:sz w:val="24"/>
      <w:szCs w:val="24"/>
    </w:rPr>
  </w:style>
  <w:style w:type="character" w:customStyle="1" w:styleId="387">
    <w:name w:val="标题 8 字符1"/>
    <w:basedOn w:val="46"/>
    <w:semiHidden/>
    <w:qFormat/>
    <w:uiPriority w:val="0"/>
    <w:rPr>
      <w:rFonts w:asciiTheme="majorHAnsi" w:hAnsiTheme="majorHAnsi" w:eastAsiaTheme="majorEastAsia" w:cstheme="majorBidi"/>
      <w:kern w:val="2"/>
      <w:sz w:val="24"/>
      <w:szCs w:val="24"/>
    </w:rPr>
  </w:style>
  <w:style w:type="character" w:customStyle="1" w:styleId="388">
    <w:name w:val="标题 9 字符1"/>
    <w:basedOn w:val="46"/>
    <w:semiHidden/>
    <w:qFormat/>
    <w:uiPriority w:val="0"/>
    <w:rPr>
      <w:rFonts w:asciiTheme="majorHAnsi" w:hAnsiTheme="majorHAnsi" w:eastAsiaTheme="majorEastAsia" w:cstheme="majorBidi"/>
      <w:kern w:val="2"/>
      <w:sz w:val="21"/>
      <w:szCs w:val="21"/>
    </w:rPr>
  </w:style>
  <w:style w:type="character" w:customStyle="1" w:styleId="389">
    <w:name w:val="正文文本 字符1"/>
    <w:basedOn w:val="46"/>
    <w:semiHidden/>
    <w:qFormat/>
    <w:uiPriority w:val="0"/>
    <w:rPr>
      <w:kern w:val="2"/>
      <w:sz w:val="24"/>
      <w:szCs w:val="24"/>
    </w:rPr>
  </w:style>
  <w:style w:type="character" w:customStyle="1" w:styleId="390">
    <w:name w:val="正文文本缩进 字符1"/>
    <w:basedOn w:val="46"/>
    <w:semiHidden/>
    <w:qFormat/>
    <w:uiPriority w:val="99"/>
    <w:rPr>
      <w:kern w:val="2"/>
      <w:sz w:val="24"/>
      <w:szCs w:val="24"/>
    </w:rPr>
  </w:style>
  <w:style w:type="character" w:customStyle="1" w:styleId="391">
    <w:name w:val="正文文本缩进 2 Char"/>
    <w:basedOn w:val="46"/>
    <w:link w:val="27"/>
    <w:qFormat/>
    <w:locked/>
    <w:uiPriority w:val="0"/>
    <w:rPr>
      <w:rFonts w:eastAsia="Times New Roman"/>
      <w:kern w:val="2"/>
      <w:sz w:val="24"/>
      <w:szCs w:val="24"/>
    </w:rPr>
  </w:style>
  <w:style w:type="character" w:customStyle="1" w:styleId="392">
    <w:name w:val="批注文字 字符1"/>
    <w:basedOn w:val="46"/>
    <w:semiHidden/>
    <w:qFormat/>
    <w:uiPriority w:val="99"/>
    <w:rPr>
      <w:kern w:val="2"/>
      <w:sz w:val="24"/>
      <w:szCs w:val="24"/>
    </w:rPr>
  </w:style>
  <w:style w:type="character" w:customStyle="1" w:styleId="393">
    <w:name w:val="正文首行缩进 字符1"/>
    <w:basedOn w:val="389"/>
    <w:semiHidden/>
    <w:qFormat/>
    <w:uiPriority w:val="0"/>
    <w:rPr>
      <w:kern w:val="2"/>
      <w:sz w:val="24"/>
      <w:szCs w:val="24"/>
    </w:rPr>
  </w:style>
  <w:style w:type="character" w:customStyle="1" w:styleId="394">
    <w:name w:val="副标题 字符1"/>
    <w:basedOn w:val="46"/>
    <w:qFormat/>
    <w:uiPriority w:val="11"/>
    <w:rPr>
      <w:rFonts w:asciiTheme="minorHAnsi" w:hAnsiTheme="minorHAnsi" w:eastAsiaTheme="minorEastAsia" w:cstheme="minorBidi"/>
      <w:b/>
      <w:bCs/>
      <w:kern w:val="28"/>
      <w:sz w:val="32"/>
      <w:szCs w:val="32"/>
    </w:rPr>
  </w:style>
  <w:style w:type="character" w:customStyle="1" w:styleId="395">
    <w:name w:val="页眉 字符1"/>
    <w:basedOn w:val="46"/>
    <w:semiHidden/>
    <w:qFormat/>
    <w:uiPriority w:val="99"/>
    <w:rPr>
      <w:kern w:val="2"/>
      <w:sz w:val="18"/>
      <w:szCs w:val="18"/>
    </w:rPr>
  </w:style>
  <w:style w:type="character" w:customStyle="1" w:styleId="396">
    <w:name w:val="纯文本 字符1"/>
    <w:basedOn w:val="46"/>
    <w:semiHidden/>
    <w:qFormat/>
    <w:uiPriority w:val="0"/>
    <w:rPr>
      <w:rFonts w:hAnsi="Courier New" w:cs="Courier New" w:asciiTheme="minorEastAsia" w:eastAsiaTheme="minorEastAsia"/>
      <w:kern w:val="2"/>
      <w:sz w:val="24"/>
      <w:szCs w:val="24"/>
    </w:rPr>
  </w:style>
  <w:style w:type="character" w:customStyle="1" w:styleId="397">
    <w:name w:val="正文文本缩进 3 字符1"/>
    <w:basedOn w:val="46"/>
    <w:semiHidden/>
    <w:qFormat/>
    <w:uiPriority w:val="99"/>
    <w:rPr>
      <w:kern w:val="2"/>
      <w:sz w:val="16"/>
      <w:szCs w:val="16"/>
    </w:rPr>
  </w:style>
  <w:style w:type="character" w:customStyle="1" w:styleId="398">
    <w:name w:val="文档结构图 字符1"/>
    <w:basedOn w:val="46"/>
    <w:semiHidden/>
    <w:qFormat/>
    <w:uiPriority w:val="99"/>
    <w:rPr>
      <w:rFonts w:ascii="Microsoft YaHei UI" w:eastAsia="Microsoft YaHei UI"/>
      <w:kern w:val="2"/>
      <w:sz w:val="18"/>
      <w:szCs w:val="18"/>
    </w:rPr>
  </w:style>
  <w:style w:type="character" w:customStyle="1" w:styleId="399">
    <w:name w:val="正文文本 3 字符1"/>
    <w:basedOn w:val="46"/>
    <w:semiHidden/>
    <w:qFormat/>
    <w:uiPriority w:val="0"/>
    <w:rPr>
      <w:kern w:val="2"/>
      <w:sz w:val="16"/>
      <w:szCs w:val="16"/>
    </w:rPr>
  </w:style>
  <w:style w:type="character" w:customStyle="1" w:styleId="400">
    <w:name w:val="正文首行缩进 2 字符1"/>
    <w:basedOn w:val="390"/>
    <w:semiHidden/>
    <w:qFormat/>
    <w:uiPriority w:val="0"/>
    <w:rPr>
      <w:kern w:val="2"/>
      <w:sz w:val="24"/>
      <w:szCs w:val="24"/>
    </w:rPr>
  </w:style>
  <w:style w:type="character" w:customStyle="1" w:styleId="401">
    <w:name w:val="标题 字符1"/>
    <w:basedOn w:val="46"/>
    <w:qFormat/>
    <w:uiPriority w:val="10"/>
    <w:rPr>
      <w:rFonts w:asciiTheme="majorHAnsi" w:hAnsiTheme="majorHAnsi" w:eastAsiaTheme="majorEastAsia" w:cstheme="majorBidi"/>
      <w:b/>
      <w:bCs/>
      <w:kern w:val="2"/>
      <w:sz w:val="32"/>
      <w:szCs w:val="32"/>
    </w:rPr>
  </w:style>
  <w:style w:type="character" w:customStyle="1" w:styleId="402">
    <w:name w:val="正文文本缩进 2 字符1"/>
    <w:basedOn w:val="46"/>
    <w:semiHidden/>
    <w:qFormat/>
    <w:uiPriority w:val="0"/>
    <w:rPr>
      <w:kern w:val="2"/>
      <w:sz w:val="24"/>
      <w:szCs w:val="24"/>
    </w:rPr>
  </w:style>
  <w:style w:type="character" w:customStyle="1" w:styleId="403">
    <w:name w:val="批注框文本 字符1"/>
    <w:basedOn w:val="46"/>
    <w:semiHidden/>
    <w:qFormat/>
    <w:uiPriority w:val="99"/>
    <w:rPr>
      <w:kern w:val="2"/>
      <w:sz w:val="18"/>
      <w:szCs w:val="18"/>
    </w:rPr>
  </w:style>
  <w:style w:type="character" w:customStyle="1" w:styleId="404">
    <w:name w:val="日期 字符1"/>
    <w:basedOn w:val="46"/>
    <w:semiHidden/>
    <w:qFormat/>
    <w:uiPriority w:val="99"/>
    <w:rPr>
      <w:kern w:val="2"/>
      <w:sz w:val="24"/>
      <w:szCs w:val="24"/>
    </w:rPr>
  </w:style>
  <w:style w:type="character" w:customStyle="1" w:styleId="405">
    <w:name w:val="注释标题 字符1"/>
    <w:basedOn w:val="46"/>
    <w:semiHidden/>
    <w:qFormat/>
    <w:uiPriority w:val="99"/>
    <w:rPr>
      <w:kern w:val="2"/>
      <w:sz w:val="24"/>
      <w:szCs w:val="24"/>
    </w:rPr>
  </w:style>
  <w:style w:type="character" w:customStyle="1" w:styleId="406">
    <w:name w:val="批注主题 字符1"/>
    <w:basedOn w:val="392"/>
    <w:semiHidden/>
    <w:qFormat/>
    <w:uiPriority w:val="99"/>
    <w:rPr>
      <w:b/>
      <w:bCs/>
      <w:kern w:val="2"/>
      <w:sz w:val="24"/>
      <w:szCs w:val="24"/>
    </w:rPr>
  </w:style>
  <w:style w:type="character" w:customStyle="1" w:styleId="407">
    <w:name w:val="脚注文本 字符1"/>
    <w:basedOn w:val="46"/>
    <w:semiHidden/>
    <w:qFormat/>
    <w:uiPriority w:val="99"/>
    <w:rPr>
      <w:kern w:val="2"/>
      <w:sz w:val="18"/>
      <w:szCs w:val="18"/>
    </w:rPr>
  </w:style>
  <w:style w:type="character" w:customStyle="1" w:styleId="408">
    <w:name w:val="正文文本 2 字符1"/>
    <w:basedOn w:val="46"/>
    <w:semiHidden/>
    <w:qFormat/>
    <w:uiPriority w:val="99"/>
    <w:rPr>
      <w:kern w:val="2"/>
      <w:sz w:val="24"/>
      <w:szCs w:val="24"/>
    </w:rPr>
  </w:style>
  <w:style w:type="character" w:customStyle="1" w:styleId="409">
    <w:name w:val="cucd-4 Char"/>
    <w:link w:val="270"/>
    <w:qFormat/>
    <w:uiPriority w:val="0"/>
    <w:rPr>
      <w:rFonts w:ascii="Times New Roman" w:hAnsi="Times New Roman" w:eastAsia="宋体" w:cs="Times New Roman"/>
      <w:b/>
      <w:kern w:val="2"/>
      <w:sz w:val="24"/>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66.png"/><Relationship Id="rId98" Type="http://schemas.openxmlformats.org/officeDocument/2006/relationships/image" Target="media/image65.jpeg"/><Relationship Id="rId97" Type="http://schemas.openxmlformats.org/officeDocument/2006/relationships/image" Target="media/image64.png"/><Relationship Id="rId96" Type="http://schemas.openxmlformats.org/officeDocument/2006/relationships/image" Target="media/image63.wmf"/><Relationship Id="rId95" Type="http://schemas.openxmlformats.org/officeDocument/2006/relationships/image" Target="media/image62.png"/><Relationship Id="rId94" Type="http://schemas.openxmlformats.org/officeDocument/2006/relationships/image" Target="media/image61.png"/><Relationship Id="rId93" Type="http://schemas.openxmlformats.org/officeDocument/2006/relationships/image" Target="media/image60.png"/><Relationship Id="rId92" Type="http://schemas.openxmlformats.org/officeDocument/2006/relationships/image" Target="media/image59.png"/><Relationship Id="rId91" Type="http://schemas.openxmlformats.org/officeDocument/2006/relationships/image" Target="media/image58.png"/><Relationship Id="rId90" Type="http://schemas.openxmlformats.org/officeDocument/2006/relationships/image" Target="media/image57.jpeg"/><Relationship Id="rId9" Type="http://schemas.openxmlformats.org/officeDocument/2006/relationships/footer" Target="footer5.xml"/><Relationship Id="rId89" Type="http://schemas.openxmlformats.org/officeDocument/2006/relationships/image" Target="media/image56.png"/><Relationship Id="rId88" Type="http://schemas.openxmlformats.org/officeDocument/2006/relationships/image" Target="media/image55.png"/><Relationship Id="rId87" Type="http://schemas.openxmlformats.org/officeDocument/2006/relationships/image" Target="media/image54.png"/><Relationship Id="rId86" Type="http://schemas.openxmlformats.org/officeDocument/2006/relationships/image" Target="media/image53.png"/><Relationship Id="rId85" Type="http://schemas.openxmlformats.org/officeDocument/2006/relationships/image" Target="media/image52.png"/><Relationship Id="rId84" Type="http://schemas.openxmlformats.org/officeDocument/2006/relationships/image" Target="media/image51.png"/><Relationship Id="rId83" Type="http://schemas.openxmlformats.org/officeDocument/2006/relationships/image" Target="media/image50.png"/><Relationship Id="rId82" Type="http://schemas.openxmlformats.org/officeDocument/2006/relationships/image" Target="media/image49.png"/><Relationship Id="rId81" Type="http://schemas.openxmlformats.org/officeDocument/2006/relationships/image" Target="media/image48.emf"/><Relationship Id="rId80" Type="http://schemas.openxmlformats.org/officeDocument/2006/relationships/oleObject" Target="embeddings/oleObject9.bin"/><Relationship Id="rId8" Type="http://schemas.openxmlformats.org/officeDocument/2006/relationships/footer" Target="footer4.xml"/><Relationship Id="rId79" Type="http://schemas.openxmlformats.org/officeDocument/2006/relationships/image" Target="media/image47.png"/><Relationship Id="rId78" Type="http://schemas.openxmlformats.org/officeDocument/2006/relationships/image" Target="media/image46.png"/><Relationship Id="rId77" Type="http://schemas.openxmlformats.org/officeDocument/2006/relationships/image" Target="media/image45.png"/><Relationship Id="rId76" Type="http://schemas.openxmlformats.org/officeDocument/2006/relationships/image" Target="media/image44.emf"/><Relationship Id="rId75" Type="http://schemas.openxmlformats.org/officeDocument/2006/relationships/oleObject" Target="embeddings/oleObject8.bin"/><Relationship Id="rId74" Type="http://schemas.openxmlformats.org/officeDocument/2006/relationships/image" Target="media/image43.emf"/><Relationship Id="rId73" Type="http://schemas.openxmlformats.org/officeDocument/2006/relationships/oleObject" Target="embeddings/oleObject7.bin"/><Relationship Id="rId72" Type="http://schemas.openxmlformats.org/officeDocument/2006/relationships/image" Target="media/image42.png"/><Relationship Id="rId71" Type="http://schemas.openxmlformats.org/officeDocument/2006/relationships/image" Target="media/image41.png"/><Relationship Id="rId70" Type="http://schemas.openxmlformats.org/officeDocument/2006/relationships/image" Target="media/image40.emf"/><Relationship Id="rId7" Type="http://schemas.openxmlformats.org/officeDocument/2006/relationships/footer" Target="footer3.xml"/><Relationship Id="rId69" Type="http://schemas.openxmlformats.org/officeDocument/2006/relationships/oleObject" Target="embeddings/oleObject6.bin"/><Relationship Id="rId68" Type="http://schemas.openxmlformats.org/officeDocument/2006/relationships/image" Target="media/image39.png"/><Relationship Id="rId67" Type="http://schemas.openxmlformats.org/officeDocument/2006/relationships/image" Target="media/image38.png"/><Relationship Id="rId66" Type="http://schemas.openxmlformats.org/officeDocument/2006/relationships/image" Target="media/image37.png"/><Relationship Id="rId65" Type="http://schemas.openxmlformats.org/officeDocument/2006/relationships/image" Target="media/image36.emf"/><Relationship Id="rId64" Type="http://schemas.openxmlformats.org/officeDocument/2006/relationships/oleObject" Target="embeddings/oleObject5.bin"/><Relationship Id="rId63" Type="http://schemas.openxmlformats.org/officeDocument/2006/relationships/image" Target="media/image35.emf"/><Relationship Id="rId62" Type="http://schemas.openxmlformats.org/officeDocument/2006/relationships/image" Target="media/image34.emf"/><Relationship Id="rId61" Type="http://schemas.openxmlformats.org/officeDocument/2006/relationships/oleObject" Target="embeddings/oleObject4.bin"/><Relationship Id="rId60" Type="http://schemas.openxmlformats.org/officeDocument/2006/relationships/image" Target="media/image33.wmf"/><Relationship Id="rId6" Type="http://schemas.openxmlformats.org/officeDocument/2006/relationships/footer" Target="footer2.xml"/><Relationship Id="rId59" Type="http://schemas.openxmlformats.org/officeDocument/2006/relationships/oleObject" Target="embeddings/oleObject3.bin"/><Relationship Id="rId58" Type="http://schemas.openxmlformats.org/officeDocument/2006/relationships/image" Target="media/image32.wmf"/><Relationship Id="rId57" Type="http://schemas.openxmlformats.org/officeDocument/2006/relationships/oleObject" Target="embeddings/oleObject2.bin"/><Relationship Id="rId56" Type="http://schemas.openxmlformats.org/officeDocument/2006/relationships/image" Target="media/image31.wmf"/><Relationship Id="rId55" Type="http://schemas.openxmlformats.org/officeDocument/2006/relationships/oleObject" Target="embeddings/oleObject1.bin"/><Relationship Id="rId54" Type="http://schemas.openxmlformats.org/officeDocument/2006/relationships/image" Target="media/image30.jpeg"/><Relationship Id="rId53" Type="http://schemas.openxmlformats.org/officeDocument/2006/relationships/image" Target="media/image29.png"/><Relationship Id="rId52" Type="http://schemas.openxmlformats.org/officeDocument/2006/relationships/image" Target="media/image28.png"/><Relationship Id="rId51" Type="http://schemas.openxmlformats.org/officeDocument/2006/relationships/image" Target="media/image27.jpeg"/><Relationship Id="rId50" Type="http://schemas.openxmlformats.org/officeDocument/2006/relationships/image" Target="media/image26.png"/><Relationship Id="rId5" Type="http://schemas.openxmlformats.org/officeDocument/2006/relationships/footer" Target="footer1.xml"/><Relationship Id="rId49" Type="http://schemas.openxmlformats.org/officeDocument/2006/relationships/image" Target="media/image25.jpeg"/><Relationship Id="rId48" Type="http://schemas.openxmlformats.org/officeDocument/2006/relationships/image" Target="media/image24.png"/><Relationship Id="rId47" Type="http://schemas.openxmlformats.org/officeDocument/2006/relationships/image" Target="media/image23.png"/><Relationship Id="rId46" Type="http://schemas.openxmlformats.org/officeDocument/2006/relationships/image" Target="media/image22.png"/><Relationship Id="rId45" Type="http://schemas.openxmlformats.org/officeDocument/2006/relationships/image" Target="media/image21.png"/><Relationship Id="rId44" Type="http://schemas.openxmlformats.org/officeDocument/2006/relationships/image" Target="media/image20.png"/><Relationship Id="rId43" Type="http://schemas.openxmlformats.org/officeDocument/2006/relationships/image" Target="media/image19.png"/><Relationship Id="rId42" Type="http://schemas.openxmlformats.org/officeDocument/2006/relationships/image" Target="media/image18.jpeg"/><Relationship Id="rId41" Type="http://schemas.openxmlformats.org/officeDocument/2006/relationships/image" Target="media/image17.jpeg"/><Relationship Id="rId40" Type="http://schemas.openxmlformats.org/officeDocument/2006/relationships/image" Target="media/image16.jpeg"/><Relationship Id="rId4" Type="http://schemas.openxmlformats.org/officeDocument/2006/relationships/header" Target="header2.xml"/><Relationship Id="rId39" Type="http://schemas.openxmlformats.org/officeDocument/2006/relationships/image" Target="media/image15.jpeg"/><Relationship Id="rId38" Type="http://schemas.openxmlformats.org/officeDocument/2006/relationships/image" Target="media/image14.jpeg"/><Relationship Id="rId37" Type="http://schemas.openxmlformats.org/officeDocument/2006/relationships/image" Target="media/image13.jpeg"/><Relationship Id="rId36" Type="http://schemas.openxmlformats.org/officeDocument/2006/relationships/image" Target="media/image12.jpeg"/><Relationship Id="rId35" Type="http://schemas.openxmlformats.org/officeDocument/2006/relationships/image" Target="media/image11.jpeg"/><Relationship Id="rId34" Type="http://schemas.openxmlformats.org/officeDocument/2006/relationships/image" Target="media/image10.png"/><Relationship Id="rId33" Type="http://schemas.openxmlformats.org/officeDocument/2006/relationships/image" Target="media/image9.png"/><Relationship Id="rId32" Type="http://schemas.openxmlformats.org/officeDocument/2006/relationships/image" Target="media/image8.png"/><Relationship Id="rId31" Type="http://schemas.openxmlformats.org/officeDocument/2006/relationships/image" Target="media/image7.png"/><Relationship Id="rId30" Type="http://schemas.openxmlformats.org/officeDocument/2006/relationships/image" Target="media/image6.png"/><Relationship Id="rId3" Type="http://schemas.openxmlformats.org/officeDocument/2006/relationships/header" Target="header1.xml"/><Relationship Id="rId29" Type="http://schemas.openxmlformats.org/officeDocument/2006/relationships/image" Target="media/image5.png"/><Relationship Id="rId28" Type="http://schemas.openxmlformats.org/officeDocument/2006/relationships/image" Target="media/image4.png"/><Relationship Id="rId27" Type="http://schemas.openxmlformats.org/officeDocument/2006/relationships/image" Target="media/image3.png"/><Relationship Id="rId26" Type="http://schemas.openxmlformats.org/officeDocument/2006/relationships/image" Target="media/image2.png"/><Relationship Id="rId25" Type="http://schemas.openxmlformats.org/officeDocument/2006/relationships/image" Target="media/image1.png"/><Relationship Id="rId24" Type="http://schemas.openxmlformats.org/officeDocument/2006/relationships/theme" Target="theme/theme1.xml"/><Relationship Id="rId23" Type="http://schemas.openxmlformats.org/officeDocument/2006/relationships/footer" Target="footer18.xml"/><Relationship Id="rId22" Type="http://schemas.openxmlformats.org/officeDocument/2006/relationships/footer" Target="footer17.xml"/><Relationship Id="rId21" Type="http://schemas.openxmlformats.org/officeDocument/2006/relationships/footer" Target="footer16.xml"/><Relationship Id="rId20" Type="http://schemas.openxmlformats.org/officeDocument/2006/relationships/footer" Target="footer15.xml"/><Relationship Id="rId2" Type="http://schemas.openxmlformats.org/officeDocument/2006/relationships/settings" Target="settings.xml"/><Relationship Id="rId19" Type="http://schemas.openxmlformats.org/officeDocument/2006/relationships/footer" Target="footer14.xml"/><Relationship Id="rId18" Type="http://schemas.openxmlformats.org/officeDocument/2006/relationships/footer" Target="footer13.xml"/><Relationship Id="rId17" Type="http://schemas.openxmlformats.org/officeDocument/2006/relationships/footer" Target="footer12.xml"/><Relationship Id="rId16" Type="http://schemas.openxmlformats.org/officeDocument/2006/relationships/footer" Target="footer11.xml"/><Relationship Id="rId15" Type="http://schemas.openxmlformats.org/officeDocument/2006/relationships/footer" Target="footer10.xml"/><Relationship Id="rId143" Type="http://schemas.openxmlformats.org/officeDocument/2006/relationships/fontTable" Target="fontTable.xml"/><Relationship Id="rId142" Type="http://schemas.openxmlformats.org/officeDocument/2006/relationships/customXml" Target="../customXml/item2.xml"/><Relationship Id="rId141" Type="http://schemas.openxmlformats.org/officeDocument/2006/relationships/numbering" Target="numbering.xml"/><Relationship Id="rId140" Type="http://schemas.openxmlformats.org/officeDocument/2006/relationships/customXml" Target="../customXml/item1.xml"/><Relationship Id="rId14" Type="http://schemas.openxmlformats.org/officeDocument/2006/relationships/footer" Target="footer9.xml"/><Relationship Id="rId139" Type="http://schemas.openxmlformats.org/officeDocument/2006/relationships/image" Target="media/image103.png"/><Relationship Id="rId138" Type="http://schemas.openxmlformats.org/officeDocument/2006/relationships/image" Target="media/image102.png"/><Relationship Id="rId137" Type="http://schemas.openxmlformats.org/officeDocument/2006/relationships/image" Target="media/image101.png"/><Relationship Id="rId136" Type="http://schemas.openxmlformats.org/officeDocument/2006/relationships/image" Target="media/image100.png"/><Relationship Id="rId135" Type="http://schemas.openxmlformats.org/officeDocument/2006/relationships/image" Target="media/image99.bmp"/><Relationship Id="rId134" Type="http://schemas.openxmlformats.org/officeDocument/2006/relationships/image" Target="media/image98.bmp"/><Relationship Id="rId133" Type="http://schemas.openxmlformats.org/officeDocument/2006/relationships/image" Target="media/image97.bmp"/><Relationship Id="rId132" Type="http://schemas.openxmlformats.org/officeDocument/2006/relationships/image" Target="media/image96.bmp"/><Relationship Id="rId131" Type="http://schemas.openxmlformats.org/officeDocument/2006/relationships/image" Target="media/image95.png"/><Relationship Id="rId130" Type="http://schemas.openxmlformats.org/officeDocument/2006/relationships/image" Target="media/image94.png"/><Relationship Id="rId13" Type="http://schemas.openxmlformats.org/officeDocument/2006/relationships/footer" Target="footer8.xml"/><Relationship Id="rId129" Type="http://schemas.openxmlformats.org/officeDocument/2006/relationships/image" Target="media/image93.png"/><Relationship Id="rId128" Type="http://schemas.openxmlformats.org/officeDocument/2006/relationships/image" Target="media/image92.png"/><Relationship Id="rId127" Type="http://schemas.openxmlformats.org/officeDocument/2006/relationships/image" Target="media/image91.png"/><Relationship Id="rId126" Type="http://schemas.openxmlformats.org/officeDocument/2006/relationships/image" Target="media/image90.png"/><Relationship Id="rId125" Type="http://schemas.openxmlformats.org/officeDocument/2006/relationships/image" Target="media/image89.png"/><Relationship Id="rId124" Type="http://schemas.openxmlformats.org/officeDocument/2006/relationships/image" Target="media/image88.emf"/><Relationship Id="rId123" Type="http://schemas.openxmlformats.org/officeDocument/2006/relationships/image" Target="media/image87.png"/><Relationship Id="rId122" Type="http://schemas.openxmlformats.org/officeDocument/2006/relationships/image" Target="media/image86.png"/><Relationship Id="rId121" Type="http://schemas.openxmlformats.org/officeDocument/2006/relationships/image" Target="media/image85.jpeg"/><Relationship Id="rId120" Type="http://schemas.openxmlformats.org/officeDocument/2006/relationships/image" Target="media/image84.jpeg"/><Relationship Id="rId12" Type="http://schemas.openxmlformats.org/officeDocument/2006/relationships/footer" Target="footer7.xml"/><Relationship Id="rId119" Type="http://schemas.openxmlformats.org/officeDocument/2006/relationships/image" Target="media/image83.jpeg"/><Relationship Id="rId118" Type="http://schemas.openxmlformats.org/officeDocument/2006/relationships/image" Target="media/image82.png"/><Relationship Id="rId117" Type="http://schemas.openxmlformats.org/officeDocument/2006/relationships/image" Target="media/image81.png"/><Relationship Id="rId116" Type="http://schemas.openxmlformats.org/officeDocument/2006/relationships/image" Target="media/image80.png"/><Relationship Id="rId115" Type="http://schemas.openxmlformats.org/officeDocument/2006/relationships/image" Target="media/image79.wmf"/><Relationship Id="rId114" Type="http://schemas.openxmlformats.org/officeDocument/2006/relationships/oleObject" Target="embeddings/oleObject12.bin"/><Relationship Id="rId113" Type="http://schemas.openxmlformats.org/officeDocument/2006/relationships/image" Target="media/image78.png"/><Relationship Id="rId112" Type="http://schemas.openxmlformats.org/officeDocument/2006/relationships/image" Target="media/image77.jpeg"/><Relationship Id="rId111" Type="http://schemas.openxmlformats.org/officeDocument/2006/relationships/image" Target="media/image76.jpeg"/><Relationship Id="rId110" Type="http://schemas.openxmlformats.org/officeDocument/2006/relationships/image" Target="media/image75.png"/><Relationship Id="rId11" Type="http://schemas.openxmlformats.org/officeDocument/2006/relationships/header" Target="header3.xml"/><Relationship Id="rId109" Type="http://schemas.openxmlformats.org/officeDocument/2006/relationships/image" Target="media/image74.wmf"/><Relationship Id="rId108" Type="http://schemas.openxmlformats.org/officeDocument/2006/relationships/oleObject" Target="embeddings/oleObject11.bin"/><Relationship Id="rId107" Type="http://schemas.openxmlformats.org/officeDocument/2006/relationships/image" Target="media/image73.wmf"/><Relationship Id="rId106" Type="http://schemas.openxmlformats.org/officeDocument/2006/relationships/oleObject" Target="embeddings/oleObject10.bin"/><Relationship Id="rId105" Type="http://schemas.openxmlformats.org/officeDocument/2006/relationships/image" Target="media/image72.jpeg"/><Relationship Id="rId104" Type="http://schemas.openxmlformats.org/officeDocument/2006/relationships/image" Target="media/image71.jpeg"/><Relationship Id="rId103" Type="http://schemas.openxmlformats.org/officeDocument/2006/relationships/image" Target="media/image70.jpeg"/><Relationship Id="rId102" Type="http://schemas.openxmlformats.org/officeDocument/2006/relationships/image" Target="media/image69.jpeg"/><Relationship Id="rId101" Type="http://schemas.openxmlformats.org/officeDocument/2006/relationships/image" Target="media/image68.jpeg"/><Relationship Id="rId100" Type="http://schemas.openxmlformats.org/officeDocument/2006/relationships/image" Target="media/image67.png"/><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46"/>
    <customShpInfo spid="_x0000_s1042"/>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066025F-003B-4ADF-9840-D87A79FC9CE5}">
  <ds:schemaRefs/>
</ds:datastoreItem>
</file>

<file path=docProps/app.xml><?xml version="1.0" encoding="utf-8"?>
<Properties xmlns="http://schemas.openxmlformats.org/officeDocument/2006/extended-properties" xmlns:vt="http://schemas.openxmlformats.org/officeDocument/2006/docPropsVTypes">
  <Template>Normal.dotm</Template>
  <Company>Hewlett-Packard Company</Company>
  <Pages>339</Pages>
  <Words>196801</Words>
  <Characters>234178</Characters>
  <Lines>2059</Lines>
  <Paragraphs>579</Paragraphs>
  <ScaleCrop>false</ScaleCrop>
  <LinksUpToDate>false</LinksUpToDate>
  <CharactersWithSpaces>237534</CharactersWithSpaces>
  <Application>WPS Office_10.8.0.5562_F1E327BC-269C-435d-A152-05C5408002CA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2020-03-04T09:42:00Z</dcterms:created>
  <dc:creator>Administrator</dc:creator>
  <cp:lastModifiedBy>Owner</cp:lastModifiedBy>
  <cp:lastPrinted>2020-05-13T07:47:00Z</cp:lastPrinted>
  <dcterms:modified xsi:type="dcterms:W3CDTF">2020-06-22T09:32:03Z</dcterms:modified>
  <cp:revision>35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2052-10.8.0.5562</vt:lpwstr>
  </property>
</Properties>
</file>